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2E9" w14:textId="77777777" w:rsidR="006E06C6" w:rsidRPr="006432CB" w:rsidRDefault="00D5115F" w:rsidP="004525A8">
      <w:pPr>
        <w:spacing w:after="0"/>
      </w:pPr>
      <w:r w:rsidRPr="006432CB">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Pr="006432CB" w:rsidRDefault="00FC1FCE" w:rsidP="004525A8">
      <w:pPr>
        <w:spacing w:after="0"/>
        <w:jc w:val="right"/>
      </w:pPr>
      <w:r w:rsidRPr="006432CB">
        <w:t>California Department of Education</w:t>
      </w:r>
    </w:p>
    <w:p w14:paraId="73008F90" w14:textId="77777777" w:rsidR="00B723BE" w:rsidRPr="006432CB" w:rsidRDefault="00FC1FCE" w:rsidP="004525A8">
      <w:pPr>
        <w:spacing w:after="0"/>
        <w:jc w:val="right"/>
      </w:pPr>
      <w:r w:rsidRPr="006432CB">
        <w:t>Executive Office</w:t>
      </w:r>
    </w:p>
    <w:p w14:paraId="77906EA3" w14:textId="77777777" w:rsidR="002B4B14" w:rsidRPr="006432CB" w:rsidRDefault="00692300" w:rsidP="004525A8">
      <w:pPr>
        <w:spacing w:after="0"/>
        <w:jc w:val="right"/>
      </w:pPr>
      <w:r w:rsidRPr="006432CB">
        <w:t>SBE-00</w:t>
      </w:r>
      <w:r w:rsidR="000324AD" w:rsidRPr="006432CB">
        <w:t>3</w:t>
      </w:r>
      <w:r w:rsidRPr="006432CB">
        <w:t xml:space="preserve"> (REV. 1</w:t>
      </w:r>
      <w:r w:rsidR="00C27D57" w:rsidRPr="006432CB">
        <w:t>1</w:t>
      </w:r>
      <w:r w:rsidRPr="006432CB">
        <w:t>/2017</w:t>
      </w:r>
      <w:r w:rsidR="00FC1FCE" w:rsidRPr="006432CB">
        <w:t>)</w:t>
      </w:r>
    </w:p>
    <w:p w14:paraId="7AF14FA2" w14:textId="3A775378" w:rsidR="00B723BE" w:rsidRPr="006432CB" w:rsidRDefault="00A03442" w:rsidP="004525A8">
      <w:pPr>
        <w:spacing w:after="0"/>
        <w:jc w:val="right"/>
      </w:pPr>
      <w:r w:rsidRPr="006432CB">
        <w:t>l</w:t>
      </w:r>
      <w:r w:rsidR="009E44E7" w:rsidRPr="006432CB">
        <w:t>a</w:t>
      </w:r>
      <w:r w:rsidR="00345D95" w:rsidRPr="006432CB">
        <w:t>c</w:t>
      </w:r>
      <w:r w:rsidR="00633A9F" w:rsidRPr="006432CB">
        <w:t>b</w:t>
      </w:r>
      <w:r w:rsidR="00DA1F36" w:rsidRPr="006432CB">
        <w:t>-csd-</w:t>
      </w:r>
      <w:r w:rsidR="00077ABC" w:rsidRPr="006432CB">
        <w:t>may24item03</w:t>
      </w:r>
    </w:p>
    <w:p w14:paraId="1688F3C3" w14:textId="77777777" w:rsidR="00B723BE" w:rsidRPr="006432CB" w:rsidRDefault="00B723BE" w:rsidP="00DA1F36">
      <w:pPr>
        <w:pStyle w:val="Heading1"/>
        <w:rPr>
          <w:sz w:val="40"/>
          <w:szCs w:val="40"/>
        </w:rPr>
        <w:sectPr w:rsidR="00B723BE" w:rsidRPr="006432CB" w:rsidSect="003C7725">
          <w:headerReference w:type="default" r:id="rId12"/>
          <w:headerReference w:type="first" r:id="rId13"/>
          <w:type w:val="continuous"/>
          <w:pgSz w:w="12240" w:h="15840"/>
          <w:pgMar w:top="720" w:right="1440" w:bottom="1440" w:left="1440" w:header="0" w:footer="720" w:gutter="0"/>
          <w:cols w:num="2" w:space="720"/>
          <w:titlePg/>
          <w:docGrid w:linePitch="360"/>
        </w:sectPr>
      </w:pPr>
    </w:p>
    <w:p w14:paraId="1EFC47B3" w14:textId="77777777" w:rsidR="006E06C6" w:rsidRPr="006432CB" w:rsidRDefault="006E06C6" w:rsidP="00FC1FCE">
      <w:pPr>
        <w:pStyle w:val="Heading1"/>
        <w:jc w:val="center"/>
        <w:rPr>
          <w:sz w:val="40"/>
          <w:szCs w:val="40"/>
        </w:rPr>
        <w:sectPr w:rsidR="006E06C6" w:rsidRPr="006432CB" w:rsidSect="003C7725">
          <w:type w:val="continuous"/>
          <w:pgSz w:w="12240" w:h="15840"/>
          <w:pgMar w:top="720" w:right="1440" w:bottom="1440" w:left="1440" w:header="720" w:footer="720" w:gutter="0"/>
          <w:cols w:space="720"/>
          <w:docGrid w:linePitch="360"/>
        </w:sectPr>
      </w:pPr>
    </w:p>
    <w:p w14:paraId="4F5758EC" w14:textId="44C5A5B8" w:rsidR="00FC1FCE" w:rsidRPr="006432CB" w:rsidRDefault="0091117B" w:rsidP="002B4B14">
      <w:pPr>
        <w:pStyle w:val="Heading1"/>
        <w:spacing w:before="240" w:after="240"/>
        <w:jc w:val="center"/>
        <w:rPr>
          <w:sz w:val="40"/>
          <w:szCs w:val="40"/>
        </w:rPr>
      </w:pPr>
      <w:r w:rsidRPr="006432CB">
        <w:rPr>
          <w:sz w:val="40"/>
          <w:szCs w:val="40"/>
        </w:rPr>
        <w:t>Californ</w:t>
      </w:r>
      <w:r w:rsidR="00693951" w:rsidRPr="006432CB">
        <w:rPr>
          <w:sz w:val="40"/>
          <w:szCs w:val="40"/>
        </w:rPr>
        <w:t>ia State Board of Education</w:t>
      </w:r>
      <w:r w:rsidR="00693951" w:rsidRPr="006432CB">
        <w:rPr>
          <w:sz w:val="40"/>
          <w:szCs w:val="40"/>
        </w:rPr>
        <w:br/>
      </w:r>
      <w:r w:rsidR="00A51FC0" w:rsidRPr="006432CB">
        <w:rPr>
          <w:sz w:val="40"/>
          <w:szCs w:val="40"/>
        </w:rPr>
        <w:t>Ma</w:t>
      </w:r>
      <w:r w:rsidR="007D7963" w:rsidRPr="006432CB">
        <w:rPr>
          <w:sz w:val="40"/>
          <w:szCs w:val="40"/>
        </w:rPr>
        <w:t>y</w:t>
      </w:r>
      <w:r w:rsidR="000A2D3E" w:rsidRPr="006432CB">
        <w:rPr>
          <w:sz w:val="40"/>
          <w:szCs w:val="40"/>
        </w:rPr>
        <w:t xml:space="preserve"> 20</w:t>
      </w:r>
      <w:r w:rsidR="00E205AE" w:rsidRPr="006432CB">
        <w:rPr>
          <w:sz w:val="40"/>
          <w:szCs w:val="40"/>
        </w:rPr>
        <w:t>2</w:t>
      </w:r>
      <w:r w:rsidR="0037654B" w:rsidRPr="006432CB">
        <w:rPr>
          <w:sz w:val="40"/>
          <w:szCs w:val="40"/>
        </w:rPr>
        <w:t>4</w:t>
      </w:r>
      <w:r w:rsidRPr="006432CB">
        <w:rPr>
          <w:sz w:val="40"/>
          <w:szCs w:val="40"/>
        </w:rPr>
        <w:t xml:space="preserve"> Agenda</w:t>
      </w:r>
      <w:r w:rsidR="00FC1FCE" w:rsidRPr="006432CB">
        <w:rPr>
          <w:sz w:val="40"/>
          <w:szCs w:val="40"/>
        </w:rPr>
        <w:br/>
        <w:t>Item</w:t>
      </w:r>
      <w:r w:rsidR="00692300" w:rsidRPr="006432CB">
        <w:rPr>
          <w:sz w:val="40"/>
          <w:szCs w:val="40"/>
        </w:rPr>
        <w:t xml:space="preserve"> </w:t>
      </w:r>
      <w:r w:rsidR="00783E2E" w:rsidRPr="006432CB">
        <w:rPr>
          <w:sz w:val="40"/>
          <w:szCs w:val="40"/>
        </w:rPr>
        <w:t>#</w:t>
      </w:r>
      <w:r w:rsidR="0044340B">
        <w:rPr>
          <w:sz w:val="40"/>
          <w:szCs w:val="40"/>
        </w:rPr>
        <w:t>10</w:t>
      </w:r>
    </w:p>
    <w:p w14:paraId="64FB26BB" w14:textId="77777777" w:rsidR="00FC1FCE" w:rsidRPr="006432CB" w:rsidRDefault="00FC1FCE" w:rsidP="002D37B7">
      <w:pPr>
        <w:pStyle w:val="Heading2"/>
      </w:pPr>
      <w:r w:rsidRPr="006432CB">
        <w:t>Subject</w:t>
      </w:r>
    </w:p>
    <w:p w14:paraId="1209BB56" w14:textId="2A41C850" w:rsidR="00692300" w:rsidRPr="006432CB" w:rsidRDefault="009B2A39" w:rsidP="00013168">
      <w:r w:rsidRPr="006432CB">
        <w:rPr>
          <w:rFonts w:cs="Arial"/>
        </w:rPr>
        <w:t>California’s Application to the United States Department of Education for Funds Available through the 2024–29 Federal Charter Schools Program – Grants to State Entities: Discussion and Consideration of Proposed Content and Submission.</w:t>
      </w:r>
    </w:p>
    <w:p w14:paraId="1A649F32" w14:textId="77777777" w:rsidR="00FC1FCE" w:rsidRPr="006432CB" w:rsidRDefault="00FC1FCE" w:rsidP="002D37B7">
      <w:pPr>
        <w:pStyle w:val="Heading2"/>
      </w:pPr>
      <w:r w:rsidRPr="006432CB">
        <w:t>Type of Action</w:t>
      </w:r>
    </w:p>
    <w:p w14:paraId="213C098C" w14:textId="0E961556" w:rsidR="0091117B" w:rsidRPr="006432CB" w:rsidRDefault="009B2A39" w:rsidP="00013168">
      <w:r w:rsidRPr="006432CB">
        <w:t>Action, Information</w:t>
      </w:r>
    </w:p>
    <w:p w14:paraId="1747052C" w14:textId="655E0D72" w:rsidR="00FC1FCE" w:rsidRPr="006432CB" w:rsidRDefault="00E13119" w:rsidP="002D37B7">
      <w:pPr>
        <w:pStyle w:val="Heading2"/>
      </w:pPr>
      <w:r w:rsidRPr="006432CB">
        <w:t>Background</w:t>
      </w:r>
    </w:p>
    <w:p w14:paraId="348948AA" w14:textId="784F327C" w:rsidR="00361075" w:rsidRDefault="00077ABC" w:rsidP="00C54B45">
      <w:pPr>
        <w:rPr>
          <w:bCs/>
        </w:rPr>
      </w:pPr>
      <w:r w:rsidRPr="006432CB">
        <w:rPr>
          <w:bCs/>
        </w:rPr>
        <w:t xml:space="preserve">The federal Charter Schools Program (CSP) is a competitive, discretionary grant program that enables State Entities (SEs) to provide financial assistance, through subgrants to eligible applicants, for the </w:t>
      </w:r>
      <w:r w:rsidR="008D3A31">
        <w:rPr>
          <w:bCs/>
        </w:rPr>
        <w:t>purpose of opening new charter schools and replicating and expanding hig</w:t>
      </w:r>
      <w:r w:rsidR="00F7019D">
        <w:rPr>
          <w:bCs/>
        </w:rPr>
        <w:t>h</w:t>
      </w:r>
      <w:r w:rsidR="008D3A31">
        <w:rPr>
          <w:bCs/>
        </w:rPr>
        <w:t xml:space="preserve">-quality charter schools. SEs may also use grant funds to provide technical assistance </w:t>
      </w:r>
      <w:r w:rsidR="00F7019D">
        <w:rPr>
          <w:bCs/>
        </w:rPr>
        <w:t>opportunities for charter schools and authorizers related to successful charter school practices.</w:t>
      </w:r>
      <w:r w:rsidRPr="006432CB">
        <w:rPr>
          <w:bCs/>
        </w:rPr>
        <w:t xml:space="preserve"> SEs may use a portion of CSP funds to carry out technical assistance directly or through subgrants, contracts, or cooperative agreements with partner agencies and organizations. </w:t>
      </w:r>
      <w:r w:rsidRPr="006432CB">
        <w:rPr>
          <w:rFonts w:cs="Arial"/>
        </w:rPr>
        <w:t xml:space="preserve">In fiscal year (FY) 2022–23, California received its final annual allocation under the 2020–23 CSP grant award and is currently operating on rollover under a No-Cost Extension. </w:t>
      </w:r>
    </w:p>
    <w:p w14:paraId="6006D19F" w14:textId="656E6069" w:rsidR="00C54B45" w:rsidRPr="006432CB" w:rsidRDefault="00361075" w:rsidP="00C54B45">
      <w:pPr>
        <w:rPr>
          <w:rFonts w:cs="Arial"/>
        </w:rPr>
      </w:pPr>
      <w:r>
        <w:rPr>
          <w:bCs/>
        </w:rPr>
        <w:t xml:space="preserve">On April 24, 2024, the </w:t>
      </w:r>
      <w:r w:rsidRPr="003F1551">
        <w:rPr>
          <w:bCs/>
        </w:rPr>
        <w:t>U.S.</w:t>
      </w:r>
      <w:r>
        <w:rPr>
          <w:bCs/>
        </w:rPr>
        <w:t xml:space="preserve"> Department of Education issued a notice inviting SEs to apply for the CSP grant. Grant applications are due on or before June 13, 2024. </w:t>
      </w:r>
      <w:proofErr w:type="gramStart"/>
      <w:r w:rsidR="001472D4">
        <w:rPr>
          <w:rFonts w:cs="Arial"/>
        </w:rPr>
        <w:t>In order for</w:t>
      </w:r>
      <w:proofErr w:type="gramEnd"/>
      <w:r w:rsidR="00077ABC" w:rsidRPr="006432CB">
        <w:rPr>
          <w:rFonts w:cs="Arial"/>
        </w:rPr>
        <w:t xml:space="preserve"> California to apply for continuous CSP funding, the C</w:t>
      </w:r>
      <w:r>
        <w:rPr>
          <w:rFonts w:cs="Arial"/>
        </w:rPr>
        <w:t>alifornia Department of Education (C</w:t>
      </w:r>
      <w:r w:rsidR="00077ABC" w:rsidRPr="006432CB">
        <w:rPr>
          <w:rFonts w:cs="Arial"/>
        </w:rPr>
        <w:t>DE</w:t>
      </w:r>
      <w:r>
        <w:rPr>
          <w:rFonts w:cs="Arial"/>
        </w:rPr>
        <w:t>)</w:t>
      </w:r>
      <w:r w:rsidR="00077ABC" w:rsidRPr="006432CB">
        <w:rPr>
          <w:rFonts w:cs="Arial"/>
        </w:rPr>
        <w:t xml:space="preserve"> is seeking approval from the California State Board of Education (SBE) to submit a 2024–29 CSP application.</w:t>
      </w:r>
    </w:p>
    <w:p w14:paraId="3ED08B60" w14:textId="77777777" w:rsidR="003E4DF7" w:rsidRPr="006432CB" w:rsidRDefault="003E4DF7" w:rsidP="002D37B7">
      <w:pPr>
        <w:pStyle w:val="Heading2"/>
      </w:pPr>
      <w:r w:rsidRPr="006432CB">
        <w:t>Recommendation</w:t>
      </w:r>
    </w:p>
    <w:p w14:paraId="7C042698" w14:textId="22D44AAE" w:rsidR="0093112F" w:rsidRPr="006432CB" w:rsidRDefault="009B2A39" w:rsidP="00DA76E7">
      <w:pPr>
        <w:rPr>
          <w:rFonts w:cs="Arial"/>
        </w:rPr>
      </w:pPr>
      <w:r w:rsidRPr="006432CB">
        <w:rPr>
          <w:rFonts w:cs="Arial"/>
        </w:rPr>
        <w:t>The CDE recommends</w:t>
      </w:r>
      <w:r w:rsidR="00AB563F">
        <w:rPr>
          <w:rFonts w:cs="Arial"/>
        </w:rPr>
        <w:t xml:space="preserve"> that</w:t>
      </w:r>
      <w:r w:rsidRPr="006432CB">
        <w:rPr>
          <w:rFonts w:cs="Arial"/>
        </w:rPr>
        <w:t xml:space="preserve"> the SBE approve and direct the CDE to </w:t>
      </w:r>
      <w:r w:rsidR="001472D4">
        <w:rPr>
          <w:rFonts w:cs="Arial"/>
        </w:rPr>
        <w:t>apply for up to</w:t>
      </w:r>
      <w:r w:rsidR="00E320B3" w:rsidRPr="006432CB">
        <w:rPr>
          <w:rFonts w:cs="Arial"/>
        </w:rPr>
        <w:t xml:space="preserve"> </w:t>
      </w:r>
      <w:r w:rsidR="00CA490E" w:rsidRPr="006432CB">
        <w:rPr>
          <w:rFonts w:cs="Arial"/>
        </w:rPr>
        <w:t xml:space="preserve">$93.8 </w:t>
      </w:r>
      <w:r w:rsidRPr="006432CB">
        <w:rPr>
          <w:rFonts w:cs="Arial"/>
        </w:rPr>
        <w:t xml:space="preserve">million </w:t>
      </w:r>
      <w:r w:rsidR="001472D4">
        <w:rPr>
          <w:rFonts w:cs="Arial"/>
        </w:rPr>
        <w:t>under the</w:t>
      </w:r>
      <w:r w:rsidR="001472D4" w:rsidRPr="006432CB">
        <w:rPr>
          <w:rFonts w:cs="Arial"/>
        </w:rPr>
        <w:t xml:space="preserve"> </w:t>
      </w:r>
      <w:r w:rsidRPr="006432CB">
        <w:rPr>
          <w:rFonts w:cs="Arial"/>
        </w:rPr>
        <w:t xml:space="preserve">federal </w:t>
      </w:r>
      <w:r w:rsidR="001472D4">
        <w:rPr>
          <w:rFonts w:cs="Arial"/>
        </w:rPr>
        <w:t>CSP</w:t>
      </w:r>
      <w:r w:rsidRPr="006432CB">
        <w:rPr>
          <w:rFonts w:cs="Arial"/>
        </w:rPr>
        <w:t xml:space="preserve"> for a </w:t>
      </w:r>
      <w:r w:rsidR="0093112F" w:rsidRPr="006432CB">
        <w:rPr>
          <w:rFonts w:cs="Arial"/>
        </w:rPr>
        <w:t xml:space="preserve">five-year </w:t>
      </w:r>
      <w:r w:rsidRPr="006432CB">
        <w:rPr>
          <w:rFonts w:cs="Arial"/>
        </w:rPr>
        <w:t>grant award period.</w:t>
      </w:r>
    </w:p>
    <w:p w14:paraId="7BFBED10" w14:textId="209A4686" w:rsidR="009B2A39" w:rsidRPr="006432CB" w:rsidRDefault="009B2A39" w:rsidP="009B2A39">
      <w:pPr>
        <w:rPr>
          <w:rFonts w:cs="Arial"/>
        </w:rPr>
      </w:pPr>
      <w:r w:rsidRPr="006432CB">
        <w:rPr>
          <w:rFonts w:cs="Arial"/>
        </w:rPr>
        <w:lastRenderedPageBreak/>
        <w:t xml:space="preserve">The CDE also recommends the SBE direct the CDE, in consultation with the Executive Director of the SBE and/or the SBE liaisons, to perform all necessary activities required to finalize </w:t>
      </w:r>
      <w:r w:rsidR="00E320B3" w:rsidRPr="006432CB">
        <w:rPr>
          <w:rFonts w:cs="Arial"/>
        </w:rPr>
        <w:t xml:space="preserve">California’s </w:t>
      </w:r>
      <w:r w:rsidRPr="006432CB">
        <w:rPr>
          <w:rFonts w:cs="Arial"/>
        </w:rPr>
        <w:t>CSP application.</w:t>
      </w:r>
    </w:p>
    <w:p w14:paraId="617FBC89" w14:textId="3045C704" w:rsidR="0048272B" w:rsidRPr="006432CB" w:rsidRDefault="009B2A39" w:rsidP="009B2A39">
      <w:pPr>
        <w:rPr>
          <w:rFonts w:cs="Arial"/>
        </w:rPr>
      </w:pPr>
      <w:r w:rsidRPr="006432CB">
        <w:rPr>
          <w:rFonts w:cs="Arial"/>
        </w:rPr>
        <w:t>The amount requested will allow the CDE</w:t>
      </w:r>
      <w:r w:rsidR="004525A8" w:rsidRPr="006432CB">
        <w:rPr>
          <w:rFonts w:cs="Arial"/>
        </w:rPr>
        <w:t xml:space="preserve"> and the </w:t>
      </w:r>
      <w:r w:rsidRPr="006432CB">
        <w:rPr>
          <w:rFonts w:cs="Arial"/>
        </w:rPr>
        <w:t>SBE</w:t>
      </w:r>
      <w:r w:rsidR="004525A8" w:rsidRPr="006432CB">
        <w:rPr>
          <w:rFonts w:cs="Arial"/>
        </w:rPr>
        <w:t>,</w:t>
      </w:r>
      <w:r w:rsidRPr="006432CB">
        <w:rPr>
          <w:rFonts w:cs="Arial"/>
        </w:rPr>
        <w:t xml:space="preserve"> and its partners</w:t>
      </w:r>
      <w:r w:rsidR="003B5A3E" w:rsidRPr="006432CB">
        <w:rPr>
          <w:rFonts w:cs="Arial"/>
        </w:rPr>
        <w:t>,</w:t>
      </w:r>
      <w:r w:rsidRPr="006432CB">
        <w:rPr>
          <w:rFonts w:cs="Arial"/>
        </w:rPr>
        <w:t xml:space="preserve"> to provide support services and technical assistance for charter schools and authorizers, and permit funding for new, expanding, and replicating charter schools that meet the eligibility and competitive requirements for CSP funding.</w:t>
      </w:r>
      <w:r w:rsidR="00DA76E7" w:rsidRPr="006432CB">
        <w:rPr>
          <w:rFonts w:cs="Arial"/>
        </w:rPr>
        <w:t xml:space="preserve"> </w:t>
      </w:r>
      <w:r w:rsidRPr="006432CB">
        <w:rPr>
          <w:rFonts w:cs="Arial"/>
        </w:rPr>
        <w:t>Should</w:t>
      </w:r>
      <w:r w:rsidR="00B139DB" w:rsidRPr="006432CB">
        <w:rPr>
          <w:rFonts w:cs="Arial"/>
        </w:rPr>
        <w:t xml:space="preserve"> the United States Department of Education (ED) award</w:t>
      </w:r>
      <w:r w:rsidRPr="006432CB">
        <w:rPr>
          <w:rFonts w:cs="Arial"/>
        </w:rPr>
        <w:t xml:space="preserve"> </w:t>
      </w:r>
      <w:r w:rsidR="001B7BF7" w:rsidRPr="006432CB">
        <w:rPr>
          <w:rFonts w:cs="Arial"/>
        </w:rPr>
        <w:t xml:space="preserve">California </w:t>
      </w:r>
      <w:r w:rsidR="009B2743" w:rsidRPr="006432CB">
        <w:rPr>
          <w:rFonts w:cs="Arial"/>
        </w:rPr>
        <w:t>a grant</w:t>
      </w:r>
      <w:r w:rsidRPr="006432CB">
        <w:rPr>
          <w:rFonts w:cs="Arial"/>
        </w:rPr>
        <w:t xml:space="preserve">, </w:t>
      </w:r>
      <w:r w:rsidR="00E320B3" w:rsidRPr="006432CB">
        <w:rPr>
          <w:rFonts w:cs="Arial"/>
        </w:rPr>
        <w:t xml:space="preserve">the </w:t>
      </w:r>
      <w:r w:rsidRPr="006432CB">
        <w:rPr>
          <w:rFonts w:cs="Arial"/>
        </w:rPr>
        <w:t xml:space="preserve">ED </w:t>
      </w:r>
      <w:r w:rsidR="009B2743" w:rsidRPr="006432CB">
        <w:rPr>
          <w:rFonts w:cs="Arial"/>
        </w:rPr>
        <w:t xml:space="preserve">may </w:t>
      </w:r>
      <w:r w:rsidR="00E37E85" w:rsidRPr="006432CB">
        <w:rPr>
          <w:rFonts w:cs="Arial"/>
        </w:rPr>
        <w:t xml:space="preserve">elect to </w:t>
      </w:r>
      <w:r w:rsidR="009B2743" w:rsidRPr="006432CB">
        <w:rPr>
          <w:rFonts w:cs="Arial"/>
        </w:rPr>
        <w:t xml:space="preserve">award a grant amount for less than the </w:t>
      </w:r>
      <w:r w:rsidR="00CA490E" w:rsidRPr="006432CB">
        <w:rPr>
          <w:rFonts w:cs="Arial"/>
        </w:rPr>
        <w:t xml:space="preserve">$93.8 </w:t>
      </w:r>
      <w:r w:rsidR="00A60E36" w:rsidRPr="006432CB">
        <w:rPr>
          <w:rFonts w:cs="Arial"/>
        </w:rPr>
        <w:t xml:space="preserve">million </w:t>
      </w:r>
      <w:r w:rsidR="009B2743" w:rsidRPr="006432CB">
        <w:rPr>
          <w:rFonts w:cs="Arial"/>
        </w:rPr>
        <w:t>amount requested.</w:t>
      </w:r>
    </w:p>
    <w:p w14:paraId="2D518889" w14:textId="77777777" w:rsidR="00361075" w:rsidRDefault="00361075" w:rsidP="002D37B7">
      <w:pPr>
        <w:pStyle w:val="Heading2"/>
      </w:pPr>
      <w:r>
        <w:t>Brief History of Key Issues</w:t>
      </w:r>
    </w:p>
    <w:p w14:paraId="21321867" w14:textId="76895ABD" w:rsidR="00361075" w:rsidRDefault="00361075" w:rsidP="009B2A39">
      <w:pPr>
        <w:rPr>
          <w:rFonts w:cs="Arial"/>
        </w:rPr>
      </w:pPr>
      <w:r w:rsidRPr="00361075">
        <w:rPr>
          <w:rFonts w:cs="Arial"/>
        </w:rPr>
        <w:t xml:space="preserve">The ED awards federal CSP grant funds to SEs </w:t>
      </w:r>
      <w:r w:rsidRPr="00361075">
        <w:t xml:space="preserve">for the purpose of opening new </w:t>
      </w:r>
      <w:r w:rsidRPr="008F5DD3">
        <w:rPr>
          <w:rStyle w:val="Emphasis"/>
          <w:rFonts w:eastAsiaTheme="majorEastAsia"/>
          <w:i w:val="0"/>
          <w:iCs w:val="0"/>
        </w:rPr>
        <w:t>charter schools</w:t>
      </w:r>
      <w:r w:rsidRPr="00361075">
        <w:t xml:space="preserve"> and replicating and expanding </w:t>
      </w:r>
      <w:r w:rsidRPr="008F5DD3">
        <w:rPr>
          <w:rStyle w:val="Emphasis"/>
          <w:rFonts w:eastAsiaTheme="majorEastAsia"/>
          <w:i w:val="0"/>
          <w:iCs w:val="0"/>
        </w:rPr>
        <w:t>high-quality charter schools. SEs</w:t>
      </w:r>
      <w:r w:rsidRPr="00361075">
        <w:t xml:space="preserve"> also may use grant funds to provide technical assistance to </w:t>
      </w:r>
      <w:r w:rsidRPr="008F5DD3">
        <w:rPr>
          <w:rStyle w:val="Emphasis"/>
          <w:rFonts w:eastAsiaTheme="majorEastAsia"/>
          <w:i w:val="0"/>
          <w:iCs w:val="0"/>
        </w:rPr>
        <w:t>eligible applicants</w:t>
      </w:r>
      <w:r w:rsidRPr="00361075">
        <w:t xml:space="preserve"> and </w:t>
      </w:r>
      <w:r w:rsidRPr="008F5DD3">
        <w:rPr>
          <w:rStyle w:val="Emphasis"/>
          <w:rFonts w:eastAsiaTheme="majorEastAsia"/>
          <w:i w:val="0"/>
          <w:iCs w:val="0"/>
        </w:rPr>
        <w:t>authorized public chartering agencies</w:t>
      </w:r>
      <w:r w:rsidRPr="00361075">
        <w:t xml:space="preserve"> in opening new </w:t>
      </w:r>
      <w:r w:rsidRPr="008F5DD3">
        <w:rPr>
          <w:rStyle w:val="Emphasis"/>
          <w:rFonts w:eastAsiaTheme="majorEastAsia"/>
          <w:i w:val="0"/>
          <w:iCs w:val="0"/>
        </w:rPr>
        <w:t>charter schools</w:t>
      </w:r>
      <w:r w:rsidRPr="00361075">
        <w:t xml:space="preserve"> and replicating and expanding </w:t>
      </w:r>
      <w:r w:rsidRPr="008F5DD3">
        <w:rPr>
          <w:rStyle w:val="Emphasis"/>
          <w:rFonts w:eastAsiaTheme="majorEastAsia"/>
          <w:i w:val="0"/>
          <w:iCs w:val="0"/>
        </w:rPr>
        <w:t>high-quality charter schools,</w:t>
      </w:r>
      <w:r w:rsidRPr="00361075">
        <w:t xml:space="preserve"> and to work with </w:t>
      </w:r>
      <w:r w:rsidRPr="008F5DD3">
        <w:rPr>
          <w:rStyle w:val="Emphasis"/>
          <w:rFonts w:eastAsiaTheme="majorEastAsia"/>
          <w:i w:val="0"/>
          <w:iCs w:val="0"/>
        </w:rPr>
        <w:t>authorized public chartering agencies</w:t>
      </w:r>
      <w:r w:rsidRPr="00361075">
        <w:t xml:space="preserve"> in the </w:t>
      </w:r>
      <w:r w:rsidRPr="008F5DD3">
        <w:rPr>
          <w:rStyle w:val="Emphasis"/>
          <w:rFonts w:eastAsiaTheme="majorEastAsia"/>
          <w:i w:val="0"/>
          <w:iCs w:val="0"/>
        </w:rPr>
        <w:t>State</w:t>
      </w:r>
      <w:r w:rsidRPr="00361075">
        <w:t xml:space="preserve"> to improve authorizing quality, including developing capacity for, and conducting, fiscal oversight and auditing of </w:t>
      </w:r>
      <w:r w:rsidRPr="008F5DD3">
        <w:rPr>
          <w:rStyle w:val="Emphasis"/>
          <w:rFonts w:eastAsiaTheme="majorEastAsia"/>
          <w:i w:val="0"/>
          <w:iCs w:val="0"/>
        </w:rPr>
        <w:t>charter schools.</w:t>
      </w:r>
      <w:r w:rsidRPr="00361075">
        <w:t xml:space="preserve"> SE grant funds may also be used for grant administration, which may include technical assistance and monitoring of subgrants for performance and fiscal and regulatory compliance, as required under </w:t>
      </w:r>
      <w:hyperlink r:id="rId14" w:anchor="p-200.332(d)" w:tgtFrame="_blank" w:history="1">
        <w:r w:rsidRPr="00361075">
          <w:rPr>
            <w:rStyle w:val="Hyperlink"/>
            <w:rFonts w:eastAsiaTheme="majorEastAsia"/>
          </w:rPr>
          <w:t>2 CFR 200.332(d)</w:t>
        </w:r>
      </w:hyperlink>
      <w:r w:rsidRPr="00361075">
        <w:t>.</w:t>
      </w:r>
      <w:r>
        <w:rPr>
          <w:rFonts w:cs="Arial"/>
        </w:rPr>
        <w:t xml:space="preserve"> </w:t>
      </w:r>
      <w:r w:rsidRPr="006432CB">
        <w:rPr>
          <w:bCs/>
        </w:rPr>
        <w:t xml:space="preserve">The CSP SE program is funded under Title IV, Part C of the Elementary and Secondary Education Act of 1965, as amended by </w:t>
      </w:r>
      <w:proofErr w:type="gramStart"/>
      <w:r w:rsidRPr="006432CB">
        <w:rPr>
          <w:bCs/>
        </w:rPr>
        <w:t>the Every</w:t>
      </w:r>
      <w:proofErr w:type="gramEnd"/>
      <w:r w:rsidRPr="006432CB">
        <w:rPr>
          <w:bCs/>
        </w:rPr>
        <w:t xml:space="preserve"> Student Succeeds Act (20 United States Code [U.S.C.] sections 7221-7222j).</w:t>
      </w:r>
    </w:p>
    <w:p w14:paraId="6749FA16" w14:textId="2E878CD2" w:rsidR="009B2A39" w:rsidRPr="006432CB" w:rsidRDefault="009B2A39" w:rsidP="009B2A39">
      <w:pPr>
        <w:rPr>
          <w:rFonts w:cs="Arial"/>
        </w:rPr>
      </w:pPr>
      <w:r w:rsidRPr="006432CB">
        <w:rPr>
          <w:rFonts w:cs="Arial"/>
        </w:rPr>
        <w:t xml:space="preserve">The </w:t>
      </w:r>
      <w:r w:rsidR="00F7019D">
        <w:rPr>
          <w:rFonts w:cs="Arial"/>
        </w:rPr>
        <w:t>major purposes of the CSP are to</w:t>
      </w:r>
      <w:r w:rsidRPr="006432CB">
        <w:rPr>
          <w:rFonts w:cs="Arial"/>
        </w:rPr>
        <w:t xml:space="preserve"> </w:t>
      </w:r>
      <w:r w:rsidRPr="006432CB">
        <w:t xml:space="preserve">(1) expand opportunities for all students, particularly traditionally underserved students, to attend </w:t>
      </w:r>
      <w:r w:rsidR="00F7019D">
        <w:t xml:space="preserve">high-quality </w:t>
      </w:r>
      <w:r w:rsidRPr="006432CB">
        <w:t xml:space="preserve">public charter schools and meet challenging </w:t>
      </w:r>
      <w:r w:rsidR="00F7019D">
        <w:t>S</w:t>
      </w:r>
      <w:r w:rsidRPr="006432CB">
        <w:t xml:space="preserve">tate academic standards; (2) provide financial assistance for the planning, program design, and initial implementation of charter schools; (3) increase the number of high-quality charter schools available to students across the United States; (4) evaluate the impact of charter schools on student achievement, families, and communities; (5) share best practices between charter schools and other public schools; (6) encourage </w:t>
      </w:r>
      <w:r w:rsidR="00F7019D">
        <w:t>S</w:t>
      </w:r>
      <w:r w:rsidRPr="006432CB">
        <w:t>tates to provide facilities support to charter schools; and (7) support efforts to strengthen the charter school authorizing process.</w:t>
      </w:r>
    </w:p>
    <w:p w14:paraId="1C0C1595" w14:textId="12EAC33F" w:rsidR="009B2A39" w:rsidRPr="006432CB" w:rsidRDefault="009B2A39" w:rsidP="009B2A39">
      <w:pPr>
        <w:rPr>
          <w:rFonts w:cs="Arial"/>
        </w:rPr>
      </w:pPr>
      <w:r w:rsidRPr="006432CB">
        <w:rPr>
          <w:rFonts w:cs="Arial"/>
        </w:rPr>
        <w:t>The Secretary of Education has outlined the following specific selection criteria by which CSP grant applications will be evaluated:</w:t>
      </w:r>
    </w:p>
    <w:p w14:paraId="16A4B02D" w14:textId="155487F0" w:rsidR="009B2A39" w:rsidRPr="006432CB" w:rsidRDefault="009B2A39" w:rsidP="004525A8">
      <w:pPr>
        <w:pStyle w:val="ListParagraph"/>
        <w:numPr>
          <w:ilvl w:val="0"/>
          <w:numId w:val="22"/>
        </w:numPr>
        <w:contextualSpacing w:val="0"/>
      </w:pPr>
      <w:r w:rsidRPr="006432CB">
        <w:t xml:space="preserve">Quality of the Project Design – </w:t>
      </w:r>
      <w:r w:rsidR="0041138B" w:rsidRPr="00AB563F">
        <w:t>The</w:t>
      </w:r>
      <w:r w:rsidR="0041138B">
        <w:t xml:space="preserve"> </w:t>
      </w:r>
      <w:r w:rsidRPr="006432CB">
        <w:t>project rationale</w:t>
      </w:r>
      <w:r w:rsidR="004A1E50">
        <w:t>;</w:t>
      </w:r>
      <w:r w:rsidR="007E6E6F">
        <w:t xml:space="preserve"> performance </w:t>
      </w:r>
      <w:r w:rsidR="002D69B6" w:rsidRPr="00AB563F">
        <w:t>measures related</w:t>
      </w:r>
      <w:r w:rsidR="007E6E6F">
        <w:t xml:space="preserve"> to intended</w:t>
      </w:r>
      <w:r w:rsidRPr="006432CB">
        <w:t xml:space="preserve"> outcomes</w:t>
      </w:r>
      <w:r w:rsidR="004A1E50">
        <w:t>;</w:t>
      </w:r>
      <w:r w:rsidRPr="006432CB">
        <w:t xml:space="preserve"> ambitiousness of the </w:t>
      </w:r>
      <w:r w:rsidR="004525A8" w:rsidRPr="006432CB">
        <w:t>SE’s</w:t>
      </w:r>
      <w:r w:rsidRPr="006432CB">
        <w:t xml:space="preserve"> objectives</w:t>
      </w:r>
      <w:r w:rsidR="004A1E50">
        <w:t>;</w:t>
      </w:r>
      <w:r w:rsidR="007E6E6F">
        <w:t xml:space="preserve"> and extent to which projected subgrant awards are supported by evidence of demand and need, </w:t>
      </w:r>
      <w:r w:rsidR="004A1E50">
        <w:t xml:space="preserve">and </w:t>
      </w:r>
      <w:r w:rsidR="007E6E6F">
        <w:t xml:space="preserve">extent to which </w:t>
      </w:r>
      <w:r w:rsidR="00AB563F">
        <w:t xml:space="preserve">the </w:t>
      </w:r>
      <w:r w:rsidR="007E6E6F">
        <w:t>subgrant award amount is supported by the need of applicants</w:t>
      </w:r>
      <w:r w:rsidR="00484ED6">
        <w:t>.</w:t>
      </w:r>
      <w:r w:rsidR="007E6E6F">
        <w:t xml:space="preserve"> </w:t>
      </w:r>
    </w:p>
    <w:p w14:paraId="3FAF92F0" w14:textId="66EFCF70" w:rsidR="00826264" w:rsidRPr="00AB563F" w:rsidRDefault="009B2A39">
      <w:pPr>
        <w:pStyle w:val="ListParagraph"/>
        <w:numPr>
          <w:ilvl w:val="0"/>
          <w:numId w:val="22"/>
        </w:numPr>
        <w:contextualSpacing w:val="0"/>
      </w:pPr>
      <w:r w:rsidRPr="006432CB">
        <w:lastRenderedPageBreak/>
        <w:t>Quality of Eligible Subgrant Applicants</w:t>
      </w:r>
      <w:r w:rsidR="004A1E50">
        <w:t xml:space="preserve"> </w:t>
      </w:r>
      <w:r w:rsidR="004A1E50" w:rsidRPr="006432CB">
        <w:t>–</w:t>
      </w:r>
      <w:r w:rsidR="004A1E50">
        <w:t xml:space="preserve"> </w:t>
      </w:r>
      <w:r w:rsidR="0041138B" w:rsidRPr="00AB563F">
        <w:t>The likelihood that eligible applicants receiving sub-grants under CSP will meet the state’s objectives for the quality charter school program and improve educational results for students</w:t>
      </w:r>
      <w:r w:rsidR="00484ED6">
        <w:t>.</w:t>
      </w:r>
      <w:r w:rsidR="00C55385" w:rsidRPr="00AB563F">
        <w:t xml:space="preserve"> </w:t>
      </w:r>
    </w:p>
    <w:p w14:paraId="62ED4A83" w14:textId="682C7371" w:rsidR="009B2A39" w:rsidRPr="006432CB" w:rsidRDefault="0041138B" w:rsidP="003F1551">
      <w:pPr>
        <w:pStyle w:val="ListParagraph"/>
        <w:numPr>
          <w:ilvl w:val="0"/>
          <w:numId w:val="22"/>
        </w:numPr>
        <w:contextualSpacing w:val="0"/>
      </w:pPr>
      <w:r w:rsidRPr="00AB563F">
        <w:t xml:space="preserve">State Plan – </w:t>
      </w:r>
      <w:r w:rsidR="009B2A39" w:rsidRPr="00AB563F">
        <w:t>The</w:t>
      </w:r>
      <w:r w:rsidR="007E6E6F" w:rsidRPr="00AB563F">
        <w:t xml:space="preserve"> </w:t>
      </w:r>
      <w:r w:rsidR="009B2A39" w:rsidRPr="00AB563F">
        <w:t xml:space="preserve">State Plan to </w:t>
      </w:r>
      <w:r w:rsidRPr="00AB563F">
        <w:t>adequately</w:t>
      </w:r>
      <w:r>
        <w:t xml:space="preserve"> </w:t>
      </w:r>
      <w:r w:rsidR="009B2A39" w:rsidRPr="006432CB">
        <w:t xml:space="preserve">monitor subgrants, work with authorized charter school agencies, and provide technical support for </w:t>
      </w:r>
      <w:r w:rsidR="00691D3E" w:rsidRPr="006432CB">
        <w:t>eligible applicants</w:t>
      </w:r>
      <w:r w:rsidR="009B2A39" w:rsidRPr="006432CB">
        <w:t xml:space="preserve"> and </w:t>
      </w:r>
      <w:r w:rsidR="007E6E6F">
        <w:t>quality authorizing efforts</w:t>
      </w:r>
      <w:r>
        <w:t xml:space="preserve">; </w:t>
      </w:r>
      <w:r w:rsidR="007E6E6F">
        <w:t>solicit and consider p</w:t>
      </w:r>
      <w:r w:rsidR="009B2A39" w:rsidRPr="006432CB">
        <w:t xml:space="preserve">arent and </w:t>
      </w:r>
      <w:r w:rsidR="007E6E6F">
        <w:t>c</w:t>
      </w:r>
      <w:r w:rsidR="009B2A39" w:rsidRPr="006432CB">
        <w:t xml:space="preserve">ommunity </w:t>
      </w:r>
      <w:r w:rsidR="007E6E6F">
        <w:t>input</w:t>
      </w:r>
      <w:r w:rsidR="007E6E6F" w:rsidRPr="006432CB">
        <w:t xml:space="preserve"> </w:t>
      </w:r>
      <w:r w:rsidR="009B2A39" w:rsidRPr="006432CB">
        <w:t xml:space="preserve">in the implementation and operation of charter schools in the </w:t>
      </w:r>
      <w:r w:rsidR="007E6E6F">
        <w:t>S</w:t>
      </w:r>
      <w:r w:rsidR="009B2A39" w:rsidRPr="006432CB">
        <w:t>tate</w:t>
      </w:r>
      <w:r>
        <w:t>; and the d</w:t>
      </w:r>
      <w:r w:rsidR="009B2A39" w:rsidRPr="006432CB">
        <w:t xml:space="preserve">egree of flexibility afforded to charter schools under </w:t>
      </w:r>
      <w:r w:rsidR="004525A8" w:rsidRPr="006432CB">
        <w:t>s</w:t>
      </w:r>
      <w:r w:rsidR="009B2A39" w:rsidRPr="006432CB">
        <w:t>tate education code</w:t>
      </w:r>
      <w:r w:rsidR="007E6E6F">
        <w:t xml:space="preserve"> and how the SE will work to maximize flexibility provided to charter schools under law. </w:t>
      </w:r>
    </w:p>
    <w:p w14:paraId="616C7128" w14:textId="18F5DFF2" w:rsidR="00D8667C" w:rsidRPr="006432CB" w:rsidRDefault="009B2A39" w:rsidP="004525A8">
      <w:pPr>
        <w:pStyle w:val="ListParagraph"/>
        <w:numPr>
          <w:ilvl w:val="0"/>
          <w:numId w:val="22"/>
        </w:numPr>
        <w:contextualSpacing w:val="0"/>
      </w:pPr>
      <w:r w:rsidRPr="006432CB">
        <w:t xml:space="preserve">Quality of Management Plan </w:t>
      </w:r>
      <w:r w:rsidRPr="00AB563F">
        <w:t xml:space="preserve">– </w:t>
      </w:r>
      <w:r w:rsidR="0041138B" w:rsidRPr="00AB563F">
        <w:t>The adequacy of the management plan,</w:t>
      </w:r>
      <w:r w:rsidR="0041138B">
        <w:t xml:space="preserve"> </w:t>
      </w:r>
      <w:r w:rsidRPr="006432CB">
        <w:t>appropriate staffing and time commitments</w:t>
      </w:r>
      <w:r w:rsidR="007E6E6F">
        <w:t>, procedures for ensuring feedback and continuous improvement</w:t>
      </w:r>
      <w:r w:rsidR="00484ED6">
        <w:t>.</w:t>
      </w:r>
    </w:p>
    <w:p w14:paraId="4FB85297" w14:textId="568C1CA8" w:rsidR="00A83CC2" w:rsidRPr="006432CB" w:rsidRDefault="00A83CC2" w:rsidP="002D37B7">
      <w:pPr>
        <w:pStyle w:val="Heading2"/>
      </w:pPr>
      <w:r w:rsidRPr="006432CB">
        <w:t>Proposed Charter Schools Program Application</w:t>
      </w:r>
      <w:r w:rsidR="00134213">
        <w:t xml:space="preserve"> and Rationale</w:t>
      </w:r>
      <w:r w:rsidRPr="006432CB">
        <w:t xml:space="preserve"> for </w:t>
      </w:r>
      <w:r w:rsidR="00134213">
        <w:t xml:space="preserve">the </w:t>
      </w:r>
      <w:r w:rsidRPr="006432CB">
        <w:t>2024–29</w:t>
      </w:r>
      <w:r w:rsidR="00134213">
        <w:t xml:space="preserve"> CSP Application</w:t>
      </w:r>
    </w:p>
    <w:p w14:paraId="3BB51D64" w14:textId="2E12764C" w:rsidR="009B2A39" w:rsidRDefault="007B1098" w:rsidP="00AB563F">
      <w:pPr>
        <w:rPr>
          <w:rFonts w:cs="Arial"/>
        </w:rPr>
      </w:pPr>
      <w:r w:rsidRPr="006432CB">
        <w:rPr>
          <w:rFonts w:cs="Arial"/>
        </w:rPr>
        <w:t xml:space="preserve">The CDE recommends applying for a </w:t>
      </w:r>
      <w:r w:rsidR="00777A21" w:rsidRPr="006432CB">
        <w:rPr>
          <w:rFonts w:cs="Arial"/>
        </w:rPr>
        <w:t>five</w:t>
      </w:r>
      <w:r w:rsidRPr="006432CB">
        <w:rPr>
          <w:rFonts w:cs="Arial"/>
        </w:rPr>
        <w:t>-year grant in the 2024 CSP grant application,</w:t>
      </w:r>
      <w:r w:rsidR="009A3FA6" w:rsidRPr="006432CB">
        <w:rPr>
          <w:rFonts w:cs="Arial"/>
        </w:rPr>
        <w:t xml:space="preserve"> which </w:t>
      </w:r>
      <w:r w:rsidR="00A83CC2" w:rsidRPr="006432CB">
        <w:rPr>
          <w:rFonts w:cs="Arial"/>
        </w:rPr>
        <w:t xml:space="preserve">would ensure more </w:t>
      </w:r>
      <w:r w:rsidR="009A3FA6" w:rsidRPr="006432CB">
        <w:rPr>
          <w:rFonts w:cs="Arial"/>
        </w:rPr>
        <w:t xml:space="preserve">rounds of funding to be completed, as sub-grants provide funding to </w:t>
      </w:r>
      <w:r w:rsidR="00A83CC2" w:rsidRPr="006432CB">
        <w:rPr>
          <w:rFonts w:cs="Arial"/>
        </w:rPr>
        <w:t xml:space="preserve">charter </w:t>
      </w:r>
      <w:r w:rsidR="009A3FA6" w:rsidRPr="006432CB">
        <w:rPr>
          <w:rFonts w:cs="Arial"/>
        </w:rPr>
        <w:t>schools for up to</w:t>
      </w:r>
      <w:r w:rsidR="00A83CC2" w:rsidRPr="006432CB">
        <w:rPr>
          <w:rFonts w:cs="Arial"/>
        </w:rPr>
        <w:t xml:space="preserve"> 36 months</w:t>
      </w:r>
      <w:r w:rsidRPr="006432CB">
        <w:rPr>
          <w:rFonts w:cs="Arial"/>
        </w:rPr>
        <w:t>.</w:t>
      </w:r>
    </w:p>
    <w:p w14:paraId="08782B1A" w14:textId="5A6D0411" w:rsidR="00AB563F" w:rsidRDefault="00134213" w:rsidP="00AB563F">
      <w:r>
        <w:rPr>
          <w:rFonts w:cs="Arial"/>
        </w:rPr>
        <w:t>T</w:t>
      </w:r>
      <w:r w:rsidRPr="006432CB">
        <w:rPr>
          <w:rFonts w:cs="Arial"/>
        </w:rPr>
        <w:t>he CDE proposes to provide the following program elements through the CSP local</w:t>
      </w:r>
      <w:r>
        <w:rPr>
          <w:rFonts w:cs="Arial"/>
        </w:rPr>
        <w:t xml:space="preserve"> </w:t>
      </w:r>
      <w:r w:rsidRPr="006432CB">
        <w:rPr>
          <w:rFonts w:cs="Arial"/>
        </w:rPr>
        <w:t>assistance and administrative funds</w:t>
      </w:r>
      <w:r w:rsidR="00DB0635">
        <w:rPr>
          <w:rFonts w:cs="Arial"/>
        </w:rPr>
        <w:t xml:space="preserve">, </w:t>
      </w:r>
      <w:r w:rsidR="00DB0635" w:rsidRPr="00AB563F">
        <w:rPr>
          <w:rFonts w:cs="Arial"/>
        </w:rPr>
        <w:t>in accordance with allowable use of CSP funds</w:t>
      </w:r>
      <w:r w:rsidRPr="00AB563F">
        <w:rPr>
          <w:rFonts w:cs="Arial"/>
        </w:rPr>
        <w:t>:</w:t>
      </w:r>
      <w:r w:rsidR="00AB563F">
        <w:rPr>
          <w:rFonts w:cs="Arial"/>
        </w:rPr>
        <w:t xml:space="preserve"> </w:t>
      </w:r>
      <w:r w:rsidR="009B2A39" w:rsidRPr="006432CB">
        <w:t>Planning, Implementation, Replication, and Expansion Subgrants</w:t>
      </w:r>
      <w:r w:rsidR="00075804" w:rsidRPr="006432CB">
        <w:t xml:space="preserve"> </w:t>
      </w:r>
      <w:r w:rsidR="009B2A39" w:rsidRPr="006432CB">
        <w:t>(Local Assistance Funds, 90 percent of the Grant Award)</w:t>
      </w:r>
      <w:r w:rsidR="00AB563F">
        <w:t xml:space="preserve"> </w:t>
      </w:r>
    </w:p>
    <w:p w14:paraId="4EAAFC26" w14:textId="61BF71A8" w:rsidR="009B2A39" w:rsidRPr="006432CB" w:rsidRDefault="00134213" w:rsidP="004525A8">
      <w:pPr>
        <w:pStyle w:val="ListParagraph"/>
        <w:ind w:left="0"/>
        <w:contextualSpacing w:val="0"/>
        <w:rPr>
          <w:rFonts w:cs="Arial"/>
        </w:rPr>
      </w:pPr>
      <w:r>
        <w:rPr>
          <w:rFonts w:cs="Arial"/>
        </w:rPr>
        <w:t xml:space="preserve">Consistent with past practice, </w:t>
      </w:r>
      <w:r w:rsidR="009B2A39" w:rsidRPr="006432CB">
        <w:rPr>
          <w:rFonts w:cs="Arial"/>
        </w:rPr>
        <w:t xml:space="preserve">CSP funding </w:t>
      </w:r>
      <w:r>
        <w:rPr>
          <w:rFonts w:cs="Arial"/>
        </w:rPr>
        <w:t>will be</w:t>
      </w:r>
      <w:r w:rsidR="000A3870" w:rsidRPr="006432CB">
        <w:rPr>
          <w:rFonts w:cs="Arial"/>
        </w:rPr>
        <w:t xml:space="preserve"> </w:t>
      </w:r>
      <w:r w:rsidR="009B2A39" w:rsidRPr="006432CB">
        <w:rPr>
          <w:rFonts w:cs="Arial"/>
        </w:rPr>
        <w:t>used for four types of subgrants:</w:t>
      </w:r>
    </w:p>
    <w:p w14:paraId="10981D1E" w14:textId="77777777" w:rsidR="009B2A39" w:rsidRPr="006432CB" w:rsidRDefault="009B2A39" w:rsidP="004525A8">
      <w:pPr>
        <w:pStyle w:val="ListParagraph"/>
        <w:numPr>
          <w:ilvl w:val="0"/>
          <w:numId w:val="23"/>
        </w:numPr>
        <w:contextualSpacing w:val="0"/>
      </w:pPr>
      <w:r w:rsidRPr="006432CB">
        <w:t>Planning subgrants for new start-up charter schools prior to the first day of student instruction.</w:t>
      </w:r>
    </w:p>
    <w:p w14:paraId="36A1BD2C" w14:textId="77777777" w:rsidR="009B2A39" w:rsidRPr="006432CB" w:rsidRDefault="009B2A39" w:rsidP="004525A8">
      <w:pPr>
        <w:pStyle w:val="ListParagraph"/>
        <w:numPr>
          <w:ilvl w:val="0"/>
          <w:numId w:val="23"/>
        </w:numPr>
        <w:contextualSpacing w:val="0"/>
      </w:pPr>
      <w:r w:rsidRPr="006432CB">
        <w:t>Implementation subgrants for schools in the first two years of operation.</w:t>
      </w:r>
    </w:p>
    <w:p w14:paraId="75E32071" w14:textId="77777777" w:rsidR="009B2A39" w:rsidRPr="006432CB" w:rsidRDefault="009B2A39" w:rsidP="004525A8">
      <w:pPr>
        <w:pStyle w:val="ListParagraph"/>
        <w:numPr>
          <w:ilvl w:val="0"/>
          <w:numId w:val="23"/>
        </w:numPr>
        <w:contextualSpacing w:val="0"/>
      </w:pPr>
      <w:r w:rsidRPr="006432CB">
        <w:t>Replication subgrants for charter schools under a charter management organization, non-profit organization, or governing board which governs one or more high-quality charter school(s).</w:t>
      </w:r>
    </w:p>
    <w:p w14:paraId="1DE4689B" w14:textId="6C9B0361" w:rsidR="00103E01" w:rsidRPr="006432CB" w:rsidRDefault="009B2A39" w:rsidP="004525A8">
      <w:pPr>
        <w:pStyle w:val="ListParagraph"/>
        <w:ind w:left="1440"/>
        <w:contextualSpacing w:val="0"/>
      </w:pPr>
      <w:r w:rsidRPr="006432CB">
        <w:t>Replicate, when used with respect to a high-quality charter school, means to open a new charter school, or a new campus of a high-quality charter school, based on the educational model of an existing high-quality charter school, under an existing charter or an additional charter, if permitted or required by state law (</w:t>
      </w:r>
      <w:r w:rsidR="00F93E31" w:rsidRPr="006432CB">
        <w:t xml:space="preserve">20 </w:t>
      </w:r>
      <w:r w:rsidR="000A3870" w:rsidRPr="006432CB">
        <w:t>U.S.C. Section 7221</w:t>
      </w:r>
      <w:proofErr w:type="gramStart"/>
      <w:r w:rsidR="000A3870" w:rsidRPr="006432CB">
        <w:t>i[</w:t>
      </w:r>
      <w:proofErr w:type="gramEnd"/>
      <w:r w:rsidR="000A3870" w:rsidRPr="006432CB">
        <w:t>9]).</w:t>
      </w:r>
    </w:p>
    <w:p w14:paraId="0100696C" w14:textId="43E75CEA" w:rsidR="009B2A39" w:rsidRPr="006432CB" w:rsidRDefault="009B2A39" w:rsidP="004525A8">
      <w:pPr>
        <w:pStyle w:val="ListParagraph"/>
        <w:numPr>
          <w:ilvl w:val="0"/>
          <w:numId w:val="23"/>
        </w:numPr>
        <w:contextualSpacing w:val="0"/>
        <w:rPr>
          <w:rStyle w:val="CommentReference"/>
          <w:rFonts w:cs="Arial"/>
          <w:sz w:val="24"/>
          <w:szCs w:val="24"/>
        </w:rPr>
      </w:pPr>
      <w:r w:rsidRPr="006432CB">
        <w:lastRenderedPageBreak/>
        <w:t>Expansion subgrants for existing high-quality charter schools, which have been open for at least three years, to provide funding to cover the costs of adding new grade levels or increasing enrollment by at least 25 percent.</w:t>
      </w:r>
    </w:p>
    <w:p w14:paraId="07D8F8CE" w14:textId="77777777" w:rsidR="009B2A39" w:rsidRPr="006432CB" w:rsidRDefault="009B2A39" w:rsidP="002D37B7">
      <w:pPr>
        <w:pStyle w:val="Heading4"/>
      </w:pPr>
      <w:r w:rsidRPr="006432CB">
        <w:t>Subgrant Competitions</w:t>
      </w:r>
    </w:p>
    <w:p w14:paraId="77546364" w14:textId="251C1E74" w:rsidR="00E320B3" w:rsidRDefault="00E320B3" w:rsidP="00FD6243">
      <w:pPr>
        <w:rPr>
          <w:rFonts w:cs="Arial"/>
        </w:rPr>
      </w:pPr>
      <w:r w:rsidRPr="006432CB">
        <w:rPr>
          <w:rFonts w:cs="Arial"/>
        </w:rPr>
        <w:t>The CDE will conduct at least one competition each year for charter schools to apply for a subgrant. Charter schools awarded subgrants will be required to comply with state and federal law, and eligibility requirements of the subgrant. The subgrant program is a competitive funding opportunity and applications received will be evaluated against a published rubric.</w:t>
      </w:r>
    </w:p>
    <w:p w14:paraId="14B48347" w14:textId="7214D5E5" w:rsidR="00C17978" w:rsidRPr="00C17978" w:rsidRDefault="00C17978" w:rsidP="002D37B7">
      <w:pPr>
        <w:pStyle w:val="Heading4"/>
      </w:pPr>
      <w:r w:rsidRPr="006432CB">
        <w:t xml:space="preserve">Subgrant </w:t>
      </w:r>
      <w:r>
        <w:t>Awards</w:t>
      </w:r>
    </w:p>
    <w:p w14:paraId="4483EB53" w14:textId="2AC8E05F" w:rsidR="00970880" w:rsidRPr="006432CB" w:rsidRDefault="00D12B7D" w:rsidP="00A07121">
      <w:pPr>
        <w:rPr>
          <w:rFonts w:cs="Arial"/>
        </w:rPr>
      </w:pPr>
      <w:r w:rsidRPr="006432CB">
        <w:rPr>
          <w:rFonts w:cs="Arial"/>
        </w:rPr>
        <w:t>The CDE</w:t>
      </w:r>
      <w:r w:rsidR="009B2A39" w:rsidRPr="006432CB">
        <w:rPr>
          <w:rFonts w:cs="Arial"/>
        </w:rPr>
        <w:t xml:space="preserve"> </w:t>
      </w:r>
      <w:r w:rsidR="002456FA" w:rsidRPr="006432CB">
        <w:rPr>
          <w:rFonts w:cs="Arial"/>
        </w:rPr>
        <w:t>proposes</w:t>
      </w:r>
      <w:r w:rsidR="009B2A39" w:rsidRPr="006432CB">
        <w:rPr>
          <w:rFonts w:cs="Arial"/>
        </w:rPr>
        <w:t xml:space="preserve"> the following base subgrant awards over </w:t>
      </w:r>
      <w:r w:rsidR="00911F54" w:rsidRPr="006432CB">
        <w:rPr>
          <w:rFonts w:cs="Arial"/>
        </w:rPr>
        <w:t>a maximum 36-month subgrant award term</w:t>
      </w:r>
      <w:r w:rsidR="009B2A39" w:rsidRPr="006432CB">
        <w:rPr>
          <w:rFonts w:cs="Arial"/>
        </w:rPr>
        <w:t xml:space="preserve"> using </w:t>
      </w:r>
      <w:r w:rsidR="00F67568" w:rsidRPr="006432CB">
        <w:rPr>
          <w:rFonts w:cs="Arial"/>
        </w:rPr>
        <w:t>the following</w:t>
      </w:r>
      <w:r w:rsidR="009B2A39" w:rsidRPr="006432CB">
        <w:rPr>
          <w:rFonts w:cs="Arial"/>
        </w:rPr>
        <w:t xml:space="preserve"> funding formula:</w:t>
      </w:r>
    </w:p>
    <w:p w14:paraId="7B696445" w14:textId="5111D356" w:rsidR="00BB1242" w:rsidRPr="006432CB" w:rsidRDefault="00DD7FD7" w:rsidP="00AA1A70">
      <w:pPr>
        <w:pStyle w:val="TableHeading"/>
      </w:pPr>
      <w:r w:rsidRPr="006432CB">
        <w:t xml:space="preserve">Table </w:t>
      </w:r>
      <w:r w:rsidR="00B17B3B" w:rsidRPr="006432CB">
        <w:t>1</w:t>
      </w:r>
      <w:r w:rsidRPr="006432CB">
        <w:t xml:space="preserve">. </w:t>
      </w:r>
      <w:r w:rsidR="00BB1242" w:rsidRPr="006432CB">
        <w:t xml:space="preserve">New &amp; Replicating Charter Schools Proposed Subgrant </w:t>
      </w:r>
      <w:r w:rsidR="00F67568" w:rsidRPr="006432CB">
        <w:t xml:space="preserve">Base </w:t>
      </w:r>
      <w:r w:rsidR="00BB1242" w:rsidRPr="006432CB">
        <w:t>Amounts</w:t>
      </w:r>
    </w:p>
    <w:tbl>
      <w:tblPr>
        <w:tblStyle w:val="TableGrid"/>
        <w:tblW w:w="9360" w:type="dxa"/>
        <w:tblLayout w:type="fixed"/>
        <w:tblLook w:val="04A0" w:firstRow="1" w:lastRow="0" w:firstColumn="1" w:lastColumn="0" w:noHBand="0" w:noVBand="1"/>
        <w:tblDescription w:val="Table 1. New &amp; Replicating Charter Schools Proposed Subgrant Base Amounts"/>
      </w:tblPr>
      <w:tblGrid>
        <w:gridCol w:w="4680"/>
        <w:gridCol w:w="4680"/>
      </w:tblGrid>
      <w:tr w:rsidR="00A0481C" w:rsidRPr="006432CB" w14:paraId="75D69094" w14:textId="77777777" w:rsidTr="00AA1A70">
        <w:trPr>
          <w:cantSplit/>
          <w:tblHeader/>
        </w:trPr>
        <w:tc>
          <w:tcPr>
            <w:tcW w:w="4680" w:type="dxa"/>
            <w:shd w:val="clear" w:color="auto" w:fill="BFBFBF" w:themeFill="background1" w:themeFillShade="BF"/>
            <w:vAlign w:val="center"/>
          </w:tcPr>
          <w:p w14:paraId="4ACC17A6" w14:textId="58D8F177" w:rsidR="00A0481C" w:rsidRPr="006432CB" w:rsidRDefault="00A0481C" w:rsidP="00851180">
            <w:pPr>
              <w:spacing w:after="0"/>
              <w:jc w:val="center"/>
              <w:rPr>
                <w:rFonts w:cs="Arial"/>
                <w:b/>
                <w:bCs/>
              </w:rPr>
            </w:pPr>
            <w:r w:rsidRPr="006432CB">
              <w:rPr>
                <w:rFonts w:cs="Arial"/>
                <w:b/>
                <w:bCs/>
              </w:rPr>
              <w:t>Year</w:t>
            </w:r>
          </w:p>
        </w:tc>
        <w:tc>
          <w:tcPr>
            <w:tcW w:w="4680" w:type="dxa"/>
            <w:shd w:val="clear" w:color="auto" w:fill="BFBFBF" w:themeFill="background1" w:themeFillShade="BF"/>
            <w:vAlign w:val="center"/>
          </w:tcPr>
          <w:p w14:paraId="1F689777" w14:textId="0B5B8735" w:rsidR="00A0481C" w:rsidRPr="006432CB" w:rsidRDefault="00A0481C" w:rsidP="00AA1A70">
            <w:pPr>
              <w:spacing w:after="0"/>
              <w:jc w:val="center"/>
              <w:rPr>
                <w:rFonts w:cs="Arial"/>
                <w:b/>
                <w:bCs/>
                <w:strike/>
              </w:rPr>
            </w:pPr>
            <w:r w:rsidRPr="006432CB">
              <w:rPr>
                <w:b/>
                <w:bCs/>
              </w:rPr>
              <w:t>New &amp; Replicating Charter Schools</w:t>
            </w:r>
          </w:p>
        </w:tc>
      </w:tr>
      <w:tr w:rsidR="00A0481C" w:rsidRPr="006432CB" w14:paraId="037E7F6C" w14:textId="77777777" w:rsidTr="00AA1A70">
        <w:trPr>
          <w:cantSplit/>
        </w:trPr>
        <w:tc>
          <w:tcPr>
            <w:tcW w:w="4680" w:type="dxa"/>
            <w:vAlign w:val="center"/>
          </w:tcPr>
          <w:p w14:paraId="43757A99" w14:textId="15E2D0AB" w:rsidR="00A0481C" w:rsidRPr="006432CB" w:rsidRDefault="00A0481C" w:rsidP="00E1181D">
            <w:pPr>
              <w:spacing w:after="0"/>
              <w:jc w:val="center"/>
              <w:rPr>
                <w:rFonts w:cs="Arial"/>
              </w:rPr>
            </w:pPr>
            <w:r w:rsidRPr="006432CB">
              <w:rPr>
                <w:rFonts w:cs="Arial"/>
              </w:rPr>
              <w:t>Year 1</w:t>
            </w:r>
          </w:p>
        </w:tc>
        <w:tc>
          <w:tcPr>
            <w:tcW w:w="4680" w:type="dxa"/>
            <w:vAlign w:val="center"/>
          </w:tcPr>
          <w:p w14:paraId="7CC1AF40" w14:textId="689C4F0D" w:rsidR="00A0481C" w:rsidRPr="006432CB" w:rsidRDefault="00A0481C" w:rsidP="00AA1A70">
            <w:pPr>
              <w:spacing w:after="0"/>
              <w:jc w:val="center"/>
              <w:rPr>
                <w:rFonts w:cs="Arial"/>
              </w:rPr>
            </w:pPr>
            <w:r w:rsidRPr="006432CB">
              <w:rPr>
                <w:rFonts w:cs="Arial"/>
              </w:rPr>
              <w:t>$300,000</w:t>
            </w:r>
            <w:r w:rsidRPr="006432CB">
              <w:rPr>
                <w:rFonts w:cs="Arial"/>
                <w:vertAlign w:val="superscript"/>
              </w:rPr>
              <w:t>*</w:t>
            </w:r>
          </w:p>
        </w:tc>
      </w:tr>
      <w:tr w:rsidR="00A0481C" w:rsidRPr="006432CB" w14:paraId="45172DA0" w14:textId="77777777" w:rsidTr="00AA1A70">
        <w:trPr>
          <w:cantSplit/>
        </w:trPr>
        <w:tc>
          <w:tcPr>
            <w:tcW w:w="4680" w:type="dxa"/>
            <w:vAlign w:val="center"/>
          </w:tcPr>
          <w:p w14:paraId="6ABA7BBA" w14:textId="48FEB8DC" w:rsidR="00A0481C" w:rsidRPr="006432CB" w:rsidRDefault="00A0481C" w:rsidP="00E1181D">
            <w:pPr>
              <w:spacing w:after="0"/>
              <w:jc w:val="center"/>
              <w:rPr>
                <w:rFonts w:cs="Arial"/>
              </w:rPr>
            </w:pPr>
            <w:r w:rsidRPr="006432CB">
              <w:rPr>
                <w:rFonts w:cs="Arial"/>
              </w:rPr>
              <w:t>Year 2</w:t>
            </w:r>
          </w:p>
        </w:tc>
        <w:tc>
          <w:tcPr>
            <w:tcW w:w="4680" w:type="dxa"/>
            <w:vAlign w:val="center"/>
          </w:tcPr>
          <w:p w14:paraId="448B7F50" w14:textId="20A5D1A3" w:rsidR="00A0481C" w:rsidRPr="006432CB" w:rsidRDefault="00A0481C" w:rsidP="00AA1A70">
            <w:pPr>
              <w:spacing w:after="0"/>
              <w:jc w:val="center"/>
              <w:rPr>
                <w:rFonts w:cs="Arial"/>
              </w:rPr>
            </w:pPr>
            <w:r w:rsidRPr="006432CB">
              <w:rPr>
                <w:rFonts w:cs="Arial"/>
              </w:rPr>
              <w:t>$300,000</w:t>
            </w:r>
          </w:p>
        </w:tc>
      </w:tr>
      <w:tr w:rsidR="00A0481C" w:rsidRPr="006432CB" w14:paraId="5BB926CF" w14:textId="77777777" w:rsidTr="00AA1A70">
        <w:trPr>
          <w:cantSplit/>
        </w:trPr>
        <w:tc>
          <w:tcPr>
            <w:tcW w:w="4680" w:type="dxa"/>
            <w:vAlign w:val="center"/>
          </w:tcPr>
          <w:p w14:paraId="158EDF4F" w14:textId="396BE399" w:rsidR="00A0481C" w:rsidRPr="006432CB" w:rsidRDefault="00A0481C" w:rsidP="00E1181D">
            <w:pPr>
              <w:spacing w:after="0"/>
              <w:jc w:val="center"/>
              <w:rPr>
                <w:rFonts w:cs="Arial"/>
              </w:rPr>
            </w:pPr>
            <w:r w:rsidRPr="006432CB">
              <w:rPr>
                <w:rFonts w:cs="Arial"/>
              </w:rPr>
              <w:t>Year 3</w:t>
            </w:r>
          </w:p>
        </w:tc>
        <w:tc>
          <w:tcPr>
            <w:tcW w:w="4680" w:type="dxa"/>
            <w:vAlign w:val="center"/>
          </w:tcPr>
          <w:p w14:paraId="647FB885" w14:textId="76F35032" w:rsidR="00A0481C" w:rsidRPr="006432CB" w:rsidRDefault="00A0481C" w:rsidP="00AA1A70">
            <w:pPr>
              <w:spacing w:after="0"/>
              <w:jc w:val="center"/>
              <w:rPr>
                <w:rFonts w:cs="Arial"/>
              </w:rPr>
            </w:pPr>
            <w:r w:rsidRPr="006432CB">
              <w:rPr>
                <w:rFonts w:cs="Arial"/>
              </w:rPr>
              <w:t>$200,000</w:t>
            </w:r>
          </w:p>
        </w:tc>
      </w:tr>
      <w:tr w:rsidR="00A0481C" w:rsidRPr="006432CB" w14:paraId="1AFC610D" w14:textId="77777777" w:rsidTr="00AA1A70">
        <w:trPr>
          <w:cantSplit/>
        </w:trPr>
        <w:tc>
          <w:tcPr>
            <w:tcW w:w="4680" w:type="dxa"/>
            <w:vAlign w:val="center"/>
          </w:tcPr>
          <w:p w14:paraId="66384A75" w14:textId="15D9D912" w:rsidR="00A0481C" w:rsidRPr="006432CB" w:rsidRDefault="00A0481C" w:rsidP="00E1181D">
            <w:pPr>
              <w:spacing w:after="0"/>
              <w:jc w:val="center"/>
              <w:rPr>
                <w:rFonts w:cs="Arial"/>
                <w:b/>
                <w:bCs/>
              </w:rPr>
            </w:pPr>
            <w:r w:rsidRPr="006432CB">
              <w:rPr>
                <w:rFonts w:cs="Arial"/>
                <w:b/>
                <w:bCs/>
              </w:rPr>
              <w:t>Maximum Subgrant Base Award</w:t>
            </w:r>
          </w:p>
        </w:tc>
        <w:tc>
          <w:tcPr>
            <w:tcW w:w="4680" w:type="dxa"/>
            <w:vAlign w:val="center"/>
          </w:tcPr>
          <w:p w14:paraId="188D689C" w14:textId="2F94A95A" w:rsidR="00A0481C" w:rsidRPr="006432CB" w:rsidRDefault="00A0481C" w:rsidP="00AA1A70">
            <w:pPr>
              <w:spacing w:after="0"/>
              <w:jc w:val="center"/>
              <w:rPr>
                <w:rFonts w:cs="Arial"/>
                <w:b/>
                <w:bCs/>
              </w:rPr>
            </w:pPr>
            <w:r w:rsidRPr="006432CB">
              <w:rPr>
                <w:rFonts w:cs="Arial"/>
                <w:b/>
                <w:bCs/>
              </w:rPr>
              <w:t>$800,000</w:t>
            </w:r>
            <w:r w:rsidRPr="006432CB">
              <w:rPr>
                <w:rFonts w:cs="Arial"/>
                <w:b/>
                <w:bCs/>
                <w:vertAlign w:val="superscript"/>
              </w:rPr>
              <w:t>**</w:t>
            </w:r>
          </w:p>
        </w:tc>
      </w:tr>
    </w:tbl>
    <w:p w14:paraId="7B0659F2" w14:textId="3F05B5AD" w:rsidR="00831CFC" w:rsidRPr="006432CB" w:rsidRDefault="00831CFC" w:rsidP="00467D46">
      <w:pPr>
        <w:spacing w:before="240"/>
      </w:pPr>
      <w:r w:rsidRPr="006432CB">
        <w:rPr>
          <w:vertAlign w:val="superscript"/>
        </w:rPr>
        <w:t>*</w:t>
      </w:r>
      <w:r w:rsidR="00DA76E7" w:rsidRPr="006432CB">
        <w:rPr>
          <w:vertAlign w:val="superscript"/>
        </w:rPr>
        <w:t xml:space="preserve"> </w:t>
      </w:r>
      <w:r w:rsidRPr="006432CB">
        <w:t>Planning phase maximum.</w:t>
      </w:r>
    </w:p>
    <w:p w14:paraId="37AE768E" w14:textId="56C55067" w:rsidR="00E13119" w:rsidRPr="006432CB" w:rsidRDefault="00E320B3">
      <w:r w:rsidRPr="006432CB">
        <w:rPr>
          <w:vertAlign w:val="superscript"/>
        </w:rPr>
        <w:t>**</w:t>
      </w:r>
      <w:r w:rsidR="00DA76E7" w:rsidRPr="006432CB">
        <w:rPr>
          <w:vertAlign w:val="superscript"/>
        </w:rPr>
        <w:t xml:space="preserve"> </w:t>
      </w:r>
      <w:r w:rsidRPr="006432CB">
        <w:t xml:space="preserve">The CDE notes the recommended $800,000 base award is increased from the </w:t>
      </w:r>
      <w:r w:rsidR="00A83CC2" w:rsidRPr="006432CB">
        <w:t xml:space="preserve">current </w:t>
      </w:r>
      <w:r w:rsidRPr="006432CB">
        <w:t xml:space="preserve">grant cycle’s $600,000 base award to reflect the higher costs of </w:t>
      </w:r>
      <w:r w:rsidR="00134213">
        <w:t xml:space="preserve">planning, establishing, and </w:t>
      </w:r>
      <w:r w:rsidRPr="006432CB">
        <w:t xml:space="preserve">operating a </w:t>
      </w:r>
      <w:r w:rsidR="00A83CC2" w:rsidRPr="006432CB">
        <w:t xml:space="preserve">charter </w:t>
      </w:r>
      <w:r w:rsidRPr="006432CB">
        <w:t>school in 2024.</w:t>
      </w:r>
    </w:p>
    <w:p w14:paraId="5094089B" w14:textId="498F68D0" w:rsidR="00BB1242" w:rsidRPr="006432CB" w:rsidRDefault="00DD7FD7" w:rsidP="00AA1A70">
      <w:pPr>
        <w:pStyle w:val="TableHeading"/>
      </w:pPr>
      <w:r w:rsidRPr="006432CB">
        <w:t xml:space="preserve">Table </w:t>
      </w:r>
      <w:r w:rsidR="00B17B3B" w:rsidRPr="006432CB">
        <w:t>2</w:t>
      </w:r>
      <w:r w:rsidRPr="006432CB">
        <w:t xml:space="preserve">. </w:t>
      </w:r>
      <w:r w:rsidR="00BB1242" w:rsidRPr="006432CB">
        <w:t>Expanding Cha</w:t>
      </w:r>
      <w:r w:rsidR="00914854" w:rsidRPr="006432CB">
        <w:t>r</w:t>
      </w:r>
      <w:r w:rsidR="00BB1242" w:rsidRPr="006432CB">
        <w:t xml:space="preserve">ter Schools Proposed Subgrant </w:t>
      </w:r>
      <w:r w:rsidR="00F67568" w:rsidRPr="006432CB">
        <w:t xml:space="preserve">Base </w:t>
      </w:r>
      <w:r w:rsidR="00BB1242" w:rsidRPr="006432CB">
        <w:t>Amounts</w:t>
      </w:r>
    </w:p>
    <w:tbl>
      <w:tblPr>
        <w:tblStyle w:val="TableGrid"/>
        <w:tblW w:w="9360" w:type="dxa"/>
        <w:tblLayout w:type="fixed"/>
        <w:tblLook w:val="04A0" w:firstRow="1" w:lastRow="0" w:firstColumn="1" w:lastColumn="0" w:noHBand="0" w:noVBand="1"/>
        <w:tblDescription w:val="Table 2. Expanding Charter Schools Proposed Subgrant Base Amounts"/>
      </w:tblPr>
      <w:tblGrid>
        <w:gridCol w:w="4680"/>
        <w:gridCol w:w="4680"/>
      </w:tblGrid>
      <w:tr w:rsidR="00A0481C" w:rsidRPr="006432CB" w14:paraId="7B64EB75" w14:textId="77777777" w:rsidTr="00AA1A70">
        <w:trPr>
          <w:cantSplit/>
          <w:tblHeader/>
        </w:trPr>
        <w:tc>
          <w:tcPr>
            <w:tcW w:w="4680" w:type="dxa"/>
            <w:shd w:val="clear" w:color="auto" w:fill="BFBFBF" w:themeFill="background1" w:themeFillShade="BF"/>
            <w:vAlign w:val="center"/>
          </w:tcPr>
          <w:p w14:paraId="42C788C5" w14:textId="0E1821C2" w:rsidR="00A0481C" w:rsidRPr="006432CB" w:rsidRDefault="00A0481C" w:rsidP="00851180">
            <w:pPr>
              <w:spacing w:after="0"/>
              <w:jc w:val="center"/>
              <w:rPr>
                <w:rFonts w:cs="Arial"/>
                <w:b/>
                <w:bCs/>
              </w:rPr>
            </w:pPr>
            <w:r w:rsidRPr="006432CB">
              <w:rPr>
                <w:rFonts w:cs="Arial"/>
                <w:b/>
                <w:bCs/>
              </w:rPr>
              <w:t>Year</w:t>
            </w:r>
          </w:p>
        </w:tc>
        <w:tc>
          <w:tcPr>
            <w:tcW w:w="4680" w:type="dxa"/>
            <w:shd w:val="clear" w:color="auto" w:fill="BFBFBF" w:themeFill="background1" w:themeFillShade="BF"/>
            <w:vAlign w:val="center"/>
          </w:tcPr>
          <w:p w14:paraId="7BD6BC8A" w14:textId="012BF7A5" w:rsidR="00A0481C" w:rsidRPr="006432CB" w:rsidRDefault="00A0481C" w:rsidP="00851180">
            <w:pPr>
              <w:spacing w:after="0"/>
              <w:jc w:val="center"/>
              <w:rPr>
                <w:rFonts w:cs="Arial"/>
                <w:b/>
                <w:bCs/>
              </w:rPr>
            </w:pPr>
            <w:r w:rsidRPr="006432CB">
              <w:rPr>
                <w:b/>
                <w:bCs/>
              </w:rPr>
              <w:t xml:space="preserve">Expanding Charter Schools </w:t>
            </w:r>
          </w:p>
        </w:tc>
      </w:tr>
      <w:tr w:rsidR="00A0481C" w:rsidRPr="006432CB" w14:paraId="004BBC79" w14:textId="77777777" w:rsidTr="00AA1A70">
        <w:trPr>
          <w:cantSplit/>
        </w:trPr>
        <w:tc>
          <w:tcPr>
            <w:tcW w:w="4680" w:type="dxa"/>
          </w:tcPr>
          <w:p w14:paraId="69A9D32C" w14:textId="7B073640" w:rsidR="00A0481C" w:rsidRPr="006432CB" w:rsidRDefault="00A0481C" w:rsidP="00914854">
            <w:pPr>
              <w:spacing w:after="0"/>
              <w:jc w:val="center"/>
              <w:rPr>
                <w:rFonts w:cs="Arial"/>
              </w:rPr>
            </w:pPr>
            <w:r w:rsidRPr="006432CB">
              <w:rPr>
                <w:rFonts w:cs="Arial"/>
              </w:rPr>
              <w:t>Year 1</w:t>
            </w:r>
          </w:p>
        </w:tc>
        <w:tc>
          <w:tcPr>
            <w:tcW w:w="4680" w:type="dxa"/>
            <w:vAlign w:val="center"/>
          </w:tcPr>
          <w:p w14:paraId="33173FF0" w14:textId="0BC4ADBF" w:rsidR="00A0481C" w:rsidRPr="006432CB" w:rsidRDefault="00A0481C" w:rsidP="00914854">
            <w:pPr>
              <w:spacing w:after="0"/>
              <w:jc w:val="center"/>
              <w:rPr>
                <w:rFonts w:cs="Arial"/>
              </w:rPr>
            </w:pPr>
            <w:r w:rsidRPr="006432CB">
              <w:rPr>
                <w:rFonts w:cs="Arial"/>
              </w:rPr>
              <w:t>$200,000</w:t>
            </w:r>
          </w:p>
        </w:tc>
      </w:tr>
      <w:tr w:rsidR="00A0481C" w:rsidRPr="006432CB" w14:paraId="71597C97" w14:textId="77777777" w:rsidTr="00AA1A70">
        <w:trPr>
          <w:cantSplit/>
        </w:trPr>
        <w:tc>
          <w:tcPr>
            <w:tcW w:w="4680" w:type="dxa"/>
          </w:tcPr>
          <w:p w14:paraId="748A1990" w14:textId="5EB93500" w:rsidR="00A0481C" w:rsidRPr="006432CB" w:rsidRDefault="00A0481C" w:rsidP="00914854">
            <w:pPr>
              <w:spacing w:after="0"/>
              <w:jc w:val="center"/>
              <w:rPr>
                <w:rFonts w:cs="Arial"/>
              </w:rPr>
            </w:pPr>
            <w:r w:rsidRPr="006432CB">
              <w:rPr>
                <w:rFonts w:cs="Arial"/>
              </w:rPr>
              <w:t>Year 2</w:t>
            </w:r>
          </w:p>
        </w:tc>
        <w:tc>
          <w:tcPr>
            <w:tcW w:w="4680" w:type="dxa"/>
            <w:vAlign w:val="center"/>
          </w:tcPr>
          <w:p w14:paraId="71039E93" w14:textId="066E43E0" w:rsidR="00A0481C" w:rsidRPr="006432CB" w:rsidRDefault="00A0481C" w:rsidP="00914854">
            <w:pPr>
              <w:spacing w:after="0"/>
              <w:jc w:val="center"/>
              <w:rPr>
                <w:rFonts w:cs="Arial"/>
              </w:rPr>
            </w:pPr>
            <w:r w:rsidRPr="006432CB">
              <w:rPr>
                <w:rFonts w:cs="Arial"/>
              </w:rPr>
              <w:t>$200,000</w:t>
            </w:r>
          </w:p>
        </w:tc>
      </w:tr>
      <w:tr w:rsidR="00A0481C" w:rsidRPr="006432CB" w14:paraId="5A6187E5" w14:textId="77777777" w:rsidTr="00AA1A70">
        <w:trPr>
          <w:cantSplit/>
        </w:trPr>
        <w:tc>
          <w:tcPr>
            <w:tcW w:w="4680" w:type="dxa"/>
          </w:tcPr>
          <w:p w14:paraId="110DA259" w14:textId="023335AB" w:rsidR="00A0481C" w:rsidRPr="006432CB" w:rsidRDefault="00A0481C" w:rsidP="00914854">
            <w:pPr>
              <w:spacing w:after="0"/>
              <w:jc w:val="center"/>
              <w:rPr>
                <w:rFonts w:cs="Arial"/>
              </w:rPr>
            </w:pPr>
            <w:r w:rsidRPr="006432CB">
              <w:rPr>
                <w:rFonts w:cs="Arial"/>
              </w:rPr>
              <w:t>Year 3</w:t>
            </w:r>
          </w:p>
        </w:tc>
        <w:tc>
          <w:tcPr>
            <w:tcW w:w="4680" w:type="dxa"/>
            <w:vAlign w:val="center"/>
          </w:tcPr>
          <w:p w14:paraId="5319DC9D" w14:textId="18BAA49D" w:rsidR="00A0481C" w:rsidRPr="006432CB" w:rsidRDefault="00A0481C" w:rsidP="00914854">
            <w:pPr>
              <w:spacing w:after="0"/>
              <w:jc w:val="center"/>
              <w:rPr>
                <w:rFonts w:cs="Arial"/>
              </w:rPr>
            </w:pPr>
            <w:r w:rsidRPr="006432CB">
              <w:rPr>
                <w:rFonts w:cs="Arial"/>
              </w:rPr>
              <w:t>$100,000</w:t>
            </w:r>
          </w:p>
        </w:tc>
      </w:tr>
      <w:tr w:rsidR="00A0481C" w:rsidRPr="006432CB" w14:paraId="53A0C37C" w14:textId="77777777" w:rsidTr="00AA1A70">
        <w:trPr>
          <w:cantSplit/>
        </w:trPr>
        <w:tc>
          <w:tcPr>
            <w:tcW w:w="4680" w:type="dxa"/>
          </w:tcPr>
          <w:p w14:paraId="43642F72" w14:textId="04A87253" w:rsidR="00A0481C" w:rsidRPr="006432CB" w:rsidRDefault="00A0481C" w:rsidP="00914854">
            <w:pPr>
              <w:spacing w:after="0"/>
              <w:jc w:val="center"/>
              <w:rPr>
                <w:rFonts w:cs="Arial"/>
                <w:b/>
                <w:bCs/>
              </w:rPr>
            </w:pPr>
            <w:r w:rsidRPr="006432CB">
              <w:rPr>
                <w:rFonts w:cs="Arial"/>
                <w:b/>
                <w:bCs/>
              </w:rPr>
              <w:t>Maximum Subgrant Base Award</w:t>
            </w:r>
          </w:p>
        </w:tc>
        <w:tc>
          <w:tcPr>
            <w:tcW w:w="4680" w:type="dxa"/>
            <w:vAlign w:val="center"/>
          </w:tcPr>
          <w:p w14:paraId="757CEEC5" w14:textId="2EB7B1EA" w:rsidR="00A0481C" w:rsidRPr="006432CB" w:rsidRDefault="00A0481C" w:rsidP="00914854">
            <w:pPr>
              <w:spacing w:after="0"/>
              <w:jc w:val="center"/>
              <w:rPr>
                <w:rFonts w:cs="Arial"/>
                <w:b/>
                <w:bCs/>
              </w:rPr>
            </w:pPr>
            <w:r w:rsidRPr="006432CB">
              <w:rPr>
                <w:rFonts w:cs="Arial"/>
                <w:b/>
                <w:bCs/>
              </w:rPr>
              <w:t>$500,000</w:t>
            </w:r>
          </w:p>
        </w:tc>
      </w:tr>
    </w:tbl>
    <w:p w14:paraId="5B6DF25F" w14:textId="2A4AA37F" w:rsidR="00C17978" w:rsidRPr="00C17978" w:rsidRDefault="00C17978" w:rsidP="002D37B7">
      <w:pPr>
        <w:pStyle w:val="Heading4"/>
      </w:pPr>
      <w:r w:rsidRPr="006432CB">
        <w:t>Su</w:t>
      </w:r>
      <w:r>
        <w:t>pplemental Funding</w:t>
      </w:r>
    </w:p>
    <w:p w14:paraId="643FD6F4" w14:textId="245E9459" w:rsidR="0056750C" w:rsidRPr="006432CB" w:rsidRDefault="007B1098" w:rsidP="00AC14B2">
      <w:pPr>
        <w:spacing w:before="240"/>
        <w:rPr>
          <w:rFonts w:cs="Arial"/>
        </w:rPr>
      </w:pPr>
      <w:r w:rsidRPr="006432CB">
        <w:rPr>
          <w:rFonts w:cs="Arial"/>
        </w:rPr>
        <w:t xml:space="preserve">The 2024 grant proposes to expand supplemental funding based on </w:t>
      </w:r>
      <w:r w:rsidR="0056750C" w:rsidRPr="006432CB">
        <w:rPr>
          <w:rFonts w:cs="Arial"/>
        </w:rPr>
        <w:t>the charter school applicant meeting specified criteria. The criteria are based the following</w:t>
      </w:r>
      <w:r w:rsidR="00486641" w:rsidRPr="006432CB">
        <w:rPr>
          <w:rFonts w:cs="Arial"/>
        </w:rPr>
        <w:t xml:space="preserve"> considerations</w:t>
      </w:r>
      <w:r w:rsidR="0056750C" w:rsidRPr="006432CB">
        <w:rPr>
          <w:rFonts w:cs="Arial"/>
        </w:rPr>
        <w:t>:</w:t>
      </w:r>
    </w:p>
    <w:p w14:paraId="45C6BA54" w14:textId="733373E9" w:rsidR="0056750C" w:rsidRPr="006432CB" w:rsidRDefault="0056750C" w:rsidP="00777A21">
      <w:pPr>
        <w:pStyle w:val="ListParagraph"/>
        <w:numPr>
          <w:ilvl w:val="0"/>
          <w:numId w:val="37"/>
        </w:numPr>
        <w:spacing w:before="240"/>
        <w:ind w:left="792"/>
        <w:contextualSpacing w:val="0"/>
        <w:rPr>
          <w:rFonts w:cs="Arial"/>
        </w:rPr>
      </w:pPr>
      <w:r w:rsidRPr="006432CB">
        <w:rPr>
          <w:rFonts w:cs="Arial"/>
        </w:rPr>
        <w:t xml:space="preserve">Encourage the use of different and innovative teaching methods pursuant to </w:t>
      </w:r>
      <w:r w:rsidRPr="006432CB">
        <w:rPr>
          <w:rFonts w:cs="Arial"/>
          <w:i/>
          <w:iCs/>
        </w:rPr>
        <w:t>EC</w:t>
      </w:r>
      <w:r w:rsidRPr="006432CB">
        <w:rPr>
          <w:rFonts w:cs="Arial"/>
        </w:rPr>
        <w:t xml:space="preserve"> Section 47601(c).</w:t>
      </w:r>
    </w:p>
    <w:p w14:paraId="543BE7FA" w14:textId="07E8CDD8" w:rsidR="0056750C" w:rsidRPr="006432CB" w:rsidRDefault="0056750C" w:rsidP="00777A21">
      <w:pPr>
        <w:pStyle w:val="ListParagraph"/>
        <w:numPr>
          <w:ilvl w:val="0"/>
          <w:numId w:val="37"/>
        </w:numPr>
        <w:spacing w:before="240"/>
        <w:ind w:left="792"/>
        <w:contextualSpacing w:val="0"/>
        <w:rPr>
          <w:rFonts w:cs="Arial"/>
        </w:rPr>
      </w:pPr>
      <w:r w:rsidRPr="006432CB">
        <w:rPr>
          <w:rFonts w:cs="Arial"/>
        </w:rPr>
        <w:lastRenderedPageBreak/>
        <w:t>Provide parents/guardians and their students with expanded choices in the types of educational opportunities th</w:t>
      </w:r>
      <w:r w:rsidR="00C17978">
        <w:rPr>
          <w:rFonts w:cs="Arial"/>
        </w:rPr>
        <w:t>at</w:t>
      </w:r>
      <w:r w:rsidRPr="006432CB">
        <w:rPr>
          <w:rFonts w:cs="Arial"/>
        </w:rPr>
        <w:t xml:space="preserve"> are available within the public school system pursuant to </w:t>
      </w:r>
      <w:r w:rsidRPr="006432CB">
        <w:rPr>
          <w:rFonts w:cs="Arial"/>
          <w:i/>
          <w:iCs/>
        </w:rPr>
        <w:t xml:space="preserve">EC </w:t>
      </w:r>
      <w:r w:rsidRPr="006432CB">
        <w:rPr>
          <w:rFonts w:cs="Arial"/>
        </w:rPr>
        <w:t>Section 47601(e).</w:t>
      </w:r>
    </w:p>
    <w:p w14:paraId="710EFA87" w14:textId="1807D148" w:rsidR="0056750C" w:rsidRPr="006432CB" w:rsidRDefault="00134213" w:rsidP="00777A21">
      <w:pPr>
        <w:pStyle w:val="ListParagraph"/>
        <w:numPr>
          <w:ilvl w:val="0"/>
          <w:numId w:val="37"/>
        </w:numPr>
        <w:spacing w:before="240"/>
        <w:ind w:left="792"/>
        <w:contextualSpacing w:val="0"/>
        <w:rPr>
          <w:rFonts w:cs="Arial"/>
        </w:rPr>
      </w:pPr>
      <w:r>
        <w:rPr>
          <w:rFonts w:cs="Arial"/>
        </w:rPr>
        <w:t xml:space="preserve">Provide additional </w:t>
      </w:r>
      <w:r w:rsidR="00F06D24">
        <w:rPr>
          <w:rFonts w:cs="Arial"/>
        </w:rPr>
        <w:t>support</w:t>
      </w:r>
      <w:r>
        <w:rPr>
          <w:rFonts w:cs="Arial"/>
        </w:rPr>
        <w:t xml:space="preserve"> for</w:t>
      </w:r>
      <w:r w:rsidRPr="006432CB">
        <w:rPr>
          <w:rFonts w:cs="Arial"/>
        </w:rPr>
        <w:t xml:space="preserve"> </w:t>
      </w:r>
      <w:r w:rsidR="00486641" w:rsidRPr="006432CB">
        <w:rPr>
          <w:rFonts w:cs="Arial"/>
        </w:rPr>
        <w:t>high-cost areas of charter school operations.</w:t>
      </w:r>
    </w:p>
    <w:p w14:paraId="223A057E" w14:textId="53565419" w:rsidR="009B2A39" w:rsidRPr="006432CB" w:rsidRDefault="0056750C" w:rsidP="00AC14B2">
      <w:pPr>
        <w:spacing w:before="240"/>
        <w:rPr>
          <w:rFonts w:cs="Arial"/>
        </w:rPr>
      </w:pPr>
      <w:r w:rsidRPr="006432CB">
        <w:rPr>
          <w:rFonts w:cs="Arial"/>
        </w:rPr>
        <w:t xml:space="preserve">The </w:t>
      </w:r>
      <w:r w:rsidR="00486641" w:rsidRPr="006432CB">
        <w:rPr>
          <w:rFonts w:cs="Arial"/>
        </w:rPr>
        <w:t xml:space="preserve">CDE recommends the </w:t>
      </w:r>
      <w:r w:rsidR="002456FA" w:rsidRPr="006432CB">
        <w:rPr>
          <w:rFonts w:cs="Arial"/>
        </w:rPr>
        <w:t>S</w:t>
      </w:r>
      <w:r w:rsidR="009B2A39" w:rsidRPr="006432CB">
        <w:rPr>
          <w:rFonts w:cs="Arial"/>
        </w:rPr>
        <w:t xml:space="preserve">upplemental </w:t>
      </w:r>
      <w:r w:rsidR="00486641" w:rsidRPr="006432CB">
        <w:rPr>
          <w:rFonts w:cs="Arial"/>
        </w:rPr>
        <w:t>F</w:t>
      </w:r>
      <w:r w:rsidR="009B2A39" w:rsidRPr="006432CB">
        <w:rPr>
          <w:rFonts w:cs="Arial"/>
        </w:rPr>
        <w:t>unding</w:t>
      </w:r>
      <w:r w:rsidR="00486641" w:rsidRPr="006432CB">
        <w:rPr>
          <w:rFonts w:cs="Arial"/>
        </w:rPr>
        <w:t xml:space="preserve"> amounts</w:t>
      </w:r>
      <w:r w:rsidR="009B2A39" w:rsidRPr="006432CB">
        <w:rPr>
          <w:rFonts w:cs="Arial"/>
        </w:rPr>
        <w:t xml:space="preserve"> to </w:t>
      </w:r>
      <w:r w:rsidR="00486641" w:rsidRPr="006432CB">
        <w:rPr>
          <w:rFonts w:cs="Arial"/>
        </w:rPr>
        <w:t xml:space="preserve">charter school </w:t>
      </w:r>
      <w:r w:rsidR="009B2A39" w:rsidRPr="006432CB">
        <w:rPr>
          <w:rFonts w:cs="Arial"/>
        </w:rPr>
        <w:t xml:space="preserve">applicants </w:t>
      </w:r>
      <w:r w:rsidR="007F2ACD" w:rsidRPr="006432CB">
        <w:rPr>
          <w:rFonts w:cs="Arial"/>
        </w:rPr>
        <w:t>that</w:t>
      </w:r>
      <w:r w:rsidR="009B2A39" w:rsidRPr="006432CB">
        <w:rPr>
          <w:rFonts w:cs="Arial"/>
        </w:rPr>
        <w:t xml:space="preserve"> meet the following </w:t>
      </w:r>
      <w:r w:rsidRPr="006432CB">
        <w:rPr>
          <w:rFonts w:cs="Arial"/>
        </w:rPr>
        <w:t>criteria</w:t>
      </w:r>
      <w:r w:rsidR="009B2A39" w:rsidRPr="006432CB">
        <w:rPr>
          <w:rFonts w:cs="Arial"/>
        </w:rPr>
        <w:t>:</w:t>
      </w:r>
    </w:p>
    <w:p w14:paraId="11B8333E" w14:textId="45FE93C0" w:rsidR="00852AE4" w:rsidRPr="006432CB" w:rsidRDefault="00996049" w:rsidP="00AA1A70">
      <w:pPr>
        <w:pStyle w:val="TableHeading"/>
      </w:pPr>
      <w:r w:rsidRPr="006432CB">
        <w:t xml:space="preserve">Table </w:t>
      </w:r>
      <w:r w:rsidR="00B17B3B" w:rsidRPr="006432CB">
        <w:t>3</w:t>
      </w:r>
      <w:r w:rsidRPr="006432CB">
        <w:t xml:space="preserve">. </w:t>
      </w:r>
      <w:r w:rsidR="00F67568" w:rsidRPr="006432CB">
        <w:t xml:space="preserve">Proposed </w:t>
      </w:r>
      <w:r w:rsidR="00852AE4" w:rsidRPr="006432CB">
        <w:t>Supplemental Funding Amounts</w:t>
      </w:r>
    </w:p>
    <w:tbl>
      <w:tblPr>
        <w:tblStyle w:val="TableGrid"/>
        <w:tblW w:w="9360" w:type="dxa"/>
        <w:tblLook w:val="04A0" w:firstRow="1" w:lastRow="0" w:firstColumn="1" w:lastColumn="0" w:noHBand="0" w:noVBand="1"/>
        <w:tblDescription w:val="Table 3. Proposed Supplemental Funding Amounts"/>
      </w:tblPr>
      <w:tblGrid>
        <w:gridCol w:w="2206"/>
        <w:gridCol w:w="3399"/>
        <w:gridCol w:w="2137"/>
        <w:gridCol w:w="1618"/>
      </w:tblGrid>
      <w:tr w:rsidR="00467D46" w:rsidRPr="006432CB" w14:paraId="71BB8453" w14:textId="77777777" w:rsidTr="00692CCA">
        <w:trPr>
          <w:cantSplit/>
          <w:tblHeader/>
        </w:trPr>
        <w:tc>
          <w:tcPr>
            <w:tcW w:w="2206" w:type="dxa"/>
            <w:shd w:val="clear" w:color="auto" w:fill="BFBFBF" w:themeFill="background1" w:themeFillShade="BF"/>
            <w:vAlign w:val="center"/>
          </w:tcPr>
          <w:p w14:paraId="4A208AC5" w14:textId="077BBC9A" w:rsidR="00852AE4" w:rsidRPr="006432CB" w:rsidRDefault="0056750C" w:rsidP="007F2ACD">
            <w:pPr>
              <w:spacing w:after="0"/>
              <w:jc w:val="center"/>
              <w:rPr>
                <w:rFonts w:cs="Arial"/>
                <w:b/>
                <w:bCs/>
              </w:rPr>
            </w:pPr>
            <w:r w:rsidRPr="006432CB">
              <w:rPr>
                <w:rFonts w:cs="Arial"/>
                <w:b/>
                <w:bCs/>
              </w:rPr>
              <w:t>Criteria</w:t>
            </w:r>
          </w:p>
        </w:tc>
        <w:tc>
          <w:tcPr>
            <w:tcW w:w="3399" w:type="dxa"/>
            <w:shd w:val="clear" w:color="auto" w:fill="BFBFBF" w:themeFill="background1" w:themeFillShade="BF"/>
            <w:vAlign w:val="center"/>
          </w:tcPr>
          <w:p w14:paraId="5D788201" w14:textId="1417D710" w:rsidR="00852AE4" w:rsidRPr="006432CB" w:rsidRDefault="007F2ACD" w:rsidP="007F2ACD">
            <w:pPr>
              <w:spacing w:after="0"/>
              <w:jc w:val="center"/>
              <w:rPr>
                <w:rFonts w:cs="Arial"/>
                <w:b/>
                <w:bCs/>
              </w:rPr>
            </w:pPr>
            <w:r w:rsidRPr="006432CB">
              <w:rPr>
                <w:rFonts w:cs="Arial"/>
                <w:b/>
                <w:bCs/>
              </w:rPr>
              <w:t>During the Term of the Subgrant</w:t>
            </w:r>
          </w:p>
        </w:tc>
        <w:tc>
          <w:tcPr>
            <w:tcW w:w="2137" w:type="dxa"/>
            <w:shd w:val="clear" w:color="auto" w:fill="BFBFBF" w:themeFill="background1" w:themeFillShade="BF"/>
            <w:vAlign w:val="center"/>
          </w:tcPr>
          <w:p w14:paraId="7320436A" w14:textId="6DCCBB4C" w:rsidR="00852AE4" w:rsidRPr="006432CB" w:rsidRDefault="00BF3D64" w:rsidP="007F2ACD">
            <w:pPr>
              <w:spacing w:after="0"/>
              <w:jc w:val="center"/>
              <w:rPr>
                <w:rFonts w:cs="Arial"/>
                <w:b/>
                <w:bCs/>
              </w:rPr>
            </w:pPr>
            <w:r w:rsidRPr="006432CB">
              <w:rPr>
                <w:rFonts w:cs="Arial"/>
                <w:b/>
                <w:bCs/>
              </w:rPr>
              <w:t>Implementation and Replication Subgrants</w:t>
            </w:r>
          </w:p>
        </w:tc>
        <w:tc>
          <w:tcPr>
            <w:tcW w:w="1618" w:type="dxa"/>
            <w:shd w:val="clear" w:color="auto" w:fill="BFBFBF" w:themeFill="background1" w:themeFillShade="BF"/>
            <w:vAlign w:val="center"/>
          </w:tcPr>
          <w:p w14:paraId="37C73EA8" w14:textId="448FECDC" w:rsidR="00852AE4" w:rsidRPr="006432CB" w:rsidRDefault="007F2ACD" w:rsidP="007F2ACD">
            <w:pPr>
              <w:spacing w:after="0"/>
              <w:jc w:val="center"/>
              <w:rPr>
                <w:rFonts w:cs="Arial"/>
                <w:b/>
                <w:bCs/>
              </w:rPr>
            </w:pPr>
            <w:r w:rsidRPr="006432CB">
              <w:rPr>
                <w:rFonts w:cs="Arial"/>
                <w:b/>
                <w:bCs/>
              </w:rPr>
              <w:t>Expansion</w:t>
            </w:r>
            <w:r w:rsidR="00BF3D64" w:rsidRPr="006432CB">
              <w:rPr>
                <w:rFonts w:cs="Arial"/>
                <w:b/>
                <w:bCs/>
              </w:rPr>
              <w:t xml:space="preserve"> Subgrants</w:t>
            </w:r>
          </w:p>
        </w:tc>
      </w:tr>
      <w:tr w:rsidR="00467D46" w:rsidRPr="006432CB" w14:paraId="047F17DD" w14:textId="77777777" w:rsidTr="00692CCA">
        <w:trPr>
          <w:cantSplit/>
        </w:trPr>
        <w:tc>
          <w:tcPr>
            <w:tcW w:w="2206" w:type="dxa"/>
          </w:tcPr>
          <w:p w14:paraId="41D0676D" w14:textId="5DD69148" w:rsidR="00852AE4" w:rsidRPr="006432CB" w:rsidRDefault="0049232A" w:rsidP="002456FA">
            <w:pPr>
              <w:spacing w:after="0"/>
              <w:jc w:val="center"/>
              <w:rPr>
                <w:rFonts w:cs="Arial"/>
              </w:rPr>
            </w:pPr>
            <w:r w:rsidRPr="006432CB">
              <w:rPr>
                <w:rFonts w:cs="Arial"/>
              </w:rPr>
              <w:t>Students with Disabilities</w:t>
            </w:r>
          </w:p>
        </w:tc>
        <w:tc>
          <w:tcPr>
            <w:tcW w:w="3399" w:type="dxa"/>
          </w:tcPr>
          <w:p w14:paraId="731CA36D" w14:textId="51C7D2B8" w:rsidR="00852AE4" w:rsidRPr="006432CB" w:rsidRDefault="00852AE4" w:rsidP="00AC14B2">
            <w:pPr>
              <w:spacing w:after="0"/>
              <w:rPr>
                <w:rFonts w:cs="Arial"/>
              </w:rPr>
            </w:pPr>
            <w:r w:rsidRPr="006432CB">
              <w:t xml:space="preserve">The charter school </w:t>
            </w:r>
            <w:r w:rsidR="003C630D" w:rsidRPr="006432CB">
              <w:t xml:space="preserve">meets or exceeds </w:t>
            </w:r>
            <w:r w:rsidRPr="006432CB">
              <w:t xml:space="preserve">the district in which the </w:t>
            </w:r>
            <w:r w:rsidR="0056750C" w:rsidRPr="006432CB">
              <w:t xml:space="preserve">charter </w:t>
            </w:r>
            <w:r w:rsidRPr="006432CB">
              <w:t>school is physically located</w:t>
            </w:r>
            <w:r w:rsidR="003C630D" w:rsidRPr="006432CB">
              <w:t xml:space="preserve"> or the state on the percentage of enrollment and academic performance of students with disabilities.</w:t>
            </w:r>
          </w:p>
        </w:tc>
        <w:tc>
          <w:tcPr>
            <w:tcW w:w="2137" w:type="dxa"/>
          </w:tcPr>
          <w:p w14:paraId="2CB67CD7" w14:textId="7C2D3951" w:rsidR="00852AE4" w:rsidRPr="006432CB" w:rsidRDefault="00692CCA" w:rsidP="007F2ACD">
            <w:pPr>
              <w:spacing w:after="0"/>
              <w:jc w:val="center"/>
              <w:rPr>
                <w:rFonts w:cs="Arial"/>
              </w:rPr>
            </w:pPr>
            <w:r w:rsidRPr="006432CB">
              <w:rPr>
                <w:rFonts w:cs="Arial"/>
              </w:rPr>
              <w:t>$200,000</w:t>
            </w:r>
          </w:p>
        </w:tc>
        <w:tc>
          <w:tcPr>
            <w:tcW w:w="1618" w:type="dxa"/>
          </w:tcPr>
          <w:p w14:paraId="6FE021D7" w14:textId="5D3DAFD8" w:rsidR="00692CCA" w:rsidRPr="006432CB" w:rsidRDefault="00692CCA" w:rsidP="007F2ACD">
            <w:pPr>
              <w:spacing w:after="0"/>
              <w:jc w:val="center"/>
              <w:rPr>
                <w:rFonts w:cs="Arial"/>
              </w:rPr>
            </w:pPr>
            <w:r w:rsidRPr="006432CB">
              <w:rPr>
                <w:rFonts w:cs="Arial"/>
              </w:rPr>
              <w:t>$100,000</w:t>
            </w:r>
          </w:p>
        </w:tc>
      </w:tr>
      <w:tr w:rsidR="00F05112" w:rsidRPr="006432CB" w14:paraId="11080898" w14:textId="77777777" w:rsidTr="00692CCA">
        <w:trPr>
          <w:cantSplit/>
        </w:trPr>
        <w:tc>
          <w:tcPr>
            <w:tcW w:w="2206" w:type="dxa"/>
          </w:tcPr>
          <w:p w14:paraId="169A0DBB" w14:textId="1BC0B2F0" w:rsidR="00F05112" w:rsidRPr="006432CB" w:rsidRDefault="00F05112" w:rsidP="00F05112">
            <w:pPr>
              <w:spacing w:after="0"/>
              <w:jc w:val="center"/>
              <w:rPr>
                <w:rFonts w:cs="Arial"/>
              </w:rPr>
            </w:pPr>
            <w:r w:rsidRPr="006432CB">
              <w:rPr>
                <w:rFonts w:cs="Arial"/>
              </w:rPr>
              <w:t>English Learners</w:t>
            </w:r>
          </w:p>
        </w:tc>
        <w:tc>
          <w:tcPr>
            <w:tcW w:w="3399" w:type="dxa"/>
          </w:tcPr>
          <w:p w14:paraId="2F0D7BA0" w14:textId="0BFDDDFC" w:rsidR="00F05112" w:rsidRPr="006432CB" w:rsidRDefault="00F05112" w:rsidP="00F05112">
            <w:pPr>
              <w:spacing w:after="0"/>
            </w:pPr>
            <w:r w:rsidRPr="006432CB">
              <w:t>The charter school meets or exceeds the district in which the charter school is physically located or the state on the percentage of enrollment and academic performance of English Learner students.</w:t>
            </w:r>
          </w:p>
        </w:tc>
        <w:tc>
          <w:tcPr>
            <w:tcW w:w="2137" w:type="dxa"/>
          </w:tcPr>
          <w:p w14:paraId="334C87E9" w14:textId="715B3A19" w:rsidR="00F05112" w:rsidRPr="006432CB" w:rsidRDefault="00F05112" w:rsidP="00F05112">
            <w:pPr>
              <w:spacing w:after="0"/>
              <w:jc w:val="center"/>
              <w:rPr>
                <w:rFonts w:cs="Arial"/>
              </w:rPr>
            </w:pPr>
            <w:r w:rsidRPr="006432CB">
              <w:rPr>
                <w:rFonts w:cs="Arial"/>
              </w:rPr>
              <w:t>$200,000</w:t>
            </w:r>
          </w:p>
        </w:tc>
        <w:tc>
          <w:tcPr>
            <w:tcW w:w="1618" w:type="dxa"/>
          </w:tcPr>
          <w:p w14:paraId="1A06C6DF" w14:textId="0C0B19EE" w:rsidR="00F05112" w:rsidRPr="006432CB" w:rsidRDefault="00F05112" w:rsidP="00F05112">
            <w:pPr>
              <w:spacing w:after="0"/>
              <w:jc w:val="center"/>
              <w:rPr>
                <w:rFonts w:cs="Arial"/>
              </w:rPr>
            </w:pPr>
            <w:r w:rsidRPr="006432CB">
              <w:rPr>
                <w:rFonts w:cs="Arial"/>
              </w:rPr>
              <w:t>$100,000</w:t>
            </w:r>
          </w:p>
        </w:tc>
      </w:tr>
      <w:tr w:rsidR="00F05112" w:rsidRPr="006432CB" w14:paraId="755B27AB" w14:textId="77777777" w:rsidTr="00692CCA">
        <w:trPr>
          <w:cantSplit/>
        </w:trPr>
        <w:tc>
          <w:tcPr>
            <w:tcW w:w="2206" w:type="dxa"/>
          </w:tcPr>
          <w:p w14:paraId="07EC188F" w14:textId="0D16CC5B" w:rsidR="00F05112" w:rsidRPr="006432CB" w:rsidRDefault="00F05112" w:rsidP="00F05112">
            <w:pPr>
              <w:spacing w:after="0"/>
              <w:jc w:val="center"/>
              <w:rPr>
                <w:rFonts w:cs="Arial"/>
              </w:rPr>
            </w:pPr>
            <w:r w:rsidRPr="006432CB">
              <w:rPr>
                <w:rFonts w:cs="Arial"/>
              </w:rPr>
              <w:t>Socioeconomically Disadvantaged</w:t>
            </w:r>
          </w:p>
        </w:tc>
        <w:tc>
          <w:tcPr>
            <w:tcW w:w="3399" w:type="dxa"/>
          </w:tcPr>
          <w:p w14:paraId="0776DB3A" w14:textId="3EAA82F2" w:rsidR="00F05112" w:rsidRPr="006432CB" w:rsidRDefault="00F05112" w:rsidP="00F05112">
            <w:pPr>
              <w:spacing w:after="0"/>
            </w:pPr>
            <w:r w:rsidRPr="006432CB">
              <w:t>The charter school meets or exceeds the district in which the school is physically located or the state on the percentage of enrollment and academic performance of socioeconomically disadvantaged students.</w:t>
            </w:r>
          </w:p>
        </w:tc>
        <w:tc>
          <w:tcPr>
            <w:tcW w:w="2137" w:type="dxa"/>
          </w:tcPr>
          <w:p w14:paraId="75C4F92A" w14:textId="762F5931" w:rsidR="00F05112" w:rsidRPr="006432CB" w:rsidRDefault="00F05112" w:rsidP="00F05112">
            <w:pPr>
              <w:spacing w:after="0"/>
              <w:jc w:val="center"/>
              <w:rPr>
                <w:rFonts w:cs="Arial"/>
              </w:rPr>
            </w:pPr>
            <w:r w:rsidRPr="006432CB">
              <w:rPr>
                <w:rFonts w:cs="Arial"/>
              </w:rPr>
              <w:t>$200,000</w:t>
            </w:r>
          </w:p>
        </w:tc>
        <w:tc>
          <w:tcPr>
            <w:tcW w:w="1618" w:type="dxa"/>
          </w:tcPr>
          <w:p w14:paraId="2097A9D6" w14:textId="1ED5A05B" w:rsidR="00F05112" w:rsidRPr="006432CB" w:rsidRDefault="00F05112" w:rsidP="00F05112">
            <w:pPr>
              <w:spacing w:after="0"/>
              <w:jc w:val="center"/>
              <w:rPr>
                <w:rFonts w:cs="Arial"/>
              </w:rPr>
            </w:pPr>
            <w:r w:rsidRPr="006432CB">
              <w:rPr>
                <w:rFonts w:cs="Arial"/>
              </w:rPr>
              <w:t>$100,000</w:t>
            </w:r>
          </w:p>
        </w:tc>
      </w:tr>
      <w:tr w:rsidR="00F05112" w:rsidRPr="006432CB" w14:paraId="638A51FE" w14:textId="77777777" w:rsidTr="00692CCA">
        <w:trPr>
          <w:cantSplit/>
        </w:trPr>
        <w:tc>
          <w:tcPr>
            <w:tcW w:w="2206" w:type="dxa"/>
          </w:tcPr>
          <w:p w14:paraId="21A8CF02" w14:textId="7C742B1A" w:rsidR="00F05112" w:rsidRPr="006432CB" w:rsidRDefault="00F05112" w:rsidP="00F05112">
            <w:pPr>
              <w:spacing w:after="0"/>
              <w:jc w:val="center"/>
              <w:rPr>
                <w:rFonts w:cs="Arial"/>
              </w:rPr>
            </w:pPr>
            <w:r w:rsidRPr="006432CB">
              <w:rPr>
                <w:rFonts w:cs="Arial"/>
              </w:rPr>
              <w:lastRenderedPageBreak/>
              <w:t>Career Technical Education (CTE)</w:t>
            </w:r>
          </w:p>
        </w:tc>
        <w:tc>
          <w:tcPr>
            <w:tcW w:w="3399" w:type="dxa"/>
          </w:tcPr>
          <w:p w14:paraId="641A531F" w14:textId="0FA68566" w:rsidR="00F05112" w:rsidRPr="006432CB" w:rsidRDefault="00F05112" w:rsidP="00F05112">
            <w:pPr>
              <w:spacing w:after="0"/>
            </w:pPr>
            <w:r w:rsidRPr="006432CB">
              <w:t xml:space="preserve">The charter school offers a sequence of two to three courses that align to a pathway </w:t>
            </w:r>
            <w:r w:rsidRPr="006432CB">
              <w:rPr>
                <w:rStyle w:val="ui-provider"/>
                <w:rFonts w:eastAsiaTheme="majorEastAsia"/>
              </w:rPr>
              <w:t>within one of the fifteen industry sectors in California. Fifty-one percent or more of the standards being taught in the courses align with the California CTE Model Curriculum Standard.</w:t>
            </w:r>
          </w:p>
        </w:tc>
        <w:tc>
          <w:tcPr>
            <w:tcW w:w="2137" w:type="dxa"/>
          </w:tcPr>
          <w:p w14:paraId="60F3AC78" w14:textId="2A11CEC7" w:rsidR="00F05112" w:rsidRPr="006432CB" w:rsidRDefault="00F05112" w:rsidP="00F05112">
            <w:pPr>
              <w:spacing w:after="0"/>
              <w:jc w:val="center"/>
              <w:rPr>
                <w:rFonts w:cs="Arial"/>
              </w:rPr>
            </w:pPr>
            <w:r w:rsidRPr="006432CB">
              <w:rPr>
                <w:rFonts w:cs="Arial"/>
              </w:rPr>
              <w:t>$200,000</w:t>
            </w:r>
          </w:p>
        </w:tc>
        <w:tc>
          <w:tcPr>
            <w:tcW w:w="1618" w:type="dxa"/>
          </w:tcPr>
          <w:p w14:paraId="7F2C5A1F" w14:textId="2CF791DD" w:rsidR="00F05112" w:rsidRPr="006432CB" w:rsidRDefault="00F05112" w:rsidP="00F05112">
            <w:pPr>
              <w:spacing w:after="0"/>
              <w:jc w:val="center"/>
              <w:rPr>
                <w:rFonts w:cs="Arial"/>
              </w:rPr>
            </w:pPr>
            <w:r w:rsidRPr="006432CB">
              <w:rPr>
                <w:rFonts w:cs="Arial"/>
              </w:rPr>
              <w:t>$100,000</w:t>
            </w:r>
          </w:p>
        </w:tc>
      </w:tr>
      <w:tr w:rsidR="00692CCA" w:rsidRPr="006432CB" w14:paraId="7A198138" w14:textId="77777777" w:rsidTr="00692CCA">
        <w:trPr>
          <w:cantSplit/>
        </w:trPr>
        <w:tc>
          <w:tcPr>
            <w:tcW w:w="2206" w:type="dxa"/>
          </w:tcPr>
          <w:p w14:paraId="3530582D" w14:textId="3A48A8B0" w:rsidR="00692CCA" w:rsidRPr="006432CB" w:rsidRDefault="00692CCA" w:rsidP="00692CCA">
            <w:pPr>
              <w:spacing w:after="0"/>
              <w:jc w:val="center"/>
              <w:rPr>
                <w:rFonts w:cs="Arial"/>
              </w:rPr>
            </w:pPr>
            <w:r w:rsidRPr="006432CB">
              <w:rPr>
                <w:rFonts w:cs="Arial"/>
              </w:rPr>
              <w:t>Innovation &amp; Sharing Best Practices</w:t>
            </w:r>
          </w:p>
        </w:tc>
        <w:tc>
          <w:tcPr>
            <w:tcW w:w="3399" w:type="dxa"/>
          </w:tcPr>
          <w:p w14:paraId="1AB38028" w14:textId="7EF47C3D" w:rsidR="00692CCA" w:rsidRPr="006432CB" w:rsidRDefault="00692CCA" w:rsidP="00692CCA">
            <w:pPr>
              <w:spacing w:after="0"/>
            </w:pPr>
            <w:r w:rsidRPr="006432CB">
              <w:t>The charter school provides evidence of a multi-year collaboration agreement with a California school district, county office of education, special education local plan area, community college, and/or public institute of higher education for the purpose of improving academic performance of students in an innovative way and sharing its best practices.</w:t>
            </w:r>
          </w:p>
        </w:tc>
        <w:tc>
          <w:tcPr>
            <w:tcW w:w="2137" w:type="dxa"/>
          </w:tcPr>
          <w:p w14:paraId="73482EC8" w14:textId="0A6A1BAB" w:rsidR="00692CCA" w:rsidRPr="006432CB" w:rsidRDefault="00692CCA" w:rsidP="00692CCA">
            <w:pPr>
              <w:spacing w:after="0"/>
              <w:jc w:val="center"/>
              <w:rPr>
                <w:rFonts w:cs="Arial"/>
              </w:rPr>
            </w:pPr>
            <w:r w:rsidRPr="006432CB">
              <w:rPr>
                <w:rFonts w:cs="Arial"/>
              </w:rPr>
              <w:t>$100,000</w:t>
            </w:r>
          </w:p>
        </w:tc>
        <w:tc>
          <w:tcPr>
            <w:tcW w:w="1618" w:type="dxa"/>
          </w:tcPr>
          <w:p w14:paraId="3337ADF6" w14:textId="23B412A4" w:rsidR="00692CCA" w:rsidRPr="006432CB" w:rsidRDefault="00692CCA" w:rsidP="00692CCA">
            <w:pPr>
              <w:spacing w:after="0"/>
              <w:jc w:val="center"/>
              <w:rPr>
                <w:rFonts w:cs="Arial"/>
              </w:rPr>
            </w:pPr>
            <w:r w:rsidRPr="006432CB">
              <w:rPr>
                <w:rFonts w:cs="Arial"/>
              </w:rPr>
              <w:t>$50,000</w:t>
            </w:r>
          </w:p>
        </w:tc>
      </w:tr>
      <w:tr w:rsidR="00692CCA" w:rsidRPr="006432CB" w14:paraId="6C8B141E" w14:textId="77777777" w:rsidTr="00692CCA">
        <w:trPr>
          <w:cantSplit/>
        </w:trPr>
        <w:tc>
          <w:tcPr>
            <w:tcW w:w="2206" w:type="dxa"/>
          </w:tcPr>
          <w:p w14:paraId="6CAE1118" w14:textId="4FE74E8E" w:rsidR="00692CCA" w:rsidRPr="006432CB" w:rsidRDefault="00692CCA" w:rsidP="00692CCA">
            <w:pPr>
              <w:spacing w:after="0"/>
              <w:jc w:val="center"/>
              <w:rPr>
                <w:rFonts w:cs="Arial"/>
              </w:rPr>
            </w:pPr>
            <w:r w:rsidRPr="006432CB">
              <w:rPr>
                <w:rFonts w:cs="Arial"/>
              </w:rPr>
              <w:t>High School</w:t>
            </w:r>
          </w:p>
        </w:tc>
        <w:tc>
          <w:tcPr>
            <w:tcW w:w="3399" w:type="dxa"/>
          </w:tcPr>
          <w:p w14:paraId="6CD2A686" w14:textId="3E456148" w:rsidR="00692CCA" w:rsidRPr="006432CB" w:rsidRDefault="00692CCA" w:rsidP="00692CCA">
            <w:pPr>
              <w:spacing w:after="0"/>
              <w:rPr>
                <w:rFonts w:cs="Arial"/>
              </w:rPr>
            </w:pPr>
            <w:r w:rsidRPr="006432CB">
              <w:t>The charter school serves more than 100 students in grades nine through twelve.</w:t>
            </w:r>
          </w:p>
        </w:tc>
        <w:tc>
          <w:tcPr>
            <w:tcW w:w="2137" w:type="dxa"/>
          </w:tcPr>
          <w:p w14:paraId="684B5697" w14:textId="44AC75C4" w:rsidR="00692CCA" w:rsidRPr="006432CB" w:rsidRDefault="00692CCA" w:rsidP="00692CCA">
            <w:pPr>
              <w:spacing w:after="0"/>
              <w:jc w:val="center"/>
              <w:rPr>
                <w:rFonts w:cs="Arial"/>
              </w:rPr>
            </w:pPr>
            <w:r w:rsidRPr="006432CB">
              <w:rPr>
                <w:rFonts w:cs="Arial"/>
              </w:rPr>
              <w:t>$100,000</w:t>
            </w:r>
          </w:p>
        </w:tc>
        <w:tc>
          <w:tcPr>
            <w:tcW w:w="1618" w:type="dxa"/>
          </w:tcPr>
          <w:p w14:paraId="2D45DF0F" w14:textId="5997557F" w:rsidR="00692CCA" w:rsidRPr="006432CB" w:rsidRDefault="00692CCA" w:rsidP="00692CCA">
            <w:pPr>
              <w:spacing w:after="0"/>
              <w:jc w:val="center"/>
              <w:rPr>
                <w:rFonts w:cs="Arial"/>
              </w:rPr>
            </w:pPr>
            <w:r w:rsidRPr="006432CB">
              <w:rPr>
                <w:rFonts w:cs="Arial"/>
              </w:rPr>
              <w:t>$50,000</w:t>
            </w:r>
          </w:p>
        </w:tc>
      </w:tr>
      <w:tr w:rsidR="00692CCA" w:rsidRPr="006432CB" w14:paraId="65882C92" w14:textId="77777777" w:rsidTr="00692CCA">
        <w:trPr>
          <w:cantSplit/>
        </w:trPr>
        <w:tc>
          <w:tcPr>
            <w:tcW w:w="2206" w:type="dxa"/>
          </w:tcPr>
          <w:p w14:paraId="4EE9B8F1" w14:textId="0382453A" w:rsidR="00692CCA" w:rsidRPr="006432CB" w:rsidRDefault="00692CCA" w:rsidP="00692CCA">
            <w:pPr>
              <w:spacing w:after="0"/>
              <w:jc w:val="center"/>
              <w:rPr>
                <w:rFonts w:cs="Arial"/>
              </w:rPr>
            </w:pPr>
            <w:r w:rsidRPr="006432CB">
              <w:rPr>
                <w:rFonts w:cs="Arial"/>
              </w:rPr>
              <w:t>Enrollment</w:t>
            </w:r>
          </w:p>
        </w:tc>
        <w:tc>
          <w:tcPr>
            <w:tcW w:w="3399" w:type="dxa"/>
          </w:tcPr>
          <w:p w14:paraId="7768C50C" w14:textId="06B1CF51" w:rsidR="00692CCA" w:rsidRPr="006432CB" w:rsidRDefault="00692CCA" w:rsidP="00692CCA">
            <w:pPr>
              <w:spacing w:after="0"/>
              <w:rPr>
                <w:rFonts w:cs="Arial"/>
              </w:rPr>
            </w:pPr>
            <w:r w:rsidRPr="006432CB">
              <w:t>The charter school serves more than 100 students in its first year of operation or, for expansion applicants, the planned expansion is for 100 or more students.</w:t>
            </w:r>
          </w:p>
        </w:tc>
        <w:tc>
          <w:tcPr>
            <w:tcW w:w="2137" w:type="dxa"/>
          </w:tcPr>
          <w:p w14:paraId="095C52DA" w14:textId="424E6E3D" w:rsidR="00692CCA" w:rsidRPr="006432CB" w:rsidRDefault="00692CCA" w:rsidP="00692CCA">
            <w:pPr>
              <w:spacing w:after="0"/>
              <w:jc w:val="center"/>
              <w:rPr>
                <w:rFonts w:cs="Arial"/>
              </w:rPr>
            </w:pPr>
            <w:r w:rsidRPr="006432CB">
              <w:rPr>
                <w:rFonts w:cs="Arial"/>
              </w:rPr>
              <w:t>$100,000</w:t>
            </w:r>
          </w:p>
        </w:tc>
        <w:tc>
          <w:tcPr>
            <w:tcW w:w="1618" w:type="dxa"/>
          </w:tcPr>
          <w:p w14:paraId="35E3217B" w14:textId="55E7FE6A" w:rsidR="00692CCA" w:rsidRPr="006432CB" w:rsidRDefault="00692CCA" w:rsidP="00692CCA">
            <w:pPr>
              <w:spacing w:after="0"/>
              <w:jc w:val="center"/>
              <w:rPr>
                <w:rFonts w:cs="Arial"/>
              </w:rPr>
            </w:pPr>
            <w:r w:rsidRPr="006432CB">
              <w:rPr>
                <w:rFonts w:cs="Arial"/>
              </w:rPr>
              <w:t>$50,000</w:t>
            </w:r>
          </w:p>
        </w:tc>
      </w:tr>
      <w:tr w:rsidR="00692CCA" w:rsidRPr="006432CB" w14:paraId="7D838F38" w14:textId="77777777" w:rsidTr="00692CCA">
        <w:trPr>
          <w:cantSplit/>
        </w:trPr>
        <w:tc>
          <w:tcPr>
            <w:tcW w:w="2206" w:type="dxa"/>
          </w:tcPr>
          <w:p w14:paraId="632A306E" w14:textId="7917C0B5" w:rsidR="00692CCA" w:rsidRPr="006432CB" w:rsidRDefault="00692CCA" w:rsidP="00692CCA">
            <w:pPr>
              <w:spacing w:after="0"/>
              <w:jc w:val="center"/>
              <w:rPr>
                <w:rFonts w:cs="Arial"/>
                <w:b/>
                <w:bCs/>
              </w:rPr>
            </w:pPr>
            <w:r w:rsidRPr="006432CB">
              <w:rPr>
                <w:rFonts w:cs="Arial"/>
                <w:b/>
                <w:bCs/>
              </w:rPr>
              <w:t>Maximum Supplemental Funds</w:t>
            </w:r>
          </w:p>
        </w:tc>
        <w:tc>
          <w:tcPr>
            <w:tcW w:w="3399" w:type="dxa"/>
          </w:tcPr>
          <w:p w14:paraId="6490D11D" w14:textId="194F742D" w:rsidR="00692CCA" w:rsidRPr="006432CB" w:rsidRDefault="00692CCA" w:rsidP="00AA1A70">
            <w:pPr>
              <w:spacing w:after="0"/>
              <w:jc w:val="center"/>
              <w:rPr>
                <w:rFonts w:cs="Arial"/>
                <w:b/>
                <w:bCs/>
              </w:rPr>
            </w:pPr>
            <w:r w:rsidRPr="006432CB">
              <w:rPr>
                <w:rFonts w:cs="Arial"/>
                <w:b/>
                <w:bCs/>
              </w:rPr>
              <w:t>Not Applicable</w:t>
            </w:r>
          </w:p>
        </w:tc>
        <w:tc>
          <w:tcPr>
            <w:tcW w:w="2137" w:type="dxa"/>
          </w:tcPr>
          <w:p w14:paraId="22B3279E" w14:textId="3F4CFF5F" w:rsidR="00692CCA" w:rsidRPr="006432CB" w:rsidRDefault="00692CCA" w:rsidP="00692CCA">
            <w:pPr>
              <w:spacing w:after="0"/>
              <w:jc w:val="center"/>
              <w:rPr>
                <w:rFonts w:cs="Arial"/>
                <w:b/>
                <w:bCs/>
                <w:strike/>
              </w:rPr>
            </w:pPr>
            <w:r w:rsidRPr="006432CB">
              <w:rPr>
                <w:rFonts w:cs="Arial"/>
                <w:b/>
                <w:bCs/>
              </w:rPr>
              <w:t>$1,100,000</w:t>
            </w:r>
          </w:p>
        </w:tc>
        <w:tc>
          <w:tcPr>
            <w:tcW w:w="1618" w:type="dxa"/>
          </w:tcPr>
          <w:p w14:paraId="4E03A952" w14:textId="250FF56C" w:rsidR="00692CCA" w:rsidRPr="006432CB" w:rsidRDefault="00692CCA" w:rsidP="00692CCA">
            <w:pPr>
              <w:spacing w:after="0"/>
              <w:jc w:val="center"/>
              <w:rPr>
                <w:rFonts w:cs="Arial"/>
                <w:b/>
                <w:bCs/>
                <w:strike/>
              </w:rPr>
            </w:pPr>
            <w:r w:rsidRPr="006432CB">
              <w:rPr>
                <w:rFonts w:cs="Arial"/>
                <w:b/>
                <w:bCs/>
              </w:rPr>
              <w:t>$550,000</w:t>
            </w:r>
          </w:p>
        </w:tc>
      </w:tr>
    </w:tbl>
    <w:p w14:paraId="08FB0943" w14:textId="77777777" w:rsidR="00F06D24" w:rsidRDefault="00F06D24" w:rsidP="002D37B7">
      <w:pPr>
        <w:pStyle w:val="Heading4"/>
      </w:pPr>
      <w:r w:rsidRPr="006432CB">
        <w:t>Subgrant Pipeline</w:t>
      </w:r>
    </w:p>
    <w:p w14:paraId="2379F8B7" w14:textId="77777777" w:rsidR="00F06D24" w:rsidRPr="006432CB" w:rsidRDefault="00F06D24" w:rsidP="00F06D24">
      <w:pPr>
        <w:pStyle w:val="ListParagraph"/>
        <w:ind w:left="0"/>
        <w:contextualSpacing w:val="0"/>
        <w:rPr>
          <w:rFonts w:cs="Arial"/>
        </w:rPr>
      </w:pPr>
      <w:r w:rsidRPr="006432CB">
        <w:rPr>
          <w:rFonts w:cs="Arial"/>
        </w:rPr>
        <w:t>The CDE proposes awarding approximately 70 subgrants over the 5-year grant term through the following projected pipeline:</w:t>
      </w:r>
    </w:p>
    <w:p w14:paraId="19473CE7" w14:textId="77777777" w:rsidR="00F06D24" w:rsidRPr="006432CB" w:rsidRDefault="00F06D24" w:rsidP="00F06D24">
      <w:pPr>
        <w:pStyle w:val="TableHeading"/>
      </w:pPr>
      <w:r w:rsidRPr="006432CB">
        <w:t>Table 6. Projected Pipeline</w:t>
      </w:r>
    </w:p>
    <w:tbl>
      <w:tblPr>
        <w:tblStyle w:val="TableGrid"/>
        <w:tblW w:w="9360" w:type="dxa"/>
        <w:tblLook w:val="04A0" w:firstRow="1" w:lastRow="0" w:firstColumn="1" w:lastColumn="0" w:noHBand="0" w:noVBand="1"/>
        <w:tblDescription w:val="Table 6. Projected Pipeline"/>
      </w:tblPr>
      <w:tblGrid>
        <w:gridCol w:w="2160"/>
        <w:gridCol w:w="3960"/>
        <w:gridCol w:w="3240"/>
      </w:tblGrid>
      <w:tr w:rsidR="00F06D24" w:rsidRPr="006432CB" w14:paraId="7945EEB8" w14:textId="77777777" w:rsidTr="00BA69EF">
        <w:tc>
          <w:tcPr>
            <w:tcW w:w="2160" w:type="dxa"/>
            <w:shd w:val="clear" w:color="auto" w:fill="BFBFBF" w:themeFill="background1" w:themeFillShade="BF"/>
            <w:vAlign w:val="center"/>
          </w:tcPr>
          <w:p w14:paraId="5CF83B24"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lastRenderedPageBreak/>
              <w:t>Year</w:t>
            </w:r>
          </w:p>
        </w:tc>
        <w:tc>
          <w:tcPr>
            <w:tcW w:w="3960" w:type="dxa"/>
            <w:shd w:val="clear" w:color="auto" w:fill="BFBFBF" w:themeFill="background1" w:themeFillShade="BF"/>
            <w:vAlign w:val="center"/>
          </w:tcPr>
          <w:p w14:paraId="3A01AA06"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Planning, Implementation, and Replicating Charter Schools</w:t>
            </w:r>
          </w:p>
        </w:tc>
        <w:tc>
          <w:tcPr>
            <w:tcW w:w="3240" w:type="dxa"/>
            <w:shd w:val="clear" w:color="auto" w:fill="BFBFBF" w:themeFill="background1" w:themeFillShade="BF"/>
            <w:vAlign w:val="center"/>
          </w:tcPr>
          <w:p w14:paraId="6CE468C4"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Expanding</w:t>
            </w:r>
          </w:p>
          <w:p w14:paraId="11941713"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Charter Schools</w:t>
            </w:r>
          </w:p>
        </w:tc>
      </w:tr>
      <w:tr w:rsidR="00F06D24" w:rsidRPr="006432CB" w14:paraId="00B0AE0E" w14:textId="77777777" w:rsidTr="00BA69EF">
        <w:tc>
          <w:tcPr>
            <w:tcW w:w="2160" w:type="dxa"/>
          </w:tcPr>
          <w:p w14:paraId="0AE3F93D" w14:textId="77777777" w:rsidR="00F06D24" w:rsidRPr="006432CB" w:rsidRDefault="00F06D24" w:rsidP="00BA69EF">
            <w:pPr>
              <w:pStyle w:val="ListParagraph"/>
              <w:spacing w:after="0"/>
              <w:ind w:left="0"/>
              <w:contextualSpacing w:val="0"/>
              <w:jc w:val="center"/>
              <w:rPr>
                <w:rFonts w:cs="Arial"/>
              </w:rPr>
            </w:pPr>
            <w:r w:rsidRPr="006432CB">
              <w:rPr>
                <w:rFonts w:cs="Arial"/>
              </w:rPr>
              <w:t>2024–25</w:t>
            </w:r>
          </w:p>
        </w:tc>
        <w:tc>
          <w:tcPr>
            <w:tcW w:w="3960" w:type="dxa"/>
          </w:tcPr>
          <w:p w14:paraId="66DD5E51" w14:textId="77777777" w:rsidR="00F06D24" w:rsidRPr="006432CB" w:rsidRDefault="00F06D24" w:rsidP="00BA69EF">
            <w:pPr>
              <w:pStyle w:val="ListParagraph"/>
              <w:spacing w:after="0"/>
              <w:ind w:left="0"/>
              <w:contextualSpacing w:val="0"/>
              <w:jc w:val="center"/>
              <w:rPr>
                <w:rFonts w:cs="Arial"/>
              </w:rPr>
            </w:pPr>
            <w:r w:rsidRPr="006432CB">
              <w:rPr>
                <w:rFonts w:cs="Arial"/>
              </w:rPr>
              <w:t xml:space="preserve">6  </w:t>
            </w:r>
          </w:p>
        </w:tc>
        <w:tc>
          <w:tcPr>
            <w:tcW w:w="3240" w:type="dxa"/>
          </w:tcPr>
          <w:p w14:paraId="55783C5D" w14:textId="77777777" w:rsidR="00F06D24" w:rsidRPr="006432CB" w:rsidRDefault="00F06D24" w:rsidP="00BA69EF">
            <w:pPr>
              <w:pStyle w:val="ListParagraph"/>
              <w:spacing w:after="0"/>
              <w:ind w:left="0"/>
              <w:contextualSpacing w:val="0"/>
              <w:jc w:val="center"/>
              <w:rPr>
                <w:rFonts w:cs="Arial"/>
              </w:rPr>
            </w:pPr>
            <w:r w:rsidRPr="006432CB">
              <w:rPr>
                <w:rFonts w:cs="Arial"/>
              </w:rPr>
              <w:t>3</w:t>
            </w:r>
          </w:p>
        </w:tc>
      </w:tr>
      <w:tr w:rsidR="00F06D24" w:rsidRPr="006432CB" w14:paraId="333D54CD" w14:textId="77777777" w:rsidTr="00BA69EF">
        <w:tc>
          <w:tcPr>
            <w:tcW w:w="2160" w:type="dxa"/>
          </w:tcPr>
          <w:p w14:paraId="151202A4" w14:textId="77777777" w:rsidR="00F06D24" w:rsidRPr="006432CB" w:rsidRDefault="00F06D24" w:rsidP="00BA69EF">
            <w:pPr>
              <w:pStyle w:val="ListParagraph"/>
              <w:spacing w:after="0"/>
              <w:ind w:left="0"/>
              <w:contextualSpacing w:val="0"/>
              <w:jc w:val="center"/>
              <w:rPr>
                <w:rFonts w:cs="Arial"/>
              </w:rPr>
            </w:pPr>
            <w:r w:rsidRPr="006432CB">
              <w:rPr>
                <w:rFonts w:cs="Arial"/>
              </w:rPr>
              <w:t>2025–26</w:t>
            </w:r>
          </w:p>
        </w:tc>
        <w:tc>
          <w:tcPr>
            <w:tcW w:w="3960" w:type="dxa"/>
          </w:tcPr>
          <w:p w14:paraId="6EFBFFDB" w14:textId="77777777" w:rsidR="00F06D24" w:rsidRPr="006432CB" w:rsidRDefault="00F06D24" w:rsidP="00BA69EF">
            <w:pPr>
              <w:pStyle w:val="ListParagraph"/>
              <w:spacing w:after="0"/>
              <w:ind w:left="0"/>
              <w:contextualSpacing w:val="0"/>
              <w:jc w:val="center"/>
              <w:rPr>
                <w:rFonts w:cs="Arial"/>
              </w:rPr>
            </w:pPr>
            <w:r w:rsidRPr="006432CB">
              <w:rPr>
                <w:rFonts w:cs="Arial"/>
              </w:rPr>
              <w:t>8</w:t>
            </w:r>
          </w:p>
        </w:tc>
        <w:tc>
          <w:tcPr>
            <w:tcW w:w="3240" w:type="dxa"/>
          </w:tcPr>
          <w:p w14:paraId="54935554" w14:textId="77777777" w:rsidR="00F06D24" w:rsidRPr="006432CB" w:rsidRDefault="00F06D24" w:rsidP="00BA69EF">
            <w:pPr>
              <w:pStyle w:val="ListParagraph"/>
              <w:spacing w:after="0"/>
              <w:ind w:left="0"/>
              <w:contextualSpacing w:val="0"/>
              <w:jc w:val="center"/>
              <w:rPr>
                <w:rFonts w:cs="Arial"/>
              </w:rPr>
            </w:pPr>
            <w:r w:rsidRPr="006432CB">
              <w:rPr>
                <w:rFonts w:cs="Arial"/>
              </w:rPr>
              <w:t>4</w:t>
            </w:r>
          </w:p>
        </w:tc>
      </w:tr>
      <w:tr w:rsidR="00F06D24" w:rsidRPr="006432CB" w14:paraId="32E609F7" w14:textId="77777777" w:rsidTr="00BA69EF">
        <w:tc>
          <w:tcPr>
            <w:tcW w:w="2160" w:type="dxa"/>
          </w:tcPr>
          <w:p w14:paraId="52EB1BC8" w14:textId="77777777" w:rsidR="00F06D24" w:rsidRPr="006432CB" w:rsidRDefault="00F06D24" w:rsidP="00BA69EF">
            <w:pPr>
              <w:pStyle w:val="ListParagraph"/>
              <w:spacing w:after="0"/>
              <w:ind w:left="0"/>
              <w:contextualSpacing w:val="0"/>
              <w:jc w:val="center"/>
              <w:rPr>
                <w:rFonts w:cs="Arial"/>
              </w:rPr>
            </w:pPr>
            <w:r w:rsidRPr="006432CB">
              <w:rPr>
                <w:rFonts w:cs="Arial"/>
              </w:rPr>
              <w:t>2026–27</w:t>
            </w:r>
          </w:p>
        </w:tc>
        <w:tc>
          <w:tcPr>
            <w:tcW w:w="3960" w:type="dxa"/>
          </w:tcPr>
          <w:p w14:paraId="2095A34C" w14:textId="77777777" w:rsidR="00F06D24" w:rsidRPr="006432CB" w:rsidRDefault="00F06D24" w:rsidP="00BA69EF">
            <w:pPr>
              <w:pStyle w:val="ListParagraph"/>
              <w:spacing w:after="0"/>
              <w:ind w:left="0"/>
              <w:contextualSpacing w:val="0"/>
              <w:jc w:val="center"/>
              <w:rPr>
                <w:rFonts w:cs="Arial"/>
              </w:rPr>
            </w:pPr>
            <w:r w:rsidRPr="006432CB">
              <w:rPr>
                <w:rFonts w:cs="Arial"/>
              </w:rPr>
              <w:t>10</w:t>
            </w:r>
          </w:p>
        </w:tc>
        <w:tc>
          <w:tcPr>
            <w:tcW w:w="3240" w:type="dxa"/>
          </w:tcPr>
          <w:p w14:paraId="27A653B5" w14:textId="77777777" w:rsidR="00F06D24" w:rsidRPr="006432CB" w:rsidRDefault="00F06D24" w:rsidP="00BA69EF">
            <w:pPr>
              <w:pStyle w:val="ListParagraph"/>
              <w:spacing w:after="0"/>
              <w:ind w:left="0"/>
              <w:contextualSpacing w:val="0"/>
              <w:jc w:val="center"/>
              <w:rPr>
                <w:rFonts w:cs="Arial"/>
              </w:rPr>
            </w:pPr>
            <w:r w:rsidRPr="006432CB">
              <w:rPr>
                <w:rFonts w:cs="Arial"/>
              </w:rPr>
              <w:t>5</w:t>
            </w:r>
          </w:p>
        </w:tc>
      </w:tr>
      <w:tr w:rsidR="00F06D24" w:rsidRPr="006432CB" w14:paraId="1294015C" w14:textId="77777777" w:rsidTr="00BA69EF">
        <w:tc>
          <w:tcPr>
            <w:tcW w:w="2160" w:type="dxa"/>
          </w:tcPr>
          <w:p w14:paraId="3E191FF3" w14:textId="77777777" w:rsidR="00F06D24" w:rsidRPr="006432CB" w:rsidRDefault="00F06D24" w:rsidP="00BA69EF">
            <w:pPr>
              <w:pStyle w:val="ListParagraph"/>
              <w:spacing w:after="0"/>
              <w:ind w:left="0"/>
              <w:contextualSpacing w:val="0"/>
              <w:jc w:val="center"/>
              <w:rPr>
                <w:rFonts w:cs="Arial"/>
              </w:rPr>
            </w:pPr>
            <w:r w:rsidRPr="006432CB">
              <w:rPr>
                <w:rFonts w:cs="Arial"/>
              </w:rPr>
              <w:t>2027–28</w:t>
            </w:r>
          </w:p>
        </w:tc>
        <w:tc>
          <w:tcPr>
            <w:tcW w:w="3960" w:type="dxa"/>
          </w:tcPr>
          <w:p w14:paraId="64EB713C" w14:textId="77777777" w:rsidR="00F06D24" w:rsidRPr="006432CB" w:rsidRDefault="00F06D24" w:rsidP="00BA69EF">
            <w:pPr>
              <w:pStyle w:val="ListParagraph"/>
              <w:spacing w:after="0"/>
              <w:ind w:left="0"/>
              <w:contextualSpacing w:val="0"/>
              <w:jc w:val="center"/>
              <w:rPr>
                <w:rFonts w:cs="Arial"/>
              </w:rPr>
            </w:pPr>
            <w:r w:rsidRPr="006432CB">
              <w:rPr>
                <w:rFonts w:cs="Arial"/>
              </w:rPr>
              <w:t>10</w:t>
            </w:r>
          </w:p>
        </w:tc>
        <w:tc>
          <w:tcPr>
            <w:tcW w:w="3240" w:type="dxa"/>
          </w:tcPr>
          <w:p w14:paraId="37640156" w14:textId="77777777" w:rsidR="00F06D24" w:rsidRPr="006432CB" w:rsidRDefault="00F06D24" w:rsidP="00BA69EF">
            <w:pPr>
              <w:pStyle w:val="ListParagraph"/>
              <w:spacing w:after="0"/>
              <w:ind w:left="0"/>
              <w:contextualSpacing w:val="0"/>
              <w:jc w:val="center"/>
              <w:rPr>
                <w:rFonts w:cs="Arial"/>
              </w:rPr>
            </w:pPr>
            <w:r w:rsidRPr="006432CB">
              <w:rPr>
                <w:rFonts w:cs="Arial"/>
              </w:rPr>
              <w:t>5</w:t>
            </w:r>
          </w:p>
        </w:tc>
      </w:tr>
      <w:tr w:rsidR="00F06D24" w:rsidRPr="006432CB" w14:paraId="1B866D3A" w14:textId="77777777" w:rsidTr="00BA69EF">
        <w:tc>
          <w:tcPr>
            <w:tcW w:w="2160" w:type="dxa"/>
          </w:tcPr>
          <w:p w14:paraId="5304D3FA" w14:textId="77777777" w:rsidR="00F06D24" w:rsidRPr="006432CB" w:rsidRDefault="00F06D24" w:rsidP="00BA69EF">
            <w:pPr>
              <w:pStyle w:val="ListParagraph"/>
              <w:spacing w:after="0"/>
              <w:ind w:left="0"/>
              <w:contextualSpacing w:val="0"/>
              <w:jc w:val="center"/>
              <w:rPr>
                <w:rFonts w:cs="Arial"/>
              </w:rPr>
            </w:pPr>
            <w:r w:rsidRPr="006432CB">
              <w:rPr>
                <w:rFonts w:cs="Arial"/>
              </w:rPr>
              <w:t>2028–29</w:t>
            </w:r>
          </w:p>
        </w:tc>
        <w:tc>
          <w:tcPr>
            <w:tcW w:w="3960" w:type="dxa"/>
          </w:tcPr>
          <w:p w14:paraId="7B450871" w14:textId="77777777" w:rsidR="00F06D24" w:rsidRPr="006432CB" w:rsidRDefault="00F06D24" w:rsidP="00BA69EF">
            <w:pPr>
              <w:pStyle w:val="ListParagraph"/>
              <w:spacing w:after="0"/>
              <w:ind w:left="0"/>
              <w:contextualSpacing w:val="0"/>
              <w:jc w:val="center"/>
              <w:rPr>
                <w:rFonts w:cs="Arial"/>
              </w:rPr>
            </w:pPr>
            <w:r w:rsidRPr="006432CB">
              <w:rPr>
                <w:rFonts w:cs="Arial"/>
              </w:rPr>
              <w:t>14</w:t>
            </w:r>
          </w:p>
        </w:tc>
        <w:tc>
          <w:tcPr>
            <w:tcW w:w="3240" w:type="dxa"/>
          </w:tcPr>
          <w:p w14:paraId="2261C319" w14:textId="77777777" w:rsidR="00F06D24" w:rsidRPr="006432CB" w:rsidRDefault="00F06D24" w:rsidP="00BA69EF">
            <w:pPr>
              <w:pStyle w:val="ListParagraph"/>
              <w:spacing w:after="0"/>
              <w:ind w:left="0"/>
              <w:contextualSpacing w:val="0"/>
              <w:jc w:val="center"/>
              <w:rPr>
                <w:rFonts w:cs="Arial"/>
              </w:rPr>
            </w:pPr>
            <w:r w:rsidRPr="006432CB">
              <w:rPr>
                <w:rFonts w:cs="Arial"/>
              </w:rPr>
              <w:t>5</w:t>
            </w:r>
          </w:p>
        </w:tc>
      </w:tr>
      <w:tr w:rsidR="00F06D24" w:rsidRPr="006432CB" w14:paraId="54FF5916" w14:textId="77777777" w:rsidTr="00BA69EF">
        <w:tc>
          <w:tcPr>
            <w:tcW w:w="2160" w:type="dxa"/>
          </w:tcPr>
          <w:p w14:paraId="0F190711"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Total Projected Awards</w:t>
            </w:r>
          </w:p>
        </w:tc>
        <w:tc>
          <w:tcPr>
            <w:tcW w:w="3960" w:type="dxa"/>
            <w:vAlign w:val="center"/>
          </w:tcPr>
          <w:p w14:paraId="4E30C51B"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48</w:t>
            </w:r>
          </w:p>
        </w:tc>
        <w:tc>
          <w:tcPr>
            <w:tcW w:w="3240" w:type="dxa"/>
            <w:vAlign w:val="center"/>
          </w:tcPr>
          <w:p w14:paraId="400683E9" w14:textId="77777777" w:rsidR="00F06D24" w:rsidRPr="006432CB" w:rsidRDefault="00F06D24" w:rsidP="00BA69EF">
            <w:pPr>
              <w:pStyle w:val="ListParagraph"/>
              <w:spacing w:after="0"/>
              <w:ind w:left="0"/>
              <w:contextualSpacing w:val="0"/>
              <w:jc w:val="center"/>
              <w:rPr>
                <w:rFonts w:cs="Arial"/>
                <w:b/>
                <w:bCs/>
              </w:rPr>
            </w:pPr>
            <w:r w:rsidRPr="006432CB">
              <w:rPr>
                <w:rFonts w:cs="Arial"/>
                <w:b/>
                <w:bCs/>
              </w:rPr>
              <w:t>22</w:t>
            </w:r>
          </w:p>
        </w:tc>
      </w:tr>
    </w:tbl>
    <w:p w14:paraId="630979DB" w14:textId="77777777" w:rsidR="00F06D24" w:rsidRPr="006432CB" w:rsidRDefault="00F06D24" w:rsidP="00F06D24">
      <w:pPr>
        <w:spacing w:before="240"/>
        <w:rPr>
          <w:rFonts w:cs="Arial"/>
        </w:rPr>
      </w:pPr>
      <w:r w:rsidRPr="006432CB">
        <w:rPr>
          <w:rFonts w:cs="Arial"/>
        </w:rPr>
        <w:t>The CDE based its projected pipeline of awards on several factors:</w:t>
      </w:r>
    </w:p>
    <w:p w14:paraId="0F79DC13" w14:textId="77777777" w:rsidR="00C17978" w:rsidRDefault="00F06D24" w:rsidP="00C17978">
      <w:pPr>
        <w:pStyle w:val="ListParagraph"/>
        <w:numPr>
          <w:ilvl w:val="0"/>
          <w:numId w:val="36"/>
        </w:numPr>
        <w:spacing w:before="240"/>
        <w:contextualSpacing w:val="0"/>
        <w:rPr>
          <w:rFonts w:cs="Arial"/>
        </w:rPr>
      </w:pPr>
      <w:r w:rsidRPr="006432CB">
        <w:rPr>
          <w:rFonts w:cs="Arial"/>
          <w:b/>
          <w:bCs/>
        </w:rPr>
        <w:t>Trends in the Number of New Charter Schools Opened:</w:t>
      </w:r>
      <w:r w:rsidRPr="006432CB">
        <w:rPr>
          <w:rFonts w:cs="Arial"/>
        </w:rPr>
        <w:t xml:space="preserve"> The number of new charter schools was reduced by approximately 58 percent from 2019</w:t>
      </w:r>
      <w:r w:rsidRPr="006432CB">
        <w:rPr>
          <w:color w:val="000000"/>
          <w:lang w:val="en"/>
        </w:rPr>
        <w:t>–</w:t>
      </w:r>
      <w:r w:rsidRPr="006432CB">
        <w:rPr>
          <w:rFonts w:cs="Arial"/>
        </w:rPr>
        <w:t>20 to 2020</w:t>
      </w:r>
      <w:r w:rsidRPr="006432CB">
        <w:rPr>
          <w:color w:val="000000"/>
          <w:lang w:val="en"/>
        </w:rPr>
        <w:t>–</w:t>
      </w:r>
      <w:r w:rsidRPr="006432CB">
        <w:rPr>
          <w:rFonts w:cs="Arial"/>
        </w:rPr>
        <w:t xml:space="preserve">21, coinciding with the moratorium on the establishment of </w:t>
      </w:r>
      <w:proofErr w:type="spellStart"/>
      <w:r w:rsidRPr="006432CB">
        <w:rPr>
          <w:rFonts w:cs="Arial"/>
        </w:rPr>
        <w:t>nonclassroom</w:t>
      </w:r>
      <w:proofErr w:type="spellEnd"/>
      <w:r w:rsidRPr="006432CB">
        <w:rPr>
          <w:rFonts w:cs="Arial"/>
        </w:rPr>
        <w:t xml:space="preserve">-based schools under </w:t>
      </w:r>
      <w:r w:rsidRPr="006432CB">
        <w:rPr>
          <w:rFonts w:cs="Arial"/>
          <w:i/>
          <w:iCs/>
        </w:rPr>
        <w:t>EC</w:t>
      </w:r>
      <w:r w:rsidRPr="006432CB">
        <w:rPr>
          <w:rFonts w:cs="Arial"/>
        </w:rPr>
        <w:t xml:space="preserve"> Section 47612.7(a) and the COVID-19 pandemic. </w:t>
      </w:r>
      <w:r w:rsidRPr="006432CB">
        <w:rPr>
          <w:rFonts w:cs="Arial"/>
          <w:i/>
          <w:iCs/>
        </w:rPr>
        <w:t xml:space="preserve">EC </w:t>
      </w:r>
      <w:r w:rsidRPr="006432CB">
        <w:rPr>
          <w:rFonts w:cs="Arial"/>
        </w:rPr>
        <w:t>Section 47612.7(a) is currently active through January 1, 2026. The CDE notes an increase of 43 percent in the number of new charter schools that opened in California from 2022</w:t>
      </w:r>
      <w:r w:rsidRPr="006432CB">
        <w:rPr>
          <w:color w:val="000000"/>
          <w:lang w:val="en"/>
        </w:rPr>
        <w:t>–</w:t>
      </w:r>
      <w:r w:rsidRPr="006432CB">
        <w:rPr>
          <w:rFonts w:cs="Arial"/>
        </w:rPr>
        <w:t>23 to 2023</w:t>
      </w:r>
      <w:r w:rsidRPr="006432CB">
        <w:rPr>
          <w:color w:val="000000"/>
          <w:lang w:val="en"/>
        </w:rPr>
        <w:t>–</w:t>
      </w:r>
      <w:r w:rsidRPr="006432CB">
        <w:rPr>
          <w:rFonts w:cs="Arial"/>
        </w:rPr>
        <w:t>24 and projects continued increases in the number of charter schools opening.</w:t>
      </w:r>
    </w:p>
    <w:p w14:paraId="03A27062" w14:textId="77777777" w:rsidR="00C17978" w:rsidRDefault="00F06D24" w:rsidP="00C17978">
      <w:pPr>
        <w:pStyle w:val="ListParagraph"/>
        <w:numPr>
          <w:ilvl w:val="0"/>
          <w:numId w:val="36"/>
        </w:numPr>
        <w:spacing w:before="240"/>
        <w:contextualSpacing w:val="0"/>
        <w:rPr>
          <w:rFonts w:cs="Arial"/>
        </w:rPr>
      </w:pPr>
      <w:r w:rsidRPr="00C17978">
        <w:rPr>
          <w:rFonts w:cs="Arial"/>
          <w:b/>
          <w:bCs/>
        </w:rPr>
        <w:t>Number of CSP Awards:</w:t>
      </w:r>
      <w:r w:rsidRPr="00C17978">
        <w:rPr>
          <w:rFonts w:cs="Arial"/>
        </w:rPr>
        <w:t xml:space="preserve"> The trends in the number of new charter schools opened have directly impacted the pipeline of subgrants awarded under the current 2020 CSP grant cycle, averaging roughly eight subgrants awarded per year. Under the previous 2016 CSP grant cycle, roughly 23 subgrants were awarded annually. </w:t>
      </w:r>
    </w:p>
    <w:p w14:paraId="49E87E26" w14:textId="50FC8C62" w:rsidR="00F06D24" w:rsidRPr="00C17978" w:rsidRDefault="00F06D24" w:rsidP="00C17978">
      <w:pPr>
        <w:spacing w:before="240"/>
        <w:rPr>
          <w:rFonts w:cs="Arial"/>
        </w:rPr>
      </w:pPr>
      <w:r w:rsidRPr="00C17978">
        <w:rPr>
          <w:rFonts w:cs="Arial"/>
          <w:b/>
          <w:bCs/>
        </w:rPr>
        <w:t>Charter Establishment and Subgrant Award Data</w:t>
      </w:r>
    </w:p>
    <w:p w14:paraId="698EB5AA" w14:textId="66258EE9" w:rsidR="003B7922" w:rsidRPr="006432CB" w:rsidRDefault="003B7922" w:rsidP="003B7922">
      <w:pPr>
        <w:pStyle w:val="ListParagraph"/>
        <w:spacing w:before="240"/>
        <w:ind w:left="0"/>
        <w:contextualSpacing w:val="0"/>
        <w:rPr>
          <w:rFonts w:cs="Arial"/>
        </w:rPr>
      </w:pPr>
      <w:r w:rsidRPr="006432CB">
        <w:rPr>
          <w:rFonts w:cs="Arial"/>
        </w:rPr>
        <w:t>The following tables outline the number of charter schools that opened in recent years and the number of subgrants awarded under the current 2020 CSP grant cycle:</w:t>
      </w:r>
    </w:p>
    <w:p w14:paraId="22DC333F" w14:textId="5D50D74D" w:rsidR="003B7922" w:rsidRPr="006432CB" w:rsidRDefault="003B7922" w:rsidP="00AA1A70">
      <w:pPr>
        <w:pStyle w:val="TableHeading"/>
      </w:pPr>
      <w:bookmarkStart w:id="0" w:name="_Hlk151450678"/>
      <w:r w:rsidRPr="006432CB">
        <w:t xml:space="preserve">Table </w:t>
      </w:r>
      <w:r w:rsidR="00B17B3B" w:rsidRPr="006432CB">
        <w:t>4</w:t>
      </w:r>
      <w:r w:rsidR="00CF2FA2" w:rsidRPr="006432CB">
        <w:t>.</w:t>
      </w:r>
      <w:r w:rsidRPr="006432CB">
        <w:t xml:space="preserve"> Number of New Charter Schools that Opened in California 2019–24</w:t>
      </w:r>
    </w:p>
    <w:tbl>
      <w:tblPr>
        <w:tblStyle w:val="TableGrid"/>
        <w:tblpPr w:leftFromText="180" w:rightFromText="180" w:vertAnchor="text"/>
        <w:tblW w:w="9360" w:type="dxa"/>
        <w:tblLook w:val="04A0" w:firstRow="1" w:lastRow="0" w:firstColumn="1" w:lastColumn="0" w:noHBand="0" w:noVBand="1"/>
        <w:tblDescription w:val="Table 4. Number of New Charter Schools that Opened in California 2019–24"/>
      </w:tblPr>
      <w:tblGrid>
        <w:gridCol w:w="4680"/>
        <w:gridCol w:w="4680"/>
      </w:tblGrid>
      <w:tr w:rsidR="00A0481C" w:rsidRPr="006432CB" w14:paraId="2B0168BB" w14:textId="77777777" w:rsidTr="00AA1A70">
        <w:trPr>
          <w:cantSplit/>
          <w:trHeight w:val="274"/>
          <w:tblHeader/>
        </w:trPr>
        <w:tc>
          <w:tcPr>
            <w:tcW w:w="4680" w:type="dxa"/>
            <w:shd w:val="clear" w:color="auto" w:fill="BFBFBF" w:themeFill="background1" w:themeFillShade="BF"/>
            <w:noWrap/>
            <w:vAlign w:val="center"/>
            <w:hideMark/>
          </w:tcPr>
          <w:p w14:paraId="74A6B9D2" w14:textId="77777777" w:rsidR="00A0481C" w:rsidRPr="006432CB" w:rsidRDefault="00A0481C" w:rsidP="00777A21">
            <w:pPr>
              <w:spacing w:after="0"/>
              <w:jc w:val="center"/>
              <w:rPr>
                <w:rFonts w:cs="Arial"/>
                <w:b/>
                <w:bCs/>
                <w:sz w:val="22"/>
                <w:szCs w:val="22"/>
              </w:rPr>
            </w:pPr>
            <w:r w:rsidRPr="006432CB">
              <w:rPr>
                <w:rFonts w:cs="Arial"/>
                <w:b/>
                <w:bCs/>
              </w:rPr>
              <w:t>Year</w:t>
            </w:r>
          </w:p>
        </w:tc>
        <w:tc>
          <w:tcPr>
            <w:tcW w:w="4680" w:type="dxa"/>
            <w:shd w:val="clear" w:color="auto" w:fill="BFBFBF" w:themeFill="background1" w:themeFillShade="BF"/>
            <w:noWrap/>
            <w:vAlign w:val="center"/>
            <w:hideMark/>
          </w:tcPr>
          <w:p w14:paraId="6981936B" w14:textId="00C0F0AD" w:rsidR="00A0481C" w:rsidRPr="006432CB" w:rsidRDefault="00A0481C" w:rsidP="00777A21">
            <w:pPr>
              <w:spacing w:after="0"/>
              <w:jc w:val="center"/>
              <w:rPr>
                <w:rFonts w:cs="Arial"/>
                <w:b/>
                <w:bCs/>
              </w:rPr>
            </w:pPr>
            <w:r w:rsidRPr="006432CB">
              <w:rPr>
                <w:rFonts w:cs="Arial"/>
                <w:b/>
                <w:bCs/>
              </w:rPr>
              <w:t>New Charter Schools</w:t>
            </w:r>
          </w:p>
        </w:tc>
      </w:tr>
      <w:tr w:rsidR="00A0481C" w:rsidRPr="006432CB" w14:paraId="730C5786" w14:textId="77777777" w:rsidTr="00AA1A70">
        <w:trPr>
          <w:cantSplit/>
          <w:trHeight w:val="274"/>
        </w:trPr>
        <w:tc>
          <w:tcPr>
            <w:tcW w:w="4680" w:type="dxa"/>
            <w:noWrap/>
            <w:vAlign w:val="center"/>
            <w:hideMark/>
          </w:tcPr>
          <w:p w14:paraId="701BA73F" w14:textId="77777777" w:rsidR="00A0481C" w:rsidRPr="006432CB" w:rsidRDefault="00A0481C" w:rsidP="00777A21">
            <w:pPr>
              <w:spacing w:after="0"/>
              <w:jc w:val="center"/>
              <w:rPr>
                <w:rFonts w:cs="Arial"/>
              </w:rPr>
            </w:pPr>
            <w:r w:rsidRPr="006432CB">
              <w:rPr>
                <w:rFonts w:cs="Arial"/>
              </w:rPr>
              <w:t>2019–20</w:t>
            </w:r>
          </w:p>
        </w:tc>
        <w:tc>
          <w:tcPr>
            <w:tcW w:w="4680" w:type="dxa"/>
            <w:noWrap/>
            <w:vAlign w:val="center"/>
            <w:hideMark/>
          </w:tcPr>
          <w:p w14:paraId="1AE8E0FF" w14:textId="77777777" w:rsidR="00A0481C" w:rsidRPr="006432CB" w:rsidRDefault="00A0481C" w:rsidP="00777A21">
            <w:pPr>
              <w:spacing w:after="0"/>
              <w:jc w:val="center"/>
              <w:rPr>
                <w:rFonts w:cs="Arial"/>
                <w:b/>
                <w:bCs/>
              </w:rPr>
            </w:pPr>
            <w:r w:rsidRPr="006432CB">
              <w:rPr>
                <w:rFonts w:cs="Arial"/>
                <w:b/>
                <w:bCs/>
              </w:rPr>
              <w:t>45</w:t>
            </w:r>
          </w:p>
        </w:tc>
      </w:tr>
      <w:tr w:rsidR="00A0481C" w:rsidRPr="006432CB" w14:paraId="45ACF662" w14:textId="77777777" w:rsidTr="00AA1A70">
        <w:trPr>
          <w:cantSplit/>
          <w:trHeight w:val="274"/>
        </w:trPr>
        <w:tc>
          <w:tcPr>
            <w:tcW w:w="4680" w:type="dxa"/>
            <w:noWrap/>
            <w:vAlign w:val="center"/>
            <w:hideMark/>
          </w:tcPr>
          <w:p w14:paraId="3B86950F" w14:textId="77777777" w:rsidR="00A0481C" w:rsidRPr="006432CB" w:rsidRDefault="00A0481C" w:rsidP="00777A21">
            <w:pPr>
              <w:spacing w:after="0"/>
              <w:jc w:val="center"/>
              <w:rPr>
                <w:rFonts w:cs="Arial"/>
              </w:rPr>
            </w:pPr>
            <w:r w:rsidRPr="006432CB">
              <w:rPr>
                <w:rFonts w:cs="Arial"/>
              </w:rPr>
              <w:t>2020–21</w:t>
            </w:r>
          </w:p>
        </w:tc>
        <w:tc>
          <w:tcPr>
            <w:tcW w:w="4680" w:type="dxa"/>
            <w:noWrap/>
            <w:vAlign w:val="center"/>
            <w:hideMark/>
          </w:tcPr>
          <w:p w14:paraId="1A0B7C51" w14:textId="77777777" w:rsidR="00A0481C" w:rsidRPr="006432CB" w:rsidRDefault="00A0481C" w:rsidP="00777A21">
            <w:pPr>
              <w:spacing w:after="0"/>
              <w:jc w:val="center"/>
              <w:rPr>
                <w:rFonts w:cs="Arial"/>
                <w:b/>
                <w:bCs/>
              </w:rPr>
            </w:pPr>
            <w:r w:rsidRPr="006432CB">
              <w:rPr>
                <w:rFonts w:cs="Arial"/>
                <w:b/>
                <w:bCs/>
              </w:rPr>
              <w:t>22</w:t>
            </w:r>
          </w:p>
        </w:tc>
      </w:tr>
      <w:tr w:rsidR="00A0481C" w:rsidRPr="006432CB" w14:paraId="3CE99C9C" w14:textId="77777777" w:rsidTr="00AA1A70">
        <w:trPr>
          <w:cantSplit/>
          <w:trHeight w:val="274"/>
        </w:trPr>
        <w:tc>
          <w:tcPr>
            <w:tcW w:w="4680" w:type="dxa"/>
            <w:noWrap/>
            <w:vAlign w:val="center"/>
            <w:hideMark/>
          </w:tcPr>
          <w:p w14:paraId="1774E7F8" w14:textId="77777777" w:rsidR="00A0481C" w:rsidRPr="006432CB" w:rsidRDefault="00A0481C" w:rsidP="00777A21">
            <w:pPr>
              <w:spacing w:after="0"/>
              <w:jc w:val="center"/>
              <w:rPr>
                <w:rFonts w:cs="Arial"/>
              </w:rPr>
            </w:pPr>
            <w:r w:rsidRPr="006432CB">
              <w:rPr>
                <w:rFonts w:cs="Arial"/>
              </w:rPr>
              <w:t>2021–22</w:t>
            </w:r>
          </w:p>
        </w:tc>
        <w:tc>
          <w:tcPr>
            <w:tcW w:w="4680" w:type="dxa"/>
            <w:noWrap/>
            <w:vAlign w:val="center"/>
            <w:hideMark/>
          </w:tcPr>
          <w:p w14:paraId="457F3A3A" w14:textId="77777777" w:rsidR="00A0481C" w:rsidRPr="006432CB" w:rsidRDefault="00A0481C" w:rsidP="00777A21">
            <w:pPr>
              <w:spacing w:after="0"/>
              <w:jc w:val="center"/>
              <w:rPr>
                <w:rFonts w:cs="Arial"/>
                <w:b/>
                <w:bCs/>
              </w:rPr>
            </w:pPr>
            <w:r w:rsidRPr="006432CB">
              <w:rPr>
                <w:rFonts w:cs="Arial"/>
                <w:b/>
                <w:bCs/>
              </w:rPr>
              <w:t>19</w:t>
            </w:r>
          </w:p>
        </w:tc>
      </w:tr>
      <w:tr w:rsidR="00A0481C" w:rsidRPr="006432CB" w14:paraId="7EA24915" w14:textId="77777777" w:rsidTr="00AA1A70">
        <w:trPr>
          <w:cantSplit/>
          <w:trHeight w:val="274"/>
        </w:trPr>
        <w:tc>
          <w:tcPr>
            <w:tcW w:w="4680" w:type="dxa"/>
            <w:noWrap/>
            <w:vAlign w:val="center"/>
          </w:tcPr>
          <w:p w14:paraId="6929E8D5" w14:textId="77777777" w:rsidR="00A0481C" w:rsidRPr="006432CB" w:rsidRDefault="00A0481C" w:rsidP="00777A21">
            <w:pPr>
              <w:spacing w:after="0"/>
              <w:jc w:val="center"/>
              <w:rPr>
                <w:rFonts w:cs="Arial"/>
              </w:rPr>
            </w:pPr>
            <w:r w:rsidRPr="006432CB">
              <w:rPr>
                <w:rFonts w:cs="Arial"/>
              </w:rPr>
              <w:t>2022–23</w:t>
            </w:r>
          </w:p>
        </w:tc>
        <w:tc>
          <w:tcPr>
            <w:tcW w:w="4680" w:type="dxa"/>
            <w:noWrap/>
            <w:vAlign w:val="center"/>
          </w:tcPr>
          <w:p w14:paraId="284BCA72" w14:textId="23A032D8" w:rsidR="00A0481C" w:rsidRPr="006432CB" w:rsidRDefault="006432CB" w:rsidP="00777A21">
            <w:pPr>
              <w:spacing w:after="0"/>
              <w:jc w:val="center"/>
              <w:rPr>
                <w:rFonts w:cs="Arial"/>
                <w:b/>
                <w:bCs/>
              </w:rPr>
            </w:pPr>
            <w:r>
              <w:rPr>
                <w:rFonts w:cs="Arial"/>
                <w:b/>
                <w:bCs/>
              </w:rPr>
              <w:t xml:space="preserve"> </w:t>
            </w:r>
            <w:r w:rsidR="00A0481C" w:rsidRPr="006432CB">
              <w:rPr>
                <w:rFonts w:cs="Arial"/>
                <w:b/>
                <w:bCs/>
              </w:rPr>
              <w:t>7</w:t>
            </w:r>
          </w:p>
        </w:tc>
      </w:tr>
      <w:tr w:rsidR="00A0481C" w:rsidRPr="006432CB" w14:paraId="383CBD95" w14:textId="77777777" w:rsidTr="00AA1A70">
        <w:trPr>
          <w:cantSplit/>
          <w:trHeight w:val="274"/>
        </w:trPr>
        <w:tc>
          <w:tcPr>
            <w:tcW w:w="4680" w:type="dxa"/>
            <w:noWrap/>
            <w:vAlign w:val="center"/>
          </w:tcPr>
          <w:p w14:paraId="32DAAA62" w14:textId="77777777" w:rsidR="00A0481C" w:rsidRPr="006432CB" w:rsidRDefault="00A0481C" w:rsidP="00777A21">
            <w:pPr>
              <w:spacing w:after="0"/>
              <w:jc w:val="center"/>
              <w:rPr>
                <w:rFonts w:cs="Arial"/>
              </w:rPr>
            </w:pPr>
            <w:r w:rsidRPr="006432CB">
              <w:rPr>
                <w:rFonts w:cs="Arial"/>
              </w:rPr>
              <w:t>2023–24</w:t>
            </w:r>
          </w:p>
        </w:tc>
        <w:tc>
          <w:tcPr>
            <w:tcW w:w="4680" w:type="dxa"/>
            <w:noWrap/>
            <w:vAlign w:val="center"/>
          </w:tcPr>
          <w:p w14:paraId="4DF4826F" w14:textId="20381C3E" w:rsidR="00A0481C" w:rsidRPr="006432CB" w:rsidRDefault="006432CB" w:rsidP="00A0481C">
            <w:pPr>
              <w:spacing w:after="0"/>
              <w:jc w:val="center"/>
              <w:rPr>
                <w:rFonts w:cs="Arial"/>
                <w:b/>
                <w:bCs/>
              </w:rPr>
            </w:pPr>
            <w:r>
              <w:rPr>
                <w:rFonts w:cs="Arial"/>
                <w:b/>
                <w:bCs/>
              </w:rPr>
              <w:t xml:space="preserve">              </w:t>
            </w:r>
            <w:r w:rsidR="00A0481C" w:rsidRPr="006432CB">
              <w:rPr>
                <w:rFonts w:cs="Arial"/>
                <w:b/>
                <w:bCs/>
              </w:rPr>
              <w:t>10 (to date)</w:t>
            </w:r>
          </w:p>
        </w:tc>
      </w:tr>
    </w:tbl>
    <w:bookmarkEnd w:id="0"/>
    <w:p w14:paraId="0D41CE21" w14:textId="0082268C" w:rsidR="003B7922" w:rsidRPr="006432CB" w:rsidRDefault="003B7922" w:rsidP="00AA1A70">
      <w:pPr>
        <w:pStyle w:val="TableHeading"/>
      </w:pPr>
      <w:r w:rsidRPr="006432CB">
        <w:t xml:space="preserve">Table </w:t>
      </w:r>
      <w:r w:rsidR="00B17B3B" w:rsidRPr="006432CB">
        <w:t>5</w:t>
      </w:r>
      <w:r w:rsidRPr="006432CB">
        <w:t>. Number of Subgrants Awarded Under the Current 2020 CSP Grant Cycle</w:t>
      </w:r>
    </w:p>
    <w:tbl>
      <w:tblPr>
        <w:tblStyle w:val="TableGrid"/>
        <w:tblW w:w="9360" w:type="dxa"/>
        <w:tblLook w:val="04A0" w:firstRow="1" w:lastRow="0" w:firstColumn="1" w:lastColumn="0" w:noHBand="0" w:noVBand="1"/>
        <w:tblDescription w:val="Table 5. Number of Subgrants Awarded Under the Current 2020 CSP Grant Cycle"/>
      </w:tblPr>
      <w:tblGrid>
        <w:gridCol w:w="2160"/>
        <w:gridCol w:w="3960"/>
        <w:gridCol w:w="3240"/>
      </w:tblGrid>
      <w:tr w:rsidR="003B7922" w:rsidRPr="006432CB" w14:paraId="329B41A4" w14:textId="77777777" w:rsidTr="00777A21">
        <w:trPr>
          <w:cantSplit/>
          <w:tblHeader/>
        </w:trPr>
        <w:tc>
          <w:tcPr>
            <w:tcW w:w="2160" w:type="dxa"/>
            <w:shd w:val="clear" w:color="auto" w:fill="BFBFBF" w:themeFill="background1" w:themeFillShade="BF"/>
            <w:vAlign w:val="center"/>
          </w:tcPr>
          <w:p w14:paraId="308D8907"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Year</w:t>
            </w:r>
          </w:p>
        </w:tc>
        <w:tc>
          <w:tcPr>
            <w:tcW w:w="3960" w:type="dxa"/>
            <w:shd w:val="clear" w:color="auto" w:fill="BFBFBF" w:themeFill="background1" w:themeFillShade="BF"/>
            <w:vAlign w:val="center"/>
          </w:tcPr>
          <w:p w14:paraId="40CE9E7F"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Planning, Implementation, and Replicating Charter Schools</w:t>
            </w:r>
          </w:p>
        </w:tc>
        <w:tc>
          <w:tcPr>
            <w:tcW w:w="3240" w:type="dxa"/>
            <w:shd w:val="clear" w:color="auto" w:fill="BFBFBF" w:themeFill="background1" w:themeFillShade="BF"/>
            <w:vAlign w:val="center"/>
          </w:tcPr>
          <w:p w14:paraId="51A33684"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 xml:space="preserve">Expanding </w:t>
            </w:r>
          </w:p>
          <w:p w14:paraId="7D6F519F"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Charter Schools</w:t>
            </w:r>
          </w:p>
        </w:tc>
      </w:tr>
      <w:tr w:rsidR="003B7922" w:rsidRPr="006432CB" w14:paraId="663F4BAB" w14:textId="77777777" w:rsidTr="00777A21">
        <w:trPr>
          <w:cantSplit/>
        </w:trPr>
        <w:tc>
          <w:tcPr>
            <w:tcW w:w="2160" w:type="dxa"/>
            <w:vAlign w:val="center"/>
          </w:tcPr>
          <w:p w14:paraId="0931F43E" w14:textId="77777777" w:rsidR="003B7922" w:rsidRPr="006432CB" w:rsidRDefault="003B7922" w:rsidP="00507C73">
            <w:pPr>
              <w:pStyle w:val="ListParagraph"/>
              <w:spacing w:after="0"/>
              <w:ind w:left="0"/>
              <w:contextualSpacing w:val="0"/>
              <w:jc w:val="center"/>
              <w:rPr>
                <w:rFonts w:cs="Arial"/>
              </w:rPr>
            </w:pPr>
            <w:r w:rsidRPr="006432CB">
              <w:rPr>
                <w:rFonts w:cs="Arial"/>
              </w:rPr>
              <w:t>2020–21</w:t>
            </w:r>
          </w:p>
        </w:tc>
        <w:tc>
          <w:tcPr>
            <w:tcW w:w="3960" w:type="dxa"/>
            <w:vAlign w:val="center"/>
          </w:tcPr>
          <w:p w14:paraId="5C73A2D2" w14:textId="77777777" w:rsidR="003B7922" w:rsidRPr="006432CB" w:rsidRDefault="003B7922" w:rsidP="00507C73">
            <w:pPr>
              <w:pStyle w:val="ListParagraph"/>
              <w:spacing w:after="0"/>
              <w:ind w:left="0"/>
              <w:contextualSpacing w:val="0"/>
              <w:jc w:val="center"/>
              <w:rPr>
                <w:rFonts w:cs="Arial"/>
              </w:rPr>
            </w:pPr>
            <w:r w:rsidRPr="006432CB">
              <w:rPr>
                <w:rFonts w:cs="Arial"/>
              </w:rPr>
              <w:t>10</w:t>
            </w:r>
          </w:p>
        </w:tc>
        <w:tc>
          <w:tcPr>
            <w:tcW w:w="3240" w:type="dxa"/>
            <w:vAlign w:val="center"/>
          </w:tcPr>
          <w:p w14:paraId="5B3A4A3F" w14:textId="77777777" w:rsidR="003B7922" w:rsidRPr="006432CB" w:rsidRDefault="003B7922" w:rsidP="00507C73">
            <w:pPr>
              <w:pStyle w:val="ListParagraph"/>
              <w:spacing w:after="0"/>
              <w:ind w:left="0"/>
              <w:contextualSpacing w:val="0"/>
              <w:jc w:val="center"/>
              <w:rPr>
                <w:rFonts w:cs="Arial"/>
              </w:rPr>
            </w:pPr>
            <w:r w:rsidRPr="006432CB">
              <w:rPr>
                <w:rFonts w:cs="Arial"/>
              </w:rPr>
              <w:t>0</w:t>
            </w:r>
          </w:p>
        </w:tc>
      </w:tr>
      <w:tr w:rsidR="003B7922" w:rsidRPr="006432CB" w14:paraId="1AA21BF2" w14:textId="77777777" w:rsidTr="00777A21">
        <w:trPr>
          <w:cantSplit/>
        </w:trPr>
        <w:tc>
          <w:tcPr>
            <w:tcW w:w="2160" w:type="dxa"/>
            <w:vAlign w:val="center"/>
          </w:tcPr>
          <w:p w14:paraId="2546D7D5" w14:textId="77777777" w:rsidR="003B7922" w:rsidRPr="006432CB" w:rsidRDefault="003B7922" w:rsidP="00507C73">
            <w:pPr>
              <w:pStyle w:val="ListParagraph"/>
              <w:spacing w:after="0"/>
              <w:ind w:left="0"/>
              <w:contextualSpacing w:val="0"/>
              <w:jc w:val="center"/>
              <w:rPr>
                <w:rFonts w:cs="Arial"/>
              </w:rPr>
            </w:pPr>
            <w:r w:rsidRPr="006432CB">
              <w:rPr>
                <w:rFonts w:cs="Arial"/>
              </w:rPr>
              <w:t>2021–22</w:t>
            </w:r>
          </w:p>
        </w:tc>
        <w:tc>
          <w:tcPr>
            <w:tcW w:w="3960" w:type="dxa"/>
            <w:vAlign w:val="center"/>
          </w:tcPr>
          <w:p w14:paraId="29D2D1C2" w14:textId="77777777" w:rsidR="003B7922" w:rsidRPr="006432CB" w:rsidRDefault="003B7922" w:rsidP="00507C73">
            <w:pPr>
              <w:pStyle w:val="ListParagraph"/>
              <w:spacing w:after="0"/>
              <w:ind w:left="0"/>
              <w:contextualSpacing w:val="0"/>
              <w:jc w:val="center"/>
              <w:rPr>
                <w:rFonts w:cs="Arial"/>
              </w:rPr>
            </w:pPr>
            <w:r w:rsidRPr="006432CB">
              <w:rPr>
                <w:rFonts w:cs="Arial"/>
              </w:rPr>
              <w:t>11</w:t>
            </w:r>
          </w:p>
        </w:tc>
        <w:tc>
          <w:tcPr>
            <w:tcW w:w="3240" w:type="dxa"/>
            <w:vAlign w:val="center"/>
          </w:tcPr>
          <w:p w14:paraId="17C5CEFA" w14:textId="77777777" w:rsidR="003B7922" w:rsidRPr="006432CB" w:rsidRDefault="003B7922" w:rsidP="00507C73">
            <w:pPr>
              <w:pStyle w:val="ListParagraph"/>
              <w:spacing w:after="0"/>
              <w:ind w:left="0"/>
              <w:contextualSpacing w:val="0"/>
              <w:jc w:val="center"/>
              <w:rPr>
                <w:rFonts w:cs="Arial"/>
              </w:rPr>
            </w:pPr>
            <w:r w:rsidRPr="006432CB">
              <w:rPr>
                <w:rFonts w:cs="Arial"/>
              </w:rPr>
              <w:t>2</w:t>
            </w:r>
          </w:p>
        </w:tc>
      </w:tr>
      <w:tr w:rsidR="003B7922" w:rsidRPr="006432CB" w14:paraId="6A0B8FE7" w14:textId="77777777" w:rsidTr="00777A21">
        <w:trPr>
          <w:cantSplit/>
        </w:trPr>
        <w:tc>
          <w:tcPr>
            <w:tcW w:w="2160" w:type="dxa"/>
            <w:vAlign w:val="center"/>
          </w:tcPr>
          <w:p w14:paraId="5816E58F" w14:textId="77777777" w:rsidR="003B7922" w:rsidRPr="006432CB" w:rsidRDefault="003B7922" w:rsidP="00507C73">
            <w:pPr>
              <w:pStyle w:val="ListParagraph"/>
              <w:spacing w:after="0"/>
              <w:ind w:left="0"/>
              <w:contextualSpacing w:val="0"/>
              <w:jc w:val="center"/>
              <w:rPr>
                <w:rFonts w:cs="Arial"/>
              </w:rPr>
            </w:pPr>
            <w:r w:rsidRPr="006432CB">
              <w:rPr>
                <w:rFonts w:cs="Arial"/>
              </w:rPr>
              <w:lastRenderedPageBreak/>
              <w:t>2022–23</w:t>
            </w:r>
          </w:p>
        </w:tc>
        <w:tc>
          <w:tcPr>
            <w:tcW w:w="3960" w:type="dxa"/>
            <w:shd w:val="clear" w:color="auto" w:fill="auto"/>
            <w:vAlign w:val="center"/>
          </w:tcPr>
          <w:p w14:paraId="01718634" w14:textId="77777777" w:rsidR="003B7922" w:rsidRPr="006432CB" w:rsidRDefault="003B7922" w:rsidP="00507C73">
            <w:pPr>
              <w:pStyle w:val="ListParagraph"/>
              <w:spacing w:after="0"/>
              <w:ind w:left="0"/>
              <w:contextualSpacing w:val="0"/>
              <w:jc w:val="center"/>
              <w:rPr>
                <w:rFonts w:cs="Arial"/>
              </w:rPr>
            </w:pPr>
            <w:r w:rsidRPr="006432CB">
              <w:rPr>
                <w:rFonts w:cs="Arial"/>
              </w:rPr>
              <w:t>5</w:t>
            </w:r>
          </w:p>
        </w:tc>
        <w:tc>
          <w:tcPr>
            <w:tcW w:w="3240" w:type="dxa"/>
            <w:shd w:val="clear" w:color="auto" w:fill="auto"/>
            <w:vAlign w:val="center"/>
          </w:tcPr>
          <w:p w14:paraId="7B3637E7" w14:textId="77777777" w:rsidR="003B7922" w:rsidRPr="006432CB" w:rsidRDefault="003B7922" w:rsidP="00507C73">
            <w:pPr>
              <w:pStyle w:val="ListParagraph"/>
              <w:spacing w:after="0"/>
              <w:ind w:left="0"/>
              <w:contextualSpacing w:val="0"/>
              <w:jc w:val="center"/>
              <w:rPr>
                <w:rFonts w:cs="Arial"/>
              </w:rPr>
            </w:pPr>
            <w:r w:rsidRPr="006432CB">
              <w:rPr>
                <w:rFonts w:cs="Arial"/>
              </w:rPr>
              <w:t>0</w:t>
            </w:r>
          </w:p>
        </w:tc>
      </w:tr>
      <w:tr w:rsidR="003B7922" w:rsidRPr="006432CB" w14:paraId="46688ED9" w14:textId="77777777" w:rsidTr="00777A21">
        <w:trPr>
          <w:cantSplit/>
        </w:trPr>
        <w:tc>
          <w:tcPr>
            <w:tcW w:w="2160" w:type="dxa"/>
            <w:vAlign w:val="center"/>
          </w:tcPr>
          <w:p w14:paraId="589C8761" w14:textId="77777777" w:rsidR="003B7922" w:rsidRPr="006432CB" w:rsidRDefault="003B7922" w:rsidP="00507C73">
            <w:pPr>
              <w:pStyle w:val="ListParagraph"/>
              <w:spacing w:after="0"/>
              <w:ind w:left="0"/>
              <w:contextualSpacing w:val="0"/>
              <w:jc w:val="center"/>
              <w:rPr>
                <w:rFonts w:cs="Arial"/>
              </w:rPr>
            </w:pPr>
            <w:r w:rsidRPr="006432CB">
              <w:rPr>
                <w:rFonts w:cs="Arial"/>
              </w:rPr>
              <w:t>2023–24</w:t>
            </w:r>
          </w:p>
        </w:tc>
        <w:tc>
          <w:tcPr>
            <w:tcW w:w="3960" w:type="dxa"/>
            <w:shd w:val="clear" w:color="auto" w:fill="auto"/>
          </w:tcPr>
          <w:p w14:paraId="080274C0" w14:textId="77777777" w:rsidR="003B7922" w:rsidRPr="006432CB" w:rsidRDefault="003B7922" w:rsidP="00507C73">
            <w:pPr>
              <w:pStyle w:val="ListParagraph"/>
              <w:spacing w:after="0"/>
              <w:ind w:left="0"/>
              <w:contextualSpacing w:val="0"/>
              <w:jc w:val="center"/>
              <w:rPr>
                <w:rFonts w:cs="Arial"/>
              </w:rPr>
            </w:pPr>
            <w:r w:rsidRPr="006432CB">
              <w:rPr>
                <w:rFonts w:cs="Arial"/>
              </w:rPr>
              <w:t>2</w:t>
            </w:r>
          </w:p>
        </w:tc>
        <w:tc>
          <w:tcPr>
            <w:tcW w:w="3240" w:type="dxa"/>
            <w:shd w:val="clear" w:color="auto" w:fill="auto"/>
          </w:tcPr>
          <w:p w14:paraId="61459B6D" w14:textId="77777777" w:rsidR="003B7922" w:rsidRPr="006432CB" w:rsidRDefault="003B7922" w:rsidP="00507C73">
            <w:pPr>
              <w:pStyle w:val="ListParagraph"/>
              <w:spacing w:after="0"/>
              <w:ind w:left="0"/>
              <w:contextualSpacing w:val="0"/>
              <w:jc w:val="center"/>
              <w:rPr>
                <w:rFonts w:cs="Arial"/>
              </w:rPr>
            </w:pPr>
            <w:r w:rsidRPr="006432CB">
              <w:rPr>
                <w:rFonts w:cs="Arial"/>
              </w:rPr>
              <w:t>1</w:t>
            </w:r>
          </w:p>
        </w:tc>
      </w:tr>
      <w:tr w:rsidR="003B7922" w:rsidRPr="006432CB" w14:paraId="581AD5F2" w14:textId="77777777" w:rsidTr="00777A21">
        <w:trPr>
          <w:cantSplit/>
        </w:trPr>
        <w:tc>
          <w:tcPr>
            <w:tcW w:w="2160" w:type="dxa"/>
            <w:vAlign w:val="center"/>
          </w:tcPr>
          <w:p w14:paraId="343CE40A"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Total</w:t>
            </w:r>
          </w:p>
        </w:tc>
        <w:tc>
          <w:tcPr>
            <w:tcW w:w="3960" w:type="dxa"/>
            <w:shd w:val="clear" w:color="auto" w:fill="auto"/>
          </w:tcPr>
          <w:p w14:paraId="1F0518DE"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28</w:t>
            </w:r>
          </w:p>
        </w:tc>
        <w:tc>
          <w:tcPr>
            <w:tcW w:w="3240" w:type="dxa"/>
            <w:shd w:val="clear" w:color="auto" w:fill="auto"/>
          </w:tcPr>
          <w:p w14:paraId="2197D032" w14:textId="77777777" w:rsidR="003B7922" w:rsidRPr="006432CB" w:rsidRDefault="003B7922" w:rsidP="00507C73">
            <w:pPr>
              <w:pStyle w:val="ListParagraph"/>
              <w:spacing w:after="0"/>
              <w:ind w:left="0"/>
              <w:contextualSpacing w:val="0"/>
              <w:jc w:val="center"/>
              <w:rPr>
                <w:rFonts w:cs="Arial"/>
                <w:b/>
                <w:bCs/>
              </w:rPr>
            </w:pPr>
            <w:r w:rsidRPr="006432CB">
              <w:rPr>
                <w:rFonts w:cs="Arial"/>
                <w:b/>
                <w:bCs/>
              </w:rPr>
              <w:t>3</w:t>
            </w:r>
          </w:p>
        </w:tc>
      </w:tr>
    </w:tbl>
    <w:p w14:paraId="2E9C5C9C" w14:textId="1150B536" w:rsidR="00F06D24" w:rsidRDefault="00F06D24" w:rsidP="002D37B7">
      <w:pPr>
        <w:pStyle w:val="Heading4"/>
      </w:pPr>
      <w:r w:rsidRPr="008F5DD3">
        <w:rPr>
          <w:b w:val="0"/>
          <w:bCs/>
          <w:iCs w:val="0"/>
        </w:rPr>
        <w:t xml:space="preserve">This data suggests that </w:t>
      </w:r>
      <w:r w:rsidR="00C17978" w:rsidRPr="008F5DD3">
        <w:rPr>
          <w:b w:val="0"/>
          <w:bCs/>
          <w:iCs w:val="0"/>
        </w:rPr>
        <w:t>t</w:t>
      </w:r>
      <w:r w:rsidRPr="008F5DD3">
        <w:rPr>
          <w:b w:val="0"/>
          <w:bCs/>
          <w:iCs w:val="0"/>
        </w:rPr>
        <w:t>he CDE’s projected pipeline for the proposed 2024 CSP grant cycle</w:t>
      </w:r>
      <w:r w:rsidR="00CC3B95" w:rsidRPr="008F5DD3">
        <w:rPr>
          <w:b w:val="0"/>
          <w:bCs/>
          <w:iCs w:val="0"/>
        </w:rPr>
        <w:t>,</w:t>
      </w:r>
      <w:r w:rsidRPr="008F5DD3">
        <w:rPr>
          <w:b w:val="0"/>
          <w:bCs/>
          <w:iCs w:val="0"/>
        </w:rPr>
        <w:t xml:space="preserve"> an average of 14 subgrants per year</w:t>
      </w:r>
      <w:r w:rsidR="00CC3B95" w:rsidRPr="008F5DD3">
        <w:rPr>
          <w:b w:val="0"/>
          <w:bCs/>
          <w:iCs w:val="0"/>
        </w:rPr>
        <w:t>,</w:t>
      </w:r>
      <w:r w:rsidRPr="008F5DD3">
        <w:rPr>
          <w:b w:val="0"/>
          <w:bCs/>
          <w:iCs w:val="0"/>
        </w:rPr>
        <w:t xml:space="preserve"> is realistic </w:t>
      </w:r>
      <w:r w:rsidR="00CC3B95" w:rsidRPr="008F5DD3">
        <w:rPr>
          <w:b w:val="0"/>
          <w:bCs/>
          <w:iCs w:val="0"/>
        </w:rPr>
        <w:t>given the current realities within California.</w:t>
      </w:r>
    </w:p>
    <w:p w14:paraId="0AC6BBED" w14:textId="745DE222" w:rsidR="009B2A39" w:rsidRPr="006432CB" w:rsidRDefault="009B2A39" w:rsidP="00F06D24">
      <w:pPr>
        <w:pStyle w:val="Heading3"/>
      </w:pPr>
      <w:r w:rsidRPr="006432CB">
        <w:t>Technical Assistance (7 percent of the Grant Award)</w:t>
      </w:r>
    </w:p>
    <w:p w14:paraId="31359B23" w14:textId="0478CD21" w:rsidR="00797D1B" w:rsidRPr="006432CB" w:rsidRDefault="00631D3B" w:rsidP="00C17978">
      <w:pPr>
        <w:pStyle w:val="ListParagraph"/>
        <w:ind w:left="0"/>
        <w:contextualSpacing w:val="0"/>
        <w:rPr>
          <w:rFonts w:cs="Arial"/>
        </w:rPr>
      </w:pPr>
      <w:r w:rsidRPr="006432CB">
        <w:rPr>
          <w:rFonts w:cs="Arial"/>
        </w:rPr>
        <w:t>The CDE</w:t>
      </w:r>
      <w:r w:rsidR="00797D1B" w:rsidRPr="006432CB">
        <w:rPr>
          <w:rFonts w:cs="Arial"/>
        </w:rPr>
        <w:t xml:space="preserve"> </w:t>
      </w:r>
      <w:r w:rsidR="00911F54" w:rsidRPr="006432CB">
        <w:rPr>
          <w:rFonts w:cs="Arial"/>
        </w:rPr>
        <w:t xml:space="preserve">intends to </w:t>
      </w:r>
      <w:r w:rsidR="00797D1B" w:rsidRPr="006432CB">
        <w:rPr>
          <w:rFonts w:cs="Arial"/>
        </w:rPr>
        <w:t>expend 7 percent of the subgrants awarded each FY to provide technical assistance to eligible applicants and to work with authorized public chartering agencies to improve quality and fiscal oversight of charter schools. Technical assistance activities may be supported through subgrants, contracts, or cooperative agreements.</w:t>
      </w:r>
      <w:r w:rsidR="00E13189" w:rsidRPr="006432CB">
        <w:rPr>
          <w:rFonts w:cs="Arial"/>
        </w:rPr>
        <w:t xml:space="preserve"> </w:t>
      </w:r>
      <w:r w:rsidR="00CC3B95">
        <w:rPr>
          <w:rFonts w:cs="Arial"/>
        </w:rPr>
        <w:t>T</w:t>
      </w:r>
      <w:r w:rsidR="00CC3B95" w:rsidRPr="006432CB">
        <w:rPr>
          <w:rFonts w:cs="Arial"/>
        </w:rPr>
        <w:t xml:space="preserve">he CDE </w:t>
      </w:r>
      <w:r w:rsidR="00CC3B95">
        <w:rPr>
          <w:rFonts w:cs="Arial"/>
        </w:rPr>
        <w:t>proposes</w:t>
      </w:r>
      <w:r w:rsidR="00CC3B95" w:rsidRPr="006432CB">
        <w:rPr>
          <w:rFonts w:cs="Arial"/>
        </w:rPr>
        <w:t xml:space="preserve"> to continue to provide technical assistance to charter schools through activities which may include professional learning communities, dissemination of best practices, and partnership research projects.</w:t>
      </w:r>
      <w:r w:rsidR="00CC3B95">
        <w:rPr>
          <w:rFonts w:cs="Arial"/>
        </w:rPr>
        <w:t xml:space="preserve"> The proposed activities build upon successful technical assistance efforts in the current 2020-23 CSP grant described below which </w:t>
      </w:r>
      <w:r w:rsidR="00CC3B95" w:rsidRPr="006432CB">
        <w:rPr>
          <w:rFonts w:cs="Arial"/>
        </w:rPr>
        <w:t>provide direct technical assistance to subgrantee schools and two technical assistance subgrant programs: the Charter Authorizer Support Initiative (CASI) and the Regional Technical Assistance and Coaching (RTAC).</w:t>
      </w:r>
    </w:p>
    <w:p w14:paraId="09E35F55" w14:textId="164E8C9D" w:rsidR="00B27BAB" w:rsidRPr="006432CB" w:rsidRDefault="00B27BAB" w:rsidP="002D37B7">
      <w:pPr>
        <w:pStyle w:val="Heading4"/>
      </w:pPr>
      <w:r w:rsidRPr="006432CB">
        <w:t>Charter Authorizer Technical Assistance</w:t>
      </w:r>
    </w:p>
    <w:p w14:paraId="310F7CBE" w14:textId="6EF0CB5E" w:rsidR="00B27BAB" w:rsidRPr="006432CB" w:rsidRDefault="001B7D39" w:rsidP="00600D34">
      <w:pPr>
        <w:rPr>
          <w:rFonts w:cs="Arial"/>
        </w:rPr>
      </w:pPr>
      <w:r w:rsidRPr="006432CB">
        <w:rPr>
          <w:rFonts w:cs="Arial"/>
        </w:rPr>
        <w:t>Under the</w:t>
      </w:r>
      <w:r w:rsidR="002F541E" w:rsidRPr="006432CB">
        <w:rPr>
          <w:rFonts w:cs="Arial"/>
        </w:rPr>
        <w:t xml:space="preserve"> current</w:t>
      </w:r>
      <w:r w:rsidRPr="006432CB">
        <w:rPr>
          <w:rFonts w:cs="Arial"/>
        </w:rPr>
        <w:t xml:space="preserve"> 2020</w:t>
      </w:r>
      <w:r w:rsidR="00631D3B" w:rsidRPr="006432CB">
        <w:rPr>
          <w:rFonts w:cs="Arial"/>
        </w:rPr>
        <w:t>–</w:t>
      </w:r>
      <w:r w:rsidR="002F541E" w:rsidRPr="006432CB">
        <w:rPr>
          <w:rFonts w:cs="Arial"/>
        </w:rPr>
        <w:t>2</w:t>
      </w:r>
      <w:r w:rsidR="00793769" w:rsidRPr="006432CB">
        <w:rPr>
          <w:rFonts w:cs="Arial"/>
        </w:rPr>
        <w:t>3</w:t>
      </w:r>
      <w:r w:rsidRPr="006432CB">
        <w:rPr>
          <w:rFonts w:cs="Arial"/>
        </w:rPr>
        <w:t xml:space="preserve"> CSP grant, </w:t>
      </w:r>
      <w:r w:rsidR="00797D1B" w:rsidRPr="006432CB">
        <w:rPr>
          <w:rFonts w:cs="Arial"/>
        </w:rPr>
        <w:t xml:space="preserve">CASI subgrants were awarded to the Santa Clara County Office of Education (SCCOE) and </w:t>
      </w:r>
      <w:r w:rsidR="00631D3B" w:rsidRPr="006432CB">
        <w:rPr>
          <w:rFonts w:cs="Arial"/>
        </w:rPr>
        <w:t xml:space="preserve">the </w:t>
      </w:r>
      <w:r w:rsidR="00797D1B" w:rsidRPr="006432CB">
        <w:rPr>
          <w:rFonts w:cs="Arial"/>
        </w:rPr>
        <w:t>California Charter Authorizing Professionals (CCAP)</w:t>
      </w:r>
      <w:r w:rsidR="00600D34" w:rsidRPr="006432CB">
        <w:rPr>
          <w:rFonts w:cs="Arial"/>
        </w:rPr>
        <w:t xml:space="preserve"> in December 2021</w:t>
      </w:r>
      <w:r w:rsidR="00797D1B" w:rsidRPr="006432CB">
        <w:rPr>
          <w:rFonts w:cs="Arial"/>
        </w:rPr>
        <w:t xml:space="preserve">, working in collaboration to provide trainings and disseminate </w:t>
      </w:r>
      <w:r w:rsidR="002F541E" w:rsidRPr="006432CB">
        <w:rPr>
          <w:rFonts w:cs="Arial"/>
        </w:rPr>
        <w:t xml:space="preserve">good </w:t>
      </w:r>
      <w:r w:rsidR="00797D1B" w:rsidRPr="006432CB">
        <w:rPr>
          <w:rFonts w:cs="Arial"/>
        </w:rPr>
        <w:t xml:space="preserve">practices in charter authorizing and oversight. Since beginning activities in February 2022, CASI subgrantees have provided approximately 21 monthly Charter Chats (virtual), 13 Quarterly Regional Trainings (virtual and in-person, hosted at </w:t>
      </w:r>
      <w:r w:rsidR="00631D3B" w:rsidRPr="006432CB">
        <w:rPr>
          <w:rFonts w:cs="Arial"/>
        </w:rPr>
        <w:t>county office of education</w:t>
      </w:r>
      <w:r w:rsidR="00797D1B" w:rsidRPr="006432CB">
        <w:rPr>
          <w:rFonts w:cs="Arial"/>
        </w:rPr>
        <w:t xml:space="preserve"> partner hubs), and 15 </w:t>
      </w:r>
      <w:r w:rsidR="00600D34" w:rsidRPr="006432CB">
        <w:rPr>
          <w:rFonts w:cs="Arial"/>
        </w:rPr>
        <w:t xml:space="preserve">Authorizing and Oversight 101 </w:t>
      </w:r>
      <w:r w:rsidR="00797D1B" w:rsidRPr="006432CB">
        <w:rPr>
          <w:rFonts w:cs="Arial"/>
        </w:rPr>
        <w:t>presentations at statewide conferences. As of November 2023</w:t>
      </w:r>
      <w:r w:rsidR="00600D34" w:rsidRPr="006432CB">
        <w:rPr>
          <w:rFonts w:cs="Arial"/>
        </w:rPr>
        <w:t xml:space="preserve">, </w:t>
      </w:r>
      <w:r w:rsidR="00797D1B" w:rsidRPr="006432CB">
        <w:rPr>
          <w:rFonts w:cs="Arial"/>
        </w:rPr>
        <w:t>CASI trainings have been attended by more than 2,</w:t>
      </w:r>
      <w:r w:rsidR="00600D34" w:rsidRPr="006432CB">
        <w:rPr>
          <w:rFonts w:cs="Arial"/>
        </w:rPr>
        <w:t>5</w:t>
      </w:r>
      <w:r w:rsidR="00797D1B" w:rsidRPr="006432CB">
        <w:rPr>
          <w:rFonts w:cs="Arial"/>
        </w:rPr>
        <w:t xml:space="preserve">00 participants from current or potential district or </w:t>
      </w:r>
      <w:r w:rsidR="00631D3B" w:rsidRPr="006432CB">
        <w:rPr>
          <w:rFonts w:cs="Arial"/>
        </w:rPr>
        <w:t>county office of education</w:t>
      </w:r>
      <w:r w:rsidR="00797D1B" w:rsidRPr="006432CB">
        <w:rPr>
          <w:rFonts w:cs="Arial"/>
        </w:rPr>
        <w:t xml:space="preserve"> charter school authorizers, charter schools, and non-</w:t>
      </w:r>
      <w:proofErr w:type="gramStart"/>
      <w:r w:rsidR="00797D1B" w:rsidRPr="006432CB">
        <w:rPr>
          <w:rFonts w:cs="Arial"/>
        </w:rPr>
        <w:t>authorizer</w:t>
      </w:r>
      <w:proofErr w:type="gramEnd"/>
      <w:r w:rsidR="00797D1B" w:rsidRPr="006432CB">
        <w:rPr>
          <w:rFonts w:cs="Arial"/>
        </w:rPr>
        <w:t xml:space="preserve"> education partners</w:t>
      </w:r>
      <w:r w:rsidR="00600D34" w:rsidRPr="006432CB">
        <w:rPr>
          <w:rFonts w:cs="Arial"/>
        </w:rPr>
        <w:t>. CASI participants represent 1</w:t>
      </w:r>
      <w:r w:rsidR="00B27BAB" w:rsidRPr="006432CB">
        <w:rPr>
          <w:rFonts w:cs="Arial"/>
        </w:rPr>
        <w:t>71</w:t>
      </w:r>
      <w:r w:rsidR="00600D34" w:rsidRPr="006432CB">
        <w:rPr>
          <w:rFonts w:cs="Arial"/>
        </w:rPr>
        <w:t xml:space="preserve"> current district</w:t>
      </w:r>
      <w:r w:rsidR="00631D3B" w:rsidRPr="006432CB">
        <w:rPr>
          <w:rFonts w:cs="Arial"/>
        </w:rPr>
        <w:t>s</w:t>
      </w:r>
      <w:r w:rsidR="00600D34" w:rsidRPr="006432CB">
        <w:rPr>
          <w:rFonts w:cs="Arial"/>
        </w:rPr>
        <w:t xml:space="preserve"> or </w:t>
      </w:r>
      <w:r w:rsidR="00631D3B" w:rsidRPr="006432CB">
        <w:rPr>
          <w:rFonts w:cs="Arial"/>
        </w:rPr>
        <w:t>county offices of education that</w:t>
      </w:r>
      <w:r w:rsidR="00600D34" w:rsidRPr="006432CB">
        <w:rPr>
          <w:rFonts w:cs="Arial"/>
        </w:rPr>
        <w:t xml:space="preserve"> authorize charter schools, exceeding the CSP goal of reaching 50</w:t>
      </w:r>
      <w:r w:rsidR="00631D3B" w:rsidRPr="006432CB">
        <w:rPr>
          <w:rFonts w:cs="Arial"/>
        </w:rPr>
        <w:t xml:space="preserve"> percent</w:t>
      </w:r>
      <w:r w:rsidR="00600D34" w:rsidRPr="006432CB">
        <w:rPr>
          <w:rFonts w:cs="Arial"/>
        </w:rPr>
        <w:t xml:space="preserve"> of </w:t>
      </w:r>
      <w:r w:rsidR="00631D3B" w:rsidRPr="006432CB">
        <w:rPr>
          <w:rFonts w:cs="Arial"/>
        </w:rPr>
        <w:t>California’s</w:t>
      </w:r>
      <w:r w:rsidR="00600D34" w:rsidRPr="006432CB">
        <w:rPr>
          <w:rFonts w:cs="Arial"/>
        </w:rPr>
        <w:t xml:space="preserve"> 331 authorizer</w:t>
      </w:r>
      <w:r w:rsidR="002456FA" w:rsidRPr="006432CB">
        <w:rPr>
          <w:rFonts w:cs="Arial"/>
        </w:rPr>
        <w:t>s. C</w:t>
      </w:r>
      <w:r w:rsidR="00B27BAB" w:rsidRPr="006432CB">
        <w:rPr>
          <w:rFonts w:cs="Arial"/>
        </w:rPr>
        <w:t>ASI trainings were attended by an additional</w:t>
      </w:r>
      <w:r w:rsidR="00600D34" w:rsidRPr="006432CB">
        <w:rPr>
          <w:rFonts w:cs="Arial"/>
        </w:rPr>
        <w:t xml:space="preserve"> 28 districts </w:t>
      </w:r>
      <w:r w:rsidR="00B27BAB" w:rsidRPr="006432CB">
        <w:rPr>
          <w:rFonts w:cs="Arial"/>
        </w:rPr>
        <w:t>and</w:t>
      </w:r>
      <w:r w:rsidR="00600D34" w:rsidRPr="006432CB">
        <w:rPr>
          <w:rFonts w:cs="Arial"/>
        </w:rPr>
        <w:t xml:space="preserve"> </w:t>
      </w:r>
      <w:r w:rsidR="00631D3B" w:rsidRPr="006432CB">
        <w:rPr>
          <w:rFonts w:cs="Arial"/>
        </w:rPr>
        <w:t xml:space="preserve">county offices of education that </w:t>
      </w:r>
      <w:r w:rsidR="00B27BAB" w:rsidRPr="006432CB">
        <w:rPr>
          <w:rFonts w:cs="Arial"/>
        </w:rPr>
        <w:t xml:space="preserve">do not currently </w:t>
      </w:r>
      <w:r w:rsidR="00600D34" w:rsidRPr="006432CB">
        <w:rPr>
          <w:rFonts w:cs="Arial"/>
        </w:rPr>
        <w:t>authorize charter schools</w:t>
      </w:r>
      <w:r w:rsidR="00631D3B" w:rsidRPr="006432CB">
        <w:rPr>
          <w:rFonts w:cs="Arial"/>
        </w:rPr>
        <w:t xml:space="preserve"> </w:t>
      </w:r>
      <w:r w:rsidR="001346EB">
        <w:rPr>
          <w:rFonts w:cs="Arial"/>
        </w:rPr>
        <w:t>but</w:t>
      </w:r>
      <w:r w:rsidR="00B27BAB" w:rsidRPr="006432CB">
        <w:rPr>
          <w:rFonts w:cs="Arial"/>
        </w:rPr>
        <w:t xml:space="preserve"> may become authorizers</w:t>
      </w:r>
      <w:r w:rsidR="00600D34" w:rsidRPr="006432CB">
        <w:rPr>
          <w:rFonts w:cs="Arial"/>
        </w:rPr>
        <w:t xml:space="preserve"> in the future. All CASI virtual trainings are recorded and publicly posted as well as disseminated through a listserv of over 2,100 members including all district and county superintendents.</w:t>
      </w:r>
      <w:r w:rsidR="00CC3B95">
        <w:rPr>
          <w:rFonts w:cs="Arial"/>
        </w:rPr>
        <w:t xml:space="preserve"> These activities are well aligned with the 2024 invitation for CSP applications which require a SE to demonstrate that it has taken steps to ensure tha</w:t>
      </w:r>
      <w:r w:rsidR="00F25FA5">
        <w:rPr>
          <w:rFonts w:cs="Arial"/>
        </w:rPr>
        <w:t>t</w:t>
      </w:r>
      <w:r w:rsidR="00CC3B95">
        <w:rPr>
          <w:rFonts w:cs="Arial"/>
        </w:rPr>
        <w:t xml:space="preserve"> all authorized public chartering agencies implement best practices for charter school authorizing. </w:t>
      </w:r>
    </w:p>
    <w:p w14:paraId="4D0DD951" w14:textId="4FCE3A5D" w:rsidR="00970880" w:rsidRPr="006432CB" w:rsidRDefault="00E13189" w:rsidP="002456FA">
      <w:pPr>
        <w:rPr>
          <w:rFonts w:cs="Arial"/>
        </w:rPr>
      </w:pPr>
      <w:r w:rsidRPr="006432CB">
        <w:rPr>
          <w:rFonts w:cs="Arial"/>
        </w:rPr>
        <w:lastRenderedPageBreak/>
        <w:t xml:space="preserve">Under the </w:t>
      </w:r>
      <w:r w:rsidR="002F541E" w:rsidRPr="006432CB">
        <w:rPr>
          <w:rFonts w:cs="Arial"/>
        </w:rPr>
        <w:t xml:space="preserve">proposed </w:t>
      </w:r>
      <w:r w:rsidRPr="006432CB">
        <w:rPr>
          <w:rFonts w:cs="Arial"/>
        </w:rPr>
        <w:t>2024</w:t>
      </w:r>
      <w:r w:rsidR="00631D3B" w:rsidRPr="006432CB">
        <w:rPr>
          <w:rFonts w:cs="Arial"/>
        </w:rPr>
        <w:t>–</w:t>
      </w:r>
      <w:r w:rsidR="002F541E" w:rsidRPr="006432CB">
        <w:rPr>
          <w:rFonts w:cs="Arial"/>
        </w:rPr>
        <w:t>29</w:t>
      </w:r>
      <w:r w:rsidRPr="006432CB">
        <w:rPr>
          <w:rFonts w:cs="Arial"/>
        </w:rPr>
        <w:t xml:space="preserve"> CSP grant, </w:t>
      </w:r>
      <w:r w:rsidR="00840312" w:rsidRPr="006432CB">
        <w:rPr>
          <w:rFonts w:cs="Arial"/>
        </w:rPr>
        <w:t>the CDE</w:t>
      </w:r>
      <w:r w:rsidRPr="006432CB">
        <w:rPr>
          <w:rFonts w:cs="Arial"/>
        </w:rPr>
        <w:t xml:space="preserve"> intends to continue to provide </w:t>
      </w:r>
      <w:r w:rsidR="003454B6" w:rsidRPr="006432CB">
        <w:rPr>
          <w:rFonts w:cs="Arial"/>
        </w:rPr>
        <w:t xml:space="preserve">technical assistance to </w:t>
      </w:r>
      <w:r w:rsidR="00840312" w:rsidRPr="006432CB">
        <w:rPr>
          <w:rFonts w:cs="Arial"/>
        </w:rPr>
        <w:t xml:space="preserve">all </w:t>
      </w:r>
      <w:r w:rsidR="002F541E" w:rsidRPr="006432CB">
        <w:rPr>
          <w:rFonts w:cs="Arial"/>
        </w:rPr>
        <w:t xml:space="preserve">school districts and </w:t>
      </w:r>
      <w:r w:rsidR="00631D3B" w:rsidRPr="006432CB">
        <w:rPr>
          <w:rFonts w:cs="Arial"/>
        </w:rPr>
        <w:t>county offices of education</w:t>
      </w:r>
      <w:r w:rsidR="00840312" w:rsidRPr="006432CB">
        <w:rPr>
          <w:rFonts w:cs="Arial"/>
        </w:rPr>
        <w:t xml:space="preserve"> through the activities </w:t>
      </w:r>
      <w:r w:rsidR="00631D3B" w:rsidRPr="006432CB">
        <w:rPr>
          <w:rFonts w:cs="Arial"/>
        </w:rPr>
        <w:t>that</w:t>
      </w:r>
      <w:r w:rsidR="00840312" w:rsidRPr="006432CB">
        <w:rPr>
          <w:rFonts w:cs="Arial"/>
        </w:rPr>
        <w:t xml:space="preserve"> began under CASI. Ad</w:t>
      </w:r>
      <w:r w:rsidR="003454B6" w:rsidRPr="006432CB">
        <w:rPr>
          <w:rFonts w:cs="Arial"/>
        </w:rPr>
        <w:t xml:space="preserve">ditional </w:t>
      </w:r>
      <w:r w:rsidR="00840312" w:rsidRPr="006432CB">
        <w:rPr>
          <w:rFonts w:cs="Arial"/>
        </w:rPr>
        <w:t xml:space="preserve">targeted </w:t>
      </w:r>
      <w:r w:rsidR="001B7D39" w:rsidRPr="006432CB">
        <w:rPr>
          <w:rFonts w:cs="Arial"/>
        </w:rPr>
        <w:t>support</w:t>
      </w:r>
      <w:r w:rsidR="00840312" w:rsidRPr="006432CB">
        <w:rPr>
          <w:rFonts w:cs="Arial"/>
        </w:rPr>
        <w:t xml:space="preserve"> will be provided through</w:t>
      </w:r>
      <w:r w:rsidR="001B7D39" w:rsidRPr="006432CB">
        <w:rPr>
          <w:rFonts w:cs="Arial"/>
        </w:rPr>
        <w:t xml:space="preserve"> activities which may include</w:t>
      </w:r>
      <w:r w:rsidR="00840312" w:rsidRPr="006432CB">
        <w:rPr>
          <w:rFonts w:cs="Arial"/>
        </w:rPr>
        <w:t xml:space="preserve"> trainings, research, and the development of resources for authorizing agencies </w:t>
      </w:r>
      <w:r w:rsidR="00631D3B" w:rsidRPr="006432CB">
        <w:rPr>
          <w:rFonts w:cs="Arial"/>
        </w:rPr>
        <w:t>that</w:t>
      </w:r>
      <w:r w:rsidR="00840312" w:rsidRPr="006432CB">
        <w:rPr>
          <w:rFonts w:cs="Arial"/>
        </w:rPr>
        <w:t xml:space="preserve"> are new</w:t>
      </w:r>
      <w:r w:rsidR="002F541E" w:rsidRPr="006432CB">
        <w:rPr>
          <w:rFonts w:cs="Arial"/>
        </w:rPr>
        <w:t>,</w:t>
      </w:r>
      <w:r w:rsidR="00840312" w:rsidRPr="006432CB">
        <w:rPr>
          <w:rFonts w:cs="Arial"/>
        </w:rPr>
        <w:t xml:space="preserve"> oversee a small number of charter schools</w:t>
      </w:r>
      <w:r w:rsidR="002F541E" w:rsidRPr="006432CB">
        <w:rPr>
          <w:rFonts w:cs="Arial"/>
        </w:rPr>
        <w:t>, and/or</w:t>
      </w:r>
      <w:r w:rsidR="0094558F" w:rsidRPr="006432CB">
        <w:rPr>
          <w:rFonts w:cs="Arial"/>
        </w:rPr>
        <w:t xml:space="preserve"> </w:t>
      </w:r>
      <w:r w:rsidR="002F541E" w:rsidRPr="006432CB">
        <w:rPr>
          <w:rFonts w:cs="Arial"/>
        </w:rPr>
        <w:t>oversee</w:t>
      </w:r>
      <w:r w:rsidR="00840312" w:rsidRPr="006432CB">
        <w:rPr>
          <w:rFonts w:cs="Arial"/>
        </w:rPr>
        <w:t xml:space="preserve"> </w:t>
      </w:r>
      <w:proofErr w:type="spellStart"/>
      <w:r w:rsidR="00FD6243" w:rsidRPr="006432CB">
        <w:rPr>
          <w:rFonts w:cs="Arial"/>
        </w:rPr>
        <w:t>nonclassroom</w:t>
      </w:r>
      <w:proofErr w:type="spellEnd"/>
      <w:r w:rsidR="00FD6243" w:rsidRPr="006432CB">
        <w:rPr>
          <w:rFonts w:cs="Arial"/>
        </w:rPr>
        <w:t xml:space="preserve">-based </w:t>
      </w:r>
      <w:r w:rsidR="002F541E" w:rsidRPr="006432CB">
        <w:rPr>
          <w:rFonts w:cs="Arial"/>
        </w:rPr>
        <w:t xml:space="preserve">charter </w:t>
      </w:r>
      <w:r w:rsidR="00840312" w:rsidRPr="006432CB">
        <w:rPr>
          <w:rFonts w:cs="Arial"/>
        </w:rPr>
        <w:t>schools.</w:t>
      </w:r>
    </w:p>
    <w:p w14:paraId="4E4ADCCD" w14:textId="2AEFD011" w:rsidR="001B7D39" w:rsidRPr="006432CB" w:rsidRDefault="001B7D39" w:rsidP="002D37B7">
      <w:pPr>
        <w:pStyle w:val="Heading4"/>
      </w:pPr>
      <w:r w:rsidRPr="006432CB">
        <w:t>Charter School Technical Assistance</w:t>
      </w:r>
    </w:p>
    <w:p w14:paraId="68601A61" w14:textId="7E4B21DA" w:rsidR="00600D34" w:rsidRPr="006432CB" w:rsidRDefault="001B7D39" w:rsidP="00600D34">
      <w:pPr>
        <w:rPr>
          <w:rFonts w:cs="Arial"/>
        </w:rPr>
      </w:pPr>
      <w:r w:rsidRPr="006432CB">
        <w:rPr>
          <w:rFonts w:cs="Arial"/>
        </w:rPr>
        <w:t xml:space="preserve">Under the </w:t>
      </w:r>
      <w:r w:rsidR="002F541E" w:rsidRPr="006432CB">
        <w:rPr>
          <w:rFonts w:cs="Arial"/>
        </w:rPr>
        <w:t xml:space="preserve">current </w:t>
      </w:r>
      <w:r w:rsidRPr="006432CB">
        <w:rPr>
          <w:rFonts w:cs="Arial"/>
        </w:rPr>
        <w:t>2020</w:t>
      </w:r>
      <w:r w:rsidR="00631D3B" w:rsidRPr="006432CB">
        <w:rPr>
          <w:rFonts w:cs="Arial"/>
        </w:rPr>
        <w:t>–</w:t>
      </w:r>
      <w:r w:rsidR="002F541E" w:rsidRPr="006432CB">
        <w:rPr>
          <w:rFonts w:cs="Arial"/>
        </w:rPr>
        <w:t>2</w:t>
      </w:r>
      <w:r w:rsidR="00793769" w:rsidRPr="006432CB">
        <w:rPr>
          <w:rFonts w:cs="Arial"/>
        </w:rPr>
        <w:t>3</w:t>
      </w:r>
      <w:r w:rsidRPr="006432CB">
        <w:rPr>
          <w:rFonts w:cs="Arial"/>
        </w:rPr>
        <w:t xml:space="preserve"> CSP grant, </w:t>
      </w:r>
      <w:r w:rsidR="00600D34" w:rsidRPr="006432CB">
        <w:rPr>
          <w:rFonts w:cs="Arial"/>
        </w:rPr>
        <w:t xml:space="preserve">RTAC subgrants were awarded to the Chapman University Thompson Policy Institute on Disability (Southern California), Navigator Schools (Central California), and 360 Accelerator (Northern California) in July 2022. RTAC subgrantees disseminate best practices through (1) recruitment and facilitation of Critical Friend Group (CFG) professional learning communities to develop high-quality charter schools and (2) </w:t>
      </w:r>
      <w:r w:rsidR="00B139DB" w:rsidRPr="006432CB">
        <w:rPr>
          <w:rFonts w:cs="Arial"/>
        </w:rPr>
        <w:t xml:space="preserve">provision of </w:t>
      </w:r>
      <w:r w:rsidR="00600D34" w:rsidRPr="006432CB">
        <w:rPr>
          <w:rFonts w:cs="Arial"/>
        </w:rPr>
        <w:t xml:space="preserve">best practice workshops for both charter and district schools to improve academic achievement for all students. In FY 2022–23, RTAC subgrantees provided 41 CFG meetings and 7 best practices workshops </w:t>
      </w:r>
      <w:r w:rsidR="00066DDC" w:rsidRPr="006432CB">
        <w:rPr>
          <w:rFonts w:cs="Arial"/>
        </w:rPr>
        <w:t>to</w:t>
      </w:r>
      <w:r w:rsidR="00600D34" w:rsidRPr="006432CB">
        <w:rPr>
          <w:rFonts w:cs="Arial"/>
        </w:rPr>
        <w:t xml:space="preserve"> a total of 442 participants from 68 charter schools as well as district schools and other education partners.</w:t>
      </w:r>
    </w:p>
    <w:p w14:paraId="05242946" w14:textId="688FF425" w:rsidR="009B2A39" w:rsidRPr="001346EB" w:rsidRDefault="00066DDC" w:rsidP="009B2A39">
      <w:pPr>
        <w:rPr>
          <w:rFonts w:cs="Arial"/>
        </w:rPr>
      </w:pPr>
      <w:r w:rsidRPr="006432CB">
        <w:rPr>
          <w:rFonts w:cs="Arial"/>
        </w:rPr>
        <w:t>CDE and SBE staff</w:t>
      </w:r>
      <w:r w:rsidR="009B2A39" w:rsidRPr="006432CB">
        <w:rPr>
          <w:rFonts w:cs="Arial"/>
        </w:rPr>
        <w:t xml:space="preserve"> are committed to building partnerships within California to provide technical assistance to assist charter schools and authorizers </w:t>
      </w:r>
      <w:r w:rsidR="001346EB">
        <w:rPr>
          <w:rFonts w:cs="Arial"/>
        </w:rPr>
        <w:t xml:space="preserve">and </w:t>
      </w:r>
      <w:r w:rsidR="009B2A39" w:rsidRPr="006432CB">
        <w:t xml:space="preserve">to maximize statewide dissemination that supports the objectives of the CSP grant and the Local Control Funding Formula eight state priorities. It is the intent of </w:t>
      </w:r>
      <w:r w:rsidRPr="006432CB">
        <w:t xml:space="preserve">CDE and SBE staff </w:t>
      </w:r>
      <w:r w:rsidR="009B2A39" w:rsidRPr="006432CB">
        <w:t xml:space="preserve">to collaborate with and provide dissemination opportunities with agencies and organizations that demonstrate successful education leadership, provide best practices, initiate successful models for college and career readiness, and support activities for underserved areas. </w:t>
      </w:r>
      <w:r w:rsidRPr="006432CB">
        <w:t>CDE and SBE staff</w:t>
      </w:r>
      <w:r w:rsidR="009B2A39" w:rsidRPr="006432CB">
        <w:t xml:space="preserve"> anticipate working collaboratively with partner organizations to leverage dissemination to support access, equity, and improved student outcomes.</w:t>
      </w:r>
    </w:p>
    <w:p w14:paraId="3845415B" w14:textId="17261FC7" w:rsidR="009B2A39" w:rsidRPr="006432CB" w:rsidRDefault="009B2A39" w:rsidP="00F06D24">
      <w:pPr>
        <w:pStyle w:val="Heading3"/>
      </w:pPr>
      <w:r w:rsidRPr="006432CB">
        <w:t>Program Oversight (Administrative Funds, 3 percent of the Grant Award)</w:t>
      </w:r>
    </w:p>
    <w:p w14:paraId="53E91BC5" w14:textId="75962693" w:rsidR="009B2A39" w:rsidRPr="006432CB" w:rsidRDefault="002F541E" w:rsidP="009B2A39">
      <w:pPr>
        <w:pStyle w:val="ListParagraph"/>
        <w:ind w:left="0"/>
        <w:contextualSpacing w:val="0"/>
        <w:rPr>
          <w:rFonts w:cs="Arial"/>
        </w:rPr>
      </w:pPr>
      <w:r w:rsidRPr="006432CB">
        <w:rPr>
          <w:rFonts w:cs="Arial"/>
        </w:rPr>
        <w:t xml:space="preserve">The CDE </w:t>
      </w:r>
      <w:r w:rsidR="009B2A39" w:rsidRPr="006432CB">
        <w:rPr>
          <w:rFonts w:cs="Arial"/>
        </w:rPr>
        <w:t>may expend up to 3 percent of the subgrants awarded each FY for administrative activities. This funding provides the resources for administrative staff to manage the CSP</w:t>
      </w:r>
      <w:r w:rsidR="00066DDC" w:rsidRPr="006432CB">
        <w:rPr>
          <w:rFonts w:cs="Arial"/>
        </w:rPr>
        <w:t>,</w:t>
      </w:r>
      <w:r w:rsidR="009B2A39" w:rsidRPr="006432CB">
        <w:rPr>
          <w:rFonts w:cs="Arial"/>
        </w:rPr>
        <w:t xml:space="preserve"> including conducting </w:t>
      </w:r>
      <w:r w:rsidR="00691D3E" w:rsidRPr="006432CB">
        <w:rPr>
          <w:rFonts w:cs="Arial"/>
        </w:rPr>
        <w:t>sub</w:t>
      </w:r>
      <w:r w:rsidR="009B2A39" w:rsidRPr="006432CB">
        <w:rPr>
          <w:rFonts w:cs="Arial"/>
        </w:rPr>
        <w:t xml:space="preserve">grant competition peer reviews; desk-and site-visit monitoring; program evaluation and reporting; and </w:t>
      </w:r>
      <w:r w:rsidR="003373BE" w:rsidRPr="006432CB">
        <w:rPr>
          <w:rFonts w:cs="Arial"/>
        </w:rPr>
        <w:t>training</w:t>
      </w:r>
      <w:r w:rsidR="009B2A39" w:rsidRPr="006432CB">
        <w:rPr>
          <w:rFonts w:cs="Arial"/>
        </w:rPr>
        <w:t xml:space="preserve"> required of the grant.</w:t>
      </w:r>
    </w:p>
    <w:p w14:paraId="634FF2D6" w14:textId="1C52CE44" w:rsidR="00970880" w:rsidRPr="006432CB" w:rsidRDefault="00075804" w:rsidP="002F1563">
      <w:pPr>
        <w:rPr>
          <w:rFonts w:cs="Arial"/>
        </w:rPr>
      </w:pPr>
      <w:r w:rsidRPr="006432CB">
        <w:rPr>
          <w:rFonts w:cs="Arial"/>
        </w:rPr>
        <w:t>CDE and SBE staff will continue to collaborate on the management of all aspects of the grant.</w:t>
      </w:r>
    </w:p>
    <w:p w14:paraId="30DB3AFF" w14:textId="32683898" w:rsidR="009B2A39" w:rsidRPr="006432CB" w:rsidRDefault="009B2A39" w:rsidP="00F06D24">
      <w:pPr>
        <w:pStyle w:val="Heading3"/>
      </w:pPr>
      <w:r w:rsidRPr="006432CB">
        <w:t>High-Quality Applicants and High-Quality Charter Schools</w:t>
      </w:r>
    </w:p>
    <w:p w14:paraId="657307B9" w14:textId="49ACFBAB" w:rsidR="009B2A39" w:rsidRPr="006432CB" w:rsidRDefault="009B2A39" w:rsidP="009B2A39">
      <w:pPr>
        <w:pStyle w:val="ListParagraph"/>
        <w:ind w:left="0"/>
        <w:contextualSpacing w:val="0"/>
        <w:rPr>
          <w:rFonts w:cs="Arial"/>
        </w:rPr>
      </w:pPr>
      <w:r w:rsidRPr="001346EB">
        <w:rPr>
          <w:rFonts w:cs="Arial"/>
        </w:rPr>
        <w:t>Federal grant funds can be used for the operation of new charter schools and to replicate and expand existing high-quality charter schools</w:t>
      </w:r>
      <w:r w:rsidR="006F1FCA" w:rsidRPr="001346EB">
        <w:rPr>
          <w:rFonts w:cs="Arial"/>
        </w:rPr>
        <w:t xml:space="preserve"> as defined in 20 U.S.C. </w:t>
      </w:r>
      <w:r w:rsidR="006F1FCA" w:rsidRPr="001346EB">
        <w:rPr>
          <w:rFonts w:cs="Arial"/>
        </w:rPr>
        <w:lastRenderedPageBreak/>
        <w:t>Section 7221i(8)(A) through (D)</w:t>
      </w:r>
      <w:r w:rsidRPr="001346EB">
        <w:rPr>
          <w:rFonts w:cs="Arial"/>
        </w:rPr>
        <w:t xml:space="preserve">. For the purposes of the grant application, the CDE </w:t>
      </w:r>
      <w:r w:rsidR="006F1FCA" w:rsidRPr="001346EB">
        <w:rPr>
          <w:rFonts w:cs="Arial"/>
        </w:rPr>
        <w:t>defines</w:t>
      </w:r>
      <w:r w:rsidRPr="001346EB">
        <w:rPr>
          <w:rFonts w:cs="Arial"/>
        </w:rPr>
        <w:t xml:space="preserve"> “high-quality” criteria</w:t>
      </w:r>
      <w:r w:rsidR="006F1FCA" w:rsidRPr="001346EB">
        <w:rPr>
          <w:rFonts w:cs="Arial"/>
        </w:rPr>
        <w:t>, which</w:t>
      </w:r>
      <w:r w:rsidRPr="001346EB">
        <w:rPr>
          <w:rFonts w:cs="Arial"/>
        </w:rPr>
        <w:t xml:space="preserve"> align</w:t>
      </w:r>
      <w:r w:rsidR="006F1FCA" w:rsidRPr="001346EB">
        <w:rPr>
          <w:rFonts w:cs="Arial"/>
        </w:rPr>
        <w:t>s</w:t>
      </w:r>
      <w:r w:rsidRPr="001346EB">
        <w:rPr>
          <w:rFonts w:cs="Arial"/>
        </w:rPr>
        <w:t xml:space="preserve"> with federal CSP requirements</w:t>
      </w:r>
      <w:r w:rsidR="006F1FCA" w:rsidRPr="001346EB">
        <w:rPr>
          <w:rFonts w:cs="Arial"/>
        </w:rPr>
        <w:t>, as follows</w:t>
      </w:r>
      <w:r w:rsidRPr="001346EB">
        <w:rPr>
          <w:rFonts w:cs="Arial"/>
        </w:rPr>
        <w:t>:</w:t>
      </w:r>
    </w:p>
    <w:p w14:paraId="521EF13C" w14:textId="35876E64" w:rsidR="00A545E1" w:rsidRPr="006432CB" w:rsidRDefault="00F93E31" w:rsidP="002D37B7">
      <w:pPr>
        <w:pStyle w:val="Heading4"/>
      </w:pPr>
      <w:bookmarkStart w:id="1" w:name="_Hlk158722645"/>
      <w:r w:rsidRPr="006432CB">
        <w:t xml:space="preserve">20 </w:t>
      </w:r>
      <w:r w:rsidR="000A3870" w:rsidRPr="006432CB">
        <w:t>U.S.C. Section 7221i(8)(</w:t>
      </w:r>
      <w:r w:rsidR="00E31CB7" w:rsidRPr="006432CB">
        <w:t>A</w:t>
      </w:r>
      <w:r w:rsidR="000A3870" w:rsidRPr="006432CB">
        <w:t>)</w:t>
      </w:r>
      <w:bookmarkEnd w:id="1"/>
    </w:p>
    <w:p w14:paraId="4C1374E2" w14:textId="77777777" w:rsidR="00D8476C" w:rsidRPr="006432CB" w:rsidRDefault="009B2A39" w:rsidP="00A545E1">
      <w:pPr>
        <w:pStyle w:val="ListParagraph"/>
        <w:numPr>
          <w:ilvl w:val="0"/>
          <w:numId w:val="25"/>
        </w:numPr>
        <w:autoSpaceDE w:val="0"/>
        <w:autoSpaceDN w:val="0"/>
        <w:adjustRightInd w:val="0"/>
        <w:contextualSpacing w:val="0"/>
      </w:pPr>
      <w:bookmarkStart w:id="2" w:name="_Hlk148601014"/>
      <w:r w:rsidRPr="006432CB">
        <w:t xml:space="preserve">For existing charter schools applying for </w:t>
      </w:r>
      <w:r w:rsidR="00691D3E" w:rsidRPr="006432CB">
        <w:t>sub</w:t>
      </w:r>
      <w:r w:rsidRPr="006432CB">
        <w:t xml:space="preserve">grants to replicate </w:t>
      </w:r>
      <w:r w:rsidR="002F541E" w:rsidRPr="006432CB">
        <w:t xml:space="preserve">or </w:t>
      </w:r>
      <w:r w:rsidRPr="006432CB">
        <w:t>expand, the CDE has defined “strong academic results” as</w:t>
      </w:r>
      <w:r w:rsidR="00066DDC" w:rsidRPr="006432CB">
        <w:t xml:space="preserve"> </w:t>
      </w:r>
      <w:r w:rsidRPr="006432CB">
        <w:t>those schools that</w:t>
      </w:r>
      <w:r w:rsidR="00D8476C" w:rsidRPr="006432CB">
        <w:t>:</w:t>
      </w:r>
    </w:p>
    <w:p w14:paraId="62006265" w14:textId="17767B7B" w:rsidR="00D8476C" w:rsidRPr="006432CB" w:rsidRDefault="00D8476C" w:rsidP="00D8476C">
      <w:pPr>
        <w:pStyle w:val="ListParagraph"/>
        <w:numPr>
          <w:ilvl w:val="1"/>
          <w:numId w:val="25"/>
        </w:numPr>
        <w:autoSpaceDE w:val="0"/>
        <w:autoSpaceDN w:val="0"/>
        <w:adjustRightInd w:val="0"/>
        <w:contextualSpacing w:val="0"/>
      </w:pPr>
      <w:r w:rsidRPr="006432CB">
        <w:t>M</w:t>
      </w:r>
      <w:r w:rsidR="009B2A39" w:rsidRPr="006432CB">
        <w:t xml:space="preserve">eet the “high performing” track for renewal </w:t>
      </w:r>
      <w:r w:rsidRPr="006432CB">
        <w:t>based on</w:t>
      </w:r>
      <w:r w:rsidR="009B2A39" w:rsidRPr="006432CB">
        <w:t xml:space="preserve"> </w:t>
      </w:r>
      <w:r w:rsidR="009B2A39" w:rsidRPr="006432CB">
        <w:rPr>
          <w:i/>
        </w:rPr>
        <w:t>EC</w:t>
      </w:r>
      <w:r w:rsidR="009B2A39" w:rsidRPr="006432CB">
        <w:t xml:space="preserve"> Section 47607</w:t>
      </w:r>
      <w:r w:rsidRPr="006432CB">
        <w:t xml:space="preserve"> criteria</w:t>
      </w:r>
      <w:r w:rsidR="009B2A39" w:rsidRPr="006432CB">
        <w:t>, as adopted by the Legislature in A</w:t>
      </w:r>
      <w:r w:rsidR="00066DDC" w:rsidRPr="006432CB">
        <w:t>ssembly Bill</w:t>
      </w:r>
      <w:r w:rsidR="009B2A39" w:rsidRPr="006432CB">
        <w:t xml:space="preserve"> 1505</w:t>
      </w:r>
      <w:r w:rsidR="00FC47CD" w:rsidRPr="006432CB">
        <w:t>, or</w:t>
      </w:r>
    </w:p>
    <w:p w14:paraId="48952A5A" w14:textId="19F9F297" w:rsidR="009B2A39" w:rsidRPr="006432CB" w:rsidRDefault="00FC47CD" w:rsidP="00D8476C">
      <w:pPr>
        <w:pStyle w:val="ListParagraph"/>
        <w:numPr>
          <w:ilvl w:val="1"/>
          <w:numId w:val="25"/>
        </w:numPr>
        <w:autoSpaceDE w:val="0"/>
        <w:autoSpaceDN w:val="0"/>
        <w:adjustRightInd w:val="0"/>
        <w:contextualSpacing w:val="0"/>
      </w:pPr>
      <w:r w:rsidRPr="006432CB">
        <w:t>M</w:t>
      </w:r>
      <w:r w:rsidR="00D8476C" w:rsidRPr="006432CB">
        <w:t>eet</w:t>
      </w:r>
      <w:r w:rsidR="009B2A39" w:rsidRPr="006432CB">
        <w:t xml:space="preserve"> the “middle performing” </w:t>
      </w:r>
      <w:r w:rsidR="00D8476C" w:rsidRPr="006432CB">
        <w:t xml:space="preserve">track </w:t>
      </w:r>
      <w:r w:rsidR="009B2A39" w:rsidRPr="006432CB">
        <w:t>for renewal</w:t>
      </w:r>
      <w:r w:rsidR="00D8476C" w:rsidRPr="006432CB">
        <w:t xml:space="preserve"> based on </w:t>
      </w:r>
      <w:r w:rsidR="00D8476C" w:rsidRPr="006432CB">
        <w:rPr>
          <w:i/>
          <w:iCs/>
        </w:rPr>
        <w:t xml:space="preserve">EC </w:t>
      </w:r>
      <w:r w:rsidR="00D8476C" w:rsidRPr="006432CB">
        <w:t>Section 47607 criteria and</w:t>
      </w:r>
      <w:r w:rsidR="009B2A39" w:rsidRPr="006432CB">
        <w:t>:</w:t>
      </w:r>
    </w:p>
    <w:p w14:paraId="1D868F05" w14:textId="07E753E3" w:rsidR="009B2A39" w:rsidRPr="006432CB" w:rsidRDefault="00D8476C" w:rsidP="00D8476C">
      <w:pPr>
        <w:pStyle w:val="ListParagraph"/>
        <w:numPr>
          <w:ilvl w:val="2"/>
          <w:numId w:val="26"/>
        </w:numPr>
        <w:contextualSpacing w:val="0"/>
      </w:pPr>
      <w:r w:rsidRPr="006432CB">
        <w:t xml:space="preserve">Meet or exceed the district in which the </w:t>
      </w:r>
      <w:r w:rsidR="00712BAF" w:rsidRPr="006432CB">
        <w:t xml:space="preserve">charter </w:t>
      </w:r>
      <w:r w:rsidRPr="006432CB">
        <w:t xml:space="preserve">school is physically located on </w:t>
      </w:r>
      <w:r w:rsidR="009B2A39" w:rsidRPr="006432CB">
        <w:t>academic performance indicators for English language arts and math.</w:t>
      </w:r>
    </w:p>
    <w:p w14:paraId="67659904" w14:textId="68022FD6" w:rsidR="00A545E1" w:rsidRPr="006432CB" w:rsidRDefault="00F93E31" w:rsidP="002D37B7">
      <w:pPr>
        <w:pStyle w:val="Heading4"/>
      </w:pPr>
      <w:bookmarkStart w:id="3" w:name="_Hlk158722733"/>
      <w:r w:rsidRPr="006432CB">
        <w:t xml:space="preserve">20 </w:t>
      </w:r>
      <w:r w:rsidR="000A3870" w:rsidRPr="006432CB">
        <w:t>U.S.C. Section 7221i(8)(</w:t>
      </w:r>
      <w:r w:rsidR="00E31CB7" w:rsidRPr="006432CB">
        <w:t>B</w:t>
      </w:r>
      <w:r w:rsidR="000A3870" w:rsidRPr="006432CB">
        <w:t>)</w:t>
      </w:r>
      <w:bookmarkEnd w:id="3"/>
    </w:p>
    <w:bookmarkEnd w:id="2"/>
    <w:p w14:paraId="36DBD7BA" w14:textId="23FFAC0D" w:rsidR="00970880" w:rsidRPr="006432CB" w:rsidRDefault="009B2A39" w:rsidP="002F1563">
      <w:pPr>
        <w:numPr>
          <w:ilvl w:val="0"/>
          <w:numId w:val="11"/>
        </w:numPr>
        <w:autoSpaceDE w:val="0"/>
        <w:autoSpaceDN w:val="0"/>
        <w:adjustRightInd w:val="0"/>
        <w:rPr>
          <w:rFonts w:cs="Arial"/>
        </w:rPr>
      </w:pPr>
      <w:r w:rsidRPr="006432CB">
        <w:rPr>
          <w:rFonts w:cs="Arial"/>
        </w:rPr>
        <w:t>The charter school has no significant issues in the areas of student safety, financial and operational management, or statutory or regulatory compliance.</w:t>
      </w:r>
    </w:p>
    <w:p w14:paraId="0C6B6E7D" w14:textId="5D86B535" w:rsidR="00F93E31" w:rsidRPr="006432CB" w:rsidRDefault="00F93E31" w:rsidP="002D37B7">
      <w:pPr>
        <w:pStyle w:val="Heading4"/>
        <w:rPr>
          <w:rFonts w:cs="Arial"/>
        </w:rPr>
      </w:pPr>
      <w:r w:rsidRPr="006432CB">
        <w:t xml:space="preserve">20 </w:t>
      </w:r>
      <w:r w:rsidR="000A3870" w:rsidRPr="006432CB">
        <w:t>U.S.C. Section 7221i(</w:t>
      </w:r>
      <w:proofErr w:type="gramStart"/>
      <w:r w:rsidR="000A3870" w:rsidRPr="006432CB">
        <w:t>8)(</w:t>
      </w:r>
      <w:proofErr w:type="gramEnd"/>
      <w:r w:rsidR="000A3870" w:rsidRPr="006432CB">
        <w:t>C-D)</w:t>
      </w:r>
    </w:p>
    <w:p w14:paraId="45C8EA02" w14:textId="0649F6AD" w:rsidR="009B2A39" w:rsidRPr="006432CB" w:rsidRDefault="009B2A39" w:rsidP="00066DDC">
      <w:pPr>
        <w:numPr>
          <w:ilvl w:val="0"/>
          <w:numId w:val="16"/>
        </w:numPr>
        <w:autoSpaceDE w:val="0"/>
        <w:autoSpaceDN w:val="0"/>
        <w:adjustRightInd w:val="0"/>
        <w:rPr>
          <w:rFonts w:cs="Arial"/>
        </w:rPr>
      </w:pPr>
      <w:r w:rsidRPr="006432CB">
        <w:rPr>
          <w:rFonts w:cs="Arial"/>
        </w:rPr>
        <w:t xml:space="preserve">Evidence of increasing academic achievement for all students and each subgroup of students served by the charter school </w:t>
      </w:r>
      <w:proofErr w:type="gramStart"/>
      <w:r w:rsidRPr="006432CB">
        <w:rPr>
          <w:rFonts w:cs="Arial"/>
        </w:rPr>
        <w:t>based</w:t>
      </w:r>
      <w:proofErr w:type="gramEnd"/>
      <w:r w:rsidRPr="006432CB">
        <w:rPr>
          <w:rFonts w:cs="Arial"/>
        </w:rPr>
        <w:t xml:space="preserve"> o</w:t>
      </w:r>
      <w:r w:rsidR="00834C66" w:rsidRPr="006432CB">
        <w:rPr>
          <w:rFonts w:cs="Arial"/>
        </w:rPr>
        <w:t>n</w:t>
      </w:r>
      <w:r w:rsidRPr="006432CB">
        <w:rPr>
          <w:rFonts w:cs="Arial"/>
        </w:rPr>
        <w:t xml:space="preserve"> </w:t>
      </w:r>
      <w:r w:rsidR="00D8476C" w:rsidRPr="006432CB">
        <w:rPr>
          <w:rFonts w:cs="Arial"/>
        </w:rPr>
        <w:t>the</w:t>
      </w:r>
      <w:r w:rsidR="00712BAF" w:rsidRPr="006432CB">
        <w:rPr>
          <w:rFonts w:cs="Arial"/>
        </w:rPr>
        <w:t xml:space="preserve"> charter</w:t>
      </w:r>
      <w:r w:rsidR="00D8476C" w:rsidRPr="006432CB">
        <w:rPr>
          <w:rFonts w:cs="Arial"/>
        </w:rPr>
        <w:t xml:space="preserve"> school’s Local Control and Accountability Plan (LCAP).</w:t>
      </w:r>
    </w:p>
    <w:p w14:paraId="306EE2A1" w14:textId="48F24D5F" w:rsidR="004F5749" w:rsidRPr="006432CB" w:rsidRDefault="009B2A39" w:rsidP="00D8476C">
      <w:pPr>
        <w:numPr>
          <w:ilvl w:val="0"/>
          <w:numId w:val="16"/>
        </w:numPr>
        <w:autoSpaceDE w:val="0"/>
        <w:autoSpaceDN w:val="0"/>
        <w:adjustRightInd w:val="0"/>
        <w:rPr>
          <w:rFonts w:cs="Arial"/>
        </w:rPr>
      </w:pPr>
      <w:r w:rsidRPr="006432CB">
        <w:rPr>
          <w:rFonts w:cs="Arial"/>
        </w:rPr>
        <w:t>Evidence of increasing graduation rates, if applicable, for all students and each subgroup of students served by the charter school</w:t>
      </w:r>
      <w:r w:rsidR="00D8476C" w:rsidRPr="006432CB">
        <w:rPr>
          <w:rFonts w:cs="Arial"/>
        </w:rPr>
        <w:t>.</w:t>
      </w:r>
    </w:p>
    <w:p w14:paraId="18EF4A43" w14:textId="3CE5B4E9" w:rsidR="009B2A39" w:rsidRPr="006432CB" w:rsidRDefault="009B2A39" w:rsidP="004F5749">
      <w:pPr>
        <w:spacing w:before="240"/>
        <w:rPr>
          <w:rFonts w:cs="Arial"/>
        </w:rPr>
      </w:pPr>
      <w:r w:rsidRPr="006432CB">
        <w:rPr>
          <w:rFonts w:cs="Arial"/>
        </w:rPr>
        <w:t xml:space="preserve">All applicants for </w:t>
      </w:r>
      <w:r w:rsidR="002F541E" w:rsidRPr="006432CB">
        <w:rPr>
          <w:rFonts w:cs="Arial"/>
        </w:rPr>
        <w:t xml:space="preserve">Replication and </w:t>
      </w:r>
      <w:r w:rsidRPr="006432CB">
        <w:rPr>
          <w:rFonts w:cs="Arial"/>
        </w:rPr>
        <w:t xml:space="preserve">Expansion subgrants must meet the high-quality criteria </w:t>
      </w:r>
      <w:proofErr w:type="gramStart"/>
      <w:r w:rsidRPr="006432CB">
        <w:rPr>
          <w:rFonts w:cs="Arial"/>
        </w:rPr>
        <w:t>in order to</w:t>
      </w:r>
      <w:proofErr w:type="gramEnd"/>
      <w:r w:rsidRPr="006432CB">
        <w:rPr>
          <w:rFonts w:cs="Arial"/>
        </w:rPr>
        <w:t xml:space="preserve"> be awarded</w:t>
      </w:r>
      <w:r w:rsidR="001911A6">
        <w:rPr>
          <w:rFonts w:cs="Arial"/>
        </w:rPr>
        <w:t xml:space="preserve"> funds</w:t>
      </w:r>
      <w:r w:rsidRPr="006432CB">
        <w:rPr>
          <w:rFonts w:cs="Arial"/>
        </w:rPr>
        <w:t xml:space="preserve">. </w:t>
      </w:r>
      <w:r w:rsidR="004F5749" w:rsidRPr="006432CB">
        <w:rPr>
          <w:rFonts w:cs="Arial"/>
        </w:rPr>
        <w:t xml:space="preserve">All charter management organizations or non-profit organizations with authority over more than one charter school are only eligible to apply for Replication or Expansion subgrants and must meet the high-quality criteria for the </w:t>
      </w:r>
      <w:r w:rsidR="002F541E" w:rsidRPr="006432CB">
        <w:rPr>
          <w:rFonts w:cs="Arial"/>
        </w:rPr>
        <w:t xml:space="preserve">charter </w:t>
      </w:r>
      <w:r w:rsidR="004F5749" w:rsidRPr="006432CB">
        <w:rPr>
          <w:rFonts w:cs="Arial"/>
        </w:rPr>
        <w:t>school being replicated or expanded.</w:t>
      </w:r>
    </w:p>
    <w:p w14:paraId="2F00B732" w14:textId="6E51CFED" w:rsidR="009B2A39" w:rsidRPr="006432CB" w:rsidRDefault="00691D3E" w:rsidP="009B2A39">
      <w:pPr>
        <w:pStyle w:val="ListParagraph"/>
        <w:ind w:left="0"/>
        <w:contextualSpacing w:val="0"/>
        <w:rPr>
          <w:rFonts w:cs="Arial"/>
        </w:rPr>
      </w:pPr>
      <w:r w:rsidRPr="006432CB">
        <w:rPr>
          <w:rFonts w:cs="Arial"/>
        </w:rPr>
        <w:t>For all applicants, t</w:t>
      </w:r>
      <w:r w:rsidR="009B2A39" w:rsidRPr="006432CB">
        <w:rPr>
          <w:rFonts w:cs="Arial"/>
        </w:rPr>
        <w:t xml:space="preserve">he CDE will use the charter school’s petition and </w:t>
      </w:r>
      <w:r w:rsidRPr="006432CB">
        <w:rPr>
          <w:rFonts w:cs="Arial"/>
        </w:rPr>
        <w:t>sub</w:t>
      </w:r>
      <w:r w:rsidR="009B2A39" w:rsidRPr="006432CB">
        <w:rPr>
          <w:rFonts w:cs="Arial"/>
        </w:rPr>
        <w:t xml:space="preserve">grant application to evaluate if the charter school is highly likely to be successful in implementing the plans put forth in the CSP subgrant application. </w:t>
      </w:r>
      <w:proofErr w:type="gramStart"/>
      <w:r w:rsidR="00911F54" w:rsidRPr="006432CB">
        <w:rPr>
          <w:rFonts w:cs="Arial"/>
        </w:rPr>
        <w:t>In order to</w:t>
      </w:r>
      <w:proofErr w:type="gramEnd"/>
      <w:r w:rsidR="00911F54" w:rsidRPr="006432CB">
        <w:rPr>
          <w:rFonts w:cs="Arial"/>
        </w:rPr>
        <w:t xml:space="preserve"> meet eligibility requirements, all subgrant applicants must</w:t>
      </w:r>
      <w:r w:rsidR="00066DDC" w:rsidRPr="006432CB">
        <w:rPr>
          <w:rFonts w:cs="Arial"/>
        </w:rPr>
        <w:t xml:space="preserve"> do the following</w:t>
      </w:r>
      <w:r w:rsidR="009B2A39" w:rsidRPr="006432CB">
        <w:rPr>
          <w:rFonts w:cs="Arial"/>
        </w:rPr>
        <w:t>:</w:t>
      </w:r>
    </w:p>
    <w:p w14:paraId="4A068489" w14:textId="1072B65C" w:rsidR="00B91BFF" w:rsidRPr="006432CB" w:rsidRDefault="00B91BFF" w:rsidP="00066DDC">
      <w:pPr>
        <w:pStyle w:val="ListParagraph"/>
        <w:numPr>
          <w:ilvl w:val="0"/>
          <w:numId w:val="27"/>
        </w:numPr>
        <w:contextualSpacing w:val="0"/>
      </w:pPr>
      <w:r w:rsidRPr="006432CB">
        <w:t xml:space="preserve">Provide evidence of meeting the federal definition of a charter school under </w:t>
      </w:r>
      <w:r w:rsidR="00F93E31" w:rsidRPr="006432CB">
        <w:t xml:space="preserve">20 </w:t>
      </w:r>
      <w:r w:rsidR="000A3870" w:rsidRPr="006432CB">
        <w:t>U.S.C. Section 7221</w:t>
      </w:r>
      <w:proofErr w:type="gramStart"/>
      <w:r w:rsidR="000A3870" w:rsidRPr="006432CB">
        <w:t>i(</w:t>
      </w:r>
      <w:proofErr w:type="gramEnd"/>
      <w:r w:rsidR="000A3870" w:rsidRPr="006432CB">
        <w:t>2).</w:t>
      </w:r>
    </w:p>
    <w:p w14:paraId="7B7BB9DF" w14:textId="0833E5E0" w:rsidR="001B7D39" w:rsidRPr="006432CB" w:rsidRDefault="001B7D39" w:rsidP="00066DDC">
      <w:pPr>
        <w:pStyle w:val="ListParagraph"/>
        <w:numPr>
          <w:ilvl w:val="0"/>
          <w:numId w:val="27"/>
        </w:numPr>
        <w:contextualSpacing w:val="0"/>
      </w:pPr>
      <w:r w:rsidRPr="006432CB">
        <w:t>Provide all students in the community with an equal opportunity to attend the charter school.</w:t>
      </w:r>
    </w:p>
    <w:p w14:paraId="6B0F62DB" w14:textId="4B8DF1B7" w:rsidR="009B2A39" w:rsidRPr="006432CB" w:rsidRDefault="001B7D39" w:rsidP="00066DDC">
      <w:pPr>
        <w:pStyle w:val="ListParagraph"/>
        <w:numPr>
          <w:ilvl w:val="0"/>
          <w:numId w:val="27"/>
        </w:numPr>
        <w:contextualSpacing w:val="0"/>
      </w:pPr>
      <w:r w:rsidRPr="006432CB">
        <w:lastRenderedPageBreak/>
        <w:t>Have an a</w:t>
      </w:r>
      <w:r w:rsidR="009B2A39" w:rsidRPr="006432CB">
        <w:t>pproved charter petition by the application due date</w:t>
      </w:r>
      <w:r w:rsidRPr="006432CB">
        <w:t>.</w:t>
      </w:r>
    </w:p>
    <w:p w14:paraId="181F34CD" w14:textId="23751884" w:rsidR="00911F54" w:rsidRPr="006432CB" w:rsidRDefault="00911F54" w:rsidP="00066DDC">
      <w:pPr>
        <w:pStyle w:val="ListParagraph"/>
        <w:numPr>
          <w:ilvl w:val="0"/>
          <w:numId w:val="27"/>
        </w:numPr>
        <w:contextualSpacing w:val="0"/>
        <w:rPr>
          <w:rStyle w:val="cf01"/>
          <w:rFonts w:ascii="Arial" w:hAnsi="Arial" w:cs="Arial"/>
          <w:sz w:val="24"/>
          <w:szCs w:val="24"/>
        </w:rPr>
      </w:pPr>
      <w:r w:rsidRPr="006432CB">
        <w:rPr>
          <w:rStyle w:val="cf01"/>
          <w:rFonts w:ascii="Arial" w:eastAsiaTheme="majorEastAsia" w:hAnsi="Arial" w:cs="Arial"/>
          <w:sz w:val="24"/>
          <w:szCs w:val="24"/>
        </w:rPr>
        <w:t>Maintain an active registration with the Secretary of State, which reflects the entity as a non-profit and in "good standing.”</w:t>
      </w:r>
    </w:p>
    <w:p w14:paraId="4ECA5A74" w14:textId="5BB6A081" w:rsidR="009B2A39" w:rsidRPr="006432CB" w:rsidRDefault="00911F54" w:rsidP="00066DDC">
      <w:pPr>
        <w:pStyle w:val="ListParagraph"/>
        <w:numPr>
          <w:ilvl w:val="0"/>
          <w:numId w:val="27"/>
        </w:numPr>
        <w:contextualSpacing w:val="0"/>
      </w:pPr>
      <w:r w:rsidRPr="006432CB">
        <w:t>Provide r</w:t>
      </w:r>
      <w:r w:rsidR="009B2A39" w:rsidRPr="006432CB">
        <w:t xml:space="preserve">egistration in the System for Award Management database, which is located on the System for Award Management website at </w:t>
      </w:r>
      <w:hyperlink r:id="rId15" w:tooltip="System for Award Management Website" w:history="1">
        <w:r w:rsidR="001458E9" w:rsidRPr="006432CB">
          <w:rPr>
            <w:rStyle w:val="Hyperlink"/>
            <w:rFonts w:cs="Arial"/>
            <w:color w:val="0070C0"/>
          </w:rPr>
          <w:t>www.sam.gov</w:t>
        </w:r>
      </w:hyperlink>
      <w:r w:rsidR="009B2A39" w:rsidRPr="006432CB">
        <w:t>, reflecting the correct legal business name, charter school name, and Unique Entity Identifier</w:t>
      </w:r>
      <w:r w:rsidR="001B7D39" w:rsidRPr="006432CB">
        <w:t>.</w:t>
      </w:r>
    </w:p>
    <w:p w14:paraId="43FCF04D" w14:textId="57EAB210" w:rsidR="009B2A39" w:rsidRPr="006432CB" w:rsidRDefault="00911F54" w:rsidP="00066DDC">
      <w:pPr>
        <w:pStyle w:val="ListParagraph"/>
        <w:numPr>
          <w:ilvl w:val="0"/>
          <w:numId w:val="27"/>
        </w:numPr>
        <w:contextualSpacing w:val="0"/>
      </w:pPr>
      <w:r w:rsidRPr="006432CB">
        <w:t>Describe a</w:t>
      </w:r>
      <w:r w:rsidR="009B2A39" w:rsidRPr="006432CB">
        <w:t xml:space="preserve"> proposed growth plan with a minimum year one enrollment of </w:t>
      </w:r>
      <w:r w:rsidR="002F541E" w:rsidRPr="006432CB">
        <w:t>8</w:t>
      </w:r>
      <w:r w:rsidR="009B2A39" w:rsidRPr="006432CB">
        <w:t>0 students</w:t>
      </w:r>
      <w:r w:rsidR="00B91BFF" w:rsidRPr="006432CB">
        <w:t>.</w:t>
      </w:r>
    </w:p>
    <w:p w14:paraId="58F4DA26" w14:textId="0D778A03" w:rsidR="00FC47CD" w:rsidRPr="006432CB" w:rsidRDefault="00911F54" w:rsidP="00D90792">
      <w:pPr>
        <w:pStyle w:val="ListParagraph"/>
        <w:numPr>
          <w:ilvl w:val="0"/>
          <w:numId w:val="27"/>
        </w:numPr>
        <w:contextualSpacing w:val="0"/>
      </w:pPr>
      <w:r w:rsidRPr="006432CB">
        <w:t>Provide o</w:t>
      </w:r>
      <w:r w:rsidR="009B2A39" w:rsidRPr="006432CB">
        <w:t xml:space="preserve">rganization charts, bylaws, and other documents to demonstrate how subgrant awardees will comply with </w:t>
      </w:r>
      <w:r w:rsidR="001458E9" w:rsidRPr="006432CB">
        <w:t xml:space="preserve">the requirements of Senate Bill 126 (Chapter 126, Statutes of 2019), the full text of which is provided on the California Legislative Information website at </w:t>
      </w:r>
      <w:hyperlink r:id="rId16" w:tooltip="California Legislative Information Website" w:history="1">
        <w:r w:rsidR="00FC47CD" w:rsidRPr="006432CB">
          <w:rPr>
            <w:rStyle w:val="Hyperlink"/>
            <w:color w:val="0070C0"/>
          </w:rPr>
          <w:t>https://leginfo.legislature.ca.gov/faces/billNavClient.xhtml?bill_id=201920200SB126</w:t>
        </w:r>
      </w:hyperlink>
      <w:r w:rsidR="00FC47CD" w:rsidRPr="006432CB">
        <w:rPr>
          <w:rStyle w:val="Hyperlink"/>
          <w:color w:val="auto"/>
          <w:u w:val="none"/>
        </w:rPr>
        <w:t>.</w:t>
      </w:r>
    </w:p>
    <w:p w14:paraId="0C0BE81C" w14:textId="38746885" w:rsidR="001B7D39" w:rsidRPr="006432CB" w:rsidRDefault="001B7D39" w:rsidP="004F5749">
      <w:pPr>
        <w:rPr>
          <w:rFonts w:cs="Arial"/>
        </w:rPr>
      </w:pPr>
      <w:r w:rsidRPr="006432CB">
        <w:rPr>
          <w:rFonts w:cs="Arial"/>
        </w:rPr>
        <w:t>One p</w:t>
      </w:r>
      <w:r w:rsidR="009B2A39" w:rsidRPr="006432CB">
        <w:rPr>
          <w:rFonts w:cs="Arial"/>
        </w:rPr>
        <w:t>reference point</w:t>
      </w:r>
      <w:r w:rsidR="001458E9" w:rsidRPr="006432CB">
        <w:rPr>
          <w:rFonts w:cs="Arial"/>
        </w:rPr>
        <w:t xml:space="preserve"> </w:t>
      </w:r>
      <w:r w:rsidRPr="006432CB">
        <w:rPr>
          <w:rFonts w:cs="Arial"/>
        </w:rPr>
        <w:t>for competitive application scoring</w:t>
      </w:r>
      <w:r w:rsidR="009B2A39" w:rsidRPr="006432CB">
        <w:rPr>
          <w:rFonts w:cs="Arial"/>
        </w:rPr>
        <w:t xml:space="preserve"> will be awarded for applicant</w:t>
      </w:r>
      <w:r w:rsidRPr="006432CB">
        <w:rPr>
          <w:rFonts w:cs="Arial"/>
        </w:rPr>
        <w:t xml:space="preserve"> schools </w:t>
      </w:r>
      <w:r w:rsidR="001458E9" w:rsidRPr="006432CB">
        <w:rPr>
          <w:rFonts w:cs="Arial"/>
        </w:rPr>
        <w:t>that</w:t>
      </w:r>
      <w:r w:rsidRPr="006432CB">
        <w:rPr>
          <w:rFonts w:cs="Arial"/>
        </w:rPr>
        <w:t xml:space="preserve"> </w:t>
      </w:r>
      <w:r w:rsidR="001458E9" w:rsidRPr="006432CB">
        <w:rPr>
          <w:rFonts w:cs="Arial"/>
        </w:rPr>
        <w:t xml:space="preserve">meet the following </w:t>
      </w:r>
      <w:r w:rsidR="002D37B7" w:rsidRPr="006432CB">
        <w:rPr>
          <w:rFonts w:cs="Arial"/>
        </w:rPr>
        <w:t>criteri</w:t>
      </w:r>
      <w:r w:rsidR="002D37B7">
        <w:rPr>
          <w:rFonts w:cs="Arial"/>
        </w:rPr>
        <w:t>on</w:t>
      </w:r>
      <w:r w:rsidR="009B2A39" w:rsidRPr="006432CB">
        <w:rPr>
          <w:rFonts w:cs="Arial"/>
        </w:rPr>
        <w:t>:</w:t>
      </w:r>
    </w:p>
    <w:p w14:paraId="3D8B49DF" w14:textId="60449D53" w:rsidR="00134213" w:rsidRDefault="002D37B7" w:rsidP="008F5DD3">
      <w:pPr>
        <w:pStyle w:val="ListParagraph"/>
        <w:numPr>
          <w:ilvl w:val="0"/>
          <w:numId w:val="28"/>
        </w:numPr>
      </w:pPr>
      <w:r>
        <w:t>L</w:t>
      </w:r>
      <w:r w:rsidR="009B2A39" w:rsidRPr="006432CB">
        <w:t xml:space="preserve">ocated in a district </w:t>
      </w:r>
      <w:r w:rsidR="001B7D39" w:rsidRPr="006432CB">
        <w:t xml:space="preserve">with </w:t>
      </w:r>
      <w:r w:rsidR="002F541E" w:rsidRPr="006432CB">
        <w:t>fewer</w:t>
      </w:r>
      <w:r w:rsidR="001B7D39" w:rsidRPr="006432CB">
        <w:t xml:space="preserve"> than 5 charter schools </w:t>
      </w:r>
      <w:r w:rsidR="009B2A39" w:rsidRPr="006432CB">
        <w:t xml:space="preserve">or county with </w:t>
      </w:r>
      <w:r w:rsidR="002F541E" w:rsidRPr="006432CB">
        <w:t xml:space="preserve">fewer </w:t>
      </w:r>
      <w:r w:rsidR="001B7D39" w:rsidRPr="006432CB">
        <w:t>than 10</w:t>
      </w:r>
      <w:r w:rsidR="009B2A39" w:rsidRPr="006432CB">
        <w:t xml:space="preserve"> charter schools</w:t>
      </w:r>
      <w:r w:rsidR="001B7D39" w:rsidRPr="006432CB">
        <w:t>.</w:t>
      </w:r>
    </w:p>
    <w:p w14:paraId="3D7398A8" w14:textId="77777777" w:rsidR="00134213" w:rsidRPr="006432CB" w:rsidRDefault="00134213" w:rsidP="002D37B7">
      <w:pPr>
        <w:pStyle w:val="Heading2"/>
      </w:pPr>
      <w:r w:rsidRPr="006432CB">
        <w:t>Summary of Previous California State Board of Education Discussion and Action</w:t>
      </w:r>
    </w:p>
    <w:p w14:paraId="45A4A526" w14:textId="674F5E76" w:rsidR="001911A6" w:rsidRDefault="001911A6" w:rsidP="00134213">
      <w:pPr>
        <w:rPr>
          <w:rFonts w:cs="Arial"/>
        </w:rPr>
      </w:pPr>
      <w:r>
        <w:rPr>
          <w:rFonts w:cs="Arial"/>
        </w:rPr>
        <w:t xml:space="preserve">The SBE approved the Charter Schools Division applying on behalf of the SBE for CSP grant funds in 1995, 1998, 2001, 2004, 2007, 2010, 2016, and 2020. </w:t>
      </w:r>
    </w:p>
    <w:p w14:paraId="16B44D1C" w14:textId="535A2E07" w:rsidR="00134213" w:rsidRPr="006432CB" w:rsidRDefault="00134213" w:rsidP="00134213">
      <w:r w:rsidRPr="006432CB">
        <w:rPr>
          <w:rFonts w:cs="Arial"/>
        </w:rPr>
        <w:t xml:space="preserve">California has received federal CSP grant funds since 1995. </w:t>
      </w:r>
      <w:r w:rsidRPr="006432CB">
        <w:t>Total grant award amounts in recent years are as follows:</w:t>
      </w:r>
    </w:p>
    <w:p w14:paraId="1DFEEA1D" w14:textId="77777777" w:rsidR="00134213" w:rsidRPr="006432CB" w:rsidRDefault="00134213" w:rsidP="00134213">
      <w:pPr>
        <w:numPr>
          <w:ilvl w:val="0"/>
          <w:numId w:val="17"/>
        </w:numPr>
        <w:tabs>
          <w:tab w:val="left" w:pos="-2160"/>
        </w:tabs>
        <w:contextualSpacing/>
        <w:rPr>
          <w:rFonts w:cs="Arial"/>
        </w:rPr>
      </w:pPr>
      <w:r w:rsidRPr="006432CB">
        <w:rPr>
          <w:rFonts w:cs="Arial"/>
        </w:rPr>
        <w:t>2004–07: $81,000,000</w:t>
      </w:r>
    </w:p>
    <w:p w14:paraId="57682430" w14:textId="77777777" w:rsidR="00134213" w:rsidRPr="006432CB" w:rsidRDefault="00134213" w:rsidP="00134213">
      <w:pPr>
        <w:numPr>
          <w:ilvl w:val="0"/>
          <w:numId w:val="17"/>
        </w:numPr>
        <w:contextualSpacing/>
        <w:rPr>
          <w:rFonts w:cs="Arial"/>
        </w:rPr>
      </w:pPr>
      <w:r w:rsidRPr="006432CB">
        <w:rPr>
          <w:rFonts w:cs="Arial"/>
        </w:rPr>
        <w:t>2007–10: $108,614,390</w:t>
      </w:r>
    </w:p>
    <w:p w14:paraId="5141347B" w14:textId="77777777" w:rsidR="00134213" w:rsidRPr="006432CB" w:rsidRDefault="00134213" w:rsidP="00134213">
      <w:pPr>
        <w:numPr>
          <w:ilvl w:val="0"/>
          <w:numId w:val="17"/>
        </w:numPr>
        <w:contextualSpacing/>
        <w:rPr>
          <w:rFonts w:cs="Arial"/>
        </w:rPr>
      </w:pPr>
      <w:r w:rsidRPr="006432CB">
        <w:rPr>
          <w:rFonts w:cs="Arial"/>
        </w:rPr>
        <w:t>2010–15: $273,438,398</w:t>
      </w:r>
    </w:p>
    <w:p w14:paraId="4D8733DD" w14:textId="77777777" w:rsidR="00134213" w:rsidRPr="006432CB" w:rsidRDefault="00134213" w:rsidP="00134213">
      <w:pPr>
        <w:numPr>
          <w:ilvl w:val="0"/>
          <w:numId w:val="17"/>
        </w:numPr>
        <w:contextualSpacing/>
      </w:pPr>
      <w:r w:rsidRPr="006432CB">
        <w:rPr>
          <w:rFonts w:cs="Arial"/>
        </w:rPr>
        <w:t>2016–19: $49,899,243</w:t>
      </w:r>
    </w:p>
    <w:p w14:paraId="56DD95AD" w14:textId="77777777" w:rsidR="00134213" w:rsidRPr="006432CB" w:rsidRDefault="00134213" w:rsidP="00134213">
      <w:pPr>
        <w:numPr>
          <w:ilvl w:val="0"/>
          <w:numId w:val="17"/>
        </w:numPr>
        <w:contextualSpacing/>
      </w:pPr>
      <w:r w:rsidRPr="006432CB">
        <w:rPr>
          <w:rFonts w:cs="Arial"/>
        </w:rPr>
        <w:t>2020–23: $41,666,666</w:t>
      </w:r>
    </w:p>
    <w:p w14:paraId="05114E5B" w14:textId="77777777" w:rsidR="003E4DF7" w:rsidRPr="006432CB" w:rsidRDefault="00DA1F36" w:rsidP="002D37B7">
      <w:pPr>
        <w:pStyle w:val="Heading2"/>
      </w:pPr>
      <w:r w:rsidRPr="006432CB">
        <w:t>Fiscal Analysis</w:t>
      </w:r>
    </w:p>
    <w:p w14:paraId="03F7BAB3" w14:textId="49BCF149" w:rsidR="003E4DF7" w:rsidRPr="006432CB" w:rsidRDefault="009E28F8" w:rsidP="001B6906">
      <w:pPr>
        <w:rPr>
          <w:rFonts w:cs="Arial"/>
        </w:rPr>
      </w:pPr>
      <w:r w:rsidRPr="006432CB">
        <w:rPr>
          <w:rFonts w:cs="Arial"/>
        </w:rPr>
        <w:t>If funded</w:t>
      </w:r>
      <w:r w:rsidR="00911F54" w:rsidRPr="006432CB">
        <w:rPr>
          <w:rFonts w:cs="Arial"/>
        </w:rPr>
        <w:t xml:space="preserve"> at the levels proposed</w:t>
      </w:r>
      <w:r w:rsidRPr="006432CB">
        <w:rPr>
          <w:rFonts w:cs="Arial"/>
        </w:rPr>
        <w:t xml:space="preserve">, this </w:t>
      </w:r>
      <w:r w:rsidR="00911F54" w:rsidRPr="006432CB">
        <w:rPr>
          <w:rFonts w:cs="Arial"/>
        </w:rPr>
        <w:t xml:space="preserve">grant </w:t>
      </w:r>
      <w:r w:rsidRPr="006432CB">
        <w:rPr>
          <w:rFonts w:cs="Arial"/>
        </w:rPr>
        <w:t xml:space="preserve">application will result in up to </w:t>
      </w:r>
      <w:r w:rsidR="00436785" w:rsidRPr="006432CB">
        <w:rPr>
          <w:rFonts w:cs="Arial"/>
        </w:rPr>
        <w:t xml:space="preserve">$84.4 </w:t>
      </w:r>
      <w:r w:rsidRPr="006432CB">
        <w:rPr>
          <w:rFonts w:cs="Arial"/>
        </w:rPr>
        <w:t xml:space="preserve">million in local assistance funds to </w:t>
      </w:r>
      <w:r w:rsidR="00911F54" w:rsidRPr="006432CB">
        <w:rPr>
          <w:rFonts w:cs="Arial"/>
        </w:rPr>
        <w:t xml:space="preserve">award </w:t>
      </w:r>
      <w:r w:rsidR="00436785" w:rsidRPr="006432CB">
        <w:rPr>
          <w:rFonts w:cs="Arial"/>
        </w:rPr>
        <w:t>70</w:t>
      </w:r>
      <w:r w:rsidRPr="006432CB">
        <w:rPr>
          <w:rFonts w:cs="Arial"/>
        </w:rPr>
        <w:t xml:space="preserve"> </w:t>
      </w:r>
      <w:r w:rsidR="001458E9" w:rsidRPr="006432CB">
        <w:rPr>
          <w:rFonts w:cs="Arial"/>
        </w:rPr>
        <w:t>Planning, Implementation</w:t>
      </w:r>
      <w:r w:rsidR="002F541E" w:rsidRPr="006432CB">
        <w:rPr>
          <w:rFonts w:cs="Arial"/>
        </w:rPr>
        <w:t>, Replication,</w:t>
      </w:r>
      <w:r w:rsidR="00911F54" w:rsidRPr="006432CB">
        <w:rPr>
          <w:rFonts w:cs="Arial"/>
        </w:rPr>
        <w:t xml:space="preserve"> and Expansion </w:t>
      </w:r>
      <w:r w:rsidRPr="006432CB">
        <w:rPr>
          <w:rFonts w:cs="Arial"/>
        </w:rPr>
        <w:t>subgrant awards</w:t>
      </w:r>
      <w:r w:rsidR="00911F54" w:rsidRPr="006432CB">
        <w:rPr>
          <w:rFonts w:cs="Arial"/>
        </w:rPr>
        <w:t xml:space="preserve"> over five years</w:t>
      </w:r>
      <w:r w:rsidRPr="006432CB">
        <w:rPr>
          <w:rFonts w:cs="Arial"/>
        </w:rPr>
        <w:t xml:space="preserve">. The funding request </w:t>
      </w:r>
      <w:r w:rsidR="00911F54" w:rsidRPr="006432CB">
        <w:rPr>
          <w:rFonts w:cs="Arial"/>
        </w:rPr>
        <w:t xml:space="preserve">would </w:t>
      </w:r>
      <w:r w:rsidRPr="006432CB">
        <w:rPr>
          <w:rFonts w:cs="Arial"/>
        </w:rPr>
        <w:t xml:space="preserve">also include </w:t>
      </w:r>
      <w:r w:rsidRPr="006432CB">
        <w:rPr>
          <w:rFonts w:cs="Arial"/>
        </w:rPr>
        <w:lastRenderedPageBreak/>
        <w:t xml:space="preserve">approximately </w:t>
      </w:r>
      <w:r w:rsidR="00436785" w:rsidRPr="006432CB">
        <w:rPr>
          <w:rFonts w:cs="Arial"/>
        </w:rPr>
        <w:t>$9.4</w:t>
      </w:r>
      <w:r w:rsidRPr="006432CB">
        <w:rPr>
          <w:rFonts w:cs="Arial"/>
        </w:rPr>
        <w:t xml:space="preserve"> million in funding </w:t>
      </w:r>
      <w:r w:rsidR="00911F54" w:rsidRPr="006432CB">
        <w:rPr>
          <w:rFonts w:cs="Arial"/>
        </w:rPr>
        <w:t>to provide both</w:t>
      </w:r>
      <w:r w:rsidRPr="006432CB">
        <w:rPr>
          <w:rFonts w:cs="Arial"/>
        </w:rPr>
        <w:t xml:space="preserve"> technical assistance activities and administrative oversight. </w:t>
      </w:r>
      <w:r w:rsidR="002F541E" w:rsidRPr="006432CB">
        <w:rPr>
          <w:rFonts w:cs="Arial"/>
        </w:rPr>
        <w:t xml:space="preserve">The CDE </w:t>
      </w:r>
      <w:r w:rsidRPr="006432CB">
        <w:rPr>
          <w:rFonts w:cs="Arial"/>
        </w:rPr>
        <w:t xml:space="preserve">is basing the requested level of funding </w:t>
      </w:r>
      <w:r w:rsidR="001458E9" w:rsidRPr="006432CB">
        <w:rPr>
          <w:rFonts w:cs="Arial"/>
        </w:rPr>
        <w:t>on</w:t>
      </w:r>
      <w:r w:rsidR="002F541E" w:rsidRPr="006432CB">
        <w:rPr>
          <w:rFonts w:cs="Arial"/>
        </w:rPr>
        <w:t xml:space="preserve"> pre-2020 charter school opening trends</w:t>
      </w:r>
      <w:r w:rsidR="00220D7A" w:rsidRPr="006432CB">
        <w:rPr>
          <w:rFonts w:cs="Arial"/>
        </w:rPr>
        <w:t xml:space="preserve"> and </w:t>
      </w:r>
      <w:r w:rsidR="00084D87" w:rsidRPr="006432CB">
        <w:rPr>
          <w:rFonts w:cs="Arial"/>
        </w:rPr>
        <w:t>CSP</w:t>
      </w:r>
      <w:r w:rsidR="00220D7A" w:rsidRPr="006432CB">
        <w:rPr>
          <w:rFonts w:cs="Arial"/>
        </w:rPr>
        <w:t xml:space="preserve"> historical award data</w:t>
      </w:r>
      <w:r w:rsidRPr="006432CB">
        <w:rPr>
          <w:rFonts w:cs="Arial"/>
        </w:rPr>
        <w:t>.</w:t>
      </w:r>
    </w:p>
    <w:p w14:paraId="51C21CFF" w14:textId="2867EB26" w:rsidR="00406F50" w:rsidRPr="006432CB" w:rsidRDefault="00DA1F36" w:rsidP="002D37B7">
      <w:pPr>
        <w:pStyle w:val="Heading2"/>
      </w:pPr>
      <w:r w:rsidRPr="006432CB">
        <w:t>Attachment</w:t>
      </w:r>
    </w:p>
    <w:p w14:paraId="56279F67" w14:textId="4461BDDE" w:rsidR="00D3339C" w:rsidRPr="00467D46" w:rsidRDefault="009E28F8" w:rsidP="00FC47CD">
      <w:pPr>
        <w:spacing w:after="480"/>
      </w:pPr>
      <w:r w:rsidRPr="006432CB">
        <w:t>None.</w:t>
      </w:r>
    </w:p>
    <w:sectPr w:rsidR="00D3339C" w:rsidRPr="00467D46" w:rsidSect="003C7725">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F6A3" w14:textId="77777777" w:rsidR="003C7725" w:rsidRDefault="003C7725" w:rsidP="000E09DC">
      <w:r>
        <w:separator/>
      </w:r>
    </w:p>
  </w:endnote>
  <w:endnote w:type="continuationSeparator" w:id="0">
    <w:p w14:paraId="09125A27" w14:textId="77777777" w:rsidR="003C7725" w:rsidRDefault="003C772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A120" w14:textId="77777777" w:rsidR="003C7725" w:rsidRDefault="003C7725" w:rsidP="000E09DC">
      <w:r>
        <w:separator/>
      </w:r>
    </w:p>
  </w:footnote>
  <w:footnote w:type="continuationSeparator" w:id="0">
    <w:p w14:paraId="78C89B48" w14:textId="77777777" w:rsidR="003C7725" w:rsidRDefault="003C772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C7A4" w14:textId="6C33ABD9" w:rsidR="00FB5975" w:rsidRDefault="00FB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40097"/>
      <w:docPartObj>
        <w:docPartGallery w:val="Page Numbers (Top of Page)"/>
        <w:docPartUnique/>
      </w:docPartObj>
    </w:sdtPr>
    <w:sdtContent>
      <w:p w14:paraId="542ABFEC" w14:textId="0FFA1F90" w:rsidR="00AC14B2" w:rsidRDefault="00AC14B2" w:rsidP="00AC14B2">
        <w:pPr>
          <w:pStyle w:val="Header"/>
          <w:jc w:val="right"/>
        </w:pPr>
        <w:r>
          <w:t>lacb-csd-ma</w:t>
        </w:r>
        <w:r w:rsidR="007D7963">
          <w:t>y</w:t>
        </w:r>
        <w:r>
          <w:t>24item0</w:t>
        </w:r>
        <w:r w:rsidR="00C543F7">
          <w:t>3</w:t>
        </w:r>
        <w:r w:rsidR="00066DDC">
          <w:br/>
        </w:r>
        <w:r w:rsidRPr="00AC14B2">
          <w:t xml:space="preserve">Page </w:t>
        </w:r>
        <w:r w:rsidRPr="00AC14B2">
          <w:fldChar w:fldCharType="begin"/>
        </w:r>
        <w:r w:rsidRPr="00AC14B2">
          <w:instrText xml:space="preserve"> PAGE </w:instrText>
        </w:r>
        <w:r w:rsidRPr="00AC14B2">
          <w:fldChar w:fldCharType="separate"/>
        </w:r>
        <w:r w:rsidRPr="00AC14B2">
          <w:rPr>
            <w:noProof/>
          </w:rPr>
          <w:t>2</w:t>
        </w:r>
        <w:r w:rsidRPr="00AC14B2">
          <w:fldChar w:fldCharType="end"/>
        </w:r>
        <w:r w:rsidRPr="00AC14B2">
          <w:t xml:space="preserve"> of </w:t>
        </w:r>
        <w:r w:rsidR="002F1563">
          <w:fldChar w:fldCharType="begin"/>
        </w:r>
        <w:r w:rsidR="002F1563">
          <w:instrText xml:space="preserve"> NUMPAGES  </w:instrText>
        </w:r>
        <w:r w:rsidR="002F1563">
          <w:fldChar w:fldCharType="separate"/>
        </w:r>
        <w:r w:rsidRPr="00AC14B2">
          <w:rPr>
            <w:noProof/>
          </w:rPr>
          <w:t>2</w:t>
        </w:r>
        <w:r w:rsidR="002F1563">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EE"/>
    <w:multiLevelType w:val="hybridMultilevel"/>
    <w:tmpl w:val="B0508C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C645C"/>
    <w:multiLevelType w:val="hybridMultilevel"/>
    <w:tmpl w:val="B936C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34FB"/>
    <w:multiLevelType w:val="hybridMultilevel"/>
    <w:tmpl w:val="6316A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0EA"/>
    <w:multiLevelType w:val="hybridMultilevel"/>
    <w:tmpl w:val="0DFE2D8E"/>
    <w:lvl w:ilvl="0" w:tplc="1CA8D684">
      <w:start w:val="1"/>
      <w:numFmt w:val="decimal"/>
      <w:lvlText w:val="%1)"/>
      <w:lvlJc w:val="left"/>
      <w:pPr>
        <w:ind w:left="1020" w:hanging="360"/>
      </w:pPr>
    </w:lvl>
    <w:lvl w:ilvl="1" w:tplc="FEA2450E">
      <w:start w:val="1"/>
      <w:numFmt w:val="decimal"/>
      <w:lvlText w:val="%2)"/>
      <w:lvlJc w:val="left"/>
      <w:pPr>
        <w:ind w:left="1020" w:hanging="360"/>
      </w:pPr>
    </w:lvl>
    <w:lvl w:ilvl="2" w:tplc="7D4EBF4A">
      <w:start w:val="1"/>
      <w:numFmt w:val="decimal"/>
      <w:lvlText w:val="%3)"/>
      <w:lvlJc w:val="left"/>
      <w:pPr>
        <w:ind w:left="1020" w:hanging="360"/>
      </w:pPr>
    </w:lvl>
    <w:lvl w:ilvl="3" w:tplc="14A4529C">
      <w:start w:val="1"/>
      <w:numFmt w:val="decimal"/>
      <w:lvlText w:val="%4)"/>
      <w:lvlJc w:val="left"/>
      <w:pPr>
        <w:ind w:left="1020" w:hanging="360"/>
      </w:pPr>
    </w:lvl>
    <w:lvl w:ilvl="4" w:tplc="B4469652">
      <w:start w:val="1"/>
      <w:numFmt w:val="decimal"/>
      <w:lvlText w:val="%5)"/>
      <w:lvlJc w:val="left"/>
      <w:pPr>
        <w:ind w:left="1020" w:hanging="360"/>
      </w:pPr>
    </w:lvl>
    <w:lvl w:ilvl="5" w:tplc="3D00B690">
      <w:start w:val="1"/>
      <w:numFmt w:val="decimal"/>
      <w:lvlText w:val="%6)"/>
      <w:lvlJc w:val="left"/>
      <w:pPr>
        <w:ind w:left="1020" w:hanging="360"/>
      </w:pPr>
    </w:lvl>
    <w:lvl w:ilvl="6" w:tplc="4C8AB74E">
      <w:start w:val="1"/>
      <w:numFmt w:val="decimal"/>
      <w:lvlText w:val="%7)"/>
      <w:lvlJc w:val="left"/>
      <w:pPr>
        <w:ind w:left="1020" w:hanging="360"/>
      </w:pPr>
    </w:lvl>
    <w:lvl w:ilvl="7" w:tplc="AF8872A0">
      <w:start w:val="1"/>
      <w:numFmt w:val="decimal"/>
      <w:lvlText w:val="%8)"/>
      <w:lvlJc w:val="left"/>
      <w:pPr>
        <w:ind w:left="1020" w:hanging="360"/>
      </w:pPr>
    </w:lvl>
    <w:lvl w:ilvl="8" w:tplc="CF42A3EC">
      <w:start w:val="1"/>
      <w:numFmt w:val="decimal"/>
      <w:lvlText w:val="%9)"/>
      <w:lvlJc w:val="left"/>
      <w:pPr>
        <w:ind w:left="1020" w:hanging="360"/>
      </w:pPr>
    </w:lvl>
  </w:abstractNum>
  <w:abstractNum w:abstractNumId="5" w15:restartNumberingAfterBreak="0">
    <w:nsid w:val="1D627C7F"/>
    <w:multiLevelType w:val="hybridMultilevel"/>
    <w:tmpl w:val="D052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25C6"/>
    <w:multiLevelType w:val="hybridMultilevel"/>
    <w:tmpl w:val="A28EC7D2"/>
    <w:lvl w:ilvl="0" w:tplc="DCAEB0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D2CE5"/>
    <w:multiLevelType w:val="hybridMultilevel"/>
    <w:tmpl w:val="22708A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664AC"/>
    <w:multiLevelType w:val="hybridMultilevel"/>
    <w:tmpl w:val="E75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745D"/>
    <w:multiLevelType w:val="hybridMultilevel"/>
    <w:tmpl w:val="C6F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606E9"/>
    <w:multiLevelType w:val="hybridMultilevel"/>
    <w:tmpl w:val="A9E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25D76"/>
    <w:multiLevelType w:val="hybridMultilevel"/>
    <w:tmpl w:val="3F40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15850"/>
    <w:multiLevelType w:val="hybridMultilevel"/>
    <w:tmpl w:val="6F0A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63EF"/>
    <w:multiLevelType w:val="hybridMultilevel"/>
    <w:tmpl w:val="22708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7221D"/>
    <w:multiLevelType w:val="hybridMultilevel"/>
    <w:tmpl w:val="742A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72D72"/>
    <w:multiLevelType w:val="hybridMultilevel"/>
    <w:tmpl w:val="5134B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3D3"/>
    <w:multiLevelType w:val="hybridMultilevel"/>
    <w:tmpl w:val="07967ACA"/>
    <w:lvl w:ilvl="0" w:tplc="21181A5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A4035"/>
    <w:multiLevelType w:val="hybridMultilevel"/>
    <w:tmpl w:val="EF58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87756"/>
    <w:multiLevelType w:val="hybridMultilevel"/>
    <w:tmpl w:val="F9FA926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4" w15:restartNumberingAfterBreak="0">
    <w:nsid w:val="559B5C79"/>
    <w:multiLevelType w:val="hybridMultilevel"/>
    <w:tmpl w:val="BE6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9EE"/>
    <w:multiLevelType w:val="hybridMultilevel"/>
    <w:tmpl w:val="08C27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3770A"/>
    <w:multiLevelType w:val="hybridMultilevel"/>
    <w:tmpl w:val="3A30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DE1A2A"/>
    <w:multiLevelType w:val="hybridMultilevel"/>
    <w:tmpl w:val="D7D6D410"/>
    <w:lvl w:ilvl="0" w:tplc="E85CAFCC">
      <w:start w:val="1"/>
      <w:numFmt w:val="decimal"/>
      <w:lvlText w:val="%1)"/>
      <w:lvlJc w:val="left"/>
      <w:pPr>
        <w:ind w:left="1020" w:hanging="360"/>
      </w:pPr>
    </w:lvl>
    <w:lvl w:ilvl="1" w:tplc="B08EDD9C">
      <w:start w:val="1"/>
      <w:numFmt w:val="decimal"/>
      <w:lvlText w:val="%2)"/>
      <w:lvlJc w:val="left"/>
      <w:pPr>
        <w:ind w:left="1020" w:hanging="360"/>
      </w:pPr>
    </w:lvl>
    <w:lvl w:ilvl="2" w:tplc="6B90F4EA">
      <w:start w:val="1"/>
      <w:numFmt w:val="decimal"/>
      <w:lvlText w:val="%3)"/>
      <w:lvlJc w:val="left"/>
      <w:pPr>
        <w:ind w:left="1020" w:hanging="360"/>
      </w:pPr>
    </w:lvl>
    <w:lvl w:ilvl="3" w:tplc="7F3471AC">
      <w:start w:val="1"/>
      <w:numFmt w:val="decimal"/>
      <w:lvlText w:val="%4)"/>
      <w:lvlJc w:val="left"/>
      <w:pPr>
        <w:ind w:left="1020" w:hanging="360"/>
      </w:pPr>
    </w:lvl>
    <w:lvl w:ilvl="4" w:tplc="6B40137C">
      <w:start w:val="1"/>
      <w:numFmt w:val="decimal"/>
      <w:lvlText w:val="%5)"/>
      <w:lvlJc w:val="left"/>
      <w:pPr>
        <w:ind w:left="1020" w:hanging="360"/>
      </w:pPr>
    </w:lvl>
    <w:lvl w:ilvl="5" w:tplc="EBB41136">
      <w:start w:val="1"/>
      <w:numFmt w:val="decimal"/>
      <w:lvlText w:val="%6)"/>
      <w:lvlJc w:val="left"/>
      <w:pPr>
        <w:ind w:left="1020" w:hanging="360"/>
      </w:pPr>
    </w:lvl>
    <w:lvl w:ilvl="6" w:tplc="85709DE8">
      <w:start w:val="1"/>
      <w:numFmt w:val="decimal"/>
      <w:lvlText w:val="%7)"/>
      <w:lvlJc w:val="left"/>
      <w:pPr>
        <w:ind w:left="1020" w:hanging="360"/>
      </w:pPr>
    </w:lvl>
    <w:lvl w:ilvl="7" w:tplc="665689E4">
      <w:start w:val="1"/>
      <w:numFmt w:val="decimal"/>
      <w:lvlText w:val="%8)"/>
      <w:lvlJc w:val="left"/>
      <w:pPr>
        <w:ind w:left="1020" w:hanging="360"/>
      </w:pPr>
    </w:lvl>
    <w:lvl w:ilvl="8" w:tplc="812A9666">
      <w:start w:val="1"/>
      <w:numFmt w:val="decimal"/>
      <w:lvlText w:val="%9)"/>
      <w:lvlJc w:val="left"/>
      <w:pPr>
        <w:ind w:left="1020" w:hanging="360"/>
      </w:pPr>
    </w:lvl>
  </w:abstractNum>
  <w:abstractNum w:abstractNumId="30" w15:restartNumberingAfterBreak="0">
    <w:nsid w:val="6C123314"/>
    <w:multiLevelType w:val="hybridMultilevel"/>
    <w:tmpl w:val="A45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8574A"/>
    <w:multiLevelType w:val="hybridMultilevel"/>
    <w:tmpl w:val="08C279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7B1647"/>
    <w:multiLevelType w:val="hybridMultilevel"/>
    <w:tmpl w:val="BC0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00597"/>
    <w:multiLevelType w:val="hybridMultilevel"/>
    <w:tmpl w:val="4A1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E3AC3"/>
    <w:multiLevelType w:val="hybridMultilevel"/>
    <w:tmpl w:val="3334E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95D2D"/>
    <w:multiLevelType w:val="hybridMultilevel"/>
    <w:tmpl w:val="81FE4E64"/>
    <w:lvl w:ilvl="0" w:tplc="DCAEB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D5FB4"/>
    <w:multiLevelType w:val="hybridMultilevel"/>
    <w:tmpl w:val="846E0C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294426">
    <w:abstractNumId w:val="11"/>
  </w:num>
  <w:num w:numId="2" w16cid:durableId="1125924491">
    <w:abstractNumId w:val="28"/>
  </w:num>
  <w:num w:numId="3" w16cid:durableId="611203758">
    <w:abstractNumId w:val="6"/>
  </w:num>
  <w:num w:numId="4" w16cid:durableId="759106389">
    <w:abstractNumId w:val="18"/>
  </w:num>
  <w:num w:numId="5" w16cid:durableId="2001813617">
    <w:abstractNumId w:val="25"/>
  </w:num>
  <w:num w:numId="6" w16cid:durableId="545992777">
    <w:abstractNumId w:val="2"/>
  </w:num>
  <w:num w:numId="7" w16cid:durableId="1954050325">
    <w:abstractNumId w:val="8"/>
  </w:num>
  <w:num w:numId="8" w16cid:durableId="229077592">
    <w:abstractNumId w:val="7"/>
  </w:num>
  <w:num w:numId="9" w16cid:durableId="960384036">
    <w:abstractNumId w:val="19"/>
  </w:num>
  <w:num w:numId="10" w16cid:durableId="510532534">
    <w:abstractNumId w:val="17"/>
  </w:num>
  <w:num w:numId="11" w16cid:durableId="1651985198">
    <w:abstractNumId w:val="20"/>
  </w:num>
  <w:num w:numId="12" w16cid:durableId="1977686567">
    <w:abstractNumId w:val="35"/>
  </w:num>
  <w:num w:numId="13" w16cid:durableId="1296525367">
    <w:abstractNumId w:val="24"/>
  </w:num>
  <w:num w:numId="14" w16cid:durableId="553782098">
    <w:abstractNumId w:val="0"/>
  </w:num>
  <w:num w:numId="15" w16cid:durableId="2084794368">
    <w:abstractNumId w:val="21"/>
  </w:num>
  <w:num w:numId="16" w16cid:durableId="1991210077">
    <w:abstractNumId w:val="13"/>
  </w:num>
  <w:num w:numId="17" w16cid:durableId="1058437149">
    <w:abstractNumId w:val="3"/>
  </w:num>
  <w:num w:numId="18" w16cid:durableId="2073044298">
    <w:abstractNumId w:val="16"/>
  </w:num>
  <w:num w:numId="19" w16cid:durableId="2032560490">
    <w:abstractNumId w:val="10"/>
  </w:num>
  <w:num w:numId="20" w16cid:durableId="528877387">
    <w:abstractNumId w:val="1"/>
  </w:num>
  <w:num w:numId="21" w16cid:durableId="1693146696">
    <w:abstractNumId w:val="9"/>
  </w:num>
  <w:num w:numId="22" w16cid:durableId="1448964943">
    <w:abstractNumId w:val="32"/>
  </w:num>
  <w:num w:numId="23" w16cid:durableId="999962592">
    <w:abstractNumId w:val="26"/>
  </w:num>
  <w:num w:numId="24" w16cid:durableId="675114296">
    <w:abstractNumId w:val="27"/>
  </w:num>
  <w:num w:numId="25" w16cid:durableId="411397623">
    <w:abstractNumId w:val="33"/>
  </w:num>
  <w:num w:numId="26" w16cid:durableId="1276786449">
    <w:abstractNumId w:val="15"/>
  </w:num>
  <w:num w:numId="27" w16cid:durableId="1902322208">
    <w:abstractNumId w:val="31"/>
  </w:num>
  <w:num w:numId="28" w16cid:durableId="1340742240">
    <w:abstractNumId w:val="36"/>
  </w:num>
  <w:num w:numId="29" w16cid:durableId="1886716609">
    <w:abstractNumId w:val="22"/>
  </w:num>
  <w:num w:numId="30" w16cid:durableId="476534438">
    <w:abstractNumId w:val="30"/>
  </w:num>
  <w:num w:numId="31" w16cid:durableId="1036002053">
    <w:abstractNumId w:val="12"/>
  </w:num>
  <w:num w:numId="32" w16cid:durableId="1461654733">
    <w:abstractNumId w:val="14"/>
  </w:num>
  <w:num w:numId="33" w16cid:durableId="819542807">
    <w:abstractNumId w:val="5"/>
  </w:num>
  <w:num w:numId="34" w16cid:durableId="263849814">
    <w:abstractNumId w:val="4"/>
  </w:num>
  <w:num w:numId="35" w16cid:durableId="734815403">
    <w:abstractNumId w:val="29"/>
  </w:num>
  <w:num w:numId="36" w16cid:durableId="1671059166">
    <w:abstractNumId w:val="34"/>
  </w:num>
  <w:num w:numId="37" w16cid:durableId="17738943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9C2"/>
    <w:rsid w:val="000040D5"/>
    <w:rsid w:val="000058C9"/>
    <w:rsid w:val="00013168"/>
    <w:rsid w:val="000324AD"/>
    <w:rsid w:val="00052B96"/>
    <w:rsid w:val="00065D94"/>
    <w:rsid w:val="00066DDC"/>
    <w:rsid w:val="00075804"/>
    <w:rsid w:val="0007614B"/>
    <w:rsid w:val="0007634B"/>
    <w:rsid w:val="00076AC2"/>
    <w:rsid w:val="00077ABC"/>
    <w:rsid w:val="00077AC6"/>
    <w:rsid w:val="000841C0"/>
    <w:rsid w:val="00084D87"/>
    <w:rsid w:val="00085FF4"/>
    <w:rsid w:val="00086178"/>
    <w:rsid w:val="000A2D3E"/>
    <w:rsid w:val="000A3870"/>
    <w:rsid w:val="000B6936"/>
    <w:rsid w:val="000D06A6"/>
    <w:rsid w:val="000D3FF9"/>
    <w:rsid w:val="000D72D9"/>
    <w:rsid w:val="000E09DC"/>
    <w:rsid w:val="000F69C7"/>
    <w:rsid w:val="00103E01"/>
    <w:rsid w:val="001048F3"/>
    <w:rsid w:val="001144E3"/>
    <w:rsid w:val="00130059"/>
    <w:rsid w:val="001330D8"/>
    <w:rsid w:val="00134213"/>
    <w:rsid w:val="001346EB"/>
    <w:rsid w:val="00141CB6"/>
    <w:rsid w:val="001458E9"/>
    <w:rsid w:val="001472D4"/>
    <w:rsid w:val="001517FB"/>
    <w:rsid w:val="00152587"/>
    <w:rsid w:val="001559D5"/>
    <w:rsid w:val="001639DC"/>
    <w:rsid w:val="00166875"/>
    <w:rsid w:val="00176537"/>
    <w:rsid w:val="001811C2"/>
    <w:rsid w:val="0018148D"/>
    <w:rsid w:val="001911A6"/>
    <w:rsid w:val="001A0CA5"/>
    <w:rsid w:val="001A269A"/>
    <w:rsid w:val="001B3958"/>
    <w:rsid w:val="001B5278"/>
    <w:rsid w:val="001B6906"/>
    <w:rsid w:val="001B7BF7"/>
    <w:rsid w:val="001B7D39"/>
    <w:rsid w:val="001C2BC6"/>
    <w:rsid w:val="001C4E73"/>
    <w:rsid w:val="001D216E"/>
    <w:rsid w:val="001D4880"/>
    <w:rsid w:val="001E1929"/>
    <w:rsid w:val="001E67FF"/>
    <w:rsid w:val="002001AC"/>
    <w:rsid w:val="00213FD1"/>
    <w:rsid w:val="00220389"/>
    <w:rsid w:val="00220D7A"/>
    <w:rsid w:val="00223112"/>
    <w:rsid w:val="00233ECA"/>
    <w:rsid w:val="002369BE"/>
    <w:rsid w:val="00240B26"/>
    <w:rsid w:val="00243BCD"/>
    <w:rsid w:val="002455E4"/>
    <w:rsid w:val="002456FA"/>
    <w:rsid w:val="00253297"/>
    <w:rsid w:val="0025466D"/>
    <w:rsid w:val="00262D6D"/>
    <w:rsid w:val="00266C7E"/>
    <w:rsid w:val="00274A63"/>
    <w:rsid w:val="00274B08"/>
    <w:rsid w:val="002819B8"/>
    <w:rsid w:val="00283F66"/>
    <w:rsid w:val="002875F3"/>
    <w:rsid w:val="00291802"/>
    <w:rsid w:val="00294040"/>
    <w:rsid w:val="00297F77"/>
    <w:rsid w:val="002B25EB"/>
    <w:rsid w:val="002B4B14"/>
    <w:rsid w:val="002D1451"/>
    <w:rsid w:val="002D1A82"/>
    <w:rsid w:val="002D37B7"/>
    <w:rsid w:val="002D69B6"/>
    <w:rsid w:val="002E0BB5"/>
    <w:rsid w:val="002E17CD"/>
    <w:rsid w:val="002E26EE"/>
    <w:rsid w:val="002E411E"/>
    <w:rsid w:val="002E4CB5"/>
    <w:rsid w:val="002E6FCA"/>
    <w:rsid w:val="002F0F6E"/>
    <w:rsid w:val="002F1563"/>
    <w:rsid w:val="002F279B"/>
    <w:rsid w:val="002F541E"/>
    <w:rsid w:val="00304466"/>
    <w:rsid w:val="00315131"/>
    <w:rsid w:val="0032263D"/>
    <w:rsid w:val="003373BE"/>
    <w:rsid w:val="003454B6"/>
    <w:rsid w:val="00345D95"/>
    <w:rsid w:val="003508D5"/>
    <w:rsid w:val="00352202"/>
    <w:rsid w:val="003523A6"/>
    <w:rsid w:val="00360228"/>
    <w:rsid w:val="00361075"/>
    <w:rsid w:val="00363520"/>
    <w:rsid w:val="00364198"/>
    <w:rsid w:val="00366BCC"/>
    <w:rsid w:val="00367619"/>
    <w:rsid w:val="00367B44"/>
    <w:rsid w:val="003705FC"/>
    <w:rsid w:val="0037654B"/>
    <w:rsid w:val="0038046E"/>
    <w:rsid w:val="00380FE6"/>
    <w:rsid w:val="00384ACF"/>
    <w:rsid w:val="00392B9C"/>
    <w:rsid w:val="003B2099"/>
    <w:rsid w:val="003B47F9"/>
    <w:rsid w:val="003B5A3E"/>
    <w:rsid w:val="003B7922"/>
    <w:rsid w:val="003B7D80"/>
    <w:rsid w:val="003C2702"/>
    <w:rsid w:val="003C5002"/>
    <w:rsid w:val="003C630D"/>
    <w:rsid w:val="003C7725"/>
    <w:rsid w:val="003C79F0"/>
    <w:rsid w:val="003D1CE0"/>
    <w:rsid w:val="003D1DAE"/>
    <w:rsid w:val="003D1ECD"/>
    <w:rsid w:val="003D5BFB"/>
    <w:rsid w:val="003D74AD"/>
    <w:rsid w:val="003E0130"/>
    <w:rsid w:val="003E0BFA"/>
    <w:rsid w:val="003E1E8D"/>
    <w:rsid w:val="003E36A2"/>
    <w:rsid w:val="003E436C"/>
    <w:rsid w:val="003E4DF7"/>
    <w:rsid w:val="003F1551"/>
    <w:rsid w:val="00401E32"/>
    <w:rsid w:val="00406F50"/>
    <w:rsid w:val="00407E9B"/>
    <w:rsid w:val="0041021C"/>
    <w:rsid w:val="00410966"/>
    <w:rsid w:val="0041138B"/>
    <w:rsid w:val="00411744"/>
    <w:rsid w:val="004203BC"/>
    <w:rsid w:val="004305E4"/>
    <w:rsid w:val="00436785"/>
    <w:rsid w:val="0044340B"/>
    <w:rsid w:val="0044670C"/>
    <w:rsid w:val="00451A51"/>
    <w:rsid w:val="004525A8"/>
    <w:rsid w:val="00457839"/>
    <w:rsid w:val="00467D46"/>
    <w:rsid w:val="00470A5A"/>
    <w:rsid w:val="0047534A"/>
    <w:rsid w:val="00476B8B"/>
    <w:rsid w:val="00477C0C"/>
    <w:rsid w:val="0048272B"/>
    <w:rsid w:val="00484ED6"/>
    <w:rsid w:val="00485516"/>
    <w:rsid w:val="00486641"/>
    <w:rsid w:val="0048728C"/>
    <w:rsid w:val="004918FA"/>
    <w:rsid w:val="0049232A"/>
    <w:rsid w:val="004977DA"/>
    <w:rsid w:val="004A1E50"/>
    <w:rsid w:val="004A5F47"/>
    <w:rsid w:val="004B03AF"/>
    <w:rsid w:val="004B7E43"/>
    <w:rsid w:val="004C32E2"/>
    <w:rsid w:val="004C3B9C"/>
    <w:rsid w:val="004C5F2B"/>
    <w:rsid w:val="004D2147"/>
    <w:rsid w:val="004E029B"/>
    <w:rsid w:val="004E0CB6"/>
    <w:rsid w:val="004E27A9"/>
    <w:rsid w:val="004E6D41"/>
    <w:rsid w:val="004F5368"/>
    <w:rsid w:val="004F5749"/>
    <w:rsid w:val="004F6A5A"/>
    <w:rsid w:val="0050248F"/>
    <w:rsid w:val="005062E7"/>
    <w:rsid w:val="00506E37"/>
    <w:rsid w:val="005114CB"/>
    <w:rsid w:val="00513589"/>
    <w:rsid w:val="00517C00"/>
    <w:rsid w:val="00527B0E"/>
    <w:rsid w:val="005321BD"/>
    <w:rsid w:val="00533554"/>
    <w:rsid w:val="00536EBA"/>
    <w:rsid w:val="0054263B"/>
    <w:rsid w:val="00544B89"/>
    <w:rsid w:val="00553902"/>
    <w:rsid w:val="00562EEE"/>
    <w:rsid w:val="0056750C"/>
    <w:rsid w:val="00577B16"/>
    <w:rsid w:val="00584C9E"/>
    <w:rsid w:val="00587048"/>
    <w:rsid w:val="005A09CA"/>
    <w:rsid w:val="005A115A"/>
    <w:rsid w:val="005A1E5A"/>
    <w:rsid w:val="005B26B1"/>
    <w:rsid w:val="005B54A8"/>
    <w:rsid w:val="005C0FA9"/>
    <w:rsid w:val="005C1121"/>
    <w:rsid w:val="005C4DBF"/>
    <w:rsid w:val="005D1774"/>
    <w:rsid w:val="005D1D0C"/>
    <w:rsid w:val="005D696B"/>
    <w:rsid w:val="005E17B6"/>
    <w:rsid w:val="005F067A"/>
    <w:rsid w:val="005F3F58"/>
    <w:rsid w:val="006008E8"/>
    <w:rsid w:val="00600D34"/>
    <w:rsid w:val="00600E7D"/>
    <w:rsid w:val="00601A4F"/>
    <w:rsid w:val="00607BE3"/>
    <w:rsid w:val="006221E4"/>
    <w:rsid w:val="00626A54"/>
    <w:rsid w:val="00631D3B"/>
    <w:rsid w:val="00633A9F"/>
    <w:rsid w:val="00642459"/>
    <w:rsid w:val="00642A20"/>
    <w:rsid w:val="006432CB"/>
    <w:rsid w:val="006446E9"/>
    <w:rsid w:val="00647856"/>
    <w:rsid w:val="00652F68"/>
    <w:rsid w:val="006576C0"/>
    <w:rsid w:val="006631F8"/>
    <w:rsid w:val="0066672D"/>
    <w:rsid w:val="006709CD"/>
    <w:rsid w:val="00675237"/>
    <w:rsid w:val="0067671C"/>
    <w:rsid w:val="006840F9"/>
    <w:rsid w:val="00686E89"/>
    <w:rsid w:val="00691D3E"/>
    <w:rsid w:val="00692300"/>
    <w:rsid w:val="00692CCA"/>
    <w:rsid w:val="00693951"/>
    <w:rsid w:val="006B2111"/>
    <w:rsid w:val="006B3F35"/>
    <w:rsid w:val="006C201B"/>
    <w:rsid w:val="006D0223"/>
    <w:rsid w:val="006D0887"/>
    <w:rsid w:val="006D50CA"/>
    <w:rsid w:val="006D5890"/>
    <w:rsid w:val="006E06C6"/>
    <w:rsid w:val="006E1E21"/>
    <w:rsid w:val="006E256C"/>
    <w:rsid w:val="006E29DF"/>
    <w:rsid w:val="006F0932"/>
    <w:rsid w:val="006F1FCA"/>
    <w:rsid w:val="006F6F49"/>
    <w:rsid w:val="006F769A"/>
    <w:rsid w:val="00700746"/>
    <w:rsid w:val="007007A9"/>
    <w:rsid w:val="007079C3"/>
    <w:rsid w:val="0071099A"/>
    <w:rsid w:val="007119B3"/>
    <w:rsid w:val="00712BAF"/>
    <w:rsid w:val="00717FBA"/>
    <w:rsid w:val="007231DB"/>
    <w:rsid w:val="00726987"/>
    <w:rsid w:val="00726EDA"/>
    <w:rsid w:val="007313A3"/>
    <w:rsid w:val="00733B3A"/>
    <w:rsid w:val="007340E6"/>
    <w:rsid w:val="007428B8"/>
    <w:rsid w:val="00746164"/>
    <w:rsid w:val="00746A75"/>
    <w:rsid w:val="00750814"/>
    <w:rsid w:val="00750823"/>
    <w:rsid w:val="007520D1"/>
    <w:rsid w:val="0076023B"/>
    <w:rsid w:val="007721F1"/>
    <w:rsid w:val="00777A21"/>
    <w:rsid w:val="00780AED"/>
    <w:rsid w:val="00780BB6"/>
    <w:rsid w:val="007838D4"/>
    <w:rsid w:val="00783E2E"/>
    <w:rsid w:val="00793769"/>
    <w:rsid w:val="00797D1B"/>
    <w:rsid w:val="007A36CC"/>
    <w:rsid w:val="007B1098"/>
    <w:rsid w:val="007C012D"/>
    <w:rsid w:val="007C5697"/>
    <w:rsid w:val="007C5F06"/>
    <w:rsid w:val="007C7F88"/>
    <w:rsid w:val="007D6A8F"/>
    <w:rsid w:val="007D7963"/>
    <w:rsid w:val="007E0E60"/>
    <w:rsid w:val="007E5C1C"/>
    <w:rsid w:val="007E6E6F"/>
    <w:rsid w:val="007F1AAA"/>
    <w:rsid w:val="007F2ACD"/>
    <w:rsid w:val="007F418B"/>
    <w:rsid w:val="007F4C49"/>
    <w:rsid w:val="00805173"/>
    <w:rsid w:val="00805CA6"/>
    <w:rsid w:val="008161E5"/>
    <w:rsid w:val="00817F60"/>
    <w:rsid w:val="00826264"/>
    <w:rsid w:val="00826939"/>
    <w:rsid w:val="00831CFC"/>
    <w:rsid w:val="00834C66"/>
    <w:rsid w:val="00840312"/>
    <w:rsid w:val="00846621"/>
    <w:rsid w:val="00851180"/>
    <w:rsid w:val="00852AE4"/>
    <w:rsid w:val="00856C53"/>
    <w:rsid w:val="008604E6"/>
    <w:rsid w:val="008705F5"/>
    <w:rsid w:val="00873E70"/>
    <w:rsid w:val="00884893"/>
    <w:rsid w:val="008909EE"/>
    <w:rsid w:val="00890BBB"/>
    <w:rsid w:val="008968B0"/>
    <w:rsid w:val="008A09F6"/>
    <w:rsid w:val="008A0F75"/>
    <w:rsid w:val="008A48F2"/>
    <w:rsid w:val="008C1AAE"/>
    <w:rsid w:val="008C1E36"/>
    <w:rsid w:val="008C5820"/>
    <w:rsid w:val="008D3A31"/>
    <w:rsid w:val="008D5E73"/>
    <w:rsid w:val="008D7BCE"/>
    <w:rsid w:val="008E4957"/>
    <w:rsid w:val="008E696D"/>
    <w:rsid w:val="008E6B9B"/>
    <w:rsid w:val="008F5DD3"/>
    <w:rsid w:val="00905A37"/>
    <w:rsid w:val="0091117B"/>
    <w:rsid w:val="00911F54"/>
    <w:rsid w:val="00914499"/>
    <w:rsid w:val="00914854"/>
    <w:rsid w:val="009150C0"/>
    <w:rsid w:val="0092038E"/>
    <w:rsid w:val="00924967"/>
    <w:rsid w:val="009308EF"/>
    <w:rsid w:val="0093112F"/>
    <w:rsid w:val="00931C65"/>
    <w:rsid w:val="0094558F"/>
    <w:rsid w:val="00954F20"/>
    <w:rsid w:val="00955698"/>
    <w:rsid w:val="0096484C"/>
    <w:rsid w:val="00965581"/>
    <w:rsid w:val="00970880"/>
    <w:rsid w:val="00971A7C"/>
    <w:rsid w:val="00977A60"/>
    <w:rsid w:val="009850CE"/>
    <w:rsid w:val="00985A59"/>
    <w:rsid w:val="00987A2A"/>
    <w:rsid w:val="00987C00"/>
    <w:rsid w:val="00990826"/>
    <w:rsid w:val="00993112"/>
    <w:rsid w:val="00993953"/>
    <w:rsid w:val="00995190"/>
    <w:rsid w:val="00996049"/>
    <w:rsid w:val="009A3E72"/>
    <w:rsid w:val="009A3FA6"/>
    <w:rsid w:val="009A489E"/>
    <w:rsid w:val="009B04E1"/>
    <w:rsid w:val="009B2743"/>
    <w:rsid w:val="009B2A39"/>
    <w:rsid w:val="009C1A5D"/>
    <w:rsid w:val="009C403F"/>
    <w:rsid w:val="009D4324"/>
    <w:rsid w:val="009D5028"/>
    <w:rsid w:val="009E28F8"/>
    <w:rsid w:val="009E3EA8"/>
    <w:rsid w:val="009E44E7"/>
    <w:rsid w:val="009F3D6D"/>
    <w:rsid w:val="00A00161"/>
    <w:rsid w:val="00A03442"/>
    <w:rsid w:val="00A0481C"/>
    <w:rsid w:val="00A07005"/>
    <w:rsid w:val="00A07121"/>
    <w:rsid w:val="00A07F42"/>
    <w:rsid w:val="00A12004"/>
    <w:rsid w:val="00A12374"/>
    <w:rsid w:val="00A126CE"/>
    <w:rsid w:val="00A16315"/>
    <w:rsid w:val="00A22667"/>
    <w:rsid w:val="00A30B3C"/>
    <w:rsid w:val="00A51FC0"/>
    <w:rsid w:val="00A545E1"/>
    <w:rsid w:val="00A60E36"/>
    <w:rsid w:val="00A60FB6"/>
    <w:rsid w:val="00A61668"/>
    <w:rsid w:val="00A62644"/>
    <w:rsid w:val="00A6360C"/>
    <w:rsid w:val="00A6460F"/>
    <w:rsid w:val="00A659BD"/>
    <w:rsid w:val="00A71228"/>
    <w:rsid w:val="00A740A2"/>
    <w:rsid w:val="00A751A8"/>
    <w:rsid w:val="00A76A36"/>
    <w:rsid w:val="00A83570"/>
    <w:rsid w:val="00A83CC2"/>
    <w:rsid w:val="00A95282"/>
    <w:rsid w:val="00AA03E4"/>
    <w:rsid w:val="00AA1A70"/>
    <w:rsid w:val="00AA2929"/>
    <w:rsid w:val="00AA317C"/>
    <w:rsid w:val="00AA5028"/>
    <w:rsid w:val="00AB2EA6"/>
    <w:rsid w:val="00AB563F"/>
    <w:rsid w:val="00AB6A8A"/>
    <w:rsid w:val="00AB7B30"/>
    <w:rsid w:val="00AC14B2"/>
    <w:rsid w:val="00AC4F6A"/>
    <w:rsid w:val="00AD15BE"/>
    <w:rsid w:val="00AD35EB"/>
    <w:rsid w:val="00AD4D6B"/>
    <w:rsid w:val="00B11B5A"/>
    <w:rsid w:val="00B139DB"/>
    <w:rsid w:val="00B156AB"/>
    <w:rsid w:val="00B165AA"/>
    <w:rsid w:val="00B17B3B"/>
    <w:rsid w:val="00B22E66"/>
    <w:rsid w:val="00B27BAB"/>
    <w:rsid w:val="00B3412C"/>
    <w:rsid w:val="00B478D6"/>
    <w:rsid w:val="00B537AE"/>
    <w:rsid w:val="00B53DF4"/>
    <w:rsid w:val="00B53EC8"/>
    <w:rsid w:val="00B554AB"/>
    <w:rsid w:val="00B569F5"/>
    <w:rsid w:val="00B708AF"/>
    <w:rsid w:val="00B723BE"/>
    <w:rsid w:val="00B82705"/>
    <w:rsid w:val="00B85185"/>
    <w:rsid w:val="00B91BFF"/>
    <w:rsid w:val="00B9650D"/>
    <w:rsid w:val="00B97C52"/>
    <w:rsid w:val="00BA6C6F"/>
    <w:rsid w:val="00BB1242"/>
    <w:rsid w:val="00BB32A5"/>
    <w:rsid w:val="00BB683F"/>
    <w:rsid w:val="00BC5763"/>
    <w:rsid w:val="00BE4466"/>
    <w:rsid w:val="00BE5357"/>
    <w:rsid w:val="00BE6EB8"/>
    <w:rsid w:val="00BF3D64"/>
    <w:rsid w:val="00BF3DC4"/>
    <w:rsid w:val="00BF7C64"/>
    <w:rsid w:val="00C04188"/>
    <w:rsid w:val="00C07DD5"/>
    <w:rsid w:val="00C1426B"/>
    <w:rsid w:val="00C1440A"/>
    <w:rsid w:val="00C17978"/>
    <w:rsid w:val="00C27D57"/>
    <w:rsid w:val="00C34F09"/>
    <w:rsid w:val="00C36375"/>
    <w:rsid w:val="00C46164"/>
    <w:rsid w:val="00C537BB"/>
    <w:rsid w:val="00C5401C"/>
    <w:rsid w:val="00C543F7"/>
    <w:rsid w:val="00C54B45"/>
    <w:rsid w:val="00C55385"/>
    <w:rsid w:val="00C55A7F"/>
    <w:rsid w:val="00C56B33"/>
    <w:rsid w:val="00C61036"/>
    <w:rsid w:val="00C6451A"/>
    <w:rsid w:val="00C6459F"/>
    <w:rsid w:val="00C67A86"/>
    <w:rsid w:val="00C74160"/>
    <w:rsid w:val="00C7511E"/>
    <w:rsid w:val="00C82CBA"/>
    <w:rsid w:val="00C93339"/>
    <w:rsid w:val="00C934A0"/>
    <w:rsid w:val="00CA490E"/>
    <w:rsid w:val="00CA5E6F"/>
    <w:rsid w:val="00CA6F86"/>
    <w:rsid w:val="00CB1951"/>
    <w:rsid w:val="00CB4FCC"/>
    <w:rsid w:val="00CC3B95"/>
    <w:rsid w:val="00CC500C"/>
    <w:rsid w:val="00CD45FE"/>
    <w:rsid w:val="00CD5A20"/>
    <w:rsid w:val="00CD7350"/>
    <w:rsid w:val="00CE1C84"/>
    <w:rsid w:val="00CE52B6"/>
    <w:rsid w:val="00CE56A4"/>
    <w:rsid w:val="00CF190A"/>
    <w:rsid w:val="00CF2FA2"/>
    <w:rsid w:val="00CF335B"/>
    <w:rsid w:val="00CF64A5"/>
    <w:rsid w:val="00D05345"/>
    <w:rsid w:val="00D12B7D"/>
    <w:rsid w:val="00D15155"/>
    <w:rsid w:val="00D15A32"/>
    <w:rsid w:val="00D23654"/>
    <w:rsid w:val="00D3339C"/>
    <w:rsid w:val="00D35D25"/>
    <w:rsid w:val="00D3757E"/>
    <w:rsid w:val="00D47DAB"/>
    <w:rsid w:val="00D5115F"/>
    <w:rsid w:val="00D600DD"/>
    <w:rsid w:val="00D63B59"/>
    <w:rsid w:val="00D668F8"/>
    <w:rsid w:val="00D72CC6"/>
    <w:rsid w:val="00D76BBD"/>
    <w:rsid w:val="00D804C5"/>
    <w:rsid w:val="00D81648"/>
    <w:rsid w:val="00D8476C"/>
    <w:rsid w:val="00D8667C"/>
    <w:rsid w:val="00D86AB9"/>
    <w:rsid w:val="00D9050F"/>
    <w:rsid w:val="00D90792"/>
    <w:rsid w:val="00D90C99"/>
    <w:rsid w:val="00DA190A"/>
    <w:rsid w:val="00DA1F36"/>
    <w:rsid w:val="00DA44E5"/>
    <w:rsid w:val="00DA76E7"/>
    <w:rsid w:val="00DB0635"/>
    <w:rsid w:val="00DB3154"/>
    <w:rsid w:val="00DB76E8"/>
    <w:rsid w:val="00DC0071"/>
    <w:rsid w:val="00DC2436"/>
    <w:rsid w:val="00DC3B16"/>
    <w:rsid w:val="00DD68AC"/>
    <w:rsid w:val="00DD68D0"/>
    <w:rsid w:val="00DD7FD7"/>
    <w:rsid w:val="00DE0686"/>
    <w:rsid w:val="00DE1A14"/>
    <w:rsid w:val="00DF5B3E"/>
    <w:rsid w:val="00DF7C49"/>
    <w:rsid w:val="00E003AB"/>
    <w:rsid w:val="00E020DE"/>
    <w:rsid w:val="00E02984"/>
    <w:rsid w:val="00E1181D"/>
    <w:rsid w:val="00E13119"/>
    <w:rsid w:val="00E13189"/>
    <w:rsid w:val="00E205AE"/>
    <w:rsid w:val="00E26901"/>
    <w:rsid w:val="00E30C9E"/>
    <w:rsid w:val="00E31CB7"/>
    <w:rsid w:val="00E320B3"/>
    <w:rsid w:val="00E37E85"/>
    <w:rsid w:val="00E400A3"/>
    <w:rsid w:val="00E550E4"/>
    <w:rsid w:val="00E55950"/>
    <w:rsid w:val="00E62C06"/>
    <w:rsid w:val="00E6796D"/>
    <w:rsid w:val="00E67B79"/>
    <w:rsid w:val="00E72780"/>
    <w:rsid w:val="00E747F8"/>
    <w:rsid w:val="00E818F5"/>
    <w:rsid w:val="00E90AE0"/>
    <w:rsid w:val="00EA7D4F"/>
    <w:rsid w:val="00EB16F7"/>
    <w:rsid w:val="00EB231C"/>
    <w:rsid w:val="00EB582F"/>
    <w:rsid w:val="00EB677A"/>
    <w:rsid w:val="00EC504C"/>
    <w:rsid w:val="00EC5C08"/>
    <w:rsid w:val="00ED20C0"/>
    <w:rsid w:val="00ED3C8F"/>
    <w:rsid w:val="00ED54AC"/>
    <w:rsid w:val="00EF72B8"/>
    <w:rsid w:val="00F00EBA"/>
    <w:rsid w:val="00F03D50"/>
    <w:rsid w:val="00F05112"/>
    <w:rsid w:val="00F06D24"/>
    <w:rsid w:val="00F141F3"/>
    <w:rsid w:val="00F2148E"/>
    <w:rsid w:val="00F237D2"/>
    <w:rsid w:val="00F25FA5"/>
    <w:rsid w:val="00F40510"/>
    <w:rsid w:val="00F40BB9"/>
    <w:rsid w:val="00F40E08"/>
    <w:rsid w:val="00F43685"/>
    <w:rsid w:val="00F60A62"/>
    <w:rsid w:val="00F66A87"/>
    <w:rsid w:val="00F674E2"/>
    <w:rsid w:val="00F67568"/>
    <w:rsid w:val="00F7019D"/>
    <w:rsid w:val="00F91F3D"/>
    <w:rsid w:val="00F92018"/>
    <w:rsid w:val="00F93E31"/>
    <w:rsid w:val="00FA22AE"/>
    <w:rsid w:val="00FA550F"/>
    <w:rsid w:val="00FB1617"/>
    <w:rsid w:val="00FB16DE"/>
    <w:rsid w:val="00FB2365"/>
    <w:rsid w:val="00FB56E9"/>
    <w:rsid w:val="00FB5975"/>
    <w:rsid w:val="00FC0A82"/>
    <w:rsid w:val="00FC1FCE"/>
    <w:rsid w:val="00FC27BB"/>
    <w:rsid w:val="00FC47CD"/>
    <w:rsid w:val="00FD2E0A"/>
    <w:rsid w:val="00FD6243"/>
    <w:rsid w:val="00FD7DDE"/>
    <w:rsid w:val="00FE268C"/>
    <w:rsid w:val="00FE3007"/>
    <w:rsid w:val="00FE43D4"/>
    <w:rsid w:val="00FE4BD6"/>
    <w:rsid w:val="00FE7FD4"/>
    <w:rsid w:val="00FF277C"/>
    <w:rsid w:val="00FF32C6"/>
    <w:rsid w:val="00FF4DCC"/>
    <w:rsid w:val="00FF5D9E"/>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A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D37B7"/>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F06D24"/>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2D37B7"/>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D37B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F06D2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2D37B7"/>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 w:type="character" w:styleId="CommentReference">
    <w:name w:val="annotation reference"/>
    <w:basedOn w:val="DefaultParagraphFont"/>
    <w:uiPriority w:val="99"/>
    <w:semiHidden/>
    <w:unhideWhenUsed/>
    <w:rsid w:val="009B2A39"/>
    <w:rPr>
      <w:sz w:val="16"/>
      <w:szCs w:val="16"/>
    </w:rPr>
  </w:style>
  <w:style w:type="paragraph" w:styleId="CommentText">
    <w:name w:val="annotation text"/>
    <w:basedOn w:val="Normal"/>
    <w:link w:val="CommentTextChar"/>
    <w:uiPriority w:val="99"/>
    <w:unhideWhenUsed/>
    <w:rsid w:val="009B2A39"/>
    <w:rPr>
      <w:sz w:val="20"/>
      <w:szCs w:val="20"/>
    </w:rPr>
  </w:style>
  <w:style w:type="character" w:customStyle="1" w:styleId="CommentTextChar">
    <w:name w:val="Comment Text Char"/>
    <w:basedOn w:val="DefaultParagraphFont"/>
    <w:link w:val="CommentText"/>
    <w:uiPriority w:val="99"/>
    <w:rsid w:val="009B2A39"/>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9B2A39"/>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AA5028"/>
    <w:rPr>
      <w:b/>
      <w:bCs/>
    </w:rPr>
  </w:style>
  <w:style w:type="character" w:customStyle="1" w:styleId="CommentSubjectChar">
    <w:name w:val="Comment Subject Char"/>
    <w:basedOn w:val="CommentTextChar"/>
    <w:link w:val="CommentSubject"/>
    <w:uiPriority w:val="99"/>
    <w:semiHidden/>
    <w:rsid w:val="00AA502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B91BFF"/>
    <w:rPr>
      <w:color w:val="605E5C"/>
      <w:shd w:val="clear" w:color="auto" w:fill="E1DFDD"/>
    </w:rPr>
  </w:style>
  <w:style w:type="character" w:customStyle="1" w:styleId="cf01">
    <w:name w:val="cf01"/>
    <w:basedOn w:val="DefaultParagraphFont"/>
    <w:rsid w:val="00911F54"/>
    <w:rPr>
      <w:rFonts w:ascii="Segoe UI" w:hAnsi="Segoe UI" w:cs="Segoe UI" w:hint="default"/>
      <w:sz w:val="18"/>
      <w:szCs w:val="18"/>
    </w:rPr>
  </w:style>
  <w:style w:type="paragraph" w:styleId="Revision">
    <w:name w:val="Revision"/>
    <w:hidden/>
    <w:uiPriority w:val="99"/>
    <w:semiHidden/>
    <w:rsid w:val="009B2743"/>
    <w:pPr>
      <w:spacing w:after="0" w:line="240" w:lineRule="auto"/>
    </w:pPr>
    <w:rPr>
      <w:rFonts w:ascii="Arial" w:eastAsia="Times New Roman" w:hAnsi="Arial" w:cs="Times New Roman"/>
      <w:sz w:val="24"/>
      <w:szCs w:val="24"/>
    </w:rPr>
  </w:style>
  <w:style w:type="paragraph" w:customStyle="1" w:styleId="TableHeading">
    <w:name w:val="Table Heading"/>
    <w:basedOn w:val="Normal"/>
    <w:autoRedefine/>
    <w:qFormat/>
    <w:rsid w:val="00AA1A70"/>
    <w:pPr>
      <w:spacing w:before="240"/>
    </w:pPr>
    <w:rPr>
      <w:rFonts w:cs="Arial"/>
      <w:i/>
      <w:iCs/>
    </w:rPr>
  </w:style>
  <w:style w:type="character" w:styleId="FollowedHyperlink">
    <w:name w:val="FollowedHyperlink"/>
    <w:basedOn w:val="DefaultParagraphFont"/>
    <w:uiPriority w:val="99"/>
    <w:semiHidden/>
    <w:unhideWhenUsed/>
    <w:rsid w:val="00066DDC"/>
    <w:rPr>
      <w:color w:val="954F72" w:themeColor="followedHyperlink"/>
      <w:u w:val="single"/>
    </w:rPr>
  </w:style>
  <w:style w:type="character" w:customStyle="1" w:styleId="ui-provider">
    <w:name w:val="ui-provider"/>
    <w:basedOn w:val="DefaultParagraphFont"/>
    <w:rsid w:val="00712BAF"/>
  </w:style>
  <w:style w:type="character" w:styleId="Emphasis">
    <w:name w:val="Emphasis"/>
    <w:basedOn w:val="DefaultParagraphFont"/>
    <w:uiPriority w:val="20"/>
    <w:qFormat/>
    <w:rsid w:val="00361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eginfo.legislature.ca.gov/faces/billNavClient.xhtml?bill_id=201920200SB1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ection-20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692962-3ae4-4fc1-83cc-d2e9bdae55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427A517E8154FAD31E0CED777893A" ma:contentTypeVersion="13" ma:contentTypeDescription="Create a new document." ma:contentTypeScope="" ma:versionID="3e4f4da31e10591d448ca987b3d8d509">
  <xsd:schema xmlns:xsd="http://www.w3.org/2001/XMLSchema" xmlns:xs="http://www.w3.org/2001/XMLSchema" xmlns:p="http://schemas.microsoft.com/office/2006/metadata/properties" xmlns:ns3="855f78e7-caeb-45d6-9a83-1b136a82e72b" xmlns:ns4="e7692962-3ae4-4fc1-83cc-d2e9bdae55a2" targetNamespace="http://schemas.microsoft.com/office/2006/metadata/properties" ma:root="true" ma:fieldsID="5430f6fef8d190a231e94dbf4419a5a1" ns3:_="" ns4:_="">
    <xsd:import namespace="855f78e7-caeb-45d6-9a83-1b136a82e72b"/>
    <xsd:import namespace="e7692962-3ae4-4fc1-83cc-d2e9bdae55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f78e7-caeb-45d6-9a83-1b136a82e7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92962-3ae4-4fc1-83cc-d2e9bdae55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CE62-1642-4416-A9DE-0D6EC285FE82}">
  <ds:schemaRefs>
    <ds:schemaRef ds:uri="http://schemas.microsoft.com/office/2006/metadata/properties"/>
    <ds:schemaRef ds:uri="http://schemas.microsoft.com/office/infopath/2007/PartnerControls"/>
    <ds:schemaRef ds:uri="e7692962-3ae4-4fc1-83cc-d2e9bdae55a2"/>
  </ds:schemaRefs>
</ds:datastoreItem>
</file>

<file path=customXml/itemProps2.xml><?xml version="1.0" encoding="utf-8"?>
<ds:datastoreItem xmlns:ds="http://schemas.openxmlformats.org/officeDocument/2006/customXml" ds:itemID="{35A4671C-5D39-444A-A49E-9B697B9086BD}">
  <ds:schemaRefs>
    <ds:schemaRef ds:uri="http://schemas.microsoft.com/sharepoint/v3/contenttype/forms"/>
  </ds:schemaRefs>
</ds:datastoreItem>
</file>

<file path=customXml/itemProps3.xml><?xml version="1.0" encoding="utf-8"?>
<ds:datastoreItem xmlns:ds="http://schemas.openxmlformats.org/officeDocument/2006/customXml" ds:itemID="{26B87F7C-5E0B-434C-A6DB-3098A0CE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f78e7-caeb-45d6-9a83-1b136a82e72b"/>
    <ds:schemaRef ds:uri="e7692962-3ae4-4fc1-83cc-d2e9bdae5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7A5EC-FD11-4C42-BAE6-74BAC30F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3458</Words>
  <Characters>19713</Characters>
  <DocSecurity>0</DocSecurity>
  <Lines>164</Lines>
  <Paragraphs>46</Paragraphs>
  <ScaleCrop>false</ScaleCrop>
  <HeadingPairs>
    <vt:vector size="2" baseType="variant">
      <vt:variant>
        <vt:lpstr>Title</vt:lpstr>
      </vt:variant>
      <vt:variant>
        <vt:i4>1</vt:i4>
      </vt:variant>
    </vt:vector>
  </HeadingPairs>
  <TitlesOfParts>
    <vt:vector size="1" baseType="lpstr">
      <vt:lpstr>March 2024 Agenda Item XX - Meeting Agendas (CA State Board of Education)</vt:lpstr>
    </vt:vector>
  </TitlesOfParts>
  <Company>California State Board of Education</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10 - Meeting Agendas (CA State Board of Education)</dc:title>
  <dc:subject>California’s Application to the United States Department of Education for Funds Available through the 2024–29 Federal Charter Schools Program.</dc:subject>
  <cp:keywords/>
  <dc:description/>
  <cp:lastModifiedBy/>
  <dcterms:created xsi:type="dcterms:W3CDTF">2024-04-26T17:16:00Z</dcterms:created>
  <dcterms:modified xsi:type="dcterms:W3CDTF">2024-04-26T18:40:00Z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0x010100E9F427A517E8154FAD31E0CED777893A</vt:lpwstr>
  </property>
</Properties>
</file>