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6C8AA" w14:textId="77777777" w:rsidR="00FA6ED1" w:rsidRPr="00D10F46" w:rsidRDefault="00FA6ED1" w:rsidP="00FA6ED1">
      <w:pPr>
        <w:spacing w:before="0" w:after="0"/>
      </w:pPr>
      <w:r>
        <w:rPr>
          <w:noProof/>
        </w:rPr>
        <w:drawing>
          <wp:inline distT="0" distB="0" distL="0" distR="0" wp14:anchorId="0A791D5D" wp14:editId="6368376D">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7B6CFCA4" w14:textId="77777777" w:rsidR="00FA6ED1" w:rsidRPr="002D6EC8" w:rsidRDefault="00FA6ED1" w:rsidP="00FA6ED1">
      <w:pPr>
        <w:tabs>
          <w:tab w:val="right" w:pos="9360"/>
        </w:tabs>
        <w:spacing w:before="0" w:after="0"/>
        <w:rPr>
          <w:rFonts w:cs="Arial"/>
        </w:rPr>
      </w:pPr>
      <w:r>
        <w:rPr>
          <w:rFonts w:eastAsiaTheme="majorEastAsia" w:cstheme="majorBidi"/>
          <w:b/>
          <w:sz w:val="40"/>
          <w:szCs w:val="40"/>
        </w:rPr>
        <w:tab/>
      </w:r>
      <w:r w:rsidRPr="002D6EC8">
        <w:rPr>
          <w:rFonts w:cs="Arial"/>
        </w:rPr>
        <w:t>California Department of Education</w:t>
      </w:r>
    </w:p>
    <w:p w14:paraId="1F252C72" w14:textId="77777777" w:rsidR="00FA6ED1" w:rsidRPr="002D6EC8" w:rsidRDefault="00FA6ED1" w:rsidP="00FA6ED1">
      <w:pPr>
        <w:spacing w:before="0" w:after="0"/>
        <w:jc w:val="right"/>
        <w:rPr>
          <w:rFonts w:cs="Arial"/>
        </w:rPr>
      </w:pPr>
      <w:r w:rsidRPr="002D6EC8">
        <w:rPr>
          <w:rFonts w:cs="Arial"/>
        </w:rPr>
        <w:t>Charter Schools Division</w:t>
      </w:r>
    </w:p>
    <w:p w14:paraId="7026D778" w14:textId="77777777" w:rsidR="00FA6ED1" w:rsidRPr="002D6EC8" w:rsidRDefault="00FA6ED1" w:rsidP="00FA6ED1">
      <w:pPr>
        <w:spacing w:before="0" w:after="0"/>
        <w:jc w:val="right"/>
        <w:rPr>
          <w:rFonts w:cs="Arial"/>
        </w:rPr>
      </w:pPr>
      <w:r>
        <w:rPr>
          <w:rFonts w:cs="Arial"/>
        </w:rPr>
        <w:t>Revised 5/2018</w:t>
      </w:r>
    </w:p>
    <w:p w14:paraId="1D25106E" w14:textId="63496423" w:rsidR="00FA6ED1" w:rsidRDefault="00FA6ED1" w:rsidP="00FA6ED1">
      <w:pPr>
        <w:spacing w:before="0" w:after="100" w:afterAutospacing="1"/>
        <w:jc w:val="right"/>
        <w:rPr>
          <w:rFonts w:cs="Arial"/>
        </w:rPr>
      </w:pPr>
      <w:r>
        <w:rPr>
          <w:rFonts w:cs="Arial"/>
        </w:rPr>
        <w:t>oab-csd</w:t>
      </w:r>
      <w:r w:rsidRPr="60A02052">
        <w:rPr>
          <w:rFonts w:cs="Arial"/>
        </w:rPr>
        <w:t>-</w:t>
      </w:r>
      <w:r>
        <w:rPr>
          <w:rFonts w:cs="Arial"/>
        </w:rPr>
        <w:t>may</w:t>
      </w:r>
      <w:r w:rsidRPr="60A02052">
        <w:rPr>
          <w:rFonts w:cs="Arial"/>
        </w:rPr>
        <w:t>21item0</w:t>
      </w:r>
      <w:r>
        <w:rPr>
          <w:rFonts w:cs="Arial"/>
        </w:rPr>
        <w:t>3</w:t>
      </w:r>
    </w:p>
    <w:p w14:paraId="31F40CED" w14:textId="77777777" w:rsidR="00FA6ED1" w:rsidRPr="00D10F46" w:rsidRDefault="00FA6ED1" w:rsidP="00FA6ED1">
      <w:pPr>
        <w:keepNext/>
        <w:keepLines/>
        <w:jc w:val="center"/>
        <w:outlineLvl w:val="0"/>
        <w:rPr>
          <w:rFonts w:eastAsiaTheme="majorEastAsia" w:cstheme="majorBidi"/>
          <w:b/>
          <w:sz w:val="40"/>
          <w:szCs w:val="40"/>
        </w:rPr>
        <w:sectPr w:rsidR="00FA6ED1" w:rsidRPr="00D10F46" w:rsidSect="00C82CBA">
          <w:headerReference w:type="default" r:id="rId12"/>
          <w:type w:val="continuous"/>
          <w:pgSz w:w="12240" w:h="15840"/>
          <w:pgMar w:top="720" w:right="1440" w:bottom="1440" w:left="1440" w:header="720" w:footer="720" w:gutter="0"/>
          <w:cols w:num="2" w:space="720"/>
          <w:titlePg/>
          <w:docGrid w:linePitch="360"/>
        </w:sectPr>
      </w:pPr>
    </w:p>
    <w:p w14:paraId="7AA0A614" w14:textId="77777777" w:rsidR="00FA6ED1" w:rsidRPr="00D10F46" w:rsidRDefault="00FA6ED1" w:rsidP="00FA6ED1">
      <w:pPr>
        <w:keepNext/>
        <w:keepLines/>
        <w:outlineLvl w:val="0"/>
        <w:rPr>
          <w:rFonts w:eastAsiaTheme="majorEastAsia" w:cstheme="majorBidi"/>
          <w:b/>
          <w:sz w:val="40"/>
          <w:szCs w:val="40"/>
        </w:rPr>
        <w:sectPr w:rsidR="00FA6ED1" w:rsidRPr="00D10F46" w:rsidSect="0091117B">
          <w:type w:val="continuous"/>
          <w:pgSz w:w="12240" w:h="15840"/>
          <w:pgMar w:top="720" w:right="1440" w:bottom="1440" w:left="1440" w:header="720" w:footer="720" w:gutter="0"/>
          <w:cols w:space="720"/>
          <w:docGrid w:linePitch="360"/>
        </w:sectPr>
      </w:pPr>
    </w:p>
    <w:p w14:paraId="00104023" w14:textId="54E18129" w:rsidR="00FA6ED1" w:rsidRPr="005A77AB" w:rsidRDefault="00FA6ED1" w:rsidP="00FA6ED1">
      <w:pPr>
        <w:pStyle w:val="Heading1"/>
      </w:pPr>
      <w:r w:rsidRPr="00647695">
        <w:t>California State Board of Education</w:t>
      </w:r>
      <w:r>
        <w:br/>
      </w:r>
      <w:r w:rsidR="001174D7">
        <w:t>May</w:t>
      </w:r>
      <w:r w:rsidRPr="005A77AB">
        <w:t xml:space="preserve"> 2021 Agenda</w:t>
      </w:r>
      <w:r w:rsidRPr="005A77AB">
        <w:br/>
        <w:t>Item #</w:t>
      </w:r>
      <w:r w:rsidR="001C48BC">
        <w:t>09</w:t>
      </w:r>
    </w:p>
    <w:p w14:paraId="50857685" w14:textId="77777777" w:rsidR="00FC1FCE" w:rsidRPr="00DD604A" w:rsidRDefault="00FC1FCE" w:rsidP="00772977">
      <w:pPr>
        <w:pStyle w:val="Heading2"/>
      </w:pPr>
      <w:r w:rsidRPr="00DD604A">
        <w:t>Subject</w:t>
      </w:r>
    </w:p>
    <w:p w14:paraId="2B20B3B8" w14:textId="6D32F317" w:rsidR="00DE7E0F" w:rsidRPr="00DD604A" w:rsidRDefault="7F0276FA" w:rsidP="00772977">
      <w:r w:rsidRPr="00DD604A">
        <w:t xml:space="preserve">Petition </w:t>
      </w:r>
      <w:r w:rsidR="3A7387A7" w:rsidRPr="00DD604A">
        <w:t>for the Renewal of a</w:t>
      </w:r>
      <w:r w:rsidRPr="00DD604A">
        <w:t xml:space="preserve"> Charter School</w:t>
      </w:r>
      <w:r w:rsidR="0060408C">
        <w:t xml:space="preserve"> Currently</w:t>
      </w:r>
      <w:r w:rsidRPr="00DD604A">
        <w:t xml:space="preserve"> Under the Oversight of the </w:t>
      </w:r>
      <w:bookmarkStart w:id="0" w:name="_GoBack"/>
      <w:bookmarkEnd w:id="0"/>
      <w:r w:rsidRPr="00DD604A">
        <w:t>State Board of Education</w:t>
      </w:r>
      <w:r w:rsidR="001441EE" w:rsidRPr="00DD604A">
        <w:t xml:space="preserve"> Pursuant to California </w:t>
      </w:r>
      <w:r w:rsidR="001441EE" w:rsidRPr="00DD604A">
        <w:rPr>
          <w:i/>
          <w:iCs/>
        </w:rPr>
        <w:t xml:space="preserve">Education Code </w:t>
      </w:r>
      <w:r w:rsidR="001441EE" w:rsidRPr="00DD604A">
        <w:t>Section 47605</w:t>
      </w:r>
      <w:r w:rsidR="00A122A3" w:rsidRPr="00DD604A">
        <w:t>.9(b)</w:t>
      </w:r>
      <w:r w:rsidRPr="00DD604A">
        <w:t>: Consideration o</w:t>
      </w:r>
      <w:r w:rsidR="4B484C3D" w:rsidRPr="00DD604A">
        <w:t>f</w:t>
      </w:r>
      <w:r w:rsidR="6B4E9205" w:rsidRPr="00DD604A">
        <w:t xml:space="preserve"> </w:t>
      </w:r>
      <w:r w:rsidR="61B2358D" w:rsidRPr="00DD604A">
        <w:t xml:space="preserve">Audeo </w:t>
      </w:r>
      <w:r w:rsidR="6B4E9205" w:rsidRPr="00DD604A">
        <w:t>Charter</w:t>
      </w:r>
      <w:r w:rsidR="0012367B" w:rsidRPr="00DD604A">
        <w:t xml:space="preserve"> II</w:t>
      </w:r>
      <w:r w:rsidRPr="00DD604A">
        <w:t>, wh</w:t>
      </w:r>
      <w:r w:rsidR="4B484C3D" w:rsidRPr="00DD604A">
        <w:t>ich wa</w:t>
      </w:r>
      <w:r w:rsidRPr="00DD604A">
        <w:t xml:space="preserve">s denied by the </w:t>
      </w:r>
      <w:r w:rsidR="00051008" w:rsidRPr="00DD604A">
        <w:t>Carlsbad</w:t>
      </w:r>
      <w:r w:rsidR="000F19B3" w:rsidRPr="00DD604A">
        <w:t xml:space="preserve"> </w:t>
      </w:r>
      <w:r w:rsidR="005F3570" w:rsidRPr="00DD604A">
        <w:t xml:space="preserve">Unified </w:t>
      </w:r>
      <w:r w:rsidRPr="00DD604A">
        <w:t>School District</w:t>
      </w:r>
      <w:r w:rsidR="00F723A8" w:rsidRPr="00DD604A">
        <w:t>.</w:t>
      </w:r>
    </w:p>
    <w:p w14:paraId="209B66CC" w14:textId="77777777" w:rsidR="005A31D3" w:rsidRPr="00DD604A" w:rsidRDefault="00FC1FCE" w:rsidP="00772977">
      <w:pPr>
        <w:pStyle w:val="Heading2"/>
      </w:pPr>
      <w:r w:rsidRPr="00DD604A">
        <w:t>Type of Action</w:t>
      </w:r>
    </w:p>
    <w:p w14:paraId="04C3687E" w14:textId="3A98839B" w:rsidR="0091117B" w:rsidRPr="00DD604A" w:rsidRDefault="008909EE" w:rsidP="00772977">
      <w:r w:rsidRPr="00DD604A">
        <w:t>Action, Information</w:t>
      </w:r>
      <w:r w:rsidR="001C48BC">
        <w:t>, Hearing</w:t>
      </w:r>
    </w:p>
    <w:p w14:paraId="578C6F15" w14:textId="77777777" w:rsidR="00FC1FCE" w:rsidRPr="00DD604A" w:rsidRDefault="00443B1F" w:rsidP="00772977">
      <w:pPr>
        <w:pStyle w:val="Heading2"/>
      </w:pPr>
      <w:r w:rsidRPr="00DD604A">
        <w:t>Summary of the Issue</w:t>
      </w:r>
    </w:p>
    <w:p w14:paraId="418E5324" w14:textId="77777777" w:rsidR="00635042" w:rsidRPr="00DD604A" w:rsidRDefault="00373D1B" w:rsidP="00772977">
      <w:r w:rsidRPr="00DD604A">
        <w:t>Audeo Charter II</w:t>
      </w:r>
      <w:r w:rsidR="6B4E9205" w:rsidRPr="00DD604A">
        <w:t xml:space="preserve"> </w:t>
      </w:r>
      <w:r w:rsidR="7F0276FA" w:rsidRPr="00DD604A">
        <w:t>(</w:t>
      </w:r>
      <w:r w:rsidRPr="00DD604A">
        <w:t>ACII</w:t>
      </w:r>
      <w:r w:rsidR="7F0276FA" w:rsidRPr="00DD604A">
        <w:t>) is seeking a renewal of its charter from the State Board of Education (SBE).</w:t>
      </w:r>
    </w:p>
    <w:p w14:paraId="0C18761B" w14:textId="71E91605" w:rsidR="00DE7E0F" w:rsidRPr="00DD604A" w:rsidRDefault="7F0276FA" w:rsidP="00772977">
      <w:pPr>
        <w:rPr>
          <w:rFonts w:eastAsia="Calibri"/>
        </w:rPr>
      </w:pPr>
      <w:r w:rsidRPr="00DD604A">
        <w:rPr>
          <w:rFonts w:eastAsia="Calibri"/>
        </w:rPr>
        <w:t xml:space="preserve">On </w:t>
      </w:r>
      <w:r w:rsidR="00DF0D2F" w:rsidRPr="00DD604A">
        <w:rPr>
          <w:rFonts w:eastAsia="Calibri"/>
        </w:rPr>
        <w:t xml:space="preserve">December </w:t>
      </w:r>
      <w:r w:rsidR="00F723A8" w:rsidRPr="00DD604A">
        <w:rPr>
          <w:rFonts w:eastAsia="Calibri"/>
        </w:rPr>
        <w:t>9</w:t>
      </w:r>
      <w:r w:rsidRPr="00DD604A">
        <w:rPr>
          <w:rFonts w:eastAsia="Calibri"/>
        </w:rPr>
        <w:t>, 2</w:t>
      </w:r>
      <w:r w:rsidR="761ABDA1" w:rsidRPr="00DD604A">
        <w:rPr>
          <w:rFonts w:eastAsia="Calibri"/>
        </w:rPr>
        <w:t>0</w:t>
      </w:r>
      <w:r w:rsidR="6B4E9205" w:rsidRPr="00DD604A">
        <w:rPr>
          <w:rFonts w:eastAsia="Calibri"/>
        </w:rPr>
        <w:t>20</w:t>
      </w:r>
      <w:r w:rsidR="761ABDA1" w:rsidRPr="00DD604A">
        <w:rPr>
          <w:rFonts w:eastAsia="Calibri"/>
        </w:rPr>
        <w:t>,</w:t>
      </w:r>
      <w:r w:rsidR="00051008" w:rsidRPr="00DD604A">
        <w:rPr>
          <w:rFonts w:eastAsia="Calibri"/>
        </w:rPr>
        <w:t xml:space="preserve"> </w:t>
      </w:r>
      <w:r w:rsidR="006B4994" w:rsidRPr="00DD604A">
        <w:rPr>
          <w:rFonts w:eastAsia="Calibri"/>
        </w:rPr>
        <w:t xml:space="preserve">Carlsbad Unified </w:t>
      </w:r>
      <w:r w:rsidR="6B4E9205" w:rsidRPr="00DD604A">
        <w:rPr>
          <w:rFonts w:eastAsia="Calibri"/>
        </w:rPr>
        <w:t>School District</w:t>
      </w:r>
      <w:r w:rsidR="720A0488" w:rsidRPr="00DD604A">
        <w:rPr>
          <w:rFonts w:eastAsia="Calibri"/>
        </w:rPr>
        <w:t xml:space="preserve"> (</w:t>
      </w:r>
      <w:r w:rsidR="00051008" w:rsidRPr="00DD604A">
        <w:rPr>
          <w:rFonts w:eastAsia="Calibri"/>
        </w:rPr>
        <w:t>CUSD</w:t>
      </w:r>
      <w:r w:rsidR="720A0488" w:rsidRPr="00DD604A">
        <w:rPr>
          <w:rFonts w:eastAsia="Calibri"/>
        </w:rPr>
        <w:t xml:space="preserve">) denied the </w:t>
      </w:r>
      <w:r w:rsidR="00373D1B" w:rsidRPr="00DD604A">
        <w:rPr>
          <w:rFonts w:eastAsia="Calibri"/>
        </w:rPr>
        <w:t>ACII</w:t>
      </w:r>
      <w:r w:rsidR="761ABDA1" w:rsidRPr="00DD604A">
        <w:rPr>
          <w:rFonts w:eastAsia="Calibri"/>
        </w:rPr>
        <w:t xml:space="preserve"> </w:t>
      </w:r>
      <w:r w:rsidRPr="00DD604A">
        <w:rPr>
          <w:rFonts w:eastAsia="Calibri"/>
        </w:rPr>
        <w:t>petition</w:t>
      </w:r>
      <w:r w:rsidR="720A0488" w:rsidRPr="00DD604A">
        <w:rPr>
          <w:rFonts w:eastAsia="Calibri"/>
        </w:rPr>
        <w:t xml:space="preserve"> </w:t>
      </w:r>
      <w:r w:rsidR="761ABDA1" w:rsidRPr="00DD604A">
        <w:rPr>
          <w:rFonts w:eastAsia="Calibri"/>
        </w:rPr>
        <w:t>by a vote of f</w:t>
      </w:r>
      <w:r w:rsidR="00F723A8" w:rsidRPr="00DD604A">
        <w:rPr>
          <w:rFonts w:eastAsia="Calibri"/>
        </w:rPr>
        <w:t>our</w:t>
      </w:r>
      <w:r w:rsidR="761ABDA1" w:rsidRPr="00DD604A">
        <w:rPr>
          <w:rFonts w:eastAsia="Calibri"/>
        </w:rPr>
        <w:t xml:space="preserve"> to </w:t>
      </w:r>
      <w:r w:rsidR="008F264B" w:rsidRPr="00DD604A">
        <w:rPr>
          <w:rFonts w:eastAsia="Calibri"/>
        </w:rPr>
        <w:t>one.</w:t>
      </w:r>
    </w:p>
    <w:p w14:paraId="21779E1C" w14:textId="77777777" w:rsidR="00DE7E0F" w:rsidRPr="00DD604A" w:rsidRDefault="00DE7E0F" w:rsidP="00772977">
      <w:pPr>
        <w:rPr>
          <w:rFonts w:eastAsia="Calibri"/>
        </w:rPr>
      </w:pPr>
      <w:r w:rsidRPr="00DD604A">
        <w:rPr>
          <w:rFonts w:eastAsia="Calibri"/>
        </w:rPr>
        <w:t xml:space="preserve">The petitioner submitted </w:t>
      </w:r>
      <w:r w:rsidR="00F53C94" w:rsidRPr="00DD604A">
        <w:rPr>
          <w:rFonts w:eastAsia="Calibri"/>
        </w:rPr>
        <w:t xml:space="preserve">the </w:t>
      </w:r>
      <w:r w:rsidR="00373D1B" w:rsidRPr="00DD604A">
        <w:rPr>
          <w:rFonts w:eastAsia="Calibri"/>
        </w:rPr>
        <w:t>ACII</w:t>
      </w:r>
      <w:r w:rsidR="00F53C94" w:rsidRPr="00DD604A">
        <w:rPr>
          <w:rFonts w:eastAsia="Calibri"/>
        </w:rPr>
        <w:t xml:space="preserve"> </w:t>
      </w:r>
      <w:r w:rsidRPr="00DD604A">
        <w:rPr>
          <w:rFonts w:eastAsia="Calibri"/>
        </w:rPr>
        <w:t xml:space="preserve">petition on appeal to the </w:t>
      </w:r>
      <w:r w:rsidR="0048362A" w:rsidRPr="00DD604A">
        <w:rPr>
          <w:rFonts w:eastAsia="Calibri"/>
        </w:rPr>
        <w:t>SBE</w:t>
      </w:r>
      <w:r w:rsidRPr="00DD604A">
        <w:rPr>
          <w:rFonts w:eastAsia="Calibri"/>
        </w:rPr>
        <w:t xml:space="preserve"> on </w:t>
      </w:r>
      <w:r w:rsidR="00DF0D2F" w:rsidRPr="00DD604A">
        <w:rPr>
          <w:rFonts w:eastAsia="Calibri"/>
        </w:rPr>
        <w:t>January 8</w:t>
      </w:r>
      <w:r w:rsidRPr="00DD604A">
        <w:rPr>
          <w:rFonts w:eastAsia="Calibri"/>
        </w:rPr>
        <w:t>, 202</w:t>
      </w:r>
      <w:r w:rsidR="00DF0D2F" w:rsidRPr="00DD604A">
        <w:rPr>
          <w:rFonts w:eastAsia="Calibri"/>
        </w:rPr>
        <w:t>1</w:t>
      </w:r>
      <w:r w:rsidRPr="00DD604A">
        <w:rPr>
          <w:rFonts w:eastAsia="Calibri"/>
        </w:rPr>
        <w:t>.</w:t>
      </w:r>
    </w:p>
    <w:p w14:paraId="7CEB4A62" w14:textId="77777777" w:rsidR="00643851" w:rsidRPr="005737DE" w:rsidRDefault="00643851" w:rsidP="00643851">
      <w:pPr>
        <w:keepNext/>
        <w:keepLines/>
        <w:outlineLvl w:val="1"/>
        <w:rPr>
          <w:rFonts w:eastAsiaTheme="majorEastAsia" w:cstheme="majorBidi"/>
          <w:b/>
          <w:sz w:val="36"/>
          <w:szCs w:val="28"/>
        </w:rPr>
      </w:pPr>
      <w:r w:rsidRPr="005737DE">
        <w:rPr>
          <w:rFonts w:eastAsiaTheme="majorEastAsia" w:cstheme="majorBidi"/>
          <w:b/>
          <w:sz w:val="36"/>
          <w:szCs w:val="28"/>
        </w:rPr>
        <w:t>California Department of Education Recommendation</w:t>
      </w:r>
    </w:p>
    <w:p w14:paraId="6F5B7CFC" w14:textId="00F20B0D" w:rsidR="0060500F" w:rsidRPr="00DD604A" w:rsidRDefault="4C68EF25" w:rsidP="00772977">
      <w:r w:rsidRPr="00DD604A">
        <w:t xml:space="preserve">The </w:t>
      </w:r>
      <w:r w:rsidR="158AFDF5" w:rsidRPr="00DD604A">
        <w:t xml:space="preserve">California Department of Education (CDE) </w:t>
      </w:r>
      <w:r w:rsidRPr="00DD604A">
        <w:t>recommend</w:t>
      </w:r>
      <w:r w:rsidR="00CB7930">
        <w:t>s</w:t>
      </w:r>
      <w:r w:rsidRPr="00DD604A">
        <w:t xml:space="preserve"> that the SBE hold a public hearing to </w:t>
      </w:r>
      <w:r w:rsidR="11DBC93F" w:rsidRPr="00DD604A">
        <w:t>approve</w:t>
      </w:r>
      <w:r w:rsidRPr="00DD604A">
        <w:t xml:space="preserve"> the request to renew </w:t>
      </w:r>
      <w:r w:rsidR="00373D1B" w:rsidRPr="00DD604A">
        <w:t>ACII</w:t>
      </w:r>
      <w:r w:rsidRPr="00DD604A">
        <w:t xml:space="preserve">, </w:t>
      </w:r>
      <w:r w:rsidR="00895C52" w:rsidRPr="00DD604A">
        <w:t xml:space="preserve">which is both a Dashboard Alternative Status School (DASS) program and </w:t>
      </w:r>
      <w:r w:rsidR="0094428F" w:rsidRPr="00DD604A">
        <w:t xml:space="preserve">nonclassroom-based </w:t>
      </w:r>
      <w:r w:rsidR="7D900176" w:rsidRPr="00DD604A">
        <w:t xml:space="preserve">kindergarten </w:t>
      </w:r>
      <w:r w:rsidR="4794E7E3" w:rsidRPr="00DD604A">
        <w:t xml:space="preserve">(K) </w:t>
      </w:r>
      <w:r w:rsidRPr="00DD604A">
        <w:t xml:space="preserve">through grade </w:t>
      </w:r>
      <w:r w:rsidR="006C50EF" w:rsidRPr="00DD604A">
        <w:t>twelve</w:t>
      </w:r>
      <w:r w:rsidRPr="00DD604A">
        <w:t xml:space="preserve"> charter school, based on the CDE’s findings pursuant to</w:t>
      </w:r>
      <w:r w:rsidR="00FD2BB2" w:rsidRPr="00DD604A">
        <w:t xml:space="preserve"> California</w:t>
      </w:r>
      <w:r w:rsidRPr="00DD604A">
        <w:t xml:space="preserve"> </w:t>
      </w:r>
      <w:r w:rsidRPr="00DD604A">
        <w:rPr>
          <w:i/>
          <w:iCs/>
        </w:rPr>
        <w:t xml:space="preserve">Education Code </w:t>
      </w:r>
      <w:r w:rsidRPr="00DD604A">
        <w:t>(</w:t>
      </w:r>
      <w:r w:rsidRPr="00DD604A">
        <w:rPr>
          <w:i/>
          <w:iCs/>
        </w:rPr>
        <w:t>EC</w:t>
      </w:r>
      <w:r w:rsidRPr="00DD604A">
        <w:t>)</w:t>
      </w:r>
      <w:r w:rsidRPr="00DD604A">
        <w:rPr>
          <w:i/>
          <w:iCs/>
        </w:rPr>
        <w:t xml:space="preserve"> </w:t>
      </w:r>
      <w:r w:rsidR="1C037B77" w:rsidRPr="00DD604A">
        <w:t>S</w:t>
      </w:r>
      <w:r w:rsidRPr="00DD604A">
        <w:t xml:space="preserve">ection 47605 and </w:t>
      </w:r>
      <w:r w:rsidRPr="00DD604A">
        <w:rPr>
          <w:i/>
          <w:iCs/>
        </w:rPr>
        <w:t>California Code of Regulations</w:t>
      </w:r>
      <w:r w:rsidRPr="00DD604A">
        <w:t>, Title 5 Section 11967.5.</w:t>
      </w:r>
    </w:p>
    <w:p w14:paraId="23D6C842" w14:textId="20AE1D79" w:rsidR="006C50EF" w:rsidRPr="00DD604A" w:rsidRDefault="12DADBA3" w:rsidP="00772977">
      <w:r w:rsidRPr="00DD604A">
        <w:t xml:space="preserve">The CDE finds </w:t>
      </w:r>
      <w:r w:rsidR="4794E7E3" w:rsidRPr="00DD604A">
        <w:t xml:space="preserve">that </w:t>
      </w:r>
      <w:r w:rsidRPr="00DD604A">
        <w:t xml:space="preserve">the </w:t>
      </w:r>
      <w:r w:rsidR="4794E7E3" w:rsidRPr="00DD604A">
        <w:t xml:space="preserve">petitioner is able to </w:t>
      </w:r>
      <w:r w:rsidRPr="00DD604A">
        <w:t xml:space="preserve">successfully implement the </w:t>
      </w:r>
      <w:r w:rsidR="4794E7E3" w:rsidRPr="00DD604A">
        <w:t xml:space="preserve">intended </w:t>
      </w:r>
      <w:r w:rsidRPr="00DD604A">
        <w:t>program</w:t>
      </w:r>
      <w:r w:rsidR="009B2DE2" w:rsidRPr="00DD604A">
        <w:t>,</w:t>
      </w:r>
      <w:r w:rsidRPr="00DD604A">
        <w:t xml:space="preserve"> and </w:t>
      </w:r>
      <w:r w:rsidR="4794E7E3" w:rsidRPr="00DD604A">
        <w:t xml:space="preserve">that the </w:t>
      </w:r>
      <w:r w:rsidR="00373D1B" w:rsidRPr="00DD604A">
        <w:t>ACII</w:t>
      </w:r>
      <w:r w:rsidR="4794E7E3" w:rsidRPr="00DD604A">
        <w:t xml:space="preserve"> petition </w:t>
      </w:r>
      <w:r w:rsidR="009B2DE2" w:rsidRPr="00DD604A">
        <w:t xml:space="preserve">is consistent with sound educational practice and </w:t>
      </w:r>
      <w:r w:rsidRPr="00DD604A">
        <w:t>meets the renewal criteria.</w:t>
      </w:r>
      <w:r w:rsidR="009B2DE2" w:rsidRPr="00DD604A">
        <w:t xml:space="preserve"> </w:t>
      </w:r>
      <w:r w:rsidR="00991A49" w:rsidRPr="00DD604A">
        <w:t xml:space="preserve">Although the CDE finds that the ACII petition contains, overall, reasonably comprehensive descriptions of most of the required elements, the CDE has identified areas where the ACII petition could be strengthened and made more </w:t>
      </w:r>
      <w:r w:rsidR="00991A49" w:rsidRPr="00DD604A">
        <w:lastRenderedPageBreak/>
        <w:t>specific. The CDE notes these areas in this item as well as in its analysis of the ACII petition (Attachment 1).</w:t>
      </w:r>
    </w:p>
    <w:p w14:paraId="6B349DFF" w14:textId="77777777" w:rsidR="00FA6ED1" w:rsidRPr="003D15F4" w:rsidRDefault="00FA6ED1" w:rsidP="00FA6ED1">
      <w:pPr>
        <w:keepNext/>
        <w:keepLines/>
        <w:outlineLvl w:val="1"/>
        <w:rPr>
          <w:rFonts w:eastAsiaTheme="majorEastAsia" w:cstheme="majorBidi"/>
          <w:b/>
          <w:sz w:val="36"/>
          <w:szCs w:val="28"/>
        </w:rPr>
      </w:pPr>
      <w:bookmarkStart w:id="1" w:name="_Hlk32493521"/>
      <w:r w:rsidRPr="003D15F4">
        <w:rPr>
          <w:rFonts w:eastAsiaTheme="majorEastAsia" w:cstheme="majorBidi"/>
          <w:b/>
          <w:sz w:val="36"/>
          <w:szCs w:val="28"/>
        </w:rPr>
        <w:t>Advisory Commission on Charter Schools Recommendation</w:t>
      </w:r>
    </w:p>
    <w:p w14:paraId="5C9E27DC" w14:textId="354DF8F3" w:rsidR="00FA6ED1" w:rsidRPr="003D15F4" w:rsidRDefault="00FA6ED1" w:rsidP="00FA6ED1">
      <w:pPr>
        <w:spacing w:before="0"/>
      </w:pPr>
      <w:r w:rsidRPr="003D15F4">
        <w:t xml:space="preserve">The Advisory Commission on Charter Schools (ACCS) considered the </w:t>
      </w:r>
      <w:r w:rsidR="00B83C2D" w:rsidRPr="003D15F4">
        <w:t>ACII</w:t>
      </w:r>
      <w:r w:rsidRPr="003D15F4">
        <w:t xml:space="preserve"> petition at its April 13, 2021, meeting. The ACCS moved CDE staff recommendation to </w:t>
      </w:r>
      <w:r w:rsidR="00D25E03" w:rsidRPr="003D15F4">
        <w:t xml:space="preserve">approve </w:t>
      </w:r>
      <w:r w:rsidRPr="003D15F4">
        <w:t xml:space="preserve">the </w:t>
      </w:r>
      <w:r w:rsidR="00B83C2D" w:rsidRPr="003D15F4">
        <w:t>ACII</w:t>
      </w:r>
      <w:r w:rsidRPr="003D15F4">
        <w:t xml:space="preserve"> petition</w:t>
      </w:r>
      <w:r w:rsidR="00CB7930" w:rsidRPr="003D15F4">
        <w:t>. The motion passed</w:t>
      </w:r>
      <w:r w:rsidRPr="003D15F4">
        <w:t xml:space="preserve"> by a vote of eight to </w:t>
      </w:r>
      <w:r w:rsidR="00D25E03" w:rsidRPr="003D15F4">
        <w:t xml:space="preserve">zero, with </w:t>
      </w:r>
      <w:r w:rsidRPr="003D15F4">
        <w:t>one</w:t>
      </w:r>
      <w:r w:rsidR="00D25E03" w:rsidRPr="003D15F4">
        <w:t xml:space="preserve"> abstention</w:t>
      </w:r>
      <w:r w:rsidRPr="003D15F4">
        <w:t>.</w:t>
      </w:r>
    </w:p>
    <w:p w14:paraId="3A6C163D" w14:textId="566D6359" w:rsidR="00FA6ED1" w:rsidRPr="003D15F4" w:rsidRDefault="00FA6ED1" w:rsidP="00FA6ED1">
      <w:pPr>
        <w:spacing w:before="0"/>
        <w:rPr>
          <w:rFonts w:eastAsia="Calibri" w:cs="Arial"/>
        </w:rPr>
      </w:pPr>
      <w:r w:rsidRPr="003D15F4">
        <w:rPr>
          <w:rFonts w:eastAsia="Calibri" w:cs="Arial"/>
        </w:rPr>
        <w:t xml:space="preserve">The notice for the April 13, 2021, ACCS meeting is located on the </w:t>
      </w:r>
      <w:r w:rsidRPr="003D15F4">
        <w:rPr>
          <w:rFonts w:cs="Arial"/>
        </w:rPr>
        <w:t xml:space="preserve">SBE April 2021 ACCS Meeting Agenda web page at </w:t>
      </w:r>
      <w:hyperlink r:id="rId13" w:tooltip="SBE April 2021 ACCS Meeting Agenda web page" w:history="1">
        <w:r w:rsidRPr="003D15F4">
          <w:rPr>
            <w:rStyle w:val="Hyperlink"/>
          </w:rPr>
          <w:t>https://www.cde.ca.gov/be/cc/cs/accsnotice041321.asp</w:t>
        </w:r>
      </w:hyperlink>
      <w:r w:rsidRPr="003D15F4">
        <w:rPr>
          <w:rFonts w:eastAsia="Calibri" w:cs="Arial"/>
        </w:rPr>
        <w:t>.</w:t>
      </w:r>
    </w:p>
    <w:p w14:paraId="1C620147" w14:textId="77777777" w:rsidR="008F7EA4" w:rsidRPr="003D15F4" w:rsidRDefault="008F7EA4" w:rsidP="008F7EA4">
      <w:pPr>
        <w:keepNext/>
        <w:keepLines/>
        <w:outlineLvl w:val="1"/>
        <w:rPr>
          <w:rFonts w:eastAsia="Calibri" w:cstheme="majorBidi"/>
          <w:b/>
          <w:sz w:val="36"/>
          <w:szCs w:val="36"/>
        </w:rPr>
      </w:pPr>
      <w:bookmarkStart w:id="2" w:name="_Hlk64988331"/>
      <w:r w:rsidRPr="003D15F4">
        <w:rPr>
          <w:rFonts w:eastAsia="Calibri" w:cstheme="majorBidi"/>
          <w:b/>
          <w:sz w:val="36"/>
          <w:szCs w:val="36"/>
        </w:rPr>
        <w:t>Designated Oversight Agency</w:t>
      </w:r>
    </w:p>
    <w:p w14:paraId="76D7CEA4" w14:textId="15FEC37E" w:rsidR="008F7EA4" w:rsidRPr="003D15F4" w:rsidRDefault="008F7EA4" w:rsidP="008F7EA4">
      <w:pPr>
        <w:spacing w:before="0"/>
        <w:rPr>
          <w:rFonts w:eastAsia="Calibri" w:cs="Arial"/>
        </w:rPr>
      </w:pPr>
      <w:r w:rsidRPr="003D15F4">
        <w:rPr>
          <w:rFonts w:eastAsia="Calibri" w:cs="Arial"/>
        </w:rPr>
        <w:t xml:space="preserve">Per </w:t>
      </w:r>
      <w:r w:rsidRPr="003D15F4">
        <w:rPr>
          <w:rFonts w:eastAsia="Calibri" w:cs="Arial"/>
          <w:i/>
        </w:rPr>
        <w:t xml:space="preserve">EC </w:t>
      </w:r>
      <w:r w:rsidRPr="003D15F4">
        <w:rPr>
          <w:rFonts w:eastAsia="Calibri" w:cs="Arial"/>
        </w:rPr>
        <w:t xml:space="preserve">Section </w:t>
      </w:r>
      <w:r w:rsidRPr="003D15F4">
        <w:t>47605</w:t>
      </w:r>
      <w:r w:rsidR="00A83B88" w:rsidRPr="003D15F4">
        <w:t>.9(b),</w:t>
      </w:r>
      <w:r w:rsidRPr="003D15F4">
        <w:rPr>
          <w:rFonts w:eastAsia="Calibri" w:cs="Arial"/>
        </w:rPr>
        <w:t xml:space="preserve"> the SBE shall designate, in consultation with the petitioner, either the governing board of the school district or the county board of education in which the charter school is located as the chartering authority.</w:t>
      </w:r>
    </w:p>
    <w:p w14:paraId="2A60171B" w14:textId="1E2EDCD2" w:rsidR="00643851" w:rsidRPr="008F7EA4" w:rsidRDefault="002F08C6" w:rsidP="008F7EA4">
      <w:pPr>
        <w:spacing w:before="0"/>
        <w:rPr>
          <w:rFonts w:eastAsia="Calibri" w:cs="Arial"/>
        </w:rPr>
      </w:pPr>
      <w:r w:rsidRPr="003D15F4">
        <w:rPr>
          <w:rFonts w:eastAsia="Calibri" w:cs="Arial"/>
        </w:rPr>
        <w:t xml:space="preserve">Pursuant to statute, the CDE consulted with the petitioner regarding their preference for chartering authority. ACII stated that they prefer that chartering authority be designated to the San Diego County Office of Education (SDCOE). </w:t>
      </w:r>
      <w:r w:rsidR="00643851" w:rsidRPr="003D15F4">
        <w:rPr>
          <w:rFonts w:eastAsia="Calibri" w:cs="Arial"/>
        </w:rPr>
        <w:t xml:space="preserve">The CDE </w:t>
      </w:r>
      <w:r w:rsidRPr="003D15F4">
        <w:rPr>
          <w:rFonts w:eastAsia="Calibri" w:cs="Arial"/>
        </w:rPr>
        <w:t xml:space="preserve">agrees with the school’s preference and </w:t>
      </w:r>
      <w:r w:rsidR="00643851" w:rsidRPr="003D15F4">
        <w:rPr>
          <w:rFonts w:eastAsia="Calibri" w:cs="Arial"/>
        </w:rPr>
        <w:t>recommends that the SBE designate</w:t>
      </w:r>
      <w:r w:rsidR="004104BF" w:rsidRPr="003D15F4">
        <w:rPr>
          <w:rFonts w:eastAsia="Calibri" w:cs="Arial"/>
        </w:rPr>
        <w:t xml:space="preserve"> </w:t>
      </w:r>
      <w:r w:rsidRPr="003D15F4">
        <w:rPr>
          <w:rFonts w:eastAsia="Calibri" w:cs="Arial"/>
        </w:rPr>
        <w:t xml:space="preserve">the SDCOE </w:t>
      </w:r>
      <w:r w:rsidR="00643851" w:rsidRPr="003D15F4">
        <w:rPr>
          <w:rFonts w:eastAsia="Calibri" w:cs="Arial"/>
        </w:rPr>
        <w:t>as the chartering authority for ACII.</w:t>
      </w:r>
    </w:p>
    <w:bookmarkEnd w:id="2"/>
    <w:p w14:paraId="14C270C2" w14:textId="76FE9816" w:rsidR="00642BD0" w:rsidRPr="00DD604A" w:rsidRDefault="00DE7E0F" w:rsidP="00772977">
      <w:pPr>
        <w:pStyle w:val="Heading2"/>
      </w:pPr>
      <w:r w:rsidRPr="00DD604A">
        <w:t xml:space="preserve">Brief </w:t>
      </w:r>
      <w:r w:rsidRPr="00DD604A">
        <w:rPr>
          <w:rStyle w:val="Heading2Char"/>
          <w:b/>
        </w:rPr>
        <w:t>Histo</w:t>
      </w:r>
      <w:r w:rsidR="008F7EA4">
        <w:rPr>
          <w:rStyle w:val="Heading2Char"/>
          <w:b/>
        </w:rPr>
        <w:t>ry</w:t>
      </w:r>
    </w:p>
    <w:p w14:paraId="026C76C8" w14:textId="69A2D6F6" w:rsidR="007F39E0" w:rsidRPr="00DD604A" w:rsidRDefault="007F39E0" w:rsidP="00772977">
      <w:pPr>
        <w:spacing w:before="0" w:after="0"/>
        <w:rPr>
          <w:rFonts w:eastAsia="Calibri" w:cs="Arial"/>
        </w:rPr>
      </w:pPr>
      <w:bookmarkStart w:id="3" w:name="_Hlk59434931"/>
      <w:bookmarkStart w:id="4" w:name="_Hlk32407673"/>
      <w:bookmarkStart w:id="5" w:name="_Hlk32327062"/>
      <w:bookmarkStart w:id="6" w:name="_Hlk32927911"/>
      <w:bookmarkEnd w:id="1"/>
      <w:r w:rsidRPr="00DD604A">
        <w:rPr>
          <w:rFonts w:eastAsia="Calibri" w:cs="Arial"/>
        </w:rPr>
        <w:t>ACII</w:t>
      </w:r>
      <w:r w:rsidR="0094428F" w:rsidRPr="00DD604A">
        <w:rPr>
          <w:rFonts w:eastAsia="Calibri" w:cs="Arial"/>
        </w:rPr>
        <w:t>,</w:t>
      </w:r>
      <w:r w:rsidR="00B83D37" w:rsidRPr="00DD604A">
        <w:rPr>
          <w:rFonts w:eastAsia="Calibri" w:cs="Arial"/>
        </w:rPr>
        <w:t xml:space="preserve"> a</w:t>
      </w:r>
      <w:r w:rsidR="0094428F" w:rsidRPr="00DD604A">
        <w:rPr>
          <w:rFonts w:eastAsia="Calibri" w:cs="Arial"/>
        </w:rPr>
        <w:t xml:space="preserve"> </w:t>
      </w:r>
      <w:r w:rsidR="00241376" w:rsidRPr="00DD604A">
        <w:rPr>
          <w:rFonts w:eastAsia="Calibri" w:cs="Arial"/>
        </w:rPr>
        <w:t>n</w:t>
      </w:r>
      <w:r w:rsidR="0094428F" w:rsidRPr="00DD604A">
        <w:rPr>
          <w:rFonts w:eastAsia="Calibri" w:cs="Arial"/>
        </w:rPr>
        <w:t>onclassroom-based</w:t>
      </w:r>
      <w:r w:rsidR="00241376" w:rsidRPr="00DD604A">
        <w:rPr>
          <w:rFonts w:eastAsia="Calibri" w:cs="Arial"/>
        </w:rPr>
        <w:t xml:space="preserve"> </w:t>
      </w:r>
      <w:r w:rsidR="00B83D37" w:rsidRPr="00DD604A">
        <w:rPr>
          <w:rFonts w:eastAsia="Calibri" w:cs="Arial"/>
        </w:rPr>
        <w:t>charter school</w:t>
      </w:r>
      <w:r w:rsidR="0094428F" w:rsidRPr="00DD604A">
        <w:rPr>
          <w:rFonts w:eastAsia="Calibri" w:cs="Arial"/>
        </w:rPr>
        <w:t>, offers an independent study program that</w:t>
      </w:r>
      <w:r w:rsidRPr="00DD604A">
        <w:rPr>
          <w:rFonts w:eastAsia="Calibri" w:cs="Arial"/>
        </w:rPr>
        <w:t xml:space="preserve"> currently serves 260 pupils in K through grade twelve</w:t>
      </w:r>
      <w:r w:rsidR="00B83D37" w:rsidRPr="00DD604A">
        <w:rPr>
          <w:rFonts w:eastAsia="Calibri" w:cs="Arial"/>
        </w:rPr>
        <w:t xml:space="preserve">. </w:t>
      </w:r>
      <w:bookmarkStart w:id="7" w:name="_Hlk68259141"/>
      <w:r w:rsidR="00B83D37" w:rsidRPr="00DD604A">
        <w:rPr>
          <w:rFonts w:eastAsia="Calibri" w:cs="Arial"/>
        </w:rPr>
        <w:t xml:space="preserve">ACII maintains </w:t>
      </w:r>
      <w:r w:rsidRPr="00DD604A">
        <w:rPr>
          <w:rFonts w:eastAsia="Calibri" w:cs="Arial"/>
        </w:rPr>
        <w:t>a</w:t>
      </w:r>
      <w:r w:rsidR="00B83D37" w:rsidRPr="00DD604A">
        <w:rPr>
          <w:rFonts w:eastAsia="Calibri" w:cs="Arial"/>
        </w:rPr>
        <w:t xml:space="preserve">n administrative office at 10170 </w:t>
      </w:r>
      <w:proofErr w:type="spellStart"/>
      <w:r w:rsidR="00B83D37" w:rsidRPr="00DD604A">
        <w:rPr>
          <w:rFonts w:eastAsia="Calibri" w:cs="Arial"/>
        </w:rPr>
        <w:t>Huennekens</w:t>
      </w:r>
      <w:proofErr w:type="spellEnd"/>
      <w:r w:rsidR="00B83D37" w:rsidRPr="00DD604A">
        <w:rPr>
          <w:rFonts w:eastAsia="Calibri" w:cs="Arial"/>
        </w:rPr>
        <w:t xml:space="preserve"> Street, San Diego, California as well as two resource centers located at </w:t>
      </w:r>
      <w:bookmarkEnd w:id="3"/>
      <w:r w:rsidRPr="00DD604A">
        <w:rPr>
          <w:rFonts w:eastAsia="Calibri" w:cs="Arial"/>
        </w:rPr>
        <w:t>3821 Plaza Drive, Oceanside, California</w:t>
      </w:r>
      <w:r w:rsidR="00B83D37" w:rsidRPr="00DD604A">
        <w:rPr>
          <w:rFonts w:eastAsia="Calibri" w:cs="Arial"/>
        </w:rPr>
        <w:t xml:space="preserve"> and 6965 El Camino Real, Carlsbad California.</w:t>
      </w:r>
      <w:r w:rsidRPr="00DD604A">
        <w:rPr>
          <w:rFonts w:eastAsia="Calibri" w:cs="Arial"/>
        </w:rPr>
        <w:t xml:space="preserve"> The petition states that ACII plans to enroll 320 pupils by </w:t>
      </w:r>
      <w:r w:rsidR="00572321" w:rsidRPr="00DD604A">
        <w:rPr>
          <w:rFonts w:eastAsia="Calibri" w:cs="Arial"/>
        </w:rPr>
        <w:t>school year</w:t>
      </w:r>
      <w:r w:rsidR="00A74703" w:rsidRPr="00DD604A">
        <w:rPr>
          <w:rFonts w:eastAsia="Calibri" w:cs="Arial"/>
        </w:rPr>
        <w:t xml:space="preserve"> (SY) </w:t>
      </w:r>
      <w:r w:rsidRPr="00DD604A">
        <w:rPr>
          <w:rFonts w:eastAsia="Calibri" w:cs="Arial"/>
        </w:rPr>
        <w:t>2025</w:t>
      </w:r>
      <w:r w:rsidR="00572321" w:rsidRPr="00DD604A">
        <w:rPr>
          <w:rFonts w:ascii="Times New Roman" w:eastAsia="Calibri" w:hAnsi="Times New Roman"/>
        </w:rPr>
        <w:t>–</w:t>
      </w:r>
      <w:r w:rsidRPr="00DD604A">
        <w:rPr>
          <w:rFonts w:eastAsia="Calibri" w:cs="Arial"/>
        </w:rPr>
        <w:t>26</w:t>
      </w:r>
      <w:r w:rsidR="003F324C" w:rsidRPr="00DD604A">
        <w:rPr>
          <w:rFonts w:eastAsia="Calibri" w:cs="Arial"/>
        </w:rPr>
        <w:t xml:space="preserve"> </w:t>
      </w:r>
      <w:r w:rsidRPr="003D15F4">
        <w:rPr>
          <w:rFonts w:eastAsia="Calibri" w:cs="Arial"/>
        </w:rPr>
        <w:t>(Attachment 3</w:t>
      </w:r>
      <w:r w:rsidR="00A83B88" w:rsidRPr="003D15F4">
        <w:rPr>
          <w:rFonts w:eastAsia="Calibri" w:cs="Arial"/>
        </w:rPr>
        <w:t xml:space="preserve"> of Agenda Item 3 on the SBE April 2021 ACCS Meeting Agenda web page at </w:t>
      </w:r>
      <w:hyperlink r:id="rId14" w:tooltip="SBE April 2021 ACCS Meeting Agenda web page" w:history="1">
        <w:r w:rsidR="00A83B88" w:rsidRPr="003D15F4">
          <w:rPr>
            <w:rStyle w:val="Hyperlink"/>
            <w:rFonts w:eastAsia="Calibri" w:cs="Arial"/>
          </w:rPr>
          <w:t>https://www.cde.ca.gov/be/cc/cs/accsnotice041321.asp</w:t>
        </w:r>
      </w:hyperlink>
      <w:r w:rsidRPr="003D15F4">
        <w:rPr>
          <w:rFonts w:eastAsia="Calibri" w:cs="Arial"/>
        </w:rPr>
        <w:t>).</w:t>
      </w:r>
      <w:bookmarkEnd w:id="7"/>
    </w:p>
    <w:p w14:paraId="161581E5" w14:textId="39309C8F" w:rsidR="007F39E0" w:rsidRPr="00DD604A" w:rsidRDefault="00373D1B" w:rsidP="00772977">
      <w:pPr>
        <w:widowControl w:val="0"/>
        <w:autoSpaceDE w:val="0"/>
        <w:autoSpaceDN w:val="0"/>
        <w:adjustRightInd w:val="0"/>
        <w:ind w:right="1"/>
        <w:rPr>
          <w:rFonts w:eastAsia="Calibri" w:cs="Arial"/>
        </w:rPr>
      </w:pPr>
      <w:r w:rsidRPr="00DD604A">
        <w:rPr>
          <w:rFonts w:eastAsia="Calibri"/>
        </w:rPr>
        <w:t>ACII</w:t>
      </w:r>
      <w:r w:rsidR="00FD2BB2" w:rsidRPr="00DD604A">
        <w:rPr>
          <w:rFonts w:eastAsia="Calibri"/>
        </w:rPr>
        <w:t>’s</w:t>
      </w:r>
      <w:r w:rsidR="16070A48" w:rsidRPr="00DD604A">
        <w:rPr>
          <w:rFonts w:eastAsia="Calibri"/>
        </w:rPr>
        <w:t xml:space="preserve"> mission </w:t>
      </w:r>
      <w:r w:rsidR="007F39E0" w:rsidRPr="00DD604A">
        <w:rPr>
          <w:rFonts w:eastAsia="Calibri"/>
        </w:rPr>
        <w:t xml:space="preserve">is </w:t>
      </w:r>
      <w:r w:rsidR="007F39E0" w:rsidRPr="00DD604A">
        <w:rPr>
          <w:rFonts w:eastAsia="Calibri" w:cs="Arial"/>
        </w:rPr>
        <w:t>to implement personalized educational programs to facilitate student achievement.</w:t>
      </w:r>
      <w:r w:rsidR="007F39E0" w:rsidRPr="00DD604A" w:rsidDel="001D3D12">
        <w:rPr>
          <w:rFonts w:eastAsia="Calibri" w:cs="Arial"/>
        </w:rPr>
        <w:t xml:space="preserve"> </w:t>
      </w:r>
      <w:r w:rsidR="007F39E0" w:rsidRPr="00DD604A">
        <w:rPr>
          <w:rFonts w:eastAsia="Calibri" w:cs="Arial"/>
        </w:rPr>
        <w:t xml:space="preserve">These educational programs will demonstrate that standards-based educational reform can provide a prototype for changing the way teachers teach and </w:t>
      </w:r>
      <w:r w:rsidR="00914C70" w:rsidRPr="00DD604A">
        <w:rPr>
          <w:rFonts w:eastAsia="Calibri" w:cs="Arial"/>
        </w:rPr>
        <w:t>pupils</w:t>
      </w:r>
      <w:r w:rsidR="007F39E0" w:rsidRPr="00DD604A">
        <w:rPr>
          <w:rFonts w:eastAsia="Calibri" w:cs="Arial"/>
        </w:rPr>
        <w:t xml:space="preserve"> learn in the future (</w:t>
      </w:r>
      <w:r w:rsidR="007F39E0" w:rsidRPr="003D15F4">
        <w:rPr>
          <w:rFonts w:eastAsia="Calibri" w:cs="Arial"/>
        </w:rPr>
        <w:t>Attachment 3</w:t>
      </w:r>
      <w:r w:rsidR="00A83B88" w:rsidRPr="003D15F4">
        <w:rPr>
          <w:rFonts w:eastAsia="Calibri" w:cs="Arial"/>
        </w:rPr>
        <w:t xml:space="preserve"> of Agenda Item 3 on the SBE April 2021 ACCS Meeting Agenda web page at </w:t>
      </w:r>
      <w:hyperlink r:id="rId15" w:tooltip="SBE April 2021 ACCS Meeting Agenda web page" w:history="1">
        <w:r w:rsidR="00A83B88" w:rsidRPr="003D15F4">
          <w:rPr>
            <w:rStyle w:val="Hyperlink"/>
            <w:rFonts w:eastAsia="Calibri" w:cs="Arial"/>
          </w:rPr>
          <w:t>https://www.cde.ca.gov/be/cc/cs/accsnotice041321.asp</w:t>
        </w:r>
      </w:hyperlink>
      <w:r w:rsidR="007F39E0" w:rsidRPr="003D15F4">
        <w:rPr>
          <w:rFonts w:eastAsia="Calibri" w:cs="Arial"/>
        </w:rPr>
        <w:t>).</w:t>
      </w:r>
    </w:p>
    <w:p w14:paraId="5224DA40" w14:textId="2BD08DF8" w:rsidR="000952C6" w:rsidRPr="00DD604A" w:rsidRDefault="009A0C4E" w:rsidP="00772977">
      <w:r w:rsidRPr="00DD604A">
        <w:t>A</w:t>
      </w:r>
      <w:r w:rsidR="00307664" w:rsidRPr="00DD604A">
        <w:t>C</w:t>
      </w:r>
      <w:r w:rsidRPr="00DD604A">
        <w:t xml:space="preserve">II serves a unique student population. </w:t>
      </w:r>
      <w:r w:rsidR="00307664" w:rsidRPr="00DD604A">
        <w:t>Pupils</w:t>
      </w:r>
      <w:r w:rsidRPr="00DD604A">
        <w:t xml:space="preserve"> choose to enroll at A</w:t>
      </w:r>
      <w:r w:rsidR="00307664" w:rsidRPr="00DD604A">
        <w:t>C</w:t>
      </w:r>
      <w:r w:rsidRPr="00DD604A">
        <w:t>II because they have not been successful in the traditional school system. Approximately 62 percent of A</w:t>
      </w:r>
      <w:r w:rsidR="00307664" w:rsidRPr="00DD604A">
        <w:t>C</w:t>
      </w:r>
      <w:r w:rsidRPr="00DD604A">
        <w:t xml:space="preserve">II </w:t>
      </w:r>
      <w:r w:rsidR="00914C70" w:rsidRPr="00DD604A">
        <w:t>pupils</w:t>
      </w:r>
      <w:r w:rsidRPr="00DD604A">
        <w:t xml:space="preserve"> in grades </w:t>
      </w:r>
      <w:r w:rsidR="00A74703" w:rsidRPr="00DD604A">
        <w:t>six</w:t>
      </w:r>
      <w:r w:rsidR="00841911" w:rsidRPr="00DD604A">
        <w:t xml:space="preserve"> through </w:t>
      </w:r>
      <w:r w:rsidR="00A74703" w:rsidRPr="00DD604A">
        <w:t xml:space="preserve">twelve </w:t>
      </w:r>
      <w:r w:rsidRPr="00DD604A">
        <w:t>are credit deficient upon enrollment</w:t>
      </w:r>
      <w:r w:rsidR="00A74703" w:rsidRPr="00DD604A">
        <w:t>;</w:t>
      </w:r>
      <w:r w:rsidRPr="00DD604A">
        <w:t xml:space="preserve"> 52 percent </w:t>
      </w:r>
      <w:r w:rsidRPr="00DD604A">
        <w:lastRenderedPageBreak/>
        <w:t>are socioeconomically disadvantaged</w:t>
      </w:r>
      <w:r w:rsidR="00A74703" w:rsidRPr="00DD604A">
        <w:t>;</w:t>
      </w:r>
      <w:r w:rsidRPr="00DD604A">
        <w:t xml:space="preserve"> and 61 percent represent a minority student population. Additionally, approximately 20 percent </w:t>
      </w:r>
      <w:r w:rsidR="00A74703" w:rsidRPr="00DD604A">
        <w:t xml:space="preserve">of ACII pupils </w:t>
      </w:r>
      <w:r w:rsidRPr="00DD604A">
        <w:t xml:space="preserve">have been identified as </w:t>
      </w:r>
      <w:r w:rsidR="000952C6" w:rsidRPr="00DD604A">
        <w:t>requiring special education services</w:t>
      </w:r>
      <w:r w:rsidR="00FD2BB2" w:rsidRPr="00DD604A">
        <w:t xml:space="preserve"> (</w:t>
      </w:r>
      <w:r w:rsidR="00FD2BB2" w:rsidRPr="003D15F4">
        <w:t>Attachment 3</w:t>
      </w:r>
      <w:r w:rsidR="00A83B88" w:rsidRPr="003D15F4">
        <w:rPr>
          <w:rFonts w:eastAsia="Calibri" w:cs="Arial"/>
        </w:rPr>
        <w:t xml:space="preserve"> of Agenda Item 3 on the SBE April 2021 ACCS Meeting Agenda web page at </w:t>
      </w:r>
      <w:hyperlink r:id="rId16" w:tooltip="SBE April 2021 ACCS Meeting Agenda web page" w:history="1">
        <w:r w:rsidR="00A83B88" w:rsidRPr="003D15F4">
          <w:rPr>
            <w:rStyle w:val="Hyperlink"/>
            <w:rFonts w:eastAsia="Calibri" w:cs="Arial"/>
          </w:rPr>
          <w:t>https://www.cde.ca.gov/be/cc/cs/accsnotice041321.asp</w:t>
        </w:r>
      </w:hyperlink>
      <w:r w:rsidR="00FD2BB2" w:rsidRPr="003D15F4">
        <w:t>).</w:t>
      </w:r>
    </w:p>
    <w:p w14:paraId="6AD5B299" w14:textId="12ED760A" w:rsidR="00307664" w:rsidRPr="00DD604A" w:rsidRDefault="00361A56" w:rsidP="00772977">
      <w:pPr>
        <w:rPr>
          <w:rFonts w:eastAsia="Garamond"/>
        </w:rPr>
      </w:pPr>
      <w:r w:rsidRPr="00DD604A">
        <w:rPr>
          <w:rFonts w:eastAsia="Garamond"/>
        </w:rPr>
        <w:t xml:space="preserve">ACII </w:t>
      </w:r>
      <w:r w:rsidR="00411436" w:rsidRPr="00DD604A">
        <w:rPr>
          <w:rFonts w:eastAsia="Garamond"/>
        </w:rPr>
        <w:t xml:space="preserve">offers a unique intervention model that </w:t>
      </w:r>
      <w:r w:rsidRPr="00DD604A">
        <w:rPr>
          <w:rFonts w:eastAsia="Garamond"/>
        </w:rPr>
        <w:t>serves many students who are at least one to two years behind in English language arts (ELA) and Mathematics (math)</w:t>
      </w:r>
      <w:r w:rsidR="00411436" w:rsidRPr="00DD604A">
        <w:rPr>
          <w:rFonts w:eastAsia="Garamond"/>
        </w:rPr>
        <w:t>. After enrolling at ACII, once</w:t>
      </w:r>
      <w:r w:rsidR="00140446" w:rsidRPr="00DD604A">
        <w:rPr>
          <w:rFonts w:eastAsia="Garamond"/>
        </w:rPr>
        <w:t xml:space="preserve"> a pupil has made the necessary academic progress, they are redirected back to </w:t>
      </w:r>
      <w:r w:rsidR="00E23423">
        <w:rPr>
          <w:rFonts w:eastAsia="Garamond"/>
        </w:rPr>
        <w:t xml:space="preserve">their </w:t>
      </w:r>
      <w:r w:rsidRPr="00DD604A">
        <w:rPr>
          <w:rFonts w:eastAsia="Garamond"/>
        </w:rPr>
        <w:t>district of residence</w:t>
      </w:r>
      <w:r w:rsidR="00140446" w:rsidRPr="00DD604A">
        <w:rPr>
          <w:rFonts w:eastAsia="Garamond"/>
        </w:rPr>
        <w:t>.</w:t>
      </w:r>
      <w:r w:rsidR="00BD0DAF" w:rsidRPr="00DD604A">
        <w:rPr>
          <w:rFonts w:eastAsia="Garamond"/>
        </w:rPr>
        <w:t xml:space="preserve"> </w:t>
      </w:r>
      <w:r w:rsidR="00D26DEA" w:rsidRPr="00DD604A">
        <w:rPr>
          <w:rFonts w:eastAsia="Garamond"/>
        </w:rPr>
        <w:t xml:space="preserve">Since 2016, </w:t>
      </w:r>
      <w:r w:rsidR="00BD0DAF" w:rsidRPr="00DD604A">
        <w:rPr>
          <w:rFonts w:eastAsia="Garamond"/>
        </w:rPr>
        <w:t>ACII has redirected</w:t>
      </w:r>
      <w:r w:rsidR="00140446" w:rsidRPr="00DD604A">
        <w:rPr>
          <w:rFonts w:eastAsia="Garamond"/>
        </w:rPr>
        <w:t xml:space="preserve"> more than 330 </w:t>
      </w:r>
      <w:r w:rsidR="00BD0DAF" w:rsidRPr="00DD604A">
        <w:rPr>
          <w:rFonts w:eastAsia="Garamond"/>
        </w:rPr>
        <w:t xml:space="preserve">unduplicated pupils </w:t>
      </w:r>
      <w:r w:rsidR="00140446" w:rsidRPr="00DD604A">
        <w:rPr>
          <w:rFonts w:eastAsia="Garamond"/>
        </w:rPr>
        <w:t xml:space="preserve">back to </w:t>
      </w:r>
      <w:r w:rsidR="00A74703" w:rsidRPr="00DD604A">
        <w:rPr>
          <w:rFonts w:eastAsia="Garamond"/>
        </w:rPr>
        <w:t xml:space="preserve">CUSD </w:t>
      </w:r>
      <w:r w:rsidR="00140446" w:rsidRPr="00DD604A">
        <w:rPr>
          <w:rFonts w:eastAsia="Garamond"/>
        </w:rPr>
        <w:t xml:space="preserve">to re-enter the traditional educational program </w:t>
      </w:r>
      <w:r w:rsidR="009A0C4E" w:rsidRPr="00DD604A">
        <w:rPr>
          <w:rFonts w:eastAsia="Garamond" w:cs="Arial"/>
          <w:color w:val="000000" w:themeColor="text1"/>
        </w:rPr>
        <w:t>(</w:t>
      </w:r>
      <w:r w:rsidR="009A0C4E" w:rsidRPr="003D15F4">
        <w:rPr>
          <w:rFonts w:eastAsia="Garamond" w:cs="Arial"/>
          <w:color w:val="000000" w:themeColor="text1"/>
        </w:rPr>
        <w:t>Attachment 3</w:t>
      </w:r>
      <w:r w:rsidR="00A83B88" w:rsidRPr="003D15F4">
        <w:rPr>
          <w:rFonts w:eastAsia="Calibri" w:cs="Arial"/>
        </w:rPr>
        <w:t xml:space="preserve"> of Agenda Item 3 on the SBE April 2021 ACCS Meeting Agenda web page at </w:t>
      </w:r>
      <w:hyperlink r:id="rId17" w:tooltip="SBE April 2021 ACCS Meeting Agenda web page" w:history="1">
        <w:r w:rsidR="00A83B88" w:rsidRPr="003D15F4">
          <w:rPr>
            <w:rStyle w:val="Hyperlink"/>
            <w:rFonts w:eastAsia="Calibri" w:cs="Arial"/>
          </w:rPr>
          <w:t>https://www.cde.ca.gov/be/cc/cs/accsnotice041321.asp</w:t>
        </w:r>
      </w:hyperlink>
      <w:r w:rsidR="009A0C4E" w:rsidRPr="003D15F4">
        <w:rPr>
          <w:rFonts w:eastAsia="Garamond" w:cs="Arial"/>
          <w:color w:val="000000" w:themeColor="text1"/>
        </w:rPr>
        <w:t>).</w:t>
      </w:r>
      <w:r w:rsidR="00895C52" w:rsidRPr="00DD604A">
        <w:rPr>
          <w:rFonts w:eastAsia="Garamond" w:cs="Arial"/>
          <w:color w:val="000000" w:themeColor="text1"/>
        </w:rPr>
        <w:t xml:space="preserve"> As such, it is important to note that the school’s model presupposes that students will transfer once they have made adequate academic progress. This model therefore reinforces year-over-year student mobility, which has significant implications for the analysis of student progress between years.</w:t>
      </w:r>
    </w:p>
    <w:p w14:paraId="23318042" w14:textId="77777777" w:rsidR="00572321" w:rsidRPr="00DD604A" w:rsidRDefault="0066371A" w:rsidP="00772977">
      <w:pPr>
        <w:pStyle w:val="Heading2"/>
        <w:rPr>
          <w:rFonts w:eastAsiaTheme="minorEastAsia"/>
        </w:rPr>
      </w:pPr>
      <w:bookmarkStart w:id="8" w:name="_Hlk67396027"/>
      <w:r w:rsidRPr="00DD604A">
        <w:t>Renewal Criteria</w:t>
      </w:r>
    </w:p>
    <w:p w14:paraId="3D123460" w14:textId="77777777" w:rsidR="008C6CB5" w:rsidRPr="00DD604A" w:rsidRDefault="008C6CB5" w:rsidP="00772977">
      <w:pPr>
        <w:pStyle w:val="Heading3"/>
      </w:pPr>
      <w:r w:rsidRPr="00DD604A">
        <w:t>Dashboard Alternative School Status</w:t>
      </w:r>
    </w:p>
    <w:p w14:paraId="7E701CE4" w14:textId="26A712BD" w:rsidR="009D47B3" w:rsidRPr="00DD604A" w:rsidRDefault="009D47B3" w:rsidP="00772977">
      <w:pPr>
        <w:rPr>
          <w:rFonts w:eastAsiaTheme="minorEastAsia"/>
        </w:rPr>
      </w:pPr>
      <w:bookmarkStart w:id="9" w:name="_Hlk65155426"/>
      <w:r w:rsidRPr="00DD604A">
        <w:rPr>
          <w:rFonts w:ascii="Helvetica" w:hAnsi="Helvetica" w:cs="Helvetica"/>
          <w:color w:val="000000"/>
          <w:shd w:val="clear" w:color="auto" w:fill="FFFFFF"/>
        </w:rPr>
        <w:t xml:space="preserve">Pursuant to </w:t>
      </w:r>
      <w:r w:rsidRPr="00DD604A">
        <w:rPr>
          <w:rFonts w:ascii="Helvetica" w:hAnsi="Helvetica" w:cs="Helvetica"/>
          <w:i/>
          <w:color w:val="000000"/>
          <w:shd w:val="clear" w:color="auto" w:fill="FFFFFF"/>
        </w:rPr>
        <w:t>EC</w:t>
      </w:r>
      <w:r w:rsidR="00FC37F3" w:rsidRPr="00DD604A">
        <w:rPr>
          <w:rFonts w:ascii="Helvetica" w:hAnsi="Helvetica" w:cs="Helvetica"/>
          <w:color w:val="000000"/>
          <w:shd w:val="clear" w:color="auto" w:fill="FFFFFF"/>
        </w:rPr>
        <w:t xml:space="preserve"> Section</w:t>
      </w:r>
      <w:r w:rsidRPr="00DD604A">
        <w:rPr>
          <w:rFonts w:ascii="Helvetica" w:hAnsi="Helvetica" w:cs="Helvetica"/>
          <w:color w:val="000000"/>
          <w:shd w:val="clear" w:color="auto" w:fill="FFFFFF"/>
        </w:rPr>
        <w:t xml:space="preserve"> 52052(d), the </w:t>
      </w:r>
      <w:r w:rsidR="00895C52" w:rsidRPr="00DD604A">
        <w:rPr>
          <w:rFonts w:ascii="Helvetica" w:hAnsi="Helvetica" w:cs="Helvetica"/>
          <w:color w:val="000000"/>
          <w:shd w:val="clear" w:color="auto" w:fill="FFFFFF"/>
        </w:rPr>
        <w:t xml:space="preserve">DASS </w:t>
      </w:r>
      <w:r w:rsidRPr="00DD604A">
        <w:rPr>
          <w:rFonts w:ascii="Helvetica" w:hAnsi="Helvetica" w:cs="Helvetica"/>
          <w:color w:val="000000"/>
          <w:shd w:val="clear" w:color="auto" w:fill="FFFFFF"/>
        </w:rPr>
        <w:t>program replaces the previously administered Alternative Schools Accountability Model</w:t>
      </w:r>
      <w:r w:rsidR="00FC37F3" w:rsidRPr="00DD604A">
        <w:rPr>
          <w:rFonts w:ascii="Helvetica" w:hAnsi="Helvetica" w:cs="Helvetica"/>
          <w:color w:val="000000"/>
          <w:shd w:val="clear" w:color="auto" w:fill="FFFFFF"/>
        </w:rPr>
        <w:t>,</w:t>
      </w:r>
      <w:r w:rsidRPr="00DD604A">
        <w:rPr>
          <w:rFonts w:ascii="Helvetica" w:hAnsi="Helvetica" w:cs="Helvetica"/>
          <w:color w:val="000000"/>
          <w:shd w:val="clear" w:color="auto" w:fill="FFFFFF"/>
        </w:rPr>
        <w:t xml:space="preserve"> and holds alternative schools and alternative schools of choice accountable for modified methods of measurement for accountability indicators, when appropriate.</w:t>
      </w:r>
    </w:p>
    <w:p w14:paraId="2E1144C0" w14:textId="7D8DEB85" w:rsidR="00ED64D5" w:rsidRPr="00DD604A" w:rsidRDefault="008C6CB5" w:rsidP="00772977">
      <w:pPr>
        <w:spacing w:before="0" w:after="0"/>
        <w:rPr>
          <w:bCs/>
        </w:rPr>
      </w:pPr>
      <w:r w:rsidRPr="00DD604A">
        <w:rPr>
          <w:bCs/>
        </w:rPr>
        <w:t>ACII serves high</w:t>
      </w:r>
      <w:r w:rsidR="00300795" w:rsidRPr="00DD604A">
        <w:rPr>
          <w:bCs/>
        </w:rPr>
        <w:t>-</w:t>
      </w:r>
      <w:r w:rsidRPr="00DD604A">
        <w:rPr>
          <w:bCs/>
        </w:rPr>
        <w:t xml:space="preserve">risk </w:t>
      </w:r>
      <w:r w:rsidR="00914C70" w:rsidRPr="00DD604A">
        <w:rPr>
          <w:bCs/>
        </w:rPr>
        <w:t>pupils</w:t>
      </w:r>
      <w:r w:rsidRPr="00DD604A">
        <w:rPr>
          <w:bCs/>
        </w:rPr>
        <w:t xml:space="preserve"> and</w:t>
      </w:r>
      <w:r w:rsidR="004F30D9" w:rsidRPr="00DD604A">
        <w:rPr>
          <w:bCs/>
        </w:rPr>
        <w:t xml:space="preserve"> t</w:t>
      </w:r>
      <w:r w:rsidRPr="00DD604A">
        <w:rPr>
          <w:bCs/>
        </w:rPr>
        <w:t xml:space="preserve">herefore qualifies for </w:t>
      </w:r>
      <w:r w:rsidR="00FC37F3" w:rsidRPr="00DD604A">
        <w:rPr>
          <w:bCs/>
        </w:rPr>
        <w:t>DASS</w:t>
      </w:r>
      <w:r w:rsidRPr="00DD604A">
        <w:rPr>
          <w:bCs/>
        </w:rPr>
        <w:t xml:space="preserve">. The charter school is listed on the CDE DASS school list </w:t>
      </w:r>
      <w:r w:rsidR="00300795" w:rsidRPr="00DD604A">
        <w:rPr>
          <w:bCs/>
        </w:rPr>
        <w:t xml:space="preserve">at </w:t>
      </w:r>
      <w:hyperlink r:id="rId18" w:tooltip="CDE DASS school list" w:history="1">
        <w:r w:rsidR="00300795" w:rsidRPr="00DD604A">
          <w:rPr>
            <w:bCs/>
            <w:color w:val="0000FF"/>
            <w:u w:val="single"/>
          </w:rPr>
          <w:t>https://www.cde.ca.gov/ta/ac/activeschools.asp</w:t>
        </w:r>
      </w:hyperlink>
      <w:r w:rsidR="000238B0" w:rsidRPr="00DD604A">
        <w:rPr>
          <w:bCs/>
          <w:color w:val="0000FF"/>
        </w:rPr>
        <w:t xml:space="preserve"> </w:t>
      </w:r>
      <w:r w:rsidRPr="00DD604A">
        <w:rPr>
          <w:bCs/>
        </w:rPr>
        <w:t>as an active DASS school.</w:t>
      </w:r>
    </w:p>
    <w:p w14:paraId="67873F35" w14:textId="77777777" w:rsidR="00ED64D5" w:rsidRPr="00DD604A" w:rsidRDefault="00ED64D5" w:rsidP="00772977">
      <w:pPr>
        <w:rPr>
          <w:rFonts w:eastAsia="Calibri" w:cs="Arial"/>
        </w:rPr>
      </w:pPr>
      <w:bookmarkStart w:id="10" w:name="_Hlk67050469"/>
      <w:r w:rsidRPr="00DD604A">
        <w:rPr>
          <w:rFonts w:eastAsia="Calibri" w:cs="Arial"/>
        </w:rPr>
        <w:t xml:space="preserve">As an active DASS school, ACII is eligible for alternative methods for calculating state and local indicators of academic performance and </w:t>
      </w:r>
      <w:r w:rsidR="1947FD11" w:rsidRPr="00DD604A">
        <w:rPr>
          <w:rFonts w:eastAsia="Calibri" w:cs="Arial"/>
        </w:rPr>
        <w:t>is therefore to</w:t>
      </w:r>
      <w:r w:rsidRPr="00DD604A">
        <w:rPr>
          <w:rFonts w:eastAsia="Calibri" w:cs="Arial"/>
        </w:rPr>
        <w:t xml:space="preserve"> be considered for renewal in accordance with </w:t>
      </w:r>
      <w:r w:rsidRPr="00DD604A">
        <w:rPr>
          <w:rFonts w:eastAsia="Calibri" w:cs="Arial"/>
          <w:i/>
          <w:iCs/>
        </w:rPr>
        <w:t>EC</w:t>
      </w:r>
      <w:r w:rsidRPr="00DD604A">
        <w:rPr>
          <w:rFonts w:eastAsia="Calibri" w:cs="Arial"/>
        </w:rPr>
        <w:t xml:space="preserve"> Section 47607(c)(7).</w:t>
      </w:r>
      <w:r w:rsidR="61808843" w:rsidRPr="00DD604A">
        <w:rPr>
          <w:rFonts w:eastAsia="Calibri" w:cs="Arial"/>
        </w:rPr>
        <w:t xml:space="preserve"> A DASS school renewal </w:t>
      </w:r>
      <w:r w:rsidR="5B9E2401" w:rsidRPr="00DD604A">
        <w:rPr>
          <w:rFonts w:eastAsia="Calibri" w:cs="Arial"/>
        </w:rPr>
        <w:t xml:space="preserve">considers the charter school’s performance on the state and local indicators </w:t>
      </w:r>
      <w:r w:rsidR="269845BB" w:rsidRPr="00DD604A">
        <w:rPr>
          <w:rFonts w:eastAsia="Calibri" w:cs="Arial"/>
        </w:rPr>
        <w:t>and the charter school’s performance on alternative metrics applicable to the charter school based on the pupil population served.</w:t>
      </w:r>
      <w:r w:rsidR="7D47915A" w:rsidRPr="00DD604A">
        <w:rPr>
          <w:rFonts w:eastAsia="Calibri" w:cs="Arial"/>
        </w:rPr>
        <w:t xml:space="preserve"> A DASS charter school renewal petition may only be denied if written findings are made, including a finding that closure of the charter school is in the best interests of pupils.</w:t>
      </w:r>
      <w:bookmarkEnd w:id="10"/>
    </w:p>
    <w:p w14:paraId="4A90BCB4" w14:textId="602F85ED" w:rsidR="005A23FB" w:rsidRPr="00DD604A" w:rsidRDefault="004F30D9" w:rsidP="00E357A6">
      <w:pPr>
        <w:pStyle w:val="Heading4"/>
      </w:pPr>
      <w:bookmarkStart w:id="11" w:name="_Hlk65074157"/>
      <w:bookmarkEnd w:id="9"/>
      <w:r w:rsidRPr="00DD604A">
        <w:lastRenderedPageBreak/>
        <w:t>Alternative Metric</w:t>
      </w:r>
      <w:r w:rsidR="00DA4FA1" w:rsidRPr="00DD604A">
        <w:t>s</w:t>
      </w:r>
    </w:p>
    <w:p w14:paraId="2DA4272C" w14:textId="46F4894B" w:rsidR="00390ED6" w:rsidRPr="00DD604A" w:rsidRDefault="2316A677" w:rsidP="00E357A6">
      <w:pPr>
        <w:pStyle w:val="Heading5"/>
      </w:pPr>
      <w:r w:rsidRPr="00DD604A">
        <w:t>CDE</w:t>
      </w:r>
      <w:r w:rsidR="009047FA" w:rsidRPr="00DD604A">
        <w:t>’s</w:t>
      </w:r>
      <w:r w:rsidRPr="00DD604A">
        <w:t xml:space="preserve"> Review of </w:t>
      </w:r>
      <w:r w:rsidR="004F30D9" w:rsidRPr="00DD604A">
        <w:t>Alternative</w:t>
      </w:r>
      <w:r w:rsidR="00F16B4D" w:rsidRPr="00DD604A">
        <w:t xml:space="preserve"> Metric</w:t>
      </w:r>
      <w:r w:rsidR="004F30D9" w:rsidRPr="00DD604A">
        <w:t xml:space="preserve"> </w:t>
      </w:r>
      <w:r w:rsidR="00D33C42" w:rsidRPr="00DD604A">
        <w:t>Data</w:t>
      </w:r>
    </w:p>
    <w:p w14:paraId="36FFC49D" w14:textId="3AA43E40" w:rsidR="00E357A6" w:rsidRPr="00DD604A" w:rsidRDefault="00D33C42" w:rsidP="00991A49">
      <w:pPr>
        <w:spacing w:before="0"/>
        <w:rPr>
          <w:rFonts w:eastAsia="Arial"/>
        </w:rPr>
      </w:pPr>
      <w:r w:rsidRPr="00DD604A">
        <w:rPr>
          <w:rFonts w:eastAsia="Calibri" w:cs="Arial"/>
        </w:rPr>
        <w:t xml:space="preserve">The CDE has determined that ACII has met the applicable academic renewal criteria pursuant to </w:t>
      </w:r>
      <w:r w:rsidRPr="00DD604A">
        <w:rPr>
          <w:rFonts w:eastAsia="Calibri" w:cs="Arial"/>
          <w:i/>
          <w:iCs/>
        </w:rPr>
        <w:t xml:space="preserve">EC </w:t>
      </w:r>
      <w:r w:rsidRPr="00DD604A">
        <w:rPr>
          <w:rFonts w:eastAsia="Calibri" w:cs="Arial"/>
        </w:rPr>
        <w:t>Section 47607(c)(7).</w:t>
      </w:r>
      <w:r w:rsidR="00991A49" w:rsidRPr="00DD604A">
        <w:rPr>
          <w:rFonts w:eastAsia="Calibri" w:cs="Arial"/>
        </w:rPr>
        <w:t xml:space="preserve"> </w:t>
      </w:r>
      <w:r w:rsidR="00E357A6" w:rsidRPr="00DD604A">
        <w:rPr>
          <w:rFonts w:eastAsia="Arial"/>
        </w:rPr>
        <w:t xml:space="preserve">The CDE reviewed </w:t>
      </w:r>
      <w:r w:rsidR="003D15F4">
        <w:rPr>
          <w:rFonts w:eastAsia="Arial"/>
        </w:rPr>
        <w:t xml:space="preserve">the </w:t>
      </w:r>
      <w:r w:rsidR="00E357A6" w:rsidRPr="00DD604A">
        <w:rPr>
          <w:rFonts w:eastAsia="Arial"/>
        </w:rPr>
        <w:t>following data that the petitioner included as criteria for charter renewal:</w:t>
      </w:r>
    </w:p>
    <w:p w14:paraId="57AA8486" w14:textId="11A36D3F" w:rsidR="00E357A6" w:rsidRPr="00DD604A" w:rsidRDefault="00E357A6" w:rsidP="00E357A6">
      <w:pPr>
        <w:pStyle w:val="ListParagraph"/>
        <w:numPr>
          <w:ilvl w:val="0"/>
          <w:numId w:val="1"/>
        </w:numPr>
        <w:rPr>
          <w:rFonts w:asciiTheme="minorHAnsi" w:eastAsiaTheme="minorEastAsia" w:hAnsiTheme="minorHAnsi" w:cstheme="minorBidi"/>
          <w:color w:val="000000" w:themeColor="text1"/>
        </w:rPr>
      </w:pPr>
      <w:r w:rsidRPr="00DD604A">
        <w:rPr>
          <w:rFonts w:eastAsia="Calibri"/>
        </w:rPr>
        <w:t>California Assessment of Student Performance and Progress (CAASPP) for ELA and math</w:t>
      </w:r>
    </w:p>
    <w:p w14:paraId="0D269DDE" w14:textId="5F97A53A" w:rsidR="00E357A6" w:rsidRPr="00DD604A" w:rsidRDefault="00E357A6" w:rsidP="00E357A6">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California School Dashboard data for ACII for ELA, math, suspension rates, chronic absenteeism rates, English Learner Progress Indicator (ELPI), and graduation rates for DASS schools</w:t>
      </w:r>
    </w:p>
    <w:p w14:paraId="1D831788" w14:textId="77777777" w:rsidR="00E357A6" w:rsidRPr="00DD604A" w:rsidRDefault="00E357A6" w:rsidP="00E357A6">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Northwest Education Association (NWEA) Measurable Academic Progress (MAP) Data</w:t>
      </w:r>
    </w:p>
    <w:p w14:paraId="1208B1A8" w14:textId="5DF490A8" w:rsidR="00E357A6" w:rsidRPr="00DD604A" w:rsidRDefault="00E357A6" w:rsidP="00E357A6">
      <w:pPr>
        <w:numPr>
          <w:ilvl w:val="0"/>
          <w:numId w:val="1"/>
        </w:numPr>
      </w:pPr>
      <w:r w:rsidRPr="00DD604A">
        <w:t>California Longitudinal Pupil Achievement Data System (CALPADS) End of Year (EOY) Data</w:t>
      </w:r>
    </w:p>
    <w:p w14:paraId="0A5E6D0D" w14:textId="276D1C3C" w:rsidR="00B83D37" w:rsidRPr="00DD604A" w:rsidRDefault="00241376" w:rsidP="00B83D37">
      <w:bookmarkStart w:id="12" w:name="_Hlk68258550"/>
      <w:r w:rsidRPr="00DD604A">
        <w:t>As described above, ACII serves a unique student population. As</w:t>
      </w:r>
      <w:r w:rsidR="00B83D37" w:rsidRPr="00DD604A">
        <w:t xml:space="preserve"> a DASS school, ACII does not maintain </w:t>
      </w:r>
      <w:r w:rsidR="000D1863" w:rsidRPr="00DD604A">
        <w:t xml:space="preserve">consistent student cohorts </w:t>
      </w:r>
      <w:r w:rsidR="00B83D37" w:rsidRPr="00DD604A">
        <w:t xml:space="preserve">from year to year. </w:t>
      </w:r>
      <w:r w:rsidR="00FE5692" w:rsidRPr="00DD604A">
        <w:t xml:space="preserve">The petition specifically describes the re-directive nature of ACII and cites the number of students it redirects back to CUSD each year </w:t>
      </w:r>
      <w:r w:rsidR="00FE5692" w:rsidRPr="003D15F4">
        <w:t>(Attachment 3</w:t>
      </w:r>
      <w:r w:rsidR="00A83B88" w:rsidRPr="003D15F4">
        <w:rPr>
          <w:rFonts w:eastAsia="Calibri" w:cs="Arial"/>
        </w:rPr>
        <w:t xml:space="preserve"> of Agenda Item 3 on the SBE April 2021 ACCS Meeting Agenda web page at </w:t>
      </w:r>
      <w:hyperlink r:id="rId19" w:tooltip="SBE April 2021 ACCS Meeting Agenda web page" w:history="1">
        <w:r w:rsidR="00A83B88" w:rsidRPr="003D15F4">
          <w:rPr>
            <w:rStyle w:val="Hyperlink"/>
            <w:rFonts w:eastAsia="Calibri" w:cs="Arial"/>
          </w:rPr>
          <w:t>https://www.cde.ca.gov/be/cc/cs/accsnotice041321.asp</w:t>
        </w:r>
      </w:hyperlink>
      <w:r w:rsidR="00FE5692" w:rsidRPr="00DD604A">
        <w:t>).</w:t>
      </w:r>
      <w:r w:rsidRPr="00DD604A">
        <w:t xml:space="preserve"> The CDE notes that the following reflects point-in-time data for different student cohorts rather than the growth of one cohort over time.</w:t>
      </w:r>
    </w:p>
    <w:bookmarkEnd w:id="12"/>
    <w:p w14:paraId="4345B544" w14:textId="6E5D72C4" w:rsidR="00E357A6" w:rsidRPr="00DD604A" w:rsidRDefault="00E357A6" w:rsidP="00532123">
      <w:pPr>
        <w:pStyle w:val="Heading6"/>
        <w:rPr>
          <w:rFonts w:eastAsia="Times New Roman"/>
        </w:rPr>
      </w:pPr>
      <w:r w:rsidRPr="00DD604A">
        <w:rPr>
          <w:rFonts w:eastAsia="Calibri"/>
        </w:rPr>
        <w:t>CAASPP Data</w:t>
      </w:r>
    </w:p>
    <w:p w14:paraId="5202253F" w14:textId="7727E7AA" w:rsidR="00D33C42" w:rsidRDefault="00D33C42" w:rsidP="00E357A6">
      <w:pPr>
        <w:autoSpaceDE w:val="0"/>
        <w:autoSpaceDN w:val="0"/>
        <w:adjustRightInd w:val="0"/>
        <w:spacing w:before="100" w:beforeAutospacing="1" w:after="100" w:afterAutospacing="1"/>
        <w:rPr>
          <w:rFonts w:eastAsia="Calibri" w:cs="Arial"/>
        </w:rPr>
      </w:pPr>
      <w:r w:rsidRPr="00DD604A">
        <w:rPr>
          <w:rFonts w:eastAsia="Calibri" w:cs="Arial"/>
        </w:rPr>
        <w:t>The following table shows the percentage of pupils that met or exceeded standards on the</w:t>
      </w:r>
      <w:r w:rsidR="005F30AD">
        <w:rPr>
          <w:rFonts w:eastAsia="Calibri" w:cs="Arial"/>
        </w:rPr>
        <w:t xml:space="preserve"> 2016–17, </w:t>
      </w:r>
      <w:r w:rsidRPr="00DD604A">
        <w:rPr>
          <w:rFonts w:eastAsia="Calibri" w:cs="Arial"/>
        </w:rPr>
        <w:t>2017–18 and 2018–19 CAASPP</w:t>
      </w:r>
      <w:r w:rsidR="00C9253C" w:rsidRPr="00DD604A">
        <w:rPr>
          <w:rFonts w:eastAsia="Calibri" w:cs="Arial"/>
        </w:rPr>
        <w:t>s</w:t>
      </w:r>
      <w:r w:rsidR="009047FA" w:rsidRPr="00DD604A">
        <w:rPr>
          <w:rFonts w:eastAsia="Calibri" w:cs="Arial"/>
        </w:rPr>
        <w:t xml:space="preserve"> </w:t>
      </w:r>
      <w:r w:rsidRPr="00DD604A">
        <w:rPr>
          <w:rFonts w:eastAsia="Calibri" w:cs="Arial"/>
        </w:rPr>
        <w:t xml:space="preserve">for ELA and math for all pupils schoolwide at ACII </w:t>
      </w:r>
      <w:r w:rsidRPr="003D15F4">
        <w:rPr>
          <w:rFonts w:eastAsia="Calibri" w:cs="Arial"/>
        </w:rPr>
        <w:t>(Attachment 3</w:t>
      </w:r>
      <w:r w:rsidR="00A83B88" w:rsidRPr="003D15F4">
        <w:rPr>
          <w:rFonts w:eastAsia="Calibri" w:cs="Arial"/>
        </w:rPr>
        <w:t xml:space="preserve"> of Agenda Item 3 on the SBE April 2021 ACCS Meeting Agenda web page at </w:t>
      </w:r>
      <w:hyperlink r:id="rId20" w:tooltip="SBE April 2021 ACCS Meeting Agenda web page" w:history="1">
        <w:r w:rsidR="00A83B88" w:rsidRPr="003D15F4">
          <w:rPr>
            <w:rStyle w:val="Hyperlink"/>
            <w:rFonts w:eastAsia="Calibri" w:cs="Arial"/>
          </w:rPr>
          <w:t>https://www.cde.ca.gov/be/cc/cs/accsnotice041321.asp</w:t>
        </w:r>
      </w:hyperlink>
      <w:r w:rsidR="00411436" w:rsidRPr="00DD604A">
        <w:rPr>
          <w:rFonts w:eastAsia="Calibri" w:cs="Arial"/>
        </w:rPr>
        <w:t>)</w:t>
      </w:r>
      <w:r w:rsidRPr="00DD604A">
        <w:rPr>
          <w:rFonts w:eastAsia="Calibri" w:cs="Arial"/>
        </w:rPr>
        <w:t>.</w:t>
      </w:r>
      <w:r w:rsidR="00895C52" w:rsidRPr="00DD604A">
        <w:rPr>
          <w:rFonts w:eastAsia="Calibri" w:cs="Arial"/>
        </w:rPr>
        <w:t xml:space="preserve"> </w:t>
      </w:r>
      <w:bookmarkStart w:id="13" w:name="_Hlk68258574"/>
      <w:r w:rsidR="00895C52" w:rsidRPr="00DD604A">
        <w:rPr>
          <w:rFonts w:eastAsia="Calibri" w:cs="Arial"/>
        </w:rPr>
        <w:t>Year-to-year comparison has been deliberately omitted given the school model and student mobility.</w:t>
      </w:r>
      <w:bookmarkEnd w:id="13"/>
    </w:p>
    <w:p w14:paraId="31E3D3A7" w14:textId="3FDED02D" w:rsidR="005F30AD" w:rsidRPr="00DD604A" w:rsidRDefault="005F30AD" w:rsidP="005F30AD">
      <w:pPr>
        <w:pStyle w:val="Heading7"/>
      </w:pPr>
      <w:r>
        <w:t xml:space="preserve">Percentage of pupils that met or exceeded standards on 2016–17, 2017–18, and </w:t>
      </w:r>
      <w:r>
        <w:br/>
        <w:t>2018–19 for ELA and math</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D33C42" w:rsidRPr="00DD604A" w14:paraId="6C0FDB18"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375BB821" w14:textId="77777777" w:rsidR="00D33C42" w:rsidRPr="00DD604A" w:rsidRDefault="00D33C42" w:rsidP="00E357A6">
            <w:pPr>
              <w:spacing w:before="0" w:after="0"/>
              <w:jc w:val="center"/>
              <w:rPr>
                <w:rFonts w:eastAsia="Calibri" w:cs="Arial"/>
                <w:b w:val="0"/>
                <w:bCs w:val="0"/>
              </w:rPr>
            </w:pPr>
            <w:r w:rsidRPr="00DD604A">
              <w:rPr>
                <w:rFonts w:eastAsia="Calibri" w:cs="Arial"/>
              </w:rPr>
              <w:t>2016–17</w:t>
            </w:r>
          </w:p>
          <w:p w14:paraId="54B3A673" w14:textId="77777777" w:rsidR="00D33C42" w:rsidRPr="00DD604A" w:rsidRDefault="00D33C42" w:rsidP="00E357A6">
            <w:pPr>
              <w:spacing w:before="0" w:after="0"/>
              <w:jc w:val="center"/>
              <w:rPr>
                <w:rFonts w:eastAsia="Calibri" w:cs="Arial"/>
              </w:rPr>
            </w:pPr>
            <w:r w:rsidRPr="00DD604A">
              <w:rPr>
                <w:rFonts w:eastAsia="Calibri" w:cs="Arial"/>
              </w:rPr>
              <w:t>ELA</w:t>
            </w:r>
          </w:p>
        </w:tc>
        <w:tc>
          <w:tcPr>
            <w:tcW w:w="811" w:type="pct"/>
            <w:shd w:val="clear" w:color="auto" w:fill="D9D9D9" w:themeFill="background1" w:themeFillShade="D9"/>
          </w:tcPr>
          <w:p w14:paraId="0B05692A"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DD604A">
              <w:rPr>
                <w:rFonts w:eastAsia="Calibri" w:cs="Arial"/>
              </w:rPr>
              <w:t>2016–17</w:t>
            </w:r>
          </w:p>
          <w:p w14:paraId="69A02C7F"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1" w:type="pct"/>
            <w:shd w:val="clear" w:color="auto" w:fill="D9D9D9" w:themeFill="background1" w:themeFillShade="D9"/>
            <w:vAlign w:val="center"/>
          </w:tcPr>
          <w:p w14:paraId="40D805D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3A64CCB1"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7" w:type="pct"/>
            <w:shd w:val="clear" w:color="auto" w:fill="D9D9D9" w:themeFill="background1" w:themeFillShade="D9"/>
            <w:vAlign w:val="center"/>
          </w:tcPr>
          <w:p w14:paraId="480D75FF"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47748D5B"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4" w:type="pct"/>
            <w:shd w:val="clear" w:color="auto" w:fill="D9D9D9" w:themeFill="background1" w:themeFillShade="D9"/>
            <w:vAlign w:val="center"/>
          </w:tcPr>
          <w:p w14:paraId="5D5FAE1B"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3AA717AD"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5" w:type="pct"/>
            <w:shd w:val="clear" w:color="auto" w:fill="D9D9D9" w:themeFill="background1" w:themeFillShade="D9"/>
            <w:vAlign w:val="center"/>
          </w:tcPr>
          <w:p w14:paraId="374427D5"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CB8E401"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12274C6A" w14:textId="77777777" w:rsidTr="00675955">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375514AA" w14:textId="77777777" w:rsidR="00D33C42" w:rsidRPr="00DD604A" w:rsidRDefault="00D33C42" w:rsidP="00E357A6">
            <w:pPr>
              <w:spacing w:before="0" w:after="0"/>
              <w:jc w:val="center"/>
              <w:rPr>
                <w:rFonts w:eastAsia="Calibri" w:cs="Arial"/>
                <w:b w:val="0"/>
              </w:rPr>
            </w:pPr>
            <w:r w:rsidRPr="00DD604A">
              <w:rPr>
                <w:rFonts w:eastAsia="Calibri" w:cs="Arial"/>
                <w:b w:val="0"/>
              </w:rPr>
              <w:t>61</w:t>
            </w:r>
          </w:p>
        </w:tc>
        <w:tc>
          <w:tcPr>
            <w:tcW w:w="811" w:type="pct"/>
            <w:shd w:val="clear" w:color="auto" w:fill="auto"/>
          </w:tcPr>
          <w:p w14:paraId="56069BCB"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23</w:t>
            </w:r>
          </w:p>
        </w:tc>
        <w:tc>
          <w:tcPr>
            <w:tcW w:w="811" w:type="pct"/>
            <w:shd w:val="clear" w:color="auto" w:fill="auto"/>
            <w:vAlign w:val="center"/>
          </w:tcPr>
          <w:p w14:paraId="5693930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DD604A">
              <w:rPr>
                <w:rFonts w:eastAsia="Calibri" w:cs="Arial"/>
              </w:rPr>
              <w:t>45</w:t>
            </w:r>
          </w:p>
        </w:tc>
        <w:tc>
          <w:tcPr>
            <w:tcW w:w="877" w:type="pct"/>
            <w:shd w:val="clear" w:color="auto" w:fill="auto"/>
            <w:vAlign w:val="center"/>
          </w:tcPr>
          <w:p w14:paraId="767BB2E0"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24</w:t>
            </w:r>
          </w:p>
        </w:tc>
        <w:tc>
          <w:tcPr>
            <w:tcW w:w="814" w:type="pct"/>
            <w:shd w:val="clear" w:color="auto" w:fill="auto"/>
            <w:vAlign w:val="center"/>
          </w:tcPr>
          <w:p w14:paraId="028A44F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875" w:type="pct"/>
            <w:shd w:val="clear" w:color="auto" w:fill="auto"/>
            <w:vAlign w:val="center"/>
          </w:tcPr>
          <w:p w14:paraId="0D83BE46"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bl>
    <w:p w14:paraId="2DA31FF3" w14:textId="15561EFE" w:rsidR="00F8419D" w:rsidRPr="00DD604A" w:rsidRDefault="00F8419D" w:rsidP="00E357A6">
      <w:pPr>
        <w:rPr>
          <w:rFonts w:eastAsia="Calibri" w:cs="Arial"/>
        </w:rPr>
      </w:pPr>
      <w:r w:rsidRPr="00DD604A">
        <w:rPr>
          <w:rFonts w:eastAsia="Calibri" w:cs="Arial"/>
        </w:rPr>
        <w:t xml:space="preserve">ACII addressed </w:t>
      </w:r>
      <w:r w:rsidR="00895C52" w:rsidRPr="00DD604A">
        <w:rPr>
          <w:rFonts w:eastAsia="Calibri" w:cs="Arial"/>
        </w:rPr>
        <w:t xml:space="preserve">the need </w:t>
      </w:r>
      <w:r w:rsidR="00DB56FC" w:rsidRPr="00DD604A">
        <w:rPr>
          <w:rFonts w:eastAsia="Calibri" w:cs="Arial"/>
        </w:rPr>
        <w:t>for intensive intervention in both math and ELA</w:t>
      </w:r>
      <w:r w:rsidRPr="00DD604A">
        <w:rPr>
          <w:rFonts w:eastAsia="Calibri" w:cs="Arial"/>
        </w:rPr>
        <w:t xml:space="preserve"> in the petition, stating that t</w:t>
      </w:r>
      <w:r w:rsidRPr="00DD604A">
        <w:rPr>
          <w:rFonts w:cs="Arial"/>
        </w:rPr>
        <w:t xml:space="preserve">he </w:t>
      </w:r>
      <w:r w:rsidR="004856C1" w:rsidRPr="00DD604A">
        <w:rPr>
          <w:rFonts w:cs="Arial"/>
        </w:rPr>
        <w:t>s</w:t>
      </w:r>
      <w:r w:rsidRPr="00DD604A">
        <w:rPr>
          <w:rFonts w:cs="Arial"/>
        </w:rPr>
        <w:t xml:space="preserve">chool </w:t>
      </w:r>
      <w:r w:rsidR="004856C1" w:rsidRPr="00DD604A">
        <w:rPr>
          <w:rFonts w:cs="Arial"/>
        </w:rPr>
        <w:t>c</w:t>
      </w:r>
      <w:r w:rsidRPr="00DD604A">
        <w:rPr>
          <w:rFonts w:cs="Arial"/>
        </w:rPr>
        <w:t xml:space="preserve">oordinator meets weekly with the </w:t>
      </w:r>
      <w:r w:rsidR="004856C1" w:rsidRPr="00DD604A">
        <w:rPr>
          <w:rFonts w:cs="Arial"/>
        </w:rPr>
        <w:t>c</w:t>
      </w:r>
      <w:r w:rsidRPr="00DD604A">
        <w:rPr>
          <w:rFonts w:cs="Arial"/>
        </w:rPr>
        <w:t xml:space="preserve">ounselors to discuss student </w:t>
      </w:r>
      <w:r w:rsidRPr="00DD604A">
        <w:rPr>
          <w:rFonts w:cs="Arial"/>
        </w:rPr>
        <w:lastRenderedPageBreak/>
        <w:t xml:space="preserve">outcomes and possible interventions that need to take place or be instituted to assist the teachers or the </w:t>
      </w:r>
      <w:r w:rsidR="00914C70" w:rsidRPr="00DD604A">
        <w:rPr>
          <w:rFonts w:cs="Arial"/>
        </w:rPr>
        <w:t>pupils</w:t>
      </w:r>
      <w:r w:rsidRPr="00DD604A">
        <w:rPr>
          <w:rFonts w:cs="Arial"/>
        </w:rPr>
        <w:t xml:space="preserve">. The instructional team utilizes the personalized education planning process to monitor student progress and identify services to support student achievement </w:t>
      </w:r>
      <w:r w:rsidRPr="003D15F4">
        <w:rPr>
          <w:rFonts w:eastAsia="Calibri" w:cs="Arial"/>
        </w:rPr>
        <w:t>(Attachment 3</w:t>
      </w:r>
      <w:r w:rsidR="00A83B88" w:rsidRPr="003D15F4">
        <w:rPr>
          <w:rFonts w:eastAsia="Calibri" w:cs="Arial"/>
        </w:rPr>
        <w:t xml:space="preserve"> of Agenda Item 3 on the SBE April 2021 ACCS Meeting Agenda web page at </w:t>
      </w:r>
      <w:hyperlink r:id="rId21" w:tooltip="SBE April 2021 ACCS Meeting Agenda web page" w:history="1">
        <w:r w:rsidR="00A83B88" w:rsidRPr="003D15F4">
          <w:rPr>
            <w:rStyle w:val="Hyperlink"/>
            <w:rFonts w:eastAsia="Calibri" w:cs="Arial"/>
          </w:rPr>
          <w:t>https://www.cde.ca.gov/be/cc/cs/accsnotice041321.asp</w:t>
        </w:r>
      </w:hyperlink>
      <w:r w:rsidRPr="00DD604A">
        <w:rPr>
          <w:rFonts w:eastAsia="Calibri" w:cs="Arial"/>
        </w:rPr>
        <w:t>).</w:t>
      </w:r>
    </w:p>
    <w:p w14:paraId="70686010" w14:textId="77777777" w:rsidR="00DA4FA1" w:rsidRPr="00DD604A" w:rsidRDefault="00DA4FA1" w:rsidP="00532123">
      <w:pPr>
        <w:pStyle w:val="Heading6"/>
        <w:rPr>
          <w:rFonts w:eastAsia="Calibri"/>
        </w:rPr>
      </w:pPr>
      <w:r w:rsidRPr="00DD604A">
        <w:rPr>
          <w:rFonts w:eastAsia="Calibri"/>
        </w:rPr>
        <w:t>California School Dashboard Data</w:t>
      </w:r>
    </w:p>
    <w:p w14:paraId="6F3A3587" w14:textId="43019D0F" w:rsidR="00DA4FA1" w:rsidRPr="00DD604A" w:rsidRDefault="00DA4FA1" w:rsidP="00E357A6">
      <w:pPr>
        <w:rPr>
          <w:rFonts w:eastAsia="Calibri"/>
        </w:rPr>
      </w:pPr>
      <w:bookmarkStart w:id="14" w:name="_Hlk68266433"/>
      <w:r w:rsidRPr="00DD604A">
        <w:rPr>
          <w:rFonts w:eastAsia="Calibri"/>
        </w:rPr>
        <w:t xml:space="preserve">The 2019 California School Dashboard reflects ACII’s performance under California’s Accountability System as follows: ELA, </w:t>
      </w:r>
      <w:r w:rsidR="00E849BA">
        <w:rPr>
          <w:rFonts w:eastAsia="Calibri"/>
        </w:rPr>
        <w:t>2 points below standard</w:t>
      </w:r>
      <w:r w:rsidRPr="00DD604A">
        <w:rPr>
          <w:rFonts w:eastAsia="Calibri"/>
        </w:rPr>
        <w:t xml:space="preserve"> (Yellow); math, </w:t>
      </w:r>
      <w:r w:rsidR="00E849BA">
        <w:rPr>
          <w:rFonts w:eastAsia="Calibri"/>
        </w:rPr>
        <w:t>82.6 points below standard</w:t>
      </w:r>
      <w:r w:rsidRPr="00DD604A">
        <w:rPr>
          <w:rFonts w:eastAsia="Calibri"/>
        </w:rPr>
        <w:t xml:space="preserve"> (Orange); suspension rate, 0 percent </w:t>
      </w:r>
      <w:r w:rsidR="00E849BA">
        <w:rPr>
          <w:rFonts w:eastAsia="Calibri"/>
        </w:rPr>
        <w:t xml:space="preserve">suspended at least once </w:t>
      </w:r>
      <w:r w:rsidRPr="00DD604A">
        <w:rPr>
          <w:rFonts w:eastAsia="Calibri"/>
        </w:rPr>
        <w:t xml:space="preserve">(Blue); and chronic absenteeism rate, 32 percent </w:t>
      </w:r>
      <w:r w:rsidR="00E849BA">
        <w:rPr>
          <w:rFonts w:eastAsia="Calibri"/>
        </w:rPr>
        <w:t xml:space="preserve">chronically absent </w:t>
      </w:r>
      <w:r w:rsidRPr="00DD604A">
        <w:rPr>
          <w:rFonts w:eastAsia="Calibri"/>
        </w:rPr>
        <w:t>(Red).</w:t>
      </w:r>
    </w:p>
    <w:bookmarkEnd w:id="14"/>
    <w:p w14:paraId="272475A7" w14:textId="77777777" w:rsidR="00DA4FA1" w:rsidRPr="00DD604A" w:rsidRDefault="00DA4FA1" w:rsidP="00685E26">
      <w:pPr>
        <w:pStyle w:val="Heading7"/>
      </w:pPr>
      <w:r w:rsidRPr="00DD604A">
        <w:t>Suspension Rates</w:t>
      </w:r>
    </w:p>
    <w:tbl>
      <w:tblPr>
        <w:tblStyle w:val="GridTable1Light8"/>
        <w:tblW w:w="5000" w:type="pct"/>
        <w:tblLayout w:type="fixed"/>
        <w:tblLook w:val="04A0" w:firstRow="1" w:lastRow="0" w:firstColumn="1" w:lastColumn="0" w:noHBand="0" w:noVBand="1"/>
        <w:tblDescription w:val="Suspension rates for ACII, CUSD, and California for 2018 and 2019"/>
      </w:tblPr>
      <w:tblGrid>
        <w:gridCol w:w="896"/>
        <w:gridCol w:w="4226"/>
        <w:gridCol w:w="4228"/>
      </w:tblGrid>
      <w:tr w:rsidR="00DA4FA1" w:rsidRPr="00DD604A" w14:paraId="0E7D5EDE" w14:textId="77777777" w:rsidTr="00FA76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shd w:val="clear" w:color="auto" w:fill="D9D9D9" w:themeFill="background1" w:themeFillShade="D9"/>
          </w:tcPr>
          <w:p w14:paraId="3CC25A04" w14:textId="77777777" w:rsidR="00DA4FA1" w:rsidRPr="00DD604A" w:rsidRDefault="00DA4FA1" w:rsidP="00E357A6">
            <w:pPr>
              <w:spacing w:before="0" w:after="0"/>
              <w:rPr>
                <w:rFonts w:eastAsia="Calibri" w:cs="Arial"/>
              </w:rPr>
            </w:pPr>
            <w:r w:rsidRPr="00DD604A">
              <w:rPr>
                <w:rFonts w:eastAsia="Calibri" w:cs="Arial"/>
              </w:rPr>
              <w:t>Entity</w:t>
            </w:r>
          </w:p>
        </w:tc>
        <w:tc>
          <w:tcPr>
            <w:tcW w:w="2260" w:type="pct"/>
            <w:shd w:val="clear" w:color="auto" w:fill="D9D9D9" w:themeFill="background1" w:themeFillShade="D9"/>
          </w:tcPr>
          <w:p w14:paraId="070416D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 Suspension Rate</w:t>
            </w:r>
          </w:p>
        </w:tc>
        <w:tc>
          <w:tcPr>
            <w:tcW w:w="2261" w:type="pct"/>
            <w:shd w:val="clear" w:color="auto" w:fill="D9D9D9" w:themeFill="background1" w:themeFillShade="D9"/>
          </w:tcPr>
          <w:p w14:paraId="42ECB8E1"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2019 Suspension Rate</w:t>
            </w:r>
          </w:p>
        </w:tc>
      </w:tr>
      <w:tr w:rsidR="00DA4FA1" w:rsidRPr="00DD604A" w14:paraId="12DF7E81" w14:textId="77777777" w:rsidTr="00FA766A">
        <w:trPr>
          <w:cantSplit/>
        </w:trPr>
        <w:tc>
          <w:tcPr>
            <w:cnfStyle w:val="001000000000" w:firstRow="0" w:lastRow="0" w:firstColumn="1" w:lastColumn="0" w:oddVBand="0" w:evenVBand="0" w:oddHBand="0" w:evenHBand="0" w:firstRowFirstColumn="0" w:firstRowLastColumn="0" w:lastRowFirstColumn="0" w:lastRowLastColumn="0"/>
            <w:tcW w:w="479" w:type="pct"/>
          </w:tcPr>
          <w:p w14:paraId="7AAD16EE" w14:textId="77777777" w:rsidR="00DA4FA1" w:rsidRPr="00DD604A" w:rsidRDefault="00DA4FA1" w:rsidP="00E357A6">
            <w:pPr>
              <w:spacing w:before="0" w:after="0"/>
              <w:rPr>
                <w:rFonts w:eastAsia="Calibri" w:cs="Arial"/>
              </w:rPr>
            </w:pPr>
            <w:r w:rsidRPr="00DD604A">
              <w:rPr>
                <w:rFonts w:eastAsia="Calibri" w:cs="Arial"/>
              </w:rPr>
              <w:t>ACII</w:t>
            </w:r>
          </w:p>
        </w:tc>
        <w:tc>
          <w:tcPr>
            <w:tcW w:w="2260" w:type="pct"/>
          </w:tcPr>
          <w:p w14:paraId="5D558FB6" w14:textId="299C215A"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Blue, 0 percent</w:t>
            </w:r>
            <w:r w:rsidR="00D95377">
              <w:t xml:space="preserve"> suspended</w:t>
            </w:r>
          </w:p>
        </w:tc>
        <w:tc>
          <w:tcPr>
            <w:tcW w:w="2261" w:type="pct"/>
          </w:tcPr>
          <w:p w14:paraId="36771EA5" w14:textId="3A06E906"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Blue, 0 percent</w:t>
            </w:r>
            <w:r w:rsidR="00D95377">
              <w:t xml:space="preserve"> suspended</w:t>
            </w:r>
          </w:p>
        </w:tc>
      </w:tr>
    </w:tbl>
    <w:p w14:paraId="2304D72F" w14:textId="606494AC" w:rsidR="00DA4FA1" w:rsidRPr="00DD604A" w:rsidRDefault="00DA4FA1" w:rsidP="00E357A6">
      <w:pPr>
        <w:jc w:val="center"/>
        <w:rPr>
          <w:rFonts w:eastAsia="Calibri"/>
          <w:b/>
        </w:rPr>
      </w:pPr>
      <w:r w:rsidRPr="00DD604A">
        <w:rPr>
          <w:noProof/>
        </w:rPr>
        <w:drawing>
          <wp:inline distT="0" distB="0" distL="0" distR="0" wp14:anchorId="1A294641" wp14:editId="3C78DC04">
            <wp:extent cx="4178808" cy="3191256"/>
            <wp:effectExtent l="0" t="0" r="0" b="0"/>
            <wp:docPr id="1" name="Picture 1" descr="2018–19 suspension rates for ACII from the California School Dashboard. Full descriptive text available on p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2">
                      <a:extLst>
                        <a:ext uri="{28A0092B-C50C-407E-A947-70E740481C1C}">
                          <a14:useLocalDpi xmlns:a14="http://schemas.microsoft.com/office/drawing/2010/main" val="0"/>
                        </a:ext>
                      </a:extLst>
                    </a:blip>
                    <a:stretch>
                      <a:fillRect/>
                    </a:stretch>
                  </pic:blipFill>
                  <pic:spPr>
                    <a:xfrm>
                      <a:off x="0" y="0"/>
                      <a:ext cx="4178808" cy="3191256"/>
                    </a:xfrm>
                    <a:prstGeom prst="rect">
                      <a:avLst/>
                    </a:prstGeom>
                  </pic:spPr>
                </pic:pic>
              </a:graphicData>
            </a:graphic>
          </wp:inline>
        </w:drawing>
      </w:r>
    </w:p>
    <w:p w14:paraId="12E0B603" w14:textId="56B056C5" w:rsidR="00547583" w:rsidRPr="00DD604A" w:rsidRDefault="00547583" w:rsidP="00547583">
      <w:pPr>
        <w:jc w:val="center"/>
        <w:rPr>
          <w:rFonts w:eastAsia="Calibri"/>
        </w:rPr>
      </w:pPr>
      <w:r w:rsidRPr="00DD604A">
        <w:rPr>
          <w:rFonts w:eastAsia="Calibri"/>
        </w:rPr>
        <w:t xml:space="preserve">Full text is available in the </w:t>
      </w:r>
      <w:hyperlink w:anchor="_Page_4:_2018–19" w:tooltip="Suspension Rate Descriptive Image Alternative Text" w:history="1">
        <w:r w:rsidRPr="00DD604A">
          <w:rPr>
            <w:rStyle w:val="Hyperlink"/>
            <w:rFonts w:eastAsia="Calibri"/>
          </w:rPr>
          <w:t>Descriptive Image Alternative Text</w:t>
        </w:r>
      </w:hyperlink>
      <w:r w:rsidRPr="00DD604A">
        <w:rPr>
          <w:rFonts w:eastAsia="Calibri"/>
        </w:rPr>
        <w:t xml:space="preserve"> section.</w:t>
      </w:r>
    </w:p>
    <w:p w14:paraId="0BBFE205" w14:textId="47900F09" w:rsidR="00DA4FA1" w:rsidRPr="00DD604A" w:rsidRDefault="00DA4FA1" w:rsidP="00E357A6">
      <w:pPr>
        <w:autoSpaceDE w:val="0"/>
        <w:autoSpaceDN w:val="0"/>
        <w:adjustRightInd w:val="0"/>
        <w:rPr>
          <w:rFonts w:eastAsia="Calibri" w:cs="Arial"/>
          <w:bCs/>
        </w:rPr>
      </w:pPr>
      <w:bookmarkStart w:id="15" w:name="_Hlk68258628"/>
      <w:r w:rsidRPr="00DD604A">
        <w:rPr>
          <w:rFonts w:eastAsia="Calibri" w:cs="Arial"/>
          <w:bCs/>
        </w:rPr>
        <w:t xml:space="preserve">ACII’s suspension rate </w:t>
      </w:r>
      <w:r w:rsidR="00895C52" w:rsidRPr="00DD604A">
        <w:rPr>
          <w:rFonts w:eastAsia="Calibri" w:cs="Arial"/>
          <w:bCs/>
        </w:rPr>
        <w:t>was</w:t>
      </w:r>
      <w:r w:rsidRPr="00DD604A">
        <w:rPr>
          <w:rFonts w:eastAsia="Calibri" w:cs="Arial"/>
          <w:bCs/>
        </w:rPr>
        <w:t xml:space="preserve"> the same (Blue, 0 percent) </w:t>
      </w:r>
      <w:r w:rsidR="00895C52" w:rsidRPr="00DD604A">
        <w:rPr>
          <w:rFonts w:eastAsia="Calibri" w:cs="Arial"/>
          <w:bCs/>
        </w:rPr>
        <w:t>in</w:t>
      </w:r>
      <w:r w:rsidRPr="00DD604A">
        <w:rPr>
          <w:rFonts w:eastAsia="Calibri" w:cs="Arial"/>
          <w:bCs/>
        </w:rPr>
        <w:t xml:space="preserve"> 2018 </w:t>
      </w:r>
      <w:r w:rsidR="00895C52" w:rsidRPr="00DD604A">
        <w:rPr>
          <w:rFonts w:eastAsia="Calibri" w:cs="Arial"/>
          <w:bCs/>
        </w:rPr>
        <w:t>and</w:t>
      </w:r>
      <w:r w:rsidRPr="00DD604A">
        <w:rPr>
          <w:rFonts w:eastAsia="Calibri" w:cs="Arial"/>
          <w:bCs/>
        </w:rPr>
        <w:t xml:space="preserve"> 2019. </w:t>
      </w:r>
      <w:bookmarkEnd w:id="15"/>
    </w:p>
    <w:p w14:paraId="5B4E9948" w14:textId="77777777" w:rsidR="00DA4FA1" w:rsidRPr="00DD604A" w:rsidRDefault="00DA4FA1" w:rsidP="005F30AD">
      <w:pPr>
        <w:pStyle w:val="Heading7"/>
      </w:pPr>
      <w:r w:rsidRPr="00DD604A">
        <w:t>Chronic Absenteeism Rates</w:t>
      </w:r>
    </w:p>
    <w:tbl>
      <w:tblPr>
        <w:tblStyle w:val="GridTable1Light8"/>
        <w:tblW w:w="5000" w:type="pct"/>
        <w:tblLayout w:type="fixed"/>
        <w:tblLook w:val="04A0" w:firstRow="1" w:lastRow="0" w:firstColumn="1" w:lastColumn="0" w:noHBand="0" w:noVBand="1"/>
        <w:tblDescription w:val="Chronic absenteeism rates for ACII, CUSD, and California for 2018 and 2019"/>
      </w:tblPr>
      <w:tblGrid>
        <w:gridCol w:w="896"/>
        <w:gridCol w:w="4226"/>
        <w:gridCol w:w="4228"/>
      </w:tblGrid>
      <w:tr w:rsidR="00DA4FA1" w:rsidRPr="00DD604A" w14:paraId="41B850D7" w14:textId="77777777" w:rsidTr="00FA766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shd w:val="clear" w:color="auto" w:fill="D9D9D9" w:themeFill="background1" w:themeFillShade="D9"/>
          </w:tcPr>
          <w:p w14:paraId="715B3339" w14:textId="77777777" w:rsidR="00DA4FA1" w:rsidRPr="00DD604A" w:rsidRDefault="00DA4FA1" w:rsidP="00E357A6">
            <w:pPr>
              <w:spacing w:before="0" w:after="0"/>
              <w:rPr>
                <w:rFonts w:eastAsia="Calibri" w:cs="Arial"/>
              </w:rPr>
            </w:pPr>
            <w:r w:rsidRPr="00DD604A">
              <w:rPr>
                <w:rFonts w:eastAsia="Calibri" w:cs="Arial"/>
              </w:rPr>
              <w:t>Entity</w:t>
            </w:r>
          </w:p>
        </w:tc>
        <w:tc>
          <w:tcPr>
            <w:tcW w:w="2260" w:type="pct"/>
            <w:shd w:val="clear" w:color="auto" w:fill="D9D9D9" w:themeFill="background1" w:themeFillShade="D9"/>
          </w:tcPr>
          <w:p w14:paraId="52C90A44"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 Chronic Absenteeism</w:t>
            </w:r>
          </w:p>
        </w:tc>
        <w:tc>
          <w:tcPr>
            <w:tcW w:w="2261" w:type="pct"/>
            <w:shd w:val="clear" w:color="auto" w:fill="D9D9D9" w:themeFill="background1" w:themeFillShade="D9"/>
          </w:tcPr>
          <w:p w14:paraId="059BB69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2019 Chronic Absenteeism</w:t>
            </w:r>
          </w:p>
        </w:tc>
      </w:tr>
      <w:tr w:rsidR="00DA4FA1" w:rsidRPr="00DD604A" w14:paraId="5831CB26" w14:textId="77777777" w:rsidTr="00FA766A">
        <w:trPr>
          <w:cantSplit/>
        </w:trPr>
        <w:tc>
          <w:tcPr>
            <w:cnfStyle w:val="001000000000" w:firstRow="0" w:lastRow="0" w:firstColumn="1" w:lastColumn="0" w:oddVBand="0" w:evenVBand="0" w:oddHBand="0" w:evenHBand="0" w:firstRowFirstColumn="0" w:firstRowLastColumn="0" w:lastRowFirstColumn="0" w:lastRowLastColumn="0"/>
            <w:tcW w:w="479" w:type="pct"/>
          </w:tcPr>
          <w:p w14:paraId="5702125C" w14:textId="77777777" w:rsidR="00DA4FA1" w:rsidRPr="00DD604A" w:rsidRDefault="00DA4FA1" w:rsidP="00E357A6">
            <w:pPr>
              <w:spacing w:before="0" w:after="0"/>
              <w:rPr>
                <w:rFonts w:eastAsia="Calibri" w:cs="Arial"/>
              </w:rPr>
            </w:pPr>
            <w:r w:rsidRPr="00DD604A">
              <w:rPr>
                <w:rFonts w:eastAsia="Calibri" w:cs="Arial"/>
              </w:rPr>
              <w:t>ACII</w:t>
            </w:r>
          </w:p>
        </w:tc>
        <w:tc>
          <w:tcPr>
            <w:tcW w:w="2260" w:type="pct"/>
          </w:tcPr>
          <w:p w14:paraId="05872D7D" w14:textId="623C194F"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Orange, 27.6 percent</w:t>
            </w:r>
            <w:r w:rsidR="00D95377">
              <w:t xml:space="preserve"> chronically absent</w:t>
            </w:r>
          </w:p>
        </w:tc>
        <w:tc>
          <w:tcPr>
            <w:tcW w:w="2261" w:type="pct"/>
          </w:tcPr>
          <w:p w14:paraId="2DE8D4A0" w14:textId="442E7F6D"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Red, 32 percent</w:t>
            </w:r>
            <w:r w:rsidR="00D95377">
              <w:t xml:space="preserve"> chronically absent</w:t>
            </w:r>
          </w:p>
        </w:tc>
      </w:tr>
    </w:tbl>
    <w:p w14:paraId="094B6685" w14:textId="55B08ACF" w:rsidR="00DA4FA1" w:rsidRPr="00DD604A" w:rsidRDefault="00DA4FA1" w:rsidP="00E357A6">
      <w:pPr>
        <w:pStyle w:val="ListParagraph"/>
        <w:jc w:val="center"/>
        <w:rPr>
          <w:rFonts w:eastAsia="Calibri" w:cs="Arial"/>
          <w:b/>
          <w:bCs/>
        </w:rPr>
      </w:pPr>
      <w:r w:rsidRPr="00DD604A">
        <w:rPr>
          <w:noProof/>
        </w:rPr>
        <w:lastRenderedPageBreak/>
        <w:drawing>
          <wp:inline distT="0" distB="0" distL="0" distR="0" wp14:anchorId="039D6C55" wp14:editId="4951BB6A">
            <wp:extent cx="4288536" cy="3191256"/>
            <wp:effectExtent l="0" t="0" r="0" b="9525"/>
            <wp:docPr id="5" name="Picture 5" descr="2018–19 chronic absenteeism rates for ACII from the California School Dashboard. Full descriptive text available on p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4288536" cy="3191256"/>
                    </a:xfrm>
                    <a:prstGeom prst="rect">
                      <a:avLst/>
                    </a:prstGeom>
                  </pic:spPr>
                </pic:pic>
              </a:graphicData>
            </a:graphic>
          </wp:inline>
        </w:drawing>
      </w:r>
    </w:p>
    <w:p w14:paraId="118263B4" w14:textId="098252CD" w:rsidR="00547583" w:rsidRPr="00DD604A" w:rsidRDefault="00547583" w:rsidP="00547583">
      <w:pPr>
        <w:jc w:val="center"/>
        <w:rPr>
          <w:rFonts w:eastAsia="Calibri"/>
        </w:rPr>
      </w:pPr>
      <w:r w:rsidRPr="00DD604A">
        <w:rPr>
          <w:rFonts w:eastAsia="Calibri"/>
        </w:rPr>
        <w:t xml:space="preserve">Full text is available in the </w:t>
      </w:r>
      <w:hyperlink w:anchor="_Page_5:_2018–19" w:tooltip="Chronic Absenteeism Rate Descriptive Image Alternative Text" w:history="1">
        <w:r w:rsidRPr="00DD604A">
          <w:rPr>
            <w:rStyle w:val="Hyperlink"/>
            <w:rFonts w:eastAsia="Calibri"/>
          </w:rPr>
          <w:t>Descriptive Image Alternative Text</w:t>
        </w:r>
      </w:hyperlink>
      <w:r w:rsidRPr="00DD604A">
        <w:rPr>
          <w:rFonts w:eastAsia="Calibri"/>
        </w:rPr>
        <w:t xml:space="preserve"> section.</w:t>
      </w:r>
    </w:p>
    <w:p w14:paraId="607AD8C0" w14:textId="1418C314" w:rsidR="00DA4FA1" w:rsidRPr="00DD604A" w:rsidRDefault="00DA4FA1" w:rsidP="00E357A6">
      <w:pPr>
        <w:autoSpaceDE w:val="0"/>
        <w:autoSpaceDN w:val="0"/>
        <w:adjustRightInd w:val="0"/>
        <w:rPr>
          <w:rFonts w:eastAsia="Calibri" w:cs="Arial"/>
          <w:bCs/>
        </w:rPr>
      </w:pPr>
      <w:bookmarkStart w:id="16" w:name="_Hlk65062371"/>
      <w:r w:rsidRPr="00DD604A">
        <w:rPr>
          <w:rFonts w:eastAsia="Calibri" w:cs="Arial"/>
          <w:bCs/>
        </w:rPr>
        <w:t xml:space="preserve">To address absenteeism and student and family needs, the ACII petition states that the charter school has </w:t>
      </w:r>
      <w:r w:rsidRPr="00DD604A">
        <w:rPr>
          <w:rFonts w:cs="Arial"/>
        </w:rPr>
        <w:t xml:space="preserve">the ability to go well beyond traditional methods to support pupils and families, such as conducting home visits, performing and tracking appropriate interventions, and referring pupils and families to specific community resources and partnerships </w:t>
      </w:r>
      <w:r w:rsidRPr="00DD604A">
        <w:rPr>
          <w:rFonts w:eastAsia="Calibri" w:cs="Arial"/>
          <w:bCs/>
        </w:rPr>
        <w:t>(</w:t>
      </w:r>
      <w:r w:rsidRPr="003D15F4">
        <w:rPr>
          <w:rFonts w:eastAsia="Calibri" w:cs="Arial"/>
          <w:bCs/>
        </w:rPr>
        <w:t>Attachment 3</w:t>
      </w:r>
      <w:r w:rsidR="00A83B88" w:rsidRPr="003D15F4">
        <w:rPr>
          <w:rFonts w:eastAsia="Calibri" w:cs="Arial"/>
        </w:rPr>
        <w:t xml:space="preserve"> of Agenda Item 3 on the SBE April 2021 ACCS Meeting Agenda web page at </w:t>
      </w:r>
      <w:hyperlink r:id="rId24" w:tooltip="SBE April 2021 ACCS Meeting Agenda web page" w:history="1">
        <w:r w:rsidR="00A83B88" w:rsidRPr="003D15F4">
          <w:rPr>
            <w:rStyle w:val="Hyperlink"/>
            <w:rFonts w:eastAsia="Calibri" w:cs="Arial"/>
          </w:rPr>
          <w:t>https://www.cde.ca.gov/be/cc/cs/accsnotice041321.asp</w:t>
        </w:r>
      </w:hyperlink>
      <w:r w:rsidRPr="00DD604A">
        <w:rPr>
          <w:rFonts w:eastAsia="Calibri" w:cs="Arial"/>
          <w:bCs/>
        </w:rPr>
        <w:t>).</w:t>
      </w:r>
    </w:p>
    <w:p w14:paraId="63DA2440" w14:textId="77777777" w:rsidR="00DA4FA1" w:rsidRPr="00DD604A" w:rsidRDefault="00DA4FA1" w:rsidP="005F30AD">
      <w:pPr>
        <w:pStyle w:val="Heading7"/>
      </w:pPr>
      <w:r w:rsidRPr="00DD604A">
        <w:t>English Learner Progress Indicator</w:t>
      </w:r>
    </w:p>
    <w:bookmarkEnd w:id="16"/>
    <w:p w14:paraId="42AD97AC" w14:textId="77777777" w:rsidR="00DA4FA1" w:rsidRPr="00DD604A" w:rsidRDefault="00DA4FA1" w:rsidP="00E357A6">
      <w:pPr>
        <w:textAlignment w:val="baseline"/>
        <w:rPr>
          <w:rFonts w:eastAsia="Calibri" w:cs="Arial"/>
        </w:rPr>
      </w:pPr>
      <w:r w:rsidRPr="00DD604A">
        <w:rPr>
          <w:rFonts w:eastAsia="Calibri" w:cs="Arial"/>
        </w:rPr>
        <w:t>The 2019 California School Dashboard was the first year the ELPI was reported. The ELPI is calculated based on a student’s performance on the English Language Proficiency Assessments for California. Schools received Status results only on the 2019 California School Dashboard.</w:t>
      </w:r>
    </w:p>
    <w:p w14:paraId="18A074F5" w14:textId="77777777" w:rsidR="00DA4FA1" w:rsidRPr="00DD604A" w:rsidRDefault="00DA4FA1" w:rsidP="00E357A6">
      <w:pPr>
        <w:textAlignment w:val="baseline"/>
        <w:rPr>
          <w:rFonts w:eastAsia="Calibri" w:cs="Arial"/>
        </w:rPr>
      </w:pPr>
      <w:r w:rsidRPr="00DD604A">
        <w:rPr>
          <w:rFonts w:eastAsia="Calibri" w:cs="Arial"/>
        </w:rPr>
        <w:t>The data for the 2019 ELPI show that 71 percent of ACII English learner pupils are making progress towards English language proficiency.</w:t>
      </w:r>
    </w:p>
    <w:p w14:paraId="5EB39BD1" w14:textId="77777777" w:rsidR="00DA4FA1" w:rsidRPr="00DD604A" w:rsidRDefault="00DA4FA1" w:rsidP="005F30AD">
      <w:pPr>
        <w:pStyle w:val="Heading7"/>
      </w:pPr>
      <w:r w:rsidRPr="00DD604A">
        <w:t>Graduation Rates</w:t>
      </w:r>
    </w:p>
    <w:tbl>
      <w:tblPr>
        <w:tblStyle w:val="GridTable1Light8"/>
        <w:tblW w:w="5000" w:type="pct"/>
        <w:tblLayout w:type="fixed"/>
        <w:tblLook w:val="04A0" w:firstRow="1" w:lastRow="0" w:firstColumn="1" w:lastColumn="0" w:noHBand="0" w:noVBand="1"/>
        <w:tblDescription w:val="Graduation rates for ACII, CUSD, and California for 2018 and 2019"/>
      </w:tblPr>
      <w:tblGrid>
        <w:gridCol w:w="896"/>
        <w:gridCol w:w="4226"/>
        <w:gridCol w:w="4228"/>
      </w:tblGrid>
      <w:tr w:rsidR="00DA4FA1" w:rsidRPr="00DD604A" w14:paraId="5FF4DDCC" w14:textId="77777777" w:rsidTr="0012333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79" w:type="pct"/>
            <w:shd w:val="clear" w:color="auto" w:fill="D9D9D9" w:themeFill="background1" w:themeFillShade="D9"/>
          </w:tcPr>
          <w:p w14:paraId="2B6D7F56" w14:textId="77777777" w:rsidR="00DA4FA1" w:rsidRPr="00DD604A" w:rsidRDefault="00DA4FA1" w:rsidP="00E357A6">
            <w:pPr>
              <w:spacing w:before="0" w:after="0"/>
              <w:rPr>
                <w:rFonts w:eastAsia="Calibri" w:cs="Arial"/>
              </w:rPr>
            </w:pPr>
            <w:bookmarkStart w:id="17" w:name="_Hlk65155508"/>
            <w:r w:rsidRPr="00DD604A">
              <w:rPr>
                <w:rFonts w:eastAsia="Calibri" w:cs="Arial"/>
              </w:rPr>
              <w:t>Entity</w:t>
            </w:r>
          </w:p>
        </w:tc>
        <w:tc>
          <w:tcPr>
            <w:tcW w:w="2260" w:type="pct"/>
            <w:shd w:val="clear" w:color="auto" w:fill="D9D9D9" w:themeFill="background1" w:themeFillShade="D9"/>
          </w:tcPr>
          <w:p w14:paraId="22BADAFD"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 Graduation Rate</w:t>
            </w:r>
          </w:p>
        </w:tc>
        <w:tc>
          <w:tcPr>
            <w:tcW w:w="2261" w:type="pct"/>
            <w:shd w:val="clear" w:color="auto" w:fill="D9D9D9" w:themeFill="background1" w:themeFillShade="D9"/>
          </w:tcPr>
          <w:p w14:paraId="756FE018"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2019 Graduation Rate</w:t>
            </w:r>
          </w:p>
        </w:tc>
      </w:tr>
      <w:tr w:rsidR="00DA4FA1" w:rsidRPr="00DD604A" w14:paraId="5ED64012" w14:textId="77777777" w:rsidTr="00123337">
        <w:trPr>
          <w:cantSplit/>
        </w:trPr>
        <w:tc>
          <w:tcPr>
            <w:cnfStyle w:val="001000000000" w:firstRow="0" w:lastRow="0" w:firstColumn="1" w:lastColumn="0" w:oddVBand="0" w:evenVBand="0" w:oddHBand="0" w:evenHBand="0" w:firstRowFirstColumn="0" w:firstRowLastColumn="0" w:lastRowFirstColumn="0" w:lastRowLastColumn="0"/>
            <w:tcW w:w="479" w:type="pct"/>
          </w:tcPr>
          <w:p w14:paraId="4FEDB64C" w14:textId="77777777" w:rsidR="00DA4FA1" w:rsidRPr="00DD604A" w:rsidRDefault="00DA4FA1" w:rsidP="00E357A6">
            <w:pPr>
              <w:spacing w:before="0" w:after="0"/>
              <w:rPr>
                <w:rFonts w:eastAsia="Calibri" w:cs="Arial"/>
              </w:rPr>
            </w:pPr>
            <w:r w:rsidRPr="00DD604A">
              <w:rPr>
                <w:rFonts w:eastAsia="Calibri" w:cs="Arial"/>
              </w:rPr>
              <w:t>ACII</w:t>
            </w:r>
          </w:p>
        </w:tc>
        <w:tc>
          <w:tcPr>
            <w:tcW w:w="2260" w:type="pct"/>
          </w:tcPr>
          <w:p w14:paraId="6D775D9E" w14:textId="2FDD1399"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Red, 65.4 percent</w:t>
            </w:r>
            <w:r w:rsidR="00D95377">
              <w:t xml:space="preserve"> graduated</w:t>
            </w:r>
          </w:p>
        </w:tc>
        <w:tc>
          <w:tcPr>
            <w:tcW w:w="2261" w:type="pct"/>
          </w:tcPr>
          <w:p w14:paraId="174F78B4" w14:textId="23C3407B"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Green, 71.6 percent</w:t>
            </w:r>
            <w:r w:rsidR="00D95377">
              <w:t xml:space="preserve"> graduated</w:t>
            </w:r>
          </w:p>
        </w:tc>
      </w:tr>
    </w:tbl>
    <w:bookmarkEnd w:id="17"/>
    <w:p w14:paraId="22F00C2E" w14:textId="4C6D55A0" w:rsidR="00DA4FA1" w:rsidRPr="00DD604A" w:rsidRDefault="00DA4FA1" w:rsidP="00E357A6">
      <w:pPr>
        <w:jc w:val="center"/>
        <w:rPr>
          <w:rFonts w:eastAsia="Calibri"/>
        </w:rPr>
      </w:pPr>
      <w:r w:rsidRPr="00DD604A">
        <w:rPr>
          <w:noProof/>
        </w:rPr>
        <w:lastRenderedPageBreak/>
        <w:drawing>
          <wp:inline distT="0" distB="0" distL="0" distR="0" wp14:anchorId="5F8FB6BC" wp14:editId="27623359">
            <wp:extent cx="4224528" cy="3200400"/>
            <wp:effectExtent l="0" t="0" r="5080" b="0"/>
            <wp:docPr id="7" name="Picture 7" descr="2018–19 graduation rates for ACII from the California School Dashboard. Full descriptive text available on p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36222" t="28825" r="25661" b="19842"/>
                    <a:stretch/>
                  </pic:blipFill>
                  <pic:spPr bwMode="auto">
                    <a:xfrm>
                      <a:off x="0" y="0"/>
                      <a:ext cx="4224528" cy="3200400"/>
                    </a:xfrm>
                    <a:prstGeom prst="rect">
                      <a:avLst/>
                    </a:prstGeom>
                    <a:ln>
                      <a:noFill/>
                    </a:ln>
                    <a:extLst>
                      <a:ext uri="{53640926-AAD7-44D8-BBD7-CCE9431645EC}">
                        <a14:shadowObscured xmlns:a14="http://schemas.microsoft.com/office/drawing/2010/main"/>
                      </a:ext>
                    </a:extLst>
                  </pic:spPr>
                </pic:pic>
              </a:graphicData>
            </a:graphic>
          </wp:inline>
        </w:drawing>
      </w:r>
    </w:p>
    <w:p w14:paraId="13F0343B" w14:textId="63BCDA22" w:rsidR="00547583" w:rsidRPr="00DD604A" w:rsidRDefault="00547583" w:rsidP="00547583">
      <w:pPr>
        <w:jc w:val="center"/>
        <w:rPr>
          <w:rFonts w:eastAsia="Calibri"/>
        </w:rPr>
      </w:pPr>
      <w:r w:rsidRPr="00DD604A">
        <w:rPr>
          <w:rFonts w:eastAsia="Calibri"/>
        </w:rPr>
        <w:t xml:space="preserve">Full text is available in the </w:t>
      </w:r>
      <w:hyperlink w:anchor="_Page_6:_2018–19" w:tooltip="Graduation Rate Descriptive Image Alternative Text" w:history="1">
        <w:r w:rsidRPr="00DD604A">
          <w:rPr>
            <w:rStyle w:val="Hyperlink"/>
            <w:rFonts w:eastAsia="Calibri"/>
          </w:rPr>
          <w:t>Descriptive Image Alternative Text</w:t>
        </w:r>
      </w:hyperlink>
      <w:r w:rsidRPr="00DD604A">
        <w:rPr>
          <w:rFonts w:eastAsia="Calibri"/>
        </w:rPr>
        <w:t xml:space="preserve"> section.</w:t>
      </w:r>
    </w:p>
    <w:p w14:paraId="75820252" w14:textId="77777777" w:rsidR="00DA4FA1" w:rsidRPr="00DD604A" w:rsidRDefault="00DA4FA1" w:rsidP="00E357A6">
      <w:pPr>
        <w:rPr>
          <w:rFonts w:eastAsia="Calibri" w:cs="Arial"/>
        </w:rPr>
      </w:pPr>
      <w:bookmarkStart w:id="18" w:name="_Hlk65062214"/>
      <w:r w:rsidRPr="00DD604A">
        <w:rPr>
          <w:rFonts w:eastAsia="Calibri" w:cs="Arial"/>
        </w:rPr>
        <w:t xml:space="preserve">The following table shows the </w:t>
      </w:r>
      <w:r w:rsidRPr="00DD604A">
        <w:rPr>
          <w:rFonts w:eastAsia="Calibri" w:cs="Arial"/>
          <w:bCs/>
          <w:iCs/>
        </w:rPr>
        <w:t>California School Dashboard graduation rates for ACII</w:t>
      </w:r>
      <w:r w:rsidRPr="00DD604A">
        <w:rPr>
          <w:rFonts w:eastAsia="Calibri" w:cs="Arial"/>
        </w:rPr>
        <w:t xml:space="preserve">. </w:t>
      </w:r>
    </w:p>
    <w:p w14:paraId="17A00498" w14:textId="268CEBF8" w:rsidR="00DA4FA1" w:rsidRPr="00DD604A" w:rsidRDefault="00DA4FA1" w:rsidP="005F30AD">
      <w:pPr>
        <w:pStyle w:val="Heading7"/>
      </w:pPr>
      <w:r w:rsidRPr="00DD604A">
        <w:t>Graduation Rates by Student Group for ACII (Percent Graduated)</w:t>
      </w:r>
    </w:p>
    <w:tbl>
      <w:tblPr>
        <w:tblStyle w:val="GridTable1Light8"/>
        <w:tblW w:w="9535" w:type="dxa"/>
        <w:tblLayout w:type="fixed"/>
        <w:tblLook w:val="04A0" w:firstRow="1" w:lastRow="0" w:firstColumn="1" w:lastColumn="0" w:noHBand="0" w:noVBand="1"/>
        <w:tblDescription w:val="California School Dashboard indicator for ACII Graduation Rate by student group (percentages)"/>
      </w:tblPr>
      <w:tblGrid>
        <w:gridCol w:w="1435"/>
        <w:gridCol w:w="2025"/>
        <w:gridCol w:w="2025"/>
        <w:gridCol w:w="2025"/>
        <w:gridCol w:w="2025"/>
      </w:tblGrid>
      <w:tr w:rsidR="00DA4FA1" w:rsidRPr="00DD604A" w14:paraId="204CB09A" w14:textId="77777777" w:rsidTr="00FE56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vAlign w:val="center"/>
          </w:tcPr>
          <w:p w14:paraId="70DCF7FC" w14:textId="77777777" w:rsidR="00DA4FA1" w:rsidRPr="00DD604A" w:rsidRDefault="00DA4FA1" w:rsidP="00E357A6">
            <w:pPr>
              <w:spacing w:before="0" w:after="0"/>
              <w:rPr>
                <w:rFonts w:eastAsia="Calibri" w:cs="Arial"/>
              </w:rPr>
            </w:pPr>
            <w:bookmarkStart w:id="19" w:name="_Hlk64379414"/>
            <w:r w:rsidRPr="00DD604A">
              <w:rPr>
                <w:rFonts w:eastAsia="Calibri" w:cs="Arial"/>
              </w:rPr>
              <w:t>Year</w:t>
            </w:r>
          </w:p>
        </w:tc>
        <w:tc>
          <w:tcPr>
            <w:tcW w:w="2025" w:type="dxa"/>
            <w:shd w:val="clear" w:color="auto" w:fill="D9D9D9" w:themeFill="background1" w:themeFillShade="D9"/>
            <w:vAlign w:val="center"/>
          </w:tcPr>
          <w:p w14:paraId="6822644C"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All Pupils</w:t>
            </w:r>
          </w:p>
        </w:tc>
        <w:tc>
          <w:tcPr>
            <w:tcW w:w="2025" w:type="dxa"/>
            <w:shd w:val="clear" w:color="auto" w:fill="D9D9D9" w:themeFill="background1" w:themeFillShade="D9"/>
            <w:vAlign w:val="center"/>
          </w:tcPr>
          <w:p w14:paraId="0A6EAB3A"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2025" w:type="dxa"/>
            <w:shd w:val="clear" w:color="auto" w:fill="D9D9D9" w:themeFill="background1" w:themeFillShade="D9"/>
            <w:vAlign w:val="center"/>
          </w:tcPr>
          <w:p w14:paraId="52AB8DF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White</w:t>
            </w:r>
          </w:p>
        </w:tc>
        <w:tc>
          <w:tcPr>
            <w:tcW w:w="2025" w:type="dxa"/>
            <w:shd w:val="clear" w:color="auto" w:fill="D9D9D9" w:themeFill="background1" w:themeFillShade="D9"/>
            <w:vAlign w:val="center"/>
          </w:tcPr>
          <w:p w14:paraId="1A71F18F"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0D03655F"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435" w:type="dxa"/>
          </w:tcPr>
          <w:p w14:paraId="391FB985" w14:textId="77777777" w:rsidR="00DA4FA1" w:rsidRPr="00DD604A" w:rsidRDefault="00DA4FA1" w:rsidP="00E357A6">
            <w:pPr>
              <w:spacing w:before="0" w:after="0"/>
              <w:rPr>
                <w:rFonts w:eastAsia="Calibri" w:cs="Arial"/>
              </w:rPr>
            </w:pPr>
            <w:r w:rsidRPr="00DD604A">
              <w:rPr>
                <w:rFonts w:eastAsia="Calibri" w:cs="Arial"/>
              </w:rPr>
              <w:t>2017</w:t>
            </w:r>
          </w:p>
        </w:tc>
        <w:tc>
          <w:tcPr>
            <w:tcW w:w="2025" w:type="dxa"/>
            <w:vAlign w:val="center"/>
          </w:tcPr>
          <w:p w14:paraId="111CF84A"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54</w:t>
            </w:r>
          </w:p>
        </w:tc>
        <w:tc>
          <w:tcPr>
            <w:tcW w:w="2025" w:type="dxa"/>
            <w:vAlign w:val="center"/>
          </w:tcPr>
          <w:p w14:paraId="1F6DE19D"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45</w:t>
            </w:r>
          </w:p>
        </w:tc>
        <w:tc>
          <w:tcPr>
            <w:tcW w:w="2025" w:type="dxa"/>
            <w:vAlign w:val="center"/>
          </w:tcPr>
          <w:p w14:paraId="5574F66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2025" w:type="dxa"/>
            <w:vAlign w:val="center"/>
          </w:tcPr>
          <w:p w14:paraId="031D103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45</w:t>
            </w:r>
          </w:p>
        </w:tc>
      </w:tr>
      <w:tr w:rsidR="00DA4FA1" w:rsidRPr="00DD604A" w14:paraId="7A5C0C21"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435" w:type="dxa"/>
          </w:tcPr>
          <w:p w14:paraId="5654B61E" w14:textId="77777777" w:rsidR="00DA4FA1" w:rsidRPr="00DD604A" w:rsidRDefault="00DA4FA1" w:rsidP="00E357A6">
            <w:pPr>
              <w:spacing w:before="0" w:after="0"/>
              <w:rPr>
                <w:rFonts w:eastAsia="Calibri" w:cs="Arial"/>
              </w:rPr>
            </w:pPr>
            <w:r w:rsidRPr="00DD604A">
              <w:rPr>
                <w:rFonts w:eastAsia="Calibri" w:cs="Arial"/>
              </w:rPr>
              <w:t>2018</w:t>
            </w:r>
          </w:p>
        </w:tc>
        <w:tc>
          <w:tcPr>
            <w:tcW w:w="2025" w:type="dxa"/>
            <w:vAlign w:val="center"/>
          </w:tcPr>
          <w:p w14:paraId="0ADB8E1C"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65</w:t>
            </w:r>
          </w:p>
        </w:tc>
        <w:tc>
          <w:tcPr>
            <w:tcW w:w="2025" w:type="dxa"/>
            <w:vAlign w:val="center"/>
          </w:tcPr>
          <w:p w14:paraId="23E77DF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2025" w:type="dxa"/>
            <w:vAlign w:val="center"/>
          </w:tcPr>
          <w:p w14:paraId="02D87CF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2025" w:type="dxa"/>
            <w:vAlign w:val="center"/>
          </w:tcPr>
          <w:p w14:paraId="463F02D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54</w:t>
            </w:r>
          </w:p>
        </w:tc>
      </w:tr>
      <w:tr w:rsidR="00DA4FA1" w:rsidRPr="00DD604A" w14:paraId="5B15FAFC"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435" w:type="dxa"/>
          </w:tcPr>
          <w:p w14:paraId="384A36AA" w14:textId="77777777" w:rsidR="00DA4FA1" w:rsidRPr="00DD604A" w:rsidRDefault="00DA4FA1" w:rsidP="00E357A6">
            <w:pPr>
              <w:spacing w:before="0" w:after="0"/>
              <w:rPr>
                <w:rFonts w:eastAsia="Calibri" w:cs="Arial"/>
              </w:rPr>
            </w:pPr>
            <w:r w:rsidRPr="00DD604A">
              <w:rPr>
                <w:rFonts w:eastAsia="Calibri" w:cs="Arial"/>
              </w:rPr>
              <w:t>2019</w:t>
            </w:r>
          </w:p>
        </w:tc>
        <w:tc>
          <w:tcPr>
            <w:tcW w:w="2025" w:type="dxa"/>
            <w:vAlign w:val="center"/>
          </w:tcPr>
          <w:p w14:paraId="121FE82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72</w:t>
            </w:r>
          </w:p>
        </w:tc>
        <w:tc>
          <w:tcPr>
            <w:tcW w:w="2025" w:type="dxa"/>
            <w:vAlign w:val="center"/>
          </w:tcPr>
          <w:p w14:paraId="6D1A1C8C"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65</w:t>
            </w:r>
          </w:p>
        </w:tc>
        <w:tc>
          <w:tcPr>
            <w:tcW w:w="2025" w:type="dxa"/>
            <w:vAlign w:val="center"/>
          </w:tcPr>
          <w:p w14:paraId="1DC614C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2025" w:type="dxa"/>
            <w:vAlign w:val="center"/>
          </w:tcPr>
          <w:p w14:paraId="5318021D"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66</w:t>
            </w:r>
          </w:p>
        </w:tc>
      </w:tr>
    </w:tbl>
    <w:bookmarkEnd w:id="18"/>
    <w:bookmarkEnd w:id="19"/>
    <w:p w14:paraId="44D0ACEE" w14:textId="77777777" w:rsidR="00DA4FA1" w:rsidRPr="00DD604A" w:rsidRDefault="00DA4FA1" w:rsidP="00532123">
      <w:pPr>
        <w:pStyle w:val="Heading6"/>
        <w:rPr>
          <w:rFonts w:eastAsia="Arial"/>
        </w:rPr>
      </w:pPr>
      <w:r w:rsidRPr="00DD604A">
        <w:rPr>
          <w:rFonts w:eastAsia="Arial"/>
        </w:rPr>
        <w:t>NWEA MAP Data</w:t>
      </w:r>
    </w:p>
    <w:p w14:paraId="1486F104" w14:textId="77777777" w:rsidR="00DA4FA1" w:rsidRPr="00DD604A" w:rsidRDefault="00DA4FA1" w:rsidP="00E357A6">
      <w:pPr>
        <w:rPr>
          <w:bCs/>
          <w:iCs/>
        </w:rPr>
      </w:pPr>
      <w:r w:rsidRPr="00DD604A">
        <w:t>The following table shows the percentage of pupils that met or exceeded standards on the 2016–17, 2017</w:t>
      </w:r>
      <w:r w:rsidRPr="00DD604A">
        <w:rPr>
          <w:rFonts w:ascii="Times New Roman" w:hAnsi="Times New Roman"/>
        </w:rPr>
        <w:t>–</w:t>
      </w:r>
      <w:r w:rsidRPr="00DD604A">
        <w:t xml:space="preserve">18, and 2018–19 </w:t>
      </w:r>
      <w:r w:rsidRPr="00DD604A">
        <w:rPr>
          <w:bCs/>
          <w:iCs/>
        </w:rPr>
        <w:t>NWEA MAP Growth for ACII for reading, language usage, and math schoolwide.</w:t>
      </w:r>
    </w:p>
    <w:p w14:paraId="17D8F608" w14:textId="77777777" w:rsidR="00DA4FA1" w:rsidRPr="00DD604A" w:rsidRDefault="00DA4FA1" w:rsidP="005F30AD">
      <w:pPr>
        <w:pStyle w:val="Heading7"/>
        <w:rPr>
          <w:rFonts w:ascii="Garamond" w:hAnsi="Garamond" w:cs="Segoe UI"/>
        </w:rPr>
      </w:pPr>
      <w:r w:rsidRPr="00DD604A">
        <w:t>NWEA MAP Growth for ACII (Percent Meets or Exceeds Standards)</w:t>
      </w:r>
    </w:p>
    <w:tbl>
      <w:tblPr>
        <w:tblStyle w:val="GridTable1Light8"/>
        <w:tblW w:w="9535" w:type="dxa"/>
        <w:tblLayout w:type="fixed"/>
        <w:tblLook w:val="04A0" w:firstRow="1" w:lastRow="0" w:firstColumn="1" w:lastColumn="0" w:noHBand="0" w:noVBand="1"/>
        <w:tblDescription w:val="NWEA MAP Growth for ACII for Reading, Language, and Math"/>
      </w:tblPr>
      <w:tblGrid>
        <w:gridCol w:w="1615"/>
        <w:gridCol w:w="2640"/>
        <w:gridCol w:w="2640"/>
        <w:gridCol w:w="2640"/>
      </w:tblGrid>
      <w:tr w:rsidR="00DA4FA1" w:rsidRPr="00DD604A" w14:paraId="4CBB6020" w14:textId="77777777" w:rsidTr="00F320E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center"/>
          </w:tcPr>
          <w:p w14:paraId="796340A2" w14:textId="77777777" w:rsidR="00DA4FA1" w:rsidRPr="00DD604A" w:rsidRDefault="00DA4FA1" w:rsidP="00E357A6">
            <w:pPr>
              <w:spacing w:before="0" w:after="0"/>
              <w:rPr>
                <w:rFonts w:eastAsia="Calibri" w:cs="Arial"/>
              </w:rPr>
            </w:pPr>
            <w:bookmarkStart w:id="20" w:name="_Hlk65062943"/>
            <w:r w:rsidRPr="00DD604A">
              <w:rPr>
                <w:rFonts w:eastAsia="Calibri" w:cs="Arial"/>
              </w:rPr>
              <w:t>Year</w:t>
            </w:r>
          </w:p>
        </w:tc>
        <w:tc>
          <w:tcPr>
            <w:tcW w:w="2640" w:type="dxa"/>
            <w:shd w:val="clear" w:color="auto" w:fill="D9D9D9" w:themeFill="background1" w:themeFillShade="D9"/>
            <w:vAlign w:val="center"/>
          </w:tcPr>
          <w:p w14:paraId="6FB37BBD"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Reading</w:t>
            </w:r>
          </w:p>
        </w:tc>
        <w:tc>
          <w:tcPr>
            <w:tcW w:w="2640" w:type="dxa"/>
            <w:shd w:val="clear" w:color="auto" w:fill="D9D9D9" w:themeFill="background1" w:themeFillShade="D9"/>
            <w:vAlign w:val="center"/>
          </w:tcPr>
          <w:p w14:paraId="539EE949"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Language</w:t>
            </w:r>
          </w:p>
        </w:tc>
        <w:tc>
          <w:tcPr>
            <w:tcW w:w="2640" w:type="dxa"/>
            <w:shd w:val="clear" w:color="auto" w:fill="D9D9D9" w:themeFill="background1" w:themeFillShade="D9"/>
            <w:vAlign w:val="center"/>
          </w:tcPr>
          <w:p w14:paraId="12687774"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A4FA1" w:rsidRPr="00DD604A" w14:paraId="6A0DB8E9"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615" w:type="dxa"/>
          </w:tcPr>
          <w:p w14:paraId="4B63944D"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2640" w:type="dxa"/>
            <w:vAlign w:val="center"/>
          </w:tcPr>
          <w:p w14:paraId="463D1E4C"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78</w:t>
            </w:r>
          </w:p>
        </w:tc>
        <w:tc>
          <w:tcPr>
            <w:tcW w:w="2640" w:type="dxa"/>
            <w:vAlign w:val="center"/>
          </w:tcPr>
          <w:p w14:paraId="31C018A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c>
          <w:tcPr>
            <w:tcW w:w="2640" w:type="dxa"/>
            <w:vAlign w:val="center"/>
          </w:tcPr>
          <w:p w14:paraId="317ED71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65</w:t>
            </w:r>
          </w:p>
        </w:tc>
      </w:tr>
      <w:tr w:rsidR="00DA4FA1" w:rsidRPr="00DD604A" w14:paraId="25524DEA"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615" w:type="dxa"/>
          </w:tcPr>
          <w:p w14:paraId="2B7BA7A6"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2640" w:type="dxa"/>
            <w:vAlign w:val="center"/>
          </w:tcPr>
          <w:p w14:paraId="41DB5F7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87</w:t>
            </w:r>
          </w:p>
        </w:tc>
        <w:tc>
          <w:tcPr>
            <w:tcW w:w="2640" w:type="dxa"/>
            <w:vAlign w:val="center"/>
          </w:tcPr>
          <w:p w14:paraId="17E997F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72</w:t>
            </w:r>
          </w:p>
        </w:tc>
        <w:tc>
          <w:tcPr>
            <w:tcW w:w="2640" w:type="dxa"/>
            <w:vAlign w:val="center"/>
          </w:tcPr>
          <w:p w14:paraId="7776D83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61</w:t>
            </w:r>
          </w:p>
        </w:tc>
      </w:tr>
      <w:tr w:rsidR="00DA4FA1" w:rsidRPr="00DD604A" w14:paraId="5FA5600F"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615" w:type="dxa"/>
          </w:tcPr>
          <w:p w14:paraId="6183D4DC"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2640" w:type="dxa"/>
            <w:vAlign w:val="center"/>
          </w:tcPr>
          <w:p w14:paraId="1989E75F"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77</w:t>
            </w:r>
          </w:p>
        </w:tc>
        <w:tc>
          <w:tcPr>
            <w:tcW w:w="2640" w:type="dxa"/>
            <w:vAlign w:val="center"/>
          </w:tcPr>
          <w:p w14:paraId="5A7DED1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82</w:t>
            </w:r>
          </w:p>
        </w:tc>
        <w:tc>
          <w:tcPr>
            <w:tcW w:w="2640" w:type="dxa"/>
            <w:vAlign w:val="center"/>
          </w:tcPr>
          <w:p w14:paraId="2BFE8E4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71</w:t>
            </w:r>
          </w:p>
        </w:tc>
      </w:tr>
    </w:tbl>
    <w:bookmarkEnd w:id="20"/>
    <w:p w14:paraId="7E5B798B" w14:textId="3D7C16ED" w:rsidR="00DA4FA1" w:rsidRPr="00DD604A" w:rsidRDefault="00DA4FA1" w:rsidP="00E357A6">
      <w:pPr>
        <w:rPr>
          <w:bCs/>
          <w:iCs/>
        </w:rPr>
      </w:pPr>
      <w:r w:rsidRPr="00DD604A">
        <w:lastRenderedPageBreak/>
        <w:t>The following table shows the percentage of pupils that met or exceeded standards on the 2016–17, 2017</w:t>
      </w:r>
      <w:r w:rsidRPr="00DD604A">
        <w:rPr>
          <w:rFonts w:ascii="Times New Roman" w:hAnsi="Times New Roman"/>
        </w:rPr>
        <w:t>–</w:t>
      </w:r>
      <w:r w:rsidRPr="00DD604A">
        <w:t xml:space="preserve">18, and 2018–19 NWEA </w:t>
      </w:r>
      <w:r w:rsidRPr="00DD604A">
        <w:rPr>
          <w:bCs/>
          <w:iCs/>
        </w:rPr>
        <w:t>MAP Growth for ACII by student group for reading.</w:t>
      </w:r>
    </w:p>
    <w:p w14:paraId="1652BC97" w14:textId="77777777" w:rsidR="00DA4FA1" w:rsidRPr="00DD604A" w:rsidRDefault="00DA4FA1" w:rsidP="005F30AD">
      <w:pPr>
        <w:pStyle w:val="Heading7"/>
      </w:pPr>
      <w:r w:rsidRPr="00DD604A">
        <w:t xml:space="preserve">NWEA MAP Growth for ACII for Reading </w:t>
      </w:r>
      <w:r w:rsidRPr="00DD604A">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Reading for pupil subgroups"/>
      </w:tblPr>
      <w:tblGrid>
        <w:gridCol w:w="1165"/>
        <w:gridCol w:w="1260"/>
        <w:gridCol w:w="1350"/>
        <w:gridCol w:w="1800"/>
        <w:gridCol w:w="1620"/>
        <w:gridCol w:w="2412"/>
      </w:tblGrid>
      <w:tr w:rsidR="00DA4FA1" w:rsidRPr="00DD604A" w14:paraId="7D064F27" w14:textId="77777777" w:rsidTr="00F320E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7F19A054" w14:textId="77777777" w:rsidR="00DA4FA1" w:rsidRPr="00DD604A" w:rsidRDefault="00DA4FA1" w:rsidP="00E357A6">
            <w:pPr>
              <w:spacing w:before="0" w:after="0"/>
              <w:rPr>
                <w:rFonts w:eastAsia="Calibri" w:cs="Arial"/>
              </w:rPr>
            </w:pPr>
            <w:r w:rsidRPr="00DD604A">
              <w:rPr>
                <w:rFonts w:eastAsia="Calibri" w:cs="Arial"/>
              </w:rPr>
              <w:t>Year</w:t>
            </w:r>
          </w:p>
        </w:tc>
        <w:tc>
          <w:tcPr>
            <w:tcW w:w="1260" w:type="dxa"/>
            <w:shd w:val="clear" w:color="auto" w:fill="D9D9D9" w:themeFill="background1" w:themeFillShade="D9"/>
            <w:vAlign w:val="center"/>
          </w:tcPr>
          <w:p w14:paraId="1528AE8E"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1350" w:type="dxa"/>
            <w:shd w:val="clear" w:color="auto" w:fill="D9D9D9" w:themeFill="background1" w:themeFillShade="D9"/>
            <w:vAlign w:val="center"/>
          </w:tcPr>
          <w:p w14:paraId="54BD30C3"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White </w:t>
            </w:r>
          </w:p>
        </w:tc>
        <w:tc>
          <w:tcPr>
            <w:tcW w:w="1800" w:type="dxa"/>
            <w:shd w:val="clear" w:color="auto" w:fill="D9D9D9" w:themeFill="background1" w:themeFillShade="D9"/>
            <w:vAlign w:val="center"/>
          </w:tcPr>
          <w:p w14:paraId="7904850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Students with Disabilities</w:t>
            </w:r>
          </w:p>
        </w:tc>
        <w:tc>
          <w:tcPr>
            <w:tcW w:w="1620" w:type="dxa"/>
            <w:shd w:val="clear" w:color="auto" w:fill="D9D9D9" w:themeFill="background1" w:themeFillShade="D9"/>
            <w:vAlign w:val="center"/>
          </w:tcPr>
          <w:p w14:paraId="3D6F3AE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English Learners</w:t>
            </w:r>
          </w:p>
        </w:tc>
        <w:tc>
          <w:tcPr>
            <w:tcW w:w="2412" w:type="dxa"/>
            <w:shd w:val="clear" w:color="auto" w:fill="D9D9D9" w:themeFill="background1" w:themeFillShade="D9"/>
            <w:vAlign w:val="center"/>
          </w:tcPr>
          <w:p w14:paraId="6F32702D"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6AC025AB"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76177F14"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1260" w:type="dxa"/>
            <w:vAlign w:val="center"/>
          </w:tcPr>
          <w:p w14:paraId="7E73227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1350" w:type="dxa"/>
            <w:vAlign w:val="center"/>
          </w:tcPr>
          <w:p w14:paraId="21FE275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1800" w:type="dxa"/>
            <w:vAlign w:val="center"/>
          </w:tcPr>
          <w:p w14:paraId="2E38150A"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56</w:t>
            </w:r>
          </w:p>
        </w:tc>
        <w:tc>
          <w:tcPr>
            <w:tcW w:w="1620" w:type="dxa"/>
            <w:vAlign w:val="center"/>
          </w:tcPr>
          <w:p w14:paraId="388BF1B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c>
          <w:tcPr>
            <w:tcW w:w="2412" w:type="dxa"/>
            <w:vAlign w:val="center"/>
          </w:tcPr>
          <w:p w14:paraId="6BC474C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74</w:t>
            </w:r>
          </w:p>
        </w:tc>
      </w:tr>
      <w:tr w:rsidR="00DA4FA1" w:rsidRPr="00DD604A" w14:paraId="15FA566A"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6872003D"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1260" w:type="dxa"/>
            <w:vAlign w:val="center"/>
          </w:tcPr>
          <w:p w14:paraId="78800C4F"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85</w:t>
            </w:r>
          </w:p>
        </w:tc>
        <w:tc>
          <w:tcPr>
            <w:tcW w:w="1350" w:type="dxa"/>
            <w:vAlign w:val="center"/>
          </w:tcPr>
          <w:p w14:paraId="63651EF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89</w:t>
            </w:r>
          </w:p>
        </w:tc>
        <w:tc>
          <w:tcPr>
            <w:tcW w:w="1800" w:type="dxa"/>
            <w:vAlign w:val="center"/>
          </w:tcPr>
          <w:p w14:paraId="3961FC1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92</w:t>
            </w:r>
          </w:p>
        </w:tc>
        <w:tc>
          <w:tcPr>
            <w:tcW w:w="1620" w:type="dxa"/>
            <w:vAlign w:val="center"/>
          </w:tcPr>
          <w:p w14:paraId="7F0FE83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85</w:t>
            </w:r>
          </w:p>
        </w:tc>
        <w:tc>
          <w:tcPr>
            <w:tcW w:w="2412" w:type="dxa"/>
            <w:vAlign w:val="center"/>
          </w:tcPr>
          <w:p w14:paraId="204BC61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61</w:t>
            </w:r>
          </w:p>
        </w:tc>
      </w:tr>
      <w:tr w:rsidR="00DA4FA1" w:rsidRPr="00DD604A" w14:paraId="6F5BF9A8"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3FD1EAFD"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1260" w:type="dxa"/>
            <w:vAlign w:val="center"/>
          </w:tcPr>
          <w:p w14:paraId="7330B483"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93</w:t>
            </w:r>
          </w:p>
        </w:tc>
        <w:tc>
          <w:tcPr>
            <w:tcW w:w="1350" w:type="dxa"/>
            <w:vAlign w:val="center"/>
          </w:tcPr>
          <w:p w14:paraId="2E8A062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50</w:t>
            </w:r>
          </w:p>
        </w:tc>
        <w:tc>
          <w:tcPr>
            <w:tcW w:w="1800" w:type="dxa"/>
            <w:vAlign w:val="center"/>
          </w:tcPr>
          <w:p w14:paraId="001B6DC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79</w:t>
            </w:r>
          </w:p>
        </w:tc>
        <w:tc>
          <w:tcPr>
            <w:tcW w:w="1620" w:type="dxa"/>
            <w:vAlign w:val="center"/>
          </w:tcPr>
          <w:p w14:paraId="374F09B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75</w:t>
            </w:r>
          </w:p>
        </w:tc>
        <w:tc>
          <w:tcPr>
            <w:tcW w:w="2412" w:type="dxa"/>
            <w:vAlign w:val="center"/>
          </w:tcPr>
          <w:p w14:paraId="6E34819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84</w:t>
            </w:r>
          </w:p>
        </w:tc>
      </w:tr>
    </w:tbl>
    <w:p w14:paraId="3EB0B4ED" w14:textId="77777777" w:rsidR="00DA4FA1" w:rsidRPr="00DD604A" w:rsidRDefault="00DA4FA1" w:rsidP="00E357A6">
      <w:pPr>
        <w:rPr>
          <w:bCs/>
          <w:iCs/>
        </w:rPr>
      </w:pPr>
      <w:r w:rsidRPr="00DD604A">
        <w:t>The following table shows the percentage of pupils that met or exceeded standards on the 2016–17, 2017</w:t>
      </w:r>
      <w:r w:rsidRPr="00DD604A">
        <w:rPr>
          <w:rFonts w:ascii="Times New Roman" w:hAnsi="Times New Roman"/>
        </w:rPr>
        <w:t>–</w:t>
      </w:r>
      <w:r w:rsidRPr="00DD604A">
        <w:t xml:space="preserve">18, and 2018–19 NWEA </w:t>
      </w:r>
      <w:r w:rsidRPr="00DD604A">
        <w:rPr>
          <w:bCs/>
          <w:iCs/>
        </w:rPr>
        <w:t>MAP Growth for ACII by student group for language usage.</w:t>
      </w:r>
    </w:p>
    <w:p w14:paraId="1C19B37A" w14:textId="77777777" w:rsidR="00DA4FA1" w:rsidRPr="00DD604A" w:rsidRDefault="00DA4FA1" w:rsidP="005F30AD">
      <w:pPr>
        <w:pStyle w:val="Heading7"/>
      </w:pPr>
      <w:r w:rsidRPr="00DD604A">
        <w:t xml:space="preserve">NWEA MAP Growth for ACII for Language Usage </w:t>
      </w:r>
      <w:r w:rsidRPr="00DD604A">
        <w:rPr>
          <w:bCs/>
        </w:rPr>
        <w:t>(Percent Meets or Exceeds Standards)</w:t>
      </w:r>
    </w:p>
    <w:tbl>
      <w:tblPr>
        <w:tblStyle w:val="GridTable1Light8"/>
        <w:tblW w:w="9607" w:type="dxa"/>
        <w:tblLayout w:type="fixed"/>
        <w:tblLook w:val="04A0" w:firstRow="1" w:lastRow="0" w:firstColumn="1" w:lastColumn="0" w:noHBand="0" w:noVBand="1"/>
        <w:tblDescription w:val="NWEA MAP Growth for ACII for Language Usage for pupil subgroups"/>
      </w:tblPr>
      <w:tblGrid>
        <w:gridCol w:w="1165"/>
        <w:gridCol w:w="1260"/>
        <w:gridCol w:w="1350"/>
        <w:gridCol w:w="1800"/>
        <w:gridCol w:w="1620"/>
        <w:gridCol w:w="2412"/>
      </w:tblGrid>
      <w:tr w:rsidR="00DA4FA1" w:rsidRPr="00DD604A" w14:paraId="6C14C7EF" w14:textId="77777777" w:rsidTr="00F320EF">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21071ED2" w14:textId="77777777" w:rsidR="00DA4FA1" w:rsidRPr="00DD604A" w:rsidRDefault="00DA4FA1" w:rsidP="00E357A6">
            <w:pPr>
              <w:spacing w:before="0" w:after="0"/>
              <w:rPr>
                <w:rFonts w:eastAsia="Calibri" w:cs="Arial"/>
              </w:rPr>
            </w:pPr>
            <w:r w:rsidRPr="00DD604A">
              <w:rPr>
                <w:rFonts w:eastAsia="Calibri" w:cs="Arial"/>
              </w:rPr>
              <w:t>Year</w:t>
            </w:r>
          </w:p>
        </w:tc>
        <w:tc>
          <w:tcPr>
            <w:tcW w:w="1260" w:type="dxa"/>
            <w:shd w:val="clear" w:color="auto" w:fill="D9D9D9" w:themeFill="background1" w:themeFillShade="D9"/>
            <w:vAlign w:val="center"/>
          </w:tcPr>
          <w:p w14:paraId="29362D6A"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1350" w:type="dxa"/>
            <w:shd w:val="clear" w:color="auto" w:fill="D9D9D9" w:themeFill="background1" w:themeFillShade="D9"/>
            <w:vAlign w:val="center"/>
          </w:tcPr>
          <w:p w14:paraId="1E790E28"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White </w:t>
            </w:r>
          </w:p>
        </w:tc>
        <w:tc>
          <w:tcPr>
            <w:tcW w:w="1800" w:type="dxa"/>
            <w:shd w:val="clear" w:color="auto" w:fill="D9D9D9" w:themeFill="background1" w:themeFillShade="D9"/>
            <w:vAlign w:val="center"/>
          </w:tcPr>
          <w:p w14:paraId="2520D56C"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Student with Disabilities</w:t>
            </w:r>
          </w:p>
        </w:tc>
        <w:tc>
          <w:tcPr>
            <w:tcW w:w="1620" w:type="dxa"/>
            <w:shd w:val="clear" w:color="auto" w:fill="D9D9D9" w:themeFill="background1" w:themeFillShade="D9"/>
            <w:vAlign w:val="center"/>
          </w:tcPr>
          <w:p w14:paraId="77A84F3F"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English Learners</w:t>
            </w:r>
          </w:p>
        </w:tc>
        <w:tc>
          <w:tcPr>
            <w:tcW w:w="2412" w:type="dxa"/>
            <w:shd w:val="clear" w:color="auto" w:fill="D9D9D9" w:themeFill="background1" w:themeFillShade="D9"/>
            <w:vAlign w:val="center"/>
          </w:tcPr>
          <w:p w14:paraId="0EF51AE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4100A6B8"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7446FD61"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1260" w:type="dxa"/>
            <w:vAlign w:val="center"/>
          </w:tcPr>
          <w:p w14:paraId="62735F42"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c>
          <w:tcPr>
            <w:tcW w:w="1350" w:type="dxa"/>
            <w:vAlign w:val="center"/>
          </w:tcPr>
          <w:p w14:paraId="7F1A4BE7"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38</w:t>
            </w:r>
          </w:p>
        </w:tc>
        <w:tc>
          <w:tcPr>
            <w:tcW w:w="1800" w:type="dxa"/>
            <w:vAlign w:val="center"/>
          </w:tcPr>
          <w:p w14:paraId="2EDED07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56</w:t>
            </w:r>
          </w:p>
        </w:tc>
        <w:tc>
          <w:tcPr>
            <w:tcW w:w="1620" w:type="dxa"/>
            <w:vAlign w:val="center"/>
          </w:tcPr>
          <w:p w14:paraId="34EFF5F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46</w:t>
            </w:r>
          </w:p>
        </w:tc>
        <w:tc>
          <w:tcPr>
            <w:tcW w:w="2412" w:type="dxa"/>
            <w:vAlign w:val="center"/>
          </w:tcPr>
          <w:p w14:paraId="74BAE56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66</w:t>
            </w:r>
          </w:p>
        </w:tc>
      </w:tr>
      <w:tr w:rsidR="00DA4FA1" w:rsidRPr="00DD604A" w14:paraId="7741E07D"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5108C120"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1260" w:type="dxa"/>
            <w:vAlign w:val="center"/>
          </w:tcPr>
          <w:p w14:paraId="57E5D21F"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78</w:t>
            </w:r>
          </w:p>
        </w:tc>
        <w:tc>
          <w:tcPr>
            <w:tcW w:w="1350" w:type="dxa"/>
            <w:vAlign w:val="center"/>
          </w:tcPr>
          <w:p w14:paraId="26BAE5E0"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57</w:t>
            </w:r>
          </w:p>
        </w:tc>
        <w:tc>
          <w:tcPr>
            <w:tcW w:w="1800" w:type="dxa"/>
            <w:vAlign w:val="center"/>
          </w:tcPr>
          <w:p w14:paraId="6B118A7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c>
          <w:tcPr>
            <w:tcW w:w="1620" w:type="dxa"/>
            <w:vAlign w:val="center"/>
          </w:tcPr>
          <w:p w14:paraId="1AF97A4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2412" w:type="dxa"/>
            <w:vAlign w:val="center"/>
          </w:tcPr>
          <w:p w14:paraId="6FD5C70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r>
      <w:tr w:rsidR="00DA4FA1" w:rsidRPr="00DD604A" w14:paraId="27BF90CB"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354E000A"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1260" w:type="dxa"/>
            <w:vAlign w:val="center"/>
          </w:tcPr>
          <w:p w14:paraId="0C64576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81</w:t>
            </w:r>
          </w:p>
        </w:tc>
        <w:tc>
          <w:tcPr>
            <w:tcW w:w="1350" w:type="dxa"/>
            <w:vAlign w:val="center"/>
          </w:tcPr>
          <w:p w14:paraId="0078CC4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1800" w:type="dxa"/>
            <w:vAlign w:val="center"/>
          </w:tcPr>
          <w:p w14:paraId="35408CF1"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80</w:t>
            </w:r>
          </w:p>
        </w:tc>
        <w:tc>
          <w:tcPr>
            <w:tcW w:w="1620" w:type="dxa"/>
            <w:vAlign w:val="center"/>
          </w:tcPr>
          <w:p w14:paraId="086BBD4A"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88</w:t>
            </w:r>
          </w:p>
        </w:tc>
        <w:tc>
          <w:tcPr>
            <w:tcW w:w="2412" w:type="dxa"/>
            <w:vAlign w:val="center"/>
          </w:tcPr>
          <w:p w14:paraId="284986A8"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86</w:t>
            </w:r>
          </w:p>
        </w:tc>
      </w:tr>
    </w:tbl>
    <w:p w14:paraId="77D3089B" w14:textId="6486D1DE" w:rsidR="00DA4FA1" w:rsidRPr="00DD604A" w:rsidRDefault="00DA4FA1" w:rsidP="00E357A6">
      <w:pPr>
        <w:rPr>
          <w:bCs/>
          <w:iCs/>
        </w:rPr>
      </w:pPr>
      <w:r w:rsidRPr="00DD604A">
        <w:t>The following table shows the percentage of pupils that met or exceeded standards on the 2016–17, 2017</w:t>
      </w:r>
      <w:r w:rsidRPr="00DD604A">
        <w:rPr>
          <w:rFonts w:ascii="Times New Roman" w:hAnsi="Times New Roman"/>
        </w:rPr>
        <w:t>–</w:t>
      </w:r>
      <w:r w:rsidRPr="00DD604A">
        <w:t xml:space="preserve">18, and 2018–19 NWEA </w:t>
      </w:r>
      <w:r w:rsidRPr="00DD604A">
        <w:rPr>
          <w:bCs/>
          <w:iCs/>
        </w:rPr>
        <w:t>MAP Growth for ACII by student group for math.</w:t>
      </w:r>
    </w:p>
    <w:p w14:paraId="75FE225C" w14:textId="77777777" w:rsidR="00DA4FA1" w:rsidRPr="00DD604A" w:rsidRDefault="00DA4FA1" w:rsidP="005F30AD">
      <w:pPr>
        <w:pStyle w:val="Heading7"/>
      </w:pPr>
      <w:r w:rsidRPr="00DD604A">
        <w:t>NWEA MAP Growth for ACII for Math (Percent Meets or Exceeds Standards)</w:t>
      </w:r>
    </w:p>
    <w:tbl>
      <w:tblPr>
        <w:tblStyle w:val="GridTable1Light8"/>
        <w:tblW w:w="9607" w:type="dxa"/>
        <w:tblLayout w:type="fixed"/>
        <w:tblLook w:val="04A0" w:firstRow="1" w:lastRow="0" w:firstColumn="1" w:lastColumn="0" w:noHBand="0" w:noVBand="1"/>
        <w:tblDescription w:val="NWEA MAP Growth for ACII for mathematics for pupil subgroups"/>
      </w:tblPr>
      <w:tblGrid>
        <w:gridCol w:w="1165"/>
        <w:gridCol w:w="1260"/>
        <w:gridCol w:w="1350"/>
        <w:gridCol w:w="1800"/>
        <w:gridCol w:w="1620"/>
        <w:gridCol w:w="2412"/>
      </w:tblGrid>
      <w:tr w:rsidR="00DA4FA1" w:rsidRPr="00DD604A" w14:paraId="5E50D82E" w14:textId="77777777" w:rsidTr="00FE5692">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dxa"/>
            <w:shd w:val="clear" w:color="auto" w:fill="D9D9D9" w:themeFill="background1" w:themeFillShade="D9"/>
            <w:vAlign w:val="center"/>
          </w:tcPr>
          <w:p w14:paraId="31790D99" w14:textId="77777777" w:rsidR="00DA4FA1" w:rsidRPr="00DD604A" w:rsidRDefault="00DA4FA1" w:rsidP="00E357A6">
            <w:pPr>
              <w:spacing w:before="0" w:after="0"/>
              <w:rPr>
                <w:rFonts w:eastAsia="Calibri" w:cs="Arial"/>
              </w:rPr>
            </w:pPr>
            <w:r w:rsidRPr="00DD604A">
              <w:rPr>
                <w:rFonts w:eastAsia="Calibri" w:cs="Arial"/>
              </w:rPr>
              <w:t>Year</w:t>
            </w:r>
          </w:p>
        </w:tc>
        <w:tc>
          <w:tcPr>
            <w:tcW w:w="1260" w:type="dxa"/>
            <w:shd w:val="clear" w:color="auto" w:fill="D9D9D9" w:themeFill="background1" w:themeFillShade="D9"/>
            <w:vAlign w:val="center"/>
          </w:tcPr>
          <w:p w14:paraId="0C0B68E6"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Hispanic</w:t>
            </w:r>
          </w:p>
        </w:tc>
        <w:tc>
          <w:tcPr>
            <w:tcW w:w="1350" w:type="dxa"/>
            <w:shd w:val="clear" w:color="auto" w:fill="D9D9D9" w:themeFill="background1" w:themeFillShade="D9"/>
            <w:vAlign w:val="center"/>
          </w:tcPr>
          <w:p w14:paraId="2CC3E984"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White </w:t>
            </w:r>
          </w:p>
        </w:tc>
        <w:tc>
          <w:tcPr>
            <w:tcW w:w="1800" w:type="dxa"/>
            <w:shd w:val="clear" w:color="auto" w:fill="D9D9D9" w:themeFill="background1" w:themeFillShade="D9"/>
            <w:vAlign w:val="center"/>
          </w:tcPr>
          <w:p w14:paraId="72E23C00"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Student with Disabilities</w:t>
            </w:r>
          </w:p>
        </w:tc>
        <w:tc>
          <w:tcPr>
            <w:tcW w:w="1620" w:type="dxa"/>
            <w:shd w:val="clear" w:color="auto" w:fill="D9D9D9" w:themeFill="background1" w:themeFillShade="D9"/>
            <w:vAlign w:val="center"/>
          </w:tcPr>
          <w:p w14:paraId="6C24BE0A"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English Learners</w:t>
            </w:r>
          </w:p>
        </w:tc>
        <w:tc>
          <w:tcPr>
            <w:tcW w:w="2412" w:type="dxa"/>
            <w:shd w:val="clear" w:color="auto" w:fill="D9D9D9" w:themeFill="background1" w:themeFillShade="D9"/>
            <w:vAlign w:val="center"/>
          </w:tcPr>
          <w:p w14:paraId="589B7127" w14:textId="77777777" w:rsidR="00DA4FA1" w:rsidRPr="00DD604A" w:rsidRDefault="00DA4FA1"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Socio-economically Disadvantaged</w:t>
            </w:r>
          </w:p>
        </w:tc>
      </w:tr>
      <w:tr w:rsidR="00DA4FA1" w:rsidRPr="00DD604A" w14:paraId="59146CBB"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5E8255F2" w14:textId="77777777" w:rsidR="00DA4FA1" w:rsidRPr="00DD604A" w:rsidRDefault="00DA4FA1" w:rsidP="00E357A6">
            <w:pPr>
              <w:spacing w:before="0" w:after="0"/>
              <w:rPr>
                <w:rFonts w:eastAsia="Calibri" w:cs="Arial"/>
              </w:rPr>
            </w:pPr>
            <w:r w:rsidRPr="00DD604A">
              <w:rPr>
                <w:rFonts w:eastAsia="Calibri" w:cs="Arial"/>
              </w:rPr>
              <w:t>2016</w:t>
            </w:r>
            <w:r w:rsidRPr="00DD604A">
              <w:rPr>
                <w:rFonts w:ascii="Times New Roman" w:eastAsia="Calibri" w:hAnsi="Times New Roman"/>
              </w:rPr>
              <w:t>–</w:t>
            </w:r>
            <w:r w:rsidRPr="00DD604A">
              <w:rPr>
                <w:rFonts w:eastAsia="Calibri" w:cs="Arial"/>
              </w:rPr>
              <w:t>17</w:t>
            </w:r>
          </w:p>
        </w:tc>
        <w:tc>
          <w:tcPr>
            <w:tcW w:w="1260" w:type="dxa"/>
            <w:vAlign w:val="center"/>
          </w:tcPr>
          <w:p w14:paraId="4927FAB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1350" w:type="dxa"/>
            <w:vAlign w:val="center"/>
          </w:tcPr>
          <w:p w14:paraId="1DC9CAC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67</w:t>
            </w:r>
          </w:p>
        </w:tc>
        <w:tc>
          <w:tcPr>
            <w:tcW w:w="1800" w:type="dxa"/>
            <w:vAlign w:val="center"/>
          </w:tcPr>
          <w:p w14:paraId="6174B950"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77</w:t>
            </w:r>
          </w:p>
        </w:tc>
        <w:tc>
          <w:tcPr>
            <w:tcW w:w="1620" w:type="dxa"/>
            <w:vAlign w:val="center"/>
          </w:tcPr>
          <w:p w14:paraId="55F6126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40</w:t>
            </w:r>
          </w:p>
        </w:tc>
        <w:tc>
          <w:tcPr>
            <w:tcW w:w="2412" w:type="dxa"/>
            <w:vAlign w:val="center"/>
          </w:tcPr>
          <w:p w14:paraId="5C2D8356"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61</w:t>
            </w:r>
          </w:p>
        </w:tc>
      </w:tr>
      <w:tr w:rsidR="00DA4FA1" w:rsidRPr="00DD604A" w14:paraId="37014C5A"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7F9C30C0" w14:textId="77777777" w:rsidR="00DA4FA1" w:rsidRPr="00DD604A" w:rsidRDefault="00DA4FA1" w:rsidP="00E357A6">
            <w:pPr>
              <w:spacing w:before="0" w:after="0"/>
              <w:rPr>
                <w:rFonts w:eastAsia="Calibri" w:cs="Arial"/>
              </w:rPr>
            </w:pPr>
            <w:r w:rsidRPr="00DD604A">
              <w:rPr>
                <w:rFonts w:eastAsia="Calibri" w:cs="Arial"/>
              </w:rPr>
              <w:t>2017</w:t>
            </w:r>
            <w:r w:rsidRPr="00DD604A">
              <w:rPr>
                <w:rFonts w:ascii="Times New Roman" w:eastAsia="Calibri" w:hAnsi="Times New Roman"/>
              </w:rPr>
              <w:t>–</w:t>
            </w:r>
            <w:r w:rsidRPr="00DD604A">
              <w:rPr>
                <w:rFonts w:eastAsia="Calibri" w:cs="Arial"/>
              </w:rPr>
              <w:t>18</w:t>
            </w:r>
          </w:p>
        </w:tc>
        <w:tc>
          <w:tcPr>
            <w:tcW w:w="1260" w:type="dxa"/>
            <w:vAlign w:val="center"/>
          </w:tcPr>
          <w:p w14:paraId="2607286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58</w:t>
            </w:r>
          </w:p>
        </w:tc>
        <w:tc>
          <w:tcPr>
            <w:tcW w:w="1350" w:type="dxa"/>
            <w:vAlign w:val="center"/>
          </w:tcPr>
          <w:p w14:paraId="7BA55AD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82</w:t>
            </w:r>
          </w:p>
        </w:tc>
        <w:tc>
          <w:tcPr>
            <w:tcW w:w="1800" w:type="dxa"/>
            <w:vAlign w:val="center"/>
          </w:tcPr>
          <w:p w14:paraId="119BEEFD"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53</w:t>
            </w:r>
          </w:p>
        </w:tc>
        <w:tc>
          <w:tcPr>
            <w:tcW w:w="1620" w:type="dxa"/>
            <w:vAlign w:val="center"/>
          </w:tcPr>
          <w:p w14:paraId="262C089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55</w:t>
            </w:r>
          </w:p>
        </w:tc>
        <w:tc>
          <w:tcPr>
            <w:tcW w:w="2412" w:type="dxa"/>
            <w:vAlign w:val="center"/>
          </w:tcPr>
          <w:p w14:paraId="0252A14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60</w:t>
            </w:r>
          </w:p>
        </w:tc>
      </w:tr>
      <w:tr w:rsidR="00DA4FA1" w:rsidRPr="00DD604A" w14:paraId="0EA6CBD6" w14:textId="77777777" w:rsidTr="00FE5692">
        <w:trPr>
          <w:cantSplit/>
        </w:trPr>
        <w:tc>
          <w:tcPr>
            <w:cnfStyle w:val="001000000000" w:firstRow="0" w:lastRow="0" w:firstColumn="1" w:lastColumn="0" w:oddVBand="0" w:evenVBand="0" w:oddHBand="0" w:evenHBand="0" w:firstRowFirstColumn="0" w:firstRowLastColumn="0" w:lastRowFirstColumn="0" w:lastRowLastColumn="0"/>
            <w:tcW w:w="1165" w:type="dxa"/>
          </w:tcPr>
          <w:p w14:paraId="47DAD756" w14:textId="77777777" w:rsidR="00DA4FA1" w:rsidRPr="00DD604A" w:rsidRDefault="00DA4FA1" w:rsidP="00E357A6">
            <w:pPr>
              <w:spacing w:before="0" w:after="0"/>
              <w:rPr>
                <w:rFonts w:eastAsia="Calibri" w:cs="Arial"/>
              </w:rPr>
            </w:pPr>
            <w:r w:rsidRPr="00DD604A">
              <w:rPr>
                <w:rFonts w:eastAsia="Calibri" w:cs="Arial"/>
              </w:rPr>
              <w:t>2018</w:t>
            </w:r>
            <w:r w:rsidRPr="00DD604A">
              <w:rPr>
                <w:rFonts w:ascii="Times New Roman" w:eastAsia="Calibri" w:hAnsi="Times New Roman"/>
              </w:rPr>
              <w:t>–</w:t>
            </w:r>
            <w:r w:rsidRPr="00DD604A">
              <w:rPr>
                <w:rFonts w:eastAsia="Calibri" w:cs="Arial"/>
              </w:rPr>
              <w:t>19</w:t>
            </w:r>
          </w:p>
        </w:tc>
        <w:tc>
          <w:tcPr>
            <w:tcW w:w="1260" w:type="dxa"/>
            <w:vAlign w:val="center"/>
          </w:tcPr>
          <w:p w14:paraId="3183E964"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c>
          <w:tcPr>
            <w:tcW w:w="1350" w:type="dxa"/>
            <w:vAlign w:val="center"/>
          </w:tcPr>
          <w:p w14:paraId="2C9D716E"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77</w:t>
            </w:r>
          </w:p>
        </w:tc>
        <w:tc>
          <w:tcPr>
            <w:tcW w:w="1800" w:type="dxa"/>
            <w:vAlign w:val="center"/>
          </w:tcPr>
          <w:p w14:paraId="2F15431B"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63</w:t>
            </w:r>
          </w:p>
        </w:tc>
        <w:tc>
          <w:tcPr>
            <w:tcW w:w="1620" w:type="dxa"/>
            <w:vAlign w:val="center"/>
          </w:tcPr>
          <w:p w14:paraId="5DBC3AD9"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70</w:t>
            </w:r>
          </w:p>
        </w:tc>
        <w:tc>
          <w:tcPr>
            <w:tcW w:w="2412" w:type="dxa"/>
            <w:vAlign w:val="center"/>
          </w:tcPr>
          <w:p w14:paraId="192A8115" w14:textId="77777777" w:rsidR="00DA4FA1" w:rsidRPr="00DD604A" w:rsidRDefault="00DA4FA1"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rFonts w:eastAsia="Calibri" w:cs="Arial"/>
                <w:bCs/>
              </w:rPr>
              <w:t>64</w:t>
            </w:r>
          </w:p>
        </w:tc>
      </w:tr>
    </w:tbl>
    <w:p w14:paraId="3C146B5E" w14:textId="77777777" w:rsidR="00DA4FA1" w:rsidRPr="00DD604A" w:rsidRDefault="00DA4FA1" w:rsidP="00532123">
      <w:pPr>
        <w:pStyle w:val="Heading6"/>
      </w:pPr>
      <w:r w:rsidRPr="00DD604A">
        <w:t>CALPADS</w:t>
      </w:r>
    </w:p>
    <w:p w14:paraId="0AE4A9FB" w14:textId="45C8B5D0" w:rsidR="00DD10CA" w:rsidRPr="00DD10CA" w:rsidRDefault="00DD10CA" w:rsidP="00443366">
      <w:pPr>
        <w:spacing w:after="360"/>
        <w:textAlignment w:val="baseline"/>
        <w:rPr>
          <w:rFonts w:eastAsia="Calibri" w:cs="Arial"/>
        </w:rPr>
      </w:pPr>
      <w:r w:rsidRPr="00DD10CA">
        <w:rPr>
          <w:rFonts w:eastAsia="Calibri" w:cs="Arial"/>
        </w:rPr>
        <w:t xml:space="preserve">The table </w:t>
      </w:r>
      <w:r w:rsidR="0065383D">
        <w:rPr>
          <w:rFonts w:eastAsia="Calibri" w:cs="Arial"/>
        </w:rPr>
        <w:t xml:space="preserve">below </w:t>
      </w:r>
      <w:r w:rsidRPr="00DD10CA">
        <w:rPr>
          <w:rFonts w:eastAsia="Calibri" w:cs="Arial"/>
        </w:rPr>
        <w:t>shows the 2020</w:t>
      </w:r>
      <w:r w:rsidRPr="00DD10CA">
        <w:rPr>
          <w:rFonts w:ascii="Garamond" w:eastAsia="Calibri" w:hAnsi="Garamond" w:cs="Segoe UI"/>
          <w:b/>
          <w:bCs/>
          <w:i/>
          <w:iCs/>
        </w:rPr>
        <w:t xml:space="preserve"> </w:t>
      </w:r>
      <w:r w:rsidRPr="00DD10CA">
        <w:rPr>
          <w:rFonts w:eastAsia="Calibri" w:cs="Arial"/>
          <w:bCs/>
          <w:iCs/>
        </w:rPr>
        <w:t>end of year data for</w:t>
      </w:r>
      <w:r w:rsidRPr="00DD10CA">
        <w:rPr>
          <w:rFonts w:ascii="Garamond" w:eastAsia="Calibri" w:hAnsi="Garamond" w:cs="Segoe UI"/>
          <w:b/>
          <w:bCs/>
          <w:i/>
          <w:iCs/>
        </w:rPr>
        <w:t xml:space="preserve"> </w:t>
      </w:r>
      <w:r w:rsidRPr="00DD10CA">
        <w:rPr>
          <w:rFonts w:eastAsia="Calibri" w:cs="Arial"/>
          <w:bCs/>
          <w:iCs/>
        </w:rPr>
        <w:t xml:space="preserve">ACII High School Completers along with the grade </w:t>
      </w:r>
      <w:r w:rsidR="00822DEA">
        <w:rPr>
          <w:rFonts w:eastAsia="Calibri" w:cs="Arial"/>
          <w:bCs/>
          <w:iCs/>
        </w:rPr>
        <w:t>twelve</w:t>
      </w:r>
      <w:r w:rsidRPr="00DD10CA">
        <w:rPr>
          <w:rFonts w:eastAsia="Calibri" w:cs="Arial"/>
          <w:bCs/>
          <w:iCs/>
        </w:rPr>
        <w:t xml:space="preserve"> C</w:t>
      </w:r>
      <w:r w:rsidR="00726B26">
        <w:rPr>
          <w:rFonts w:eastAsia="Calibri" w:cs="Arial"/>
          <w:bCs/>
          <w:iCs/>
        </w:rPr>
        <w:t>alifornia Basic Educational Data System (C</w:t>
      </w:r>
      <w:r w:rsidRPr="00DD10CA">
        <w:rPr>
          <w:rFonts w:eastAsia="Calibri" w:cs="Arial"/>
          <w:bCs/>
          <w:iCs/>
        </w:rPr>
        <w:t>BEDS</w:t>
      </w:r>
      <w:r w:rsidR="00726B26">
        <w:rPr>
          <w:rFonts w:eastAsia="Calibri" w:cs="Arial"/>
          <w:bCs/>
          <w:iCs/>
        </w:rPr>
        <w:t>)</w:t>
      </w:r>
      <w:r w:rsidRPr="00DD10CA">
        <w:rPr>
          <w:rFonts w:eastAsia="Calibri" w:cs="Arial"/>
          <w:bCs/>
          <w:iCs/>
        </w:rPr>
        <w:t xml:space="preserve"> enrollment and total grade </w:t>
      </w:r>
      <w:r w:rsidR="00822DEA">
        <w:rPr>
          <w:rFonts w:eastAsia="Calibri" w:cs="Arial"/>
          <w:bCs/>
          <w:iCs/>
        </w:rPr>
        <w:t>twelve</w:t>
      </w:r>
      <w:r w:rsidRPr="00DD10CA">
        <w:rPr>
          <w:rFonts w:eastAsia="Calibri" w:cs="Arial"/>
          <w:bCs/>
          <w:iCs/>
        </w:rPr>
        <w:t xml:space="preserve"> students served each year at ACII.</w:t>
      </w:r>
    </w:p>
    <w:p w14:paraId="0159A8A0" w14:textId="77777777" w:rsidR="00DD10CA" w:rsidRPr="00DD10CA" w:rsidRDefault="00DD10CA" w:rsidP="005F30AD">
      <w:pPr>
        <w:pStyle w:val="Heading7"/>
      </w:pPr>
      <w:r w:rsidRPr="00DD10CA">
        <w:lastRenderedPageBreak/>
        <w:t>ACII High School Completers</w:t>
      </w:r>
    </w:p>
    <w:tbl>
      <w:tblPr>
        <w:tblStyle w:val="GridTable1Light8"/>
        <w:tblW w:w="5147" w:type="pct"/>
        <w:tblLayout w:type="fixed"/>
        <w:tblLook w:val="04A0" w:firstRow="1" w:lastRow="0" w:firstColumn="1" w:lastColumn="0" w:noHBand="0" w:noVBand="1"/>
        <w:tblDescription w:val="ACII High School Completers"/>
      </w:tblPr>
      <w:tblGrid>
        <w:gridCol w:w="2428"/>
        <w:gridCol w:w="1709"/>
        <w:gridCol w:w="1890"/>
        <w:gridCol w:w="1800"/>
        <w:gridCol w:w="1798"/>
      </w:tblGrid>
      <w:tr w:rsidR="00DD10CA" w:rsidRPr="00DD10CA" w14:paraId="11EFE233" w14:textId="77777777" w:rsidTr="00E2342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261" w:type="pct"/>
            <w:shd w:val="clear" w:color="auto" w:fill="D9D9D9" w:themeFill="background1" w:themeFillShade="D9"/>
          </w:tcPr>
          <w:p w14:paraId="67A6BC91" w14:textId="77777777" w:rsidR="00DD10CA" w:rsidRPr="00DD10CA" w:rsidRDefault="00DD10CA" w:rsidP="00DD10CA">
            <w:pPr>
              <w:spacing w:before="0" w:after="0"/>
              <w:rPr>
                <w:rFonts w:eastAsia="Calibri" w:cs="Arial"/>
              </w:rPr>
            </w:pPr>
            <w:r w:rsidRPr="00DD10CA">
              <w:rPr>
                <w:rFonts w:eastAsia="Calibri" w:cs="Arial"/>
              </w:rPr>
              <w:t>Student Groups</w:t>
            </w:r>
          </w:p>
        </w:tc>
        <w:tc>
          <w:tcPr>
            <w:tcW w:w="888" w:type="pct"/>
            <w:shd w:val="clear" w:color="auto" w:fill="D9D9D9" w:themeFill="background1" w:themeFillShade="D9"/>
          </w:tcPr>
          <w:p w14:paraId="029CFA98"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2016–17</w:t>
            </w:r>
          </w:p>
        </w:tc>
        <w:tc>
          <w:tcPr>
            <w:tcW w:w="982" w:type="pct"/>
            <w:shd w:val="clear" w:color="auto" w:fill="D9D9D9" w:themeFill="background1" w:themeFillShade="D9"/>
          </w:tcPr>
          <w:p w14:paraId="5B465815"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 xml:space="preserve">2017–18 </w:t>
            </w:r>
          </w:p>
        </w:tc>
        <w:tc>
          <w:tcPr>
            <w:tcW w:w="935" w:type="pct"/>
            <w:shd w:val="clear" w:color="auto" w:fill="D9D9D9" w:themeFill="background1" w:themeFillShade="D9"/>
          </w:tcPr>
          <w:p w14:paraId="34AE06AF"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2018–19</w:t>
            </w:r>
          </w:p>
        </w:tc>
        <w:tc>
          <w:tcPr>
            <w:tcW w:w="934" w:type="pct"/>
            <w:shd w:val="clear" w:color="auto" w:fill="D9D9D9" w:themeFill="background1" w:themeFillShade="D9"/>
          </w:tcPr>
          <w:p w14:paraId="13432505" w14:textId="77777777" w:rsidR="00DD10CA" w:rsidRPr="00DD10CA" w:rsidRDefault="00DD10CA" w:rsidP="00DD10CA">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2019–20</w:t>
            </w:r>
          </w:p>
        </w:tc>
      </w:tr>
      <w:tr w:rsidR="00DD10CA" w:rsidRPr="00DD10CA" w14:paraId="3E721F1E" w14:textId="77777777" w:rsidTr="00E23423">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3AC5668A" w14:textId="77777777" w:rsidR="00DD10CA" w:rsidRPr="00DD10CA" w:rsidRDefault="00DD10CA" w:rsidP="00DD10CA">
            <w:pPr>
              <w:spacing w:before="0" w:after="0"/>
              <w:rPr>
                <w:rFonts w:eastAsia="Calibri" w:cs="Arial"/>
              </w:rPr>
            </w:pPr>
            <w:r w:rsidRPr="00DD10CA">
              <w:rPr>
                <w:rFonts w:eastAsia="Calibri" w:cs="Arial"/>
              </w:rPr>
              <w:t>Completers</w:t>
            </w:r>
          </w:p>
        </w:tc>
        <w:tc>
          <w:tcPr>
            <w:tcW w:w="888" w:type="pct"/>
            <w:vAlign w:val="center"/>
          </w:tcPr>
          <w:p w14:paraId="41FB95D2"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88</w:t>
            </w:r>
          </w:p>
        </w:tc>
        <w:tc>
          <w:tcPr>
            <w:tcW w:w="982" w:type="pct"/>
            <w:vAlign w:val="center"/>
          </w:tcPr>
          <w:p w14:paraId="6BAF8363"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93</w:t>
            </w:r>
          </w:p>
        </w:tc>
        <w:tc>
          <w:tcPr>
            <w:tcW w:w="935" w:type="pct"/>
            <w:vAlign w:val="center"/>
          </w:tcPr>
          <w:p w14:paraId="47504E99"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76</w:t>
            </w:r>
          </w:p>
        </w:tc>
        <w:tc>
          <w:tcPr>
            <w:tcW w:w="934" w:type="pct"/>
            <w:vAlign w:val="center"/>
          </w:tcPr>
          <w:p w14:paraId="6EE41121"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62</w:t>
            </w:r>
          </w:p>
        </w:tc>
      </w:tr>
      <w:tr w:rsidR="00DD10CA" w:rsidRPr="00DD10CA" w14:paraId="50D2FF03" w14:textId="77777777" w:rsidTr="00E23423">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3B208CC1" w14:textId="77777777" w:rsidR="00DD10CA" w:rsidRPr="00DD10CA" w:rsidRDefault="00DD10CA" w:rsidP="00DD10CA">
            <w:pPr>
              <w:spacing w:before="0" w:after="0"/>
              <w:rPr>
                <w:rFonts w:eastAsia="Calibri" w:cs="Arial"/>
              </w:rPr>
            </w:pPr>
            <w:r w:rsidRPr="00DD10CA">
              <w:rPr>
                <w:rFonts w:eastAsia="Calibri" w:cs="Arial"/>
              </w:rPr>
              <w:t>CBEDS Enrollment</w:t>
            </w:r>
          </w:p>
          <w:p w14:paraId="6AC48D32" w14:textId="77777777" w:rsidR="00DD10CA" w:rsidRPr="00DD10CA" w:rsidRDefault="00DD10CA" w:rsidP="00DD10CA">
            <w:pPr>
              <w:spacing w:before="0" w:after="0"/>
              <w:rPr>
                <w:rFonts w:eastAsia="Calibri" w:cs="Arial"/>
              </w:rPr>
            </w:pPr>
            <w:r w:rsidRPr="00DD10CA">
              <w:rPr>
                <w:rFonts w:eastAsia="Calibri" w:cs="Arial"/>
              </w:rPr>
              <w:t xml:space="preserve">Grade 12 </w:t>
            </w:r>
          </w:p>
        </w:tc>
        <w:tc>
          <w:tcPr>
            <w:tcW w:w="888" w:type="pct"/>
            <w:vAlign w:val="center"/>
          </w:tcPr>
          <w:p w14:paraId="1169A324"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137</w:t>
            </w:r>
          </w:p>
        </w:tc>
        <w:tc>
          <w:tcPr>
            <w:tcW w:w="982" w:type="pct"/>
            <w:vAlign w:val="center"/>
          </w:tcPr>
          <w:p w14:paraId="1CA445D1"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147</w:t>
            </w:r>
          </w:p>
        </w:tc>
        <w:tc>
          <w:tcPr>
            <w:tcW w:w="935" w:type="pct"/>
            <w:vAlign w:val="center"/>
          </w:tcPr>
          <w:p w14:paraId="65171D11"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64</w:t>
            </w:r>
          </w:p>
        </w:tc>
        <w:tc>
          <w:tcPr>
            <w:tcW w:w="934" w:type="pct"/>
            <w:vAlign w:val="center"/>
          </w:tcPr>
          <w:p w14:paraId="42C31394"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39</w:t>
            </w:r>
          </w:p>
        </w:tc>
      </w:tr>
      <w:tr w:rsidR="00DD10CA" w:rsidRPr="00DD10CA" w14:paraId="46555710" w14:textId="77777777" w:rsidTr="00E23423">
        <w:trPr>
          <w:cantSplit/>
          <w:trHeight w:val="150"/>
        </w:trPr>
        <w:tc>
          <w:tcPr>
            <w:cnfStyle w:val="001000000000" w:firstRow="0" w:lastRow="0" w:firstColumn="1" w:lastColumn="0" w:oddVBand="0" w:evenVBand="0" w:oddHBand="0" w:evenHBand="0" w:firstRowFirstColumn="0" w:firstRowLastColumn="0" w:lastRowFirstColumn="0" w:lastRowLastColumn="0"/>
            <w:tcW w:w="1261" w:type="pct"/>
            <w:vAlign w:val="center"/>
          </w:tcPr>
          <w:p w14:paraId="498E05A8" w14:textId="77777777" w:rsidR="00DD10CA" w:rsidRPr="00DD10CA" w:rsidRDefault="00DD10CA" w:rsidP="00DD10CA">
            <w:pPr>
              <w:spacing w:before="0" w:after="0"/>
              <w:rPr>
                <w:rFonts w:eastAsia="Calibri" w:cs="Arial"/>
              </w:rPr>
            </w:pPr>
            <w:r w:rsidRPr="00DD10CA">
              <w:rPr>
                <w:rFonts w:eastAsia="Calibri" w:cs="Arial"/>
              </w:rPr>
              <w:t xml:space="preserve">Total Served </w:t>
            </w:r>
          </w:p>
          <w:p w14:paraId="687BE9A0" w14:textId="77777777" w:rsidR="00DD10CA" w:rsidRPr="00DD10CA" w:rsidRDefault="00DD10CA" w:rsidP="00DD10CA">
            <w:pPr>
              <w:spacing w:before="0" w:after="0"/>
              <w:rPr>
                <w:rFonts w:eastAsia="Calibri" w:cs="Arial"/>
              </w:rPr>
            </w:pPr>
            <w:r w:rsidRPr="00DD10CA">
              <w:rPr>
                <w:rFonts w:eastAsia="Calibri" w:cs="Arial"/>
              </w:rPr>
              <w:t>Grade 12</w:t>
            </w:r>
          </w:p>
        </w:tc>
        <w:tc>
          <w:tcPr>
            <w:tcW w:w="888" w:type="pct"/>
            <w:vAlign w:val="center"/>
          </w:tcPr>
          <w:p w14:paraId="74BE9908"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187</w:t>
            </w:r>
          </w:p>
        </w:tc>
        <w:tc>
          <w:tcPr>
            <w:tcW w:w="982" w:type="pct"/>
            <w:vAlign w:val="center"/>
          </w:tcPr>
          <w:p w14:paraId="4F01B60D"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210</w:t>
            </w:r>
          </w:p>
        </w:tc>
        <w:tc>
          <w:tcPr>
            <w:tcW w:w="935" w:type="pct"/>
            <w:vAlign w:val="center"/>
          </w:tcPr>
          <w:p w14:paraId="0FB1EB2A"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115</w:t>
            </w:r>
          </w:p>
        </w:tc>
        <w:tc>
          <w:tcPr>
            <w:tcW w:w="934" w:type="pct"/>
            <w:vAlign w:val="center"/>
          </w:tcPr>
          <w:p w14:paraId="379766F3" w14:textId="77777777" w:rsidR="00DD10CA" w:rsidRPr="00DD10CA" w:rsidRDefault="00DD10CA" w:rsidP="00726B26">
            <w:pPr>
              <w:spacing w:before="0" w:after="0"/>
              <w:contextualSpacing/>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10CA">
              <w:rPr>
                <w:rFonts w:eastAsia="Calibri" w:cs="Arial"/>
              </w:rPr>
              <w:t>112</w:t>
            </w:r>
          </w:p>
        </w:tc>
      </w:tr>
    </w:tbl>
    <w:p w14:paraId="5A3764F7" w14:textId="3B306C34" w:rsidR="00DA4FA1" w:rsidRPr="00DD604A" w:rsidRDefault="00DA4FA1" w:rsidP="00E357A6">
      <w:r w:rsidRPr="00DD604A">
        <w:t xml:space="preserve">The ACII petition states that many students come to ACII one or more semesters behind in credits and not on track to graduate. Despite these deficiencies, over the past four years, ACII has graduated over 300 students who received a diploma, passed the General Education Development or High School Equivalency Test, or passed the California High School Proficiency Exam </w:t>
      </w:r>
      <w:r w:rsidRPr="00207D4A">
        <w:t>(Attachment 3</w:t>
      </w:r>
      <w:r w:rsidR="00A83B88" w:rsidRPr="00207D4A">
        <w:rPr>
          <w:rFonts w:eastAsia="Calibri" w:cs="Arial"/>
        </w:rPr>
        <w:t xml:space="preserve"> of Agenda Item 3 on the SBE April 2021 ACCS Meeting Agenda web page at </w:t>
      </w:r>
      <w:hyperlink r:id="rId26" w:tooltip="SBE April 2021 ACCS Meeting Agenda web page" w:history="1">
        <w:r w:rsidR="00A83B88" w:rsidRPr="00207D4A">
          <w:rPr>
            <w:rStyle w:val="Hyperlink"/>
            <w:rFonts w:eastAsia="Calibri" w:cs="Arial"/>
          </w:rPr>
          <w:t>https://www.cde.ca.gov/be/cc/cs/accsnotice041321.asp</w:t>
        </w:r>
      </w:hyperlink>
      <w:r w:rsidRPr="00DD604A">
        <w:t>).</w:t>
      </w:r>
    </w:p>
    <w:p w14:paraId="477C423E" w14:textId="747DA48C" w:rsidR="000753EA" w:rsidRPr="00DD604A" w:rsidRDefault="000753EA" w:rsidP="00E357A6">
      <w:bookmarkStart w:id="21" w:name="_Hlk68258795"/>
      <w:r w:rsidRPr="00DD604A">
        <w:t>In summary, the CDE finds that the academic program offered by ACII benefits at-risk students and prepares students who enter ACII credit deficient to graduate or return to their schools of residence. Given the nature of the program, the academic results align with what the CDE would expect to see from a successful program with differing annual cohorts of students.</w:t>
      </w:r>
    </w:p>
    <w:bookmarkEnd w:id="21"/>
    <w:p w14:paraId="660D74C2" w14:textId="77777777" w:rsidR="00D33C42" w:rsidRPr="00DD604A" w:rsidRDefault="00D33C42" w:rsidP="00E357A6">
      <w:pPr>
        <w:pStyle w:val="Heading5"/>
      </w:pPr>
      <w:r w:rsidRPr="00DD604A">
        <w:t xml:space="preserve">ACII’s Review of </w:t>
      </w:r>
      <w:r w:rsidR="004F30D9" w:rsidRPr="00DD604A">
        <w:t>Alternative Metric</w:t>
      </w:r>
      <w:r w:rsidRPr="00DD604A">
        <w:t xml:space="preserve"> Data</w:t>
      </w:r>
    </w:p>
    <w:p w14:paraId="2D451B42" w14:textId="2CA3A15A" w:rsidR="00D33C42" w:rsidRPr="00DD604A" w:rsidRDefault="00D33C42" w:rsidP="00E357A6">
      <w:pPr>
        <w:rPr>
          <w:rFonts w:eastAsia="Calibri"/>
        </w:rPr>
      </w:pPr>
      <w:r w:rsidRPr="00DD604A">
        <w:rPr>
          <w:rFonts w:eastAsia="Calibri"/>
        </w:rPr>
        <w:t xml:space="preserve">The petitioner completed CAASPP data comparison analyses for ACII and CUSD-comparable schools for pupils schoolwide </w:t>
      </w:r>
      <w:r w:rsidRPr="00DD604A">
        <w:rPr>
          <w:rFonts w:cs="Arial"/>
        </w:rPr>
        <w:t>(</w:t>
      </w:r>
      <w:r w:rsidRPr="00207D4A">
        <w:rPr>
          <w:rFonts w:cs="Arial"/>
        </w:rPr>
        <w:t>Attachment 3</w:t>
      </w:r>
      <w:r w:rsidR="00A83B88" w:rsidRPr="00207D4A">
        <w:rPr>
          <w:rFonts w:eastAsia="Calibri" w:cs="Arial"/>
        </w:rPr>
        <w:t xml:space="preserve"> of Agenda Item 3 on the SBE April 2021 ACCS Meeting Agenda web page at </w:t>
      </w:r>
      <w:hyperlink r:id="rId27" w:tooltip="SBE April 2021 ACCS Meeting Agenda web page" w:history="1">
        <w:r w:rsidR="00A83B88" w:rsidRPr="00207D4A">
          <w:rPr>
            <w:rStyle w:val="Hyperlink"/>
            <w:rFonts w:eastAsia="Calibri" w:cs="Arial"/>
          </w:rPr>
          <w:t>https://www.cde.ca.gov/be/cc/cs/accsnotice041321.asp</w:t>
        </w:r>
      </w:hyperlink>
      <w:r w:rsidR="00411436" w:rsidRPr="00DD604A">
        <w:rPr>
          <w:rFonts w:cs="Arial"/>
        </w:rPr>
        <w:t>)</w:t>
      </w:r>
      <w:r w:rsidRPr="00DD604A">
        <w:rPr>
          <w:rFonts w:cs="Arial"/>
        </w:rPr>
        <w:t>.</w:t>
      </w:r>
    </w:p>
    <w:p w14:paraId="4F337237" w14:textId="79585757" w:rsidR="00D33C42" w:rsidRPr="00DD604A" w:rsidRDefault="00D33C42" w:rsidP="00E357A6">
      <w:pPr>
        <w:rPr>
          <w:rFonts w:eastAsia="Calibri"/>
        </w:rPr>
      </w:pPr>
      <w:r w:rsidRPr="00DD604A">
        <w:rPr>
          <w:rFonts w:eastAsia="Calibri"/>
        </w:rPr>
        <w:t>The following table shows the percentage of pupils that met or exceeded standards on the 201</w:t>
      </w:r>
      <w:r w:rsidR="00620305" w:rsidRPr="00DD604A">
        <w:rPr>
          <w:rFonts w:eastAsia="Calibri"/>
        </w:rPr>
        <w:t>6</w:t>
      </w:r>
      <w:r w:rsidRPr="00DD604A">
        <w:rPr>
          <w:rFonts w:eastAsia="Calibri"/>
        </w:rPr>
        <w:t>–1</w:t>
      </w:r>
      <w:r w:rsidR="00620305" w:rsidRPr="00DD604A">
        <w:rPr>
          <w:rFonts w:eastAsia="Calibri"/>
        </w:rPr>
        <w:t>7 through</w:t>
      </w:r>
      <w:r w:rsidRPr="00DD604A">
        <w:rPr>
          <w:rFonts w:eastAsia="Calibri"/>
        </w:rPr>
        <w:t xml:space="preserve"> 2018–19 CAASPPs for ELA and math for all pupils schoolwide at ACII.</w:t>
      </w:r>
    </w:p>
    <w:p w14:paraId="03B18D83" w14:textId="77777777" w:rsidR="00D33C42" w:rsidRPr="00DD604A" w:rsidRDefault="00D33C42" w:rsidP="00532123">
      <w:pPr>
        <w:pStyle w:val="Heading6"/>
        <w:rPr>
          <w:rFonts w:eastAsia="Calibri"/>
        </w:rPr>
      </w:pPr>
      <w:bookmarkStart w:id="22" w:name="_Hlk58489892"/>
      <w:r w:rsidRPr="00DD604A">
        <w:rPr>
          <w:rFonts w:eastAsia="Calibri"/>
        </w:rPr>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 or Exceeds Standards)"/>
      </w:tblPr>
      <w:tblGrid>
        <w:gridCol w:w="1518"/>
        <w:gridCol w:w="1517"/>
        <w:gridCol w:w="1517"/>
        <w:gridCol w:w="1640"/>
        <w:gridCol w:w="1522"/>
        <w:gridCol w:w="1636"/>
      </w:tblGrid>
      <w:tr w:rsidR="00D33C42" w:rsidRPr="00DD604A" w14:paraId="16B9C933"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4D8E92C9" w14:textId="77777777" w:rsidR="00D33C42" w:rsidRPr="00DD604A" w:rsidRDefault="00D33C42" w:rsidP="00E357A6">
            <w:pPr>
              <w:spacing w:before="0" w:after="0"/>
              <w:jc w:val="center"/>
              <w:rPr>
                <w:rFonts w:eastAsia="Calibri" w:cs="Arial"/>
                <w:b w:val="0"/>
                <w:bCs w:val="0"/>
              </w:rPr>
            </w:pPr>
            <w:r w:rsidRPr="00DD604A">
              <w:rPr>
                <w:rFonts w:eastAsia="Calibri" w:cs="Arial"/>
              </w:rPr>
              <w:t>2016–17</w:t>
            </w:r>
          </w:p>
          <w:p w14:paraId="71A20BB3" w14:textId="77777777" w:rsidR="00D33C42" w:rsidRPr="00DD604A" w:rsidRDefault="00D33C42" w:rsidP="00E357A6">
            <w:pPr>
              <w:spacing w:before="0" w:after="0"/>
              <w:jc w:val="center"/>
              <w:rPr>
                <w:rFonts w:eastAsia="Calibri" w:cs="Arial"/>
              </w:rPr>
            </w:pPr>
            <w:r w:rsidRPr="00DD604A">
              <w:rPr>
                <w:rFonts w:eastAsia="Calibri" w:cs="Arial"/>
              </w:rPr>
              <w:t>ELA</w:t>
            </w:r>
          </w:p>
        </w:tc>
        <w:tc>
          <w:tcPr>
            <w:tcW w:w="811" w:type="pct"/>
            <w:shd w:val="clear" w:color="auto" w:fill="D9D9D9" w:themeFill="background1" w:themeFillShade="D9"/>
          </w:tcPr>
          <w:p w14:paraId="70A7B455"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b w:val="0"/>
                <w:bCs w:val="0"/>
              </w:rPr>
            </w:pPr>
            <w:r w:rsidRPr="00DD604A">
              <w:rPr>
                <w:rFonts w:eastAsia="Calibri" w:cs="Arial"/>
              </w:rPr>
              <w:t>2016–17</w:t>
            </w:r>
          </w:p>
          <w:p w14:paraId="6CBE06B4"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1" w:type="pct"/>
            <w:shd w:val="clear" w:color="auto" w:fill="D9D9D9" w:themeFill="background1" w:themeFillShade="D9"/>
            <w:vAlign w:val="center"/>
          </w:tcPr>
          <w:p w14:paraId="511421E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0C654DC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7" w:type="pct"/>
            <w:shd w:val="clear" w:color="auto" w:fill="D9D9D9" w:themeFill="background1" w:themeFillShade="D9"/>
            <w:vAlign w:val="center"/>
          </w:tcPr>
          <w:p w14:paraId="25664B6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60675C0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4" w:type="pct"/>
            <w:shd w:val="clear" w:color="auto" w:fill="D9D9D9" w:themeFill="background1" w:themeFillShade="D9"/>
            <w:vAlign w:val="center"/>
          </w:tcPr>
          <w:p w14:paraId="784329F3"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3AD3734"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5" w:type="pct"/>
            <w:shd w:val="clear" w:color="auto" w:fill="D9D9D9" w:themeFill="background1" w:themeFillShade="D9"/>
            <w:vAlign w:val="center"/>
          </w:tcPr>
          <w:p w14:paraId="672B9D54"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0F3F9EBF"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4FFEF358" w14:textId="77777777" w:rsidTr="00675955">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70686BC3" w14:textId="77777777" w:rsidR="00D33C42" w:rsidRPr="00DD604A" w:rsidRDefault="00D33C42" w:rsidP="00E357A6">
            <w:pPr>
              <w:spacing w:before="0" w:after="0"/>
              <w:jc w:val="center"/>
              <w:rPr>
                <w:rFonts w:eastAsia="Calibri" w:cs="Arial"/>
                <w:b w:val="0"/>
              </w:rPr>
            </w:pPr>
            <w:r w:rsidRPr="00DD604A">
              <w:rPr>
                <w:rFonts w:eastAsia="Calibri" w:cs="Arial"/>
                <w:b w:val="0"/>
              </w:rPr>
              <w:t>61</w:t>
            </w:r>
          </w:p>
        </w:tc>
        <w:tc>
          <w:tcPr>
            <w:tcW w:w="811" w:type="pct"/>
            <w:shd w:val="clear" w:color="auto" w:fill="auto"/>
          </w:tcPr>
          <w:p w14:paraId="70FB078E"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23</w:t>
            </w:r>
          </w:p>
        </w:tc>
        <w:tc>
          <w:tcPr>
            <w:tcW w:w="811" w:type="pct"/>
            <w:shd w:val="clear" w:color="auto" w:fill="auto"/>
            <w:vAlign w:val="center"/>
          </w:tcPr>
          <w:p w14:paraId="695DCC31"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45</w:t>
            </w:r>
          </w:p>
        </w:tc>
        <w:tc>
          <w:tcPr>
            <w:tcW w:w="877" w:type="pct"/>
            <w:shd w:val="clear" w:color="auto" w:fill="auto"/>
            <w:vAlign w:val="center"/>
          </w:tcPr>
          <w:p w14:paraId="4E6F6C82"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24</w:t>
            </w:r>
          </w:p>
        </w:tc>
        <w:tc>
          <w:tcPr>
            <w:tcW w:w="814" w:type="pct"/>
            <w:shd w:val="clear" w:color="auto" w:fill="auto"/>
            <w:vAlign w:val="center"/>
          </w:tcPr>
          <w:p w14:paraId="23A2A8F8"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875" w:type="pct"/>
            <w:shd w:val="clear" w:color="auto" w:fill="auto"/>
            <w:vAlign w:val="center"/>
          </w:tcPr>
          <w:p w14:paraId="32390198"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bl>
    <w:p w14:paraId="02CA499E" w14:textId="77777777" w:rsidR="00D33C42" w:rsidRPr="00DD604A" w:rsidRDefault="00D33C42" w:rsidP="00E357A6">
      <w:pPr>
        <w:rPr>
          <w:rFonts w:eastAsia="Calibri"/>
        </w:rPr>
      </w:pPr>
      <w:r w:rsidRPr="00DD604A">
        <w:rPr>
          <w:rFonts w:eastAsia="Calibri"/>
        </w:rPr>
        <w:t>The following table shows the percentage of pupils that met or exceeded standards on the 2018–19 CAASPP for ELA and math for ACII, CUSD, and the State of California.</w:t>
      </w:r>
    </w:p>
    <w:p w14:paraId="2576F34A" w14:textId="30A4350C" w:rsidR="00D33C42" w:rsidRPr="00DD604A" w:rsidRDefault="00D33C42" w:rsidP="00532123">
      <w:pPr>
        <w:pStyle w:val="Heading6"/>
        <w:rPr>
          <w:rFonts w:eastAsia="Calibri"/>
          <w:color w:val="000000"/>
        </w:rPr>
      </w:pPr>
      <w:r w:rsidRPr="00DD604A">
        <w:rPr>
          <w:rFonts w:eastAsia="Calibri"/>
        </w:rPr>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D33C42" w:rsidRPr="00DD604A" w14:paraId="19CAAE0F" w14:textId="77777777" w:rsidTr="007C007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5F601CE6" w14:textId="77777777" w:rsidR="00D33C42" w:rsidRPr="00DD604A" w:rsidRDefault="00D33C42" w:rsidP="00E357A6">
            <w:pPr>
              <w:spacing w:before="100" w:beforeAutospacing="1" w:after="100" w:afterAutospacing="1"/>
              <w:rPr>
                <w:rFonts w:eastAsia="Calibri" w:cs="Arial"/>
                <w:sz w:val="22"/>
                <w:szCs w:val="22"/>
              </w:rPr>
            </w:pPr>
            <w:r w:rsidRPr="00DD604A">
              <w:rPr>
                <w:rFonts w:eastAsia="Calibri" w:cs="Arial"/>
                <w:bCs w:val="0"/>
              </w:rPr>
              <w:t>Entity</w:t>
            </w:r>
          </w:p>
        </w:tc>
        <w:tc>
          <w:tcPr>
            <w:tcW w:w="1667" w:type="pct"/>
            <w:shd w:val="clear" w:color="auto" w:fill="D9D9D9" w:themeFill="background1" w:themeFillShade="D9"/>
            <w:hideMark/>
          </w:tcPr>
          <w:p w14:paraId="05418B2F" w14:textId="77777777" w:rsidR="00D33C42" w:rsidRPr="00DD604A" w:rsidRDefault="00D33C42" w:rsidP="00E357A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ELA</w:t>
            </w:r>
          </w:p>
        </w:tc>
        <w:tc>
          <w:tcPr>
            <w:tcW w:w="1667" w:type="pct"/>
            <w:shd w:val="clear" w:color="auto" w:fill="D9D9D9" w:themeFill="background1" w:themeFillShade="D9"/>
            <w:hideMark/>
          </w:tcPr>
          <w:p w14:paraId="3E854591" w14:textId="77777777" w:rsidR="00D33C42" w:rsidRPr="00DD604A" w:rsidRDefault="00D33C42" w:rsidP="00E357A6">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Math</w:t>
            </w:r>
          </w:p>
        </w:tc>
      </w:tr>
      <w:tr w:rsidR="00D33C42" w:rsidRPr="00DD604A" w14:paraId="7D7D7387"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0F843BE3" w14:textId="77777777" w:rsidR="00D33C42" w:rsidRPr="00DD604A" w:rsidRDefault="00D33C42" w:rsidP="00E357A6">
            <w:pPr>
              <w:spacing w:before="100" w:beforeAutospacing="1" w:after="100" w:afterAutospacing="1"/>
              <w:rPr>
                <w:rFonts w:eastAsia="Calibri" w:cs="Arial"/>
              </w:rPr>
            </w:pPr>
            <w:r w:rsidRPr="00DD604A">
              <w:rPr>
                <w:rFonts w:eastAsia="Calibri" w:cs="Arial"/>
                <w:bCs w:val="0"/>
              </w:rPr>
              <w:t>ACII</w:t>
            </w:r>
          </w:p>
        </w:tc>
        <w:tc>
          <w:tcPr>
            <w:tcW w:w="1667" w:type="pct"/>
            <w:hideMark/>
          </w:tcPr>
          <w:p w14:paraId="5EFA1D0C"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1667" w:type="pct"/>
            <w:hideMark/>
          </w:tcPr>
          <w:p w14:paraId="3C394E4B"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r w:rsidR="00D33C42" w:rsidRPr="00DD604A" w14:paraId="02669165"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50C5EB8B" w14:textId="77777777" w:rsidR="00D33C42" w:rsidRPr="00DD604A" w:rsidRDefault="00D33C42" w:rsidP="00E357A6">
            <w:pPr>
              <w:spacing w:before="100" w:beforeAutospacing="1" w:after="100" w:afterAutospacing="1"/>
              <w:rPr>
                <w:rFonts w:eastAsia="Calibri" w:cs="Arial"/>
              </w:rPr>
            </w:pPr>
            <w:r w:rsidRPr="00DD604A">
              <w:rPr>
                <w:rFonts w:eastAsia="Calibri" w:cs="Arial"/>
                <w:bCs w:val="0"/>
              </w:rPr>
              <w:lastRenderedPageBreak/>
              <w:t>CUSD</w:t>
            </w:r>
          </w:p>
        </w:tc>
        <w:tc>
          <w:tcPr>
            <w:tcW w:w="1667" w:type="pct"/>
            <w:hideMark/>
          </w:tcPr>
          <w:p w14:paraId="53EA03BE"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76</w:t>
            </w:r>
          </w:p>
        </w:tc>
        <w:tc>
          <w:tcPr>
            <w:tcW w:w="1667" w:type="pct"/>
            <w:hideMark/>
          </w:tcPr>
          <w:p w14:paraId="539E7E78" w14:textId="77777777" w:rsidR="00D33C42" w:rsidRPr="00DD604A" w:rsidRDefault="00D33C42" w:rsidP="00E357A6">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68</w:t>
            </w:r>
          </w:p>
        </w:tc>
      </w:tr>
      <w:tr w:rsidR="00D33C42" w:rsidRPr="00DD604A" w14:paraId="77449A2B"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tcPr>
          <w:p w14:paraId="33E49454" w14:textId="77777777" w:rsidR="00D33C42" w:rsidRPr="00DD604A" w:rsidRDefault="00D33C42" w:rsidP="00E357A6">
            <w:pPr>
              <w:spacing w:before="100" w:beforeAutospacing="1" w:after="100" w:afterAutospacing="1"/>
              <w:rPr>
                <w:rFonts w:eastAsia="Calibri" w:cs="Arial"/>
              </w:rPr>
            </w:pPr>
            <w:r w:rsidRPr="00DD604A">
              <w:rPr>
                <w:rFonts w:eastAsia="Calibri" w:cs="Arial"/>
                <w:bCs w:val="0"/>
              </w:rPr>
              <w:t xml:space="preserve">California </w:t>
            </w:r>
          </w:p>
        </w:tc>
        <w:tc>
          <w:tcPr>
            <w:tcW w:w="1667" w:type="pct"/>
          </w:tcPr>
          <w:p w14:paraId="631B1CAE"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51</w:t>
            </w:r>
          </w:p>
        </w:tc>
        <w:tc>
          <w:tcPr>
            <w:tcW w:w="1667" w:type="pct"/>
          </w:tcPr>
          <w:p w14:paraId="2228189A"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40</w:t>
            </w:r>
          </w:p>
        </w:tc>
      </w:tr>
    </w:tbl>
    <w:p w14:paraId="1DDB55BD" w14:textId="77777777" w:rsidR="00D33C42" w:rsidRPr="00DD604A" w:rsidRDefault="00D33C42" w:rsidP="00E357A6">
      <w:pPr>
        <w:rPr>
          <w:rFonts w:eastAsia="Calibri"/>
        </w:rPr>
      </w:pPr>
      <w:r w:rsidRPr="00DD604A">
        <w:rPr>
          <w:rFonts w:eastAsia="Calibri"/>
        </w:rPr>
        <w:t xml:space="preserve">The following table shows the percentage of pupils that met or exceeded standards on the </w:t>
      </w:r>
      <w:r w:rsidR="00057DE7" w:rsidRPr="00DD604A">
        <w:rPr>
          <w:rFonts w:eastAsia="Calibri"/>
        </w:rPr>
        <w:t xml:space="preserve">2016–17 through </w:t>
      </w:r>
      <w:r w:rsidRPr="00DD604A">
        <w:rPr>
          <w:rFonts w:eastAsia="Calibri"/>
        </w:rPr>
        <w:t>2018–19 CAASPP</w:t>
      </w:r>
      <w:r w:rsidR="00057DE7" w:rsidRPr="00DD604A">
        <w:rPr>
          <w:rFonts w:eastAsia="Calibri"/>
        </w:rPr>
        <w:t>s</w:t>
      </w:r>
      <w:r w:rsidRPr="00DD604A">
        <w:rPr>
          <w:rFonts w:eastAsia="Calibri"/>
        </w:rPr>
        <w:t xml:space="preserve"> for ELA and math for ACII and for comparable schools that pupils would otherwise attend.</w:t>
      </w:r>
    </w:p>
    <w:p w14:paraId="0274FFB7" w14:textId="77777777" w:rsidR="00D33C42" w:rsidRPr="00DD604A" w:rsidRDefault="00D33C42" w:rsidP="00532123">
      <w:pPr>
        <w:pStyle w:val="Heading6"/>
        <w:rPr>
          <w:rFonts w:eastAsia="Calibri"/>
        </w:rPr>
      </w:pPr>
      <w:r w:rsidRPr="00DD604A">
        <w:rPr>
          <w:rFonts w:eastAsia="Calibri"/>
        </w:rPr>
        <w:t>CAASPP Results for ACII-Chosen Comparable Schools (Percent Meets or Exceeds Standards)</w:t>
      </w:r>
    </w:p>
    <w:tbl>
      <w:tblPr>
        <w:tblStyle w:val="GridTable1Light1211412"/>
        <w:tblW w:w="5000" w:type="pct"/>
        <w:tblLayout w:type="fixed"/>
        <w:tblLook w:val="04A0" w:firstRow="1" w:lastRow="0" w:firstColumn="1" w:lastColumn="0" w:noHBand="0" w:noVBand="1"/>
        <w:tblDescription w:val="CAASPP Results for ACII-chosen Comparable Schools (Percent Meets or Exceeds Standards)"/>
      </w:tblPr>
      <w:tblGrid>
        <w:gridCol w:w="1824"/>
        <w:gridCol w:w="1289"/>
        <w:gridCol w:w="1288"/>
        <w:gridCol w:w="1288"/>
        <w:gridCol w:w="1221"/>
        <w:gridCol w:w="1221"/>
        <w:gridCol w:w="1219"/>
      </w:tblGrid>
      <w:tr w:rsidR="00D33C42" w:rsidRPr="00DD604A" w14:paraId="57F8A6CB"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75" w:type="pct"/>
            <w:shd w:val="clear" w:color="auto" w:fill="D9D9D9" w:themeFill="background1" w:themeFillShade="D9"/>
            <w:vAlign w:val="center"/>
          </w:tcPr>
          <w:p w14:paraId="5D82D0F7" w14:textId="77777777" w:rsidR="00D33C42" w:rsidRPr="00DD604A" w:rsidRDefault="00D33C42" w:rsidP="00E357A6">
            <w:pPr>
              <w:spacing w:before="0" w:after="0"/>
              <w:rPr>
                <w:rFonts w:eastAsia="Calibri" w:cs="Arial"/>
              </w:rPr>
            </w:pPr>
            <w:r w:rsidRPr="00DD604A">
              <w:rPr>
                <w:rFonts w:eastAsia="Calibri" w:cs="Arial"/>
              </w:rPr>
              <w:t>School</w:t>
            </w:r>
          </w:p>
        </w:tc>
        <w:tc>
          <w:tcPr>
            <w:tcW w:w="689" w:type="pct"/>
            <w:shd w:val="clear" w:color="auto" w:fill="D9D9D9" w:themeFill="background1" w:themeFillShade="D9"/>
          </w:tcPr>
          <w:p w14:paraId="7E978A7E"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t>2016–17 ELA</w:t>
            </w:r>
          </w:p>
        </w:tc>
        <w:tc>
          <w:tcPr>
            <w:tcW w:w="689" w:type="pct"/>
            <w:shd w:val="clear" w:color="auto" w:fill="D9D9D9" w:themeFill="background1" w:themeFillShade="D9"/>
          </w:tcPr>
          <w:p w14:paraId="16A8F0C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t>2016–17 Math</w:t>
            </w:r>
          </w:p>
        </w:tc>
        <w:tc>
          <w:tcPr>
            <w:tcW w:w="689" w:type="pct"/>
            <w:shd w:val="clear" w:color="auto" w:fill="D9D9D9" w:themeFill="background1" w:themeFillShade="D9"/>
            <w:vAlign w:val="center"/>
          </w:tcPr>
          <w:p w14:paraId="6A2A80AC"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2017–18 ELA</w:t>
            </w:r>
          </w:p>
        </w:tc>
        <w:tc>
          <w:tcPr>
            <w:tcW w:w="653" w:type="pct"/>
            <w:shd w:val="clear" w:color="auto" w:fill="D9D9D9" w:themeFill="background1" w:themeFillShade="D9"/>
            <w:vAlign w:val="center"/>
          </w:tcPr>
          <w:p w14:paraId="7B973A05"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7399D576"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653" w:type="pct"/>
            <w:shd w:val="clear" w:color="auto" w:fill="D9D9D9" w:themeFill="background1" w:themeFillShade="D9"/>
            <w:vAlign w:val="center"/>
          </w:tcPr>
          <w:p w14:paraId="6F9F159D"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50D0AB7"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652" w:type="pct"/>
            <w:shd w:val="clear" w:color="auto" w:fill="D9D9D9" w:themeFill="background1" w:themeFillShade="D9"/>
            <w:vAlign w:val="center"/>
          </w:tcPr>
          <w:p w14:paraId="2060F0DD"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420514B8" w14:textId="77777777" w:rsidR="00D33C42" w:rsidRPr="00DD604A" w:rsidRDefault="00D33C42" w:rsidP="00E357A6">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5B22B9F7"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79238C50" w14:textId="77777777" w:rsidR="00D33C42" w:rsidRPr="00DD604A" w:rsidRDefault="00D33C42" w:rsidP="00E357A6">
            <w:pPr>
              <w:spacing w:before="0" w:after="0"/>
              <w:rPr>
                <w:rFonts w:eastAsia="Calibri" w:cs="Arial"/>
              </w:rPr>
            </w:pPr>
            <w:r w:rsidRPr="00DD604A">
              <w:t>ACII</w:t>
            </w:r>
          </w:p>
        </w:tc>
        <w:tc>
          <w:tcPr>
            <w:tcW w:w="0" w:type="pct"/>
            <w:shd w:val="clear" w:color="auto" w:fill="auto"/>
            <w:vAlign w:val="center"/>
          </w:tcPr>
          <w:p w14:paraId="63CADFB5"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61</w:t>
            </w:r>
          </w:p>
        </w:tc>
        <w:tc>
          <w:tcPr>
            <w:tcW w:w="0" w:type="pct"/>
            <w:vAlign w:val="center"/>
          </w:tcPr>
          <w:p w14:paraId="78F50C5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23</w:t>
            </w:r>
          </w:p>
        </w:tc>
        <w:tc>
          <w:tcPr>
            <w:tcW w:w="0" w:type="pct"/>
            <w:shd w:val="clear" w:color="auto" w:fill="auto"/>
            <w:vAlign w:val="center"/>
          </w:tcPr>
          <w:p w14:paraId="6BE6C9BB"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45</w:t>
            </w:r>
          </w:p>
        </w:tc>
        <w:tc>
          <w:tcPr>
            <w:tcW w:w="0" w:type="pct"/>
            <w:shd w:val="clear" w:color="auto" w:fill="auto"/>
            <w:vAlign w:val="center"/>
          </w:tcPr>
          <w:p w14:paraId="0FD5F54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24</w:t>
            </w:r>
          </w:p>
        </w:tc>
        <w:tc>
          <w:tcPr>
            <w:tcW w:w="0" w:type="pct"/>
            <w:shd w:val="clear" w:color="auto" w:fill="auto"/>
            <w:vAlign w:val="center"/>
          </w:tcPr>
          <w:p w14:paraId="1E2EB53A"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58</w:t>
            </w:r>
          </w:p>
        </w:tc>
        <w:tc>
          <w:tcPr>
            <w:tcW w:w="0" w:type="pct"/>
            <w:shd w:val="clear" w:color="auto" w:fill="auto"/>
            <w:vAlign w:val="center"/>
          </w:tcPr>
          <w:p w14:paraId="00EB3A28"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16</w:t>
            </w:r>
          </w:p>
        </w:tc>
      </w:tr>
      <w:tr w:rsidR="00D33C42" w:rsidRPr="00DD604A" w14:paraId="45C24868"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5E4523BA" w14:textId="77777777" w:rsidR="00D33C42" w:rsidRPr="00DD604A" w:rsidRDefault="00D33C42" w:rsidP="00E357A6">
            <w:pPr>
              <w:spacing w:before="0" w:after="0"/>
              <w:rPr>
                <w:rFonts w:eastAsia="Calibri" w:cs="Arial"/>
              </w:rPr>
            </w:pPr>
            <w:r w:rsidRPr="00DD604A">
              <w:t>Carlsbad Village Academy</w:t>
            </w:r>
          </w:p>
        </w:tc>
        <w:tc>
          <w:tcPr>
            <w:tcW w:w="0" w:type="pct"/>
            <w:shd w:val="clear" w:color="auto" w:fill="auto"/>
            <w:vAlign w:val="center"/>
          </w:tcPr>
          <w:p w14:paraId="1D788A90"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21</w:t>
            </w:r>
          </w:p>
        </w:tc>
        <w:tc>
          <w:tcPr>
            <w:tcW w:w="0" w:type="pct"/>
            <w:vAlign w:val="center"/>
          </w:tcPr>
          <w:p w14:paraId="346870AF"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pPr>
            <w:r w:rsidRPr="00DD604A">
              <w:t>7</w:t>
            </w:r>
          </w:p>
        </w:tc>
        <w:tc>
          <w:tcPr>
            <w:tcW w:w="0" w:type="pct"/>
            <w:shd w:val="clear" w:color="auto" w:fill="auto"/>
            <w:vAlign w:val="center"/>
          </w:tcPr>
          <w:p w14:paraId="25B7B029"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23</w:t>
            </w:r>
          </w:p>
        </w:tc>
        <w:tc>
          <w:tcPr>
            <w:tcW w:w="0" w:type="pct"/>
            <w:shd w:val="clear" w:color="auto" w:fill="auto"/>
            <w:vAlign w:val="center"/>
          </w:tcPr>
          <w:p w14:paraId="12EDCC6B"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5</w:t>
            </w:r>
          </w:p>
        </w:tc>
        <w:tc>
          <w:tcPr>
            <w:tcW w:w="0" w:type="pct"/>
            <w:shd w:val="clear" w:color="auto" w:fill="auto"/>
            <w:vAlign w:val="center"/>
          </w:tcPr>
          <w:p w14:paraId="47C7EF33"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31</w:t>
            </w:r>
          </w:p>
        </w:tc>
        <w:tc>
          <w:tcPr>
            <w:tcW w:w="0" w:type="pct"/>
            <w:shd w:val="clear" w:color="auto" w:fill="auto"/>
            <w:vAlign w:val="center"/>
          </w:tcPr>
          <w:p w14:paraId="5C30588F" w14:textId="77777777" w:rsidR="00D33C42" w:rsidRPr="00DD604A" w:rsidRDefault="00D33C42" w:rsidP="00E357A6">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t>0</w:t>
            </w:r>
          </w:p>
        </w:tc>
      </w:tr>
      <w:tr w:rsidR="00D33C42" w:rsidRPr="00DD604A" w14:paraId="4E952D9E"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9608B2F" w14:textId="77777777" w:rsidR="00D33C42" w:rsidRPr="00DD604A" w:rsidRDefault="00D33C42" w:rsidP="00E357A6">
            <w:pPr>
              <w:autoSpaceDE w:val="0"/>
              <w:autoSpaceDN w:val="0"/>
              <w:adjustRightInd w:val="0"/>
              <w:spacing w:before="0" w:after="0"/>
              <w:rPr>
                <w:rFonts w:eastAsia="Calibri" w:cs="Arial"/>
              </w:rPr>
            </w:pPr>
            <w:r w:rsidRPr="00DD604A">
              <w:t>Ocean Shores High</w:t>
            </w:r>
          </w:p>
        </w:tc>
        <w:tc>
          <w:tcPr>
            <w:tcW w:w="0" w:type="pct"/>
            <w:shd w:val="clear" w:color="auto" w:fill="auto"/>
            <w:vAlign w:val="center"/>
          </w:tcPr>
          <w:p w14:paraId="17C855E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16</w:t>
            </w:r>
          </w:p>
        </w:tc>
        <w:tc>
          <w:tcPr>
            <w:tcW w:w="0" w:type="pct"/>
            <w:vAlign w:val="center"/>
          </w:tcPr>
          <w:p w14:paraId="7B9451DC"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0</w:t>
            </w:r>
          </w:p>
        </w:tc>
        <w:tc>
          <w:tcPr>
            <w:tcW w:w="0" w:type="pct"/>
            <w:shd w:val="clear" w:color="auto" w:fill="auto"/>
            <w:vAlign w:val="center"/>
          </w:tcPr>
          <w:p w14:paraId="0415680D"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8</w:t>
            </w:r>
          </w:p>
        </w:tc>
        <w:tc>
          <w:tcPr>
            <w:tcW w:w="0" w:type="pct"/>
            <w:shd w:val="clear" w:color="auto" w:fill="auto"/>
            <w:vAlign w:val="center"/>
          </w:tcPr>
          <w:p w14:paraId="44456967"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w:t>
            </w:r>
          </w:p>
        </w:tc>
        <w:tc>
          <w:tcPr>
            <w:tcW w:w="0" w:type="pct"/>
            <w:shd w:val="clear" w:color="auto" w:fill="auto"/>
            <w:vAlign w:val="center"/>
          </w:tcPr>
          <w:p w14:paraId="35E9747A"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10</w:t>
            </w:r>
          </w:p>
        </w:tc>
        <w:tc>
          <w:tcPr>
            <w:tcW w:w="0" w:type="pct"/>
            <w:shd w:val="clear" w:color="auto" w:fill="auto"/>
            <w:vAlign w:val="center"/>
          </w:tcPr>
          <w:p w14:paraId="582640EA"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r>
      <w:tr w:rsidR="00D33C42" w:rsidRPr="00DD604A" w14:paraId="67E0056A"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C03F3B8" w14:textId="77777777" w:rsidR="00D33C42" w:rsidRPr="00DD604A" w:rsidRDefault="00D33C42" w:rsidP="00E357A6">
            <w:pPr>
              <w:autoSpaceDE w:val="0"/>
              <w:autoSpaceDN w:val="0"/>
              <w:adjustRightInd w:val="0"/>
              <w:spacing w:before="0" w:after="0"/>
              <w:rPr>
                <w:rFonts w:eastAsia="Calibri" w:cs="Arial"/>
              </w:rPr>
            </w:pPr>
            <w:r w:rsidRPr="00DD604A">
              <w:t>Twin Oaks High</w:t>
            </w:r>
          </w:p>
        </w:tc>
        <w:tc>
          <w:tcPr>
            <w:tcW w:w="0" w:type="pct"/>
            <w:shd w:val="clear" w:color="auto" w:fill="auto"/>
            <w:vAlign w:val="center"/>
          </w:tcPr>
          <w:p w14:paraId="4EA9B435"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22</w:t>
            </w:r>
          </w:p>
        </w:tc>
        <w:tc>
          <w:tcPr>
            <w:tcW w:w="0" w:type="pct"/>
            <w:vAlign w:val="center"/>
          </w:tcPr>
          <w:p w14:paraId="5F733157"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1</w:t>
            </w:r>
          </w:p>
        </w:tc>
        <w:tc>
          <w:tcPr>
            <w:tcW w:w="0" w:type="pct"/>
            <w:shd w:val="clear" w:color="auto" w:fill="auto"/>
            <w:vAlign w:val="center"/>
          </w:tcPr>
          <w:p w14:paraId="6138B982"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9</w:t>
            </w:r>
          </w:p>
        </w:tc>
        <w:tc>
          <w:tcPr>
            <w:tcW w:w="0" w:type="pct"/>
            <w:shd w:val="clear" w:color="auto" w:fill="auto"/>
            <w:vAlign w:val="center"/>
          </w:tcPr>
          <w:p w14:paraId="5831A770"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c>
          <w:tcPr>
            <w:tcW w:w="0" w:type="pct"/>
            <w:shd w:val="clear" w:color="auto" w:fill="auto"/>
            <w:vAlign w:val="center"/>
          </w:tcPr>
          <w:p w14:paraId="03F14D2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16</w:t>
            </w:r>
          </w:p>
        </w:tc>
        <w:tc>
          <w:tcPr>
            <w:tcW w:w="0" w:type="pct"/>
            <w:shd w:val="clear" w:color="auto" w:fill="auto"/>
            <w:vAlign w:val="center"/>
          </w:tcPr>
          <w:p w14:paraId="5B29A65C"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r>
      <w:tr w:rsidR="00D33C42" w:rsidRPr="00DD604A" w14:paraId="4C5A7F2D"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183CA63A" w14:textId="77777777" w:rsidR="00D33C42" w:rsidRPr="00DD604A" w:rsidRDefault="00D33C42" w:rsidP="00E357A6">
            <w:pPr>
              <w:autoSpaceDE w:val="0"/>
              <w:autoSpaceDN w:val="0"/>
              <w:adjustRightInd w:val="0"/>
              <w:spacing w:before="0" w:after="0"/>
              <w:rPr>
                <w:rFonts w:eastAsia="Calibri" w:cs="Arial"/>
              </w:rPr>
            </w:pPr>
            <w:r w:rsidRPr="00DD604A">
              <w:t>SIATech</w:t>
            </w:r>
          </w:p>
        </w:tc>
        <w:tc>
          <w:tcPr>
            <w:tcW w:w="0" w:type="pct"/>
            <w:shd w:val="clear" w:color="auto" w:fill="auto"/>
            <w:vAlign w:val="center"/>
          </w:tcPr>
          <w:p w14:paraId="69C1B611"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20</w:t>
            </w:r>
          </w:p>
        </w:tc>
        <w:tc>
          <w:tcPr>
            <w:tcW w:w="0" w:type="pct"/>
            <w:vAlign w:val="center"/>
          </w:tcPr>
          <w:p w14:paraId="47729074"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2</w:t>
            </w:r>
          </w:p>
        </w:tc>
        <w:tc>
          <w:tcPr>
            <w:tcW w:w="0" w:type="pct"/>
            <w:shd w:val="clear" w:color="auto" w:fill="auto"/>
            <w:vAlign w:val="center"/>
          </w:tcPr>
          <w:p w14:paraId="111C89A9"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20</w:t>
            </w:r>
          </w:p>
        </w:tc>
        <w:tc>
          <w:tcPr>
            <w:tcW w:w="0" w:type="pct"/>
            <w:shd w:val="clear" w:color="auto" w:fill="auto"/>
            <w:vAlign w:val="center"/>
          </w:tcPr>
          <w:p w14:paraId="0ED9D1DE"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2</w:t>
            </w:r>
          </w:p>
        </w:tc>
        <w:tc>
          <w:tcPr>
            <w:tcW w:w="0" w:type="pct"/>
            <w:shd w:val="clear" w:color="auto" w:fill="auto"/>
            <w:vAlign w:val="center"/>
          </w:tcPr>
          <w:p w14:paraId="5554F156"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19</w:t>
            </w:r>
          </w:p>
        </w:tc>
        <w:tc>
          <w:tcPr>
            <w:tcW w:w="0" w:type="pct"/>
            <w:shd w:val="clear" w:color="auto" w:fill="auto"/>
            <w:vAlign w:val="center"/>
          </w:tcPr>
          <w:p w14:paraId="36BB593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Cs/>
              </w:rPr>
            </w:pPr>
            <w:r w:rsidRPr="00DD604A">
              <w:rPr>
                <w:bCs/>
              </w:rPr>
              <w:t>0</w:t>
            </w:r>
          </w:p>
        </w:tc>
      </w:tr>
      <w:tr w:rsidR="00D33C42" w:rsidRPr="00DD604A" w14:paraId="52A450F6" w14:textId="77777777" w:rsidTr="00DB56FC">
        <w:trPr>
          <w:cantSplit/>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6CDC647" w14:textId="77777777" w:rsidR="00D33C42" w:rsidRPr="00DD604A" w:rsidRDefault="00D33C42" w:rsidP="00E357A6">
            <w:pPr>
              <w:autoSpaceDE w:val="0"/>
              <w:autoSpaceDN w:val="0"/>
              <w:adjustRightInd w:val="0"/>
              <w:spacing w:before="0" w:after="0"/>
            </w:pPr>
            <w:r w:rsidRPr="00DD604A">
              <w:t>CUSD</w:t>
            </w:r>
          </w:p>
        </w:tc>
        <w:tc>
          <w:tcPr>
            <w:tcW w:w="0" w:type="pct"/>
            <w:vAlign w:val="center"/>
          </w:tcPr>
          <w:p w14:paraId="5F3C5EF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75</w:t>
            </w:r>
          </w:p>
        </w:tc>
        <w:tc>
          <w:tcPr>
            <w:tcW w:w="0" w:type="pct"/>
            <w:vAlign w:val="center"/>
          </w:tcPr>
          <w:p w14:paraId="2A142D62"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65</w:t>
            </w:r>
          </w:p>
        </w:tc>
        <w:tc>
          <w:tcPr>
            <w:tcW w:w="0" w:type="pct"/>
            <w:shd w:val="clear" w:color="auto" w:fill="auto"/>
            <w:vAlign w:val="center"/>
          </w:tcPr>
          <w:p w14:paraId="631DC18C"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53</w:t>
            </w:r>
          </w:p>
        </w:tc>
        <w:tc>
          <w:tcPr>
            <w:tcW w:w="0" w:type="pct"/>
            <w:shd w:val="clear" w:color="auto" w:fill="auto"/>
            <w:vAlign w:val="center"/>
          </w:tcPr>
          <w:p w14:paraId="0796F380"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43</w:t>
            </w:r>
          </w:p>
        </w:tc>
        <w:tc>
          <w:tcPr>
            <w:tcW w:w="0" w:type="pct"/>
            <w:shd w:val="clear" w:color="auto" w:fill="auto"/>
            <w:vAlign w:val="center"/>
          </w:tcPr>
          <w:p w14:paraId="45082E98"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54</w:t>
            </w:r>
          </w:p>
        </w:tc>
        <w:tc>
          <w:tcPr>
            <w:tcW w:w="0" w:type="pct"/>
            <w:shd w:val="clear" w:color="auto" w:fill="auto"/>
            <w:vAlign w:val="center"/>
          </w:tcPr>
          <w:p w14:paraId="65F066CA" w14:textId="77777777" w:rsidR="00D33C42" w:rsidRPr="00DD604A" w:rsidRDefault="00D33C42" w:rsidP="00E357A6">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bCs/>
              </w:rPr>
            </w:pPr>
            <w:r w:rsidRPr="00DD604A">
              <w:rPr>
                <w:bCs/>
              </w:rPr>
              <w:t>43</w:t>
            </w:r>
          </w:p>
        </w:tc>
      </w:tr>
    </w:tbl>
    <w:bookmarkEnd w:id="22"/>
    <w:p w14:paraId="04C2D7B2" w14:textId="77777777" w:rsidR="00DF33DC" w:rsidRPr="00DD604A" w:rsidRDefault="00D33C42" w:rsidP="00E357A6">
      <w:pPr>
        <w:pStyle w:val="Heading5"/>
      </w:pPr>
      <w:r w:rsidRPr="00DD604A">
        <w:t xml:space="preserve">CUSD’s Review of </w:t>
      </w:r>
      <w:r w:rsidR="004F30D9" w:rsidRPr="00DD604A">
        <w:t>Alternative Metric</w:t>
      </w:r>
      <w:r w:rsidRPr="00DD604A">
        <w:t xml:space="preserve"> Data</w:t>
      </w:r>
    </w:p>
    <w:p w14:paraId="41D97179" w14:textId="607F50A9" w:rsidR="00D33C42" w:rsidRPr="00DD604A" w:rsidRDefault="00D33C42" w:rsidP="00772977">
      <w:pPr>
        <w:rPr>
          <w:rFonts w:cs="Arial"/>
        </w:rPr>
      </w:pPr>
      <w:r w:rsidRPr="00DD604A">
        <w:t xml:space="preserve">The CUSD reviewed </w:t>
      </w:r>
      <w:r w:rsidR="00991A49" w:rsidRPr="00DD604A">
        <w:t>the following data for ACII (</w:t>
      </w:r>
      <w:r w:rsidRPr="00207D4A">
        <w:rPr>
          <w:rFonts w:cs="Arial"/>
        </w:rPr>
        <w:t>Attachment 3</w:t>
      </w:r>
      <w:r w:rsidR="00A83B88" w:rsidRPr="00207D4A">
        <w:rPr>
          <w:rFonts w:eastAsia="Calibri" w:cs="Arial"/>
        </w:rPr>
        <w:t xml:space="preserve"> of Agenda Item 3 on the SBE April 2021 ACCS Meeting Agenda web page at </w:t>
      </w:r>
      <w:hyperlink r:id="rId28" w:tooltip="SBE April 2021 ACCS Meeting Agenda web page" w:history="1">
        <w:r w:rsidR="00A83B88" w:rsidRPr="00207D4A">
          <w:rPr>
            <w:rStyle w:val="Hyperlink"/>
            <w:rFonts w:eastAsia="Calibri" w:cs="Arial"/>
          </w:rPr>
          <w:t>https://www.cde.ca.gov/be/cc/cs/accsnotice041321.asp</w:t>
        </w:r>
      </w:hyperlink>
      <w:r w:rsidRPr="00DD604A">
        <w:rPr>
          <w:rFonts w:cs="Arial"/>
        </w:rPr>
        <w:t>)</w:t>
      </w:r>
      <w:r w:rsidR="00991A49" w:rsidRPr="00DD604A">
        <w:rPr>
          <w:rFonts w:cs="Arial"/>
        </w:rPr>
        <w:t>:</w:t>
      </w:r>
    </w:p>
    <w:p w14:paraId="4D770DCD" w14:textId="77777777"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CAASPP data</w:t>
      </w:r>
    </w:p>
    <w:p w14:paraId="566A5BE0" w14:textId="6B595E44"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California School Dashboard data for ELA, math, chronic absenteeism rates, suspension rates, ELPI, and graduation rates for DASS schools</w:t>
      </w:r>
    </w:p>
    <w:p w14:paraId="49539304" w14:textId="77777777"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NWEA MAP Data</w:t>
      </w:r>
    </w:p>
    <w:p w14:paraId="263BD6D9" w14:textId="77777777" w:rsidR="00991A49" w:rsidRPr="00DD604A" w:rsidRDefault="00991A49" w:rsidP="00991A49">
      <w:pPr>
        <w:pStyle w:val="ListParagraph"/>
        <w:numPr>
          <w:ilvl w:val="0"/>
          <w:numId w:val="1"/>
        </w:numPr>
        <w:rPr>
          <w:rFonts w:asciiTheme="minorHAnsi" w:eastAsiaTheme="minorEastAsia" w:hAnsiTheme="minorHAnsi" w:cstheme="minorBidi"/>
          <w:color w:val="000000" w:themeColor="text1"/>
        </w:rPr>
      </w:pPr>
      <w:r w:rsidRPr="00DD604A">
        <w:rPr>
          <w:rFonts w:eastAsia="Arial" w:cs="Arial"/>
          <w:color w:val="000000" w:themeColor="text1"/>
        </w:rPr>
        <w:t>CALPADS EOY Data</w:t>
      </w:r>
    </w:p>
    <w:p w14:paraId="4DE3166F" w14:textId="77777777" w:rsidR="00D33C42" w:rsidRPr="00DD604A" w:rsidRDefault="00D33C42" w:rsidP="00772977">
      <w:pPr>
        <w:rPr>
          <w:rFonts w:eastAsia="Calibri"/>
        </w:rPr>
      </w:pPr>
      <w:r w:rsidRPr="00DD604A">
        <w:rPr>
          <w:rFonts w:eastAsia="Calibri"/>
        </w:rPr>
        <w:t>The following table shows the percentage of pupils that met or exceeded standards on the 201</w:t>
      </w:r>
      <w:r w:rsidR="00057DE7" w:rsidRPr="00DD604A">
        <w:rPr>
          <w:rFonts w:eastAsia="Calibri"/>
        </w:rPr>
        <w:t>6</w:t>
      </w:r>
      <w:r w:rsidRPr="00DD604A">
        <w:rPr>
          <w:rFonts w:eastAsia="Calibri"/>
        </w:rPr>
        <w:t>–1</w:t>
      </w:r>
      <w:r w:rsidR="00057DE7" w:rsidRPr="00DD604A">
        <w:rPr>
          <w:rFonts w:eastAsia="Calibri"/>
        </w:rPr>
        <w:t>7 through</w:t>
      </w:r>
      <w:r w:rsidRPr="00DD604A">
        <w:rPr>
          <w:rFonts w:eastAsia="Calibri"/>
        </w:rPr>
        <w:t xml:space="preserve"> 2018–19 CAASPPs for ELA and math for all pupils schoolwide at ACII</w:t>
      </w:r>
      <w:r w:rsidR="00620305" w:rsidRPr="00DD604A">
        <w:rPr>
          <w:rFonts w:eastAsia="Calibri"/>
        </w:rPr>
        <w:t>.</w:t>
      </w:r>
    </w:p>
    <w:p w14:paraId="1BE0743F" w14:textId="77777777" w:rsidR="00D33C42" w:rsidRPr="00DD604A" w:rsidRDefault="00D33C42" w:rsidP="00532123">
      <w:pPr>
        <w:pStyle w:val="Heading6"/>
        <w:rPr>
          <w:rFonts w:eastAsia="Calibri"/>
        </w:rPr>
      </w:pPr>
      <w:r w:rsidRPr="00DD604A">
        <w:rPr>
          <w:rFonts w:eastAsia="Calibri"/>
        </w:rPr>
        <w:lastRenderedPageBreak/>
        <w:t>CAASPP Results for ACII (Percent Meets or Exceeds Standards)</w:t>
      </w:r>
    </w:p>
    <w:tbl>
      <w:tblPr>
        <w:tblStyle w:val="GridTable1Light1211412"/>
        <w:tblW w:w="5000" w:type="pct"/>
        <w:tblLayout w:type="fixed"/>
        <w:tblLook w:val="04A0" w:firstRow="1" w:lastRow="0" w:firstColumn="1" w:lastColumn="0" w:noHBand="0" w:noVBand="1"/>
        <w:tblDescription w:val="CAASPP Results for ACII (Percent Meets/Exceeds Standards)"/>
      </w:tblPr>
      <w:tblGrid>
        <w:gridCol w:w="1518"/>
        <w:gridCol w:w="1517"/>
        <w:gridCol w:w="1517"/>
        <w:gridCol w:w="1640"/>
        <w:gridCol w:w="1522"/>
        <w:gridCol w:w="1636"/>
      </w:tblGrid>
      <w:tr w:rsidR="00D33C42" w:rsidRPr="00DD604A" w14:paraId="75956443" w14:textId="77777777" w:rsidTr="0067595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812" w:type="pct"/>
            <w:shd w:val="clear" w:color="auto" w:fill="D9D9D9" w:themeFill="background1" w:themeFillShade="D9"/>
          </w:tcPr>
          <w:p w14:paraId="0CD85926" w14:textId="77777777" w:rsidR="00D33C42" w:rsidRPr="00DD604A" w:rsidRDefault="00D33C42" w:rsidP="00772977">
            <w:pPr>
              <w:spacing w:before="0" w:after="0"/>
              <w:jc w:val="center"/>
              <w:rPr>
                <w:rFonts w:eastAsia="Calibri" w:cs="Arial"/>
              </w:rPr>
            </w:pPr>
            <w:r w:rsidRPr="00DD604A">
              <w:rPr>
                <w:rFonts w:eastAsia="Calibri" w:cs="Arial"/>
              </w:rPr>
              <w:t>2016</w:t>
            </w:r>
            <w:r w:rsidR="00620305" w:rsidRPr="00DD604A">
              <w:rPr>
                <w:rFonts w:eastAsia="Calibri" w:cs="Arial"/>
              </w:rPr>
              <w:t>–</w:t>
            </w:r>
            <w:r w:rsidRPr="00DD604A">
              <w:rPr>
                <w:rFonts w:eastAsia="Calibri" w:cs="Arial"/>
              </w:rPr>
              <w:t>17 ELA</w:t>
            </w:r>
          </w:p>
        </w:tc>
        <w:tc>
          <w:tcPr>
            <w:tcW w:w="811" w:type="pct"/>
            <w:shd w:val="clear" w:color="auto" w:fill="D9D9D9" w:themeFill="background1" w:themeFillShade="D9"/>
          </w:tcPr>
          <w:p w14:paraId="62E0CC7C"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2016</w:t>
            </w:r>
            <w:r w:rsidR="00620305" w:rsidRPr="00DD604A">
              <w:rPr>
                <w:rFonts w:eastAsia="Calibri" w:cs="Arial"/>
              </w:rPr>
              <w:t>–</w:t>
            </w:r>
            <w:r w:rsidRPr="00DD604A">
              <w:rPr>
                <w:rFonts w:eastAsia="Calibri" w:cs="Arial"/>
              </w:rPr>
              <w:t>17 Math</w:t>
            </w:r>
          </w:p>
        </w:tc>
        <w:tc>
          <w:tcPr>
            <w:tcW w:w="811" w:type="pct"/>
            <w:shd w:val="clear" w:color="auto" w:fill="D9D9D9" w:themeFill="background1" w:themeFillShade="D9"/>
            <w:vAlign w:val="center"/>
          </w:tcPr>
          <w:p w14:paraId="6511AE66"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725C7AD5"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7" w:type="pct"/>
            <w:shd w:val="clear" w:color="auto" w:fill="D9D9D9" w:themeFill="background1" w:themeFillShade="D9"/>
            <w:vAlign w:val="center"/>
          </w:tcPr>
          <w:p w14:paraId="60E14047"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 xml:space="preserve">2017–18 </w:t>
            </w:r>
          </w:p>
          <w:p w14:paraId="3C6BCA38"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c>
          <w:tcPr>
            <w:tcW w:w="814" w:type="pct"/>
            <w:shd w:val="clear" w:color="auto" w:fill="D9D9D9" w:themeFill="background1" w:themeFillShade="D9"/>
            <w:vAlign w:val="center"/>
          </w:tcPr>
          <w:p w14:paraId="0E39ABCD"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558088B3"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ELA</w:t>
            </w:r>
          </w:p>
        </w:tc>
        <w:tc>
          <w:tcPr>
            <w:tcW w:w="875" w:type="pct"/>
            <w:shd w:val="clear" w:color="auto" w:fill="D9D9D9" w:themeFill="background1" w:themeFillShade="D9"/>
            <w:vAlign w:val="center"/>
          </w:tcPr>
          <w:p w14:paraId="3F0921D4"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2018–19</w:t>
            </w:r>
          </w:p>
          <w:p w14:paraId="5C63A3F2" w14:textId="77777777" w:rsidR="00D33C42" w:rsidRPr="00DD604A" w:rsidRDefault="00D33C42" w:rsidP="00772977">
            <w:pPr>
              <w:spacing w:before="0" w:after="0"/>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Math</w:t>
            </w:r>
          </w:p>
        </w:tc>
      </w:tr>
      <w:tr w:rsidR="00D33C42" w:rsidRPr="00DD604A" w14:paraId="5E8B9DBE" w14:textId="77777777" w:rsidTr="00675955">
        <w:trPr>
          <w:cantSplit/>
          <w:trHeight w:val="150"/>
        </w:trPr>
        <w:tc>
          <w:tcPr>
            <w:cnfStyle w:val="001000000000" w:firstRow="0" w:lastRow="0" w:firstColumn="1" w:lastColumn="0" w:oddVBand="0" w:evenVBand="0" w:oddHBand="0" w:evenHBand="0" w:firstRowFirstColumn="0" w:firstRowLastColumn="0" w:lastRowFirstColumn="0" w:lastRowLastColumn="0"/>
            <w:tcW w:w="812" w:type="pct"/>
          </w:tcPr>
          <w:p w14:paraId="7F344703" w14:textId="77777777" w:rsidR="00D33C42" w:rsidRPr="00DD604A" w:rsidRDefault="00D33C42" w:rsidP="00772977">
            <w:pPr>
              <w:spacing w:before="0" w:after="0"/>
              <w:jc w:val="center"/>
              <w:rPr>
                <w:rFonts w:eastAsia="Calibri" w:cs="Arial"/>
                <w:b w:val="0"/>
              </w:rPr>
            </w:pPr>
            <w:r w:rsidRPr="00DD604A">
              <w:rPr>
                <w:rFonts w:eastAsia="Calibri" w:cs="Arial"/>
                <w:b w:val="0"/>
              </w:rPr>
              <w:t>61</w:t>
            </w:r>
          </w:p>
        </w:tc>
        <w:tc>
          <w:tcPr>
            <w:tcW w:w="811" w:type="pct"/>
            <w:shd w:val="clear" w:color="auto" w:fill="auto"/>
          </w:tcPr>
          <w:p w14:paraId="139534DB"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23</w:t>
            </w:r>
          </w:p>
        </w:tc>
        <w:tc>
          <w:tcPr>
            <w:tcW w:w="811" w:type="pct"/>
            <w:shd w:val="clear" w:color="auto" w:fill="auto"/>
            <w:vAlign w:val="center"/>
          </w:tcPr>
          <w:p w14:paraId="5E196549"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DD604A">
              <w:rPr>
                <w:rFonts w:eastAsia="Calibri" w:cs="Arial"/>
              </w:rPr>
              <w:t>45</w:t>
            </w:r>
          </w:p>
        </w:tc>
        <w:tc>
          <w:tcPr>
            <w:tcW w:w="877" w:type="pct"/>
            <w:shd w:val="clear" w:color="auto" w:fill="auto"/>
            <w:vAlign w:val="center"/>
          </w:tcPr>
          <w:p w14:paraId="0F4F9669"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24</w:t>
            </w:r>
          </w:p>
        </w:tc>
        <w:tc>
          <w:tcPr>
            <w:tcW w:w="814" w:type="pct"/>
            <w:shd w:val="clear" w:color="auto" w:fill="auto"/>
            <w:vAlign w:val="center"/>
          </w:tcPr>
          <w:p w14:paraId="7B49FB67"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875" w:type="pct"/>
            <w:shd w:val="clear" w:color="auto" w:fill="auto"/>
            <w:vAlign w:val="center"/>
          </w:tcPr>
          <w:p w14:paraId="603EA6A3"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bl>
    <w:p w14:paraId="2D2F7CC2" w14:textId="77777777" w:rsidR="00D33C42" w:rsidRPr="00DD604A" w:rsidRDefault="00D33C42" w:rsidP="00532123">
      <w:pPr>
        <w:spacing w:before="120" w:after="100" w:afterAutospacing="1"/>
        <w:rPr>
          <w:rFonts w:eastAsia="Calibri"/>
        </w:rPr>
      </w:pPr>
      <w:r w:rsidRPr="00DD604A">
        <w:rPr>
          <w:rFonts w:eastAsia="Calibri"/>
        </w:rPr>
        <w:t>The following table shows the percentage of pupils that met or exceeded standards on the 2018–19 CAASPP for ELA and math for ACII, CUSD</w:t>
      </w:r>
      <w:r w:rsidR="00A93EF1" w:rsidRPr="00DD604A">
        <w:rPr>
          <w:rFonts w:eastAsia="Calibri"/>
        </w:rPr>
        <w:t xml:space="preserve">, </w:t>
      </w:r>
      <w:r w:rsidRPr="00DD604A">
        <w:rPr>
          <w:rFonts w:eastAsia="Calibri"/>
        </w:rPr>
        <w:t>and the State of California.</w:t>
      </w:r>
    </w:p>
    <w:p w14:paraId="11D1E630" w14:textId="77777777" w:rsidR="00D33C42" w:rsidRPr="00DD604A" w:rsidRDefault="00D33C42" w:rsidP="00532123">
      <w:pPr>
        <w:pStyle w:val="Heading6"/>
        <w:rPr>
          <w:rFonts w:eastAsia="Calibri"/>
          <w:color w:val="000000"/>
        </w:rPr>
      </w:pPr>
      <w:r w:rsidRPr="00DD604A">
        <w:rPr>
          <w:rFonts w:eastAsia="Calibri"/>
        </w:rPr>
        <w:t>CAASPP Results for ACII, CUSD, and California (Percent Meets or Exceeds Standards)</w:t>
      </w:r>
    </w:p>
    <w:tbl>
      <w:tblPr>
        <w:tblStyle w:val="GridTable1Light12"/>
        <w:tblW w:w="5000" w:type="pct"/>
        <w:tblLook w:val="04A0" w:firstRow="1" w:lastRow="0" w:firstColumn="1" w:lastColumn="0" w:noHBand="0" w:noVBand="1"/>
        <w:tblDescription w:val="CAASPP Results for ACII, CUSD, and California (Percent Meets/Exceeds Standards)"/>
      </w:tblPr>
      <w:tblGrid>
        <w:gridCol w:w="3116"/>
        <w:gridCol w:w="3117"/>
        <w:gridCol w:w="3117"/>
      </w:tblGrid>
      <w:tr w:rsidR="00D33C42" w:rsidRPr="00DD604A" w14:paraId="2E3D08AE" w14:textId="77777777" w:rsidTr="007C007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6" w:type="pct"/>
            <w:shd w:val="clear" w:color="auto" w:fill="D9D9D9" w:themeFill="background1" w:themeFillShade="D9"/>
            <w:hideMark/>
          </w:tcPr>
          <w:p w14:paraId="3C786C65" w14:textId="77777777" w:rsidR="00D33C42" w:rsidRPr="00DD604A" w:rsidRDefault="00D33C42" w:rsidP="00772977">
            <w:pPr>
              <w:spacing w:before="100" w:beforeAutospacing="1" w:after="100" w:afterAutospacing="1"/>
              <w:rPr>
                <w:rFonts w:eastAsia="Calibri" w:cs="Arial"/>
                <w:sz w:val="22"/>
                <w:szCs w:val="22"/>
              </w:rPr>
            </w:pPr>
            <w:r w:rsidRPr="00DD604A">
              <w:rPr>
                <w:rFonts w:eastAsia="Calibri" w:cs="Arial"/>
                <w:bCs w:val="0"/>
              </w:rPr>
              <w:t>Entity</w:t>
            </w:r>
          </w:p>
        </w:tc>
        <w:tc>
          <w:tcPr>
            <w:tcW w:w="1667" w:type="pct"/>
            <w:shd w:val="clear" w:color="auto" w:fill="D9D9D9" w:themeFill="background1" w:themeFillShade="D9"/>
            <w:hideMark/>
          </w:tcPr>
          <w:p w14:paraId="72E337EE" w14:textId="77777777" w:rsidR="00D33C42" w:rsidRPr="00DD604A" w:rsidRDefault="00D33C42" w:rsidP="0077297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ELA</w:t>
            </w:r>
          </w:p>
        </w:tc>
        <w:tc>
          <w:tcPr>
            <w:tcW w:w="1667" w:type="pct"/>
            <w:shd w:val="clear" w:color="auto" w:fill="D9D9D9" w:themeFill="background1" w:themeFillShade="D9"/>
            <w:hideMark/>
          </w:tcPr>
          <w:p w14:paraId="11E58C1E" w14:textId="77777777" w:rsidR="00D33C42" w:rsidRPr="00DD604A" w:rsidRDefault="00D33C42" w:rsidP="00772977">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eastAsia="Calibri" w:cs="Arial"/>
              </w:rPr>
            </w:pPr>
            <w:r w:rsidRPr="00DD604A">
              <w:rPr>
                <w:rFonts w:eastAsia="Calibri" w:cs="Arial"/>
                <w:bCs w:val="0"/>
              </w:rPr>
              <w:t>2018–19 Math</w:t>
            </w:r>
          </w:p>
        </w:tc>
      </w:tr>
      <w:tr w:rsidR="00D33C42" w:rsidRPr="00DD604A" w14:paraId="75389AE6"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7682D45F" w14:textId="77777777" w:rsidR="00D33C42" w:rsidRPr="00DD604A" w:rsidRDefault="00D33C42" w:rsidP="00772977">
            <w:pPr>
              <w:spacing w:before="100" w:beforeAutospacing="1" w:after="100" w:afterAutospacing="1"/>
              <w:rPr>
                <w:rFonts w:eastAsia="Calibri" w:cs="Arial"/>
              </w:rPr>
            </w:pPr>
            <w:r w:rsidRPr="00DD604A">
              <w:rPr>
                <w:rFonts w:eastAsia="Calibri" w:cs="Arial"/>
                <w:bCs w:val="0"/>
              </w:rPr>
              <w:t>ACII</w:t>
            </w:r>
          </w:p>
        </w:tc>
        <w:tc>
          <w:tcPr>
            <w:tcW w:w="1667" w:type="pct"/>
            <w:hideMark/>
          </w:tcPr>
          <w:p w14:paraId="141A4690"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58</w:t>
            </w:r>
          </w:p>
        </w:tc>
        <w:tc>
          <w:tcPr>
            <w:tcW w:w="1667" w:type="pct"/>
            <w:hideMark/>
          </w:tcPr>
          <w:p w14:paraId="4F11B424"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16</w:t>
            </w:r>
          </w:p>
        </w:tc>
      </w:tr>
      <w:tr w:rsidR="00D33C42" w:rsidRPr="00DD604A" w14:paraId="210A42F7"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hideMark/>
          </w:tcPr>
          <w:p w14:paraId="179B50E2" w14:textId="77777777" w:rsidR="00D33C42" w:rsidRPr="00DD604A" w:rsidRDefault="00D33C42" w:rsidP="00772977">
            <w:pPr>
              <w:spacing w:before="100" w:beforeAutospacing="1" w:after="100" w:afterAutospacing="1"/>
              <w:rPr>
                <w:rFonts w:eastAsia="Calibri" w:cs="Arial"/>
              </w:rPr>
            </w:pPr>
            <w:r w:rsidRPr="00DD604A">
              <w:rPr>
                <w:rFonts w:eastAsia="Calibri" w:cs="Arial"/>
                <w:bCs w:val="0"/>
              </w:rPr>
              <w:t>CUSD</w:t>
            </w:r>
          </w:p>
        </w:tc>
        <w:tc>
          <w:tcPr>
            <w:tcW w:w="1667" w:type="pct"/>
            <w:hideMark/>
          </w:tcPr>
          <w:p w14:paraId="3C7AB429"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76</w:t>
            </w:r>
          </w:p>
        </w:tc>
        <w:tc>
          <w:tcPr>
            <w:tcW w:w="1667" w:type="pct"/>
            <w:hideMark/>
          </w:tcPr>
          <w:p w14:paraId="4A5E5C5D" w14:textId="77777777" w:rsidR="00D33C42" w:rsidRPr="00DD604A" w:rsidRDefault="00D33C42" w:rsidP="00772977">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DD604A">
              <w:rPr>
                <w:rFonts w:eastAsia="Calibri" w:cs="Arial"/>
              </w:rPr>
              <w:t>68</w:t>
            </w:r>
          </w:p>
        </w:tc>
      </w:tr>
      <w:tr w:rsidR="00D33C42" w:rsidRPr="00DD604A" w14:paraId="55133601" w14:textId="77777777" w:rsidTr="007C007B">
        <w:trPr>
          <w:cantSplit/>
        </w:trPr>
        <w:tc>
          <w:tcPr>
            <w:cnfStyle w:val="001000000000" w:firstRow="0" w:lastRow="0" w:firstColumn="1" w:lastColumn="0" w:oddVBand="0" w:evenVBand="0" w:oddHBand="0" w:evenHBand="0" w:firstRowFirstColumn="0" w:firstRowLastColumn="0" w:lastRowFirstColumn="0" w:lastRowLastColumn="0"/>
            <w:tcW w:w="1666" w:type="pct"/>
          </w:tcPr>
          <w:p w14:paraId="21B7B5C7" w14:textId="77777777" w:rsidR="00D33C42" w:rsidRPr="00DD604A" w:rsidRDefault="00D33C42" w:rsidP="00772977">
            <w:pPr>
              <w:spacing w:before="100" w:beforeAutospacing="1" w:after="100" w:afterAutospacing="1"/>
              <w:rPr>
                <w:rFonts w:eastAsia="Calibri" w:cs="Arial"/>
                <w:bCs w:val="0"/>
              </w:rPr>
            </w:pPr>
            <w:r w:rsidRPr="00DD604A">
              <w:rPr>
                <w:rFonts w:eastAsia="Calibri" w:cs="Arial"/>
                <w:bCs w:val="0"/>
              </w:rPr>
              <w:t xml:space="preserve">California </w:t>
            </w:r>
          </w:p>
        </w:tc>
        <w:tc>
          <w:tcPr>
            <w:tcW w:w="1667" w:type="pct"/>
          </w:tcPr>
          <w:p w14:paraId="1FC5680A"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51</w:t>
            </w:r>
          </w:p>
        </w:tc>
        <w:tc>
          <w:tcPr>
            <w:tcW w:w="1667" w:type="pct"/>
          </w:tcPr>
          <w:p w14:paraId="73350BD1" w14:textId="77777777" w:rsidR="00D33C42" w:rsidRPr="00DD604A" w:rsidRDefault="00D33C42" w:rsidP="00772977">
            <w:pPr>
              <w:spacing w:before="0" w:after="0"/>
              <w:jc w:val="center"/>
              <w:cnfStyle w:val="000000000000" w:firstRow="0" w:lastRow="0" w:firstColumn="0" w:lastColumn="0" w:oddVBand="0" w:evenVBand="0" w:oddHBand="0" w:evenHBand="0" w:firstRowFirstColumn="0" w:firstRowLastColumn="0" w:lastRowFirstColumn="0" w:lastRowLastColumn="0"/>
              <w:rPr>
                <w:rFonts w:cs="Arial"/>
              </w:rPr>
            </w:pPr>
            <w:r w:rsidRPr="00DD604A">
              <w:rPr>
                <w:rFonts w:cs="Arial"/>
              </w:rPr>
              <w:t>40</w:t>
            </w:r>
          </w:p>
        </w:tc>
      </w:tr>
    </w:tbl>
    <w:p w14:paraId="579B9955" w14:textId="77777777" w:rsidR="00DE4BBA" w:rsidRPr="00DD604A" w:rsidRDefault="000D7744" w:rsidP="00772977">
      <w:pPr>
        <w:pStyle w:val="Heading2"/>
      </w:pPr>
      <w:bookmarkStart w:id="23" w:name="_Hlk41401877"/>
      <w:bookmarkEnd w:id="8"/>
      <w:bookmarkEnd w:id="11"/>
      <w:r w:rsidRPr="00DD604A">
        <w:t>A</w:t>
      </w:r>
      <w:r w:rsidR="4DEED74F" w:rsidRPr="00DD604A">
        <w:t>bility</w:t>
      </w:r>
      <w:r w:rsidR="4EE23F13" w:rsidRPr="00DD604A">
        <w:t xml:space="preserve"> to Implement</w:t>
      </w:r>
    </w:p>
    <w:p w14:paraId="0756298C" w14:textId="3351C81F" w:rsidR="00EC1F40" w:rsidRPr="00DD604A" w:rsidRDefault="00EC1F40" w:rsidP="00772977">
      <w:pPr>
        <w:pStyle w:val="Heading3"/>
        <w:rPr>
          <w:sz w:val="18"/>
          <w:szCs w:val="18"/>
        </w:rPr>
      </w:pPr>
      <w:bookmarkStart w:id="24" w:name="_Hlk41911356"/>
      <w:bookmarkStart w:id="25" w:name="_Hlk41989772"/>
      <w:bookmarkStart w:id="26" w:name="_Hlk41459600"/>
      <w:r w:rsidRPr="00DD604A">
        <w:rPr>
          <w:rStyle w:val="normaltextrun"/>
          <w:bCs/>
        </w:rPr>
        <w:t>Fiscal Analysis</w:t>
      </w:r>
    </w:p>
    <w:p w14:paraId="0F84A745" w14:textId="017F7E76" w:rsidR="00EC1F40" w:rsidRPr="00DD604A" w:rsidRDefault="00EC1F40" w:rsidP="00772977">
      <w:pPr>
        <w:pStyle w:val="paragraph"/>
        <w:spacing w:before="240" w:beforeAutospacing="0" w:after="240" w:afterAutospacing="0"/>
        <w:textAlignment w:val="baseline"/>
        <w:rPr>
          <w:rFonts w:ascii="Arial" w:hAnsi="Arial" w:cs="Arial"/>
        </w:rPr>
      </w:pPr>
      <w:r w:rsidRPr="00DD604A">
        <w:rPr>
          <w:rStyle w:val="normaltextrun"/>
          <w:rFonts w:ascii="Arial" w:eastAsia="Calibri" w:hAnsi="Arial" w:cs="Arial"/>
        </w:rPr>
        <w:t>The AC</w:t>
      </w:r>
      <w:r w:rsidR="00633F29" w:rsidRPr="00DD604A">
        <w:rPr>
          <w:rStyle w:val="normaltextrun"/>
          <w:rFonts w:ascii="Arial" w:eastAsia="Calibri" w:hAnsi="Arial" w:cs="Arial"/>
        </w:rPr>
        <w:t>II</w:t>
      </w:r>
      <w:r w:rsidRPr="00DD604A">
        <w:rPr>
          <w:rStyle w:val="normaltextrun"/>
          <w:rFonts w:ascii="Arial" w:eastAsia="Calibri" w:hAnsi="Arial" w:cs="Arial"/>
        </w:rPr>
        <w:t> multi-year projected budget includes the following projected pupil enrollment (</w:t>
      </w:r>
      <w:r w:rsidRPr="00207D4A">
        <w:rPr>
          <w:rStyle w:val="normaltextrun"/>
          <w:rFonts w:ascii="Arial" w:eastAsia="Calibri" w:hAnsi="Arial" w:cs="Arial"/>
        </w:rPr>
        <w:t>Attachment 4</w:t>
      </w:r>
      <w:r w:rsidR="00A83B88" w:rsidRPr="00207D4A">
        <w:rPr>
          <w:rStyle w:val="normaltextrun"/>
          <w:rFonts w:ascii="Arial" w:eastAsia="Calibri" w:hAnsi="Arial" w:cs="Arial"/>
        </w:rPr>
        <w:t xml:space="preserve"> of Agenda Item 3 on the SBE April 2021 ACCS Meeting Agenda web page at </w:t>
      </w:r>
      <w:hyperlink r:id="rId29" w:history="1">
        <w:r w:rsidR="00A83B88" w:rsidRPr="00207D4A">
          <w:rPr>
            <w:rStyle w:val="Hyperlink"/>
            <w:rFonts w:ascii="Arial" w:eastAsia="Calibri" w:hAnsi="Arial" w:cs="Arial"/>
          </w:rPr>
          <w:t>https://www.cde.ca.gov/be/cc/cs/accsnotice041321.asp</w:t>
        </w:r>
      </w:hyperlink>
      <w:r w:rsidRPr="00207D4A">
        <w:rPr>
          <w:rStyle w:val="normaltextrun"/>
          <w:rFonts w:ascii="Arial" w:eastAsia="Calibri" w:hAnsi="Arial" w:cs="Arial"/>
        </w:rPr>
        <w:t>):</w:t>
      </w:r>
    </w:p>
    <w:p w14:paraId="6F11B983" w14:textId="49313DE7" w:rsidR="00EC1F40" w:rsidRPr="00DD604A" w:rsidRDefault="00EC1F40" w:rsidP="00772977">
      <w:pPr>
        <w:pStyle w:val="paragraph"/>
        <w:numPr>
          <w:ilvl w:val="0"/>
          <w:numId w:val="66"/>
        </w:numPr>
        <w:spacing w:before="0" w:beforeAutospacing="0" w:after="0" w:afterAutospacing="0"/>
        <w:textAlignment w:val="baseline"/>
        <w:rPr>
          <w:rFonts w:ascii="Arial" w:hAnsi="Arial" w:cs="Arial"/>
        </w:rPr>
      </w:pPr>
      <w:r w:rsidRPr="00DD604A">
        <w:rPr>
          <w:rStyle w:val="normaltextrun"/>
          <w:rFonts w:ascii="Arial" w:eastAsia="Calibri" w:hAnsi="Arial" w:cs="Arial"/>
        </w:rPr>
        <w:t xml:space="preserve">280 </w:t>
      </w:r>
      <w:r w:rsidR="00036D26" w:rsidRPr="00DD604A">
        <w:rPr>
          <w:rStyle w:val="normaltextrun"/>
          <w:rFonts w:ascii="Arial" w:eastAsia="Calibri" w:hAnsi="Arial" w:cs="Arial"/>
        </w:rPr>
        <w:t>K</w:t>
      </w:r>
      <w:r w:rsidRPr="00DD604A">
        <w:rPr>
          <w:rStyle w:val="normaltextrun"/>
          <w:rFonts w:ascii="Arial" w:eastAsia="Calibri" w:hAnsi="Arial" w:cs="Arial"/>
        </w:rPr>
        <w:t> through </w:t>
      </w:r>
      <w:r w:rsidR="00E5345D" w:rsidRPr="00DD604A">
        <w:rPr>
          <w:rStyle w:val="normaltextrun"/>
          <w:rFonts w:ascii="Arial" w:eastAsia="Calibri" w:hAnsi="Arial" w:cs="Arial"/>
        </w:rPr>
        <w:t xml:space="preserve">grade </w:t>
      </w:r>
      <w:r w:rsidRPr="00DD604A">
        <w:rPr>
          <w:rStyle w:val="normaltextrun"/>
          <w:rFonts w:ascii="Arial" w:eastAsia="Calibri" w:hAnsi="Arial" w:cs="Arial"/>
        </w:rPr>
        <w:t>twelve in 2021–22</w:t>
      </w:r>
    </w:p>
    <w:p w14:paraId="1606C051" w14:textId="0120AC26" w:rsidR="00EC1F40" w:rsidRPr="00DD604A" w:rsidRDefault="00EC1F40" w:rsidP="00772977">
      <w:pPr>
        <w:pStyle w:val="paragraph"/>
        <w:numPr>
          <w:ilvl w:val="0"/>
          <w:numId w:val="66"/>
        </w:numPr>
        <w:spacing w:before="0" w:beforeAutospacing="0" w:after="0" w:afterAutospacing="0"/>
        <w:textAlignment w:val="baseline"/>
        <w:rPr>
          <w:rFonts w:ascii="Arial" w:hAnsi="Arial" w:cs="Arial"/>
        </w:rPr>
      </w:pPr>
      <w:r w:rsidRPr="00DD604A">
        <w:rPr>
          <w:rStyle w:val="normaltextrun"/>
          <w:rFonts w:ascii="Arial" w:eastAsia="Calibri" w:hAnsi="Arial" w:cs="Arial"/>
        </w:rPr>
        <w:t>28</w:t>
      </w:r>
      <w:r w:rsidR="0082653C" w:rsidRPr="00DD604A">
        <w:rPr>
          <w:rStyle w:val="normaltextrun"/>
          <w:rFonts w:ascii="Arial" w:eastAsia="Calibri" w:hAnsi="Arial" w:cs="Arial"/>
        </w:rPr>
        <w:t>9</w:t>
      </w:r>
      <w:r w:rsidRPr="00DD604A">
        <w:rPr>
          <w:rStyle w:val="normaltextrun"/>
          <w:rFonts w:ascii="Arial" w:eastAsia="Calibri" w:hAnsi="Arial" w:cs="Arial"/>
        </w:rPr>
        <w:t> </w:t>
      </w:r>
      <w:r w:rsidR="00036D26" w:rsidRPr="00DD604A">
        <w:rPr>
          <w:rStyle w:val="normaltextrun"/>
          <w:rFonts w:ascii="Arial" w:eastAsia="Calibri" w:hAnsi="Arial" w:cs="Arial"/>
        </w:rPr>
        <w:t>K</w:t>
      </w:r>
      <w:r w:rsidRPr="00DD604A">
        <w:rPr>
          <w:rStyle w:val="normaltextrun"/>
          <w:rFonts w:ascii="Arial" w:eastAsia="Calibri" w:hAnsi="Arial" w:cs="Arial"/>
        </w:rPr>
        <w:t> through</w:t>
      </w:r>
      <w:r w:rsidR="00E5345D" w:rsidRPr="00DD604A">
        <w:rPr>
          <w:rStyle w:val="normaltextrun"/>
          <w:rFonts w:ascii="Arial" w:eastAsia="Calibri" w:hAnsi="Arial" w:cs="Arial"/>
        </w:rPr>
        <w:t xml:space="preserve"> grade</w:t>
      </w:r>
      <w:r w:rsidRPr="00DD604A">
        <w:rPr>
          <w:rStyle w:val="normaltextrun"/>
          <w:rFonts w:ascii="Arial" w:eastAsia="Calibri" w:hAnsi="Arial" w:cs="Arial"/>
        </w:rPr>
        <w:t> twelve in 2022–23</w:t>
      </w:r>
    </w:p>
    <w:p w14:paraId="1C0CA24B" w14:textId="5D78F07D" w:rsidR="00EC1F40" w:rsidRPr="00DD604A" w:rsidRDefault="00EC1F40" w:rsidP="00772977">
      <w:pPr>
        <w:pStyle w:val="paragraph"/>
        <w:numPr>
          <w:ilvl w:val="0"/>
          <w:numId w:val="66"/>
        </w:numPr>
        <w:spacing w:before="0" w:beforeAutospacing="0" w:after="0" w:afterAutospacing="0"/>
        <w:textAlignment w:val="baseline"/>
        <w:rPr>
          <w:rFonts w:ascii="Arial" w:hAnsi="Arial" w:cs="Arial"/>
        </w:rPr>
      </w:pPr>
      <w:r w:rsidRPr="00DD604A">
        <w:rPr>
          <w:rStyle w:val="normaltextrun"/>
          <w:rFonts w:ascii="Arial" w:eastAsia="Calibri" w:hAnsi="Arial" w:cs="Arial"/>
        </w:rPr>
        <w:t>299 </w:t>
      </w:r>
      <w:r w:rsidR="00036D26" w:rsidRPr="00DD604A">
        <w:rPr>
          <w:rStyle w:val="normaltextrun"/>
          <w:rFonts w:ascii="Arial" w:eastAsia="Calibri" w:hAnsi="Arial" w:cs="Arial"/>
        </w:rPr>
        <w:t>K</w:t>
      </w:r>
      <w:r w:rsidRPr="00DD604A">
        <w:rPr>
          <w:rStyle w:val="normaltextrun"/>
          <w:rFonts w:ascii="Arial" w:eastAsia="Calibri" w:hAnsi="Arial" w:cs="Arial"/>
        </w:rPr>
        <w:t> through </w:t>
      </w:r>
      <w:r w:rsidR="00E5345D" w:rsidRPr="00DD604A">
        <w:rPr>
          <w:rStyle w:val="normaltextrun"/>
          <w:rFonts w:ascii="Arial" w:eastAsia="Calibri" w:hAnsi="Arial" w:cs="Arial"/>
        </w:rPr>
        <w:t xml:space="preserve">grade </w:t>
      </w:r>
      <w:r w:rsidRPr="00DD604A">
        <w:rPr>
          <w:rStyle w:val="normaltextrun"/>
          <w:rFonts w:ascii="Arial" w:eastAsia="Calibri" w:hAnsi="Arial" w:cs="Arial"/>
        </w:rPr>
        <w:t>twelve in 2023–24</w:t>
      </w:r>
    </w:p>
    <w:p w14:paraId="2BBAD9EF" w14:textId="03AEDE95" w:rsidR="00EC1F40" w:rsidRPr="00DD604A" w:rsidRDefault="00EC1F40" w:rsidP="00772977">
      <w:pPr>
        <w:pStyle w:val="paragraph"/>
        <w:numPr>
          <w:ilvl w:val="0"/>
          <w:numId w:val="66"/>
        </w:numPr>
        <w:spacing w:before="0" w:beforeAutospacing="0" w:after="0" w:afterAutospacing="0"/>
        <w:textAlignment w:val="baseline"/>
        <w:rPr>
          <w:rStyle w:val="eop"/>
          <w:rFonts w:ascii="Arial" w:hAnsi="Arial" w:cs="Arial"/>
        </w:rPr>
      </w:pPr>
      <w:r w:rsidRPr="00DD604A">
        <w:rPr>
          <w:rStyle w:val="normaltextrun"/>
          <w:rFonts w:ascii="Arial" w:eastAsia="Calibri" w:hAnsi="Arial" w:cs="Arial"/>
        </w:rPr>
        <w:t>310 </w:t>
      </w:r>
      <w:r w:rsidR="00036D26" w:rsidRPr="00DD604A">
        <w:rPr>
          <w:rStyle w:val="normaltextrun"/>
          <w:rFonts w:ascii="Arial" w:eastAsia="Calibri" w:hAnsi="Arial" w:cs="Arial"/>
        </w:rPr>
        <w:t>K</w:t>
      </w:r>
      <w:r w:rsidRPr="00DD604A">
        <w:rPr>
          <w:rStyle w:val="normaltextrun"/>
          <w:rFonts w:ascii="Arial" w:eastAsia="Calibri" w:hAnsi="Arial" w:cs="Arial"/>
        </w:rPr>
        <w:t> through </w:t>
      </w:r>
      <w:r w:rsidR="00E5345D" w:rsidRPr="00DD604A">
        <w:rPr>
          <w:rStyle w:val="normaltextrun"/>
          <w:rFonts w:ascii="Arial" w:eastAsia="Calibri" w:hAnsi="Arial" w:cs="Arial"/>
        </w:rPr>
        <w:t xml:space="preserve">grade </w:t>
      </w:r>
      <w:r w:rsidRPr="00DD604A">
        <w:rPr>
          <w:rStyle w:val="normaltextrun"/>
          <w:rFonts w:ascii="Arial" w:eastAsia="Calibri" w:hAnsi="Arial" w:cs="Arial"/>
        </w:rPr>
        <w:t>twelve in 2024–25</w:t>
      </w:r>
    </w:p>
    <w:p w14:paraId="3A4772A0" w14:textId="77777777" w:rsidR="00EC1F40" w:rsidRPr="00DD604A" w:rsidRDefault="00036D26" w:rsidP="00772977">
      <w:pPr>
        <w:pStyle w:val="paragraph"/>
        <w:numPr>
          <w:ilvl w:val="0"/>
          <w:numId w:val="66"/>
        </w:numPr>
        <w:spacing w:before="0" w:beforeAutospacing="0" w:after="0" w:afterAutospacing="0"/>
        <w:textAlignment w:val="baseline"/>
        <w:rPr>
          <w:rFonts w:ascii="Arial" w:hAnsi="Arial" w:cs="Arial"/>
        </w:rPr>
      </w:pPr>
      <w:r w:rsidRPr="00DD604A">
        <w:rPr>
          <w:rFonts w:ascii="Arial" w:hAnsi="Arial" w:cs="Arial"/>
        </w:rPr>
        <w:t xml:space="preserve">320 K through </w:t>
      </w:r>
      <w:r w:rsidR="00E5345D" w:rsidRPr="00DD604A">
        <w:rPr>
          <w:rStyle w:val="normaltextrun"/>
          <w:rFonts w:ascii="Arial" w:eastAsia="Calibri" w:hAnsi="Arial" w:cs="Arial"/>
        </w:rPr>
        <w:t xml:space="preserve">grade </w:t>
      </w:r>
      <w:r w:rsidRPr="00DD604A">
        <w:rPr>
          <w:rFonts w:ascii="Arial" w:hAnsi="Arial" w:cs="Arial"/>
        </w:rPr>
        <w:t>twelve in 2025</w:t>
      </w:r>
      <w:r w:rsidRPr="00DD604A">
        <w:rPr>
          <w:rStyle w:val="normaltextrun"/>
          <w:rFonts w:ascii="Arial" w:eastAsia="Calibri" w:hAnsi="Arial" w:cs="Arial"/>
        </w:rPr>
        <w:t>–26</w:t>
      </w:r>
    </w:p>
    <w:p w14:paraId="620544EE" w14:textId="0CB737A4" w:rsidR="00B47A10" w:rsidRPr="00DD604A" w:rsidRDefault="00EC1F40" w:rsidP="00772977">
      <w:pPr>
        <w:pStyle w:val="paragraph"/>
        <w:spacing w:before="240" w:beforeAutospacing="0" w:after="240" w:afterAutospacing="0"/>
        <w:textAlignment w:val="baseline"/>
        <w:rPr>
          <w:rStyle w:val="normaltextrun"/>
          <w:rFonts w:ascii="Arial" w:eastAsia="Calibri" w:hAnsi="Arial" w:cs="Arial"/>
        </w:rPr>
      </w:pPr>
      <w:r w:rsidRPr="00DD604A">
        <w:rPr>
          <w:rStyle w:val="normaltextrun"/>
          <w:rFonts w:ascii="Arial" w:eastAsia="Calibri" w:hAnsi="Arial" w:cs="Arial"/>
        </w:rPr>
        <w:t>AC</w:t>
      </w:r>
      <w:r w:rsidR="00B47A10" w:rsidRPr="00DD604A">
        <w:rPr>
          <w:rStyle w:val="normaltextrun"/>
          <w:rFonts w:ascii="Arial" w:eastAsia="Calibri" w:hAnsi="Arial" w:cs="Arial"/>
        </w:rPr>
        <w:t>II</w:t>
      </w:r>
      <w:r w:rsidRPr="00DD604A">
        <w:rPr>
          <w:rStyle w:val="normaltextrun"/>
          <w:rFonts w:ascii="Arial" w:eastAsia="Calibri" w:hAnsi="Arial" w:cs="Arial"/>
        </w:rPr>
        <w:t> has a good financial record under SBE authorization. AC</w:t>
      </w:r>
      <w:r w:rsidR="00B47A10" w:rsidRPr="00DD604A">
        <w:rPr>
          <w:rStyle w:val="normaltextrun"/>
          <w:rFonts w:ascii="Arial" w:eastAsia="Calibri" w:hAnsi="Arial" w:cs="Arial"/>
        </w:rPr>
        <w:t xml:space="preserve">II’s </w:t>
      </w:r>
      <w:r w:rsidR="00B24D8E" w:rsidRPr="00DD604A">
        <w:rPr>
          <w:rStyle w:val="normaltextrun"/>
          <w:rFonts w:ascii="Arial" w:eastAsia="Calibri" w:hAnsi="Arial" w:cs="Arial"/>
        </w:rPr>
        <w:t>f</w:t>
      </w:r>
      <w:r w:rsidRPr="00DD604A">
        <w:rPr>
          <w:rStyle w:val="normaltextrun"/>
          <w:rFonts w:ascii="Arial" w:eastAsia="Calibri" w:hAnsi="Arial" w:cs="Arial"/>
        </w:rPr>
        <w:t xml:space="preserve">iscal </w:t>
      </w:r>
      <w:r w:rsidR="00B24D8E" w:rsidRPr="00DD604A">
        <w:rPr>
          <w:rStyle w:val="normaltextrun"/>
          <w:rFonts w:ascii="Arial" w:eastAsia="Calibri" w:hAnsi="Arial" w:cs="Arial"/>
        </w:rPr>
        <w:t>y</w:t>
      </w:r>
      <w:r w:rsidRPr="00DD604A">
        <w:rPr>
          <w:rStyle w:val="normaltextrun"/>
          <w:rFonts w:ascii="Arial" w:eastAsia="Calibri" w:hAnsi="Arial" w:cs="Arial"/>
        </w:rPr>
        <w:t>ear 2020–21 first interim report dated December 15, 2020</w:t>
      </w:r>
      <w:r w:rsidR="00B24D8E" w:rsidRPr="00DD604A">
        <w:rPr>
          <w:rStyle w:val="normaltextrun"/>
          <w:rFonts w:ascii="Arial" w:eastAsia="Calibri" w:hAnsi="Arial" w:cs="Arial"/>
        </w:rPr>
        <w:t>,</w:t>
      </w:r>
      <w:r w:rsidRPr="00DD604A">
        <w:rPr>
          <w:rStyle w:val="normaltextrun"/>
          <w:rFonts w:ascii="Arial" w:eastAsia="Calibri" w:hAnsi="Arial" w:cs="Arial"/>
        </w:rPr>
        <w:t xml:space="preserve"> indicates that AC</w:t>
      </w:r>
      <w:r w:rsidR="00B47A10" w:rsidRPr="00DD604A">
        <w:rPr>
          <w:rStyle w:val="normaltextrun"/>
          <w:rFonts w:ascii="Arial" w:eastAsia="Calibri" w:hAnsi="Arial" w:cs="Arial"/>
        </w:rPr>
        <w:t>II</w:t>
      </w:r>
      <w:r w:rsidRPr="00DD604A">
        <w:rPr>
          <w:rStyle w:val="normaltextrun"/>
          <w:rFonts w:ascii="Arial" w:eastAsia="Calibri" w:hAnsi="Arial" w:cs="Arial"/>
        </w:rPr>
        <w:t> is projecting a positive ending fund balance of $1,959,433 and reserves of 51 percent, which is above the recommended 5 percent in reserves outlined in the Memorandum of Understanding between AC</w:t>
      </w:r>
      <w:r w:rsidR="00B47A10" w:rsidRPr="00DD604A">
        <w:rPr>
          <w:rStyle w:val="normaltextrun"/>
          <w:rFonts w:ascii="Arial" w:eastAsia="Calibri" w:hAnsi="Arial" w:cs="Arial"/>
        </w:rPr>
        <w:t>II</w:t>
      </w:r>
      <w:r w:rsidRPr="00DD604A">
        <w:rPr>
          <w:rStyle w:val="normaltextrun"/>
          <w:rFonts w:ascii="Arial" w:eastAsia="Calibri" w:hAnsi="Arial" w:cs="Arial"/>
        </w:rPr>
        <w:t> and the SBE.</w:t>
      </w:r>
    </w:p>
    <w:p w14:paraId="7F32525F" w14:textId="6BDE4606" w:rsidR="00EC1F40" w:rsidRPr="00DD604A" w:rsidRDefault="00E5345D" w:rsidP="00772977">
      <w:pPr>
        <w:pStyle w:val="paragraph"/>
        <w:spacing w:before="240" w:beforeAutospacing="0" w:after="240" w:afterAutospacing="0"/>
        <w:textAlignment w:val="baseline"/>
        <w:rPr>
          <w:rFonts w:ascii="Arial" w:hAnsi="Arial" w:cs="Arial"/>
        </w:rPr>
      </w:pPr>
      <w:r w:rsidRPr="00DD604A">
        <w:rPr>
          <w:rStyle w:val="normaltextrun"/>
          <w:rFonts w:ascii="Arial" w:eastAsia="Calibri" w:hAnsi="Arial" w:cs="Arial"/>
        </w:rPr>
        <w:t xml:space="preserve">The </w:t>
      </w:r>
      <w:r w:rsidR="00EC1F40" w:rsidRPr="00DD604A">
        <w:rPr>
          <w:rStyle w:val="normaltextrun"/>
          <w:rFonts w:ascii="Arial" w:eastAsia="Calibri" w:hAnsi="Arial" w:cs="Arial"/>
        </w:rPr>
        <w:t>CDE reviewed audited financial data from the 2018–19 audit report that reflected an unqualified status with an ending fund balance of $1,863,336 and a reserve designated for economic uncertainty of 51 percent.</w:t>
      </w:r>
    </w:p>
    <w:p w14:paraId="488F06A4" w14:textId="77777777" w:rsidR="00EC1F40" w:rsidRPr="00DD604A" w:rsidRDefault="00EC1F40" w:rsidP="00772977">
      <w:pPr>
        <w:pStyle w:val="paragraph"/>
        <w:spacing w:before="240" w:beforeAutospacing="0" w:after="240" w:afterAutospacing="0"/>
        <w:textAlignment w:val="baseline"/>
        <w:rPr>
          <w:rStyle w:val="normaltextrun"/>
          <w:rFonts w:ascii="Arial" w:eastAsia="Calibri" w:hAnsi="Arial" w:cs="Arial"/>
        </w:rPr>
      </w:pPr>
      <w:bookmarkStart w:id="27" w:name="_Hlk67401019"/>
      <w:r w:rsidRPr="00DD604A">
        <w:rPr>
          <w:rStyle w:val="normaltextrun"/>
          <w:rFonts w:ascii="Arial" w:eastAsia="Calibri" w:hAnsi="Arial" w:cs="Arial"/>
        </w:rPr>
        <w:t>The projected financial plan for AC</w:t>
      </w:r>
      <w:r w:rsidR="00B24D8E" w:rsidRPr="00DD604A">
        <w:rPr>
          <w:rStyle w:val="normaltextrun"/>
          <w:rFonts w:ascii="Arial" w:eastAsia="Calibri" w:hAnsi="Arial" w:cs="Arial"/>
        </w:rPr>
        <w:t>II</w:t>
      </w:r>
      <w:r w:rsidRPr="00DD604A">
        <w:rPr>
          <w:rStyle w:val="normaltextrun"/>
          <w:rFonts w:ascii="Arial" w:eastAsia="Calibri" w:hAnsi="Arial" w:cs="Arial"/>
        </w:rPr>
        <w:t> is fiscally sustainable. The CDE concludes that the AC</w:t>
      </w:r>
      <w:r w:rsidR="007912A0" w:rsidRPr="00DD604A">
        <w:rPr>
          <w:rStyle w:val="normaltextrun"/>
          <w:rFonts w:ascii="Arial" w:eastAsia="Calibri" w:hAnsi="Arial" w:cs="Arial"/>
        </w:rPr>
        <w:t>II</w:t>
      </w:r>
      <w:r w:rsidRPr="00DD604A">
        <w:rPr>
          <w:rStyle w:val="normaltextrun"/>
          <w:rFonts w:ascii="Arial" w:eastAsia="Calibri" w:hAnsi="Arial" w:cs="Arial"/>
        </w:rPr>
        <w:t>’</w:t>
      </w:r>
      <w:r w:rsidR="007912A0" w:rsidRPr="00DD604A">
        <w:rPr>
          <w:rStyle w:val="normaltextrun"/>
          <w:rFonts w:ascii="Arial" w:eastAsia="Calibri" w:hAnsi="Arial" w:cs="Arial"/>
        </w:rPr>
        <w:t>s</w:t>
      </w:r>
      <w:r w:rsidRPr="00DD604A">
        <w:rPr>
          <w:rStyle w:val="normaltextrun"/>
          <w:rFonts w:ascii="Arial" w:eastAsia="Calibri" w:hAnsi="Arial" w:cs="Arial"/>
        </w:rPr>
        <w:t xml:space="preserve"> multi-year financial plan does provide for projected operating surpluses, increasing positive fund balances</w:t>
      </w:r>
      <w:r w:rsidR="00B24D8E" w:rsidRPr="00DD604A">
        <w:rPr>
          <w:rStyle w:val="normaltextrun"/>
          <w:rFonts w:ascii="Arial" w:eastAsia="Calibri" w:hAnsi="Arial" w:cs="Arial"/>
        </w:rPr>
        <w:t>,</w:t>
      </w:r>
      <w:r w:rsidRPr="00DD604A">
        <w:rPr>
          <w:rStyle w:val="normaltextrun"/>
          <w:rFonts w:ascii="Arial" w:eastAsia="Calibri" w:hAnsi="Arial" w:cs="Arial"/>
        </w:rPr>
        <w:t xml:space="preserve"> and adequate reserves.</w:t>
      </w:r>
    </w:p>
    <w:p w14:paraId="31FE8C6F" w14:textId="77777777" w:rsidR="000D7744" w:rsidRPr="00DD604A" w:rsidRDefault="00F723A8" w:rsidP="00772977">
      <w:pPr>
        <w:pStyle w:val="Heading2"/>
        <w:rPr>
          <w:rFonts w:eastAsia="Calibri"/>
        </w:rPr>
      </w:pPr>
      <w:bookmarkStart w:id="28" w:name="_Hlk67160318"/>
      <w:bookmarkEnd w:id="23"/>
      <w:bookmarkEnd w:id="24"/>
      <w:bookmarkEnd w:id="25"/>
      <w:bookmarkEnd w:id="26"/>
      <w:bookmarkEnd w:id="27"/>
      <w:r w:rsidRPr="00DD604A">
        <w:rPr>
          <w:rFonts w:eastAsia="Calibri"/>
        </w:rPr>
        <w:lastRenderedPageBreak/>
        <w:t>Carlsbad Unified</w:t>
      </w:r>
      <w:r w:rsidR="00FD345A" w:rsidRPr="00DD604A">
        <w:rPr>
          <w:rFonts w:eastAsia="Calibri"/>
        </w:rPr>
        <w:t xml:space="preserve"> </w:t>
      </w:r>
      <w:r w:rsidR="000D7744" w:rsidRPr="00DD604A">
        <w:rPr>
          <w:rFonts w:eastAsia="Calibri"/>
        </w:rPr>
        <w:t>School District Findings</w:t>
      </w:r>
    </w:p>
    <w:p w14:paraId="0D5E4369" w14:textId="669D99AC" w:rsidR="0033606C" w:rsidRPr="00DD604A" w:rsidRDefault="000D7744" w:rsidP="00772977">
      <w:pPr>
        <w:rPr>
          <w:rFonts w:eastAsia="Calibri"/>
        </w:rPr>
      </w:pPr>
      <w:r w:rsidRPr="00DD604A">
        <w:rPr>
          <w:rFonts w:eastAsia="Calibri"/>
        </w:rPr>
        <w:t xml:space="preserve">On </w:t>
      </w:r>
      <w:r w:rsidR="0052105D" w:rsidRPr="00DD604A">
        <w:rPr>
          <w:rFonts w:eastAsia="Calibri"/>
        </w:rPr>
        <w:t>December 9</w:t>
      </w:r>
      <w:r w:rsidRPr="00DD604A">
        <w:rPr>
          <w:rFonts w:eastAsia="Calibri"/>
        </w:rPr>
        <w:t xml:space="preserve">, 2020, </w:t>
      </w:r>
      <w:r w:rsidR="00051008" w:rsidRPr="00DD604A">
        <w:rPr>
          <w:rFonts w:eastAsia="Calibri"/>
        </w:rPr>
        <w:t>CUSD</w:t>
      </w:r>
      <w:r w:rsidRPr="00DD604A">
        <w:rPr>
          <w:rFonts w:eastAsia="Calibri"/>
        </w:rPr>
        <w:t xml:space="preserve"> </w:t>
      </w:r>
      <w:proofErr w:type="gramStart"/>
      <w:r w:rsidRPr="00DD604A">
        <w:rPr>
          <w:rFonts w:eastAsia="Calibri"/>
        </w:rPr>
        <w:t>took action</w:t>
      </w:r>
      <w:proofErr w:type="gramEnd"/>
      <w:r w:rsidRPr="00DD604A">
        <w:rPr>
          <w:rFonts w:eastAsia="Calibri"/>
        </w:rPr>
        <w:t xml:space="preserve"> and denied the renewal charter petition for </w:t>
      </w:r>
      <w:r w:rsidR="00373D1B" w:rsidRPr="00DD604A">
        <w:rPr>
          <w:rFonts w:eastAsia="Calibri"/>
        </w:rPr>
        <w:t>ACII</w:t>
      </w:r>
      <w:r w:rsidRPr="00DD604A">
        <w:rPr>
          <w:rFonts w:eastAsia="Calibri"/>
        </w:rPr>
        <w:t xml:space="preserve"> based on the </w:t>
      </w:r>
      <w:r w:rsidR="005F05F6" w:rsidRPr="00DD604A">
        <w:rPr>
          <w:rFonts w:eastAsia="Calibri"/>
        </w:rPr>
        <w:t>following</w:t>
      </w:r>
      <w:r w:rsidR="00B24D8E" w:rsidRPr="00DD604A">
        <w:rPr>
          <w:rFonts w:eastAsia="Calibri"/>
        </w:rPr>
        <w:t xml:space="preserve"> </w:t>
      </w:r>
      <w:r w:rsidRPr="00DD604A">
        <w:rPr>
          <w:rFonts w:eastAsia="Calibri"/>
        </w:rPr>
        <w:t>findings</w:t>
      </w:r>
      <w:r w:rsidR="005F05F6" w:rsidRPr="00DD604A">
        <w:rPr>
          <w:rFonts w:eastAsia="Calibri"/>
        </w:rPr>
        <w:t>:</w:t>
      </w:r>
    </w:p>
    <w:p w14:paraId="744CD8C0" w14:textId="77777777" w:rsidR="00882B69" w:rsidRPr="00DD604A" w:rsidRDefault="00882B69" w:rsidP="00772977">
      <w:pPr>
        <w:pStyle w:val="ListParagraph"/>
        <w:numPr>
          <w:ilvl w:val="0"/>
          <w:numId w:val="64"/>
        </w:numPr>
        <w:rPr>
          <w:rFonts w:eastAsia="Calibri"/>
        </w:rPr>
      </w:pPr>
      <w:r w:rsidRPr="00DD604A">
        <w:rPr>
          <w:rFonts w:eastAsia="Calibri"/>
        </w:rPr>
        <w:t>The charter school presents an unsound educational program for the pupils to be enrolled in the charter school.</w:t>
      </w:r>
    </w:p>
    <w:p w14:paraId="43243423" w14:textId="77777777" w:rsidR="00882B69" w:rsidRPr="00DD604A" w:rsidRDefault="00882B69" w:rsidP="00772977">
      <w:pPr>
        <w:pStyle w:val="ListParagraph"/>
        <w:numPr>
          <w:ilvl w:val="0"/>
          <w:numId w:val="64"/>
        </w:numPr>
        <w:rPr>
          <w:rFonts w:eastAsia="Calibri"/>
        </w:rPr>
      </w:pPr>
      <w:r w:rsidRPr="00DD604A">
        <w:rPr>
          <w:rFonts w:eastAsia="Calibri"/>
        </w:rPr>
        <w:t>The petitioners are demonstrably unlikely to successfully implement the program set forth in the petition.</w:t>
      </w:r>
    </w:p>
    <w:p w14:paraId="5EF0FC41" w14:textId="77777777" w:rsidR="00882B69" w:rsidRPr="00DD604A" w:rsidRDefault="00882B69" w:rsidP="00772977">
      <w:pPr>
        <w:pStyle w:val="ListParagraph"/>
        <w:numPr>
          <w:ilvl w:val="0"/>
          <w:numId w:val="64"/>
        </w:numPr>
        <w:rPr>
          <w:rFonts w:eastAsia="Calibri"/>
        </w:rPr>
      </w:pPr>
      <w:r w:rsidRPr="00DD604A">
        <w:rPr>
          <w:rFonts w:eastAsia="Calibri"/>
        </w:rPr>
        <w:t xml:space="preserve">The petition does not contain an affirmation of each of the conditions described in </w:t>
      </w:r>
      <w:r w:rsidR="00CE2AC1" w:rsidRPr="00DD604A">
        <w:rPr>
          <w:rFonts w:eastAsia="Calibri"/>
          <w:i/>
        </w:rPr>
        <w:t>EC</w:t>
      </w:r>
      <w:r w:rsidR="00CE2AC1" w:rsidRPr="00DD604A">
        <w:rPr>
          <w:rFonts w:eastAsia="Calibri"/>
        </w:rPr>
        <w:t xml:space="preserve"> </w:t>
      </w:r>
      <w:r w:rsidRPr="00DD604A">
        <w:rPr>
          <w:rFonts w:eastAsia="Calibri"/>
        </w:rPr>
        <w:t>Section 4760</w:t>
      </w:r>
      <w:r w:rsidR="00CE2AC1" w:rsidRPr="00DD604A">
        <w:rPr>
          <w:rFonts w:eastAsia="Calibri"/>
        </w:rPr>
        <w:t>5(e)</w:t>
      </w:r>
      <w:r w:rsidRPr="00DD604A">
        <w:rPr>
          <w:rFonts w:eastAsia="Calibri"/>
        </w:rPr>
        <w:t>.</w:t>
      </w:r>
    </w:p>
    <w:p w14:paraId="5E0A25C6" w14:textId="77777777" w:rsidR="00882B69" w:rsidRPr="00DD604A" w:rsidRDefault="00882B69" w:rsidP="00772977">
      <w:pPr>
        <w:pStyle w:val="ListParagraph"/>
        <w:numPr>
          <w:ilvl w:val="0"/>
          <w:numId w:val="64"/>
        </w:numPr>
        <w:rPr>
          <w:rFonts w:eastAsia="Calibri"/>
        </w:rPr>
      </w:pPr>
      <w:r w:rsidRPr="00DD604A">
        <w:rPr>
          <w:rFonts w:eastAsia="Calibri"/>
        </w:rPr>
        <w:t xml:space="preserve">The petition does not contain reasonably comprehensive descriptions of the </w:t>
      </w:r>
      <w:r w:rsidR="00633F29" w:rsidRPr="00DD604A">
        <w:rPr>
          <w:rFonts w:eastAsia="Calibri"/>
        </w:rPr>
        <w:t>15</w:t>
      </w:r>
      <w:r w:rsidR="00CE2AC1" w:rsidRPr="00DD604A">
        <w:rPr>
          <w:rFonts w:eastAsia="Calibri"/>
        </w:rPr>
        <w:t xml:space="preserve"> </w:t>
      </w:r>
      <w:r w:rsidRPr="00DD604A">
        <w:rPr>
          <w:rFonts w:eastAsia="Calibri"/>
        </w:rPr>
        <w:t>required elements.</w:t>
      </w:r>
    </w:p>
    <w:p w14:paraId="465806CE" w14:textId="71A0605F" w:rsidR="00E85185" w:rsidRPr="00DD604A" w:rsidRDefault="00882B69" w:rsidP="00772977">
      <w:pPr>
        <w:pStyle w:val="ListParagraph"/>
        <w:numPr>
          <w:ilvl w:val="0"/>
          <w:numId w:val="64"/>
        </w:numPr>
      </w:pPr>
      <w:r w:rsidRPr="00DD604A">
        <w:rPr>
          <w:rFonts w:eastAsia="Calibri"/>
        </w:rPr>
        <w:t>The petition does not contain a declaration of whether or not the charter school shall be deemed the exclusive public employer of the employees of the charter school</w:t>
      </w:r>
      <w:r w:rsidR="00E85185" w:rsidRPr="00DD604A">
        <w:rPr>
          <w:rFonts w:eastAsia="Calibri"/>
        </w:rPr>
        <w:t xml:space="preserve"> </w:t>
      </w:r>
      <w:r w:rsidR="00F4654E" w:rsidRPr="00207D4A">
        <w:rPr>
          <w:rFonts w:eastAsia="Calibri"/>
        </w:rPr>
        <w:t>(Attachment 5</w:t>
      </w:r>
      <w:r w:rsidR="00A83B88" w:rsidRPr="00207D4A">
        <w:rPr>
          <w:rFonts w:eastAsia="Calibri" w:cs="Arial"/>
        </w:rPr>
        <w:t xml:space="preserve"> of Agenda Item 3 on the SBE April 2021 ACCS Meeting Agenda web page at </w:t>
      </w:r>
      <w:hyperlink r:id="rId30" w:tooltip="SBE April 2021 ACCS Meeting Agenda web page" w:history="1">
        <w:r w:rsidR="00A83B88" w:rsidRPr="00207D4A">
          <w:rPr>
            <w:rStyle w:val="Hyperlink"/>
            <w:rFonts w:eastAsia="Calibri" w:cs="Arial"/>
          </w:rPr>
          <w:t>https://www.cde.ca.gov/be/cc/cs/accsnotice041321.asp</w:t>
        </w:r>
      </w:hyperlink>
      <w:r w:rsidR="00F4654E" w:rsidRPr="00207D4A">
        <w:rPr>
          <w:rFonts w:eastAsia="Calibri"/>
        </w:rPr>
        <w:t>).</w:t>
      </w:r>
    </w:p>
    <w:p w14:paraId="3A09D990" w14:textId="77777777" w:rsidR="000D7744" w:rsidRPr="00DD604A" w:rsidRDefault="000D7744" w:rsidP="00772977">
      <w:pPr>
        <w:pStyle w:val="Heading2"/>
      </w:pPr>
      <w:r w:rsidRPr="00DD604A">
        <w:t>Charter Elements</w:t>
      </w:r>
    </w:p>
    <w:p w14:paraId="26EC4327" w14:textId="287912DF" w:rsidR="000D7744" w:rsidRPr="00DD604A" w:rsidRDefault="000D7744" w:rsidP="00772977">
      <w:r w:rsidRPr="00DD604A">
        <w:t xml:space="preserve">The CDE finds that the </w:t>
      </w:r>
      <w:r w:rsidR="00373D1B" w:rsidRPr="00DD604A">
        <w:t>ACII</w:t>
      </w:r>
      <w:r w:rsidRPr="00DD604A">
        <w:t xml:space="preserve"> petition does</w:t>
      </w:r>
      <w:r w:rsidR="00C36E32" w:rsidRPr="00DD604A">
        <w:t>, overall,</w:t>
      </w:r>
      <w:r w:rsidRPr="00DD604A">
        <w:t xml:space="preserve"> provide a reasonably comprehensive description of the required charter elements (Attachment 1, p. </w:t>
      </w:r>
      <w:r w:rsidR="00EE487C" w:rsidRPr="00DD604A">
        <w:t>5</w:t>
      </w:r>
      <w:r w:rsidR="00090045" w:rsidRPr="00DD604A">
        <w:t>)</w:t>
      </w:r>
      <w:r w:rsidR="001F7550" w:rsidRPr="00DD604A">
        <w:t>.</w:t>
      </w:r>
      <w:r w:rsidR="00E357A6" w:rsidRPr="00DD604A">
        <w:t xml:space="preserve"> However, the CDE notes that the following charter elements could be strengthened and made more specific:</w:t>
      </w:r>
    </w:p>
    <w:p w14:paraId="50D900D7" w14:textId="77777777" w:rsidR="000D7744" w:rsidRPr="00DD604A" w:rsidRDefault="000D7744" w:rsidP="00772977">
      <w:pPr>
        <w:pStyle w:val="Heading3"/>
      </w:pPr>
      <w:bookmarkStart w:id="29" w:name="_Hlk67301818"/>
      <w:r w:rsidRPr="00DD604A">
        <w:t>Element A</w:t>
      </w:r>
      <w:r w:rsidR="00AF1128" w:rsidRPr="00DD604A">
        <w:rPr>
          <w:rFonts w:ascii="Times New Roman" w:hAnsi="Times New Roman" w:cs="Times New Roman"/>
        </w:rPr>
        <w:t>—</w:t>
      </w:r>
      <w:r w:rsidRPr="00DD604A">
        <w:t>Description of Educational Program</w:t>
      </w:r>
    </w:p>
    <w:p w14:paraId="3002117F" w14:textId="471D4762" w:rsidR="00080A95" w:rsidRPr="00DD604A" w:rsidRDefault="00C441D8" w:rsidP="00772977">
      <w:pPr>
        <w:pStyle w:val="NormalWeb"/>
        <w:shd w:val="clear" w:color="auto" w:fill="FFFFFF"/>
        <w:spacing w:before="240" w:after="240"/>
        <w:textAlignment w:val="baseline"/>
        <w:rPr>
          <w:rFonts w:ascii="Arial" w:hAnsi="Arial" w:cs="Arial"/>
          <w:sz w:val="24"/>
          <w:szCs w:val="24"/>
        </w:rPr>
      </w:pPr>
      <w:r w:rsidRPr="00DD604A">
        <w:rPr>
          <w:rFonts w:ascii="Arial" w:hAnsi="Arial" w:cs="Arial"/>
          <w:sz w:val="24"/>
          <w:szCs w:val="24"/>
        </w:rPr>
        <w:t>The ACII petition is not specific regardi</w:t>
      </w:r>
      <w:r w:rsidR="003C56FC" w:rsidRPr="00DD604A">
        <w:rPr>
          <w:rFonts w:ascii="Arial" w:hAnsi="Arial" w:cs="Arial"/>
          <w:sz w:val="24"/>
          <w:szCs w:val="24"/>
        </w:rPr>
        <w:t xml:space="preserve">ng </w:t>
      </w:r>
      <w:r w:rsidRPr="00DD604A">
        <w:rPr>
          <w:rFonts w:ascii="Arial" w:hAnsi="Arial" w:cs="Arial"/>
          <w:color w:val="000000"/>
          <w:sz w:val="24"/>
          <w:szCs w:val="24"/>
        </w:rPr>
        <w:t>L</w:t>
      </w:r>
      <w:r w:rsidR="00633F29" w:rsidRPr="00DD604A">
        <w:rPr>
          <w:rFonts w:ascii="Arial" w:hAnsi="Arial" w:cs="Arial"/>
          <w:color w:val="000000"/>
          <w:sz w:val="24"/>
          <w:szCs w:val="24"/>
        </w:rPr>
        <w:t>east Restrictive Environment (L</w:t>
      </w:r>
      <w:r w:rsidRPr="00DD604A">
        <w:rPr>
          <w:rFonts w:ascii="Arial" w:hAnsi="Arial" w:cs="Arial"/>
          <w:color w:val="000000"/>
          <w:sz w:val="24"/>
          <w:szCs w:val="24"/>
        </w:rPr>
        <w:t>RE</w:t>
      </w:r>
      <w:r w:rsidR="00633F29" w:rsidRPr="00DD604A">
        <w:rPr>
          <w:rFonts w:ascii="Arial" w:hAnsi="Arial" w:cs="Arial"/>
          <w:color w:val="000000"/>
          <w:sz w:val="24"/>
          <w:szCs w:val="24"/>
        </w:rPr>
        <w:t>)</w:t>
      </w:r>
      <w:r w:rsidR="003C56FC" w:rsidRPr="00DD604A">
        <w:rPr>
          <w:rFonts w:ascii="Arial" w:hAnsi="Arial" w:cs="Arial"/>
          <w:color w:val="000000"/>
          <w:sz w:val="24"/>
          <w:szCs w:val="24"/>
        </w:rPr>
        <w:t xml:space="preserve"> language</w:t>
      </w:r>
      <w:r w:rsidR="00B63FF3" w:rsidRPr="00DD604A">
        <w:rPr>
          <w:rFonts w:ascii="Arial" w:hAnsi="Arial" w:cs="Arial"/>
          <w:color w:val="000000"/>
          <w:sz w:val="24"/>
          <w:szCs w:val="24"/>
        </w:rPr>
        <w:t>:</w:t>
      </w:r>
    </w:p>
    <w:p w14:paraId="5A66035C" w14:textId="58846C35" w:rsidR="00080A95" w:rsidRPr="00DD604A" w:rsidRDefault="00080A95" w:rsidP="00772977">
      <w:pPr>
        <w:pStyle w:val="NormalWeb"/>
        <w:numPr>
          <w:ilvl w:val="0"/>
          <w:numId w:val="50"/>
        </w:numPr>
        <w:shd w:val="clear" w:color="auto" w:fill="FFFFFF"/>
        <w:spacing w:before="240" w:after="240"/>
        <w:textAlignment w:val="baseline"/>
        <w:rPr>
          <w:rFonts w:ascii="Arial" w:hAnsi="Arial" w:cs="Arial"/>
          <w:sz w:val="24"/>
          <w:szCs w:val="24"/>
        </w:rPr>
      </w:pPr>
      <w:r w:rsidRPr="00DD604A">
        <w:rPr>
          <w:rFonts w:ascii="Arial" w:hAnsi="Arial" w:cs="Arial"/>
          <w:color w:val="000000"/>
          <w:sz w:val="24"/>
          <w:szCs w:val="24"/>
        </w:rPr>
        <w:t>LRE language</w:t>
      </w:r>
      <w:r w:rsidR="00B63FF3" w:rsidRPr="00DD604A">
        <w:rPr>
          <w:rFonts w:ascii="Arial" w:hAnsi="Arial" w:cs="Arial"/>
          <w:color w:val="000000"/>
          <w:sz w:val="24"/>
          <w:szCs w:val="24"/>
        </w:rPr>
        <w:t>,</w:t>
      </w:r>
      <w:r w:rsidRPr="00DD604A">
        <w:rPr>
          <w:rFonts w:ascii="Arial" w:hAnsi="Arial" w:cs="Arial"/>
          <w:color w:val="000000"/>
          <w:sz w:val="24"/>
          <w:szCs w:val="24"/>
        </w:rPr>
        <w:t xml:space="preserve"> specifically </w:t>
      </w:r>
      <w:r w:rsidR="002A4C7C" w:rsidRPr="00DD604A">
        <w:rPr>
          <w:rFonts w:ascii="Arial" w:hAnsi="Arial" w:cs="Arial"/>
          <w:i/>
          <w:color w:val="000000"/>
          <w:sz w:val="24"/>
          <w:szCs w:val="24"/>
        </w:rPr>
        <w:t>Code of Federal Regulations</w:t>
      </w:r>
      <w:r w:rsidR="002A4C7C" w:rsidRPr="00DD604A">
        <w:rPr>
          <w:rFonts w:ascii="Arial" w:hAnsi="Arial" w:cs="Arial"/>
          <w:color w:val="000000"/>
          <w:sz w:val="24"/>
          <w:szCs w:val="24"/>
        </w:rPr>
        <w:t xml:space="preserve">, Title </w:t>
      </w:r>
      <w:r w:rsidR="00D709B3" w:rsidRPr="00DD604A">
        <w:rPr>
          <w:rFonts w:ascii="Arial" w:hAnsi="Arial" w:cs="Arial"/>
          <w:bCs/>
          <w:color w:val="333333"/>
          <w:sz w:val="24"/>
          <w:szCs w:val="24"/>
        </w:rPr>
        <w:t>34</w:t>
      </w:r>
      <w:r w:rsidRPr="00DD604A">
        <w:rPr>
          <w:rFonts w:ascii="Arial" w:hAnsi="Arial" w:cs="Arial"/>
          <w:bCs/>
          <w:i/>
          <w:color w:val="333333"/>
          <w:sz w:val="24"/>
          <w:szCs w:val="24"/>
        </w:rPr>
        <w:t xml:space="preserve"> </w:t>
      </w:r>
      <w:r w:rsidR="002A4C7C" w:rsidRPr="00DD604A">
        <w:rPr>
          <w:rFonts w:ascii="Arial" w:hAnsi="Arial" w:cs="Arial"/>
          <w:bCs/>
          <w:color w:val="333333"/>
          <w:sz w:val="24"/>
          <w:szCs w:val="24"/>
        </w:rPr>
        <w:t>(34</w:t>
      </w:r>
      <w:r w:rsidR="002A4C7C" w:rsidRPr="00DD604A">
        <w:rPr>
          <w:rFonts w:ascii="Arial" w:hAnsi="Arial" w:cs="Arial"/>
          <w:bCs/>
          <w:i/>
          <w:color w:val="333333"/>
          <w:sz w:val="24"/>
          <w:szCs w:val="24"/>
        </w:rPr>
        <w:t xml:space="preserve"> </w:t>
      </w:r>
      <w:r w:rsidRPr="00DD604A">
        <w:rPr>
          <w:rFonts w:ascii="Arial" w:hAnsi="Arial" w:cs="Arial"/>
          <w:bCs/>
          <w:i/>
          <w:color w:val="333333"/>
          <w:sz w:val="24"/>
          <w:szCs w:val="24"/>
        </w:rPr>
        <w:t>CFR</w:t>
      </w:r>
      <w:r w:rsidR="002A4C7C" w:rsidRPr="00DD604A">
        <w:rPr>
          <w:rFonts w:ascii="Arial" w:hAnsi="Arial" w:cs="Arial"/>
          <w:bCs/>
          <w:color w:val="333333"/>
          <w:sz w:val="24"/>
          <w:szCs w:val="24"/>
        </w:rPr>
        <w:t>)</w:t>
      </w:r>
      <w:r w:rsidRPr="00DD604A">
        <w:rPr>
          <w:rFonts w:ascii="Arial" w:hAnsi="Arial" w:cs="Arial"/>
          <w:bCs/>
          <w:color w:val="333333"/>
          <w:sz w:val="24"/>
          <w:szCs w:val="24"/>
        </w:rPr>
        <w:t xml:space="preserve"> Section 300.114</w:t>
      </w:r>
      <w:r w:rsidR="00CE2AC1" w:rsidRPr="00DD604A">
        <w:rPr>
          <w:rFonts w:ascii="Arial" w:hAnsi="Arial" w:cs="Arial"/>
          <w:bCs/>
          <w:color w:val="333333"/>
          <w:sz w:val="24"/>
          <w:szCs w:val="24"/>
        </w:rPr>
        <w:t>,</w:t>
      </w:r>
      <w:r w:rsidRPr="00DD604A">
        <w:rPr>
          <w:rFonts w:ascii="Arial" w:hAnsi="Arial" w:cs="Arial"/>
          <w:bCs/>
          <w:color w:val="333333"/>
          <w:sz w:val="24"/>
          <w:szCs w:val="24"/>
        </w:rPr>
        <w:t xml:space="preserve"> LRE requirements</w:t>
      </w:r>
      <w:r w:rsidR="00E5345D" w:rsidRPr="00DD604A">
        <w:rPr>
          <w:rFonts w:ascii="Arial" w:hAnsi="Arial" w:cs="Arial"/>
          <w:bCs/>
          <w:color w:val="333333"/>
          <w:sz w:val="24"/>
          <w:szCs w:val="24"/>
        </w:rPr>
        <w:t xml:space="preserve">. More </w:t>
      </w:r>
      <w:r w:rsidRPr="00DD604A">
        <w:rPr>
          <w:rFonts w:ascii="Arial" w:hAnsi="Arial" w:cs="Arial"/>
          <w:bCs/>
          <w:color w:val="333333"/>
          <w:sz w:val="24"/>
          <w:szCs w:val="24"/>
        </w:rPr>
        <w:t>specifically</w:t>
      </w:r>
      <w:r w:rsidRPr="00DD604A">
        <w:rPr>
          <w:rFonts w:ascii="Arial" w:hAnsi="Arial" w:cs="Arial"/>
          <w:color w:val="333333"/>
          <w:sz w:val="24"/>
          <w:szCs w:val="24"/>
        </w:rPr>
        <w:t xml:space="preserve"> </w:t>
      </w:r>
      <w:r w:rsidR="002A4C7C" w:rsidRPr="00DD604A">
        <w:rPr>
          <w:rFonts w:ascii="Arial" w:hAnsi="Arial" w:cs="Arial"/>
          <w:bCs/>
          <w:color w:val="333333"/>
          <w:sz w:val="24"/>
          <w:szCs w:val="24"/>
        </w:rPr>
        <w:t>34</w:t>
      </w:r>
      <w:r w:rsidRPr="00DD604A">
        <w:rPr>
          <w:rFonts w:ascii="Arial" w:hAnsi="Arial" w:cs="Arial"/>
          <w:b/>
          <w:color w:val="333333"/>
          <w:sz w:val="24"/>
          <w:szCs w:val="24"/>
        </w:rPr>
        <w:t xml:space="preserve"> </w:t>
      </w:r>
      <w:r w:rsidRPr="00DD604A">
        <w:rPr>
          <w:rFonts w:ascii="Arial" w:hAnsi="Arial" w:cs="Arial"/>
          <w:bCs/>
          <w:i/>
          <w:color w:val="333333"/>
          <w:sz w:val="24"/>
          <w:szCs w:val="24"/>
        </w:rPr>
        <w:t>CFR</w:t>
      </w:r>
      <w:r w:rsidRPr="00DD604A">
        <w:rPr>
          <w:rFonts w:ascii="Arial" w:hAnsi="Arial" w:cs="Arial"/>
          <w:bCs/>
          <w:color w:val="333333"/>
          <w:sz w:val="24"/>
          <w:szCs w:val="24"/>
        </w:rPr>
        <w:t xml:space="preserve"> Section 300.114</w:t>
      </w:r>
      <w:r w:rsidRPr="00DD604A">
        <w:rPr>
          <w:rFonts w:ascii="Arial" w:hAnsi="Arial" w:cs="Arial"/>
          <w:color w:val="333333"/>
          <w:sz w:val="24"/>
          <w:szCs w:val="24"/>
        </w:rPr>
        <w:t>(2)</w:t>
      </w:r>
      <w:r w:rsidR="00E5345D" w:rsidRPr="00DD604A">
        <w:rPr>
          <w:rFonts w:ascii="Arial" w:hAnsi="Arial" w:cs="Arial"/>
          <w:color w:val="333333"/>
          <w:sz w:val="24"/>
          <w:szCs w:val="24"/>
        </w:rPr>
        <w:t>, which states that e</w:t>
      </w:r>
      <w:r w:rsidRPr="00DD604A">
        <w:rPr>
          <w:rFonts w:ascii="Arial" w:hAnsi="Arial" w:cs="Arial"/>
          <w:color w:val="333333"/>
          <w:sz w:val="24"/>
          <w:szCs w:val="24"/>
        </w:rPr>
        <w:t>ach </w:t>
      </w:r>
      <w:hyperlink r:id="rId31" w:tgtFrame="_blank" w:history="1">
        <w:r w:rsidRPr="00DD604A">
          <w:rPr>
            <w:rStyle w:val="Hyperlink"/>
            <w:rFonts w:ascii="Arial" w:hAnsi="Arial" w:cs="Arial"/>
            <w:color w:val="auto"/>
            <w:sz w:val="24"/>
            <w:szCs w:val="24"/>
            <w:u w:val="none"/>
          </w:rPr>
          <w:t>public agency</w:t>
        </w:r>
      </w:hyperlink>
      <w:r w:rsidRPr="00DD604A">
        <w:rPr>
          <w:rFonts w:ascii="Arial" w:hAnsi="Arial" w:cs="Arial"/>
          <w:sz w:val="24"/>
          <w:szCs w:val="24"/>
        </w:rPr>
        <w:t xml:space="preserve"> must ensure </w:t>
      </w:r>
      <w:r w:rsidR="00E5345D" w:rsidRPr="00DD604A">
        <w:rPr>
          <w:rFonts w:ascii="Arial" w:hAnsi="Arial" w:cs="Arial"/>
          <w:sz w:val="24"/>
          <w:szCs w:val="24"/>
        </w:rPr>
        <w:t>the following</w:t>
      </w:r>
      <w:r w:rsidRPr="00DD604A">
        <w:rPr>
          <w:rFonts w:ascii="Arial" w:hAnsi="Arial" w:cs="Arial"/>
          <w:sz w:val="24"/>
          <w:szCs w:val="24"/>
        </w:rPr>
        <w:t>:</w:t>
      </w:r>
    </w:p>
    <w:p w14:paraId="169BD28A" w14:textId="77777777" w:rsidR="00080A95" w:rsidRPr="00DD604A" w:rsidRDefault="00080A95" w:rsidP="00772977">
      <w:pPr>
        <w:pStyle w:val="xydpcab304camsonormal"/>
        <w:numPr>
          <w:ilvl w:val="1"/>
          <w:numId w:val="50"/>
        </w:numPr>
        <w:shd w:val="clear" w:color="auto" w:fill="FFFFFF"/>
        <w:spacing w:before="240" w:beforeAutospacing="0" w:after="240" w:afterAutospacing="0"/>
        <w:rPr>
          <w:rFonts w:ascii="Arial" w:hAnsi="Arial" w:cs="Arial"/>
        </w:rPr>
      </w:pPr>
      <w:r w:rsidRPr="00DD604A">
        <w:rPr>
          <w:rFonts w:ascii="Arial" w:hAnsi="Arial" w:cs="Arial"/>
          <w:bCs/>
        </w:rPr>
        <w:t>(i)</w:t>
      </w:r>
      <w:r w:rsidRPr="00DD604A">
        <w:rPr>
          <w:rFonts w:ascii="Arial" w:hAnsi="Arial" w:cs="Arial"/>
        </w:rPr>
        <w:t> To the maximum extent appropriate, children with disabilities, including children in public or private institutions or other care facilities, are educated with children who are nondisabled; and</w:t>
      </w:r>
    </w:p>
    <w:p w14:paraId="72E8C41B" w14:textId="745861B0" w:rsidR="00080A95" w:rsidRPr="00DD604A" w:rsidRDefault="00080A95" w:rsidP="00772977">
      <w:pPr>
        <w:pStyle w:val="xydpcab304camsonormal"/>
        <w:numPr>
          <w:ilvl w:val="1"/>
          <w:numId w:val="50"/>
        </w:numPr>
        <w:shd w:val="clear" w:color="auto" w:fill="FFFFFF"/>
        <w:spacing w:before="240" w:beforeAutospacing="0" w:after="240" w:afterAutospacing="0"/>
        <w:rPr>
          <w:rFonts w:ascii="Arial" w:hAnsi="Arial" w:cs="Arial"/>
          <w:color w:val="212121"/>
        </w:rPr>
      </w:pPr>
      <w:r w:rsidRPr="00DD604A">
        <w:rPr>
          <w:rFonts w:ascii="Arial" w:hAnsi="Arial" w:cs="Arial"/>
          <w:bCs/>
        </w:rPr>
        <w:t>(ii)</w:t>
      </w:r>
      <w:r w:rsidR="00F320EF" w:rsidRPr="00DD604A">
        <w:rPr>
          <w:rFonts w:ascii="Arial" w:hAnsi="Arial" w:cs="Arial"/>
        </w:rPr>
        <w:t xml:space="preserve"> </w:t>
      </w:r>
      <w:r w:rsidRPr="00DD604A">
        <w:rPr>
          <w:rFonts w:ascii="Arial" w:hAnsi="Arial" w:cs="Arial"/>
        </w:rPr>
        <w:t>Special classes, separate schooling, or other removal of children with disabilities from the regular educational environment occurs only if the nature or severity of the disability is such that education in regular classes with the use of </w:t>
      </w:r>
      <w:hyperlink r:id="rId32" w:tgtFrame="_blank" w:history="1">
        <w:r w:rsidRPr="00DD604A">
          <w:rPr>
            <w:rStyle w:val="Hyperlink"/>
            <w:rFonts w:ascii="Arial" w:hAnsi="Arial" w:cs="Arial"/>
            <w:color w:val="auto"/>
            <w:u w:val="none"/>
          </w:rPr>
          <w:t>supplementary aids and services</w:t>
        </w:r>
      </w:hyperlink>
      <w:r w:rsidRPr="00DD604A">
        <w:rPr>
          <w:rFonts w:ascii="Arial" w:hAnsi="Arial" w:cs="Arial"/>
        </w:rPr>
        <w:t> </w:t>
      </w:r>
      <w:r w:rsidRPr="00DD604A">
        <w:rPr>
          <w:rFonts w:ascii="Arial" w:hAnsi="Arial" w:cs="Arial"/>
          <w:color w:val="333333"/>
        </w:rPr>
        <w:t>cannot be achieved satisfactorily.</w:t>
      </w:r>
    </w:p>
    <w:p w14:paraId="66B8470D" w14:textId="77777777" w:rsidR="000D7744" w:rsidRPr="00DD604A" w:rsidRDefault="000D7744" w:rsidP="00772977">
      <w:pPr>
        <w:pStyle w:val="Heading3"/>
      </w:pPr>
      <w:r w:rsidRPr="00DD604A">
        <w:lastRenderedPageBreak/>
        <w:t>Element J</w:t>
      </w:r>
      <w:r w:rsidR="00337168" w:rsidRPr="00DD604A">
        <w:rPr>
          <w:rFonts w:ascii="Times New Roman" w:hAnsi="Times New Roman" w:cs="Times New Roman"/>
        </w:rPr>
        <w:t>—</w:t>
      </w:r>
      <w:r w:rsidRPr="00DD604A">
        <w:t>Suspension and Expulsion Procedure</w:t>
      </w:r>
    </w:p>
    <w:p w14:paraId="52DBC7D2" w14:textId="5BB03B9E" w:rsidR="000D7744" w:rsidRPr="00DD604A" w:rsidRDefault="00B63FF3" w:rsidP="00772977">
      <w:pPr>
        <w:rPr>
          <w:rFonts w:eastAsiaTheme="minorEastAsia" w:cs="Arial"/>
          <w:color w:val="000000" w:themeColor="text1"/>
        </w:rPr>
      </w:pPr>
      <w:r w:rsidRPr="00DD604A">
        <w:rPr>
          <w:rStyle w:val="Strong"/>
          <w:rFonts w:eastAsia="Calibri" w:cs="Arial"/>
          <w:b w:val="0"/>
          <w:bCs w:val="0"/>
        </w:rPr>
        <w:t>T</w:t>
      </w:r>
      <w:r w:rsidR="002124D8" w:rsidRPr="00DD604A">
        <w:rPr>
          <w:rStyle w:val="Strong"/>
          <w:rFonts w:eastAsia="Calibri" w:cs="Arial"/>
          <w:b w:val="0"/>
          <w:bCs w:val="0"/>
        </w:rPr>
        <w:t>he</w:t>
      </w:r>
      <w:r w:rsidR="000D7744" w:rsidRPr="00DD604A">
        <w:rPr>
          <w:rStyle w:val="Strong"/>
          <w:rFonts w:eastAsia="Calibri" w:cs="Arial"/>
          <w:b w:val="0"/>
          <w:bCs w:val="0"/>
        </w:rPr>
        <w:t xml:space="preserve"> </w:t>
      </w:r>
      <w:r w:rsidR="00373D1B" w:rsidRPr="00DD604A">
        <w:rPr>
          <w:rStyle w:val="Strong"/>
          <w:rFonts w:eastAsia="Calibri" w:cs="Arial"/>
          <w:b w:val="0"/>
          <w:bCs w:val="0"/>
        </w:rPr>
        <w:t>ACII</w:t>
      </w:r>
      <w:r w:rsidR="000D7744" w:rsidRPr="00DD604A">
        <w:rPr>
          <w:rStyle w:val="Strong"/>
          <w:rFonts w:eastAsia="Calibri" w:cs="Arial"/>
          <w:b w:val="0"/>
          <w:bCs w:val="0"/>
        </w:rPr>
        <w:t xml:space="preserve"> petition does not specifically </w:t>
      </w:r>
      <w:r w:rsidR="00F76C5C" w:rsidRPr="00DD604A">
        <w:rPr>
          <w:rStyle w:val="Strong"/>
          <w:rFonts w:eastAsia="Calibri" w:cs="Arial"/>
          <w:b w:val="0"/>
          <w:bCs w:val="0"/>
        </w:rPr>
        <w:t>address</w:t>
      </w:r>
      <w:r w:rsidR="000D7744" w:rsidRPr="00DD604A">
        <w:rPr>
          <w:rStyle w:val="Strong"/>
          <w:rFonts w:eastAsia="Calibri" w:cs="Arial"/>
          <w:b w:val="0"/>
          <w:bCs w:val="0"/>
        </w:rPr>
        <w:t xml:space="preserve"> </w:t>
      </w:r>
      <w:r w:rsidR="00F76C5C" w:rsidRPr="00DD604A">
        <w:rPr>
          <w:rStyle w:val="Strong"/>
          <w:rFonts w:eastAsia="Calibri" w:cs="Arial"/>
          <w:b w:val="0"/>
          <w:bCs w:val="0"/>
        </w:rPr>
        <w:t>S</w:t>
      </w:r>
      <w:r w:rsidR="003C56FC" w:rsidRPr="00DD604A">
        <w:rPr>
          <w:rStyle w:val="Strong"/>
          <w:rFonts w:eastAsia="Calibri" w:cs="Arial"/>
          <w:b w:val="0"/>
          <w:bCs w:val="0"/>
        </w:rPr>
        <w:t xml:space="preserve">enate </w:t>
      </w:r>
      <w:r w:rsidR="00F76C5C" w:rsidRPr="00DD604A">
        <w:rPr>
          <w:rStyle w:val="Strong"/>
          <w:rFonts w:eastAsia="Calibri" w:cs="Arial"/>
          <w:b w:val="0"/>
          <w:bCs w:val="0"/>
        </w:rPr>
        <w:t>B</w:t>
      </w:r>
      <w:r w:rsidR="003C56FC" w:rsidRPr="00DD604A">
        <w:rPr>
          <w:rStyle w:val="Strong"/>
          <w:rFonts w:eastAsia="Calibri" w:cs="Arial"/>
          <w:b w:val="0"/>
          <w:bCs w:val="0"/>
        </w:rPr>
        <w:t>ill</w:t>
      </w:r>
      <w:r w:rsidR="00F76C5C" w:rsidRPr="00DD604A">
        <w:rPr>
          <w:rStyle w:val="Strong"/>
          <w:rFonts w:eastAsia="Calibri" w:cs="Arial"/>
          <w:b w:val="0"/>
          <w:bCs w:val="0"/>
        </w:rPr>
        <w:t xml:space="preserve"> </w:t>
      </w:r>
      <w:r w:rsidR="000D7744" w:rsidRPr="00DD604A">
        <w:rPr>
          <w:rStyle w:val="Strong"/>
          <w:rFonts w:eastAsia="Calibri" w:cs="Arial"/>
          <w:b w:val="0"/>
          <w:bCs w:val="0"/>
        </w:rPr>
        <w:t>419 that</w:t>
      </w:r>
      <w:r w:rsidR="000D7744" w:rsidRPr="00DD604A">
        <w:rPr>
          <w:rStyle w:val="Strong"/>
          <w:rFonts w:eastAsia="Calibri" w:cs="Arial"/>
        </w:rPr>
        <w:t xml:space="preserve"> </w:t>
      </w:r>
      <w:r w:rsidR="000D7744" w:rsidRPr="00DD604A">
        <w:rPr>
          <w:rFonts w:cs="Arial"/>
        </w:rPr>
        <w:t xml:space="preserve">amended </w:t>
      </w:r>
      <w:r w:rsidR="000D7744" w:rsidRPr="00DD604A">
        <w:rPr>
          <w:rFonts w:cs="Arial"/>
          <w:i/>
          <w:iCs/>
        </w:rPr>
        <w:t>EC</w:t>
      </w:r>
      <w:r w:rsidR="000D7744" w:rsidRPr="00DD604A">
        <w:rPr>
          <w:rFonts w:cs="Arial"/>
        </w:rPr>
        <w:t xml:space="preserve"> Section 48900(k) by extending the permanent prohibition against suspending </w:t>
      </w:r>
      <w:r w:rsidR="00914C70" w:rsidRPr="00DD604A">
        <w:rPr>
          <w:rFonts w:cs="Arial"/>
        </w:rPr>
        <w:t>pupils</w:t>
      </w:r>
      <w:r w:rsidR="000D7744" w:rsidRPr="00DD604A">
        <w:rPr>
          <w:rFonts w:cs="Arial"/>
        </w:rPr>
        <w:t xml:space="preserve"> enrolled in </w:t>
      </w:r>
      <w:r w:rsidR="00E5345D" w:rsidRPr="00DD604A">
        <w:rPr>
          <w:rFonts w:cs="Arial"/>
        </w:rPr>
        <w:t>K</w:t>
      </w:r>
      <w:r w:rsidR="000D7744" w:rsidRPr="00DD604A">
        <w:rPr>
          <w:rFonts w:cs="Arial"/>
        </w:rPr>
        <w:t xml:space="preserve"> through grade three for disruption or willful defiance to include </w:t>
      </w:r>
      <w:r w:rsidR="00914C70" w:rsidRPr="00DD604A">
        <w:rPr>
          <w:rFonts w:cs="Arial"/>
        </w:rPr>
        <w:t>pupils</w:t>
      </w:r>
      <w:r w:rsidR="000D7744" w:rsidRPr="00DD604A">
        <w:rPr>
          <w:rFonts w:cs="Arial"/>
        </w:rPr>
        <w:t xml:space="preserve"> in grades four and five. This prohibition </w:t>
      </w:r>
      <w:r w:rsidR="00EC487A" w:rsidRPr="00DD604A">
        <w:rPr>
          <w:rFonts w:cs="Arial"/>
        </w:rPr>
        <w:t>has</w:t>
      </w:r>
      <w:r w:rsidR="000D7744" w:rsidRPr="00DD604A">
        <w:rPr>
          <w:rFonts w:cs="Arial"/>
        </w:rPr>
        <w:t xml:space="preserve"> also be</w:t>
      </w:r>
      <w:r w:rsidR="00EC487A" w:rsidRPr="00DD604A">
        <w:rPr>
          <w:rFonts w:cs="Arial"/>
        </w:rPr>
        <w:t>en</w:t>
      </w:r>
      <w:r w:rsidR="000D7744" w:rsidRPr="00DD604A">
        <w:rPr>
          <w:rFonts w:cs="Arial"/>
        </w:rPr>
        <w:t xml:space="preserve"> expanded to include </w:t>
      </w:r>
      <w:r w:rsidR="00914C70" w:rsidRPr="00DD604A">
        <w:rPr>
          <w:rFonts w:cs="Arial"/>
        </w:rPr>
        <w:t>pupils</w:t>
      </w:r>
      <w:r w:rsidR="000D7744" w:rsidRPr="00DD604A">
        <w:rPr>
          <w:rFonts w:cs="Arial"/>
        </w:rPr>
        <w:t xml:space="preserve"> in grades six through eight until July 1, 2025 </w:t>
      </w:r>
      <w:r w:rsidR="002124D8" w:rsidRPr="00DD604A">
        <w:rPr>
          <w:rFonts w:cs="Arial"/>
        </w:rPr>
        <w:t>(</w:t>
      </w:r>
      <w:r w:rsidR="002124D8" w:rsidRPr="00207D4A">
        <w:rPr>
          <w:rFonts w:cs="Arial"/>
        </w:rPr>
        <w:t>Attachment</w:t>
      </w:r>
      <w:r w:rsidR="0052105D" w:rsidRPr="00207D4A">
        <w:rPr>
          <w:rFonts w:cs="Arial"/>
        </w:rPr>
        <w:t xml:space="preserve"> </w:t>
      </w:r>
      <w:r w:rsidR="002E2ADB" w:rsidRPr="00207D4A">
        <w:rPr>
          <w:rFonts w:cs="Arial"/>
        </w:rPr>
        <w:t>3</w:t>
      </w:r>
      <w:r w:rsidR="00A83B88" w:rsidRPr="00207D4A">
        <w:rPr>
          <w:rFonts w:eastAsia="Calibri" w:cs="Arial"/>
        </w:rPr>
        <w:t xml:space="preserve"> of Agenda Item 3 on the SBE April 2021 ACCS Meeting Agenda web page at </w:t>
      </w:r>
      <w:hyperlink r:id="rId33" w:tooltip="SBE April 2021 ACCS Meeting Agenda web page" w:history="1">
        <w:r w:rsidR="00A83B88" w:rsidRPr="00207D4A">
          <w:rPr>
            <w:rStyle w:val="Hyperlink"/>
            <w:rFonts w:eastAsia="Calibri" w:cs="Arial"/>
          </w:rPr>
          <w:t>https://www.cde.ca.gov/be/cc/cs/accsnotice041321.asp</w:t>
        </w:r>
      </w:hyperlink>
      <w:r w:rsidR="008E2355" w:rsidRPr="00207D4A">
        <w:rPr>
          <w:rFonts w:cs="Arial"/>
        </w:rPr>
        <w:t>)</w:t>
      </w:r>
      <w:r w:rsidR="00EC487A" w:rsidRPr="00207D4A">
        <w:rPr>
          <w:rFonts w:cs="Arial"/>
        </w:rPr>
        <w:t>.</w:t>
      </w:r>
    </w:p>
    <w:bookmarkEnd w:id="4"/>
    <w:bookmarkEnd w:id="5"/>
    <w:bookmarkEnd w:id="6"/>
    <w:bookmarkEnd w:id="28"/>
    <w:bookmarkEnd w:id="29"/>
    <w:p w14:paraId="5ABD2B09" w14:textId="77777777" w:rsidR="0097674B" w:rsidRPr="00DD604A" w:rsidRDefault="0097674B" w:rsidP="00772977">
      <w:pPr>
        <w:pStyle w:val="Heading2"/>
        <w:rPr>
          <w:rFonts w:eastAsia="Calibri"/>
        </w:rPr>
      </w:pPr>
      <w:r w:rsidRPr="00DD604A">
        <w:rPr>
          <w:rFonts w:eastAsia="Calibri"/>
        </w:rPr>
        <w:t>Conclusion</w:t>
      </w:r>
    </w:p>
    <w:p w14:paraId="2628D45C" w14:textId="5071A5B5" w:rsidR="0097674B" w:rsidRPr="00DD604A" w:rsidRDefault="0097674B" w:rsidP="00772977">
      <w:pPr>
        <w:rPr>
          <w:rFonts w:eastAsia="Calibri"/>
        </w:rPr>
      </w:pPr>
      <w:r w:rsidRPr="00DD604A">
        <w:rPr>
          <w:rFonts w:eastAsia="Calibri"/>
        </w:rPr>
        <w:t>In summary, the CDE recommend</w:t>
      </w:r>
      <w:r w:rsidR="00893762">
        <w:rPr>
          <w:rFonts w:eastAsia="Calibri"/>
        </w:rPr>
        <w:t>s</w:t>
      </w:r>
      <w:r w:rsidRPr="00DD604A">
        <w:rPr>
          <w:rFonts w:eastAsia="Calibri"/>
        </w:rPr>
        <w:t xml:space="preserve"> that the </w:t>
      </w:r>
      <w:r w:rsidR="003C56FC" w:rsidRPr="00DD604A">
        <w:rPr>
          <w:rFonts w:eastAsia="Calibri"/>
        </w:rPr>
        <w:t>SBE</w:t>
      </w:r>
      <w:r w:rsidRPr="00DD604A">
        <w:rPr>
          <w:rFonts w:eastAsia="Calibri"/>
        </w:rPr>
        <w:t xml:space="preserve"> </w:t>
      </w:r>
      <w:r w:rsidR="006971B7" w:rsidRPr="00DD604A">
        <w:rPr>
          <w:rFonts w:eastAsia="Calibri"/>
        </w:rPr>
        <w:t>approve</w:t>
      </w:r>
      <w:r w:rsidRPr="00DD604A">
        <w:rPr>
          <w:rFonts w:eastAsia="Calibri"/>
        </w:rPr>
        <w:t xml:space="preserve"> the request to renew the </w:t>
      </w:r>
      <w:r w:rsidR="00373D1B" w:rsidRPr="00DD604A">
        <w:rPr>
          <w:rFonts w:eastAsia="Calibri"/>
        </w:rPr>
        <w:t>ACII</w:t>
      </w:r>
      <w:r w:rsidRPr="00DD604A">
        <w:rPr>
          <w:rFonts w:eastAsia="Calibri"/>
        </w:rPr>
        <w:t xml:space="preserve"> petition.</w:t>
      </w:r>
    </w:p>
    <w:p w14:paraId="076789F8" w14:textId="7DA89F16" w:rsidR="004A34D7" w:rsidRPr="00DD604A" w:rsidRDefault="0097674B" w:rsidP="00772977">
      <w:r w:rsidRPr="00DD604A">
        <w:t xml:space="preserve">A detailed analysis of the CDE’s review of the entire </w:t>
      </w:r>
      <w:r w:rsidR="00373D1B" w:rsidRPr="00DD604A">
        <w:t>ACII</w:t>
      </w:r>
      <w:r w:rsidR="00A11797" w:rsidRPr="00DD604A">
        <w:t xml:space="preserve"> </w:t>
      </w:r>
      <w:r w:rsidRPr="00DD604A">
        <w:t>petition is provided in Attachment 1.</w:t>
      </w:r>
    </w:p>
    <w:p w14:paraId="2A249994" w14:textId="77777777" w:rsidR="00B31B59" w:rsidRPr="00DD604A" w:rsidRDefault="00B31B59" w:rsidP="00772977">
      <w:pPr>
        <w:pStyle w:val="Heading2"/>
      </w:pPr>
      <w:r w:rsidRPr="00DD604A">
        <w:t>Documents Reviewed by the California Department of Education</w:t>
      </w:r>
    </w:p>
    <w:p w14:paraId="59249C3B" w14:textId="48EBFC76" w:rsidR="00B31B59" w:rsidRPr="00DD604A" w:rsidRDefault="00B31B59" w:rsidP="00772977">
      <w:bookmarkStart w:id="30" w:name="_Hlk62124021"/>
      <w:r w:rsidRPr="00DD604A">
        <w:t xml:space="preserve">In considering the </w:t>
      </w:r>
      <w:r w:rsidR="00373D1B" w:rsidRPr="00DD604A">
        <w:t>ACII</w:t>
      </w:r>
      <w:r w:rsidRPr="00DD604A">
        <w:t xml:space="preserve"> petition, CDE staff reviewed the following</w:t>
      </w:r>
      <w:r w:rsidRPr="00DD604A">
        <w:rPr>
          <w:i/>
        </w:rPr>
        <w:t>:</w:t>
      </w:r>
    </w:p>
    <w:p w14:paraId="6C8A58A0" w14:textId="008BFCC2" w:rsidR="00B31B59" w:rsidRPr="00DD604A" w:rsidRDefault="00373D1B" w:rsidP="00772977">
      <w:pPr>
        <w:pStyle w:val="ListParagraph"/>
        <w:numPr>
          <w:ilvl w:val="0"/>
          <w:numId w:val="52"/>
        </w:numPr>
      </w:pPr>
      <w:r w:rsidRPr="00DD604A">
        <w:t>ACII</w:t>
      </w:r>
      <w:r w:rsidR="00B31B59" w:rsidRPr="00DD604A">
        <w:t xml:space="preserve"> petition (</w:t>
      </w:r>
      <w:r w:rsidR="00B31B59" w:rsidRPr="00207D4A">
        <w:t>Attachment 3</w:t>
      </w:r>
      <w:r w:rsidR="00A83B88" w:rsidRPr="00207D4A">
        <w:rPr>
          <w:rFonts w:eastAsia="Calibri" w:cs="Arial"/>
        </w:rPr>
        <w:t xml:space="preserve"> of Agenda Item 3 on the SBE April 2021 ACCS Meeting Agenda web page at </w:t>
      </w:r>
      <w:hyperlink r:id="rId34" w:tooltip="SBE April 2021 ACCS Meeting Agenda web page" w:history="1">
        <w:r w:rsidR="00A83B88" w:rsidRPr="00207D4A">
          <w:rPr>
            <w:rStyle w:val="Hyperlink"/>
            <w:rFonts w:eastAsia="Calibri" w:cs="Arial"/>
          </w:rPr>
          <w:t>https://www.cde.ca.gov/be/cc/cs/accsnotice041321.asp</w:t>
        </w:r>
      </w:hyperlink>
      <w:r w:rsidR="00B31B59" w:rsidRPr="00DD604A">
        <w:t>)</w:t>
      </w:r>
    </w:p>
    <w:p w14:paraId="1276E01F" w14:textId="79DE14CC" w:rsidR="00B31B59" w:rsidRPr="00DD604A" w:rsidRDefault="00B31B59" w:rsidP="00772977">
      <w:pPr>
        <w:pStyle w:val="ListParagraph"/>
        <w:numPr>
          <w:ilvl w:val="0"/>
          <w:numId w:val="52"/>
        </w:numPr>
      </w:pPr>
      <w:r w:rsidRPr="00DD604A">
        <w:t>Educational and demographic data of schools where pupils would otherwise be required to attend (</w:t>
      </w:r>
      <w:r w:rsidRPr="00207D4A">
        <w:t>Attachment 2</w:t>
      </w:r>
      <w:r w:rsidR="00A83B88" w:rsidRPr="00207D4A">
        <w:rPr>
          <w:rFonts w:eastAsia="Calibri" w:cs="Arial"/>
        </w:rPr>
        <w:t xml:space="preserve"> of Agenda Item 3 on the SBE April 2021 ACCS Meeting Agenda web page at </w:t>
      </w:r>
      <w:hyperlink r:id="rId35" w:tooltip="SBE April 2021 ACCS Meeting Agenda web page" w:history="1">
        <w:r w:rsidR="00A83B88" w:rsidRPr="00207D4A">
          <w:rPr>
            <w:rStyle w:val="Hyperlink"/>
            <w:rFonts w:eastAsia="Calibri" w:cs="Arial"/>
          </w:rPr>
          <w:t>https://www.cde.ca.gov/be/cc/cs/accsnotice041321.asp</w:t>
        </w:r>
      </w:hyperlink>
      <w:r w:rsidRPr="00DD604A">
        <w:t>)</w:t>
      </w:r>
    </w:p>
    <w:p w14:paraId="7580D19C" w14:textId="0342EB1F" w:rsidR="00B31B59" w:rsidRPr="00DD604A" w:rsidRDefault="00847E82" w:rsidP="00772977">
      <w:pPr>
        <w:pStyle w:val="ListParagraph"/>
        <w:numPr>
          <w:ilvl w:val="0"/>
          <w:numId w:val="52"/>
        </w:numPr>
      </w:pPr>
      <w:r w:rsidRPr="00DD604A">
        <w:rPr>
          <w:rFonts w:cs="Arial"/>
        </w:rPr>
        <w:t xml:space="preserve">ACII </w:t>
      </w:r>
      <w:r w:rsidR="00E5345D" w:rsidRPr="00DD604A">
        <w:rPr>
          <w:rFonts w:cs="Arial"/>
        </w:rPr>
        <w:t>budget and financial projections</w:t>
      </w:r>
      <w:r w:rsidR="00E5345D" w:rsidRPr="00DD604A">
        <w:t xml:space="preserve"> </w:t>
      </w:r>
      <w:r w:rsidR="00B31B59" w:rsidRPr="00DD604A">
        <w:t>(</w:t>
      </w:r>
      <w:r w:rsidR="00B31B59" w:rsidRPr="00207D4A">
        <w:t>Attachment 4</w:t>
      </w:r>
      <w:r w:rsidR="00A83B88" w:rsidRPr="00207D4A">
        <w:rPr>
          <w:rFonts w:eastAsia="Calibri" w:cs="Arial"/>
        </w:rPr>
        <w:t xml:space="preserve"> of Agenda Item 3 on the SBE April 2021 ACCS Meeting Agenda web page at </w:t>
      </w:r>
      <w:hyperlink r:id="rId36" w:tooltip="SBE April 2021 ACCS Meeting Agenda web page" w:history="1">
        <w:r w:rsidR="00A83B88" w:rsidRPr="00207D4A">
          <w:rPr>
            <w:rStyle w:val="Hyperlink"/>
            <w:rFonts w:eastAsia="Calibri" w:cs="Arial"/>
          </w:rPr>
          <w:t>https://www.cde.ca.gov/be/cc/cs/accsnotice041321.asp</w:t>
        </w:r>
      </w:hyperlink>
      <w:r w:rsidR="00B31B59" w:rsidRPr="00DD604A">
        <w:t>)</w:t>
      </w:r>
    </w:p>
    <w:p w14:paraId="69F65165" w14:textId="51F3E3CA" w:rsidR="00B31B59" w:rsidRPr="00DD604A" w:rsidRDefault="00051008" w:rsidP="00772977">
      <w:pPr>
        <w:pStyle w:val="ListParagraph"/>
        <w:numPr>
          <w:ilvl w:val="0"/>
          <w:numId w:val="52"/>
        </w:numPr>
      </w:pPr>
      <w:r w:rsidRPr="00DD604A">
        <w:t>CUSD</w:t>
      </w:r>
      <w:r w:rsidR="72EE368C" w:rsidRPr="00DD604A">
        <w:t xml:space="preserve"> </w:t>
      </w:r>
      <w:r w:rsidR="00E5345D" w:rsidRPr="00DD604A">
        <w:rPr>
          <w:rFonts w:cs="Arial"/>
        </w:rPr>
        <w:t xml:space="preserve">meeting minutes </w:t>
      </w:r>
      <w:r w:rsidR="00847E82" w:rsidRPr="00DD604A">
        <w:rPr>
          <w:rFonts w:cs="Arial"/>
        </w:rPr>
        <w:t xml:space="preserve">for December 9, 2020, Resolution No. 12-2021 Denying Renewal of the Charter Petition, and </w:t>
      </w:r>
      <w:r w:rsidR="00E5345D" w:rsidRPr="00DD604A">
        <w:rPr>
          <w:rFonts w:cs="Arial"/>
        </w:rPr>
        <w:t>petitioner’s response </w:t>
      </w:r>
      <w:r w:rsidR="72EE368C" w:rsidRPr="00DD604A">
        <w:t>(</w:t>
      </w:r>
      <w:r w:rsidR="72EE368C" w:rsidRPr="00207D4A">
        <w:t xml:space="preserve">Attachment </w:t>
      </w:r>
      <w:r w:rsidR="00F2353F" w:rsidRPr="00207D4A">
        <w:t>5</w:t>
      </w:r>
      <w:r w:rsidR="00A83B88" w:rsidRPr="00207D4A">
        <w:rPr>
          <w:rFonts w:eastAsia="Calibri" w:cs="Arial"/>
        </w:rPr>
        <w:t xml:space="preserve"> of Agenda Item 3 on the SBE April 2021 ACCS Meeting Agenda web page at </w:t>
      </w:r>
      <w:hyperlink r:id="rId37" w:tooltip="SBE April 2021 ACCS Meeting Agenda web page" w:history="1">
        <w:r w:rsidR="00A83B88" w:rsidRPr="00207D4A">
          <w:rPr>
            <w:rStyle w:val="Hyperlink"/>
            <w:rFonts w:eastAsia="Calibri" w:cs="Arial"/>
          </w:rPr>
          <w:t>https://www.cde.ca.gov/be/cc/cs/accsnotice041321.asp</w:t>
        </w:r>
      </w:hyperlink>
      <w:r w:rsidR="72EE368C" w:rsidRPr="00DD604A">
        <w:t>)</w:t>
      </w:r>
    </w:p>
    <w:p w14:paraId="299D761F" w14:textId="22BEADC8" w:rsidR="00B31B59" w:rsidRPr="00DD604A" w:rsidRDefault="00373D1B" w:rsidP="00772977">
      <w:pPr>
        <w:pStyle w:val="ListParagraph"/>
        <w:numPr>
          <w:ilvl w:val="0"/>
          <w:numId w:val="52"/>
        </w:numPr>
      </w:pPr>
      <w:r w:rsidRPr="00DD604A">
        <w:t>ACII</w:t>
      </w:r>
      <w:r w:rsidR="00B31B59" w:rsidRPr="00DD604A">
        <w:t xml:space="preserve"> articles of incorporation, bylaws, and conflict of interest policy (</w:t>
      </w:r>
      <w:r w:rsidR="00B31B59" w:rsidRPr="00207D4A">
        <w:t xml:space="preserve">Attachment </w:t>
      </w:r>
      <w:r w:rsidR="00F2353F" w:rsidRPr="00207D4A">
        <w:t>6</w:t>
      </w:r>
      <w:r w:rsidR="00A83B88" w:rsidRPr="00207D4A">
        <w:rPr>
          <w:rFonts w:eastAsia="Calibri" w:cs="Arial"/>
        </w:rPr>
        <w:t xml:space="preserve"> of Agenda Item 3 on the SBE April 2021 ACCS Meeting Agenda web page at </w:t>
      </w:r>
      <w:hyperlink r:id="rId38" w:tooltip="SBE April 2021 ACCS Meeting Agenda web page" w:history="1">
        <w:r w:rsidR="00A83B88" w:rsidRPr="00207D4A">
          <w:rPr>
            <w:rStyle w:val="Hyperlink"/>
            <w:rFonts w:eastAsia="Calibri" w:cs="Arial"/>
          </w:rPr>
          <w:t>https://www.cde.ca.gov/be/cc/cs/accsnotice041321.asp</w:t>
        </w:r>
      </w:hyperlink>
      <w:r w:rsidR="00B31B59" w:rsidRPr="00DD604A">
        <w:t>)</w:t>
      </w:r>
    </w:p>
    <w:bookmarkEnd w:id="30"/>
    <w:p w14:paraId="7C034E48" w14:textId="12323EFB" w:rsidR="00841157" w:rsidRPr="00DD604A" w:rsidRDefault="00841157" w:rsidP="00772977">
      <w:pPr>
        <w:keepNext/>
        <w:keepLines/>
        <w:spacing w:before="0"/>
        <w:outlineLvl w:val="1"/>
        <w:rPr>
          <w:rFonts w:eastAsiaTheme="majorEastAsia" w:cstheme="majorBidi"/>
          <w:b/>
          <w:sz w:val="36"/>
          <w:szCs w:val="36"/>
        </w:rPr>
      </w:pPr>
      <w:r w:rsidRPr="00207D4A">
        <w:rPr>
          <w:rFonts w:eastAsiaTheme="majorEastAsia" w:cstheme="majorBidi"/>
          <w:b/>
          <w:sz w:val="36"/>
          <w:szCs w:val="36"/>
        </w:rPr>
        <w:lastRenderedPageBreak/>
        <w:t>Attachment</w:t>
      </w:r>
    </w:p>
    <w:p w14:paraId="25DF2D53" w14:textId="5311DDB0" w:rsidR="006B5BC9" w:rsidRPr="00DD604A" w:rsidRDefault="006B5BC9" w:rsidP="00772977">
      <w:pPr>
        <w:numPr>
          <w:ilvl w:val="0"/>
          <w:numId w:val="10"/>
        </w:numPr>
      </w:pPr>
      <w:r w:rsidRPr="00DD604A">
        <w:rPr>
          <w:b/>
          <w:bCs/>
        </w:rPr>
        <w:t>Attachment 1:</w:t>
      </w:r>
      <w:r w:rsidRPr="00DD604A">
        <w:t xml:space="preserve"> California Department of Education Chart</w:t>
      </w:r>
      <w:bookmarkStart w:id="31" w:name="_Hlk31971793"/>
      <w:r w:rsidRPr="00DD604A">
        <w:t xml:space="preserve">er School Petition Review Form: </w:t>
      </w:r>
      <w:r w:rsidR="00373D1B" w:rsidRPr="00DD604A">
        <w:t>Audeo Charter II</w:t>
      </w:r>
      <w:r w:rsidRPr="00DD604A">
        <w:t xml:space="preserve"> </w:t>
      </w:r>
      <w:bookmarkEnd w:id="31"/>
      <w:r w:rsidR="00B604D9" w:rsidRPr="00DD604A">
        <w:t>(</w:t>
      </w:r>
      <w:r w:rsidR="002A4C7C" w:rsidRPr="00DD604A">
        <w:t>5</w:t>
      </w:r>
      <w:r w:rsidR="00635810">
        <w:t>5</w:t>
      </w:r>
      <w:r w:rsidR="0052105D" w:rsidRPr="00DD604A">
        <w:t xml:space="preserve"> </w:t>
      </w:r>
      <w:r w:rsidRPr="00DD604A">
        <w:t>Pages)</w:t>
      </w:r>
    </w:p>
    <w:p w14:paraId="0113C364" w14:textId="21766F37" w:rsidR="009C7036" w:rsidRPr="00DD604A" w:rsidRDefault="009C7036" w:rsidP="00772977">
      <w:pPr>
        <w:numPr>
          <w:ilvl w:val="0"/>
          <w:numId w:val="10"/>
        </w:numPr>
        <w:rPr>
          <w:rFonts w:eastAsiaTheme="minorEastAsia" w:cs="Arial"/>
        </w:rPr>
      </w:pPr>
      <w:r w:rsidRPr="00DD604A">
        <w:rPr>
          <w:rFonts w:eastAsiaTheme="minorEastAsia" w:cs="Arial"/>
        </w:rPr>
        <w:br w:type="page"/>
      </w:r>
    </w:p>
    <w:p w14:paraId="6E3B8F31" w14:textId="77777777" w:rsidR="009C7036" w:rsidRPr="00DD604A" w:rsidRDefault="009C7036" w:rsidP="00772977">
      <w:pPr>
        <w:pStyle w:val="Heading2"/>
      </w:pPr>
      <w:r w:rsidRPr="00DD604A">
        <w:lastRenderedPageBreak/>
        <w:t>Descriptive Image Alternative Text</w:t>
      </w:r>
    </w:p>
    <w:p w14:paraId="7DF15005" w14:textId="701EB44C" w:rsidR="00E30927" w:rsidRPr="00DD604A" w:rsidRDefault="009C7036" w:rsidP="00772977">
      <w:pPr>
        <w:pStyle w:val="Heading3"/>
      </w:pPr>
      <w:bookmarkStart w:id="32" w:name="_Page_4:_2018–19"/>
      <w:bookmarkEnd w:id="32"/>
      <w:r w:rsidRPr="00DD604A">
        <w:t>Page</w:t>
      </w:r>
      <w:r w:rsidR="00E30927" w:rsidRPr="00DD604A">
        <w:t xml:space="preserve"> </w:t>
      </w:r>
      <w:r w:rsidR="00A83B88">
        <w:t>5</w:t>
      </w:r>
      <w:r w:rsidRPr="00DD604A">
        <w:t>: 2018</w:t>
      </w:r>
      <w:r w:rsidRPr="00DD604A">
        <w:rPr>
          <w:rFonts w:ascii="Times New Roman" w:hAnsi="Times New Roman" w:cs="Times New Roman"/>
        </w:rPr>
        <w:t>–</w:t>
      </w:r>
      <w:r w:rsidRPr="00DD604A">
        <w:t>19 Suspension Rates for ACII</w:t>
      </w:r>
    </w:p>
    <w:p w14:paraId="2D97D9E9" w14:textId="77777777" w:rsidR="009C7036" w:rsidRPr="00DD604A" w:rsidRDefault="009C7036" w:rsidP="00772977">
      <w:r w:rsidRPr="00DD604A">
        <w:t>California School Dashboard dial for ACII. 2018 Suspension Rate indicating</w:t>
      </w:r>
      <w:r w:rsidR="00D657E8" w:rsidRPr="00DD604A">
        <w:t xml:space="preserve"> Blue</w:t>
      </w:r>
      <w:r w:rsidR="0022005F" w:rsidRPr="00DD604A">
        <w:t xml:space="preserve">, with no </w:t>
      </w:r>
      <w:r w:rsidR="00914C70" w:rsidRPr="00DD604A">
        <w:t>pupils</w:t>
      </w:r>
      <w:r w:rsidR="0022005F" w:rsidRPr="00DD604A">
        <w:t xml:space="preserve"> suspended at least one</w:t>
      </w:r>
      <w:r w:rsidR="00ED339F" w:rsidRPr="00DD604A">
        <w:t>, and Equity Report data indicating five student groups in Blue</w:t>
      </w:r>
      <w:r w:rsidRPr="00DD604A">
        <w:t>; and 2019 Suspension Rate indicating</w:t>
      </w:r>
      <w:r w:rsidR="00ED339F" w:rsidRPr="00DD604A">
        <w:t xml:space="preserve"> Blue</w:t>
      </w:r>
      <w:r w:rsidR="0087181F" w:rsidRPr="00DD604A">
        <w:t>, with no student suspended at least once</w:t>
      </w:r>
      <w:r w:rsidRPr="00DD604A">
        <w:t xml:space="preserve"> (</w:t>
      </w:r>
      <w:r w:rsidR="0087181F" w:rsidRPr="00DD604A">
        <w:t>maintained from</w:t>
      </w:r>
      <w:r w:rsidRPr="00DD604A">
        <w:t xml:space="preserve"> 2018), and Equity Report data indicating</w:t>
      </w:r>
      <w:r w:rsidR="00F0365B" w:rsidRPr="00DD604A">
        <w:t xml:space="preserve"> seven student groups in Blue.</w:t>
      </w:r>
    </w:p>
    <w:p w14:paraId="358F907E" w14:textId="0D49AFE3" w:rsidR="00427183" w:rsidRPr="00DD604A" w:rsidRDefault="00427183" w:rsidP="00772977">
      <w:pPr>
        <w:pStyle w:val="Heading3"/>
      </w:pPr>
      <w:bookmarkStart w:id="33" w:name="_Page_5:_2018–19"/>
      <w:bookmarkEnd w:id="33"/>
      <w:r w:rsidRPr="00DD604A">
        <w:t xml:space="preserve">Page </w:t>
      </w:r>
      <w:r w:rsidR="00A83B88">
        <w:t>6</w:t>
      </w:r>
      <w:r w:rsidRPr="00DD604A">
        <w:t>: 2018</w:t>
      </w:r>
      <w:r w:rsidRPr="00DD604A">
        <w:rPr>
          <w:rFonts w:ascii="Times New Roman" w:hAnsi="Times New Roman" w:cs="Times New Roman"/>
        </w:rPr>
        <w:t>–</w:t>
      </w:r>
      <w:r w:rsidRPr="00DD604A">
        <w:t>19 Chronic Absenteeism Rates for ACII</w:t>
      </w:r>
    </w:p>
    <w:p w14:paraId="5FA70B3C" w14:textId="77777777" w:rsidR="00675955" w:rsidRPr="00DD604A" w:rsidRDefault="00675955" w:rsidP="00772977">
      <w:r w:rsidRPr="00DD604A">
        <w:t xml:space="preserve">California School Dashboard dial for ACII. 2018 Chronic Absenteeism Rate indicating Orange, with 27.6 percent of </w:t>
      </w:r>
      <w:r w:rsidR="00914C70" w:rsidRPr="00DD604A">
        <w:t>pupils</w:t>
      </w:r>
      <w:r w:rsidRPr="00DD604A">
        <w:t xml:space="preserve"> chronically absent, and Equity Report data indicating two student groups in Orange; and 2019 Chronic Absenteeism Rate indicating Red, with 32 percent of </w:t>
      </w:r>
      <w:r w:rsidR="00914C70" w:rsidRPr="00DD604A">
        <w:t>pupils</w:t>
      </w:r>
      <w:r w:rsidRPr="00DD604A">
        <w:t xml:space="preserve"> chronically absent, a 4.4 percent increase (over 2018), and Equity Report data indicating one student group in Red and one student group in Orange.</w:t>
      </w:r>
    </w:p>
    <w:p w14:paraId="2666F85B" w14:textId="509D2E82" w:rsidR="009C7036" w:rsidRPr="00DD604A" w:rsidRDefault="009C7036" w:rsidP="00772977">
      <w:pPr>
        <w:pStyle w:val="Heading3"/>
      </w:pPr>
      <w:bookmarkStart w:id="34" w:name="_Page_6:_2018–19"/>
      <w:bookmarkEnd w:id="34"/>
      <w:r w:rsidRPr="00DD604A">
        <w:t>Page</w:t>
      </w:r>
      <w:r w:rsidR="00E30927" w:rsidRPr="00DD604A">
        <w:t xml:space="preserve"> </w:t>
      </w:r>
      <w:r w:rsidR="00A83B88">
        <w:t>7</w:t>
      </w:r>
      <w:r w:rsidRPr="00DD604A">
        <w:t>: 2018</w:t>
      </w:r>
      <w:r w:rsidRPr="00DD604A">
        <w:rPr>
          <w:rFonts w:ascii="Times New Roman" w:hAnsi="Times New Roman" w:cs="Times New Roman"/>
        </w:rPr>
        <w:t>–</w:t>
      </w:r>
      <w:r w:rsidRPr="00DD604A">
        <w:t xml:space="preserve">19 </w:t>
      </w:r>
      <w:r w:rsidR="00825BB4" w:rsidRPr="00DD604A">
        <w:t>Graduation</w:t>
      </w:r>
      <w:r w:rsidRPr="00DD604A">
        <w:t xml:space="preserve"> Rate</w:t>
      </w:r>
      <w:r w:rsidR="00825BB4" w:rsidRPr="00DD604A">
        <w:t>s</w:t>
      </w:r>
      <w:r w:rsidRPr="00DD604A">
        <w:t xml:space="preserve"> for ACII</w:t>
      </w:r>
    </w:p>
    <w:p w14:paraId="575282B0" w14:textId="77777777" w:rsidR="001C6C39" w:rsidRPr="00B32DC4" w:rsidRDefault="009C7036" w:rsidP="00772977">
      <w:r w:rsidRPr="00DD604A">
        <w:t xml:space="preserve">California School Dashboard dial for ACII. </w:t>
      </w:r>
      <w:r w:rsidR="00607099" w:rsidRPr="00DD604A">
        <w:t xml:space="preserve">2018 Graduation Rate indicating Red, with 65.4 percent of student graduated, an 11 percent increase (over 2017), and Equity Report data indicating three student groups in Red; and </w:t>
      </w:r>
      <w:r w:rsidRPr="00DD604A">
        <w:t>201</w:t>
      </w:r>
      <w:r w:rsidR="00675955" w:rsidRPr="00DD604A">
        <w:t>9</w:t>
      </w:r>
      <w:r w:rsidRPr="00DD604A">
        <w:t xml:space="preserve"> </w:t>
      </w:r>
      <w:r w:rsidR="00675955" w:rsidRPr="00DD604A">
        <w:t>Graduation</w:t>
      </w:r>
      <w:r w:rsidRPr="00DD604A">
        <w:t xml:space="preserve"> Rate indicating</w:t>
      </w:r>
      <w:r w:rsidR="00DA33A2" w:rsidRPr="00DD604A">
        <w:t xml:space="preserve"> </w:t>
      </w:r>
      <w:r w:rsidR="00675955" w:rsidRPr="00DD604A">
        <w:t>Green</w:t>
      </w:r>
      <w:r w:rsidR="00C15C73" w:rsidRPr="00DD604A">
        <w:t xml:space="preserve">, with </w:t>
      </w:r>
      <w:r w:rsidR="00675955" w:rsidRPr="00DD604A">
        <w:t>71</w:t>
      </w:r>
      <w:r w:rsidR="00C15C73" w:rsidRPr="00DD604A">
        <w:t xml:space="preserve">.6 percent of </w:t>
      </w:r>
      <w:r w:rsidR="00914C70" w:rsidRPr="00DD604A">
        <w:t>pupils</w:t>
      </w:r>
      <w:r w:rsidR="00C15C73" w:rsidRPr="00DD604A">
        <w:t xml:space="preserve"> </w:t>
      </w:r>
      <w:r w:rsidR="00675955" w:rsidRPr="00DD604A">
        <w:t>graduated, an 11.7 percent increase (over 2018)</w:t>
      </w:r>
      <w:r w:rsidR="00C15C73" w:rsidRPr="00DD604A">
        <w:t xml:space="preserve">, and Equity Report data indicating </w:t>
      </w:r>
      <w:r w:rsidR="00720297" w:rsidRPr="00DD604A">
        <w:t xml:space="preserve">two student groups in </w:t>
      </w:r>
      <w:r w:rsidR="00675955" w:rsidRPr="00DD604A">
        <w:t>Red and one student group in Green.</w:t>
      </w:r>
    </w:p>
    <w:sectPr w:rsidR="001C6C39" w:rsidRPr="00B32DC4" w:rsidSect="00E873C8">
      <w:headerReference w:type="default" r:id="rId39"/>
      <w:type w:val="continuous"/>
      <w:pgSz w:w="12240" w:h="15840"/>
      <w:pgMar w:top="72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F5A6B2A" w16cex:dateUtc="2020-12-28T19:36:14.603Z"/>
  <w16cex:commentExtensible w16cex:durableId="3DAC2F55" w16cex:dateUtc="2020-12-28T20:09:28.535Z"/>
  <w16cex:commentExtensible w16cex:durableId="4E9FDF8A" w16cex:dateUtc="2020-12-28T20:09:55.132Z"/>
  <w16cex:commentExtensible w16cex:durableId="429B4386" w16cex:dateUtc="2020-12-28T20:11:08.111Z"/>
  <w16cex:commentExtensible w16cex:durableId="5856BB54" w16cex:dateUtc="2020-12-28T20:14:38.938Z"/>
  <w16cex:commentExtensible w16cex:durableId="2E75642F" w16cex:dateUtc="2020-12-28T20:16:16.574Z"/>
  <w16cex:commentExtensible w16cex:durableId="5F5ADAB7" w16cex:dateUtc="2020-12-28T20:19:11.864Z"/>
  <w16cex:commentExtensible w16cex:durableId="567E3EDD" w16cex:dateUtc="2020-12-28T20:28:12.413Z"/>
  <w16cex:commentExtensible w16cex:durableId="7C5E94A5" w16cex:dateUtc="2020-12-28T20:31:56.242Z"/>
  <w16cex:commentExtensible w16cex:durableId="58A611A4" w16cex:dateUtc="2020-12-28T20:33:07.389Z"/>
  <w16cex:commentExtensible w16cex:durableId="568CB6EE" w16cex:dateUtc="2020-12-28T20:52:51.144Z"/>
  <w16cex:commentExtensible w16cex:durableId="16AD2A69" w16cex:dateUtc="2020-12-28T20:54:04.923Z"/>
  <w16cex:commentExtensible w16cex:durableId="46046525" w16cex:dateUtc="2020-12-28T21:03:13.041Z"/>
  <w16cex:commentExtensible w16cex:durableId="799E3930" w16cex:dateUtc="2020-12-28T21:08:13.264Z"/>
  <w16cex:commentExtensible w16cex:durableId="61FDE892" w16cex:dateUtc="2020-12-28T21:27:05Z"/>
  <w16cex:commentExtensible w16cex:durableId="6A68D068" w16cex:dateUtc="2020-12-28T21:50:09.953Z"/>
  <w16cex:commentExtensible w16cex:durableId="703C7082" w16cex:dateUtc="2020-12-28T21:52:17.624Z"/>
  <w16cex:commentExtensible w16cex:durableId="43CA7E2C" w16cex:dateUtc="2020-12-28T21:54:14.727Z"/>
  <w16cex:commentExtensible w16cex:durableId="4DA0F66A" w16cex:dateUtc="2020-12-28T21:56:03.752Z"/>
  <w16cex:commentExtensible w16cex:durableId="0D548779" w16cex:dateUtc="2020-12-28T21:56:29.497Z"/>
  <w16cex:commentExtensible w16cex:durableId="375ED8A6" w16cex:dateUtc="2020-12-28T21:59:45.904Z"/>
  <w16cex:commentExtensible w16cex:durableId="2C0FA57E" w16cex:dateUtc="2020-12-28T22:01:19.485Z"/>
  <w16cex:commentExtensible w16cex:durableId="68A5303D" w16cex:dateUtc="2020-12-28T22:03:05.1Z"/>
  <w16cex:commentExtensible w16cex:durableId="463F89BF" w16cex:dateUtc="2020-12-28T22:10:52.655Z"/>
  <w16cex:commentExtensible w16cex:durableId="08E9CB94" w16cex:dateUtc="2020-12-28T22:14:02.239Z"/>
  <w16cex:commentExtensible w16cex:durableId="452E0B30" w16cex:dateUtc="2020-12-28T22:16:09.946Z"/>
  <w16cex:commentExtensible w16cex:durableId="5F1D5503" w16cex:dateUtc="2020-12-28T22:21:52.534Z"/>
  <w16cex:commentExtensible w16cex:durableId="366CF733" w16cex:dateUtc="2020-12-28T22:22:45.525Z"/>
  <w16cex:commentExtensible w16cex:durableId="61444A1B" w16cex:dateUtc="2020-12-28T22:23:19.924Z"/>
  <w16cex:commentExtensible w16cex:durableId="1DEDAF77" w16cex:dateUtc="2020-12-28T22:25:23.8Z"/>
  <w16cex:commentExtensible w16cex:durableId="30C9E093" w16cex:dateUtc="2020-12-28T22:30:36.704Z"/>
  <w16cex:commentExtensible w16cex:durableId="0FF1A0F9" w16cex:dateUtc="2020-12-28T22:32:12.372Z"/>
  <w16cex:commentExtensible w16cex:durableId="22539626" w16cex:dateUtc="2020-12-28T22:36:13.464Z"/>
  <w16cex:commentExtensible w16cex:durableId="6DCF9729" w16cex:dateUtc="2020-12-28T22:37:04.623Z"/>
  <w16cex:commentExtensible w16cex:durableId="4C9A4D73" w16cex:dateUtc="2021-01-12T21:07:47.092Z"/>
  <w16cex:commentExtensible w16cex:durableId="72815801" w16cex:dateUtc="2021-01-12T21:14:59.555Z"/>
  <w16cex:commentExtensible w16cex:durableId="69FDE30E" w16cex:dateUtc="2021-01-21T17:18:27.022Z"/>
  <w16cex:commentExtensible w16cex:durableId="57A88761" w16cex:dateUtc="2021-03-05T18:54:07.025Z"/>
  <w16cex:commentExtensible w16cex:durableId="53165286" w16cex:dateUtc="2021-03-05T22:27:55.334Z"/>
  <w16cex:commentExtensible w16cex:durableId="38493026" w16cex:dateUtc="2021-03-05T22:29:00.421Z"/>
  <w16cex:commentExtensible w16cex:durableId="4ADB311E" w16cex:dateUtc="2021-03-12T01:38:13.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C691" w14:textId="77777777" w:rsidR="003D15F4" w:rsidRDefault="003D15F4" w:rsidP="000E09DC">
      <w:r>
        <w:separator/>
      </w:r>
    </w:p>
  </w:endnote>
  <w:endnote w:type="continuationSeparator" w:id="0">
    <w:p w14:paraId="3A0FC101" w14:textId="77777777" w:rsidR="003D15F4" w:rsidRDefault="003D15F4" w:rsidP="000E09DC">
      <w:r>
        <w:continuationSeparator/>
      </w:r>
    </w:p>
  </w:endnote>
  <w:endnote w:type="continuationNotice" w:id="1">
    <w:p w14:paraId="10E60561" w14:textId="77777777" w:rsidR="003D15F4" w:rsidRDefault="003D15F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25C8" w14:textId="77777777" w:rsidR="003D15F4" w:rsidRDefault="003D15F4" w:rsidP="000E09DC">
      <w:r>
        <w:separator/>
      </w:r>
    </w:p>
  </w:footnote>
  <w:footnote w:type="continuationSeparator" w:id="0">
    <w:p w14:paraId="724C4062" w14:textId="77777777" w:rsidR="003D15F4" w:rsidRDefault="003D15F4" w:rsidP="000E09DC">
      <w:r>
        <w:continuationSeparator/>
      </w:r>
    </w:p>
  </w:footnote>
  <w:footnote w:type="continuationNotice" w:id="1">
    <w:p w14:paraId="558F8ED5" w14:textId="77777777" w:rsidR="003D15F4" w:rsidRDefault="003D15F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3266" w14:textId="77777777" w:rsidR="003D15F4" w:rsidRPr="000E09DC" w:rsidRDefault="003D15F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1514699" w14:textId="77777777" w:rsidR="003D15F4" w:rsidRDefault="003D15F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360E49BA" w14:textId="77777777" w:rsidR="003D15F4" w:rsidRPr="00527B0E" w:rsidRDefault="003D15F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F9154" w14:textId="2CF21DD6" w:rsidR="003D15F4" w:rsidRPr="002D6EC8" w:rsidRDefault="003D15F4" w:rsidP="00875700">
    <w:pPr>
      <w:spacing w:before="0" w:after="0"/>
      <w:jc w:val="right"/>
    </w:pPr>
    <w:r>
      <w:rPr>
        <w:rFonts w:cs="Arial"/>
      </w:rPr>
      <w:t>oab-csd</w:t>
    </w:r>
    <w:r w:rsidRPr="00FA19CD">
      <w:rPr>
        <w:rFonts w:cs="Arial"/>
      </w:rPr>
      <w:t>-</w:t>
    </w:r>
    <w:r>
      <w:rPr>
        <w:rFonts w:cs="Arial"/>
      </w:rPr>
      <w:t>may21item03</w:t>
    </w:r>
  </w:p>
  <w:p w14:paraId="31A746A4" w14:textId="77777777" w:rsidR="003D15F4" w:rsidRDefault="003D15F4" w:rsidP="00BA695B">
    <w:pPr>
      <w:pStyle w:val="Header"/>
      <w:spacing w:before="0"/>
      <w:jc w:val="right"/>
      <w:rPr>
        <w:rFonts w:cs="Arial"/>
        <w:bCs/>
      </w:rPr>
    </w:pPr>
    <w:r w:rsidRPr="00635042">
      <w:rPr>
        <w:rFonts w:cs="Arial"/>
      </w:rPr>
      <w:t xml:space="preserve">Page </w:t>
    </w:r>
    <w:r w:rsidRPr="00635042">
      <w:rPr>
        <w:rFonts w:cs="Arial"/>
        <w:bCs/>
      </w:rPr>
      <w:fldChar w:fldCharType="begin"/>
    </w:r>
    <w:r w:rsidRPr="00635042">
      <w:rPr>
        <w:rFonts w:cs="Arial"/>
        <w:bCs/>
      </w:rPr>
      <w:instrText xml:space="preserve"> PAGE  \* Arabic  \* MERGEFORMAT </w:instrText>
    </w:r>
    <w:r w:rsidRPr="00635042">
      <w:rPr>
        <w:rFonts w:cs="Arial"/>
        <w:bCs/>
      </w:rPr>
      <w:fldChar w:fldCharType="separate"/>
    </w:r>
    <w:r>
      <w:rPr>
        <w:rFonts w:cs="Arial"/>
        <w:bCs/>
        <w:noProof/>
      </w:rPr>
      <w:t>8</w:t>
    </w:r>
    <w:r w:rsidRPr="00635042">
      <w:rPr>
        <w:rFonts w:cs="Arial"/>
        <w:bCs/>
      </w:rPr>
      <w:fldChar w:fldCharType="end"/>
    </w:r>
    <w:r w:rsidRPr="00635042">
      <w:rPr>
        <w:rFonts w:cs="Arial"/>
      </w:rPr>
      <w:t xml:space="preserve"> of </w:t>
    </w:r>
    <w:r w:rsidRPr="00635042">
      <w:rPr>
        <w:rFonts w:cs="Arial"/>
        <w:bCs/>
      </w:rPr>
      <w:fldChar w:fldCharType="begin"/>
    </w:r>
    <w:r w:rsidRPr="00635042">
      <w:rPr>
        <w:rFonts w:cs="Arial"/>
        <w:bCs/>
      </w:rPr>
      <w:instrText xml:space="preserve"> NUMPAGES  \* Arabic  \* MERGEFORMAT </w:instrText>
    </w:r>
    <w:r w:rsidRPr="00635042">
      <w:rPr>
        <w:rFonts w:cs="Arial"/>
        <w:bCs/>
      </w:rPr>
      <w:fldChar w:fldCharType="separate"/>
    </w:r>
    <w:r>
      <w:rPr>
        <w:rFonts w:cs="Arial"/>
        <w:bCs/>
        <w:noProof/>
      </w:rPr>
      <w:t>17</w:t>
    </w:r>
    <w:r w:rsidRPr="00635042">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C04"/>
    <w:multiLevelType w:val="hybridMultilevel"/>
    <w:tmpl w:val="E460D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6D4C"/>
    <w:multiLevelType w:val="hybridMultilevel"/>
    <w:tmpl w:val="98CE8EF2"/>
    <w:lvl w:ilvl="0" w:tplc="7164A6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703C"/>
    <w:multiLevelType w:val="hybridMultilevel"/>
    <w:tmpl w:val="0CEAAD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20224"/>
    <w:multiLevelType w:val="hybridMultilevel"/>
    <w:tmpl w:val="4166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C0F95"/>
    <w:multiLevelType w:val="hybridMultilevel"/>
    <w:tmpl w:val="0F7EA6D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EE75E1D"/>
    <w:multiLevelType w:val="hybridMultilevel"/>
    <w:tmpl w:val="B838F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232F69"/>
    <w:multiLevelType w:val="hybridMultilevel"/>
    <w:tmpl w:val="B3DC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BA4203"/>
    <w:multiLevelType w:val="hybridMultilevel"/>
    <w:tmpl w:val="73C0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32C90"/>
    <w:multiLevelType w:val="hybridMultilevel"/>
    <w:tmpl w:val="814C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C674D"/>
    <w:multiLevelType w:val="hybridMultilevel"/>
    <w:tmpl w:val="7220B676"/>
    <w:lvl w:ilvl="0" w:tplc="4E06B288">
      <w:start w:val="1"/>
      <w:numFmt w:val="bullet"/>
      <w:lvlText w:val="●"/>
      <w:lvlJc w:val="left"/>
      <w:pPr>
        <w:ind w:left="720" w:hanging="360"/>
      </w:pPr>
      <w:rPr>
        <w:rFonts w:ascii="Noto Sans Symbols" w:eastAsia="Noto Sans Symbols" w:hAnsi="Noto Sans Symbols" w:cs="Noto Sans Symbols"/>
      </w:rPr>
    </w:lvl>
    <w:lvl w:ilvl="1" w:tplc="9E92CE5E">
      <w:start w:val="1"/>
      <w:numFmt w:val="bullet"/>
      <w:lvlText w:val="o"/>
      <w:lvlJc w:val="left"/>
      <w:pPr>
        <w:ind w:left="1440" w:hanging="360"/>
      </w:pPr>
      <w:rPr>
        <w:rFonts w:ascii="Courier New" w:eastAsia="Courier New" w:hAnsi="Courier New" w:cs="Courier New"/>
      </w:rPr>
    </w:lvl>
    <w:lvl w:ilvl="2" w:tplc="6D62AE98">
      <w:start w:val="1"/>
      <w:numFmt w:val="bullet"/>
      <w:lvlText w:val="▪"/>
      <w:lvlJc w:val="left"/>
      <w:pPr>
        <w:ind w:left="2160" w:hanging="360"/>
      </w:pPr>
      <w:rPr>
        <w:rFonts w:ascii="Noto Sans Symbols" w:eastAsia="Noto Sans Symbols" w:hAnsi="Noto Sans Symbols" w:cs="Noto Sans Symbols"/>
      </w:rPr>
    </w:lvl>
    <w:lvl w:ilvl="3" w:tplc="B1046DCA">
      <w:start w:val="1"/>
      <w:numFmt w:val="bullet"/>
      <w:lvlText w:val="●"/>
      <w:lvlJc w:val="left"/>
      <w:pPr>
        <w:ind w:left="2880" w:hanging="360"/>
      </w:pPr>
      <w:rPr>
        <w:rFonts w:ascii="Noto Sans Symbols" w:eastAsia="Noto Sans Symbols" w:hAnsi="Noto Sans Symbols" w:cs="Noto Sans Symbols"/>
      </w:rPr>
    </w:lvl>
    <w:lvl w:ilvl="4" w:tplc="60F2C2FE">
      <w:start w:val="1"/>
      <w:numFmt w:val="bullet"/>
      <w:lvlText w:val="o"/>
      <w:lvlJc w:val="left"/>
      <w:pPr>
        <w:ind w:left="3600" w:hanging="360"/>
      </w:pPr>
      <w:rPr>
        <w:rFonts w:ascii="Courier New" w:eastAsia="Courier New" w:hAnsi="Courier New" w:cs="Courier New"/>
      </w:rPr>
    </w:lvl>
    <w:lvl w:ilvl="5" w:tplc="2E78392E">
      <w:start w:val="1"/>
      <w:numFmt w:val="bullet"/>
      <w:lvlText w:val="▪"/>
      <w:lvlJc w:val="left"/>
      <w:pPr>
        <w:ind w:left="4320" w:hanging="360"/>
      </w:pPr>
      <w:rPr>
        <w:rFonts w:ascii="Noto Sans Symbols" w:eastAsia="Noto Sans Symbols" w:hAnsi="Noto Sans Symbols" w:cs="Noto Sans Symbols"/>
      </w:rPr>
    </w:lvl>
    <w:lvl w:ilvl="6" w:tplc="E71CDFDA">
      <w:start w:val="1"/>
      <w:numFmt w:val="bullet"/>
      <w:lvlText w:val="●"/>
      <w:lvlJc w:val="left"/>
      <w:pPr>
        <w:ind w:left="5040" w:hanging="360"/>
      </w:pPr>
      <w:rPr>
        <w:rFonts w:ascii="Noto Sans Symbols" w:eastAsia="Noto Sans Symbols" w:hAnsi="Noto Sans Symbols" w:cs="Noto Sans Symbols"/>
      </w:rPr>
    </w:lvl>
    <w:lvl w:ilvl="7" w:tplc="59DA85A2">
      <w:start w:val="1"/>
      <w:numFmt w:val="bullet"/>
      <w:lvlText w:val="o"/>
      <w:lvlJc w:val="left"/>
      <w:pPr>
        <w:ind w:left="5760" w:hanging="360"/>
      </w:pPr>
      <w:rPr>
        <w:rFonts w:ascii="Courier New" w:eastAsia="Courier New" w:hAnsi="Courier New" w:cs="Courier New"/>
      </w:rPr>
    </w:lvl>
    <w:lvl w:ilvl="8" w:tplc="2FE8547C">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3600EC1"/>
    <w:multiLevelType w:val="hybridMultilevel"/>
    <w:tmpl w:val="858E1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A36003"/>
    <w:multiLevelType w:val="hybridMultilevel"/>
    <w:tmpl w:val="3EDC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84EAD"/>
    <w:multiLevelType w:val="hybridMultilevel"/>
    <w:tmpl w:val="EE10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F28789B"/>
    <w:multiLevelType w:val="hybridMultilevel"/>
    <w:tmpl w:val="C02CD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7172DC"/>
    <w:multiLevelType w:val="hybridMultilevel"/>
    <w:tmpl w:val="4808F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8E74EA"/>
    <w:multiLevelType w:val="hybridMultilevel"/>
    <w:tmpl w:val="F01057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F069C"/>
    <w:multiLevelType w:val="hybridMultilevel"/>
    <w:tmpl w:val="76F4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A2A2A"/>
    <w:multiLevelType w:val="hybridMultilevel"/>
    <w:tmpl w:val="8BACE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DD38E5"/>
    <w:multiLevelType w:val="hybridMultilevel"/>
    <w:tmpl w:val="7D1CFF98"/>
    <w:lvl w:ilvl="0" w:tplc="D40203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1629F7"/>
    <w:multiLevelType w:val="hybridMultilevel"/>
    <w:tmpl w:val="4016E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7924209"/>
    <w:multiLevelType w:val="hybridMultilevel"/>
    <w:tmpl w:val="A5D8E9C4"/>
    <w:lvl w:ilvl="0" w:tplc="92A085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272BD4"/>
    <w:multiLevelType w:val="hybridMultilevel"/>
    <w:tmpl w:val="577A6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CCB1AA5"/>
    <w:multiLevelType w:val="hybridMultilevel"/>
    <w:tmpl w:val="EAA4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372577A"/>
    <w:multiLevelType w:val="hybridMultilevel"/>
    <w:tmpl w:val="546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A27649"/>
    <w:multiLevelType w:val="hybridMultilevel"/>
    <w:tmpl w:val="CD6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D4357C"/>
    <w:multiLevelType w:val="hybridMultilevel"/>
    <w:tmpl w:val="BBE83DC4"/>
    <w:lvl w:ilvl="0" w:tplc="124C49EA">
      <w:start w:val="1"/>
      <w:numFmt w:val="bullet"/>
      <w:pStyle w:val="Bulletedtex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70A2EBE"/>
    <w:multiLevelType w:val="hybridMultilevel"/>
    <w:tmpl w:val="BE08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EA1032"/>
    <w:multiLevelType w:val="hybridMultilevel"/>
    <w:tmpl w:val="F120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EC4BF5"/>
    <w:multiLevelType w:val="hybridMultilevel"/>
    <w:tmpl w:val="538C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ED3898"/>
    <w:multiLevelType w:val="hybridMultilevel"/>
    <w:tmpl w:val="3CDADD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FCF3308"/>
    <w:multiLevelType w:val="hybridMultilevel"/>
    <w:tmpl w:val="D2A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7019D7"/>
    <w:multiLevelType w:val="hybridMultilevel"/>
    <w:tmpl w:val="CE88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0C4659"/>
    <w:multiLevelType w:val="hybridMultilevel"/>
    <w:tmpl w:val="304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7912B1"/>
    <w:multiLevelType w:val="hybridMultilevel"/>
    <w:tmpl w:val="829C2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1E6CD8"/>
    <w:multiLevelType w:val="hybridMultilevel"/>
    <w:tmpl w:val="C81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EA44F8"/>
    <w:multiLevelType w:val="hybridMultilevel"/>
    <w:tmpl w:val="653AD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4A2E64"/>
    <w:multiLevelType w:val="hybridMultilevel"/>
    <w:tmpl w:val="C554E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F761CD0"/>
    <w:multiLevelType w:val="hybridMultilevel"/>
    <w:tmpl w:val="318089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941E6F"/>
    <w:multiLevelType w:val="hybridMultilevel"/>
    <w:tmpl w:val="62FA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51048F"/>
    <w:multiLevelType w:val="hybridMultilevel"/>
    <w:tmpl w:val="3466BAE8"/>
    <w:lvl w:ilvl="0" w:tplc="0EB6A95C">
      <w:start w:val="1"/>
      <w:numFmt w:val="bullet"/>
      <w:lvlText w:val=""/>
      <w:lvlJc w:val="left"/>
      <w:pPr>
        <w:ind w:left="720" w:hanging="360"/>
      </w:pPr>
      <w:rPr>
        <w:rFonts w:ascii="Symbol" w:hAnsi="Symbol" w:hint="default"/>
      </w:rPr>
    </w:lvl>
    <w:lvl w:ilvl="1" w:tplc="976A3282">
      <w:start w:val="1"/>
      <w:numFmt w:val="bullet"/>
      <w:lvlText w:val="o"/>
      <w:lvlJc w:val="left"/>
      <w:pPr>
        <w:ind w:left="1440" w:hanging="360"/>
      </w:pPr>
      <w:rPr>
        <w:rFonts w:ascii="Courier New" w:hAnsi="Courier New" w:hint="default"/>
      </w:rPr>
    </w:lvl>
    <w:lvl w:ilvl="2" w:tplc="FD08BAD2">
      <w:start w:val="1"/>
      <w:numFmt w:val="bullet"/>
      <w:lvlText w:val=""/>
      <w:lvlJc w:val="left"/>
      <w:pPr>
        <w:ind w:left="2160" w:hanging="360"/>
      </w:pPr>
      <w:rPr>
        <w:rFonts w:ascii="Wingdings" w:hAnsi="Wingdings" w:hint="default"/>
      </w:rPr>
    </w:lvl>
    <w:lvl w:ilvl="3" w:tplc="AE906E3C">
      <w:start w:val="1"/>
      <w:numFmt w:val="bullet"/>
      <w:lvlText w:val=""/>
      <w:lvlJc w:val="left"/>
      <w:pPr>
        <w:ind w:left="2880" w:hanging="360"/>
      </w:pPr>
      <w:rPr>
        <w:rFonts w:ascii="Symbol" w:hAnsi="Symbol" w:hint="default"/>
      </w:rPr>
    </w:lvl>
    <w:lvl w:ilvl="4" w:tplc="6F6E5A06">
      <w:start w:val="1"/>
      <w:numFmt w:val="bullet"/>
      <w:lvlText w:val="o"/>
      <w:lvlJc w:val="left"/>
      <w:pPr>
        <w:ind w:left="3600" w:hanging="360"/>
      </w:pPr>
      <w:rPr>
        <w:rFonts w:ascii="Courier New" w:hAnsi="Courier New" w:hint="default"/>
      </w:rPr>
    </w:lvl>
    <w:lvl w:ilvl="5" w:tplc="0EFAC950">
      <w:start w:val="1"/>
      <w:numFmt w:val="bullet"/>
      <w:lvlText w:val=""/>
      <w:lvlJc w:val="left"/>
      <w:pPr>
        <w:ind w:left="4320" w:hanging="360"/>
      </w:pPr>
      <w:rPr>
        <w:rFonts w:ascii="Wingdings" w:hAnsi="Wingdings" w:hint="default"/>
      </w:rPr>
    </w:lvl>
    <w:lvl w:ilvl="6" w:tplc="BE8CB1C0">
      <w:start w:val="1"/>
      <w:numFmt w:val="bullet"/>
      <w:lvlText w:val=""/>
      <w:lvlJc w:val="left"/>
      <w:pPr>
        <w:ind w:left="5040" w:hanging="360"/>
      </w:pPr>
      <w:rPr>
        <w:rFonts w:ascii="Symbol" w:hAnsi="Symbol" w:hint="default"/>
      </w:rPr>
    </w:lvl>
    <w:lvl w:ilvl="7" w:tplc="95F683DA">
      <w:start w:val="1"/>
      <w:numFmt w:val="bullet"/>
      <w:lvlText w:val="o"/>
      <w:lvlJc w:val="left"/>
      <w:pPr>
        <w:ind w:left="5760" w:hanging="360"/>
      </w:pPr>
      <w:rPr>
        <w:rFonts w:ascii="Courier New" w:hAnsi="Courier New" w:hint="default"/>
      </w:rPr>
    </w:lvl>
    <w:lvl w:ilvl="8" w:tplc="C54217DE">
      <w:start w:val="1"/>
      <w:numFmt w:val="bullet"/>
      <w:lvlText w:val=""/>
      <w:lvlJc w:val="left"/>
      <w:pPr>
        <w:ind w:left="6480" w:hanging="360"/>
      </w:pPr>
      <w:rPr>
        <w:rFonts w:ascii="Wingdings" w:hAnsi="Wingdings" w:hint="default"/>
      </w:rPr>
    </w:lvl>
  </w:abstractNum>
  <w:abstractNum w:abstractNumId="47" w15:restartNumberingAfterBreak="0">
    <w:nsid w:val="51F73279"/>
    <w:multiLevelType w:val="hybridMultilevel"/>
    <w:tmpl w:val="FC40B67E"/>
    <w:lvl w:ilvl="0" w:tplc="765ACB10">
      <w:start w:val="1"/>
      <w:numFmt w:val="bullet"/>
      <w:lvlText w:val=""/>
      <w:lvlJc w:val="left"/>
      <w:pPr>
        <w:tabs>
          <w:tab w:val="num" w:pos="720"/>
        </w:tabs>
        <w:ind w:left="720" w:hanging="360"/>
      </w:pPr>
      <w:rPr>
        <w:rFonts w:ascii="Symbol" w:hAnsi="Symbol" w:hint="default"/>
        <w:sz w:val="20"/>
      </w:rPr>
    </w:lvl>
    <w:lvl w:ilvl="1" w:tplc="ACBE985C" w:tentative="1">
      <w:start w:val="1"/>
      <w:numFmt w:val="bullet"/>
      <w:lvlText w:val=""/>
      <w:lvlJc w:val="left"/>
      <w:pPr>
        <w:tabs>
          <w:tab w:val="num" w:pos="1440"/>
        </w:tabs>
        <w:ind w:left="1440" w:hanging="360"/>
      </w:pPr>
      <w:rPr>
        <w:rFonts w:ascii="Symbol" w:hAnsi="Symbol" w:hint="default"/>
        <w:sz w:val="20"/>
      </w:rPr>
    </w:lvl>
    <w:lvl w:ilvl="2" w:tplc="9D986BFA" w:tentative="1">
      <w:start w:val="1"/>
      <w:numFmt w:val="bullet"/>
      <w:lvlText w:val=""/>
      <w:lvlJc w:val="left"/>
      <w:pPr>
        <w:tabs>
          <w:tab w:val="num" w:pos="2160"/>
        </w:tabs>
        <w:ind w:left="2160" w:hanging="360"/>
      </w:pPr>
      <w:rPr>
        <w:rFonts w:ascii="Symbol" w:hAnsi="Symbol" w:hint="default"/>
        <w:sz w:val="20"/>
      </w:rPr>
    </w:lvl>
    <w:lvl w:ilvl="3" w:tplc="E7C2A840" w:tentative="1">
      <w:start w:val="1"/>
      <w:numFmt w:val="bullet"/>
      <w:lvlText w:val=""/>
      <w:lvlJc w:val="left"/>
      <w:pPr>
        <w:tabs>
          <w:tab w:val="num" w:pos="2880"/>
        </w:tabs>
        <w:ind w:left="2880" w:hanging="360"/>
      </w:pPr>
      <w:rPr>
        <w:rFonts w:ascii="Symbol" w:hAnsi="Symbol" w:hint="default"/>
        <w:sz w:val="20"/>
      </w:rPr>
    </w:lvl>
    <w:lvl w:ilvl="4" w:tplc="083C5B80" w:tentative="1">
      <w:start w:val="1"/>
      <w:numFmt w:val="bullet"/>
      <w:lvlText w:val=""/>
      <w:lvlJc w:val="left"/>
      <w:pPr>
        <w:tabs>
          <w:tab w:val="num" w:pos="3600"/>
        </w:tabs>
        <w:ind w:left="3600" w:hanging="360"/>
      </w:pPr>
      <w:rPr>
        <w:rFonts w:ascii="Symbol" w:hAnsi="Symbol" w:hint="default"/>
        <w:sz w:val="20"/>
      </w:rPr>
    </w:lvl>
    <w:lvl w:ilvl="5" w:tplc="D56056D6" w:tentative="1">
      <w:start w:val="1"/>
      <w:numFmt w:val="bullet"/>
      <w:lvlText w:val=""/>
      <w:lvlJc w:val="left"/>
      <w:pPr>
        <w:tabs>
          <w:tab w:val="num" w:pos="4320"/>
        </w:tabs>
        <w:ind w:left="4320" w:hanging="360"/>
      </w:pPr>
      <w:rPr>
        <w:rFonts w:ascii="Symbol" w:hAnsi="Symbol" w:hint="default"/>
        <w:sz w:val="20"/>
      </w:rPr>
    </w:lvl>
    <w:lvl w:ilvl="6" w:tplc="CE24F224" w:tentative="1">
      <w:start w:val="1"/>
      <w:numFmt w:val="bullet"/>
      <w:lvlText w:val=""/>
      <w:lvlJc w:val="left"/>
      <w:pPr>
        <w:tabs>
          <w:tab w:val="num" w:pos="5040"/>
        </w:tabs>
        <w:ind w:left="5040" w:hanging="360"/>
      </w:pPr>
      <w:rPr>
        <w:rFonts w:ascii="Symbol" w:hAnsi="Symbol" w:hint="default"/>
        <w:sz w:val="20"/>
      </w:rPr>
    </w:lvl>
    <w:lvl w:ilvl="7" w:tplc="ECD2FC46" w:tentative="1">
      <w:start w:val="1"/>
      <w:numFmt w:val="bullet"/>
      <w:lvlText w:val=""/>
      <w:lvlJc w:val="left"/>
      <w:pPr>
        <w:tabs>
          <w:tab w:val="num" w:pos="5760"/>
        </w:tabs>
        <w:ind w:left="5760" w:hanging="360"/>
      </w:pPr>
      <w:rPr>
        <w:rFonts w:ascii="Symbol" w:hAnsi="Symbol" w:hint="default"/>
        <w:sz w:val="20"/>
      </w:rPr>
    </w:lvl>
    <w:lvl w:ilvl="8" w:tplc="8E5CC1F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E45157"/>
    <w:multiLevelType w:val="hybridMultilevel"/>
    <w:tmpl w:val="6754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F72760"/>
    <w:multiLevelType w:val="hybridMultilevel"/>
    <w:tmpl w:val="95EC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387CB9"/>
    <w:multiLevelType w:val="hybridMultilevel"/>
    <w:tmpl w:val="A2BA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C503F16"/>
    <w:multiLevelType w:val="hybridMultilevel"/>
    <w:tmpl w:val="E41EEF80"/>
    <w:lvl w:ilvl="0" w:tplc="CB1EBC3A">
      <w:start w:val="1"/>
      <w:numFmt w:val="bullet"/>
      <w:lvlText w:val=""/>
      <w:lvlJc w:val="left"/>
      <w:pPr>
        <w:tabs>
          <w:tab w:val="num" w:pos="720"/>
        </w:tabs>
        <w:ind w:left="720" w:hanging="360"/>
      </w:pPr>
      <w:rPr>
        <w:rFonts w:ascii="Symbol" w:hAnsi="Symbol" w:hint="default"/>
        <w:sz w:val="20"/>
      </w:rPr>
    </w:lvl>
    <w:lvl w:ilvl="1" w:tplc="B1A0F564" w:tentative="1">
      <w:start w:val="1"/>
      <w:numFmt w:val="bullet"/>
      <w:lvlText w:val=""/>
      <w:lvlJc w:val="left"/>
      <w:pPr>
        <w:tabs>
          <w:tab w:val="num" w:pos="1440"/>
        </w:tabs>
        <w:ind w:left="1440" w:hanging="360"/>
      </w:pPr>
      <w:rPr>
        <w:rFonts w:ascii="Symbol" w:hAnsi="Symbol" w:hint="default"/>
        <w:sz w:val="20"/>
      </w:rPr>
    </w:lvl>
    <w:lvl w:ilvl="2" w:tplc="B5CCFDE6" w:tentative="1">
      <w:start w:val="1"/>
      <w:numFmt w:val="bullet"/>
      <w:lvlText w:val=""/>
      <w:lvlJc w:val="left"/>
      <w:pPr>
        <w:tabs>
          <w:tab w:val="num" w:pos="2160"/>
        </w:tabs>
        <w:ind w:left="2160" w:hanging="360"/>
      </w:pPr>
      <w:rPr>
        <w:rFonts w:ascii="Symbol" w:hAnsi="Symbol" w:hint="default"/>
        <w:sz w:val="20"/>
      </w:rPr>
    </w:lvl>
    <w:lvl w:ilvl="3" w:tplc="211234E4" w:tentative="1">
      <w:start w:val="1"/>
      <w:numFmt w:val="bullet"/>
      <w:lvlText w:val=""/>
      <w:lvlJc w:val="left"/>
      <w:pPr>
        <w:tabs>
          <w:tab w:val="num" w:pos="2880"/>
        </w:tabs>
        <w:ind w:left="2880" w:hanging="360"/>
      </w:pPr>
      <w:rPr>
        <w:rFonts w:ascii="Symbol" w:hAnsi="Symbol" w:hint="default"/>
        <w:sz w:val="20"/>
      </w:rPr>
    </w:lvl>
    <w:lvl w:ilvl="4" w:tplc="9162D778" w:tentative="1">
      <w:start w:val="1"/>
      <w:numFmt w:val="bullet"/>
      <w:lvlText w:val=""/>
      <w:lvlJc w:val="left"/>
      <w:pPr>
        <w:tabs>
          <w:tab w:val="num" w:pos="3600"/>
        </w:tabs>
        <w:ind w:left="3600" w:hanging="360"/>
      </w:pPr>
      <w:rPr>
        <w:rFonts w:ascii="Symbol" w:hAnsi="Symbol" w:hint="default"/>
        <w:sz w:val="20"/>
      </w:rPr>
    </w:lvl>
    <w:lvl w:ilvl="5" w:tplc="C77EA720" w:tentative="1">
      <w:start w:val="1"/>
      <w:numFmt w:val="bullet"/>
      <w:lvlText w:val=""/>
      <w:lvlJc w:val="left"/>
      <w:pPr>
        <w:tabs>
          <w:tab w:val="num" w:pos="4320"/>
        </w:tabs>
        <w:ind w:left="4320" w:hanging="360"/>
      </w:pPr>
      <w:rPr>
        <w:rFonts w:ascii="Symbol" w:hAnsi="Symbol" w:hint="default"/>
        <w:sz w:val="20"/>
      </w:rPr>
    </w:lvl>
    <w:lvl w:ilvl="6" w:tplc="E6E2EFA4" w:tentative="1">
      <w:start w:val="1"/>
      <w:numFmt w:val="bullet"/>
      <w:lvlText w:val=""/>
      <w:lvlJc w:val="left"/>
      <w:pPr>
        <w:tabs>
          <w:tab w:val="num" w:pos="5040"/>
        </w:tabs>
        <w:ind w:left="5040" w:hanging="360"/>
      </w:pPr>
      <w:rPr>
        <w:rFonts w:ascii="Symbol" w:hAnsi="Symbol" w:hint="default"/>
        <w:sz w:val="20"/>
      </w:rPr>
    </w:lvl>
    <w:lvl w:ilvl="7" w:tplc="F7B69716" w:tentative="1">
      <w:start w:val="1"/>
      <w:numFmt w:val="bullet"/>
      <w:lvlText w:val=""/>
      <w:lvlJc w:val="left"/>
      <w:pPr>
        <w:tabs>
          <w:tab w:val="num" w:pos="5760"/>
        </w:tabs>
        <w:ind w:left="5760" w:hanging="360"/>
      </w:pPr>
      <w:rPr>
        <w:rFonts w:ascii="Symbol" w:hAnsi="Symbol" w:hint="default"/>
        <w:sz w:val="20"/>
      </w:rPr>
    </w:lvl>
    <w:lvl w:ilvl="8" w:tplc="C930CBE4"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E301C67"/>
    <w:multiLevelType w:val="hybridMultilevel"/>
    <w:tmpl w:val="D6A88B3A"/>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EC567B3"/>
    <w:multiLevelType w:val="hybridMultilevel"/>
    <w:tmpl w:val="5FA23D3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3DB22C9"/>
    <w:multiLevelType w:val="hybridMultilevel"/>
    <w:tmpl w:val="7040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95D5620"/>
    <w:multiLevelType w:val="hybridMultilevel"/>
    <w:tmpl w:val="A6D8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2AF6368"/>
    <w:multiLevelType w:val="hybridMultilevel"/>
    <w:tmpl w:val="C3DE9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F185E"/>
    <w:multiLevelType w:val="hybridMultilevel"/>
    <w:tmpl w:val="01C68082"/>
    <w:lvl w:ilvl="0" w:tplc="D4020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98D5E0C"/>
    <w:multiLevelType w:val="hybridMultilevel"/>
    <w:tmpl w:val="946E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A21BF5"/>
    <w:multiLevelType w:val="hybridMultilevel"/>
    <w:tmpl w:val="98A4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33B58"/>
    <w:multiLevelType w:val="hybridMultilevel"/>
    <w:tmpl w:val="DCC28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C9302A"/>
    <w:multiLevelType w:val="hybridMultilevel"/>
    <w:tmpl w:val="E460D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7E0291"/>
    <w:multiLevelType w:val="hybridMultilevel"/>
    <w:tmpl w:val="3948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26"/>
  </w:num>
  <w:num w:numId="3">
    <w:abstractNumId w:val="56"/>
  </w:num>
  <w:num w:numId="4">
    <w:abstractNumId w:val="17"/>
  </w:num>
  <w:num w:numId="5">
    <w:abstractNumId w:val="45"/>
  </w:num>
  <w:num w:numId="6">
    <w:abstractNumId w:val="50"/>
  </w:num>
  <w:num w:numId="7">
    <w:abstractNumId w:val="4"/>
  </w:num>
  <w:num w:numId="8">
    <w:abstractNumId w:val="23"/>
  </w:num>
  <w:num w:numId="9">
    <w:abstractNumId w:val="35"/>
  </w:num>
  <w:num w:numId="10">
    <w:abstractNumId w:val="36"/>
  </w:num>
  <w:num w:numId="11">
    <w:abstractNumId w:val="58"/>
  </w:num>
  <w:num w:numId="12">
    <w:abstractNumId w:val="41"/>
  </w:num>
  <w:num w:numId="13">
    <w:abstractNumId w:val="3"/>
  </w:num>
  <w:num w:numId="14">
    <w:abstractNumId w:val="65"/>
  </w:num>
  <w:num w:numId="15">
    <w:abstractNumId w:val="30"/>
  </w:num>
  <w:num w:numId="16">
    <w:abstractNumId w:val="11"/>
  </w:num>
  <w:num w:numId="17">
    <w:abstractNumId w:val="22"/>
  </w:num>
  <w:num w:numId="18">
    <w:abstractNumId w:val="38"/>
  </w:num>
  <w:num w:numId="19">
    <w:abstractNumId w:val="5"/>
  </w:num>
  <w:num w:numId="20">
    <w:abstractNumId w:val="40"/>
  </w:num>
  <w:num w:numId="21">
    <w:abstractNumId w:val="33"/>
  </w:num>
  <w:num w:numId="22">
    <w:abstractNumId w:val="16"/>
  </w:num>
  <w:num w:numId="23">
    <w:abstractNumId w:val="62"/>
  </w:num>
  <w:num w:numId="24">
    <w:abstractNumId w:val="27"/>
  </w:num>
  <w:num w:numId="25">
    <w:abstractNumId w:val="3"/>
  </w:num>
  <w:num w:numId="26">
    <w:abstractNumId w:val="48"/>
  </w:num>
  <w:num w:numId="27">
    <w:abstractNumId w:val="6"/>
  </w:num>
  <w:num w:numId="28">
    <w:abstractNumId w:val="61"/>
  </w:num>
  <w:num w:numId="29">
    <w:abstractNumId w:val="31"/>
  </w:num>
  <w:num w:numId="30">
    <w:abstractNumId w:val="55"/>
  </w:num>
  <w:num w:numId="31">
    <w:abstractNumId w:val="60"/>
  </w:num>
  <w:num w:numId="32">
    <w:abstractNumId w:val="32"/>
  </w:num>
  <w:num w:numId="33">
    <w:abstractNumId w:val="63"/>
  </w:num>
  <w:num w:numId="34">
    <w:abstractNumId w:val="18"/>
  </w:num>
  <w:num w:numId="35">
    <w:abstractNumId w:val="64"/>
  </w:num>
  <w:num w:numId="36">
    <w:abstractNumId w:val="57"/>
  </w:num>
  <w:num w:numId="37">
    <w:abstractNumId w:val="39"/>
  </w:num>
  <w:num w:numId="38">
    <w:abstractNumId w:val="14"/>
  </w:num>
  <w:num w:numId="39">
    <w:abstractNumId w:val="20"/>
  </w:num>
  <w:num w:numId="40">
    <w:abstractNumId w:val="7"/>
  </w:num>
  <w:num w:numId="41">
    <w:abstractNumId w:val="28"/>
  </w:num>
  <w:num w:numId="42">
    <w:abstractNumId w:val="24"/>
  </w:num>
  <w:num w:numId="43">
    <w:abstractNumId w:val="13"/>
  </w:num>
  <w:num w:numId="44">
    <w:abstractNumId w:val="21"/>
  </w:num>
  <w:num w:numId="45">
    <w:abstractNumId w:val="9"/>
  </w:num>
  <w:num w:numId="46">
    <w:abstractNumId w:val="42"/>
  </w:num>
  <w:num w:numId="47">
    <w:abstractNumId w:val="44"/>
  </w:num>
  <w:num w:numId="48">
    <w:abstractNumId w:val="12"/>
  </w:num>
  <w:num w:numId="49">
    <w:abstractNumId w:val="43"/>
  </w:num>
  <w:num w:numId="50">
    <w:abstractNumId w:val="53"/>
  </w:num>
  <w:num w:numId="51">
    <w:abstractNumId w:val="59"/>
  </w:num>
  <w:num w:numId="52">
    <w:abstractNumId w:val="49"/>
  </w:num>
  <w:num w:numId="53">
    <w:abstractNumId w:val="1"/>
  </w:num>
  <w:num w:numId="54">
    <w:abstractNumId w:val="29"/>
  </w:num>
  <w:num w:numId="55">
    <w:abstractNumId w:val="10"/>
  </w:num>
  <w:num w:numId="56">
    <w:abstractNumId w:val="15"/>
  </w:num>
  <w:num w:numId="57">
    <w:abstractNumId w:val="37"/>
  </w:num>
  <w:num w:numId="58">
    <w:abstractNumId w:val="47"/>
  </w:num>
  <w:num w:numId="59">
    <w:abstractNumId w:val="52"/>
  </w:num>
  <w:num w:numId="60">
    <w:abstractNumId w:val="8"/>
  </w:num>
  <w:num w:numId="61">
    <w:abstractNumId w:val="2"/>
  </w:num>
  <w:num w:numId="62">
    <w:abstractNumId w:val="51"/>
  </w:num>
  <w:num w:numId="63">
    <w:abstractNumId w:val="25"/>
  </w:num>
  <w:num w:numId="64">
    <w:abstractNumId w:val="0"/>
  </w:num>
  <w:num w:numId="65">
    <w:abstractNumId w:val="54"/>
  </w:num>
  <w:num w:numId="66">
    <w:abstractNumId w:val="34"/>
  </w:num>
  <w:num w:numId="67">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F"/>
    <w:rsid w:val="000005F8"/>
    <w:rsid w:val="0000159E"/>
    <w:rsid w:val="000040D5"/>
    <w:rsid w:val="00005E75"/>
    <w:rsid w:val="00012A1C"/>
    <w:rsid w:val="000138A3"/>
    <w:rsid w:val="000238B0"/>
    <w:rsid w:val="00025553"/>
    <w:rsid w:val="0002772A"/>
    <w:rsid w:val="000278EF"/>
    <w:rsid w:val="000321AE"/>
    <w:rsid w:val="000324AD"/>
    <w:rsid w:val="00033C17"/>
    <w:rsid w:val="000353D5"/>
    <w:rsid w:val="00036D26"/>
    <w:rsid w:val="00050515"/>
    <w:rsid w:val="00050B10"/>
    <w:rsid w:val="00051008"/>
    <w:rsid w:val="0005172A"/>
    <w:rsid w:val="00051AD1"/>
    <w:rsid w:val="00053B43"/>
    <w:rsid w:val="00054B5E"/>
    <w:rsid w:val="000550F7"/>
    <w:rsid w:val="00056C44"/>
    <w:rsid w:val="00057DE7"/>
    <w:rsid w:val="00061344"/>
    <w:rsid w:val="000739C0"/>
    <w:rsid w:val="00073DA9"/>
    <w:rsid w:val="00074DEF"/>
    <w:rsid w:val="000753EA"/>
    <w:rsid w:val="00075767"/>
    <w:rsid w:val="00077D9D"/>
    <w:rsid w:val="00080245"/>
    <w:rsid w:val="00080A95"/>
    <w:rsid w:val="00083710"/>
    <w:rsid w:val="00083E88"/>
    <w:rsid w:val="00090045"/>
    <w:rsid w:val="000927FE"/>
    <w:rsid w:val="000952C6"/>
    <w:rsid w:val="00095631"/>
    <w:rsid w:val="000971CD"/>
    <w:rsid w:val="000A3A11"/>
    <w:rsid w:val="000A5399"/>
    <w:rsid w:val="000A5DAC"/>
    <w:rsid w:val="000A6701"/>
    <w:rsid w:val="000A74C7"/>
    <w:rsid w:val="000B2677"/>
    <w:rsid w:val="000B41D5"/>
    <w:rsid w:val="000B6D4E"/>
    <w:rsid w:val="000B6EEA"/>
    <w:rsid w:val="000C2A3E"/>
    <w:rsid w:val="000C4324"/>
    <w:rsid w:val="000C5141"/>
    <w:rsid w:val="000C5C0A"/>
    <w:rsid w:val="000D1863"/>
    <w:rsid w:val="000D4AED"/>
    <w:rsid w:val="000D5A16"/>
    <w:rsid w:val="000D6785"/>
    <w:rsid w:val="000D7744"/>
    <w:rsid w:val="000E09DC"/>
    <w:rsid w:val="000E12B8"/>
    <w:rsid w:val="000F0830"/>
    <w:rsid w:val="000F0E07"/>
    <w:rsid w:val="000F19B3"/>
    <w:rsid w:val="000F2E0D"/>
    <w:rsid w:val="000F48A7"/>
    <w:rsid w:val="000F6B8B"/>
    <w:rsid w:val="000F7B01"/>
    <w:rsid w:val="00102699"/>
    <w:rsid w:val="00102BF1"/>
    <w:rsid w:val="00103996"/>
    <w:rsid w:val="001048F3"/>
    <w:rsid w:val="00106EEE"/>
    <w:rsid w:val="0010710C"/>
    <w:rsid w:val="001174D7"/>
    <w:rsid w:val="0012020E"/>
    <w:rsid w:val="00120BA9"/>
    <w:rsid w:val="00121623"/>
    <w:rsid w:val="00123311"/>
    <w:rsid w:val="00123337"/>
    <w:rsid w:val="0012367B"/>
    <w:rsid w:val="00125B79"/>
    <w:rsid w:val="00126D73"/>
    <w:rsid w:val="00130059"/>
    <w:rsid w:val="0013179A"/>
    <w:rsid w:val="00133992"/>
    <w:rsid w:val="00133C6C"/>
    <w:rsid w:val="00135159"/>
    <w:rsid w:val="00140446"/>
    <w:rsid w:val="001441EE"/>
    <w:rsid w:val="0014469C"/>
    <w:rsid w:val="00145724"/>
    <w:rsid w:val="00145FA3"/>
    <w:rsid w:val="0014775B"/>
    <w:rsid w:val="001516A8"/>
    <w:rsid w:val="0015420B"/>
    <w:rsid w:val="001570D9"/>
    <w:rsid w:val="00161434"/>
    <w:rsid w:val="001653C1"/>
    <w:rsid w:val="00166732"/>
    <w:rsid w:val="00166928"/>
    <w:rsid w:val="001675C0"/>
    <w:rsid w:val="00170191"/>
    <w:rsid w:val="00172A0F"/>
    <w:rsid w:val="00175A34"/>
    <w:rsid w:val="00176063"/>
    <w:rsid w:val="00176402"/>
    <w:rsid w:val="001776D9"/>
    <w:rsid w:val="0018148D"/>
    <w:rsid w:val="00181F2F"/>
    <w:rsid w:val="00186558"/>
    <w:rsid w:val="00192584"/>
    <w:rsid w:val="00194326"/>
    <w:rsid w:val="00194A0C"/>
    <w:rsid w:val="001A0CA5"/>
    <w:rsid w:val="001A3125"/>
    <w:rsid w:val="001A336C"/>
    <w:rsid w:val="001A649A"/>
    <w:rsid w:val="001A6BAD"/>
    <w:rsid w:val="001A6D37"/>
    <w:rsid w:val="001B07C7"/>
    <w:rsid w:val="001B3958"/>
    <w:rsid w:val="001B44C0"/>
    <w:rsid w:val="001B4989"/>
    <w:rsid w:val="001B5184"/>
    <w:rsid w:val="001B6E5C"/>
    <w:rsid w:val="001B7AB7"/>
    <w:rsid w:val="001C1975"/>
    <w:rsid w:val="001C45B0"/>
    <w:rsid w:val="001C48BC"/>
    <w:rsid w:val="001C5330"/>
    <w:rsid w:val="001C6C39"/>
    <w:rsid w:val="001C7B05"/>
    <w:rsid w:val="001D035C"/>
    <w:rsid w:val="001D4E3A"/>
    <w:rsid w:val="001D5759"/>
    <w:rsid w:val="001D604E"/>
    <w:rsid w:val="001D7720"/>
    <w:rsid w:val="001D7FAC"/>
    <w:rsid w:val="001E1929"/>
    <w:rsid w:val="001E2A88"/>
    <w:rsid w:val="001E348D"/>
    <w:rsid w:val="001E3AF2"/>
    <w:rsid w:val="001E4159"/>
    <w:rsid w:val="001E699E"/>
    <w:rsid w:val="001E94F1"/>
    <w:rsid w:val="001F38C0"/>
    <w:rsid w:val="001F4E9E"/>
    <w:rsid w:val="001F7550"/>
    <w:rsid w:val="00200D9F"/>
    <w:rsid w:val="00202335"/>
    <w:rsid w:val="00207D4A"/>
    <w:rsid w:val="00212026"/>
    <w:rsid w:val="002124D8"/>
    <w:rsid w:val="002125F9"/>
    <w:rsid w:val="00215683"/>
    <w:rsid w:val="00215750"/>
    <w:rsid w:val="0021695B"/>
    <w:rsid w:val="00216A27"/>
    <w:rsid w:val="0022005F"/>
    <w:rsid w:val="00223112"/>
    <w:rsid w:val="002275AE"/>
    <w:rsid w:val="00227F50"/>
    <w:rsid w:val="00232805"/>
    <w:rsid w:val="0023715E"/>
    <w:rsid w:val="00240B26"/>
    <w:rsid w:val="00241376"/>
    <w:rsid w:val="00241902"/>
    <w:rsid w:val="00243167"/>
    <w:rsid w:val="002446D1"/>
    <w:rsid w:val="00245072"/>
    <w:rsid w:val="002455C1"/>
    <w:rsid w:val="002465FA"/>
    <w:rsid w:val="002542F2"/>
    <w:rsid w:val="00256AA8"/>
    <w:rsid w:val="00256AF5"/>
    <w:rsid w:val="002576ED"/>
    <w:rsid w:val="00257E5A"/>
    <w:rsid w:val="002612D9"/>
    <w:rsid w:val="00262142"/>
    <w:rsid w:val="00264B91"/>
    <w:rsid w:val="00264C3F"/>
    <w:rsid w:val="00270827"/>
    <w:rsid w:val="00272325"/>
    <w:rsid w:val="00272989"/>
    <w:rsid w:val="00274174"/>
    <w:rsid w:val="00274B08"/>
    <w:rsid w:val="00275975"/>
    <w:rsid w:val="00292D20"/>
    <w:rsid w:val="002965CD"/>
    <w:rsid w:val="00296D5F"/>
    <w:rsid w:val="002A05BB"/>
    <w:rsid w:val="002A3116"/>
    <w:rsid w:val="002A316A"/>
    <w:rsid w:val="002A332F"/>
    <w:rsid w:val="002A3526"/>
    <w:rsid w:val="002A3A87"/>
    <w:rsid w:val="002A4C7C"/>
    <w:rsid w:val="002A4E61"/>
    <w:rsid w:val="002A542F"/>
    <w:rsid w:val="002B1E99"/>
    <w:rsid w:val="002B3EB0"/>
    <w:rsid w:val="002B4B14"/>
    <w:rsid w:val="002B512E"/>
    <w:rsid w:val="002B5E40"/>
    <w:rsid w:val="002C0111"/>
    <w:rsid w:val="002C1192"/>
    <w:rsid w:val="002C23FD"/>
    <w:rsid w:val="002C253A"/>
    <w:rsid w:val="002C45F6"/>
    <w:rsid w:val="002C7DAD"/>
    <w:rsid w:val="002D0788"/>
    <w:rsid w:val="002D085B"/>
    <w:rsid w:val="002D1A82"/>
    <w:rsid w:val="002D4491"/>
    <w:rsid w:val="002D4C51"/>
    <w:rsid w:val="002D6BFD"/>
    <w:rsid w:val="002D6EC8"/>
    <w:rsid w:val="002E09C6"/>
    <w:rsid w:val="002E2ADB"/>
    <w:rsid w:val="002E4CB5"/>
    <w:rsid w:val="002E6FCA"/>
    <w:rsid w:val="002F08C6"/>
    <w:rsid w:val="002F18E0"/>
    <w:rsid w:val="002F279B"/>
    <w:rsid w:val="002F3775"/>
    <w:rsid w:val="002F7D01"/>
    <w:rsid w:val="00300795"/>
    <w:rsid w:val="00300E7D"/>
    <w:rsid w:val="0030275F"/>
    <w:rsid w:val="00303E2F"/>
    <w:rsid w:val="00304ECB"/>
    <w:rsid w:val="003065F9"/>
    <w:rsid w:val="00307664"/>
    <w:rsid w:val="00310CB0"/>
    <w:rsid w:val="00314645"/>
    <w:rsid w:val="00315131"/>
    <w:rsid w:val="003166D2"/>
    <w:rsid w:val="003178AB"/>
    <w:rsid w:val="0033606C"/>
    <w:rsid w:val="00337168"/>
    <w:rsid w:val="0034427A"/>
    <w:rsid w:val="00344A26"/>
    <w:rsid w:val="00344B65"/>
    <w:rsid w:val="003453FB"/>
    <w:rsid w:val="00345BCF"/>
    <w:rsid w:val="00346E17"/>
    <w:rsid w:val="00347D0C"/>
    <w:rsid w:val="00352B21"/>
    <w:rsid w:val="0035405D"/>
    <w:rsid w:val="003549EB"/>
    <w:rsid w:val="00354DF7"/>
    <w:rsid w:val="00354F8B"/>
    <w:rsid w:val="0035515F"/>
    <w:rsid w:val="003609B2"/>
    <w:rsid w:val="00361A56"/>
    <w:rsid w:val="003625A8"/>
    <w:rsid w:val="00363520"/>
    <w:rsid w:val="003639F6"/>
    <w:rsid w:val="003705FC"/>
    <w:rsid w:val="00371992"/>
    <w:rsid w:val="00373D1B"/>
    <w:rsid w:val="00384ACF"/>
    <w:rsid w:val="00385186"/>
    <w:rsid w:val="0038577C"/>
    <w:rsid w:val="003875F8"/>
    <w:rsid w:val="00390ED6"/>
    <w:rsid w:val="003A0A25"/>
    <w:rsid w:val="003A204E"/>
    <w:rsid w:val="003A2653"/>
    <w:rsid w:val="003A7170"/>
    <w:rsid w:val="003B032D"/>
    <w:rsid w:val="003B20B0"/>
    <w:rsid w:val="003B54B1"/>
    <w:rsid w:val="003B5B8E"/>
    <w:rsid w:val="003B7157"/>
    <w:rsid w:val="003C3B41"/>
    <w:rsid w:val="003C3C7E"/>
    <w:rsid w:val="003C56FC"/>
    <w:rsid w:val="003D00D2"/>
    <w:rsid w:val="003D06B8"/>
    <w:rsid w:val="003D15F4"/>
    <w:rsid w:val="003D1ECD"/>
    <w:rsid w:val="003D269D"/>
    <w:rsid w:val="003E1E8D"/>
    <w:rsid w:val="003E1F44"/>
    <w:rsid w:val="003E3FFD"/>
    <w:rsid w:val="003E4DF7"/>
    <w:rsid w:val="003E5B5F"/>
    <w:rsid w:val="003E62C4"/>
    <w:rsid w:val="003E6E6E"/>
    <w:rsid w:val="003F2860"/>
    <w:rsid w:val="003F324C"/>
    <w:rsid w:val="003F6CB0"/>
    <w:rsid w:val="003F7194"/>
    <w:rsid w:val="003F78F3"/>
    <w:rsid w:val="00406857"/>
    <w:rsid w:val="00406F50"/>
    <w:rsid w:val="00407E9B"/>
    <w:rsid w:val="004104BF"/>
    <w:rsid w:val="00411436"/>
    <w:rsid w:val="0041176C"/>
    <w:rsid w:val="00412B6E"/>
    <w:rsid w:val="004143E3"/>
    <w:rsid w:val="00416501"/>
    <w:rsid w:val="004203BC"/>
    <w:rsid w:val="00420622"/>
    <w:rsid w:val="004206E9"/>
    <w:rsid w:val="00424647"/>
    <w:rsid w:val="0042654E"/>
    <w:rsid w:val="00427183"/>
    <w:rsid w:val="00427189"/>
    <w:rsid w:val="00427D03"/>
    <w:rsid w:val="004316A2"/>
    <w:rsid w:val="004316D1"/>
    <w:rsid w:val="004319D2"/>
    <w:rsid w:val="0043299E"/>
    <w:rsid w:val="00440253"/>
    <w:rsid w:val="00443366"/>
    <w:rsid w:val="0044368B"/>
    <w:rsid w:val="00443B1F"/>
    <w:rsid w:val="00443EF6"/>
    <w:rsid w:val="00445678"/>
    <w:rsid w:val="00445F88"/>
    <w:rsid w:val="0044670C"/>
    <w:rsid w:val="0044735C"/>
    <w:rsid w:val="00451974"/>
    <w:rsid w:val="00451D8B"/>
    <w:rsid w:val="004527E1"/>
    <w:rsid w:val="00453A44"/>
    <w:rsid w:val="00454C15"/>
    <w:rsid w:val="0046045E"/>
    <w:rsid w:val="004627C2"/>
    <w:rsid w:val="00467AC4"/>
    <w:rsid w:val="004702C6"/>
    <w:rsid w:val="00474E0A"/>
    <w:rsid w:val="0047534A"/>
    <w:rsid w:val="00476922"/>
    <w:rsid w:val="004805DB"/>
    <w:rsid w:val="004825E9"/>
    <w:rsid w:val="0048362A"/>
    <w:rsid w:val="00484509"/>
    <w:rsid w:val="00484E36"/>
    <w:rsid w:val="004856C1"/>
    <w:rsid w:val="00485732"/>
    <w:rsid w:val="004869DB"/>
    <w:rsid w:val="004874E7"/>
    <w:rsid w:val="00492E1C"/>
    <w:rsid w:val="00494E2F"/>
    <w:rsid w:val="0049578B"/>
    <w:rsid w:val="00495FC0"/>
    <w:rsid w:val="004970B6"/>
    <w:rsid w:val="004A3382"/>
    <w:rsid w:val="004A34D7"/>
    <w:rsid w:val="004A416D"/>
    <w:rsid w:val="004A6B68"/>
    <w:rsid w:val="004B4A24"/>
    <w:rsid w:val="004B5A88"/>
    <w:rsid w:val="004BB392"/>
    <w:rsid w:val="004C021E"/>
    <w:rsid w:val="004D0053"/>
    <w:rsid w:val="004D0373"/>
    <w:rsid w:val="004D2195"/>
    <w:rsid w:val="004D74EF"/>
    <w:rsid w:val="004D794D"/>
    <w:rsid w:val="004E029B"/>
    <w:rsid w:val="004E07D7"/>
    <w:rsid w:val="004E17C5"/>
    <w:rsid w:val="004E4458"/>
    <w:rsid w:val="004E750F"/>
    <w:rsid w:val="004E78EA"/>
    <w:rsid w:val="004F1E5C"/>
    <w:rsid w:val="004F2DEF"/>
    <w:rsid w:val="004F30D9"/>
    <w:rsid w:val="004F5862"/>
    <w:rsid w:val="0050390F"/>
    <w:rsid w:val="00506074"/>
    <w:rsid w:val="005075FC"/>
    <w:rsid w:val="005113F8"/>
    <w:rsid w:val="005150EC"/>
    <w:rsid w:val="0051714C"/>
    <w:rsid w:val="005173E4"/>
    <w:rsid w:val="00517A02"/>
    <w:rsid w:val="00517C00"/>
    <w:rsid w:val="0052105D"/>
    <w:rsid w:val="0052192C"/>
    <w:rsid w:val="00526083"/>
    <w:rsid w:val="005274B2"/>
    <w:rsid w:val="00527AC7"/>
    <w:rsid w:val="00527B0E"/>
    <w:rsid w:val="00527CF3"/>
    <w:rsid w:val="00530263"/>
    <w:rsid w:val="00530953"/>
    <w:rsid w:val="00532123"/>
    <w:rsid w:val="00532851"/>
    <w:rsid w:val="00533ED1"/>
    <w:rsid w:val="005347BD"/>
    <w:rsid w:val="005365A9"/>
    <w:rsid w:val="00536DB6"/>
    <w:rsid w:val="00537F40"/>
    <w:rsid w:val="0054468C"/>
    <w:rsid w:val="00545824"/>
    <w:rsid w:val="00545AAE"/>
    <w:rsid w:val="00547583"/>
    <w:rsid w:val="0054796C"/>
    <w:rsid w:val="0055019E"/>
    <w:rsid w:val="0055260F"/>
    <w:rsid w:val="0055266E"/>
    <w:rsid w:val="00554752"/>
    <w:rsid w:val="00562F34"/>
    <w:rsid w:val="00565042"/>
    <w:rsid w:val="00567D20"/>
    <w:rsid w:val="005700B8"/>
    <w:rsid w:val="00571C6F"/>
    <w:rsid w:val="00572321"/>
    <w:rsid w:val="0057373F"/>
    <w:rsid w:val="0057531D"/>
    <w:rsid w:val="005753D2"/>
    <w:rsid w:val="005755FC"/>
    <w:rsid w:val="00581A24"/>
    <w:rsid w:val="00590AB6"/>
    <w:rsid w:val="005920CD"/>
    <w:rsid w:val="00593EFD"/>
    <w:rsid w:val="00595966"/>
    <w:rsid w:val="005A23FB"/>
    <w:rsid w:val="005A2680"/>
    <w:rsid w:val="005A2E51"/>
    <w:rsid w:val="005A31D3"/>
    <w:rsid w:val="005A6162"/>
    <w:rsid w:val="005B0D48"/>
    <w:rsid w:val="005B3476"/>
    <w:rsid w:val="005B470A"/>
    <w:rsid w:val="005B5FBA"/>
    <w:rsid w:val="005B645B"/>
    <w:rsid w:val="005B7831"/>
    <w:rsid w:val="005B7948"/>
    <w:rsid w:val="005C13A7"/>
    <w:rsid w:val="005C26B7"/>
    <w:rsid w:val="005C33A7"/>
    <w:rsid w:val="005D6932"/>
    <w:rsid w:val="005D7C44"/>
    <w:rsid w:val="005E32A8"/>
    <w:rsid w:val="005E4044"/>
    <w:rsid w:val="005E556E"/>
    <w:rsid w:val="005F0080"/>
    <w:rsid w:val="005F05F6"/>
    <w:rsid w:val="005F14CA"/>
    <w:rsid w:val="005F1697"/>
    <w:rsid w:val="005F2351"/>
    <w:rsid w:val="005F30AD"/>
    <w:rsid w:val="005F3570"/>
    <w:rsid w:val="005F6B64"/>
    <w:rsid w:val="005F758F"/>
    <w:rsid w:val="00601B5B"/>
    <w:rsid w:val="00603337"/>
    <w:rsid w:val="00603F32"/>
    <w:rsid w:val="0060408C"/>
    <w:rsid w:val="0060500F"/>
    <w:rsid w:val="00605C99"/>
    <w:rsid w:val="00605EA5"/>
    <w:rsid w:val="00607099"/>
    <w:rsid w:val="0060718F"/>
    <w:rsid w:val="0060793D"/>
    <w:rsid w:val="00611E7A"/>
    <w:rsid w:val="006147FE"/>
    <w:rsid w:val="00620305"/>
    <w:rsid w:val="006219E6"/>
    <w:rsid w:val="00624CCA"/>
    <w:rsid w:val="00632100"/>
    <w:rsid w:val="00633F29"/>
    <w:rsid w:val="00635042"/>
    <w:rsid w:val="00635810"/>
    <w:rsid w:val="00636B44"/>
    <w:rsid w:val="00642BD0"/>
    <w:rsid w:val="00643851"/>
    <w:rsid w:val="00645DD7"/>
    <w:rsid w:val="00646FE5"/>
    <w:rsid w:val="00651E42"/>
    <w:rsid w:val="0065383D"/>
    <w:rsid w:val="00654F58"/>
    <w:rsid w:val="00656D57"/>
    <w:rsid w:val="006608DA"/>
    <w:rsid w:val="00662497"/>
    <w:rsid w:val="00663381"/>
    <w:rsid w:val="0066371A"/>
    <w:rsid w:val="006663A8"/>
    <w:rsid w:val="00667334"/>
    <w:rsid w:val="006703EE"/>
    <w:rsid w:val="0067042F"/>
    <w:rsid w:val="006714F0"/>
    <w:rsid w:val="00671B72"/>
    <w:rsid w:val="00675955"/>
    <w:rsid w:val="00680950"/>
    <w:rsid w:val="00680AFB"/>
    <w:rsid w:val="0068284D"/>
    <w:rsid w:val="00685E26"/>
    <w:rsid w:val="0068660C"/>
    <w:rsid w:val="006868E8"/>
    <w:rsid w:val="0068780D"/>
    <w:rsid w:val="00690547"/>
    <w:rsid w:val="00692300"/>
    <w:rsid w:val="00693951"/>
    <w:rsid w:val="006945D9"/>
    <w:rsid w:val="00696356"/>
    <w:rsid w:val="006971B7"/>
    <w:rsid w:val="006971D5"/>
    <w:rsid w:val="006A26B9"/>
    <w:rsid w:val="006A3FC9"/>
    <w:rsid w:val="006A6F72"/>
    <w:rsid w:val="006A7100"/>
    <w:rsid w:val="006A722F"/>
    <w:rsid w:val="006A778F"/>
    <w:rsid w:val="006B1157"/>
    <w:rsid w:val="006B2111"/>
    <w:rsid w:val="006B2CF9"/>
    <w:rsid w:val="006B437A"/>
    <w:rsid w:val="006B4994"/>
    <w:rsid w:val="006B5BC9"/>
    <w:rsid w:val="006B5E58"/>
    <w:rsid w:val="006C50EF"/>
    <w:rsid w:val="006C52BD"/>
    <w:rsid w:val="006D0223"/>
    <w:rsid w:val="006D50E0"/>
    <w:rsid w:val="006D5385"/>
    <w:rsid w:val="006E06C6"/>
    <w:rsid w:val="006E2A6A"/>
    <w:rsid w:val="006E2AE2"/>
    <w:rsid w:val="006E3294"/>
    <w:rsid w:val="006E3B99"/>
    <w:rsid w:val="006E4312"/>
    <w:rsid w:val="006E6C47"/>
    <w:rsid w:val="006F1AB1"/>
    <w:rsid w:val="006F2029"/>
    <w:rsid w:val="006F2355"/>
    <w:rsid w:val="006F505A"/>
    <w:rsid w:val="006F5A8D"/>
    <w:rsid w:val="006F72DA"/>
    <w:rsid w:val="00700C83"/>
    <w:rsid w:val="00701396"/>
    <w:rsid w:val="007025DE"/>
    <w:rsid w:val="00703ABF"/>
    <w:rsid w:val="007050A0"/>
    <w:rsid w:val="007067B1"/>
    <w:rsid w:val="00707D48"/>
    <w:rsid w:val="0071042A"/>
    <w:rsid w:val="00711A02"/>
    <w:rsid w:val="007130EE"/>
    <w:rsid w:val="0071471F"/>
    <w:rsid w:val="007165C2"/>
    <w:rsid w:val="00716AB7"/>
    <w:rsid w:val="0071773D"/>
    <w:rsid w:val="00717A32"/>
    <w:rsid w:val="00720297"/>
    <w:rsid w:val="00722B62"/>
    <w:rsid w:val="00722DC1"/>
    <w:rsid w:val="00724195"/>
    <w:rsid w:val="00726B26"/>
    <w:rsid w:val="00726EDA"/>
    <w:rsid w:val="00727801"/>
    <w:rsid w:val="0073021A"/>
    <w:rsid w:val="00731326"/>
    <w:rsid w:val="007313A3"/>
    <w:rsid w:val="007365D6"/>
    <w:rsid w:val="00741468"/>
    <w:rsid w:val="00741715"/>
    <w:rsid w:val="007418D4"/>
    <w:rsid w:val="00741C2C"/>
    <w:rsid w:val="00742426"/>
    <w:rsid w:val="007428B8"/>
    <w:rsid w:val="00744709"/>
    <w:rsid w:val="00745042"/>
    <w:rsid w:val="00746164"/>
    <w:rsid w:val="007507CF"/>
    <w:rsid w:val="00751323"/>
    <w:rsid w:val="00752E70"/>
    <w:rsid w:val="00753E52"/>
    <w:rsid w:val="007614D6"/>
    <w:rsid w:val="007639CA"/>
    <w:rsid w:val="00766270"/>
    <w:rsid w:val="00766E90"/>
    <w:rsid w:val="0077040B"/>
    <w:rsid w:val="00772977"/>
    <w:rsid w:val="00772AEB"/>
    <w:rsid w:val="00774AF7"/>
    <w:rsid w:val="007755FF"/>
    <w:rsid w:val="00776BAC"/>
    <w:rsid w:val="00780471"/>
    <w:rsid w:val="007809C3"/>
    <w:rsid w:val="00780BB6"/>
    <w:rsid w:val="007813C9"/>
    <w:rsid w:val="007828E6"/>
    <w:rsid w:val="00784439"/>
    <w:rsid w:val="00784B2B"/>
    <w:rsid w:val="00787FF4"/>
    <w:rsid w:val="007912A0"/>
    <w:rsid w:val="0079175E"/>
    <w:rsid w:val="007927E6"/>
    <w:rsid w:val="007928C0"/>
    <w:rsid w:val="00794751"/>
    <w:rsid w:val="007956D9"/>
    <w:rsid w:val="007A2AB8"/>
    <w:rsid w:val="007A32F7"/>
    <w:rsid w:val="007A434B"/>
    <w:rsid w:val="007A446F"/>
    <w:rsid w:val="007A48EC"/>
    <w:rsid w:val="007A4A4D"/>
    <w:rsid w:val="007B2BCD"/>
    <w:rsid w:val="007B595D"/>
    <w:rsid w:val="007B6FCE"/>
    <w:rsid w:val="007B793D"/>
    <w:rsid w:val="007C007B"/>
    <w:rsid w:val="007C0AB5"/>
    <w:rsid w:val="007C2242"/>
    <w:rsid w:val="007C3992"/>
    <w:rsid w:val="007C5697"/>
    <w:rsid w:val="007C593E"/>
    <w:rsid w:val="007C6B74"/>
    <w:rsid w:val="007D0BDC"/>
    <w:rsid w:val="007D10AA"/>
    <w:rsid w:val="007D224C"/>
    <w:rsid w:val="007D25A0"/>
    <w:rsid w:val="007D2E5A"/>
    <w:rsid w:val="007D477A"/>
    <w:rsid w:val="007D5226"/>
    <w:rsid w:val="007D5DCC"/>
    <w:rsid w:val="007D6583"/>
    <w:rsid w:val="007D6A8F"/>
    <w:rsid w:val="007E0DFD"/>
    <w:rsid w:val="007E2982"/>
    <w:rsid w:val="007E30EE"/>
    <w:rsid w:val="007E6321"/>
    <w:rsid w:val="007E6E29"/>
    <w:rsid w:val="007F01BE"/>
    <w:rsid w:val="007F2008"/>
    <w:rsid w:val="007F21CC"/>
    <w:rsid w:val="007F39E0"/>
    <w:rsid w:val="007F3E75"/>
    <w:rsid w:val="007F4C0A"/>
    <w:rsid w:val="007F4CFE"/>
    <w:rsid w:val="007F7855"/>
    <w:rsid w:val="007F7D73"/>
    <w:rsid w:val="00801DE3"/>
    <w:rsid w:val="00803BF3"/>
    <w:rsid w:val="00806A41"/>
    <w:rsid w:val="00807A09"/>
    <w:rsid w:val="0081000D"/>
    <w:rsid w:val="00822DEA"/>
    <w:rsid w:val="00823976"/>
    <w:rsid w:val="00825BB4"/>
    <w:rsid w:val="0082631F"/>
    <w:rsid w:val="0082653C"/>
    <w:rsid w:val="00827DE9"/>
    <w:rsid w:val="0083045D"/>
    <w:rsid w:val="0084013E"/>
    <w:rsid w:val="008410AA"/>
    <w:rsid w:val="00841157"/>
    <w:rsid w:val="00841911"/>
    <w:rsid w:val="00841DCC"/>
    <w:rsid w:val="00845675"/>
    <w:rsid w:val="0084797D"/>
    <w:rsid w:val="00847E82"/>
    <w:rsid w:val="008520B2"/>
    <w:rsid w:val="008551B4"/>
    <w:rsid w:val="008553DA"/>
    <w:rsid w:val="0085621B"/>
    <w:rsid w:val="00856C1A"/>
    <w:rsid w:val="00865FA2"/>
    <w:rsid w:val="00870E2F"/>
    <w:rsid w:val="00871237"/>
    <w:rsid w:val="0087181F"/>
    <w:rsid w:val="00871F66"/>
    <w:rsid w:val="00875700"/>
    <w:rsid w:val="008765F6"/>
    <w:rsid w:val="00876615"/>
    <w:rsid w:val="008767CC"/>
    <w:rsid w:val="008827A6"/>
    <w:rsid w:val="00882B69"/>
    <w:rsid w:val="00882FCE"/>
    <w:rsid w:val="00883E6C"/>
    <w:rsid w:val="008841AC"/>
    <w:rsid w:val="0088668D"/>
    <w:rsid w:val="008909EE"/>
    <w:rsid w:val="00891735"/>
    <w:rsid w:val="00892572"/>
    <w:rsid w:val="00893762"/>
    <w:rsid w:val="0089522C"/>
    <w:rsid w:val="00895C52"/>
    <w:rsid w:val="008978C5"/>
    <w:rsid w:val="008A08B2"/>
    <w:rsid w:val="008A0ED8"/>
    <w:rsid w:val="008A2064"/>
    <w:rsid w:val="008A3B9B"/>
    <w:rsid w:val="008A4415"/>
    <w:rsid w:val="008A4C53"/>
    <w:rsid w:val="008B11D9"/>
    <w:rsid w:val="008B7611"/>
    <w:rsid w:val="008B7853"/>
    <w:rsid w:val="008C290F"/>
    <w:rsid w:val="008C3278"/>
    <w:rsid w:val="008C45C9"/>
    <w:rsid w:val="008C491A"/>
    <w:rsid w:val="008C5FD1"/>
    <w:rsid w:val="008C6CB5"/>
    <w:rsid w:val="008C7811"/>
    <w:rsid w:val="008D2391"/>
    <w:rsid w:val="008D2448"/>
    <w:rsid w:val="008D29E5"/>
    <w:rsid w:val="008E0A4B"/>
    <w:rsid w:val="008E2313"/>
    <w:rsid w:val="008E2355"/>
    <w:rsid w:val="008E2AD8"/>
    <w:rsid w:val="008E5AE6"/>
    <w:rsid w:val="008F264B"/>
    <w:rsid w:val="008F3F8C"/>
    <w:rsid w:val="008F77FD"/>
    <w:rsid w:val="008F7EA4"/>
    <w:rsid w:val="009040D9"/>
    <w:rsid w:val="009047FA"/>
    <w:rsid w:val="009078A8"/>
    <w:rsid w:val="0091117B"/>
    <w:rsid w:val="00912E0B"/>
    <w:rsid w:val="009130E3"/>
    <w:rsid w:val="0091449B"/>
    <w:rsid w:val="00914C70"/>
    <w:rsid w:val="00916B0C"/>
    <w:rsid w:val="00920F5E"/>
    <w:rsid w:val="00921FAD"/>
    <w:rsid w:val="00922841"/>
    <w:rsid w:val="009238A8"/>
    <w:rsid w:val="009252B1"/>
    <w:rsid w:val="009267BA"/>
    <w:rsid w:val="00933B48"/>
    <w:rsid w:val="0093510C"/>
    <w:rsid w:val="00935210"/>
    <w:rsid w:val="009370C5"/>
    <w:rsid w:val="00942087"/>
    <w:rsid w:val="0094428F"/>
    <w:rsid w:val="00947BF8"/>
    <w:rsid w:val="00951BC1"/>
    <w:rsid w:val="00954412"/>
    <w:rsid w:val="00956156"/>
    <w:rsid w:val="0095725F"/>
    <w:rsid w:val="0096335D"/>
    <w:rsid w:val="00964137"/>
    <w:rsid w:val="00966C9C"/>
    <w:rsid w:val="00966E71"/>
    <w:rsid w:val="009737A1"/>
    <w:rsid w:val="0097674B"/>
    <w:rsid w:val="00976CA3"/>
    <w:rsid w:val="009804D7"/>
    <w:rsid w:val="00983124"/>
    <w:rsid w:val="009876D9"/>
    <w:rsid w:val="00991A49"/>
    <w:rsid w:val="00992690"/>
    <w:rsid w:val="00993877"/>
    <w:rsid w:val="009A0C4E"/>
    <w:rsid w:val="009A0E11"/>
    <w:rsid w:val="009A5A72"/>
    <w:rsid w:val="009B04E1"/>
    <w:rsid w:val="009B1CF1"/>
    <w:rsid w:val="009B2DE2"/>
    <w:rsid w:val="009B5F18"/>
    <w:rsid w:val="009C55A4"/>
    <w:rsid w:val="009C7036"/>
    <w:rsid w:val="009D11D5"/>
    <w:rsid w:val="009D2636"/>
    <w:rsid w:val="009D47B3"/>
    <w:rsid w:val="009D5028"/>
    <w:rsid w:val="009E042F"/>
    <w:rsid w:val="009E0BAA"/>
    <w:rsid w:val="009E4FB9"/>
    <w:rsid w:val="009E52A7"/>
    <w:rsid w:val="009E68C4"/>
    <w:rsid w:val="009E78BD"/>
    <w:rsid w:val="009F0B3B"/>
    <w:rsid w:val="009F3E5F"/>
    <w:rsid w:val="009F68D3"/>
    <w:rsid w:val="00A06997"/>
    <w:rsid w:val="00A06F1E"/>
    <w:rsid w:val="00A07F42"/>
    <w:rsid w:val="00A10A1B"/>
    <w:rsid w:val="00A10E09"/>
    <w:rsid w:val="00A11797"/>
    <w:rsid w:val="00A122A3"/>
    <w:rsid w:val="00A12D2E"/>
    <w:rsid w:val="00A14462"/>
    <w:rsid w:val="00A14837"/>
    <w:rsid w:val="00A158CE"/>
    <w:rsid w:val="00A16315"/>
    <w:rsid w:val="00A225CD"/>
    <w:rsid w:val="00A25029"/>
    <w:rsid w:val="00A2518D"/>
    <w:rsid w:val="00A25931"/>
    <w:rsid w:val="00A2711E"/>
    <w:rsid w:val="00A274FB"/>
    <w:rsid w:val="00A30A3D"/>
    <w:rsid w:val="00A30B3C"/>
    <w:rsid w:val="00A31A58"/>
    <w:rsid w:val="00A413A0"/>
    <w:rsid w:val="00A451A3"/>
    <w:rsid w:val="00A47640"/>
    <w:rsid w:val="00A47B4A"/>
    <w:rsid w:val="00A512CF"/>
    <w:rsid w:val="00A517F0"/>
    <w:rsid w:val="00A52465"/>
    <w:rsid w:val="00A637F2"/>
    <w:rsid w:val="00A64DB6"/>
    <w:rsid w:val="00A65AEC"/>
    <w:rsid w:val="00A66439"/>
    <w:rsid w:val="00A67957"/>
    <w:rsid w:val="00A7142D"/>
    <w:rsid w:val="00A74703"/>
    <w:rsid w:val="00A80973"/>
    <w:rsid w:val="00A82A98"/>
    <w:rsid w:val="00A83B88"/>
    <w:rsid w:val="00A85FA5"/>
    <w:rsid w:val="00A8765A"/>
    <w:rsid w:val="00A87AED"/>
    <w:rsid w:val="00A9083A"/>
    <w:rsid w:val="00A93AB9"/>
    <w:rsid w:val="00A93EF1"/>
    <w:rsid w:val="00A94EAC"/>
    <w:rsid w:val="00A95C96"/>
    <w:rsid w:val="00A96EB7"/>
    <w:rsid w:val="00A9799D"/>
    <w:rsid w:val="00AA08E5"/>
    <w:rsid w:val="00AA0D80"/>
    <w:rsid w:val="00AA0DC5"/>
    <w:rsid w:val="00AA171D"/>
    <w:rsid w:val="00AA3D67"/>
    <w:rsid w:val="00AA3F98"/>
    <w:rsid w:val="00AA410B"/>
    <w:rsid w:val="00AB51F3"/>
    <w:rsid w:val="00AC0D22"/>
    <w:rsid w:val="00AC1D94"/>
    <w:rsid w:val="00AC3CC1"/>
    <w:rsid w:val="00AC4AD8"/>
    <w:rsid w:val="00AC7180"/>
    <w:rsid w:val="00AC78DA"/>
    <w:rsid w:val="00AC7B95"/>
    <w:rsid w:val="00AD09DA"/>
    <w:rsid w:val="00AD2624"/>
    <w:rsid w:val="00AD41A8"/>
    <w:rsid w:val="00AD7FD6"/>
    <w:rsid w:val="00AE04EC"/>
    <w:rsid w:val="00AE35BF"/>
    <w:rsid w:val="00AE4CB6"/>
    <w:rsid w:val="00AF0DC7"/>
    <w:rsid w:val="00AF1128"/>
    <w:rsid w:val="00AF1170"/>
    <w:rsid w:val="00AF320E"/>
    <w:rsid w:val="00AF5808"/>
    <w:rsid w:val="00AF7D6F"/>
    <w:rsid w:val="00B0047E"/>
    <w:rsid w:val="00B0302F"/>
    <w:rsid w:val="00B069D0"/>
    <w:rsid w:val="00B0752E"/>
    <w:rsid w:val="00B10AAA"/>
    <w:rsid w:val="00B13EB0"/>
    <w:rsid w:val="00B14840"/>
    <w:rsid w:val="00B17473"/>
    <w:rsid w:val="00B20141"/>
    <w:rsid w:val="00B231DB"/>
    <w:rsid w:val="00B24D8E"/>
    <w:rsid w:val="00B24D9C"/>
    <w:rsid w:val="00B303D9"/>
    <w:rsid w:val="00B317C9"/>
    <w:rsid w:val="00B31B59"/>
    <w:rsid w:val="00B32DC4"/>
    <w:rsid w:val="00B34983"/>
    <w:rsid w:val="00B40489"/>
    <w:rsid w:val="00B41255"/>
    <w:rsid w:val="00B42A2E"/>
    <w:rsid w:val="00B43010"/>
    <w:rsid w:val="00B478A8"/>
    <w:rsid w:val="00B47A10"/>
    <w:rsid w:val="00B5377D"/>
    <w:rsid w:val="00B57190"/>
    <w:rsid w:val="00B604D9"/>
    <w:rsid w:val="00B61733"/>
    <w:rsid w:val="00B63FF3"/>
    <w:rsid w:val="00B6664A"/>
    <w:rsid w:val="00B71D5A"/>
    <w:rsid w:val="00B723BE"/>
    <w:rsid w:val="00B72E1C"/>
    <w:rsid w:val="00B72FA4"/>
    <w:rsid w:val="00B7307D"/>
    <w:rsid w:val="00B730DE"/>
    <w:rsid w:val="00B74B04"/>
    <w:rsid w:val="00B77BE9"/>
    <w:rsid w:val="00B82705"/>
    <w:rsid w:val="00B82F13"/>
    <w:rsid w:val="00B83C2D"/>
    <w:rsid w:val="00B83D37"/>
    <w:rsid w:val="00B91B4B"/>
    <w:rsid w:val="00BA0F3D"/>
    <w:rsid w:val="00BA19C1"/>
    <w:rsid w:val="00BA4879"/>
    <w:rsid w:val="00BA62C4"/>
    <w:rsid w:val="00BA695B"/>
    <w:rsid w:val="00BB101A"/>
    <w:rsid w:val="00BB1BB4"/>
    <w:rsid w:val="00BB1D4D"/>
    <w:rsid w:val="00BB2FF6"/>
    <w:rsid w:val="00BB4AE2"/>
    <w:rsid w:val="00BB6827"/>
    <w:rsid w:val="00BC08E2"/>
    <w:rsid w:val="00BC2A89"/>
    <w:rsid w:val="00BC394C"/>
    <w:rsid w:val="00BC4298"/>
    <w:rsid w:val="00BC60F0"/>
    <w:rsid w:val="00BD01E1"/>
    <w:rsid w:val="00BD0DAF"/>
    <w:rsid w:val="00BD1C6A"/>
    <w:rsid w:val="00BD544F"/>
    <w:rsid w:val="00BE58C4"/>
    <w:rsid w:val="00BF03A0"/>
    <w:rsid w:val="00BF37D1"/>
    <w:rsid w:val="00BF513E"/>
    <w:rsid w:val="00BF5541"/>
    <w:rsid w:val="00BF63DC"/>
    <w:rsid w:val="00BF65D8"/>
    <w:rsid w:val="00C03C83"/>
    <w:rsid w:val="00C04E43"/>
    <w:rsid w:val="00C060A8"/>
    <w:rsid w:val="00C0696B"/>
    <w:rsid w:val="00C12ADD"/>
    <w:rsid w:val="00C136FE"/>
    <w:rsid w:val="00C15C73"/>
    <w:rsid w:val="00C23478"/>
    <w:rsid w:val="00C24C4F"/>
    <w:rsid w:val="00C26C9A"/>
    <w:rsid w:val="00C27D57"/>
    <w:rsid w:val="00C34301"/>
    <w:rsid w:val="00C34EB7"/>
    <w:rsid w:val="00C36E32"/>
    <w:rsid w:val="00C40EC0"/>
    <w:rsid w:val="00C41BD8"/>
    <w:rsid w:val="00C43BCA"/>
    <w:rsid w:val="00C43E34"/>
    <w:rsid w:val="00C441D8"/>
    <w:rsid w:val="00C540E0"/>
    <w:rsid w:val="00C556D9"/>
    <w:rsid w:val="00C568AD"/>
    <w:rsid w:val="00C627B1"/>
    <w:rsid w:val="00C6459A"/>
    <w:rsid w:val="00C66CFC"/>
    <w:rsid w:val="00C7419C"/>
    <w:rsid w:val="00C81813"/>
    <w:rsid w:val="00C81879"/>
    <w:rsid w:val="00C82CBA"/>
    <w:rsid w:val="00C8327C"/>
    <w:rsid w:val="00C8543A"/>
    <w:rsid w:val="00C861FC"/>
    <w:rsid w:val="00C91C0B"/>
    <w:rsid w:val="00C9253C"/>
    <w:rsid w:val="00C93A29"/>
    <w:rsid w:val="00C95DAD"/>
    <w:rsid w:val="00C9757E"/>
    <w:rsid w:val="00CA14A8"/>
    <w:rsid w:val="00CA1B1D"/>
    <w:rsid w:val="00CA2216"/>
    <w:rsid w:val="00CA2283"/>
    <w:rsid w:val="00CA36AA"/>
    <w:rsid w:val="00CA643F"/>
    <w:rsid w:val="00CA7B2E"/>
    <w:rsid w:val="00CB2928"/>
    <w:rsid w:val="00CB3968"/>
    <w:rsid w:val="00CB4448"/>
    <w:rsid w:val="00CB7584"/>
    <w:rsid w:val="00CB7930"/>
    <w:rsid w:val="00CB7B7A"/>
    <w:rsid w:val="00CC0346"/>
    <w:rsid w:val="00CC2CBC"/>
    <w:rsid w:val="00CC4614"/>
    <w:rsid w:val="00CC60AF"/>
    <w:rsid w:val="00CC6420"/>
    <w:rsid w:val="00CD25A5"/>
    <w:rsid w:val="00CD5B45"/>
    <w:rsid w:val="00CE1027"/>
    <w:rsid w:val="00CE1C84"/>
    <w:rsid w:val="00CE2AC1"/>
    <w:rsid w:val="00CE4C2E"/>
    <w:rsid w:val="00CE6D3C"/>
    <w:rsid w:val="00CF13C2"/>
    <w:rsid w:val="00CF40F1"/>
    <w:rsid w:val="00CF5277"/>
    <w:rsid w:val="00CF72C5"/>
    <w:rsid w:val="00CF7E54"/>
    <w:rsid w:val="00D00E11"/>
    <w:rsid w:val="00D01EC4"/>
    <w:rsid w:val="00D02638"/>
    <w:rsid w:val="00D03162"/>
    <w:rsid w:val="00D040CE"/>
    <w:rsid w:val="00D04168"/>
    <w:rsid w:val="00D06C31"/>
    <w:rsid w:val="00D075E9"/>
    <w:rsid w:val="00D15ACD"/>
    <w:rsid w:val="00D200C3"/>
    <w:rsid w:val="00D22BD5"/>
    <w:rsid w:val="00D25E03"/>
    <w:rsid w:val="00D26DEA"/>
    <w:rsid w:val="00D3287E"/>
    <w:rsid w:val="00D33C42"/>
    <w:rsid w:val="00D34DFF"/>
    <w:rsid w:val="00D353C9"/>
    <w:rsid w:val="00D4613F"/>
    <w:rsid w:val="00D47DAB"/>
    <w:rsid w:val="00D5115F"/>
    <w:rsid w:val="00D547A9"/>
    <w:rsid w:val="00D55A39"/>
    <w:rsid w:val="00D56630"/>
    <w:rsid w:val="00D62F24"/>
    <w:rsid w:val="00D63D0F"/>
    <w:rsid w:val="00D64785"/>
    <w:rsid w:val="00D657E8"/>
    <w:rsid w:val="00D70381"/>
    <w:rsid w:val="00D709B3"/>
    <w:rsid w:val="00D70C22"/>
    <w:rsid w:val="00D71CE9"/>
    <w:rsid w:val="00D77EC4"/>
    <w:rsid w:val="00D81D2B"/>
    <w:rsid w:val="00D81DD3"/>
    <w:rsid w:val="00D82E24"/>
    <w:rsid w:val="00D8363A"/>
    <w:rsid w:val="00D840D9"/>
    <w:rsid w:val="00D8667C"/>
    <w:rsid w:val="00D86AB9"/>
    <w:rsid w:val="00D91A14"/>
    <w:rsid w:val="00D91AA3"/>
    <w:rsid w:val="00D91DBD"/>
    <w:rsid w:val="00D93C42"/>
    <w:rsid w:val="00D946C9"/>
    <w:rsid w:val="00D95377"/>
    <w:rsid w:val="00DA0DB5"/>
    <w:rsid w:val="00DA2160"/>
    <w:rsid w:val="00DA2C80"/>
    <w:rsid w:val="00DA33A2"/>
    <w:rsid w:val="00DA3CBF"/>
    <w:rsid w:val="00DA4F6C"/>
    <w:rsid w:val="00DA4FA1"/>
    <w:rsid w:val="00DA62B7"/>
    <w:rsid w:val="00DA6CFB"/>
    <w:rsid w:val="00DB1298"/>
    <w:rsid w:val="00DB1688"/>
    <w:rsid w:val="00DB2E8F"/>
    <w:rsid w:val="00DB304F"/>
    <w:rsid w:val="00DB56FC"/>
    <w:rsid w:val="00DB6892"/>
    <w:rsid w:val="00DB74C6"/>
    <w:rsid w:val="00DC1E32"/>
    <w:rsid w:val="00DC392E"/>
    <w:rsid w:val="00DC5782"/>
    <w:rsid w:val="00DC5BCA"/>
    <w:rsid w:val="00DC636F"/>
    <w:rsid w:val="00DD10CA"/>
    <w:rsid w:val="00DD1E8A"/>
    <w:rsid w:val="00DD604A"/>
    <w:rsid w:val="00DD63B4"/>
    <w:rsid w:val="00DD6461"/>
    <w:rsid w:val="00DE1F23"/>
    <w:rsid w:val="00DE36AA"/>
    <w:rsid w:val="00DE4BBA"/>
    <w:rsid w:val="00DE6839"/>
    <w:rsid w:val="00DE7E0F"/>
    <w:rsid w:val="00DF08FA"/>
    <w:rsid w:val="00DF0D2F"/>
    <w:rsid w:val="00DF0D50"/>
    <w:rsid w:val="00DF310F"/>
    <w:rsid w:val="00DF33DC"/>
    <w:rsid w:val="00DF64A9"/>
    <w:rsid w:val="00E00529"/>
    <w:rsid w:val="00E00D08"/>
    <w:rsid w:val="00E03CB1"/>
    <w:rsid w:val="00E10528"/>
    <w:rsid w:val="00E10DE6"/>
    <w:rsid w:val="00E131C2"/>
    <w:rsid w:val="00E15016"/>
    <w:rsid w:val="00E15EA3"/>
    <w:rsid w:val="00E16548"/>
    <w:rsid w:val="00E16692"/>
    <w:rsid w:val="00E23423"/>
    <w:rsid w:val="00E23A72"/>
    <w:rsid w:val="00E23AAA"/>
    <w:rsid w:val="00E27AEE"/>
    <w:rsid w:val="00E30927"/>
    <w:rsid w:val="00E35323"/>
    <w:rsid w:val="00E357A6"/>
    <w:rsid w:val="00E375A9"/>
    <w:rsid w:val="00E42E64"/>
    <w:rsid w:val="00E4336C"/>
    <w:rsid w:val="00E47ED1"/>
    <w:rsid w:val="00E5138E"/>
    <w:rsid w:val="00E5345D"/>
    <w:rsid w:val="00E553C6"/>
    <w:rsid w:val="00E55C21"/>
    <w:rsid w:val="00E6392D"/>
    <w:rsid w:val="00E6443A"/>
    <w:rsid w:val="00E657BE"/>
    <w:rsid w:val="00E66A39"/>
    <w:rsid w:val="00E71F77"/>
    <w:rsid w:val="00E73175"/>
    <w:rsid w:val="00E7597E"/>
    <w:rsid w:val="00E774A2"/>
    <w:rsid w:val="00E849BA"/>
    <w:rsid w:val="00E85185"/>
    <w:rsid w:val="00E86C20"/>
    <w:rsid w:val="00E873C8"/>
    <w:rsid w:val="00E91D37"/>
    <w:rsid w:val="00E93645"/>
    <w:rsid w:val="00E9518B"/>
    <w:rsid w:val="00E97038"/>
    <w:rsid w:val="00EA09D6"/>
    <w:rsid w:val="00EA0C19"/>
    <w:rsid w:val="00EA101F"/>
    <w:rsid w:val="00EA2912"/>
    <w:rsid w:val="00EA3093"/>
    <w:rsid w:val="00EA3428"/>
    <w:rsid w:val="00EA47CD"/>
    <w:rsid w:val="00EA5EFB"/>
    <w:rsid w:val="00EA5F93"/>
    <w:rsid w:val="00EA7D4F"/>
    <w:rsid w:val="00EB14CA"/>
    <w:rsid w:val="00EB16F7"/>
    <w:rsid w:val="00EB2324"/>
    <w:rsid w:val="00EB2960"/>
    <w:rsid w:val="00EB3474"/>
    <w:rsid w:val="00EB5A2D"/>
    <w:rsid w:val="00EB6E71"/>
    <w:rsid w:val="00EC19EB"/>
    <w:rsid w:val="00EC1F40"/>
    <w:rsid w:val="00EC2D37"/>
    <w:rsid w:val="00EC4584"/>
    <w:rsid w:val="00EC487A"/>
    <w:rsid w:val="00EC4D5D"/>
    <w:rsid w:val="00EC504C"/>
    <w:rsid w:val="00EC63B7"/>
    <w:rsid w:val="00ED14C5"/>
    <w:rsid w:val="00ED339F"/>
    <w:rsid w:val="00ED3ABB"/>
    <w:rsid w:val="00ED64D5"/>
    <w:rsid w:val="00EE0C5F"/>
    <w:rsid w:val="00EE162A"/>
    <w:rsid w:val="00EE2AEE"/>
    <w:rsid w:val="00EE31F1"/>
    <w:rsid w:val="00EE487C"/>
    <w:rsid w:val="00EE63D2"/>
    <w:rsid w:val="00EF2B39"/>
    <w:rsid w:val="00EF3920"/>
    <w:rsid w:val="00EF3B30"/>
    <w:rsid w:val="00EF48D3"/>
    <w:rsid w:val="00EF73F0"/>
    <w:rsid w:val="00EF74A2"/>
    <w:rsid w:val="00F009D9"/>
    <w:rsid w:val="00F00CEF"/>
    <w:rsid w:val="00F020FF"/>
    <w:rsid w:val="00F02FFB"/>
    <w:rsid w:val="00F0365B"/>
    <w:rsid w:val="00F1031F"/>
    <w:rsid w:val="00F10E75"/>
    <w:rsid w:val="00F118CE"/>
    <w:rsid w:val="00F14A5C"/>
    <w:rsid w:val="00F16B4D"/>
    <w:rsid w:val="00F16B5A"/>
    <w:rsid w:val="00F2091C"/>
    <w:rsid w:val="00F22078"/>
    <w:rsid w:val="00F2217B"/>
    <w:rsid w:val="00F22E15"/>
    <w:rsid w:val="00F2353F"/>
    <w:rsid w:val="00F236B8"/>
    <w:rsid w:val="00F27BFE"/>
    <w:rsid w:val="00F312BC"/>
    <w:rsid w:val="00F320EF"/>
    <w:rsid w:val="00F34C79"/>
    <w:rsid w:val="00F34CF2"/>
    <w:rsid w:val="00F40510"/>
    <w:rsid w:val="00F43592"/>
    <w:rsid w:val="00F4548C"/>
    <w:rsid w:val="00F4654E"/>
    <w:rsid w:val="00F47311"/>
    <w:rsid w:val="00F50DA0"/>
    <w:rsid w:val="00F521A8"/>
    <w:rsid w:val="00F52462"/>
    <w:rsid w:val="00F53C94"/>
    <w:rsid w:val="00F53DE3"/>
    <w:rsid w:val="00F54E01"/>
    <w:rsid w:val="00F567B6"/>
    <w:rsid w:val="00F6049A"/>
    <w:rsid w:val="00F61421"/>
    <w:rsid w:val="00F62472"/>
    <w:rsid w:val="00F629C1"/>
    <w:rsid w:val="00F63801"/>
    <w:rsid w:val="00F65321"/>
    <w:rsid w:val="00F6671E"/>
    <w:rsid w:val="00F677E6"/>
    <w:rsid w:val="00F71A65"/>
    <w:rsid w:val="00F72119"/>
    <w:rsid w:val="00F72141"/>
    <w:rsid w:val="00F723A8"/>
    <w:rsid w:val="00F75C2F"/>
    <w:rsid w:val="00F76C5C"/>
    <w:rsid w:val="00F77C0B"/>
    <w:rsid w:val="00F814D3"/>
    <w:rsid w:val="00F82730"/>
    <w:rsid w:val="00F8419D"/>
    <w:rsid w:val="00F8502E"/>
    <w:rsid w:val="00F86DB1"/>
    <w:rsid w:val="00F91CBC"/>
    <w:rsid w:val="00F95C2D"/>
    <w:rsid w:val="00F967A5"/>
    <w:rsid w:val="00FA1593"/>
    <w:rsid w:val="00FA19CD"/>
    <w:rsid w:val="00FA1BAF"/>
    <w:rsid w:val="00FA5DB7"/>
    <w:rsid w:val="00FA6ED1"/>
    <w:rsid w:val="00FA766A"/>
    <w:rsid w:val="00FB0895"/>
    <w:rsid w:val="00FB1B24"/>
    <w:rsid w:val="00FB41B5"/>
    <w:rsid w:val="00FB54D2"/>
    <w:rsid w:val="00FB5B35"/>
    <w:rsid w:val="00FB6564"/>
    <w:rsid w:val="00FB7A81"/>
    <w:rsid w:val="00FC1CF3"/>
    <w:rsid w:val="00FC1FCE"/>
    <w:rsid w:val="00FC37F3"/>
    <w:rsid w:val="00FC6A61"/>
    <w:rsid w:val="00FD1335"/>
    <w:rsid w:val="00FD1F85"/>
    <w:rsid w:val="00FD2BB2"/>
    <w:rsid w:val="00FD345A"/>
    <w:rsid w:val="00FD561B"/>
    <w:rsid w:val="00FD69C1"/>
    <w:rsid w:val="00FD7345"/>
    <w:rsid w:val="00FD7B01"/>
    <w:rsid w:val="00FE22BE"/>
    <w:rsid w:val="00FE25EF"/>
    <w:rsid w:val="00FE3007"/>
    <w:rsid w:val="00FE3C2E"/>
    <w:rsid w:val="00FE4BD6"/>
    <w:rsid w:val="00FE5692"/>
    <w:rsid w:val="00FE75F5"/>
    <w:rsid w:val="00FF0480"/>
    <w:rsid w:val="00FF277C"/>
    <w:rsid w:val="00FF337B"/>
    <w:rsid w:val="00FF6647"/>
    <w:rsid w:val="014CB619"/>
    <w:rsid w:val="0224D658"/>
    <w:rsid w:val="025D720A"/>
    <w:rsid w:val="02832CB5"/>
    <w:rsid w:val="02ABE0BD"/>
    <w:rsid w:val="02BCB08F"/>
    <w:rsid w:val="03531DE2"/>
    <w:rsid w:val="042ED917"/>
    <w:rsid w:val="049353C9"/>
    <w:rsid w:val="04A22723"/>
    <w:rsid w:val="04E082A6"/>
    <w:rsid w:val="05045EF5"/>
    <w:rsid w:val="054F224D"/>
    <w:rsid w:val="0573CD8E"/>
    <w:rsid w:val="05991B3D"/>
    <w:rsid w:val="05A2654B"/>
    <w:rsid w:val="05A3CAEE"/>
    <w:rsid w:val="05E5C907"/>
    <w:rsid w:val="05F241FF"/>
    <w:rsid w:val="05F5B8A1"/>
    <w:rsid w:val="05FB4BAA"/>
    <w:rsid w:val="062FC71C"/>
    <w:rsid w:val="06B787E6"/>
    <w:rsid w:val="06BF3CF2"/>
    <w:rsid w:val="07042404"/>
    <w:rsid w:val="0729237A"/>
    <w:rsid w:val="07B14BDA"/>
    <w:rsid w:val="07D47658"/>
    <w:rsid w:val="07E41CE8"/>
    <w:rsid w:val="088B92DE"/>
    <w:rsid w:val="089417DC"/>
    <w:rsid w:val="08B3C193"/>
    <w:rsid w:val="0927D524"/>
    <w:rsid w:val="0984600D"/>
    <w:rsid w:val="0994F6ED"/>
    <w:rsid w:val="09D762A9"/>
    <w:rsid w:val="09E4AB6C"/>
    <w:rsid w:val="0A191D3A"/>
    <w:rsid w:val="0A2FE83D"/>
    <w:rsid w:val="0A624FA2"/>
    <w:rsid w:val="0A8C9226"/>
    <w:rsid w:val="0B55C2AF"/>
    <w:rsid w:val="0BAEAFF5"/>
    <w:rsid w:val="0BBE8682"/>
    <w:rsid w:val="0BE09875"/>
    <w:rsid w:val="0BFB80C8"/>
    <w:rsid w:val="0C670196"/>
    <w:rsid w:val="0C85CFC2"/>
    <w:rsid w:val="0D04C1C8"/>
    <w:rsid w:val="0D2AACCC"/>
    <w:rsid w:val="0D78ED5F"/>
    <w:rsid w:val="0D8CDAB4"/>
    <w:rsid w:val="0D93B01C"/>
    <w:rsid w:val="0D94D5C9"/>
    <w:rsid w:val="0DA37652"/>
    <w:rsid w:val="0E93250C"/>
    <w:rsid w:val="0EC0AEBB"/>
    <w:rsid w:val="0F48DFDE"/>
    <w:rsid w:val="0F7382F0"/>
    <w:rsid w:val="1003CFE6"/>
    <w:rsid w:val="103755FF"/>
    <w:rsid w:val="1054FE32"/>
    <w:rsid w:val="108F8331"/>
    <w:rsid w:val="10B54753"/>
    <w:rsid w:val="111648EF"/>
    <w:rsid w:val="114A5ED3"/>
    <w:rsid w:val="1159A79E"/>
    <w:rsid w:val="1171D6D1"/>
    <w:rsid w:val="11B8BA6C"/>
    <w:rsid w:val="11C4F135"/>
    <w:rsid w:val="11DBC93F"/>
    <w:rsid w:val="11E0FF05"/>
    <w:rsid w:val="11F73842"/>
    <w:rsid w:val="1221BB9A"/>
    <w:rsid w:val="1226A9FC"/>
    <w:rsid w:val="12AB23B2"/>
    <w:rsid w:val="12DADBA3"/>
    <w:rsid w:val="12EBAA30"/>
    <w:rsid w:val="13361847"/>
    <w:rsid w:val="13B5C77A"/>
    <w:rsid w:val="13CD16F1"/>
    <w:rsid w:val="13D3B534"/>
    <w:rsid w:val="147482EE"/>
    <w:rsid w:val="14F6EF07"/>
    <w:rsid w:val="158AFDF5"/>
    <w:rsid w:val="15B8F8B8"/>
    <w:rsid w:val="15BD4199"/>
    <w:rsid w:val="15E3AFAD"/>
    <w:rsid w:val="16070A48"/>
    <w:rsid w:val="1638E488"/>
    <w:rsid w:val="16702D41"/>
    <w:rsid w:val="16FD7F71"/>
    <w:rsid w:val="1786825B"/>
    <w:rsid w:val="17CD573D"/>
    <w:rsid w:val="17FAB966"/>
    <w:rsid w:val="18111F3C"/>
    <w:rsid w:val="1886BE46"/>
    <w:rsid w:val="18AFB9BB"/>
    <w:rsid w:val="18C1C4D9"/>
    <w:rsid w:val="18ED2908"/>
    <w:rsid w:val="191D72F8"/>
    <w:rsid w:val="1947FD11"/>
    <w:rsid w:val="194B7FE6"/>
    <w:rsid w:val="1951B19C"/>
    <w:rsid w:val="1965A290"/>
    <w:rsid w:val="196A9FFE"/>
    <w:rsid w:val="19853A5D"/>
    <w:rsid w:val="19A9B4FD"/>
    <w:rsid w:val="19B6B5C1"/>
    <w:rsid w:val="19BA7EFF"/>
    <w:rsid w:val="19F2B8F9"/>
    <w:rsid w:val="1A7B5B17"/>
    <w:rsid w:val="1A992E17"/>
    <w:rsid w:val="1ABE231D"/>
    <w:rsid w:val="1B0D6200"/>
    <w:rsid w:val="1B63FADA"/>
    <w:rsid w:val="1C037B77"/>
    <w:rsid w:val="1C19C6B6"/>
    <w:rsid w:val="1C3E1EF2"/>
    <w:rsid w:val="1C69F84B"/>
    <w:rsid w:val="1C7F94D3"/>
    <w:rsid w:val="1CAA3475"/>
    <w:rsid w:val="1CCD1650"/>
    <w:rsid w:val="1CE62C8F"/>
    <w:rsid w:val="1CE71411"/>
    <w:rsid w:val="1CE7EA5E"/>
    <w:rsid w:val="1DACCD51"/>
    <w:rsid w:val="1DE4DBFD"/>
    <w:rsid w:val="1DF5C3DF"/>
    <w:rsid w:val="1F0FB1FC"/>
    <w:rsid w:val="1F18E5B2"/>
    <w:rsid w:val="1F1F5B4C"/>
    <w:rsid w:val="1F450E53"/>
    <w:rsid w:val="1F460F15"/>
    <w:rsid w:val="1F4A9C95"/>
    <w:rsid w:val="1F786BE3"/>
    <w:rsid w:val="1FC42E2E"/>
    <w:rsid w:val="1FE65E6E"/>
    <w:rsid w:val="1FF417C0"/>
    <w:rsid w:val="212B1D19"/>
    <w:rsid w:val="21396D5F"/>
    <w:rsid w:val="213D696E"/>
    <w:rsid w:val="21E277E7"/>
    <w:rsid w:val="224077FD"/>
    <w:rsid w:val="22508674"/>
    <w:rsid w:val="225196A0"/>
    <w:rsid w:val="2253EDF0"/>
    <w:rsid w:val="2256FC0E"/>
    <w:rsid w:val="2316A677"/>
    <w:rsid w:val="2375A21A"/>
    <w:rsid w:val="23818773"/>
    <w:rsid w:val="23F9A28D"/>
    <w:rsid w:val="24899CD6"/>
    <w:rsid w:val="24B13AD0"/>
    <w:rsid w:val="24C7D969"/>
    <w:rsid w:val="24D93C6E"/>
    <w:rsid w:val="24EC9D59"/>
    <w:rsid w:val="25074EDE"/>
    <w:rsid w:val="25087033"/>
    <w:rsid w:val="2578A534"/>
    <w:rsid w:val="25A3A1B1"/>
    <w:rsid w:val="25E4FEBD"/>
    <w:rsid w:val="26456730"/>
    <w:rsid w:val="26724A48"/>
    <w:rsid w:val="269845BB"/>
    <w:rsid w:val="26AC4432"/>
    <w:rsid w:val="26F72BD9"/>
    <w:rsid w:val="270ACF3A"/>
    <w:rsid w:val="272507C3"/>
    <w:rsid w:val="2772DA69"/>
    <w:rsid w:val="27E60148"/>
    <w:rsid w:val="282C7C71"/>
    <w:rsid w:val="285E4B34"/>
    <w:rsid w:val="287FFAC3"/>
    <w:rsid w:val="2891DED4"/>
    <w:rsid w:val="28BFC7F8"/>
    <w:rsid w:val="291F0A72"/>
    <w:rsid w:val="29536EE8"/>
    <w:rsid w:val="2990A503"/>
    <w:rsid w:val="29D4C711"/>
    <w:rsid w:val="29E0B44E"/>
    <w:rsid w:val="2A4BFDB0"/>
    <w:rsid w:val="2A6DBB0D"/>
    <w:rsid w:val="2ABB1E8A"/>
    <w:rsid w:val="2B39D2D1"/>
    <w:rsid w:val="2B4057FC"/>
    <w:rsid w:val="2B8EF001"/>
    <w:rsid w:val="2B9DF99B"/>
    <w:rsid w:val="2BA02298"/>
    <w:rsid w:val="2BC42EBB"/>
    <w:rsid w:val="2BD80EA7"/>
    <w:rsid w:val="2C07BE7F"/>
    <w:rsid w:val="2C141225"/>
    <w:rsid w:val="2D275572"/>
    <w:rsid w:val="2D5DFB33"/>
    <w:rsid w:val="2DC23906"/>
    <w:rsid w:val="2DC3F34E"/>
    <w:rsid w:val="2E057A6C"/>
    <w:rsid w:val="2E0DB18F"/>
    <w:rsid w:val="2E221E2C"/>
    <w:rsid w:val="2FCCE4CE"/>
    <w:rsid w:val="2FDD3DBD"/>
    <w:rsid w:val="2FF1132D"/>
    <w:rsid w:val="2FF204B4"/>
    <w:rsid w:val="30000A4C"/>
    <w:rsid w:val="300B2D11"/>
    <w:rsid w:val="301A5F4B"/>
    <w:rsid w:val="3021C4BD"/>
    <w:rsid w:val="30D29397"/>
    <w:rsid w:val="30DDDA21"/>
    <w:rsid w:val="31447674"/>
    <w:rsid w:val="3153B828"/>
    <w:rsid w:val="322C0934"/>
    <w:rsid w:val="32692E61"/>
    <w:rsid w:val="32F6F7C9"/>
    <w:rsid w:val="3342CDD3"/>
    <w:rsid w:val="3397DC23"/>
    <w:rsid w:val="33A95003"/>
    <w:rsid w:val="33AC9755"/>
    <w:rsid w:val="34384D9A"/>
    <w:rsid w:val="3439F721"/>
    <w:rsid w:val="344E5667"/>
    <w:rsid w:val="34A2A212"/>
    <w:rsid w:val="34B0DB2C"/>
    <w:rsid w:val="358D1029"/>
    <w:rsid w:val="35952BD8"/>
    <w:rsid w:val="359F9667"/>
    <w:rsid w:val="35C9FACE"/>
    <w:rsid w:val="360EA142"/>
    <w:rsid w:val="361D6C43"/>
    <w:rsid w:val="36250175"/>
    <w:rsid w:val="365EE0DD"/>
    <w:rsid w:val="36C26624"/>
    <w:rsid w:val="36C8BE68"/>
    <w:rsid w:val="36CF7CE5"/>
    <w:rsid w:val="36EA91D7"/>
    <w:rsid w:val="3757A8B3"/>
    <w:rsid w:val="379A8CCB"/>
    <w:rsid w:val="37BF149A"/>
    <w:rsid w:val="37DD09D1"/>
    <w:rsid w:val="37F71785"/>
    <w:rsid w:val="38080A2E"/>
    <w:rsid w:val="3818371B"/>
    <w:rsid w:val="384BD27B"/>
    <w:rsid w:val="3883FABB"/>
    <w:rsid w:val="38BCC365"/>
    <w:rsid w:val="39406397"/>
    <w:rsid w:val="3948D65D"/>
    <w:rsid w:val="39C06688"/>
    <w:rsid w:val="3A0660FD"/>
    <w:rsid w:val="3A1F579A"/>
    <w:rsid w:val="3A60814C"/>
    <w:rsid w:val="3A7387A7"/>
    <w:rsid w:val="3A8CA9ED"/>
    <w:rsid w:val="3AA68339"/>
    <w:rsid w:val="3AB63BD3"/>
    <w:rsid w:val="3AD91CC6"/>
    <w:rsid w:val="3B332E5C"/>
    <w:rsid w:val="3B738BCF"/>
    <w:rsid w:val="3B89C5AB"/>
    <w:rsid w:val="3C06F9A2"/>
    <w:rsid w:val="3C674EC2"/>
    <w:rsid w:val="3D36C569"/>
    <w:rsid w:val="3D9E97A8"/>
    <w:rsid w:val="3DD11F46"/>
    <w:rsid w:val="3E473C8E"/>
    <w:rsid w:val="3E9FE491"/>
    <w:rsid w:val="3FE30CEF"/>
    <w:rsid w:val="3FE9CB85"/>
    <w:rsid w:val="3FF5814E"/>
    <w:rsid w:val="3FFCE1F4"/>
    <w:rsid w:val="3FFEBFA5"/>
    <w:rsid w:val="40B9678B"/>
    <w:rsid w:val="40C7D54A"/>
    <w:rsid w:val="40D6386A"/>
    <w:rsid w:val="40FF6CAE"/>
    <w:rsid w:val="410B9D49"/>
    <w:rsid w:val="413E324A"/>
    <w:rsid w:val="41B977C9"/>
    <w:rsid w:val="41F16A05"/>
    <w:rsid w:val="42083D96"/>
    <w:rsid w:val="42099638"/>
    <w:rsid w:val="42230EEC"/>
    <w:rsid w:val="423446CB"/>
    <w:rsid w:val="4240BFC3"/>
    <w:rsid w:val="42897E31"/>
    <w:rsid w:val="4293B4FC"/>
    <w:rsid w:val="42FA03F6"/>
    <w:rsid w:val="430605AA"/>
    <w:rsid w:val="431B80DB"/>
    <w:rsid w:val="434D7CE5"/>
    <w:rsid w:val="4387C0CF"/>
    <w:rsid w:val="43EB0F8E"/>
    <w:rsid w:val="441A63D6"/>
    <w:rsid w:val="442F37A3"/>
    <w:rsid w:val="44DA7531"/>
    <w:rsid w:val="4552BF30"/>
    <w:rsid w:val="45EDED0E"/>
    <w:rsid w:val="45F6DC22"/>
    <w:rsid w:val="46083818"/>
    <w:rsid w:val="46332930"/>
    <w:rsid w:val="464B4161"/>
    <w:rsid w:val="466FAF4D"/>
    <w:rsid w:val="46EAA468"/>
    <w:rsid w:val="471905C5"/>
    <w:rsid w:val="47278BA2"/>
    <w:rsid w:val="4728EDC6"/>
    <w:rsid w:val="475FE66B"/>
    <w:rsid w:val="4794E7E3"/>
    <w:rsid w:val="4797FC10"/>
    <w:rsid w:val="47B3D7C3"/>
    <w:rsid w:val="47C0E72D"/>
    <w:rsid w:val="47D1AF25"/>
    <w:rsid w:val="47E25284"/>
    <w:rsid w:val="480950C1"/>
    <w:rsid w:val="4811B164"/>
    <w:rsid w:val="488971C1"/>
    <w:rsid w:val="497B8A48"/>
    <w:rsid w:val="497EA094"/>
    <w:rsid w:val="49A7500F"/>
    <w:rsid w:val="49D50D42"/>
    <w:rsid w:val="49EA52F2"/>
    <w:rsid w:val="4A1963BF"/>
    <w:rsid w:val="4A4C5E88"/>
    <w:rsid w:val="4B484C3D"/>
    <w:rsid w:val="4B975447"/>
    <w:rsid w:val="4BC9EE3A"/>
    <w:rsid w:val="4BCAB887"/>
    <w:rsid w:val="4BE82EE9"/>
    <w:rsid w:val="4BFC5EE9"/>
    <w:rsid w:val="4C4F6449"/>
    <w:rsid w:val="4C68EF25"/>
    <w:rsid w:val="4CB98CE5"/>
    <w:rsid w:val="4D21C8F4"/>
    <w:rsid w:val="4D57A2FB"/>
    <w:rsid w:val="4D58628E"/>
    <w:rsid w:val="4D7D8911"/>
    <w:rsid w:val="4DEED74F"/>
    <w:rsid w:val="4E65FA86"/>
    <w:rsid w:val="4E80F2E8"/>
    <w:rsid w:val="4ECF322E"/>
    <w:rsid w:val="4EE23F13"/>
    <w:rsid w:val="4EFB4A48"/>
    <w:rsid w:val="4F16DC3A"/>
    <w:rsid w:val="4F273051"/>
    <w:rsid w:val="4F9E883F"/>
    <w:rsid w:val="4FA958B3"/>
    <w:rsid w:val="5045557D"/>
    <w:rsid w:val="504E4BEB"/>
    <w:rsid w:val="506B028F"/>
    <w:rsid w:val="50780F80"/>
    <w:rsid w:val="50799D7A"/>
    <w:rsid w:val="507B5B49"/>
    <w:rsid w:val="50B2AC9B"/>
    <w:rsid w:val="50BFD86A"/>
    <w:rsid w:val="5117B379"/>
    <w:rsid w:val="511EE789"/>
    <w:rsid w:val="5121295B"/>
    <w:rsid w:val="515F690E"/>
    <w:rsid w:val="515FF1CE"/>
    <w:rsid w:val="51A25D27"/>
    <w:rsid w:val="51E57A77"/>
    <w:rsid w:val="51F52408"/>
    <w:rsid w:val="5227A59D"/>
    <w:rsid w:val="52392FBE"/>
    <w:rsid w:val="523A9BE9"/>
    <w:rsid w:val="523EADB2"/>
    <w:rsid w:val="524E7CFC"/>
    <w:rsid w:val="52F35F63"/>
    <w:rsid w:val="531BC3AB"/>
    <w:rsid w:val="53396BA9"/>
    <w:rsid w:val="53BEE4A5"/>
    <w:rsid w:val="542FA8F3"/>
    <w:rsid w:val="543662FD"/>
    <w:rsid w:val="547CC9D6"/>
    <w:rsid w:val="549709D0"/>
    <w:rsid w:val="54ABEF79"/>
    <w:rsid w:val="5517BFE9"/>
    <w:rsid w:val="552D6556"/>
    <w:rsid w:val="5550DB12"/>
    <w:rsid w:val="5559BB74"/>
    <w:rsid w:val="55D60AF4"/>
    <w:rsid w:val="55EA6CF9"/>
    <w:rsid w:val="5632DA31"/>
    <w:rsid w:val="5660C923"/>
    <w:rsid w:val="56C9EEE7"/>
    <w:rsid w:val="56DD7DBC"/>
    <w:rsid w:val="56E79A82"/>
    <w:rsid w:val="57397927"/>
    <w:rsid w:val="5780139C"/>
    <w:rsid w:val="57C812B9"/>
    <w:rsid w:val="5801E58A"/>
    <w:rsid w:val="5894C6D9"/>
    <w:rsid w:val="598925E7"/>
    <w:rsid w:val="599ACC14"/>
    <w:rsid w:val="59B7C86F"/>
    <w:rsid w:val="59D680F3"/>
    <w:rsid w:val="59FC93C3"/>
    <w:rsid w:val="5A1BD510"/>
    <w:rsid w:val="5A323AE7"/>
    <w:rsid w:val="5A7721C0"/>
    <w:rsid w:val="5A8A9DBA"/>
    <w:rsid w:val="5B4D51D4"/>
    <w:rsid w:val="5B5398D0"/>
    <w:rsid w:val="5B9E2401"/>
    <w:rsid w:val="5BE608FA"/>
    <w:rsid w:val="5BF07C73"/>
    <w:rsid w:val="5C296D27"/>
    <w:rsid w:val="5C2BB3E9"/>
    <w:rsid w:val="5C890AAB"/>
    <w:rsid w:val="5C89E958"/>
    <w:rsid w:val="5CA2099E"/>
    <w:rsid w:val="5CBC99E4"/>
    <w:rsid w:val="5CEA0B7A"/>
    <w:rsid w:val="5D56387A"/>
    <w:rsid w:val="5D733099"/>
    <w:rsid w:val="5DAB4145"/>
    <w:rsid w:val="5DDB3327"/>
    <w:rsid w:val="5DEF0944"/>
    <w:rsid w:val="5E222DE4"/>
    <w:rsid w:val="5F0A014D"/>
    <w:rsid w:val="5F316A86"/>
    <w:rsid w:val="6046E247"/>
    <w:rsid w:val="60564F14"/>
    <w:rsid w:val="6070A661"/>
    <w:rsid w:val="60A02052"/>
    <w:rsid w:val="60CE756A"/>
    <w:rsid w:val="60F8647C"/>
    <w:rsid w:val="615BC0EF"/>
    <w:rsid w:val="61808843"/>
    <w:rsid w:val="619433CD"/>
    <w:rsid w:val="61B2358D"/>
    <w:rsid w:val="61EC2919"/>
    <w:rsid w:val="62337F2B"/>
    <w:rsid w:val="62394C11"/>
    <w:rsid w:val="629C513D"/>
    <w:rsid w:val="62BB4106"/>
    <w:rsid w:val="62DA481D"/>
    <w:rsid w:val="630F910E"/>
    <w:rsid w:val="63322E99"/>
    <w:rsid w:val="633A09F8"/>
    <w:rsid w:val="634F8F73"/>
    <w:rsid w:val="63562001"/>
    <w:rsid w:val="639D24DA"/>
    <w:rsid w:val="63D46F2C"/>
    <w:rsid w:val="63D71F71"/>
    <w:rsid w:val="64043999"/>
    <w:rsid w:val="64249321"/>
    <w:rsid w:val="643B64E0"/>
    <w:rsid w:val="644A921A"/>
    <w:rsid w:val="646D296A"/>
    <w:rsid w:val="64F62D8B"/>
    <w:rsid w:val="650C9361"/>
    <w:rsid w:val="652F27D3"/>
    <w:rsid w:val="65346F49"/>
    <w:rsid w:val="653ADE7E"/>
    <w:rsid w:val="6551B280"/>
    <w:rsid w:val="662C6C93"/>
    <w:rsid w:val="6643C939"/>
    <w:rsid w:val="6655B0DE"/>
    <w:rsid w:val="66884008"/>
    <w:rsid w:val="6698BF5E"/>
    <w:rsid w:val="66E2C373"/>
    <w:rsid w:val="672B4D0E"/>
    <w:rsid w:val="678AF289"/>
    <w:rsid w:val="679DD910"/>
    <w:rsid w:val="67DB4802"/>
    <w:rsid w:val="6802DD35"/>
    <w:rsid w:val="68D8914F"/>
    <w:rsid w:val="68DDC941"/>
    <w:rsid w:val="692BBD06"/>
    <w:rsid w:val="69453216"/>
    <w:rsid w:val="6959A7C7"/>
    <w:rsid w:val="698847C0"/>
    <w:rsid w:val="69B6D36E"/>
    <w:rsid w:val="69BE60BD"/>
    <w:rsid w:val="6A1FF963"/>
    <w:rsid w:val="6A536753"/>
    <w:rsid w:val="6A741D2D"/>
    <w:rsid w:val="6A8BF356"/>
    <w:rsid w:val="6AB80754"/>
    <w:rsid w:val="6ABDDA74"/>
    <w:rsid w:val="6B0333C1"/>
    <w:rsid w:val="6B4E9205"/>
    <w:rsid w:val="6B563C79"/>
    <w:rsid w:val="6B6A66DA"/>
    <w:rsid w:val="6B6FCD4F"/>
    <w:rsid w:val="6BBFEDDA"/>
    <w:rsid w:val="6C08E376"/>
    <w:rsid w:val="6C331F32"/>
    <w:rsid w:val="6C4D1FA1"/>
    <w:rsid w:val="6CD8F439"/>
    <w:rsid w:val="6D4C4447"/>
    <w:rsid w:val="6DD6A322"/>
    <w:rsid w:val="6E057BA0"/>
    <w:rsid w:val="6E433DEC"/>
    <w:rsid w:val="6E6CA0C5"/>
    <w:rsid w:val="6E9D0FD1"/>
    <w:rsid w:val="6E9F7716"/>
    <w:rsid w:val="6F98316B"/>
    <w:rsid w:val="6FB2A2B5"/>
    <w:rsid w:val="6FBA267C"/>
    <w:rsid w:val="70221F1A"/>
    <w:rsid w:val="70401DC6"/>
    <w:rsid w:val="70DE2356"/>
    <w:rsid w:val="7184BA91"/>
    <w:rsid w:val="71A9400F"/>
    <w:rsid w:val="71B5ACB8"/>
    <w:rsid w:val="71C9E2DC"/>
    <w:rsid w:val="720A0488"/>
    <w:rsid w:val="72B3B605"/>
    <w:rsid w:val="72CDA620"/>
    <w:rsid w:val="72D39F6F"/>
    <w:rsid w:val="72EE368C"/>
    <w:rsid w:val="7317364B"/>
    <w:rsid w:val="732F6E89"/>
    <w:rsid w:val="735E41C6"/>
    <w:rsid w:val="73F6B819"/>
    <w:rsid w:val="74404DD3"/>
    <w:rsid w:val="7496585B"/>
    <w:rsid w:val="74B3CB8E"/>
    <w:rsid w:val="74BA8252"/>
    <w:rsid w:val="74F9CF3C"/>
    <w:rsid w:val="753F5750"/>
    <w:rsid w:val="759B07A3"/>
    <w:rsid w:val="75BEBD5A"/>
    <w:rsid w:val="75E8DA4E"/>
    <w:rsid w:val="761ABDA1"/>
    <w:rsid w:val="762D8B2D"/>
    <w:rsid w:val="7631D4B4"/>
    <w:rsid w:val="764CF01A"/>
    <w:rsid w:val="771EA11B"/>
    <w:rsid w:val="774317B5"/>
    <w:rsid w:val="779116F2"/>
    <w:rsid w:val="77912AA6"/>
    <w:rsid w:val="779AD47D"/>
    <w:rsid w:val="77C6032A"/>
    <w:rsid w:val="77CA7E5B"/>
    <w:rsid w:val="78132CDA"/>
    <w:rsid w:val="785F3B88"/>
    <w:rsid w:val="78788FF4"/>
    <w:rsid w:val="788A215B"/>
    <w:rsid w:val="78DFA474"/>
    <w:rsid w:val="7983510C"/>
    <w:rsid w:val="7984E424"/>
    <w:rsid w:val="79893D10"/>
    <w:rsid w:val="7A021A4D"/>
    <w:rsid w:val="7A0CC95F"/>
    <w:rsid w:val="7A12C873"/>
    <w:rsid w:val="7A4A05C8"/>
    <w:rsid w:val="7AA18692"/>
    <w:rsid w:val="7AAF8F57"/>
    <w:rsid w:val="7B307D0A"/>
    <w:rsid w:val="7B4B9974"/>
    <w:rsid w:val="7B957077"/>
    <w:rsid w:val="7BAE98D4"/>
    <w:rsid w:val="7BC83152"/>
    <w:rsid w:val="7C14D681"/>
    <w:rsid w:val="7C2D5EC3"/>
    <w:rsid w:val="7CA4E27B"/>
    <w:rsid w:val="7CE185A7"/>
    <w:rsid w:val="7CE78323"/>
    <w:rsid w:val="7CFA5898"/>
    <w:rsid w:val="7D319BC9"/>
    <w:rsid w:val="7D342B69"/>
    <w:rsid w:val="7D47915A"/>
    <w:rsid w:val="7D4A6935"/>
    <w:rsid w:val="7D4DEA72"/>
    <w:rsid w:val="7D7EB03F"/>
    <w:rsid w:val="7D900176"/>
    <w:rsid w:val="7DE73019"/>
    <w:rsid w:val="7DF5911C"/>
    <w:rsid w:val="7E82C48F"/>
    <w:rsid w:val="7EC94AF5"/>
    <w:rsid w:val="7F0276FA"/>
    <w:rsid w:val="7F80F2DD"/>
    <w:rsid w:val="7F903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B637A38"/>
  <w15:chartTrackingRefBased/>
  <w15:docId w15:val="{02F1FBD2-4BBF-4C5C-B2DF-A4285EDC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C39"/>
    <w:pPr>
      <w:spacing w:before="240" w:after="24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050515"/>
    <w:pPr>
      <w:keepNext/>
      <w:keepLines/>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427183"/>
    <w:pPr>
      <w:keepNext/>
      <w:keepLines/>
      <w:outlineLvl w:val="1"/>
    </w:pPr>
    <w:rPr>
      <w:rFonts w:eastAsiaTheme="majorEastAsia" w:cstheme="majorBidi"/>
      <w:b/>
      <w:bCs/>
      <w:sz w:val="36"/>
      <w:szCs w:val="36"/>
    </w:rPr>
  </w:style>
  <w:style w:type="paragraph" w:styleId="Heading3">
    <w:name w:val="heading 3"/>
    <w:basedOn w:val="Normal"/>
    <w:next w:val="Normal"/>
    <w:link w:val="Heading3Char"/>
    <w:autoRedefine/>
    <w:uiPriority w:val="9"/>
    <w:unhideWhenUsed/>
    <w:qFormat/>
    <w:rsid w:val="00A7142D"/>
    <w:pPr>
      <w:keepNext/>
      <w:keepLines/>
      <w:outlineLvl w:val="2"/>
    </w:pPr>
    <w:rPr>
      <w:rFonts w:eastAsia="Calibri" w:cs="Arial"/>
      <w:b/>
      <w:sz w:val="32"/>
    </w:rPr>
  </w:style>
  <w:style w:type="paragraph" w:styleId="Heading4">
    <w:name w:val="heading 4"/>
    <w:basedOn w:val="Normal"/>
    <w:next w:val="Normal"/>
    <w:link w:val="Heading4Char"/>
    <w:autoRedefine/>
    <w:uiPriority w:val="9"/>
    <w:unhideWhenUsed/>
    <w:qFormat/>
    <w:rsid w:val="002965CD"/>
    <w:pPr>
      <w:keepNext/>
      <w:keepLines/>
      <w:outlineLvl w:val="3"/>
    </w:pPr>
    <w:rPr>
      <w:rFonts w:eastAsia="Garamond" w:cs="Arial"/>
      <w:b/>
      <w:iCs/>
      <w:color w:val="000000" w:themeColor="text1"/>
      <w:sz w:val="28"/>
    </w:rPr>
  </w:style>
  <w:style w:type="paragraph" w:styleId="Heading5">
    <w:name w:val="heading 5"/>
    <w:basedOn w:val="Normal"/>
    <w:next w:val="Normal"/>
    <w:link w:val="Heading5Char"/>
    <w:autoRedefine/>
    <w:uiPriority w:val="9"/>
    <w:unhideWhenUsed/>
    <w:qFormat/>
    <w:rsid w:val="001B07C7"/>
    <w:pPr>
      <w:keepNext/>
      <w:keepLines/>
      <w:outlineLvl w:val="4"/>
    </w:pPr>
    <w:rPr>
      <w:rFonts w:eastAsiaTheme="majorEastAsia" w:cstheme="majorBidi"/>
      <w:b/>
      <w:i/>
    </w:rPr>
  </w:style>
  <w:style w:type="paragraph" w:styleId="Heading6">
    <w:name w:val="heading 6"/>
    <w:basedOn w:val="Normal"/>
    <w:next w:val="Normal"/>
    <w:link w:val="Heading6Char"/>
    <w:autoRedefine/>
    <w:uiPriority w:val="9"/>
    <w:unhideWhenUsed/>
    <w:qFormat/>
    <w:rsid w:val="00532123"/>
    <w:pPr>
      <w:keepNext/>
      <w:keepLines/>
      <w:jc w:val="center"/>
      <w:outlineLvl w:val="5"/>
    </w:pPr>
    <w:rPr>
      <w:rFonts w:eastAsiaTheme="majorEastAsia" w:cstheme="majorBidi"/>
      <w:i/>
    </w:rPr>
  </w:style>
  <w:style w:type="paragraph" w:styleId="Heading7">
    <w:name w:val="heading 7"/>
    <w:basedOn w:val="Normal"/>
    <w:next w:val="Normal"/>
    <w:link w:val="Heading7Char"/>
    <w:autoRedefine/>
    <w:uiPriority w:val="9"/>
    <w:unhideWhenUsed/>
    <w:qFormat/>
    <w:rsid w:val="00685E26"/>
    <w:pPr>
      <w:keepNext/>
      <w:keepLines/>
      <w:jc w:val="center"/>
      <w:outlineLvl w:val="6"/>
    </w:pPr>
    <w:rPr>
      <w:rFonts w:eastAsia="Calibri" w:cstheme="majorBidi"/>
      <w:i/>
      <w:iCs/>
    </w:rPr>
  </w:style>
  <w:style w:type="paragraph" w:styleId="Heading8">
    <w:name w:val="heading 8"/>
    <w:basedOn w:val="Normal"/>
    <w:next w:val="Normal"/>
    <w:link w:val="Heading8Char"/>
    <w:uiPriority w:val="9"/>
    <w:semiHidden/>
    <w:unhideWhenUsed/>
    <w:qFormat/>
    <w:rsid w:val="00DB56F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051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427183"/>
    <w:rPr>
      <w:rFonts w:ascii="Arial" w:eastAsiaTheme="majorEastAsia" w:hAnsi="Arial" w:cstheme="majorBidi"/>
      <w:b/>
      <w:bCs/>
      <w:sz w:val="36"/>
      <w:szCs w:val="36"/>
    </w:rPr>
  </w:style>
  <w:style w:type="character" w:customStyle="1" w:styleId="Heading3Char">
    <w:name w:val="Heading 3 Char"/>
    <w:basedOn w:val="DefaultParagraphFont"/>
    <w:link w:val="Heading3"/>
    <w:uiPriority w:val="9"/>
    <w:rsid w:val="00A7142D"/>
    <w:rPr>
      <w:rFonts w:ascii="Arial" w:eastAsia="Calibri" w:hAnsi="Arial" w:cs="Arial"/>
      <w:b/>
      <w:sz w:val="32"/>
      <w:szCs w:val="24"/>
    </w:rPr>
  </w:style>
  <w:style w:type="character" w:customStyle="1" w:styleId="Heading4Char">
    <w:name w:val="Heading 4 Char"/>
    <w:basedOn w:val="DefaultParagraphFont"/>
    <w:link w:val="Heading4"/>
    <w:uiPriority w:val="9"/>
    <w:rsid w:val="002965CD"/>
    <w:rPr>
      <w:rFonts w:ascii="Arial" w:eastAsia="Garamond" w:hAnsi="Arial" w:cs="Arial"/>
      <w:b/>
      <w:iCs/>
      <w:color w:val="000000" w:themeColor="text1"/>
      <w:sz w:val="28"/>
      <w:szCs w:val="24"/>
    </w:rPr>
  </w:style>
  <w:style w:type="paragraph" w:styleId="Title">
    <w:name w:val="Title"/>
    <w:basedOn w:val="Normal"/>
    <w:next w:val="Normal"/>
    <w:link w:val="TitleChar"/>
    <w:uiPriority w:val="10"/>
    <w:qFormat/>
    <w:rsid w:val="007428B8"/>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1B07C7"/>
    <w:rPr>
      <w:rFonts w:ascii="Arial" w:eastAsiaTheme="majorEastAsia" w:hAnsi="Arial" w:cstheme="majorBidi"/>
      <w:b/>
      <w:i/>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532123"/>
    <w:rPr>
      <w:rFonts w:ascii="Arial" w:eastAsiaTheme="majorEastAsia" w:hAnsi="Arial" w:cstheme="majorBidi"/>
      <w:i/>
      <w:sz w:val="24"/>
      <w:szCs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rsid w:val="00685E26"/>
    <w:rPr>
      <w:rFonts w:ascii="Arial" w:eastAsia="Calibri" w:hAnsi="Arial" w:cstheme="majorBidi"/>
      <w:i/>
      <w:iCs/>
      <w:sz w:val="24"/>
      <w:szCs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customStyle="1" w:styleId="GridTable1Light1211412">
    <w:name w:val="Grid Table 1 Light1211412"/>
    <w:basedOn w:val="TableNormal"/>
    <w:next w:val="GridTable1Light"/>
    <w:uiPriority w:val="46"/>
    <w:rsid w:val="00412B6E"/>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12B6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EA3093"/>
    <w:rPr>
      <w:b/>
      <w:bCs/>
    </w:rPr>
  </w:style>
  <w:style w:type="character" w:styleId="CommentReference">
    <w:name w:val="annotation reference"/>
    <w:basedOn w:val="DefaultParagraphFont"/>
    <w:uiPriority w:val="99"/>
    <w:semiHidden/>
    <w:unhideWhenUsed/>
    <w:rsid w:val="00741C2C"/>
    <w:rPr>
      <w:sz w:val="16"/>
      <w:szCs w:val="16"/>
    </w:rPr>
  </w:style>
  <w:style w:type="paragraph" w:styleId="CommentText">
    <w:name w:val="annotation text"/>
    <w:basedOn w:val="Normal"/>
    <w:link w:val="CommentTextChar"/>
    <w:uiPriority w:val="99"/>
    <w:unhideWhenUsed/>
    <w:rsid w:val="00741C2C"/>
    <w:rPr>
      <w:sz w:val="20"/>
      <w:szCs w:val="20"/>
    </w:rPr>
  </w:style>
  <w:style w:type="character" w:customStyle="1" w:styleId="CommentTextChar">
    <w:name w:val="Comment Text Char"/>
    <w:basedOn w:val="DefaultParagraphFont"/>
    <w:link w:val="CommentText"/>
    <w:uiPriority w:val="99"/>
    <w:rsid w:val="00741C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41C2C"/>
    <w:rPr>
      <w:b/>
      <w:bCs/>
    </w:rPr>
  </w:style>
  <w:style w:type="character" w:customStyle="1" w:styleId="CommentSubjectChar">
    <w:name w:val="Comment Subject Char"/>
    <w:basedOn w:val="CommentTextChar"/>
    <w:link w:val="CommentSubject"/>
    <w:uiPriority w:val="99"/>
    <w:semiHidden/>
    <w:rsid w:val="00741C2C"/>
    <w:rPr>
      <w:rFonts w:ascii="Arial" w:eastAsia="Times New Roman" w:hAnsi="Arial"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12">
    <w:name w:val="Grid Table 1 Light12"/>
    <w:basedOn w:val="TableNormal"/>
    <w:next w:val="GridTable1Light"/>
    <w:uiPriority w:val="46"/>
    <w:rsid w:val="00567D20"/>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CB7584"/>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81000D"/>
  </w:style>
  <w:style w:type="character" w:customStyle="1" w:styleId="eop">
    <w:name w:val="eop"/>
    <w:basedOn w:val="DefaultParagraphFont"/>
    <w:rsid w:val="0081000D"/>
  </w:style>
  <w:style w:type="paragraph" w:styleId="Revision">
    <w:name w:val="Revision"/>
    <w:hidden/>
    <w:uiPriority w:val="99"/>
    <w:semiHidden/>
    <w:rsid w:val="008C5FD1"/>
    <w:pPr>
      <w:spacing w:after="0" w:line="240" w:lineRule="auto"/>
    </w:pPr>
    <w:rPr>
      <w:rFonts w:ascii="Arial" w:eastAsia="Times New Roman" w:hAnsi="Arial" w:cs="Times New Roman"/>
      <w:sz w:val="24"/>
      <w:szCs w:val="24"/>
    </w:rPr>
  </w:style>
  <w:style w:type="character" w:styleId="UnresolvedMention">
    <w:name w:val="Unresolved Mention"/>
    <w:basedOn w:val="DefaultParagraphFont"/>
    <w:uiPriority w:val="99"/>
    <w:semiHidden/>
    <w:unhideWhenUsed/>
    <w:rsid w:val="001E2A88"/>
    <w:rPr>
      <w:color w:val="605E5C"/>
      <w:shd w:val="clear" w:color="auto" w:fill="E1DFDD"/>
    </w:rPr>
  </w:style>
  <w:style w:type="paragraph" w:customStyle="1" w:styleId="Bulletedtext">
    <w:name w:val="Bulleted text"/>
    <w:basedOn w:val="ListParagraph"/>
    <w:qFormat/>
    <w:rsid w:val="00D04168"/>
    <w:pPr>
      <w:numPr>
        <w:numId w:val="54"/>
      </w:numPr>
      <w:spacing w:before="120" w:line="276" w:lineRule="auto"/>
    </w:pPr>
    <w:rPr>
      <w:rFonts w:ascii="Georgia" w:eastAsia="Georgia" w:hAnsi="Georgia"/>
      <w:b/>
      <w:bCs/>
    </w:rPr>
  </w:style>
  <w:style w:type="character" w:styleId="FollowedHyperlink">
    <w:name w:val="FollowedHyperlink"/>
    <w:basedOn w:val="DefaultParagraphFont"/>
    <w:uiPriority w:val="99"/>
    <w:semiHidden/>
    <w:unhideWhenUsed/>
    <w:rsid w:val="002F3775"/>
    <w:rPr>
      <w:color w:val="954F72" w:themeColor="followedHyperlink"/>
      <w:u w:val="single"/>
    </w:rPr>
  </w:style>
  <w:style w:type="paragraph" w:customStyle="1" w:styleId="paragraph">
    <w:name w:val="paragraph"/>
    <w:basedOn w:val="Normal"/>
    <w:rsid w:val="00EC1F40"/>
    <w:pPr>
      <w:spacing w:before="100" w:beforeAutospacing="1" w:after="100" w:afterAutospacing="1"/>
    </w:pPr>
    <w:rPr>
      <w:rFonts w:ascii="Times New Roman" w:hAnsi="Times New Roman"/>
    </w:rPr>
  </w:style>
  <w:style w:type="table" w:customStyle="1" w:styleId="GridTable1Light12114121">
    <w:name w:val="Grid Table 1 Light12114121"/>
    <w:basedOn w:val="TableNormal"/>
    <w:next w:val="GridTable1Light"/>
    <w:uiPriority w:val="46"/>
    <w:rsid w:val="00033C17"/>
    <w:pPr>
      <w:spacing w:after="0" w:line="240" w:lineRule="auto"/>
    </w:pPr>
    <w:rPr>
      <w:rFonts w:ascii="Arial" w:eastAsia="Calibri" w:hAnsi="Arial" w:cs="Arial"/>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NormalWeb">
    <w:name w:val="Normal (Web)"/>
    <w:basedOn w:val="Normal"/>
    <w:uiPriority w:val="99"/>
    <w:rsid w:val="00722B62"/>
    <w:pPr>
      <w:spacing w:before="0" w:after="0"/>
    </w:pPr>
    <w:rPr>
      <w:rFonts w:ascii="Times" w:hAnsi="Times"/>
      <w:sz w:val="20"/>
      <w:szCs w:val="20"/>
    </w:rPr>
  </w:style>
  <w:style w:type="paragraph" w:customStyle="1" w:styleId="xydpcab304camsonormal">
    <w:name w:val="x_ydpcab304camsonormal"/>
    <w:basedOn w:val="Normal"/>
    <w:rsid w:val="00722B62"/>
    <w:pPr>
      <w:spacing w:before="100" w:beforeAutospacing="1" w:after="100" w:afterAutospacing="1"/>
    </w:pPr>
    <w:rPr>
      <w:rFonts w:ascii="Times New Roman" w:hAnsi="Times New Roman"/>
    </w:rPr>
  </w:style>
  <w:style w:type="table" w:customStyle="1" w:styleId="GridTable1Light12114122">
    <w:name w:val="Grid Table 1 Light12114122"/>
    <w:basedOn w:val="TableNormal"/>
    <w:next w:val="GridTable1Light"/>
    <w:uiPriority w:val="46"/>
    <w:rsid w:val="00051AD1"/>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8">
    <w:name w:val="Grid Table 1 Light8"/>
    <w:basedOn w:val="TableNormal"/>
    <w:next w:val="GridTable1Light"/>
    <w:uiPriority w:val="46"/>
    <w:rsid w:val="001A6D37"/>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21">
    <w:name w:val="Grid Table 1 Light121141221"/>
    <w:basedOn w:val="TableNormal"/>
    <w:next w:val="GridTable1Light"/>
    <w:uiPriority w:val="46"/>
    <w:rsid w:val="001A6D37"/>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semiHidden/>
    <w:rsid w:val="00DB56FC"/>
    <w:rPr>
      <w:rFonts w:asciiTheme="majorHAnsi" w:eastAsiaTheme="majorEastAsia" w:hAnsiTheme="majorHAnsi" w:cstheme="majorBidi"/>
      <w:color w:val="272727" w:themeColor="text1" w:themeTint="D8"/>
      <w:sz w:val="21"/>
      <w:szCs w:val="21"/>
    </w:rPr>
  </w:style>
  <w:style w:type="table" w:customStyle="1" w:styleId="GridTable1Light81">
    <w:name w:val="Grid Table 1 Light81"/>
    <w:basedOn w:val="TableNormal"/>
    <w:next w:val="GridTable1Light"/>
    <w:uiPriority w:val="46"/>
    <w:rsid w:val="00DB56FC"/>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3">
    <w:name w:val="Grid Table 1 Light12114123"/>
    <w:basedOn w:val="TableNormal"/>
    <w:next w:val="GridTable1Light"/>
    <w:uiPriority w:val="46"/>
    <w:rsid w:val="00DB56FC"/>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12114124">
    <w:name w:val="Grid Table 1 Light12114124"/>
    <w:basedOn w:val="TableNormal"/>
    <w:next w:val="GridTable1Light"/>
    <w:uiPriority w:val="46"/>
    <w:rsid w:val="00DD10CA"/>
    <w:pPr>
      <w:spacing w:after="0" w:line="240" w:lineRule="auto"/>
    </w:pPr>
    <w:rPr>
      <w:rFonts w:ascii="Arial" w:eastAsia="Calibri" w:hAnsi="Arial" w:cs="Arial"/>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21644">
      <w:bodyDiv w:val="1"/>
      <w:marLeft w:val="0"/>
      <w:marRight w:val="0"/>
      <w:marTop w:val="0"/>
      <w:marBottom w:val="0"/>
      <w:divBdr>
        <w:top w:val="none" w:sz="0" w:space="0" w:color="auto"/>
        <w:left w:val="none" w:sz="0" w:space="0" w:color="auto"/>
        <w:bottom w:val="none" w:sz="0" w:space="0" w:color="auto"/>
        <w:right w:val="none" w:sz="0" w:space="0" w:color="auto"/>
      </w:divBdr>
    </w:div>
    <w:div w:id="171845231">
      <w:bodyDiv w:val="1"/>
      <w:marLeft w:val="0"/>
      <w:marRight w:val="0"/>
      <w:marTop w:val="0"/>
      <w:marBottom w:val="0"/>
      <w:divBdr>
        <w:top w:val="none" w:sz="0" w:space="0" w:color="auto"/>
        <w:left w:val="none" w:sz="0" w:space="0" w:color="auto"/>
        <w:bottom w:val="none" w:sz="0" w:space="0" w:color="auto"/>
        <w:right w:val="none" w:sz="0" w:space="0" w:color="auto"/>
      </w:divBdr>
    </w:div>
    <w:div w:id="391077311">
      <w:bodyDiv w:val="1"/>
      <w:marLeft w:val="0"/>
      <w:marRight w:val="0"/>
      <w:marTop w:val="0"/>
      <w:marBottom w:val="0"/>
      <w:divBdr>
        <w:top w:val="none" w:sz="0" w:space="0" w:color="auto"/>
        <w:left w:val="none" w:sz="0" w:space="0" w:color="auto"/>
        <w:bottom w:val="none" w:sz="0" w:space="0" w:color="auto"/>
        <w:right w:val="none" w:sz="0" w:space="0" w:color="auto"/>
      </w:divBdr>
    </w:div>
    <w:div w:id="484053835">
      <w:bodyDiv w:val="1"/>
      <w:marLeft w:val="0"/>
      <w:marRight w:val="0"/>
      <w:marTop w:val="0"/>
      <w:marBottom w:val="0"/>
      <w:divBdr>
        <w:top w:val="none" w:sz="0" w:space="0" w:color="auto"/>
        <w:left w:val="none" w:sz="0" w:space="0" w:color="auto"/>
        <w:bottom w:val="none" w:sz="0" w:space="0" w:color="auto"/>
        <w:right w:val="none" w:sz="0" w:space="0" w:color="auto"/>
      </w:divBdr>
    </w:div>
    <w:div w:id="624502856">
      <w:bodyDiv w:val="1"/>
      <w:marLeft w:val="0"/>
      <w:marRight w:val="0"/>
      <w:marTop w:val="0"/>
      <w:marBottom w:val="0"/>
      <w:divBdr>
        <w:top w:val="none" w:sz="0" w:space="0" w:color="auto"/>
        <w:left w:val="none" w:sz="0" w:space="0" w:color="auto"/>
        <w:bottom w:val="none" w:sz="0" w:space="0" w:color="auto"/>
        <w:right w:val="none" w:sz="0" w:space="0" w:color="auto"/>
      </w:divBdr>
    </w:div>
    <w:div w:id="702485073">
      <w:bodyDiv w:val="1"/>
      <w:marLeft w:val="0"/>
      <w:marRight w:val="0"/>
      <w:marTop w:val="0"/>
      <w:marBottom w:val="0"/>
      <w:divBdr>
        <w:top w:val="none" w:sz="0" w:space="0" w:color="auto"/>
        <w:left w:val="none" w:sz="0" w:space="0" w:color="auto"/>
        <w:bottom w:val="none" w:sz="0" w:space="0" w:color="auto"/>
        <w:right w:val="none" w:sz="0" w:space="0" w:color="auto"/>
      </w:divBdr>
    </w:div>
    <w:div w:id="773091116">
      <w:bodyDiv w:val="1"/>
      <w:marLeft w:val="0"/>
      <w:marRight w:val="0"/>
      <w:marTop w:val="0"/>
      <w:marBottom w:val="0"/>
      <w:divBdr>
        <w:top w:val="none" w:sz="0" w:space="0" w:color="auto"/>
        <w:left w:val="none" w:sz="0" w:space="0" w:color="auto"/>
        <w:bottom w:val="none" w:sz="0" w:space="0" w:color="auto"/>
        <w:right w:val="none" w:sz="0" w:space="0" w:color="auto"/>
      </w:divBdr>
    </w:div>
    <w:div w:id="827135036">
      <w:bodyDiv w:val="1"/>
      <w:marLeft w:val="0"/>
      <w:marRight w:val="0"/>
      <w:marTop w:val="0"/>
      <w:marBottom w:val="0"/>
      <w:divBdr>
        <w:top w:val="none" w:sz="0" w:space="0" w:color="auto"/>
        <w:left w:val="none" w:sz="0" w:space="0" w:color="auto"/>
        <w:bottom w:val="none" w:sz="0" w:space="0" w:color="auto"/>
        <w:right w:val="none" w:sz="0" w:space="0" w:color="auto"/>
      </w:divBdr>
    </w:div>
    <w:div w:id="910045173">
      <w:bodyDiv w:val="1"/>
      <w:marLeft w:val="0"/>
      <w:marRight w:val="0"/>
      <w:marTop w:val="0"/>
      <w:marBottom w:val="0"/>
      <w:divBdr>
        <w:top w:val="none" w:sz="0" w:space="0" w:color="auto"/>
        <w:left w:val="none" w:sz="0" w:space="0" w:color="auto"/>
        <w:bottom w:val="none" w:sz="0" w:space="0" w:color="auto"/>
        <w:right w:val="none" w:sz="0" w:space="0" w:color="auto"/>
      </w:divBdr>
    </w:div>
    <w:div w:id="939753151">
      <w:bodyDiv w:val="1"/>
      <w:marLeft w:val="0"/>
      <w:marRight w:val="0"/>
      <w:marTop w:val="0"/>
      <w:marBottom w:val="0"/>
      <w:divBdr>
        <w:top w:val="single" w:sz="12" w:space="0" w:color="767575"/>
        <w:left w:val="none" w:sz="0" w:space="0" w:color="auto"/>
        <w:bottom w:val="none" w:sz="0" w:space="0" w:color="auto"/>
        <w:right w:val="none" w:sz="0" w:space="0" w:color="auto"/>
      </w:divBdr>
      <w:divsChild>
        <w:div w:id="5908731">
          <w:marLeft w:val="0"/>
          <w:marRight w:val="0"/>
          <w:marTop w:val="0"/>
          <w:marBottom w:val="0"/>
          <w:divBdr>
            <w:top w:val="none" w:sz="0" w:space="0" w:color="auto"/>
            <w:left w:val="none" w:sz="0" w:space="0" w:color="auto"/>
            <w:bottom w:val="none" w:sz="0" w:space="0" w:color="auto"/>
            <w:right w:val="none" w:sz="0" w:space="0" w:color="auto"/>
          </w:divBdr>
          <w:divsChild>
            <w:div w:id="1311520645">
              <w:marLeft w:val="0"/>
              <w:marRight w:val="0"/>
              <w:marTop w:val="0"/>
              <w:marBottom w:val="0"/>
              <w:divBdr>
                <w:top w:val="none" w:sz="0" w:space="0" w:color="auto"/>
                <w:left w:val="none" w:sz="0" w:space="0" w:color="auto"/>
                <w:bottom w:val="none" w:sz="0" w:space="0" w:color="auto"/>
                <w:right w:val="none" w:sz="0" w:space="0" w:color="auto"/>
              </w:divBdr>
              <w:divsChild>
                <w:div w:id="125347238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7848599">
                      <w:marLeft w:val="300"/>
                      <w:marRight w:val="0"/>
                      <w:marTop w:val="0"/>
                      <w:marBottom w:val="0"/>
                      <w:divBdr>
                        <w:top w:val="none" w:sz="0" w:space="0" w:color="auto"/>
                        <w:left w:val="none" w:sz="0" w:space="0" w:color="auto"/>
                        <w:bottom w:val="none" w:sz="0" w:space="0" w:color="auto"/>
                        <w:right w:val="none" w:sz="0" w:space="0" w:color="auto"/>
                      </w:divBdr>
                      <w:divsChild>
                        <w:div w:id="358430655">
                          <w:marLeft w:val="0"/>
                          <w:marRight w:val="0"/>
                          <w:marTop w:val="0"/>
                          <w:marBottom w:val="0"/>
                          <w:divBdr>
                            <w:top w:val="none" w:sz="0" w:space="0" w:color="auto"/>
                            <w:left w:val="none" w:sz="0" w:space="0" w:color="auto"/>
                            <w:bottom w:val="none" w:sz="0" w:space="0" w:color="auto"/>
                            <w:right w:val="none" w:sz="0" w:space="0" w:color="auto"/>
                          </w:divBdr>
                          <w:divsChild>
                            <w:div w:id="835994085">
                              <w:marLeft w:val="0"/>
                              <w:marRight w:val="0"/>
                              <w:marTop w:val="0"/>
                              <w:marBottom w:val="0"/>
                              <w:divBdr>
                                <w:top w:val="none" w:sz="0" w:space="0" w:color="auto"/>
                                <w:left w:val="none" w:sz="0" w:space="0" w:color="auto"/>
                                <w:bottom w:val="none" w:sz="0" w:space="0" w:color="auto"/>
                                <w:right w:val="none" w:sz="0" w:space="0" w:color="auto"/>
                              </w:divBdr>
                              <w:divsChild>
                                <w:div w:id="1418861204">
                                  <w:marLeft w:val="0"/>
                                  <w:marRight w:val="0"/>
                                  <w:marTop w:val="0"/>
                                  <w:marBottom w:val="0"/>
                                  <w:divBdr>
                                    <w:top w:val="none" w:sz="0" w:space="0" w:color="auto"/>
                                    <w:left w:val="none" w:sz="0" w:space="0" w:color="auto"/>
                                    <w:bottom w:val="none" w:sz="0" w:space="0" w:color="auto"/>
                                    <w:right w:val="none" w:sz="0" w:space="0" w:color="auto"/>
                                  </w:divBdr>
                                  <w:divsChild>
                                    <w:div w:id="1781409009">
                                      <w:marLeft w:val="0"/>
                                      <w:marRight w:val="0"/>
                                      <w:marTop w:val="0"/>
                                      <w:marBottom w:val="0"/>
                                      <w:divBdr>
                                        <w:top w:val="none" w:sz="0" w:space="0" w:color="auto"/>
                                        <w:left w:val="none" w:sz="0" w:space="0" w:color="auto"/>
                                        <w:bottom w:val="none" w:sz="0" w:space="0" w:color="auto"/>
                                        <w:right w:val="none" w:sz="0" w:space="0" w:color="auto"/>
                                      </w:divBdr>
                                      <w:divsChild>
                                        <w:div w:id="140385688">
                                          <w:marLeft w:val="0"/>
                                          <w:marRight w:val="0"/>
                                          <w:marTop w:val="0"/>
                                          <w:marBottom w:val="0"/>
                                          <w:divBdr>
                                            <w:top w:val="none" w:sz="0" w:space="0" w:color="auto"/>
                                            <w:left w:val="none" w:sz="0" w:space="0" w:color="auto"/>
                                            <w:bottom w:val="none" w:sz="0" w:space="0" w:color="auto"/>
                                            <w:right w:val="none" w:sz="0" w:space="0" w:color="auto"/>
                                          </w:divBdr>
                                          <w:divsChild>
                                            <w:div w:id="2203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096099">
      <w:bodyDiv w:val="1"/>
      <w:marLeft w:val="0"/>
      <w:marRight w:val="0"/>
      <w:marTop w:val="0"/>
      <w:marBottom w:val="0"/>
      <w:divBdr>
        <w:top w:val="none" w:sz="0" w:space="0" w:color="auto"/>
        <w:left w:val="none" w:sz="0" w:space="0" w:color="auto"/>
        <w:bottom w:val="none" w:sz="0" w:space="0" w:color="auto"/>
        <w:right w:val="none" w:sz="0" w:space="0" w:color="auto"/>
      </w:divBdr>
    </w:div>
    <w:div w:id="984314975">
      <w:bodyDiv w:val="1"/>
      <w:marLeft w:val="0"/>
      <w:marRight w:val="0"/>
      <w:marTop w:val="0"/>
      <w:marBottom w:val="0"/>
      <w:divBdr>
        <w:top w:val="none" w:sz="0" w:space="0" w:color="auto"/>
        <w:left w:val="none" w:sz="0" w:space="0" w:color="auto"/>
        <w:bottom w:val="none" w:sz="0" w:space="0" w:color="auto"/>
        <w:right w:val="none" w:sz="0" w:space="0" w:color="auto"/>
      </w:divBdr>
    </w:div>
    <w:div w:id="1096098419">
      <w:bodyDiv w:val="1"/>
      <w:marLeft w:val="0"/>
      <w:marRight w:val="0"/>
      <w:marTop w:val="0"/>
      <w:marBottom w:val="0"/>
      <w:divBdr>
        <w:top w:val="none" w:sz="0" w:space="0" w:color="auto"/>
        <w:left w:val="none" w:sz="0" w:space="0" w:color="auto"/>
        <w:bottom w:val="none" w:sz="0" w:space="0" w:color="auto"/>
        <w:right w:val="none" w:sz="0" w:space="0" w:color="auto"/>
      </w:divBdr>
    </w:div>
    <w:div w:id="1138764569">
      <w:bodyDiv w:val="1"/>
      <w:marLeft w:val="0"/>
      <w:marRight w:val="0"/>
      <w:marTop w:val="0"/>
      <w:marBottom w:val="0"/>
      <w:divBdr>
        <w:top w:val="none" w:sz="0" w:space="0" w:color="auto"/>
        <w:left w:val="none" w:sz="0" w:space="0" w:color="auto"/>
        <w:bottom w:val="none" w:sz="0" w:space="0" w:color="auto"/>
        <w:right w:val="none" w:sz="0" w:space="0" w:color="auto"/>
      </w:divBdr>
    </w:div>
    <w:div w:id="1205026315">
      <w:bodyDiv w:val="1"/>
      <w:marLeft w:val="0"/>
      <w:marRight w:val="0"/>
      <w:marTop w:val="0"/>
      <w:marBottom w:val="0"/>
      <w:divBdr>
        <w:top w:val="none" w:sz="0" w:space="0" w:color="auto"/>
        <w:left w:val="none" w:sz="0" w:space="0" w:color="auto"/>
        <w:bottom w:val="none" w:sz="0" w:space="0" w:color="auto"/>
        <w:right w:val="none" w:sz="0" w:space="0" w:color="auto"/>
      </w:divBdr>
      <w:divsChild>
        <w:div w:id="914973201">
          <w:marLeft w:val="0"/>
          <w:marRight w:val="0"/>
          <w:marTop w:val="0"/>
          <w:marBottom w:val="0"/>
          <w:divBdr>
            <w:top w:val="none" w:sz="0" w:space="0" w:color="auto"/>
            <w:left w:val="none" w:sz="0" w:space="0" w:color="auto"/>
            <w:bottom w:val="none" w:sz="0" w:space="0" w:color="auto"/>
            <w:right w:val="none" w:sz="0" w:space="0" w:color="auto"/>
          </w:divBdr>
        </w:div>
      </w:divsChild>
    </w:div>
    <w:div w:id="1292639227">
      <w:bodyDiv w:val="1"/>
      <w:marLeft w:val="0"/>
      <w:marRight w:val="0"/>
      <w:marTop w:val="0"/>
      <w:marBottom w:val="0"/>
      <w:divBdr>
        <w:top w:val="none" w:sz="0" w:space="0" w:color="auto"/>
        <w:left w:val="none" w:sz="0" w:space="0" w:color="auto"/>
        <w:bottom w:val="none" w:sz="0" w:space="0" w:color="auto"/>
        <w:right w:val="none" w:sz="0" w:space="0" w:color="auto"/>
      </w:divBdr>
    </w:div>
    <w:div w:id="1597471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181">
          <w:marLeft w:val="0"/>
          <w:marRight w:val="0"/>
          <w:marTop w:val="0"/>
          <w:marBottom w:val="0"/>
          <w:divBdr>
            <w:top w:val="none" w:sz="0" w:space="0" w:color="auto"/>
            <w:left w:val="none" w:sz="0" w:space="0" w:color="auto"/>
            <w:bottom w:val="none" w:sz="0" w:space="0" w:color="auto"/>
            <w:right w:val="none" w:sz="0" w:space="0" w:color="auto"/>
          </w:divBdr>
          <w:divsChild>
            <w:div w:id="1133720553">
              <w:marLeft w:val="0"/>
              <w:marRight w:val="0"/>
              <w:marTop w:val="0"/>
              <w:marBottom w:val="0"/>
              <w:divBdr>
                <w:top w:val="none" w:sz="0" w:space="0" w:color="auto"/>
                <w:left w:val="none" w:sz="0" w:space="0" w:color="auto"/>
                <w:bottom w:val="none" w:sz="0" w:space="0" w:color="auto"/>
                <w:right w:val="none" w:sz="0" w:space="0" w:color="auto"/>
              </w:divBdr>
            </w:div>
            <w:div w:id="350379453">
              <w:marLeft w:val="0"/>
              <w:marRight w:val="0"/>
              <w:marTop w:val="0"/>
              <w:marBottom w:val="0"/>
              <w:divBdr>
                <w:top w:val="none" w:sz="0" w:space="0" w:color="auto"/>
                <w:left w:val="none" w:sz="0" w:space="0" w:color="auto"/>
                <w:bottom w:val="none" w:sz="0" w:space="0" w:color="auto"/>
                <w:right w:val="none" w:sz="0" w:space="0" w:color="auto"/>
              </w:divBdr>
            </w:div>
            <w:div w:id="984317156">
              <w:marLeft w:val="0"/>
              <w:marRight w:val="0"/>
              <w:marTop w:val="0"/>
              <w:marBottom w:val="0"/>
              <w:divBdr>
                <w:top w:val="none" w:sz="0" w:space="0" w:color="auto"/>
                <w:left w:val="none" w:sz="0" w:space="0" w:color="auto"/>
                <w:bottom w:val="none" w:sz="0" w:space="0" w:color="auto"/>
                <w:right w:val="none" w:sz="0" w:space="0" w:color="auto"/>
              </w:divBdr>
            </w:div>
          </w:divsChild>
        </w:div>
        <w:div w:id="463238608">
          <w:marLeft w:val="0"/>
          <w:marRight w:val="0"/>
          <w:marTop w:val="0"/>
          <w:marBottom w:val="0"/>
          <w:divBdr>
            <w:top w:val="none" w:sz="0" w:space="0" w:color="auto"/>
            <w:left w:val="none" w:sz="0" w:space="0" w:color="auto"/>
            <w:bottom w:val="none" w:sz="0" w:space="0" w:color="auto"/>
            <w:right w:val="none" w:sz="0" w:space="0" w:color="auto"/>
          </w:divBdr>
          <w:divsChild>
            <w:div w:id="1245724189">
              <w:marLeft w:val="0"/>
              <w:marRight w:val="0"/>
              <w:marTop w:val="0"/>
              <w:marBottom w:val="0"/>
              <w:divBdr>
                <w:top w:val="none" w:sz="0" w:space="0" w:color="auto"/>
                <w:left w:val="none" w:sz="0" w:space="0" w:color="auto"/>
                <w:bottom w:val="none" w:sz="0" w:space="0" w:color="auto"/>
                <w:right w:val="none" w:sz="0" w:space="0" w:color="auto"/>
              </w:divBdr>
            </w:div>
            <w:div w:id="163713644">
              <w:marLeft w:val="0"/>
              <w:marRight w:val="0"/>
              <w:marTop w:val="0"/>
              <w:marBottom w:val="0"/>
              <w:divBdr>
                <w:top w:val="none" w:sz="0" w:space="0" w:color="auto"/>
                <w:left w:val="none" w:sz="0" w:space="0" w:color="auto"/>
                <w:bottom w:val="none" w:sz="0" w:space="0" w:color="auto"/>
                <w:right w:val="none" w:sz="0" w:space="0" w:color="auto"/>
              </w:divBdr>
            </w:div>
            <w:div w:id="887840163">
              <w:marLeft w:val="0"/>
              <w:marRight w:val="0"/>
              <w:marTop w:val="0"/>
              <w:marBottom w:val="0"/>
              <w:divBdr>
                <w:top w:val="none" w:sz="0" w:space="0" w:color="auto"/>
                <w:left w:val="none" w:sz="0" w:space="0" w:color="auto"/>
                <w:bottom w:val="none" w:sz="0" w:space="0" w:color="auto"/>
                <w:right w:val="none" w:sz="0" w:space="0" w:color="auto"/>
              </w:divBdr>
            </w:div>
            <w:div w:id="1341466563">
              <w:marLeft w:val="0"/>
              <w:marRight w:val="0"/>
              <w:marTop w:val="0"/>
              <w:marBottom w:val="0"/>
              <w:divBdr>
                <w:top w:val="none" w:sz="0" w:space="0" w:color="auto"/>
                <w:left w:val="none" w:sz="0" w:space="0" w:color="auto"/>
                <w:bottom w:val="none" w:sz="0" w:space="0" w:color="auto"/>
                <w:right w:val="none" w:sz="0" w:space="0" w:color="auto"/>
              </w:divBdr>
            </w:div>
            <w:div w:id="173292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1182">
      <w:bodyDiv w:val="1"/>
      <w:marLeft w:val="0"/>
      <w:marRight w:val="0"/>
      <w:marTop w:val="0"/>
      <w:marBottom w:val="0"/>
      <w:divBdr>
        <w:top w:val="none" w:sz="0" w:space="0" w:color="auto"/>
        <w:left w:val="none" w:sz="0" w:space="0" w:color="auto"/>
        <w:bottom w:val="none" w:sz="0" w:space="0" w:color="auto"/>
        <w:right w:val="none" w:sz="0" w:space="0" w:color="auto"/>
      </w:divBdr>
    </w:div>
    <w:div w:id="1928147941">
      <w:bodyDiv w:val="1"/>
      <w:marLeft w:val="0"/>
      <w:marRight w:val="0"/>
      <w:marTop w:val="0"/>
      <w:marBottom w:val="0"/>
      <w:divBdr>
        <w:top w:val="none" w:sz="0" w:space="0" w:color="auto"/>
        <w:left w:val="none" w:sz="0" w:space="0" w:color="auto"/>
        <w:bottom w:val="none" w:sz="0" w:space="0" w:color="auto"/>
        <w:right w:val="none" w:sz="0" w:space="0" w:color="auto"/>
      </w:divBdr>
    </w:div>
    <w:div w:id="206362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be/cc/cs/accsnotice041321.asp" TargetMode="External"/><Relationship Id="rId18" Type="http://schemas.openxmlformats.org/officeDocument/2006/relationships/hyperlink" Target="https://www.cde.ca.gov/ta/ac/activeschools.asp" TargetMode="External"/><Relationship Id="rId26" Type="http://schemas.openxmlformats.org/officeDocument/2006/relationships/hyperlink" Target="https://www.cde.ca.gov/be/cc/cs/accsnotice041321.asp"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de.ca.gov/be/cc/cs/accsnotice041321.asp" TargetMode="External"/><Relationship Id="rId34" Type="http://schemas.openxmlformats.org/officeDocument/2006/relationships/hyperlink" Target="https://www.cde.ca.gov/be/cc/cs/accsnotice041321.as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cc/cs/accsnotice041321.asp" TargetMode="External"/><Relationship Id="rId25" Type="http://schemas.openxmlformats.org/officeDocument/2006/relationships/image" Target="media/image4.png"/><Relationship Id="rId33" Type="http://schemas.openxmlformats.org/officeDocument/2006/relationships/hyperlink" Target="https://www.cde.ca.gov/be/cc/cs/accsnotice041321.asp" TargetMode="External"/><Relationship Id="rId38" Type="http://schemas.openxmlformats.org/officeDocument/2006/relationships/hyperlink" Target="https://www.cde.ca.gov/be/cc/cs/accsnotice041321.asp" TargetMode="External"/><Relationship Id="R70bb04928ce34b4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be/cc/cs/accsnotice041321.asp" TargetMode="External"/><Relationship Id="rId20" Type="http://schemas.openxmlformats.org/officeDocument/2006/relationships/hyperlink" Target="https://www.cde.ca.gov/be/cc/cs/accsnotice041321.asp" TargetMode="External"/><Relationship Id="rId29" Type="http://schemas.openxmlformats.org/officeDocument/2006/relationships/hyperlink" Target="https://www.cde.ca.gov/be/cc/cs/accsnotice041321.as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cc/cs/accsnotice041321.asp" TargetMode="External"/><Relationship Id="rId32" Type="http://schemas.openxmlformats.org/officeDocument/2006/relationships/hyperlink" Target="https://urldefense.proofpoint.com/v2/url?u=https-3A__www.law.cornell.edu_definitions_index.php-3Fwidth-3D840-26height-3D800-26iframe-3Dtrue-26def-5Fid-3D4589011f0121bd663b01ff1efa2754de-26term-5Foccur-3D999-26term-5Fsrc-3DTitle-3A34-3ASubtitle-3AB-3AChapter-3AIII-3APart-3A300-3ASubpart-3AB-3ASubjgrp-3A40-3A300.114&amp;d=DwMFaQ&amp;c=SIStQSL0VMIUJoLS-Q8giiFlA-AKdP7tpJHyQh8DeXk&amp;r=3V_XB-JLkXWbwN8nORqs8P_rmxBjWkeQisTxywX_SCM&amp;m=pfojlmsHpeu10-4BxCQ0b8Sojrlc8mwPvQmMT6D19gM&amp;s=ua0eIy72bm-c_Z8F5oJa9w0O19ubT5MSr17VOA1uDEg&amp;e=" TargetMode="External"/><Relationship Id="rId37" Type="http://schemas.openxmlformats.org/officeDocument/2006/relationships/hyperlink" Target="https://www.cde.ca.gov/be/cc/cs/accsnotice041321.as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de.ca.gov/be/cc/cs/accsnotice041321.asp" TargetMode="External"/><Relationship Id="rId23" Type="http://schemas.openxmlformats.org/officeDocument/2006/relationships/image" Target="media/image3.png"/><Relationship Id="rId28" Type="http://schemas.openxmlformats.org/officeDocument/2006/relationships/hyperlink" Target="https://www.cde.ca.gov/be/cc/cs/accsnotice041321.asp" TargetMode="External"/><Relationship Id="rId36" Type="http://schemas.openxmlformats.org/officeDocument/2006/relationships/hyperlink" Target="https://www.cde.ca.gov/be/cc/cs/accsnotice041321.asp" TargetMode="External"/><Relationship Id="rId10" Type="http://schemas.openxmlformats.org/officeDocument/2006/relationships/endnotes" Target="endnotes.xml"/><Relationship Id="rId19" Type="http://schemas.openxmlformats.org/officeDocument/2006/relationships/hyperlink" Target="https://www.cde.ca.gov/be/cc/cs/accsnotice041321.asp" TargetMode="External"/><Relationship Id="rId31" Type="http://schemas.openxmlformats.org/officeDocument/2006/relationships/hyperlink" Target="https://urldefense.proofpoint.com/v2/url?u=https-3A__www.law.cornell.edu_definitions_index.php-3Fwidth-3D840-26height-3D800-26iframe-3Dtrue-26def-5Fid-3De0aca252d5dfb28bf343529a57e1b329-26term-5Foccur-3D999-26term-5Fsrc-3DTitle-3A34-3ASubtitle-3AB-3AChapter-3AIII-3APart-3A300-3ASubpart-3AB-3ASubjgrp-3A40-3A300.114&amp;d=DwMFaQ&amp;c=SIStQSL0VMIUJoLS-Q8giiFlA-AKdP7tpJHyQh8DeXk&amp;r=3V_XB-JLkXWbwN8nORqs8P_rmxBjWkeQisTxywX_SCM&amp;m=pfojlmsHpeu10-4BxCQ0b8Sojrlc8mwPvQmMT6D19gM&amp;s=MT83EC-VpNm9lINu3WcAXVIIoUvfytgxcYHBCIcDR-g&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cc/cs/accsnotice041321.asp" TargetMode="External"/><Relationship Id="rId22" Type="http://schemas.openxmlformats.org/officeDocument/2006/relationships/image" Target="media/image2.png"/><Relationship Id="rId27" Type="http://schemas.openxmlformats.org/officeDocument/2006/relationships/hyperlink" Target="https://www.cde.ca.gov/be/cc/cs/accsnotice041321.asp" TargetMode="External"/><Relationship Id="rId30" Type="http://schemas.openxmlformats.org/officeDocument/2006/relationships/hyperlink" Target="https://www.cde.ca.gov/be/cc/cs/accsnotice041321.asp" TargetMode="External"/><Relationship Id="rId35" Type="http://schemas.openxmlformats.org/officeDocument/2006/relationships/hyperlink" Target="https://www.cde.ca.gov/be/cc/cs/accsnotice04132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77227576AC464F91B498F584149BED" ma:contentTypeVersion="4" ma:contentTypeDescription="Create a new document." ma:contentTypeScope="" ma:versionID="65009f50ce0a58ee125c81254a4cee6a">
  <xsd:schema xmlns:xsd="http://www.w3.org/2001/XMLSchema" xmlns:xs="http://www.w3.org/2001/XMLSchema" xmlns:p="http://schemas.microsoft.com/office/2006/metadata/properties" xmlns:ns2="b8f8a5da-85e9-4c64-b2b3-d5c38d765bad" targetNamespace="http://schemas.microsoft.com/office/2006/metadata/properties" ma:root="true" ma:fieldsID="9e6f5b4896151337c96edc3ef3edb281" ns2:_="">
    <xsd:import namespace="b8f8a5da-85e9-4c64-b2b3-d5c38d765b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8a5da-85e9-4c64-b2b3-d5c38d765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1C74E-EC03-4D03-93FF-1F1B0A24B161}">
  <ds:schemaRefs>
    <ds:schemaRef ds:uri="http://schemas.microsoft.com/sharepoint/v3/contenttype/forms"/>
  </ds:schemaRefs>
</ds:datastoreItem>
</file>

<file path=customXml/itemProps2.xml><?xml version="1.0" encoding="utf-8"?>
<ds:datastoreItem xmlns:ds="http://schemas.openxmlformats.org/officeDocument/2006/customXml" ds:itemID="{1250BE19-B56C-4306-BA08-48D717743DB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8f8a5da-85e9-4c64-b2b3-d5c38d765bad"/>
    <ds:schemaRef ds:uri="http://www.w3.org/XML/1998/namespace"/>
    <ds:schemaRef ds:uri="http://purl.org/dc/terms/"/>
  </ds:schemaRefs>
</ds:datastoreItem>
</file>

<file path=customXml/itemProps3.xml><?xml version="1.0" encoding="utf-8"?>
<ds:datastoreItem xmlns:ds="http://schemas.openxmlformats.org/officeDocument/2006/customXml" ds:itemID="{15BC4A10-D0DF-4425-8987-1B24802D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f8a5da-85e9-4c64-b2b3-d5c38d765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5EFDF4-1EEA-4FA4-A15A-D2F0541F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15</Pages>
  <Words>4076</Words>
  <Characters>23238</Characters>
  <DocSecurity>0</DocSecurity>
  <Lines>193</Lines>
  <Paragraphs>54</Paragraphs>
  <ScaleCrop>false</ScaleCrop>
  <HeadingPairs>
    <vt:vector size="2" baseType="variant">
      <vt:variant>
        <vt:lpstr>Title</vt:lpstr>
      </vt:variant>
      <vt:variant>
        <vt:i4>1</vt:i4>
      </vt:variant>
    </vt:vector>
  </HeadingPairs>
  <TitlesOfParts>
    <vt:vector size="1" baseType="lpstr">
      <vt:lpstr>May 2021 Agenda Item XX - Meeting Agendas (CA State Board of Education)</vt:lpstr>
    </vt:vector>
  </TitlesOfParts>
  <Company>California State Board of Education</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2021 Agenda Item 09 - Meeting Agendas (CA State Board of California)</dc:title>
  <dc:subject>Petition for the Renewal of a Charter School Under the Oversight of the LEA Designated by the SBE Pursuant to California EC Section 47605.9(b): Consideration of Audeo Charter II.</dc:subject>
  <dc:creator/>
  <cp:keywords/>
  <dc:description/>
  <cp:lastPrinted>2020-03-27T19:19:00Z</cp:lastPrinted>
  <dcterms:created xsi:type="dcterms:W3CDTF">2021-04-19T15:31:00Z</dcterms:created>
  <dcterms:modified xsi:type="dcterms:W3CDTF">2021-04-30T16:54:00Z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0x010100AB77227576AC464F91B498F584149BED</vt:lpwstr>
  </property>
</Properties>
</file>