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AB9" w:rsidRDefault="00423AB9" w:rsidP="00423AB9">
      <w:r>
        <w:rPr>
          <w:noProof/>
          <w:color w:val="2B579A"/>
          <w:shd w:val="clear" w:color="auto" w:fill="E6E6E6"/>
        </w:rPr>
        <w:drawing>
          <wp:inline distT="0" distB="0" distL="0" distR="0" wp14:anchorId="4131DD58" wp14:editId="31054C3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rsidR="00423AB9" w:rsidRDefault="00423AB9" w:rsidP="00423AB9">
      <w:pPr>
        <w:jc w:val="right"/>
      </w:pPr>
      <w:r w:rsidRPr="00B723BE">
        <w:t>California Department of Education</w:t>
      </w:r>
    </w:p>
    <w:p w:rsidR="00423AB9" w:rsidRDefault="00423AB9" w:rsidP="00423AB9">
      <w:pPr>
        <w:jc w:val="right"/>
      </w:pPr>
      <w:r w:rsidRPr="00B723BE">
        <w:t>Executive Office</w:t>
      </w:r>
    </w:p>
    <w:p w:rsidR="00423AB9" w:rsidRDefault="00423AB9" w:rsidP="00423AB9">
      <w:pPr>
        <w:jc w:val="right"/>
      </w:pPr>
      <w:r w:rsidRPr="00B723BE">
        <w:t>SBE-00</w:t>
      </w:r>
      <w:r>
        <w:t>3</w:t>
      </w:r>
      <w:r w:rsidRPr="00B723BE">
        <w:t xml:space="preserve"> (REV. 1</w:t>
      </w:r>
      <w:r>
        <w:t>1</w:t>
      </w:r>
      <w:r w:rsidRPr="00B723BE">
        <w:t>/2017)</w:t>
      </w:r>
    </w:p>
    <w:p w:rsidR="00423AB9" w:rsidRDefault="00423AB9" w:rsidP="00423AB9">
      <w:pPr>
        <w:pStyle w:val="Header"/>
        <w:jc w:val="right"/>
        <w:rPr>
          <w:sz w:val="40"/>
          <w:szCs w:val="40"/>
        </w:rPr>
        <w:sectPr w:rsidR="00423AB9" w:rsidSect="00423AB9">
          <w:headerReference w:type="default" r:id="rId9"/>
          <w:pgSz w:w="12240" w:h="15840"/>
          <w:pgMar w:top="1440" w:right="1440" w:bottom="1440" w:left="1440" w:header="720" w:footer="720" w:gutter="0"/>
          <w:cols w:num="2" w:space="720"/>
          <w:titlePg/>
          <w:docGrid w:linePitch="360"/>
        </w:sectPr>
      </w:pPr>
      <w:r>
        <w:t>ofab-sed-sep21item01</w:t>
      </w:r>
      <w:bookmarkStart w:id="0" w:name="_Toc523909460"/>
      <w:bookmarkStart w:id="1" w:name="_Toc525654529"/>
      <w:bookmarkStart w:id="2" w:name="_Toc528222730"/>
      <w:bookmarkStart w:id="3" w:name="_Toc26532181"/>
      <w:bookmarkStart w:id="4" w:name="_Toc77599027"/>
    </w:p>
    <w:p w:rsidR="00423AB9" w:rsidRDefault="00423AB9" w:rsidP="00423AB9">
      <w:pPr>
        <w:sectPr w:rsidR="00423AB9" w:rsidSect="00423AB9">
          <w:type w:val="continuous"/>
          <w:pgSz w:w="12240" w:h="15840"/>
          <w:pgMar w:top="1440" w:right="1440" w:bottom="1440" w:left="1440" w:header="720" w:footer="720" w:gutter="0"/>
          <w:cols w:space="720"/>
          <w:docGrid w:linePitch="360"/>
        </w:sectPr>
      </w:pPr>
    </w:p>
    <w:p w:rsidR="00423AB9" w:rsidRPr="001B3958" w:rsidRDefault="00423AB9" w:rsidP="00423AB9">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t>September 2021</w:t>
      </w:r>
      <w:r w:rsidRPr="001B3958">
        <w:rPr>
          <w:sz w:val="40"/>
          <w:szCs w:val="40"/>
        </w:rPr>
        <w:t xml:space="preserve"> Agenda</w:t>
      </w:r>
      <w:r w:rsidRPr="001B3958">
        <w:rPr>
          <w:sz w:val="40"/>
          <w:szCs w:val="40"/>
        </w:rPr>
        <w:br/>
        <w:t>Item</w:t>
      </w:r>
      <w:r>
        <w:rPr>
          <w:sz w:val="40"/>
          <w:szCs w:val="40"/>
        </w:rPr>
        <w:t xml:space="preserve"> </w:t>
      </w:r>
      <w:bookmarkEnd w:id="0"/>
      <w:bookmarkEnd w:id="1"/>
      <w:bookmarkEnd w:id="2"/>
      <w:bookmarkEnd w:id="3"/>
      <w:bookmarkEnd w:id="4"/>
      <w:r w:rsidR="00B873D0" w:rsidRPr="00B873D0">
        <w:rPr>
          <w:sz w:val="40"/>
          <w:szCs w:val="40"/>
        </w:rPr>
        <w:t>04</w:t>
      </w:r>
    </w:p>
    <w:p w:rsidR="00423AB9" w:rsidRPr="001B3958" w:rsidRDefault="00423AB9" w:rsidP="00423AB9">
      <w:pPr>
        <w:pStyle w:val="Heading2"/>
        <w:spacing w:before="240" w:after="240"/>
        <w:rPr>
          <w:sz w:val="36"/>
          <w:szCs w:val="36"/>
        </w:rPr>
      </w:pPr>
      <w:bookmarkStart w:id="5" w:name="_Toc523909461"/>
      <w:bookmarkStart w:id="6" w:name="_Toc525654530"/>
      <w:bookmarkStart w:id="7" w:name="_Toc528222731"/>
      <w:bookmarkStart w:id="8" w:name="_Toc26532182"/>
      <w:bookmarkStart w:id="9" w:name="_Toc77599028"/>
      <w:r w:rsidRPr="001B3958">
        <w:rPr>
          <w:sz w:val="36"/>
          <w:szCs w:val="36"/>
        </w:rPr>
        <w:t>Subject</w:t>
      </w:r>
      <w:bookmarkEnd w:id="5"/>
      <w:bookmarkEnd w:id="6"/>
      <w:bookmarkEnd w:id="7"/>
      <w:bookmarkEnd w:id="8"/>
      <w:bookmarkEnd w:id="9"/>
    </w:p>
    <w:p w:rsidR="00423AB9" w:rsidRDefault="00423AB9" w:rsidP="00423AB9">
      <w:bookmarkStart w:id="10" w:name="_Hlk78557538"/>
      <w:r w:rsidRPr="00B2203D">
        <w:t xml:space="preserve">New Targets for State Performance Plan </w:t>
      </w:r>
      <w:r>
        <w:t xml:space="preserve">Indicators in the </w:t>
      </w:r>
      <w:r w:rsidRPr="00B2203D">
        <w:t xml:space="preserve">Annual Performance Report for Part B </w:t>
      </w:r>
      <w:bookmarkEnd w:id="10"/>
      <w:r w:rsidRPr="00B2203D">
        <w:t>of the Individuals with Disabilities Education Act of 2004</w:t>
      </w:r>
      <w:r>
        <w:t>,</w:t>
      </w:r>
      <w:r w:rsidRPr="00B2203D">
        <w:t xml:space="preserve"> covering program years 2020–21 through 2025–26</w:t>
      </w:r>
      <w:r>
        <w:t xml:space="preserve">. </w:t>
      </w:r>
    </w:p>
    <w:p w:rsidR="00423AB9" w:rsidRDefault="00423AB9" w:rsidP="00423AB9">
      <w:pPr>
        <w:pStyle w:val="Heading2"/>
        <w:spacing w:before="240" w:after="240"/>
        <w:rPr>
          <w:sz w:val="36"/>
          <w:szCs w:val="36"/>
        </w:rPr>
      </w:pPr>
      <w:bookmarkStart w:id="11" w:name="_Toc523909462"/>
      <w:bookmarkStart w:id="12" w:name="_Toc525654531"/>
      <w:bookmarkStart w:id="13" w:name="_Toc528222732"/>
      <w:bookmarkStart w:id="14" w:name="_Toc26532183"/>
      <w:bookmarkStart w:id="15" w:name="_Toc77599029"/>
      <w:r w:rsidRPr="001B3958">
        <w:rPr>
          <w:sz w:val="36"/>
          <w:szCs w:val="36"/>
        </w:rPr>
        <w:t>Type of Action</w:t>
      </w:r>
      <w:bookmarkEnd w:id="11"/>
      <w:bookmarkEnd w:id="12"/>
      <w:bookmarkEnd w:id="13"/>
      <w:bookmarkEnd w:id="14"/>
      <w:bookmarkEnd w:id="15"/>
    </w:p>
    <w:p w:rsidR="00423AB9" w:rsidRPr="00CA46B9" w:rsidRDefault="00423AB9" w:rsidP="00423AB9">
      <w:r w:rsidRPr="00CA46B9">
        <w:t>Information</w:t>
      </w:r>
    </w:p>
    <w:p w:rsidR="00423AB9" w:rsidRPr="001B3958" w:rsidRDefault="00423AB9" w:rsidP="00423AB9">
      <w:pPr>
        <w:pStyle w:val="Heading2"/>
        <w:spacing w:before="240" w:after="240"/>
        <w:rPr>
          <w:sz w:val="36"/>
          <w:szCs w:val="36"/>
        </w:rPr>
      </w:pPr>
      <w:bookmarkStart w:id="16" w:name="_Toc523909463"/>
      <w:bookmarkStart w:id="17" w:name="_Toc525654532"/>
      <w:bookmarkStart w:id="18" w:name="_Toc528222733"/>
      <w:bookmarkStart w:id="19" w:name="_Toc26532184"/>
      <w:bookmarkStart w:id="20" w:name="_Toc77599030"/>
      <w:r w:rsidRPr="001B3958">
        <w:rPr>
          <w:sz w:val="36"/>
          <w:szCs w:val="36"/>
        </w:rPr>
        <w:t>Summary of the Issue(s)</w:t>
      </w:r>
      <w:bookmarkEnd w:id="16"/>
      <w:bookmarkEnd w:id="17"/>
      <w:bookmarkEnd w:id="18"/>
      <w:bookmarkEnd w:id="19"/>
      <w:bookmarkEnd w:id="20"/>
    </w:p>
    <w:p w:rsidR="009B33F6" w:rsidRDefault="00423AB9" w:rsidP="009B33F6">
      <w:pPr>
        <w:spacing w:after="240"/>
      </w:pPr>
      <w:bookmarkStart w:id="21" w:name="_Toc523909464"/>
      <w:bookmarkStart w:id="22" w:name="_Toc525654533"/>
      <w:bookmarkStart w:id="23" w:name="_Toc528222734"/>
      <w:bookmarkStart w:id="24" w:name="_Toc26532185"/>
      <w:bookmarkStart w:id="25" w:name="_Toc77599031"/>
      <w:r>
        <w:t xml:space="preserve">In accordance with the Individuals with Disabilities Education Act of 2004 (IDEA), California is required to </w:t>
      </w:r>
      <w:r w:rsidR="009B33F6">
        <w:t xml:space="preserve">develop and implement </w:t>
      </w:r>
      <w:r w:rsidR="00AE2AAC">
        <w:t>a</w:t>
      </w:r>
      <w:r w:rsidR="009B33F6">
        <w:t xml:space="preserve"> State Performance Plan (SPP), a multi</w:t>
      </w:r>
      <w:r w:rsidR="005070ED">
        <w:t>-</w:t>
      </w:r>
      <w:r w:rsidR="009B33F6">
        <w:t>year</w:t>
      </w:r>
      <w:r w:rsidR="00F509C9">
        <w:t>,</w:t>
      </w:r>
      <w:r w:rsidR="009B33F6">
        <w:t xml:space="preserve"> statewide improvement plan.</w:t>
      </w:r>
      <w:r w:rsidR="009B33F6" w:rsidRPr="009B33F6">
        <w:t xml:space="preserve"> </w:t>
      </w:r>
      <w:r w:rsidR="009B33F6">
        <w:t>T</w:t>
      </w:r>
      <w:r w:rsidR="009B33F6" w:rsidRPr="00B60DAB">
        <w:t>he U.S. Department of Education, Office of Special Education Programs (OSEP)</w:t>
      </w:r>
      <w:r w:rsidR="009B33F6">
        <w:t xml:space="preserve"> defines the instructions and indicators to be used in developing the SPP. These </w:t>
      </w:r>
      <w:r w:rsidR="009B33F6" w:rsidRPr="00B60DAB">
        <w:t xml:space="preserve">indicators include 5 compliance indicators, 11 performance indicators, and 1 indicator with both compliance and performance components. Every state is required to submit a new SPP to OSEP at least every six years. The SPP includes the state’s targets for each indicator over the </w:t>
      </w:r>
      <w:r w:rsidR="005070ED">
        <w:t>multi-year</w:t>
      </w:r>
      <w:r w:rsidR="009B33F6" w:rsidRPr="00B60DAB">
        <w:t xml:space="preserve"> cycle (e.g. performance indicator targets may increase each year to encourage progress, while compliance indicators </w:t>
      </w:r>
      <w:r w:rsidR="000408CE">
        <w:t>are preset by OSEP</w:t>
      </w:r>
      <w:r w:rsidR="009B33F6" w:rsidRPr="00B60DAB">
        <w:t>).</w:t>
      </w:r>
      <w:r w:rsidR="009B33F6" w:rsidRPr="009B33F6">
        <w:t xml:space="preserve"> </w:t>
      </w:r>
      <w:r w:rsidR="009B33F6" w:rsidRPr="00B60DAB">
        <w:t>These indicator targets are developed by the CDE with input from stakeholders</w:t>
      </w:r>
      <w:r w:rsidR="009B33F6">
        <w:t xml:space="preserve">, for the </w:t>
      </w:r>
      <w:r w:rsidR="009B33F6" w:rsidRPr="00B60DAB">
        <w:t>State Board of Education</w:t>
      </w:r>
      <w:r w:rsidR="009B33F6">
        <w:t>’s</w:t>
      </w:r>
      <w:r w:rsidR="009B33F6" w:rsidRPr="00B60DAB">
        <w:t xml:space="preserve"> (SBE)</w:t>
      </w:r>
      <w:r w:rsidR="009B33F6">
        <w:t xml:space="preserve"> consideration and approval</w:t>
      </w:r>
      <w:r w:rsidR="009B33F6" w:rsidRPr="00B60DAB">
        <w:t xml:space="preserve">. </w:t>
      </w:r>
    </w:p>
    <w:p w:rsidR="005070ED" w:rsidRPr="00B60DAB" w:rsidRDefault="005070ED" w:rsidP="009B33F6">
      <w:pPr>
        <w:spacing w:after="240"/>
      </w:pPr>
      <w:r>
        <w:t>The current seven-year cycle of the SPP, which included Federal Fiscal Years (FFYs) 2013 to 2019, has concluded. The CDE presents draft targets for the performance indicators for the next six-year SPP, covering program years 2020–21 through 2025–26, for SBE discussion and consideration.</w:t>
      </w:r>
    </w:p>
    <w:p w:rsidR="00423AB9" w:rsidRPr="00B2203D" w:rsidRDefault="00423AB9" w:rsidP="00423AB9">
      <w:pPr>
        <w:spacing w:after="240"/>
      </w:pPr>
    </w:p>
    <w:p w:rsidR="00423AB9" w:rsidRDefault="00423AB9" w:rsidP="00423AB9">
      <w:pPr>
        <w:pStyle w:val="Heading2"/>
        <w:spacing w:before="240" w:after="240"/>
        <w:rPr>
          <w:sz w:val="36"/>
          <w:szCs w:val="36"/>
        </w:rPr>
      </w:pPr>
      <w:r>
        <w:rPr>
          <w:sz w:val="36"/>
          <w:szCs w:val="36"/>
        </w:rPr>
        <w:lastRenderedPageBreak/>
        <w:t>Recommendation</w:t>
      </w:r>
      <w:bookmarkEnd w:id="21"/>
      <w:bookmarkEnd w:id="22"/>
      <w:bookmarkEnd w:id="23"/>
      <w:bookmarkEnd w:id="24"/>
      <w:bookmarkEnd w:id="25"/>
    </w:p>
    <w:p w:rsidR="00423AB9" w:rsidRPr="00B2203D" w:rsidRDefault="00423AB9" w:rsidP="00423AB9">
      <w:bookmarkStart w:id="26" w:name="_Toc523909465"/>
      <w:bookmarkStart w:id="27" w:name="_Toc525654534"/>
      <w:bookmarkStart w:id="28" w:name="_Toc528222735"/>
      <w:bookmarkStart w:id="29" w:name="_Toc26532186"/>
      <w:bookmarkStart w:id="30" w:name="_Toc77599032"/>
      <w:r w:rsidRPr="00B2203D">
        <w:t xml:space="preserve">The CDE recommends the SBE review and provide the CDE with feedback on the proposed new targets. The CDE will </w:t>
      </w:r>
      <w:r w:rsidR="00F509C9">
        <w:t xml:space="preserve">return </w:t>
      </w:r>
      <w:r w:rsidR="000408CE">
        <w:t>to</w:t>
      </w:r>
      <w:r w:rsidRPr="00B2203D">
        <w:t xml:space="preserve"> the November SBE meeting to present the final targets for consideration </w:t>
      </w:r>
      <w:r w:rsidR="00EC6054">
        <w:t>for</w:t>
      </w:r>
      <w:r w:rsidRPr="00B2203D">
        <w:t xml:space="preserve"> approval. </w:t>
      </w:r>
    </w:p>
    <w:p w:rsidR="00423AB9" w:rsidRPr="00F40510" w:rsidRDefault="00423AB9" w:rsidP="00423AB9">
      <w:pPr>
        <w:pStyle w:val="Heading2"/>
        <w:spacing w:before="240" w:after="240"/>
        <w:rPr>
          <w:sz w:val="36"/>
          <w:szCs w:val="36"/>
        </w:rPr>
      </w:pPr>
      <w:r>
        <w:rPr>
          <w:sz w:val="36"/>
          <w:szCs w:val="36"/>
        </w:rPr>
        <w:t>Brief History of Key Issues</w:t>
      </w:r>
      <w:bookmarkEnd w:id="26"/>
      <w:bookmarkEnd w:id="27"/>
      <w:bookmarkEnd w:id="28"/>
      <w:bookmarkEnd w:id="29"/>
      <w:bookmarkEnd w:id="30"/>
    </w:p>
    <w:p w:rsidR="005070ED" w:rsidRDefault="00117FD6" w:rsidP="005070ED">
      <w:pPr>
        <w:spacing w:after="240"/>
      </w:pPr>
      <w:r>
        <w:t>T</w:t>
      </w:r>
      <w:r w:rsidRPr="000B01BA">
        <w:t xml:space="preserve">he IDEA </w:t>
      </w:r>
      <w:r>
        <w:t xml:space="preserve">requires each state to </w:t>
      </w:r>
      <w:r w:rsidRPr="000B01BA">
        <w:t xml:space="preserve">develop </w:t>
      </w:r>
      <w:r>
        <w:t xml:space="preserve">a </w:t>
      </w:r>
      <w:r w:rsidRPr="000B01BA">
        <w:t xml:space="preserve">SPP using the instructions determined by OSEP. </w:t>
      </w:r>
      <w:r>
        <w:t>Additionally, e</w:t>
      </w:r>
      <w:r w:rsidR="005070ED" w:rsidRPr="00B60DAB">
        <w:t>ach year, states must report on progress toward meeting the indicator targets outlined in the SPP in an annual performance report (APR).</w:t>
      </w:r>
      <w:r w:rsidR="005070ED" w:rsidRPr="00B60DAB">
        <w:rPr>
          <w:rFonts w:cs="Arial"/>
          <w:color w:val="000000"/>
          <w:kern w:val="28"/>
        </w:rPr>
        <w:t xml:space="preserve"> </w:t>
      </w:r>
      <w:r w:rsidR="005070ED" w:rsidRPr="00B60DAB">
        <w:t xml:space="preserve">The APR is developed pursuant to instructions from the OSEP detailing how states must measure, calculate, and report on each of the 17 SPP indicators. </w:t>
      </w:r>
      <w:r w:rsidR="005070ED" w:rsidRPr="00B60DAB">
        <w:rPr>
          <w:rFonts w:cs="Arial"/>
          <w:color w:val="000000"/>
          <w:kern w:val="28"/>
        </w:rPr>
        <w:t>The APR outlines the collective progress of local educational agencies (LEAs) in the state toward meeting yearly targets identified in the SPP for 16 of the indicators</w:t>
      </w:r>
      <w:r w:rsidR="00F509C9">
        <w:rPr>
          <w:rFonts w:cs="Arial"/>
          <w:color w:val="000000"/>
          <w:kern w:val="28"/>
        </w:rPr>
        <w:t xml:space="preserve">. </w:t>
      </w:r>
      <w:r w:rsidR="005070ED" w:rsidRPr="00B60DAB">
        <w:rPr>
          <w:rFonts w:cs="Arial"/>
          <w:color w:val="000000"/>
          <w:kern w:val="28"/>
        </w:rPr>
        <w:t>The APR is presented to the SBE for review and approval annually at the January SBE meeting.</w:t>
      </w:r>
      <w:r w:rsidR="005070ED">
        <w:rPr>
          <w:rFonts w:cs="Arial"/>
          <w:color w:val="000000"/>
          <w:kern w:val="28"/>
        </w:rPr>
        <w:t xml:space="preserve"> </w:t>
      </w:r>
      <w:r w:rsidR="005070ED" w:rsidRPr="00B60DAB">
        <w:rPr>
          <w:rFonts w:cs="Arial"/>
          <w:color w:val="000000"/>
        </w:rPr>
        <w:t>Indicator 17 of the SPP/APR requires states to develop a State Systemic Improvement Plan (SSIP), which is a targeted plan</w:t>
      </w:r>
      <w:r w:rsidR="005070ED" w:rsidRPr="00B60DAB">
        <w:rPr>
          <w:rFonts w:cs="Arial"/>
          <w:color w:val="000000"/>
          <w:kern w:val="28"/>
        </w:rPr>
        <w:t xml:space="preserve"> to improve outcomes for students with disabilities.</w:t>
      </w:r>
      <w:r w:rsidR="005070ED">
        <w:rPr>
          <w:rFonts w:cs="Arial"/>
          <w:color w:val="000000"/>
          <w:kern w:val="28"/>
        </w:rPr>
        <w:t xml:space="preserve"> Beginning with the 2022 year, the SSIP will also be presented to the SBE for review and approval at the January SBE meeting, in accordance with the </w:t>
      </w:r>
      <w:r w:rsidR="00F509C9">
        <w:rPr>
          <w:rFonts w:cs="Arial"/>
          <w:color w:val="000000"/>
          <w:kern w:val="28"/>
        </w:rPr>
        <w:t xml:space="preserve">new </w:t>
      </w:r>
      <w:r w:rsidR="005070ED">
        <w:rPr>
          <w:rFonts w:cs="Arial"/>
          <w:color w:val="000000"/>
          <w:kern w:val="28"/>
        </w:rPr>
        <w:t>direction from OSEP.</w:t>
      </w:r>
      <w:r w:rsidR="00F509C9">
        <w:rPr>
          <w:rFonts w:cs="Arial"/>
          <w:color w:val="000000"/>
          <w:kern w:val="28"/>
        </w:rPr>
        <w:t xml:space="preserve"> Previously, CDE presented Indicator 17 to the SBE at the March SBE meeting.</w:t>
      </w:r>
    </w:p>
    <w:p w:rsidR="00D4375F" w:rsidRDefault="007A6591" w:rsidP="007A6591">
      <w:pPr>
        <w:spacing w:after="240"/>
      </w:pPr>
      <w:r w:rsidRPr="00B2203D">
        <w:t xml:space="preserve">The SPP/APR is one component of OSEP’s Results Driven Accountability (RDA) framework. The RDA framework </w:t>
      </w:r>
      <w:r w:rsidR="00F509C9">
        <w:t>was developed</w:t>
      </w:r>
      <w:r w:rsidR="00F74ED3">
        <w:t xml:space="preserve"> in 2014,</w:t>
      </w:r>
      <w:r w:rsidR="00F509C9">
        <w:t xml:space="preserve"> prior to the </w:t>
      </w:r>
      <w:r w:rsidR="00D4375F">
        <w:t>passage</w:t>
      </w:r>
      <w:r w:rsidR="00F509C9">
        <w:t xml:space="preserve"> of </w:t>
      </w:r>
      <w:proofErr w:type="gramStart"/>
      <w:r w:rsidR="00635FFB">
        <w:t>the Every</w:t>
      </w:r>
      <w:proofErr w:type="gramEnd"/>
      <w:r w:rsidR="00F509C9">
        <w:t xml:space="preserve"> Student Succeeds Act</w:t>
      </w:r>
      <w:r w:rsidR="00F74ED3">
        <w:t xml:space="preserve"> (ESSA)</w:t>
      </w:r>
      <w:r w:rsidR="00635FFB">
        <w:t xml:space="preserve"> in 2015</w:t>
      </w:r>
      <w:r w:rsidR="00F74ED3">
        <w:t>. OSEP developed the RDA framework in an effort to shift the</w:t>
      </w:r>
      <w:r w:rsidR="00635FFB">
        <w:t xml:space="preserve">ir </w:t>
      </w:r>
      <w:r w:rsidR="00F74ED3">
        <w:t>accountability</w:t>
      </w:r>
      <w:r w:rsidR="00F74ED3" w:rsidRPr="00F74ED3">
        <w:t xml:space="preserve"> efforts </w:t>
      </w:r>
      <w:r w:rsidR="00635FFB">
        <w:t xml:space="preserve">away </w:t>
      </w:r>
      <w:r w:rsidR="00F74ED3" w:rsidRPr="00F74ED3">
        <w:t>from a primary emphasis on compliance</w:t>
      </w:r>
      <w:r w:rsidR="00D4375F">
        <w:t>,</w:t>
      </w:r>
      <w:r w:rsidR="00F74ED3" w:rsidRPr="00F74ED3">
        <w:t xml:space="preserve"> to a framework that focuse</w:t>
      </w:r>
      <w:r w:rsidR="00635FFB">
        <w:t>d</w:t>
      </w:r>
      <w:r w:rsidR="00F74ED3" w:rsidRPr="00F74ED3">
        <w:t xml:space="preserve"> on improved results for students with disabilities, while continuing to assist </w:t>
      </w:r>
      <w:r w:rsidR="00F74ED3">
        <w:t>s</w:t>
      </w:r>
      <w:r w:rsidR="00F74ED3" w:rsidRPr="00F74ED3">
        <w:t>tates in ensuring compliance with the IDEA’s requirements.</w:t>
      </w:r>
      <w:r w:rsidR="00F74ED3">
        <w:t xml:space="preserve"> As part of this shift</w:t>
      </w:r>
      <w:r w:rsidR="00D4375F">
        <w:t>ed</w:t>
      </w:r>
      <w:r w:rsidR="00635FFB">
        <w:t xml:space="preserve"> approach to accountability</w:t>
      </w:r>
      <w:r w:rsidR="00F74ED3">
        <w:t xml:space="preserve">, OSEP directed states to develop a SSIP </w:t>
      </w:r>
      <w:r w:rsidR="00635FFB">
        <w:t>focused on</w:t>
      </w:r>
      <w:r w:rsidR="00F74ED3">
        <w:t xml:space="preserve"> a single metric </w:t>
      </w:r>
      <w:r w:rsidR="00635FFB">
        <w:t xml:space="preserve">which </w:t>
      </w:r>
      <w:r w:rsidR="00F74ED3">
        <w:t>serve</w:t>
      </w:r>
      <w:r w:rsidR="00635FFB">
        <w:t>s</w:t>
      </w:r>
      <w:r w:rsidR="00F74ED3">
        <w:t xml:space="preserve"> as the State Identified Measurable Result (SIMR) for </w:t>
      </w:r>
      <w:r w:rsidR="00372272">
        <w:t xml:space="preserve">measuring </w:t>
      </w:r>
      <w:r w:rsidR="00F74ED3">
        <w:t xml:space="preserve">improved outcomes for students with disabilities. </w:t>
      </w:r>
    </w:p>
    <w:p w:rsidR="007A6591" w:rsidRDefault="00F74ED3" w:rsidP="007A6591">
      <w:pPr>
        <w:spacing w:after="240"/>
      </w:pPr>
      <w:r>
        <w:t xml:space="preserve">While an improvement from a primarily compliance-driven accountability framework, </w:t>
      </w:r>
      <w:r w:rsidR="00635FFB">
        <w:t xml:space="preserve">this federally defined approach to </w:t>
      </w:r>
      <w:r w:rsidR="00EC6054">
        <w:t xml:space="preserve">holding states </w:t>
      </w:r>
      <w:r w:rsidR="00635FFB">
        <w:t>accounta</w:t>
      </w:r>
      <w:r w:rsidR="00EC6054">
        <w:t>ble</w:t>
      </w:r>
      <w:r w:rsidR="00635FFB">
        <w:t xml:space="preserve"> for students with disabilities under the auspices of IDEA remains structurally out of alignment with the multiple measures accountability framework California has adopted to meet the needs of all students, including students with disabilities, as defined in California’s integrated </w:t>
      </w:r>
      <w:r w:rsidR="006C547E" w:rsidRPr="006F6551">
        <w:rPr>
          <w:rFonts w:cs="Arial"/>
        </w:rPr>
        <w:t xml:space="preserve">local, state, and federal accountability and continuous improvement system grounded in the Local Control Funding Formula (LCFF). </w:t>
      </w:r>
    </w:p>
    <w:p w:rsidR="00635FFB" w:rsidRDefault="00635FFB" w:rsidP="007A6591">
      <w:pPr>
        <w:spacing w:after="240"/>
      </w:pPr>
      <w:r>
        <w:t>Despite this structural misalignment, the CDE has worked to align accountability and continuous improvement efforts for students with disabilities across the requirements of IDEA</w:t>
      </w:r>
      <w:r w:rsidR="006B5DD7">
        <w:t xml:space="preserve"> and</w:t>
      </w:r>
      <w:r>
        <w:t xml:space="preserve"> LCFF</w:t>
      </w:r>
      <w:r w:rsidR="006B5DD7">
        <w:t xml:space="preserve"> </w:t>
      </w:r>
      <w:r w:rsidR="007D6A40">
        <w:t>to the greatest extent practicable</w:t>
      </w:r>
      <w:r>
        <w:t>.</w:t>
      </w:r>
    </w:p>
    <w:p w:rsidR="00CB30D6" w:rsidRPr="00E42580" w:rsidRDefault="00CB30D6" w:rsidP="00CB30D6">
      <w:pPr>
        <w:widowControl w:val="0"/>
        <w:overflowPunct w:val="0"/>
        <w:autoSpaceDE w:val="0"/>
        <w:autoSpaceDN w:val="0"/>
        <w:adjustRightInd w:val="0"/>
        <w:spacing w:after="240"/>
        <w:rPr>
          <w:rFonts w:cs="Arial"/>
          <w:b/>
          <w:color w:val="000000"/>
          <w:kern w:val="28"/>
        </w:rPr>
      </w:pPr>
      <w:r>
        <w:rPr>
          <w:rFonts w:cs="Arial"/>
          <w:b/>
          <w:color w:val="000000"/>
          <w:kern w:val="28"/>
        </w:rPr>
        <w:lastRenderedPageBreak/>
        <w:t xml:space="preserve">California’s approach to integrating state and federal </w:t>
      </w:r>
      <w:r w:rsidR="006C547E">
        <w:rPr>
          <w:rFonts w:cs="Arial"/>
          <w:b/>
          <w:color w:val="000000"/>
          <w:kern w:val="28"/>
        </w:rPr>
        <w:t xml:space="preserve">IDEA </w:t>
      </w:r>
      <w:r>
        <w:rPr>
          <w:rFonts w:cs="Arial"/>
          <w:b/>
          <w:color w:val="000000"/>
          <w:kern w:val="28"/>
        </w:rPr>
        <w:t>accountability for students with disabilities</w:t>
      </w:r>
    </w:p>
    <w:p w:rsidR="00CB30D6" w:rsidRDefault="007D6A40" w:rsidP="00CB30D6">
      <w:pPr>
        <w:widowControl w:val="0"/>
        <w:overflowPunct w:val="0"/>
        <w:autoSpaceDE w:val="0"/>
        <w:autoSpaceDN w:val="0"/>
        <w:adjustRightInd w:val="0"/>
        <w:spacing w:after="240"/>
        <w:rPr>
          <w:rFonts w:cs="Arial"/>
          <w:color w:val="000000"/>
          <w:kern w:val="28"/>
        </w:rPr>
      </w:pPr>
      <w:r>
        <w:rPr>
          <w:rFonts w:cs="Arial"/>
          <w:color w:val="000000"/>
          <w:kern w:val="28"/>
        </w:rPr>
        <w:t xml:space="preserve">Under the IDEA, California is required to publicly report on </w:t>
      </w:r>
      <w:r w:rsidR="00CB30D6" w:rsidRPr="004F5868">
        <w:rPr>
          <w:rFonts w:cs="Arial"/>
          <w:color w:val="000000"/>
          <w:kern w:val="28"/>
        </w:rPr>
        <w:t xml:space="preserve">the performance of </w:t>
      </w:r>
      <w:r>
        <w:rPr>
          <w:rFonts w:cs="Arial"/>
          <w:color w:val="000000"/>
          <w:kern w:val="28"/>
        </w:rPr>
        <w:t xml:space="preserve">the state overall, and for each of </w:t>
      </w:r>
      <w:r w:rsidR="00CB30D6" w:rsidRPr="004F5868">
        <w:rPr>
          <w:rFonts w:cs="Arial"/>
          <w:color w:val="000000"/>
          <w:kern w:val="28"/>
        </w:rPr>
        <w:t>its LEAs</w:t>
      </w:r>
      <w:r>
        <w:rPr>
          <w:rFonts w:cs="Arial"/>
          <w:color w:val="000000"/>
          <w:kern w:val="28"/>
        </w:rPr>
        <w:t>,</w:t>
      </w:r>
      <w:r w:rsidR="00CB30D6" w:rsidRPr="004F5868">
        <w:rPr>
          <w:rFonts w:cs="Arial"/>
          <w:color w:val="000000"/>
          <w:kern w:val="28"/>
        </w:rPr>
        <w:t xml:space="preserve"> in serving students with disabilities</w:t>
      </w:r>
      <w:r>
        <w:rPr>
          <w:rFonts w:cs="Arial"/>
          <w:color w:val="000000"/>
          <w:kern w:val="28"/>
        </w:rPr>
        <w:t xml:space="preserve"> through the APR</w:t>
      </w:r>
      <w:r w:rsidR="00CB30D6" w:rsidRPr="004F5868">
        <w:rPr>
          <w:rFonts w:cs="Arial"/>
          <w:color w:val="000000"/>
          <w:kern w:val="28"/>
        </w:rPr>
        <w:t xml:space="preserve">. The APR data describes the progress of LEAs and the state toward meeting </w:t>
      </w:r>
      <w:r>
        <w:rPr>
          <w:rFonts w:cs="Arial"/>
          <w:color w:val="000000"/>
          <w:kern w:val="28"/>
        </w:rPr>
        <w:t xml:space="preserve">the performance and compliance indicator </w:t>
      </w:r>
      <w:r w:rsidR="00CB30D6" w:rsidRPr="004F5868">
        <w:rPr>
          <w:rFonts w:cs="Arial"/>
          <w:color w:val="000000"/>
          <w:kern w:val="28"/>
        </w:rPr>
        <w:t>targets identified in the SPP</w:t>
      </w:r>
      <w:r>
        <w:rPr>
          <w:rFonts w:cs="Arial"/>
          <w:color w:val="000000"/>
          <w:kern w:val="28"/>
        </w:rPr>
        <w:t>. Prior to the launch of the California School Dashboard (Dashboard), the APR</w:t>
      </w:r>
      <w:r w:rsidR="00CB30D6" w:rsidRPr="004F5868">
        <w:rPr>
          <w:rFonts w:cs="Arial"/>
          <w:color w:val="000000"/>
          <w:kern w:val="28"/>
        </w:rPr>
        <w:t xml:space="preserve"> </w:t>
      </w:r>
      <w:r>
        <w:rPr>
          <w:rFonts w:cs="Arial"/>
          <w:color w:val="000000"/>
          <w:kern w:val="28"/>
        </w:rPr>
        <w:t xml:space="preserve">would </w:t>
      </w:r>
      <w:r w:rsidR="00935EB4">
        <w:rPr>
          <w:rFonts w:cs="Arial"/>
          <w:color w:val="000000"/>
          <w:kern w:val="28"/>
        </w:rPr>
        <w:t>primarily</w:t>
      </w:r>
      <w:r w:rsidR="006C547E">
        <w:rPr>
          <w:rFonts w:cs="Arial"/>
          <w:color w:val="000000"/>
          <w:kern w:val="28"/>
        </w:rPr>
        <w:t xml:space="preserve"> </w:t>
      </w:r>
      <w:r w:rsidR="00CB30D6" w:rsidRPr="004F5868">
        <w:rPr>
          <w:rFonts w:cs="Arial"/>
          <w:color w:val="000000"/>
          <w:kern w:val="28"/>
        </w:rPr>
        <w:t xml:space="preserve">guide the CDE’s selection </w:t>
      </w:r>
      <w:r>
        <w:rPr>
          <w:rFonts w:cs="Arial"/>
          <w:color w:val="000000"/>
          <w:kern w:val="28"/>
        </w:rPr>
        <w:t xml:space="preserve">of LEAs </w:t>
      </w:r>
      <w:r w:rsidR="00CB30D6" w:rsidRPr="004F5868">
        <w:rPr>
          <w:rFonts w:cs="Arial"/>
          <w:color w:val="000000"/>
          <w:kern w:val="28"/>
        </w:rPr>
        <w:t>for monitoring activities</w:t>
      </w:r>
      <w:r w:rsidR="006C547E">
        <w:rPr>
          <w:rFonts w:cs="Arial"/>
          <w:color w:val="000000"/>
          <w:kern w:val="28"/>
        </w:rPr>
        <w:t xml:space="preserve"> under IDEA</w:t>
      </w:r>
      <w:r w:rsidR="00CB30D6" w:rsidRPr="004F5868">
        <w:rPr>
          <w:rFonts w:cs="Arial"/>
          <w:color w:val="000000"/>
          <w:kern w:val="28"/>
        </w:rPr>
        <w:t xml:space="preserve">. The </w:t>
      </w:r>
      <w:r>
        <w:rPr>
          <w:rFonts w:cs="Arial"/>
          <w:color w:val="000000"/>
          <w:kern w:val="28"/>
        </w:rPr>
        <w:t>CDE</w:t>
      </w:r>
      <w:r w:rsidR="00CB30D6" w:rsidRPr="004F5868">
        <w:rPr>
          <w:rFonts w:cs="Arial"/>
          <w:color w:val="000000"/>
          <w:kern w:val="28"/>
        </w:rPr>
        <w:t xml:space="preserve"> use</w:t>
      </w:r>
      <w:r>
        <w:rPr>
          <w:rFonts w:cs="Arial"/>
          <w:color w:val="000000"/>
          <w:kern w:val="28"/>
        </w:rPr>
        <w:t>d</w:t>
      </w:r>
      <w:r w:rsidR="00CB30D6" w:rsidRPr="004F5868">
        <w:rPr>
          <w:rFonts w:cs="Arial"/>
          <w:color w:val="000000"/>
          <w:kern w:val="28"/>
        </w:rPr>
        <w:t xml:space="preserve"> the results of the APR to help determine the level and type of monitoring and technical assistance </w:t>
      </w:r>
      <w:r w:rsidR="006C547E">
        <w:rPr>
          <w:rFonts w:cs="Arial"/>
          <w:color w:val="000000"/>
          <w:kern w:val="28"/>
        </w:rPr>
        <w:t xml:space="preserve">to </w:t>
      </w:r>
      <w:r w:rsidR="00CB30D6" w:rsidRPr="004F5868">
        <w:rPr>
          <w:rFonts w:cs="Arial"/>
          <w:color w:val="000000"/>
          <w:kern w:val="28"/>
        </w:rPr>
        <w:t xml:space="preserve">be provided to LEAs throughout the state.  </w:t>
      </w:r>
    </w:p>
    <w:p w:rsidR="007D6A40" w:rsidRDefault="007D6A40" w:rsidP="007D6A40">
      <w:pPr>
        <w:spacing w:after="240"/>
      </w:pPr>
      <w:r>
        <w:t>Several APR</w:t>
      </w:r>
      <w:r w:rsidR="00CB30D6" w:rsidRPr="004F5868">
        <w:t xml:space="preserve"> indicators overlap with Dashboard</w:t>
      </w:r>
      <w:r>
        <w:t xml:space="preserve"> indicators</w:t>
      </w:r>
      <w:r w:rsidR="00CB30D6" w:rsidRPr="004F5868">
        <w:t xml:space="preserve">, including indicators for graduation rate, suspension/expulsion, and assessment. </w:t>
      </w:r>
      <w:r>
        <w:t xml:space="preserve">OSEP has </w:t>
      </w:r>
      <w:r w:rsidR="006C547E">
        <w:t xml:space="preserve">a </w:t>
      </w:r>
      <w:r>
        <w:t xml:space="preserve">defined calculation methodology for </w:t>
      </w:r>
      <w:r w:rsidR="00372272">
        <w:t xml:space="preserve">each </w:t>
      </w:r>
      <w:r>
        <w:t xml:space="preserve">indicator </w:t>
      </w:r>
      <w:r w:rsidR="006C547E">
        <w:t xml:space="preserve">on the APR, which </w:t>
      </w:r>
      <w:r>
        <w:t>differs from the SBE</w:t>
      </w:r>
      <w:r w:rsidR="006C547E">
        <w:t xml:space="preserve"> </w:t>
      </w:r>
      <w:r>
        <w:t>adopted calculation methodology for these indicators on the Dashboard.</w:t>
      </w:r>
      <w:r w:rsidR="006C547E">
        <w:t xml:space="preserve"> States do not have the authority to modify the calculation methodology of indicators for purposes of APR reporting</w:t>
      </w:r>
      <w:r w:rsidR="0092478D">
        <w:t>.</w:t>
      </w:r>
      <w:r w:rsidR="0092478D" w:rsidRPr="0092478D">
        <w:t xml:space="preserve"> </w:t>
      </w:r>
      <w:r w:rsidR="0092478D">
        <w:t xml:space="preserve">However, states have the discretion to use state-defined indicators, such as the Dashboard indicators, for </w:t>
      </w:r>
      <w:r w:rsidR="00781DA3">
        <w:t xml:space="preserve">the </w:t>
      </w:r>
      <w:r w:rsidR="0092478D">
        <w:t>purpose of selecting LEAs for monitoring activities.</w:t>
      </w:r>
    </w:p>
    <w:p w:rsidR="00CB30D6" w:rsidRDefault="00D4375F">
      <w:pPr>
        <w:spacing w:after="240"/>
      </w:pPr>
      <w:r>
        <w:t>In an effort to improve alignment between LEAs’ monitoring selection under IDEA</w:t>
      </w:r>
      <w:r w:rsidR="00492BE7">
        <w:t>,</w:t>
      </w:r>
      <w:r>
        <w:t xml:space="preserve"> and eligibility determinations for differentiated assistance under LCFF, the CDE identifies LEAs for IDEA monitoring activities based on their Dashboard result for assessments, suspension/expulsion and graduation rate</w:t>
      </w:r>
      <w:r w:rsidR="00935EB4">
        <w:t>, in addition to other APR indicators</w:t>
      </w:r>
      <w:r>
        <w:t>.</w:t>
      </w:r>
    </w:p>
    <w:p w:rsidR="00CB30D6" w:rsidRPr="004F5868" w:rsidRDefault="00D4375F" w:rsidP="00CB30D6">
      <w:pPr>
        <w:spacing w:after="240"/>
      </w:pPr>
      <w:r>
        <w:t xml:space="preserve">To aid the field in understanding </w:t>
      </w:r>
      <w:r w:rsidR="00CB30D6" w:rsidRPr="004F5868">
        <w:t xml:space="preserve">the similarities and differences between these </w:t>
      </w:r>
      <w:r w:rsidR="0092478D">
        <w:t xml:space="preserve">different </w:t>
      </w:r>
      <w:r w:rsidR="00CB30D6" w:rsidRPr="004F5868">
        <w:t>sets of accountability indicators</w:t>
      </w:r>
      <w:r>
        <w:t xml:space="preserve">, </w:t>
      </w:r>
      <w:r w:rsidR="00CB30D6" w:rsidRPr="004F5868">
        <w:t xml:space="preserve">the Special Education Local Plan Area System Improvement Leads </w:t>
      </w:r>
      <w:r>
        <w:t>(SELPA SILs) developed t</w:t>
      </w:r>
      <w:r w:rsidRPr="004F5868">
        <w:t>he State Performance Plan Indicator Guide</w:t>
      </w:r>
      <w:r>
        <w:t xml:space="preserve">, available </w:t>
      </w:r>
      <w:r w:rsidR="00CB30D6" w:rsidRPr="004F5868">
        <w:t xml:space="preserve">at </w:t>
      </w:r>
      <w:hyperlink r:id="rId10" w:tooltip="SELPA System Improvement Leads " w:history="1">
        <w:r w:rsidR="00CB30D6" w:rsidRPr="004F5868">
          <w:rPr>
            <w:rStyle w:val="Hyperlink"/>
            <w:rFonts w:eastAsiaTheme="majorEastAsia"/>
          </w:rPr>
          <w:t>https://systemimprovement.org/uploads/resources/State-Performance-Plan-Indicator-Guide.pdf</w:t>
        </w:r>
      </w:hyperlink>
      <w:r w:rsidR="00CB30D6" w:rsidRPr="004F5868">
        <w:t>.</w:t>
      </w:r>
    </w:p>
    <w:p w:rsidR="0014134D" w:rsidRPr="0014134D" w:rsidRDefault="00935EB4" w:rsidP="0014134D">
      <w:r>
        <w:t>Following LEA identification for technical assistance, t</w:t>
      </w:r>
      <w:r w:rsidR="00CB30D6" w:rsidRPr="004F5868">
        <w:t xml:space="preserve">he </w:t>
      </w:r>
      <w:r w:rsidR="00D4375F">
        <w:t>CDE</w:t>
      </w:r>
      <w:r w:rsidR="00CB30D6" w:rsidRPr="004F5868">
        <w:t xml:space="preserve">’s goal is to align, to the greatest extent possible, </w:t>
      </w:r>
      <w:r w:rsidR="00372272">
        <w:t xml:space="preserve">LCFF </w:t>
      </w:r>
      <w:r w:rsidR="0092478D">
        <w:t xml:space="preserve">and IDEA continuous improvement activities to improve outcomes for students with disabilities </w:t>
      </w:r>
      <w:r>
        <w:t xml:space="preserve">with the expertise of </w:t>
      </w:r>
      <w:r w:rsidR="0092478D">
        <w:t>the S</w:t>
      </w:r>
      <w:r w:rsidR="00CB30D6" w:rsidRPr="004F5868">
        <w:t xml:space="preserve">tatewide </w:t>
      </w:r>
      <w:r w:rsidR="0092478D">
        <w:t>S</w:t>
      </w:r>
      <w:r w:rsidR="00CB30D6" w:rsidRPr="004F5868">
        <w:t xml:space="preserve">ystem of </w:t>
      </w:r>
      <w:r w:rsidR="0092478D">
        <w:t>S</w:t>
      </w:r>
      <w:r w:rsidR="00CB30D6" w:rsidRPr="004F5868">
        <w:t>upport (SSOS). The primary goal of the SSOS is to</w:t>
      </w:r>
      <w:r w:rsidR="00D24F72">
        <w:t xml:space="preserve"> support LEAs in building their capacity to</w:t>
      </w:r>
      <w:r w:rsidR="00CB30D6" w:rsidRPr="004F5868">
        <w:t xml:space="preserve"> improve teaching and learning over time, address achievement gaps, and strengthen outreach and collaboration with their </w:t>
      </w:r>
      <w:r w:rsidR="00D24F72">
        <w:t xml:space="preserve">community </w:t>
      </w:r>
      <w:r w:rsidR="00CB30D6" w:rsidRPr="004F5868">
        <w:t>stakeholders</w:t>
      </w:r>
      <w:r w:rsidR="00D24F72">
        <w:t>, particularly in the development of the Local Control Accountability Plan (LCAP)</w:t>
      </w:r>
      <w:r w:rsidR="00CB30D6" w:rsidRPr="004F5868">
        <w:t xml:space="preserve">. </w:t>
      </w:r>
      <w:r>
        <w:rPr>
          <w:rStyle w:val="CommentReference"/>
          <w:sz w:val="24"/>
          <w:szCs w:val="24"/>
        </w:rPr>
        <w:t xml:space="preserve">Several expert lead agencies within the </w:t>
      </w:r>
      <w:r w:rsidR="00CB30D6" w:rsidRPr="004F5868">
        <w:rPr>
          <w:rStyle w:val="CommentReference"/>
          <w:sz w:val="24"/>
          <w:szCs w:val="24"/>
        </w:rPr>
        <w:t>SSOS</w:t>
      </w:r>
      <w:r>
        <w:rPr>
          <w:rStyle w:val="CommentReference"/>
          <w:sz w:val="24"/>
          <w:szCs w:val="24"/>
        </w:rPr>
        <w:t>, including the SELPA SILs, SELPA Content Leads, the expert lead on Multi-Tiered Systems of Support (MTSS) and others provide</w:t>
      </w:r>
      <w:r w:rsidRPr="00935EB4">
        <w:t xml:space="preserve"> </w:t>
      </w:r>
      <w:r>
        <w:t xml:space="preserve">support to LEAs to implement practices to </w:t>
      </w:r>
      <w:r w:rsidR="00CB30D6" w:rsidRPr="004F5868">
        <w:rPr>
          <w:rStyle w:val="CommentReference"/>
          <w:sz w:val="24"/>
          <w:szCs w:val="24"/>
        </w:rPr>
        <w:t>improv</w:t>
      </w:r>
      <w:r>
        <w:rPr>
          <w:rStyle w:val="CommentReference"/>
          <w:sz w:val="24"/>
          <w:szCs w:val="24"/>
        </w:rPr>
        <w:t>e</w:t>
      </w:r>
      <w:r w:rsidR="00CB30D6" w:rsidRPr="004F5868">
        <w:rPr>
          <w:rStyle w:val="CommentReference"/>
          <w:sz w:val="24"/>
          <w:szCs w:val="24"/>
        </w:rPr>
        <w:t xml:space="preserve"> outcomes for students with disabilities</w:t>
      </w:r>
      <w:r>
        <w:rPr>
          <w:rStyle w:val="CommentReference"/>
          <w:sz w:val="24"/>
          <w:szCs w:val="24"/>
        </w:rPr>
        <w:t>.</w:t>
      </w:r>
      <w:r w:rsidR="00CB30D6" w:rsidRPr="004F5868">
        <w:rPr>
          <w:rStyle w:val="CommentReference"/>
          <w:sz w:val="24"/>
          <w:szCs w:val="24"/>
        </w:rPr>
        <w:t xml:space="preserve"> </w:t>
      </w:r>
      <w:r w:rsidR="00D24F72">
        <w:rPr>
          <w:rStyle w:val="CommentReference"/>
          <w:sz w:val="24"/>
          <w:szCs w:val="24"/>
        </w:rPr>
        <w:t xml:space="preserve">However, all expert leads in the SSOS have a role in improving outcomes for students with disabilities. </w:t>
      </w:r>
      <w:r w:rsidR="0014134D">
        <w:t>S</w:t>
      </w:r>
      <w:r w:rsidR="0014134D" w:rsidRPr="0014134D">
        <w:t>upplement</w:t>
      </w:r>
      <w:r w:rsidR="0014134D">
        <w:t>ing</w:t>
      </w:r>
      <w:r w:rsidR="0014134D" w:rsidRPr="0014134D">
        <w:t xml:space="preserve"> the </w:t>
      </w:r>
      <w:r w:rsidR="0014134D">
        <w:t xml:space="preserve">state </w:t>
      </w:r>
      <w:r w:rsidR="0014134D" w:rsidRPr="0014134D">
        <w:t xml:space="preserve">resources </w:t>
      </w:r>
      <w:r w:rsidR="0014134D">
        <w:t>in</w:t>
      </w:r>
      <w:r w:rsidR="0014134D" w:rsidRPr="0014134D">
        <w:t xml:space="preserve"> the SSOS, the SED has increased the number of </w:t>
      </w:r>
      <w:r w:rsidR="00492BE7">
        <w:t xml:space="preserve">IDEA-funded </w:t>
      </w:r>
      <w:r w:rsidR="0014134D" w:rsidRPr="0014134D">
        <w:t xml:space="preserve">technical assistance contracts that target specific areas of need, such as Least Restrictive Environment for all students with disabilities, ages three through 21. This increasingly integrated approach is intended to </w:t>
      </w:r>
      <w:r w:rsidR="0014134D">
        <w:t xml:space="preserve">support </w:t>
      </w:r>
      <w:r w:rsidR="0014134D">
        <w:lastRenderedPageBreak/>
        <w:t xml:space="preserve">LEAs in approaching continuous improvement efforts targeting students with disabilities within a single coherent </w:t>
      </w:r>
      <w:r w:rsidR="0014134D" w:rsidRPr="0014134D">
        <w:t xml:space="preserve">system designed to </w:t>
      </w:r>
      <w:r w:rsidR="0014134D">
        <w:t xml:space="preserve">improve outcomes for </w:t>
      </w:r>
      <w:r w:rsidR="0014134D" w:rsidRPr="0014134D">
        <w:t>all students.</w:t>
      </w:r>
    </w:p>
    <w:p w:rsidR="0092478D" w:rsidRDefault="0092478D" w:rsidP="00CB30D6">
      <w:pPr>
        <w:spacing w:after="240"/>
        <w:rPr>
          <w:rStyle w:val="CommentReference"/>
          <w:sz w:val="24"/>
          <w:szCs w:val="24"/>
        </w:rPr>
      </w:pPr>
    </w:p>
    <w:p w:rsidR="0092478D" w:rsidRDefault="0092478D" w:rsidP="0092478D">
      <w:pPr>
        <w:spacing w:after="240"/>
        <w:rPr>
          <w:rFonts w:cs="Arial"/>
          <w:b/>
        </w:rPr>
      </w:pPr>
      <w:r>
        <w:rPr>
          <w:rFonts w:cs="Arial"/>
          <w:b/>
        </w:rPr>
        <w:t>The Federal Fiscal Year 2020-2025 State Performance Plan</w:t>
      </w:r>
    </w:p>
    <w:p w:rsidR="00CB30D6" w:rsidRPr="006B08EF" w:rsidRDefault="006901DD" w:rsidP="007A6591">
      <w:pPr>
        <w:spacing w:after="240"/>
        <w:rPr>
          <w:rFonts w:cs="Arial"/>
        </w:rPr>
      </w:pPr>
      <w:r>
        <w:rPr>
          <w:rFonts w:cs="Arial"/>
        </w:rPr>
        <w:t xml:space="preserve">In February 2020, the </w:t>
      </w:r>
      <w:r w:rsidR="00CC3904" w:rsidRPr="00CC3904">
        <w:rPr>
          <w:rFonts w:cs="Arial"/>
        </w:rPr>
        <w:t>Office of Special Education and Rehabilitative Services (OSERS)</w:t>
      </w:r>
      <w:r w:rsidR="00CC3904">
        <w:rPr>
          <w:rFonts w:cs="Arial"/>
        </w:rPr>
        <w:t xml:space="preserve"> announced that it would be revising the calculation methodologies for SPP/APR indicators, </w:t>
      </w:r>
      <w:r w:rsidR="00372272">
        <w:rPr>
          <w:rFonts w:cs="Arial"/>
        </w:rPr>
        <w:t xml:space="preserve">effective beginning with the </w:t>
      </w:r>
      <w:r w:rsidR="00CC3904">
        <w:rPr>
          <w:rFonts w:cs="Arial"/>
        </w:rPr>
        <w:t>2020-2021 program year.</w:t>
      </w:r>
      <w:r w:rsidR="00D24F72">
        <w:rPr>
          <w:rFonts w:cs="Arial"/>
        </w:rPr>
        <w:t xml:space="preserve"> This revision would inform the development of states’ next six-year SPP.</w:t>
      </w:r>
      <w:r w:rsidR="00CC3904">
        <w:rPr>
          <w:rFonts w:cs="Arial"/>
        </w:rPr>
        <w:t xml:space="preserve"> OSERS engaged in two rounds of public comment on revisions to the indicators’ measurements, </w:t>
      </w:r>
      <w:r w:rsidR="00372272">
        <w:rPr>
          <w:rFonts w:cs="Arial"/>
        </w:rPr>
        <w:t>commencing</w:t>
      </w:r>
      <w:r w:rsidR="00CC3904">
        <w:rPr>
          <w:rFonts w:cs="Arial"/>
        </w:rPr>
        <w:t xml:space="preserve"> with a 60-day public comment period from February 19, 2020 through April 20, 2020. Following the response to the initial public comment period, OSERS published a revised indicator measurement table for a </w:t>
      </w:r>
      <w:r w:rsidR="008A2534">
        <w:rPr>
          <w:rFonts w:cs="Arial"/>
        </w:rPr>
        <w:t xml:space="preserve">30-day </w:t>
      </w:r>
      <w:r w:rsidR="00CC3904">
        <w:rPr>
          <w:rFonts w:cs="Arial"/>
        </w:rPr>
        <w:t xml:space="preserve">public comment </w:t>
      </w:r>
      <w:r w:rsidR="008A2534">
        <w:rPr>
          <w:rFonts w:cs="Arial"/>
        </w:rPr>
        <w:t xml:space="preserve">period </w:t>
      </w:r>
      <w:r w:rsidR="00CC3904">
        <w:rPr>
          <w:rFonts w:cs="Arial"/>
        </w:rPr>
        <w:t>from July 7, 2020 through August 10, 2020. While several states provided input to OSERS encouraging a</w:t>
      </w:r>
      <w:r w:rsidR="008A2534">
        <w:rPr>
          <w:rFonts w:cs="Arial"/>
        </w:rPr>
        <w:t xml:space="preserve"> shift in the calculation methodologies for several indicators to better align with state accountability systems, OSERS ultimately published a final indicator measurement table</w:t>
      </w:r>
      <w:r w:rsidR="00372272">
        <w:rPr>
          <w:rFonts w:cs="Arial"/>
        </w:rPr>
        <w:t xml:space="preserve"> in October 2020</w:t>
      </w:r>
      <w:r w:rsidR="008A2534">
        <w:rPr>
          <w:rFonts w:cs="Arial"/>
        </w:rPr>
        <w:t xml:space="preserve"> that results in greater differences between how California measures </w:t>
      </w:r>
      <w:r w:rsidR="007A24B1">
        <w:rPr>
          <w:rFonts w:cs="Arial"/>
        </w:rPr>
        <w:t xml:space="preserve">assessment and graduation rate </w:t>
      </w:r>
      <w:r w:rsidR="008A2534">
        <w:rPr>
          <w:rFonts w:cs="Arial"/>
        </w:rPr>
        <w:t xml:space="preserve">indicators on the Dashboard, and how California </w:t>
      </w:r>
      <w:r w:rsidR="00D24F72">
        <w:rPr>
          <w:rFonts w:cs="Arial"/>
        </w:rPr>
        <w:t>will now be</w:t>
      </w:r>
      <w:r w:rsidR="008A2534">
        <w:rPr>
          <w:rFonts w:cs="Arial"/>
        </w:rPr>
        <w:t xml:space="preserve"> required to report on </w:t>
      </w:r>
      <w:r w:rsidR="007A24B1">
        <w:rPr>
          <w:rFonts w:cs="Arial"/>
        </w:rPr>
        <w:t xml:space="preserve">these two </w:t>
      </w:r>
      <w:r w:rsidR="008A2534">
        <w:rPr>
          <w:rFonts w:cs="Arial"/>
        </w:rPr>
        <w:t>indicators on the APR for purposes of IDEA.</w:t>
      </w:r>
    </w:p>
    <w:p w:rsidR="00D505AF" w:rsidRPr="00B2203D" w:rsidRDefault="00781DA3">
      <w:pPr>
        <w:spacing w:after="240"/>
      </w:pPr>
      <w:r>
        <w:rPr>
          <w:rFonts w:cs="Arial"/>
          <w:color w:val="000000"/>
          <w:kern w:val="28"/>
        </w:rPr>
        <w:t xml:space="preserve">In </w:t>
      </w:r>
      <w:r w:rsidR="00D24F72">
        <w:rPr>
          <w:rFonts w:cs="Arial"/>
          <w:color w:val="000000"/>
          <w:kern w:val="28"/>
        </w:rPr>
        <w:t>anticipation</w:t>
      </w:r>
      <w:r>
        <w:rPr>
          <w:rFonts w:cs="Arial"/>
          <w:color w:val="000000"/>
          <w:kern w:val="28"/>
        </w:rPr>
        <w:t xml:space="preserve"> of the fact that California’s </w:t>
      </w:r>
      <w:r w:rsidR="00560576">
        <w:rPr>
          <w:rFonts w:cs="Arial"/>
          <w:color w:val="000000"/>
          <w:kern w:val="28"/>
        </w:rPr>
        <w:t>prior</w:t>
      </w:r>
      <w:r>
        <w:rPr>
          <w:rFonts w:cs="Arial"/>
          <w:color w:val="000000"/>
          <w:kern w:val="28"/>
        </w:rPr>
        <w:t xml:space="preserve"> SPP/APR would conclude with the 2019-2020 program year, </w:t>
      </w:r>
      <w:r w:rsidRPr="00B2203D">
        <w:t xml:space="preserve">the CDE commenced a series of stakeholder meetings to </w:t>
      </w:r>
      <w:r w:rsidR="00D24F72">
        <w:t xml:space="preserve">begin </w:t>
      </w:r>
      <w:r w:rsidR="00560576">
        <w:t>discuss</w:t>
      </w:r>
      <w:r w:rsidR="00D24F72">
        <w:t>ions</w:t>
      </w:r>
      <w:r w:rsidR="00560576">
        <w:t xml:space="preserve"> and </w:t>
      </w:r>
      <w:r w:rsidR="00D24F72">
        <w:t xml:space="preserve">develop </w:t>
      </w:r>
      <w:r w:rsidR="00560576">
        <w:t>recommend</w:t>
      </w:r>
      <w:r w:rsidR="00D24F72">
        <w:t>ed</w:t>
      </w:r>
      <w:r w:rsidR="00560576">
        <w:t xml:space="preserve"> </w:t>
      </w:r>
      <w:r w:rsidRPr="00B2203D">
        <w:t xml:space="preserve">targets for the new six-year cycle of the revised SPP. </w:t>
      </w:r>
      <w:r>
        <w:t>Beginning in August 2019, t</w:t>
      </w:r>
      <w:r w:rsidRPr="00B2203D">
        <w:t xml:space="preserve">hese meetings were held over a two-year period and were designed to engage stakeholders from various backgrounds - educators, parents, school administrators, policy advisors, school psychologists, Family Empowerment Centers, early education, advocacy groups, and state advisory board members. The CDE leveraged these stakeholders, with their breadth and depth of knowledge, to help inform the </w:t>
      </w:r>
      <w:r>
        <w:t>development</w:t>
      </w:r>
      <w:r w:rsidRPr="00B2203D">
        <w:t xml:space="preserve"> of</w:t>
      </w:r>
      <w:r>
        <w:t xml:space="preserve"> a</w:t>
      </w:r>
      <w:r w:rsidRPr="00B2203D">
        <w:t xml:space="preserve"> new </w:t>
      </w:r>
      <w:r>
        <w:t xml:space="preserve">set of </w:t>
      </w:r>
      <w:r w:rsidRPr="00B2203D">
        <w:t>rigorous state targets</w:t>
      </w:r>
      <w:r w:rsidR="00372272">
        <w:t xml:space="preserve"> for the next six-year SPP cycle</w:t>
      </w:r>
      <w:r w:rsidRPr="00B2203D">
        <w:t xml:space="preserve">. </w:t>
      </w:r>
    </w:p>
    <w:p w:rsidR="00D505AF" w:rsidRPr="00B2203D" w:rsidRDefault="00D505AF" w:rsidP="00D505AF">
      <w:pPr>
        <w:spacing w:after="240"/>
      </w:pPr>
      <w:r>
        <w:t>During stakeholder meetings, CDE staff</w:t>
      </w:r>
      <w:r w:rsidRPr="00B2203D">
        <w:t xml:space="preserve"> thoroughly reviewed the twelve performance indicators. The remaining indicators under the SPP are compliance indicators, with targets set </w:t>
      </w:r>
      <w:r w:rsidR="00560576">
        <w:t xml:space="preserve">at zero or one hundred percent </w:t>
      </w:r>
      <w:r w:rsidRPr="00B2203D">
        <w:t>by OSEP. The twelve performance indicators were partnered with detailed presentation</w:t>
      </w:r>
      <w:r w:rsidR="00372272">
        <w:t>s</w:t>
      </w:r>
      <w:r w:rsidRPr="00B2203D">
        <w:t xml:space="preserve"> to inform the stakeholders </w:t>
      </w:r>
      <w:r w:rsidR="00560576">
        <w:t>of</w:t>
      </w:r>
      <w:r w:rsidRPr="00B2203D">
        <w:t xml:space="preserve"> the history and data trends</w:t>
      </w:r>
      <w:r w:rsidR="00560576">
        <w:t>,</w:t>
      </w:r>
      <w:r w:rsidRPr="00B2203D">
        <w:t xml:space="preserve"> and assist them in making informed recommendations. The presentations included an explanation of how each indicator is defined, measured, and calculated; an in-depth history of statewide </w:t>
      </w:r>
      <w:r>
        <w:t>performance trends</w:t>
      </w:r>
      <w:r w:rsidRPr="00B2203D">
        <w:t xml:space="preserve"> over the last five years</w:t>
      </w:r>
      <w:r w:rsidR="00372272">
        <w:t>;</w:t>
      </w:r>
      <w:r w:rsidRPr="00B2203D">
        <w:t xml:space="preserve"> and a comparison of how California’s results </w:t>
      </w:r>
      <w:r>
        <w:t xml:space="preserve">compare to </w:t>
      </w:r>
      <w:r w:rsidRPr="00B2203D">
        <w:t xml:space="preserve">other states of similar size and demographics, along with data forecasting. These meetings provided time for stakeholders to discuss statewide data, target setting, and how the CDE can provide supports for LEAs to meet more rigorous targets. </w:t>
      </w:r>
      <w:r w:rsidR="00560576">
        <w:t xml:space="preserve">Following the publication of the </w:t>
      </w:r>
      <w:r w:rsidR="00D24F72">
        <w:t>revised</w:t>
      </w:r>
      <w:r w:rsidR="00560576">
        <w:t xml:space="preserve"> measurement table, the CDE reconvened the stakeholder group to discuss the changes </w:t>
      </w:r>
      <w:r w:rsidR="00372272">
        <w:t>to</w:t>
      </w:r>
      <w:r w:rsidR="00560576">
        <w:t xml:space="preserve"> key indicators, including assessment, </w:t>
      </w:r>
      <w:r w:rsidR="00560576" w:rsidRPr="00B2203D">
        <w:rPr>
          <w:szCs w:val="22"/>
        </w:rPr>
        <w:t xml:space="preserve">school age least restrictive environment, preschool least restrictive environment, parent involvement, post school </w:t>
      </w:r>
      <w:r w:rsidR="00560576" w:rsidRPr="00B2203D">
        <w:rPr>
          <w:szCs w:val="22"/>
        </w:rPr>
        <w:lastRenderedPageBreak/>
        <w:t>outcomes</w:t>
      </w:r>
      <w:r w:rsidR="00560576">
        <w:rPr>
          <w:szCs w:val="22"/>
        </w:rPr>
        <w:t>, and</w:t>
      </w:r>
      <w:r w:rsidR="00560576">
        <w:t xml:space="preserve"> graduation rate, and provided stakeholders with the opportunity to refine their recommendations for these targets in light of the new calculation</w:t>
      </w:r>
      <w:r w:rsidR="00D24F72">
        <w:t>s</w:t>
      </w:r>
      <w:r w:rsidR="00560576">
        <w:t>.</w:t>
      </w:r>
    </w:p>
    <w:p w:rsidR="00D505AF" w:rsidRPr="00B2203D" w:rsidRDefault="00D505AF" w:rsidP="00D505AF">
      <w:pPr>
        <w:spacing w:after="240"/>
      </w:pPr>
      <w:r w:rsidRPr="00B2203D">
        <w:t xml:space="preserve">The following table provides dates and </w:t>
      </w:r>
      <w:r w:rsidR="00560576">
        <w:t xml:space="preserve">a brief summary </w:t>
      </w:r>
      <w:r w:rsidRPr="00B2203D">
        <w:t xml:space="preserve">of these stakeholder meetings. </w:t>
      </w:r>
    </w:p>
    <w:tbl>
      <w:tblPr>
        <w:tblStyle w:val="TableGrid"/>
        <w:tblW w:w="0" w:type="auto"/>
        <w:tblLook w:val="04A0" w:firstRow="1" w:lastRow="0" w:firstColumn="1" w:lastColumn="0" w:noHBand="0" w:noVBand="1"/>
        <w:tblDescription w:val="The following table provides dates and descriptions of these stakeholder meetings."/>
      </w:tblPr>
      <w:tblGrid>
        <w:gridCol w:w="2425"/>
        <w:gridCol w:w="2070"/>
        <w:gridCol w:w="4855"/>
      </w:tblGrid>
      <w:tr w:rsidR="00D505AF" w:rsidRPr="00B2203D" w:rsidTr="00CC3D57">
        <w:trPr>
          <w:cantSplit/>
          <w:tblHeader/>
        </w:trPr>
        <w:tc>
          <w:tcPr>
            <w:tcW w:w="2425" w:type="dxa"/>
          </w:tcPr>
          <w:p w:rsidR="00D505AF" w:rsidRPr="00B2203D" w:rsidRDefault="00D505AF" w:rsidP="00CC3D57">
            <w:pPr>
              <w:rPr>
                <w:szCs w:val="22"/>
              </w:rPr>
            </w:pPr>
            <w:r w:rsidRPr="00B2203D">
              <w:rPr>
                <w:szCs w:val="22"/>
              </w:rPr>
              <w:t xml:space="preserve">Date </w:t>
            </w:r>
          </w:p>
        </w:tc>
        <w:tc>
          <w:tcPr>
            <w:tcW w:w="2070" w:type="dxa"/>
          </w:tcPr>
          <w:p w:rsidR="00D505AF" w:rsidRPr="00B2203D" w:rsidRDefault="00D505AF" w:rsidP="00CC3D57">
            <w:pPr>
              <w:rPr>
                <w:szCs w:val="22"/>
              </w:rPr>
            </w:pPr>
            <w:r w:rsidRPr="00B2203D">
              <w:rPr>
                <w:szCs w:val="22"/>
              </w:rPr>
              <w:t>Location</w:t>
            </w:r>
          </w:p>
        </w:tc>
        <w:tc>
          <w:tcPr>
            <w:tcW w:w="4855" w:type="dxa"/>
          </w:tcPr>
          <w:p w:rsidR="00D505AF" w:rsidRPr="00B2203D" w:rsidRDefault="00D505AF" w:rsidP="00CC3D57">
            <w:r w:rsidRPr="00B2203D">
              <w:t>Description</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2, 2019</w:t>
            </w:r>
          </w:p>
        </w:tc>
        <w:tc>
          <w:tcPr>
            <w:tcW w:w="2070" w:type="dxa"/>
          </w:tcPr>
          <w:p w:rsidR="00D505AF" w:rsidRPr="00B2203D" w:rsidRDefault="00D505AF" w:rsidP="00CC3D57">
            <w:pPr>
              <w:rPr>
                <w:szCs w:val="22"/>
              </w:rPr>
            </w:pPr>
            <w:r w:rsidRPr="00B2203D">
              <w:rPr>
                <w:szCs w:val="22"/>
              </w:rPr>
              <w:t xml:space="preserve">Virtual </w:t>
            </w:r>
          </w:p>
        </w:tc>
        <w:tc>
          <w:tcPr>
            <w:tcW w:w="4855" w:type="dxa"/>
          </w:tcPr>
          <w:p w:rsidR="00D505AF" w:rsidRPr="00B2203D" w:rsidRDefault="00D505AF" w:rsidP="00CC3D57">
            <w:pPr>
              <w:rPr>
                <w:szCs w:val="22"/>
              </w:rPr>
            </w:pPr>
            <w:r w:rsidRPr="00B2203D">
              <w:rPr>
                <w:szCs w:val="22"/>
              </w:rPr>
              <w:t xml:space="preserve">The SED hosted a virtual meeting to introduce the purpose of the workgroup and participation roles along with providing an overview of the SPP/APR.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21, 2019</w:t>
            </w:r>
          </w:p>
        </w:tc>
        <w:tc>
          <w:tcPr>
            <w:tcW w:w="2070" w:type="dxa"/>
          </w:tcPr>
          <w:p w:rsidR="00D505AF" w:rsidRPr="00B2203D" w:rsidRDefault="00D505AF" w:rsidP="00CC3D57">
            <w:pPr>
              <w:rPr>
                <w:szCs w:val="22"/>
              </w:rPr>
            </w:pPr>
            <w:r w:rsidRPr="00B2203D">
              <w:rPr>
                <w:szCs w:val="22"/>
              </w:rPr>
              <w:t>In Person/Virtual</w:t>
            </w:r>
          </w:p>
        </w:tc>
        <w:tc>
          <w:tcPr>
            <w:tcW w:w="4855" w:type="dxa"/>
          </w:tcPr>
          <w:p w:rsidR="00D505AF" w:rsidRPr="00B2203D" w:rsidRDefault="00D505AF" w:rsidP="00CC3D57">
            <w:r w:rsidRPr="00B2203D">
              <w:t xml:space="preserve">The SED presented the assessment indicators, 3a-b; suspension/expulsion indicators, 4a-b; and school age least restrictive environment indicators, 5a-c.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26, 2019</w:t>
            </w:r>
          </w:p>
        </w:tc>
        <w:tc>
          <w:tcPr>
            <w:tcW w:w="2070" w:type="dxa"/>
          </w:tcPr>
          <w:p w:rsidR="00D505AF" w:rsidRPr="00B2203D" w:rsidRDefault="00D505AF" w:rsidP="00CC3D57">
            <w:pPr>
              <w:rPr>
                <w:szCs w:val="22"/>
              </w:rPr>
            </w:pPr>
            <w:r w:rsidRPr="00B2203D">
              <w:rPr>
                <w:szCs w:val="22"/>
              </w:rPr>
              <w:t>In Person/Virtual</w:t>
            </w:r>
          </w:p>
        </w:tc>
        <w:tc>
          <w:tcPr>
            <w:tcW w:w="4855" w:type="dxa"/>
          </w:tcPr>
          <w:p w:rsidR="00D505AF" w:rsidRPr="00B2203D" w:rsidRDefault="00D505AF" w:rsidP="00CC3D57">
            <w:pPr>
              <w:rPr>
                <w:szCs w:val="22"/>
              </w:rPr>
            </w:pPr>
            <w:r w:rsidRPr="00B2203D">
              <w:rPr>
                <w:szCs w:val="22"/>
              </w:rPr>
              <w:t xml:space="preserve">The SED presented the preschool least restrictive environment indicators, 6a-b; preschool assessment indicators, 7a-c; and post school outcomes indicators, 14a-c.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September 9, 2019</w:t>
            </w:r>
          </w:p>
        </w:tc>
        <w:tc>
          <w:tcPr>
            <w:tcW w:w="2070" w:type="dxa"/>
          </w:tcPr>
          <w:p w:rsidR="00D505AF" w:rsidRPr="00B2203D" w:rsidRDefault="00D505AF" w:rsidP="00CC3D57">
            <w:pPr>
              <w:rPr>
                <w:szCs w:val="22"/>
              </w:rPr>
            </w:pPr>
            <w:r w:rsidRPr="00B2203D">
              <w:rPr>
                <w:szCs w:val="22"/>
              </w:rPr>
              <w:t>In Person/Virtual</w:t>
            </w:r>
          </w:p>
        </w:tc>
        <w:tc>
          <w:tcPr>
            <w:tcW w:w="4855" w:type="dxa"/>
          </w:tcPr>
          <w:p w:rsidR="00D505AF" w:rsidRPr="00B2203D" w:rsidRDefault="00D505AF" w:rsidP="00CC3D57">
            <w:pPr>
              <w:rPr>
                <w:szCs w:val="22"/>
              </w:rPr>
            </w:pPr>
            <w:r w:rsidRPr="00B2203D">
              <w:rPr>
                <w:szCs w:val="22"/>
              </w:rPr>
              <w:t xml:space="preserve">The SED presented the dropout indicator, 2; parent involvement indicator, 8; and the mediation and dispute resolution indicator, 16.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September 24, 2019</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 xml:space="preserve">The SED hosted a short meeting to review the summary of stakeholder feedback collected by that date.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December 5, 2019</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 xml:space="preserve">The SED presented a preliminary draft of </w:t>
            </w:r>
            <w:r w:rsidR="00372272">
              <w:rPr>
                <w:szCs w:val="22"/>
              </w:rPr>
              <w:t xml:space="preserve">initial </w:t>
            </w:r>
            <w:r w:rsidRPr="00B2203D">
              <w:rPr>
                <w:szCs w:val="22"/>
              </w:rPr>
              <w:t>targets</w:t>
            </w:r>
            <w:r w:rsidR="00372272">
              <w:rPr>
                <w:szCs w:val="22"/>
              </w:rPr>
              <w:t xml:space="preserve"> recommendations</w:t>
            </w:r>
            <w:r w:rsidRPr="00B2203D">
              <w:rPr>
                <w:szCs w:val="22"/>
              </w:rPr>
              <w:t xml:space="preserve">.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12, 2020</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Default="00D505AF" w:rsidP="00CC3D57">
            <w:pPr>
              <w:rPr>
                <w:szCs w:val="22"/>
              </w:rPr>
            </w:pPr>
            <w:r>
              <w:rPr>
                <w:szCs w:val="22"/>
              </w:rPr>
              <w:t xml:space="preserve">Following </w:t>
            </w:r>
            <w:r w:rsidRPr="00B2203D">
              <w:rPr>
                <w:szCs w:val="22"/>
              </w:rPr>
              <w:t xml:space="preserve">OSERS </w:t>
            </w:r>
            <w:r>
              <w:rPr>
                <w:szCs w:val="22"/>
              </w:rPr>
              <w:t xml:space="preserve">publication of </w:t>
            </w:r>
            <w:r w:rsidRPr="00B2203D">
              <w:rPr>
                <w:szCs w:val="22"/>
              </w:rPr>
              <w:t xml:space="preserve">the </w:t>
            </w:r>
            <w:r w:rsidR="00372272">
              <w:rPr>
                <w:szCs w:val="22"/>
              </w:rPr>
              <w:t>revised</w:t>
            </w:r>
            <w:r w:rsidRPr="00B2203D">
              <w:rPr>
                <w:szCs w:val="22"/>
              </w:rPr>
              <w:t xml:space="preserve"> SPP/APR instructions and new measurement table</w:t>
            </w:r>
            <w:r>
              <w:rPr>
                <w:szCs w:val="22"/>
              </w:rPr>
              <w:t>,</w:t>
            </w:r>
            <w:r w:rsidRPr="00B2203D">
              <w:rPr>
                <w:szCs w:val="22"/>
              </w:rPr>
              <w:t xml:space="preserve"> </w:t>
            </w:r>
            <w:r>
              <w:rPr>
                <w:szCs w:val="22"/>
              </w:rPr>
              <w:t>t</w:t>
            </w:r>
            <w:r w:rsidRPr="00B2203D">
              <w:rPr>
                <w:szCs w:val="22"/>
              </w:rPr>
              <w:t xml:space="preserve">he SED hosted a set of stakeholder meetings to </w:t>
            </w:r>
            <w:r>
              <w:rPr>
                <w:szCs w:val="22"/>
              </w:rPr>
              <w:t>review</w:t>
            </w:r>
            <w:r w:rsidRPr="00B2203D">
              <w:rPr>
                <w:szCs w:val="22"/>
              </w:rPr>
              <w:t xml:space="preserve"> these changes. </w:t>
            </w:r>
          </w:p>
          <w:p w:rsidR="00D505AF" w:rsidRDefault="00D505AF" w:rsidP="00CC3D57">
            <w:pPr>
              <w:rPr>
                <w:szCs w:val="22"/>
              </w:rPr>
            </w:pPr>
          </w:p>
          <w:p w:rsidR="00D505AF" w:rsidRPr="00B2203D" w:rsidRDefault="00D505AF" w:rsidP="00CC3D57">
            <w:pPr>
              <w:rPr>
                <w:szCs w:val="22"/>
              </w:rPr>
            </w:pPr>
            <w:r w:rsidRPr="00B2203D">
              <w:rPr>
                <w:szCs w:val="22"/>
              </w:rPr>
              <w:t>At this meeting</w:t>
            </w:r>
            <w:r>
              <w:rPr>
                <w:szCs w:val="22"/>
              </w:rPr>
              <w:t>,</w:t>
            </w:r>
            <w:r w:rsidRPr="00B2203D">
              <w:rPr>
                <w:szCs w:val="22"/>
              </w:rPr>
              <w:t xml:space="preserve"> the SED presented the revised assessment indicator.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August 26, 2020</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 xml:space="preserve">The SED presented the revised school age least restrictive environment, preschool least restrictive environment, parent involvement, and post school outcomes. </w:t>
            </w:r>
          </w:p>
        </w:tc>
      </w:tr>
      <w:tr w:rsidR="00D505AF" w:rsidRPr="00B2203D" w:rsidTr="00CC3D57">
        <w:trPr>
          <w:cantSplit/>
        </w:trPr>
        <w:tc>
          <w:tcPr>
            <w:tcW w:w="2425" w:type="dxa"/>
          </w:tcPr>
          <w:p w:rsidR="00D505AF" w:rsidRPr="00B2203D" w:rsidRDefault="00D505AF" w:rsidP="00CC3D57">
            <w:pPr>
              <w:rPr>
                <w:szCs w:val="22"/>
              </w:rPr>
            </w:pPr>
            <w:r w:rsidRPr="00B2203D">
              <w:rPr>
                <w:szCs w:val="22"/>
              </w:rPr>
              <w:t>June 8, 2021</w:t>
            </w:r>
          </w:p>
        </w:tc>
        <w:tc>
          <w:tcPr>
            <w:tcW w:w="2070" w:type="dxa"/>
          </w:tcPr>
          <w:p w:rsidR="00D505AF" w:rsidRPr="00B2203D" w:rsidRDefault="00D505AF" w:rsidP="00CC3D57">
            <w:pPr>
              <w:rPr>
                <w:szCs w:val="22"/>
              </w:rPr>
            </w:pPr>
            <w:r w:rsidRPr="00B2203D">
              <w:rPr>
                <w:szCs w:val="22"/>
              </w:rPr>
              <w:t>Virtual</w:t>
            </w:r>
          </w:p>
        </w:tc>
        <w:tc>
          <w:tcPr>
            <w:tcW w:w="4855" w:type="dxa"/>
          </w:tcPr>
          <w:p w:rsidR="00D505AF" w:rsidRPr="00B2203D" w:rsidRDefault="00D505AF" w:rsidP="00CC3D57">
            <w:pPr>
              <w:rPr>
                <w:szCs w:val="22"/>
              </w:rPr>
            </w:pPr>
            <w:r w:rsidRPr="00B2203D">
              <w:rPr>
                <w:szCs w:val="22"/>
              </w:rPr>
              <w:t>The SED presented the revised graduation indicator,1; and the state systemic improvement plan indicator, 17.</w:t>
            </w:r>
          </w:p>
        </w:tc>
      </w:tr>
    </w:tbl>
    <w:p w:rsidR="00CB30D6" w:rsidRDefault="00CB30D6" w:rsidP="00423AB9">
      <w:pPr>
        <w:widowControl w:val="0"/>
        <w:overflowPunct w:val="0"/>
        <w:autoSpaceDE w:val="0"/>
        <w:autoSpaceDN w:val="0"/>
        <w:adjustRightInd w:val="0"/>
        <w:spacing w:after="240"/>
        <w:rPr>
          <w:rFonts w:cs="Arial"/>
          <w:color w:val="000000"/>
          <w:kern w:val="28"/>
        </w:rPr>
      </w:pPr>
    </w:p>
    <w:p w:rsidR="00E82C4D" w:rsidRDefault="00560576" w:rsidP="00560576">
      <w:pPr>
        <w:pStyle w:val="NormalWeb"/>
        <w:spacing w:before="0" w:beforeAutospacing="0" w:after="240" w:afterAutospacing="0"/>
        <w:rPr>
          <w:rFonts w:ascii="Arial" w:hAnsi="Arial" w:cs="Arial"/>
        </w:rPr>
      </w:pPr>
      <w:r>
        <w:rPr>
          <w:rFonts w:ascii="Arial" w:hAnsi="Arial" w:cs="Arial"/>
        </w:rPr>
        <w:lastRenderedPageBreak/>
        <w:t>Setting appropriately challenging SPP indicator targets for the 2020–21 through 2025–26 school years provides an opportunity for the CDE and LEAs to re-</w:t>
      </w:r>
      <w:r w:rsidR="00E82C4D">
        <w:rPr>
          <w:rFonts w:ascii="Arial" w:hAnsi="Arial" w:cs="Arial"/>
        </w:rPr>
        <w:t>examine</w:t>
      </w:r>
      <w:r>
        <w:rPr>
          <w:rFonts w:ascii="Arial" w:hAnsi="Arial" w:cs="Arial"/>
        </w:rPr>
        <w:t xml:space="preserve"> </w:t>
      </w:r>
      <w:r w:rsidR="00D24F72">
        <w:rPr>
          <w:rFonts w:ascii="Arial" w:hAnsi="Arial" w:cs="Arial"/>
        </w:rPr>
        <w:t xml:space="preserve">the </w:t>
      </w:r>
      <w:r>
        <w:rPr>
          <w:rFonts w:ascii="Arial" w:hAnsi="Arial" w:cs="Arial"/>
        </w:rPr>
        <w:t>expectations for improving outcomes for students with disabilities</w:t>
      </w:r>
      <w:r w:rsidR="00D24F72">
        <w:rPr>
          <w:rFonts w:ascii="Arial" w:hAnsi="Arial" w:cs="Arial"/>
        </w:rPr>
        <w:t xml:space="preserve">. The data trends from the prior SPP/APR cycle </w:t>
      </w:r>
      <w:r>
        <w:rPr>
          <w:rFonts w:ascii="Arial" w:hAnsi="Arial" w:cs="Arial"/>
        </w:rPr>
        <w:t xml:space="preserve">also </w:t>
      </w:r>
      <w:r w:rsidR="00D24F72">
        <w:rPr>
          <w:rFonts w:ascii="Arial" w:hAnsi="Arial" w:cs="Arial"/>
        </w:rPr>
        <w:t>highlight</w:t>
      </w:r>
      <w:r>
        <w:rPr>
          <w:rFonts w:ascii="Arial" w:hAnsi="Arial" w:cs="Arial"/>
        </w:rPr>
        <w:t xml:space="preserve"> the </w:t>
      </w:r>
      <w:r w:rsidR="00D24F72">
        <w:rPr>
          <w:rFonts w:ascii="Arial" w:hAnsi="Arial" w:cs="Arial"/>
        </w:rPr>
        <w:t xml:space="preserve">critical </w:t>
      </w:r>
      <w:r w:rsidR="00E82C4D">
        <w:rPr>
          <w:rFonts w:ascii="Arial" w:hAnsi="Arial" w:cs="Arial"/>
        </w:rPr>
        <w:t xml:space="preserve">importance of </w:t>
      </w:r>
      <w:r w:rsidR="0014134D">
        <w:rPr>
          <w:rFonts w:ascii="Arial" w:hAnsi="Arial" w:cs="Arial"/>
        </w:rPr>
        <w:t xml:space="preserve">deepening </w:t>
      </w:r>
      <w:r w:rsidR="00E82C4D">
        <w:rPr>
          <w:rFonts w:ascii="Arial" w:hAnsi="Arial" w:cs="Arial"/>
        </w:rPr>
        <w:t xml:space="preserve">integrated technical assistance and supports to </w:t>
      </w:r>
      <w:r w:rsidR="00D24F72">
        <w:rPr>
          <w:rFonts w:ascii="Arial" w:hAnsi="Arial" w:cs="Arial"/>
        </w:rPr>
        <w:t xml:space="preserve">LEAs to </w:t>
      </w:r>
      <w:r w:rsidR="00E82C4D">
        <w:rPr>
          <w:rFonts w:ascii="Arial" w:hAnsi="Arial" w:cs="Arial"/>
        </w:rPr>
        <w:t>effectively improve practices</w:t>
      </w:r>
      <w:r w:rsidR="00492BE7">
        <w:rPr>
          <w:rFonts w:ascii="Arial" w:hAnsi="Arial" w:cs="Arial"/>
        </w:rPr>
        <w:t>, and ultimately student outcomes</w:t>
      </w:r>
      <w:r w:rsidR="00E82C4D">
        <w:rPr>
          <w:rFonts w:ascii="Arial" w:hAnsi="Arial" w:cs="Arial"/>
        </w:rPr>
        <w:t xml:space="preserve">. </w:t>
      </w:r>
    </w:p>
    <w:p w:rsidR="00423AB9" w:rsidRPr="00E603B3" w:rsidRDefault="00423AB9" w:rsidP="00423AB9">
      <w:pPr>
        <w:pStyle w:val="Heading2"/>
        <w:spacing w:before="0" w:after="240"/>
        <w:rPr>
          <w:sz w:val="36"/>
          <w:szCs w:val="36"/>
        </w:rPr>
      </w:pPr>
      <w:bookmarkStart w:id="31" w:name="_Toc523909466"/>
      <w:bookmarkStart w:id="32" w:name="_Toc525654535"/>
      <w:bookmarkStart w:id="33" w:name="_Toc528222736"/>
      <w:bookmarkStart w:id="34" w:name="_Toc26532187"/>
      <w:bookmarkStart w:id="35" w:name="_Toc77599033"/>
      <w:r w:rsidRPr="00E603B3">
        <w:rPr>
          <w:sz w:val="36"/>
          <w:szCs w:val="36"/>
        </w:rPr>
        <w:t>Summary of Previous State Board of Education Discussion and Action</w:t>
      </w:r>
      <w:bookmarkEnd w:id="31"/>
      <w:bookmarkEnd w:id="32"/>
      <w:bookmarkEnd w:id="33"/>
      <w:bookmarkEnd w:id="34"/>
      <w:bookmarkEnd w:id="35"/>
    </w:p>
    <w:p w:rsidR="000408CE" w:rsidRPr="000B01BA" w:rsidRDefault="000408CE" w:rsidP="000408CE">
      <w:pPr>
        <w:spacing w:after="240"/>
        <w:rPr>
          <w:b/>
        </w:rPr>
      </w:pPr>
      <w:r w:rsidRPr="000B01BA">
        <w:t>In January 20</w:t>
      </w:r>
      <w:r>
        <w:t>2</w:t>
      </w:r>
      <w:r w:rsidRPr="000B01BA">
        <w:t>1, the SBE approved the FFY 201</w:t>
      </w:r>
      <w:r>
        <w:t>9</w:t>
      </w:r>
      <w:r w:rsidRPr="000B01BA">
        <w:t xml:space="preserve"> APR Executive Summary which reported on the progress of the 201</w:t>
      </w:r>
      <w:r>
        <w:t>9</w:t>
      </w:r>
      <w:r w:rsidRPr="000B01BA">
        <w:t>–</w:t>
      </w:r>
      <w:r>
        <w:t>20</w:t>
      </w:r>
      <w:r w:rsidRPr="000B01BA">
        <w:t xml:space="preserve"> compliance and performance indicators as required by the IDEA.</w:t>
      </w:r>
    </w:p>
    <w:p w:rsidR="00423AB9" w:rsidRDefault="00423AB9" w:rsidP="00423AB9">
      <w:pPr>
        <w:pStyle w:val="Heading2"/>
        <w:spacing w:before="0" w:after="240"/>
        <w:rPr>
          <w:sz w:val="36"/>
          <w:szCs w:val="36"/>
        </w:rPr>
      </w:pPr>
      <w:bookmarkStart w:id="36" w:name="_Toc523909467"/>
      <w:bookmarkStart w:id="37" w:name="_Toc525654536"/>
      <w:bookmarkStart w:id="38" w:name="_Toc528222737"/>
      <w:bookmarkStart w:id="39" w:name="_Toc26532188"/>
      <w:bookmarkStart w:id="40" w:name="_Toc77599034"/>
      <w:r>
        <w:rPr>
          <w:sz w:val="36"/>
          <w:szCs w:val="36"/>
        </w:rPr>
        <w:t>Fiscal Analysis (as appropriate)</w:t>
      </w:r>
      <w:bookmarkEnd w:id="36"/>
      <w:bookmarkEnd w:id="37"/>
      <w:bookmarkEnd w:id="38"/>
      <w:bookmarkEnd w:id="39"/>
      <w:bookmarkEnd w:id="40"/>
    </w:p>
    <w:p w:rsidR="000408CE" w:rsidRPr="004D05E9" w:rsidRDefault="000408CE" w:rsidP="000408CE">
      <w:pPr>
        <w:spacing w:after="240"/>
        <w:rPr>
          <w:b/>
        </w:rPr>
      </w:pPr>
      <w:r w:rsidRPr="004D05E9">
        <w:t xml:space="preserve">Absent </w:t>
      </w:r>
      <w:r>
        <w:t xml:space="preserve">subsequent </w:t>
      </w:r>
      <w:r w:rsidRPr="004D05E9">
        <w:t>approval, California’s approximately $1.2 billion federal IDEA funding could be jeopardized.</w:t>
      </w:r>
    </w:p>
    <w:p w:rsidR="00423AB9" w:rsidRDefault="00423AB9" w:rsidP="00423AB9">
      <w:pPr>
        <w:pStyle w:val="Heading2"/>
        <w:spacing w:before="0" w:after="240"/>
        <w:rPr>
          <w:sz w:val="36"/>
          <w:szCs w:val="36"/>
        </w:rPr>
      </w:pPr>
      <w:bookmarkStart w:id="41" w:name="_Toc523909468"/>
      <w:bookmarkStart w:id="42" w:name="_Toc525654537"/>
      <w:bookmarkStart w:id="43" w:name="_Toc528222738"/>
      <w:bookmarkStart w:id="44" w:name="_Toc26532189"/>
      <w:bookmarkStart w:id="45" w:name="_Toc77599035"/>
      <w:r w:rsidRPr="001B3958">
        <w:rPr>
          <w:sz w:val="36"/>
          <w:szCs w:val="36"/>
        </w:rPr>
        <w:t>Attachment(s)</w:t>
      </w:r>
      <w:bookmarkEnd w:id="41"/>
      <w:bookmarkEnd w:id="42"/>
      <w:bookmarkEnd w:id="43"/>
      <w:bookmarkEnd w:id="44"/>
      <w:bookmarkEnd w:id="45"/>
    </w:p>
    <w:p w:rsidR="00EB1E42" w:rsidRDefault="00EB1E42" w:rsidP="00EB1E42">
      <w:pPr>
        <w:ind w:left="1530" w:hanging="1530"/>
        <w:sectPr w:rsidR="00EB1E42" w:rsidSect="00704E41">
          <w:headerReference w:type="default" r:id="rId11"/>
          <w:type w:val="continuous"/>
          <w:pgSz w:w="12240" w:h="15840"/>
          <w:pgMar w:top="720" w:right="1440" w:bottom="1440" w:left="1440" w:header="720" w:footer="720" w:gutter="0"/>
          <w:cols w:space="720"/>
          <w:docGrid w:linePitch="360"/>
        </w:sectPr>
      </w:pPr>
      <w:r w:rsidRPr="00262AB3">
        <w:t xml:space="preserve">Attachment 1: </w:t>
      </w:r>
      <w:r>
        <w:t>California Department of Education Special Education Division Recommendations for New SPP/APR Targets for Program Years 2020–21 through 2025–26.</w:t>
      </w:r>
      <w:r w:rsidRPr="007B22FA">
        <w:t xml:space="preserve"> (</w:t>
      </w:r>
      <w:r>
        <w:t>37</w:t>
      </w:r>
      <w:r w:rsidRPr="007B22FA">
        <w:t xml:space="preserve"> </w:t>
      </w:r>
      <w:r>
        <w:t>pages).</w:t>
      </w:r>
      <w:r w:rsidRPr="00C1761D">
        <w:t xml:space="preserve"> </w:t>
      </w:r>
    </w:p>
    <w:p w:rsidR="00EB1E42" w:rsidRPr="00C95A0E" w:rsidRDefault="00EB1E42" w:rsidP="00EB1E42">
      <w:pPr>
        <w:ind w:left="1530" w:hanging="1530"/>
        <w:sectPr w:rsidR="00EB1E42" w:rsidRPr="00C95A0E" w:rsidSect="00EB1E42">
          <w:headerReference w:type="default" r:id="rId12"/>
          <w:pgSz w:w="12240" w:h="15840"/>
          <w:pgMar w:top="720" w:right="1440" w:bottom="1440" w:left="1440" w:header="720" w:footer="720" w:gutter="0"/>
          <w:pgNumType w:start="1"/>
          <w:cols w:space="720"/>
          <w:docGrid w:linePitch="360"/>
        </w:sectPr>
      </w:pPr>
    </w:p>
    <w:p w:rsidR="00EB1E42" w:rsidRDefault="00EB1E42" w:rsidP="00EB1E42"/>
    <w:p w:rsidR="00EB1E42" w:rsidRDefault="00EB1E42" w:rsidP="00EB1E42">
      <w:pPr>
        <w:pStyle w:val="Heading1"/>
        <w:spacing w:line="720" w:lineRule="auto"/>
        <w:jc w:val="center"/>
      </w:pPr>
      <w:bookmarkStart w:id="46" w:name="_Toc523909469"/>
      <w:bookmarkStart w:id="47" w:name="_Toc525654538"/>
      <w:bookmarkStart w:id="48" w:name="_Toc26532190"/>
      <w:bookmarkStart w:id="49" w:name="_Toc77599036"/>
      <w:r>
        <w:t>Attachment 1</w:t>
      </w:r>
      <w:bookmarkEnd w:id="46"/>
      <w:bookmarkEnd w:id="47"/>
      <w:bookmarkEnd w:id="48"/>
      <w:bookmarkEnd w:id="49"/>
    </w:p>
    <w:p w:rsidR="00EB1E42" w:rsidRDefault="00EB1E42" w:rsidP="00EB1E42">
      <w:pPr>
        <w:spacing w:line="720" w:lineRule="auto"/>
        <w:jc w:val="center"/>
      </w:pPr>
      <w:r>
        <w:t>California Department of Education</w:t>
      </w:r>
    </w:p>
    <w:p w:rsidR="00EB1E42" w:rsidRDefault="00EB1E42" w:rsidP="00EB1E42">
      <w:pPr>
        <w:spacing w:line="720" w:lineRule="auto"/>
        <w:jc w:val="center"/>
      </w:pPr>
      <w:r>
        <w:t>Special Education Division</w:t>
      </w:r>
    </w:p>
    <w:p w:rsidR="00EB1E42" w:rsidRDefault="00EB1E42" w:rsidP="00EB1E42">
      <w:pPr>
        <w:spacing w:after="240" w:line="720" w:lineRule="auto"/>
        <w:jc w:val="center"/>
      </w:pPr>
      <w:r>
        <w:t xml:space="preserve">Recommendations for New State Performance Plan and </w:t>
      </w:r>
    </w:p>
    <w:p w:rsidR="00EB1E42" w:rsidRDefault="00EB1E42" w:rsidP="00EB1E42">
      <w:pPr>
        <w:spacing w:after="240" w:line="720" w:lineRule="auto"/>
        <w:jc w:val="center"/>
      </w:pPr>
      <w:r>
        <w:t xml:space="preserve">Annual Performance Report Targets for </w:t>
      </w:r>
    </w:p>
    <w:p w:rsidR="00EB1E42" w:rsidRDefault="00EB1E42" w:rsidP="00EB1E42">
      <w:pPr>
        <w:spacing w:after="240" w:line="720" w:lineRule="auto"/>
        <w:jc w:val="center"/>
      </w:pPr>
      <w:r>
        <w:t>Program Years 2020–21 through 2025–26</w:t>
      </w:r>
    </w:p>
    <w:p w:rsidR="00EB1E42" w:rsidRDefault="00EB1E42" w:rsidP="00EB1E42">
      <w:pPr>
        <w:spacing w:before="5280" w:line="720" w:lineRule="auto"/>
        <w:jc w:val="center"/>
      </w:pPr>
      <w:r>
        <w:t>September 2021</w:t>
      </w:r>
      <w:r>
        <w:br w:type="page"/>
      </w:r>
    </w:p>
    <w:sdt>
      <w:sdtPr>
        <w:rPr>
          <w:rFonts w:ascii="Arial" w:eastAsia="Times New Roman" w:hAnsi="Arial" w:cs="Arial"/>
          <w:color w:val="auto"/>
          <w:sz w:val="24"/>
          <w:szCs w:val="24"/>
          <w:shd w:val="clear" w:color="auto" w:fill="E6E6E6"/>
        </w:rPr>
        <w:id w:val="1686324238"/>
        <w:docPartObj>
          <w:docPartGallery w:val="Table of Contents"/>
          <w:docPartUnique/>
        </w:docPartObj>
      </w:sdtPr>
      <w:sdtEndPr>
        <w:rPr>
          <w:b/>
          <w:bCs/>
          <w:noProof/>
        </w:rPr>
      </w:sdtEndPr>
      <w:sdtContent>
        <w:p w:rsidR="00EB1E42" w:rsidRPr="00EF107D" w:rsidRDefault="00EB1E42" w:rsidP="00EB1E42">
          <w:pPr>
            <w:pStyle w:val="TOCHeading"/>
            <w:jc w:val="center"/>
            <w:rPr>
              <w:rFonts w:ascii="Arial" w:hAnsi="Arial" w:cs="Arial"/>
              <w:b/>
              <w:color w:val="auto"/>
              <w:sz w:val="24"/>
              <w:szCs w:val="24"/>
            </w:rPr>
          </w:pPr>
          <w:r w:rsidRPr="00EF107D">
            <w:rPr>
              <w:rFonts w:ascii="Arial" w:hAnsi="Arial" w:cs="Arial"/>
              <w:b/>
              <w:color w:val="auto"/>
              <w:sz w:val="24"/>
              <w:szCs w:val="24"/>
            </w:rPr>
            <w:t>Table of Contents</w:t>
          </w:r>
        </w:p>
        <w:p w:rsidR="00EB1E42" w:rsidRPr="00EF107D" w:rsidRDefault="00EB1E42" w:rsidP="00EB1E42">
          <w:pPr>
            <w:rPr>
              <w:rFonts w:cs="Arial"/>
            </w:rPr>
          </w:pPr>
        </w:p>
        <w:p w:rsidR="00EB1E42" w:rsidRPr="00EB1E42" w:rsidRDefault="00EB1E42" w:rsidP="00EB1E42">
          <w:pPr>
            <w:pStyle w:val="TOC1"/>
            <w:tabs>
              <w:tab w:val="right" w:leader="dot" w:pos="9350"/>
            </w:tabs>
            <w:rPr>
              <w:rFonts w:eastAsiaTheme="minorEastAsia" w:cs="Arial"/>
              <w:noProof/>
            </w:rPr>
          </w:pPr>
          <w:r w:rsidRPr="00EB1E42">
            <w:rPr>
              <w:rFonts w:cs="Arial"/>
              <w:color w:val="2B579A"/>
              <w:shd w:val="clear" w:color="auto" w:fill="E6E6E6"/>
            </w:rPr>
            <w:fldChar w:fldCharType="begin"/>
          </w:r>
          <w:r w:rsidRPr="00EB1E42">
            <w:rPr>
              <w:rFonts w:cs="Arial"/>
            </w:rPr>
            <w:instrText xml:space="preserve"> TOC \o "1-3" \h \z \u </w:instrText>
          </w:r>
          <w:r w:rsidRPr="00EB1E42">
            <w:rPr>
              <w:rFonts w:cs="Arial"/>
              <w:color w:val="2B579A"/>
              <w:shd w:val="clear" w:color="auto" w:fill="E6E6E6"/>
            </w:rPr>
            <w:fldChar w:fldCharType="separate"/>
          </w:r>
          <w:hyperlink w:anchor="_Toc77599036" w:history="1">
            <w:r w:rsidRPr="00EB1E42">
              <w:rPr>
                <w:rStyle w:val="Hyperlink"/>
                <w:rFonts w:eastAsiaTheme="majorEastAsia" w:cs="Arial"/>
                <w:noProof/>
              </w:rPr>
              <w:t>Attachment 1</w:t>
            </w:r>
            <w:r w:rsidRPr="00EB1E42">
              <w:rPr>
                <w:rFonts w:cs="Arial"/>
                <w:noProof/>
                <w:webHidden/>
              </w:rPr>
              <w:tab/>
            </w:r>
            <w:r w:rsidRPr="00EB1E42">
              <w:rPr>
                <w:rFonts w:cs="Arial"/>
                <w:noProof/>
                <w:webHidden/>
              </w:rPr>
              <w:fldChar w:fldCharType="begin"/>
            </w:r>
            <w:r w:rsidRPr="00EB1E42">
              <w:rPr>
                <w:rFonts w:cs="Arial"/>
                <w:noProof/>
                <w:webHidden/>
              </w:rPr>
              <w:instrText xml:space="preserve"> PAGEREF _Toc77599036 \h </w:instrText>
            </w:r>
            <w:r w:rsidRPr="00EB1E42">
              <w:rPr>
                <w:rFonts w:cs="Arial"/>
                <w:noProof/>
                <w:webHidden/>
              </w:rPr>
            </w:r>
            <w:r w:rsidRPr="00EB1E42">
              <w:rPr>
                <w:rFonts w:cs="Arial"/>
                <w:noProof/>
                <w:webHidden/>
              </w:rPr>
              <w:fldChar w:fldCharType="separate"/>
            </w:r>
            <w:r w:rsidRPr="00EB1E42">
              <w:rPr>
                <w:rFonts w:cs="Arial"/>
                <w:noProof/>
                <w:webHidden/>
              </w:rPr>
              <w:t>1</w:t>
            </w:r>
            <w:r w:rsidRPr="00EB1E42">
              <w:rPr>
                <w:rFonts w:cs="Arial"/>
                <w:noProof/>
                <w:webHidden/>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37" w:history="1">
            <w:r w:rsidR="00EB1E42" w:rsidRPr="00EB1E42">
              <w:rPr>
                <w:rStyle w:val="Hyperlink"/>
                <w:rFonts w:eastAsiaTheme="majorEastAsia" w:cs="Arial"/>
                <w:noProof/>
              </w:rPr>
              <w:t>Special Education in California</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_Toc77599037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7</w:t>
            </w:r>
            <w:r w:rsidR="00EB1E42" w:rsidRPr="00EB1E42">
              <w:rPr>
                <w:rFonts w:cs="Arial"/>
                <w:noProof/>
                <w:webHidden/>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38" w:history="1">
            <w:r w:rsidR="00EB1E42" w:rsidRPr="00EB1E42">
              <w:rPr>
                <w:rStyle w:val="Hyperlink"/>
                <w:rFonts w:eastAsiaTheme="majorEastAsia" w:cs="Arial"/>
                <w:noProof/>
              </w:rPr>
              <w:t>Introduction</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_Toc77599038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7</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39" w:history="1">
            <w:r w:rsidR="00EB1E42" w:rsidRPr="00EB1E42">
              <w:rPr>
                <w:rStyle w:val="Hyperlink"/>
                <w:rFonts w:ascii="Arial" w:hAnsi="Arial" w:cs="Arial"/>
                <w:noProof/>
                <w:sz w:val="24"/>
                <w:szCs w:val="24"/>
              </w:rPr>
              <w:t>Table 1: California State Indicators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_Toc77599039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8</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40" w:history="1">
            <w:r w:rsidR="00EB1E42" w:rsidRPr="00EB1E42">
              <w:rPr>
                <w:rStyle w:val="Hyperlink"/>
                <w:rFonts w:eastAsiaTheme="majorEastAsia" w:cs="Arial"/>
                <w:noProof/>
              </w:rPr>
              <w:t>Indicator 1: Graduation Rate</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_Toc77599040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10</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1"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2"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3"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4" w:history="1">
            <w:r w:rsidR="00EB1E42" w:rsidRPr="00EB1E42">
              <w:rPr>
                <w:rStyle w:val="Hyperlink"/>
                <w:rFonts w:ascii="Arial" w:hAnsi="Arial" w:cs="Arial"/>
                <w:noProof/>
                <w:sz w:val="24"/>
                <w:szCs w:val="24"/>
              </w:rPr>
              <w:t>Graduation Rate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5" w:history="1">
            <w:r w:rsidR="00EB1E42" w:rsidRPr="00EB1E42">
              <w:rPr>
                <w:rStyle w:val="Hyperlink"/>
                <w:rFonts w:ascii="Arial" w:hAnsi="Arial" w:cs="Arial"/>
                <w:noProof/>
                <w:sz w:val="24"/>
                <w:szCs w:val="24"/>
              </w:rPr>
              <w:t>Graduation Rate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10</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46" w:history="1">
            <w:r w:rsidR="00EB1E42" w:rsidRPr="00EB1E42">
              <w:rPr>
                <w:rStyle w:val="Hyperlink"/>
                <w:rFonts w:eastAsiaTheme="majorEastAsia" w:cs="Arial"/>
                <w:noProof/>
              </w:rPr>
              <w:t>Indicator 2: Dropout Rate</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_Toc77599046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11</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7"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8"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49"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_Toc77599049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0" w:history="1">
            <w:r w:rsidR="00EB1E42" w:rsidRPr="00EB1E42">
              <w:rPr>
                <w:rStyle w:val="Hyperlink"/>
                <w:rFonts w:ascii="Arial" w:hAnsi="Arial" w:cs="Arial"/>
                <w:noProof/>
                <w:sz w:val="24"/>
                <w:szCs w:val="24"/>
              </w:rPr>
              <w:t>Dropout Rate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1" w:history="1">
            <w:r w:rsidR="00EB1E42" w:rsidRPr="00EB1E42">
              <w:rPr>
                <w:rStyle w:val="Hyperlink"/>
                <w:rFonts w:ascii="Arial" w:hAnsi="Arial" w:cs="Arial"/>
                <w:noProof/>
                <w:sz w:val="24"/>
                <w:szCs w:val="24"/>
              </w:rPr>
              <w:t>Dropout Rate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11</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52" w:history="1">
            <w:r w:rsidR="00EB1E42" w:rsidRPr="00EB1E42">
              <w:rPr>
                <w:rStyle w:val="Hyperlink"/>
                <w:rFonts w:eastAsiaTheme="majorEastAsia" w:cs="Arial"/>
                <w:noProof/>
              </w:rPr>
              <w:t>Indicator 3: Statewide Assessment</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_Toc77599052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12</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3" w:history="1">
            <w:r w:rsidR="00EB1E42" w:rsidRPr="00EB1E42">
              <w:rPr>
                <w:rStyle w:val="Hyperlink"/>
                <w:rFonts w:ascii="Arial" w:hAnsi="Arial" w:cs="Arial"/>
                <w:bCs/>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12</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4"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12</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5"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12</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6" w:history="1">
            <w:r w:rsidR="00EB1E42" w:rsidRPr="00EB1E42">
              <w:rPr>
                <w:rStyle w:val="Hyperlink"/>
                <w:rFonts w:ascii="Arial" w:hAnsi="Arial" w:cs="Arial"/>
                <w:noProof/>
                <w:sz w:val="24"/>
                <w:szCs w:val="24"/>
              </w:rPr>
              <w:t>Assessment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7" w:history="1">
            <w:r w:rsidR="00EB1E42" w:rsidRPr="00EB1E42">
              <w:rPr>
                <w:rStyle w:val="Hyperlink"/>
                <w:rFonts w:ascii="Arial" w:hAnsi="Arial" w:cs="Arial"/>
                <w:noProof/>
                <w:sz w:val="24"/>
                <w:szCs w:val="24"/>
              </w:rPr>
              <w:t>Old Assessment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14</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8" w:history="1">
            <w:r w:rsidR="00EB1E42" w:rsidRPr="00EB1E42">
              <w:rPr>
                <w:rStyle w:val="Hyperlink"/>
                <w:rFonts w:ascii="Arial" w:hAnsi="Arial" w:cs="Arial"/>
                <w:noProof/>
                <w:sz w:val="24"/>
                <w:szCs w:val="24"/>
              </w:rPr>
              <w:t>Percent of LEAs Meeting AYP for Disability Student Group (3A)</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14</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59" w:history="1">
            <w:r w:rsidR="00EB1E42" w:rsidRPr="00EB1E42">
              <w:rPr>
                <w:rStyle w:val="Hyperlink"/>
                <w:rFonts w:ascii="Arial" w:hAnsi="Arial" w:cs="Arial"/>
                <w:noProof/>
                <w:sz w:val="24"/>
                <w:szCs w:val="24"/>
              </w:rPr>
              <w:t>Percent of Participation for Students with IEPs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_Toc77599059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14</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0" w:history="1">
            <w:r w:rsidR="00EB1E42" w:rsidRPr="00EB1E42">
              <w:rPr>
                <w:rStyle w:val="Hyperlink"/>
                <w:rFonts w:ascii="Arial" w:hAnsi="Arial" w:cs="Arial"/>
                <w:noProof/>
                <w:sz w:val="24"/>
                <w:szCs w:val="24"/>
              </w:rPr>
              <w:t>Percent Proficient for Students with Disabilities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14</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61" w:history="1">
            <w:r w:rsidR="00EB1E42" w:rsidRPr="00EB1E42">
              <w:rPr>
                <w:rStyle w:val="Hyperlink"/>
                <w:rFonts w:eastAsiaTheme="majorEastAsia" w:cs="Arial"/>
                <w:noProof/>
              </w:rPr>
              <w:t>Indicator 4A: Suspension and Expulsion Overall</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_Toc77599061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15</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2"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3"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4"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5" w:history="1">
            <w:r w:rsidR="00EB1E42" w:rsidRPr="00EB1E42">
              <w:rPr>
                <w:rStyle w:val="Hyperlink"/>
                <w:rFonts w:ascii="Arial" w:hAnsi="Arial" w:cs="Arial"/>
                <w:noProof/>
                <w:sz w:val="24"/>
                <w:szCs w:val="24"/>
              </w:rPr>
              <w:t>Suspension and Expulsion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6" w:history="1">
            <w:r w:rsidR="00EB1E42" w:rsidRPr="00EB1E42">
              <w:rPr>
                <w:rStyle w:val="Hyperlink"/>
                <w:rFonts w:ascii="Arial" w:hAnsi="Arial" w:cs="Arial"/>
                <w:noProof/>
                <w:sz w:val="24"/>
                <w:szCs w:val="24"/>
              </w:rPr>
              <w:t>Suspension and Expulsion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15</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67" w:history="1">
            <w:r w:rsidR="00EB1E42" w:rsidRPr="00EB1E42">
              <w:rPr>
                <w:rStyle w:val="Hyperlink"/>
                <w:rFonts w:eastAsiaTheme="majorEastAsia" w:cs="Arial"/>
                <w:noProof/>
              </w:rPr>
              <w:t>Indicator 4B: Suspension and Expulsion Rate by Race or Ethnicity</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_Toc77599067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16</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8"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69"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_Toc77599069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0"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1" w:history="1">
            <w:r w:rsidR="00EB1E42" w:rsidRPr="00EB1E42">
              <w:rPr>
                <w:rStyle w:val="Hyperlink"/>
                <w:rFonts w:ascii="Arial" w:hAnsi="Arial" w:cs="Arial"/>
                <w:noProof/>
                <w:sz w:val="24"/>
                <w:szCs w:val="24"/>
              </w:rPr>
              <w:t>Suspension and Expulsion by Race or Ethnicity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2" w:history="1">
            <w:r w:rsidR="00EB1E42" w:rsidRPr="00EB1E42">
              <w:rPr>
                <w:rStyle w:val="Hyperlink"/>
                <w:rFonts w:ascii="Arial" w:hAnsi="Arial" w:cs="Arial"/>
                <w:noProof/>
                <w:sz w:val="24"/>
                <w:szCs w:val="24"/>
              </w:rPr>
              <w:t>Suspension and Expulsion by Race or Ethnicity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16</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73" w:history="1">
            <w:r w:rsidR="00EB1E42" w:rsidRPr="00EB1E42">
              <w:rPr>
                <w:rStyle w:val="Hyperlink"/>
                <w:rFonts w:eastAsiaTheme="majorEastAsia" w:cs="Arial"/>
                <w:noProof/>
              </w:rPr>
              <w:t>Indicator 5: Education Environments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_Toc77599073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17</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4"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5"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6"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7" w:history="1">
            <w:r w:rsidR="00EB1E42" w:rsidRPr="00EB1E42">
              <w:rPr>
                <w:rStyle w:val="Hyperlink"/>
                <w:rFonts w:ascii="Arial" w:hAnsi="Arial" w:cs="Arial"/>
                <w:noProof/>
                <w:sz w:val="24"/>
                <w:szCs w:val="24"/>
              </w:rPr>
              <w:t>Education Environment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17</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78" w:history="1">
            <w:r w:rsidR="00EB1E42" w:rsidRPr="00EB1E42">
              <w:rPr>
                <w:rStyle w:val="Hyperlink"/>
                <w:rFonts w:eastAsiaTheme="majorEastAsia" w:cs="Arial"/>
                <w:noProof/>
              </w:rPr>
              <w:t>Indicator 6: Preschool Least Restrictive Environments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_Toc77599078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19</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79"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_Toc77599079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19</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0"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19</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1"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19</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2" w:history="1">
            <w:r w:rsidR="00EB1E42" w:rsidRPr="00EB1E42">
              <w:rPr>
                <w:rStyle w:val="Hyperlink"/>
                <w:rFonts w:ascii="Arial" w:hAnsi="Arial" w:cs="Arial"/>
                <w:noProof/>
                <w:sz w:val="24"/>
                <w:szCs w:val="24"/>
              </w:rPr>
              <w:t>Preschool Environments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3" w:history="1">
            <w:r w:rsidR="00EB1E42" w:rsidRPr="00EB1E42">
              <w:rPr>
                <w:rStyle w:val="Hyperlink"/>
                <w:rFonts w:ascii="Arial" w:hAnsi="Arial" w:cs="Arial"/>
                <w:noProof/>
                <w:sz w:val="24"/>
                <w:szCs w:val="24"/>
              </w:rPr>
              <w:t>Preschool Environments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20</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84" w:history="1">
            <w:r w:rsidR="00EB1E42" w:rsidRPr="00EB1E42">
              <w:rPr>
                <w:rStyle w:val="Hyperlink"/>
                <w:rFonts w:eastAsiaTheme="majorEastAsia" w:cs="Arial"/>
                <w:bCs/>
                <w:noProof/>
              </w:rPr>
              <w:t xml:space="preserve">Indicator 7A: </w:t>
            </w:r>
            <w:r w:rsidR="00EB1E42" w:rsidRPr="00EB1E42">
              <w:rPr>
                <w:rStyle w:val="Hyperlink"/>
                <w:rFonts w:eastAsiaTheme="majorEastAsia" w:cs="Arial"/>
                <w:noProof/>
              </w:rPr>
              <w:t>Preschool Assessment–Positive Social-Emotional Skills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_Toc77599084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21</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5"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6"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7"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8" w:history="1">
            <w:r w:rsidR="00EB1E42" w:rsidRPr="00EB1E42">
              <w:rPr>
                <w:rStyle w:val="Hyperlink"/>
                <w:rFonts w:ascii="Arial" w:hAnsi="Arial" w:cs="Arial"/>
                <w:noProof/>
                <w:sz w:val="24"/>
                <w:szCs w:val="24"/>
              </w:rPr>
              <w:t xml:space="preserve">Preschool Outcomes–Positive Social-Emotional Skills New </w:t>
            </w:r>
            <w:r w:rsidR="00EB1E42" w:rsidRPr="00EB1E42">
              <w:rPr>
                <w:rStyle w:val="Hyperlink"/>
                <w:rFonts w:ascii="Arial" w:hAnsi="Arial" w:cs="Arial"/>
                <w:bCs/>
                <w:noProof/>
                <w:sz w:val="24"/>
                <w:szCs w:val="24"/>
              </w:rPr>
              <w:t>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89" w:history="1">
            <w:r w:rsidR="00EB1E42" w:rsidRPr="00EB1E42">
              <w:rPr>
                <w:rStyle w:val="Hyperlink"/>
                <w:rFonts w:ascii="Arial" w:hAnsi="Arial" w:cs="Arial"/>
                <w:noProof/>
                <w:sz w:val="24"/>
                <w:szCs w:val="24"/>
              </w:rPr>
              <w:t xml:space="preserve">Preschool Outcomes–Positive Social-Emotional Skills Old </w:t>
            </w:r>
            <w:r w:rsidR="00EB1E42" w:rsidRPr="00EB1E42">
              <w:rPr>
                <w:rStyle w:val="Hyperlink"/>
                <w:rFonts w:ascii="Arial" w:hAnsi="Arial" w:cs="Arial"/>
                <w:bCs/>
                <w:noProof/>
                <w:sz w:val="24"/>
                <w:szCs w:val="24"/>
              </w:rPr>
              <w:t>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_Toc77599089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22</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90" w:history="1">
            <w:r w:rsidR="00EB1E42" w:rsidRPr="00EB1E42">
              <w:rPr>
                <w:rStyle w:val="Hyperlink"/>
                <w:rFonts w:eastAsiaTheme="majorEastAsia" w:cs="Arial"/>
                <w:bCs/>
                <w:noProof/>
              </w:rPr>
              <w:t xml:space="preserve">Indicator 7B: </w:t>
            </w:r>
            <w:r w:rsidR="00EB1E42" w:rsidRPr="00EB1E42">
              <w:rPr>
                <w:rStyle w:val="Hyperlink"/>
                <w:rFonts w:eastAsiaTheme="majorEastAsia" w:cs="Arial"/>
                <w:noProof/>
              </w:rPr>
              <w:t>Preschool Assessment–Acquisition and Use of Knowledge and Skills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_Toc77599090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23</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1"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2"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3"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4" w:history="1">
            <w:r w:rsidR="00EB1E42" w:rsidRPr="00EB1E42">
              <w:rPr>
                <w:rStyle w:val="Hyperlink"/>
                <w:rFonts w:ascii="Arial" w:hAnsi="Arial" w:cs="Arial"/>
                <w:noProof/>
                <w:sz w:val="24"/>
                <w:szCs w:val="24"/>
              </w:rPr>
              <w:t>Preschool Outcomes–Acquisition and Use of Knowledge and Skills</w:t>
            </w:r>
            <w:r w:rsidR="00EB1E42" w:rsidRPr="00EB1E42">
              <w:rPr>
                <w:rStyle w:val="Hyperlink"/>
                <w:rFonts w:ascii="Arial" w:hAnsi="Arial" w:cs="Arial"/>
                <w:bCs/>
                <w:noProof/>
                <w:sz w:val="24"/>
                <w:szCs w:val="24"/>
              </w:rPr>
              <w:t xml:space="preserve">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24</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095" w:history="1">
            <w:r w:rsidR="00EB1E42" w:rsidRPr="00EB1E42">
              <w:rPr>
                <w:rStyle w:val="Hyperlink"/>
                <w:rFonts w:eastAsiaTheme="majorEastAsia" w:cs="Arial"/>
                <w:bCs/>
                <w:noProof/>
              </w:rPr>
              <w:t xml:space="preserve">Indicator 7C: </w:t>
            </w:r>
            <w:r w:rsidR="00EB1E42" w:rsidRPr="00EB1E42">
              <w:rPr>
                <w:rStyle w:val="Hyperlink"/>
                <w:rFonts w:eastAsiaTheme="majorEastAsia" w:cs="Arial"/>
                <w:noProof/>
              </w:rPr>
              <w:t>Preschool Assessment–Use of Appropriate Behaviors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_Toc77599095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25</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6"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7"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8"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099" w:history="1">
            <w:r w:rsidR="00EB1E42" w:rsidRPr="00EB1E42">
              <w:rPr>
                <w:rStyle w:val="Hyperlink"/>
                <w:rFonts w:ascii="Arial" w:hAnsi="Arial" w:cs="Arial"/>
                <w:noProof/>
                <w:sz w:val="24"/>
                <w:szCs w:val="24"/>
              </w:rPr>
              <w:t>Preschool Outcomes–Use of Appropriate Behaviors</w:t>
            </w:r>
            <w:r w:rsidR="00EB1E42" w:rsidRPr="00EB1E42">
              <w:rPr>
                <w:rStyle w:val="Hyperlink"/>
                <w:rFonts w:ascii="Arial" w:hAnsi="Arial" w:cs="Arial"/>
                <w:bCs/>
                <w:noProof/>
                <w:sz w:val="24"/>
                <w:szCs w:val="24"/>
              </w:rPr>
              <w:t xml:space="preserve">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_Toc77599099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26</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00" w:history="1">
            <w:r w:rsidR="00EB1E42" w:rsidRPr="00EB1E42">
              <w:rPr>
                <w:rStyle w:val="Hyperlink"/>
                <w:rFonts w:eastAsiaTheme="majorEastAsia" w:cs="Arial"/>
                <w:noProof/>
              </w:rPr>
              <w:t>Indicator 8: Percent of Parents Reporting the Schools Facilitated Parental Involvement</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_Toc77599100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27</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1"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2"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3"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4" w:history="1">
            <w:r w:rsidR="00EB1E42" w:rsidRPr="00EB1E42">
              <w:rPr>
                <w:rStyle w:val="Hyperlink"/>
                <w:rFonts w:ascii="Arial" w:hAnsi="Arial" w:cs="Arial"/>
                <w:noProof/>
                <w:sz w:val="24"/>
                <w:szCs w:val="24"/>
              </w:rPr>
              <w:t>Parent Involvement/Input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5" w:history="1">
            <w:r w:rsidR="00EB1E42" w:rsidRPr="00EB1E42">
              <w:rPr>
                <w:rStyle w:val="Hyperlink"/>
                <w:rFonts w:ascii="Arial" w:hAnsi="Arial" w:cs="Arial"/>
                <w:noProof/>
                <w:sz w:val="24"/>
                <w:szCs w:val="24"/>
              </w:rPr>
              <w:t>Parent Involvement/Input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27</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06" w:history="1">
            <w:r w:rsidR="00EB1E42" w:rsidRPr="00EB1E42">
              <w:rPr>
                <w:rStyle w:val="Hyperlink"/>
                <w:rFonts w:eastAsiaTheme="majorEastAsia" w:cs="Arial"/>
                <w:noProof/>
              </w:rPr>
              <w:t xml:space="preserve">Indicator </w:t>
            </w:r>
            <w:r w:rsidR="00EB1E42" w:rsidRPr="00EB1E42">
              <w:rPr>
                <w:rStyle w:val="Hyperlink"/>
                <w:rFonts w:eastAsiaTheme="majorEastAsia" w:cs="Arial"/>
                <w:bCs/>
                <w:noProof/>
              </w:rPr>
              <w:t xml:space="preserve">9: </w:t>
            </w:r>
            <w:r w:rsidR="00EB1E42" w:rsidRPr="00EB1E42">
              <w:rPr>
                <w:rStyle w:val="Hyperlink"/>
                <w:rFonts w:eastAsiaTheme="majorEastAsia" w:cs="Arial"/>
                <w:noProof/>
              </w:rPr>
              <w:t>Disproportionate Representation</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_Toc77599106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28</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7"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8"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09"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_Toc77599109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0" w:history="1">
            <w:r w:rsidR="00EB1E42" w:rsidRPr="00EB1E42">
              <w:rPr>
                <w:rStyle w:val="Hyperlink"/>
                <w:rFonts w:ascii="Arial" w:hAnsi="Arial" w:cs="Arial"/>
                <w:noProof/>
                <w:sz w:val="24"/>
                <w:szCs w:val="24"/>
              </w:rPr>
              <w:t>Disproportionate Representation</w:t>
            </w:r>
            <w:r w:rsidR="00EB1E42" w:rsidRPr="00EB1E42">
              <w:rPr>
                <w:rStyle w:val="Hyperlink"/>
                <w:rFonts w:ascii="Arial" w:hAnsi="Arial" w:cs="Arial"/>
                <w:bCs/>
                <w:noProof/>
                <w:sz w:val="24"/>
                <w:szCs w:val="24"/>
              </w:rPr>
              <w:t xml:space="preserve">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1" w:history="1">
            <w:r w:rsidR="00EB1E42" w:rsidRPr="00EB1E42">
              <w:rPr>
                <w:rStyle w:val="Hyperlink"/>
                <w:rFonts w:ascii="Arial" w:hAnsi="Arial" w:cs="Arial"/>
                <w:noProof/>
                <w:sz w:val="24"/>
                <w:szCs w:val="24"/>
              </w:rPr>
              <w:t>Disproportionate Representation</w:t>
            </w:r>
            <w:r w:rsidR="00EB1E42" w:rsidRPr="00EB1E42">
              <w:rPr>
                <w:rStyle w:val="Hyperlink"/>
                <w:rFonts w:ascii="Arial" w:hAnsi="Arial" w:cs="Arial"/>
                <w:bCs/>
                <w:noProof/>
                <w:sz w:val="24"/>
                <w:szCs w:val="24"/>
              </w:rPr>
              <w:t xml:space="preserve">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28</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12" w:history="1">
            <w:r w:rsidR="00EB1E42" w:rsidRPr="00EB1E42">
              <w:rPr>
                <w:rStyle w:val="Hyperlink"/>
                <w:rFonts w:eastAsiaTheme="majorEastAsia" w:cs="Arial"/>
                <w:bCs/>
                <w:noProof/>
              </w:rPr>
              <w:t xml:space="preserve">Indicator 10: </w:t>
            </w:r>
            <w:r w:rsidR="00EB1E42" w:rsidRPr="00EB1E42">
              <w:rPr>
                <w:rStyle w:val="Hyperlink"/>
                <w:rFonts w:eastAsiaTheme="majorEastAsia" w:cs="Arial"/>
                <w:noProof/>
              </w:rPr>
              <w:t>Disproportionate Representation by Disability Categories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_Toc77599112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29</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3"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29</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4"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29</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5"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29</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6" w:history="1">
            <w:r w:rsidR="00EB1E42" w:rsidRPr="00EB1E42">
              <w:rPr>
                <w:rStyle w:val="Hyperlink"/>
                <w:rFonts w:ascii="Arial" w:hAnsi="Arial" w:cs="Arial"/>
                <w:noProof/>
                <w:sz w:val="24"/>
                <w:szCs w:val="24"/>
              </w:rPr>
              <w:t>Disproportionate Representation in Specific Disability Categories</w:t>
            </w:r>
            <w:r w:rsidR="00EB1E42" w:rsidRPr="00EB1E42">
              <w:rPr>
                <w:rStyle w:val="Hyperlink"/>
                <w:rFonts w:ascii="Arial" w:hAnsi="Arial" w:cs="Arial"/>
                <w:bCs/>
                <w:noProof/>
                <w:sz w:val="24"/>
                <w:szCs w:val="24"/>
              </w:rPr>
              <w:t xml:space="preserve">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29</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7" w:history="1">
            <w:r w:rsidR="00EB1E42" w:rsidRPr="00EB1E42">
              <w:rPr>
                <w:rStyle w:val="Hyperlink"/>
                <w:rFonts w:ascii="Arial" w:hAnsi="Arial" w:cs="Arial"/>
                <w:noProof/>
                <w:sz w:val="24"/>
                <w:szCs w:val="24"/>
              </w:rPr>
              <w:t>Disproportionate Representation in Specific Disability Categories</w:t>
            </w:r>
            <w:r w:rsidR="00EB1E42" w:rsidRPr="00EB1E42">
              <w:rPr>
                <w:rStyle w:val="Hyperlink"/>
                <w:rFonts w:ascii="Arial" w:hAnsi="Arial" w:cs="Arial"/>
                <w:bCs/>
                <w:noProof/>
                <w:sz w:val="24"/>
                <w:szCs w:val="24"/>
              </w:rPr>
              <w:t xml:space="preserve">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29</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18" w:history="1">
            <w:r w:rsidR="00EB1E42" w:rsidRPr="00EB1E42">
              <w:rPr>
                <w:rStyle w:val="Hyperlink"/>
                <w:rFonts w:eastAsiaTheme="majorEastAsia" w:cs="Arial"/>
                <w:noProof/>
              </w:rPr>
              <w:t>Indicator 11: Child Find</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_Toc77599118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30</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19"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_Toc77599119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0"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1"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2" w:history="1">
            <w:r w:rsidR="00EB1E42" w:rsidRPr="00EB1E42">
              <w:rPr>
                <w:rStyle w:val="Hyperlink"/>
                <w:rFonts w:ascii="Arial" w:hAnsi="Arial" w:cs="Arial"/>
                <w:noProof/>
                <w:sz w:val="24"/>
                <w:szCs w:val="24"/>
              </w:rPr>
              <w:t>Child Find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30</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3" w:history="1">
            <w:r w:rsidR="00EB1E42" w:rsidRPr="00EB1E42">
              <w:rPr>
                <w:rStyle w:val="Hyperlink"/>
                <w:rFonts w:ascii="Arial" w:hAnsi="Arial" w:cs="Arial"/>
                <w:noProof/>
                <w:sz w:val="24"/>
                <w:szCs w:val="24"/>
              </w:rPr>
              <w:t>Child Find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30</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24" w:history="1">
            <w:r w:rsidR="00EB1E42" w:rsidRPr="00EB1E42">
              <w:rPr>
                <w:rStyle w:val="Hyperlink"/>
                <w:rFonts w:eastAsiaTheme="majorEastAsia" w:cs="Arial"/>
                <w:noProof/>
              </w:rPr>
              <w:t>Indicator 12: Early Childhood Transition</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_Toc77599124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31</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5"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6"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7"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31</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28" w:history="1">
            <w:r w:rsidR="00EB1E42" w:rsidRPr="00EB1E42">
              <w:rPr>
                <w:rStyle w:val="Hyperlink"/>
                <w:rFonts w:ascii="Arial" w:hAnsi="Arial" w:cs="Arial"/>
                <w:noProof/>
                <w:sz w:val="24"/>
                <w:szCs w:val="24"/>
              </w:rPr>
              <w:t>Early Childhood Transition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_Toc77599128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32</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29" w:history="1">
            <w:r w:rsidR="00EB1E42" w:rsidRPr="00EB1E42">
              <w:rPr>
                <w:rStyle w:val="Hyperlink"/>
                <w:rFonts w:eastAsiaTheme="majorEastAsia" w:cs="Arial"/>
                <w:noProof/>
              </w:rPr>
              <w:t>Indicator 13: Secondary Transition</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_Toc77599129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33</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0"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1"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2"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3" w:history="1">
            <w:r w:rsidR="00EB1E42" w:rsidRPr="00EB1E42">
              <w:rPr>
                <w:rStyle w:val="Hyperlink"/>
                <w:rFonts w:ascii="Arial" w:hAnsi="Arial" w:cs="Arial"/>
                <w:noProof/>
                <w:sz w:val="24"/>
                <w:szCs w:val="24"/>
              </w:rPr>
              <w:t>Secondary Transition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33</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4" w:history="1">
            <w:r w:rsidR="00EB1E42" w:rsidRPr="00EB1E42">
              <w:rPr>
                <w:rStyle w:val="Hyperlink"/>
                <w:rFonts w:ascii="Arial" w:hAnsi="Arial" w:cs="Arial"/>
                <w:noProof/>
                <w:sz w:val="24"/>
                <w:szCs w:val="24"/>
              </w:rPr>
              <w:t>Secondary Transition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33</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35" w:history="1">
            <w:r w:rsidR="00EB1E42" w:rsidRPr="00EB1E42">
              <w:rPr>
                <w:rStyle w:val="Hyperlink"/>
                <w:rFonts w:eastAsiaTheme="majorEastAsia" w:cs="Arial"/>
                <w:noProof/>
              </w:rPr>
              <w:t>Indicator 14: Post-school Outcomes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_Toc77599135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34</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6"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34</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7"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34</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8"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34</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39" w:history="1">
            <w:r w:rsidR="00EB1E42" w:rsidRPr="00EB1E42">
              <w:rPr>
                <w:rStyle w:val="Hyperlink"/>
                <w:rFonts w:ascii="Arial" w:hAnsi="Arial" w:cs="Arial"/>
                <w:noProof/>
                <w:sz w:val="24"/>
                <w:szCs w:val="24"/>
              </w:rPr>
              <w:t>Post-school Outcomes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_Toc77599139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35</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0" w:history="1">
            <w:r w:rsidR="00EB1E42" w:rsidRPr="00EB1E42">
              <w:rPr>
                <w:rStyle w:val="Hyperlink"/>
                <w:rFonts w:ascii="Arial" w:hAnsi="Arial" w:cs="Arial"/>
                <w:noProof/>
                <w:sz w:val="24"/>
                <w:szCs w:val="24"/>
              </w:rPr>
              <w:t>Post-school Outcomes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35</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41" w:history="1">
            <w:r w:rsidR="00EB1E42" w:rsidRPr="00EB1E42">
              <w:rPr>
                <w:rStyle w:val="Hyperlink"/>
                <w:rFonts w:eastAsiaTheme="majorEastAsia" w:cs="Arial"/>
                <w:noProof/>
              </w:rPr>
              <w:t>Indicator 15: Resolution Sessions</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_Toc77599141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36</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2"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3"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_Toc77599143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4" w:history="1">
            <w:r w:rsidR="00EB1E42" w:rsidRPr="00EB1E42">
              <w:rPr>
                <w:rStyle w:val="Hyperlink"/>
                <w:rFonts w:ascii="Arial" w:hAnsi="Arial" w:cs="Arial"/>
                <w:bCs/>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5" w:history="1">
            <w:r w:rsidR="00EB1E42" w:rsidRPr="00EB1E42">
              <w:rPr>
                <w:rStyle w:val="Hyperlink"/>
                <w:rFonts w:ascii="Arial" w:hAnsi="Arial" w:cs="Arial"/>
                <w:noProof/>
                <w:sz w:val="24"/>
                <w:szCs w:val="24"/>
              </w:rPr>
              <w:t>Resolution Sessions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36</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6" w:history="1">
            <w:r w:rsidR="00EB1E42" w:rsidRPr="00EB1E42">
              <w:rPr>
                <w:rStyle w:val="Hyperlink"/>
                <w:rFonts w:ascii="Arial" w:hAnsi="Arial" w:cs="Arial"/>
                <w:noProof/>
                <w:sz w:val="24"/>
                <w:szCs w:val="24"/>
              </w:rPr>
              <w:t>Resolution Sessions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36</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47" w:history="1">
            <w:r w:rsidR="00EB1E42" w:rsidRPr="00EB1E42">
              <w:rPr>
                <w:rStyle w:val="Hyperlink"/>
                <w:rFonts w:eastAsiaTheme="majorEastAsia" w:cs="Arial"/>
                <w:noProof/>
              </w:rPr>
              <w:t>Indicator 16: Mediation</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_Toc77599147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37</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8"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49"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_Toc77599149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0"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_Toc77599150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1" w:history="1">
            <w:r w:rsidR="00EB1E42" w:rsidRPr="00EB1E42">
              <w:rPr>
                <w:rStyle w:val="Hyperlink"/>
                <w:rFonts w:ascii="Arial" w:hAnsi="Arial" w:cs="Arial"/>
                <w:noProof/>
                <w:sz w:val="24"/>
                <w:szCs w:val="24"/>
              </w:rPr>
              <w:t>Mediation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_Toc77599151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37</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2" w:history="1">
            <w:r w:rsidR="00EB1E42" w:rsidRPr="00EB1E42">
              <w:rPr>
                <w:rStyle w:val="Hyperlink"/>
                <w:rFonts w:ascii="Arial" w:hAnsi="Arial" w:cs="Arial"/>
                <w:noProof/>
                <w:sz w:val="24"/>
                <w:szCs w:val="24"/>
              </w:rPr>
              <w:t>Mediation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_Toc77599152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37</w:t>
            </w:r>
            <w:r w:rsidR="00EB1E42" w:rsidRPr="00EB1E42">
              <w:rPr>
                <w:rFonts w:ascii="Arial" w:hAnsi="Arial" w:cs="Arial"/>
                <w:noProof/>
                <w:webHidden/>
                <w:sz w:val="24"/>
                <w:szCs w:val="24"/>
              </w:rPr>
              <w:fldChar w:fldCharType="end"/>
            </w:r>
          </w:hyperlink>
        </w:p>
        <w:p w:rsidR="00EB1E42" w:rsidRPr="00EB1E42" w:rsidRDefault="005C5997" w:rsidP="00EB1E42">
          <w:pPr>
            <w:pStyle w:val="TOC2"/>
            <w:tabs>
              <w:tab w:val="right" w:leader="dot" w:pos="9350"/>
            </w:tabs>
            <w:rPr>
              <w:rFonts w:eastAsiaTheme="minorEastAsia" w:cs="Arial"/>
              <w:noProof/>
            </w:rPr>
          </w:pPr>
          <w:hyperlink w:anchor="_Toc77599153" w:history="1">
            <w:r w:rsidR="00EB1E42" w:rsidRPr="00EB1E42">
              <w:rPr>
                <w:rStyle w:val="Hyperlink"/>
                <w:rFonts w:eastAsiaTheme="majorEastAsia" w:cs="Arial"/>
                <w:noProof/>
              </w:rPr>
              <w:t>Indicator 17: State Systemic Improvement Plan</w:t>
            </w:r>
            <w:r w:rsidR="00EB1E42" w:rsidRPr="00EB1E42">
              <w:rPr>
                <w:rFonts w:cs="Arial"/>
                <w:noProof/>
                <w:webHidden/>
              </w:rPr>
              <w:tab/>
            </w:r>
            <w:r w:rsidR="00EB1E42" w:rsidRPr="00EB1E42">
              <w:rPr>
                <w:rFonts w:cs="Arial"/>
                <w:noProof/>
                <w:webHidden/>
              </w:rPr>
              <w:fldChar w:fldCharType="begin"/>
            </w:r>
            <w:r w:rsidR="00EB1E42" w:rsidRPr="00EB1E42">
              <w:rPr>
                <w:rFonts w:cs="Arial"/>
                <w:noProof/>
                <w:webHidden/>
              </w:rPr>
              <w:instrText xml:space="preserve"> PAGEREF _Toc77599153 \h </w:instrText>
            </w:r>
            <w:r w:rsidR="00EB1E42" w:rsidRPr="00EB1E42">
              <w:rPr>
                <w:rFonts w:cs="Arial"/>
                <w:noProof/>
                <w:webHidden/>
              </w:rPr>
            </w:r>
            <w:r w:rsidR="00EB1E42" w:rsidRPr="00EB1E42">
              <w:rPr>
                <w:rFonts w:cs="Arial"/>
                <w:noProof/>
                <w:webHidden/>
              </w:rPr>
              <w:fldChar w:fldCharType="separate"/>
            </w:r>
            <w:r w:rsidR="00EB1E42" w:rsidRPr="00EB1E42">
              <w:rPr>
                <w:rFonts w:cs="Arial"/>
                <w:noProof/>
                <w:webHidden/>
              </w:rPr>
              <w:t>38</w:t>
            </w:r>
            <w:r w:rsidR="00EB1E42" w:rsidRPr="00EB1E42">
              <w:rPr>
                <w:rFonts w:cs="Arial"/>
                <w:noProof/>
                <w:webHidden/>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4" w:history="1">
            <w:r w:rsidR="00EB1E42" w:rsidRPr="00EB1E42">
              <w:rPr>
                <w:rStyle w:val="Hyperlink"/>
                <w:rFonts w:ascii="Arial" w:hAnsi="Arial" w:cs="Arial"/>
                <w:noProof/>
                <w:sz w:val="24"/>
                <w:szCs w:val="24"/>
              </w:rPr>
              <w:t>Measurement</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_Toc77599154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5" w:history="1">
            <w:r w:rsidR="00EB1E42" w:rsidRPr="00EB1E42">
              <w:rPr>
                <w:rStyle w:val="Hyperlink"/>
                <w:rFonts w:ascii="Arial" w:hAnsi="Arial" w:cs="Arial"/>
                <w:noProof/>
                <w:sz w:val="24"/>
                <w:szCs w:val="24"/>
              </w:rPr>
              <w:t>Notable Change(s)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_Toc77599155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6" w:history="1">
            <w:r w:rsidR="00EB1E42" w:rsidRPr="00EB1E42">
              <w:rPr>
                <w:rStyle w:val="Hyperlink"/>
                <w:rFonts w:ascii="Arial" w:hAnsi="Arial" w:cs="Arial"/>
                <w:noProof/>
                <w:sz w:val="24"/>
                <w:szCs w:val="24"/>
              </w:rPr>
              <w:t>Stakeholder Feedback</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_Toc77599156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7" w:history="1">
            <w:r w:rsidR="00EB1E42" w:rsidRPr="00EB1E42">
              <w:rPr>
                <w:rStyle w:val="Hyperlink"/>
                <w:rFonts w:ascii="Arial" w:hAnsi="Arial" w:cs="Arial"/>
                <w:noProof/>
                <w:sz w:val="24"/>
                <w:szCs w:val="24"/>
              </w:rPr>
              <w:t>SSIP New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_Toc77599157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38</w:t>
            </w:r>
            <w:r w:rsidR="00EB1E42" w:rsidRPr="00EB1E42">
              <w:rPr>
                <w:rFonts w:ascii="Arial" w:hAnsi="Arial" w:cs="Arial"/>
                <w:noProof/>
                <w:webHidden/>
                <w:sz w:val="24"/>
                <w:szCs w:val="24"/>
              </w:rPr>
              <w:fldChar w:fldCharType="end"/>
            </w:r>
          </w:hyperlink>
        </w:p>
        <w:p w:rsidR="00EB1E42" w:rsidRPr="00EB1E42" w:rsidRDefault="005C5997" w:rsidP="00EB1E42">
          <w:pPr>
            <w:pStyle w:val="TOC3"/>
            <w:tabs>
              <w:tab w:val="right" w:leader="dot" w:pos="9350"/>
            </w:tabs>
            <w:rPr>
              <w:rFonts w:ascii="Arial" w:hAnsi="Arial" w:cs="Arial"/>
              <w:noProof/>
              <w:sz w:val="24"/>
              <w:szCs w:val="24"/>
            </w:rPr>
          </w:pPr>
          <w:hyperlink w:anchor="_Toc77599158" w:history="1">
            <w:r w:rsidR="00EB1E42" w:rsidRPr="00EB1E42">
              <w:rPr>
                <w:rStyle w:val="Hyperlink"/>
                <w:rFonts w:ascii="Arial" w:hAnsi="Arial" w:cs="Arial"/>
                <w:noProof/>
                <w:sz w:val="24"/>
                <w:szCs w:val="24"/>
              </w:rPr>
              <w:t>SSIP Old Targets</w:t>
            </w:r>
            <w:r w:rsidR="00EB1E42" w:rsidRPr="00EB1E42">
              <w:rPr>
                <w:rFonts w:ascii="Arial" w:hAnsi="Arial" w:cs="Arial"/>
                <w:noProof/>
                <w:webHidden/>
                <w:sz w:val="24"/>
                <w:szCs w:val="24"/>
              </w:rPr>
              <w:tab/>
            </w:r>
            <w:r w:rsidR="00EB1E42" w:rsidRPr="00EB1E42">
              <w:rPr>
                <w:rFonts w:ascii="Arial" w:hAnsi="Arial" w:cs="Arial"/>
                <w:noProof/>
                <w:webHidden/>
                <w:sz w:val="24"/>
                <w:szCs w:val="24"/>
              </w:rPr>
              <w:fldChar w:fldCharType="begin"/>
            </w:r>
            <w:r w:rsidR="00EB1E42" w:rsidRPr="00EB1E42">
              <w:rPr>
                <w:rFonts w:ascii="Arial" w:hAnsi="Arial" w:cs="Arial"/>
                <w:noProof/>
                <w:webHidden/>
                <w:sz w:val="24"/>
                <w:szCs w:val="24"/>
              </w:rPr>
              <w:instrText xml:space="preserve"> PAGEREF _Toc77599158 \h </w:instrText>
            </w:r>
            <w:r w:rsidR="00EB1E42" w:rsidRPr="00EB1E42">
              <w:rPr>
                <w:rFonts w:ascii="Arial" w:hAnsi="Arial" w:cs="Arial"/>
                <w:noProof/>
                <w:webHidden/>
                <w:sz w:val="24"/>
                <w:szCs w:val="24"/>
              </w:rPr>
            </w:r>
            <w:r w:rsidR="00EB1E42" w:rsidRPr="00EB1E42">
              <w:rPr>
                <w:rFonts w:ascii="Arial" w:hAnsi="Arial" w:cs="Arial"/>
                <w:noProof/>
                <w:webHidden/>
                <w:sz w:val="24"/>
                <w:szCs w:val="24"/>
              </w:rPr>
              <w:fldChar w:fldCharType="separate"/>
            </w:r>
            <w:r w:rsidR="00EB1E42" w:rsidRPr="00EB1E42">
              <w:rPr>
                <w:rFonts w:ascii="Arial" w:hAnsi="Arial" w:cs="Arial"/>
                <w:noProof/>
                <w:webHidden/>
                <w:sz w:val="24"/>
                <w:szCs w:val="24"/>
              </w:rPr>
              <w:t>38</w:t>
            </w:r>
            <w:r w:rsidR="00EB1E42" w:rsidRPr="00EB1E42">
              <w:rPr>
                <w:rFonts w:ascii="Arial" w:hAnsi="Arial" w:cs="Arial"/>
                <w:noProof/>
                <w:webHidden/>
                <w:sz w:val="24"/>
                <w:szCs w:val="24"/>
              </w:rPr>
              <w:fldChar w:fldCharType="end"/>
            </w:r>
          </w:hyperlink>
        </w:p>
        <w:p w:rsidR="00EB1E42" w:rsidRPr="00EB1E42" w:rsidRDefault="00EB1E42" w:rsidP="00EB1E42">
          <w:pPr>
            <w:rPr>
              <w:rFonts w:cs="Arial"/>
            </w:rPr>
          </w:pPr>
          <w:r w:rsidRPr="00EB1E42">
            <w:rPr>
              <w:rFonts w:cs="Arial"/>
              <w:b/>
              <w:bCs/>
              <w:noProof/>
              <w:color w:val="2B579A"/>
              <w:shd w:val="clear" w:color="auto" w:fill="E6E6E6"/>
            </w:rPr>
            <w:fldChar w:fldCharType="end"/>
          </w:r>
        </w:p>
      </w:sdtContent>
    </w:sdt>
    <w:p w:rsidR="00EB1E42" w:rsidRDefault="00EB1E42" w:rsidP="00EB1E42">
      <w:pPr>
        <w:pStyle w:val="Heading2"/>
        <w:spacing w:before="0" w:after="240"/>
      </w:pPr>
      <w:r>
        <w:br w:type="page"/>
      </w:r>
    </w:p>
    <w:p w:rsidR="00EB1E42" w:rsidRDefault="00EB1E42" w:rsidP="00EB1E42">
      <w:pPr>
        <w:pStyle w:val="Heading2"/>
        <w:spacing w:before="0" w:after="240"/>
      </w:pPr>
      <w:bookmarkStart w:id="50" w:name="_Toc57198990"/>
      <w:bookmarkStart w:id="51" w:name="_Toc77599037"/>
      <w:r>
        <w:lastRenderedPageBreak/>
        <w:t>Special Education in California</w:t>
      </w:r>
      <w:bookmarkEnd w:id="50"/>
      <w:bookmarkEnd w:id="51"/>
    </w:p>
    <w:p w:rsidR="00EB1E42" w:rsidRDefault="00EB1E42" w:rsidP="00EB1E42">
      <w:pPr>
        <w:spacing w:after="240"/>
      </w:pPr>
      <w:r>
        <w:t>The California Department of Education (CDE) provides state leadership and policy guidance to local educational agencies (LEAs) for special education programs and services for students with disabilities, birth to twenty-two years. Special education is defined as specially designed instruction and services, at no cost to parents, to meet the unique needs of students with disabilities. Special education services are available in a variety of settings, including early learning and care, preschool, regular classrooms, classrooms that emphasize specially designed instruction, the community, and the work environment.</w:t>
      </w:r>
    </w:p>
    <w:p w:rsidR="00EB1E42" w:rsidRDefault="00EB1E42" w:rsidP="00EB1E42">
      <w:pPr>
        <w:spacing w:after="240"/>
      </w:pPr>
      <w:r>
        <w:t xml:space="preserve">The CDE also provides families with information on the education of students with disabilities and works cooperatively with other state agencies to provide a range of services from family-centered services for infant and preschool children with disabilities to planned steps for transition from high school to employment and quality adult life. The CDE responds to consumer complaints and administers programs related to the federal Individuals with Disabilities Education Act of 2004 (IDEA) and </w:t>
      </w:r>
      <w:proofErr w:type="gramStart"/>
      <w:r>
        <w:t>the Every</w:t>
      </w:r>
      <w:proofErr w:type="gramEnd"/>
      <w:r>
        <w:t xml:space="preserve"> Student Succeeds Act (ESSA) for students with disabilities in California.</w:t>
      </w:r>
    </w:p>
    <w:p w:rsidR="00EB1E42" w:rsidRDefault="00EB1E42" w:rsidP="00EB1E42">
      <w:pPr>
        <w:pStyle w:val="Heading2"/>
        <w:spacing w:before="0" w:after="240"/>
      </w:pPr>
      <w:bookmarkStart w:id="52" w:name="_Toc77599038"/>
      <w:r>
        <w:t>Introduction</w:t>
      </w:r>
      <w:bookmarkEnd w:id="52"/>
    </w:p>
    <w:p w:rsidR="00EB1E42" w:rsidRDefault="00EB1E42" w:rsidP="00EB1E42">
      <w:r>
        <w:t xml:space="preserve">In accordance with the Individuals with Disabilities Education Act of 2004 (IDEA), California is required to submit an Annual Performance Report (APR) to the U.S. Department of Education (ED) on California’s performance and progress meeting targets defined in the State Performance Plan (SPP). The APR requires the California Department of Education (CDE) to report on 17 indicators that examines a comprehensive array of compliance and performance requirements relating to the provision of special education and related services. The current seven-year cycle of the SPP, which included Federal Fiscal Years (FFYs) 2013 to 2019, is ending. The CDE is tasked with developing and </w:t>
      </w:r>
      <w:r w:rsidR="00E82C4D">
        <w:t xml:space="preserve">recommending </w:t>
      </w:r>
      <w:r>
        <w:t>new targets for the performance indicators for the next six years.</w:t>
      </w:r>
    </w:p>
    <w:p w:rsidR="00EB1E42" w:rsidRDefault="00EB1E42" w:rsidP="00EB1E42">
      <w:pPr>
        <w:rPr>
          <w:szCs w:val="22"/>
        </w:rPr>
      </w:pPr>
    </w:p>
    <w:p w:rsidR="00EB1E42" w:rsidRDefault="00EB1E42" w:rsidP="00EB1E42">
      <w:r>
        <w:t xml:space="preserve">Beginning in August 2019 the CDE commenced a series of stakeholder meetings to </w:t>
      </w:r>
      <w:r w:rsidR="00E82C4D">
        <w:t xml:space="preserve">discuss and recommend </w:t>
      </w:r>
      <w:r>
        <w:t xml:space="preserve">targets for the new six-year cycle of the SPP. These meetings were held over a two-year period and were designed to engage stakeholders from various backgrounds - educators, parents, school administrators, policy advisors, school psychologists, Family Empowerment Centers, early education, advocacy groups, and state advisory board members. The CDE leveraged these stakeholders, with their breadth and depth of knowledge, to help inform the </w:t>
      </w:r>
      <w:r w:rsidR="00E82C4D">
        <w:t xml:space="preserve">development </w:t>
      </w:r>
      <w:r>
        <w:t xml:space="preserve">of </w:t>
      </w:r>
      <w:r w:rsidR="00E82C4D">
        <w:t xml:space="preserve">a </w:t>
      </w:r>
      <w:r>
        <w:t xml:space="preserve">new </w:t>
      </w:r>
      <w:r w:rsidR="00E82C4D">
        <w:t xml:space="preserve">set of </w:t>
      </w:r>
      <w:r>
        <w:t>rigorous state targets</w:t>
      </w:r>
      <w:r w:rsidR="00E82C4D">
        <w:t xml:space="preserve"> for the next six-year SPP cycle</w:t>
      </w:r>
      <w:r>
        <w:t xml:space="preserve">. </w:t>
      </w:r>
    </w:p>
    <w:p w:rsidR="00EB1E42" w:rsidRDefault="00EB1E42" w:rsidP="00EB1E42"/>
    <w:p w:rsidR="00EB1E42" w:rsidRDefault="00E82C4D" w:rsidP="00EB1E42">
      <w:r>
        <w:rPr>
          <w:rFonts w:cs="Arial"/>
        </w:rPr>
        <w:t xml:space="preserve">During stakeholder meetings, CDE staff thoroughly reviewed the twelve performance indicators. </w:t>
      </w:r>
      <w:r w:rsidR="00EB1E42">
        <w:t>The remaining indicators under the SPP are compliance indicators</w:t>
      </w:r>
      <w:r>
        <w:t xml:space="preserve">, with targets set at zero or one hundred percent by </w:t>
      </w:r>
      <w:r w:rsidR="00EB1E42">
        <w:t>the Office of Special Education Programs (OSEP). The twelve indicators were partnered with detailed presentation</w:t>
      </w:r>
      <w:r>
        <w:t>s</w:t>
      </w:r>
      <w:r w:rsidR="00EB1E42">
        <w:t xml:space="preserve"> to inform the stakeholders </w:t>
      </w:r>
      <w:r>
        <w:t>of</w:t>
      </w:r>
      <w:r w:rsidR="00EB1E42">
        <w:t xml:space="preserve"> the history and data trends to make informed recommendations. The </w:t>
      </w:r>
      <w:r w:rsidR="00EB1E42">
        <w:lastRenderedPageBreak/>
        <w:t>presentations included how each indicator is defined, measured, and calculated</w:t>
      </w:r>
      <w:r>
        <w:t>; a</w:t>
      </w:r>
      <w:r w:rsidR="00EB1E42">
        <w:t>n in-depth history of statewide results over the last five years</w:t>
      </w:r>
      <w:r>
        <w:t>;</w:t>
      </w:r>
      <w:r w:rsidR="00EB1E42">
        <w:t xml:space="preserve"> and how California compares to similar states, along with data forecasting was also included. </w:t>
      </w:r>
    </w:p>
    <w:p w:rsidR="00EB1E42" w:rsidRDefault="00EB1E42" w:rsidP="00EB1E42"/>
    <w:p w:rsidR="00EB1E42" w:rsidRDefault="00EB1E42" w:rsidP="00EB1E42">
      <w:r>
        <w:t xml:space="preserve">Outlined in this report are the SPP target recommendations for FFY 2020 to FFY 2025. </w:t>
      </w:r>
    </w:p>
    <w:p w:rsidR="00EB1E42" w:rsidRDefault="00EB1E42" w:rsidP="00EB1E42"/>
    <w:p w:rsidR="00EB1E42" w:rsidRDefault="00EB1E42" w:rsidP="00EB1E42">
      <w:pPr>
        <w:pStyle w:val="Heading3"/>
        <w:spacing w:before="100" w:beforeAutospacing="1" w:after="240"/>
      </w:pPr>
      <w:bookmarkStart w:id="53" w:name="_Toc77599039"/>
      <w:r>
        <w:t>Table 1: California State Indicators</w:t>
      </w:r>
      <w:bookmarkEnd w:id="53"/>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EB1E42" w:rsidTr="00704E41">
        <w:trPr>
          <w:trHeight w:val="353"/>
          <w:tblHeader/>
          <w:jc w:val="center"/>
        </w:trPr>
        <w:tc>
          <w:tcPr>
            <w:tcW w:w="2096" w:type="dxa"/>
            <w:hideMark/>
          </w:tcPr>
          <w:p w:rsidR="00EB1E42" w:rsidRPr="00BD0001" w:rsidRDefault="00EB1E42" w:rsidP="00704E41">
            <w:pPr>
              <w:jc w:val="center"/>
              <w:rPr>
                <w:rFonts w:cs="Arial"/>
                <w:b/>
              </w:rPr>
            </w:pPr>
            <w:r w:rsidRPr="00BD0001">
              <w:rPr>
                <w:rFonts w:cs="Arial"/>
                <w:b/>
              </w:rPr>
              <w:t>Indicator Type</w:t>
            </w:r>
          </w:p>
        </w:tc>
        <w:tc>
          <w:tcPr>
            <w:tcW w:w="620" w:type="dxa"/>
            <w:hideMark/>
          </w:tcPr>
          <w:p w:rsidR="00EB1E42" w:rsidRPr="00BD0001" w:rsidRDefault="00EB1E42" w:rsidP="00704E41">
            <w:pPr>
              <w:jc w:val="center"/>
              <w:rPr>
                <w:rFonts w:cs="Arial"/>
                <w:b/>
              </w:rPr>
            </w:pPr>
            <w:r w:rsidRPr="00BD0001">
              <w:rPr>
                <w:rFonts w:cs="Arial"/>
                <w:b/>
              </w:rPr>
              <w:t>No.</w:t>
            </w:r>
          </w:p>
        </w:tc>
        <w:tc>
          <w:tcPr>
            <w:tcW w:w="7932" w:type="dxa"/>
            <w:hideMark/>
          </w:tcPr>
          <w:p w:rsidR="00EB1E42" w:rsidRPr="00BD0001" w:rsidRDefault="00EB1E42" w:rsidP="00704E41">
            <w:pPr>
              <w:jc w:val="center"/>
              <w:rPr>
                <w:rFonts w:cs="Arial"/>
                <w:b/>
              </w:rPr>
            </w:pPr>
            <w:r w:rsidRPr="00BD0001">
              <w:rPr>
                <w:rFonts w:cs="Arial"/>
                <w:b/>
              </w:rPr>
              <w:t>Description</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1</w:t>
            </w:r>
          </w:p>
        </w:tc>
        <w:tc>
          <w:tcPr>
            <w:tcW w:w="7932" w:type="dxa"/>
            <w:hideMark/>
          </w:tcPr>
          <w:p w:rsidR="00EB1E42" w:rsidRDefault="00EB1E42" w:rsidP="00704E41">
            <w:pPr>
              <w:tabs>
                <w:tab w:val="right" w:pos="762"/>
              </w:tabs>
              <w:rPr>
                <w:rFonts w:cs="Arial"/>
              </w:rPr>
            </w:pPr>
            <w:r>
              <w:rPr>
                <w:rFonts w:cs="Arial"/>
              </w:rPr>
              <w:t>Graduation Rates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2</w:t>
            </w:r>
          </w:p>
        </w:tc>
        <w:tc>
          <w:tcPr>
            <w:tcW w:w="7932" w:type="dxa"/>
            <w:hideMark/>
          </w:tcPr>
          <w:p w:rsidR="00EB1E42" w:rsidRDefault="00EB1E42" w:rsidP="00704E41">
            <w:pPr>
              <w:tabs>
                <w:tab w:val="right" w:pos="762"/>
              </w:tabs>
              <w:rPr>
                <w:rFonts w:cs="Arial"/>
              </w:rPr>
            </w:pPr>
            <w:r>
              <w:rPr>
                <w:rFonts w:cs="Arial"/>
              </w:rPr>
              <w:t>Dropout Rates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3</w:t>
            </w:r>
          </w:p>
        </w:tc>
        <w:tc>
          <w:tcPr>
            <w:tcW w:w="7932" w:type="dxa"/>
            <w:hideMark/>
          </w:tcPr>
          <w:p w:rsidR="00EB1E42" w:rsidRDefault="00EB1E42" w:rsidP="00704E41">
            <w:pPr>
              <w:tabs>
                <w:tab w:val="right" w:pos="762"/>
              </w:tabs>
              <w:rPr>
                <w:rFonts w:cs="Arial"/>
              </w:rPr>
            </w:pPr>
            <w:r>
              <w:rPr>
                <w:rFonts w:cs="Arial"/>
              </w:rPr>
              <w:t>Statewide Assessments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3A</w:t>
            </w:r>
          </w:p>
        </w:tc>
        <w:tc>
          <w:tcPr>
            <w:tcW w:w="7932" w:type="dxa"/>
            <w:hideMark/>
          </w:tcPr>
          <w:p w:rsidR="00EB1E42" w:rsidRDefault="00EB1E42" w:rsidP="00704E41">
            <w:pPr>
              <w:tabs>
                <w:tab w:val="right" w:pos="762"/>
              </w:tabs>
              <w:rPr>
                <w:rFonts w:cs="Arial"/>
              </w:rPr>
            </w:pPr>
            <w:r>
              <w:rPr>
                <w:rFonts w:cs="Arial"/>
              </w:rPr>
              <w:t>Participation for Students with Disabilities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Pr="0081566F" w:rsidRDefault="00EB1E42" w:rsidP="00704E41">
            <w:pPr>
              <w:tabs>
                <w:tab w:val="right" w:pos="762"/>
              </w:tabs>
              <w:jc w:val="center"/>
              <w:rPr>
                <w:rFonts w:cs="Arial"/>
                <w:b/>
              </w:rPr>
            </w:pPr>
            <w:r>
              <w:rPr>
                <w:rFonts w:cs="Arial"/>
              </w:rPr>
              <w:t>3B</w:t>
            </w:r>
          </w:p>
        </w:tc>
        <w:tc>
          <w:tcPr>
            <w:tcW w:w="7932" w:type="dxa"/>
            <w:hideMark/>
          </w:tcPr>
          <w:p w:rsidR="00EB1E42" w:rsidRDefault="00EB1E42" w:rsidP="00704E41">
            <w:pPr>
              <w:tabs>
                <w:tab w:val="right" w:pos="762"/>
              </w:tabs>
              <w:rPr>
                <w:rFonts w:cs="Arial"/>
              </w:rPr>
            </w:pPr>
            <w:r>
              <w:rPr>
                <w:rFonts w:cs="Arial"/>
              </w:rPr>
              <w:t>Proficiency for Students with Disabilities against grade level academic standards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3C</w:t>
            </w:r>
          </w:p>
        </w:tc>
        <w:tc>
          <w:tcPr>
            <w:tcW w:w="7932" w:type="dxa"/>
            <w:hideMark/>
          </w:tcPr>
          <w:p w:rsidR="00EB1E42" w:rsidRDefault="00EB1E42" w:rsidP="00704E41">
            <w:pPr>
              <w:tabs>
                <w:tab w:val="right" w:pos="762"/>
              </w:tabs>
              <w:rPr>
                <w:rFonts w:cs="Arial"/>
              </w:rPr>
            </w:pPr>
            <w:r>
              <w:rPr>
                <w:rFonts w:cs="Arial"/>
              </w:rPr>
              <w:t>Proficiency for Students with Disabilities against alternate academic standards</w:t>
            </w:r>
          </w:p>
        </w:tc>
      </w:tr>
      <w:tr w:rsidR="00EB1E42" w:rsidTr="00704E41">
        <w:trPr>
          <w:trHeight w:val="288"/>
          <w:jc w:val="center"/>
        </w:trPr>
        <w:tc>
          <w:tcPr>
            <w:tcW w:w="2096" w:type="dxa"/>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3D</w:t>
            </w:r>
          </w:p>
        </w:tc>
        <w:tc>
          <w:tcPr>
            <w:tcW w:w="7932" w:type="dxa"/>
          </w:tcPr>
          <w:p w:rsidR="00EB1E42" w:rsidRDefault="00EB1E42" w:rsidP="00704E41">
            <w:pPr>
              <w:tabs>
                <w:tab w:val="right" w:pos="762"/>
              </w:tabs>
              <w:rPr>
                <w:rFonts w:cs="Arial"/>
              </w:rPr>
            </w:pPr>
            <w:r>
              <w:rPr>
                <w:rFonts w:cs="Arial"/>
              </w:rPr>
              <w:t>Proficiency Gap Rates</w:t>
            </w:r>
          </w:p>
        </w:tc>
      </w:tr>
      <w:tr w:rsidR="00EB1E42" w:rsidTr="00704E41">
        <w:trPr>
          <w:trHeight w:val="288"/>
          <w:jc w:val="center"/>
        </w:trPr>
        <w:tc>
          <w:tcPr>
            <w:tcW w:w="2096" w:type="dxa"/>
            <w:hideMark/>
          </w:tcPr>
          <w:p w:rsidR="00EB1E42" w:rsidRDefault="00EB1E42" w:rsidP="00704E41">
            <w:pPr>
              <w:rPr>
                <w:rFonts w:cs="Arial"/>
              </w:rPr>
            </w:pPr>
            <w:r>
              <w:rPr>
                <w:rFonts w:cs="Arial"/>
              </w:rPr>
              <w:t>Combined</w:t>
            </w:r>
          </w:p>
        </w:tc>
        <w:tc>
          <w:tcPr>
            <w:tcW w:w="620" w:type="dxa"/>
            <w:hideMark/>
          </w:tcPr>
          <w:p w:rsidR="00EB1E42" w:rsidRDefault="00EB1E42" w:rsidP="00704E41">
            <w:pPr>
              <w:tabs>
                <w:tab w:val="right" w:pos="762"/>
              </w:tabs>
              <w:jc w:val="center"/>
              <w:rPr>
                <w:rFonts w:cs="Arial"/>
              </w:rPr>
            </w:pPr>
            <w:r>
              <w:rPr>
                <w:rFonts w:cs="Arial"/>
              </w:rPr>
              <w:t>4</w:t>
            </w:r>
          </w:p>
        </w:tc>
        <w:tc>
          <w:tcPr>
            <w:tcW w:w="7932" w:type="dxa"/>
            <w:hideMark/>
          </w:tcPr>
          <w:p w:rsidR="00EB1E42" w:rsidRDefault="00EB1E42" w:rsidP="00704E41">
            <w:pPr>
              <w:tabs>
                <w:tab w:val="right" w:pos="762"/>
              </w:tabs>
              <w:rPr>
                <w:rFonts w:cs="Arial"/>
              </w:rPr>
            </w:pPr>
            <w:r>
              <w:rPr>
                <w:rFonts w:cs="Arial"/>
              </w:rPr>
              <w:t>Suspension and Expulsion</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612"/>
                <w:tab w:val="right" w:pos="762"/>
              </w:tabs>
              <w:jc w:val="center"/>
              <w:rPr>
                <w:rFonts w:cs="Arial"/>
              </w:rPr>
            </w:pPr>
            <w:r>
              <w:rPr>
                <w:rFonts w:cs="Arial"/>
              </w:rPr>
              <w:t>4A</w:t>
            </w:r>
          </w:p>
        </w:tc>
        <w:tc>
          <w:tcPr>
            <w:tcW w:w="7932" w:type="dxa"/>
            <w:hideMark/>
          </w:tcPr>
          <w:p w:rsidR="00EB1E42" w:rsidRDefault="00EB1E42" w:rsidP="00704E41">
            <w:pPr>
              <w:tabs>
                <w:tab w:val="right" w:pos="612"/>
                <w:tab w:val="right" w:pos="762"/>
              </w:tabs>
              <w:rPr>
                <w:rFonts w:cs="Arial"/>
              </w:rPr>
            </w:pPr>
            <w:r>
              <w:rPr>
                <w:rFonts w:cs="Arial"/>
              </w:rPr>
              <w:t>Rates of Suspension and Expulsion</w:t>
            </w:r>
          </w:p>
        </w:tc>
      </w:tr>
      <w:tr w:rsidR="00EB1E42" w:rsidTr="00704E41">
        <w:trPr>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tabs>
                <w:tab w:val="right" w:pos="762"/>
              </w:tabs>
              <w:jc w:val="center"/>
              <w:rPr>
                <w:rFonts w:cs="Arial"/>
              </w:rPr>
            </w:pPr>
            <w:r>
              <w:rPr>
                <w:rFonts w:cs="Arial"/>
              </w:rPr>
              <w:t>4B</w:t>
            </w:r>
          </w:p>
        </w:tc>
        <w:tc>
          <w:tcPr>
            <w:tcW w:w="7932" w:type="dxa"/>
            <w:hideMark/>
          </w:tcPr>
          <w:p w:rsidR="00EB1E42" w:rsidRDefault="00EB1E42" w:rsidP="00704E41">
            <w:pPr>
              <w:tabs>
                <w:tab w:val="right" w:pos="762"/>
              </w:tabs>
              <w:rPr>
                <w:rFonts w:cs="Arial"/>
              </w:rPr>
            </w:pPr>
            <w:r>
              <w:rPr>
                <w:rFonts w:cs="Arial"/>
              </w:rPr>
              <w:t>Rates of Suspension and Expulsion by Race or Ethnicity</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w:t>
            </w:r>
          </w:p>
        </w:tc>
        <w:tc>
          <w:tcPr>
            <w:tcW w:w="7932" w:type="dxa"/>
            <w:hideMark/>
          </w:tcPr>
          <w:p w:rsidR="00EB1E42" w:rsidRDefault="00EB1E42" w:rsidP="00704E41">
            <w:pPr>
              <w:tabs>
                <w:tab w:val="right" w:pos="762"/>
              </w:tabs>
              <w:rPr>
                <w:rFonts w:cs="Arial"/>
              </w:rPr>
            </w:pPr>
            <w:r>
              <w:rPr>
                <w:rFonts w:cs="Arial"/>
              </w:rPr>
              <w:t>Education Environments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5A</w:t>
            </w:r>
          </w:p>
        </w:tc>
        <w:tc>
          <w:tcPr>
            <w:tcW w:w="7932" w:type="dxa"/>
            <w:hideMark/>
          </w:tcPr>
          <w:p w:rsidR="00EB1E42" w:rsidRDefault="00EB1E42" w:rsidP="00704E41">
            <w:pPr>
              <w:tabs>
                <w:tab w:val="right" w:pos="762"/>
              </w:tabs>
              <w:rPr>
                <w:rFonts w:cs="Arial"/>
              </w:rPr>
            </w:pPr>
            <w:r>
              <w:rPr>
                <w:rFonts w:cs="Arial"/>
              </w:rPr>
              <w:t>Education Environments (In Regular Class ≥ 80% of day)</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5B</w:t>
            </w:r>
          </w:p>
        </w:tc>
        <w:tc>
          <w:tcPr>
            <w:tcW w:w="7932" w:type="dxa"/>
            <w:hideMark/>
          </w:tcPr>
          <w:p w:rsidR="00EB1E42" w:rsidRDefault="00EB1E42" w:rsidP="00704E41">
            <w:pPr>
              <w:tabs>
                <w:tab w:val="right" w:pos="762"/>
              </w:tabs>
              <w:rPr>
                <w:rFonts w:cs="Arial"/>
              </w:rPr>
            </w:pPr>
            <w:r>
              <w:rPr>
                <w:rFonts w:cs="Arial"/>
              </w:rPr>
              <w:t xml:space="preserve">Education Environments (In Regular Class &lt; 40% of day) </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5C</w:t>
            </w:r>
          </w:p>
        </w:tc>
        <w:tc>
          <w:tcPr>
            <w:tcW w:w="7932" w:type="dxa"/>
            <w:hideMark/>
          </w:tcPr>
          <w:p w:rsidR="00EB1E42" w:rsidRDefault="00EB1E42" w:rsidP="00704E41">
            <w:pPr>
              <w:tabs>
                <w:tab w:val="right" w:pos="762"/>
              </w:tabs>
              <w:rPr>
                <w:rFonts w:cs="Arial"/>
              </w:rPr>
            </w:pPr>
            <w:r>
              <w:rPr>
                <w:rFonts w:cs="Arial"/>
              </w:rPr>
              <w:t xml:space="preserve">Education Environments (Served in separate school or </w:t>
            </w:r>
            <w:proofErr w:type="gramStart"/>
            <w:r>
              <w:rPr>
                <w:rFonts w:cs="Arial"/>
              </w:rPr>
              <w:t>other</w:t>
            </w:r>
            <w:proofErr w:type="gramEnd"/>
            <w:r>
              <w:rPr>
                <w:rFonts w:cs="Arial"/>
              </w:rPr>
              <w:t xml:space="preserve"> placement) </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6</w:t>
            </w:r>
          </w:p>
        </w:tc>
        <w:tc>
          <w:tcPr>
            <w:tcW w:w="7932" w:type="dxa"/>
            <w:hideMark/>
          </w:tcPr>
          <w:p w:rsidR="00EB1E42" w:rsidRDefault="00EB1E42" w:rsidP="00704E41">
            <w:pPr>
              <w:tabs>
                <w:tab w:val="right" w:pos="762"/>
              </w:tabs>
              <w:rPr>
                <w:rFonts w:cs="Arial"/>
              </w:rPr>
            </w:pPr>
            <w:r>
              <w:rPr>
                <w:rFonts w:cs="Arial"/>
              </w:rPr>
              <w:t>Preschool Environments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6A</w:t>
            </w:r>
          </w:p>
        </w:tc>
        <w:tc>
          <w:tcPr>
            <w:tcW w:w="7932" w:type="dxa"/>
            <w:hideMark/>
          </w:tcPr>
          <w:p w:rsidR="00EB1E42" w:rsidRDefault="00EB1E42" w:rsidP="00704E41">
            <w:pPr>
              <w:tabs>
                <w:tab w:val="right" w:pos="762"/>
              </w:tabs>
              <w:rPr>
                <w:rFonts w:cs="Arial"/>
              </w:rPr>
            </w:pPr>
            <w:r>
              <w:rPr>
                <w:rFonts w:cs="Arial"/>
              </w:rPr>
              <w:t>Preschool Environments: Services in the regular childhood program</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6B</w:t>
            </w:r>
          </w:p>
        </w:tc>
        <w:tc>
          <w:tcPr>
            <w:tcW w:w="7932" w:type="dxa"/>
            <w:hideMark/>
          </w:tcPr>
          <w:p w:rsidR="00EB1E42" w:rsidRDefault="00EB1E42" w:rsidP="00704E41">
            <w:pPr>
              <w:tabs>
                <w:tab w:val="right" w:pos="762"/>
              </w:tabs>
              <w:rPr>
                <w:rFonts w:cs="Arial"/>
              </w:rPr>
            </w:pPr>
            <w:r>
              <w:rPr>
                <w:rFonts w:cs="Arial"/>
              </w:rPr>
              <w:t>Preschool Environments: Separate special education class, school, or facility</w:t>
            </w:r>
          </w:p>
        </w:tc>
      </w:tr>
      <w:tr w:rsidR="00EB1E42" w:rsidTr="00704E41">
        <w:trPr>
          <w:trHeight w:val="288"/>
          <w:jc w:val="center"/>
        </w:trPr>
        <w:tc>
          <w:tcPr>
            <w:tcW w:w="2096" w:type="dxa"/>
          </w:tcPr>
          <w:p w:rsidR="00EB1E42" w:rsidRDefault="00EB1E42" w:rsidP="00704E41">
            <w:pPr>
              <w:rPr>
                <w:rFonts w:cs="Arial"/>
              </w:rPr>
            </w:pPr>
            <w:r>
              <w:rPr>
                <w:rFonts w:cs="Arial"/>
              </w:rPr>
              <w:t>Performance</w:t>
            </w:r>
          </w:p>
        </w:tc>
        <w:tc>
          <w:tcPr>
            <w:tcW w:w="620" w:type="dxa"/>
          </w:tcPr>
          <w:p w:rsidR="00EB1E42" w:rsidRDefault="00EB1E42" w:rsidP="00704E41">
            <w:pPr>
              <w:tabs>
                <w:tab w:val="right" w:pos="762"/>
              </w:tabs>
              <w:jc w:val="center"/>
              <w:rPr>
                <w:rFonts w:cs="Arial"/>
              </w:rPr>
            </w:pPr>
            <w:r>
              <w:rPr>
                <w:rFonts w:cs="Arial"/>
              </w:rPr>
              <w:t>6C</w:t>
            </w:r>
          </w:p>
        </w:tc>
        <w:tc>
          <w:tcPr>
            <w:tcW w:w="7932" w:type="dxa"/>
          </w:tcPr>
          <w:p w:rsidR="00EB1E42" w:rsidRDefault="00EB1E42" w:rsidP="00704E41">
            <w:pPr>
              <w:tabs>
                <w:tab w:val="right" w:pos="762"/>
              </w:tabs>
              <w:rPr>
                <w:rFonts w:cs="Arial"/>
              </w:rPr>
            </w:pPr>
            <w:r>
              <w:rPr>
                <w:rFonts w:cs="Arial"/>
              </w:rPr>
              <w:t>Preschool Environments: Home Setting</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tabs>
                <w:tab w:val="right" w:pos="762"/>
              </w:tabs>
              <w:jc w:val="center"/>
              <w:rPr>
                <w:rFonts w:cs="Arial"/>
              </w:rPr>
            </w:pPr>
            <w:r>
              <w:rPr>
                <w:rFonts w:cs="Arial"/>
              </w:rPr>
              <w:t>7</w:t>
            </w:r>
          </w:p>
        </w:tc>
        <w:tc>
          <w:tcPr>
            <w:tcW w:w="7932" w:type="dxa"/>
            <w:hideMark/>
          </w:tcPr>
          <w:p w:rsidR="00EB1E42" w:rsidRDefault="00EB1E42" w:rsidP="00704E41">
            <w:pPr>
              <w:tabs>
                <w:tab w:val="right" w:pos="762"/>
              </w:tabs>
              <w:rPr>
                <w:rFonts w:cs="Arial"/>
              </w:rPr>
            </w:pPr>
            <w:r>
              <w:rPr>
                <w:rFonts w:cs="Arial"/>
              </w:rPr>
              <w:t>Preschool Outcomes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7A</w:t>
            </w:r>
          </w:p>
        </w:tc>
        <w:tc>
          <w:tcPr>
            <w:tcW w:w="7932" w:type="dxa"/>
            <w:hideMark/>
          </w:tcPr>
          <w:p w:rsidR="00EB1E42" w:rsidRDefault="00EB1E42" w:rsidP="00704E41">
            <w:pPr>
              <w:rPr>
                <w:rFonts w:cs="Arial"/>
              </w:rPr>
            </w:pPr>
            <w:r>
              <w:rPr>
                <w:rFonts w:cs="Arial"/>
              </w:rPr>
              <w:t>Preschool Outcomes: Positive social-emotional skills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7B</w:t>
            </w:r>
          </w:p>
        </w:tc>
        <w:tc>
          <w:tcPr>
            <w:tcW w:w="7932" w:type="dxa"/>
            <w:hideMark/>
          </w:tcPr>
          <w:p w:rsidR="00EB1E42" w:rsidRDefault="00EB1E42" w:rsidP="00704E41">
            <w:pPr>
              <w:rPr>
                <w:rFonts w:cs="Arial"/>
              </w:rPr>
            </w:pPr>
            <w:r>
              <w:rPr>
                <w:rFonts w:cs="Arial"/>
              </w:rPr>
              <w:t>Preschool Outcomes: Acquisition/use of knowledge and skills</w:t>
            </w:r>
          </w:p>
        </w:tc>
      </w:tr>
      <w:tr w:rsidR="00EB1E42" w:rsidTr="00704E41">
        <w:trPr>
          <w:trHeight w:val="288"/>
          <w:jc w:val="center"/>
        </w:trPr>
        <w:tc>
          <w:tcPr>
            <w:tcW w:w="2096" w:type="dxa"/>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7C</w:t>
            </w:r>
          </w:p>
        </w:tc>
        <w:tc>
          <w:tcPr>
            <w:tcW w:w="7932" w:type="dxa"/>
            <w:hideMark/>
          </w:tcPr>
          <w:p w:rsidR="00EB1E42" w:rsidRDefault="00EB1E42" w:rsidP="00704E41">
            <w:pPr>
              <w:rPr>
                <w:rFonts w:cs="Arial"/>
              </w:rPr>
            </w:pPr>
            <w:r>
              <w:rPr>
                <w:rFonts w:cs="Arial"/>
              </w:rPr>
              <w:t>Preschool Outcomes: Use of Appropriate Behaviors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8</w:t>
            </w:r>
          </w:p>
        </w:tc>
        <w:tc>
          <w:tcPr>
            <w:tcW w:w="7932" w:type="dxa"/>
            <w:hideMark/>
          </w:tcPr>
          <w:p w:rsidR="00EB1E42" w:rsidRDefault="00EB1E42" w:rsidP="00704E41">
            <w:pPr>
              <w:rPr>
                <w:rFonts w:cs="Arial"/>
              </w:rPr>
            </w:pPr>
            <w:r>
              <w:rPr>
                <w:rFonts w:cs="Arial"/>
              </w:rPr>
              <w:t>Parent Involvement</w:t>
            </w:r>
          </w:p>
        </w:tc>
      </w:tr>
      <w:tr w:rsidR="00EB1E42" w:rsidTr="00704E41">
        <w:trPr>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9</w:t>
            </w:r>
          </w:p>
        </w:tc>
        <w:tc>
          <w:tcPr>
            <w:tcW w:w="7932" w:type="dxa"/>
            <w:hideMark/>
          </w:tcPr>
          <w:p w:rsidR="00EB1E42" w:rsidRDefault="00EB1E42" w:rsidP="00704E41">
            <w:pPr>
              <w:rPr>
                <w:rFonts w:cs="Arial"/>
              </w:rPr>
            </w:pPr>
            <w:r>
              <w:rPr>
                <w:rFonts w:cs="Arial"/>
              </w:rPr>
              <w:t xml:space="preserve">Disproportionate Representation </w:t>
            </w:r>
          </w:p>
        </w:tc>
      </w:tr>
      <w:tr w:rsidR="00EB1E42" w:rsidTr="00704E41">
        <w:trPr>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10</w:t>
            </w:r>
          </w:p>
        </w:tc>
        <w:tc>
          <w:tcPr>
            <w:tcW w:w="7932" w:type="dxa"/>
            <w:hideMark/>
          </w:tcPr>
          <w:p w:rsidR="00EB1E42" w:rsidRDefault="00EB1E42" w:rsidP="00704E41">
            <w:pPr>
              <w:rPr>
                <w:rFonts w:cs="Arial"/>
              </w:rPr>
            </w:pPr>
            <w:r>
              <w:rPr>
                <w:rFonts w:cs="Arial"/>
              </w:rPr>
              <w:t>Disproportionate Representation in Specific Disability Categories</w:t>
            </w:r>
          </w:p>
        </w:tc>
      </w:tr>
      <w:tr w:rsidR="00EB1E42" w:rsidTr="00704E41">
        <w:trPr>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11</w:t>
            </w:r>
          </w:p>
        </w:tc>
        <w:tc>
          <w:tcPr>
            <w:tcW w:w="7932" w:type="dxa"/>
            <w:hideMark/>
          </w:tcPr>
          <w:p w:rsidR="00EB1E42" w:rsidRDefault="00EB1E42" w:rsidP="00704E41">
            <w:pPr>
              <w:rPr>
                <w:rFonts w:cs="Arial"/>
              </w:rPr>
            </w:pPr>
            <w:r>
              <w:rPr>
                <w:rFonts w:cs="Arial"/>
              </w:rPr>
              <w:t>Child Find</w:t>
            </w:r>
          </w:p>
        </w:tc>
      </w:tr>
      <w:tr w:rsidR="00EB1E42" w:rsidTr="00704E41">
        <w:trPr>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12</w:t>
            </w:r>
          </w:p>
        </w:tc>
        <w:tc>
          <w:tcPr>
            <w:tcW w:w="7932" w:type="dxa"/>
            <w:hideMark/>
          </w:tcPr>
          <w:p w:rsidR="00EB1E42" w:rsidRDefault="00EB1E42" w:rsidP="00704E41">
            <w:pPr>
              <w:rPr>
                <w:rFonts w:cs="Arial"/>
              </w:rPr>
            </w:pPr>
            <w:r>
              <w:rPr>
                <w:rFonts w:cs="Arial"/>
              </w:rPr>
              <w:t>Early Childhood Transition</w:t>
            </w:r>
          </w:p>
        </w:tc>
      </w:tr>
      <w:tr w:rsidR="00EB1E42" w:rsidTr="00704E41">
        <w:trPr>
          <w:trHeight w:val="288"/>
          <w:jc w:val="center"/>
        </w:trPr>
        <w:tc>
          <w:tcPr>
            <w:tcW w:w="2096" w:type="dxa"/>
            <w:hideMark/>
          </w:tcPr>
          <w:p w:rsidR="00EB1E42" w:rsidRDefault="00EB1E42" w:rsidP="00704E41">
            <w:pPr>
              <w:rPr>
                <w:rFonts w:cs="Arial"/>
              </w:rPr>
            </w:pPr>
            <w:r>
              <w:rPr>
                <w:rFonts w:cs="Arial"/>
              </w:rPr>
              <w:t>Compliance</w:t>
            </w:r>
          </w:p>
        </w:tc>
        <w:tc>
          <w:tcPr>
            <w:tcW w:w="620" w:type="dxa"/>
            <w:hideMark/>
          </w:tcPr>
          <w:p w:rsidR="00EB1E42" w:rsidRDefault="00EB1E42" w:rsidP="00704E41">
            <w:pPr>
              <w:jc w:val="center"/>
              <w:rPr>
                <w:rFonts w:cs="Arial"/>
              </w:rPr>
            </w:pPr>
            <w:r>
              <w:rPr>
                <w:rFonts w:cs="Arial"/>
              </w:rPr>
              <w:t>13</w:t>
            </w:r>
          </w:p>
        </w:tc>
        <w:tc>
          <w:tcPr>
            <w:tcW w:w="7932" w:type="dxa"/>
            <w:hideMark/>
          </w:tcPr>
          <w:p w:rsidR="00EB1E42" w:rsidRDefault="00EB1E42" w:rsidP="00704E41">
            <w:pPr>
              <w:rPr>
                <w:rFonts w:cs="Arial"/>
              </w:rPr>
            </w:pPr>
            <w:r>
              <w:rPr>
                <w:rFonts w:cs="Arial"/>
              </w:rPr>
              <w:t>Secondary Transition</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14</w:t>
            </w:r>
          </w:p>
        </w:tc>
        <w:tc>
          <w:tcPr>
            <w:tcW w:w="7932" w:type="dxa"/>
            <w:hideMark/>
          </w:tcPr>
          <w:p w:rsidR="00EB1E42" w:rsidRDefault="00EB1E42" w:rsidP="00704E41">
            <w:pPr>
              <w:rPr>
                <w:rFonts w:cs="Arial"/>
              </w:rPr>
            </w:pPr>
            <w:r>
              <w:rPr>
                <w:rFonts w:cs="Arial"/>
              </w:rPr>
              <w:t>Post-school Outcomes</w:t>
            </w:r>
          </w:p>
        </w:tc>
      </w:tr>
      <w:tr w:rsidR="00EB1E42" w:rsidTr="00704E41">
        <w:trPr>
          <w:trHeight w:val="288"/>
          <w:jc w:val="center"/>
        </w:trPr>
        <w:tc>
          <w:tcPr>
            <w:tcW w:w="2096" w:type="dxa"/>
            <w:hideMark/>
          </w:tcPr>
          <w:p w:rsidR="00EB1E42" w:rsidRDefault="00EB1E42" w:rsidP="00704E41">
            <w:pPr>
              <w:rPr>
                <w:rFonts w:cs="Arial"/>
              </w:rPr>
            </w:pPr>
            <w:r>
              <w:rPr>
                <w:rFonts w:cs="Arial"/>
              </w:rPr>
              <w:lastRenderedPageBreak/>
              <w:t>Performance</w:t>
            </w:r>
          </w:p>
        </w:tc>
        <w:tc>
          <w:tcPr>
            <w:tcW w:w="620" w:type="dxa"/>
            <w:hideMark/>
          </w:tcPr>
          <w:p w:rsidR="00EB1E42" w:rsidRDefault="00EB1E42" w:rsidP="00704E41">
            <w:pPr>
              <w:jc w:val="center"/>
              <w:rPr>
                <w:rFonts w:cs="Arial"/>
              </w:rPr>
            </w:pPr>
            <w:r>
              <w:rPr>
                <w:rFonts w:cs="Arial"/>
              </w:rPr>
              <w:t>14A</w:t>
            </w:r>
          </w:p>
        </w:tc>
        <w:tc>
          <w:tcPr>
            <w:tcW w:w="7932" w:type="dxa"/>
            <w:hideMark/>
          </w:tcPr>
          <w:p w:rsidR="00EB1E42" w:rsidRDefault="00EB1E42" w:rsidP="00704E41">
            <w:pPr>
              <w:rPr>
                <w:rFonts w:cs="Arial"/>
              </w:rPr>
            </w:pPr>
            <w:r>
              <w:rPr>
                <w:rFonts w:cs="Arial"/>
              </w:rPr>
              <w:t xml:space="preserve">Enrolled in higher education within one year of leaving high </w:t>
            </w:r>
            <w:r>
              <w:rPr>
                <w:rFonts w:cs="Arial"/>
              </w:rPr>
              <w:br/>
              <w:t>school</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14B</w:t>
            </w:r>
          </w:p>
        </w:tc>
        <w:tc>
          <w:tcPr>
            <w:tcW w:w="7932" w:type="dxa"/>
            <w:hideMark/>
          </w:tcPr>
          <w:p w:rsidR="00EB1E42" w:rsidRDefault="00EB1E42" w:rsidP="00704E41">
            <w:pPr>
              <w:rPr>
                <w:rFonts w:cs="Arial"/>
              </w:rPr>
            </w:pPr>
            <w:r>
              <w:rPr>
                <w:rFonts w:cs="Arial"/>
              </w:rPr>
              <w:t>Enrolled in higher education or competitively employed within one year of leaving high school</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14C</w:t>
            </w:r>
          </w:p>
        </w:tc>
        <w:tc>
          <w:tcPr>
            <w:tcW w:w="7932" w:type="dxa"/>
            <w:hideMark/>
          </w:tcPr>
          <w:p w:rsidR="00EB1E42" w:rsidRDefault="00EB1E42" w:rsidP="00704E41">
            <w:pPr>
              <w:rPr>
                <w:rFonts w:cs="Arial"/>
              </w:rPr>
            </w:pPr>
            <w:r>
              <w:rPr>
                <w:rFonts w:cs="Arial"/>
              </w:rPr>
              <w:t>Enrolled in higher education or in some other postsecondary education or training program; or competitively employed or in some other employment within one year of leaving high school</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15</w:t>
            </w:r>
          </w:p>
        </w:tc>
        <w:tc>
          <w:tcPr>
            <w:tcW w:w="7932" w:type="dxa"/>
            <w:hideMark/>
          </w:tcPr>
          <w:p w:rsidR="00EB1E42" w:rsidRDefault="00EB1E42" w:rsidP="00704E41">
            <w:pPr>
              <w:rPr>
                <w:rFonts w:cs="Arial"/>
              </w:rPr>
            </w:pPr>
            <w:r>
              <w:rPr>
                <w:rFonts w:cs="Arial"/>
              </w:rPr>
              <w:t>Resolution Sessions</w:t>
            </w:r>
          </w:p>
        </w:tc>
      </w:tr>
      <w:tr w:rsidR="00EB1E42" w:rsidTr="00704E41">
        <w:trPr>
          <w:trHeight w:val="288"/>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16</w:t>
            </w:r>
          </w:p>
        </w:tc>
        <w:tc>
          <w:tcPr>
            <w:tcW w:w="7932" w:type="dxa"/>
            <w:hideMark/>
          </w:tcPr>
          <w:p w:rsidR="00EB1E42" w:rsidRDefault="00EB1E42" w:rsidP="00704E41">
            <w:pPr>
              <w:rPr>
                <w:rFonts w:cs="Arial"/>
              </w:rPr>
            </w:pPr>
            <w:r>
              <w:rPr>
                <w:rFonts w:cs="Arial"/>
              </w:rPr>
              <w:t>Mediation</w:t>
            </w:r>
          </w:p>
        </w:tc>
      </w:tr>
      <w:tr w:rsidR="00EB1E42" w:rsidTr="00704E41">
        <w:trPr>
          <w:trHeight w:val="560"/>
          <w:jc w:val="center"/>
        </w:trPr>
        <w:tc>
          <w:tcPr>
            <w:tcW w:w="2096" w:type="dxa"/>
            <w:hideMark/>
          </w:tcPr>
          <w:p w:rsidR="00EB1E42" w:rsidRDefault="00EB1E42" w:rsidP="00704E41">
            <w:pPr>
              <w:rPr>
                <w:rFonts w:cs="Arial"/>
              </w:rPr>
            </w:pPr>
            <w:r>
              <w:rPr>
                <w:rFonts w:cs="Arial"/>
              </w:rPr>
              <w:t>Performance</w:t>
            </w:r>
          </w:p>
        </w:tc>
        <w:tc>
          <w:tcPr>
            <w:tcW w:w="620" w:type="dxa"/>
            <w:hideMark/>
          </w:tcPr>
          <w:p w:rsidR="00EB1E42" w:rsidRDefault="00EB1E42" w:rsidP="00704E41">
            <w:pPr>
              <w:jc w:val="center"/>
              <w:rPr>
                <w:rFonts w:cs="Arial"/>
              </w:rPr>
            </w:pPr>
            <w:r>
              <w:rPr>
                <w:rFonts w:cs="Arial"/>
              </w:rPr>
              <w:t>17</w:t>
            </w:r>
          </w:p>
        </w:tc>
        <w:tc>
          <w:tcPr>
            <w:tcW w:w="7932" w:type="dxa"/>
            <w:hideMark/>
          </w:tcPr>
          <w:p w:rsidR="00EB1E42" w:rsidRDefault="00EB1E42" w:rsidP="00704E41">
            <w:pPr>
              <w:rPr>
                <w:rFonts w:cs="Arial"/>
              </w:rPr>
            </w:pPr>
            <w:r>
              <w:rPr>
                <w:rFonts w:cs="Arial"/>
              </w:rPr>
              <w:t>State Systemic Improvement Plan</w:t>
            </w:r>
          </w:p>
        </w:tc>
      </w:tr>
    </w:tbl>
    <w:p w:rsidR="00EB1E42" w:rsidRPr="009E0766" w:rsidRDefault="00EB1E42" w:rsidP="00EB1E42">
      <w:pPr>
        <w:pStyle w:val="Heading2"/>
        <w:spacing w:before="0" w:after="240"/>
        <w:rPr>
          <w:highlight w:val="yellow"/>
        </w:rPr>
      </w:pPr>
      <w:r>
        <w:br w:type="page"/>
      </w:r>
    </w:p>
    <w:p w:rsidR="00EB1E42" w:rsidRDefault="00EB1E42" w:rsidP="00EB1E42">
      <w:pPr>
        <w:pStyle w:val="Heading2"/>
        <w:spacing w:before="6240" w:after="240"/>
        <w:jc w:val="center"/>
      </w:pPr>
      <w:bookmarkStart w:id="54" w:name="_Toc77599040"/>
      <w:r>
        <w:lastRenderedPageBreak/>
        <w:t>Indicator 1: Graduation Rate</w:t>
      </w:r>
      <w:bookmarkEnd w:id="54"/>
    </w:p>
    <w:p w:rsidR="00EB1E42" w:rsidRDefault="00EB1E42" w:rsidP="00EB1E42">
      <w:pPr>
        <w:pStyle w:val="Heading3"/>
        <w:spacing w:before="0" w:after="240"/>
      </w:pPr>
      <w:bookmarkStart w:id="55" w:name="_Toc77599041"/>
      <w:r>
        <w:t>Measurement</w:t>
      </w:r>
      <w:bookmarkEnd w:id="55"/>
    </w:p>
    <w:p w:rsidR="00EB1E42" w:rsidRDefault="00EB1E42" w:rsidP="00EB1E42">
      <w:r>
        <w:t xml:space="preserve">Indicator 1 is a performance indicator that measures the percent of youth with individualized education programs (IEPs) graduating from high school with a regular diploma. </w:t>
      </w:r>
    </w:p>
    <w:p w:rsidR="00EB1E42" w:rsidRDefault="00EB1E42" w:rsidP="00EB1E42"/>
    <w:p w:rsidR="00EB1E42" w:rsidRDefault="00EB1E42" w:rsidP="00EB1E42">
      <w:r>
        <w:t xml:space="preserve">Data are reported in lag years using data from the California Longitudinal Pupil Achievement Data System (CALPADS). </w:t>
      </w:r>
      <w:r w:rsidRPr="00D85BAE">
        <w:t xml:space="preserve">States must report a percentage using the number of </w:t>
      </w:r>
      <w:proofErr w:type="gramStart"/>
      <w:r w:rsidRPr="00D85BAE">
        <w:t>youth</w:t>
      </w:r>
      <w:proofErr w:type="gramEnd"/>
      <w:r w:rsidRPr="00D85BAE">
        <w:t xml:space="preserve"> with IEPs (ages 14-21) who exited special education due to graduating with a regular high school diploma in the numerator and the number of all youth with IEPs who left high school (ages 14-21) in the denominator.</w:t>
      </w:r>
    </w:p>
    <w:p w:rsidR="00EB1E42" w:rsidRDefault="00EB1E42" w:rsidP="00EB1E42"/>
    <w:p w:rsidR="00EB1E42" w:rsidRDefault="00EB1E42" w:rsidP="00EB1E42">
      <w:pPr>
        <w:pStyle w:val="Heading3"/>
        <w:spacing w:before="0" w:after="240"/>
      </w:pPr>
      <w:bookmarkStart w:id="56" w:name="_Toc77599042"/>
      <w:r>
        <w:t>Notable Change(s)</w:t>
      </w:r>
      <w:bookmarkEnd w:id="56"/>
    </w:p>
    <w:p w:rsidR="00EB1E42" w:rsidRPr="00D85BAE" w:rsidRDefault="00EB1E42" w:rsidP="00EB1E42">
      <w:pPr>
        <w:spacing w:after="240"/>
        <w:rPr>
          <w:rFonts w:cs="Arial"/>
          <w:bCs/>
        </w:rPr>
      </w:pPr>
      <w:r>
        <w:rPr>
          <w:rFonts w:cs="Arial"/>
        </w:rPr>
        <w:t xml:space="preserve">The graduation calculation will start using a one-year calculation and will no longer use the four-year adjusted cohort rate. </w:t>
      </w:r>
    </w:p>
    <w:p w:rsidR="00EB1E42" w:rsidRDefault="00EB1E42" w:rsidP="00EB1E42">
      <w:pPr>
        <w:pStyle w:val="Heading3"/>
        <w:spacing w:before="0" w:after="240"/>
      </w:pPr>
      <w:bookmarkStart w:id="57" w:name="_Toc77599043"/>
      <w:r>
        <w:t>Stakeholder Feedback</w:t>
      </w:r>
      <w:bookmarkEnd w:id="57"/>
    </w:p>
    <w:p w:rsidR="00EB1E42" w:rsidRPr="00E603B3" w:rsidRDefault="00EB1E42" w:rsidP="00EB1E42">
      <w:r>
        <w:t xml:space="preserve">Graduation is a lag year indicator and therefore the effects of Covid-19 may be felt longer than with other indicators. To account for this, stakeholders recommended target have a slower increase with a more aggressive increase toward the end of the six-year cycle. </w:t>
      </w:r>
      <w:r w:rsidRPr="00E603B3">
        <w:t xml:space="preserve">Since the data source and calculation has changed it is being recommended to set a new baseline. </w:t>
      </w:r>
    </w:p>
    <w:p w:rsidR="00EB1E42" w:rsidRDefault="00EB1E42" w:rsidP="00EB1E42">
      <w:pPr>
        <w:pStyle w:val="Heading3"/>
      </w:pPr>
      <w:bookmarkStart w:id="58" w:name="_Toc77599044"/>
      <w:r w:rsidRPr="00E603B3">
        <w:t>Graduation Rate New</w:t>
      </w:r>
      <w:r>
        <w:t xml:space="preserve"> Targets</w:t>
      </w:r>
      <w:bookmarkEnd w:id="58"/>
    </w:p>
    <w:tbl>
      <w:tblPr>
        <w:tblStyle w:val="TableGrid1"/>
        <w:tblW w:w="9831" w:type="dxa"/>
        <w:tblLook w:val="04A0" w:firstRow="1" w:lastRow="0" w:firstColumn="1" w:lastColumn="0" w:noHBand="0" w:noVBand="1"/>
        <w:tblDescription w:val="Indicator 4A Targets and Results"/>
      </w:tblPr>
      <w:tblGrid>
        <w:gridCol w:w="2265"/>
        <w:gridCol w:w="1261"/>
        <w:gridCol w:w="1261"/>
        <w:gridCol w:w="1261"/>
        <w:gridCol w:w="1261"/>
        <w:gridCol w:w="1261"/>
        <w:gridCol w:w="1261"/>
      </w:tblGrid>
      <w:tr w:rsidR="00EB1E42" w:rsidTr="00704E41">
        <w:trPr>
          <w:cantSplit/>
          <w:trHeight w:val="288"/>
          <w:tblHeader/>
        </w:trPr>
        <w:tc>
          <w:tcPr>
            <w:tcW w:w="22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2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75%</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75.5%</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61"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79%</w:t>
            </w:r>
          </w:p>
        </w:tc>
      </w:tr>
    </w:tbl>
    <w:p w:rsidR="00EB1E42" w:rsidRDefault="00EB1E42" w:rsidP="00EB1E42">
      <w:pPr>
        <w:pStyle w:val="Heading3"/>
      </w:pPr>
      <w:bookmarkStart w:id="59" w:name="_Toc77599045"/>
      <w:r>
        <w:t>Graduation Rate Old Targets</w:t>
      </w:r>
      <w:bookmarkEnd w:id="59"/>
      <w:r>
        <w:t xml:space="preserve"> </w:t>
      </w:r>
    </w:p>
    <w:tbl>
      <w:tblPr>
        <w:tblStyle w:val="TableGrid17"/>
        <w:tblW w:w="9884" w:type="dxa"/>
        <w:tblLook w:val="04A0" w:firstRow="1" w:lastRow="0" w:firstColumn="1" w:lastColumn="0" w:noHBand="0" w:noVBand="1"/>
        <w:tblDescription w:val="Indicator 1 Targets and Results"/>
      </w:tblPr>
      <w:tblGrid>
        <w:gridCol w:w="1712"/>
        <w:gridCol w:w="984"/>
        <w:gridCol w:w="1198"/>
        <w:gridCol w:w="1198"/>
        <w:gridCol w:w="1198"/>
        <w:gridCol w:w="1198"/>
        <w:gridCol w:w="1198"/>
        <w:gridCol w:w="1198"/>
      </w:tblGrid>
      <w:tr w:rsidR="00EB1E42" w:rsidRPr="00780F55" w:rsidTr="00704E41">
        <w:trPr>
          <w:cantSplit/>
          <w:trHeight w:val="316"/>
          <w:tblHeader/>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Indicator 1</w:t>
            </w:r>
          </w:p>
        </w:tc>
        <w:tc>
          <w:tcPr>
            <w:tcW w:w="984"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2013</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2014</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2015</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2016</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2017</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2018</w:t>
            </w:r>
          </w:p>
        </w:tc>
        <w:tc>
          <w:tcPr>
            <w:tcW w:w="1198" w:type="dxa"/>
            <w:vAlign w:val="bottom"/>
          </w:tcPr>
          <w:p w:rsidR="00EB1E42" w:rsidRPr="00780F55" w:rsidRDefault="00EB1E42" w:rsidP="00704E41">
            <w:pPr>
              <w:widowControl w:val="0"/>
              <w:overflowPunct w:val="0"/>
              <w:autoSpaceDE w:val="0"/>
              <w:autoSpaceDN w:val="0"/>
              <w:adjustRightInd w:val="0"/>
              <w:jc w:val="center"/>
              <w:rPr>
                <w:rFonts w:cs="Arial"/>
                <w:b/>
                <w:bCs/>
              </w:rPr>
            </w:pPr>
            <w:r w:rsidRPr="00780F55">
              <w:rPr>
                <w:rFonts w:cs="Arial"/>
                <w:b/>
                <w:bCs/>
              </w:rPr>
              <w:t>2019</w:t>
            </w:r>
          </w:p>
        </w:tc>
      </w:tr>
      <w:tr w:rsidR="00EB1E42" w:rsidRPr="00780F55" w:rsidTr="00704E41">
        <w:trPr>
          <w:cantSplit/>
          <w:trHeight w:val="316"/>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Target</w:t>
            </w:r>
          </w:p>
        </w:tc>
        <w:tc>
          <w:tcPr>
            <w:tcW w:w="984"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c>
          <w:tcPr>
            <w:tcW w:w="1198" w:type="dxa"/>
            <w:vAlign w:val="bottom"/>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90%</w:t>
            </w:r>
          </w:p>
        </w:tc>
      </w:tr>
      <w:tr w:rsidR="00EB1E42" w:rsidRPr="00780F55" w:rsidTr="00704E41">
        <w:trPr>
          <w:cantSplit/>
          <w:trHeight w:val="316"/>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Result</w:t>
            </w:r>
          </w:p>
        </w:tc>
        <w:tc>
          <w:tcPr>
            <w:tcW w:w="984" w:type="dxa"/>
            <w:vAlign w:val="bottom"/>
            <w:hideMark/>
          </w:tcPr>
          <w:p w:rsidR="00EB1E42" w:rsidRPr="00780F55" w:rsidRDefault="00EB1E42" w:rsidP="00704E41">
            <w:pPr>
              <w:widowControl w:val="0"/>
              <w:tabs>
                <w:tab w:val="center" w:pos="306"/>
              </w:tabs>
              <w:overflowPunct w:val="0"/>
              <w:autoSpaceDE w:val="0"/>
              <w:autoSpaceDN w:val="0"/>
              <w:adjustRightInd w:val="0"/>
              <w:jc w:val="center"/>
              <w:rPr>
                <w:rFonts w:cs="Arial"/>
                <w:bCs/>
              </w:rPr>
            </w:pPr>
            <w:r w:rsidRPr="00780F55">
              <w:rPr>
                <w:rFonts w:cs="Arial"/>
                <w:bCs/>
              </w:rPr>
              <w:t>61.8</w:t>
            </w:r>
            <w:r>
              <w:rPr>
                <w:rFonts w:cs="Arial"/>
                <w:bCs/>
              </w:rPr>
              <w:t>%</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62.2%</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64.5%</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65.5%</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65.0%</w:t>
            </w:r>
          </w:p>
        </w:tc>
        <w:tc>
          <w:tcPr>
            <w:tcW w:w="1198" w:type="dxa"/>
            <w:vAlign w:val="bottom"/>
            <w:hideMark/>
          </w:tcPr>
          <w:p w:rsidR="00EB1E42" w:rsidRPr="00780F55" w:rsidRDefault="00EB1E42" w:rsidP="00704E41">
            <w:pPr>
              <w:widowControl w:val="0"/>
              <w:tabs>
                <w:tab w:val="left" w:pos="255"/>
                <w:tab w:val="center" w:pos="396"/>
              </w:tabs>
              <w:overflowPunct w:val="0"/>
              <w:autoSpaceDE w:val="0"/>
              <w:autoSpaceDN w:val="0"/>
              <w:adjustRightInd w:val="0"/>
              <w:jc w:val="center"/>
              <w:rPr>
                <w:rFonts w:cs="Arial"/>
                <w:bCs/>
              </w:rPr>
            </w:pPr>
            <w:r w:rsidRPr="00780F55">
              <w:rPr>
                <w:rFonts w:cs="Arial"/>
                <w:bCs/>
              </w:rPr>
              <w:t>66.3%</w:t>
            </w:r>
          </w:p>
        </w:tc>
        <w:tc>
          <w:tcPr>
            <w:tcW w:w="1198" w:type="dxa"/>
            <w:vAlign w:val="bottom"/>
          </w:tcPr>
          <w:p w:rsidR="00EB1E42" w:rsidRPr="00780F55" w:rsidRDefault="00EB1E42" w:rsidP="00704E41">
            <w:pPr>
              <w:widowControl w:val="0"/>
              <w:tabs>
                <w:tab w:val="left" w:pos="255"/>
                <w:tab w:val="center" w:pos="396"/>
              </w:tabs>
              <w:overflowPunct w:val="0"/>
              <w:autoSpaceDE w:val="0"/>
              <w:autoSpaceDN w:val="0"/>
              <w:adjustRightInd w:val="0"/>
              <w:jc w:val="center"/>
              <w:rPr>
                <w:rFonts w:cs="Arial"/>
                <w:bCs/>
              </w:rPr>
            </w:pPr>
            <w:r w:rsidRPr="00780F55">
              <w:rPr>
                <w:rFonts w:cs="Arial"/>
                <w:bCs/>
              </w:rPr>
              <w:t>67.7%</w:t>
            </w:r>
          </w:p>
        </w:tc>
      </w:tr>
      <w:tr w:rsidR="00EB1E42" w:rsidRPr="00780F55" w:rsidTr="00704E41">
        <w:trPr>
          <w:cantSplit/>
          <w:trHeight w:val="316"/>
        </w:trPr>
        <w:tc>
          <w:tcPr>
            <w:tcW w:w="1712"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Target Met</w:t>
            </w:r>
          </w:p>
        </w:tc>
        <w:tc>
          <w:tcPr>
            <w:tcW w:w="984"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hideMark/>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c>
          <w:tcPr>
            <w:tcW w:w="1198" w:type="dxa"/>
            <w:vAlign w:val="bottom"/>
          </w:tcPr>
          <w:p w:rsidR="00EB1E42" w:rsidRPr="00780F55" w:rsidRDefault="00EB1E42" w:rsidP="00704E41">
            <w:pPr>
              <w:widowControl w:val="0"/>
              <w:overflowPunct w:val="0"/>
              <w:autoSpaceDE w:val="0"/>
              <w:autoSpaceDN w:val="0"/>
              <w:adjustRightInd w:val="0"/>
              <w:jc w:val="center"/>
              <w:rPr>
                <w:rFonts w:cs="Arial"/>
                <w:bCs/>
              </w:rPr>
            </w:pPr>
            <w:r w:rsidRPr="00780F55">
              <w:rPr>
                <w:rFonts w:cs="Arial"/>
                <w:bCs/>
              </w:rPr>
              <w:t>No</w:t>
            </w:r>
          </w:p>
        </w:tc>
      </w:tr>
    </w:tbl>
    <w:p w:rsidR="00EB1E42" w:rsidRDefault="00EB1E42" w:rsidP="00EB1E42">
      <w:pPr>
        <w:spacing w:before="840"/>
      </w:pPr>
    </w:p>
    <w:p w:rsidR="00EB1E42" w:rsidRDefault="00EB1E42" w:rsidP="00EB1E42">
      <w:pPr>
        <w:spacing w:before="840"/>
      </w:pPr>
      <w:r>
        <w:br w:type="page"/>
      </w:r>
    </w:p>
    <w:p w:rsidR="00EB1E42" w:rsidRDefault="00EB1E42" w:rsidP="00EB1E42">
      <w:pPr>
        <w:pStyle w:val="Heading2"/>
        <w:tabs>
          <w:tab w:val="center" w:pos="4680"/>
          <w:tab w:val="left" w:pos="8570"/>
        </w:tabs>
        <w:spacing w:before="1440" w:after="240"/>
        <w:jc w:val="center"/>
      </w:pPr>
      <w:bookmarkStart w:id="60" w:name="_Toc77599046"/>
      <w:r>
        <w:lastRenderedPageBreak/>
        <w:t>Indicator 2: Dropout Rate</w:t>
      </w:r>
      <w:bookmarkEnd w:id="60"/>
    </w:p>
    <w:p w:rsidR="00EB1E42" w:rsidRDefault="00EB1E42" w:rsidP="00EB1E42">
      <w:pPr>
        <w:pStyle w:val="Heading3"/>
        <w:spacing w:before="0" w:after="240"/>
      </w:pPr>
      <w:bookmarkStart w:id="61" w:name="_Toc77599047"/>
      <w:r>
        <w:t>Measurement</w:t>
      </w:r>
      <w:bookmarkEnd w:id="61"/>
    </w:p>
    <w:p w:rsidR="00EB1E42" w:rsidRDefault="00EB1E42" w:rsidP="00EB1E42">
      <w:pPr>
        <w:spacing w:after="240"/>
        <w:rPr>
          <w:rFonts w:cs="Arial"/>
        </w:rPr>
      </w:pPr>
      <w:r>
        <w:rPr>
          <w:rFonts w:cs="Arial"/>
        </w:rPr>
        <w:t xml:space="preserve">Indicator 2 is a performance indicator that measures the percent of students with disabilities dropping out of high school. </w:t>
      </w:r>
    </w:p>
    <w:p w:rsidR="00EB1E42" w:rsidRDefault="00EB1E42" w:rsidP="00EB1E42">
      <w:pPr>
        <w:spacing w:after="240"/>
        <w:rPr>
          <w:rFonts w:cs="Arial"/>
        </w:rPr>
      </w:pPr>
      <w:r>
        <w:t>Data are reported in lag years using data from CALPADS</w:t>
      </w:r>
      <w:r>
        <w:rPr>
          <w:rFonts w:cs="Arial"/>
        </w:rPr>
        <w:t xml:space="preserve">. </w:t>
      </w:r>
      <w:r w:rsidRPr="00504740">
        <w:rPr>
          <w:rFonts w:cs="Arial"/>
        </w:rPr>
        <w:t xml:space="preserve">States must report a percentage using the number of </w:t>
      </w:r>
      <w:proofErr w:type="gramStart"/>
      <w:r w:rsidRPr="00504740">
        <w:rPr>
          <w:rFonts w:cs="Arial"/>
        </w:rPr>
        <w:t>youth</w:t>
      </w:r>
      <w:proofErr w:type="gramEnd"/>
      <w:r w:rsidRPr="00504740">
        <w:rPr>
          <w:rFonts w:cs="Arial"/>
        </w:rPr>
        <w:t xml:space="preserve"> with IEPs (ages 14-21) who exited special education due to dropping out in the numerator and the number of all youth with IEPs who left high school (ages 14-21) in the denominator.</w:t>
      </w:r>
      <w:r>
        <w:rPr>
          <w:rFonts w:cs="Arial"/>
        </w:rPr>
        <w:t xml:space="preserve"> </w:t>
      </w:r>
    </w:p>
    <w:p w:rsidR="00EB1E42" w:rsidRDefault="00EB1E42" w:rsidP="00EB1E42">
      <w:pPr>
        <w:pStyle w:val="Heading3"/>
        <w:spacing w:before="0" w:after="240"/>
      </w:pPr>
      <w:bookmarkStart w:id="62" w:name="_Toc77599048"/>
      <w:r>
        <w:t>Notable Change(s)</w:t>
      </w:r>
      <w:bookmarkEnd w:id="62"/>
    </w:p>
    <w:p w:rsidR="00EB1E42" w:rsidRDefault="00EB1E42" w:rsidP="00EB1E42">
      <w:pPr>
        <w:spacing w:after="240"/>
        <w:rPr>
          <w:rFonts w:cs="Arial"/>
        </w:rPr>
      </w:pPr>
      <w:r>
        <w:rPr>
          <w:rFonts w:cs="Arial"/>
        </w:rPr>
        <w:t xml:space="preserve">While OSEP is now limiting States to only using a one-year calculation, this change does not affect California as this indicator is already calculated that way. </w:t>
      </w:r>
    </w:p>
    <w:p w:rsidR="00EB1E42" w:rsidRDefault="00EB1E42" w:rsidP="00EB1E42">
      <w:pPr>
        <w:pStyle w:val="Heading3"/>
        <w:spacing w:before="0" w:after="240"/>
      </w:pPr>
      <w:bookmarkStart w:id="63" w:name="_Toc77599049"/>
      <w:r>
        <w:t>Stakeholder Feedback</w:t>
      </w:r>
      <w:bookmarkEnd w:id="63"/>
    </w:p>
    <w:p w:rsidR="00EB1E42" w:rsidRDefault="00EB1E42" w:rsidP="00EB1E42">
      <w:r>
        <w:t xml:space="preserve">The stakeholders recommended the trajectory of the target for indicator two remain the same, a one percent decrease per year. The CDE believes these to be achievable yet ambitious targets. </w:t>
      </w:r>
    </w:p>
    <w:p w:rsidR="00EB1E42" w:rsidRDefault="00EB1E42" w:rsidP="00EB1E42"/>
    <w:p w:rsidR="00EB1E42" w:rsidRDefault="00EB1E42" w:rsidP="00EB1E42">
      <w:pPr>
        <w:pStyle w:val="Heading3"/>
        <w:spacing w:before="0" w:after="240"/>
      </w:pPr>
      <w:bookmarkStart w:id="64" w:name="_Toc77599050"/>
      <w:r>
        <w:t>Dropout Rate New Targets</w:t>
      </w:r>
      <w:bookmarkEnd w:id="64"/>
    </w:p>
    <w:tbl>
      <w:tblPr>
        <w:tblStyle w:val="TableGrid1"/>
        <w:tblW w:w="9879" w:type="dxa"/>
        <w:tblLook w:val="04A0" w:firstRow="1" w:lastRow="0" w:firstColumn="1" w:lastColumn="0" w:noHBand="0" w:noVBand="1"/>
        <w:tblDescription w:val="Indicator 4A Targets and Results"/>
      </w:tblPr>
      <w:tblGrid>
        <w:gridCol w:w="2277"/>
        <w:gridCol w:w="1267"/>
        <w:gridCol w:w="1267"/>
        <w:gridCol w:w="1267"/>
        <w:gridCol w:w="1267"/>
        <w:gridCol w:w="1267"/>
        <w:gridCol w:w="1267"/>
      </w:tblGrid>
      <w:tr w:rsidR="00EB1E42" w:rsidTr="00704E41">
        <w:trPr>
          <w:cantSplit/>
          <w:trHeight w:val="288"/>
          <w:tblHeader/>
        </w:trPr>
        <w:tc>
          <w:tcPr>
            <w:tcW w:w="227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2</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27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11%</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9%</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8%</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w:t>
            </w:r>
          </w:p>
        </w:tc>
        <w:tc>
          <w:tcPr>
            <w:tcW w:w="1267"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w:t>
            </w:r>
          </w:p>
        </w:tc>
      </w:tr>
    </w:tbl>
    <w:p w:rsidR="00EB1E42" w:rsidRPr="00504740" w:rsidRDefault="00EB1E42" w:rsidP="00EB1E42"/>
    <w:p w:rsidR="00EB1E42" w:rsidRDefault="00EB1E42" w:rsidP="00EB1E42">
      <w:pPr>
        <w:pStyle w:val="Heading3"/>
      </w:pPr>
      <w:bookmarkStart w:id="65" w:name="_Toc77599051"/>
      <w:r>
        <w:t>Dropout Rate Old Targets</w:t>
      </w:r>
      <w:bookmarkEnd w:id="65"/>
      <w:r>
        <w:t xml:space="preserve"> </w:t>
      </w:r>
    </w:p>
    <w:tbl>
      <w:tblPr>
        <w:tblStyle w:val="TableGrid18"/>
        <w:tblW w:w="9943" w:type="dxa"/>
        <w:tblLook w:val="04A0" w:firstRow="1" w:lastRow="0" w:firstColumn="1" w:lastColumn="0" w:noHBand="0" w:noVBand="1"/>
        <w:tblDescription w:val="Indicator 2 Targets and Results"/>
      </w:tblPr>
      <w:tblGrid>
        <w:gridCol w:w="1592"/>
        <w:gridCol w:w="1209"/>
        <w:gridCol w:w="1210"/>
        <w:gridCol w:w="1209"/>
        <w:gridCol w:w="1209"/>
        <w:gridCol w:w="1209"/>
        <w:gridCol w:w="1209"/>
        <w:gridCol w:w="1096"/>
      </w:tblGrid>
      <w:tr w:rsidR="00EB1E42" w:rsidRPr="00974422" w:rsidTr="00704E41">
        <w:trPr>
          <w:cantSplit/>
          <w:trHeight w:val="284"/>
          <w:tblHeader/>
        </w:trPr>
        <w:tc>
          <w:tcPr>
            <w:tcW w:w="1592"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Indicator 2</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2013</w:t>
            </w:r>
          </w:p>
        </w:tc>
        <w:tc>
          <w:tcPr>
            <w:tcW w:w="1210"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2014</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2015</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2016</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2017</w:t>
            </w:r>
          </w:p>
        </w:tc>
        <w:tc>
          <w:tcPr>
            <w:tcW w:w="1209"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2018</w:t>
            </w:r>
          </w:p>
        </w:tc>
        <w:tc>
          <w:tcPr>
            <w:tcW w:w="1096" w:type="dxa"/>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2019</w:t>
            </w:r>
          </w:p>
        </w:tc>
      </w:tr>
      <w:tr w:rsidR="00EB1E42" w:rsidRPr="00974422" w:rsidTr="00704E41">
        <w:trPr>
          <w:cantSplit/>
          <w:trHeight w:val="284"/>
        </w:trPr>
        <w:tc>
          <w:tcPr>
            <w:tcW w:w="1592"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15.72%</w:t>
            </w:r>
          </w:p>
        </w:tc>
        <w:tc>
          <w:tcPr>
            <w:tcW w:w="121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14.72%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13.72%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12.72%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11.72%</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10.72%</w:t>
            </w:r>
          </w:p>
        </w:tc>
        <w:tc>
          <w:tcPr>
            <w:tcW w:w="1096"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9.72%</w:t>
            </w:r>
          </w:p>
        </w:tc>
      </w:tr>
      <w:tr w:rsidR="00EB1E42" w:rsidRPr="00974422" w:rsidTr="00704E41">
        <w:trPr>
          <w:cantSplit/>
          <w:trHeight w:val="284"/>
        </w:trPr>
        <w:tc>
          <w:tcPr>
            <w:tcW w:w="1592"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Result</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15.7%</w:t>
            </w:r>
          </w:p>
        </w:tc>
        <w:tc>
          <w:tcPr>
            <w:tcW w:w="121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17.5%</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14.4%</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13.7%</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11.3%</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11.2%</w:t>
            </w:r>
          </w:p>
        </w:tc>
        <w:tc>
          <w:tcPr>
            <w:tcW w:w="1096"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15.41%</w:t>
            </w:r>
          </w:p>
        </w:tc>
      </w:tr>
      <w:tr w:rsidR="00EB1E42" w:rsidRPr="00974422" w:rsidTr="00704E41">
        <w:trPr>
          <w:cantSplit/>
          <w:trHeight w:val="284"/>
        </w:trPr>
        <w:tc>
          <w:tcPr>
            <w:tcW w:w="1592"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 Met</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21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209"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96"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r>
    </w:tbl>
    <w:p w:rsidR="00EB1E42" w:rsidRDefault="00EB1E42" w:rsidP="00EB1E42">
      <w:r>
        <w:br w:type="page"/>
      </w:r>
    </w:p>
    <w:p w:rsidR="00EB1E42" w:rsidRDefault="00EB1E42" w:rsidP="00EB1E42">
      <w:pPr>
        <w:pStyle w:val="Heading2"/>
        <w:spacing w:after="240"/>
        <w:jc w:val="center"/>
      </w:pPr>
      <w:bookmarkStart w:id="66" w:name="_Toc77599052"/>
      <w:r>
        <w:lastRenderedPageBreak/>
        <w:t>Indicator 3: Statewide Assessment</w:t>
      </w:r>
      <w:bookmarkEnd w:id="66"/>
    </w:p>
    <w:p w:rsidR="00EB1E42" w:rsidRDefault="00EB1E42" w:rsidP="00EB1E42">
      <w:pPr>
        <w:pStyle w:val="Heading3"/>
        <w:spacing w:before="0" w:after="240"/>
        <w:rPr>
          <w:rFonts w:cs="Arial"/>
          <w:bCs/>
        </w:rPr>
      </w:pPr>
      <w:bookmarkStart w:id="67" w:name="i3"/>
      <w:bookmarkStart w:id="68" w:name="_Toc77599053"/>
      <w:bookmarkEnd w:id="67"/>
      <w:r>
        <w:rPr>
          <w:rFonts w:cs="Arial"/>
          <w:bCs/>
        </w:rPr>
        <w:t>Measurement</w:t>
      </w:r>
      <w:bookmarkEnd w:id="68"/>
    </w:p>
    <w:p w:rsidR="00EB1E42" w:rsidRDefault="00EB1E42" w:rsidP="00EB1E42">
      <w:r>
        <w:t xml:space="preserve">Indicator 3 is a performance indicator that measures the participation and performance of students with disabilities on statewide assessments including: </w:t>
      </w:r>
    </w:p>
    <w:p w:rsidR="00EB1E42" w:rsidRDefault="00EB1E42" w:rsidP="00EB1E42">
      <w:pPr>
        <w:pStyle w:val="ListParagraph"/>
        <w:numPr>
          <w:ilvl w:val="0"/>
          <w:numId w:val="32"/>
        </w:numPr>
      </w:pPr>
      <w:r>
        <w:t>Participation rate for children with IEPs</w:t>
      </w:r>
    </w:p>
    <w:p w:rsidR="00EB1E42" w:rsidRDefault="00EB1E42" w:rsidP="00EB1E42">
      <w:pPr>
        <w:pStyle w:val="ListParagraph"/>
        <w:numPr>
          <w:ilvl w:val="0"/>
          <w:numId w:val="32"/>
        </w:numPr>
      </w:pPr>
      <w:r>
        <w:t>Proficiency rate for children with IEPs against grade level academic achievement standards.</w:t>
      </w:r>
    </w:p>
    <w:p w:rsidR="00EB1E42" w:rsidRDefault="00EB1E42" w:rsidP="00EB1E42">
      <w:pPr>
        <w:pStyle w:val="ListParagraph"/>
        <w:numPr>
          <w:ilvl w:val="0"/>
          <w:numId w:val="32"/>
        </w:numPr>
      </w:pPr>
      <w:r>
        <w:t xml:space="preserve">Proficiency rate for children with IEPs against alternate academic achievement standards. </w:t>
      </w:r>
    </w:p>
    <w:p w:rsidR="00EB1E42" w:rsidRDefault="00EB1E42" w:rsidP="00EB1E42">
      <w:pPr>
        <w:pStyle w:val="ListParagraph"/>
        <w:numPr>
          <w:ilvl w:val="0"/>
          <w:numId w:val="32"/>
        </w:numPr>
      </w:pPr>
      <w:r>
        <w:t xml:space="preserve">Gap in proficiency rates for children with IEPs and all students against grade level academic achievement standards. </w:t>
      </w:r>
    </w:p>
    <w:p w:rsidR="00EB1E42" w:rsidRPr="00E40583" w:rsidRDefault="00EB1E42" w:rsidP="00EB1E42">
      <w:pPr>
        <w:pStyle w:val="ListParagraph"/>
      </w:pPr>
    </w:p>
    <w:p w:rsidR="00EB1E42" w:rsidRDefault="00EB1E42" w:rsidP="00EB1E42">
      <w:pPr>
        <w:pStyle w:val="Heading3"/>
        <w:spacing w:before="0" w:after="240"/>
      </w:pPr>
      <w:bookmarkStart w:id="69" w:name="_Toc77599054"/>
      <w:r>
        <w:t>Notable Change(s)</w:t>
      </w:r>
      <w:bookmarkEnd w:id="69"/>
    </w:p>
    <w:p w:rsidR="00EB1E42" w:rsidRDefault="00EB1E42" w:rsidP="00EB1E42">
      <w:pPr>
        <w:spacing w:after="240"/>
        <w:rPr>
          <w:rFonts w:cs="Arial"/>
          <w:bCs/>
        </w:rPr>
      </w:pPr>
      <w:r>
        <w:rPr>
          <w:rFonts w:cs="Arial"/>
          <w:bCs/>
        </w:rPr>
        <w:t xml:space="preserve">Indicator 3 is the indicator with the most significant changes. OSEP removed a sub indicator that as no longer being reported, altered how proficiency rates are reported, and added a sub indicator to track proficiency rate gaps. The other notable change is that these rates will only be calculated for grades 4, 8, and 11. </w:t>
      </w:r>
    </w:p>
    <w:p w:rsidR="00EB1E42" w:rsidRDefault="00EB1E42" w:rsidP="00EB1E42">
      <w:pPr>
        <w:pStyle w:val="Heading3"/>
        <w:spacing w:before="0" w:after="240"/>
      </w:pPr>
      <w:bookmarkStart w:id="70" w:name="_Toc77599055"/>
      <w:r>
        <w:t>Stakeholder Feedback</w:t>
      </w:r>
      <w:bookmarkEnd w:id="70"/>
    </w:p>
    <w:p w:rsidR="00EB1E42" w:rsidRDefault="00EB1E42" w:rsidP="00EB1E42">
      <w:pPr>
        <w:pStyle w:val="ListParagraph"/>
        <w:numPr>
          <w:ilvl w:val="0"/>
          <w:numId w:val="31"/>
        </w:numPr>
      </w:pPr>
      <w:r>
        <w:t xml:space="preserve">To keep in line with the Elementary and Secondary Education Act as amended by </w:t>
      </w:r>
      <w:proofErr w:type="gramStart"/>
      <w:r>
        <w:t>the Every</w:t>
      </w:r>
      <w:proofErr w:type="gramEnd"/>
      <w:r>
        <w:t xml:space="preserve"> Student Succeeds Act, the CDE is maintaining the target at 95%. </w:t>
      </w:r>
    </w:p>
    <w:p w:rsidR="00EB1E42" w:rsidRPr="00E40583" w:rsidRDefault="00EB1E42" w:rsidP="00EB1E42">
      <w:pPr>
        <w:pStyle w:val="ListParagraph"/>
        <w:numPr>
          <w:ilvl w:val="0"/>
          <w:numId w:val="31"/>
        </w:numPr>
        <w:rPr>
          <w:szCs w:val="22"/>
        </w:rPr>
      </w:pPr>
      <w:r>
        <w:t>This new sub indicator measures the proficiency rate of students with disabilities taking the regular assessment calculated separately for English Language Arts (ELA) and math and by grades 4, 8, and 11. The recalculation of these subject areas by grade level demonstrated that grade 4 was prone to show more growth, in both subjects, compared to grade 8 and grade 11. Therefore, stakeholders, believed the grade 4 targets could be higher than the grade 8 and 11 targets.</w:t>
      </w:r>
    </w:p>
    <w:p w:rsidR="00EB1E42" w:rsidRPr="00E40583" w:rsidRDefault="00EB1E42" w:rsidP="00EB1E42">
      <w:pPr>
        <w:pStyle w:val="ListParagraph"/>
        <w:numPr>
          <w:ilvl w:val="0"/>
          <w:numId w:val="31"/>
        </w:numPr>
        <w:rPr>
          <w:szCs w:val="22"/>
        </w:rPr>
      </w:pPr>
      <w:r>
        <w:t xml:space="preserve">This new sub indicator measures the proficiency rate of students with disabilities taking the alternate assessment calculated separately for ELA and math and by grades 4, 8, and 11. The recalculation of these subject areas by grade level showed overlapping results. This population of students is also much smaller to calculate and is susceptible to more volatility. </w:t>
      </w:r>
    </w:p>
    <w:p w:rsidR="00EB1E42" w:rsidRPr="000B62F0" w:rsidRDefault="00EB1E42" w:rsidP="00EB1E42">
      <w:pPr>
        <w:pStyle w:val="ListParagraph"/>
        <w:numPr>
          <w:ilvl w:val="0"/>
          <w:numId w:val="31"/>
        </w:numPr>
        <w:rPr>
          <w:szCs w:val="22"/>
        </w:rPr>
      </w:pPr>
      <w:r>
        <w:t xml:space="preserve">This new sub indicator measures the proficiency gap for students with IEPs who tested proficient against grade level academic achievement standards compared to the proficiency rate for all students who were proficient against grade level academic achievements. </w:t>
      </w:r>
      <w:r w:rsidR="007036B2">
        <w:t xml:space="preserve">This does not incorporate the data for students who take the alternate assessment. </w:t>
      </w:r>
      <w:r>
        <w:t xml:space="preserve">This is calculated separately for ELA and math for grades 4, 8, and 11. Several stakeholders expressed dissatisfaction with this new indicator. Many believed that the onus of this indicator rests on students with disabilities. The targets for this indicator should decrease over time. </w:t>
      </w:r>
    </w:p>
    <w:p w:rsidR="00EB1E42" w:rsidRDefault="00EB1E42" w:rsidP="00EB1E42"/>
    <w:p w:rsidR="00EB1E42" w:rsidRDefault="00EB1E42" w:rsidP="00EB1E42">
      <w:pPr>
        <w:pStyle w:val="Heading3"/>
        <w:spacing w:before="0" w:after="240"/>
      </w:pPr>
      <w:bookmarkStart w:id="71" w:name="_Toc77599056"/>
      <w:r>
        <w:lastRenderedPageBreak/>
        <w:t>Assessment New Targets</w:t>
      </w:r>
      <w:bookmarkEnd w:id="71"/>
    </w:p>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3C15B8" w:rsidTr="00704E41">
        <w:trPr>
          <w:trHeight w:val="288"/>
        </w:trPr>
        <w:tc>
          <w:tcPr>
            <w:tcW w:w="3145" w:type="dxa"/>
            <w:vAlign w:val="bottom"/>
            <w:hideMark/>
          </w:tcPr>
          <w:p w:rsidR="00EB1E42" w:rsidRPr="00F86900" w:rsidRDefault="00EB1E42" w:rsidP="00704E41">
            <w:pPr>
              <w:jc w:val="center"/>
              <w:rPr>
                <w:rFonts w:cs="Arial"/>
                <w:b/>
              </w:rPr>
            </w:pPr>
            <w:bookmarkStart w:id="72" w:name="_Hlk74653739"/>
            <w:r w:rsidRPr="00F86900">
              <w:rPr>
                <w:rFonts w:cs="Arial"/>
                <w:b/>
              </w:rPr>
              <w:t>Indicator 3</w:t>
            </w:r>
            <w:r>
              <w:rPr>
                <w:rFonts w:cs="Arial"/>
                <w:b/>
              </w:rPr>
              <w:t>a</w:t>
            </w:r>
            <w:r w:rsidRPr="00F86900">
              <w:rPr>
                <w:rFonts w:cs="Arial"/>
                <w:b/>
              </w:rPr>
              <w:t xml:space="preserve"> ELA Targets</w:t>
            </w:r>
          </w:p>
        </w:tc>
        <w:tc>
          <w:tcPr>
            <w:tcW w:w="887" w:type="dxa"/>
            <w:vAlign w:val="bottom"/>
            <w:hideMark/>
          </w:tcPr>
          <w:p w:rsidR="00EB1E42" w:rsidRPr="003C15B8" w:rsidRDefault="00EB1E42" w:rsidP="00704E41">
            <w:pPr>
              <w:jc w:val="center"/>
              <w:rPr>
                <w:rFonts w:cs="Arial"/>
              </w:rPr>
            </w:pPr>
            <w:r w:rsidRPr="003C15B8">
              <w:rPr>
                <w:rFonts w:cs="Arial"/>
                <w:b/>
                <w:bCs/>
                <w:kern w:val="24"/>
              </w:rPr>
              <w:t>2020</w:t>
            </w:r>
          </w:p>
        </w:tc>
        <w:tc>
          <w:tcPr>
            <w:tcW w:w="1108" w:type="dxa"/>
            <w:vAlign w:val="bottom"/>
            <w:hideMark/>
          </w:tcPr>
          <w:p w:rsidR="00EB1E42" w:rsidRPr="003C15B8" w:rsidRDefault="00EB1E42" w:rsidP="00704E41">
            <w:pPr>
              <w:jc w:val="center"/>
              <w:rPr>
                <w:rFonts w:cs="Arial"/>
              </w:rPr>
            </w:pPr>
            <w:r w:rsidRPr="003C15B8">
              <w:rPr>
                <w:rFonts w:cs="Arial"/>
                <w:b/>
                <w:bCs/>
                <w:kern w:val="24"/>
              </w:rPr>
              <w:t>2021</w:t>
            </w:r>
          </w:p>
        </w:tc>
        <w:tc>
          <w:tcPr>
            <w:tcW w:w="1068" w:type="dxa"/>
            <w:vAlign w:val="bottom"/>
            <w:hideMark/>
          </w:tcPr>
          <w:p w:rsidR="00EB1E42" w:rsidRPr="003C15B8" w:rsidRDefault="00EB1E42" w:rsidP="00704E41">
            <w:pPr>
              <w:jc w:val="center"/>
              <w:rPr>
                <w:rFonts w:cs="Arial"/>
              </w:rPr>
            </w:pPr>
            <w:r w:rsidRPr="003C15B8">
              <w:rPr>
                <w:rFonts w:cs="Arial"/>
                <w:b/>
                <w:bCs/>
                <w:kern w:val="24"/>
              </w:rPr>
              <w:t>2022</w:t>
            </w:r>
          </w:p>
        </w:tc>
        <w:tc>
          <w:tcPr>
            <w:tcW w:w="1054" w:type="dxa"/>
            <w:vAlign w:val="bottom"/>
            <w:hideMark/>
          </w:tcPr>
          <w:p w:rsidR="00EB1E42" w:rsidRPr="003C15B8" w:rsidRDefault="00EB1E42" w:rsidP="00704E41">
            <w:pPr>
              <w:jc w:val="center"/>
              <w:rPr>
                <w:rFonts w:cs="Arial"/>
              </w:rPr>
            </w:pPr>
            <w:r w:rsidRPr="003C15B8">
              <w:rPr>
                <w:rFonts w:cs="Arial"/>
                <w:b/>
                <w:bCs/>
                <w:kern w:val="24"/>
              </w:rPr>
              <w:t>2023</w:t>
            </w:r>
          </w:p>
        </w:tc>
        <w:tc>
          <w:tcPr>
            <w:tcW w:w="934" w:type="dxa"/>
            <w:vAlign w:val="bottom"/>
            <w:hideMark/>
          </w:tcPr>
          <w:p w:rsidR="00EB1E42" w:rsidRPr="003C15B8" w:rsidRDefault="00EB1E42" w:rsidP="00704E41">
            <w:pPr>
              <w:jc w:val="center"/>
              <w:rPr>
                <w:rFonts w:cs="Arial"/>
              </w:rPr>
            </w:pPr>
            <w:r w:rsidRPr="003C15B8">
              <w:rPr>
                <w:rFonts w:cs="Arial"/>
                <w:b/>
                <w:bCs/>
                <w:kern w:val="24"/>
              </w:rPr>
              <w:t>2024</w:t>
            </w:r>
          </w:p>
        </w:tc>
        <w:tc>
          <w:tcPr>
            <w:tcW w:w="1159"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95</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95</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95</w:t>
            </w:r>
            <w:r w:rsidRPr="003C15B8">
              <w:rPr>
                <w:rFonts w:cs="Arial"/>
                <w:color w:val="000000" w:themeColor="dark1"/>
                <w:kern w:val="24"/>
              </w:rPr>
              <w:t>%</w:t>
            </w:r>
          </w:p>
        </w:tc>
        <w:tc>
          <w:tcPr>
            <w:tcW w:w="1054" w:type="dxa"/>
            <w:hideMark/>
          </w:tcPr>
          <w:p w:rsidR="00EB1E42" w:rsidRPr="003C15B8" w:rsidRDefault="00EB1E42" w:rsidP="00704E41">
            <w:pPr>
              <w:jc w:val="center"/>
              <w:rPr>
                <w:rFonts w:cs="Arial"/>
              </w:rPr>
            </w:pPr>
            <w:r w:rsidRPr="002049CA">
              <w:rPr>
                <w:rFonts w:cs="Arial"/>
                <w:color w:val="000000" w:themeColor="dark1"/>
                <w:kern w:val="24"/>
              </w:rPr>
              <w:t>95%</w:t>
            </w:r>
          </w:p>
        </w:tc>
        <w:tc>
          <w:tcPr>
            <w:tcW w:w="934" w:type="dxa"/>
            <w:hideMark/>
          </w:tcPr>
          <w:p w:rsidR="00EB1E42" w:rsidRPr="003C15B8" w:rsidRDefault="00EB1E42" w:rsidP="00704E41">
            <w:pPr>
              <w:jc w:val="center"/>
              <w:rPr>
                <w:rFonts w:cs="Arial"/>
              </w:rPr>
            </w:pPr>
            <w:r w:rsidRPr="002049CA">
              <w:rPr>
                <w:rFonts w:cs="Arial"/>
                <w:color w:val="000000" w:themeColor="dark1"/>
                <w:kern w:val="24"/>
              </w:rPr>
              <w:t>95%</w:t>
            </w:r>
          </w:p>
        </w:tc>
        <w:tc>
          <w:tcPr>
            <w:tcW w:w="1159" w:type="dxa"/>
            <w:hideMark/>
          </w:tcPr>
          <w:p w:rsidR="00EB1E42" w:rsidRPr="003C15B8" w:rsidRDefault="00EB1E42" w:rsidP="00704E41">
            <w:pPr>
              <w:jc w:val="center"/>
              <w:rPr>
                <w:rFonts w:cs="Arial"/>
              </w:rPr>
            </w:pPr>
            <w:r w:rsidRPr="002049CA">
              <w:rPr>
                <w:rFonts w:cs="Arial"/>
                <w:color w:val="000000" w:themeColor="dark1"/>
                <w:kern w:val="24"/>
              </w:rPr>
              <w:t>95%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887"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0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6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5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93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59" w:type="dxa"/>
            <w:hideMark/>
          </w:tcPr>
          <w:p w:rsidR="00EB1E42" w:rsidRPr="003C15B8" w:rsidRDefault="00EB1E42" w:rsidP="00704E41">
            <w:pPr>
              <w:jc w:val="center"/>
              <w:rPr>
                <w:rFonts w:cs="Arial"/>
              </w:rPr>
            </w:pPr>
            <w:r w:rsidRPr="00C56A0F">
              <w:rPr>
                <w:rFonts w:cs="Arial"/>
                <w:color w:val="000000" w:themeColor="dark1"/>
                <w:kern w:val="24"/>
              </w:rPr>
              <w:t>95%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887"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0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68"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05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934" w:type="dxa"/>
            <w:hideMark/>
          </w:tcPr>
          <w:p w:rsidR="00EB1E42" w:rsidRPr="003C15B8" w:rsidRDefault="00EB1E42" w:rsidP="00704E41">
            <w:pPr>
              <w:jc w:val="center"/>
              <w:rPr>
                <w:rFonts w:cs="Arial"/>
              </w:rPr>
            </w:pPr>
            <w:r w:rsidRPr="00C56A0F">
              <w:rPr>
                <w:rFonts w:cs="Arial"/>
                <w:color w:val="000000" w:themeColor="dark1"/>
                <w:kern w:val="24"/>
              </w:rPr>
              <w:t>95%</w:t>
            </w:r>
          </w:p>
        </w:tc>
        <w:tc>
          <w:tcPr>
            <w:tcW w:w="1159" w:type="dxa"/>
            <w:hideMark/>
          </w:tcPr>
          <w:p w:rsidR="00EB1E42" w:rsidRPr="003C15B8" w:rsidRDefault="00EB1E42" w:rsidP="00704E41">
            <w:pPr>
              <w:jc w:val="center"/>
              <w:rPr>
                <w:rFonts w:cs="Arial"/>
              </w:rPr>
            </w:pPr>
            <w:r w:rsidRPr="00C56A0F">
              <w:rPr>
                <w:rFonts w:cs="Arial"/>
                <w:color w:val="000000" w:themeColor="dark1"/>
                <w:kern w:val="24"/>
              </w:rPr>
              <w:t>95%</w:t>
            </w:r>
          </w:p>
        </w:tc>
      </w:tr>
      <w:bookmarkEnd w:id="72"/>
    </w:tbl>
    <w:p w:rsidR="00EB1E42"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FC262B"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w:t>
            </w:r>
            <w:r>
              <w:rPr>
                <w:rFonts w:cs="Arial"/>
                <w:b/>
              </w:rPr>
              <w:t>a</w:t>
            </w:r>
            <w:r w:rsidRPr="00F86900">
              <w:rPr>
                <w:rFonts w:cs="Arial"/>
                <w:b/>
              </w:rPr>
              <w:t xml:space="preserve"> Math Targets</w:t>
            </w:r>
          </w:p>
        </w:tc>
        <w:tc>
          <w:tcPr>
            <w:tcW w:w="930" w:type="dxa"/>
            <w:vAlign w:val="bottom"/>
            <w:hideMark/>
          </w:tcPr>
          <w:p w:rsidR="00EB1E42" w:rsidRPr="00FC262B" w:rsidRDefault="00EB1E42" w:rsidP="00704E41">
            <w:pPr>
              <w:jc w:val="center"/>
              <w:rPr>
                <w:rFonts w:cs="Arial"/>
              </w:rPr>
            </w:pPr>
            <w:r w:rsidRPr="00FC262B">
              <w:rPr>
                <w:rFonts w:cs="Arial"/>
                <w:b/>
                <w:bCs/>
                <w:kern w:val="24"/>
              </w:rPr>
              <w:t>2020</w:t>
            </w:r>
          </w:p>
        </w:tc>
        <w:tc>
          <w:tcPr>
            <w:tcW w:w="1120" w:type="dxa"/>
            <w:vAlign w:val="bottom"/>
            <w:hideMark/>
          </w:tcPr>
          <w:p w:rsidR="00EB1E42" w:rsidRPr="00FC262B" w:rsidRDefault="00EB1E42" w:rsidP="00704E41">
            <w:pPr>
              <w:jc w:val="center"/>
              <w:rPr>
                <w:rFonts w:cs="Arial"/>
              </w:rPr>
            </w:pPr>
            <w:r w:rsidRPr="00FC262B">
              <w:rPr>
                <w:rFonts w:cs="Arial"/>
                <w:b/>
                <w:bCs/>
                <w:kern w:val="24"/>
              </w:rPr>
              <w:t>2021</w:t>
            </w:r>
          </w:p>
        </w:tc>
        <w:tc>
          <w:tcPr>
            <w:tcW w:w="1079" w:type="dxa"/>
            <w:vAlign w:val="bottom"/>
            <w:hideMark/>
          </w:tcPr>
          <w:p w:rsidR="00EB1E42" w:rsidRPr="00FC262B" w:rsidRDefault="00EB1E42" w:rsidP="00704E41">
            <w:pPr>
              <w:jc w:val="center"/>
              <w:rPr>
                <w:rFonts w:cs="Arial"/>
              </w:rPr>
            </w:pPr>
            <w:r w:rsidRPr="00FC262B">
              <w:rPr>
                <w:rFonts w:cs="Arial"/>
                <w:b/>
                <w:bCs/>
                <w:kern w:val="24"/>
              </w:rPr>
              <w:t>2022</w:t>
            </w:r>
          </w:p>
        </w:tc>
        <w:tc>
          <w:tcPr>
            <w:tcW w:w="1066" w:type="dxa"/>
            <w:vAlign w:val="bottom"/>
            <w:hideMark/>
          </w:tcPr>
          <w:p w:rsidR="00EB1E42" w:rsidRPr="00FC262B" w:rsidRDefault="00EB1E42" w:rsidP="00704E41">
            <w:pPr>
              <w:jc w:val="center"/>
              <w:rPr>
                <w:rFonts w:cs="Arial"/>
              </w:rPr>
            </w:pPr>
            <w:r w:rsidRPr="00FC262B">
              <w:rPr>
                <w:rFonts w:cs="Arial"/>
                <w:b/>
                <w:bCs/>
                <w:kern w:val="24"/>
              </w:rPr>
              <w:t>2023</w:t>
            </w:r>
          </w:p>
        </w:tc>
        <w:tc>
          <w:tcPr>
            <w:tcW w:w="944" w:type="dxa"/>
            <w:vAlign w:val="bottom"/>
            <w:hideMark/>
          </w:tcPr>
          <w:p w:rsidR="00EB1E42" w:rsidRPr="00FC262B" w:rsidRDefault="00EB1E42" w:rsidP="00704E41">
            <w:pPr>
              <w:jc w:val="center"/>
              <w:rPr>
                <w:rFonts w:cs="Arial"/>
              </w:rPr>
            </w:pPr>
            <w:r w:rsidRPr="00FC262B">
              <w:rPr>
                <w:rFonts w:cs="Arial"/>
                <w:b/>
                <w:bCs/>
                <w:kern w:val="24"/>
              </w:rPr>
              <w:t>2024</w:t>
            </w:r>
          </w:p>
        </w:tc>
        <w:tc>
          <w:tcPr>
            <w:tcW w:w="1025"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12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79"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66" w:type="dxa"/>
            <w:hideMark/>
          </w:tcPr>
          <w:p w:rsidR="00EB1E42" w:rsidRPr="00FC262B" w:rsidRDefault="00EB1E42" w:rsidP="00704E41">
            <w:pPr>
              <w:jc w:val="center"/>
              <w:rPr>
                <w:rFonts w:cs="Arial"/>
              </w:rPr>
            </w:pPr>
            <w:r w:rsidRPr="00CB74F0">
              <w:rPr>
                <w:rFonts w:cs="Arial"/>
                <w:color w:val="000000" w:themeColor="dark1"/>
                <w:kern w:val="24"/>
              </w:rPr>
              <w:t>95%</w:t>
            </w:r>
          </w:p>
        </w:tc>
        <w:tc>
          <w:tcPr>
            <w:tcW w:w="944"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25" w:type="dxa"/>
            <w:hideMark/>
          </w:tcPr>
          <w:p w:rsidR="00EB1E42" w:rsidRPr="00FC262B" w:rsidRDefault="00EB1E42" w:rsidP="00704E41">
            <w:pPr>
              <w:jc w:val="center"/>
              <w:rPr>
                <w:rFonts w:cs="Arial"/>
              </w:rPr>
            </w:pPr>
            <w:r w:rsidRPr="00CB74F0">
              <w:rPr>
                <w:rFonts w:cs="Arial"/>
                <w:color w:val="000000" w:themeColor="dark1"/>
                <w:kern w:val="24"/>
              </w:rPr>
              <w:t>95%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12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79"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66" w:type="dxa"/>
            <w:hideMark/>
          </w:tcPr>
          <w:p w:rsidR="00EB1E42" w:rsidRPr="00FC262B" w:rsidRDefault="00EB1E42" w:rsidP="00704E41">
            <w:pPr>
              <w:jc w:val="center"/>
              <w:rPr>
                <w:rFonts w:cs="Arial"/>
              </w:rPr>
            </w:pPr>
            <w:r w:rsidRPr="00CB74F0">
              <w:rPr>
                <w:rFonts w:cs="Arial"/>
                <w:color w:val="000000" w:themeColor="dark1"/>
                <w:kern w:val="24"/>
              </w:rPr>
              <w:t>95%</w:t>
            </w:r>
          </w:p>
        </w:tc>
        <w:tc>
          <w:tcPr>
            <w:tcW w:w="944"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25" w:type="dxa"/>
            <w:hideMark/>
          </w:tcPr>
          <w:p w:rsidR="00EB1E42" w:rsidRPr="00FC262B" w:rsidRDefault="00EB1E42" w:rsidP="00704E41">
            <w:pPr>
              <w:jc w:val="center"/>
              <w:rPr>
                <w:rFonts w:cs="Arial"/>
              </w:rPr>
            </w:pPr>
            <w:r w:rsidRPr="00CB74F0">
              <w:rPr>
                <w:rFonts w:cs="Arial"/>
                <w:color w:val="000000" w:themeColor="dark1"/>
                <w:kern w:val="24"/>
              </w:rPr>
              <w:t>95%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11</w:t>
            </w:r>
          </w:p>
        </w:tc>
        <w:tc>
          <w:tcPr>
            <w:tcW w:w="93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120"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79"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66" w:type="dxa"/>
            <w:hideMark/>
          </w:tcPr>
          <w:p w:rsidR="00EB1E42" w:rsidRPr="00FC262B" w:rsidRDefault="00EB1E42" w:rsidP="00704E41">
            <w:pPr>
              <w:jc w:val="center"/>
              <w:rPr>
                <w:rFonts w:cs="Arial"/>
              </w:rPr>
            </w:pPr>
            <w:r w:rsidRPr="00CB74F0">
              <w:rPr>
                <w:rFonts w:cs="Arial"/>
                <w:color w:val="000000" w:themeColor="dark1"/>
                <w:kern w:val="24"/>
              </w:rPr>
              <w:t>95%</w:t>
            </w:r>
          </w:p>
        </w:tc>
        <w:tc>
          <w:tcPr>
            <w:tcW w:w="944" w:type="dxa"/>
            <w:hideMark/>
          </w:tcPr>
          <w:p w:rsidR="00EB1E42" w:rsidRPr="00FC262B" w:rsidRDefault="00EB1E42" w:rsidP="00704E41">
            <w:pPr>
              <w:jc w:val="center"/>
              <w:rPr>
                <w:rFonts w:cs="Arial"/>
              </w:rPr>
            </w:pPr>
            <w:r w:rsidRPr="00CB74F0">
              <w:rPr>
                <w:rFonts w:cs="Arial"/>
                <w:color w:val="000000" w:themeColor="dark1"/>
                <w:kern w:val="24"/>
              </w:rPr>
              <w:t>95%</w:t>
            </w:r>
          </w:p>
        </w:tc>
        <w:tc>
          <w:tcPr>
            <w:tcW w:w="1025" w:type="dxa"/>
            <w:hideMark/>
          </w:tcPr>
          <w:p w:rsidR="00EB1E42" w:rsidRPr="00FC262B" w:rsidRDefault="00EB1E42" w:rsidP="00704E41">
            <w:pPr>
              <w:jc w:val="center"/>
              <w:rPr>
                <w:rFonts w:cs="Arial"/>
              </w:rPr>
            </w:pPr>
            <w:r w:rsidRPr="00CB74F0">
              <w:rPr>
                <w:rFonts w:cs="Arial"/>
                <w:color w:val="000000" w:themeColor="dark1"/>
                <w:kern w:val="24"/>
              </w:rPr>
              <w:t>95%</w:t>
            </w:r>
          </w:p>
        </w:tc>
      </w:tr>
    </w:tbl>
    <w:p w:rsidR="00EB1E42"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3C15B8"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3b ELA Targets</w:t>
            </w:r>
          </w:p>
        </w:tc>
        <w:tc>
          <w:tcPr>
            <w:tcW w:w="887" w:type="dxa"/>
            <w:vAlign w:val="bottom"/>
            <w:hideMark/>
          </w:tcPr>
          <w:p w:rsidR="00EB1E42" w:rsidRPr="003C15B8" w:rsidRDefault="00EB1E42" w:rsidP="00704E41">
            <w:pPr>
              <w:jc w:val="center"/>
              <w:rPr>
                <w:rFonts w:cs="Arial"/>
              </w:rPr>
            </w:pPr>
            <w:r w:rsidRPr="003C15B8">
              <w:rPr>
                <w:rFonts w:cs="Arial"/>
                <w:b/>
                <w:bCs/>
                <w:kern w:val="24"/>
              </w:rPr>
              <w:t>2020</w:t>
            </w:r>
          </w:p>
        </w:tc>
        <w:tc>
          <w:tcPr>
            <w:tcW w:w="1108" w:type="dxa"/>
            <w:vAlign w:val="bottom"/>
            <w:hideMark/>
          </w:tcPr>
          <w:p w:rsidR="00EB1E42" w:rsidRPr="003C15B8" w:rsidRDefault="00EB1E42" w:rsidP="00704E41">
            <w:pPr>
              <w:jc w:val="center"/>
              <w:rPr>
                <w:rFonts w:cs="Arial"/>
              </w:rPr>
            </w:pPr>
            <w:r w:rsidRPr="003C15B8">
              <w:rPr>
                <w:rFonts w:cs="Arial"/>
                <w:b/>
                <w:bCs/>
                <w:kern w:val="24"/>
              </w:rPr>
              <w:t>2021</w:t>
            </w:r>
          </w:p>
        </w:tc>
        <w:tc>
          <w:tcPr>
            <w:tcW w:w="1068" w:type="dxa"/>
            <w:vAlign w:val="bottom"/>
            <w:hideMark/>
          </w:tcPr>
          <w:p w:rsidR="00EB1E42" w:rsidRPr="003C15B8" w:rsidRDefault="00EB1E42" w:rsidP="00704E41">
            <w:pPr>
              <w:jc w:val="center"/>
              <w:rPr>
                <w:rFonts w:cs="Arial"/>
              </w:rPr>
            </w:pPr>
            <w:r w:rsidRPr="003C15B8">
              <w:rPr>
                <w:rFonts w:cs="Arial"/>
                <w:b/>
                <w:bCs/>
                <w:kern w:val="24"/>
              </w:rPr>
              <w:t>2022</w:t>
            </w:r>
          </w:p>
        </w:tc>
        <w:tc>
          <w:tcPr>
            <w:tcW w:w="1054" w:type="dxa"/>
            <w:vAlign w:val="bottom"/>
            <w:hideMark/>
          </w:tcPr>
          <w:p w:rsidR="00EB1E42" w:rsidRPr="003C15B8" w:rsidRDefault="00EB1E42" w:rsidP="00704E41">
            <w:pPr>
              <w:jc w:val="center"/>
              <w:rPr>
                <w:rFonts w:cs="Arial"/>
              </w:rPr>
            </w:pPr>
            <w:r w:rsidRPr="003C15B8">
              <w:rPr>
                <w:rFonts w:cs="Arial"/>
                <w:b/>
                <w:bCs/>
                <w:kern w:val="24"/>
              </w:rPr>
              <w:t>2023</w:t>
            </w:r>
          </w:p>
        </w:tc>
        <w:tc>
          <w:tcPr>
            <w:tcW w:w="934" w:type="dxa"/>
            <w:vAlign w:val="bottom"/>
            <w:hideMark/>
          </w:tcPr>
          <w:p w:rsidR="00EB1E42" w:rsidRPr="003C15B8" w:rsidRDefault="00EB1E42" w:rsidP="00704E41">
            <w:pPr>
              <w:jc w:val="center"/>
              <w:rPr>
                <w:rFonts w:cs="Arial"/>
              </w:rPr>
            </w:pPr>
            <w:r w:rsidRPr="003C15B8">
              <w:rPr>
                <w:rFonts w:cs="Arial"/>
                <w:b/>
                <w:bCs/>
                <w:kern w:val="24"/>
              </w:rPr>
              <w:t>2024</w:t>
            </w:r>
          </w:p>
        </w:tc>
        <w:tc>
          <w:tcPr>
            <w:tcW w:w="1159"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887"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18</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13</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15</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15</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r>
    </w:tbl>
    <w:p w:rsidR="00EB1E42"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FC262B" w:rsidTr="00704E41">
        <w:trPr>
          <w:trHeight w:val="288"/>
        </w:trPr>
        <w:tc>
          <w:tcPr>
            <w:tcW w:w="3145" w:type="dxa"/>
            <w:vAlign w:val="bottom"/>
            <w:hideMark/>
          </w:tcPr>
          <w:p w:rsidR="00EB1E42" w:rsidRPr="00F86900" w:rsidRDefault="00EB1E42" w:rsidP="00704E41">
            <w:pPr>
              <w:jc w:val="center"/>
              <w:rPr>
                <w:rFonts w:cs="Arial"/>
                <w:b/>
              </w:rPr>
            </w:pPr>
            <w:bookmarkStart w:id="73" w:name="_Hlk74653755"/>
            <w:r w:rsidRPr="00F86900">
              <w:rPr>
                <w:rFonts w:cs="Arial"/>
                <w:b/>
              </w:rPr>
              <w:t>Indicator 3b Math Targets</w:t>
            </w:r>
          </w:p>
        </w:tc>
        <w:tc>
          <w:tcPr>
            <w:tcW w:w="930" w:type="dxa"/>
            <w:vAlign w:val="bottom"/>
            <w:hideMark/>
          </w:tcPr>
          <w:p w:rsidR="00EB1E42" w:rsidRPr="00FC262B" w:rsidRDefault="00EB1E42" w:rsidP="00704E41">
            <w:pPr>
              <w:jc w:val="center"/>
              <w:rPr>
                <w:rFonts w:cs="Arial"/>
              </w:rPr>
            </w:pPr>
            <w:r w:rsidRPr="00FC262B">
              <w:rPr>
                <w:rFonts w:cs="Arial"/>
                <w:b/>
                <w:bCs/>
                <w:kern w:val="24"/>
              </w:rPr>
              <w:t>2020</w:t>
            </w:r>
          </w:p>
        </w:tc>
        <w:tc>
          <w:tcPr>
            <w:tcW w:w="1120" w:type="dxa"/>
            <w:vAlign w:val="bottom"/>
            <w:hideMark/>
          </w:tcPr>
          <w:p w:rsidR="00EB1E42" w:rsidRPr="00FC262B" w:rsidRDefault="00EB1E42" w:rsidP="00704E41">
            <w:pPr>
              <w:jc w:val="center"/>
              <w:rPr>
                <w:rFonts w:cs="Arial"/>
              </w:rPr>
            </w:pPr>
            <w:r w:rsidRPr="00FC262B">
              <w:rPr>
                <w:rFonts w:cs="Arial"/>
                <w:b/>
                <w:bCs/>
                <w:kern w:val="24"/>
              </w:rPr>
              <w:t>2021</w:t>
            </w:r>
          </w:p>
        </w:tc>
        <w:tc>
          <w:tcPr>
            <w:tcW w:w="1079" w:type="dxa"/>
            <w:vAlign w:val="bottom"/>
            <w:hideMark/>
          </w:tcPr>
          <w:p w:rsidR="00EB1E42" w:rsidRPr="00FC262B" w:rsidRDefault="00EB1E42" w:rsidP="00704E41">
            <w:pPr>
              <w:jc w:val="center"/>
              <w:rPr>
                <w:rFonts w:cs="Arial"/>
              </w:rPr>
            </w:pPr>
            <w:r w:rsidRPr="00FC262B">
              <w:rPr>
                <w:rFonts w:cs="Arial"/>
                <w:b/>
                <w:bCs/>
                <w:kern w:val="24"/>
              </w:rPr>
              <w:t>2022</w:t>
            </w:r>
          </w:p>
        </w:tc>
        <w:tc>
          <w:tcPr>
            <w:tcW w:w="1066" w:type="dxa"/>
            <w:vAlign w:val="bottom"/>
            <w:hideMark/>
          </w:tcPr>
          <w:p w:rsidR="00EB1E42" w:rsidRPr="00FC262B" w:rsidRDefault="00EB1E42" w:rsidP="00704E41">
            <w:pPr>
              <w:jc w:val="center"/>
              <w:rPr>
                <w:rFonts w:cs="Arial"/>
              </w:rPr>
            </w:pPr>
            <w:r w:rsidRPr="00FC262B">
              <w:rPr>
                <w:rFonts w:cs="Arial"/>
                <w:b/>
                <w:bCs/>
                <w:kern w:val="24"/>
              </w:rPr>
              <w:t>2023</w:t>
            </w:r>
          </w:p>
        </w:tc>
        <w:tc>
          <w:tcPr>
            <w:tcW w:w="944" w:type="dxa"/>
            <w:vAlign w:val="bottom"/>
            <w:hideMark/>
          </w:tcPr>
          <w:p w:rsidR="00EB1E42" w:rsidRPr="00FC262B" w:rsidRDefault="00EB1E42" w:rsidP="00704E41">
            <w:pPr>
              <w:jc w:val="center"/>
              <w:rPr>
                <w:rFonts w:cs="Arial"/>
              </w:rPr>
            </w:pPr>
            <w:r w:rsidRPr="00FC262B">
              <w:rPr>
                <w:rFonts w:cs="Arial"/>
                <w:b/>
                <w:bCs/>
                <w:kern w:val="24"/>
              </w:rPr>
              <w:t>2024</w:t>
            </w:r>
          </w:p>
        </w:tc>
        <w:tc>
          <w:tcPr>
            <w:tcW w:w="1025"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15</w:t>
            </w:r>
            <w:r w:rsidRPr="00FC262B">
              <w:rPr>
                <w:rFonts w:cs="Arial"/>
                <w:color w:val="000000" w:themeColor="dark1"/>
                <w:kern w:val="24"/>
              </w:rPr>
              <w:t>%</w:t>
            </w:r>
          </w:p>
        </w:tc>
        <w:tc>
          <w:tcPr>
            <w:tcW w:w="1120"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5</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5</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6</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7</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Pr>
                <w:rFonts w:cs="Arial"/>
                <w:color w:val="000000" w:themeColor="dark1"/>
                <w:kern w:val="24"/>
              </w:rPr>
              <w:t>18</w:t>
            </w:r>
            <w:r w:rsidRPr="00FC262B">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0" w:type="dxa"/>
            <w:vAlign w:val="bottom"/>
            <w:hideMark/>
          </w:tcPr>
          <w:p w:rsidR="00EB1E42" w:rsidRPr="00FC262B" w:rsidRDefault="00EB1E42" w:rsidP="00704E41">
            <w:pPr>
              <w:jc w:val="center"/>
              <w:rPr>
                <w:rFonts w:cs="Arial"/>
              </w:rPr>
            </w:pPr>
            <w:r w:rsidRPr="00FC262B">
              <w:rPr>
                <w:rFonts w:cs="Arial"/>
                <w:color w:val="000000" w:themeColor="dark1"/>
                <w:kern w:val="24"/>
              </w:rPr>
              <w:t>8%</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0</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1</w:t>
            </w:r>
            <w:r w:rsidRPr="00FC262B">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11</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8%</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0</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1</w:t>
            </w:r>
            <w:r w:rsidRPr="00FC262B">
              <w:rPr>
                <w:rFonts w:cs="Arial"/>
                <w:color w:val="000000" w:themeColor="dark1"/>
                <w:kern w:val="24"/>
              </w:rPr>
              <w:t>%</w:t>
            </w:r>
          </w:p>
        </w:tc>
      </w:tr>
      <w:bookmarkEnd w:id="73"/>
    </w:tbl>
    <w:p w:rsidR="00EB1E42" w:rsidRDefault="00EB1E42" w:rsidP="00EB1E42"/>
    <w:tbl>
      <w:tblPr>
        <w:tblStyle w:val="TableGrid1"/>
        <w:tblW w:w="9355" w:type="dxa"/>
        <w:tblLook w:val="0420" w:firstRow="1" w:lastRow="0" w:firstColumn="0" w:lastColumn="0" w:noHBand="0" w:noVBand="1"/>
      </w:tblPr>
      <w:tblGrid>
        <w:gridCol w:w="3145"/>
        <w:gridCol w:w="887"/>
        <w:gridCol w:w="1108"/>
        <w:gridCol w:w="1068"/>
        <w:gridCol w:w="1054"/>
        <w:gridCol w:w="934"/>
        <w:gridCol w:w="1159"/>
      </w:tblGrid>
      <w:tr w:rsidR="00EB1E42" w:rsidRPr="003C15B8"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3c ELA Targets</w:t>
            </w:r>
          </w:p>
        </w:tc>
        <w:tc>
          <w:tcPr>
            <w:tcW w:w="887" w:type="dxa"/>
            <w:vAlign w:val="bottom"/>
            <w:hideMark/>
          </w:tcPr>
          <w:p w:rsidR="00EB1E42" w:rsidRPr="003C15B8" w:rsidRDefault="00EB1E42" w:rsidP="00704E41">
            <w:pPr>
              <w:jc w:val="center"/>
              <w:rPr>
                <w:rFonts w:cs="Arial"/>
              </w:rPr>
            </w:pPr>
            <w:r w:rsidRPr="003C15B8">
              <w:rPr>
                <w:rFonts w:cs="Arial"/>
                <w:b/>
                <w:bCs/>
                <w:kern w:val="24"/>
              </w:rPr>
              <w:t>2020</w:t>
            </w:r>
          </w:p>
        </w:tc>
        <w:tc>
          <w:tcPr>
            <w:tcW w:w="1108" w:type="dxa"/>
            <w:vAlign w:val="bottom"/>
            <w:hideMark/>
          </w:tcPr>
          <w:p w:rsidR="00EB1E42" w:rsidRPr="003C15B8" w:rsidRDefault="00EB1E42" w:rsidP="00704E41">
            <w:pPr>
              <w:jc w:val="center"/>
              <w:rPr>
                <w:rFonts w:cs="Arial"/>
              </w:rPr>
            </w:pPr>
            <w:r w:rsidRPr="003C15B8">
              <w:rPr>
                <w:rFonts w:cs="Arial"/>
                <w:b/>
                <w:bCs/>
                <w:kern w:val="24"/>
              </w:rPr>
              <w:t>2021</w:t>
            </w:r>
          </w:p>
        </w:tc>
        <w:tc>
          <w:tcPr>
            <w:tcW w:w="1068" w:type="dxa"/>
            <w:vAlign w:val="bottom"/>
            <w:hideMark/>
          </w:tcPr>
          <w:p w:rsidR="00EB1E42" w:rsidRPr="003C15B8" w:rsidRDefault="00EB1E42" w:rsidP="00704E41">
            <w:pPr>
              <w:jc w:val="center"/>
              <w:rPr>
                <w:rFonts w:cs="Arial"/>
              </w:rPr>
            </w:pPr>
            <w:r w:rsidRPr="003C15B8">
              <w:rPr>
                <w:rFonts w:cs="Arial"/>
                <w:b/>
                <w:bCs/>
                <w:kern w:val="24"/>
              </w:rPr>
              <w:t>2022</w:t>
            </w:r>
          </w:p>
        </w:tc>
        <w:tc>
          <w:tcPr>
            <w:tcW w:w="1054" w:type="dxa"/>
            <w:vAlign w:val="bottom"/>
            <w:hideMark/>
          </w:tcPr>
          <w:p w:rsidR="00EB1E42" w:rsidRPr="003C15B8" w:rsidRDefault="00EB1E42" w:rsidP="00704E41">
            <w:pPr>
              <w:jc w:val="center"/>
              <w:rPr>
                <w:rFonts w:cs="Arial"/>
              </w:rPr>
            </w:pPr>
            <w:r w:rsidRPr="003C15B8">
              <w:rPr>
                <w:rFonts w:cs="Arial"/>
                <w:b/>
                <w:bCs/>
                <w:kern w:val="24"/>
              </w:rPr>
              <w:t>2023</w:t>
            </w:r>
          </w:p>
        </w:tc>
        <w:tc>
          <w:tcPr>
            <w:tcW w:w="934" w:type="dxa"/>
            <w:vAlign w:val="bottom"/>
            <w:hideMark/>
          </w:tcPr>
          <w:p w:rsidR="00EB1E42" w:rsidRPr="003C15B8" w:rsidRDefault="00EB1E42" w:rsidP="00704E41">
            <w:pPr>
              <w:jc w:val="center"/>
              <w:rPr>
                <w:rFonts w:cs="Arial"/>
              </w:rPr>
            </w:pPr>
            <w:r w:rsidRPr="003C15B8">
              <w:rPr>
                <w:rFonts w:cs="Arial"/>
                <w:b/>
                <w:bCs/>
                <w:kern w:val="24"/>
              </w:rPr>
              <w:t>2024</w:t>
            </w:r>
          </w:p>
        </w:tc>
        <w:tc>
          <w:tcPr>
            <w:tcW w:w="1159"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887"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sidRPr="003C15B8">
              <w:rPr>
                <w:rFonts w:cs="Arial"/>
                <w:color w:val="000000" w:themeColor="dark1"/>
                <w:kern w:val="24"/>
              </w:rPr>
              <w:t>1</w:t>
            </w:r>
            <w:r>
              <w:rPr>
                <w:rFonts w:cs="Arial"/>
                <w:color w:val="000000" w:themeColor="dark1"/>
                <w:kern w:val="24"/>
              </w:rPr>
              <w:t>5</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18</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10</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10</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10</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11</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12</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13</w:t>
            </w:r>
            <w:r w:rsidRPr="003C15B8">
              <w:rPr>
                <w:rFonts w:cs="Arial"/>
                <w:color w:val="000000" w:themeColor="dark1"/>
                <w:kern w:val="24"/>
              </w:rPr>
              <w:t>%</w:t>
            </w:r>
          </w:p>
        </w:tc>
      </w:tr>
      <w:tr w:rsidR="00EB1E42" w:rsidRPr="003C15B8" w:rsidTr="00704E41">
        <w:trPr>
          <w:trHeight w:val="288"/>
        </w:trPr>
        <w:tc>
          <w:tcPr>
            <w:tcW w:w="3145"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887"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10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68" w:type="dxa"/>
            <w:vAlign w:val="bottom"/>
            <w:hideMark/>
          </w:tcPr>
          <w:p w:rsidR="00EB1E42" w:rsidRPr="003C15B8" w:rsidRDefault="00EB1E42" w:rsidP="00704E41">
            <w:pPr>
              <w:jc w:val="center"/>
              <w:rPr>
                <w:rFonts w:cs="Arial"/>
              </w:rPr>
            </w:pPr>
            <w:r>
              <w:rPr>
                <w:rFonts w:cs="Arial"/>
                <w:color w:val="000000" w:themeColor="dark1"/>
                <w:kern w:val="24"/>
              </w:rPr>
              <w:t>14</w:t>
            </w:r>
            <w:r w:rsidRPr="003C15B8">
              <w:rPr>
                <w:rFonts w:cs="Arial"/>
                <w:color w:val="000000" w:themeColor="dark1"/>
                <w:kern w:val="24"/>
              </w:rPr>
              <w:t>%</w:t>
            </w:r>
          </w:p>
        </w:tc>
        <w:tc>
          <w:tcPr>
            <w:tcW w:w="1054" w:type="dxa"/>
            <w:vAlign w:val="bottom"/>
            <w:hideMark/>
          </w:tcPr>
          <w:p w:rsidR="00EB1E42" w:rsidRPr="003C15B8" w:rsidRDefault="00EB1E42" w:rsidP="00704E41">
            <w:pPr>
              <w:jc w:val="center"/>
              <w:rPr>
                <w:rFonts w:cs="Arial"/>
              </w:rPr>
            </w:pPr>
            <w:r>
              <w:rPr>
                <w:rFonts w:cs="Arial"/>
                <w:color w:val="000000" w:themeColor="dark1"/>
                <w:kern w:val="24"/>
              </w:rPr>
              <w:t>15</w:t>
            </w:r>
            <w:r w:rsidRPr="003C15B8">
              <w:rPr>
                <w:rFonts w:cs="Arial"/>
                <w:color w:val="000000" w:themeColor="dark1"/>
                <w:kern w:val="24"/>
              </w:rPr>
              <w:t>%</w:t>
            </w:r>
          </w:p>
        </w:tc>
        <w:tc>
          <w:tcPr>
            <w:tcW w:w="934" w:type="dxa"/>
            <w:vAlign w:val="bottom"/>
            <w:hideMark/>
          </w:tcPr>
          <w:p w:rsidR="00EB1E42" w:rsidRPr="003C15B8" w:rsidRDefault="00EB1E42" w:rsidP="00704E41">
            <w:pPr>
              <w:jc w:val="center"/>
              <w:rPr>
                <w:rFonts w:cs="Arial"/>
              </w:rPr>
            </w:pPr>
            <w:r>
              <w:rPr>
                <w:rFonts w:cs="Arial"/>
                <w:color w:val="000000" w:themeColor="dark1"/>
                <w:kern w:val="24"/>
              </w:rPr>
              <w:t>16</w:t>
            </w:r>
            <w:r w:rsidRPr="003C15B8">
              <w:rPr>
                <w:rFonts w:cs="Arial"/>
                <w:color w:val="000000" w:themeColor="dark1"/>
                <w:kern w:val="24"/>
              </w:rPr>
              <w:t>%</w:t>
            </w:r>
          </w:p>
        </w:tc>
        <w:tc>
          <w:tcPr>
            <w:tcW w:w="1159" w:type="dxa"/>
            <w:vAlign w:val="bottom"/>
            <w:hideMark/>
          </w:tcPr>
          <w:p w:rsidR="00EB1E42" w:rsidRPr="003C15B8" w:rsidRDefault="00EB1E42" w:rsidP="00704E41">
            <w:pPr>
              <w:jc w:val="center"/>
              <w:rPr>
                <w:rFonts w:cs="Arial"/>
              </w:rPr>
            </w:pPr>
            <w:r>
              <w:rPr>
                <w:rFonts w:cs="Arial"/>
                <w:color w:val="000000" w:themeColor="dark1"/>
                <w:kern w:val="24"/>
              </w:rPr>
              <w:t>17</w:t>
            </w:r>
            <w:r w:rsidRPr="003C15B8">
              <w:rPr>
                <w:rFonts w:cs="Arial"/>
                <w:color w:val="000000" w:themeColor="dark1"/>
                <w:kern w:val="24"/>
              </w:rPr>
              <w:t>%</w:t>
            </w:r>
          </w:p>
        </w:tc>
      </w:tr>
    </w:tbl>
    <w:p w:rsidR="00EB1E42" w:rsidRDefault="00EB1E42" w:rsidP="00EB1E42"/>
    <w:tbl>
      <w:tblPr>
        <w:tblStyle w:val="TableGrid1"/>
        <w:tblW w:w="9355" w:type="dxa"/>
        <w:tblLook w:val="0420" w:firstRow="1" w:lastRow="0" w:firstColumn="0" w:lastColumn="0" w:noHBand="0" w:noVBand="1"/>
      </w:tblPr>
      <w:tblGrid>
        <w:gridCol w:w="3170"/>
        <w:gridCol w:w="937"/>
        <w:gridCol w:w="1129"/>
        <w:gridCol w:w="1087"/>
        <w:gridCol w:w="1074"/>
        <w:gridCol w:w="951"/>
        <w:gridCol w:w="1007"/>
      </w:tblGrid>
      <w:tr w:rsidR="00EB1E42" w:rsidRPr="00FC262B" w:rsidTr="00704E41">
        <w:trPr>
          <w:trHeight w:val="291"/>
        </w:trPr>
        <w:tc>
          <w:tcPr>
            <w:tcW w:w="3170" w:type="dxa"/>
            <w:vAlign w:val="bottom"/>
            <w:hideMark/>
          </w:tcPr>
          <w:p w:rsidR="00EB1E42" w:rsidRPr="00F86900" w:rsidRDefault="00EB1E42" w:rsidP="00704E41">
            <w:pPr>
              <w:jc w:val="center"/>
              <w:rPr>
                <w:rFonts w:cs="Arial"/>
                <w:b/>
              </w:rPr>
            </w:pPr>
            <w:r w:rsidRPr="00F86900">
              <w:rPr>
                <w:rFonts w:cs="Arial"/>
                <w:b/>
              </w:rPr>
              <w:t>Indicator 3c Math Targets</w:t>
            </w:r>
          </w:p>
        </w:tc>
        <w:tc>
          <w:tcPr>
            <w:tcW w:w="937" w:type="dxa"/>
            <w:vAlign w:val="bottom"/>
            <w:hideMark/>
          </w:tcPr>
          <w:p w:rsidR="00EB1E42" w:rsidRPr="00FC262B" w:rsidRDefault="00EB1E42" w:rsidP="00704E41">
            <w:pPr>
              <w:jc w:val="center"/>
              <w:rPr>
                <w:rFonts w:cs="Arial"/>
              </w:rPr>
            </w:pPr>
            <w:r w:rsidRPr="00FC262B">
              <w:rPr>
                <w:rFonts w:cs="Arial"/>
                <w:b/>
                <w:bCs/>
                <w:kern w:val="24"/>
              </w:rPr>
              <w:t>2020</w:t>
            </w:r>
          </w:p>
        </w:tc>
        <w:tc>
          <w:tcPr>
            <w:tcW w:w="1129" w:type="dxa"/>
            <w:vAlign w:val="bottom"/>
            <w:hideMark/>
          </w:tcPr>
          <w:p w:rsidR="00EB1E42" w:rsidRPr="00FC262B" w:rsidRDefault="00EB1E42" w:rsidP="00704E41">
            <w:pPr>
              <w:jc w:val="center"/>
              <w:rPr>
                <w:rFonts w:cs="Arial"/>
              </w:rPr>
            </w:pPr>
            <w:r w:rsidRPr="00FC262B">
              <w:rPr>
                <w:rFonts w:cs="Arial"/>
                <w:b/>
                <w:bCs/>
                <w:kern w:val="24"/>
              </w:rPr>
              <w:t>2021</w:t>
            </w:r>
          </w:p>
        </w:tc>
        <w:tc>
          <w:tcPr>
            <w:tcW w:w="1087" w:type="dxa"/>
            <w:vAlign w:val="bottom"/>
            <w:hideMark/>
          </w:tcPr>
          <w:p w:rsidR="00EB1E42" w:rsidRPr="00FC262B" w:rsidRDefault="00EB1E42" w:rsidP="00704E41">
            <w:pPr>
              <w:jc w:val="center"/>
              <w:rPr>
                <w:rFonts w:cs="Arial"/>
              </w:rPr>
            </w:pPr>
            <w:r w:rsidRPr="00FC262B">
              <w:rPr>
                <w:rFonts w:cs="Arial"/>
                <w:b/>
                <w:bCs/>
                <w:kern w:val="24"/>
              </w:rPr>
              <w:t>2022</w:t>
            </w:r>
          </w:p>
        </w:tc>
        <w:tc>
          <w:tcPr>
            <w:tcW w:w="1074" w:type="dxa"/>
            <w:vAlign w:val="bottom"/>
            <w:hideMark/>
          </w:tcPr>
          <w:p w:rsidR="00EB1E42" w:rsidRPr="00FC262B" w:rsidRDefault="00EB1E42" w:rsidP="00704E41">
            <w:pPr>
              <w:jc w:val="center"/>
              <w:rPr>
                <w:rFonts w:cs="Arial"/>
              </w:rPr>
            </w:pPr>
            <w:r w:rsidRPr="00FC262B">
              <w:rPr>
                <w:rFonts w:cs="Arial"/>
                <w:b/>
                <w:bCs/>
                <w:kern w:val="24"/>
              </w:rPr>
              <w:t>2023</w:t>
            </w:r>
          </w:p>
        </w:tc>
        <w:tc>
          <w:tcPr>
            <w:tcW w:w="951" w:type="dxa"/>
            <w:vAlign w:val="bottom"/>
            <w:hideMark/>
          </w:tcPr>
          <w:p w:rsidR="00EB1E42" w:rsidRPr="00FC262B" w:rsidRDefault="00EB1E42" w:rsidP="00704E41">
            <w:pPr>
              <w:jc w:val="center"/>
              <w:rPr>
                <w:rFonts w:cs="Arial"/>
              </w:rPr>
            </w:pPr>
            <w:r w:rsidRPr="00FC262B">
              <w:rPr>
                <w:rFonts w:cs="Arial"/>
                <w:b/>
                <w:bCs/>
                <w:kern w:val="24"/>
              </w:rPr>
              <w:t>2024</w:t>
            </w:r>
          </w:p>
        </w:tc>
        <w:tc>
          <w:tcPr>
            <w:tcW w:w="1007"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91"/>
        </w:trPr>
        <w:tc>
          <w:tcPr>
            <w:tcW w:w="3170"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7"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1129"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1087"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1074"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951"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1007" w:type="dxa"/>
            <w:vAlign w:val="bottom"/>
            <w:hideMark/>
          </w:tcPr>
          <w:p w:rsidR="00EB1E42" w:rsidRPr="00FC262B" w:rsidRDefault="00EB1E42" w:rsidP="00704E41">
            <w:pPr>
              <w:jc w:val="center"/>
              <w:rPr>
                <w:rFonts w:cs="Arial"/>
              </w:rPr>
            </w:pPr>
            <w:r>
              <w:rPr>
                <w:rFonts w:cs="Arial"/>
                <w:color w:val="000000" w:themeColor="dark1"/>
                <w:kern w:val="24"/>
              </w:rPr>
              <w:t>10</w:t>
            </w:r>
            <w:r w:rsidRPr="00FC262B">
              <w:rPr>
                <w:rFonts w:cs="Arial"/>
                <w:color w:val="000000" w:themeColor="dark1"/>
                <w:kern w:val="24"/>
              </w:rPr>
              <w:t>%</w:t>
            </w:r>
          </w:p>
        </w:tc>
      </w:tr>
      <w:tr w:rsidR="00EB1E42" w:rsidRPr="00FC262B" w:rsidTr="00704E41">
        <w:trPr>
          <w:trHeight w:val="291"/>
        </w:trPr>
        <w:tc>
          <w:tcPr>
            <w:tcW w:w="3170"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7" w:type="dxa"/>
            <w:vAlign w:val="bottom"/>
            <w:hideMark/>
          </w:tcPr>
          <w:p w:rsidR="00EB1E42" w:rsidRPr="00FC262B" w:rsidRDefault="00EB1E42" w:rsidP="00704E41">
            <w:pPr>
              <w:jc w:val="center"/>
              <w:rPr>
                <w:rFonts w:cs="Arial"/>
              </w:rPr>
            </w:pPr>
            <w:r w:rsidRPr="00FC262B">
              <w:rPr>
                <w:rFonts w:cs="Arial"/>
                <w:color w:val="000000" w:themeColor="dark1"/>
                <w:kern w:val="24"/>
              </w:rPr>
              <w:t>8%</w:t>
            </w:r>
          </w:p>
        </w:tc>
        <w:tc>
          <w:tcPr>
            <w:tcW w:w="1129"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87"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74"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c>
          <w:tcPr>
            <w:tcW w:w="951"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0</w:t>
            </w:r>
            <w:r w:rsidRPr="00FC262B">
              <w:rPr>
                <w:rFonts w:cs="Arial"/>
                <w:color w:val="000000" w:themeColor="dark1"/>
                <w:kern w:val="24"/>
              </w:rPr>
              <w:t>%</w:t>
            </w:r>
          </w:p>
        </w:tc>
        <w:tc>
          <w:tcPr>
            <w:tcW w:w="1007" w:type="dxa"/>
            <w:vAlign w:val="bottom"/>
            <w:hideMark/>
          </w:tcPr>
          <w:p w:rsidR="00EB1E42" w:rsidRPr="00FC262B" w:rsidRDefault="00EB1E42" w:rsidP="00704E41">
            <w:pPr>
              <w:jc w:val="center"/>
              <w:rPr>
                <w:rFonts w:cs="Arial"/>
              </w:rPr>
            </w:pPr>
            <w:r w:rsidRPr="00FC262B">
              <w:rPr>
                <w:rFonts w:cs="Arial"/>
                <w:color w:val="000000" w:themeColor="dark1"/>
                <w:kern w:val="24"/>
              </w:rPr>
              <w:t>1</w:t>
            </w:r>
            <w:r>
              <w:rPr>
                <w:rFonts w:cs="Arial"/>
                <w:color w:val="000000" w:themeColor="dark1"/>
                <w:kern w:val="24"/>
              </w:rPr>
              <w:t>1</w:t>
            </w:r>
            <w:r w:rsidRPr="00FC262B">
              <w:rPr>
                <w:rFonts w:cs="Arial"/>
                <w:color w:val="000000" w:themeColor="dark1"/>
                <w:kern w:val="24"/>
              </w:rPr>
              <w:t>%</w:t>
            </w:r>
          </w:p>
        </w:tc>
      </w:tr>
      <w:tr w:rsidR="00EB1E42" w:rsidRPr="00FC262B" w:rsidTr="00704E41">
        <w:trPr>
          <w:trHeight w:val="291"/>
        </w:trPr>
        <w:tc>
          <w:tcPr>
            <w:tcW w:w="3170" w:type="dxa"/>
            <w:vAlign w:val="bottom"/>
            <w:hideMark/>
          </w:tcPr>
          <w:p w:rsidR="00EB1E42" w:rsidRPr="00FC262B" w:rsidRDefault="00EB1E42" w:rsidP="00704E41">
            <w:pPr>
              <w:jc w:val="center"/>
              <w:rPr>
                <w:rFonts w:cs="Arial"/>
              </w:rPr>
            </w:pPr>
            <w:r>
              <w:rPr>
                <w:rFonts w:cs="Arial"/>
                <w:color w:val="000000" w:themeColor="dark1"/>
                <w:kern w:val="24"/>
              </w:rPr>
              <w:t>Grade 11</w:t>
            </w:r>
          </w:p>
        </w:tc>
        <w:tc>
          <w:tcPr>
            <w:tcW w:w="937" w:type="dxa"/>
            <w:vAlign w:val="bottom"/>
            <w:hideMark/>
          </w:tcPr>
          <w:p w:rsidR="00EB1E42" w:rsidRPr="00FC262B" w:rsidRDefault="00EB1E42" w:rsidP="00704E41">
            <w:pPr>
              <w:jc w:val="center"/>
              <w:rPr>
                <w:rFonts w:cs="Arial"/>
              </w:rPr>
            </w:pPr>
            <w:r>
              <w:rPr>
                <w:rFonts w:cs="Arial"/>
                <w:color w:val="000000" w:themeColor="dark1"/>
                <w:kern w:val="24"/>
              </w:rPr>
              <w:t>6%</w:t>
            </w:r>
          </w:p>
        </w:tc>
        <w:tc>
          <w:tcPr>
            <w:tcW w:w="1129" w:type="dxa"/>
            <w:vAlign w:val="bottom"/>
            <w:hideMark/>
          </w:tcPr>
          <w:p w:rsidR="00EB1E42" w:rsidRPr="00FC262B" w:rsidRDefault="00EB1E42" w:rsidP="00704E41">
            <w:pPr>
              <w:jc w:val="center"/>
              <w:rPr>
                <w:rFonts w:cs="Arial"/>
              </w:rPr>
            </w:pPr>
            <w:r>
              <w:rPr>
                <w:rFonts w:cs="Arial"/>
                <w:color w:val="000000" w:themeColor="dark1"/>
                <w:kern w:val="24"/>
              </w:rPr>
              <w:t>6</w:t>
            </w:r>
            <w:r w:rsidRPr="00FC262B">
              <w:rPr>
                <w:rFonts w:cs="Arial"/>
                <w:color w:val="000000" w:themeColor="dark1"/>
                <w:kern w:val="24"/>
              </w:rPr>
              <w:t>%</w:t>
            </w:r>
          </w:p>
        </w:tc>
        <w:tc>
          <w:tcPr>
            <w:tcW w:w="1087" w:type="dxa"/>
            <w:vAlign w:val="bottom"/>
            <w:hideMark/>
          </w:tcPr>
          <w:p w:rsidR="00EB1E42" w:rsidRPr="00FC262B" w:rsidRDefault="00EB1E42" w:rsidP="00704E41">
            <w:pPr>
              <w:jc w:val="center"/>
              <w:rPr>
                <w:rFonts w:cs="Arial"/>
              </w:rPr>
            </w:pPr>
            <w:r>
              <w:rPr>
                <w:rFonts w:cs="Arial"/>
                <w:color w:val="000000" w:themeColor="dark1"/>
                <w:kern w:val="24"/>
              </w:rPr>
              <w:t>6</w:t>
            </w:r>
            <w:r w:rsidRPr="00FC262B">
              <w:rPr>
                <w:rFonts w:cs="Arial"/>
                <w:color w:val="000000" w:themeColor="dark1"/>
                <w:kern w:val="24"/>
              </w:rPr>
              <w:t>%</w:t>
            </w:r>
          </w:p>
        </w:tc>
        <w:tc>
          <w:tcPr>
            <w:tcW w:w="1074" w:type="dxa"/>
            <w:vAlign w:val="bottom"/>
            <w:hideMark/>
          </w:tcPr>
          <w:p w:rsidR="00EB1E42" w:rsidRPr="00FC262B" w:rsidRDefault="00EB1E42" w:rsidP="00704E41">
            <w:pPr>
              <w:jc w:val="center"/>
              <w:rPr>
                <w:rFonts w:cs="Arial"/>
              </w:rPr>
            </w:pPr>
            <w:r>
              <w:rPr>
                <w:rFonts w:cs="Arial"/>
                <w:color w:val="000000" w:themeColor="dark1"/>
                <w:kern w:val="24"/>
              </w:rPr>
              <w:t>7</w:t>
            </w:r>
            <w:r w:rsidRPr="00FC262B">
              <w:rPr>
                <w:rFonts w:cs="Arial"/>
                <w:color w:val="000000" w:themeColor="dark1"/>
                <w:kern w:val="24"/>
              </w:rPr>
              <w:t>%</w:t>
            </w:r>
          </w:p>
        </w:tc>
        <w:tc>
          <w:tcPr>
            <w:tcW w:w="951" w:type="dxa"/>
            <w:vAlign w:val="bottom"/>
            <w:hideMark/>
          </w:tcPr>
          <w:p w:rsidR="00EB1E42" w:rsidRPr="00FC262B" w:rsidRDefault="00EB1E42" w:rsidP="00704E41">
            <w:pPr>
              <w:jc w:val="center"/>
              <w:rPr>
                <w:rFonts w:cs="Arial"/>
              </w:rPr>
            </w:pPr>
            <w:r>
              <w:rPr>
                <w:rFonts w:cs="Arial"/>
                <w:color w:val="000000" w:themeColor="dark1"/>
                <w:kern w:val="24"/>
              </w:rPr>
              <w:t>8</w:t>
            </w:r>
            <w:r w:rsidRPr="00FC262B">
              <w:rPr>
                <w:rFonts w:cs="Arial"/>
                <w:color w:val="000000" w:themeColor="dark1"/>
                <w:kern w:val="24"/>
              </w:rPr>
              <w:t>%</w:t>
            </w:r>
          </w:p>
        </w:tc>
        <w:tc>
          <w:tcPr>
            <w:tcW w:w="1007" w:type="dxa"/>
            <w:vAlign w:val="bottom"/>
            <w:hideMark/>
          </w:tcPr>
          <w:p w:rsidR="00EB1E42" w:rsidRPr="00FC262B" w:rsidRDefault="00EB1E42" w:rsidP="00704E41">
            <w:pPr>
              <w:jc w:val="center"/>
              <w:rPr>
                <w:rFonts w:cs="Arial"/>
              </w:rPr>
            </w:pPr>
            <w:r>
              <w:rPr>
                <w:rFonts w:cs="Arial"/>
                <w:color w:val="000000" w:themeColor="dark1"/>
                <w:kern w:val="24"/>
              </w:rPr>
              <w:t>9</w:t>
            </w:r>
            <w:r w:rsidRPr="00FC262B">
              <w:rPr>
                <w:rFonts w:cs="Arial"/>
                <w:color w:val="000000" w:themeColor="dark1"/>
                <w:kern w:val="24"/>
              </w:rPr>
              <w:t>%</w:t>
            </w:r>
          </w:p>
        </w:tc>
      </w:tr>
    </w:tbl>
    <w:p w:rsidR="00EB1E42" w:rsidRDefault="00EB1E42" w:rsidP="00EB1E42"/>
    <w:tbl>
      <w:tblPr>
        <w:tblStyle w:val="TableGrid1"/>
        <w:tblW w:w="9355" w:type="dxa"/>
        <w:tblLook w:val="0420" w:firstRow="1" w:lastRow="0" w:firstColumn="0" w:lastColumn="0" w:noHBand="0" w:noVBand="1"/>
      </w:tblPr>
      <w:tblGrid>
        <w:gridCol w:w="3206"/>
        <w:gridCol w:w="904"/>
        <w:gridCol w:w="1129"/>
        <w:gridCol w:w="1088"/>
        <w:gridCol w:w="1074"/>
        <w:gridCol w:w="952"/>
        <w:gridCol w:w="1002"/>
      </w:tblGrid>
      <w:tr w:rsidR="00EB1E42" w:rsidRPr="003C15B8" w:rsidTr="00704E41">
        <w:trPr>
          <w:trHeight w:val="300"/>
        </w:trPr>
        <w:tc>
          <w:tcPr>
            <w:tcW w:w="3206" w:type="dxa"/>
            <w:vAlign w:val="bottom"/>
            <w:hideMark/>
          </w:tcPr>
          <w:p w:rsidR="00EB1E42" w:rsidRPr="00F86900" w:rsidRDefault="00EB1E42" w:rsidP="00704E41">
            <w:pPr>
              <w:jc w:val="center"/>
              <w:rPr>
                <w:rFonts w:cs="Arial"/>
                <w:b/>
              </w:rPr>
            </w:pPr>
            <w:r w:rsidRPr="00F86900">
              <w:rPr>
                <w:rFonts w:cs="Arial"/>
                <w:b/>
              </w:rPr>
              <w:t>Indicator 3d ELA Targets</w:t>
            </w:r>
          </w:p>
        </w:tc>
        <w:tc>
          <w:tcPr>
            <w:tcW w:w="904" w:type="dxa"/>
            <w:vAlign w:val="bottom"/>
            <w:hideMark/>
          </w:tcPr>
          <w:p w:rsidR="00EB1E42" w:rsidRPr="003C15B8" w:rsidRDefault="00EB1E42" w:rsidP="00704E41">
            <w:pPr>
              <w:jc w:val="center"/>
              <w:rPr>
                <w:rFonts w:cs="Arial"/>
              </w:rPr>
            </w:pPr>
            <w:r w:rsidRPr="003C15B8">
              <w:rPr>
                <w:rFonts w:cs="Arial"/>
                <w:b/>
                <w:bCs/>
                <w:kern w:val="24"/>
              </w:rPr>
              <w:t>2020</w:t>
            </w:r>
          </w:p>
        </w:tc>
        <w:tc>
          <w:tcPr>
            <w:tcW w:w="1129" w:type="dxa"/>
            <w:vAlign w:val="bottom"/>
            <w:hideMark/>
          </w:tcPr>
          <w:p w:rsidR="00EB1E42" w:rsidRPr="003C15B8" w:rsidRDefault="00EB1E42" w:rsidP="00704E41">
            <w:pPr>
              <w:jc w:val="center"/>
              <w:rPr>
                <w:rFonts w:cs="Arial"/>
              </w:rPr>
            </w:pPr>
            <w:r w:rsidRPr="003C15B8">
              <w:rPr>
                <w:rFonts w:cs="Arial"/>
                <w:b/>
                <w:bCs/>
                <w:kern w:val="24"/>
              </w:rPr>
              <w:t>2021</w:t>
            </w:r>
          </w:p>
        </w:tc>
        <w:tc>
          <w:tcPr>
            <w:tcW w:w="1088" w:type="dxa"/>
            <w:vAlign w:val="bottom"/>
            <w:hideMark/>
          </w:tcPr>
          <w:p w:rsidR="00EB1E42" w:rsidRPr="003C15B8" w:rsidRDefault="00EB1E42" w:rsidP="00704E41">
            <w:pPr>
              <w:jc w:val="center"/>
              <w:rPr>
                <w:rFonts w:cs="Arial"/>
              </w:rPr>
            </w:pPr>
            <w:r w:rsidRPr="003C15B8">
              <w:rPr>
                <w:rFonts w:cs="Arial"/>
                <w:b/>
                <w:bCs/>
                <w:kern w:val="24"/>
              </w:rPr>
              <w:t>2022</w:t>
            </w:r>
          </w:p>
        </w:tc>
        <w:tc>
          <w:tcPr>
            <w:tcW w:w="1074" w:type="dxa"/>
            <w:vAlign w:val="bottom"/>
            <w:hideMark/>
          </w:tcPr>
          <w:p w:rsidR="00EB1E42" w:rsidRPr="003C15B8" w:rsidRDefault="00EB1E42" w:rsidP="00704E41">
            <w:pPr>
              <w:jc w:val="center"/>
              <w:rPr>
                <w:rFonts w:cs="Arial"/>
              </w:rPr>
            </w:pPr>
            <w:r w:rsidRPr="003C15B8">
              <w:rPr>
                <w:rFonts w:cs="Arial"/>
                <w:b/>
                <w:bCs/>
                <w:kern w:val="24"/>
              </w:rPr>
              <w:t>2023</w:t>
            </w:r>
          </w:p>
        </w:tc>
        <w:tc>
          <w:tcPr>
            <w:tcW w:w="952" w:type="dxa"/>
            <w:vAlign w:val="bottom"/>
            <w:hideMark/>
          </w:tcPr>
          <w:p w:rsidR="00EB1E42" w:rsidRPr="003C15B8" w:rsidRDefault="00EB1E42" w:rsidP="00704E41">
            <w:pPr>
              <w:jc w:val="center"/>
              <w:rPr>
                <w:rFonts w:cs="Arial"/>
              </w:rPr>
            </w:pPr>
            <w:r w:rsidRPr="003C15B8">
              <w:rPr>
                <w:rFonts w:cs="Arial"/>
                <w:b/>
                <w:bCs/>
                <w:kern w:val="24"/>
              </w:rPr>
              <w:t>2024</w:t>
            </w:r>
          </w:p>
        </w:tc>
        <w:tc>
          <w:tcPr>
            <w:tcW w:w="1002" w:type="dxa"/>
            <w:vAlign w:val="bottom"/>
            <w:hideMark/>
          </w:tcPr>
          <w:p w:rsidR="00EB1E42" w:rsidRPr="003C15B8" w:rsidRDefault="00EB1E42" w:rsidP="00704E41">
            <w:pPr>
              <w:jc w:val="center"/>
              <w:rPr>
                <w:rFonts w:cs="Arial"/>
              </w:rPr>
            </w:pPr>
            <w:r w:rsidRPr="003C15B8">
              <w:rPr>
                <w:rFonts w:cs="Arial"/>
                <w:b/>
                <w:bCs/>
                <w:kern w:val="24"/>
              </w:rPr>
              <w:t>2025</w:t>
            </w:r>
          </w:p>
        </w:tc>
      </w:tr>
      <w:tr w:rsidR="00EB1E42" w:rsidRPr="003C15B8" w:rsidTr="00704E41">
        <w:trPr>
          <w:trHeight w:val="300"/>
        </w:trPr>
        <w:tc>
          <w:tcPr>
            <w:tcW w:w="3206" w:type="dxa"/>
            <w:vAlign w:val="bottom"/>
            <w:hideMark/>
          </w:tcPr>
          <w:p w:rsidR="00EB1E42" w:rsidRPr="003C15B8" w:rsidRDefault="00EB1E42" w:rsidP="00704E41">
            <w:pPr>
              <w:jc w:val="center"/>
              <w:rPr>
                <w:rFonts w:cs="Arial"/>
              </w:rPr>
            </w:pPr>
            <w:r>
              <w:rPr>
                <w:rFonts w:cs="Arial"/>
                <w:color w:val="000000" w:themeColor="dark1"/>
                <w:kern w:val="24"/>
              </w:rPr>
              <w:t>Grade 4</w:t>
            </w:r>
          </w:p>
        </w:tc>
        <w:tc>
          <w:tcPr>
            <w:tcW w:w="904" w:type="dxa"/>
            <w:vAlign w:val="bottom"/>
            <w:hideMark/>
          </w:tcPr>
          <w:p w:rsidR="00EB1E42" w:rsidRPr="003C15B8" w:rsidRDefault="00EB1E42" w:rsidP="00704E41">
            <w:pPr>
              <w:jc w:val="center"/>
              <w:rPr>
                <w:rFonts w:cs="Arial"/>
              </w:rPr>
            </w:pPr>
            <w:r>
              <w:rPr>
                <w:rFonts w:cs="Arial"/>
                <w:color w:val="000000" w:themeColor="dark1"/>
                <w:kern w:val="24"/>
              </w:rPr>
              <w:t>31</w:t>
            </w:r>
            <w:r w:rsidRPr="003C15B8">
              <w:rPr>
                <w:rFonts w:cs="Arial"/>
                <w:color w:val="000000" w:themeColor="dark1"/>
                <w:kern w:val="24"/>
              </w:rPr>
              <w:t>%</w:t>
            </w:r>
          </w:p>
        </w:tc>
        <w:tc>
          <w:tcPr>
            <w:tcW w:w="1129" w:type="dxa"/>
            <w:vAlign w:val="bottom"/>
            <w:hideMark/>
          </w:tcPr>
          <w:p w:rsidR="00EB1E42" w:rsidRPr="003C15B8" w:rsidRDefault="00EB1E42" w:rsidP="00704E41">
            <w:pPr>
              <w:jc w:val="center"/>
              <w:rPr>
                <w:rFonts w:cs="Arial"/>
              </w:rPr>
            </w:pPr>
            <w:r>
              <w:rPr>
                <w:rFonts w:cs="Arial"/>
                <w:color w:val="000000" w:themeColor="dark1"/>
                <w:kern w:val="24"/>
              </w:rPr>
              <w:t>31</w:t>
            </w:r>
            <w:r w:rsidRPr="003C15B8">
              <w:rPr>
                <w:rFonts w:cs="Arial"/>
                <w:color w:val="000000" w:themeColor="dark1"/>
                <w:kern w:val="24"/>
              </w:rPr>
              <w:t>%</w:t>
            </w:r>
          </w:p>
        </w:tc>
        <w:tc>
          <w:tcPr>
            <w:tcW w:w="1088" w:type="dxa"/>
            <w:vAlign w:val="bottom"/>
            <w:hideMark/>
          </w:tcPr>
          <w:p w:rsidR="00EB1E42" w:rsidRPr="003C15B8" w:rsidRDefault="00EB1E42" w:rsidP="00704E41">
            <w:pPr>
              <w:jc w:val="center"/>
              <w:rPr>
                <w:rFonts w:cs="Arial"/>
              </w:rPr>
            </w:pPr>
            <w:r>
              <w:rPr>
                <w:rFonts w:cs="Arial"/>
                <w:color w:val="000000" w:themeColor="dark1"/>
                <w:kern w:val="24"/>
              </w:rPr>
              <w:t>31</w:t>
            </w:r>
            <w:r w:rsidRPr="003C15B8">
              <w:rPr>
                <w:rFonts w:cs="Arial"/>
                <w:color w:val="000000" w:themeColor="dark1"/>
                <w:kern w:val="24"/>
              </w:rPr>
              <w:t>%</w:t>
            </w:r>
          </w:p>
        </w:tc>
        <w:tc>
          <w:tcPr>
            <w:tcW w:w="1074" w:type="dxa"/>
            <w:vAlign w:val="bottom"/>
            <w:hideMark/>
          </w:tcPr>
          <w:p w:rsidR="00EB1E42" w:rsidRPr="003C15B8" w:rsidRDefault="00EB1E42" w:rsidP="00704E41">
            <w:pPr>
              <w:jc w:val="center"/>
              <w:rPr>
                <w:rFonts w:cs="Arial"/>
              </w:rPr>
            </w:pPr>
            <w:r>
              <w:rPr>
                <w:rFonts w:cs="Arial"/>
                <w:color w:val="000000" w:themeColor="dark1"/>
                <w:kern w:val="24"/>
              </w:rPr>
              <w:t>30</w:t>
            </w:r>
            <w:r w:rsidRPr="003C15B8">
              <w:rPr>
                <w:rFonts w:cs="Arial"/>
                <w:color w:val="000000" w:themeColor="dark1"/>
                <w:kern w:val="24"/>
              </w:rPr>
              <w:t>%</w:t>
            </w:r>
          </w:p>
        </w:tc>
        <w:tc>
          <w:tcPr>
            <w:tcW w:w="952" w:type="dxa"/>
            <w:vAlign w:val="bottom"/>
            <w:hideMark/>
          </w:tcPr>
          <w:p w:rsidR="00EB1E42" w:rsidRPr="003C15B8" w:rsidRDefault="00EB1E42" w:rsidP="00704E41">
            <w:pPr>
              <w:jc w:val="center"/>
              <w:rPr>
                <w:rFonts w:cs="Arial"/>
              </w:rPr>
            </w:pPr>
            <w:r>
              <w:rPr>
                <w:rFonts w:cs="Arial"/>
                <w:color w:val="000000" w:themeColor="dark1"/>
                <w:kern w:val="24"/>
              </w:rPr>
              <w:t>29</w:t>
            </w:r>
            <w:r w:rsidRPr="003C15B8">
              <w:rPr>
                <w:rFonts w:cs="Arial"/>
                <w:color w:val="000000" w:themeColor="dark1"/>
                <w:kern w:val="24"/>
              </w:rPr>
              <w:t>%</w:t>
            </w:r>
          </w:p>
        </w:tc>
        <w:tc>
          <w:tcPr>
            <w:tcW w:w="1002" w:type="dxa"/>
            <w:vAlign w:val="bottom"/>
            <w:hideMark/>
          </w:tcPr>
          <w:p w:rsidR="00EB1E42" w:rsidRPr="003C15B8" w:rsidRDefault="00EB1E42" w:rsidP="00704E41">
            <w:pPr>
              <w:jc w:val="center"/>
              <w:rPr>
                <w:rFonts w:cs="Arial"/>
              </w:rPr>
            </w:pPr>
            <w:r>
              <w:rPr>
                <w:rFonts w:cs="Arial"/>
                <w:color w:val="000000" w:themeColor="dark1"/>
                <w:kern w:val="24"/>
              </w:rPr>
              <w:t>28</w:t>
            </w:r>
            <w:r w:rsidRPr="003C15B8">
              <w:rPr>
                <w:rFonts w:cs="Arial"/>
                <w:color w:val="000000" w:themeColor="dark1"/>
                <w:kern w:val="24"/>
              </w:rPr>
              <w:t>%</w:t>
            </w:r>
          </w:p>
        </w:tc>
      </w:tr>
      <w:tr w:rsidR="00EB1E42" w:rsidRPr="003C15B8" w:rsidTr="00704E41">
        <w:trPr>
          <w:trHeight w:val="300"/>
        </w:trPr>
        <w:tc>
          <w:tcPr>
            <w:tcW w:w="3206" w:type="dxa"/>
            <w:vAlign w:val="bottom"/>
            <w:hideMark/>
          </w:tcPr>
          <w:p w:rsidR="00EB1E42" w:rsidRPr="003C15B8" w:rsidRDefault="00EB1E42" w:rsidP="00704E41">
            <w:pPr>
              <w:jc w:val="center"/>
              <w:rPr>
                <w:rFonts w:cs="Arial"/>
              </w:rPr>
            </w:pPr>
            <w:r>
              <w:rPr>
                <w:rFonts w:cs="Arial"/>
                <w:color w:val="000000" w:themeColor="dark1"/>
                <w:kern w:val="24"/>
              </w:rPr>
              <w:t>Grade 8</w:t>
            </w:r>
          </w:p>
        </w:tc>
        <w:tc>
          <w:tcPr>
            <w:tcW w:w="904" w:type="dxa"/>
            <w:vAlign w:val="bottom"/>
            <w:hideMark/>
          </w:tcPr>
          <w:p w:rsidR="00EB1E42" w:rsidRPr="003C15B8" w:rsidRDefault="00EB1E42" w:rsidP="00704E41">
            <w:pPr>
              <w:jc w:val="center"/>
              <w:rPr>
                <w:rFonts w:cs="Arial"/>
              </w:rPr>
            </w:pPr>
            <w:r>
              <w:rPr>
                <w:rFonts w:cs="Arial"/>
                <w:color w:val="000000" w:themeColor="dark1"/>
                <w:kern w:val="24"/>
              </w:rPr>
              <w:t>37</w:t>
            </w:r>
            <w:r w:rsidRPr="003C15B8">
              <w:rPr>
                <w:rFonts w:cs="Arial"/>
                <w:color w:val="000000" w:themeColor="dark1"/>
                <w:kern w:val="24"/>
              </w:rPr>
              <w:t>%</w:t>
            </w:r>
          </w:p>
        </w:tc>
        <w:tc>
          <w:tcPr>
            <w:tcW w:w="1129" w:type="dxa"/>
            <w:vAlign w:val="bottom"/>
            <w:hideMark/>
          </w:tcPr>
          <w:p w:rsidR="00EB1E42" w:rsidRPr="003C15B8" w:rsidRDefault="00EB1E42" w:rsidP="00704E41">
            <w:pPr>
              <w:jc w:val="center"/>
              <w:rPr>
                <w:rFonts w:cs="Arial"/>
              </w:rPr>
            </w:pPr>
            <w:r>
              <w:rPr>
                <w:rFonts w:cs="Arial"/>
                <w:color w:val="000000" w:themeColor="dark1"/>
                <w:kern w:val="24"/>
              </w:rPr>
              <w:t>37</w:t>
            </w:r>
            <w:r w:rsidRPr="003C15B8">
              <w:rPr>
                <w:rFonts w:cs="Arial"/>
                <w:color w:val="000000" w:themeColor="dark1"/>
                <w:kern w:val="24"/>
              </w:rPr>
              <w:t>%</w:t>
            </w:r>
          </w:p>
        </w:tc>
        <w:tc>
          <w:tcPr>
            <w:tcW w:w="1088" w:type="dxa"/>
            <w:vAlign w:val="bottom"/>
            <w:hideMark/>
          </w:tcPr>
          <w:p w:rsidR="00EB1E42" w:rsidRPr="003C15B8" w:rsidRDefault="00EB1E42" w:rsidP="00704E41">
            <w:pPr>
              <w:jc w:val="center"/>
              <w:rPr>
                <w:rFonts w:cs="Arial"/>
              </w:rPr>
            </w:pPr>
            <w:r>
              <w:rPr>
                <w:rFonts w:cs="Arial"/>
                <w:color w:val="000000" w:themeColor="dark1"/>
                <w:kern w:val="24"/>
              </w:rPr>
              <w:t>37</w:t>
            </w:r>
            <w:r w:rsidRPr="003C15B8">
              <w:rPr>
                <w:rFonts w:cs="Arial"/>
                <w:color w:val="000000" w:themeColor="dark1"/>
                <w:kern w:val="24"/>
              </w:rPr>
              <w:t>%</w:t>
            </w:r>
          </w:p>
        </w:tc>
        <w:tc>
          <w:tcPr>
            <w:tcW w:w="1074" w:type="dxa"/>
            <w:vAlign w:val="bottom"/>
            <w:hideMark/>
          </w:tcPr>
          <w:p w:rsidR="00EB1E42" w:rsidRPr="003C15B8" w:rsidRDefault="00EB1E42" w:rsidP="00704E41">
            <w:pPr>
              <w:jc w:val="center"/>
              <w:rPr>
                <w:rFonts w:cs="Arial"/>
              </w:rPr>
            </w:pPr>
            <w:r>
              <w:rPr>
                <w:rFonts w:cs="Arial"/>
                <w:color w:val="000000" w:themeColor="dark1"/>
                <w:kern w:val="24"/>
              </w:rPr>
              <w:t>36</w:t>
            </w:r>
            <w:r w:rsidRPr="003C15B8">
              <w:rPr>
                <w:rFonts w:cs="Arial"/>
                <w:color w:val="000000" w:themeColor="dark1"/>
                <w:kern w:val="24"/>
              </w:rPr>
              <w:t>%</w:t>
            </w:r>
          </w:p>
        </w:tc>
        <w:tc>
          <w:tcPr>
            <w:tcW w:w="952" w:type="dxa"/>
            <w:vAlign w:val="bottom"/>
            <w:hideMark/>
          </w:tcPr>
          <w:p w:rsidR="00EB1E42" w:rsidRPr="003C15B8" w:rsidRDefault="00EB1E42" w:rsidP="00704E41">
            <w:pPr>
              <w:jc w:val="center"/>
              <w:rPr>
                <w:rFonts w:cs="Arial"/>
              </w:rPr>
            </w:pPr>
            <w:r>
              <w:rPr>
                <w:rFonts w:cs="Arial"/>
                <w:color w:val="000000" w:themeColor="dark1"/>
                <w:kern w:val="24"/>
              </w:rPr>
              <w:t>35</w:t>
            </w:r>
            <w:r w:rsidRPr="003C15B8">
              <w:rPr>
                <w:rFonts w:cs="Arial"/>
                <w:color w:val="000000" w:themeColor="dark1"/>
                <w:kern w:val="24"/>
              </w:rPr>
              <w:t>%</w:t>
            </w:r>
          </w:p>
        </w:tc>
        <w:tc>
          <w:tcPr>
            <w:tcW w:w="1002" w:type="dxa"/>
            <w:vAlign w:val="bottom"/>
            <w:hideMark/>
          </w:tcPr>
          <w:p w:rsidR="00EB1E42" w:rsidRPr="003C15B8" w:rsidRDefault="00EB1E42" w:rsidP="00704E41">
            <w:pPr>
              <w:jc w:val="center"/>
              <w:rPr>
                <w:rFonts w:cs="Arial"/>
              </w:rPr>
            </w:pPr>
            <w:r>
              <w:rPr>
                <w:rFonts w:cs="Arial"/>
                <w:color w:val="000000" w:themeColor="dark1"/>
                <w:kern w:val="24"/>
              </w:rPr>
              <w:t>34</w:t>
            </w:r>
            <w:r w:rsidRPr="003C15B8">
              <w:rPr>
                <w:rFonts w:cs="Arial"/>
                <w:color w:val="000000" w:themeColor="dark1"/>
                <w:kern w:val="24"/>
              </w:rPr>
              <w:t>%</w:t>
            </w:r>
          </w:p>
        </w:tc>
      </w:tr>
      <w:tr w:rsidR="00EB1E42" w:rsidRPr="003C15B8" w:rsidTr="00704E41">
        <w:trPr>
          <w:trHeight w:val="300"/>
        </w:trPr>
        <w:tc>
          <w:tcPr>
            <w:tcW w:w="3206" w:type="dxa"/>
            <w:vAlign w:val="bottom"/>
            <w:hideMark/>
          </w:tcPr>
          <w:p w:rsidR="00EB1E42" w:rsidRPr="003C15B8" w:rsidRDefault="00EB1E42" w:rsidP="00704E41">
            <w:pPr>
              <w:jc w:val="center"/>
              <w:rPr>
                <w:rFonts w:cs="Arial"/>
              </w:rPr>
            </w:pPr>
            <w:r>
              <w:rPr>
                <w:rFonts w:cs="Arial"/>
                <w:color w:val="000000" w:themeColor="dark1"/>
                <w:kern w:val="24"/>
              </w:rPr>
              <w:t>Grade 11</w:t>
            </w:r>
          </w:p>
        </w:tc>
        <w:tc>
          <w:tcPr>
            <w:tcW w:w="904" w:type="dxa"/>
            <w:vAlign w:val="bottom"/>
            <w:hideMark/>
          </w:tcPr>
          <w:p w:rsidR="00EB1E42" w:rsidRPr="003C15B8" w:rsidRDefault="00EB1E42" w:rsidP="00704E41">
            <w:pPr>
              <w:jc w:val="center"/>
              <w:rPr>
                <w:rFonts w:cs="Arial"/>
              </w:rPr>
            </w:pPr>
            <w:r>
              <w:rPr>
                <w:rFonts w:cs="Arial"/>
                <w:color w:val="000000" w:themeColor="dark1"/>
                <w:kern w:val="24"/>
              </w:rPr>
              <w:t>42</w:t>
            </w:r>
            <w:r w:rsidRPr="003C15B8">
              <w:rPr>
                <w:rFonts w:cs="Arial"/>
                <w:color w:val="000000" w:themeColor="dark1"/>
                <w:kern w:val="24"/>
              </w:rPr>
              <w:t>%</w:t>
            </w:r>
          </w:p>
        </w:tc>
        <w:tc>
          <w:tcPr>
            <w:tcW w:w="1129" w:type="dxa"/>
            <w:vAlign w:val="bottom"/>
            <w:hideMark/>
          </w:tcPr>
          <w:p w:rsidR="00EB1E42" w:rsidRPr="003C15B8" w:rsidRDefault="00EB1E42" w:rsidP="00704E41">
            <w:pPr>
              <w:jc w:val="center"/>
              <w:rPr>
                <w:rFonts w:cs="Arial"/>
              </w:rPr>
            </w:pPr>
            <w:r>
              <w:rPr>
                <w:rFonts w:cs="Arial"/>
                <w:color w:val="000000" w:themeColor="dark1"/>
                <w:kern w:val="24"/>
              </w:rPr>
              <w:t>42</w:t>
            </w:r>
            <w:r w:rsidRPr="003C15B8">
              <w:rPr>
                <w:rFonts w:cs="Arial"/>
                <w:color w:val="000000" w:themeColor="dark1"/>
                <w:kern w:val="24"/>
              </w:rPr>
              <w:t>%</w:t>
            </w:r>
          </w:p>
        </w:tc>
        <w:tc>
          <w:tcPr>
            <w:tcW w:w="1088" w:type="dxa"/>
            <w:vAlign w:val="bottom"/>
            <w:hideMark/>
          </w:tcPr>
          <w:p w:rsidR="00EB1E42" w:rsidRPr="003C15B8" w:rsidRDefault="00EB1E42" w:rsidP="00704E41">
            <w:pPr>
              <w:jc w:val="center"/>
              <w:rPr>
                <w:rFonts w:cs="Arial"/>
              </w:rPr>
            </w:pPr>
            <w:r>
              <w:rPr>
                <w:rFonts w:cs="Arial"/>
                <w:color w:val="000000" w:themeColor="dark1"/>
                <w:kern w:val="24"/>
              </w:rPr>
              <w:t>42</w:t>
            </w:r>
            <w:r w:rsidRPr="003C15B8">
              <w:rPr>
                <w:rFonts w:cs="Arial"/>
                <w:color w:val="000000" w:themeColor="dark1"/>
                <w:kern w:val="24"/>
              </w:rPr>
              <w:t>%</w:t>
            </w:r>
          </w:p>
        </w:tc>
        <w:tc>
          <w:tcPr>
            <w:tcW w:w="1074" w:type="dxa"/>
            <w:vAlign w:val="bottom"/>
            <w:hideMark/>
          </w:tcPr>
          <w:p w:rsidR="00EB1E42" w:rsidRPr="003C15B8" w:rsidRDefault="00EB1E42" w:rsidP="00704E41">
            <w:pPr>
              <w:jc w:val="center"/>
              <w:rPr>
                <w:rFonts w:cs="Arial"/>
              </w:rPr>
            </w:pPr>
            <w:r>
              <w:rPr>
                <w:rFonts w:cs="Arial"/>
                <w:color w:val="000000" w:themeColor="dark1"/>
                <w:kern w:val="24"/>
              </w:rPr>
              <w:t>41</w:t>
            </w:r>
            <w:r w:rsidRPr="003C15B8">
              <w:rPr>
                <w:rFonts w:cs="Arial"/>
                <w:color w:val="000000" w:themeColor="dark1"/>
                <w:kern w:val="24"/>
              </w:rPr>
              <w:t>%</w:t>
            </w:r>
          </w:p>
        </w:tc>
        <w:tc>
          <w:tcPr>
            <w:tcW w:w="952" w:type="dxa"/>
            <w:vAlign w:val="bottom"/>
            <w:hideMark/>
          </w:tcPr>
          <w:p w:rsidR="00EB1E42" w:rsidRPr="003C15B8" w:rsidRDefault="00EB1E42" w:rsidP="00704E41">
            <w:pPr>
              <w:jc w:val="center"/>
              <w:rPr>
                <w:rFonts w:cs="Arial"/>
              </w:rPr>
            </w:pPr>
            <w:r>
              <w:rPr>
                <w:rFonts w:cs="Arial"/>
                <w:color w:val="000000" w:themeColor="dark1"/>
                <w:kern w:val="24"/>
              </w:rPr>
              <w:t>40</w:t>
            </w:r>
            <w:r w:rsidRPr="003C15B8">
              <w:rPr>
                <w:rFonts w:cs="Arial"/>
                <w:color w:val="000000" w:themeColor="dark1"/>
                <w:kern w:val="24"/>
              </w:rPr>
              <w:t>%</w:t>
            </w:r>
          </w:p>
        </w:tc>
        <w:tc>
          <w:tcPr>
            <w:tcW w:w="1002" w:type="dxa"/>
            <w:vAlign w:val="bottom"/>
            <w:hideMark/>
          </w:tcPr>
          <w:p w:rsidR="00EB1E42" w:rsidRPr="003C15B8" w:rsidRDefault="00EB1E42" w:rsidP="00704E41">
            <w:pPr>
              <w:jc w:val="center"/>
              <w:rPr>
                <w:rFonts w:cs="Arial"/>
              </w:rPr>
            </w:pPr>
            <w:r>
              <w:rPr>
                <w:rFonts w:cs="Arial"/>
                <w:color w:val="000000" w:themeColor="dark1"/>
                <w:kern w:val="24"/>
              </w:rPr>
              <w:t>39</w:t>
            </w:r>
            <w:r w:rsidRPr="003C15B8">
              <w:rPr>
                <w:rFonts w:cs="Arial"/>
                <w:color w:val="000000" w:themeColor="dark1"/>
                <w:kern w:val="24"/>
              </w:rPr>
              <w:t>%</w:t>
            </w:r>
          </w:p>
        </w:tc>
      </w:tr>
    </w:tbl>
    <w:p w:rsidR="00EB1E42" w:rsidRDefault="00EB1E42" w:rsidP="00EB1E42"/>
    <w:tbl>
      <w:tblPr>
        <w:tblStyle w:val="TableGrid1"/>
        <w:tblW w:w="9309" w:type="dxa"/>
        <w:tblLook w:val="0420" w:firstRow="1" w:lastRow="0" w:firstColumn="0" w:lastColumn="0" w:noHBand="0" w:noVBand="1"/>
      </w:tblPr>
      <w:tblGrid>
        <w:gridCol w:w="3145"/>
        <w:gridCol w:w="930"/>
        <w:gridCol w:w="1120"/>
        <w:gridCol w:w="1079"/>
        <w:gridCol w:w="1066"/>
        <w:gridCol w:w="944"/>
        <w:gridCol w:w="1025"/>
      </w:tblGrid>
      <w:tr w:rsidR="00EB1E42" w:rsidRPr="00FC262B" w:rsidTr="00704E41">
        <w:trPr>
          <w:trHeight w:val="288"/>
        </w:trPr>
        <w:tc>
          <w:tcPr>
            <w:tcW w:w="3145" w:type="dxa"/>
            <w:vAlign w:val="bottom"/>
            <w:hideMark/>
          </w:tcPr>
          <w:p w:rsidR="00EB1E42" w:rsidRPr="00F86900" w:rsidRDefault="00EB1E42" w:rsidP="00704E41">
            <w:pPr>
              <w:jc w:val="center"/>
              <w:rPr>
                <w:rFonts w:cs="Arial"/>
                <w:b/>
              </w:rPr>
            </w:pPr>
            <w:r w:rsidRPr="00F86900">
              <w:rPr>
                <w:rFonts w:cs="Arial"/>
                <w:b/>
              </w:rPr>
              <w:t>Indicator 3d Math Targets</w:t>
            </w:r>
          </w:p>
        </w:tc>
        <w:tc>
          <w:tcPr>
            <w:tcW w:w="930" w:type="dxa"/>
            <w:vAlign w:val="bottom"/>
            <w:hideMark/>
          </w:tcPr>
          <w:p w:rsidR="00EB1E42" w:rsidRPr="00FC262B" w:rsidRDefault="00EB1E42" w:rsidP="00704E41">
            <w:pPr>
              <w:jc w:val="center"/>
              <w:rPr>
                <w:rFonts w:cs="Arial"/>
              </w:rPr>
            </w:pPr>
            <w:r w:rsidRPr="00FC262B">
              <w:rPr>
                <w:rFonts w:cs="Arial"/>
                <w:b/>
                <w:bCs/>
                <w:kern w:val="24"/>
              </w:rPr>
              <w:t>2020</w:t>
            </w:r>
          </w:p>
        </w:tc>
        <w:tc>
          <w:tcPr>
            <w:tcW w:w="1120" w:type="dxa"/>
            <w:vAlign w:val="bottom"/>
            <w:hideMark/>
          </w:tcPr>
          <w:p w:rsidR="00EB1E42" w:rsidRPr="00FC262B" w:rsidRDefault="00EB1E42" w:rsidP="00704E41">
            <w:pPr>
              <w:jc w:val="center"/>
              <w:rPr>
                <w:rFonts w:cs="Arial"/>
              </w:rPr>
            </w:pPr>
            <w:r w:rsidRPr="00FC262B">
              <w:rPr>
                <w:rFonts w:cs="Arial"/>
                <w:b/>
                <w:bCs/>
                <w:kern w:val="24"/>
              </w:rPr>
              <w:t>2021</w:t>
            </w:r>
          </w:p>
        </w:tc>
        <w:tc>
          <w:tcPr>
            <w:tcW w:w="1079" w:type="dxa"/>
            <w:vAlign w:val="bottom"/>
            <w:hideMark/>
          </w:tcPr>
          <w:p w:rsidR="00EB1E42" w:rsidRPr="00FC262B" w:rsidRDefault="00EB1E42" w:rsidP="00704E41">
            <w:pPr>
              <w:jc w:val="center"/>
              <w:rPr>
                <w:rFonts w:cs="Arial"/>
              </w:rPr>
            </w:pPr>
            <w:r w:rsidRPr="00FC262B">
              <w:rPr>
                <w:rFonts w:cs="Arial"/>
                <w:b/>
                <w:bCs/>
                <w:kern w:val="24"/>
              </w:rPr>
              <w:t>2022</w:t>
            </w:r>
          </w:p>
        </w:tc>
        <w:tc>
          <w:tcPr>
            <w:tcW w:w="1066" w:type="dxa"/>
            <w:vAlign w:val="bottom"/>
            <w:hideMark/>
          </w:tcPr>
          <w:p w:rsidR="00EB1E42" w:rsidRPr="00FC262B" w:rsidRDefault="00EB1E42" w:rsidP="00704E41">
            <w:pPr>
              <w:jc w:val="center"/>
              <w:rPr>
                <w:rFonts w:cs="Arial"/>
              </w:rPr>
            </w:pPr>
            <w:r w:rsidRPr="00FC262B">
              <w:rPr>
                <w:rFonts w:cs="Arial"/>
                <w:b/>
                <w:bCs/>
                <w:kern w:val="24"/>
              </w:rPr>
              <w:t>2023</w:t>
            </w:r>
          </w:p>
        </w:tc>
        <w:tc>
          <w:tcPr>
            <w:tcW w:w="944" w:type="dxa"/>
            <w:vAlign w:val="bottom"/>
            <w:hideMark/>
          </w:tcPr>
          <w:p w:rsidR="00EB1E42" w:rsidRPr="00FC262B" w:rsidRDefault="00EB1E42" w:rsidP="00704E41">
            <w:pPr>
              <w:jc w:val="center"/>
              <w:rPr>
                <w:rFonts w:cs="Arial"/>
              </w:rPr>
            </w:pPr>
            <w:r w:rsidRPr="00FC262B">
              <w:rPr>
                <w:rFonts w:cs="Arial"/>
                <w:b/>
                <w:bCs/>
                <w:kern w:val="24"/>
              </w:rPr>
              <w:t>2024</w:t>
            </w:r>
          </w:p>
        </w:tc>
        <w:tc>
          <w:tcPr>
            <w:tcW w:w="1025" w:type="dxa"/>
            <w:vAlign w:val="bottom"/>
            <w:hideMark/>
          </w:tcPr>
          <w:p w:rsidR="00EB1E42" w:rsidRPr="00FC262B" w:rsidRDefault="00EB1E42" w:rsidP="00704E41">
            <w:pPr>
              <w:jc w:val="center"/>
              <w:rPr>
                <w:rFonts w:cs="Arial"/>
              </w:rPr>
            </w:pPr>
            <w:r w:rsidRPr="00FC262B">
              <w:rPr>
                <w:rFonts w:cs="Arial"/>
                <w:b/>
                <w:bCs/>
                <w:kern w:val="24"/>
              </w:rPr>
              <w:t>2025</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4</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066" w:type="dxa"/>
            <w:vAlign w:val="bottom"/>
            <w:hideMark/>
          </w:tcPr>
          <w:p w:rsidR="00EB1E42" w:rsidRPr="005C5997" w:rsidRDefault="00EB1E42" w:rsidP="00704E41">
            <w:pPr>
              <w:jc w:val="center"/>
              <w:rPr>
                <w:rFonts w:cs="Arial"/>
              </w:rPr>
            </w:pPr>
            <w:r w:rsidRPr="005C5997">
              <w:rPr>
                <w:rFonts w:cs="Arial"/>
                <w:color w:val="000000" w:themeColor="dark1"/>
                <w:kern w:val="24"/>
              </w:rPr>
              <w:t>2</w:t>
            </w:r>
            <w:r w:rsidR="00D07E97" w:rsidRPr="005C5997">
              <w:rPr>
                <w:rFonts w:cs="Arial"/>
                <w:color w:val="000000" w:themeColor="dark1"/>
                <w:kern w:val="24"/>
              </w:rPr>
              <w:t>4</w:t>
            </w:r>
            <w:r w:rsidRPr="005C5997">
              <w:rPr>
                <w:rFonts w:cs="Arial"/>
                <w:color w:val="000000" w:themeColor="dark1"/>
                <w:kern w:val="24"/>
              </w:rPr>
              <w:t>%</w:t>
            </w:r>
          </w:p>
        </w:tc>
        <w:tc>
          <w:tcPr>
            <w:tcW w:w="944" w:type="dxa"/>
            <w:vAlign w:val="bottom"/>
            <w:hideMark/>
          </w:tcPr>
          <w:p w:rsidR="00EB1E42" w:rsidRPr="005C5997" w:rsidRDefault="00EB1E42" w:rsidP="00704E41">
            <w:pPr>
              <w:jc w:val="center"/>
              <w:rPr>
                <w:rFonts w:cs="Arial"/>
              </w:rPr>
            </w:pPr>
            <w:r w:rsidRPr="005C5997">
              <w:rPr>
                <w:rFonts w:cs="Arial"/>
                <w:color w:val="000000" w:themeColor="dark1"/>
                <w:kern w:val="24"/>
              </w:rPr>
              <w:t>2</w:t>
            </w:r>
            <w:r w:rsidR="00D07E97" w:rsidRPr="005C5997">
              <w:rPr>
                <w:rFonts w:cs="Arial"/>
                <w:color w:val="000000" w:themeColor="dark1"/>
                <w:kern w:val="24"/>
              </w:rPr>
              <w:t>3</w:t>
            </w:r>
            <w:r w:rsidRPr="005C5997">
              <w:rPr>
                <w:rFonts w:cs="Arial"/>
                <w:color w:val="000000" w:themeColor="dark1"/>
                <w:kern w:val="24"/>
              </w:rPr>
              <w:t>%</w:t>
            </w:r>
          </w:p>
        </w:tc>
        <w:tc>
          <w:tcPr>
            <w:tcW w:w="1025" w:type="dxa"/>
            <w:vAlign w:val="bottom"/>
            <w:hideMark/>
          </w:tcPr>
          <w:p w:rsidR="00EB1E42" w:rsidRPr="005C5997" w:rsidRDefault="00EB1E42" w:rsidP="00704E41">
            <w:pPr>
              <w:jc w:val="center"/>
              <w:rPr>
                <w:rFonts w:cs="Arial"/>
              </w:rPr>
            </w:pPr>
            <w:r w:rsidRPr="005C5997">
              <w:rPr>
                <w:rFonts w:cs="Arial"/>
                <w:color w:val="000000" w:themeColor="dark1"/>
                <w:kern w:val="24"/>
              </w:rPr>
              <w:t>2</w:t>
            </w:r>
            <w:r w:rsidR="00D07E97" w:rsidRPr="005C5997">
              <w:rPr>
                <w:rFonts w:cs="Arial"/>
                <w:color w:val="000000" w:themeColor="dark1"/>
                <w:kern w:val="24"/>
              </w:rPr>
              <w:t>2</w:t>
            </w:r>
            <w:r w:rsidRPr="005C5997">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8</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29</w:t>
            </w:r>
            <w:r w:rsidRPr="00FC262B">
              <w:rPr>
                <w:rFonts w:cs="Arial"/>
                <w:color w:val="000000" w:themeColor="dark1"/>
                <w:kern w:val="24"/>
              </w:rPr>
              <w:t>%</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29</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29</w:t>
            </w:r>
            <w:r w:rsidRPr="00FC262B">
              <w:rPr>
                <w:rFonts w:cs="Arial"/>
                <w:color w:val="000000" w:themeColor="dark1"/>
                <w:kern w:val="24"/>
              </w:rPr>
              <w:t>%</w:t>
            </w:r>
          </w:p>
        </w:tc>
        <w:tc>
          <w:tcPr>
            <w:tcW w:w="1066" w:type="dxa"/>
            <w:vAlign w:val="bottom"/>
            <w:hideMark/>
          </w:tcPr>
          <w:p w:rsidR="00EB1E42" w:rsidRPr="005C5997" w:rsidRDefault="00D07E97" w:rsidP="00704E41">
            <w:pPr>
              <w:jc w:val="center"/>
              <w:rPr>
                <w:rFonts w:cs="Arial"/>
              </w:rPr>
            </w:pPr>
            <w:r w:rsidRPr="005C5997">
              <w:rPr>
                <w:rFonts w:cs="Arial"/>
                <w:color w:val="000000" w:themeColor="dark1"/>
                <w:kern w:val="24"/>
              </w:rPr>
              <w:t>28</w:t>
            </w:r>
            <w:r w:rsidR="00EB1E42" w:rsidRPr="005C5997">
              <w:rPr>
                <w:rFonts w:cs="Arial"/>
                <w:color w:val="000000" w:themeColor="dark1"/>
                <w:kern w:val="24"/>
              </w:rPr>
              <w:t>%</w:t>
            </w:r>
          </w:p>
        </w:tc>
        <w:tc>
          <w:tcPr>
            <w:tcW w:w="944" w:type="dxa"/>
            <w:vAlign w:val="bottom"/>
            <w:hideMark/>
          </w:tcPr>
          <w:p w:rsidR="00EB1E42" w:rsidRPr="005C5997" w:rsidRDefault="00D07E97" w:rsidP="00704E41">
            <w:pPr>
              <w:jc w:val="center"/>
              <w:rPr>
                <w:rFonts w:cs="Arial"/>
              </w:rPr>
            </w:pPr>
            <w:r w:rsidRPr="005C5997">
              <w:rPr>
                <w:rFonts w:cs="Arial"/>
                <w:color w:val="000000" w:themeColor="dark1"/>
                <w:kern w:val="24"/>
              </w:rPr>
              <w:t>27</w:t>
            </w:r>
            <w:r w:rsidR="00EB1E42" w:rsidRPr="005C5997">
              <w:rPr>
                <w:rFonts w:cs="Arial"/>
                <w:color w:val="000000" w:themeColor="dark1"/>
                <w:kern w:val="24"/>
              </w:rPr>
              <w:t>%</w:t>
            </w:r>
          </w:p>
        </w:tc>
        <w:tc>
          <w:tcPr>
            <w:tcW w:w="1025" w:type="dxa"/>
            <w:vAlign w:val="bottom"/>
            <w:hideMark/>
          </w:tcPr>
          <w:p w:rsidR="00EB1E42" w:rsidRPr="005C5997" w:rsidRDefault="00D07E97" w:rsidP="00704E41">
            <w:pPr>
              <w:jc w:val="center"/>
              <w:rPr>
                <w:rFonts w:cs="Arial"/>
              </w:rPr>
            </w:pPr>
            <w:r w:rsidRPr="005C5997">
              <w:rPr>
                <w:rFonts w:cs="Arial"/>
                <w:color w:val="000000" w:themeColor="dark1"/>
                <w:kern w:val="24"/>
              </w:rPr>
              <w:t>26</w:t>
            </w:r>
            <w:r w:rsidR="00EB1E42" w:rsidRPr="005C5997">
              <w:rPr>
                <w:rFonts w:cs="Arial"/>
                <w:color w:val="000000" w:themeColor="dark1"/>
                <w:kern w:val="24"/>
              </w:rPr>
              <w:t>%</w:t>
            </w:r>
          </w:p>
        </w:tc>
      </w:tr>
      <w:tr w:rsidR="00EB1E42" w:rsidRPr="00FC262B" w:rsidTr="00704E41">
        <w:trPr>
          <w:trHeight w:val="288"/>
        </w:trPr>
        <w:tc>
          <w:tcPr>
            <w:tcW w:w="3145" w:type="dxa"/>
            <w:vAlign w:val="bottom"/>
            <w:hideMark/>
          </w:tcPr>
          <w:p w:rsidR="00EB1E42" w:rsidRPr="00FC262B" w:rsidRDefault="00EB1E42" w:rsidP="00704E41">
            <w:pPr>
              <w:jc w:val="center"/>
              <w:rPr>
                <w:rFonts w:cs="Arial"/>
              </w:rPr>
            </w:pPr>
            <w:r>
              <w:rPr>
                <w:rFonts w:cs="Arial"/>
                <w:color w:val="000000" w:themeColor="dark1"/>
                <w:kern w:val="24"/>
              </w:rPr>
              <w:t>Grade 11</w:t>
            </w:r>
          </w:p>
        </w:tc>
        <w:tc>
          <w:tcPr>
            <w:tcW w:w="930" w:type="dxa"/>
            <w:vAlign w:val="bottom"/>
            <w:hideMark/>
          </w:tcPr>
          <w:p w:rsidR="00EB1E42" w:rsidRPr="00FC262B" w:rsidRDefault="00EB1E42" w:rsidP="00704E41">
            <w:pPr>
              <w:jc w:val="center"/>
              <w:rPr>
                <w:rFonts w:cs="Arial"/>
              </w:rPr>
            </w:pPr>
            <w:r>
              <w:rPr>
                <w:rFonts w:cs="Arial"/>
                <w:color w:val="000000" w:themeColor="dark1"/>
                <w:kern w:val="24"/>
              </w:rPr>
              <w:t>27%</w:t>
            </w:r>
          </w:p>
        </w:tc>
        <w:tc>
          <w:tcPr>
            <w:tcW w:w="1120" w:type="dxa"/>
            <w:vAlign w:val="bottom"/>
            <w:hideMark/>
          </w:tcPr>
          <w:p w:rsidR="00EB1E42" w:rsidRPr="00FC262B" w:rsidRDefault="00EB1E42" w:rsidP="00704E41">
            <w:pPr>
              <w:jc w:val="center"/>
              <w:rPr>
                <w:rFonts w:cs="Arial"/>
              </w:rPr>
            </w:pPr>
            <w:r>
              <w:rPr>
                <w:rFonts w:cs="Arial"/>
                <w:color w:val="000000" w:themeColor="dark1"/>
                <w:kern w:val="24"/>
              </w:rPr>
              <w:t>27</w:t>
            </w:r>
            <w:r w:rsidRPr="00FC262B">
              <w:rPr>
                <w:rFonts w:cs="Arial"/>
                <w:color w:val="000000" w:themeColor="dark1"/>
                <w:kern w:val="24"/>
              </w:rPr>
              <w:t>%</w:t>
            </w:r>
          </w:p>
        </w:tc>
        <w:tc>
          <w:tcPr>
            <w:tcW w:w="1079" w:type="dxa"/>
            <w:vAlign w:val="bottom"/>
            <w:hideMark/>
          </w:tcPr>
          <w:p w:rsidR="00EB1E42" w:rsidRPr="00FC262B" w:rsidRDefault="00EB1E42" w:rsidP="00704E41">
            <w:pPr>
              <w:jc w:val="center"/>
              <w:rPr>
                <w:rFonts w:cs="Arial"/>
              </w:rPr>
            </w:pPr>
            <w:r>
              <w:rPr>
                <w:rFonts w:cs="Arial"/>
                <w:color w:val="000000" w:themeColor="dark1"/>
                <w:kern w:val="24"/>
              </w:rPr>
              <w:t>27</w:t>
            </w:r>
            <w:r w:rsidRPr="00FC262B">
              <w:rPr>
                <w:rFonts w:cs="Arial"/>
                <w:color w:val="000000" w:themeColor="dark1"/>
                <w:kern w:val="24"/>
              </w:rPr>
              <w:t>%</w:t>
            </w:r>
          </w:p>
        </w:tc>
        <w:tc>
          <w:tcPr>
            <w:tcW w:w="1066" w:type="dxa"/>
            <w:vAlign w:val="bottom"/>
            <w:hideMark/>
          </w:tcPr>
          <w:p w:rsidR="00EB1E42" w:rsidRPr="00FC262B" w:rsidRDefault="00EB1E42" w:rsidP="00704E41">
            <w:pPr>
              <w:jc w:val="center"/>
              <w:rPr>
                <w:rFonts w:cs="Arial"/>
              </w:rPr>
            </w:pPr>
            <w:r>
              <w:rPr>
                <w:rFonts w:cs="Arial"/>
                <w:color w:val="000000" w:themeColor="dark1"/>
                <w:kern w:val="24"/>
              </w:rPr>
              <w:t>26</w:t>
            </w:r>
            <w:r w:rsidRPr="00FC262B">
              <w:rPr>
                <w:rFonts w:cs="Arial"/>
                <w:color w:val="000000" w:themeColor="dark1"/>
                <w:kern w:val="24"/>
              </w:rPr>
              <w:t>%</w:t>
            </w:r>
          </w:p>
        </w:tc>
        <w:tc>
          <w:tcPr>
            <w:tcW w:w="944" w:type="dxa"/>
            <w:vAlign w:val="bottom"/>
            <w:hideMark/>
          </w:tcPr>
          <w:p w:rsidR="00EB1E42" w:rsidRPr="00FC262B" w:rsidRDefault="00EB1E42" w:rsidP="00704E41">
            <w:pPr>
              <w:jc w:val="center"/>
              <w:rPr>
                <w:rFonts w:cs="Arial"/>
              </w:rPr>
            </w:pPr>
            <w:r>
              <w:rPr>
                <w:rFonts w:cs="Arial"/>
                <w:color w:val="000000" w:themeColor="dark1"/>
                <w:kern w:val="24"/>
              </w:rPr>
              <w:t>25</w:t>
            </w:r>
            <w:r w:rsidRPr="00FC262B">
              <w:rPr>
                <w:rFonts w:cs="Arial"/>
                <w:color w:val="000000" w:themeColor="dark1"/>
                <w:kern w:val="24"/>
              </w:rPr>
              <w:t>%</w:t>
            </w:r>
          </w:p>
        </w:tc>
        <w:tc>
          <w:tcPr>
            <w:tcW w:w="1025" w:type="dxa"/>
            <w:vAlign w:val="bottom"/>
            <w:hideMark/>
          </w:tcPr>
          <w:p w:rsidR="00EB1E42" w:rsidRPr="00FC262B" w:rsidRDefault="00EB1E42" w:rsidP="00704E41">
            <w:pPr>
              <w:jc w:val="center"/>
              <w:rPr>
                <w:rFonts w:cs="Arial"/>
              </w:rPr>
            </w:pPr>
            <w:r>
              <w:rPr>
                <w:rFonts w:cs="Arial"/>
                <w:color w:val="000000" w:themeColor="dark1"/>
                <w:kern w:val="24"/>
              </w:rPr>
              <w:t>24</w:t>
            </w:r>
            <w:r w:rsidRPr="00FC262B">
              <w:rPr>
                <w:rFonts w:cs="Arial"/>
                <w:color w:val="000000" w:themeColor="dark1"/>
                <w:kern w:val="24"/>
              </w:rPr>
              <w:t>%</w:t>
            </w:r>
          </w:p>
        </w:tc>
      </w:tr>
    </w:tbl>
    <w:p w:rsidR="00EB1E42" w:rsidRPr="008702A6" w:rsidRDefault="00EB1E42" w:rsidP="00EB1E42"/>
    <w:p w:rsidR="00EB1E42" w:rsidRDefault="00EB1E42" w:rsidP="00EB1E42">
      <w:pPr>
        <w:pStyle w:val="Heading3"/>
      </w:pPr>
      <w:bookmarkStart w:id="74" w:name="_Toc77599057"/>
      <w:r>
        <w:lastRenderedPageBreak/>
        <w:t>Old Assessment Targets</w:t>
      </w:r>
      <w:bookmarkEnd w:id="74"/>
    </w:p>
    <w:p w:rsidR="00EB1E42" w:rsidRPr="00E13A6E" w:rsidRDefault="00EB1E42" w:rsidP="00EB1E42">
      <w:pPr>
        <w:pStyle w:val="Heading3"/>
      </w:pPr>
      <w:bookmarkStart w:id="75" w:name="_Toc77599058"/>
      <w:r w:rsidRPr="00E13A6E">
        <w:t xml:space="preserve">Percent of LEAs Meeting AYP for </w:t>
      </w:r>
      <w:r>
        <w:t>D</w:t>
      </w:r>
      <w:r w:rsidRPr="00E13A6E">
        <w:t xml:space="preserve">isability </w:t>
      </w:r>
      <w:r>
        <w:t>S</w:t>
      </w:r>
      <w:r w:rsidRPr="00E13A6E">
        <w:t xml:space="preserve">tudent </w:t>
      </w:r>
      <w:r>
        <w:t>G</w:t>
      </w:r>
      <w:r w:rsidRPr="00E13A6E">
        <w:t>roup (3A)</w:t>
      </w:r>
      <w:bookmarkEnd w:id="75"/>
    </w:p>
    <w:tbl>
      <w:tblPr>
        <w:tblStyle w:val="TableGrid20"/>
        <w:tblW w:w="9596" w:type="dxa"/>
        <w:tblLook w:val="01E0" w:firstRow="1" w:lastRow="1" w:firstColumn="1" w:lastColumn="1" w:noHBand="0" w:noVBand="0"/>
        <w:tblDescription w:val="Indicator 3A Targets and Results"/>
      </w:tblPr>
      <w:tblGrid>
        <w:gridCol w:w="1965"/>
        <w:gridCol w:w="1065"/>
        <w:gridCol w:w="1241"/>
        <w:gridCol w:w="1065"/>
        <w:gridCol w:w="1065"/>
        <w:gridCol w:w="1065"/>
        <w:gridCol w:w="1065"/>
        <w:gridCol w:w="1065"/>
      </w:tblGrid>
      <w:tr w:rsidR="00EB1E42" w:rsidRPr="00974422" w:rsidTr="00704E41">
        <w:trPr>
          <w:cantSplit/>
          <w:trHeight w:val="331"/>
          <w:tblHeader/>
        </w:trPr>
        <w:tc>
          <w:tcPr>
            <w:tcW w:w="1965" w:type="dxa"/>
            <w:hideMark/>
          </w:tcPr>
          <w:p w:rsidR="00EB1E42" w:rsidRPr="00974422" w:rsidRDefault="00EB1E42" w:rsidP="00704E41">
            <w:pPr>
              <w:rPr>
                <w:rFonts w:cs="Arial"/>
                <w:b/>
              </w:rPr>
            </w:pPr>
            <w:r w:rsidRPr="00974422">
              <w:rPr>
                <w:rFonts w:cs="Arial"/>
                <w:b/>
              </w:rPr>
              <w:t>Indicator 3A</w:t>
            </w:r>
          </w:p>
        </w:tc>
        <w:tc>
          <w:tcPr>
            <w:tcW w:w="1065" w:type="dxa"/>
            <w:hideMark/>
          </w:tcPr>
          <w:p w:rsidR="00EB1E42" w:rsidRPr="00974422" w:rsidRDefault="00EB1E42" w:rsidP="00704E41">
            <w:pPr>
              <w:jc w:val="center"/>
              <w:rPr>
                <w:rFonts w:cs="Arial"/>
                <w:b/>
              </w:rPr>
            </w:pPr>
            <w:r w:rsidRPr="00974422">
              <w:rPr>
                <w:rFonts w:cs="Arial"/>
                <w:b/>
                <w:bCs/>
              </w:rPr>
              <w:t>2013</w:t>
            </w:r>
          </w:p>
        </w:tc>
        <w:tc>
          <w:tcPr>
            <w:tcW w:w="1241" w:type="dxa"/>
            <w:hideMark/>
          </w:tcPr>
          <w:p w:rsidR="00EB1E42" w:rsidRPr="00974422" w:rsidRDefault="00EB1E42" w:rsidP="00704E41">
            <w:pPr>
              <w:jc w:val="center"/>
              <w:rPr>
                <w:rFonts w:cs="Arial"/>
                <w:b/>
              </w:rPr>
            </w:pPr>
            <w:r w:rsidRPr="00974422">
              <w:rPr>
                <w:rFonts w:cs="Arial"/>
                <w:b/>
                <w:bCs/>
              </w:rPr>
              <w:t>2014</w:t>
            </w:r>
          </w:p>
        </w:tc>
        <w:tc>
          <w:tcPr>
            <w:tcW w:w="1065" w:type="dxa"/>
            <w:hideMark/>
          </w:tcPr>
          <w:p w:rsidR="00EB1E42" w:rsidRPr="00974422" w:rsidRDefault="00EB1E42" w:rsidP="00704E41">
            <w:pPr>
              <w:jc w:val="center"/>
              <w:rPr>
                <w:rFonts w:cs="Arial"/>
                <w:b/>
                <w:bCs/>
              </w:rPr>
            </w:pPr>
            <w:r w:rsidRPr="00974422">
              <w:rPr>
                <w:rFonts w:cs="Arial"/>
                <w:b/>
                <w:bCs/>
              </w:rPr>
              <w:t>2015</w:t>
            </w:r>
          </w:p>
        </w:tc>
        <w:tc>
          <w:tcPr>
            <w:tcW w:w="1065" w:type="dxa"/>
            <w:hideMark/>
          </w:tcPr>
          <w:p w:rsidR="00EB1E42" w:rsidRPr="00974422" w:rsidRDefault="00EB1E42" w:rsidP="00704E41">
            <w:pPr>
              <w:jc w:val="center"/>
              <w:rPr>
                <w:rFonts w:cs="Arial"/>
                <w:b/>
                <w:bCs/>
              </w:rPr>
            </w:pPr>
            <w:r w:rsidRPr="00974422">
              <w:rPr>
                <w:rFonts w:cs="Arial"/>
                <w:b/>
                <w:bCs/>
              </w:rPr>
              <w:t>2016</w:t>
            </w:r>
          </w:p>
        </w:tc>
        <w:tc>
          <w:tcPr>
            <w:tcW w:w="1065" w:type="dxa"/>
            <w:hideMark/>
          </w:tcPr>
          <w:p w:rsidR="00EB1E42" w:rsidRPr="00974422" w:rsidRDefault="00EB1E42" w:rsidP="00704E41">
            <w:pPr>
              <w:jc w:val="center"/>
              <w:rPr>
                <w:rFonts w:cs="Arial"/>
                <w:b/>
                <w:bCs/>
              </w:rPr>
            </w:pPr>
            <w:r w:rsidRPr="00974422">
              <w:rPr>
                <w:rFonts w:cs="Arial"/>
                <w:b/>
                <w:bCs/>
              </w:rPr>
              <w:t>2017</w:t>
            </w:r>
          </w:p>
        </w:tc>
        <w:tc>
          <w:tcPr>
            <w:tcW w:w="1065" w:type="dxa"/>
            <w:hideMark/>
          </w:tcPr>
          <w:p w:rsidR="00EB1E42" w:rsidRPr="00974422" w:rsidRDefault="00EB1E42" w:rsidP="00704E41">
            <w:pPr>
              <w:jc w:val="center"/>
              <w:rPr>
                <w:rFonts w:cs="Arial"/>
                <w:b/>
                <w:bCs/>
              </w:rPr>
            </w:pPr>
            <w:r w:rsidRPr="00974422">
              <w:rPr>
                <w:rFonts w:cs="Arial"/>
                <w:b/>
                <w:bCs/>
              </w:rPr>
              <w:t>2018</w:t>
            </w:r>
          </w:p>
        </w:tc>
        <w:tc>
          <w:tcPr>
            <w:tcW w:w="1065" w:type="dxa"/>
          </w:tcPr>
          <w:p w:rsidR="00EB1E42" w:rsidRPr="00974422" w:rsidRDefault="00EB1E42" w:rsidP="00704E41">
            <w:pPr>
              <w:jc w:val="center"/>
              <w:rPr>
                <w:rFonts w:cs="Arial"/>
                <w:b/>
                <w:bCs/>
              </w:rPr>
            </w:pPr>
            <w:r w:rsidRPr="00974422">
              <w:rPr>
                <w:rFonts w:cs="Arial"/>
                <w:b/>
                <w:bCs/>
              </w:rPr>
              <w:t>2019</w:t>
            </w:r>
          </w:p>
        </w:tc>
      </w:tr>
      <w:tr w:rsidR="00EB1E42" w:rsidRPr="00974422" w:rsidTr="00704E41">
        <w:trPr>
          <w:cantSplit/>
          <w:trHeight w:val="312"/>
        </w:trPr>
        <w:tc>
          <w:tcPr>
            <w:tcW w:w="1965" w:type="dxa"/>
            <w:hideMark/>
          </w:tcPr>
          <w:p w:rsidR="00EB1E42" w:rsidRPr="00974422" w:rsidRDefault="00EB1E42" w:rsidP="00704E41">
            <w:pPr>
              <w:rPr>
                <w:rFonts w:cs="Arial"/>
              </w:rPr>
            </w:pPr>
            <w:r w:rsidRPr="00974422">
              <w:rPr>
                <w:rFonts w:cs="Arial"/>
              </w:rPr>
              <w:t>Target</w:t>
            </w:r>
          </w:p>
        </w:tc>
        <w:tc>
          <w:tcPr>
            <w:tcW w:w="1065" w:type="dxa"/>
            <w:hideMark/>
          </w:tcPr>
          <w:p w:rsidR="00EB1E42" w:rsidRPr="00974422" w:rsidRDefault="00EB1E42" w:rsidP="00704E41">
            <w:pPr>
              <w:jc w:val="center"/>
              <w:rPr>
                <w:rFonts w:cs="Arial"/>
              </w:rPr>
            </w:pPr>
            <w:r w:rsidRPr="00974422">
              <w:rPr>
                <w:rFonts w:cs="Arial"/>
              </w:rPr>
              <w:t>58%</w:t>
            </w:r>
          </w:p>
        </w:tc>
        <w:tc>
          <w:tcPr>
            <w:tcW w:w="1241" w:type="dxa"/>
            <w:hideMark/>
          </w:tcPr>
          <w:p w:rsidR="00EB1E42" w:rsidRPr="00974422" w:rsidRDefault="00EB1E42" w:rsidP="00704E41">
            <w:pPr>
              <w:jc w:val="center"/>
              <w:rPr>
                <w:rFonts w:cs="Arial"/>
              </w:rPr>
            </w:pPr>
            <w:r w:rsidRPr="00974422">
              <w:rPr>
                <w:rFonts w:cs="Arial"/>
              </w:rPr>
              <w:t>59%</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jc w:val="center"/>
              <w:rPr>
                <w:rFonts w:cs="Arial"/>
              </w:rPr>
            </w:pPr>
            <w:r w:rsidRPr="00974422">
              <w:rPr>
                <w:rFonts w:cs="Arial"/>
              </w:rPr>
              <w:t>*</w:t>
            </w:r>
          </w:p>
        </w:tc>
        <w:tc>
          <w:tcPr>
            <w:tcW w:w="1065" w:type="dxa"/>
          </w:tcPr>
          <w:p w:rsidR="00EB1E42" w:rsidRPr="00974422" w:rsidRDefault="00EB1E42" w:rsidP="00704E41">
            <w:pPr>
              <w:jc w:val="center"/>
              <w:rPr>
                <w:rFonts w:cs="Arial"/>
              </w:rPr>
            </w:pPr>
            <w:r w:rsidRPr="00974422">
              <w:rPr>
                <w:rFonts w:cs="Arial"/>
              </w:rPr>
              <w:t>*</w:t>
            </w:r>
          </w:p>
        </w:tc>
      </w:tr>
      <w:tr w:rsidR="00EB1E42" w:rsidRPr="00974422" w:rsidTr="00704E41">
        <w:trPr>
          <w:cantSplit/>
          <w:trHeight w:val="312"/>
        </w:trPr>
        <w:tc>
          <w:tcPr>
            <w:tcW w:w="1965" w:type="dxa"/>
            <w:hideMark/>
          </w:tcPr>
          <w:p w:rsidR="00EB1E42" w:rsidRPr="00974422" w:rsidRDefault="00EB1E42" w:rsidP="00704E41">
            <w:pPr>
              <w:rPr>
                <w:rFonts w:cs="Arial"/>
              </w:rPr>
            </w:pPr>
            <w:r w:rsidRPr="00974422">
              <w:rPr>
                <w:rFonts w:cs="Arial"/>
              </w:rPr>
              <w:t>Result</w:t>
            </w:r>
          </w:p>
        </w:tc>
        <w:tc>
          <w:tcPr>
            <w:tcW w:w="1065" w:type="dxa"/>
            <w:hideMark/>
          </w:tcPr>
          <w:p w:rsidR="00EB1E42" w:rsidRPr="00974422" w:rsidRDefault="00EB1E42" w:rsidP="00704E41">
            <w:pPr>
              <w:jc w:val="center"/>
              <w:rPr>
                <w:rFonts w:cs="Arial"/>
              </w:rPr>
            </w:pPr>
            <w:r w:rsidRPr="00974422">
              <w:rPr>
                <w:rFonts w:cs="Arial"/>
              </w:rPr>
              <w:t>17%</w:t>
            </w:r>
          </w:p>
        </w:tc>
        <w:tc>
          <w:tcPr>
            <w:tcW w:w="1241" w:type="dxa"/>
            <w:hideMark/>
          </w:tcPr>
          <w:p w:rsidR="00EB1E42" w:rsidRPr="00974422" w:rsidRDefault="00EB1E42" w:rsidP="00704E41">
            <w:pPr>
              <w:jc w:val="center"/>
              <w:rPr>
                <w:rFonts w:cs="Arial"/>
              </w:rPr>
            </w:pPr>
            <w:r w:rsidRPr="00974422">
              <w:rPr>
                <w:rFonts w:cs="Arial"/>
              </w:rPr>
              <w:t>78.5%</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r>
      <w:tr w:rsidR="00EB1E42" w:rsidRPr="00974422" w:rsidTr="00704E41">
        <w:trPr>
          <w:cantSplit/>
          <w:trHeight w:val="312"/>
        </w:trPr>
        <w:tc>
          <w:tcPr>
            <w:tcW w:w="1965" w:type="dxa"/>
            <w:hideMark/>
          </w:tcPr>
          <w:p w:rsidR="00EB1E42" w:rsidRPr="00974422" w:rsidRDefault="00EB1E42" w:rsidP="00704E41">
            <w:pPr>
              <w:rPr>
                <w:rFonts w:cs="Arial"/>
              </w:rPr>
            </w:pPr>
            <w:r w:rsidRPr="00974422">
              <w:rPr>
                <w:rFonts w:cs="Arial"/>
              </w:rPr>
              <w:t>Target Met</w:t>
            </w:r>
          </w:p>
        </w:tc>
        <w:tc>
          <w:tcPr>
            <w:tcW w:w="1065" w:type="dxa"/>
            <w:hideMark/>
          </w:tcPr>
          <w:p w:rsidR="00EB1E42" w:rsidRPr="00974422" w:rsidRDefault="00EB1E42" w:rsidP="00704E41">
            <w:pPr>
              <w:jc w:val="center"/>
              <w:rPr>
                <w:rFonts w:cs="Arial"/>
              </w:rPr>
            </w:pPr>
            <w:r w:rsidRPr="00974422">
              <w:rPr>
                <w:rFonts w:cs="Arial"/>
              </w:rPr>
              <w:t>No</w:t>
            </w:r>
          </w:p>
        </w:tc>
        <w:tc>
          <w:tcPr>
            <w:tcW w:w="1241" w:type="dxa"/>
            <w:hideMark/>
          </w:tcPr>
          <w:p w:rsidR="00EB1E42" w:rsidRPr="00974422" w:rsidRDefault="00EB1E42" w:rsidP="00704E41">
            <w:pPr>
              <w:jc w:val="center"/>
              <w:rPr>
                <w:rFonts w:cs="Arial"/>
              </w:rPr>
            </w:pPr>
            <w:r w:rsidRPr="00974422">
              <w:rPr>
                <w:rFonts w:cs="Arial"/>
              </w:rPr>
              <w:t>Yes</w:t>
            </w:r>
          </w:p>
        </w:tc>
        <w:tc>
          <w:tcPr>
            <w:tcW w:w="1065" w:type="dxa"/>
            <w:hideMark/>
          </w:tcPr>
          <w:p w:rsidR="00EB1E42" w:rsidRPr="00974422" w:rsidRDefault="00EB1E42" w:rsidP="00704E41">
            <w:pPr>
              <w:jc w:val="center"/>
              <w:rPr>
                <w:rFonts w:cs="Arial"/>
              </w:rPr>
            </w:pPr>
            <w:r w:rsidRPr="00974422">
              <w:rPr>
                <w:rFonts w:cs="Arial"/>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c>
          <w:tcPr>
            <w:tcW w:w="106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w:t>
            </w:r>
          </w:p>
        </w:tc>
      </w:tr>
    </w:tbl>
    <w:p w:rsidR="00EB1E42" w:rsidRDefault="00EB1E42" w:rsidP="00EB1E42">
      <w:pPr>
        <w:spacing w:after="240"/>
        <w:rPr>
          <w:rFonts w:cs="Arial"/>
        </w:rPr>
      </w:pPr>
      <w:r>
        <w:rPr>
          <w:rFonts w:cs="Arial"/>
        </w:rPr>
        <w:t>* This indicator is not currently reported per direction from the ED.</w:t>
      </w:r>
    </w:p>
    <w:p w:rsidR="00EB1E42" w:rsidRPr="00E13A6E" w:rsidRDefault="00EB1E42" w:rsidP="00EB1E42">
      <w:pPr>
        <w:pStyle w:val="Heading3"/>
      </w:pPr>
      <w:bookmarkStart w:id="76" w:name="_Toc77599059"/>
      <w:r w:rsidRPr="00E13A6E">
        <w:t>Percent of Participation for Students with IEPs</w:t>
      </w:r>
      <w:r>
        <w:t xml:space="preserve"> Old Targets</w:t>
      </w:r>
      <w:bookmarkEnd w:id="76"/>
    </w:p>
    <w:tbl>
      <w:tblPr>
        <w:tblStyle w:val="TableGrid19"/>
        <w:tblW w:w="9700" w:type="dxa"/>
        <w:tblLook w:val="01E0" w:firstRow="1" w:lastRow="1" w:firstColumn="1" w:lastColumn="1" w:noHBand="0" w:noVBand="0"/>
        <w:tblDescription w:val="Indicator 3B Targets and Results"/>
      </w:tblPr>
      <w:tblGrid>
        <w:gridCol w:w="2124"/>
        <w:gridCol w:w="1216"/>
        <w:gridCol w:w="1060"/>
        <w:gridCol w:w="1060"/>
        <w:gridCol w:w="1060"/>
        <w:gridCol w:w="1060"/>
        <w:gridCol w:w="1060"/>
        <w:gridCol w:w="1060"/>
      </w:tblGrid>
      <w:tr w:rsidR="00EB1E42" w:rsidRPr="00974422" w:rsidTr="00704E41">
        <w:trPr>
          <w:cantSplit/>
          <w:trHeight w:val="312"/>
          <w:tblHeader/>
        </w:trPr>
        <w:tc>
          <w:tcPr>
            <w:tcW w:w="2124" w:type="dxa"/>
            <w:hideMark/>
          </w:tcPr>
          <w:p w:rsidR="00EB1E42" w:rsidRPr="00974422" w:rsidRDefault="00EB1E42" w:rsidP="00704E41">
            <w:pPr>
              <w:rPr>
                <w:rFonts w:cs="Arial"/>
                <w:b/>
              </w:rPr>
            </w:pPr>
            <w:r w:rsidRPr="00974422">
              <w:rPr>
                <w:rFonts w:cs="Arial"/>
                <w:b/>
              </w:rPr>
              <w:t>Indicator 3B</w:t>
            </w:r>
          </w:p>
        </w:tc>
        <w:tc>
          <w:tcPr>
            <w:tcW w:w="1216" w:type="dxa"/>
            <w:hideMark/>
          </w:tcPr>
          <w:p w:rsidR="00EB1E42" w:rsidRPr="00974422" w:rsidRDefault="00EB1E42" w:rsidP="00704E41">
            <w:pPr>
              <w:jc w:val="center"/>
              <w:rPr>
                <w:rFonts w:cs="Arial"/>
                <w:b/>
              </w:rPr>
            </w:pPr>
            <w:r w:rsidRPr="00974422">
              <w:rPr>
                <w:rFonts w:cs="Arial"/>
                <w:b/>
                <w:bCs/>
              </w:rPr>
              <w:t>2013*</w:t>
            </w:r>
          </w:p>
        </w:tc>
        <w:tc>
          <w:tcPr>
            <w:tcW w:w="1060" w:type="dxa"/>
            <w:hideMark/>
          </w:tcPr>
          <w:p w:rsidR="00EB1E42" w:rsidRPr="00974422" w:rsidRDefault="00EB1E42" w:rsidP="00704E41">
            <w:pPr>
              <w:jc w:val="center"/>
              <w:rPr>
                <w:rFonts w:cs="Arial"/>
                <w:b/>
              </w:rPr>
            </w:pPr>
            <w:r w:rsidRPr="00974422">
              <w:rPr>
                <w:rFonts w:cs="Arial"/>
                <w:b/>
                <w:bCs/>
              </w:rPr>
              <w:t>2014</w:t>
            </w:r>
          </w:p>
        </w:tc>
        <w:tc>
          <w:tcPr>
            <w:tcW w:w="1060" w:type="dxa"/>
            <w:hideMark/>
          </w:tcPr>
          <w:p w:rsidR="00EB1E42" w:rsidRPr="00974422" w:rsidRDefault="00EB1E42" w:rsidP="00704E41">
            <w:pPr>
              <w:jc w:val="center"/>
              <w:rPr>
                <w:rFonts w:cs="Arial"/>
                <w:b/>
                <w:bCs/>
              </w:rPr>
            </w:pPr>
            <w:r w:rsidRPr="00974422">
              <w:rPr>
                <w:rFonts w:cs="Arial"/>
                <w:b/>
                <w:bCs/>
              </w:rPr>
              <w:t>2015</w:t>
            </w:r>
          </w:p>
        </w:tc>
        <w:tc>
          <w:tcPr>
            <w:tcW w:w="1060" w:type="dxa"/>
            <w:hideMark/>
          </w:tcPr>
          <w:p w:rsidR="00EB1E42" w:rsidRPr="00974422" w:rsidRDefault="00EB1E42" w:rsidP="00704E41">
            <w:pPr>
              <w:jc w:val="center"/>
              <w:rPr>
                <w:rFonts w:cs="Arial"/>
                <w:b/>
                <w:bCs/>
              </w:rPr>
            </w:pPr>
            <w:r w:rsidRPr="00974422">
              <w:rPr>
                <w:rFonts w:cs="Arial"/>
                <w:b/>
                <w:bCs/>
              </w:rPr>
              <w:t>2016</w:t>
            </w:r>
          </w:p>
        </w:tc>
        <w:tc>
          <w:tcPr>
            <w:tcW w:w="1060" w:type="dxa"/>
            <w:hideMark/>
          </w:tcPr>
          <w:p w:rsidR="00EB1E42" w:rsidRPr="00974422" w:rsidRDefault="00EB1E42" w:rsidP="00704E41">
            <w:pPr>
              <w:jc w:val="center"/>
              <w:rPr>
                <w:rFonts w:cs="Arial"/>
                <w:b/>
                <w:bCs/>
              </w:rPr>
            </w:pPr>
            <w:r w:rsidRPr="00974422">
              <w:rPr>
                <w:rFonts w:cs="Arial"/>
                <w:b/>
                <w:bCs/>
              </w:rPr>
              <w:t>2017</w:t>
            </w:r>
          </w:p>
        </w:tc>
        <w:tc>
          <w:tcPr>
            <w:tcW w:w="1060" w:type="dxa"/>
            <w:hideMark/>
          </w:tcPr>
          <w:p w:rsidR="00EB1E42" w:rsidRPr="00974422" w:rsidRDefault="00EB1E42" w:rsidP="00704E41">
            <w:pPr>
              <w:jc w:val="center"/>
              <w:rPr>
                <w:rFonts w:cs="Arial"/>
                <w:b/>
                <w:bCs/>
              </w:rPr>
            </w:pPr>
            <w:r w:rsidRPr="00974422">
              <w:rPr>
                <w:rFonts w:cs="Arial"/>
                <w:b/>
                <w:bCs/>
              </w:rPr>
              <w:t>2018</w:t>
            </w:r>
          </w:p>
        </w:tc>
        <w:tc>
          <w:tcPr>
            <w:tcW w:w="1060" w:type="dxa"/>
          </w:tcPr>
          <w:p w:rsidR="00EB1E42" w:rsidRPr="00974422" w:rsidRDefault="00EB1E42" w:rsidP="00704E41">
            <w:pPr>
              <w:jc w:val="center"/>
              <w:rPr>
                <w:rFonts w:cs="Arial"/>
                <w:b/>
                <w:bCs/>
              </w:rPr>
            </w:pPr>
            <w:r w:rsidRPr="00974422">
              <w:rPr>
                <w:rFonts w:cs="Arial"/>
                <w:b/>
                <w:bCs/>
              </w:rPr>
              <w:t>2019</w:t>
            </w:r>
            <w:r>
              <w:rPr>
                <w:rFonts w:cs="Arial"/>
                <w:b/>
                <w:bCs/>
              </w:rPr>
              <w:t>**</w:t>
            </w:r>
          </w:p>
        </w:tc>
      </w:tr>
      <w:tr w:rsidR="00EB1E42" w:rsidRPr="00974422" w:rsidTr="00704E41">
        <w:trPr>
          <w:cantSplit/>
          <w:trHeight w:val="299"/>
        </w:trPr>
        <w:tc>
          <w:tcPr>
            <w:tcW w:w="2124" w:type="dxa"/>
            <w:hideMark/>
          </w:tcPr>
          <w:p w:rsidR="00EB1E42" w:rsidRPr="00974422" w:rsidRDefault="00EB1E42" w:rsidP="00704E41">
            <w:pPr>
              <w:rPr>
                <w:rFonts w:cs="Arial"/>
              </w:rPr>
            </w:pPr>
            <w:r w:rsidRPr="00974422">
              <w:rPr>
                <w:rFonts w:cs="Arial"/>
              </w:rPr>
              <w:t>ELA Target</w:t>
            </w:r>
          </w:p>
        </w:tc>
        <w:tc>
          <w:tcPr>
            <w:tcW w:w="1216" w:type="dxa"/>
            <w:hideMark/>
          </w:tcPr>
          <w:p w:rsidR="00EB1E42" w:rsidRPr="00974422" w:rsidRDefault="00EB1E42" w:rsidP="00704E41">
            <w:pPr>
              <w:jc w:val="center"/>
              <w:rPr>
                <w:rFonts w:cs="Arial"/>
              </w:rPr>
            </w:pPr>
            <w:r w:rsidRPr="00974422">
              <w:rPr>
                <w:rFonts w:cs="Arial"/>
              </w:rPr>
              <w:t>95%</w:t>
            </w:r>
          </w:p>
        </w:tc>
        <w:tc>
          <w:tcPr>
            <w:tcW w:w="1060" w:type="dxa"/>
            <w:hideMark/>
          </w:tcPr>
          <w:p w:rsidR="00EB1E42" w:rsidRPr="00974422" w:rsidRDefault="00EB1E42" w:rsidP="00704E41">
            <w:pPr>
              <w:jc w:val="center"/>
              <w:rPr>
                <w:rFonts w:ascii="Calibri" w:hAnsi="Calibri"/>
                <w:sz w:val="22"/>
                <w:szCs w:val="22"/>
              </w:rP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tcPr>
          <w:p w:rsidR="00EB1E42" w:rsidRPr="00974422" w:rsidRDefault="00EB1E42" w:rsidP="00704E41">
            <w:pPr>
              <w:jc w:val="center"/>
              <w:rPr>
                <w:rFonts w:cs="Arial"/>
              </w:rPr>
            </w:pPr>
            <w:r w:rsidRPr="00974422">
              <w:rPr>
                <w:rFonts w:cs="Arial"/>
              </w:rPr>
              <w:t>95%</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Result</w:t>
            </w:r>
          </w:p>
        </w:tc>
        <w:tc>
          <w:tcPr>
            <w:tcW w:w="1216" w:type="dxa"/>
            <w:hideMark/>
          </w:tcPr>
          <w:p w:rsidR="00EB1E42" w:rsidRPr="00974422" w:rsidRDefault="00EB1E42" w:rsidP="00704E41">
            <w:pPr>
              <w:jc w:val="center"/>
              <w:rPr>
                <w:rFonts w:cs="Arial"/>
              </w:rPr>
            </w:pPr>
            <w:r w:rsidRPr="00974422">
              <w:rPr>
                <w:rFonts w:cs="Arial"/>
              </w:rPr>
              <w:t>18%</w:t>
            </w:r>
          </w:p>
        </w:tc>
        <w:tc>
          <w:tcPr>
            <w:tcW w:w="1060" w:type="dxa"/>
            <w:hideMark/>
          </w:tcPr>
          <w:p w:rsidR="00EB1E42" w:rsidRPr="00974422" w:rsidRDefault="00EB1E42" w:rsidP="00704E41">
            <w:pPr>
              <w:jc w:val="center"/>
              <w:rPr>
                <w:rFonts w:cs="Arial"/>
              </w:rPr>
            </w:pPr>
            <w:r w:rsidRPr="00974422">
              <w:rPr>
                <w:rFonts w:cs="Arial"/>
              </w:rPr>
              <w:t>94.2%</w:t>
            </w:r>
          </w:p>
        </w:tc>
        <w:tc>
          <w:tcPr>
            <w:tcW w:w="1060" w:type="dxa"/>
            <w:hideMark/>
          </w:tcPr>
          <w:p w:rsidR="00EB1E42" w:rsidRPr="00974422" w:rsidRDefault="00EB1E42" w:rsidP="00704E41">
            <w:pPr>
              <w:jc w:val="center"/>
              <w:rPr>
                <w:rFonts w:cs="Arial"/>
              </w:rPr>
            </w:pPr>
            <w:r w:rsidRPr="00974422">
              <w:rPr>
                <w:rFonts w:cs="Arial"/>
              </w:rPr>
              <w:t>93.4%</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95.0%</w:t>
            </w:r>
          </w:p>
        </w:tc>
        <w:tc>
          <w:tcPr>
            <w:tcW w:w="1060"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94.1%</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94.5%</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Target Met</w:t>
            </w:r>
          </w:p>
        </w:tc>
        <w:tc>
          <w:tcPr>
            <w:tcW w:w="1216"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No</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Math Target</w:t>
            </w:r>
          </w:p>
        </w:tc>
        <w:tc>
          <w:tcPr>
            <w:tcW w:w="1216" w:type="dxa"/>
            <w:hideMark/>
          </w:tcPr>
          <w:p w:rsidR="00EB1E42" w:rsidRPr="00974422" w:rsidRDefault="00EB1E42" w:rsidP="00704E41">
            <w:pPr>
              <w:jc w:val="center"/>
              <w:rPr>
                <w:rFonts w:ascii="Calibri" w:hAnsi="Calibri"/>
                <w:sz w:val="22"/>
                <w:szCs w:val="22"/>
              </w:rP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hideMark/>
          </w:tcPr>
          <w:p w:rsidR="00EB1E42" w:rsidRPr="00974422" w:rsidRDefault="00EB1E42" w:rsidP="00704E41">
            <w:pPr>
              <w:jc w:val="center"/>
            </w:pPr>
            <w:r w:rsidRPr="00974422">
              <w:rPr>
                <w:rFonts w:cs="Arial"/>
              </w:rPr>
              <w:t>95%</w:t>
            </w:r>
          </w:p>
        </w:tc>
        <w:tc>
          <w:tcPr>
            <w:tcW w:w="1060" w:type="dxa"/>
          </w:tcPr>
          <w:p w:rsidR="00EB1E42" w:rsidRPr="00974422" w:rsidRDefault="00EB1E42" w:rsidP="00704E41">
            <w:pPr>
              <w:jc w:val="center"/>
              <w:rPr>
                <w:rFonts w:cs="Arial"/>
              </w:rPr>
            </w:pPr>
            <w:r w:rsidRPr="00974422">
              <w:rPr>
                <w:rFonts w:cs="Arial"/>
              </w:rPr>
              <w:t>95%</w:t>
            </w:r>
          </w:p>
        </w:tc>
      </w:tr>
      <w:tr w:rsidR="00EB1E42" w:rsidRPr="00974422" w:rsidTr="00704E41">
        <w:trPr>
          <w:cantSplit/>
          <w:trHeight w:val="217"/>
        </w:trPr>
        <w:tc>
          <w:tcPr>
            <w:tcW w:w="2124" w:type="dxa"/>
            <w:hideMark/>
          </w:tcPr>
          <w:p w:rsidR="00EB1E42" w:rsidRPr="00974422" w:rsidRDefault="00EB1E42" w:rsidP="00704E41">
            <w:pPr>
              <w:rPr>
                <w:rFonts w:cs="Arial"/>
              </w:rPr>
            </w:pPr>
            <w:r w:rsidRPr="00974422">
              <w:rPr>
                <w:rFonts w:cs="Arial"/>
              </w:rPr>
              <w:t>Result</w:t>
            </w:r>
          </w:p>
        </w:tc>
        <w:tc>
          <w:tcPr>
            <w:tcW w:w="1216" w:type="dxa"/>
            <w:hideMark/>
          </w:tcPr>
          <w:p w:rsidR="00EB1E42" w:rsidRPr="00974422" w:rsidRDefault="00EB1E42" w:rsidP="00704E41">
            <w:pPr>
              <w:jc w:val="center"/>
              <w:rPr>
                <w:rFonts w:cs="Arial"/>
              </w:rPr>
            </w:pPr>
            <w:r w:rsidRPr="00974422">
              <w:rPr>
                <w:rFonts w:cs="Arial"/>
              </w:rPr>
              <w:t>13%</w:t>
            </w:r>
          </w:p>
        </w:tc>
        <w:tc>
          <w:tcPr>
            <w:tcW w:w="1060" w:type="dxa"/>
            <w:hideMark/>
          </w:tcPr>
          <w:p w:rsidR="00EB1E42" w:rsidRPr="00974422" w:rsidRDefault="00EB1E42" w:rsidP="00704E41">
            <w:pPr>
              <w:jc w:val="center"/>
              <w:rPr>
                <w:rFonts w:cs="Arial"/>
              </w:rPr>
            </w:pPr>
            <w:r w:rsidRPr="00974422">
              <w:rPr>
                <w:rFonts w:cs="Arial"/>
              </w:rPr>
              <w:t>93.8%</w:t>
            </w:r>
          </w:p>
        </w:tc>
        <w:tc>
          <w:tcPr>
            <w:tcW w:w="1060" w:type="dxa"/>
            <w:hideMark/>
          </w:tcPr>
          <w:p w:rsidR="00EB1E42" w:rsidRPr="00974422" w:rsidRDefault="00EB1E42" w:rsidP="00704E41">
            <w:pPr>
              <w:jc w:val="center"/>
              <w:rPr>
                <w:rFonts w:cs="Arial"/>
              </w:rPr>
            </w:pPr>
            <w:r w:rsidRPr="00974422">
              <w:rPr>
                <w:rFonts w:cs="Arial"/>
              </w:rPr>
              <w:t>94.6%</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94.7%</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93.8%</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94.1%</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r w:rsidR="00EB1E42" w:rsidRPr="00974422" w:rsidTr="00704E41">
        <w:trPr>
          <w:cantSplit/>
          <w:trHeight w:val="321"/>
        </w:trPr>
        <w:tc>
          <w:tcPr>
            <w:tcW w:w="2124" w:type="dxa"/>
            <w:hideMark/>
          </w:tcPr>
          <w:p w:rsidR="00EB1E42" w:rsidRPr="00974422" w:rsidRDefault="00EB1E42" w:rsidP="00704E41">
            <w:pPr>
              <w:rPr>
                <w:rFonts w:cs="Arial"/>
              </w:rPr>
            </w:pPr>
            <w:r w:rsidRPr="00974422">
              <w:rPr>
                <w:rFonts w:cs="Arial"/>
              </w:rPr>
              <w:t>Target Met</w:t>
            </w:r>
          </w:p>
        </w:tc>
        <w:tc>
          <w:tcPr>
            <w:tcW w:w="1216"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jc w:val="center"/>
              <w:rPr>
                <w:rFonts w:cs="Arial"/>
              </w:rPr>
            </w:pPr>
            <w:r w:rsidRPr="00974422">
              <w:rPr>
                <w:rFonts w:cs="Arial"/>
              </w:rPr>
              <w:t>No</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60"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No</w:t>
            </w:r>
          </w:p>
        </w:tc>
        <w:tc>
          <w:tcPr>
            <w:tcW w:w="1060" w:type="dxa"/>
            <w:hideMark/>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No</w:t>
            </w:r>
          </w:p>
        </w:tc>
        <w:tc>
          <w:tcPr>
            <w:tcW w:w="1060" w:type="dxa"/>
          </w:tcPr>
          <w:p w:rsidR="00EB1E42" w:rsidRPr="00974422" w:rsidRDefault="00EB1E42" w:rsidP="00704E41">
            <w:pPr>
              <w:widowControl w:val="0"/>
              <w:tabs>
                <w:tab w:val="left" w:pos="255"/>
                <w:tab w:val="center" w:pos="396"/>
              </w:tabs>
              <w:overflowPunct w:val="0"/>
              <w:autoSpaceDE w:val="0"/>
              <w:autoSpaceDN w:val="0"/>
              <w:adjustRightInd w:val="0"/>
              <w:jc w:val="center"/>
              <w:rPr>
                <w:rFonts w:cs="Arial"/>
                <w:bCs/>
              </w:rPr>
            </w:pPr>
            <w:r w:rsidRPr="00974422">
              <w:rPr>
                <w:rFonts w:cs="Arial"/>
                <w:bCs/>
              </w:rPr>
              <w:t>N/A</w:t>
            </w:r>
          </w:p>
        </w:tc>
      </w:tr>
    </w:tbl>
    <w:p w:rsidR="00EB1E42" w:rsidRDefault="00EB1E42" w:rsidP="00EB1E42">
      <w:pPr>
        <w:spacing w:after="240"/>
        <w:rPr>
          <w:rFonts w:cs="Arial"/>
        </w:rPr>
      </w:pPr>
      <w:r>
        <w:rPr>
          <w:rFonts w:cs="Arial"/>
        </w:rPr>
        <w:t>*Pilot year for California Assessment of Student Performance and Progress, only California Alternate Performance Assessment data was included.</w:t>
      </w:r>
    </w:p>
    <w:p w:rsidR="00EB1E42" w:rsidRPr="00974422" w:rsidRDefault="00EB1E42" w:rsidP="00EB1E42">
      <w:pPr>
        <w:rPr>
          <w:rFonts w:cs="Arial"/>
        </w:rPr>
      </w:pPr>
      <w:r>
        <w:rPr>
          <w:rFonts w:cs="Arial"/>
          <w:b/>
        </w:rPr>
        <w:t xml:space="preserve">** </w:t>
      </w:r>
      <w:r>
        <w:rPr>
          <w:rFonts w:cs="Arial"/>
        </w:rPr>
        <w:t>No results due to Covid-19.</w:t>
      </w:r>
    </w:p>
    <w:p w:rsidR="00EB1E42" w:rsidRPr="00E13A6E" w:rsidRDefault="00EB1E42" w:rsidP="00EB1E42">
      <w:pPr>
        <w:pStyle w:val="Heading3"/>
      </w:pPr>
      <w:bookmarkStart w:id="77" w:name="_Toc77599060"/>
      <w:r w:rsidRPr="00E13A6E">
        <w:t xml:space="preserve">Percent Proficient for Students with Disabilities </w:t>
      </w:r>
      <w:r>
        <w:t>Old Targets</w:t>
      </w:r>
      <w:bookmarkEnd w:id="77"/>
    </w:p>
    <w:tbl>
      <w:tblPr>
        <w:tblStyle w:val="TableGrid"/>
        <w:tblW w:w="0" w:type="auto"/>
        <w:tblLook w:val="04A0" w:firstRow="1" w:lastRow="0" w:firstColumn="1" w:lastColumn="0" w:noHBand="0" w:noVBand="1"/>
        <w:tblDescription w:val="Indicator 3C Targets and Results"/>
      </w:tblPr>
      <w:tblGrid>
        <w:gridCol w:w="2425"/>
        <w:gridCol w:w="1031"/>
        <w:gridCol w:w="1109"/>
        <w:gridCol w:w="957"/>
        <w:gridCol w:w="957"/>
        <w:gridCol w:w="957"/>
        <w:gridCol w:w="957"/>
        <w:gridCol w:w="957"/>
      </w:tblGrid>
      <w:tr w:rsidR="00EB1E42" w:rsidRPr="00E13A6E" w:rsidTr="00704E41">
        <w:trPr>
          <w:cantSplit/>
          <w:tblHeader/>
        </w:trPr>
        <w:tc>
          <w:tcPr>
            <w:tcW w:w="2425" w:type="dxa"/>
            <w:vAlign w:val="center"/>
            <w:hideMark/>
          </w:tcPr>
          <w:p w:rsidR="00EB1E42" w:rsidRPr="00E13A6E" w:rsidRDefault="00EB1E42" w:rsidP="00704E41">
            <w:pPr>
              <w:jc w:val="center"/>
              <w:rPr>
                <w:rFonts w:cs="Arial"/>
                <w:b/>
              </w:rPr>
            </w:pPr>
            <w:bookmarkStart w:id="78" w:name="_Hlk77600382"/>
            <w:r>
              <w:rPr>
                <w:rFonts w:cs="Arial"/>
                <w:b/>
              </w:rPr>
              <w:t>Indicator 3C ELA</w:t>
            </w:r>
          </w:p>
        </w:tc>
        <w:tc>
          <w:tcPr>
            <w:tcW w:w="1031" w:type="dxa"/>
            <w:vAlign w:val="center"/>
            <w:hideMark/>
          </w:tcPr>
          <w:p w:rsidR="00EB1E42" w:rsidRPr="00E13A6E" w:rsidRDefault="00EB1E42" w:rsidP="00704E41">
            <w:pPr>
              <w:jc w:val="center"/>
              <w:rPr>
                <w:rFonts w:cs="Arial"/>
                <w:b/>
              </w:rPr>
            </w:pPr>
            <w:r>
              <w:rPr>
                <w:rFonts w:cs="Arial"/>
                <w:b/>
              </w:rPr>
              <w:t>2013</w:t>
            </w:r>
          </w:p>
        </w:tc>
        <w:tc>
          <w:tcPr>
            <w:tcW w:w="1109" w:type="dxa"/>
            <w:vAlign w:val="center"/>
            <w:hideMark/>
          </w:tcPr>
          <w:p w:rsidR="00EB1E42" w:rsidRPr="00E13A6E" w:rsidRDefault="00EB1E42" w:rsidP="00704E41">
            <w:pPr>
              <w:jc w:val="center"/>
              <w:rPr>
                <w:rFonts w:cs="Arial"/>
                <w:b/>
              </w:rPr>
            </w:pPr>
            <w:r>
              <w:rPr>
                <w:rFonts w:cs="Arial"/>
                <w:b/>
              </w:rPr>
              <w:t>2014</w:t>
            </w:r>
          </w:p>
        </w:tc>
        <w:tc>
          <w:tcPr>
            <w:tcW w:w="957" w:type="dxa"/>
          </w:tcPr>
          <w:p w:rsidR="00EB1E42" w:rsidRDefault="00EB1E42" w:rsidP="00704E41">
            <w:pPr>
              <w:jc w:val="center"/>
              <w:rPr>
                <w:rFonts w:cs="Arial"/>
                <w:b/>
              </w:rPr>
            </w:pPr>
            <w:r>
              <w:rPr>
                <w:rFonts w:cs="Arial"/>
                <w:b/>
              </w:rPr>
              <w:t>2015</w:t>
            </w:r>
          </w:p>
        </w:tc>
        <w:tc>
          <w:tcPr>
            <w:tcW w:w="957" w:type="dxa"/>
          </w:tcPr>
          <w:p w:rsidR="00EB1E42" w:rsidRDefault="00EB1E42" w:rsidP="00704E41">
            <w:pPr>
              <w:jc w:val="center"/>
              <w:rPr>
                <w:rFonts w:cs="Arial"/>
                <w:b/>
              </w:rPr>
            </w:pPr>
            <w:r>
              <w:rPr>
                <w:rFonts w:cs="Arial"/>
                <w:b/>
              </w:rPr>
              <w:t>2016</w:t>
            </w:r>
          </w:p>
        </w:tc>
        <w:tc>
          <w:tcPr>
            <w:tcW w:w="957" w:type="dxa"/>
          </w:tcPr>
          <w:p w:rsidR="00EB1E42" w:rsidRDefault="00EB1E42" w:rsidP="00704E41">
            <w:pPr>
              <w:jc w:val="center"/>
              <w:rPr>
                <w:rFonts w:cs="Arial"/>
                <w:b/>
              </w:rPr>
            </w:pPr>
            <w:r>
              <w:rPr>
                <w:rFonts w:cs="Arial"/>
                <w:b/>
              </w:rPr>
              <w:t>2017</w:t>
            </w:r>
          </w:p>
        </w:tc>
        <w:tc>
          <w:tcPr>
            <w:tcW w:w="957" w:type="dxa"/>
          </w:tcPr>
          <w:p w:rsidR="00EB1E42" w:rsidRDefault="00EB1E42" w:rsidP="00704E41">
            <w:pPr>
              <w:jc w:val="center"/>
              <w:rPr>
                <w:rFonts w:cs="Arial"/>
                <w:b/>
              </w:rPr>
            </w:pPr>
            <w:r>
              <w:rPr>
                <w:rFonts w:cs="Arial"/>
                <w:b/>
              </w:rPr>
              <w:t>2018</w:t>
            </w:r>
          </w:p>
        </w:tc>
        <w:tc>
          <w:tcPr>
            <w:tcW w:w="957" w:type="dxa"/>
          </w:tcPr>
          <w:p w:rsidR="00EB1E42" w:rsidRDefault="00EB1E42" w:rsidP="00704E41">
            <w:pPr>
              <w:jc w:val="center"/>
              <w:rPr>
                <w:rFonts w:cs="Arial"/>
                <w:b/>
              </w:rPr>
            </w:pPr>
            <w:r>
              <w:rPr>
                <w:rFonts w:cs="Arial"/>
                <w:b/>
              </w:rPr>
              <w:t>2019</w:t>
            </w:r>
          </w:p>
        </w:tc>
      </w:tr>
      <w:tr w:rsidR="00EB1E42" w:rsidTr="00704E41">
        <w:trPr>
          <w:cantSplit/>
        </w:trPr>
        <w:tc>
          <w:tcPr>
            <w:tcW w:w="2425" w:type="dxa"/>
            <w:vAlign w:val="center"/>
            <w:hideMark/>
          </w:tcPr>
          <w:p w:rsidR="00EB1E42" w:rsidRDefault="00EB1E42" w:rsidP="00704E41">
            <w:pPr>
              <w:rPr>
                <w:rFonts w:cs="Arial"/>
              </w:rPr>
            </w:pPr>
            <w:r>
              <w:rPr>
                <w:rFonts w:cs="Arial"/>
              </w:rPr>
              <w:t>Elementary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12.0%</w:t>
            </w:r>
          </w:p>
        </w:tc>
        <w:tc>
          <w:tcPr>
            <w:tcW w:w="957" w:type="dxa"/>
            <w:vAlign w:val="bottom"/>
          </w:tcPr>
          <w:p w:rsidR="00EB1E42" w:rsidRDefault="00EB1E42" w:rsidP="00704E41">
            <w:pPr>
              <w:jc w:val="center"/>
              <w:rPr>
                <w:rFonts w:cs="Arial"/>
              </w:rPr>
            </w:pPr>
            <w:r>
              <w:rPr>
                <w:rFonts w:cs="Arial"/>
              </w:rPr>
              <w:t>13.0%</w:t>
            </w:r>
          </w:p>
        </w:tc>
        <w:tc>
          <w:tcPr>
            <w:tcW w:w="957" w:type="dxa"/>
            <w:vAlign w:val="bottom"/>
          </w:tcPr>
          <w:p w:rsidR="00EB1E42" w:rsidRDefault="00EB1E42" w:rsidP="00704E41">
            <w:pPr>
              <w:jc w:val="center"/>
              <w:rPr>
                <w:rFonts w:cs="Arial"/>
              </w:rPr>
            </w:pPr>
            <w:r>
              <w:rPr>
                <w:rFonts w:cs="Arial"/>
              </w:rPr>
              <w:t>14.0%</w:t>
            </w:r>
          </w:p>
        </w:tc>
        <w:tc>
          <w:tcPr>
            <w:tcW w:w="957" w:type="dxa"/>
            <w:vAlign w:val="bottom"/>
          </w:tcPr>
          <w:p w:rsidR="00EB1E42" w:rsidRDefault="00EB1E42" w:rsidP="00704E41">
            <w:pPr>
              <w:jc w:val="center"/>
              <w:rPr>
                <w:rFonts w:cs="Arial"/>
              </w:rPr>
            </w:pPr>
            <w:r>
              <w:rPr>
                <w:rFonts w:cs="Arial"/>
              </w:rPr>
              <w:t>15.0%</w:t>
            </w:r>
          </w:p>
        </w:tc>
        <w:tc>
          <w:tcPr>
            <w:tcW w:w="957" w:type="dxa"/>
            <w:vAlign w:val="bottom"/>
          </w:tcPr>
          <w:p w:rsidR="00EB1E42" w:rsidRDefault="00EB1E42" w:rsidP="00704E41">
            <w:pPr>
              <w:jc w:val="center"/>
              <w:rPr>
                <w:rFonts w:cs="Arial"/>
              </w:rPr>
            </w:pPr>
            <w:r>
              <w:rPr>
                <w:rFonts w:cs="Arial"/>
              </w:rPr>
              <w:t>16.0%</w:t>
            </w:r>
          </w:p>
        </w:tc>
      </w:tr>
      <w:tr w:rsidR="00EB1E42" w:rsidTr="00704E41">
        <w:trPr>
          <w:cantSplit/>
        </w:trPr>
        <w:tc>
          <w:tcPr>
            <w:tcW w:w="2425" w:type="dxa"/>
            <w:vAlign w:val="center"/>
            <w:hideMark/>
          </w:tcPr>
          <w:p w:rsidR="00EB1E42" w:rsidRDefault="00EB1E42" w:rsidP="00704E41">
            <w:pPr>
              <w:rPr>
                <w:rFonts w:cs="Arial"/>
              </w:rPr>
            </w:pPr>
            <w:r>
              <w:rPr>
                <w:rFonts w:cs="Arial"/>
              </w:rPr>
              <w:t>High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12.9%</w:t>
            </w:r>
          </w:p>
        </w:tc>
        <w:tc>
          <w:tcPr>
            <w:tcW w:w="957" w:type="dxa"/>
            <w:vAlign w:val="bottom"/>
          </w:tcPr>
          <w:p w:rsidR="00EB1E42" w:rsidRDefault="00EB1E42" w:rsidP="00704E41">
            <w:pPr>
              <w:jc w:val="center"/>
              <w:rPr>
                <w:rFonts w:cs="Arial"/>
              </w:rPr>
            </w:pPr>
            <w:r>
              <w:rPr>
                <w:rFonts w:cs="Arial"/>
              </w:rPr>
              <w:t>13.9%</w:t>
            </w:r>
          </w:p>
        </w:tc>
        <w:tc>
          <w:tcPr>
            <w:tcW w:w="957" w:type="dxa"/>
            <w:vAlign w:val="bottom"/>
          </w:tcPr>
          <w:p w:rsidR="00EB1E42" w:rsidRDefault="00EB1E42" w:rsidP="00704E41">
            <w:pPr>
              <w:jc w:val="center"/>
              <w:rPr>
                <w:rFonts w:cs="Arial"/>
              </w:rPr>
            </w:pPr>
            <w:r>
              <w:rPr>
                <w:rFonts w:cs="Arial"/>
              </w:rPr>
              <w:t>14.9%</w:t>
            </w:r>
          </w:p>
        </w:tc>
        <w:tc>
          <w:tcPr>
            <w:tcW w:w="957" w:type="dxa"/>
            <w:vAlign w:val="bottom"/>
          </w:tcPr>
          <w:p w:rsidR="00EB1E42" w:rsidRDefault="00EB1E42" w:rsidP="00704E41">
            <w:pPr>
              <w:jc w:val="center"/>
              <w:rPr>
                <w:rFonts w:cs="Arial"/>
              </w:rPr>
            </w:pPr>
            <w:r>
              <w:rPr>
                <w:rFonts w:cs="Arial"/>
              </w:rPr>
              <w:t>15.9%</w:t>
            </w:r>
          </w:p>
        </w:tc>
        <w:tc>
          <w:tcPr>
            <w:tcW w:w="957" w:type="dxa"/>
            <w:vAlign w:val="bottom"/>
          </w:tcPr>
          <w:p w:rsidR="00EB1E42" w:rsidRDefault="00EB1E42" w:rsidP="00704E41">
            <w:pPr>
              <w:jc w:val="center"/>
              <w:rPr>
                <w:rFonts w:cs="Arial"/>
              </w:rPr>
            </w:pPr>
            <w:r>
              <w:rPr>
                <w:rFonts w:cs="Arial"/>
              </w:rPr>
              <w:t>16.9%</w:t>
            </w:r>
          </w:p>
        </w:tc>
      </w:tr>
      <w:tr w:rsidR="00EB1E42" w:rsidTr="00704E41">
        <w:trPr>
          <w:cantSplit/>
        </w:trPr>
        <w:tc>
          <w:tcPr>
            <w:tcW w:w="2425" w:type="dxa"/>
            <w:vAlign w:val="center"/>
            <w:hideMark/>
          </w:tcPr>
          <w:p w:rsidR="00EB1E42" w:rsidRDefault="00EB1E42" w:rsidP="00704E41">
            <w:pPr>
              <w:rPr>
                <w:rFonts w:cs="Arial"/>
              </w:rPr>
            </w:pPr>
            <w:r>
              <w:rPr>
                <w:rFonts w:cs="Arial"/>
              </w:rPr>
              <w:t>Unified School Districts and County Offices of Education</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12.9%</w:t>
            </w:r>
          </w:p>
        </w:tc>
        <w:tc>
          <w:tcPr>
            <w:tcW w:w="957" w:type="dxa"/>
            <w:vAlign w:val="bottom"/>
          </w:tcPr>
          <w:p w:rsidR="00EB1E42" w:rsidRDefault="00EB1E42" w:rsidP="00704E41">
            <w:pPr>
              <w:jc w:val="center"/>
              <w:rPr>
                <w:rFonts w:cs="Arial"/>
              </w:rPr>
            </w:pPr>
            <w:r>
              <w:rPr>
                <w:rFonts w:cs="Arial"/>
              </w:rPr>
              <w:t>13.9%</w:t>
            </w:r>
          </w:p>
        </w:tc>
        <w:tc>
          <w:tcPr>
            <w:tcW w:w="957" w:type="dxa"/>
            <w:vAlign w:val="bottom"/>
          </w:tcPr>
          <w:p w:rsidR="00EB1E42" w:rsidRDefault="00EB1E42" w:rsidP="00704E41">
            <w:pPr>
              <w:jc w:val="center"/>
              <w:rPr>
                <w:rFonts w:cs="Arial"/>
              </w:rPr>
            </w:pPr>
            <w:r>
              <w:rPr>
                <w:rFonts w:cs="Arial"/>
              </w:rPr>
              <w:t>14.9%</w:t>
            </w:r>
          </w:p>
        </w:tc>
        <w:tc>
          <w:tcPr>
            <w:tcW w:w="957" w:type="dxa"/>
            <w:vAlign w:val="bottom"/>
          </w:tcPr>
          <w:p w:rsidR="00EB1E42" w:rsidRDefault="00EB1E42" w:rsidP="00704E41">
            <w:pPr>
              <w:jc w:val="center"/>
              <w:rPr>
                <w:rFonts w:cs="Arial"/>
              </w:rPr>
            </w:pPr>
            <w:r>
              <w:rPr>
                <w:rFonts w:cs="Arial"/>
              </w:rPr>
              <w:t>15.9%</w:t>
            </w:r>
          </w:p>
        </w:tc>
        <w:tc>
          <w:tcPr>
            <w:tcW w:w="957" w:type="dxa"/>
            <w:vAlign w:val="bottom"/>
          </w:tcPr>
          <w:p w:rsidR="00EB1E42" w:rsidRDefault="00EB1E42" w:rsidP="00704E41">
            <w:pPr>
              <w:jc w:val="center"/>
              <w:rPr>
                <w:rFonts w:cs="Arial"/>
              </w:rPr>
            </w:pPr>
            <w:r>
              <w:rPr>
                <w:rFonts w:cs="Arial"/>
              </w:rPr>
              <w:t>16.9%</w:t>
            </w:r>
          </w:p>
        </w:tc>
      </w:tr>
      <w:bookmarkEnd w:id="78"/>
    </w:tbl>
    <w:p w:rsidR="00EB1E42" w:rsidRDefault="00EB1E42" w:rsidP="00EB1E42"/>
    <w:tbl>
      <w:tblPr>
        <w:tblStyle w:val="TableGrid"/>
        <w:tblW w:w="0" w:type="auto"/>
        <w:tblLook w:val="04A0" w:firstRow="1" w:lastRow="0" w:firstColumn="1" w:lastColumn="0" w:noHBand="0" w:noVBand="1"/>
        <w:tblDescription w:val="Indicator 3C Targets and Results"/>
      </w:tblPr>
      <w:tblGrid>
        <w:gridCol w:w="2425"/>
        <w:gridCol w:w="1031"/>
        <w:gridCol w:w="1109"/>
        <w:gridCol w:w="957"/>
        <w:gridCol w:w="957"/>
        <w:gridCol w:w="957"/>
        <w:gridCol w:w="957"/>
        <w:gridCol w:w="957"/>
      </w:tblGrid>
      <w:tr w:rsidR="00EB1E42" w:rsidRPr="00E13A6E" w:rsidTr="00704E41">
        <w:trPr>
          <w:cantSplit/>
          <w:tblHeader/>
        </w:trPr>
        <w:tc>
          <w:tcPr>
            <w:tcW w:w="2425" w:type="dxa"/>
            <w:vAlign w:val="center"/>
            <w:hideMark/>
          </w:tcPr>
          <w:p w:rsidR="00EB1E42" w:rsidRPr="00E13A6E" w:rsidRDefault="00EB1E42" w:rsidP="00704E41">
            <w:pPr>
              <w:jc w:val="center"/>
              <w:rPr>
                <w:rFonts w:cs="Arial"/>
                <w:b/>
              </w:rPr>
            </w:pPr>
            <w:r>
              <w:rPr>
                <w:rFonts w:cs="Arial"/>
                <w:b/>
              </w:rPr>
              <w:t>Indicator 3C Math</w:t>
            </w:r>
          </w:p>
        </w:tc>
        <w:tc>
          <w:tcPr>
            <w:tcW w:w="1031" w:type="dxa"/>
            <w:vAlign w:val="center"/>
            <w:hideMark/>
          </w:tcPr>
          <w:p w:rsidR="00EB1E42" w:rsidRPr="00E13A6E" w:rsidRDefault="00EB1E42" w:rsidP="00704E41">
            <w:pPr>
              <w:jc w:val="center"/>
              <w:rPr>
                <w:rFonts w:cs="Arial"/>
                <w:b/>
              </w:rPr>
            </w:pPr>
            <w:r>
              <w:rPr>
                <w:rFonts w:cs="Arial"/>
                <w:b/>
              </w:rPr>
              <w:t>2013</w:t>
            </w:r>
          </w:p>
        </w:tc>
        <w:tc>
          <w:tcPr>
            <w:tcW w:w="1109" w:type="dxa"/>
            <w:vAlign w:val="center"/>
            <w:hideMark/>
          </w:tcPr>
          <w:p w:rsidR="00EB1E42" w:rsidRPr="00E13A6E" w:rsidRDefault="00EB1E42" w:rsidP="00704E41">
            <w:pPr>
              <w:jc w:val="center"/>
              <w:rPr>
                <w:rFonts w:cs="Arial"/>
                <w:b/>
              </w:rPr>
            </w:pPr>
            <w:r>
              <w:rPr>
                <w:rFonts w:cs="Arial"/>
                <w:b/>
              </w:rPr>
              <w:t>2014</w:t>
            </w:r>
          </w:p>
        </w:tc>
        <w:tc>
          <w:tcPr>
            <w:tcW w:w="957" w:type="dxa"/>
          </w:tcPr>
          <w:p w:rsidR="00EB1E42" w:rsidRDefault="00EB1E42" w:rsidP="00704E41">
            <w:pPr>
              <w:jc w:val="center"/>
              <w:rPr>
                <w:rFonts w:cs="Arial"/>
                <w:b/>
              </w:rPr>
            </w:pPr>
            <w:r>
              <w:rPr>
                <w:rFonts w:cs="Arial"/>
                <w:b/>
              </w:rPr>
              <w:t>2015</w:t>
            </w:r>
          </w:p>
        </w:tc>
        <w:tc>
          <w:tcPr>
            <w:tcW w:w="957" w:type="dxa"/>
          </w:tcPr>
          <w:p w:rsidR="00EB1E42" w:rsidRDefault="00EB1E42" w:rsidP="00704E41">
            <w:pPr>
              <w:jc w:val="center"/>
              <w:rPr>
                <w:rFonts w:cs="Arial"/>
                <w:b/>
              </w:rPr>
            </w:pPr>
            <w:r>
              <w:rPr>
                <w:rFonts w:cs="Arial"/>
                <w:b/>
              </w:rPr>
              <w:t>2016</w:t>
            </w:r>
          </w:p>
        </w:tc>
        <w:tc>
          <w:tcPr>
            <w:tcW w:w="957" w:type="dxa"/>
          </w:tcPr>
          <w:p w:rsidR="00EB1E42" w:rsidRDefault="00EB1E42" w:rsidP="00704E41">
            <w:pPr>
              <w:jc w:val="center"/>
              <w:rPr>
                <w:rFonts w:cs="Arial"/>
                <w:b/>
              </w:rPr>
            </w:pPr>
            <w:r>
              <w:rPr>
                <w:rFonts w:cs="Arial"/>
                <w:b/>
              </w:rPr>
              <w:t>2017</w:t>
            </w:r>
          </w:p>
        </w:tc>
        <w:tc>
          <w:tcPr>
            <w:tcW w:w="957" w:type="dxa"/>
          </w:tcPr>
          <w:p w:rsidR="00EB1E42" w:rsidRDefault="00EB1E42" w:rsidP="00704E41">
            <w:pPr>
              <w:jc w:val="center"/>
              <w:rPr>
                <w:rFonts w:cs="Arial"/>
                <w:b/>
              </w:rPr>
            </w:pPr>
            <w:r>
              <w:rPr>
                <w:rFonts w:cs="Arial"/>
                <w:b/>
              </w:rPr>
              <w:t>2018</w:t>
            </w:r>
          </w:p>
        </w:tc>
        <w:tc>
          <w:tcPr>
            <w:tcW w:w="957" w:type="dxa"/>
          </w:tcPr>
          <w:p w:rsidR="00EB1E42" w:rsidRDefault="00EB1E42" w:rsidP="00704E41">
            <w:pPr>
              <w:jc w:val="center"/>
              <w:rPr>
                <w:rFonts w:cs="Arial"/>
                <w:b/>
              </w:rPr>
            </w:pPr>
            <w:r>
              <w:rPr>
                <w:rFonts w:cs="Arial"/>
                <w:b/>
              </w:rPr>
              <w:t>2019</w:t>
            </w:r>
          </w:p>
        </w:tc>
      </w:tr>
      <w:tr w:rsidR="00EB1E42" w:rsidTr="00704E41">
        <w:trPr>
          <w:cantSplit/>
        </w:trPr>
        <w:tc>
          <w:tcPr>
            <w:tcW w:w="2425" w:type="dxa"/>
            <w:vAlign w:val="center"/>
            <w:hideMark/>
          </w:tcPr>
          <w:p w:rsidR="00EB1E42" w:rsidRDefault="00EB1E42" w:rsidP="00704E41">
            <w:pPr>
              <w:rPr>
                <w:rFonts w:cs="Arial"/>
              </w:rPr>
            </w:pPr>
            <w:r>
              <w:rPr>
                <w:rFonts w:cs="Arial"/>
              </w:rPr>
              <w:t>Elementary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10.6%</w:t>
            </w:r>
          </w:p>
        </w:tc>
        <w:tc>
          <w:tcPr>
            <w:tcW w:w="957" w:type="dxa"/>
            <w:vAlign w:val="bottom"/>
          </w:tcPr>
          <w:p w:rsidR="00EB1E42" w:rsidRDefault="00EB1E42" w:rsidP="00704E41">
            <w:pPr>
              <w:jc w:val="center"/>
              <w:rPr>
                <w:rFonts w:cs="Arial"/>
              </w:rPr>
            </w:pPr>
            <w:r>
              <w:rPr>
                <w:rFonts w:cs="Arial"/>
              </w:rPr>
              <w:t>11.6%</w:t>
            </w:r>
          </w:p>
        </w:tc>
        <w:tc>
          <w:tcPr>
            <w:tcW w:w="957" w:type="dxa"/>
            <w:vAlign w:val="bottom"/>
          </w:tcPr>
          <w:p w:rsidR="00EB1E42" w:rsidRDefault="00EB1E42" w:rsidP="00704E41">
            <w:pPr>
              <w:jc w:val="center"/>
              <w:rPr>
                <w:rFonts w:cs="Arial"/>
              </w:rPr>
            </w:pPr>
            <w:r>
              <w:rPr>
                <w:rFonts w:cs="Arial"/>
              </w:rPr>
              <w:t>12.6%</w:t>
            </w:r>
          </w:p>
        </w:tc>
        <w:tc>
          <w:tcPr>
            <w:tcW w:w="957" w:type="dxa"/>
            <w:vAlign w:val="bottom"/>
          </w:tcPr>
          <w:p w:rsidR="00EB1E42" w:rsidRDefault="00EB1E42" w:rsidP="00704E41">
            <w:pPr>
              <w:jc w:val="center"/>
              <w:rPr>
                <w:rFonts w:cs="Arial"/>
              </w:rPr>
            </w:pPr>
            <w:r>
              <w:rPr>
                <w:rFonts w:cs="Arial"/>
              </w:rPr>
              <w:t>13.6%</w:t>
            </w:r>
          </w:p>
        </w:tc>
        <w:tc>
          <w:tcPr>
            <w:tcW w:w="957" w:type="dxa"/>
            <w:vAlign w:val="bottom"/>
          </w:tcPr>
          <w:p w:rsidR="00EB1E42" w:rsidRDefault="00EB1E42" w:rsidP="00704E41">
            <w:pPr>
              <w:jc w:val="center"/>
              <w:rPr>
                <w:rFonts w:cs="Arial"/>
              </w:rPr>
            </w:pPr>
            <w:r>
              <w:rPr>
                <w:rFonts w:cs="Arial"/>
              </w:rPr>
              <w:t>14.6%</w:t>
            </w:r>
          </w:p>
        </w:tc>
      </w:tr>
      <w:tr w:rsidR="00EB1E42" w:rsidTr="00704E41">
        <w:trPr>
          <w:cantSplit/>
        </w:trPr>
        <w:tc>
          <w:tcPr>
            <w:tcW w:w="2425" w:type="dxa"/>
            <w:vAlign w:val="center"/>
            <w:hideMark/>
          </w:tcPr>
          <w:p w:rsidR="00EB1E42" w:rsidRDefault="00EB1E42" w:rsidP="00704E41">
            <w:pPr>
              <w:rPr>
                <w:rFonts w:cs="Arial"/>
              </w:rPr>
            </w:pPr>
            <w:r>
              <w:rPr>
                <w:rFonts w:cs="Arial"/>
              </w:rPr>
              <w:t>High School Districts</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10.6%</w:t>
            </w:r>
          </w:p>
        </w:tc>
        <w:tc>
          <w:tcPr>
            <w:tcW w:w="957" w:type="dxa"/>
            <w:vAlign w:val="bottom"/>
          </w:tcPr>
          <w:p w:rsidR="00EB1E42" w:rsidRDefault="00EB1E42" w:rsidP="00704E41">
            <w:pPr>
              <w:jc w:val="center"/>
              <w:rPr>
                <w:rFonts w:cs="Arial"/>
              </w:rPr>
            </w:pPr>
            <w:r>
              <w:rPr>
                <w:rFonts w:cs="Arial"/>
              </w:rPr>
              <w:t>11.6%</w:t>
            </w:r>
          </w:p>
        </w:tc>
        <w:tc>
          <w:tcPr>
            <w:tcW w:w="957" w:type="dxa"/>
            <w:vAlign w:val="bottom"/>
          </w:tcPr>
          <w:p w:rsidR="00EB1E42" w:rsidRDefault="00EB1E42" w:rsidP="00704E41">
            <w:pPr>
              <w:jc w:val="center"/>
              <w:rPr>
                <w:rFonts w:cs="Arial"/>
              </w:rPr>
            </w:pPr>
            <w:r>
              <w:rPr>
                <w:rFonts w:cs="Arial"/>
              </w:rPr>
              <w:t>12.6%</w:t>
            </w:r>
          </w:p>
        </w:tc>
        <w:tc>
          <w:tcPr>
            <w:tcW w:w="957" w:type="dxa"/>
            <w:vAlign w:val="bottom"/>
          </w:tcPr>
          <w:p w:rsidR="00EB1E42" w:rsidRDefault="00EB1E42" w:rsidP="00704E41">
            <w:pPr>
              <w:jc w:val="center"/>
              <w:rPr>
                <w:rFonts w:cs="Arial"/>
              </w:rPr>
            </w:pPr>
            <w:r>
              <w:rPr>
                <w:rFonts w:cs="Arial"/>
              </w:rPr>
              <w:t>13.6%</w:t>
            </w:r>
          </w:p>
        </w:tc>
        <w:tc>
          <w:tcPr>
            <w:tcW w:w="957" w:type="dxa"/>
            <w:vAlign w:val="bottom"/>
          </w:tcPr>
          <w:p w:rsidR="00EB1E42" w:rsidRDefault="00EB1E42" w:rsidP="00704E41">
            <w:pPr>
              <w:jc w:val="center"/>
              <w:rPr>
                <w:rFonts w:cs="Arial"/>
              </w:rPr>
            </w:pPr>
            <w:r>
              <w:rPr>
                <w:rFonts w:cs="Arial"/>
              </w:rPr>
              <w:t>14.6%</w:t>
            </w:r>
          </w:p>
        </w:tc>
      </w:tr>
      <w:tr w:rsidR="00EB1E42" w:rsidTr="00704E41">
        <w:trPr>
          <w:cantSplit/>
        </w:trPr>
        <w:tc>
          <w:tcPr>
            <w:tcW w:w="2425" w:type="dxa"/>
            <w:vAlign w:val="center"/>
            <w:hideMark/>
          </w:tcPr>
          <w:p w:rsidR="00EB1E42" w:rsidRDefault="00EB1E42" w:rsidP="00704E41">
            <w:pPr>
              <w:rPr>
                <w:rFonts w:cs="Arial"/>
              </w:rPr>
            </w:pPr>
            <w:r>
              <w:rPr>
                <w:rFonts w:cs="Arial"/>
              </w:rPr>
              <w:t>Unified School Districts and County Offices of Education</w:t>
            </w:r>
          </w:p>
        </w:tc>
        <w:tc>
          <w:tcPr>
            <w:tcW w:w="1031" w:type="dxa"/>
            <w:shd w:val="clear" w:color="auto" w:fill="auto"/>
            <w:vAlign w:val="bottom"/>
            <w:hideMark/>
          </w:tcPr>
          <w:p w:rsidR="00EB1E42" w:rsidRDefault="00EB1E42" w:rsidP="00704E41">
            <w:pPr>
              <w:jc w:val="center"/>
              <w:rPr>
                <w:rFonts w:cs="Arial"/>
              </w:rPr>
            </w:pPr>
            <w:r>
              <w:rPr>
                <w:rFonts w:cs="Arial"/>
              </w:rPr>
              <w:t>100%</w:t>
            </w:r>
          </w:p>
        </w:tc>
        <w:tc>
          <w:tcPr>
            <w:tcW w:w="1109" w:type="dxa"/>
            <w:shd w:val="clear" w:color="auto" w:fill="auto"/>
            <w:vAlign w:val="bottom"/>
            <w:hideMark/>
          </w:tcPr>
          <w:p w:rsidR="00EB1E42" w:rsidRDefault="00EB1E42" w:rsidP="00704E41">
            <w:pPr>
              <w:jc w:val="center"/>
              <w:rPr>
                <w:rFonts w:cs="Arial"/>
              </w:rPr>
            </w:pPr>
            <w:r>
              <w:rPr>
                <w:rFonts w:cs="Arial"/>
              </w:rPr>
              <w:t>100%</w:t>
            </w:r>
          </w:p>
        </w:tc>
        <w:tc>
          <w:tcPr>
            <w:tcW w:w="957" w:type="dxa"/>
            <w:vAlign w:val="bottom"/>
          </w:tcPr>
          <w:p w:rsidR="00EB1E42" w:rsidRDefault="00EB1E42" w:rsidP="00704E41">
            <w:pPr>
              <w:jc w:val="center"/>
              <w:rPr>
                <w:rFonts w:cs="Arial"/>
              </w:rPr>
            </w:pPr>
            <w:r>
              <w:rPr>
                <w:rFonts w:cs="Arial"/>
              </w:rPr>
              <w:t>10.6%</w:t>
            </w:r>
          </w:p>
        </w:tc>
        <w:tc>
          <w:tcPr>
            <w:tcW w:w="957" w:type="dxa"/>
            <w:vAlign w:val="bottom"/>
          </w:tcPr>
          <w:p w:rsidR="00EB1E42" w:rsidRDefault="00EB1E42" w:rsidP="00704E41">
            <w:pPr>
              <w:jc w:val="center"/>
              <w:rPr>
                <w:rFonts w:cs="Arial"/>
              </w:rPr>
            </w:pPr>
            <w:r>
              <w:rPr>
                <w:rFonts w:cs="Arial"/>
              </w:rPr>
              <w:t>11.6%</w:t>
            </w:r>
          </w:p>
        </w:tc>
        <w:tc>
          <w:tcPr>
            <w:tcW w:w="957" w:type="dxa"/>
            <w:vAlign w:val="bottom"/>
          </w:tcPr>
          <w:p w:rsidR="00EB1E42" w:rsidRDefault="00EB1E42" w:rsidP="00704E41">
            <w:pPr>
              <w:jc w:val="center"/>
              <w:rPr>
                <w:rFonts w:cs="Arial"/>
              </w:rPr>
            </w:pPr>
            <w:r>
              <w:rPr>
                <w:rFonts w:cs="Arial"/>
              </w:rPr>
              <w:t>12.6%</w:t>
            </w:r>
          </w:p>
        </w:tc>
        <w:tc>
          <w:tcPr>
            <w:tcW w:w="957" w:type="dxa"/>
            <w:vAlign w:val="bottom"/>
          </w:tcPr>
          <w:p w:rsidR="00EB1E42" w:rsidRDefault="00EB1E42" w:rsidP="00704E41">
            <w:pPr>
              <w:jc w:val="center"/>
              <w:rPr>
                <w:rFonts w:cs="Arial"/>
              </w:rPr>
            </w:pPr>
            <w:r>
              <w:rPr>
                <w:rFonts w:cs="Arial"/>
              </w:rPr>
              <w:t>13.6%</w:t>
            </w:r>
          </w:p>
        </w:tc>
        <w:tc>
          <w:tcPr>
            <w:tcW w:w="957" w:type="dxa"/>
            <w:vAlign w:val="bottom"/>
          </w:tcPr>
          <w:p w:rsidR="00EB1E42" w:rsidRDefault="00EB1E42" w:rsidP="00704E41">
            <w:pPr>
              <w:jc w:val="center"/>
              <w:rPr>
                <w:rFonts w:cs="Arial"/>
              </w:rPr>
            </w:pPr>
            <w:r>
              <w:rPr>
                <w:rFonts w:cs="Arial"/>
              </w:rPr>
              <w:t>14.6%</w:t>
            </w:r>
          </w:p>
        </w:tc>
      </w:tr>
    </w:tbl>
    <w:p w:rsidR="00EB1E42" w:rsidRDefault="00EB1E42" w:rsidP="00EB1E42"/>
    <w:p w:rsidR="00EB1E42" w:rsidRDefault="00EB1E42" w:rsidP="00EB1E42">
      <w:r>
        <w:br w:type="page"/>
      </w:r>
    </w:p>
    <w:p w:rsidR="00EB1E42" w:rsidRDefault="00EB1E42" w:rsidP="00EB1E42"/>
    <w:p w:rsidR="00EB1E42" w:rsidRPr="00FD74B6" w:rsidRDefault="00EB1E42" w:rsidP="00EB1E42">
      <w:pPr>
        <w:pStyle w:val="Heading2"/>
        <w:spacing w:before="0" w:after="240"/>
        <w:jc w:val="center"/>
      </w:pPr>
      <w:bookmarkStart w:id="79" w:name="_Toc77599061"/>
      <w:r w:rsidRPr="00FD74B6">
        <w:t>Indicator 4A: Suspension and Expulsion Overall</w:t>
      </w:r>
      <w:bookmarkEnd w:id="79"/>
    </w:p>
    <w:p w:rsidR="00EB1E42" w:rsidRPr="00FD74B6" w:rsidRDefault="00EB1E42" w:rsidP="00EB1E42">
      <w:pPr>
        <w:pStyle w:val="Heading3"/>
        <w:spacing w:before="0" w:after="240"/>
      </w:pPr>
      <w:bookmarkStart w:id="80" w:name="_Toc77599062"/>
      <w:r>
        <w:t>Measurement</w:t>
      </w:r>
      <w:bookmarkEnd w:id="80"/>
    </w:p>
    <w:p w:rsidR="00EB1E42" w:rsidRDefault="00EB1E42" w:rsidP="00EB1E42">
      <w:pPr>
        <w:spacing w:after="240"/>
        <w:rPr>
          <w:rFonts w:cs="Arial"/>
        </w:rPr>
      </w:pPr>
      <w:r w:rsidRPr="17384939">
        <w:rPr>
          <w:rFonts w:cs="Arial"/>
        </w:rPr>
        <w:t>Indicator 4A is a performance indicator that measures the percent of LEAs that have a significant discrepancy in the rate of suspensions and expulsions of greater than 10 days in a school year for students with disabilities</w:t>
      </w:r>
      <w:r>
        <w:rPr>
          <w:rFonts w:cs="Arial"/>
        </w:rPr>
        <w:t>.</w:t>
      </w:r>
      <w:r w:rsidRPr="17384939">
        <w:rPr>
          <w:rFonts w:cs="Arial"/>
        </w:rPr>
        <w:t xml:space="preserve"> </w:t>
      </w:r>
    </w:p>
    <w:p w:rsidR="00EB1E42" w:rsidRPr="00FD74B6" w:rsidRDefault="00EB1E42" w:rsidP="00EB1E42">
      <w:pPr>
        <w:tabs>
          <w:tab w:val="left" w:pos="720"/>
          <w:tab w:val="center" w:pos="4680"/>
          <w:tab w:val="right" w:pos="9360"/>
        </w:tabs>
        <w:spacing w:after="240"/>
        <w:rPr>
          <w:rFonts w:cs="Arial"/>
        </w:rPr>
      </w:pPr>
      <w:r>
        <w:rPr>
          <w:rFonts w:cs="Arial"/>
        </w:rPr>
        <w:t xml:space="preserve">The data are reported </w:t>
      </w:r>
      <w:r w:rsidRPr="00FD74B6">
        <w:rPr>
          <w:rFonts w:cs="Arial"/>
        </w:rPr>
        <w:t xml:space="preserve">using the CALPADS data from the </w:t>
      </w:r>
      <w:r>
        <w:rPr>
          <w:rFonts w:cs="Arial"/>
        </w:rPr>
        <w:t>prior year</w:t>
      </w:r>
      <w:r w:rsidRPr="00FD74B6">
        <w:rPr>
          <w:rFonts w:cs="Arial"/>
        </w:rPr>
        <w:t>. The percent is calculated by the number of LEAs that have a significant discrepancy in the rates of suspensions and expulsions of students with IEPs for greater than 10 days in a school year divided by the number of LEAs i</w:t>
      </w:r>
      <w:r>
        <w:rPr>
          <w:rFonts w:cs="Arial"/>
        </w:rPr>
        <w:t>n the state, multiplied by 100.</w:t>
      </w:r>
    </w:p>
    <w:p w:rsidR="00EB1E42" w:rsidRPr="00FD74B6" w:rsidRDefault="00EB1E42" w:rsidP="00EB1E42">
      <w:pPr>
        <w:pStyle w:val="Heading3"/>
        <w:spacing w:before="0" w:after="240"/>
      </w:pPr>
      <w:bookmarkStart w:id="81" w:name="_Toc77599063"/>
      <w:r>
        <w:t>Notable Change(s)</w:t>
      </w:r>
      <w:bookmarkEnd w:id="81"/>
    </w:p>
    <w:p w:rsidR="00EB1E42" w:rsidRPr="00FD74B6" w:rsidRDefault="00EB1E42" w:rsidP="00EB1E42">
      <w:pPr>
        <w:spacing w:after="240"/>
        <w:rPr>
          <w:rFonts w:cs="Arial"/>
          <w:bCs/>
        </w:rPr>
      </w:pPr>
      <w:r>
        <w:rPr>
          <w:rFonts w:cs="Arial"/>
        </w:rPr>
        <w:t xml:space="preserve">There were no notable changes to either the measurement or calculation for this indicator. OSEP made language changes such as “district” to “local educational agency”. </w:t>
      </w:r>
    </w:p>
    <w:p w:rsidR="00EB1E42" w:rsidRDefault="00EB1E42" w:rsidP="00EB1E42">
      <w:pPr>
        <w:pStyle w:val="Heading3"/>
        <w:spacing w:before="0" w:after="240"/>
      </w:pPr>
      <w:bookmarkStart w:id="82" w:name="_Toc77599064"/>
      <w:r>
        <w:t>Stakeholder Feedback</w:t>
      </w:r>
      <w:bookmarkEnd w:id="82"/>
    </w:p>
    <w:p w:rsidR="00EB1E42" w:rsidRDefault="00EB1E42" w:rsidP="00EB1E42">
      <w:pPr>
        <w:rPr>
          <w:szCs w:val="22"/>
        </w:rPr>
      </w:pPr>
      <w:r>
        <w:t>CDE agreed with stakeholders that more rigorous targets should be recommended for this indicator. The results for this indicator have fluctuated over the last six years, CDE believes that with more rigorous targets this will encourage a continued decline.</w:t>
      </w:r>
    </w:p>
    <w:p w:rsidR="00EB1E42" w:rsidRPr="00F60DC3" w:rsidRDefault="00EB1E42" w:rsidP="00EB1E42"/>
    <w:p w:rsidR="00EB1E42" w:rsidRDefault="00EB1E42" w:rsidP="00EB1E42">
      <w:pPr>
        <w:pStyle w:val="Heading3"/>
        <w:spacing w:before="0" w:after="240"/>
      </w:pPr>
      <w:bookmarkStart w:id="83" w:name="_Toc77599065"/>
      <w:r>
        <w:t>Suspension and Expulsion New Targets</w:t>
      </w:r>
      <w:bookmarkEnd w:id="83"/>
    </w:p>
    <w:tbl>
      <w:tblPr>
        <w:tblStyle w:val="TableGrid1"/>
        <w:tblW w:w="9114" w:type="dxa"/>
        <w:tblLook w:val="04A0" w:firstRow="1" w:lastRow="0" w:firstColumn="1" w:lastColumn="0" w:noHBand="0" w:noVBand="1"/>
        <w:tblDescription w:val="Indicator 4A Targets and Results"/>
      </w:tblPr>
      <w:tblGrid>
        <w:gridCol w:w="2100"/>
        <w:gridCol w:w="1169"/>
        <w:gridCol w:w="1169"/>
        <w:gridCol w:w="1169"/>
        <w:gridCol w:w="1169"/>
        <w:gridCol w:w="1169"/>
        <w:gridCol w:w="1169"/>
      </w:tblGrid>
      <w:tr w:rsidR="00EB1E42" w:rsidTr="00704E41">
        <w:trPr>
          <w:cantSplit/>
          <w:trHeight w:val="288"/>
          <w:tblHeader/>
        </w:trPr>
        <w:tc>
          <w:tcPr>
            <w:tcW w:w="210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4a</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0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3%</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2.8%</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2.6%</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2.4%</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2.2%</w:t>
            </w:r>
          </w:p>
        </w:tc>
        <w:tc>
          <w:tcPr>
            <w:tcW w:w="116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w:t>
            </w:r>
          </w:p>
        </w:tc>
      </w:tr>
    </w:tbl>
    <w:p w:rsidR="00EB1E42" w:rsidRPr="00F60DC3" w:rsidRDefault="00EB1E42" w:rsidP="00EB1E42"/>
    <w:p w:rsidR="00EB1E42" w:rsidRPr="00FD74B6" w:rsidRDefault="00EB1E42" w:rsidP="00EB1E42">
      <w:pPr>
        <w:pStyle w:val="Heading3"/>
      </w:pPr>
      <w:bookmarkStart w:id="84" w:name="_Toc77599066"/>
      <w:r w:rsidRPr="00FD74B6">
        <w:t xml:space="preserve">Suspension and Expulsion </w:t>
      </w:r>
      <w:r>
        <w:t xml:space="preserve">Old </w:t>
      </w:r>
      <w:r w:rsidRPr="00FD74B6">
        <w:t>Targets</w:t>
      </w:r>
      <w:bookmarkEnd w:id="84"/>
      <w:r w:rsidRPr="00FD74B6">
        <w:t xml:space="preserve"> </w:t>
      </w:r>
    </w:p>
    <w:tbl>
      <w:tblPr>
        <w:tblStyle w:val="TableGrid110"/>
        <w:tblW w:w="0" w:type="auto"/>
        <w:tblLook w:val="04A0" w:firstRow="1" w:lastRow="0" w:firstColumn="1" w:lastColumn="0" w:noHBand="0" w:noVBand="1"/>
        <w:tblDescription w:val="Indicator 4A Targets and Results"/>
      </w:tblPr>
      <w:tblGrid>
        <w:gridCol w:w="1878"/>
        <w:gridCol w:w="1045"/>
        <w:gridCol w:w="1045"/>
        <w:gridCol w:w="1045"/>
        <w:gridCol w:w="1045"/>
        <w:gridCol w:w="1045"/>
        <w:gridCol w:w="1045"/>
        <w:gridCol w:w="1045"/>
      </w:tblGrid>
      <w:tr w:rsidR="00EB1E42" w:rsidRPr="00974422" w:rsidTr="00704E41">
        <w:trPr>
          <w:cantSplit/>
          <w:trHeight w:val="316"/>
          <w:tblHeader/>
        </w:trPr>
        <w:tc>
          <w:tcPr>
            <w:tcW w:w="1878"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Indicator 4A</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2013</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2014</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2015</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2016</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2017</w:t>
            </w:r>
          </w:p>
        </w:tc>
        <w:tc>
          <w:tcPr>
            <w:tcW w:w="1045" w:type="dxa"/>
            <w:hideMark/>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2018</w:t>
            </w:r>
          </w:p>
        </w:tc>
        <w:tc>
          <w:tcPr>
            <w:tcW w:w="1045" w:type="dxa"/>
          </w:tcPr>
          <w:p w:rsidR="00EB1E42" w:rsidRPr="00974422" w:rsidRDefault="00EB1E42" w:rsidP="00704E41">
            <w:pPr>
              <w:widowControl w:val="0"/>
              <w:overflowPunct w:val="0"/>
              <w:autoSpaceDE w:val="0"/>
              <w:autoSpaceDN w:val="0"/>
              <w:adjustRightInd w:val="0"/>
              <w:jc w:val="center"/>
              <w:rPr>
                <w:rFonts w:cs="Arial"/>
                <w:b/>
                <w:bCs/>
              </w:rPr>
            </w:pPr>
            <w:r w:rsidRPr="00974422">
              <w:rPr>
                <w:rFonts w:cs="Arial"/>
                <w:b/>
                <w:bCs/>
              </w:rPr>
              <w:t>2019</w:t>
            </w:r>
          </w:p>
        </w:tc>
      </w:tr>
      <w:tr w:rsidR="00EB1E42" w:rsidRPr="00974422" w:rsidTr="00704E41">
        <w:trPr>
          <w:cantSplit/>
          <w:trHeight w:val="316"/>
        </w:trPr>
        <w:tc>
          <w:tcPr>
            <w:tcW w:w="1878"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c>
          <w:tcPr>
            <w:tcW w:w="104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≤10%</w:t>
            </w:r>
          </w:p>
        </w:tc>
      </w:tr>
      <w:tr w:rsidR="00EB1E42" w:rsidRPr="00974422" w:rsidTr="00704E41">
        <w:trPr>
          <w:cantSplit/>
          <w:trHeight w:val="316"/>
        </w:trPr>
        <w:tc>
          <w:tcPr>
            <w:tcW w:w="1878"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Result</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1.2%</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2.1%</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2.3%</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3.2%</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3.6%</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1.4%</w:t>
            </w:r>
          </w:p>
        </w:tc>
        <w:tc>
          <w:tcPr>
            <w:tcW w:w="104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2.5%</w:t>
            </w:r>
          </w:p>
        </w:tc>
      </w:tr>
      <w:tr w:rsidR="00EB1E42" w:rsidRPr="00974422" w:rsidTr="00704E41">
        <w:trPr>
          <w:cantSplit/>
          <w:trHeight w:val="316"/>
        </w:trPr>
        <w:tc>
          <w:tcPr>
            <w:tcW w:w="1878"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Target Met</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hideMark/>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c>
          <w:tcPr>
            <w:tcW w:w="1045" w:type="dxa"/>
          </w:tcPr>
          <w:p w:rsidR="00EB1E42" w:rsidRPr="00974422" w:rsidRDefault="00EB1E42" w:rsidP="00704E41">
            <w:pPr>
              <w:widowControl w:val="0"/>
              <w:overflowPunct w:val="0"/>
              <w:autoSpaceDE w:val="0"/>
              <w:autoSpaceDN w:val="0"/>
              <w:adjustRightInd w:val="0"/>
              <w:jc w:val="center"/>
              <w:rPr>
                <w:rFonts w:cs="Arial"/>
                <w:bCs/>
              </w:rPr>
            </w:pPr>
            <w:r w:rsidRPr="00974422">
              <w:rPr>
                <w:rFonts w:cs="Arial"/>
                <w:bCs/>
              </w:rPr>
              <w:t>Yes</w:t>
            </w:r>
          </w:p>
        </w:tc>
      </w:tr>
    </w:tbl>
    <w:p w:rsidR="00EB1E42" w:rsidRPr="00FD74B6" w:rsidRDefault="00EB1E42" w:rsidP="00EB1E42">
      <w:r w:rsidRPr="00FD74B6">
        <w:br w:type="page"/>
      </w:r>
    </w:p>
    <w:p w:rsidR="00EB1E42" w:rsidRPr="00FD74B6" w:rsidRDefault="00EB1E42" w:rsidP="00EB1E42">
      <w:pPr>
        <w:pStyle w:val="Heading2"/>
        <w:spacing w:before="0" w:after="240"/>
        <w:jc w:val="center"/>
        <w:rPr>
          <w:rFonts w:cs="Arial"/>
        </w:rPr>
      </w:pPr>
      <w:bookmarkStart w:id="85" w:name="_Toc77599067"/>
      <w:r w:rsidRPr="00FD74B6">
        <w:lastRenderedPageBreak/>
        <w:t>Indicator 4B: Suspension and Expulsion Rate by Race or Ethnicity</w:t>
      </w:r>
      <w:bookmarkEnd w:id="85"/>
    </w:p>
    <w:p w:rsidR="00EB1E42" w:rsidRPr="00FD74B6" w:rsidRDefault="00EB1E42" w:rsidP="00EB1E42">
      <w:pPr>
        <w:pStyle w:val="Heading3"/>
        <w:spacing w:before="0" w:after="240"/>
      </w:pPr>
      <w:bookmarkStart w:id="86" w:name="_Toc77599068"/>
      <w:r>
        <w:t>Measurement</w:t>
      </w:r>
      <w:bookmarkEnd w:id="86"/>
    </w:p>
    <w:p w:rsidR="00EB1E42" w:rsidRPr="00FD74B6" w:rsidRDefault="00EB1E42" w:rsidP="00EB1E42">
      <w:pPr>
        <w:tabs>
          <w:tab w:val="left" w:pos="720"/>
          <w:tab w:val="center" w:pos="4680"/>
          <w:tab w:val="right" w:pos="9360"/>
        </w:tabs>
        <w:rPr>
          <w:rFonts w:cs="Arial"/>
        </w:rPr>
      </w:pPr>
      <w:r w:rsidRPr="00FD74B6">
        <w:rPr>
          <w:rFonts w:cs="Arial"/>
        </w:rPr>
        <w:t xml:space="preserve">Indicator 4B is a compliance indicator that measures the percent of LEAs that have:  </w:t>
      </w:r>
    </w:p>
    <w:p w:rsidR="00EB1E42" w:rsidRDefault="00EB1E42" w:rsidP="00EB1E42">
      <w:pPr>
        <w:tabs>
          <w:tab w:val="left" w:pos="720"/>
          <w:tab w:val="center" w:pos="4680"/>
          <w:tab w:val="right" w:pos="9360"/>
        </w:tabs>
        <w:spacing w:after="240"/>
        <w:rPr>
          <w:rFonts w:cs="Arial"/>
        </w:rPr>
      </w:pPr>
      <w:r w:rsidRPr="00FD74B6">
        <w:rPr>
          <w:rFonts w:cs="Arial"/>
        </w:rPr>
        <w:t>(1) significant discrepancy, by race or ethnicity, in the rate of suspensions and expulsions of greater than 10 days in a school year for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w:t>
      </w:r>
      <w:r>
        <w:rPr>
          <w:rFonts w:cs="Arial"/>
        </w:rPr>
        <w:t>.</w:t>
      </w:r>
    </w:p>
    <w:p w:rsidR="00EB1E42" w:rsidRPr="00FD74B6" w:rsidRDefault="00EB1E42" w:rsidP="00EB1E42">
      <w:pPr>
        <w:tabs>
          <w:tab w:val="left" w:pos="720"/>
          <w:tab w:val="center" w:pos="4680"/>
          <w:tab w:val="right" w:pos="9360"/>
        </w:tabs>
        <w:spacing w:after="240"/>
        <w:rPr>
          <w:rFonts w:cs="Arial"/>
        </w:rPr>
      </w:pPr>
      <w:r w:rsidRPr="00FD74B6">
        <w:rPr>
          <w:rFonts w:cs="Arial"/>
        </w:rPr>
        <w:t>The data are reported using the CALPADS data from</w:t>
      </w:r>
      <w:r>
        <w:rPr>
          <w:rFonts w:cs="Arial"/>
        </w:rPr>
        <w:t xml:space="preserve"> the prior year</w:t>
      </w:r>
      <w:r w:rsidRPr="00FD74B6">
        <w:rPr>
          <w:rFonts w:cs="Arial"/>
        </w:rPr>
        <w:t>. This percent is calculated by the number of LEAs that have: (1) A significant discrepancy, by race or ethnicity, in the rates of suspensions and expulsions of greater than 10 days in a school year of students with disabilities; and (2) policies, procedures, or practices that contribute to the significant discrepancy and do not comply with requirements relating to the development and implementation of IEPs, the use of positive behavioral interventions and supports, and procedural safeguards divided by the number of LEAs i</w:t>
      </w:r>
      <w:r>
        <w:rPr>
          <w:rFonts w:cs="Arial"/>
        </w:rPr>
        <w:t>n the state, multiplied by 100.</w:t>
      </w:r>
    </w:p>
    <w:p w:rsidR="00EB1E42" w:rsidRPr="00FD74B6" w:rsidRDefault="00EB1E42" w:rsidP="00EB1E42">
      <w:pPr>
        <w:pStyle w:val="Heading3"/>
        <w:spacing w:before="0" w:after="240"/>
      </w:pPr>
      <w:bookmarkStart w:id="87" w:name="_Toc77599069"/>
      <w:r>
        <w:t>Notable Change(s)</w:t>
      </w:r>
      <w:bookmarkEnd w:id="87"/>
    </w:p>
    <w:p w:rsidR="00EB1E42" w:rsidRPr="00FD74B6" w:rsidRDefault="00EB1E42" w:rsidP="00EB1E42">
      <w:pPr>
        <w:spacing w:after="240"/>
        <w:rPr>
          <w:rFonts w:cs="Arial"/>
          <w:bCs/>
        </w:rPr>
      </w:pPr>
      <w:r>
        <w:rPr>
          <w:rFonts w:cs="Arial"/>
        </w:rPr>
        <w:t xml:space="preserve">There were no measurement or calculation changes to this indicator. OSEP made language changes such as “district” to “local educational agency”. </w:t>
      </w:r>
    </w:p>
    <w:p w:rsidR="00EB1E42" w:rsidRDefault="00EB1E42" w:rsidP="00EB1E42">
      <w:pPr>
        <w:pStyle w:val="Heading3"/>
        <w:spacing w:before="0" w:after="240"/>
      </w:pPr>
      <w:bookmarkStart w:id="88" w:name="_Toc77599070"/>
      <w:r>
        <w:t>Stakeholder Feedback</w:t>
      </w:r>
      <w:bookmarkEnd w:id="88"/>
    </w:p>
    <w:p w:rsidR="00EB1E42" w:rsidRDefault="00EB1E42" w:rsidP="00EB1E42">
      <w:pPr>
        <w:rPr>
          <w:szCs w:val="22"/>
        </w:rPr>
      </w:pPr>
      <w:r>
        <w:t>Indicator 4b is a compliance indicator and the target has been established by OSEP.</w:t>
      </w:r>
    </w:p>
    <w:p w:rsidR="00EB1E42" w:rsidRPr="00F60DC3" w:rsidRDefault="00EB1E42" w:rsidP="00EB1E42"/>
    <w:p w:rsidR="00EB1E42" w:rsidRDefault="00EB1E42" w:rsidP="00EB1E42">
      <w:pPr>
        <w:pStyle w:val="Heading3"/>
        <w:spacing w:before="0" w:after="240"/>
      </w:pPr>
      <w:bookmarkStart w:id="89" w:name="_Toc77599071"/>
      <w:r>
        <w:t xml:space="preserve">Suspension and Expulsion </w:t>
      </w:r>
      <w:r w:rsidRPr="00FD74B6">
        <w:t>by Race or Ethnicity</w:t>
      </w:r>
      <w:r>
        <w:t xml:space="preserve"> New Targets</w:t>
      </w:r>
      <w:bookmarkEnd w:id="89"/>
    </w:p>
    <w:tbl>
      <w:tblPr>
        <w:tblStyle w:val="TableGrid1"/>
        <w:tblW w:w="9232" w:type="dxa"/>
        <w:tblLook w:val="04A0" w:firstRow="1" w:lastRow="0" w:firstColumn="1" w:lastColumn="0" w:noHBand="0" w:noVBand="1"/>
        <w:tblDescription w:val="Indicator 4A Targets and Results"/>
      </w:tblPr>
      <w:tblGrid>
        <w:gridCol w:w="2128"/>
        <w:gridCol w:w="1184"/>
        <w:gridCol w:w="1184"/>
        <w:gridCol w:w="1184"/>
        <w:gridCol w:w="1184"/>
        <w:gridCol w:w="1184"/>
        <w:gridCol w:w="1184"/>
      </w:tblGrid>
      <w:tr w:rsidR="00EB1E42" w:rsidTr="00704E41">
        <w:trPr>
          <w:cantSplit/>
          <w:trHeight w:val="288"/>
          <w:tblHeader/>
        </w:trPr>
        <w:tc>
          <w:tcPr>
            <w:tcW w:w="212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4b</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2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c>
          <w:tcPr>
            <w:tcW w:w="11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0%</w:t>
            </w:r>
          </w:p>
        </w:tc>
      </w:tr>
    </w:tbl>
    <w:p w:rsidR="00EB1E42" w:rsidRPr="00277939" w:rsidRDefault="00EB1E42" w:rsidP="00EB1E42"/>
    <w:p w:rsidR="00EB1E42" w:rsidRDefault="00EB1E42" w:rsidP="00EB1E42">
      <w:pPr>
        <w:pStyle w:val="Heading3"/>
      </w:pPr>
      <w:bookmarkStart w:id="90" w:name="_Toc77599072"/>
      <w:r w:rsidRPr="00FD74B6">
        <w:t>Suspension</w:t>
      </w:r>
      <w:r>
        <w:t xml:space="preserve"> and </w:t>
      </w:r>
      <w:r w:rsidRPr="00FD74B6">
        <w:t>Expulsion by Race or Ethnicity</w:t>
      </w:r>
      <w:r>
        <w:t xml:space="preserve"> Old</w:t>
      </w:r>
      <w:r w:rsidRPr="00FD74B6">
        <w:t xml:space="preserve"> Targets</w:t>
      </w:r>
      <w:bookmarkEnd w:id="90"/>
      <w:r w:rsidRPr="00FD74B6">
        <w:t xml:space="preserve"> </w:t>
      </w:r>
    </w:p>
    <w:tbl>
      <w:tblPr>
        <w:tblStyle w:val="TableGrid21"/>
        <w:tblW w:w="0" w:type="auto"/>
        <w:tblLook w:val="04A0" w:firstRow="1" w:lastRow="0" w:firstColumn="1" w:lastColumn="0" w:noHBand="0" w:noVBand="1"/>
        <w:tblDescription w:val="Indicator 4B Targets and Results"/>
      </w:tblPr>
      <w:tblGrid>
        <w:gridCol w:w="2028"/>
        <w:gridCol w:w="1047"/>
        <w:gridCol w:w="1047"/>
        <w:gridCol w:w="1047"/>
        <w:gridCol w:w="1032"/>
        <w:gridCol w:w="1032"/>
        <w:gridCol w:w="1032"/>
        <w:gridCol w:w="1032"/>
      </w:tblGrid>
      <w:tr w:rsidR="00EB1E42" w:rsidRPr="00A56731" w:rsidTr="00704E41">
        <w:trPr>
          <w:cantSplit/>
          <w:trHeight w:val="301"/>
          <w:tblHeader/>
        </w:trPr>
        <w:tc>
          <w:tcPr>
            <w:tcW w:w="2028"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Indicator 4B</w:t>
            </w:r>
          </w:p>
        </w:tc>
        <w:tc>
          <w:tcPr>
            <w:tcW w:w="1047"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2013</w:t>
            </w:r>
          </w:p>
        </w:tc>
        <w:tc>
          <w:tcPr>
            <w:tcW w:w="1047"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2014</w:t>
            </w:r>
          </w:p>
        </w:tc>
        <w:tc>
          <w:tcPr>
            <w:tcW w:w="1047"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2015</w:t>
            </w:r>
          </w:p>
        </w:tc>
        <w:tc>
          <w:tcPr>
            <w:tcW w:w="1032"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2016</w:t>
            </w:r>
          </w:p>
        </w:tc>
        <w:tc>
          <w:tcPr>
            <w:tcW w:w="1032"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2017</w:t>
            </w:r>
          </w:p>
        </w:tc>
        <w:tc>
          <w:tcPr>
            <w:tcW w:w="1032"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2018</w:t>
            </w:r>
          </w:p>
        </w:tc>
        <w:tc>
          <w:tcPr>
            <w:tcW w:w="1032" w:type="dxa"/>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2019</w:t>
            </w:r>
          </w:p>
        </w:tc>
      </w:tr>
      <w:tr w:rsidR="00EB1E42" w:rsidRPr="00A56731" w:rsidTr="00704E41">
        <w:trPr>
          <w:cantSplit/>
          <w:trHeight w:val="301"/>
        </w:trPr>
        <w:tc>
          <w:tcPr>
            <w:tcW w:w="2028"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Target</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c>
          <w:tcPr>
            <w:tcW w:w="1032"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0%</w:t>
            </w:r>
          </w:p>
        </w:tc>
      </w:tr>
      <w:tr w:rsidR="00EB1E42" w:rsidRPr="00A56731" w:rsidTr="00704E41">
        <w:trPr>
          <w:cantSplit/>
          <w:trHeight w:val="301"/>
        </w:trPr>
        <w:tc>
          <w:tcPr>
            <w:tcW w:w="2028"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Result</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1.8%</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2.3%</w:t>
            </w:r>
          </w:p>
        </w:tc>
        <w:tc>
          <w:tcPr>
            <w:tcW w:w="1047" w:type="dxa"/>
            <w:shd w:val="clear" w:color="auto" w:fill="auto"/>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5.7%</w:t>
            </w:r>
          </w:p>
        </w:tc>
        <w:tc>
          <w:tcPr>
            <w:tcW w:w="1032" w:type="dxa"/>
            <w:shd w:val="clear" w:color="auto" w:fill="auto"/>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2.7%</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6.3%</w:t>
            </w:r>
          </w:p>
        </w:tc>
        <w:tc>
          <w:tcPr>
            <w:tcW w:w="1032"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4.8%</w:t>
            </w:r>
          </w:p>
        </w:tc>
        <w:tc>
          <w:tcPr>
            <w:tcW w:w="1032"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4.0%</w:t>
            </w:r>
          </w:p>
        </w:tc>
      </w:tr>
      <w:tr w:rsidR="00EB1E42" w:rsidRPr="00A56731" w:rsidTr="00704E41">
        <w:trPr>
          <w:cantSplit/>
          <w:trHeight w:val="301"/>
        </w:trPr>
        <w:tc>
          <w:tcPr>
            <w:tcW w:w="2028"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Target Met</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No</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No</w:t>
            </w:r>
          </w:p>
        </w:tc>
        <w:tc>
          <w:tcPr>
            <w:tcW w:w="1047"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No</w:t>
            </w:r>
          </w:p>
        </w:tc>
        <w:tc>
          <w:tcPr>
            <w:tcW w:w="1032" w:type="dxa"/>
            <w:hideMark/>
          </w:tcPr>
          <w:p w:rsidR="00EB1E42" w:rsidRPr="00A56731" w:rsidRDefault="00EB1E42" w:rsidP="00704E41">
            <w:pPr>
              <w:jc w:val="center"/>
              <w:rPr>
                <w:rFonts w:ascii="Calibri" w:hAnsi="Calibri"/>
                <w:sz w:val="22"/>
                <w:szCs w:val="22"/>
              </w:rPr>
            </w:pPr>
            <w:r w:rsidRPr="00A56731">
              <w:t>No</w:t>
            </w:r>
          </w:p>
        </w:tc>
        <w:tc>
          <w:tcPr>
            <w:tcW w:w="1032" w:type="dxa"/>
            <w:hideMark/>
          </w:tcPr>
          <w:p w:rsidR="00EB1E42" w:rsidRPr="00A56731" w:rsidRDefault="00EB1E42" w:rsidP="00704E41">
            <w:pPr>
              <w:jc w:val="center"/>
            </w:pPr>
            <w:r w:rsidRPr="00A56731">
              <w:t>No</w:t>
            </w:r>
          </w:p>
        </w:tc>
        <w:tc>
          <w:tcPr>
            <w:tcW w:w="1032" w:type="dxa"/>
            <w:hideMark/>
          </w:tcPr>
          <w:p w:rsidR="00EB1E42" w:rsidRPr="00A56731" w:rsidRDefault="00EB1E42" w:rsidP="00704E41">
            <w:pPr>
              <w:jc w:val="center"/>
            </w:pPr>
            <w:r w:rsidRPr="00A56731">
              <w:t>No</w:t>
            </w:r>
          </w:p>
        </w:tc>
        <w:tc>
          <w:tcPr>
            <w:tcW w:w="1032" w:type="dxa"/>
          </w:tcPr>
          <w:p w:rsidR="00EB1E42" w:rsidRPr="00A56731" w:rsidRDefault="00EB1E42" w:rsidP="00704E41">
            <w:pPr>
              <w:jc w:val="center"/>
            </w:pPr>
            <w:r w:rsidRPr="00A56731">
              <w:t>No</w:t>
            </w:r>
          </w:p>
        </w:tc>
      </w:tr>
    </w:tbl>
    <w:p w:rsidR="00EB1E42" w:rsidRPr="00A56731" w:rsidRDefault="00EB1E42" w:rsidP="00EB1E42"/>
    <w:p w:rsidR="00EB1E42" w:rsidRPr="00FD74B6" w:rsidRDefault="00EB1E42" w:rsidP="00EB1E42">
      <w:pPr>
        <w:pStyle w:val="Heading2"/>
        <w:spacing w:before="840" w:after="240"/>
        <w:jc w:val="center"/>
      </w:pPr>
      <w:bookmarkStart w:id="91" w:name="_Toc77599073"/>
      <w:r w:rsidRPr="00FD74B6">
        <w:lastRenderedPageBreak/>
        <w:t>Indicator 5: Education Environments</w:t>
      </w:r>
      <w:bookmarkEnd w:id="91"/>
    </w:p>
    <w:p w:rsidR="00EB1E42" w:rsidRPr="00FD74B6" w:rsidRDefault="00EB1E42" w:rsidP="00EB1E42">
      <w:pPr>
        <w:pStyle w:val="Heading3"/>
        <w:spacing w:before="0" w:after="240"/>
      </w:pPr>
      <w:bookmarkStart w:id="92" w:name="_Toc77599074"/>
      <w:r>
        <w:t>Measurement</w:t>
      </w:r>
      <w:bookmarkEnd w:id="92"/>
    </w:p>
    <w:p w:rsidR="00EB1E42" w:rsidRDefault="00EB1E42" w:rsidP="00EB1E42">
      <w:pPr>
        <w:spacing w:after="240"/>
        <w:rPr>
          <w:rFonts w:cs="Arial"/>
        </w:rPr>
      </w:pPr>
      <w:r w:rsidRPr="00FD74B6">
        <w:rPr>
          <w:rFonts w:cs="Arial"/>
        </w:rPr>
        <w:t>Indicator 5 is a performance indicator that measures the percent of students with disabilities, age</w:t>
      </w:r>
      <w:r>
        <w:rPr>
          <w:rFonts w:cs="Arial"/>
        </w:rPr>
        <w:t>d</w:t>
      </w:r>
      <w:r w:rsidRPr="00FD74B6">
        <w:rPr>
          <w:rFonts w:cs="Arial"/>
        </w:rPr>
        <w:t xml:space="preserve"> </w:t>
      </w:r>
      <w:r>
        <w:rPr>
          <w:rFonts w:cs="Arial"/>
        </w:rPr>
        <w:t>five who are enrolled in kindergarten and aged six</w:t>
      </w:r>
      <w:r w:rsidRPr="00FD74B6">
        <w:rPr>
          <w:rFonts w:cs="Arial"/>
        </w:rPr>
        <w:t xml:space="preserve"> to twenty-two</w:t>
      </w:r>
      <w:r>
        <w:rPr>
          <w:rFonts w:cs="Arial"/>
        </w:rPr>
        <w:t>,</w:t>
      </w:r>
      <w:r w:rsidRPr="0072103E">
        <w:rPr>
          <w:rFonts w:cs="Arial"/>
        </w:rPr>
        <w:t xml:space="preserve"> </w:t>
      </w:r>
      <w:r w:rsidRPr="00FD74B6">
        <w:rPr>
          <w:rFonts w:cs="Arial"/>
        </w:rPr>
        <w:t>served inside the regular class 80 percent or more of the day; inside the regular class less than 40 percent of the day, and served in public or private separate schools</w:t>
      </w:r>
      <w:r w:rsidRPr="00FD74B6">
        <w:rPr>
          <w:rFonts w:cs="Arial"/>
          <w:caps/>
        </w:rPr>
        <w:t xml:space="preserve">, </w:t>
      </w:r>
      <w:r w:rsidRPr="00FD74B6">
        <w:rPr>
          <w:rFonts w:cs="Arial"/>
        </w:rPr>
        <w:t>residential facilities, or homebound/hospital placement.</w:t>
      </w:r>
    </w:p>
    <w:p w:rsidR="00EB1E42" w:rsidRDefault="00EB1E42" w:rsidP="00EB1E42">
      <w:pPr>
        <w:spacing w:after="240"/>
        <w:rPr>
          <w:rFonts w:cs="Arial"/>
        </w:rPr>
      </w:pPr>
      <w:r>
        <w:rPr>
          <w:rFonts w:cs="Arial"/>
        </w:rPr>
        <w:t>The calculation is as follows:</w:t>
      </w:r>
    </w:p>
    <w:p w:rsidR="00EB1E42" w:rsidRPr="00B93E5D" w:rsidRDefault="00EB1E42" w:rsidP="00EB1E42">
      <w:pPr>
        <w:pStyle w:val="ListParagraph"/>
        <w:numPr>
          <w:ilvl w:val="0"/>
          <w:numId w:val="33"/>
        </w:numPr>
        <w:tabs>
          <w:tab w:val="left" w:pos="720"/>
          <w:tab w:val="center" w:pos="4680"/>
          <w:tab w:val="right" w:pos="9360"/>
        </w:tabs>
        <w:spacing w:after="240"/>
        <w:rPr>
          <w:rFonts w:cs="Arial"/>
        </w:rPr>
      </w:pPr>
      <w:r w:rsidRPr="00B93E5D">
        <w:rPr>
          <w:rFonts w:cs="Arial"/>
        </w:rPr>
        <w:t>The</w:t>
      </w:r>
      <w:r w:rsidRPr="00B93E5D">
        <w:rPr>
          <w:rFonts w:cs="Arial"/>
        </w:rPr>
        <w:tab/>
        <w:t xml:space="preserve"> number of students with disabilities served inside the regular class 80 percent or more of the day divided by the total number of students aged five who are enrolled in kindergarten and aged six to twenty-two with disabilities.</w:t>
      </w:r>
    </w:p>
    <w:p w:rsidR="00EB1E42" w:rsidRPr="00B93E5D" w:rsidRDefault="00EB1E42" w:rsidP="00EB1E42">
      <w:pPr>
        <w:pStyle w:val="ListParagraph"/>
        <w:numPr>
          <w:ilvl w:val="0"/>
          <w:numId w:val="33"/>
        </w:numPr>
        <w:tabs>
          <w:tab w:val="left" w:pos="720"/>
          <w:tab w:val="center" w:pos="4680"/>
          <w:tab w:val="right" w:pos="9360"/>
        </w:tabs>
        <w:spacing w:after="240"/>
        <w:rPr>
          <w:rFonts w:cs="Arial"/>
        </w:rPr>
      </w:pPr>
      <w:r w:rsidRPr="00B93E5D">
        <w:rPr>
          <w:rFonts w:cs="Arial"/>
        </w:rPr>
        <w:t>The</w:t>
      </w:r>
      <w:r w:rsidRPr="00B93E5D">
        <w:rPr>
          <w:rFonts w:cs="Arial"/>
        </w:rPr>
        <w:tab/>
        <w:t xml:space="preserve"> number of students with disabilities served inside the regular class less than 40 percent of the day divided by the total number of students aged five who are enrolled in kindergarten and aged six to twenty-two with disabilities.</w:t>
      </w:r>
    </w:p>
    <w:p w:rsidR="00EB1E42" w:rsidRPr="00B93E5D" w:rsidRDefault="00EB1E42" w:rsidP="00EB1E42">
      <w:pPr>
        <w:pStyle w:val="ListParagraph"/>
        <w:numPr>
          <w:ilvl w:val="0"/>
          <w:numId w:val="33"/>
        </w:numPr>
        <w:tabs>
          <w:tab w:val="left" w:pos="810"/>
          <w:tab w:val="center" w:pos="4680"/>
          <w:tab w:val="right" w:pos="9360"/>
        </w:tabs>
        <w:spacing w:after="240"/>
        <w:rPr>
          <w:rFonts w:cs="Arial"/>
        </w:rPr>
      </w:pPr>
      <w:r w:rsidRPr="00B93E5D">
        <w:rPr>
          <w:rFonts w:cs="Arial"/>
        </w:rPr>
        <w:t>The number of students with disabilities served in public or private separate schools, residential facilities, or homebound/hospital placements divided by the total number of students aged five who are enrolled in kindergarten and aged six to twenty-two with disabilities.</w:t>
      </w:r>
    </w:p>
    <w:p w:rsidR="00EB1E42" w:rsidRPr="00FD74B6" w:rsidRDefault="00EB1E42" w:rsidP="00EB1E42">
      <w:pPr>
        <w:pStyle w:val="Heading3"/>
        <w:spacing w:before="0" w:after="240"/>
      </w:pPr>
      <w:bookmarkStart w:id="93" w:name="_Toc77599075"/>
      <w:r>
        <w:t>Notable Change(s)</w:t>
      </w:r>
      <w:bookmarkEnd w:id="93"/>
    </w:p>
    <w:p w:rsidR="00EB1E42" w:rsidRPr="00FD74B6" w:rsidRDefault="00EB1E42" w:rsidP="00EB1E42">
      <w:pPr>
        <w:spacing w:after="240"/>
        <w:rPr>
          <w:rFonts w:cs="Arial"/>
        </w:rPr>
      </w:pPr>
      <w:r>
        <w:rPr>
          <w:rFonts w:cs="Arial"/>
          <w:bCs/>
        </w:rPr>
        <w:t xml:space="preserve">To align with the federal data collection file specifications, States now must include five-year old’s who are enrolled in kindergarten in the calculation. </w:t>
      </w:r>
    </w:p>
    <w:p w:rsidR="00EB1E42" w:rsidRPr="00FD74B6" w:rsidRDefault="00EB1E42" w:rsidP="00EB1E42">
      <w:pPr>
        <w:pStyle w:val="Heading3"/>
        <w:spacing w:before="0" w:after="240"/>
      </w:pPr>
      <w:bookmarkStart w:id="94" w:name="_Toc77599076"/>
      <w:r>
        <w:t>Stakeholder Feedback</w:t>
      </w:r>
      <w:bookmarkEnd w:id="94"/>
    </w:p>
    <w:p w:rsidR="00EB1E42" w:rsidRPr="00B93E5D" w:rsidRDefault="00EB1E42" w:rsidP="00EB1E42">
      <w:pPr>
        <w:pStyle w:val="ListParagraph"/>
        <w:numPr>
          <w:ilvl w:val="0"/>
          <w:numId w:val="34"/>
        </w:numPr>
        <w:tabs>
          <w:tab w:val="left" w:pos="720"/>
          <w:tab w:val="center" w:pos="4680"/>
          <w:tab w:val="right" w:pos="9360"/>
        </w:tabs>
        <w:spacing w:after="240"/>
        <w:rPr>
          <w:rFonts w:cs="Arial"/>
        </w:rPr>
      </w:pPr>
      <w:r>
        <w:t>The stakeholders believed more ambitious targets would encourage better placement and earlier interventions for students with disabilities. These recommended targets are more rigorous than previous targets, a 12 percent growth over six years.</w:t>
      </w:r>
    </w:p>
    <w:p w:rsidR="00EB1E42" w:rsidRPr="00B93E5D" w:rsidRDefault="00EB1E42" w:rsidP="00EB1E42">
      <w:pPr>
        <w:pStyle w:val="ListParagraph"/>
        <w:numPr>
          <w:ilvl w:val="0"/>
          <w:numId w:val="34"/>
        </w:numPr>
        <w:rPr>
          <w:szCs w:val="22"/>
        </w:rPr>
      </w:pPr>
      <w:r>
        <w:t xml:space="preserve">The stakeholders recommended a more rigorous decrease, two to three percent per year. The CDE recommends a 1.5 percent per year decrease. </w:t>
      </w:r>
    </w:p>
    <w:p w:rsidR="00EB1E42" w:rsidRPr="00B93E5D" w:rsidRDefault="00EB1E42" w:rsidP="00EB1E42">
      <w:pPr>
        <w:pStyle w:val="ListParagraph"/>
        <w:numPr>
          <w:ilvl w:val="0"/>
          <w:numId w:val="34"/>
        </w:numPr>
        <w:rPr>
          <w:szCs w:val="22"/>
        </w:rPr>
      </w:pPr>
      <w:r>
        <w:t xml:space="preserve">The stakeholders agreed that Indicator 5c should stay with the current gradual decrease of 0.2 percent per year. CDE agrees with this recommendation. </w:t>
      </w:r>
    </w:p>
    <w:p w:rsidR="00EB1E42" w:rsidRPr="00FD74B6" w:rsidRDefault="00EB1E42" w:rsidP="00EB1E42">
      <w:pPr>
        <w:tabs>
          <w:tab w:val="left" w:pos="810"/>
          <w:tab w:val="center" w:pos="4680"/>
          <w:tab w:val="right" w:pos="9360"/>
        </w:tabs>
        <w:spacing w:after="240"/>
        <w:ind w:left="900" w:hanging="540"/>
        <w:rPr>
          <w:rFonts w:cs="Arial"/>
        </w:rPr>
      </w:pPr>
    </w:p>
    <w:p w:rsidR="00EB1E42" w:rsidRDefault="00EB1E42" w:rsidP="00EB1E42">
      <w:pPr>
        <w:pStyle w:val="Heading3"/>
        <w:spacing w:before="0" w:after="240"/>
      </w:pPr>
      <w:bookmarkStart w:id="95" w:name="_Toc77599077"/>
      <w:r>
        <w:t>Education Environment New Targets</w:t>
      </w:r>
      <w:bookmarkEnd w:id="95"/>
    </w:p>
    <w:tbl>
      <w:tblPr>
        <w:tblStyle w:val="TableGrid1"/>
        <w:tblW w:w="9582" w:type="dxa"/>
        <w:tblLook w:val="04A0" w:firstRow="1" w:lastRow="0" w:firstColumn="1" w:lastColumn="0" w:noHBand="0" w:noVBand="1"/>
        <w:tblDescription w:val="Indicator 4A Targets and Results"/>
      </w:tblPr>
      <w:tblGrid>
        <w:gridCol w:w="2208"/>
        <w:gridCol w:w="1229"/>
        <w:gridCol w:w="1229"/>
        <w:gridCol w:w="1229"/>
        <w:gridCol w:w="1229"/>
        <w:gridCol w:w="1229"/>
        <w:gridCol w:w="1229"/>
      </w:tblGrid>
      <w:tr w:rsidR="00EB1E42" w:rsidTr="00704E41">
        <w:trPr>
          <w:cantSplit/>
          <w:trHeight w:val="288"/>
          <w:tblHeader/>
        </w:trPr>
        <w:tc>
          <w:tcPr>
            <w:tcW w:w="220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bookmarkStart w:id="96" w:name="_Hlk74820536"/>
            <w:r>
              <w:rPr>
                <w:rFonts w:cs="Arial"/>
                <w:b/>
                <w:bCs/>
              </w:rPr>
              <w:t>Indicator 5</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208"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5a Target</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58%</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60%</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62%</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64%</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67%</w:t>
            </w:r>
          </w:p>
        </w:tc>
        <w:tc>
          <w:tcPr>
            <w:tcW w:w="1229"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70%</w:t>
            </w:r>
          </w:p>
        </w:tc>
        <w:bookmarkEnd w:id="96"/>
      </w:tr>
      <w:tr w:rsidR="00EB1E42" w:rsidTr="00704E41">
        <w:trPr>
          <w:cantSplit/>
          <w:trHeight w:val="288"/>
        </w:trPr>
        <w:tc>
          <w:tcPr>
            <w:tcW w:w="2208"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5b Target</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19.5%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18%</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16.5%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13.5%</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12%</w:t>
            </w:r>
          </w:p>
        </w:tc>
      </w:tr>
      <w:tr w:rsidR="00EB1E42" w:rsidTr="00704E41">
        <w:trPr>
          <w:cantSplit/>
          <w:trHeight w:val="288"/>
        </w:trPr>
        <w:tc>
          <w:tcPr>
            <w:tcW w:w="2208"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5c Target</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3.4%</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3.2%</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3.0%</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2.8%</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2.6%</w:t>
            </w:r>
          </w:p>
        </w:tc>
        <w:tc>
          <w:tcPr>
            <w:tcW w:w="1229"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2.4%</w:t>
            </w:r>
          </w:p>
        </w:tc>
      </w:tr>
    </w:tbl>
    <w:p w:rsidR="00EB1E42" w:rsidRPr="00FD74B6" w:rsidRDefault="00EB1E42" w:rsidP="00EB1E42">
      <w:pPr>
        <w:widowControl w:val="0"/>
        <w:overflowPunct w:val="0"/>
        <w:autoSpaceDE w:val="0"/>
        <w:autoSpaceDN w:val="0"/>
        <w:adjustRightInd w:val="0"/>
        <w:spacing w:before="100" w:beforeAutospacing="1"/>
        <w:rPr>
          <w:rFonts w:cs="Arial"/>
          <w:b/>
          <w:bCs/>
        </w:rPr>
      </w:pPr>
      <w:r w:rsidRPr="00FD74B6">
        <w:rPr>
          <w:rFonts w:cs="Arial"/>
          <w:b/>
          <w:bCs/>
        </w:rPr>
        <w:lastRenderedPageBreak/>
        <w:t xml:space="preserve">Education Environment </w:t>
      </w:r>
      <w:r>
        <w:rPr>
          <w:rFonts w:cs="Arial"/>
          <w:b/>
          <w:bCs/>
        </w:rPr>
        <w:t xml:space="preserve">Old </w:t>
      </w:r>
      <w:r w:rsidRPr="00FD74B6">
        <w:rPr>
          <w:rFonts w:cs="Arial"/>
          <w:b/>
          <w:bCs/>
        </w:rPr>
        <w:t xml:space="preserve">Targets </w:t>
      </w:r>
    </w:p>
    <w:p w:rsidR="00EB1E42" w:rsidRDefault="00EB1E42" w:rsidP="00EB1E42"/>
    <w:tbl>
      <w:tblPr>
        <w:tblStyle w:val="TableGrid31"/>
        <w:tblW w:w="0" w:type="auto"/>
        <w:tblLook w:val="04A0" w:firstRow="1" w:lastRow="0" w:firstColumn="1" w:lastColumn="0" w:noHBand="0" w:noVBand="1"/>
        <w:tblDescription w:val="Indicator 5 Targets and Results"/>
      </w:tblPr>
      <w:tblGrid>
        <w:gridCol w:w="2492"/>
        <w:gridCol w:w="979"/>
        <w:gridCol w:w="979"/>
        <w:gridCol w:w="1063"/>
        <w:gridCol w:w="980"/>
        <w:gridCol w:w="980"/>
        <w:gridCol w:w="980"/>
        <w:gridCol w:w="897"/>
      </w:tblGrid>
      <w:tr w:rsidR="00EB1E42" w:rsidRPr="00A56731" w:rsidTr="00704E41">
        <w:trPr>
          <w:cantSplit/>
          <w:tblHeader/>
        </w:trPr>
        <w:tc>
          <w:tcPr>
            <w:tcW w:w="2564" w:type="dxa"/>
            <w:hideMark/>
          </w:tcPr>
          <w:p w:rsidR="00EB1E42" w:rsidRPr="00A56731" w:rsidRDefault="00EB1E42" w:rsidP="00704E41">
            <w:pPr>
              <w:widowControl w:val="0"/>
              <w:overflowPunct w:val="0"/>
              <w:autoSpaceDE w:val="0"/>
              <w:autoSpaceDN w:val="0"/>
              <w:adjustRightInd w:val="0"/>
              <w:jc w:val="center"/>
              <w:rPr>
                <w:rFonts w:cs="Arial"/>
                <w:b/>
                <w:bCs/>
              </w:rPr>
            </w:pPr>
            <w:bookmarkStart w:id="97" w:name="OLE_LINK1"/>
            <w:r w:rsidRPr="00A56731">
              <w:rPr>
                <w:rFonts w:cs="Arial"/>
                <w:b/>
                <w:bCs/>
              </w:rPr>
              <w:t>Indicator 5</w:t>
            </w:r>
          </w:p>
        </w:tc>
        <w:tc>
          <w:tcPr>
            <w:tcW w:w="984"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2013</w:t>
            </w:r>
          </w:p>
        </w:tc>
        <w:tc>
          <w:tcPr>
            <w:tcW w:w="984"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2014</w:t>
            </w:r>
          </w:p>
        </w:tc>
        <w:tc>
          <w:tcPr>
            <w:tcW w:w="1073"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2015</w:t>
            </w:r>
          </w:p>
        </w:tc>
        <w:tc>
          <w:tcPr>
            <w:tcW w:w="985"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2016</w:t>
            </w:r>
          </w:p>
        </w:tc>
        <w:tc>
          <w:tcPr>
            <w:tcW w:w="985"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2017</w:t>
            </w:r>
          </w:p>
        </w:tc>
        <w:tc>
          <w:tcPr>
            <w:tcW w:w="985" w:type="dxa"/>
            <w:hideMark/>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2018</w:t>
            </w:r>
          </w:p>
        </w:tc>
        <w:tc>
          <w:tcPr>
            <w:tcW w:w="790" w:type="dxa"/>
          </w:tcPr>
          <w:p w:rsidR="00EB1E42" w:rsidRPr="00A56731" w:rsidRDefault="00EB1E42" w:rsidP="00704E41">
            <w:pPr>
              <w:widowControl w:val="0"/>
              <w:overflowPunct w:val="0"/>
              <w:autoSpaceDE w:val="0"/>
              <w:autoSpaceDN w:val="0"/>
              <w:adjustRightInd w:val="0"/>
              <w:jc w:val="center"/>
              <w:rPr>
                <w:rFonts w:cs="Arial"/>
                <w:b/>
                <w:bCs/>
              </w:rPr>
            </w:pPr>
            <w:r w:rsidRPr="00A56731">
              <w:rPr>
                <w:rFonts w:cs="Arial"/>
                <w:b/>
                <w:bCs/>
              </w:rPr>
              <w:t>2019</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sidRPr="00A56731">
              <w:rPr>
                <w:rFonts w:cs="Arial"/>
                <w:bCs/>
              </w:rPr>
              <w:t>5</w:t>
            </w:r>
            <w:r>
              <w:rPr>
                <w:rFonts w:cs="Arial"/>
                <w:bCs/>
              </w:rPr>
              <w:t>a</w:t>
            </w:r>
            <w:r w:rsidRPr="00A56731">
              <w:rPr>
                <w:rFonts w:cs="Arial"/>
                <w:bCs/>
              </w:rPr>
              <w:t xml:space="preserve"> Target </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49.2%</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49.2%</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49.2%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50.2%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51.2%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52.2%</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53.2%</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5a </w:t>
            </w:r>
            <w:r w:rsidRPr="00A56731">
              <w:rPr>
                <w:rFonts w:cs="Arial"/>
                <w:bCs/>
              </w:rPr>
              <w:t>Result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56.3%</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53.3%</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54.0%</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54.9%</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56.1%</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56.8%</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58.3%</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5a </w:t>
            </w:r>
            <w:r w:rsidRPr="00A56731">
              <w:rPr>
                <w:rFonts w:cs="Arial"/>
                <w:bCs/>
              </w:rPr>
              <w:t>Target Met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sidRPr="00A56731">
              <w:rPr>
                <w:rFonts w:cs="Arial"/>
                <w:bCs/>
              </w:rPr>
              <w:t>5</w:t>
            </w:r>
            <w:r>
              <w:rPr>
                <w:rFonts w:cs="Arial"/>
                <w:bCs/>
              </w:rPr>
              <w:t>b</w:t>
            </w:r>
            <w:r w:rsidRPr="00A56731">
              <w:rPr>
                <w:rFonts w:cs="Arial"/>
                <w:bCs/>
              </w:rPr>
              <w:t xml:space="preserve"> Target </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24.6%</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24.6%</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24.6%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23.6%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22.6%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21.6%</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20.6%</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5b </w:t>
            </w:r>
            <w:r w:rsidRPr="00A56731">
              <w:rPr>
                <w:rFonts w:cs="Arial"/>
                <w:bCs/>
              </w:rPr>
              <w:t>Result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23.6%</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22%</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21.5%</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20.6%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19.8%</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19.5%</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18.2%</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5b </w:t>
            </w:r>
            <w:r w:rsidRPr="00A56731">
              <w:rPr>
                <w:rFonts w:cs="Arial"/>
                <w:bCs/>
              </w:rPr>
              <w:t>Target Met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sidRPr="00A56731">
              <w:rPr>
                <w:rFonts w:cs="Arial"/>
                <w:bCs/>
              </w:rPr>
              <w:t>5</w:t>
            </w:r>
            <w:r>
              <w:rPr>
                <w:rFonts w:cs="Arial"/>
                <w:bCs/>
              </w:rPr>
              <w:t>c</w:t>
            </w:r>
            <w:r w:rsidRPr="00A56731">
              <w:rPr>
                <w:rFonts w:cs="Arial"/>
                <w:bCs/>
              </w:rPr>
              <w:t xml:space="preserve"> </w:t>
            </w:r>
            <w:r>
              <w:rPr>
                <w:rFonts w:cs="Arial"/>
                <w:bCs/>
              </w:rPr>
              <w:t>Target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4.4%</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4.4%</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4.4%</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4.2%</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4%</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3.8%</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3.6%</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5c </w:t>
            </w:r>
            <w:r w:rsidRPr="00A56731">
              <w:rPr>
                <w:rFonts w:cs="Arial"/>
                <w:bCs/>
              </w:rPr>
              <w:t>Result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3.9%</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3.3%</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3.6%</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3.5%</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3.4%</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3.1%</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3.1%</w:t>
            </w:r>
          </w:p>
        </w:tc>
      </w:tr>
      <w:tr w:rsidR="00EB1E42" w:rsidRPr="00A56731" w:rsidTr="00704E41">
        <w:trPr>
          <w:cantSplit/>
        </w:trPr>
        <w:tc>
          <w:tcPr>
            <w:tcW w:w="2564" w:type="dxa"/>
            <w:hideMark/>
          </w:tcPr>
          <w:p w:rsidR="00EB1E42" w:rsidRPr="00A56731" w:rsidRDefault="00EB1E42" w:rsidP="00704E41">
            <w:pPr>
              <w:widowControl w:val="0"/>
              <w:overflowPunct w:val="0"/>
              <w:autoSpaceDE w:val="0"/>
              <w:autoSpaceDN w:val="0"/>
              <w:adjustRightInd w:val="0"/>
              <w:rPr>
                <w:rFonts w:cs="Arial"/>
                <w:bCs/>
              </w:rPr>
            </w:pPr>
            <w:r>
              <w:rPr>
                <w:rFonts w:cs="Arial"/>
                <w:bCs/>
              </w:rPr>
              <w:t xml:space="preserve">5c </w:t>
            </w:r>
            <w:r w:rsidRPr="00A56731">
              <w:rPr>
                <w:rFonts w:cs="Arial"/>
                <w:bCs/>
              </w:rPr>
              <w:t>Target Met</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4"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1073"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985" w:type="dxa"/>
            <w:hideMark/>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tc>
          <w:tcPr>
            <w:tcW w:w="790" w:type="dxa"/>
          </w:tcPr>
          <w:p w:rsidR="00EB1E42" w:rsidRPr="00A56731" w:rsidRDefault="00EB1E42" w:rsidP="00704E41">
            <w:pPr>
              <w:widowControl w:val="0"/>
              <w:overflowPunct w:val="0"/>
              <w:autoSpaceDE w:val="0"/>
              <w:autoSpaceDN w:val="0"/>
              <w:adjustRightInd w:val="0"/>
              <w:jc w:val="center"/>
              <w:rPr>
                <w:rFonts w:cs="Arial"/>
                <w:bCs/>
              </w:rPr>
            </w:pPr>
            <w:r w:rsidRPr="00A56731">
              <w:rPr>
                <w:rFonts w:cs="Arial"/>
                <w:bCs/>
              </w:rPr>
              <w:t>Yes</w:t>
            </w:r>
          </w:p>
        </w:tc>
        <w:bookmarkEnd w:id="97"/>
      </w:tr>
    </w:tbl>
    <w:p w:rsidR="00EB1E42" w:rsidRDefault="00EB1E42" w:rsidP="00EB1E42">
      <w:pPr>
        <w:spacing w:after="160" w:line="259" w:lineRule="auto"/>
        <w:rPr>
          <w:rFonts w:eastAsiaTheme="majorEastAsia" w:cstheme="majorBidi"/>
          <w:b/>
          <w:sz w:val="28"/>
          <w:szCs w:val="26"/>
        </w:rPr>
      </w:pPr>
      <w:r>
        <w:br w:type="page"/>
      </w:r>
    </w:p>
    <w:p w:rsidR="00EB1E42" w:rsidRPr="00FD74B6" w:rsidRDefault="00EB1E42" w:rsidP="00EB1E42">
      <w:pPr>
        <w:pStyle w:val="Heading2"/>
        <w:spacing w:after="240"/>
        <w:jc w:val="center"/>
      </w:pPr>
      <w:bookmarkStart w:id="98" w:name="_Toc77599078"/>
      <w:r>
        <w:lastRenderedPageBreak/>
        <w:t>Ind</w:t>
      </w:r>
      <w:r w:rsidRPr="00FD74B6">
        <w:t>icator 6: Preschool Least Restrictive Environments</w:t>
      </w:r>
      <w:bookmarkEnd w:id="98"/>
    </w:p>
    <w:p w:rsidR="00EB1E42" w:rsidRPr="00FD74B6" w:rsidRDefault="00EB1E42" w:rsidP="00EB1E42">
      <w:pPr>
        <w:pStyle w:val="Heading3"/>
        <w:spacing w:after="240"/>
      </w:pPr>
      <w:bookmarkStart w:id="99" w:name="_Toc77599079"/>
      <w:r>
        <w:t>Measurement</w:t>
      </w:r>
      <w:bookmarkEnd w:id="99"/>
    </w:p>
    <w:p w:rsidR="00EB1E42" w:rsidRDefault="00EB1E42" w:rsidP="00EB1E42">
      <w:pPr>
        <w:spacing w:after="240"/>
        <w:rPr>
          <w:rFonts w:cs="Arial"/>
        </w:rPr>
      </w:pPr>
      <w:r w:rsidRPr="00FD74B6">
        <w:rPr>
          <w:rFonts w:cs="Arial"/>
        </w:rPr>
        <w:t xml:space="preserve">Indicator 6 is a performance indicator that measures the percent of children with disabilities ages three through five years, </w:t>
      </w:r>
      <w:r>
        <w:rPr>
          <w:rFonts w:cs="Arial"/>
        </w:rPr>
        <w:t xml:space="preserve">enrolled in a preschool program </w:t>
      </w:r>
      <w:r w:rsidRPr="00FD74B6">
        <w:rPr>
          <w:rFonts w:cs="Arial"/>
        </w:rPr>
        <w:t>attending a regular early childhood program and receiving the majority of special education and related service in the regular early childhood program; as well as children with disabilities attending a separate special education class, separate school, or residential facility</w:t>
      </w:r>
      <w:r>
        <w:rPr>
          <w:rFonts w:cs="Arial"/>
        </w:rPr>
        <w:t xml:space="preserve">; and receiving special education and related services in the home. </w:t>
      </w:r>
    </w:p>
    <w:p w:rsidR="00EB1E42" w:rsidRDefault="00EB1E42" w:rsidP="00EB1E42">
      <w:pPr>
        <w:spacing w:after="240"/>
        <w:rPr>
          <w:rFonts w:cs="Arial"/>
        </w:rPr>
      </w:pPr>
      <w:r>
        <w:rPr>
          <w:rFonts w:cs="Arial"/>
        </w:rPr>
        <w:t>The calculation is as follows:</w:t>
      </w:r>
    </w:p>
    <w:p w:rsidR="00EB1E42" w:rsidRPr="00B93E5D" w:rsidRDefault="00EB1E42" w:rsidP="00EB1E42">
      <w:pPr>
        <w:pStyle w:val="ListParagraph"/>
        <w:widowControl w:val="0"/>
        <w:numPr>
          <w:ilvl w:val="0"/>
          <w:numId w:val="37"/>
        </w:numPr>
        <w:overflowPunct w:val="0"/>
        <w:autoSpaceDE w:val="0"/>
        <w:autoSpaceDN w:val="0"/>
        <w:adjustRightInd w:val="0"/>
        <w:spacing w:after="240"/>
        <w:rPr>
          <w:rFonts w:cs="Arial"/>
        </w:rPr>
      </w:pPr>
      <w:r>
        <w:t>Percent = (</w:t>
      </w:r>
      <w:r w:rsidRPr="00FD74B6">
        <w:t>number of children ages three through five with IEPs attending a regular early childhood program and receiving the majority of special education and related services in the regular early childhood program</w:t>
      </w:r>
      <w:r>
        <w:t>)</w:t>
      </w:r>
      <w:r w:rsidRPr="00FD74B6">
        <w:t xml:space="preserve"> divided by the </w:t>
      </w:r>
      <w:r>
        <w:t>(</w:t>
      </w:r>
      <w:r w:rsidRPr="00FD74B6">
        <w:t>total number of children ag</w:t>
      </w:r>
      <w:r>
        <w:t>es three through five with IEPs</w:t>
      </w:r>
      <w:r w:rsidRPr="00FD74B6">
        <w:t>), multiplied by 100.</w:t>
      </w:r>
    </w:p>
    <w:p w:rsidR="00EB1E42" w:rsidRDefault="00EB1E42" w:rsidP="00EB1E42">
      <w:pPr>
        <w:pStyle w:val="ListParagraph"/>
        <w:widowControl w:val="0"/>
        <w:numPr>
          <w:ilvl w:val="0"/>
          <w:numId w:val="37"/>
        </w:numPr>
        <w:overflowPunct w:val="0"/>
        <w:autoSpaceDE w:val="0"/>
        <w:autoSpaceDN w:val="0"/>
        <w:adjustRightInd w:val="0"/>
        <w:spacing w:after="240"/>
      </w:pPr>
      <w:r>
        <w:t>Percent = (</w:t>
      </w:r>
      <w:r w:rsidRPr="00FD74B6">
        <w:t>number of children ages three through five with IEPs attending a separate special education class, separate school, or residential facility</w:t>
      </w:r>
      <w:r>
        <w:t>) divided by the (</w:t>
      </w:r>
      <w:r w:rsidRPr="00FD74B6">
        <w:t>total number of children ages three through five with IEPs), multiplied by 100.</w:t>
      </w:r>
    </w:p>
    <w:p w:rsidR="00EB1E42" w:rsidRPr="00B93E5D" w:rsidRDefault="00EB1E42" w:rsidP="00EB1E42">
      <w:pPr>
        <w:pStyle w:val="ListParagraph"/>
        <w:widowControl w:val="0"/>
        <w:numPr>
          <w:ilvl w:val="0"/>
          <w:numId w:val="37"/>
        </w:numPr>
        <w:overflowPunct w:val="0"/>
        <w:autoSpaceDE w:val="0"/>
        <w:autoSpaceDN w:val="0"/>
        <w:adjustRightInd w:val="0"/>
        <w:spacing w:after="240"/>
        <w:rPr>
          <w:rFonts w:cs="Arial"/>
          <w:b/>
          <w:bCs/>
        </w:rPr>
      </w:pPr>
      <w:r w:rsidRPr="00B93E5D">
        <w:rPr>
          <w:rFonts w:cs="Arial"/>
        </w:rPr>
        <w:t xml:space="preserve">Percent = (number of children ages three through five with IEPs receiving special education and related services in the home) divided by the (total number of children ages three through five with IEPs), multiplied by 100. </w:t>
      </w:r>
    </w:p>
    <w:p w:rsidR="00EB1E42" w:rsidRPr="00FD74B6" w:rsidRDefault="00EB1E42" w:rsidP="00EB1E42">
      <w:pPr>
        <w:pStyle w:val="Heading3"/>
        <w:spacing w:before="0" w:after="240"/>
      </w:pPr>
      <w:bookmarkStart w:id="100" w:name="_Toc77599080"/>
      <w:r>
        <w:t>Notable Change(s)</w:t>
      </w:r>
      <w:bookmarkEnd w:id="100"/>
    </w:p>
    <w:p w:rsidR="00EB1E42" w:rsidRPr="00FD74B6" w:rsidRDefault="00EB1E42" w:rsidP="00EB1E42">
      <w:pPr>
        <w:spacing w:after="240"/>
        <w:rPr>
          <w:rFonts w:cs="Arial"/>
        </w:rPr>
      </w:pPr>
      <w:r>
        <w:rPr>
          <w:rFonts w:cs="Arial"/>
        </w:rPr>
        <w:t xml:space="preserve">There are two changes to this indicator. The first is the removal of five-year old’s who are in kindergarten. The second more significant change, is the addition of the third subcategory – home. While data for this setting has always been collected it has never been reported before in the SPP/APR. </w:t>
      </w:r>
    </w:p>
    <w:p w:rsidR="00EB1E42" w:rsidRPr="00FD74B6" w:rsidRDefault="00EB1E42" w:rsidP="00EB1E42">
      <w:pPr>
        <w:pStyle w:val="Heading3"/>
        <w:spacing w:before="0" w:after="240"/>
      </w:pPr>
      <w:bookmarkStart w:id="101" w:name="_Toc77599081"/>
      <w:r>
        <w:t>Stakeholder Feedback</w:t>
      </w:r>
      <w:bookmarkEnd w:id="101"/>
    </w:p>
    <w:p w:rsidR="00EB1E42" w:rsidRPr="00B93E5D" w:rsidRDefault="00EB1E42" w:rsidP="00EB1E42">
      <w:pPr>
        <w:pStyle w:val="ListParagraph"/>
        <w:widowControl w:val="0"/>
        <w:numPr>
          <w:ilvl w:val="0"/>
          <w:numId w:val="38"/>
        </w:numPr>
        <w:overflowPunct w:val="0"/>
        <w:autoSpaceDE w:val="0"/>
        <w:autoSpaceDN w:val="0"/>
        <w:adjustRightInd w:val="0"/>
        <w:spacing w:after="240"/>
        <w:rPr>
          <w:rFonts w:cs="Arial"/>
        </w:rPr>
      </w:pPr>
      <w:r>
        <w:t>The stakeholders believed these targets could be achieved based on past data and the availability of new grant money creating new supports. The CDE agrees with this recommendation. The most common concern for this indicator was the lack of universal preschool and how that impacts preschool placements.</w:t>
      </w:r>
    </w:p>
    <w:p w:rsidR="00EB1E42" w:rsidRDefault="00EB1E42" w:rsidP="00EB1E42">
      <w:pPr>
        <w:pStyle w:val="ListParagraph"/>
        <w:numPr>
          <w:ilvl w:val="0"/>
          <w:numId w:val="38"/>
        </w:numPr>
      </w:pPr>
      <w:r>
        <w:t xml:space="preserve">Stakeholders recommended more rigorous targets for this indicator to encourage more regular classroom placements. The CDE agrees with this recommendation. </w:t>
      </w:r>
    </w:p>
    <w:p w:rsidR="00EB1E42" w:rsidRDefault="00EB1E42" w:rsidP="00EB1E42">
      <w:pPr>
        <w:pStyle w:val="ListParagraph"/>
        <w:numPr>
          <w:ilvl w:val="0"/>
          <w:numId w:val="38"/>
        </w:numPr>
      </w:pPr>
      <w:r>
        <w:t xml:space="preserve">Stakeholders were very conflicted over this new sub indicator. Most stakeholders believed that parents should have this setting as an option available, especially for the youngest students, as this may be the best fit for the student. Based on stakeholder input the CDE recommends this target should stay relatively flat. </w:t>
      </w:r>
    </w:p>
    <w:p w:rsidR="00EB1E42" w:rsidRPr="00FD74B6" w:rsidRDefault="00EB1E42" w:rsidP="00EB1E42">
      <w:pPr>
        <w:rPr>
          <w:rFonts w:cs="Arial"/>
        </w:rPr>
      </w:pPr>
    </w:p>
    <w:p w:rsidR="00EB1E42" w:rsidRDefault="00EB1E42" w:rsidP="00EB1E42">
      <w:pPr>
        <w:pStyle w:val="Heading3"/>
        <w:spacing w:before="0" w:after="240"/>
      </w:pPr>
      <w:bookmarkStart w:id="102" w:name="_Toc77599082"/>
      <w:r>
        <w:lastRenderedPageBreak/>
        <w:t>Preschool Environments New Targets</w:t>
      </w:r>
      <w:bookmarkEnd w:id="102"/>
    </w:p>
    <w:tbl>
      <w:tblPr>
        <w:tblStyle w:val="TableGrid1"/>
        <w:tblW w:w="9582" w:type="dxa"/>
        <w:tblLook w:val="04A0" w:firstRow="1" w:lastRow="0" w:firstColumn="1" w:lastColumn="0" w:noHBand="0" w:noVBand="1"/>
        <w:tblDescription w:val="Indicator 4A Targets and Results"/>
      </w:tblPr>
      <w:tblGrid>
        <w:gridCol w:w="2208"/>
        <w:gridCol w:w="1229"/>
        <w:gridCol w:w="1229"/>
        <w:gridCol w:w="1229"/>
        <w:gridCol w:w="1229"/>
        <w:gridCol w:w="1229"/>
        <w:gridCol w:w="1229"/>
      </w:tblGrid>
      <w:tr w:rsidR="00EB1E42" w:rsidRPr="00FD74B6" w:rsidTr="00704E41">
        <w:trPr>
          <w:cantSplit/>
          <w:trHeight w:val="288"/>
          <w:tblHeader/>
        </w:trPr>
        <w:tc>
          <w:tcPr>
            <w:tcW w:w="2208" w:type="dxa"/>
            <w:hideMark/>
          </w:tcPr>
          <w:p w:rsidR="00EB1E42" w:rsidRPr="00FD74B6" w:rsidRDefault="00EB1E42" w:rsidP="00704E41">
            <w:pPr>
              <w:widowControl w:val="0"/>
              <w:overflowPunct w:val="0"/>
              <w:autoSpaceDE w:val="0"/>
              <w:autoSpaceDN w:val="0"/>
              <w:adjustRightInd w:val="0"/>
              <w:jc w:val="center"/>
              <w:rPr>
                <w:rFonts w:cs="Arial"/>
                <w:b/>
                <w:bCs/>
              </w:rPr>
            </w:pPr>
            <w:bookmarkStart w:id="103" w:name="_Hlk74823418"/>
            <w:r w:rsidRPr="00FD74B6">
              <w:rPr>
                <w:rFonts w:cs="Arial"/>
                <w:b/>
                <w:bCs/>
              </w:rPr>
              <w:t xml:space="preserve">Indicator </w:t>
            </w:r>
            <w:r>
              <w:rPr>
                <w:rFonts w:cs="Arial"/>
                <w:b/>
                <w:bCs/>
              </w:rPr>
              <w:t>6</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2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229"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2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6a </w:t>
            </w:r>
            <w:r w:rsidRPr="00FD74B6">
              <w:rPr>
                <w:rFonts w:cs="Arial"/>
                <w:bCs/>
              </w:rPr>
              <w:t>Target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39</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41</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43</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45</w:t>
            </w:r>
            <w:r w:rsidRPr="00FD74B6">
              <w:rPr>
                <w:rFonts w:cs="Arial"/>
                <w:bCs/>
              </w:rPr>
              <w:t>%</w:t>
            </w:r>
          </w:p>
        </w:tc>
        <w:tc>
          <w:tcPr>
            <w:tcW w:w="1229"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47</w:t>
            </w:r>
            <w:r w:rsidRPr="00FD74B6">
              <w:rPr>
                <w:rFonts w:cs="Arial"/>
                <w:bCs/>
              </w:rPr>
              <w:t>%</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49%</w:t>
            </w:r>
          </w:p>
        </w:tc>
      </w:tr>
      <w:tr w:rsidR="00EB1E42" w:rsidRPr="00FD74B6" w:rsidTr="00704E41">
        <w:trPr>
          <w:cantSplit/>
          <w:trHeight w:val="288"/>
        </w:trPr>
        <w:tc>
          <w:tcPr>
            <w:tcW w:w="2208"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6b Target</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33%</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31%</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29%</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27%</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23%</w:t>
            </w:r>
          </w:p>
        </w:tc>
      </w:tr>
      <w:tr w:rsidR="00EB1E42" w:rsidRPr="00FD74B6" w:rsidTr="00704E41">
        <w:trPr>
          <w:cantSplit/>
          <w:trHeight w:val="288"/>
        </w:trPr>
        <w:tc>
          <w:tcPr>
            <w:tcW w:w="2208"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6c Target</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w:t>
            </w:r>
          </w:p>
        </w:tc>
        <w:tc>
          <w:tcPr>
            <w:tcW w:w="1229"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3.4%</w:t>
            </w:r>
          </w:p>
        </w:tc>
      </w:tr>
    </w:tbl>
    <w:p w:rsidR="00EB1E42" w:rsidRDefault="00EB1E42" w:rsidP="00EB1E42">
      <w:pPr>
        <w:pStyle w:val="Heading3"/>
      </w:pPr>
      <w:bookmarkStart w:id="104" w:name="_Toc77599083"/>
      <w:bookmarkEnd w:id="103"/>
      <w:r w:rsidRPr="00FD74B6">
        <w:t xml:space="preserve">Preschool Environments </w:t>
      </w:r>
      <w:r>
        <w:t xml:space="preserve">Old </w:t>
      </w:r>
      <w:r w:rsidRPr="00FD74B6">
        <w:t>Targets</w:t>
      </w:r>
      <w:bookmarkEnd w:id="104"/>
      <w:r w:rsidRPr="00FD74B6">
        <w:t xml:space="preserve"> </w:t>
      </w:r>
    </w:p>
    <w:tbl>
      <w:tblPr>
        <w:tblStyle w:val="TableGrid4"/>
        <w:tblW w:w="9840" w:type="dxa"/>
        <w:tblLook w:val="04A0" w:firstRow="1" w:lastRow="0" w:firstColumn="1" w:lastColumn="0" w:noHBand="0" w:noVBand="1"/>
        <w:tblDescription w:val="Indicator 6 Targets and Results"/>
      </w:tblPr>
      <w:tblGrid>
        <w:gridCol w:w="2587"/>
        <w:gridCol w:w="1008"/>
        <w:gridCol w:w="1024"/>
        <w:gridCol w:w="1065"/>
        <w:gridCol w:w="1024"/>
        <w:gridCol w:w="1024"/>
        <w:gridCol w:w="1024"/>
        <w:gridCol w:w="1084"/>
      </w:tblGrid>
      <w:tr w:rsidR="00EB1E42" w:rsidRPr="00FD74B6" w:rsidTr="00704E41">
        <w:trPr>
          <w:cantSplit/>
          <w:trHeight w:val="231"/>
          <w:tblHeader/>
        </w:trPr>
        <w:tc>
          <w:tcPr>
            <w:tcW w:w="258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6</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65"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84"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61"/>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6</w:t>
            </w:r>
            <w:r>
              <w:rPr>
                <w:rFonts w:cs="Arial"/>
                <w:bCs/>
              </w:rPr>
              <w:t>a</w:t>
            </w:r>
            <w:r w:rsidRPr="00FD74B6">
              <w:rPr>
                <w:rFonts w:cs="Arial"/>
                <w:bCs/>
              </w:rPr>
              <w:t xml:space="preserve"> Target</w:t>
            </w: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33.9%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35.9%</w:t>
            </w:r>
          </w:p>
        </w:tc>
        <w:tc>
          <w:tcPr>
            <w:tcW w:w="1084" w:type="dxa"/>
            <w:vAlign w:val="bottom"/>
          </w:tcPr>
          <w:p w:rsidR="00EB1E42" w:rsidRPr="00FD74B6" w:rsidRDefault="00EB1E42" w:rsidP="00704E41">
            <w:pPr>
              <w:widowControl w:val="0"/>
              <w:overflowPunct w:val="0"/>
              <w:autoSpaceDE w:val="0"/>
              <w:autoSpaceDN w:val="0"/>
              <w:adjustRightInd w:val="0"/>
              <w:jc w:val="center"/>
              <w:rPr>
                <w:rFonts w:cs="Arial"/>
                <w:bCs/>
              </w:rPr>
            </w:pPr>
            <w:r>
              <w:rPr>
                <w:rFonts w:cs="Arial"/>
                <w:bCs/>
              </w:rPr>
              <w:t>3</w:t>
            </w:r>
            <w:r w:rsidR="00BD7049">
              <w:rPr>
                <w:rFonts w:cs="Arial"/>
                <w:bCs/>
              </w:rPr>
              <w:t>6</w:t>
            </w:r>
            <w:r>
              <w:rPr>
                <w:rFonts w:cs="Arial"/>
                <w:bCs/>
              </w:rPr>
              <w:t>.9%</w:t>
            </w:r>
          </w:p>
        </w:tc>
      </w:tr>
      <w:tr w:rsidR="00EB1E42" w:rsidRPr="00FD74B6" w:rsidTr="00704E41">
        <w:trPr>
          <w:cantSplit/>
          <w:trHeight w:val="361"/>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6a </w:t>
            </w:r>
            <w:r w:rsidRPr="00FD74B6">
              <w:rPr>
                <w:rFonts w:cs="Arial"/>
                <w:bCs/>
              </w:rPr>
              <w:t>Result</w:t>
            </w: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32.9%</w:t>
            </w:r>
          </w:p>
        </w:tc>
        <w:tc>
          <w:tcPr>
            <w:tcW w:w="1065" w:type="dxa"/>
            <w:shd w:val="clear" w:color="auto" w:fill="auto"/>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44.1%</w:t>
            </w:r>
          </w:p>
        </w:tc>
        <w:tc>
          <w:tcPr>
            <w:tcW w:w="1024" w:type="dxa"/>
            <w:shd w:val="clear" w:color="auto" w:fill="auto"/>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45.1%</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37.3%</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36.5%</w:t>
            </w:r>
          </w:p>
        </w:tc>
        <w:tc>
          <w:tcPr>
            <w:tcW w:w="1084"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34.45%</w:t>
            </w:r>
          </w:p>
        </w:tc>
      </w:tr>
      <w:tr w:rsidR="00EB1E42" w:rsidRPr="00FD74B6" w:rsidTr="00704E41">
        <w:trPr>
          <w:cantSplit/>
          <w:trHeight w:val="287"/>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6a </w:t>
            </w:r>
            <w:r w:rsidRPr="00FD74B6">
              <w:rPr>
                <w:rFonts w:cs="Arial"/>
                <w:bCs/>
              </w:rPr>
              <w:t>Target Met</w:t>
            </w:r>
          </w:p>
        </w:tc>
        <w:tc>
          <w:tcPr>
            <w:tcW w:w="1008" w:type="dxa"/>
            <w:vAlign w:val="bottom"/>
            <w:hideMark/>
          </w:tcPr>
          <w:p w:rsidR="00EB1E42" w:rsidRPr="00FD74B6" w:rsidRDefault="00EB1E42" w:rsidP="00704E41">
            <w:pPr>
              <w:jc w:val="center"/>
              <w:rPr>
                <w:rFonts w:ascii="Calibri" w:hAnsi="Calibri"/>
                <w:sz w:val="22"/>
                <w:szCs w:val="22"/>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Yes</w:t>
            </w:r>
          </w:p>
        </w:tc>
        <w:tc>
          <w:tcPr>
            <w:tcW w:w="1084"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No</w:t>
            </w:r>
          </w:p>
        </w:tc>
      </w:tr>
      <w:tr w:rsidR="00EB1E42" w:rsidRPr="00FD74B6" w:rsidTr="00704E41">
        <w:trPr>
          <w:cantSplit/>
          <w:trHeight w:val="287"/>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6</w:t>
            </w:r>
            <w:r>
              <w:rPr>
                <w:rFonts w:cs="Arial"/>
                <w:bCs/>
              </w:rPr>
              <w:t>b</w:t>
            </w:r>
            <w:r w:rsidRPr="00FD74B6">
              <w:rPr>
                <w:rFonts w:cs="Arial"/>
                <w:bCs/>
              </w:rPr>
              <w:t xml:space="preserve"> Target</w:t>
            </w:r>
          </w:p>
          <w:p w:rsidR="00EB1E42" w:rsidRPr="00FD74B6" w:rsidRDefault="00EB1E42" w:rsidP="00704E41">
            <w:pPr>
              <w:widowControl w:val="0"/>
              <w:overflowPunct w:val="0"/>
              <w:autoSpaceDE w:val="0"/>
              <w:autoSpaceDN w:val="0"/>
              <w:adjustRightInd w:val="0"/>
              <w:jc w:val="center"/>
              <w:rPr>
                <w:rFonts w:cs="Arial"/>
                <w:bCs/>
              </w:rPr>
            </w:pP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33.4%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32.4%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31.4%</w:t>
            </w:r>
          </w:p>
        </w:tc>
        <w:tc>
          <w:tcPr>
            <w:tcW w:w="1084" w:type="dxa"/>
            <w:vAlign w:val="bottom"/>
          </w:tcPr>
          <w:p w:rsidR="00EB1E42" w:rsidRPr="00FD74B6" w:rsidRDefault="00EB1E42" w:rsidP="00704E41">
            <w:pPr>
              <w:widowControl w:val="0"/>
              <w:overflowPunct w:val="0"/>
              <w:autoSpaceDE w:val="0"/>
              <w:autoSpaceDN w:val="0"/>
              <w:adjustRightInd w:val="0"/>
              <w:jc w:val="center"/>
              <w:rPr>
                <w:rFonts w:cs="Arial"/>
                <w:bCs/>
              </w:rPr>
            </w:pPr>
            <w:r>
              <w:rPr>
                <w:rFonts w:cs="Arial"/>
                <w:bCs/>
              </w:rPr>
              <w:t>30.4%</w:t>
            </w:r>
          </w:p>
        </w:tc>
      </w:tr>
      <w:tr w:rsidR="00EB1E42" w:rsidRPr="00FD74B6" w:rsidTr="00704E41">
        <w:trPr>
          <w:cantSplit/>
          <w:trHeight w:val="294"/>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6b </w:t>
            </w:r>
            <w:r w:rsidRPr="00FD74B6">
              <w:rPr>
                <w:rFonts w:cs="Arial"/>
                <w:bCs/>
              </w:rPr>
              <w:t>Result</w:t>
            </w:r>
          </w:p>
        </w:tc>
        <w:tc>
          <w:tcPr>
            <w:tcW w:w="1008"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34.4%</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31.4%</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29.8%</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33.8%</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33.8%</w:t>
            </w:r>
          </w:p>
        </w:tc>
        <w:tc>
          <w:tcPr>
            <w:tcW w:w="1084" w:type="dxa"/>
            <w:vAlign w:val="bottom"/>
          </w:tcPr>
          <w:p w:rsidR="00EB1E42" w:rsidRDefault="00EB1E42" w:rsidP="00704E41">
            <w:pPr>
              <w:widowControl w:val="0"/>
              <w:overflowPunct w:val="0"/>
              <w:autoSpaceDE w:val="0"/>
              <w:autoSpaceDN w:val="0"/>
              <w:adjustRightInd w:val="0"/>
              <w:jc w:val="center"/>
              <w:rPr>
                <w:rFonts w:cs="Arial"/>
                <w:bCs/>
              </w:rPr>
            </w:pPr>
            <w:r>
              <w:rPr>
                <w:rFonts w:cs="Arial"/>
                <w:bCs/>
              </w:rPr>
              <w:t>35.76%</w:t>
            </w:r>
          </w:p>
        </w:tc>
      </w:tr>
      <w:tr w:rsidR="00EB1E42" w:rsidRPr="00FD74B6" w:rsidTr="00704E41">
        <w:trPr>
          <w:cantSplit/>
          <w:trHeight w:val="263"/>
        </w:trPr>
        <w:tc>
          <w:tcPr>
            <w:tcW w:w="2587"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6b </w:t>
            </w:r>
            <w:r w:rsidRPr="00FD74B6">
              <w:rPr>
                <w:rFonts w:cs="Arial"/>
                <w:bCs/>
              </w:rPr>
              <w:t>Target Met</w:t>
            </w:r>
          </w:p>
        </w:tc>
        <w:tc>
          <w:tcPr>
            <w:tcW w:w="1008" w:type="dxa"/>
            <w:vAlign w:val="bottom"/>
            <w:hideMark/>
          </w:tcPr>
          <w:p w:rsidR="00EB1E42" w:rsidRPr="00FD74B6" w:rsidRDefault="00EB1E42" w:rsidP="00704E41">
            <w:pPr>
              <w:jc w:val="center"/>
              <w:rPr>
                <w:rFonts w:ascii="Calibri" w:hAnsi="Calibri"/>
                <w:sz w:val="22"/>
                <w:szCs w:val="22"/>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65"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No</w:t>
            </w:r>
          </w:p>
        </w:tc>
        <w:tc>
          <w:tcPr>
            <w:tcW w:w="1024" w:type="dxa"/>
            <w:vAlign w:val="bottom"/>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w:t>
            </w:r>
            <w:r>
              <w:rPr>
                <w:rFonts w:cs="Arial"/>
                <w:bCs/>
              </w:rPr>
              <w:t>o</w:t>
            </w:r>
          </w:p>
        </w:tc>
        <w:tc>
          <w:tcPr>
            <w:tcW w:w="1084" w:type="dxa"/>
            <w:vAlign w:val="bottom"/>
          </w:tcPr>
          <w:p w:rsidR="00EB1E42" w:rsidRPr="00FD74B6" w:rsidRDefault="00EB1E42" w:rsidP="00704E41">
            <w:pPr>
              <w:widowControl w:val="0"/>
              <w:overflowPunct w:val="0"/>
              <w:autoSpaceDE w:val="0"/>
              <w:autoSpaceDN w:val="0"/>
              <w:adjustRightInd w:val="0"/>
              <w:jc w:val="center"/>
              <w:rPr>
                <w:rFonts w:cs="Arial"/>
                <w:bCs/>
              </w:rPr>
            </w:pPr>
            <w:r>
              <w:rPr>
                <w:rFonts w:cs="Arial"/>
                <w:bCs/>
              </w:rPr>
              <w:t>No</w:t>
            </w:r>
          </w:p>
        </w:tc>
      </w:tr>
    </w:tbl>
    <w:p w:rsidR="00EB1E42" w:rsidRPr="002B623A" w:rsidRDefault="00EB1E42" w:rsidP="00EB1E42"/>
    <w:p w:rsidR="00EB1E42" w:rsidRPr="00FD74B6" w:rsidRDefault="00EB1E42" w:rsidP="00EB1E42">
      <w:pPr>
        <w:pStyle w:val="Heading2"/>
        <w:spacing w:before="9240" w:after="240"/>
        <w:jc w:val="center"/>
      </w:pPr>
      <w:r w:rsidRPr="00FD74B6">
        <w:rPr>
          <w:bCs/>
        </w:rPr>
        <w:lastRenderedPageBreak/>
        <w:t xml:space="preserve">Indicator 7A: </w:t>
      </w:r>
      <w:r w:rsidRPr="00FD74B6">
        <w:t>Preschool Assessment–Positive Social-Emotional Skills</w:t>
      </w:r>
    </w:p>
    <w:p w:rsidR="00EB1E42" w:rsidRPr="00FD74B6" w:rsidRDefault="00EB1E42" w:rsidP="00EB1E42">
      <w:pPr>
        <w:pStyle w:val="Heading3"/>
        <w:spacing w:before="0" w:after="240"/>
      </w:pPr>
      <w:bookmarkStart w:id="105" w:name="_Toc77599085"/>
      <w:r>
        <w:t>Measurement</w:t>
      </w:r>
      <w:bookmarkEnd w:id="105"/>
    </w:p>
    <w:p w:rsidR="00EB1E42" w:rsidRDefault="00EB1E42" w:rsidP="00EB1E42">
      <w:pPr>
        <w:spacing w:after="240"/>
        <w:rPr>
          <w:rFonts w:cs="Arial"/>
        </w:rPr>
      </w:pPr>
      <w:r w:rsidRPr="00FD74B6">
        <w:rPr>
          <w:rFonts w:cs="Arial"/>
        </w:rPr>
        <w:t>Indicator 7A is a performance indicator that measures the percent of children with disabilities who demonstrate improvement in Positive Social-Emotional Skills, including social relationships.</w:t>
      </w:r>
    </w:p>
    <w:p w:rsidR="00EB1E42" w:rsidRDefault="00EB1E42" w:rsidP="00EB1E42">
      <w:pPr>
        <w:spacing w:after="240"/>
        <w:rPr>
          <w:rFonts w:cs="Arial"/>
        </w:rPr>
      </w:pPr>
      <w:r>
        <w:rPr>
          <w:rFonts w:cs="Arial"/>
        </w:rPr>
        <w:t>These are the following progress categories:</w:t>
      </w:r>
    </w:p>
    <w:p w:rsidR="00EB1E42" w:rsidRPr="00FD74B6" w:rsidRDefault="00EB1E42" w:rsidP="00EB1E42">
      <w:pPr>
        <w:numPr>
          <w:ilvl w:val="0"/>
          <w:numId w:val="15"/>
        </w:numPr>
        <w:spacing w:after="240"/>
        <w:rPr>
          <w:rFonts w:cs="Arial"/>
        </w:rPr>
      </w:pPr>
      <w:r w:rsidRPr="00FD74B6">
        <w:rPr>
          <w:rFonts w:cs="Arial"/>
        </w:rPr>
        <w:t>Number of preschool children who did not improve functioning divided by the number of preschool children with IEPs assessed, multiplied by 100.</w:t>
      </w:r>
    </w:p>
    <w:p w:rsidR="00EB1E42" w:rsidRPr="00FD74B6" w:rsidRDefault="00EB1E42" w:rsidP="00EB1E42">
      <w:pPr>
        <w:numPr>
          <w:ilvl w:val="0"/>
          <w:numId w:val="15"/>
        </w:numPr>
        <w:overflowPunct w:val="0"/>
        <w:autoSpaceDE w:val="0"/>
        <w:autoSpaceDN w:val="0"/>
        <w:adjustRightInd w:val="0"/>
        <w:spacing w:after="240"/>
        <w:rPr>
          <w:rFonts w:cs="Arial"/>
          <w:kern w:val="28"/>
        </w:rPr>
      </w:pPr>
      <w:r w:rsidRPr="00FD74B6">
        <w:rPr>
          <w:rFonts w:cs="Arial"/>
          <w:kern w:val="28"/>
        </w:rPr>
        <w:t>Number of preschool children who improved functioning but not sufficient to move nearer to functioning comparable to same-aged peers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Pr="00FD74B6" w:rsidRDefault="00EB1E42" w:rsidP="00EB1E42">
      <w:pPr>
        <w:numPr>
          <w:ilvl w:val="0"/>
          <w:numId w:val="15"/>
        </w:numPr>
        <w:overflowPunct w:val="0"/>
        <w:autoSpaceDE w:val="0"/>
        <w:autoSpaceDN w:val="0"/>
        <w:adjustRightInd w:val="0"/>
        <w:spacing w:after="240"/>
        <w:rPr>
          <w:rFonts w:cs="Arial"/>
          <w:kern w:val="28"/>
        </w:rPr>
      </w:pPr>
      <w:r w:rsidRPr="00FD74B6">
        <w:rPr>
          <w:rFonts w:cs="Arial"/>
          <w:kern w:val="28"/>
        </w:rPr>
        <w:t>Number of preschool children who improved functioning to a level nearer to same-aged peers but did not reach it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Pr="00FD74B6" w:rsidRDefault="00EB1E42" w:rsidP="00EB1E42">
      <w:pPr>
        <w:numPr>
          <w:ilvl w:val="0"/>
          <w:numId w:val="15"/>
        </w:numPr>
        <w:overflowPunct w:val="0"/>
        <w:autoSpaceDE w:val="0"/>
        <w:autoSpaceDN w:val="0"/>
        <w:adjustRightInd w:val="0"/>
        <w:spacing w:after="240"/>
        <w:rPr>
          <w:rFonts w:cs="Arial"/>
          <w:kern w:val="28"/>
        </w:rPr>
      </w:pPr>
      <w:r w:rsidRPr="00FD74B6">
        <w:rPr>
          <w:rFonts w:cs="Arial"/>
          <w:kern w:val="28"/>
        </w:rPr>
        <w:t>Number of preschool children who improved functioning to reach a level comparable to same-aged peers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Pr="00FD74B6" w:rsidRDefault="00EB1E42" w:rsidP="00EB1E42">
      <w:pPr>
        <w:numPr>
          <w:ilvl w:val="0"/>
          <w:numId w:val="15"/>
        </w:numPr>
        <w:overflowPunct w:val="0"/>
        <w:autoSpaceDE w:val="0"/>
        <w:autoSpaceDN w:val="0"/>
        <w:adjustRightInd w:val="0"/>
        <w:spacing w:after="240"/>
        <w:rPr>
          <w:rFonts w:cs="Arial"/>
          <w:color w:val="000000"/>
          <w:kern w:val="28"/>
        </w:rPr>
      </w:pPr>
      <w:r w:rsidRPr="00FD74B6">
        <w:rPr>
          <w:rFonts w:cs="Arial"/>
          <w:kern w:val="28"/>
        </w:rPr>
        <w:t>Number of preschool children who maintained functioning at a level comparable to same-aged peers divided by the number of preschool children with IEPs assessed</w:t>
      </w:r>
      <w:r w:rsidRPr="00FD74B6">
        <w:rPr>
          <w:rFonts w:cs="Arial"/>
          <w:color w:val="000000"/>
          <w:kern w:val="28"/>
        </w:rPr>
        <w:t xml:space="preserve">, multiplied by </w:t>
      </w:r>
      <w:r w:rsidRPr="00FD74B6">
        <w:rPr>
          <w:rFonts w:cs="Arial"/>
          <w:kern w:val="28"/>
        </w:rPr>
        <w:t>100.</w:t>
      </w:r>
    </w:p>
    <w:p w:rsidR="00EB1E42" w:rsidRDefault="00EB1E42" w:rsidP="00EB1E42">
      <w:pPr>
        <w:pStyle w:val="Heading3"/>
        <w:spacing w:before="0" w:after="240"/>
      </w:pPr>
      <w:bookmarkStart w:id="106" w:name="_Toc77599086"/>
      <w:r>
        <w:t>Notable Change(s)</w:t>
      </w:r>
      <w:bookmarkEnd w:id="106"/>
    </w:p>
    <w:p w:rsidR="00EB1E42" w:rsidRPr="00375AB7" w:rsidRDefault="00EB1E42" w:rsidP="00EB1E42">
      <w:r>
        <w:t>OSEP made no changes to this indicator.</w:t>
      </w:r>
    </w:p>
    <w:p w:rsidR="00EB1E42" w:rsidRPr="00375AB7" w:rsidRDefault="00EB1E42" w:rsidP="00EB1E42"/>
    <w:p w:rsidR="00EB1E42" w:rsidRDefault="00EB1E42" w:rsidP="00EB1E42">
      <w:pPr>
        <w:pStyle w:val="Heading3"/>
        <w:spacing w:before="0" w:after="240"/>
      </w:pPr>
      <w:bookmarkStart w:id="107" w:name="_Toc77599087"/>
      <w:r>
        <w:t>Stakeholder Feedback</w:t>
      </w:r>
      <w:bookmarkEnd w:id="107"/>
    </w:p>
    <w:p w:rsidR="00EB1E42" w:rsidRDefault="00EB1E42" w:rsidP="00EB1E42">
      <w:r>
        <w:t>Overall the stakeholders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p w:rsidR="00EB1E42" w:rsidRDefault="00EB1E42" w:rsidP="00EB1E42">
      <w:pPr>
        <w:pStyle w:val="Heading3"/>
        <w:rPr>
          <w:bCs/>
        </w:rPr>
      </w:pPr>
      <w:bookmarkStart w:id="108" w:name="_Toc77599088"/>
      <w:r w:rsidRPr="00FD74B6">
        <w:t xml:space="preserve">Preschool Outcomes–Positive Social-Emotional Skills </w:t>
      </w:r>
      <w:r>
        <w:t xml:space="preserve">New </w:t>
      </w:r>
      <w:r w:rsidRPr="00FD74B6">
        <w:rPr>
          <w:bCs/>
        </w:rPr>
        <w:t>Targets</w:t>
      </w:r>
      <w:bookmarkEnd w:id="108"/>
      <w:r w:rsidRPr="00FD74B6">
        <w:rPr>
          <w:bCs/>
        </w:rPr>
        <w:t xml:space="preserve"> </w:t>
      </w:r>
    </w:p>
    <w:tbl>
      <w:tblPr>
        <w:tblStyle w:val="TableGrid1"/>
        <w:tblW w:w="9921" w:type="dxa"/>
        <w:tblLook w:val="04A0" w:firstRow="1" w:lastRow="0" w:firstColumn="1" w:lastColumn="0" w:noHBand="0" w:noVBand="1"/>
        <w:tblDescription w:val="Indicator 4A Targets and Results"/>
      </w:tblPr>
      <w:tblGrid>
        <w:gridCol w:w="2133"/>
        <w:gridCol w:w="1320"/>
        <w:gridCol w:w="1320"/>
        <w:gridCol w:w="1320"/>
        <w:gridCol w:w="1320"/>
        <w:gridCol w:w="1320"/>
        <w:gridCol w:w="1188"/>
      </w:tblGrid>
      <w:tr w:rsidR="00EB1E42" w:rsidRPr="00FD74B6" w:rsidTr="00704E41">
        <w:trPr>
          <w:cantSplit/>
          <w:trHeight w:val="305"/>
          <w:tblHeader/>
        </w:trPr>
        <w:tc>
          <w:tcPr>
            <w:tcW w:w="2133" w:type="dxa"/>
            <w:hideMark/>
          </w:tcPr>
          <w:p w:rsidR="00EB1E42" w:rsidRPr="00FD74B6" w:rsidRDefault="00EB1E42" w:rsidP="00704E41">
            <w:pPr>
              <w:widowControl w:val="0"/>
              <w:overflowPunct w:val="0"/>
              <w:autoSpaceDE w:val="0"/>
              <w:autoSpaceDN w:val="0"/>
              <w:adjustRightInd w:val="0"/>
              <w:jc w:val="center"/>
              <w:rPr>
                <w:rFonts w:cs="Arial"/>
                <w:b/>
                <w:bCs/>
              </w:rPr>
            </w:pPr>
            <w:bookmarkStart w:id="109" w:name="_Hlk24705442"/>
            <w:r w:rsidRPr="00FD74B6">
              <w:rPr>
                <w:rFonts w:cs="Arial"/>
                <w:b/>
                <w:bCs/>
              </w:rPr>
              <w:t xml:space="preserve">Indicator </w:t>
            </w:r>
            <w:r>
              <w:rPr>
                <w:rFonts w:cs="Arial"/>
                <w:b/>
                <w:bCs/>
              </w:rPr>
              <w:t>7a</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320"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88"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305"/>
        </w:trPr>
        <w:tc>
          <w:tcPr>
            <w:tcW w:w="2133"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7a1 </w:t>
            </w:r>
            <w:r w:rsidRPr="00FD74B6">
              <w:rPr>
                <w:rFonts w:cs="Arial"/>
                <w:bCs/>
              </w:rPr>
              <w:t>Target</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76%</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77</w:t>
            </w:r>
            <w:r w:rsidRPr="00FD74B6">
              <w:rPr>
                <w:rFonts w:cs="Arial"/>
                <w:bCs/>
              </w:rPr>
              <w:t>%</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78</w:t>
            </w:r>
            <w:r w:rsidRPr="00FD74B6">
              <w:rPr>
                <w:rFonts w:cs="Arial"/>
                <w:bCs/>
              </w:rPr>
              <w:t>%</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79%</w:t>
            </w:r>
          </w:p>
        </w:tc>
        <w:tc>
          <w:tcPr>
            <w:tcW w:w="132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80</w:t>
            </w:r>
            <w:r w:rsidRPr="00FD74B6">
              <w:rPr>
                <w:rFonts w:cs="Arial"/>
                <w:bCs/>
              </w:rPr>
              <w:t>%</w:t>
            </w:r>
          </w:p>
        </w:tc>
        <w:tc>
          <w:tcPr>
            <w:tcW w:w="1188" w:type="dxa"/>
          </w:tcPr>
          <w:p w:rsidR="00EB1E42" w:rsidRDefault="00EB1E42" w:rsidP="00704E41">
            <w:pPr>
              <w:widowControl w:val="0"/>
              <w:overflowPunct w:val="0"/>
              <w:autoSpaceDE w:val="0"/>
              <w:autoSpaceDN w:val="0"/>
              <w:adjustRightInd w:val="0"/>
              <w:jc w:val="center"/>
              <w:rPr>
                <w:rFonts w:cs="Arial"/>
                <w:bCs/>
              </w:rPr>
            </w:pPr>
            <w:r>
              <w:rPr>
                <w:rFonts w:cs="Arial"/>
                <w:bCs/>
              </w:rPr>
              <w:t>81</w:t>
            </w:r>
            <w:r w:rsidRPr="00FD74B6">
              <w:rPr>
                <w:rFonts w:cs="Arial"/>
                <w:bCs/>
              </w:rPr>
              <w:t>%</w:t>
            </w:r>
          </w:p>
        </w:tc>
      </w:tr>
      <w:tr w:rsidR="00EB1E42" w:rsidRPr="00FD74B6" w:rsidTr="00704E41">
        <w:trPr>
          <w:cantSplit/>
          <w:trHeight w:val="305"/>
        </w:trPr>
        <w:tc>
          <w:tcPr>
            <w:tcW w:w="2133" w:type="dxa"/>
          </w:tcPr>
          <w:p w:rsidR="00EB1E42" w:rsidRDefault="00EB1E42" w:rsidP="00704E41">
            <w:pPr>
              <w:widowControl w:val="0"/>
              <w:overflowPunct w:val="0"/>
              <w:autoSpaceDE w:val="0"/>
              <w:autoSpaceDN w:val="0"/>
              <w:adjustRightInd w:val="0"/>
              <w:jc w:val="center"/>
              <w:rPr>
                <w:rFonts w:cs="Arial"/>
                <w:bCs/>
              </w:rPr>
            </w:pPr>
            <w:r>
              <w:rPr>
                <w:rFonts w:cs="Arial"/>
                <w:bCs/>
              </w:rPr>
              <w:t>7a2 Target</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79%</w:t>
            </w:r>
          </w:p>
        </w:tc>
        <w:tc>
          <w:tcPr>
            <w:tcW w:w="1320" w:type="dxa"/>
          </w:tcPr>
          <w:p w:rsidR="00EB1E42" w:rsidRDefault="00EB1E42" w:rsidP="00704E41">
            <w:pPr>
              <w:widowControl w:val="0"/>
              <w:overflowPunct w:val="0"/>
              <w:autoSpaceDE w:val="0"/>
              <w:autoSpaceDN w:val="0"/>
              <w:adjustRightInd w:val="0"/>
              <w:jc w:val="center"/>
              <w:rPr>
                <w:rFonts w:cs="Arial"/>
                <w:bCs/>
              </w:rPr>
            </w:pPr>
            <w:r>
              <w:rPr>
                <w:rFonts w:cs="Arial"/>
                <w:bCs/>
              </w:rPr>
              <w:t>80%</w:t>
            </w:r>
          </w:p>
        </w:tc>
        <w:tc>
          <w:tcPr>
            <w:tcW w:w="1188"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bookmarkEnd w:id="109"/>
    </w:tbl>
    <w:p w:rsidR="00EB1E42" w:rsidRPr="00295A33" w:rsidRDefault="00EB1E42" w:rsidP="00EB1E42"/>
    <w:p w:rsidR="00EB1E42" w:rsidRPr="00FD74B6" w:rsidRDefault="00EB1E42" w:rsidP="00EB1E42">
      <w:pPr>
        <w:pStyle w:val="Heading3"/>
      </w:pPr>
      <w:bookmarkStart w:id="110" w:name="_Toc77599089"/>
      <w:r w:rsidRPr="00FD74B6">
        <w:lastRenderedPageBreak/>
        <w:t xml:space="preserve">Preschool Outcomes–Positive Social-Emotional Skills </w:t>
      </w:r>
      <w:r>
        <w:t xml:space="preserve">Old </w:t>
      </w:r>
      <w:r w:rsidRPr="00FD74B6">
        <w:rPr>
          <w:bCs/>
        </w:rPr>
        <w:t>Targets</w:t>
      </w:r>
      <w:bookmarkEnd w:id="110"/>
      <w:r w:rsidRPr="00FD74B6">
        <w:rPr>
          <w:bCs/>
        </w:rPr>
        <w:t xml:space="preserve"> </w:t>
      </w:r>
    </w:p>
    <w:tbl>
      <w:tblPr>
        <w:tblStyle w:val="TableGrid5"/>
        <w:tblW w:w="10255" w:type="dxa"/>
        <w:tblLook w:val="04A0" w:firstRow="1" w:lastRow="0" w:firstColumn="1" w:lastColumn="0" w:noHBand="0" w:noVBand="1"/>
        <w:tblDescription w:val="Indicator 7A Targets and Results"/>
      </w:tblPr>
      <w:tblGrid>
        <w:gridCol w:w="1435"/>
        <w:gridCol w:w="1170"/>
        <w:gridCol w:w="1350"/>
        <w:gridCol w:w="1350"/>
        <w:gridCol w:w="1350"/>
        <w:gridCol w:w="1170"/>
        <w:gridCol w:w="1260"/>
        <w:gridCol w:w="1170"/>
      </w:tblGrid>
      <w:tr w:rsidR="00EB1E42" w:rsidRPr="00FD74B6" w:rsidTr="00704E41">
        <w:trPr>
          <w:cantSplit/>
          <w:tblHeader/>
        </w:trPr>
        <w:tc>
          <w:tcPr>
            <w:tcW w:w="1435"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Indicator 7A</w:t>
            </w:r>
          </w:p>
        </w:tc>
        <w:tc>
          <w:tcPr>
            <w:tcW w:w="117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2013</w:t>
            </w:r>
          </w:p>
        </w:tc>
        <w:tc>
          <w:tcPr>
            <w:tcW w:w="135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2014</w:t>
            </w:r>
          </w:p>
        </w:tc>
        <w:tc>
          <w:tcPr>
            <w:tcW w:w="135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2015</w:t>
            </w:r>
          </w:p>
        </w:tc>
        <w:tc>
          <w:tcPr>
            <w:tcW w:w="135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2016*</w:t>
            </w:r>
          </w:p>
        </w:tc>
        <w:tc>
          <w:tcPr>
            <w:tcW w:w="117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2017</w:t>
            </w:r>
          </w:p>
        </w:tc>
        <w:tc>
          <w:tcPr>
            <w:tcW w:w="1260" w:type="dxa"/>
            <w:hideMark/>
          </w:tcPr>
          <w:p w:rsidR="00EB1E42" w:rsidRPr="000E0698" w:rsidRDefault="00EB1E42" w:rsidP="00704E41">
            <w:pPr>
              <w:widowControl w:val="0"/>
              <w:overflowPunct w:val="0"/>
              <w:autoSpaceDE w:val="0"/>
              <w:autoSpaceDN w:val="0"/>
              <w:adjustRightInd w:val="0"/>
              <w:jc w:val="center"/>
              <w:rPr>
                <w:rFonts w:cs="Arial"/>
                <w:b/>
                <w:bCs/>
              </w:rPr>
            </w:pPr>
            <w:r w:rsidRPr="000E0698">
              <w:rPr>
                <w:rFonts w:cs="Arial"/>
                <w:b/>
                <w:bCs/>
              </w:rPr>
              <w:t>2018</w:t>
            </w:r>
          </w:p>
        </w:tc>
        <w:tc>
          <w:tcPr>
            <w:tcW w:w="1170" w:type="dxa"/>
          </w:tcPr>
          <w:p w:rsidR="00EB1E42" w:rsidRPr="000E0698"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800"/>
        </w:trPr>
        <w:tc>
          <w:tcPr>
            <w:tcW w:w="1435" w:type="dxa"/>
            <w:hideMark/>
          </w:tcPr>
          <w:p w:rsidR="00EB1E42" w:rsidRPr="000E0698" w:rsidRDefault="00EB1E42" w:rsidP="00704E41">
            <w:pPr>
              <w:widowControl w:val="0"/>
              <w:overflowPunct w:val="0"/>
              <w:autoSpaceDE w:val="0"/>
              <w:autoSpaceDN w:val="0"/>
              <w:adjustRightInd w:val="0"/>
              <w:jc w:val="center"/>
              <w:rPr>
                <w:rFonts w:cs="Arial"/>
                <w:bCs/>
              </w:rPr>
            </w:pPr>
            <w:r w:rsidRPr="000E0698">
              <w:rPr>
                <w:rFonts w:cs="Arial"/>
                <w:bCs/>
              </w:rPr>
              <w:t>Target</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Pr>
                <w:rFonts w:cs="Arial"/>
                <w:kern w:val="28"/>
              </w:rPr>
              <w:t>72.7%</w:t>
            </w:r>
            <w:r w:rsidRPr="000E0698">
              <w:rPr>
                <w:rFonts w:cs="Arial"/>
                <w:kern w:val="28"/>
              </w:rPr>
              <w:t>/</w:t>
            </w:r>
          </w:p>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82.1%</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Pr>
                <w:rFonts w:cs="Arial"/>
                <w:kern w:val="28"/>
              </w:rPr>
              <w:t>72.7%</w:t>
            </w:r>
            <w:r w:rsidRPr="000E0698">
              <w:rPr>
                <w:rFonts w:cs="Arial"/>
                <w:kern w:val="28"/>
              </w:rPr>
              <w:t>/ 82.1%</w:t>
            </w:r>
          </w:p>
        </w:tc>
        <w:tc>
          <w:tcPr>
            <w:tcW w:w="1350" w:type="dxa"/>
            <w:hideMark/>
          </w:tcPr>
          <w:p w:rsidR="00EB1E42" w:rsidRPr="000E0698" w:rsidRDefault="005004A5" w:rsidP="00704E41">
            <w:pPr>
              <w:widowControl w:val="0"/>
              <w:overflowPunct w:val="0"/>
              <w:autoSpaceDE w:val="0"/>
              <w:autoSpaceDN w:val="0"/>
              <w:adjustRightInd w:val="0"/>
              <w:jc w:val="center"/>
              <w:rPr>
                <w:rFonts w:cs="Arial"/>
                <w:kern w:val="28"/>
              </w:rPr>
            </w:pPr>
            <w:r w:rsidRPr="005C5997">
              <w:rPr>
                <w:rFonts w:cs="Arial"/>
                <w:kern w:val="28"/>
              </w:rPr>
              <w:t>72.7%/ 82.1%</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82.2%/ 78.5%</w:t>
            </w:r>
          </w:p>
        </w:tc>
        <w:tc>
          <w:tcPr>
            <w:tcW w:w="1170" w:type="dxa"/>
            <w:hideMark/>
          </w:tcPr>
          <w:p w:rsidR="00EB1E42" w:rsidRPr="000E0698" w:rsidRDefault="00EB1E42" w:rsidP="00704E41">
            <w:pPr>
              <w:widowControl w:val="0"/>
              <w:overflowPunct w:val="0"/>
              <w:autoSpaceDE w:val="0"/>
              <w:autoSpaceDN w:val="0"/>
              <w:adjustRightInd w:val="0"/>
              <w:jc w:val="center"/>
              <w:rPr>
                <w:rFonts w:cs="Arial"/>
                <w:bCs/>
                <w:kern w:val="28"/>
              </w:rPr>
            </w:pPr>
            <w:r w:rsidRPr="000E0698">
              <w:rPr>
                <w:rFonts w:cs="Arial"/>
                <w:bCs/>
                <w:kern w:val="28"/>
              </w:rPr>
              <w:t>83.2%/</w:t>
            </w:r>
          </w:p>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 xml:space="preserve"> 79.5%</w:t>
            </w:r>
          </w:p>
        </w:tc>
        <w:tc>
          <w:tcPr>
            <w:tcW w:w="126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84.2%/ 80.5%</w:t>
            </w:r>
          </w:p>
        </w:tc>
        <w:tc>
          <w:tcPr>
            <w:tcW w:w="1170" w:type="dxa"/>
          </w:tcPr>
          <w:p w:rsidR="00EB1E42" w:rsidRPr="000E0698" w:rsidRDefault="00EB1E42" w:rsidP="00704E41">
            <w:pPr>
              <w:widowControl w:val="0"/>
              <w:overflowPunct w:val="0"/>
              <w:autoSpaceDE w:val="0"/>
              <w:autoSpaceDN w:val="0"/>
              <w:adjustRightInd w:val="0"/>
              <w:jc w:val="center"/>
              <w:rPr>
                <w:rFonts w:cs="Arial"/>
                <w:bCs/>
                <w:kern w:val="28"/>
              </w:rPr>
            </w:pPr>
            <w:r w:rsidRPr="000E0698">
              <w:rPr>
                <w:rFonts w:cs="Arial"/>
                <w:bCs/>
                <w:kern w:val="28"/>
              </w:rPr>
              <w:t>8</w:t>
            </w:r>
            <w:r>
              <w:rPr>
                <w:rFonts w:cs="Arial"/>
                <w:bCs/>
                <w:kern w:val="28"/>
              </w:rPr>
              <w:t>5</w:t>
            </w:r>
            <w:r w:rsidRPr="000E0698">
              <w:rPr>
                <w:rFonts w:cs="Arial"/>
                <w:bCs/>
                <w:kern w:val="28"/>
              </w:rPr>
              <w:t>.2%/ 8</w:t>
            </w:r>
            <w:r>
              <w:rPr>
                <w:rFonts w:cs="Arial"/>
                <w:bCs/>
                <w:kern w:val="28"/>
              </w:rPr>
              <w:t>1</w:t>
            </w:r>
            <w:r w:rsidRPr="000E0698">
              <w:rPr>
                <w:rFonts w:cs="Arial"/>
                <w:bCs/>
                <w:kern w:val="28"/>
              </w:rPr>
              <w:t>.5%</w:t>
            </w:r>
          </w:p>
        </w:tc>
      </w:tr>
      <w:tr w:rsidR="00EB1E42" w:rsidRPr="00FD74B6" w:rsidTr="00704E41">
        <w:trPr>
          <w:cantSplit/>
          <w:trHeight w:val="710"/>
        </w:trPr>
        <w:tc>
          <w:tcPr>
            <w:tcW w:w="1435" w:type="dxa"/>
            <w:hideMark/>
          </w:tcPr>
          <w:p w:rsidR="00EB1E42" w:rsidRPr="000E0698" w:rsidRDefault="00EB1E42" w:rsidP="00704E41">
            <w:pPr>
              <w:widowControl w:val="0"/>
              <w:overflowPunct w:val="0"/>
              <w:autoSpaceDE w:val="0"/>
              <w:autoSpaceDN w:val="0"/>
              <w:adjustRightInd w:val="0"/>
              <w:jc w:val="center"/>
              <w:rPr>
                <w:rFonts w:cs="Arial"/>
                <w:bCs/>
              </w:rPr>
            </w:pPr>
            <w:r w:rsidRPr="000E0698">
              <w:rPr>
                <w:rFonts w:cs="Arial"/>
                <w:bCs/>
              </w:rPr>
              <w:t>Result</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59.4%/</w:t>
            </w:r>
            <w:r w:rsidRPr="000E0698">
              <w:rPr>
                <w:rFonts w:cs="Arial"/>
                <w:kern w:val="28"/>
              </w:rPr>
              <w:br/>
              <w:t>60.8%</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60.9%/</w:t>
            </w:r>
            <w:r w:rsidRPr="000E0698">
              <w:rPr>
                <w:rFonts w:cs="Arial"/>
                <w:kern w:val="28"/>
              </w:rPr>
              <w:br/>
              <w:t>60.3%</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67.6%/</w:t>
            </w:r>
            <w:r w:rsidRPr="000E0698">
              <w:rPr>
                <w:rFonts w:cs="Arial"/>
                <w:kern w:val="28"/>
              </w:rPr>
              <w:br/>
              <w:t>72.5%</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82.2%/ 78.5%</w:t>
            </w:r>
          </w:p>
        </w:tc>
        <w:tc>
          <w:tcPr>
            <w:tcW w:w="1170" w:type="dxa"/>
            <w:hideMark/>
          </w:tcPr>
          <w:p w:rsidR="00EB1E42" w:rsidRPr="000E0698" w:rsidRDefault="00EB1E42" w:rsidP="00704E41">
            <w:pPr>
              <w:widowControl w:val="0"/>
              <w:overflowPunct w:val="0"/>
              <w:autoSpaceDE w:val="0"/>
              <w:autoSpaceDN w:val="0"/>
              <w:adjustRightInd w:val="0"/>
              <w:jc w:val="center"/>
              <w:rPr>
                <w:rFonts w:cs="Arial"/>
                <w:bCs/>
                <w:kern w:val="28"/>
              </w:rPr>
            </w:pPr>
            <w:r w:rsidRPr="000E0698">
              <w:rPr>
                <w:rFonts w:cs="Arial"/>
                <w:bCs/>
                <w:kern w:val="28"/>
              </w:rPr>
              <w:t>76.7%/</w:t>
            </w:r>
          </w:p>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77.6%</w:t>
            </w:r>
          </w:p>
        </w:tc>
        <w:tc>
          <w:tcPr>
            <w:tcW w:w="1260" w:type="dxa"/>
            <w:hideMark/>
          </w:tcPr>
          <w:p w:rsidR="00EB1E42" w:rsidRDefault="00EB1E42" w:rsidP="00704E41">
            <w:pPr>
              <w:widowControl w:val="0"/>
              <w:overflowPunct w:val="0"/>
              <w:autoSpaceDE w:val="0"/>
              <w:autoSpaceDN w:val="0"/>
              <w:adjustRightInd w:val="0"/>
              <w:jc w:val="center"/>
              <w:rPr>
                <w:rFonts w:cs="Arial"/>
                <w:bCs/>
                <w:kern w:val="28"/>
              </w:rPr>
            </w:pPr>
            <w:r>
              <w:rPr>
                <w:rFonts w:cs="Arial"/>
                <w:bCs/>
                <w:kern w:val="28"/>
              </w:rPr>
              <w:t>76.0%/</w:t>
            </w:r>
          </w:p>
          <w:p w:rsidR="00EB1E42" w:rsidRPr="000E0698" w:rsidRDefault="00EB1E42" w:rsidP="00704E41">
            <w:pPr>
              <w:widowControl w:val="0"/>
              <w:overflowPunct w:val="0"/>
              <w:autoSpaceDE w:val="0"/>
              <w:autoSpaceDN w:val="0"/>
              <w:adjustRightInd w:val="0"/>
              <w:jc w:val="center"/>
              <w:rPr>
                <w:rFonts w:cs="Arial"/>
                <w:kern w:val="28"/>
              </w:rPr>
            </w:pPr>
            <w:r>
              <w:rPr>
                <w:rFonts w:cs="Arial"/>
                <w:bCs/>
                <w:kern w:val="28"/>
              </w:rPr>
              <w:t>76.7%</w:t>
            </w:r>
          </w:p>
        </w:tc>
        <w:tc>
          <w:tcPr>
            <w:tcW w:w="1170" w:type="dxa"/>
          </w:tcPr>
          <w:p w:rsidR="00EB1E42" w:rsidRDefault="00EB1E42" w:rsidP="00704E41">
            <w:pPr>
              <w:widowControl w:val="0"/>
              <w:overflowPunct w:val="0"/>
              <w:autoSpaceDE w:val="0"/>
              <w:autoSpaceDN w:val="0"/>
              <w:adjustRightInd w:val="0"/>
              <w:jc w:val="center"/>
              <w:rPr>
                <w:rFonts w:cs="Arial"/>
                <w:szCs w:val="20"/>
              </w:rPr>
            </w:pPr>
            <w:r w:rsidRPr="006C3AEA">
              <w:rPr>
                <w:rFonts w:cs="Arial"/>
                <w:szCs w:val="20"/>
              </w:rPr>
              <w:t>79.5%/</w:t>
            </w:r>
          </w:p>
          <w:p w:rsidR="00EB1E42" w:rsidRPr="006C3AEA" w:rsidRDefault="00EB1E42" w:rsidP="00704E41">
            <w:pPr>
              <w:widowControl w:val="0"/>
              <w:overflowPunct w:val="0"/>
              <w:autoSpaceDE w:val="0"/>
              <w:autoSpaceDN w:val="0"/>
              <w:adjustRightInd w:val="0"/>
              <w:jc w:val="center"/>
              <w:rPr>
                <w:rFonts w:cs="Arial"/>
                <w:bCs/>
                <w:kern w:val="28"/>
              </w:rPr>
            </w:pPr>
            <w:r w:rsidRPr="006C3AEA">
              <w:rPr>
                <w:rFonts w:cs="Arial"/>
                <w:szCs w:val="20"/>
              </w:rPr>
              <w:t>76.8%</w:t>
            </w:r>
          </w:p>
        </w:tc>
      </w:tr>
      <w:tr w:rsidR="00EB1E42" w:rsidRPr="00FD74B6" w:rsidTr="00704E41">
        <w:trPr>
          <w:cantSplit/>
        </w:trPr>
        <w:tc>
          <w:tcPr>
            <w:tcW w:w="1435" w:type="dxa"/>
            <w:hideMark/>
          </w:tcPr>
          <w:p w:rsidR="00EB1E42" w:rsidRPr="000E0698" w:rsidRDefault="00EB1E42" w:rsidP="00704E41">
            <w:pPr>
              <w:widowControl w:val="0"/>
              <w:overflowPunct w:val="0"/>
              <w:autoSpaceDE w:val="0"/>
              <w:autoSpaceDN w:val="0"/>
              <w:adjustRightInd w:val="0"/>
              <w:jc w:val="center"/>
              <w:rPr>
                <w:rFonts w:cs="Arial"/>
                <w:bCs/>
              </w:rPr>
            </w:pPr>
            <w:r w:rsidRPr="000E0698">
              <w:rPr>
                <w:rFonts w:cs="Arial"/>
                <w:bCs/>
              </w:rPr>
              <w:t>Target Met</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Yes</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No</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kern w:val="28"/>
              </w:rPr>
              <w:t>Yes</w:t>
            </w:r>
          </w:p>
        </w:tc>
        <w:tc>
          <w:tcPr>
            <w:tcW w:w="135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Yes</w:t>
            </w:r>
          </w:p>
        </w:tc>
        <w:tc>
          <w:tcPr>
            <w:tcW w:w="1170" w:type="dxa"/>
            <w:hideMark/>
          </w:tcPr>
          <w:p w:rsidR="00EB1E42" w:rsidRPr="000E0698" w:rsidRDefault="00EB1E42" w:rsidP="00704E41">
            <w:pPr>
              <w:widowControl w:val="0"/>
              <w:overflowPunct w:val="0"/>
              <w:autoSpaceDE w:val="0"/>
              <w:autoSpaceDN w:val="0"/>
              <w:adjustRightInd w:val="0"/>
              <w:jc w:val="center"/>
              <w:rPr>
                <w:rFonts w:cs="Arial"/>
                <w:kern w:val="28"/>
              </w:rPr>
            </w:pPr>
            <w:r w:rsidRPr="000E0698">
              <w:rPr>
                <w:rFonts w:cs="Arial"/>
                <w:bCs/>
                <w:kern w:val="28"/>
              </w:rPr>
              <w:t>No</w:t>
            </w:r>
          </w:p>
        </w:tc>
        <w:tc>
          <w:tcPr>
            <w:tcW w:w="1260" w:type="dxa"/>
            <w:hideMark/>
          </w:tcPr>
          <w:p w:rsidR="00EB1E42" w:rsidRPr="000E0698" w:rsidRDefault="00EB1E42" w:rsidP="00704E41">
            <w:pPr>
              <w:widowControl w:val="0"/>
              <w:overflowPunct w:val="0"/>
              <w:autoSpaceDE w:val="0"/>
              <w:autoSpaceDN w:val="0"/>
              <w:adjustRightInd w:val="0"/>
              <w:jc w:val="center"/>
              <w:rPr>
                <w:rFonts w:cs="Arial"/>
                <w:kern w:val="28"/>
              </w:rPr>
            </w:pPr>
            <w:r>
              <w:rPr>
                <w:rFonts w:cs="Arial"/>
                <w:bCs/>
                <w:kern w:val="28"/>
              </w:rPr>
              <w:t>No</w:t>
            </w:r>
          </w:p>
        </w:tc>
        <w:tc>
          <w:tcPr>
            <w:tcW w:w="1170" w:type="dxa"/>
          </w:tcPr>
          <w:p w:rsidR="00EB1E42" w:rsidRDefault="00EB1E42" w:rsidP="00704E41">
            <w:pPr>
              <w:widowControl w:val="0"/>
              <w:overflowPunct w:val="0"/>
              <w:autoSpaceDE w:val="0"/>
              <w:autoSpaceDN w:val="0"/>
              <w:adjustRightInd w:val="0"/>
              <w:jc w:val="center"/>
              <w:rPr>
                <w:rFonts w:cs="Arial"/>
                <w:bCs/>
                <w:kern w:val="28"/>
              </w:rPr>
            </w:pPr>
            <w:r>
              <w:rPr>
                <w:rFonts w:cs="Arial"/>
                <w:bCs/>
                <w:kern w:val="28"/>
              </w:rPr>
              <w:t>No</w:t>
            </w:r>
          </w:p>
        </w:tc>
      </w:tr>
    </w:tbl>
    <w:p w:rsidR="00EB1E42" w:rsidRDefault="00EB1E42" w:rsidP="00EB1E42">
      <w:pPr>
        <w:spacing w:before="120"/>
        <w:rPr>
          <w:rFonts w:cs="Arial"/>
          <w:bCs/>
        </w:rPr>
      </w:pPr>
      <w:r w:rsidRPr="00FD74B6">
        <w:rPr>
          <w:rFonts w:cs="Arial"/>
          <w:bCs/>
        </w:rPr>
        <w:t>*Targets were changed this year</w:t>
      </w:r>
    </w:p>
    <w:p w:rsidR="00EB1E42" w:rsidRDefault="00EB1E42" w:rsidP="00EB1E42">
      <w:pPr>
        <w:spacing w:before="6120"/>
      </w:pPr>
      <w:r>
        <w:br w:type="page"/>
      </w:r>
    </w:p>
    <w:p w:rsidR="00EB1E42" w:rsidRPr="00FD74B6" w:rsidRDefault="00EB1E42" w:rsidP="00EB1E42">
      <w:pPr>
        <w:pStyle w:val="Heading2"/>
        <w:spacing w:before="1080" w:after="240"/>
        <w:jc w:val="center"/>
      </w:pPr>
      <w:bookmarkStart w:id="111" w:name="_Toc77599090"/>
      <w:r w:rsidRPr="00FD74B6">
        <w:rPr>
          <w:bCs/>
        </w:rPr>
        <w:lastRenderedPageBreak/>
        <w:t xml:space="preserve">Indicator 7B: </w:t>
      </w:r>
      <w:r w:rsidRPr="00FD74B6">
        <w:t>Preschool Assessment–Acquisition</w:t>
      </w:r>
      <w:r>
        <w:t xml:space="preserve"> and </w:t>
      </w:r>
      <w:r w:rsidRPr="00FD74B6">
        <w:t>Use of Knowledge and Skills</w:t>
      </w:r>
      <w:bookmarkEnd w:id="111"/>
    </w:p>
    <w:p w:rsidR="00EB1E42" w:rsidRPr="00FD74B6" w:rsidRDefault="00EB1E42" w:rsidP="00EB1E42">
      <w:pPr>
        <w:pStyle w:val="Heading3"/>
        <w:spacing w:before="0" w:after="240"/>
      </w:pPr>
      <w:bookmarkStart w:id="112" w:name="_Toc77599091"/>
      <w:r>
        <w:t>Measurement</w:t>
      </w:r>
      <w:bookmarkEnd w:id="112"/>
    </w:p>
    <w:p w:rsidR="00EB1E42" w:rsidRDefault="00EB1E42" w:rsidP="00EB1E42">
      <w:pPr>
        <w:spacing w:after="240"/>
        <w:rPr>
          <w:rFonts w:cs="Arial"/>
        </w:rPr>
      </w:pPr>
      <w:r w:rsidRPr="00FD74B6">
        <w:rPr>
          <w:rFonts w:cs="Arial"/>
        </w:rPr>
        <w:t xml:space="preserve">Indicator 7B is a performance indicator that measures the percent of children with disabilities who demonstrate improvement in </w:t>
      </w:r>
      <w:r>
        <w:rPr>
          <w:rFonts w:cs="Arial"/>
        </w:rPr>
        <w:t>a</w:t>
      </w:r>
      <w:r w:rsidRPr="00FD74B6">
        <w:rPr>
          <w:rFonts w:cs="Arial"/>
        </w:rPr>
        <w:t xml:space="preserve">cquisition and </w:t>
      </w:r>
      <w:r>
        <w:rPr>
          <w:rFonts w:cs="Arial"/>
        </w:rPr>
        <w:t>u</w:t>
      </w:r>
      <w:r w:rsidRPr="00FD74B6">
        <w:rPr>
          <w:rFonts w:cs="Arial"/>
        </w:rPr>
        <w:t xml:space="preserve">se of </w:t>
      </w:r>
      <w:r>
        <w:rPr>
          <w:rFonts w:cs="Arial"/>
        </w:rPr>
        <w:t>k</w:t>
      </w:r>
      <w:r w:rsidRPr="00FD74B6">
        <w:rPr>
          <w:rFonts w:cs="Arial"/>
        </w:rPr>
        <w:t xml:space="preserve">nowledge and </w:t>
      </w:r>
      <w:r>
        <w:rPr>
          <w:rFonts w:cs="Arial"/>
        </w:rPr>
        <w:t>s</w:t>
      </w:r>
      <w:r w:rsidRPr="00FD74B6">
        <w:rPr>
          <w:rFonts w:cs="Arial"/>
        </w:rPr>
        <w:t>kills, including early language/communication and early literacy.</w:t>
      </w:r>
    </w:p>
    <w:p w:rsidR="00EB1E42" w:rsidRDefault="00EB1E42" w:rsidP="00EB1E42">
      <w:pPr>
        <w:spacing w:after="240"/>
        <w:rPr>
          <w:rFonts w:cs="Arial"/>
        </w:rPr>
      </w:pPr>
      <w:r>
        <w:rPr>
          <w:rFonts w:cs="Arial"/>
        </w:rPr>
        <w:t xml:space="preserve">These are the following progress categories: </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did not improve functioning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but not sufficient to move nearer to functioning comparable to same-aged peers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a level nearer to same-aged peers but did not reach it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7"/>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reach a level comparable to same-aged peers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B54B8B" w:rsidRDefault="00EB1E42" w:rsidP="00EB1E42">
      <w:pPr>
        <w:numPr>
          <w:ilvl w:val="0"/>
          <w:numId w:val="17"/>
        </w:numPr>
        <w:overflowPunct w:val="0"/>
        <w:autoSpaceDE w:val="0"/>
        <w:autoSpaceDN w:val="0"/>
        <w:adjustRightInd w:val="0"/>
        <w:spacing w:after="240"/>
        <w:rPr>
          <w:rFonts w:cs="Arial"/>
        </w:rPr>
      </w:pPr>
      <w:r w:rsidRPr="00B54B8B">
        <w:rPr>
          <w:rFonts w:cs="Arial"/>
          <w:kern w:val="28"/>
        </w:rPr>
        <w:t xml:space="preserve">Number of preschool children who maintained functioning at a level comparable to same-aged peers divided by the number of preschool </w:t>
      </w:r>
      <w:r w:rsidRPr="00B54B8B">
        <w:rPr>
          <w:rFonts w:cs="Arial"/>
          <w:color w:val="000000"/>
          <w:kern w:val="28"/>
        </w:rPr>
        <w:t>children with disabilities</w:t>
      </w:r>
      <w:r w:rsidRPr="00B54B8B">
        <w:rPr>
          <w:rFonts w:cs="Arial"/>
          <w:kern w:val="28"/>
        </w:rPr>
        <w:t xml:space="preserve"> assessed, multiplied by 100.</w:t>
      </w:r>
    </w:p>
    <w:p w:rsidR="00EB1E42" w:rsidRPr="00FD74B6" w:rsidRDefault="00EB1E42" w:rsidP="00EB1E42">
      <w:pPr>
        <w:pStyle w:val="Heading3"/>
        <w:spacing w:before="0" w:after="240"/>
      </w:pPr>
      <w:bookmarkStart w:id="113" w:name="_Toc77599092"/>
      <w:r>
        <w:t>Notable Change(s)</w:t>
      </w:r>
      <w:bookmarkEnd w:id="113"/>
    </w:p>
    <w:p w:rsidR="00EB1E42" w:rsidRPr="00FD74B6" w:rsidRDefault="00EB1E42" w:rsidP="00EB1E42">
      <w:pPr>
        <w:spacing w:after="240"/>
        <w:rPr>
          <w:rFonts w:cs="Arial"/>
        </w:rPr>
      </w:pPr>
      <w:r>
        <w:rPr>
          <w:rFonts w:cs="Arial"/>
        </w:rPr>
        <w:t>OSEP made no changes to this indicator.</w:t>
      </w:r>
    </w:p>
    <w:p w:rsidR="00EB1E42" w:rsidRDefault="00EB1E42" w:rsidP="00EB1E42">
      <w:pPr>
        <w:pStyle w:val="Heading3"/>
        <w:spacing w:before="0" w:after="240"/>
      </w:pPr>
      <w:bookmarkStart w:id="114" w:name="_Toc77599093"/>
      <w:r>
        <w:t>Stakeholder Feedback</w:t>
      </w:r>
      <w:bookmarkEnd w:id="114"/>
    </w:p>
    <w:p w:rsidR="00EB1E42" w:rsidRDefault="00EB1E42" w:rsidP="00EB1E42">
      <w:bookmarkStart w:id="115" w:name="_Hlk77170137"/>
      <w:r>
        <w:t>Overall the stakeholders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bookmarkEnd w:id="115"/>
    <w:p w:rsidR="00EB1E42" w:rsidRPr="00B54B8B" w:rsidRDefault="00EB1E42" w:rsidP="00EB1E42"/>
    <w:p w:rsidR="00EB1E42" w:rsidRDefault="00EB1E42" w:rsidP="00EB1E42">
      <w:pPr>
        <w:overflowPunct w:val="0"/>
        <w:autoSpaceDE w:val="0"/>
        <w:autoSpaceDN w:val="0"/>
        <w:adjustRightInd w:val="0"/>
        <w:spacing w:after="240"/>
        <w:rPr>
          <w:b/>
          <w:bCs/>
        </w:rPr>
      </w:pPr>
      <w:r>
        <w:rPr>
          <w:b/>
        </w:rPr>
        <w:t xml:space="preserve">Preschool Outcomes–Acquisition and </w:t>
      </w:r>
      <w:r w:rsidRPr="00FD74B6">
        <w:rPr>
          <w:b/>
        </w:rPr>
        <w:t>Use of Knowledge and Skills</w:t>
      </w:r>
      <w:r w:rsidRPr="00FD74B6">
        <w:rPr>
          <w:b/>
          <w:bCs/>
        </w:rPr>
        <w:t xml:space="preserve"> </w:t>
      </w:r>
      <w:r w:rsidRPr="00B54B8B">
        <w:rPr>
          <w:rStyle w:val="Heading3Char"/>
        </w:rPr>
        <w:t>New</w:t>
      </w:r>
      <w:r>
        <w:rPr>
          <w:bCs/>
        </w:rPr>
        <w:t xml:space="preserve"> </w:t>
      </w:r>
      <w:r w:rsidRPr="00FD74B6">
        <w:rPr>
          <w:b/>
          <w:bCs/>
        </w:rPr>
        <w:t>Targets</w:t>
      </w:r>
    </w:p>
    <w:tbl>
      <w:tblPr>
        <w:tblStyle w:val="TableGrid1"/>
        <w:tblW w:w="9350" w:type="dxa"/>
        <w:tblLook w:val="04A0" w:firstRow="1" w:lastRow="0" w:firstColumn="1" w:lastColumn="0" w:noHBand="0" w:noVBand="1"/>
        <w:tblDescription w:val="Indicator 4A Targets and Results"/>
      </w:tblPr>
      <w:tblGrid>
        <w:gridCol w:w="2010"/>
        <w:gridCol w:w="1244"/>
        <w:gridCol w:w="1244"/>
        <w:gridCol w:w="1244"/>
        <w:gridCol w:w="1244"/>
        <w:gridCol w:w="1244"/>
        <w:gridCol w:w="1120"/>
      </w:tblGrid>
      <w:tr w:rsidR="00EB1E42" w:rsidRPr="00FD74B6" w:rsidTr="00704E41">
        <w:trPr>
          <w:cantSplit/>
          <w:trHeight w:val="288"/>
          <w:tblHeader/>
        </w:trPr>
        <w:tc>
          <w:tcPr>
            <w:tcW w:w="2010" w:type="dxa"/>
            <w:hideMark/>
          </w:tcPr>
          <w:p w:rsidR="00EB1E42" w:rsidRPr="00FD74B6" w:rsidRDefault="00EB1E42" w:rsidP="00704E41">
            <w:pPr>
              <w:widowControl w:val="0"/>
              <w:overflowPunct w:val="0"/>
              <w:autoSpaceDE w:val="0"/>
              <w:autoSpaceDN w:val="0"/>
              <w:adjustRightInd w:val="0"/>
              <w:jc w:val="center"/>
              <w:rPr>
                <w:rFonts w:cs="Arial"/>
                <w:b/>
                <w:bCs/>
              </w:rPr>
            </w:pPr>
            <w:bookmarkStart w:id="116" w:name="_Hlk26280345"/>
            <w:r w:rsidRPr="00FD74B6">
              <w:rPr>
                <w:rFonts w:cs="Arial"/>
                <w:b/>
                <w:bCs/>
              </w:rPr>
              <w:t xml:space="preserve">Indicator </w:t>
            </w:r>
            <w:r>
              <w:rPr>
                <w:rFonts w:cs="Arial"/>
                <w:b/>
                <w:bCs/>
              </w:rPr>
              <w:t>7b</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2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01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7b1 </w:t>
            </w:r>
            <w:r w:rsidRPr="00FD74B6">
              <w:rPr>
                <w:rFonts w:cs="Arial"/>
                <w:bCs/>
              </w:rPr>
              <w:t>Target</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r w:rsidR="00EB1E42" w:rsidRPr="00FD74B6" w:rsidTr="00704E41">
        <w:trPr>
          <w:cantSplit/>
          <w:trHeight w:val="288"/>
        </w:trPr>
        <w:tc>
          <w:tcPr>
            <w:tcW w:w="2010"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7b2 Target</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bl>
    <w:p w:rsidR="00EB1E42" w:rsidRPr="00FD74B6" w:rsidRDefault="00EB1E42" w:rsidP="00EB1E42">
      <w:pPr>
        <w:pStyle w:val="Heading3"/>
      </w:pPr>
      <w:bookmarkStart w:id="117" w:name="_Toc77599094"/>
      <w:bookmarkEnd w:id="116"/>
      <w:r>
        <w:lastRenderedPageBreak/>
        <w:t xml:space="preserve">Preschool Outcomes–Acquisition and </w:t>
      </w:r>
      <w:r w:rsidRPr="00FD74B6">
        <w:t>Use of Knowledge and Skills</w:t>
      </w:r>
      <w:r w:rsidRPr="00FD74B6">
        <w:rPr>
          <w:bCs/>
        </w:rPr>
        <w:t xml:space="preserve"> </w:t>
      </w:r>
      <w:r>
        <w:rPr>
          <w:bCs/>
        </w:rPr>
        <w:t xml:space="preserve">Old </w:t>
      </w:r>
      <w:r w:rsidRPr="00FD74B6">
        <w:rPr>
          <w:bCs/>
        </w:rPr>
        <w:t>Targets</w:t>
      </w:r>
      <w:bookmarkEnd w:id="117"/>
    </w:p>
    <w:tbl>
      <w:tblPr>
        <w:tblStyle w:val="TableGrid6"/>
        <w:tblW w:w="0" w:type="auto"/>
        <w:tblLook w:val="04A0" w:firstRow="1" w:lastRow="0" w:firstColumn="1" w:lastColumn="0" w:noHBand="0" w:noVBand="1"/>
        <w:tblDescription w:val="Indicator 7B Targets and Results"/>
      </w:tblPr>
      <w:tblGrid>
        <w:gridCol w:w="1737"/>
        <w:gridCol w:w="1164"/>
        <w:gridCol w:w="1008"/>
        <w:gridCol w:w="1008"/>
        <w:gridCol w:w="1008"/>
        <w:gridCol w:w="1008"/>
        <w:gridCol w:w="1008"/>
        <w:gridCol w:w="1008"/>
      </w:tblGrid>
      <w:tr w:rsidR="00EB1E42" w:rsidRPr="00FD74B6" w:rsidTr="00704E41">
        <w:trPr>
          <w:cantSplit/>
          <w:tblHeader/>
        </w:trPr>
        <w:tc>
          <w:tcPr>
            <w:tcW w:w="173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7B</w:t>
            </w:r>
          </w:p>
        </w:tc>
        <w:tc>
          <w:tcPr>
            <w:tcW w:w="116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0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08"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710"/>
        </w:trPr>
        <w:tc>
          <w:tcPr>
            <w:tcW w:w="173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1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70% / 82.5%</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70% / 82.5%</w:t>
            </w:r>
          </w:p>
        </w:tc>
        <w:tc>
          <w:tcPr>
            <w:tcW w:w="1008" w:type="dxa"/>
            <w:hideMark/>
          </w:tcPr>
          <w:p w:rsidR="00EB1E42" w:rsidRPr="00FD74B6" w:rsidRDefault="005004A5" w:rsidP="00704E41">
            <w:pPr>
              <w:widowControl w:val="0"/>
              <w:overflowPunct w:val="0"/>
              <w:autoSpaceDE w:val="0"/>
              <w:autoSpaceDN w:val="0"/>
              <w:adjustRightInd w:val="0"/>
              <w:jc w:val="center"/>
              <w:rPr>
                <w:rFonts w:cs="Arial"/>
                <w:color w:val="000000"/>
                <w:kern w:val="28"/>
                <w:sz w:val="23"/>
                <w:szCs w:val="23"/>
              </w:rPr>
            </w:pPr>
            <w:r w:rsidRPr="005C5997">
              <w:rPr>
                <w:rFonts w:cs="Arial"/>
                <w:color w:val="000000"/>
                <w:kern w:val="28"/>
                <w:sz w:val="23"/>
                <w:szCs w:val="23"/>
              </w:rPr>
              <w:t>70% / 82.5%</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79.7%/ 77.57%</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80.7%/ 78.57%</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81.7%/ 79.57%</w:t>
            </w:r>
          </w:p>
        </w:tc>
        <w:tc>
          <w:tcPr>
            <w:tcW w:w="1008" w:type="dxa"/>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8</w:t>
            </w:r>
            <w:r>
              <w:rPr>
                <w:rFonts w:cs="Arial"/>
                <w:color w:val="000000"/>
                <w:kern w:val="28"/>
                <w:sz w:val="23"/>
                <w:szCs w:val="23"/>
              </w:rPr>
              <w:t>2</w:t>
            </w:r>
            <w:r w:rsidRPr="00FD74B6">
              <w:rPr>
                <w:rFonts w:cs="Arial"/>
                <w:color w:val="000000"/>
                <w:kern w:val="28"/>
                <w:sz w:val="23"/>
                <w:szCs w:val="23"/>
              </w:rPr>
              <w:t xml:space="preserve">.7%/ </w:t>
            </w:r>
            <w:r>
              <w:rPr>
                <w:rFonts w:cs="Arial"/>
                <w:color w:val="000000"/>
                <w:kern w:val="28"/>
                <w:sz w:val="23"/>
                <w:szCs w:val="23"/>
              </w:rPr>
              <w:t>80</w:t>
            </w:r>
            <w:r w:rsidRPr="00FD74B6">
              <w:rPr>
                <w:rFonts w:cs="Arial"/>
                <w:color w:val="000000"/>
                <w:kern w:val="28"/>
                <w:sz w:val="23"/>
                <w:szCs w:val="23"/>
              </w:rPr>
              <w:t>.57%</w:t>
            </w:r>
          </w:p>
        </w:tc>
      </w:tr>
      <w:tr w:rsidR="00EB1E42" w:rsidRPr="00FD74B6" w:rsidTr="00704E41">
        <w:trPr>
          <w:cantSplit/>
          <w:trHeight w:val="710"/>
        </w:trPr>
        <w:tc>
          <w:tcPr>
            <w:tcW w:w="173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1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60.9% /</w:t>
            </w:r>
            <w:r w:rsidRPr="00FD74B6">
              <w:rPr>
                <w:rFonts w:cs="Arial"/>
                <w:color w:val="000000"/>
                <w:kern w:val="28"/>
                <w:sz w:val="23"/>
                <w:szCs w:val="23"/>
              </w:rPr>
              <w:br/>
              <w:t>60.3%</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60.2% / 59.6%</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68.6% / 71.2%</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79.7%/ 77.6%</w:t>
            </w:r>
          </w:p>
        </w:tc>
        <w:tc>
          <w:tcPr>
            <w:tcW w:w="1008" w:type="dxa"/>
            <w:hideMark/>
          </w:tcPr>
          <w:p w:rsidR="00EB1E42"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76.1%/</w:t>
            </w:r>
          </w:p>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76.7%</w:t>
            </w:r>
          </w:p>
        </w:tc>
        <w:tc>
          <w:tcPr>
            <w:tcW w:w="1008" w:type="dxa"/>
            <w:hideMark/>
          </w:tcPr>
          <w:p w:rsidR="00EB1E42"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75.2%/</w:t>
            </w:r>
          </w:p>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76.2%</w:t>
            </w:r>
          </w:p>
        </w:tc>
        <w:tc>
          <w:tcPr>
            <w:tcW w:w="1008" w:type="dxa"/>
          </w:tcPr>
          <w:p w:rsidR="00EB1E42" w:rsidRDefault="00EB1E42" w:rsidP="00704E41">
            <w:pPr>
              <w:widowControl w:val="0"/>
              <w:overflowPunct w:val="0"/>
              <w:autoSpaceDE w:val="0"/>
              <w:autoSpaceDN w:val="0"/>
              <w:adjustRightInd w:val="0"/>
              <w:jc w:val="center"/>
              <w:rPr>
                <w:rFonts w:cs="Arial"/>
                <w:szCs w:val="20"/>
              </w:rPr>
            </w:pPr>
            <w:r w:rsidRPr="006C3AEA">
              <w:rPr>
                <w:rFonts w:cs="Arial"/>
                <w:szCs w:val="20"/>
              </w:rPr>
              <w:t>78.1%/</w:t>
            </w:r>
          </w:p>
          <w:p w:rsidR="00EB1E42" w:rsidRPr="006C3AEA" w:rsidRDefault="00EB1E42" w:rsidP="00704E41">
            <w:pPr>
              <w:widowControl w:val="0"/>
              <w:overflowPunct w:val="0"/>
              <w:autoSpaceDE w:val="0"/>
              <w:autoSpaceDN w:val="0"/>
              <w:adjustRightInd w:val="0"/>
              <w:jc w:val="center"/>
              <w:rPr>
                <w:rFonts w:cs="Arial"/>
                <w:color w:val="000000"/>
                <w:kern w:val="28"/>
                <w:szCs w:val="23"/>
              </w:rPr>
            </w:pPr>
            <w:r w:rsidRPr="006C3AEA">
              <w:rPr>
                <w:rFonts w:cs="Arial"/>
                <w:szCs w:val="20"/>
              </w:rPr>
              <w:t>76.4%</w:t>
            </w:r>
          </w:p>
        </w:tc>
      </w:tr>
      <w:tr w:rsidR="00EB1E42" w:rsidRPr="00FD74B6" w:rsidTr="00704E41">
        <w:trPr>
          <w:cantSplit/>
        </w:trPr>
        <w:tc>
          <w:tcPr>
            <w:tcW w:w="173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1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No</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color w:val="000000"/>
                <w:kern w:val="28"/>
                <w:sz w:val="23"/>
                <w:szCs w:val="23"/>
              </w:rPr>
              <w:t>No</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sz w:val="23"/>
                <w:szCs w:val="23"/>
              </w:rPr>
              <w:t>Yes</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bCs/>
                <w:color w:val="000000"/>
                <w:kern w:val="28"/>
              </w:rPr>
              <w:t>Yes</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bCs/>
                <w:color w:val="000000"/>
                <w:kern w:val="28"/>
              </w:rPr>
              <w:t>No</w:t>
            </w:r>
          </w:p>
        </w:tc>
        <w:tc>
          <w:tcPr>
            <w:tcW w:w="100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rPr>
              <w:t>No</w:t>
            </w:r>
          </w:p>
        </w:tc>
        <w:tc>
          <w:tcPr>
            <w:tcW w:w="1008" w:type="dxa"/>
          </w:tcPr>
          <w:p w:rsidR="00EB1E42" w:rsidRDefault="00EB1E42" w:rsidP="00704E41">
            <w:pPr>
              <w:widowControl w:val="0"/>
              <w:overflowPunct w:val="0"/>
              <w:autoSpaceDE w:val="0"/>
              <w:autoSpaceDN w:val="0"/>
              <w:adjustRightInd w:val="0"/>
              <w:jc w:val="center"/>
              <w:rPr>
                <w:rFonts w:cs="Arial"/>
                <w:bCs/>
                <w:color w:val="000000"/>
                <w:kern w:val="28"/>
              </w:rPr>
            </w:pPr>
            <w:r>
              <w:rPr>
                <w:rFonts w:cs="Arial"/>
                <w:bCs/>
                <w:color w:val="000000"/>
                <w:kern w:val="28"/>
              </w:rPr>
              <w:t>No</w:t>
            </w:r>
          </w:p>
        </w:tc>
      </w:tr>
    </w:tbl>
    <w:p w:rsidR="00EB1E42" w:rsidRDefault="00EB1E42" w:rsidP="00EB1E42">
      <w:pPr>
        <w:rPr>
          <w:rFonts w:cs="Arial"/>
          <w:bCs/>
        </w:rPr>
      </w:pPr>
      <w:r w:rsidRPr="00FD74B6">
        <w:rPr>
          <w:rFonts w:cs="Arial"/>
        </w:rPr>
        <w:t>*</w:t>
      </w:r>
      <w:r w:rsidRPr="00FD74B6">
        <w:rPr>
          <w:rFonts w:cs="Arial"/>
          <w:bCs/>
        </w:rPr>
        <w:t xml:space="preserve"> Targets were changed this year due to new assessment tool</w:t>
      </w:r>
    </w:p>
    <w:p w:rsidR="00EB1E42" w:rsidRDefault="00EB1E42" w:rsidP="00EB1E42">
      <w:pPr>
        <w:spacing w:after="160" w:line="259" w:lineRule="auto"/>
        <w:rPr>
          <w:rFonts w:cs="Arial"/>
          <w:bCs/>
        </w:rPr>
      </w:pPr>
      <w:r>
        <w:rPr>
          <w:rFonts w:cs="Arial"/>
          <w:bCs/>
        </w:rPr>
        <w:br w:type="page"/>
      </w:r>
    </w:p>
    <w:p w:rsidR="00EB1E42" w:rsidRPr="00FD74B6" w:rsidRDefault="00EB1E42" w:rsidP="00EB1E42">
      <w:pPr>
        <w:pStyle w:val="Heading2"/>
        <w:spacing w:before="1200" w:after="240"/>
        <w:jc w:val="center"/>
      </w:pPr>
      <w:bookmarkStart w:id="118" w:name="_Toc77599095"/>
      <w:r w:rsidRPr="00FD74B6">
        <w:rPr>
          <w:bCs/>
        </w:rPr>
        <w:lastRenderedPageBreak/>
        <w:t xml:space="preserve">Indicator 7C: </w:t>
      </w:r>
      <w:r w:rsidRPr="00FD74B6">
        <w:t>Preschool Assessment–Use of Appropriate Behaviors</w:t>
      </w:r>
      <w:bookmarkEnd w:id="118"/>
    </w:p>
    <w:p w:rsidR="00EB1E42" w:rsidRPr="00FD74B6" w:rsidRDefault="00EB1E42" w:rsidP="00EB1E42">
      <w:pPr>
        <w:pStyle w:val="Heading3"/>
        <w:spacing w:before="0" w:after="240"/>
      </w:pPr>
      <w:bookmarkStart w:id="119" w:name="_Toc77599096"/>
      <w:r>
        <w:t>Measurement</w:t>
      </w:r>
      <w:bookmarkEnd w:id="119"/>
    </w:p>
    <w:p w:rsidR="00EB1E42" w:rsidRDefault="00EB1E42" w:rsidP="00EB1E42">
      <w:pPr>
        <w:spacing w:after="240"/>
        <w:rPr>
          <w:rFonts w:cs="Arial"/>
        </w:rPr>
      </w:pPr>
      <w:r w:rsidRPr="00FD74B6">
        <w:rPr>
          <w:rFonts w:cs="Arial"/>
        </w:rPr>
        <w:t>Indicator 7C is a performance indicator that measures the percent of children with disabilities who demonstrate improvement in Use of Appropriate Behaviors to meet their needs</w:t>
      </w:r>
      <w:r>
        <w:rPr>
          <w:rFonts w:cs="Arial"/>
        </w:rPr>
        <w:t>.</w:t>
      </w:r>
    </w:p>
    <w:p w:rsidR="00EB1E42" w:rsidRDefault="00EB1E42" w:rsidP="00EB1E42">
      <w:pPr>
        <w:spacing w:after="240"/>
        <w:rPr>
          <w:rFonts w:cs="Arial"/>
        </w:rPr>
      </w:pPr>
      <w:r>
        <w:rPr>
          <w:rFonts w:cs="Arial"/>
        </w:rPr>
        <w:t>These are the following progress categories:</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did not improve functioning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9"/>
        </w:numPr>
        <w:tabs>
          <w:tab w:val="left" w:pos="720"/>
        </w:tabs>
        <w:overflowPunct w:val="0"/>
        <w:autoSpaceDE w:val="0"/>
        <w:autoSpaceDN w:val="0"/>
        <w:adjustRightInd w:val="0"/>
        <w:spacing w:after="240"/>
        <w:rPr>
          <w:rFonts w:cs="Arial"/>
          <w:kern w:val="28"/>
        </w:rPr>
      </w:pPr>
      <w:r w:rsidRPr="00FD74B6">
        <w:rPr>
          <w:rFonts w:cs="Arial"/>
          <w:kern w:val="28"/>
        </w:rPr>
        <w:t xml:space="preserve">Number of preschool children who improved functioning but not sufficient to move nearer to functioning comparable to same-aged peers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a level nearer to same-aged peers but did not reach it divided by the number of preschool </w:t>
      </w:r>
      <w:r w:rsidRPr="00FD74B6">
        <w:rPr>
          <w:rFonts w:cs="Arial"/>
          <w:color w:val="000000"/>
          <w:kern w:val="28"/>
        </w:rPr>
        <w:t>children with disabilities</w:t>
      </w:r>
      <w:r w:rsidRPr="00FD74B6">
        <w:rPr>
          <w:rFonts w:cs="Arial"/>
          <w:kern w:val="28"/>
        </w:rPr>
        <w:t xml:space="preserve"> assessed, multiplied by 100.</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improved functioning to reach a level comparable to same-aged peers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Pr="00FD74B6" w:rsidRDefault="00EB1E42" w:rsidP="00EB1E42">
      <w:pPr>
        <w:numPr>
          <w:ilvl w:val="0"/>
          <w:numId w:val="19"/>
        </w:numPr>
        <w:overflowPunct w:val="0"/>
        <w:autoSpaceDE w:val="0"/>
        <w:autoSpaceDN w:val="0"/>
        <w:adjustRightInd w:val="0"/>
        <w:spacing w:after="240"/>
        <w:rPr>
          <w:rFonts w:cs="Arial"/>
          <w:kern w:val="28"/>
        </w:rPr>
      </w:pPr>
      <w:r w:rsidRPr="00FD74B6">
        <w:rPr>
          <w:rFonts w:cs="Arial"/>
          <w:kern w:val="28"/>
        </w:rPr>
        <w:t xml:space="preserve">Number of preschool children who maintained functioning at a level comparable to same-aged peers divided by the number of preschool </w:t>
      </w:r>
      <w:r w:rsidRPr="00FD74B6">
        <w:rPr>
          <w:rFonts w:cs="Arial"/>
          <w:color w:val="000000"/>
          <w:kern w:val="28"/>
        </w:rPr>
        <w:t xml:space="preserve">children with disabilities </w:t>
      </w:r>
      <w:r w:rsidRPr="00FD74B6">
        <w:rPr>
          <w:rFonts w:cs="Arial"/>
          <w:kern w:val="28"/>
        </w:rPr>
        <w:t>assessed, multiplied by 100.</w:t>
      </w:r>
    </w:p>
    <w:p w:rsidR="00EB1E42" w:rsidRDefault="00EB1E42" w:rsidP="00EB1E42">
      <w:pPr>
        <w:pStyle w:val="Heading3"/>
        <w:spacing w:before="0" w:after="240"/>
      </w:pPr>
      <w:bookmarkStart w:id="120" w:name="_Toc77599097"/>
      <w:r>
        <w:t>Notable Change(s)</w:t>
      </w:r>
      <w:bookmarkEnd w:id="120"/>
    </w:p>
    <w:p w:rsidR="00EB1E42" w:rsidRPr="00375AB7" w:rsidRDefault="00EB1E42" w:rsidP="00EB1E42">
      <w:r>
        <w:t>OSEP made no changes to this indicator.</w:t>
      </w:r>
    </w:p>
    <w:p w:rsidR="00EB1E42" w:rsidRPr="0018626C" w:rsidRDefault="00EB1E42" w:rsidP="00EB1E42"/>
    <w:p w:rsidR="00EB1E42" w:rsidRDefault="00EB1E42" w:rsidP="00EB1E42">
      <w:pPr>
        <w:pStyle w:val="Heading3"/>
        <w:spacing w:before="0" w:after="240"/>
      </w:pPr>
      <w:bookmarkStart w:id="121" w:name="_Toc77599098"/>
      <w:r>
        <w:t>Stakeholder Feedback</w:t>
      </w:r>
      <w:bookmarkEnd w:id="121"/>
    </w:p>
    <w:p w:rsidR="00EB1E42" w:rsidRDefault="00EB1E42" w:rsidP="00EB1E42">
      <w:r>
        <w:t>Overall the stakeholders agreed since the current targets were already high there was not much room for dramatic upward growth. There was also consensus on resetting the baseline to the next available dataset and then a steady increase of one or 0.5 percent per year for all six subparts. The CDE agrees with this recommendation.</w:t>
      </w:r>
    </w:p>
    <w:p w:rsidR="00EB1E42" w:rsidRPr="0018626C" w:rsidRDefault="00EB1E42" w:rsidP="00EB1E42"/>
    <w:p w:rsidR="00EB1E42" w:rsidRDefault="00EB1E42" w:rsidP="00EB1E42">
      <w:pPr>
        <w:spacing w:after="240"/>
        <w:rPr>
          <w:b/>
          <w:bCs/>
        </w:rPr>
      </w:pPr>
      <w:r w:rsidRPr="00FD74B6">
        <w:rPr>
          <w:b/>
        </w:rPr>
        <w:t>Preschool Outcomes–Use of Appropriate Behaviors</w:t>
      </w:r>
      <w:r w:rsidRPr="00FD74B6">
        <w:rPr>
          <w:b/>
          <w:bCs/>
        </w:rPr>
        <w:t xml:space="preserve"> </w:t>
      </w:r>
      <w:r>
        <w:rPr>
          <w:b/>
          <w:bCs/>
        </w:rPr>
        <w:t xml:space="preserve">New </w:t>
      </w:r>
      <w:r w:rsidRPr="00FD74B6">
        <w:rPr>
          <w:b/>
          <w:bCs/>
        </w:rPr>
        <w:t xml:space="preserve">Targets </w:t>
      </w:r>
    </w:p>
    <w:tbl>
      <w:tblPr>
        <w:tblStyle w:val="TableGrid1"/>
        <w:tblW w:w="9350" w:type="dxa"/>
        <w:tblLook w:val="04A0" w:firstRow="1" w:lastRow="0" w:firstColumn="1" w:lastColumn="0" w:noHBand="0" w:noVBand="1"/>
        <w:tblDescription w:val="Indicator 4A Targets and Results"/>
      </w:tblPr>
      <w:tblGrid>
        <w:gridCol w:w="2010"/>
        <w:gridCol w:w="1244"/>
        <w:gridCol w:w="1244"/>
        <w:gridCol w:w="1244"/>
        <w:gridCol w:w="1244"/>
        <w:gridCol w:w="1244"/>
        <w:gridCol w:w="1120"/>
      </w:tblGrid>
      <w:tr w:rsidR="00EB1E42" w:rsidRPr="00FD74B6" w:rsidTr="00704E41">
        <w:trPr>
          <w:cantSplit/>
          <w:trHeight w:val="288"/>
          <w:tblHeader/>
        </w:trPr>
        <w:tc>
          <w:tcPr>
            <w:tcW w:w="201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7c</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4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2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010"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 xml:space="preserve">7c1 </w:t>
            </w:r>
            <w:r w:rsidRPr="00FD74B6">
              <w:rPr>
                <w:rFonts w:cs="Arial"/>
                <w:bCs/>
              </w:rPr>
              <w:t>Target</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r w:rsidR="00EB1E42" w:rsidRPr="00FD74B6" w:rsidTr="00704E41">
        <w:trPr>
          <w:cantSplit/>
          <w:trHeight w:val="288"/>
        </w:trPr>
        <w:tc>
          <w:tcPr>
            <w:tcW w:w="2010"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7c2 Target</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76%</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77%</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79%</w:t>
            </w:r>
          </w:p>
        </w:tc>
        <w:tc>
          <w:tcPr>
            <w:tcW w:w="1244" w:type="dxa"/>
          </w:tcPr>
          <w:p w:rsidR="00EB1E42" w:rsidRDefault="00EB1E42" w:rsidP="00704E41">
            <w:pPr>
              <w:widowControl w:val="0"/>
              <w:overflowPunct w:val="0"/>
              <w:autoSpaceDE w:val="0"/>
              <w:autoSpaceDN w:val="0"/>
              <w:adjustRightInd w:val="0"/>
              <w:jc w:val="center"/>
              <w:rPr>
                <w:rFonts w:cs="Arial"/>
                <w:bCs/>
              </w:rPr>
            </w:pPr>
            <w:r>
              <w:rPr>
                <w:rFonts w:cs="Arial"/>
                <w:bCs/>
              </w:rPr>
              <w:t>80%</w:t>
            </w:r>
          </w:p>
        </w:tc>
        <w:tc>
          <w:tcPr>
            <w:tcW w:w="1120" w:type="dxa"/>
          </w:tcPr>
          <w:p w:rsidR="00EB1E42" w:rsidRDefault="00EB1E42" w:rsidP="00704E41">
            <w:pPr>
              <w:widowControl w:val="0"/>
              <w:overflowPunct w:val="0"/>
              <w:autoSpaceDE w:val="0"/>
              <w:autoSpaceDN w:val="0"/>
              <w:adjustRightInd w:val="0"/>
              <w:jc w:val="center"/>
              <w:rPr>
                <w:rFonts w:cs="Arial"/>
                <w:bCs/>
              </w:rPr>
            </w:pPr>
            <w:r>
              <w:rPr>
                <w:rFonts w:cs="Arial"/>
                <w:bCs/>
              </w:rPr>
              <w:t>81%</w:t>
            </w:r>
          </w:p>
        </w:tc>
      </w:tr>
    </w:tbl>
    <w:p w:rsidR="00EB1E42" w:rsidRPr="00FD74B6" w:rsidRDefault="00EB1E42" w:rsidP="00EB1E42">
      <w:pPr>
        <w:spacing w:after="240"/>
        <w:rPr>
          <w:rFonts w:cs="Arial"/>
        </w:rPr>
      </w:pPr>
    </w:p>
    <w:p w:rsidR="00EB1E42" w:rsidRPr="00FD74B6" w:rsidRDefault="00EB1E42" w:rsidP="00EB1E42">
      <w:pPr>
        <w:pStyle w:val="Heading3"/>
        <w:spacing w:before="0" w:after="240"/>
      </w:pPr>
      <w:r w:rsidRPr="00FD74B6">
        <w:lastRenderedPageBreak/>
        <w:t xml:space="preserve"> </w:t>
      </w:r>
      <w:bookmarkStart w:id="122" w:name="_Toc77599099"/>
      <w:r w:rsidRPr="00FD74B6">
        <w:t>Preschool Outcomes–Use of Appropriate Behaviors</w:t>
      </w:r>
      <w:r w:rsidRPr="00FD74B6">
        <w:rPr>
          <w:bCs/>
        </w:rPr>
        <w:t xml:space="preserve"> </w:t>
      </w:r>
      <w:r>
        <w:rPr>
          <w:bCs/>
        </w:rPr>
        <w:t xml:space="preserve">Old </w:t>
      </w:r>
      <w:r w:rsidRPr="00FD74B6">
        <w:rPr>
          <w:bCs/>
        </w:rPr>
        <w:t>Targets</w:t>
      </w:r>
      <w:bookmarkEnd w:id="122"/>
      <w:r w:rsidRPr="00FD74B6">
        <w:rPr>
          <w:bCs/>
        </w:rPr>
        <w:t xml:space="preserve"> </w:t>
      </w:r>
    </w:p>
    <w:tbl>
      <w:tblPr>
        <w:tblStyle w:val="TableGrid7"/>
        <w:tblW w:w="9350" w:type="dxa"/>
        <w:tblLook w:val="04A0" w:firstRow="1" w:lastRow="0" w:firstColumn="1" w:lastColumn="0" w:noHBand="0" w:noVBand="1"/>
        <w:tblDescription w:val="Indicator 7C Targets and Results"/>
      </w:tblPr>
      <w:tblGrid>
        <w:gridCol w:w="1637"/>
        <w:gridCol w:w="1122"/>
        <w:gridCol w:w="1215"/>
        <w:gridCol w:w="1161"/>
        <w:gridCol w:w="1061"/>
        <w:gridCol w:w="1093"/>
        <w:gridCol w:w="1064"/>
        <w:gridCol w:w="997"/>
      </w:tblGrid>
      <w:tr w:rsidR="00EB1E42" w:rsidRPr="00FD74B6" w:rsidTr="00704E41">
        <w:trPr>
          <w:cantSplit/>
          <w:tblHeader/>
        </w:trPr>
        <w:tc>
          <w:tcPr>
            <w:tcW w:w="165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7C</w:t>
            </w:r>
          </w:p>
        </w:tc>
        <w:tc>
          <w:tcPr>
            <w:tcW w:w="112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2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17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6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9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6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941"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710"/>
        </w:trPr>
        <w:tc>
          <w:tcPr>
            <w:tcW w:w="165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129"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75%</w:t>
            </w:r>
            <w:r w:rsidRPr="00FD74B6">
              <w:rPr>
                <w:rFonts w:cs="Arial"/>
                <w:color w:val="000000"/>
                <w:kern w:val="28"/>
              </w:rPr>
              <w:t>/</w:t>
            </w:r>
            <w:r w:rsidRPr="00FD74B6">
              <w:rPr>
                <w:rFonts w:cs="Arial"/>
                <w:color w:val="000000"/>
                <w:kern w:val="28"/>
              </w:rPr>
              <w:br/>
              <w:t xml:space="preserve"> 79%</w:t>
            </w:r>
          </w:p>
        </w:tc>
        <w:tc>
          <w:tcPr>
            <w:tcW w:w="1226"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75%</w:t>
            </w:r>
            <w:r w:rsidRPr="00FD74B6">
              <w:rPr>
                <w:rFonts w:cs="Arial"/>
                <w:color w:val="000000"/>
                <w:kern w:val="28"/>
              </w:rPr>
              <w:t>/</w:t>
            </w:r>
            <w:r w:rsidRPr="00FD74B6">
              <w:rPr>
                <w:rFonts w:cs="Arial"/>
                <w:color w:val="000000"/>
                <w:kern w:val="28"/>
              </w:rPr>
              <w:br/>
              <w:t xml:space="preserve"> 79%</w:t>
            </w:r>
          </w:p>
        </w:tc>
        <w:tc>
          <w:tcPr>
            <w:tcW w:w="1170" w:type="dxa"/>
            <w:hideMark/>
          </w:tcPr>
          <w:p w:rsidR="00EB1E42" w:rsidRPr="00FD74B6" w:rsidRDefault="005004A5" w:rsidP="00704E41">
            <w:pPr>
              <w:widowControl w:val="0"/>
              <w:overflowPunct w:val="0"/>
              <w:autoSpaceDE w:val="0"/>
              <w:autoSpaceDN w:val="0"/>
              <w:adjustRightInd w:val="0"/>
              <w:jc w:val="center"/>
              <w:rPr>
                <w:rFonts w:cs="Arial"/>
                <w:bCs/>
                <w:kern w:val="28"/>
                <w:sz w:val="23"/>
                <w:szCs w:val="23"/>
              </w:rPr>
            </w:pPr>
            <w:r w:rsidRPr="005C5997">
              <w:rPr>
                <w:rFonts w:cs="Arial"/>
                <w:color w:val="000000"/>
                <w:kern w:val="28"/>
              </w:rPr>
              <w:t>75%/</w:t>
            </w:r>
            <w:r w:rsidRPr="005C5997">
              <w:rPr>
                <w:rFonts w:cs="Arial"/>
                <w:color w:val="000000"/>
                <w:kern w:val="28"/>
              </w:rPr>
              <w:br/>
              <w:t xml:space="preserve"> 79%</w:t>
            </w:r>
            <w:bookmarkStart w:id="123" w:name="_GoBack"/>
            <w:bookmarkEnd w:id="123"/>
          </w:p>
        </w:tc>
        <w:tc>
          <w:tcPr>
            <w:tcW w:w="1064" w:type="dxa"/>
            <w:hideMark/>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73.7%/ 76.45%</w:t>
            </w:r>
          </w:p>
        </w:tc>
        <w:tc>
          <w:tcPr>
            <w:tcW w:w="1097" w:type="dxa"/>
            <w:hideMark/>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74.7%/ 77.45%</w:t>
            </w:r>
          </w:p>
        </w:tc>
        <w:tc>
          <w:tcPr>
            <w:tcW w:w="1067" w:type="dxa"/>
            <w:hideMark/>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75.7%/ 78.45%</w:t>
            </w:r>
          </w:p>
        </w:tc>
        <w:tc>
          <w:tcPr>
            <w:tcW w:w="941" w:type="dxa"/>
          </w:tcPr>
          <w:p w:rsidR="00EB1E42" w:rsidRPr="00FD74B6" w:rsidRDefault="00EB1E42" w:rsidP="00704E41">
            <w:pPr>
              <w:widowControl w:val="0"/>
              <w:overflowPunct w:val="0"/>
              <w:autoSpaceDE w:val="0"/>
              <w:autoSpaceDN w:val="0"/>
              <w:adjustRightInd w:val="0"/>
              <w:jc w:val="center"/>
              <w:rPr>
                <w:rFonts w:cs="Arial"/>
                <w:bCs/>
                <w:kern w:val="28"/>
                <w:sz w:val="23"/>
                <w:szCs w:val="23"/>
              </w:rPr>
            </w:pPr>
            <w:r w:rsidRPr="00FD74B6">
              <w:rPr>
                <w:rFonts w:cs="Arial"/>
                <w:bCs/>
                <w:kern w:val="28"/>
                <w:sz w:val="23"/>
                <w:szCs w:val="23"/>
              </w:rPr>
              <w:t>7</w:t>
            </w:r>
            <w:r>
              <w:rPr>
                <w:rFonts w:cs="Arial"/>
                <w:bCs/>
                <w:kern w:val="28"/>
                <w:sz w:val="23"/>
                <w:szCs w:val="23"/>
              </w:rPr>
              <w:t>6</w:t>
            </w:r>
            <w:r w:rsidRPr="00FD74B6">
              <w:rPr>
                <w:rFonts w:cs="Arial"/>
                <w:bCs/>
                <w:kern w:val="28"/>
                <w:sz w:val="23"/>
                <w:szCs w:val="23"/>
              </w:rPr>
              <w:t>.7%/ 7</w:t>
            </w:r>
            <w:r>
              <w:rPr>
                <w:rFonts w:cs="Arial"/>
                <w:bCs/>
                <w:kern w:val="28"/>
                <w:sz w:val="23"/>
                <w:szCs w:val="23"/>
              </w:rPr>
              <w:t>9</w:t>
            </w:r>
            <w:r w:rsidRPr="00FD74B6">
              <w:rPr>
                <w:rFonts w:cs="Arial"/>
                <w:bCs/>
                <w:kern w:val="28"/>
                <w:sz w:val="23"/>
                <w:szCs w:val="23"/>
              </w:rPr>
              <w:t>.45%</w:t>
            </w:r>
          </w:p>
        </w:tc>
      </w:tr>
      <w:tr w:rsidR="00EB1E42" w:rsidRPr="00FD74B6" w:rsidTr="00704E41">
        <w:trPr>
          <w:cantSplit/>
          <w:trHeight w:val="706"/>
        </w:trPr>
        <w:tc>
          <w:tcPr>
            <w:tcW w:w="165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129"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65.9%</w:t>
            </w:r>
            <w:r w:rsidRPr="00FD74B6">
              <w:rPr>
                <w:rFonts w:cs="Arial"/>
                <w:color w:val="000000"/>
                <w:kern w:val="28"/>
              </w:rPr>
              <w:t>/ 65.7%</w:t>
            </w:r>
          </w:p>
        </w:tc>
        <w:tc>
          <w:tcPr>
            <w:tcW w:w="1226"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65.8%</w:t>
            </w:r>
            <w:r w:rsidRPr="00FD74B6">
              <w:rPr>
                <w:rFonts w:cs="Arial"/>
                <w:color w:val="000000"/>
                <w:kern w:val="28"/>
              </w:rPr>
              <w:t xml:space="preserve">/ </w:t>
            </w:r>
            <w:r w:rsidRPr="00FD74B6">
              <w:rPr>
                <w:rFonts w:cs="Arial"/>
                <w:color w:val="000000"/>
                <w:kern w:val="28"/>
              </w:rPr>
              <w:br/>
              <w:t>65.8%</w:t>
            </w:r>
          </w:p>
        </w:tc>
        <w:tc>
          <w:tcPr>
            <w:tcW w:w="1170"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Pr>
                <w:rFonts w:cs="Arial"/>
                <w:color w:val="000000"/>
                <w:kern w:val="28"/>
              </w:rPr>
              <w:t>68.7%</w:t>
            </w:r>
            <w:r w:rsidRPr="00FD74B6">
              <w:rPr>
                <w:rFonts w:cs="Arial"/>
                <w:color w:val="000000"/>
                <w:kern w:val="28"/>
              </w:rPr>
              <w:t>/</w:t>
            </w:r>
            <w:r w:rsidRPr="00FD74B6">
              <w:rPr>
                <w:rFonts w:cs="Arial"/>
                <w:color w:val="000000"/>
                <w:kern w:val="28"/>
              </w:rPr>
              <w:br/>
              <w:t xml:space="preserve"> 70.4%</w:t>
            </w:r>
          </w:p>
        </w:tc>
        <w:tc>
          <w:tcPr>
            <w:tcW w:w="1064" w:type="dxa"/>
            <w:hideMark/>
          </w:tcPr>
          <w:p w:rsidR="00EB1E42" w:rsidRPr="00FD74B6" w:rsidRDefault="00EB1E42" w:rsidP="00704E41">
            <w:pPr>
              <w:widowControl w:val="0"/>
              <w:overflowPunct w:val="0"/>
              <w:autoSpaceDE w:val="0"/>
              <w:autoSpaceDN w:val="0"/>
              <w:adjustRightInd w:val="0"/>
              <w:jc w:val="center"/>
              <w:rPr>
                <w:rFonts w:cs="Arial"/>
                <w:kern w:val="28"/>
                <w:sz w:val="23"/>
                <w:szCs w:val="23"/>
              </w:rPr>
            </w:pPr>
            <w:r w:rsidRPr="00FD74B6">
              <w:rPr>
                <w:rFonts w:cs="Arial"/>
                <w:bCs/>
                <w:kern w:val="28"/>
                <w:sz w:val="23"/>
                <w:szCs w:val="23"/>
              </w:rPr>
              <w:t>73.7%/ 76.5%</w:t>
            </w:r>
          </w:p>
        </w:tc>
        <w:tc>
          <w:tcPr>
            <w:tcW w:w="1097" w:type="dxa"/>
            <w:hideMark/>
          </w:tcPr>
          <w:p w:rsidR="00EB1E42" w:rsidRDefault="00EB1E42" w:rsidP="00704E41">
            <w:pPr>
              <w:widowControl w:val="0"/>
              <w:overflowPunct w:val="0"/>
              <w:autoSpaceDE w:val="0"/>
              <w:autoSpaceDN w:val="0"/>
              <w:adjustRightInd w:val="0"/>
              <w:jc w:val="center"/>
              <w:rPr>
                <w:rFonts w:cs="Arial"/>
                <w:bCs/>
                <w:kern w:val="28"/>
                <w:sz w:val="23"/>
                <w:szCs w:val="23"/>
              </w:rPr>
            </w:pPr>
            <w:r>
              <w:rPr>
                <w:rFonts w:cs="Arial"/>
                <w:bCs/>
                <w:kern w:val="28"/>
                <w:sz w:val="23"/>
                <w:szCs w:val="23"/>
              </w:rPr>
              <w:t>75.3%/</w:t>
            </w:r>
          </w:p>
          <w:p w:rsidR="00EB1E42" w:rsidRPr="00FD74B6" w:rsidRDefault="00EB1E42" w:rsidP="00704E41">
            <w:pPr>
              <w:widowControl w:val="0"/>
              <w:overflowPunct w:val="0"/>
              <w:autoSpaceDE w:val="0"/>
              <w:autoSpaceDN w:val="0"/>
              <w:adjustRightInd w:val="0"/>
              <w:jc w:val="center"/>
              <w:rPr>
                <w:rFonts w:cs="Arial"/>
                <w:kern w:val="28"/>
                <w:sz w:val="23"/>
                <w:szCs w:val="23"/>
              </w:rPr>
            </w:pPr>
            <w:r>
              <w:rPr>
                <w:rFonts w:cs="Arial"/>
                <w:bCs/>
                <w:kern w:val="28"/>
                <w:sz w:val="23"/>
                <w:szCs w:val="23"/>
              </w:rPr>
              <w:t>77.0%</w:t>
            </w:r>
          </w:p>
        </w:tc>
        <w:tc>
          <w:tcPr>
            <w:tcW w:w="1067" w:type="dxa"/>
            <w:hideMark/>
          </w:tcPr>
          <w:p w:rsidR="00EB1E42" w:rsidRDefault="00EB1E42" w:rsidP="00704E41">
            <w:pPr>
              <w:widowControl w:val="0"/>
              <w:overflowPunct w:val="0"/>
              <w:autoSpaceDE w:val="0"/>
              <w:autoSpaceDN w:val="0"/>
              <w:adjustRightInd w:val="0"/>
              <w:jc w:val="center"/>
              <w:rPr>
                <w:rFonts w:cs="Arial"/>
                <w:bCs/>
                <w:kern w:val="28"/>
                <w:sz w:val="23"/>
                <w:szCs w:val="23"/>
              </w:rPr>
            </w:pPr>
            <w:r>
              <w:rPr>
                <w:rFonts w:cs="Arial"/>
                <w:bCs/>
                <w:kern w:val="28"/>
                <w:sz w:val="23"/>
                <w:szCs w:val="23"/>
              </w:rPr>
              <w:t>75.4%/</w:t>
            </w:r>
          </w:p>
          <w:p w:rsidR="00EB1E42" w:rsidRPr="00FD74B6" w:rsidRDefault="00EB1E42" w:rsidP="00704E41">
            <w:pPr>
              <w:widowControl w:val="0"/>
              <w:overflowPunct w:val="0"/>
              <w:autoSpaceDE w:val="0"/>
              <w:autoSpaceDN w:val="0"/>
              <w:adjustRightInd w:val="0"/>
              <w:jc w:val="center"/>
              <w:rPr>
                <w:rFonts w:cs="Arial"/>
                <w:kern w:val="28"/>
                <w:sz w:val="23"/>
                <w:szCs w:val="23"/>
              </w:rPr>
            </w:pPr>
            <w:r>
              <w:rPr>
                <w:rFonts w:cs="Arial"/>
                <w:kern w:val="28"/>
                <w:sz w:val="23"/>
                <w:szCs w:val="23"/>
              </w:rPr>
              <w:t>76.7%</w:t>
            </w:r>
          </w:p>
        </w:tc>
        <w:tc>
          <w:tcPr>
            <w:tcW w:w="941" w:type="dxa"/>
          </w:tcPr>
          <w:p w:rsidR="00EB1E42" w:rsidRPr="006C3AEA" w:rsidRDefault="00EB1E42" w:rsidP="00704E41">
            <w:pPr>
              <w:widowControl w:val="0"/>
              <w:overflowPunct w:val="0"/>
              <w:autoSpaceDE w:val="0"/>
              <w:autoSpaceDN w:val="0"/>
              <w:adjustRightInd w:val="0"/>
              <w:jc w:val="center"/>
              <w:rPr>
                <w:rFonts w:cs="Arial"/>
                <w:szCs w:val="20"/>
              </w:rPr>
            </w:pPr>
            <w:r w:rsidRPr="006C3AEA">
              <w:rPr>
                <w:rFonts w:cs="Arial"/>
                <w:szCs w:val="20"/>
              </w:rPr>
              <w:t>79.4%/</w:t>
            </w:r>
          </w:p>
          <w:p w:rsidR="00EB1E42" w:rsidRDefault="00EB1E42" w:rsidP="00704E41">
            <w:pPr>
              <w:widowControl w:val="0"/>
              <w:overflowPunct w:val="0"/>
              <w:autoSpaceDE w:val="0"/>
              <w:autoSpaceDN w:val="0"/>
              <w:adjustRightInd w:val="0"/>
              <w:jc w:val="center"/>
              <w:rPr>
                <w:rFonts w:cs="Arial"/>
                <w:bCs/>
                <w:kern w:val="28"/>
                <w:sz w:val="23"/>
                <w:szCs w:val="23"/>
              </w:rPr>
            </w:pPr>
            <w:r w:rsidRPr="006C3AEA">
              <w:rPr>
                <w:rFonts w:cs="Arial"/>
                <w:szCs w:val="20"/>
              </w:rPr>
              <w:t>77.8%</w:t>
            </w:r>
          </w:p>
        </w:tc>
      </w:tr>
      <w:tr w:rsidR="00EB1E42" w:rsidRPr="00FD74B6" w:rsidTr="00704E41">
        <w:trPr>
          <w:cantSplit/>
          <w:trHeight w:val="260"/>
        </w:trPr>
        <w:tc>
          <w:tcPr>
            <w:tcW w:w="165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129"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rPr>
              <w:t>No</w:t>
            </w:r>
          </w:p>
        </w:tc>
        <w:tc>
          <w:tcPr>
            <w:tcW w:w="1226"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rPr>
              <w:t>No</w:t>
            </w:r>
          </w:p>
        </w:tc>
        <w:tc>
          <w:tcPr>
            <w:tcW w:w="1170" w:type="dxa"/>
            <w:hideMark/>
          </w:tcPr>
          <w:p w:rsidR="00EB1E42" w:rsidRPr="00FD74B6" w:rsidRDefault="00EB1E42" w:rsidP="00704E41">
            <w:pPr>
              <w:widowControl w:val="0"/>
              <w:overflowPunct w:val="0"/>
              <w:autoSpaceDE w:val="0"/>
              <w:autoSpaceDN w:val="0"/>
              <w:adjustRightInd w:val="0"/>
              <w:jc w:val="center"/>
              <w:rPr>
                <w:rFonts w:cs="Arial"/>
                <w:color w:val="000000"/>
                <w:kern w:val="28"/>
              </w:rPr>
            </w:pPr>
            <w:r w:rsidRPr="00FD74B6">
              <w:rPr>
                <w:rFonts w:cs="Arial"/>
                <w:color w:val="000000"/>
                <w:kern w:val="28"/>
              </w:rPr>
              <w:t>Yes</w:t>
            </w:r>
          </w:p>
        </w:tc>
        <w:tc>
          <w:tcPr>
            <w:tcW w:w="106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Yes</w:t>
            </w:r>
          </w:p>
        </w:tc>
        <w:tc>
          <w:tcPr>
            <w:tcW w:w="109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Yes/No</w:t>
            </w:r>
          </w:p>
        </w:tc>
        <w:tc>
          <w:tcPr>
            <w:tcW w:w="106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941" w:type="dxa"/>
          </w:tcPr>
          <w:p w:rsidR="00EB1E42" w:rsidRPr="00FD74B6"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Yes/No</w:t>
            </w:r>
          </w:p>
        </w:tc>
      </w:tr>
    </w:tbl>
    <w:p w:rsidR="00EB1E42" w:rsidRDefault="00EB1E42" w:rsidP="00EB1E42">
      <w:pPr>
        <w:rPr>
          <w:rFonts w:cs="Arial"/>
          <w:bCs/>
        </w:rPr>
      </w:pPr>
      <w:r w:rsidRPr="00FD74B6">
        <w:rPr>
          <w:rFonts w:cs="Arial"/>
        </w:rPr>
        <w:t>*</w:t>
      </w:r>
      <w:r w:rsidRPr="00FD74B6">
        <w:rPr>
          <w:rFonts w:cs="Arial"/>
          <w:bCs/>
        </w:rPr>
        <w:t xml:space="preserve"> Targets were changed this year due to new assessment tool</w:t>
      </w:r>
    </w:p>
    <w:p w:rsidR="00EB1E42" w:rsidRDefault="00EB1E42" w:rsidP="00EB1E42">
      <w:pPr>
        <w:spacing w:after="160" w:line="259" w:lineRule="auto"/>
        <w:rPr>
          <w:rFonts w:cs="Arial"/>
          <w:bCs/>
        </w:rPr>
      </w:pPr>
      <w:r>
        <w:rPr>
          <w:rFonts w:cs="Arial"/>
          <w:bCs/>
        </w:rPr>
        <w:br w:type="page"/>
      </w:r>
    </w:p>
    <w:p w:rsidR="00EB1E42" w:rsidRPr="00FD74B6" w:rsidRDefault="00EB1E42" w:rsidP="00EB1E42">
      <w:pPr>
        <w:pStyle w:val="Heading2"/>
        <w:spacing w:before="960" w:after="240"/>
        <w:jc w:val="center"/>
      </w:pPr>
      <w:bookmarkStart w:id="124" w:name="_Toc77599100"/>
      <w:r w:rsidRPr="00FD74B6">
        <w:lastRenderedPageBreak/>
        <w:t>Indicator 8: Percent of Parents Reporting the Schools Facilitated Parental Involvement</w:t>
      </w:r>
      <w:bookmarkEnd w:id="124"/>
    </w:p>
    <w:p w:rsidR="00EB1E42" w:rsidRPr="00FD74B6" w:rsidRDefault="00EB1E42" w:rsidP="00EB1E42">
      <w:pPr>
        <w:pStyle w:val="Heading3"/>
        <w:spacing w:before="0" w:after="240"/>
      </w:pPr>
      <w:bookmarkStart w:id="125" w:name="_Toc77599101"/>
      <w:r>
        <w:t>Measurement</w:t>
      </w:r>
      <w:bookmarkEnd w:id="125"/>
    </w:p>
    <w:p w:rsidR="00EB1E42" w:rsidRDefault="00EB1E42" w:rsidP="00EB1E42">
      <w:pPr>
        <w:spacing w:after="240"/>
        <w:rPr>
          <w:rFonts w:cs="Arial"/>
        </w:rPr>
      </w:pPr>
      <w:r w:rsidRPr="00FD74B6">
        <w:rPr>
          <w:rFonts w:cs="Arial"/>
        </w:rPr>
        <w:t>Indicator 8 is a performance indicator that measures the percent of parents with a student receiving special education services who report that schools facilitated parent involvement as a means of improving services and results for students with disabilities</w:t>
      </w:r>
      <w:r>
        <w:rPr>
          <w:rFonts w:cs="Arial"/>
        </w:rPr>
        <w:t>.</w:t>
      </w:r>
    </w:p>
    <w:p w:rsidR="00EB1E42" w:rsidRDefault="00EB1E42" w:rsidP="00EB1E42">
      <w:pPr>
        <w:spacing w:after="240"/>
        <w:rPr>
          <w:rFonts w:cs="Arial"/>
        </w:rPr>
      </w:pPr>
      <w:r w:rsidRPr="00FD74B6">
        <w:rPr>
          <w:rFonts w:cs="Arial"/>
        </w:rPr>
        <w:t>These data are one question in a survey distributed, collected, and reported by the Special Education Local Plan Areas (SELPAs). The measure is the percentage of parents responding “yes” to the following question: “Did the school district facilitate parent involvement as a means of improving services and results for your child?”</w:t>
      </w:r>
    </w:p>
    <w:p w:rsidR="00EB1E42" w:rsidRPr="00FD74B6" w:rsidRDefault="00EB1E42" w:rsidP="00EB1E42">
      <w:pPr>
        <w:spacing w:after="240"/>
        <w:rPr>
          <w:rFonts w:cs="Arial"/>
        </w:rPr>
      </w:pPr>
      <w:r w:rsidRPr="006C21FD">
        <w:rPr>
          <w:rFonts w:cs="Arial"/>
        </w:rPr>
        <w:t>Percent = [(# of respondent parents who report schools facilitated parent involvement as a means of improving services and results for children with disabilities) divided by the (total # of respondent parents of children with disabilities)] times 100.</w:t>
      </w:r>
    </w:p>
    <w:p w:rsidR="00EB1E42" w:rsidRPr="00FD74B6" w:rsidRDefault="00EB1E42" w:rsidP="00EB1E42">
      <w:pPr>
        <w:pStyle w:val="Heading3"/>
        <w:spacing w:before="0" w:after="240"/>
      </w:pPr>
      <w:bookmarkStart w:id="126" w:name="_Toc77599102"/>
      <w:r>
        <w:t>Notable Change(s)</w:t>
      </w:r>
      <w:bookmarkEnd w:id="126"/>
    </w:p>
    <w:p w:rsidR="00EB1E42" w:rsidRPr="00FD74B6" w:rsidRDefault="00EB1E42" w:rsidP="00EB1E42">
      <w:pPr>
        <w:spacing w:after="240"/>
        <w:rPr>
          <w:rFonts w:cs="Arial"/>
          <w:b/>
          <w:bCs/>
        </w:rPr>
      </w:pPr>
      <w:r>
        <w:rPr>
          <w:rFonts w:cs="Arial"/>
        </w:rPr>
        <w:t xml:space="preserve">There were no changes to the calculation or measurement for this indicator. When reporting the extent to which the demographics of the children for whom parents responded are representative of the demographics of children receiving special education services, States must choose a secondary category in addition to race and ethnicity (which is already reported). </w:t>
      </w:r>
    </w:p>
    <w:p w:rsidR="00EB1E42" w:rsidRPr="00FD74B6" w:rsidRDefault="00EB1E42" w:rsidP="00EB1E42">
      <w:pPr>
        <w:pStyle w:val="Heading3"/>
        <w:spacing w:before="0" w:after="240"/>
      </w:pPr>
      <w:bookmarkStart w:id="127" w:name="_Toc77599103"/>
      <w:r>
        <w:t>Stakeholder Feedback</w:t>
      </w:r>
      <w:bookmarkEnd w:id="127"/>
    </w:p>
    <w:p w:rsidR="00EB1E42" w:rsidRDefault="00EB1E42" w:rsidP="00EB1E42">
      <w:r>
        <w:t xml:space="preserve">The stakeholders recommended the target continue to increase each year. </w:t>
      </w:r>
    </w:p>
    <w:p w:rsidR="00EB1E42" w:rsidRDefault="00EB1E42" w:rsidP="00EB1E42">
      <w:pPr>
        <w:pStyle w:val="Heading3"/>
      </w:pPr>
      <w:bookmarkStart w:id="128" w:name="_Toc77599104"/>
      <w:r w:rsidRPr="00FD74B6">
        <w:t>Parent Involvement/Input</w:t>
      </w:r>
      <w:r>
        <w:t xml:space="preserve"> New </w:t>
      </w:r>
      <w:r w:rsidRPr="00FD74B6">
        <w:t>Targets</w:t>
      </w:r>
      <w:bookmarkEnd w:id="128"/>
      <w:r w:rsidRPr="00FD74B6">
        <w:t xml:space="preserve"> </w:t>
      </w:r>
    </w:p>
    <w:tbl>
      <w:tblPr>
        <w:tblStyle w:val="TableGrid1"/>
        <w:tblW w:w="9350" w:type="dxa"/>
        <w:tblLook w:val="04A0" w:firstRow="1" w:lastRow="0" w:firstColumn="1" w:lastColumn="0" w:noHBand="0" w:noVBand="1"/>
        <w:tblDescription w:val="Indicator 4A Targets and Results"/>
      </w:tblPr>
      <w:tblGrid>
        <w:gridCol w:w="2151"/>
        <w:gridCol w:w="1209"/>
        <w:gridCol w:w="1201"/>
        <w:gridCol w:w="1209"/>
        <w:gridCol w:w="1201"/>
        <w:gridCol w:w="1209"/>
        <w:gridCol w:w="1170"/>
      </w:tblGrid>
      <w:tr w:rsidR="00EB1E42" w:rsidRPr="00FD74B6" w:rsidTr="00704E41">
        <w:trPr>
          <w:cantSplit/>
          <w:trHeight w:val="288"/>
          <w:tblHeader/>
        </w:trPr>
        <w:tc>
          <w:tcPr>
            <w:tcW w:w="215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8</w:t>
            </w:r>
          </w:p>
        </w:tc>
        <w:tc>
          <w:tcPr>
            <w:tcW w:w="120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9"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9"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95</w:t>
            </w:r>
            <w:r w:rsidRPr="00FD74B6">
              <w:rPr>
                <w:rFonts w:cs="Arial"/>
                <w:bCs/>
              </w:rPr>
              <w: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95.5</w:t>
            </w:r>
            <w:r w:rsidRPr="00FD74B6">
              <w:rPr>
                <w:rFonts w:cs="Arial"/>
                <w:bCs/>
              </w:rPr>
              <w:t>%</w:t>
            </w:r>
          </w:p>
        </w:tc>
        <w:tc>
          <w:tcPr>
            <w:tcW w:w="1209"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96</w:t>
            </w:r>
            <w:r w:rsidRPr="00FD74B6">
              <w:rPr>
                <w:rFonts w:cs="Arial"/>
                <w:bCs/>
              </w:rPr>
              <w: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96.5</w:t>
            </w:r>
            <w:r w:rsidRPr="00FD74B6">
              <w:rPr>
                <w:rFonts w:cs="Arial"/>
                <w:bCs/>
              </w:rPr>
              <w:t>%</w:t>
            </w:r>
          </w:p>
        </w:tc>
        <w:tc>
          <w:tcPr>
            <w:tcW w:w="1209"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97</w:t>
            </w:r>
            <w:r w:rsidRPr="00FD74B6">
              <w:rPr>
                <w:rFonts w:cs="Arial"/>
                <w:bCs/>
              </w:rPr>
              <w:t>%</w:t>
            </w:r>
          </w:p>
        </w:tc>
        <w:tc>
          <w:tcPr>
            <w:tcW w:w="1170" w:type="dxa"/>
          </w:tcPr>
          <w:p w:rsidR="00EB1E42" w:rsidRDefault="00EB1E42" w:rsidP="00704E41">
            <w:pPr>
              <w:widowControl w:val="0"/>
              <w:overflowPunct w:val="0"/>
              <w:autoSpaceDE w:val="0"/>
              <w:autoSpaceDN w:val="0"/>
              <w:adjustRightInd w:val="0"/>
              <w:jc w:val="center"/>
              <w:rPr>
                <w:rFonts w:cs="Arial"/>
                <w:bCs/>
              </w:rPr>
            </w:pPr>
            <w:r>
              <w:rPr>
                <w:rFonts w:cs="Arial"/>
                <w:bCs/>
              </w:rPr>
              <w:t>97.5%</w:t>
            </w:r>
          </w:p>
        </w:tc>
      </w:tr>
    </w:tbl>
    <w:p w:rsidR="00EB1E42" w:rsidRPr="00D12C13" w:rsidRDefault="00EB1E42" w:rsidP="00EB1E42"/>
    <w:p w:rsidR="00EB1E42" w:rsidRPr="00FD74B6" w:rsidRDefault="00EB1E42" w:rsidP="00EB1E42">
      <w:pPr>
        <w:pStyle w:val="Heading3"/>
      </w:pPr>
      <w:bookmarkStart w:id="129" w:name="_Toc77599105"/>
      <w:r w:rsidRPr="00FD74B6">
        <w:t>Parent Involvement/Input</w:t>
      </w:r>
      <w:r>
        <w:t xml:space="preserve"> Old </w:t>
      </w:r>
      <w:r w:rsidRPr="00FD74B6">
        <w:t>Targets</w:t>
      </w:r>
      <w:bookmarkEnd w:id="129"/>
      <w:r w:rsidRPr="00FD74B6">
        <w:t xml:space="preserve"> </w:t>
      </w:r>
    </w:p>
    <w:tbl>
      <w:tblPr>
        <w:tblStyle w:val="TableGrid8"/>
        <w:tblW w:w="9551" w:type="dxa"/>
        <w:tblLook w:val="04A0" w:firstRow="1" w:lastRow="0" w:firstColumn="1" w:lastColumn="0" w:noHBand="0" w:noVBand="1"/>
        <w:tblDescription w:val="Indicator 8 Targets and Results"/>
      </w:tblPr>
      <w:tblGrid>
        <w:gridCol w:w="1824"/>
        <w:gridCol w:w="1201"/>
        <w:gridCol w:w="1201"/>
        <w:gridCol w:w="1201"/>
        <w:gridCol w:w="1031"/>
        <w:gridCol w:w="1031"/>
        <w:gridCol w:w="1031"/>
        <w:gridCol w:w="1031"/>
      </w:tblGrid>
      <w:tr w:rsidR="00EB1E42" w:rsidRPr="00FD74B6" w:rsidTr="00704E41">
        <w:trPr>
          <w:cantSplit/>
          <w:trHeight w:val="319"/>
          <w:tblHeader/>
        </w:trPr>
        <w:tc>
          <w:tcPr>
            <w:tcW w:w="182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8</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20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3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3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31"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31"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19"/>
        </w:trPr>
        <w:tc>
          <w:tcPr>
            <w:tcW w:w="182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90%</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90%</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90%</w:t>
            </w:r>
          </w:p>
        </w:tc>
        <w:tc>
          <w:tcPr>
            <w:tcW w:w="103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91%</w:t>
            </w:r>
          </w:p>
        </w:tc>
        <w:tc>
          <w:tcPr>
            <w:tcW w:w="103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92%</w:t>
            </w:r>
          </w:p>
        </w:tc>
        <w:tc>
          <w:tcPr>
            <w:tcW w:w="103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w:t>
            </w:r>
          </w:p>
        </w:tc>
        <w:tc>
          <w:tcPr>
            <w:tcW w:w="1031"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94%</w:t>
            </w:r>
          </w:p>
        </w:tc>
      </w:tr>
      <w:tr w:rsidR="00EB1E42" w:rsidRPr="00FD74B6" w:rsidTr="00704E41">
        <w:trPr>
          <w:cantSplit/>
          <w:trHeight w:val="319"/>
        </w:trPr>
        <w:tc>
          <w:tcPr>
            <w:tcW w:w="182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99.1%</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99.2%</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93.8%</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99.5%</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99.5%</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99.5%</w:t>
            </w:r>
          </w:p>
        </w:tc>
        <w:tc>
          <w:tcPr>
            <w:tcW w:w="1031"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99.6%</w:t>
            </w:r>
          </w:p>
        </w:tc>
      </w:tr>
      <w:tr w:rsidR="00EB1E42" w:rsidRPr="00FD74B6" w:rsidTr="00704E41">
        <w:trPr>
          <w:cantSplit/>
          <w:trHeight w:val="319"/>
        </w:trPr>
        <w:tc>
          <w:tcPr>
            <w:tcW w:w="182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201"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Yes</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Yes</w:t>
            </w:r>
          </w:p>
        </w:tc>
        <w:tc>
          <w:tcPr>
            <w:tcW w:w="1031"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Yes</w:t>
            </w:r>
          </w:p>
        </w:tc>
        <w:tc>
          <w:tcPr>
            <w:tcW w:w="1031" w:type="dxa"/>
          </w:tcPr>
          <w:p w:rsidR="00EB1E42" w:rsidRDefault="00EB1E42" w:rsidP="00704E41">
            <w:pPr>
              <w:widowControl w:val="0"/>
              <w:overflowPunct w:val="0"/>
              <w:autoSpaceDE w:val="0"/>
              <w:autoSpaceDN w:val="0"/>
              <w:adjustRightInd w:val="0"/>
              <w:jc w:val="center"/>
              <w:rPr>
                <w:rFonts w:cs="Arial"/>
                <w:color w:val="000000"/>
                <w:kern w:val="28"/>
                <w:sz w:val="23"/>
                <w:szCs w:val="23"/>
              </w:rPr>
            </w:pPr>
            <w:r>
              <w:rPr>
                <w:rFonts w:cs="Arial"/>
                <w:color w:val="000000"/>
                <w:kern w:val="28"/>
                <w:sz w:val="23"/>
                <w:szCs w:val="23"/>
              </w:rPr>
              <w:t>Yes</w:t>
            </w:r>
          </w:p>
        </w:tc>
      </w:tr>
    </w:tbl>
    <w:p w:rsidR="00EB1E42" w:rsidRPr="00FD74B6" w:rsidRDefault="00EB1E42" w:rsidP="00EB1E42">
      <w:r w:rsidRPr="00FD74B6">
        <w:br w:type="page"/>
      </w:r>
    </w:p>
    <w:p w:rsidR="00EB1E42" w:rsidRPr="00FD74B6" w:rsidRDefault="00EB1E42" w:rsidP="00EB1E42">
      <w:pPr>
        <w:pStyle w:val="Heading2"/>
        <w:spacing w:before="0" w:after="240"/>
        <w:jc w:val="center"/>
        <w:rPr>
          <w:bCs/>
        </w:rPr>
      </w:pPr>
      <w:bookmarkStart w:id="130" w:name="_Toc77599106"/>
      <w:r w:rsidRPr="00FD74B6">
        <w:lastRenderedPageBreak/>
        <w:t xml:space="preserve">Indicator </w:t>
      </w:r>
      <w:r w:rsidRPr="00FD74B6">
        <w:rPr>
          <w:bCs/>
        </w:rPr>
        <w:t xml:space="preserve">9: </w:t>
      </w:r>
      <w:r w:rsidRPr="00FD74B6">
        <w:t>Disproportionate Representation</w:t>
      </w:r>
      <w:bookmarkEnd w:id="130"/>
    </w:p>
    <w:p w:rsidR="00EB1E42" w:rsidRPr="00FD74B6" w:rsidRDefault="00EB1E42" w:rsidP="00EB1E42">
      <w:pPr>
        <w:pStyle w:val="Heading3"/>
        <w:spacing w:before="0" w:after="240"/>
      </w:pPr>
      <w:bookmarkStart w:id="131" w:name="_Toc77599107"/>
      <w:r>
        <w:t>Measurement</w:t>
      </w:r>
      <w:bookmarkEnd w:id="131"/>
    </w:p>
    <w:p w:rsidR="00EB1E42" w:rsidRDefault="00EB1E42" w:rsidP="00EB1E42">
      <w:pPr>
        <w:tabs>
          <w:tab w:val="left" w:pos="720"/>
          <w:tab w:val="center" w:pos="4680"/>
          <w:tab w:val="right" w:pos="9360"/>
        </w:tabs>
        <w:spacing w:after="240"/>
        <w:rPr>
          <w:rFonts w:cs="Arial"/>
        </w:rPr>
      </w:pPr>
      <w:r w:rsidRPr="00FD74B6">
        <w:rPr>
          <w:rFonts w:cs="Arial"/>
        </w:rPr>
        <w:t>Indicator 9 is a compliance indicator that measures the percent of LEAs with disproportionate representation of racial and ethnic groups in special education and related services that is the result of inappropriate identification</w:t>
      </w:r>
      <w:r>
        <w:rPr>
          <w:rFonts w:cs="Arial"/>
        </w:rPr>
        <w:t>.</w:t>
      </w:r>
    </w:p>
    <w:p w:rsidR="00EB1E42" w:rsidRPr="00FD74B6" w:rsidRDefault="00EB1E42" w:rsidP="00EB1E42">
      <w:pPr>
        <w:tabs>
          <w:tab w:val="left" w:pos="720"/>
          <w:tab w:val="center" w:pos="4680"/>
          <w:tab w:val="right" w:pos="9360"/>
        </w:tabs>
        <w:spacing w:after="240"/>
        <w:rPr>
          <w:rFonts w:cs="Arial"/>
        </w:rPr>
      </w:pPr>
      <w:r>
        <w:rPr>
          <w:rFonts w:cs="Arial"/>
        </w:rPr>
        <w:t xml:space="preserve">It is calculated by </w:t>
      </w:r>
      <w:r w:rsidRPr="00053532">
        <w:rPr>
          <w:rFonts w:cs="Arial"/>
        </w:rPr>
        <w:t>(</w:t>
      </w:r>
      <w:r>
        <w:rPr>
          <w:rFonts w:cs="Arial"/>
        </w:rPr>
        <w:t>number</w:t>
      </w:r>
      <w:r w:rsidRPr="00053532">
        <w:rPr>
          <w:rFonts w:cs="Arial"/>
        </w:rPr>
        <w:t xml:space="preserve"> of districts, that meet the State-established n and/or cell size for one or more racial/ethnic groups, with disproportionate representation of racial and ethnic groups in special education and related services that is the result of inappropriate identification) divided by the (</w:t>
      </w:r>
      <w:r>
        <w:rPr>
          <w:rFonts w:cs="Arial"/>
        </w:rPr>
        <w:t>number</w:t>
      </w:r>
      <w:r w:rsidRPr="00053532">
        <w:rPr>
          <w:rFonts w:cs="Arial"/>
        </w:rPr>
        <w:t xml:space="preserve"> of districts in the State that meet the State-established n and/or cell size for one or more racial/ethnic groups) times 100.</w:t>
      </w:r>
    </w:p>
    <w:p w:rsidR="00EB1E42" w:rsidRPr="00FD74B6" w:rsidRDefault="00EB1E42" w:rsidP="00EB1E42">
      <w:pPr>
        <w:pStyle w:val="Heading3"/>
        <w:spacing w:before="0" w:after="240"/>
      </w:pPr>
      <w:bookmarkStart w:id="132" w:name="_Toc77599108"/>
      <w:r>
        <w:t>Notable Change(s)</w:t>
      </w:r>
      <w:bookmarkEnd w:id="132"/>
    </w:p>
    <w:p w:rsidR="00EB1E42" w:rsidRDefault="00EB1E42" w:rsidP="00EB1E42">
      <w:r>
        <w:t>OSEP made no changes to this indicator.</w:t>
      </w:r>
    </w:p>
    <w:p w:rsidR="00EB1E42" w:rsidRPr="00375AB7" w:rsidRDefault="00EB1E42" w:rsidP="00EB1E42"/>
    <w:p w:rsidR="00EB1E42" w:rsidRPr="00FD74B6" w:rsidRDefault="00EB1E42" w:rsidP="00EB1E42">
      <w:pPr>
        <w:pStyle w:val="Heading3"/>
        <w:spacing w:before="0" w:after="240"/>
      </w:pPr>
      <w:bookmarkStart w:id="133" w:name="_Toc77599109"/>
      <w:r>
        <w:t>Stakeholder Feedback</w:t>
      </w:r>
      <w:bookmarkEnd w:id="133"/>
    </w:p>
    <w:p w:rsidR="00EB1E42" w:rsidRDefault="00EB1E42" w:rsidP="00EB1E42">
      <w:r>
        <w:t>Indicator 9 is a compliance indicator and the target has been established by OSEP.</w:t>
      </w:r>
    </w:p>
    <w:p w:rsidR="00EB1E42" w:rsidRPr="00FD74B6" w:rsidRDefault="00EB1E42" w:rsidP="00EB1E42">
      <w:pPr>
        <w:pStyle w:val="Heading3"/>
        <w:rPr>
          <w:bCs/>
        </w:rPr>
      </w:pPr>
      <w:bookmarkStart w:id="134" w:name="_Toc77599110"/>
      <w:r w:rsidRPr="00FD74B6">
        <w:t>Disproportionate Representation</w:t>
      </w:r>
      <w:r w:rsidRPr="00FD74B6">
        <w:rPr>
          <w:bCs/>
        </w:rPr>
        <w:t xml:space="preserve"> </w:t>
      </w:r>
      <w:r>
        <w:rPr>
          <w:bCs/>
        </w:rPr>
        <w:t xml:space="preserve">New </w:t>
      </w:r>
      <w:r w:rsidRPr="00FD74B6">
        <w:rPr>
          <w:bCs/>
        </w:rPr>
        <w:t>Targets</w:t>
      </w:r>
      <w:bookmarkEnd w:id="134"/>
      <w:r w:rsidRPr="00FD74B6">
        <w:rPr>
          <w:bCs/>
        </w:rPr>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FD74B6" w:rsidTr="00704E41">
        <w:trPr>
          <w:cantSplit/>
          <w:trHeight w:val="288"/>
          <w:tblHeader/>
        </w:trPr>
        <w:tc>
          <w:tcPr>
            <w:tcW w:w="2155"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9</w:t>
            </w:r>
          </w:p>
        </w:tc>
        <w:tc>
          <w:tcPr>
            <w:tcW w:w="1203"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5"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3"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176" w:type="dxa"/>
          </w:tcPr>
          <w:p w:rsidR="00EB1E42" w:rsidRDefault="00EB1E42" w:rsidP="00704E41">
            <w:pPr>
              <w:widowControl w:val="0"/>
              <w:overflowPunct w:val="0"/>
              <w:autoSpaceDE w:val="0"/>
              <w:autoSpaceDN w:val="0"/>
              <w:adjustRightInd w:val="0"/>
              <w:jc w:val="center"/>
              <w:rPr>
                <w:rFonts w:cs="Arial"/>
                <w:bCs/>
              </w:rPr>
            </w:pPr>
            <w:r>
              <w:rPr>
                <w:rFonts w:cs="Arial"/>
                <w:bCs/>
              </w:rPr>
              <w:t>0%</w:t>
            </w:r>
          </w:p>
        </w:tc>
      </w:tr>
    </w:tbl>
    <w:p w:rsidR="00EB1E42" w:rsidRPr="00FD74B6" w:rsidRDefault="00EB1E42" w:rsidP="00EB1E42">
      <w:pPr>
        <w:pStyle w:val="Heading3"/>
        <w:rPr>
          <w:bCs/>
        </w:rPr>
      </w:pPr>
      <w:bookmarkStart w:id="135" w:name="_Toc77599111"/>
      <w:r w:rsidRPr="00FD74B6">
        <w:t>Disproportionate Representation</w:t>
      </w:r>
      <w:r w:rsidRPr="00FD74B6">
        <w:rPr>
          <w:bCs/>
        </w:rPr>
        <w:t xml:space="preserve"> </w:t>
      </w:r>
      <w:r>
        <w:rPr>
          <w:bCs/>
        </w:rPr>
        <w:t xml:space="preserve">Old </w:t>
      </w:r>
      <w:r w:rsidRPr="00FD74B6">
        <w:rPr>
          <w:bCs/>
        </w:rPr>
        <w:t>Targets</w:t>
      </w:r>
      <w:bookmarkEnd w:id="135"/>
      <w:r w:rsidRPr="00FD74B6">
        <w:rPr>
          <w:bCs/>
        </w:rPr>
        <w:t xml:space="preserve"> </w:t>
      </w:r>
    </w:p>
    <w:tbl>
      <w:tblPr>
        <w:tblStyle w:val="TableGrid9"/>
        <w:tblW w:w="9466" w:type="dxa"/>
        <w:tblLook w:val="04A0" w:firstRow="1" w:lastRow="0" w:firstColumn="1" w:lastColumn="0" w:noHBand="0" w:noVBand="1"/>
        <w:tblDescription w:val="Indicator 9 Targets and Results"/>
      </w:tblPr>
      <w:tblGrid>
        <w:gridCol w:w="1900"/>
        <w:gridCol w:w="1090"/>
        <w:gridCol w:w="1090"/>
        <w:gridCol w:w="1090"/>
        <w:gridCol w:w="1074"/>
        <w:gridCol w:w="1074"/>
        <w:gridCol w:w="1074"/>
        <w:gridCol w:w="1074"/>
      </w:tblGrid>
      <w:tr w:rsidR="00EB1E42" w:rsidRPr="00FD74B6" w:rsidTr="00704E41">
        <w:trPr>
          <w:cantSplit/>
          <w:trHeight w:val="337"/>
          <w:tblHeader/>
        </w:trPr>
        <w:tc>
          <w:tcPr>
            <w:tcW w:w="190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9</w:t>
            </w:r>
          </w:p>
        </w:tc>
        <w:tc>
          <w:tcPr>
            <w:tcW w:w="109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9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9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7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7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7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74"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37"/>
        </w:trPr>
        <w:tc>
          <w:tcPr>
            <w:tcW w:w="190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p>
        </w:tc>
      </w:tr>
      <w:tr w:rsidR="00EB1E42" w:rsidRPr="00FD74B6" w:rsidTr="00704E41">
        <w:trPr>
          <w:cantSplit/>
          <w:trHeight w:val="337"/>
        </w:trPr>
        <w:tc>
          <w:tcPr>
            <w:tcW w:w="190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.09%</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.09%</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2.57%</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576F84">
              <w:rPr>
                <w:rFonts w:cs="Arial"/>
                <w:bCs/>
                <w:color w:val="000000"/>
                <w:kern w:val="28"/>
                <w:sz w:val="23"/>
                <w:szCs w:val="23"/>
              </w:rPr>
              <w:t>0.88%</w:t>
            </w:r>
          </w:p>
        </w:tc>
        <w:tc>
          <w:tcPr>
            <w:tcW w:w="1074" w:type="dxa"/>
            <w:hideMark/>
          </w:tcPr>
          <w:p w:rsidR="00EB1E42" w:rsidRPr="006B63EA" w:rsidRDefault="00EB1E42" w:rsidP="00704E41">
            <w:pPr>
              <w:widowControl w:val="0"/>
              <w:overflowPunct w:val="0"/>
              <w:autoSpaceDE w:val="0"/>
              <w:autoSpaceDN w:val="0"/>
              <w:adjustRightInd w:val="0"/>
              <w:jc w:val="center"/>
              <w:rPr>
                <w:rFonts w:cs="Arial"/>
                <w:color w:val="000000"/>
                <w:kern w:val="28"/>
                <w:sz w:val="23"/>
                <w:szCs w:val="23"/>
              </w:rPr>
            </w:pPr>
            <w:r w:rsidRPr="006B63EA">
              <w:rPr>
                <w:rFonts w:cs="Arial"/>
                <w:bCs/>
                <w:color w:val="000000"/>
                <w:kern w:val="28"/>
                <w:sz w:val="23"/>
                <w:szCs w:val="23"/>
              </w:rPr>
              <w:t>1.60%</w:t>
            </w:r>
          </w:p>
        </w:tc>
        <w:tc>
          <w:tcPr>
            <w:tcW w:w="1074" w:type="dxa"/>
          </w:tcPr>
          <w:p w:rsidR="00EB1E42" w:rsidRPr="00A22BB3" w:rsidRDefault="00EB1E42" w:rsidP="00704E41">
            <w:pPr>
              <w:widowControl w:val="0"/>
              <w:overflowPunct w:val="0"/>
              <w:autoSpaceDE w:val="0"/>
              <w:autoSpaceDN w:val="0"/>
              <w:adjustRightInd w:val="0"/>
              <w:jc w:val="center"/>
              <w:rPr>
                <w:rFonts w:cs="Arial"/>
                <w:bCs/>
                <w:color w:val="000000"/>
                <w:kern w:val="28"/>
                <w:sz w:val="23"/>
                <w:szCs w:val="23"/>
                <w:highlight w:val="yellow"/>
              </w:rPr>
            </w:pPr>
            <w:r w:rsidRPr="00FA0321">
              <w:rPr>
                <w:rFonts w:cs="Arial"/>
                <w:bCs/>
                <w:color w:val="000000"/>
                <w:kern w:val="28"/>
                <w:sz w:val="23"/>
                <w:szCs w:val="23"/>
              </w:rPr>
              <w:t>2.05%</w:t>
            </w:r>
          </w:p>
        </w:tc>
      </w:tr>
      <w:tr w:rsidR="00EB1E42" w:rsidRPr="00FD74B6" w:rsidTr="00704E41">
        <w:trPr>
          <w:cantSplit/>
          <w:trHeight w:val="337"/>
        </w:trPr>
        <w:tc>
          <w:tcPr>
            <w:tcW w:w="190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9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Yes</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74"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74" w:type="dxa"/>
            <w:hideMark/>
          </w:tcPr>
          <w:p w:rsidR="00EB1E42" w:rsidRPr="006B63EA" w:rsidRDefault="00EB1E42" w:rsidP="00704E41">
            <w:pPr>
              <w:widowControl w:val="0"/>
              <w:overflowPunct w:val="0"/>
              <w:autoSpaceDE w:val="0"/>
              <w:autoSpaceDN w:val="0"/>
              <w:adjustRightInd w:val="0"/>
              <w:jc w:val="center"/>
              <w:rPr>
                <w:rFonts w:cs="Arial"/>
                <w:color w:val="000000"/>
                <w:kern w:val="28"/>
                <w:sz w:val="23"/>
                <w:szCs w:val="23"/>
              </w:rPr>
            </w:pPr>
            <w:r w:rsidRPr="006B63EA">
              <w:rPr>
                <w:rFonts w:cs="Arial"/>
                <w:bCs/>
                <w:color w:val="000000"/>
                <w:kern w:val="28"/>
                <w:sz w:val="23"/>
                <w:szCs w:val="23"/>
              </w:rPr>
              <w:t>No</w:t>
            </w:r>
          </w:p>
        </w:tc>
        <w:tc>
          <w:tcPr>
            <w:tcW w:w="1074" w:type="dxa"/>
          </w:tcPr>
          <w:p w:rsidR="00EB1E42" w:rsidRPr="00A22BB3" w:rsidRDefault="00EB1E42" w:rsidP="00704E41">
            <w:pPr>
              <w:widowControl w:val="0"/>
              <w:overflowPunct w:val="0"/>
              <w:autoSpaceDE w:val="0"/>
              <w:autoSpaceDN w:val="0"/>
              <w:adjustRightInd w:val="0"/>
              <w:jc w:val="center"/>
              <w:rPr>
                <w:rFonts w:cs="Arial"/>
                <w:bCs/>
                <w:color w:val="000000"/>
                <w:kern w:val="28"/>
                <w:sz w:val="23"/>
                <w:szCs w:val="23"/>
                <w:highlight w:val="yellow"/>
              </w:rPr>
            </w:pPr>
            <w:r w:rsidRPr="003561E3">
              <w:rPr>
                <w:rFonts w:cs="Arial"/>
                <w:bCs/>
                <w:color w:val="000000"/>
                <w:kern w:val="28"/>
                <w:sz w:val="23"/>
                <w:szCs w:val="23"/>
              </w:rPr>
              <w:t>No</w:t>
            </w:r>
          </w:p>
        </w:tc>
      </w:tr>
    </w:tbl>
    <w:p w:rsidR="00EB1E42" w:rsidRPr="00FD74B6" w:rsidRDefault="00EB1E42" w:rsidP="00EB1E42">
      <w:r w:rsidRPr="00FD74B6">
        <w:br w:type="page"/>
      </w:r>
    </w:p>
    <w:p w:rsidR="00EB1E42" w:rsidRPr="00FD74B6" w:rsidRDefault="00EB1E42" w:rsidP="00EB1E42">
      <w:pPr>
        <w:pStyle w:val="Heading2"/>
        <w:spacing w:before="0" w:after="240"/>
        <w:jc w:val="center"/>
        <w:rPr>
          <w:bCs/>
        </w:rPr>
      </w:pPr>
      <w:bookmarkStart w:id="136" w:name="_Toc77599112"/>
      <w:r w:rsidRPr="00FD74B6">
        <w:rPr>
          <w:bCs/>
        </w:rPr>
        <w:lastRenderedPageBreak/>
        <w:t xml:space="preserve">Indicator 10: </w:t>
      </w:r>
      <w:r w:rsidRPr="00FD74B6">
        <w:t>Disproportionate Representation by Disability Categories</w:t>
      </w:r>
      <w:bookmarkEnd w:id="136"/>
    </w:p>
    <w:p w:rsidR="00EB1E42" w:rsidRPr="00FD74B6" w:rsidRDefault="00EB1E42" w:rsidP="00EB1E42">
      <w:pPr>
        <w:pStyle w:val="Heading3"/>
        <w:spacing w:before="0" w:after="240"/>
      </w:pPr>
      <w:bookmarkStart w:id="137" w:name="_Toc77599113"/>
      <w:r>
        <w:t>Measurement</w:t>
      </w:r>
      <w:bookmarkEnd w:id="137"/>
    </w:p>
    <w:p w:rsidR="00EB1E42" w:rsidRDefault="00EB1E42" w:rsidP="00EB1E42">
      <w:pPr>
        <w:tabs>
          <w:tab w:val="left" w:pos="720"/>
          <w:tab w:val="center" w:pos="4680"/>
          <w:tab w:val="right" w:pos="9360"/>
        </w:tabs>
        <w:spacing w:after="240"/>
        <w:rPr>
          <w:rFonts w:cs="Arial"/>
        </w:rPr>
      </w:pPr>
      <w:r w:rsidRPr="19C1E75B">
        <w:rPr>
          <w:rFonts w:cs="Arial"/>
        </w:rPr>
        <w:t xml:space="preserve">Indicator 10 is a compliance indicator that measures the percent of LEAs with disproportionate representation of racial and ethnic groups in specific disability categories that is the result of inappropriate identification. </w:t>
      </w:r>
    </w:p>
    <w:p w:rsidR="00EB1E42" w:rsidRPr="00FD74B6" w:rsidRDefault="00EB1E42" w:rsidP="00EB1E42">
      <w:pPr>
        <w:tabs>
          <w:tab w:val="left" w:pos="720"/>
          <w:tab w:val="center" w:pos="4680"/>
          <w:tab w:val="right" w:pos="9360"/>
        </w:tabs>
        <w:spacing w:after="240"/>
        <w:rPr>
          <w:rFonts w:cs="Arial"/>
          <w:b/>
          <w:bCs/>
        </w:rPr>
      </w:pPr>
      <w:r>
        <w:rPr>
          <w:rFonts w:cs="Arial"/>
        </w:rPr>
        <w:t xml:space="preserve">This indicator is calculated by the </w:t>
      </w:r>
      <w:r w:rsidRPr="00053532">
        <w:rPr>
          <w:rFonts w:cs="Arial"/>
        </w:rPr>
        <w:t>(</w:t>
      </w:r>
      <w:r>
        <w:rPr>
          <w:rFonts w:cs="Arial"/>
        </w:rPr>
        <w:t>number</w:t>
      </w:r>
      <w:r w:rsidRPr="00053532">
        <w:rPr>
          <w:rFonts w:cs="Arial"/>
        </w:rPr>
        <w:t xml:space="preserve"> of districts, that meet the State-established n and/or cell size for one or more racial/ethnic groups, with disproportionate representation of racial and ethnic groups in specific disability categories that is the result of inappropriate identification) divided by the (</w:t>
      </w:r>
      <w:r>
        <w:rPr>
          <w:rFonts w:cs="Arial"/>
        </w:rPr>
        <w:t>number</w:t>
      </w:r>
      <w:r w:rsidRPr="00053532">
        <w:rPr>
          <w:rFonts w:cs="Arial"/>
        </w:rPr>
        <w:t xml:space="preserve"> of districts in the State that meet a State-established n and/or cell size for one or more racial/ethnic groups) times 100.</w:t>
      </w:r>
    </w:p>
    <w:p w:rsidR="00EB1E42" w:rsidRPr="00FD74B6" w:rsidRDefault="00EB1E42" w:rsidP="00EB1E42">
      <w:pPr>
        <w:pStyle w:val="Heading3"/>
        <w:spacing w:before="0" w:after="240"/>
      </w:pPr>
      <w:bookmarkStart w:id="138" w:name="_Toc77599114"/>
      <w:r>
        <w:t>Notable Change(s)</w:t>
      </w:r>
      <w:bookmarkEnd w:id="138"/>
    </w:p>
    <w:p w:rsidR="00EB1E42" w:rsidRDefault="00EB1E42" w:rsidP="00EB1E42">
      <w:r>
        <w:t>OSEP made no changes to this indicator.</w:t>
      </w:r>
    </w:p>
    <w:p w:rsidR="00EB1E42" w:rsidRDefault="00EB1E42" w:rsidP="00EB1E42"/>
    <w:p w:rsidR="00EB1E42" w:rsidRPr="00FD74B6" w:rsidRDefault="00EB1E42" w:rsidP="00EB1E42">
      <w:pPr>
        <w:pStyle w:val="Heading3"/>
        <w:spacing w:before="0" w:after="240"/>
      </w:pPr>
      <w:bookmarkStart w:id="139" w:name="_Toc77599115"/>
      <w:r>
        <w:t>Stakeholder Feedback</w:t>
      </w:r>
      <w:bookmarkEnd w:id="139"/>
    </w:p>
    <w:p w:rsidR="00EB1E42" w:rsidRDefault="00EB1E42" w:rsidP="00EB1E42">
      <w:r>
        <w:t>Indicator 10 is a compliance indicator and the target has been established by OSEP.</w:t>
      </w:r>
    </w:p>
    <w:p w:rsidR="00EB1E42" w:rsidRDefault="00EB1E42" w:rsidP="00EB1E42">
      <w:pPr>
        <w:pStyle w:val="Heading3"/>
        <w:rPr>
          <w:bCs/>
        </w:rPr>
      </w:pPr>
      <w:bookmarkStart w:id="140" w:name="_Toc77599116"/>
      <w:r w:rsidRPr="00FD74B6">
        <w:t>Disproportionate Representation in Specific Disability Categories</w:t>
      </w:r>
      <w:r w:rsidRPr="00FD74B6">
        <w:rPr>
          <w:bCs/>
        </w:rPr>
        <w:t xml:space="preserve"> </w:t>
      </w:r>
      <w:r>
        <w:rPr>
          <w:bCs/>
        </w:rPr>
        <w:t xml:space="preserve">New </w:t>
      </w:r>
      <w:r w:rsidRPr="00FD74B6">
        <w:rPr>
          <w:bCs/>
        </w:rPr>
        <w:t>Targets</w:t>
      </w:r>
      <w:bookmarkEnd w:id="140"/>
      <w:r w:rsidRPr="00FD74B6">
        <w:rPr>
          <w:bCs/>
        </w:rPr>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RPr="00FD74B6" w:rsidTr="00704E41">
        <w:trPr>
          <w:cantSplit/>
          <w:trHeight w:val="288"/>
          <w:tblHeader/>
        </w:trPr>
        <w:tc>
          <w:tcPr>
            <w:tcW w:w="2155"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10</w:t>
            </w:r>
          </w:p>
        </w:tc>
        <w:tc>
          <w:tcPr>
            <w:tcW w:w="1203"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5"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3"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204"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r w:rsidRPr="00FD74B6">
              <w:rPr>
                <w:rFonts w:cs="Arial"/>
                <w:bCs/>
              </w:rPr>
              <w:t>%</w:t>
            </w:r>
          </w:p>
        </w:tc>
        <w:tc>
          <w:tcPr>
            <w:tcW w:w="1176" w:type="dxa"/>
          </w:tcPr>
          <w:p w:rsidR="00EB1E42" w:rsidRDefault="00EB1E42" w:rsidP="00704E41">
            <w:pPr>
              <w:widowControl w:val="0"/>
              <w:overflowPunct w:val="0"/>
              <w:autoSpaceDE w:val="0"/>
              <w:autoSpaceDN w:val="0"/>
              <w:adjustRightInd w:val="0"/>
              <w:jc w:val="center"/>
              <w:rPr>
                <w:rFonts w:cs="Arial"/>
                <w:bCs/>
              </w:rPr>
            </w:pPr>
            <w:r>
              <w:rPr>
                <w:rFonts w:cs="Arial"/>
                <w:bCs/>
              </w:rPr>
              <w:t>0%</w:t>
            </w:r>
          </w:p>
        </w:tc>
      </w:tr>
    </w:tbl>
    <w:p w:rsidR="00EB1E42" w:rsidRPr="00053532" w:rsidRDefault="00EB1E42" w:rsidP="00EB1E42"/>
    <w:p w:rsidR="00EB1E42" w:rsidRPr="00FD74B6" w:rsidRDefault="00EB1E42" w:rsidP="00EB1E42">
      <w:pPr>
        <w:pStyle w:val="Heading3"/>
        <w:rPr>
          <w:bCs/>
        </w:rPr>
      </w:pPr>
      <w:bookmarkStart w:id="141" w:name="_Toc77599117"/>
      <w:r w:rsidRPr="00FD74B6">
        <w:t>Disproportionate Representation in Specific Disability Categories</w:t>
      </w:r>
      <w:r w:rsidRPr="00FD74B6">
        <w:rPr>
          <w:bCs/>
        </w:rPr>
        <w:t xml:space="preserve"> </w:t>
      </w:r>
      <w:r>
        <w:rPr>
          <w:bCs/>
        </w:rPr>
        <w:t xml:space="preserve">Old </w:t>
      </w:r>
      <w:r w:rsidRPr="00FD74B6">
        <w:rPr>
          <w:bCs/>
        </w:rPr>
        <w:t>Targets</w:t>
      </w:r>
      <w:bookmarkEnd w:id="141"/>
      <w:r w:rsidRPr="00FD74B6">
        <w:rPr>
          <w:bCs/>
        </w:rPr>
        <w:t xml:space="preserve"> </w:t>
      </w:r>
    </w:p>
    <w:tbl>
      <w:tblPr>
        <w:tblStyle w:val="TableGrid10"/>
        <w:tblW w:w="9506" w:type="dxa"/>
        <w:tblLook w:val="04A0" w:firstRow="1" w:lastRow="0" w:firstColumn="1" w:lastColumn="0" w:noHBand="0" w:noVBand="1"/>
        <w:tblDescription w:val="Indicator 10 Targets and Results"/>
      </w:tblPr>
      <w:tblGrid>
        <w:gridCol w:w="1952"/>
        <w:gridCol w:w="1032"/>
        <w:gridCol w:w="1032"/>
        <w:gridCol w:w="1032"/>
        <w:gridCol w:w="1147"/>
        <w:gridCol w:w="1147"/>
        <w:gridCol w:w="1017"/>
        <w:gridCol w:w="1147"/>
      </w:tblGrid>
      <w:tr w:rsidR="00EB1E42" w:rsidRPr="00FD74B6" w:rsidTr="00704E41">
        <w:trPr>
          <w:cantSplit/>
          <w:trHeight w:val="305"/>
          <w:tblHeader/>
        </w:trPr>
        <w:tc>
          <w:tcPr>
            <w:tcW w:w="195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10</w:t>
            </w:r>
          </w:p>
        </w:tc>
        <w:tc>
          <w:tcPr>
            <w:tcW w:w="103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3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32"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14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14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17"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147"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305"/>
        </w:trPr>
        <w:tc>
          <w:tcPr>
            <w:tcW w:w="195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 xml:space="preserve">Target </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14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14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017"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0%</w:t>
            </w:r>
          </w:p>
        </w:tc>
        <w:tc>
          <w:tcPr>
            <w:tcW w:w="1147"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0%</w:t>
            </w:r>
          </w:p>
        </w:tc>
      </w:tr>
      <w:tr w:rsidR="00EB1E42" w:rsidRPr="00FD74B6" w:rsidTr="00704E41">
        <w:trPr>
          <w:cantSplit/>
          <w:trHeight w:val="305"/>
        </w:trPr>
        <w:tc>
          <w:tcPr>
            <w:tcW w:w="195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.57%</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.87%</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.75%</w:t>
            </w:r>
          </w:p>
        </w:tc>
        <w:tc>
          <w:tcPr>
            <w:tcW w:w="114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17.14</w:t>
            </w:r>
            <w:r w:rsidRPr="00FD74B6">
              <w:rPr>
                <w:rFonts w:cs="Arial"/>
                <w:bCs/>
                <w:color w:val="000000"/>
                <w:kern w:val="28"/>
                <w:sz w:val="23"/>
                <w:szCs w:val="23"/>
              </w:rPr>
              <w:t>%</w:t>
            </w:r>
          </w:p>
        </w:tc>
        <w:tc>
          <w:tcPr>
            <w:tcW w:w="1147" w:type="dxa"/>
            <w:hideMark/>
          </w:tcPr>
          <w:p w:rsidR="00EB1E42" w:rsidRPr="00B244E1" w:rsidRDefault="00EB1E42" w:rsidP="00704E41">
            <w:pPr>
              <w:widowControl w:val="0"/>
              <w:overflowPunct w:val="0"/>
              <w:autoSpaceDE w:val="0"/>
              <w:autoSpaceDN w:val="0"/>
              <w:adjustRightInd w:val="0"/>
              <w:jc w:val="center"/>
              <w:rPr>
                <w:rFonts w:cs="Arial"/>
                <w:color w:val="000000"/>
                <w:kern w:val="28"/>
                <w:sz w:val="23"/>
                <w:szCs w:val="23"/>
                <w:highlight w:val="yellow"/>
              </w:rPr>
            </w:pPr>
            <w:r w:rsidRPr="00576F84">
              <w:rPr>
                <w:rFonts w:cs="Arial"/>
                <w:bCs/>
                <w:color w:val="000000"/>
                <w:kern w:val="28"/>
                <w:sz w:val="23"/>
                <w:szCs w:val="23"/>
              </w:rPr>
              <w:t>27.76%</w:t>
            </w:r>
          </w:p>
        </w:tc>
        <w:tc>
          <w:tcPr>
            <w:tcW w:w="1017" w:type="dxa"/>
            <w:hideMark/>
          </w:tcPr>
          <w:p w:rsidR="00EB1E42" w:rsidRPr="003561E3" w:rsidRDefault="00EB1E42" w:rsidP="00704E41">
            <w:pPr>
              <w:widowControl w:val="0"/>
              <w:overflowPunct w:val="0"/>
              <w:autoSpaceDE w:val="0"/>
              <w:autoSpaceDN w:val="0"/>
              <w:adjustRightInd w:val="0"/>
              <w:jc w:val="center"/>
              <w:rPr>
                <w:rFonts w:cs="Arial"/>
                <w:color w:val="000000"/>
                <w:kern w:val="28"/>
                <w:sz w:val="23"/>
                <w:szCs w:val="23"/>
              </w:rPr>
            </w:pPr>
            <w:r w:rsidRPr="003561E3">
              <w:rPr>
                <w:rFonts w:cs="Arial"/>
                <w:bCs/>
                <w:color w:val="000000"/>
                <w:kern w:val="28"/>
                <w:sz w:val="23"/>
                <w:szCs w:val="23"/>
              </w:rPr>
              <w:t>9.90%</w:t>
            </w:r>
          </w:p>
        </w:tc>
        <w:tc>
          <w:tcPr>
            <w:tcW w:w="1147" w:type="dxa"/>
          </w:tcPr>
          <w:p w:rsidR="00EB1E42" w:rsidRPr="003561E3"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14.11%</w:t>
            </w:r>
          </w:p>
        </w:tc>
      </w:tr>
      <w:tr w:rsidR="00EB1E42" w:rsidRPr="00FD74B6" w:rsidTr="00704E41">
        <w:trPr>
          <w:cantSplit/>
          <w:trHeight w:val="305"/>
        </w:trPr>
        <w:tc>
          <w:tcPr>
            <w:tcW w:w="195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2"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14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147"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17" w:type="dxa"/>
            <w:hideMark/>
          </w:tcPr>
          <w:p w:rsidR="00EB1E42" w:rsidRPr="003561E3" w:rsidRDefault="00EB1E42" w:rsidP="00704E41">
            <w:pPr>
              <w:widowControl w:val="0"/>
              <w:overflowPunct w:val="0"/>
              <w:autoSpaceDE w:val="0"/>
              <w:autoSpaceDN w:val="0"/>
              <w:adjustRightInd w:val="0"/>
              <w:jc w:val="center"/>
              <w:rPr>
                <w:rFonts w:cs="Arial"/>
                <w:color w:val="000000"/>
                <w:kern w:val="28"/>
                <w:sz w:val="23"/>
                <w:szCs w:val="23"/>
              </w:rPr>
            </w:pPr>
            <w:r w:rsidRPr="003561E3">
              <w:rPr>
                <w:rFonts w:cs="Arial"/>
                <w:bCs/>
                <w:color w:val="000000"/>
                <w:kern w:val="28"/>
                <w:sz w:val="23"/>
                <w:szCs w:val="23"/>
              </w:rPr>
              <w:t>No</w:t>
            </w:r>
          </w:p>
        </w:tc>
        <w:tc>
          <w:tcPr>
            <w:tcW w:w="1147" w:type="dxa"/>
          </w:tcPr>
          <w:p w:rsidR="00EB1E42" w:rsidRPr="003561E3" w:rsidRDefault="00EB1E42" w:rsidP="00704E41">
            <w:pPr>
              <w:widowControl w:val="0"/>
              <w:overflowPunct w:val="0"/>
              <w:autoSpaceDE w:val="0"/>
              <w:autoSpaceDN w:val="0"/>
              <w:adjustRightInd w:val="0"/>
              <w:jc w:val="center"/>
              <w:rPr>
                <w:rFonts w:cs="Arial"/>
                <w:bCs/>
                <w:color w:val="000000"/>
                <w:kern w:val="28"/>
                <w:sz w:val="23"/>
                <w:szCs w:val="23"/>
              </w:rPr>
            </w:pPr>
            <w:r w:rsidRPr="003561E3">
              <w:rPr>
                <w:rFonts w:cs="Arial"/>
                <w:bCs/>
                <w:color w:val="000000"/>
                <w:kern w:val="28"/>
                <w:sz w:val="23"/>
                <w:szCs w:val="23"/>
              </w:rPr>
              <w:t>No</w:t>
            </w:r>
          </w:p>
        </w:tc>
      </w:tr>
    </w:tbl>
    <w:p w:rsidR="00EB1E42" w:rsidRDefault="00EB1E42" w:rsidP="00EB1E42">
      <w:pPr>
        <w:spacing w:after="160" w:line="259" w:lineRule="auto"/>
        <w:rPr>
          <w:rFonts w:eastAsiaTheme="majorEastAsia" w:cstheme="majorBidi"/>
          <w:b/>
          <w:sz w:val="28"/>
          <w:szCs w:val="26"/>
        </w:rPr>
      </w:pPr>
      <w:r>
        <w:br w:type="page"/>
      </w:r>
    </w:p>
    <w:p w:rsidR="00EB1E42" w:rsidRPr="00FD74B6" w:rsidRDefault="00EB1E42" w:rsidP="00EB1E42">
      <w:pPr>
        <w:pStyle w:val="Heading2"/>
        <w:spacing w:before="0" w:after="240"/>
        <w:jc w:val="center"/>
      </w:pPr>
      <w:bookmarkStart w:id="142" w:name="_Toc77599118"/>
      <w:r w:rsidRPr="00FD74B6">
        <w:lastRenderedPageBreak/>
        <w:t>Indicator 11: Child Find</w:t>
      </w:r>
      <w:bookmarkEnd w:id="142"/>
    </w:p>
    <w:p w:rsidR="00EB1E42" w:rsidRPr="00FD74B6" w:rsidRDefault="00EB1E42" w:rsidP="00EB1E42">
      <w:pPr>
        <w:pStyle w:val="Heading3"/>
        <w:spacing w:before="0" w:after="240"/>
      </w:pPr>
      <w:bookmarkStart w:id="143" w:name="_Toc77599119"/>
      <w:r>
        <w:t>Measurement</w:t>
      </w:r>
      <w:bookmarkEnd w:id="143"/>
    </w:p>
    <w:p w:rsidR="00EB1E42" w:rsidRDefault="00EB1E42" w:rsidP="00EB1E42">
      <w:pPr>
        <w:tabs>
          <w:tab w:val="left" w:pos="720"/>
          <w:tab w:val="center" w:pos="4680"/>
          <w:tab w:val="right" w:pos="9360"/>
        </w:tabs>
        <w:spacing w:after="240"/>
        <w:rPr>
          <w:rFonts w:cs="Arial"/>
        </w:rPr>
      </w:pPr>
      <w:r w:rsidRPr="17384939">
        <w:rPr>
          <w:rFonts w:cs="Arial"/>
        </w:rPr>
        <w:t xml:space="preserve">Indicator 11 is a compliance indicator that measures the percent of students with disabilities who were evaluated within 60 days of receiving parental consent for initial evaluation or, if the state establishes a timeframe within which the evaluation must be conducted, within that timeframe. </w:t>
      </w:r>
    </w:p>
    <w:p w:rsidR="00EB1E42" w:rsidRPr="00FD74B6" w:rsidRDefault="00EB1E42" w:rsidP="00EB1E42">
      <w:pPr>
        <w:tabs>
          <w:tab w:val="left" w:pos="720"/>
          <w:tab w:val="center" w:pos="4680"/>
          <w:tab w:val="right" w:pos="9360"/>
        </w:tabs>
        <w:spacing w:after="240"/>
        <w:rPr>
          <w:rFonts w:cs="Arial"/>
          <w:b/>
          <w:bCs/>
        </w:rPr>
      </w:pPr>
      <w:r w:rsidRPr="17384939">
        <w:rPr>
          <w:rFonts w:cs="Arial"/>
        </w:rPr>
        <w:t xml:space="preserve">These data were calculated using </w:t>
      </w:r>
      <w:r>
        <w:rPr>
          <w:rFonts w:cs="Arial"/>
        </w:rPr>
        <w:t>CALPADS</w:t>
      </w:r>
      <w:r w:rsidRPr="17384939">
        <w:rPr>
          <w:rFonts w:cs="Arial"/>
        </w:rPr>
        <w:t xml:space="preserve"> data fields related to parental consent date and initial evaluation date. </w:t>
      </w:r>
      <w:r>
        <w:rPr>
          <w:rFonts w:cs="Arial"/>
        </w:rPr>
        <w:t xml:space="preserve">The indicator is calculated by the (number of children whose evaluations were completed within 60 days) divided by (the number of children whom parental consent to evaluate was received) multiplied by 100. </w:t>
      </w:r>
    </w:p>
    <w:p w:rsidR="00EB1E42" w:rsidRPr="00FD74B6" w:rsidRDefault="00EB1E42" w:rsidP="00EB1E42">
      <w:pPr>
        <w:pStyle w:val="Heading3"/>
        <w:spacing w:before="0" w:after="240"/>
      </w:pPr>
      <w:bookmarkStart w:id="144" w:name="_Toc77599120"/>
      <w:r>
        <w:t>Notable Change(s)</w:t>
      </w:r>
      <w:bookmarkEnd w:id="144"/>
    </w:p>
    <w:p w:rsidR="00EB1E42" w:rsidRDefault="00EB1E42" w:rsidP="00EB1E42">
      <w:r>
        <w:t>OSEP made no changes to this indicator.</w:t>
      </w:r>
    </w:p>
    <w:p w:rsidR="00EB1E42" w:rsidRDefault="00EB1E42" w:rsidP="00EB1E42"/>
    <w:p w:rsidR="00EB1E42" w:rsidRPr="00FD74B6" w:rsidRDefault="00EB1E42" w:rsidP="00EB1E42">
      <w:pPr>
        <w:pStyle w:val="Heading3"/>
        <w:spacing w:before="0" w:after="240"/>
      </w:pPr>
      <w:bookmarkStart w:id="145" w:name="_Toc77599121"/>
      <w:r>
        <w:t>Stakeholder Feedback</w:t>
      </w:r>
      <w:bookmarkEnd w:id="145"/>
    </w:p>
    <w:p w:rsidR="00EB1E42" w:rsidRDefault="00EB1E42" w:rsidP="00EB1E42">
      <w:r>
        <w:t>Indicator 11 is a compliance indicator and the target has been established by OSEP.</w:t>
      </w:r>
    </w:p>
    <w:p w:rsidR="00EB1E42" w:rsidRPr="00FD74B6" w:rsidRDefault="00EB1E42" w:rsidP="00EB1E42">
      <w:pPr>
        <w:pStyle w:val="Heading3"/>
      </w:pPr>
      <w:bookmarkStart w:id="146" w:name="_Toc77599122"/>
      <w:r w:rsidRPr="00FD74B6">
        <w:t xml:space="preserve">Child Find </w:t>
      </w:r>
      <w:r>
        <w:t xml:space="preserve">New </w:t>
      </w:r>
      <w:r w:rsidRPr="00FD74B6">
        <w:t>Targets</w:t>
      </w:r>
      <w:bookmarkEnd w:id="146"/>
      <w:r w:rsidRPr="00FD74B6">
        <w:t xml:space="preserve">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RPr="00FD74B6" w:rsidTr="00704E41">
        <w:trPr>
          <w:cantSplit/>
          <w:trHeight w:val="288"/>
          <w:tblHeader/>
        </w:trPr>
        <w:tc>
          <w:tcPr>
            <w:tcW w:w="2150"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 xml:space="preserve">Indicator </w:t>
            </w:r>
            <w:r>
              <w:rPr>
                <w:rFonts w:cs="Arial"/>
                <w:b/>
                <w:bCs/>
              </w:rPr>
              <w:t>11</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2020</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2021</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2022</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2023</w:t>
            </w:r>
          </w:p>
        </w:tc>
        <w:tc>
          <w:tcPr>
            <w:tcW w:w="1206" w:type="dxa"/>
            <w:hideMark/>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RPr="00FD74B6" w:rsidTr="00704E41">
        <w:trPr>
          <w:cantSplit/>
          <w:trHeight w:val="288"/>
        </w:trPr>
        <w:tc>
          <w:tcPr>
            <w:tcW w:w="2150"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r w:rsidRPr="00FD74B6">
              <w:rPr>
                <w:rFonts w:cs="Arial"/>
                <w:bCs/>
              </w:rPr>
              <w:t>%</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w:t>
            </w:r>
            <w:r w:rsidRPr="00FD74B6">
              <w:rPr>
                <w:rFonts w:cs="Arial"/>
                <w:bCs/>
              </w:rPr>
              <w:t>0%</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w:t>
            </w:r>
            <w:r w:rsidRPr="00FD74B6">
              <w:rPr>
                <w:rFonts w:cs="Arial"/>
                <w:bCs/>
              </w:rPr>
              <w:t>0%</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w:t>
            </w:r>
            <w:r w:rsidRPr="00FD74B6">
              <w:rPr>
                <w:rFonts w:cs="Arial"/>
                <w:bCs/>
              </w:rPr>
              <w:t>0%</w:t>
            </w:r>
          </w:p>
        </w:tc>
        <w:tc>
          <w:tcPr>
            <w:tcW w:w="1206" w:type="dxa"/>
            <w:hideMark/>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r w:rsidRPr="00FD74B6">
              <w:rPr>
                <w:rFonts w:cs="Arial"/>
                <w:bCs/>
              </w:rPr>
              <w:t>%</w:t>
            </w:r>
          </w:p>
        </w:tc>
        <w:tc>
          <w:tcPr>
            <w:tcW w:w="1170" w:type="dxa"/>
          </w:tcPr>
          <w:p w:rsidR="00EB1E42" w:rsidRDefault="00EB1E42" w:rsidP="00704E41">
            <w:pPr>
              <w:widowControl w:val="0"/>
              <w:overflowPunct w:val="0"/>
              <w:autoSpaceDE w:val="0"/>
              <w:autoSpaceDN w:val="0"/>
              <w:adjustRightInd w:val="0"/>
              <w:jc w:val="center"/>
              <w:rPr>
                <w:rFonts w:cs="Arial"/>
                <w:bCs/>
              </w:rPr>
            </w:pPr>
            <w:r>
              <w:rPr>
                <w:rFonts w:cs="Arial"/>
                <w:bCs/>
              </w:rPr>
              <w:t>100%</w:t>
            </w:r>
          </w:p>
        </w:tc>
      </w:tr>
    </w:tbl>
    <w:p w:rsidR="00EB1E42" w:rsidRPr="00FD74B6" w:rsidRDefault="00EB1E42" w:rsidP="00EB1E42">
      <w:pPr>
        <w:pStyle w:val="Heading3"/>
      </w:pPr>
      <w:bookmarkStart w:id="147" w:name="_Toc77599123"/>
      <w:r w:rsidRPr="00FD74B6">
        <w:t xml:space="preserve">Child Find </w:t>
      </w:r>
      <w:r>
        <w:t xml:space="preserve">Old </w:t>
      </w:r>
      <w:r w:rsidRPr="00FD74B6">
        <w:t>Targets</w:t>
      </w:r>
      <w:bookmarkEnd w:id="147"/>
      <w:r w:rsidRPr="00FD74B6">
        <w:t xml:space="preserve"> </w:t>
      </w:r>
    </w:p>
    <w:tbl>
      <w:tblPr>
        <w:tblStyle w:val="TableGrid11"/>
        <w:tblW w:w="9381" w:type="dxa"/>
        <w:tblLook w:val="04A0" w:firstRow="1" w:lastRow="0" w:firstColumn="1" w:lastColumn="0" w:noHBand="0" w:noVBand="1"/>
        <w:tblDescription w:val="Indicator 11 Targets and Results"/>
      </w:tblPr>
      <w:tblGrid>
        <w:gridCol w:w="1828"/>
        <w:gridCol w:w="1109"/>
        <w:gridCol w:w="1038"/>
        <w:gridCol w:w="1254"/>
        <w:gridCol w:w="1038"/>
        <w:gridCol w:w="1038"/>
        <w:gridCol w:w="1038"/>
        <w:gridCol w:w="1038"/>
      </w:tblGrid>
      <w:tr w:rsidR="00EB1E42" w:rsidRPr="00FD74B6" w:rsidTr="00704E41">
        <w:trPr>
          <w:cantSplit/>
          <w:trHeight w:val="294"/>
          <w:tblHeader/>
        </w:trPr>
        <w:tc>
          <w:tcPr>
            <w:tcW w:w="182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11</w:t>
            </w:r>
          </w:p>
        </w:tc>
        <w:tc>
          <w:tcPr>
            <w:tcW w:w="110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254"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38"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38"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294"/>
        </w:trPr>
        <w:tc>
          <w:tcPr>
            <w:tcW w:w="182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10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25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38"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p>
        </w:tc>
      </w:tr>
      <w:tr w:rsidR="00EB1E42" w:rsidRPr="00FD74B6" w:rsidTr="00704E41">
        <w:trPr>
          <w:cantSplit/>
          <w:trHeight w:val="294"/>
        </w:trPr>
        <w:tc>
          <w:tcPr>
            <w:tcW w:w="182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10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98.1%</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96%</w:t>
            </w:r>
          </w:p>
        </w:tc>
        <w:tc>
          <w:tcPr>
            <w:tcW w:w="125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98.7%</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98.5%</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97.8%</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96.1%</w:t>
            </w:r>
          </w:p>
        </w:tc>
        <w:tc>
          <w:tcPr>
            <w:tcW w:w="1038"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96.2%</w:t>
            </w:r>
          </w:p>
        </w:tc>
      </w:tr>
      <w:tr w:rsidR="00EB1E42" w:rsidRPr="00FD74B6" w:rsidTr="00704E41">
        <w:trPr>
          <w:cantSplit/>
          <w:trHeight w:val="294"/>
        </w:trPr>
        <w:tc>
          <w:tcPr>
            <w:tcW w:w="182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10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254"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38"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38"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No</w:t>
            </w:r>
          </w:p>
        </w:tc>
      </w:tr>
    </w:tbl>
    <w:p w:rsidR="00EB1E42" w:rsidRPr="00FD74B6" w:rsidRDefault="00EB1E42" w:rsidP="00EB1E42">
      <w:r w:rsidRPr="00FD74B6">
        <w:br w:type="page"/>
      </w:r>
    </w:p>
    <w:p w:rsidR="00EB1E42" w:rsidRPr="00FD74B6" w:rsidRDefault="00EB1E42" w:rsidP="00EB1E42">
      <w:pPr>
        <w:pStyle w:val="Heading2"/>
        <w:spacing w:before="0" w:after="240"/>
        <w:jc w:val="center"/>
      </w:pPr>
      <w:bookmarkStart w:id="148" w:name="_Toc77599124"/>
      <w:r w:rsidRPr="00FD74B6">
        <w:lastRenderedPageBreak/>
        <w:t>Indicator 12: Early Childhood Transition</w:t>
      </w:r>
      <w:bookmarkEnd w:id="148"/>
    </w:p>
    <w:p w:rsidR="00EB1E42" w:rsidRPr="00FD74B6" w:rsidRDefault="00EB1E42" w:rsidP="00EB1E42">
      <w:pPr>
        <w:pStyle w:val="Heading3"/>
        <w:spacing w:before="0" w:after="240"/>
      </w:pPr>
      <w:bookmarkStart w:id="149" w:name="_Toc77599125"/>
      <w:r>
        <w:t>Measurement</w:t>
      </w:r>
      <w:bookmarkEnd w:id="149"/>
    </w:p>
    <w:p w:rsidR="00EB1E42" w:rsidRDefault="00EB1E42" w:rsidP="00EB1E42">
      <w:pPr>
        <w:tabs>
          <w:tab w:val="left" w:pos="720"/>
          <w:tab w:val="center" w:pos="4680"/>
          <w:tab w:val="right" w:pos="9360"/>
        </w:tabs>
        <w:spacing w:after="240"/>
        <w:rPr>
          <w:rFonts w:cs="Arial"/>
        </w:rPr>
      </w:pPr>
      <w:r w:rsidRPr="00FD74B6">
        <w:rPr>
          <w:rFonts w:cs="Arial"/>
        </w:rPr>
        <w:t xml:space="preserve">Indicator 12 is a compliance indicator that measures the percent of children referred by the infant program (IDEA Part C) prior to age three, who are found eligible for Part B, and who have an IEP developed and implemented by their third birthday. These data were collected through </w:t>
      </w:r>
      <w:r>
        <w:rPr>
          <w:rFonts w:cs="Arial"/>
        </w:rPr>
        <w:t>CALPADS</w:t>
      </w:r>
      <w:r w:rsidRPr="00FD74B6">
        <w:rPr>
          <w:rFonts w:cs="Arial"/>
        </w:rPr>
        <w:t xml:space="preserve"> and data from the Depart</w:t>
      </w:r>
      <w:r>
        <w:rPr>
          <w:rFonts w:cs="Arial"/>
        </w:rPr>
        <w:t>ment of Developmental Services.</w:t>
      </w:r>
    </w:p>
    <w:p w:rsidR="00EB1E42" w:rsidRDefault="00EB1E42" w:rsidP="00EB1E42">
      <w:pPr>
        <w:tabs>
          <w:tab w:val="left" w:pos="720"/>
          <w:tab w:val="center" w:pos="4680"/>
          <w:tab w:val="right" w:pos="9360"/>
        </w:tabs>
        <w:spacing w:after="240"/>
        <w:rPr>
          <w:rFonts w:cs="Arial"/>
        </w:rPr>
      </w:pPr>
      <w:r>
        <w:rPr>
          <w:rFonts w:cs="Arial"/>
        </w:rPr>
        <w:t>The indicator is calculated as follows:</w:t>
      </w:r>
    </w:p>
    <w:p w:rsidR="00EB1E42" w:rsidRPr="001A0FF3"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who have been served in Part C and referred to Part B (LEA notified pursuant to the IDEA section 637[a][9][A] for Part B eligibility determination).</w:t>
      </w:r>
    </w:p>
    <w:p w:rsidR="00EB1E42" w:rsidRPr="001A0FF3"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referred determined to</w:t>
      </w:r>
      <w:r>
        <w:rPr>
          <w:rFonts w:cs="Arial"/>
        </w:rPr>
        <w:t xml:space="preserve"> </w:t>
      </w:r>
      <w:r w:rsidRPr="001A0FF3">
        <w:rPr>
          <w:rFonts w:cs="Arial"/>
          <w:b/>
        </w:rPr>
        <w:t>not</w:t>
      </w:r>
      <w:r w:rsidRPr="001A0FF3">
        <w:rPr>
          <w:rFonts w:cs="Arial"/>
        </w:rPr>
        <w:t xml:space="preserve"> be eligible and whose eligibilities were determined prior to their third birthday.</w:t>
      </w:r>
    </w:p>
    <w:p w:rsidR="00EB1E42" w:rsidRPr="001A0FF3"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found eligible who have an IEP developed and implemented by their third birthday.</w:t>
      </w:r>
    </w:p>
    <w:p w:rsidR="00EB1E42"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1A0FF3">
        <w:rPr>
          <w:rFonts w:cs="Arial"/>
        </w:rPr>
        <w:t>Number of children for whom parental refusal to provide consent caused delays in evaluation or initial services.</w:t>
      </w:r>
    </w:p>
    <w:p w:rsidR="00EB1E42" w:rsidRPr="004D0347" w:rsidRDefault="00EB1E42" w:rsidP="00EB1E42">
      <w:pPr>
        <w:pStyle w:val="ListParagraph"/>
        <w:numPr>
          <w:ilvl w:val="0"/>
          <w:numId w:val="29"/>
        </w:numPr>
        <w:tabs>
          <w:tab w:val="left" w:pos="720"/>
          <w:tab w:val="center" w:pos="4320"/>
          <w:tab w:val="right" w:pos="8640"/>
        </w:tabs>
        <w:spacing w:after="240"/>
        <w:contextualSpacing w:val="0"/>
        <w:rPr>
          <w:rFonts w:cs="Arial"/>
        </w:rPr>
      </w:pPr>
      <w:r w:rsidRPr="004D0347">
        <w:rPr>
          <w:rFonts w:cs="Arial"/>
        </w:rPr>
        <w:t>Number of children who were referred to Part C less than 90 days before their third birthdays.</w:t>
      </w:r>
    </w:p>
    <w:p w:rsidR="00EB1E42" w:rsidRPr="00B95DED" w:rsidRDefault="00EB1E42" w:rsidP="00EB1E42">
      <w:pPr>
        <w:tabs>
          <w:tab w:val="left" w:pos="720"/>
          <w:tab w:val="center" w:pos="4320"/>
          <w:tab w:val="right" w:pos="8640"/>
        </w:tabs>
        <w:spacing w:after="240"/>
        <w:rPr>
          <w:rFonts w:cs="Arial"/>
        </w:rPr>
      </w:pPr>
      <w:r w:rsidRPr="00B95DED">
        <w:rPr>
          <w:rFonts w:cs="Arial"/>
        </w:rPr>
        <w:t xml:space="preserve">Percent of children referred equals (c) divided by (a-b-d-e) times 100. </w:t>
      </w:r>
    </w:p>
    <w:p w:rsidR="00EB1E42" w:rsidRPr="00FD74B6" w:rsidRDefault="00EB1E42" w:rsidP="00EB1E42">
      <w:pPr>
        <w:pStyle w:val="Heading3"/>
        <w:spacing w:before="0" w:after="240"/>
      </w:pPr>
      <w:bookmarkStart w:id="150" w:name="_Toc77599126"/>
      <w:r>
        <w:t>Notable Change(s)</w:t>
      </w:r>
      <w:bookmarkEnd w:id="150"/>
    </w:p>
    <w:p w:rsidR="00EB1E42" w:rsidRDefault="00EB1E42" w:rsidP="00EB1E42">
      <w:r>
        <w:t>OSEP made no changes to this indicator.</w:t>
      </w:r>
    </w:p>
    <w:p w:rsidR="00EB1E42" w:rsidRDefault="00EB1E42" w:rsidP="00EB1E42"/>
    <w:p w:rsidR="00EB1E42" w:rsidRDefault="00EB1E42" w:rsidP="00EB1E42">
      <w:pPr>
        <w:pStyle w:val="Heading3"/>
        <w:spacing w:before="0" w:after="240"/>
      </w:pPr>
      <w:bookmarkStart w:id="151" w:name="_Toc77599127"/>
      <w:r>
        <w:t>Stakeholder Feedback</w:t>
      </w:r>
      <w:bookmarkEnd w:id="151"/>
    </w:p>
    <w:p w:rsidR="00EB1E42" w:rsidRDefault="00EB1E42" w:rsidP="00EB1E42">
      <w:pPr>
        <w:rPr>
          <w:szCs w:val="22"/>
        </w:rPr>
      </w:pPr>
      <w:r>
        <w:t>Indicator 12 is a compliance indicator and the target has been established by OSEP.</w:t>
      </w:r>
    </w:p>
    <w:p w:rsidR="00EB1E42" w:rsidRPr="00B95DED" w:rsidRDefault="00EB1E42" w:rsidP="00EB1E42"/>
    <w:p w:rsidR="00EB1E42" w:rsidRDefault="00EB1E42" w:rsidP="00EB1E42">
      <w:pPr>
        <w:spacing w:after="240"/>
        <w:rPr>
          <w:b/>
        </w:rPr>
      </w:pPr>
      <w:r w:rsidRPr="00FD74B6">
        <w:rPr>
          <w:b/>
        </w:rPr>
        <w:t xml:space="preserve">Early Childhood Transition </w:t>
      </w:r>
      <w:r>
        <w:rPr>
          <w:b/>
        </w:rPr>
        <w:t xml:space="preserve">New </w:t>
      </w:r>
      <w:r w:rsidRPr="00FD74B6">
        <w:rPr>
          <w:b/>
        </w:rPr>
        <w:t xml:space="preserve">Targets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Tr="00704E41">
        <w:trPr>
          <w:cantSplit/>
          <w:trHeight w:val="288"/>
          <w:tblHeader/>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12</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r>
    </w:tbl>
    <w:p w:rsidR="00EB1E42" w:rsidRPr="00FD74B6" w:rsidRDefault="00EB1E42" w:rsidP="00EB1E42">
      <w:pPr>
        <w:spacing w:after="240"/>
        <w:rPr>
          <w:rFonts w:cs="Arial"/>
        </w:rPr>
      </w:pPr>
    </w:p>
    <w:p w:rsidR="00EB1E42" w:rsidRPr="00FD74B6" w:rsidRDefault="00EB1E42" w:rsidP="00EB1E42">
      <w:pPr>
        <w:pStyle w:val="Heading3"/>
      </w:pPr>
      <w:bookmarkStart w:id="152" w:name="_Toc77599128"/>
      <w:r w:rsidRPr="00FD74B6">
        <w:lastRenderedPageBreak/>
        <w:t xml:space="preserve">Early Childhood Transition </w:t>
      </w:r>
      <w:r>
        <w:t xml:space="preserve">Old </w:t>
      </w:r>
      <w:r w:rsidRPr="00FD74B6">
        <w:t>Targets</w:t>
      </w:r>
      <w:bookmarkEnd w:id="152"/>
      <w:r w:rsidRPr="00FD74B6">
        <w:t xml:space="preserve"> </w:t>
      </w:r>
    </w:p>
    <w:tbl>
      <w:tblPr>
        <w:tblStyle w:val="TableGrid12"/>
        <w:tblW w:w="9376" w:type="dxa"/>
        <w:tblLook w:val="04A0" w:firstRow="1" w:lastRow="0" w:firstColumn="1" w:lastColumn="0" w:noHBand="0" w:noVBand="1"/>
        <w:tblDescription w:val="Indicator 12 Targets and Results"/>
      </w:tblPr>
      <w:tblGrid>
        <w:gridCol w:w="1806"/>
        <w:gridCol w:w="1096"/>
        <w:gridCol w:w="1096"/>
        <w:gridCol w:w="1239"/>
        <w:gridCol w:w="1026"/>
        <w:gridCol w:w="1026"/>
        <w:gridCol w:w="1026"/>
        <w:gridCol w:w="1061"/>
      </w:tblGrid>
      <w:tr w:rsidR="00EB1E42" w:rsidRPr="00FD74B6" w:rsidTr="00704E41">
        <w:trPr>
          <w:cantSplit/>
          <w:trHeight w:val="291"/>
          <w:tblHeader/>
        </w:trPr>
        <w:tc>
          <w:tcPr>
            <w:tcW w:w="180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12</w:t>
            </w:r>
          </w:p>
        </w:tc>
        <w:tc>
          <w:tcPr>
            <w:tcW w:w="109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9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23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26"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61"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291"/>
        </w:trPr>
        <w:tc>
          <w:tcPr>
            <w:tcW w:w="180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23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2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2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2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61"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p>
        </w:tc>
      </w:tr>
      <w:tr w:rsidR="00EB1E42" w:rsidRPr="00FD74B6" w:rsidTr="00704E41">
        <w:trPr>
          <w:cantSplit/>
          <w:trHeight w:val="291"/>
        </w:trPr>
        <w:tc>
          <w:tcPr>
            <w:tcW w:w="180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98.5%</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93.5%</w:t>
            </w:r>
          </w:p>
        </w:tc>
        <w:tc>
          <w:tcPr>
            <w:tcW w:w="123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86%</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94%</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95.1%</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89.7%</w:t>
            </w:r>
          </w:p>
        </w:tc>
        <w:tc>
          <w:tcPr>
            <w:tcW w:w="1061"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87.63%</w:t>
            </w:r>
          </w:p>
        </w:tc>
      </w:tr>
      <w:tr w:rsidR="00EB1E42" w:rsidRPr="00FD74B6" w:rsidTr="00704E41">
        <w:trPr>
          <w:cantSplit/>
          <w:trHeight w:val="291"/>
        </w:trPr>
        <w:tc>
          <w:tcPr>
            <w:tcW w:w="180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96"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23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26"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61" w:type="dxa"/>
          </w:tcPr>
          <w:p w:rsidR="00EB1E42" w:rsidRPr="00FD74B6"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No</w:t>
            </w:r>
          </w:p>
        </w:tc>
      </w:tr>
    </w:tbl>
    <w:p w:rsidR="00EB1E42" w:rsidRDefault="00EB1E42" w:rsidP="00EB1E42">
      <w:pPr>
        <w:pStyle w:val="Heading2"/>
        <w:spacing w:before="0" w:after="240"/>
      </w:pPr>
      <w:r>
        <w:br w:type="page"/>
      </w:r>
    </w:p>
    <w:p w:rsidR="00EB1E42" w:rsidRPr="00FD74B6" w:rsidRDefault="00EB1E42" w:rsidP="00EB1E42">
      <w:pPr>
        <w:pStyle w:val="Heading2"/>
        <w:spacing w:before="0" w:after="240"/>
        <w:jc w:val="center"/>
      </w:pPr>
      <w:bookmarkStart w:id="153" w:name="_Toc77599129"/>
      <w:r w:rsidRPr="00FD74B6">
        <w:lastRenderedPageBreak/>
        <w:t>Indicator 13: Secondary Transition</w:t>
      </w:r>
      <w:bookmarkEnd w:id="153"/>
    </w:p>
    <w:p w:rsidR="00EB1E42" w:rsidRPr="00FD74B6" w:rsidRDefault="00EB1E42" w:rsidP="00EB1E42">
      <w:pPr>
        <w:pStyle w:val="Heading3"/>
        <w:spacing w:before="0" w:after="240"/>
      </w:pPr>
      <w:bookmarkStart w:id="154" w:name="_Toc77599130"/>
      <w:r>
        <w:t>Measurement</w:t>
      </w:r>
      <w:bookmarkEnd w:id="154"/>
    </w:p>
    <w:p w:rsidR="00EB1E42" w:rsidRPr="00FD74B6" w:rsidRDefault="00EB1E42" w:rsidP="00EB1E42">
      <w:pPr>
        <w:tabs>
          <w:tab w:val="left" w:pos="720"/>
          <w:tab w:val="center" w:pos="4680"/>
          <w:tab w:val="right" w:pos="9360"/>
        </w:tabs>
        <w:spacing w:after="240"/>
        <w:rPr>
          <w:rFonts w:cs="Arial"/>
        </w:rPr>
      </w:pPr>
      <w:r w:rsidRPr="1EDAFE73">
        <w:rPr>
          <w:rFonts w:cs="Arial"/>
        </w:rPr>
        <w:t>Indicator 13 is a compliance indicator that measures the percent of students with disabilities ages sixteen and above with an IEP that includes appropriate measurable postsecondary goals annually updated and based upon an age-appropriate transition assessment and transition services, including courses of study that will reasonably enable the student to meet those postsecondary goals, and annual IEP goals related to the student’s transition service needs. There must also be evidence that the student was invited to the IEP meeting where transition services are to be discussed and evidence that, if appropriate, a representative of any participating agency was invited to the IEP team meeting with the prior consent of the parent or student who has reached the age of majority</w:t>
      </w:r>
      <w:r>
        <w:rPr>
          <w:rFonts w:cs="Arial"/>
        </w:rPr>
        <w:t>.</w:t>
      </w:r>
    </w:p>
    <w:p w:rsidR="00EB1E42" w:rsidRPr="00FD74B6" w:rsidRDefault="00EB1E42" w:rsidP="00EB1E42">
      <w:pPr>
        <w:pStyle w:val="Heading3"/>
        <w:spacing w:before="0" w:after="240"/>
      </w:pPr>
      <w:bookmarkStart w:id="155" w:name="_Toc77599131"/>
      <w:r>
        <w:t>Notable Change(s)</w:t>
      </w:r>
      <w:bookmarkEnd w:id="155"/>
    </w:p>
    <w:p w:rsidR="00EB1E42" w:rsidRDefault="00EB1E42" w:rsidP="00EB1E42">
      <w:r>
        <w:t xml:space="preserve">OSEP made no notable changes to either the measurement of calculation of this indicator. OSEP did clarify that there must be evidence, if appropriate, a representative of any participating agency that is likely to be responsible for providing or paying for transition services, including, if appropriate, pre-employment transition services, was invited to the IEP meeting. </w:t>
      </w:r>
    </w:p>
    <w:p w:rsidR="00EB1E42" w:rsidRDefault="00EB1E42" w:rsidP="00EB1E42"/>
    <w:p w:rsidR="00EB1E42" w:rsidRPr="00FD74B6" w:rsidRDefault="00EB1E42" w:rsidP="00EB1E42">
      <w:pPr>
        <w:pStyle w:val="Heading3"/>
        <w:spacing w:before="0" w:after="240"/>
      </w:pPr>
      <w:bookmarkStart w:id="156" w:name="_Toc77599132"/>
      <w:r>
        <w:t>Stakeholder Feedback</w:t>
      </w:r>
      <w:bookmarkEnd w:id="156"/>
    </w:p>
    <w:p w:rsidR="00EB1E42" w:rsidRDefault="00EB1E42" w:rsidP="00EB1E42">
      <w:pPr>
        <w:rPr>
          <w:szCs w:val="22"/>
        </w:rPr>
      </w:pPr>
      <w:r>
        <w:t>Indicator 13 is a compliance indicator and the target has been established by OSEP.</w:t>
      </w:r>
    </w:p>
    <w:p w:rsidR="00EB1E42" w:rsidRPr="00FD74B6" w:rsidRDefault="00EB1E42" w:rsidP="00EB1E42">
      <w:pPr>
        <w:pStyle w:val="Heading3"/>
      </w:pPr>
      <w:bookmarkStart w:id="157" w:name="_Toc77599133"/>
      <w:r w:rsidRPr="00FD74B6">
        <w:t xml:space="preserve">Secondary Transition </w:t>
      </w:r>
      <w:r>
        <w:t xml:space="preserve">New </w:t>
      </w:r>
      <w:r w:rsidRPr="00FD74B6">
        <w:t>Targets</w:t>
      </w:r>
      <w:bookmarkEnd w:id="157"/>
      <w:r w:rsidRPr="00FD74B6">
        <w:t xml:space="preserve"> </w:t>
      </w:r>
    </w:p>
    <w:tbl>
      <w:tblPr>
        <w:tblStyle w:val="TableGrid1"/>
        <w:tblW w:w="9350" w:type="dxa"/>
        <w:tblLook w:val="04A0" w:firstRow="1" w:lastRow="0" w:firstColumn="1" w:lastColumn="0" w:noHBand="0" w:noVBand="1"/>
        <w:tblDescription w:val="Indicator 4A Targets and Results"/>
      </w:tblPr>
      <w:tblGrid>
        <w:gridCol w:w="2150"/>
        <w:gridCol w:w="1206"/>
        <w:gridCol w:w="1206"/>
        <w:gridCol w:w="1206"/>
        <w:gridCol w:w="1206"/>
        <w:gridCol w:w="1206"/>
        <w:gridCol w:w="1170"/>
      </w:tblGrid>
      <w:tr w:rsidR="00EB1E42" w:rsidTr="00704E41">
        <w:trPr>
          <w:cantSplit/>
          <w:trHeight w:val="288"/>
          <w:tblHeader/>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13</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20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c>
          <w:tcPr>
            <w:tcW w:w="1170"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100%</w:t>
            </w:r>
          </w:p>
        </w:tc>
      </w:tr>
    </w:tbl>
    <w:p w:rsidR="00EB1E42" w:rsidRPr="00FD74B6" w:rsidRDefault="00EB1E42" w:rsidP="00EB1E42">
      <w:pPr>
        <w:pStyle w:val="Heading3"/>
      </w:pPr>
      <w:bookmarkStart w:id="158" w:name="_Toc77599134"/>
      <w:r w:rsidRPr="00FD74B6">
        <w:t xml:space="preserve">Secondary Transition </w:t>
      </w:r>
      <w:r>
        <w:t xml:space="preserve">Old </w:t>
      </w:r>
      <w:r w:rsidRPr="00FD74B6">
        <w:t>Targets</w:t>
      </w:r>
      <w:bookmarkEnd w:id="158"/>
      <w:r w:rsidRPr="00FD74B6">
        <w:t xml:space="preserve"> </w:t>
      </w:r>
    </w:p>
    <w:tbl>
      <w:tblPr>
        <w:tblStyle w:val="TableGrid13"/>
        <w:tblW w:w="9400" w:type="dxa"/>
        <w:tblLook w:val="04A0" w:firstRow="1" w:lastRow="0" w:firstColumn="1" w:lastColumn="0" w:noHBand="0" w:noVBand="1"/>
        <w:tblDescription w:val="Indicator 13 Targets and Results"/>
      </w:tblPr>
      <w:tblGrid>
        <w:gridCol w:w="1889"/>
        <w:gridCol w:w="1073"/>
        <w:gridCol w:w="1073"/>
        <w:gridCol w:w="1073"/>
        <w:gridCol w:w="1073"/>
        <w:gridCol w:w="1073"/>
        <w:gridCol w:w="1073"/>
        <w:gridCol w:w="1073"/>
      </w:tblGrid>
      <w:tr w:rsidR="00EB1E42" w:rsidRPr="00FD74B6" w:rsidTr="00704E41">
        <w:trPr>
          <w:cantSplit/>
          <w:trHeight w:val="301"/>
          <w:tblHeader/>
        </w:trPr>
        <w:tc>
          <w:tcPr>
            <w:tcW w:w="1889"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Indicator 13</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2013</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2014</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2015</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2016</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2017</w:t>
            </w:r>
          </w:p>
        </w:tc>
        <w:tc>
          <w:tcPr>
            <w:tcW w:w="1073" w:type="dxa"/>
            <w:hideMark/>
          </w:tcPr>
          <w:p w:rsidR="00EB1E42" w:rsidRPr="00FD74B6" w:rsidRDefault="00EB1E42" w:rsidP="00704E41">
            <w:pPr>
              <w:widowControl w:val="0"/>
              <w:overflowPunct w:val="0"/>
              <w:autoSpaceDE w:val="0"/>
              <w:autoSpaceDN w:val="0"/>
              <w:adjustRightInd w:val="0"/>
              <w:jc w:val="center"/>
              <w:rPr>
                <w:rFonts w:cs="Arial"/>
                <w:b/>
                <w:bCs/>
              </w:rPr>
            </w:pPr>
            <w:r w:rsidRPr="00FD74B6">
              <w:rPr>
                <w:rFonts w:cs="Arial"/>
                <w:b/>
                <w:bCs/>
              </w:rPr>
              <w:t>2018</w:t>
            </w:r>
          </w:p>
        </w:tc>
        <w:tc>
          <w:tcPr>
            <w:tcW w:w="1073" w:type="dxa"/>
          </w:tcPr>
          <w:p w:rsidR="00EB1E42" w:rsidRPr="00FD74B6"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RPr="00FD74B6" w:rsidTr="00704E41">
        <w:trPr>
          <w:cantSplit/>
          <w:trHeight w:val="210"/>
        </w:trPr>
        <w:tc>
          <w:tcPr>
            <w:tcW w:w="188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100%</w:t>
            </w:r>
          </w:p>
        </w:tc>
        <w:tc>
          <w:tcPr>
            <w:tcW w:w="1073" w:type="dxa"/>
          </w:tcPr>
          <w:p w:rsidR="00EB1E42" w:rsidRPr="00FD74B6" w:rsidRDefault="00EB1E42" w:rsidP="00704E41">
            <w:pPr>
              <w:widowControl w:val="0"/>
              <w:overflowPunct w:val="0"/>
              <w:autoSpaceDE w:val="0"/>
              <w:autoSpaceDN w:val="0"/>
              <w:adjustRightInd w:val="0"/>
              <w:jc w:val="center"/>
              <w:rPr>
                <w:rFonts w:cs="Arial"/>
                <w:bCs/>
              </w:rPr>
            </w:pPr>
            <w:r>
              <w:rPr>
                <w:rFonts w:cs="Arial"/>
                <w:bCs/>
              </w:rPr>
              <w:t>100%</w:t>
            </w:r>
          </w:p>
        </w:tc>
      </w:tr>
      <w:tr w:rsidR="00EB1E42" w:rsidRPr="00FD74B6" w:rsidTr="00704E41">
        <w:trPr>
          <w:cantSplit/>
          <w:trHeight w:val="210"/>
        </w:trPr>
        <w:tc>
          <w:tcPr>
            <w:tcW w:w="188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Result</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93.5%</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99.4%</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99.6%</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99.8%</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99.7%</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99.2%</w:t>
            </w:r>
          </w:p>
        </w:tc>
        <w:tc>
          <w:tcPr>
            <w:tcW w:w="1073" w:type="dxa"/>
          </w:tcPr>
          <w:p w:rsidR="00EB1E42"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96.3%</w:t>
            </w:r>
          </w:p>
        </w:tc>
      </w:tr>
      <w:tr w:rsidR="00EB1E42" w:rsidRPr="00FD74B6" w:rsidTr="00704E41">
        <w:trPr>
          <w:cantSplit/>
          <w:trHeight w:val="210"/>
        </w:trPr>
        <w:tc>
          <w:tcPr>
            <w:tcW w:w="1889"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Target Met</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bCs/>
              </w:rPr>
            </w:pPr>
            <w:r w:rsidRPr="00FD74B6">
              <w:rPr>
                <w:rFonts w:cs="Arial"/>
                <w:bCs/>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Pr>
                <w:rFonts w:cs="Arial"/>
                <w:bCs/>
                <w:color w:val="000000"/>
                <w:kern w:val="28"/>
                <w:sz w:val="23"/>
                <w:szCs w:val="23"/>
              </w:rPr>
              <w:t>No</w:t>
            </w:r>
          </w:p>
        </w:tc>
        <w:tc>
          <w:tcPr>
            <w:tcW w:w="1073" w:type="dxa"/>
            <w:hideMark/>
          </w:tcPr>
          <w:p w:rsidR="00EB1E42" w:rsidRPr="00FD74B6" w:rsidRDefault="00EB1E42" w:rsidP="00704E41">
            <w:pPr>
              <w:widowControl w:val="0"/>
              <w:overflowPunct w:val="0"/>
              <w:autoSpaceDE w:val="0"/>
              <w:autoSpaceDN w:val="0"/>
              <w:adjustRightInd w:val="0"/>
              <w:jc w:val="center"/>
              <w:rPr>
                <w:rFonts w:cs="Arial"/>
                <w:color w:val="000000"/>
                <w:kern w:val="28"/>
                <w:sz w:val="23"/>
                <w:szCs w:val="23"/>
              </w:rPr>
            </w:pPr>
            <w:r w:rsidRPr="00FD74B6">
              <w:rPr>
                <w:rFonts w:cs="Arial"/>
                <w:bCs/>
                <w:color w:val="000000"/>
                <w:kern w:val="28"/>
                <w:sz w:val="23"/>
                <w:szCs w:val="23"/>
              </w:rPr>
              <w:t>N</w:t>
            </w:r>
            <w:r>
              <w:rPr>
                <w:rFonts w:cs="Arial"/>
                <w:bCs/>
                <w:color w:val="000000"/>
                <w:kern w:val="28"/>
                <w:sz w:val="23"/>
                <w:szCs w:val="23"/>
              </w:rPr>
              <w:t>o</w:t>
            </w:r>
          </w:p>
        </w:tc>
        <w:tc>
          <w:tcPr>
            <w:tcW w:w="1073" w:type="dxa"/>
          </w:tcPr>
          <w:p w:rsidR="00EB1E42" w:rsidRPr="00FD74B6" w:rsidRDefault="00EB1E42" w:rsidP="00704E41">
            <w:pPr>
              <w:widowControl w:val="0"/>
              <w:overflowPunct w:val="0"/>
              <w:autoSpaceDE w:val="0"/>
              <w:autoSpaceDN w:val="0"/>
              <w:adjustRightInd w:val="0"/>
              <w:jc w:val="center"/>
              <w:rPr>
                <w:rFonts w:cs="Arial"/>
                <w:bCs/>
                <w:color w:val="000000"/>
                <w:kern w:val="28"/>
                <w:sz w:val="23"/>
                <w:szCs w:val="23"/>
              </w:rPr>
            </w:pPr>
            <w:r>
              <w:rPr>
                <w:rFonts w:cs="Arial"/>
                <w:bCs/>
                <w:color w:val="000000"/>
                <w:kern w:val="28"/>
                <w:sz w:val="23"/>
                <w:szCs w:val="23"/>
              </w:rPr>
              <w:t>No</w:t>
            </w:r>
          </w:p>
        </w:tc>
      </w:tr>
    </w:tbl>
    <w:p w:rsidR="00EB1E42" w:rsidRPr="00FD74B6" w:rsidRDefault="00EB1E42" w:rsidP="00EB1E42">
      <w:pPr>
        <w:pStyle w:val="Heading2"/>
        <w:spacing w:before="0" w:after="240"/>
        <w:jc w:val="center"/>
      </w:pPr>
      <w:r w:rsidRPr="00FD74B6">
        <w:br w:type="page"/>
      </w:r>
      <w:bookmarkStart w:id="159" w:name="_Toc77599135"/>
      <w:r w:rsidRPr="00FD74B6">
        <w:lastRenderedPageBreak/>
        <w:t>Indicator 14: Post-school Outcomes</w:t>
      </w:r>
      <w:bookmarkEnd w:id="159"/>
    </w:p>
    <w:p w:rsidR="00EB1E42" w:rsidRPr="00FD74B6" w:rsidRDefault="00EB1E42" w:rsidP="00EB1E42">
      <w:pPr>
        <w:pStyle w:val="Heading3"/>
        <w:spacing w:before="0" w:after="240"/>
      </w:pPr>
      <w:r>
        <w:t xml:space="preserve"> </w:t>
      </w:r>
      <w:bookmarkStart w:id="160" w:name="_Toc77599136"/>
      <w:r>
        <w:t>Measurement</w:t>
      </w:r>
      <w:bookmarkEnd w:id="160"/>
    </w:p>
    <w:p w:rsidR="00EB1E42" w:rsidRDefault="00EB1E42" w:rsidP="00EB1E42">
      <w:pPr>
        <w:tabs>
          <w:tab w:val="left" w:pos="720"/>
          <w:tab w:val="center" w:pos="4680"/>
          <w:tab w:val="right" w:pos="9360"/>
        </w:tabs>
        <w:spacing w:after="240"/>
        <w:rPr>
          <w:rFonts w:cs="Arial"/>
        </w:rPr>
      </w:pPr>
      <w:r w:rsidRPr="00FD74B6">
        <w:rPr>
          <w:rFonts w:cs="Arial"/>
        </w:rPr>
        <w:t>Indicator 14 is a performance indicator that measures the percent of youth who are no</w:t>
      </w:r>
      <w:r>
        <w:rPr>
          <w:rFonts w:cs="Arial"/>
        </w:rPr>
        <w:t xml:space="preserve"> longer in secondary school but</w:t>
      </w:r>
      <w:r w:rsidRPr="00FD74B6">
        <w:rPr>
          <w:rFonts w:cs="Arial"/>
        </w:rPr>
        <w:t xml:space="preserve"> had IEPs in effect at the time they left school, and were either enrolled in higher education within one year of leaving high school; enrolled in higher education or competitively employed within one year of leaving high school; or enrolled in higher education or in some other postsecondary education or training program; or competitively employed or in some other employment within one year of leaving high school</w:t>
      </w:r>
      <w:r>
        <w:rPr>
          <w:rFonts w:cs="Arial"/>
        </w:rPr>
        <w:t>.</w:t>
      </w:r>
    </w:p>
    <w:p w:rsidR="00EB1E42" w:rsidRDefault="00EB1E42" w:rsidP="00EB1E42">
      <w:pPr>
        <w:tabs>
          <w:tab w:val="left" w:pos="720"/>
          <w:tab w:val="center" w:pos="4680"/>
          <w:tab w:val="right" w:pos="9360"/>
        </w:tabs>
        <w:spacing w:after="240"/>
        <w:rPr>
          <w:rFonts w:cs="Arial"/>
        </w:rPr>
      </w:pPr>
      <w:r>
        <w:rPr>
          <w:rFonts w:cs="Arial"/>
        </w:rPr>
        <w:t>The indicator is calculated as follows:</w:t>
      </w:r>
    </w:p>
    <w:p w:rsidR="00EB1E42" w:rsidRPr="0076354E" w:rsidRDefault="00EB1E42" w:rsidP="00EB1E42">
      <w:pPr>
        <w:pStyle w:val="ListParagraph"/>
        <w:numPr>
          <w:ilvl w:val="0"/>
          <w:numId w:val="40"/>
        </w:numPr>
        <w:tabs>
          <w:tab w:val="center" w:pos="4320"/>
          <w:tab w:val="right" w:pos="8640"/>
        </w:tabs>
        <w:spacing w:after="240"/>
        <w:rPr>
          <w:rFonts w:cs="Arial"/>
        </w:rPr>
      </w:pPr>
      <w:r w:rsidRPr="0076354E">
        <w:rPr>
          <w:rFonts w:cs="Arial"/>
        </w:rPr>
        <w:t>The number of youths who are no longer in secondary school, had IEPs in effect when they left school, and were enrolled in higher education within one year of leaving high school divided by the number of respondent youth who are no longer in secondary school.</w:t>
      </w:r>
    </w:p>
    <w:p w:rsidR="00EB1E42" w:rsidRPr="0076354E" w:rsidRDefault="00EB1E42" w:rsidP="00EB1E42">
      <w:pPr>
        <w:pStyle w:val="ListParagraph"/>
        <w:numPr>
          <w:ilvl w:val="0"/>
          <w:numId w:val="40"/>
        </w:numPr>
        <w:tabs>
          <w:tab w:val="center" w:pos="4320"/>
          <w:tab w:val="right" w:pos="8640"/>
        </w:tabs>
        <w:spacing w:after="240"/>
        <w:rPr>
          <w:rFonts w:cs="Arial"/>
        </w:rPr>
      </w:pPr>
      <w:r w:rsidRPr="0076354E">
        <w:rPr>
          <w:rFonts w:cs="Arial"/>
        </w:rPr>
        <w:t>Number of youths who are no longer in secondary school, had IEPs in effect when they left school, and were enrolled in higher education or competitively employed within one year of leaving high school divided by the number of respondent youth who are no longer in secondary school.</w:t>
      </w:r>
    </w:p>
    <w:p w:rsidR="00EB1E42" w:rsidRPr="0076354E" w:rsidRDefault="00EB1E42" w:rsidP="00EB1E42">
      <w:pPr>
        <w:pStyle w:val="ListParagraph"/>
        <w:numPr>
          <w:ilvl w:val="0"/>
          <w:numId w:val="40"/>
        </w:numPr>
        <w:spacing w:after="240"/>
        <w:rPr>
          <w:rFonts w:cs="Arial"/>
        </w:rPr>
      </w:pPr>
      <w:r w:rsidRPr="0076354E">
        <w:rPr>
          <w:rFonts w:cs="Arial"/>
        </w:rPr>
        <w:t>Number of youths who are no longer in secondary school, had IEPs in effect when they left school, and were enrolled in higher education, or in some other postsecondary education or training program; or competitively employed or in some other employment divided by the number of respondent youth who are no longer in secondary school.</w:t>
      </w:r>
    </w:p>
    <w:p w:rsidR="00EB1E42" w:rsidRDefault="00EB1E42" w:rsidP="00EB1E42">
      <w:pPr>
        <w:pStyle w:val="Heading3"/>
        <w:spacing w:before="0" w:after="240"/>
      </w:pPr>
      <w:bookmarkStart w:id="161" w:name="_Toc77599137"/>
      <w:r>
        <w:t>Notable Change(s)</w:t>
      </w:r>
      <w:bookmarkEnd w:id="161"/>
    </w:p>
    <w:p w:rsidR="00EB1E42" w:rsidRPr="00FD74B6" w:rsidRDefault="00EB1E42" w:rsidP="00EB1E42">
      <w:pPr>
        <w:spacing w:after="240"/>
        <w:rPr>
          <w:rFonts w:cs="Arial"/>
          <w:b/>
          <w:bCs/>
        </w:rPr>
      </w:pPr>
      <w:r>
        <w:rPr>
          <w:rFonts w:cs="Arial"/>
        </w:rPr>
        <w:t xml:space="preserve">There were no notable changes to the calculation or measurement for this indicator. When reporting the extent to which the demographics of respondents are representative of the demographics of youth who are no longer in secondary school and had IEPs in effect at the time they left school, States had to choose a secondary category in addition to race and ethnicity. </w:t>
      </w:r>
      <w:r w:rsidRPr="00E603B3">
        <w:rPr>
          <w:rFonts w:cs="Arial"/>
        </w:rPr>
        <w:t>The CDE already reports disability category prior to this new requirement, race and ethnicity will be added to this analysis.</w:t>
      </w:r>
      <w:r>
        <w:rPr>
          <w:rFonts w:cs="Arial"/>
        </w:rPr>
        <w:t xml:space="preserve"> </w:t>
      </w:r>
    </w:p>
    <w:p w:rsidR="00EB1E42" w:rsidRDefault="00EB1E42" w:rsidP="00EB1E42">
      <w:pPr>
        <w:pStyle w:val="Heading3"/>
        <w:spacing w:before="0" w:after="240"/>
      </w:pPr>
      <w:bookmarkStart w:id="162" w:name="_Toc77599138"/>
      <w:r>
        <w:t>Stakeholder Feedback</w:t>
      </w:r>
      <w:bookmarkEnd w:id="162"/>
    </w:p>
    <w:p w:rsidR="00EB1E42" w:rsidRPr="0076354E" w:rsidRDefault="00EB1E42" w:rsidP="00EB1E42">
      <w:pPr>
        <w:pStyle w:val="ListParagraph"/>
        <w:numPr>
          <w:ilvl w:val="0"/>
          <w:numId w:val="41"/>
        </w:numPr>
        <w:tabs>
          <w:tab w:val="center" w:pos="4320"/>
          <w:tab w:val="right" w:pos="8640"/>
        </w:tabs>
        <w:spacing w:after="240"/>
        <w:rPr>
          <w:rFonts w:cs="Arial"/>
        </w:rPr>
      </w:pPr>
      <w:r>
        <w:t xml:space="preserve">For indicator 14a the stakeholders wanted to continue to see a slow and steady increase over the next six years. </w:t>
      </w:r>
    </w:p>
    <w:p w:rsidR="00EB1E42" w:rsidRPr="0076354E" w:rsidRDefault="00EB1E42" w:rsidP="00EB1E42">
      <w:pPr>
        <w:pStyle w:val="ListParagraph"/>
        <w:numPr>
          <w:ilvl w:val="0"/>
          <w:numId w:val="41"/>
        </w:numPr>
        <w:tabs>
          <w:tab w:val="center" w:pos="4320"/>
          <w:tab w:val="right" w:pos="8640"/>
        </w:tabs>
        <w:spacing w:after="240"/>
        <w:rPr>
          <w:rFonts w:cs="Arial"/>
        </w:rPr>
      </w:pPr>
      <w:r>
        <w:t>For indicator 14b the stakeholders wanted to continue to see a slow and steady increase over the next six years.</w:t>
      </w:r>
    </w:p>
    <w:p w:rsidR="00EB1E42" w:rsidRPr="0076354E" w:rsidRDefault="00EB1E42" w:rsidP="00EB1E42">
      <w:pPr>
        <w:pStyle w:val="ListParagraph"/>
        <w:numPr>
          <w:ilvl w:val="0"/>
          <w:numId w:val="41"/>
        </w:numPr>
        <w:spacing w:after="240"/>
        <w:rPr>
          <w:rFonts w:cs="Arial"/>
        </w:rPr>
      </w:pPr>
      <w:r>
        <w:t>The stakeholders recommended the indicator 14c target to gradually increase to around 90 percent by 2025.</w:t>
      </w:r>
    </w:p>
    <w:p w:rsidR="00EB1E42" w:rsidRDefault="00EB1E42" w:rsidP="00EB1E42">
      <w:pPr>
        <w:pStyle w:val="Heading3"/>
      </w:pPr>
      <w:bookmarkStart w:id="163" w:name="_Toc77599139"/>
      <w:r w:rsidRPr="00FD74B6">
        <w:lastRenderedPageBreak/>
        <w:t>Post-school Outcomes</w:t>
      </w:r>
      <w:r>
        <w:t xml:space="preserve"> New</w:t>
      </w:r>
      <w:r w:rsidRPr="00FD74B6">
        <w:t xml:space="preserve"> Targets</w:t>
      </w:r>
      <w:bookmarkEnd w:id="163"/>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14</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hideMark/>
          </w:tcPr>
          <w:p w:rsidR="00EB1E42" w:rsidRDefault="00EB1E42" w:rsidP="00704E41">
            <w:pPr>
              <w:widowControl w:val="0"/>
              <w:overflowPunct w:val="0"/>
              <w:autoSpaceDE w:val="0"/>
              <w:autoSpaceDN w:val="0"/>
              <w:adjustRightInd w:val="0"/>
              <w:rPr>
                <w:rFonts w:cs="Arial"/>
                <w:bCs/>
              </w:rPr>
            </w:pPr>
            <w:r>
              <w:rPr>
                <w:rFonts w:cs="Arial"/>
                <w:bCs/>
              </w:rPr>
              <w:t>14a 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55%</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56%</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57%</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58%</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59%</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60%</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tcPr>
          <w:p w:rsidR="00EB1E42" w:rsidRDefault="00EB1E42" w:rsidP="00704E41">
            <w:pPr>
              <w:widowControl w:val="0"/>
              <w:overflowPunct w:val="0"/>
              <w:autoSpaceDE w:val="0"/>
              <w:autoSpaceDN w:val="0"/>
              <w:adjustRightInd w:val="0"/>
              <w:rPr>
                <w:rFonts w:cs="Arial"/>
                <w:bCs/>
              </w:rPr>
            </w:pPr>
            <w:r>
              <w:rPr>
                <w:rFonts w:cs="Arial"/>
                <w:bCs/>
              </w:rPr>
              <w:t>14b Target</w:t>
            </w:r>
          </w:p>
        </w:tc>
        <w:tc>
          <w:tcPr>
            <w:tcW w:w="1203"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76.5%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78%</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79.5%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81%</w:t>
            </w:r>
          </w:p>
        </w:tc>
        <w:tc>
          <w:tcPr>
            <w:tcW w:w="1176"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vAlign w:val="bottom"/>
          </w:tcPr>
          <w:p w:rsidR="00EB1E42" w:rsidRDefault="00EB1E42" w:rsidP="00704E41">
            <w:pPr>
              <w:widowControl w:val="0"/>
              <w:overflowPunct w:val="0"/>
              <w:autoSpaceDE w:val="0"/>
              <w:autoSpaceDN w:val="0"/>
              <w:adjustRightInd w:val="0"/>
              <w:rPr>
                <w:rFonts w:cs="Arial"/>
                <w:bCs/>
              </w:rPr>
            </w:pPr>
            <w:r>
              <w:rPr>
                <w:rFonts w:cs="Arial"/>
                <w:bCs/>
              </w:rPr>
              <w:t>14c Target</w:t>
            </w:r>
          </w:p>
        </w:tc>
        <w:tc>
          <w:tcPr>
            <w:tcW w:w="1203"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87%</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87.5%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88%</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88.5%</w:t>
            </w:r>
          </w:p>
        </w:tc>
        <w:tc>
          <w:tcPr>
            <w:tcW w:w="120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89%</w:t>
            </w:r>
          </w:p>
        </w:tc>
        <w:tc>
          <w:tcPr>
            <w:tcW w:w="1176"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89.5%</w:t>
            </w:r>
          </w:p>
        </w:tc>
      </w:tr>
    </w:tbl>
    <w:p w:rsidR="00EB1E42" w:rsidRPr="00002221" w:rsidRDefault="00EB1E42" w:rsidP="00EB1E42"/>
    <w:p w:rsidR="00EB1E42" w:rsidRPr="00FD74B6" w:rsidRDefault="00EB1E42" w:rsidP="00EB1E42">
      <w:pPr>
        <w:pStyle w:val="Heading3"/>
      </w:pPr>
      <w:bookmarkStart w:id="164" w:name="_Toc77599140"/>
      <w:r w:rsidRPr="00FD74B6">
        <w:t>Post-school Outcomes</w:t>
      </w:r>
      <w:r>
        <w:t xml:space="preserve"> Old</w:t>
      </w:r>
      <w:r w:rsidRPr="00FD74B6">
        <w:t xml:space="preserve"> Targets</w:t>
      </w:r>
      <w:bookmarkEnd w:id="164"/>
    </w:p>
    <w:tbl>
      <w:tblPr>
        <w:tblStyle w:val="TableGrid141"/>
        <w:tblW w:w="9635" w:type="dxa"/>
        <w:tblLook w:val="04A0" w:firstRow="1" w:lastRow="0" w:firstColumn="1" w:lastColumn="0" w:noHBand="0" w:noVBand="1"/>
        <w:tblDescription w:val="Indicator 14 Targets and Results"/>
      </w:tblPr>
      <w:tblGrid>
        <w:gridCol w:w="2187"/>
        <w:gridCol w:w="1064"/>
        <w:gridCol w:w="1064"/>
        <w:gridCol w:w="1064"/>
        <w:gridCol w:w="1064"/>
        <w:gridCol w:w="1064"/>
        <w:gridCol w:w="1064"/>
        <w:gridCol w:w="1064"/>
      </w:tblGrid>
      <w:tr w:rsidR="00EB1E42" w:rsidRPr="004B1E47" w:rsidTr="00704E41">
        <w:trPr>
          <w:cantSplit/>
          <w:trHeight w:val="218"/>
          <w:tblHeader/>
        </w:trPr>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Indicator 14</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2013</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2014</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2015</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2016</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2017</w:t>
            </w:r>
          </w:p>
        </w:tc>
        <w:tc>
          <w:tcPr>
            <w:tcW w:w="0" w:type="auto"/>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2018</w:t>
            </w:r>
          </w:p>
        </w:tc>
        <w:tc>
          <w:tcPr>
            <w:tcW w:w="0" w:type="auto"/>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2019</w:t>
            </w:r>
          </w:p>
        </w:tc>
      </w:tr>
      <w:tr w:rsidR="00EB1E42" w:rsidRPr="004B1E47" w:rsidTr="00704E41">
        <w:trPr>
          <w:cantSplit/>
          <w:trHeight w:val="30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sidRPr="004B1E47">
              <w:rPr>
                <w:rFonts w:cs="Arial"/>
                <w:bCs/>
              </w:rPr>
              <w:t>14</w:t>
            </w:r>
            <w:r>
              <w:rPr>
                <w:rFonts w:cs="Arial"/>
                <w:bCs/>
              </w:rPr>
              <w:t>a</w:t>
            </w:r>
            <w:r w:rsidRPr="004B1E47">
              <w:rPr>
                <w:rFonts w:cs="Arial"/>
                <w:bCs/>
              </w:rPr>
              <w:t xml:space="preserve"> Target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54.3%</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55.3%</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14a </w:t>
            </w:r>
            <w:r w:rsidRPr="004B1E47">
              <w:rPr>
                <w:rFonts w:cs="Arial"/>
                <w:bCs/>
              </w:rPr>
              <w:t>Result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50.4%</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52.3%</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48.9%</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53.9%</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54.8%</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56.7%</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14a </w:t>
            </w:r>
            <w:r w:rsidRPr="004B1E47">
              <w:rPr>
                <w:rFonts w:cs="Arial"/>
                <w:bCs/>
              </w:rPr>
              <w:t>Target Met</w:t>
            </w:r>
          </w:p>
        </w:tc>
        <w:tc>
          <w:tcPr>
            <w:tcW w:w="0" w:type="auto"/>
            <w:vAlign w:val="bottom"/>
            <w:hideMark/>
          </w:tcPr>
          <w:p w:rsidR="00EB1E42" w:rsidRPr="004B1E47" w:rsidRDefault="00EB1E42" w:rsidP="00704E41">
            <w:pPr>
              <w:jc w:val="center"/>
              <w:rPr>
                <w:rFonts w:ascii="Calibri" w:hAnsi="Calibri"/>
                <w:sz w:val="22"/>
                <w:szCs w:val="22"/>
              </w:rP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r>
      <w:tr w:rsidR="00EB1E42" w:rsidRPr="004B1E47" w:rsidTr="00704E41">
        <w:trPr>
          <w:cantSplit/>
          <w:trHeight w:val="28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sidRPr="004B1E47">
              <w:rPr>
                <w:rFonts w:cs="Arial"/>
                <w:bCs/>
              </w:rPr>
              <w:t>14B Target</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72.4%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73.4%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74.4%</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75.4%</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14b </w:t>
            </w:r>
            <w:r w:rsidRPr="004B1E47">
              <w:rPr>
                <w:rFonts w:cs="Arial"/>
                <w:bCs/>
              </w:rPr>
              <w:t>Result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72.4%</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72.4%</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75.5%</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72.6%</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77.6%</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70.7%</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75.9%</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14b </w:t>
            </w:r>
            <w:r w:rsidRPr="004B1E47">
              <w:rPr>
                <w:rFonts w:cs="Arial"/>
                <w:bCs/>
              </w:rPr>
              <w:t>Target Met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r>
      <w:tr w:rsidR="00EB1E42" w:rsidRPr="004B1E47" w:rsidTr="00704E41">
        <w:trPr>
          <w:cantSplit/>
          <w:trHeight w:val="422"/>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sidRPr="004B1E47">
              <w:rPr>
                <w:rFonts w:cs="Arial"/>
                <w:bCs/>
              </w:rPr>
              <w:t>14</w:t>
            </w:r>
            <w:r>
              <w:rPr>
                <w:rFonts w:cs="Arial"/>
                <w:bCs/>
              </w:rPr>
              <w:t>c</w:t>
            </w:r>
            <w:r w:rsidRPr="004B1E47">
              <w:rPr>
                <w:rFonts w:cs="Arial"/>
                <w:bCs/>
              </w:rPr>
              <w:t xml:space="preserve"> Target</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81%</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82%</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83%</w:t>
            </w:r>
          </w:p>
        </w:tc>
        <w:tc>
          <w:tcPr>
            <w:tcW w:w="0" w:type="auto"/>
            <w:vAlign w:val="bottom"/>
          </w:tcPr>
          <w:p w:rsidR="00EB1E42" w:rsidRPr="004B1E47" w:rsidRDefault="00EB1E42" w:rsidP="00704E41">
            <w:pPr>
              <w:widowControl w:val="0"/>
              <w:overflowPunct w:val="0"/>
              <w:autoSpaceDE w:val="0"/>
              <w:autoSpaceDN w:val="0"/>
              <w:adjustRightInd w:val="0"/>
              <w:spacing w:before="240"/>
              <w:jc w:val="center"/>
              <w:rPr>
                <w:rFonts w:cs="Arial"/>
                <w:bCs/>
              </w:rPr>
            </w:pPr>
            <w:r w:rsidRPr="004B1E47">
              <w:rPr>
                <w:rFonts w:cs="Arial"/>
                <w:bCs/>
              </w:rPr>
              <w:t>84%</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14c </w:t>
            </w:r>
            <w:r w:rsidRPr="004B1E47">
              <w:rPr>
                <w:rFonts w:cs="Arial"/>
                <w:bCs/>
              </w:rPr>
              <w:t>Result</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81%</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82.1%</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83.2%</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81.7%</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85.5%</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89.3%</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94.1%</w:t>
            </w:r>
          </w:p>
        </w:tc>
      </w:tr>
      <w:tr w:rsidR="00EB1E42" w:rsidRPr="004B1E47" w:rsidTr="00704E41">
        <w:trPr>
          <w:cantSplit/>
          <w:trHeight w:val="218"/>
        </w:trPr>
        <w:tc>
          <w:tcPr>
            <w:tcW w:w="0" w:type="auto"/>
            <w:vAlign w:val="bottom"/>
            <w:hideMark/>
          </w:tcPr>
          <w:p w:rsidR="00EB1E42" w:rsidRPr="004B1E47" w:rsidRDefault="00EB1E42" w:rsidP="00704E41">
            <w:pPr>
              <w:widowControl w:val="0"/>
              <w:overflowPunct w:val="0"/>
              <w:autoSpaceDE w:val="0"/>
              <w:autoSpaceDN w:val="0"/>
              <w:adjustRightInd w:val="0"/>
              <w:rPr>
                <w:rFonts w:cs="Arial"/>
                <w:bCs/>
              </w:rPr>
            </w:pPr>
            <w:r>
              <w:rPr>
                <w:rFonts w:cs="Arial"/>
                <w:bCs/>
              </w:rPr>
              <w:t xml:space="preserve">14c </w:t>
            </w:r>
            <w:r w:rsidRPr="004B1E47">
              <w:rPr>
                <w:rFonts w:cs="Arial"/>
                <w:bCs/>
              </w:rPr>
              <w:t>Target Met</w:t>
            </w:r>
          </w:p>
        </w:tc>
        <w:tc>
          <w:tcPr>
            <w:tcW w:w="0" w:type="auto"/>
            <w:vAlign w:val="bottom"/>
            <w:hideMark/>
          </w:tcPr>
          <w:p w:rsidR="00EB1E42" w:rsidRPr="004B1E47" w:rsidRDefault="00EB1E42" w:rsidP="00704E41">
            <w:pPr>
              <w:jc w:val="center"/>
              <w:rPr>
                <w:rFonts w:ascii="Calibri" w:hAnsi="Calibri"/>
                <w:sz w:val="22"/>
                <w:szCs w:val="22"/>
              </w:rP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jc w:val="cente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0" w:type="auto"/>
            <w:vAlign w:val="bottom"/>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r>
    </w:tbl>
    <w:p w:rsidR="00EB1E42" w:rsidRDefault="00EB1E42" w:rsidP="00EB1E42"/>
    <w:p w:rsidR="00EB1E42" w:rsidRDefault="00EB1E42" w:rsidP="00EB1E42">
      <w:pPr>
        <w:spacing w:after="160" w:line="259" w:lineRule="auto"/>
        <w:rPr>
          <w:rFonts w:eastAsiaTheme="majorEastAsia" w:cstheme="majorBidi"/>
          <w:b/>
          <w:sz w:val="28"/>
          <w:szCs w:val="26"/>
        </w:rPr>
      </w:pPr>
      <w:r>
        <w:br w:type="page"/>
      </w:r>
    </w:p>
    <w:p w:rsidR="00EB1E42" w:rsidRPr="00E77F11" w:rsidRDefault="00EB1E42" w:rsidP="00EB1E42">
      <w:pPr>
        <w:pStyle w:val="Heading2"/>
        <w:tabs>
          <w:tab w:val="center" w:pos="4680"/>
        </w:tabs>
        <w:spacing w:before="0" w:after="240"/>
        <w:jc w:val="center"/>
      </w:pPr>
      <w:bookmarkStart w:id="165" w:name="_Toc77599141"/>
      <w:r w:rsidRPr="00E77F11">
        <w:lastRenderedPageBreak/>
        <w:t>Indicator 15: Resolution Sessions</w:t>
      </w:r>
      <w:bookmarkEnd w:id="165"/>
    </w:p>
    <w:p w:rsidR="00EB1E42" w:rsidRPr="00E77F11" w:rsidRDefault="00EB1E42" w:rsidP="00EB1E42">
      <w:pPr>
        <w:pStyle w:val="Heading3"/>
        <w:spacing w:after="240"/>
      </w:pPr>
      <w:bookmarkStart w:id="166" w:name="_Toc77599142"/>
      <w:r>
        <w:t>Measurement</w:t>
      </w:r>
      <w:bookmarkEnd w:id="166"/>
    </w:p>
    <w:p w:rsidR="00EB1E42" w:rsidRDefault="00EB1E42" w:rsidP="00EB1E42">
      <w:pPr>
        <w:spacing w:after="240"/>
        <w:rPr>
          <w:rFonts w:cs="Arial"/>
        </w:rPr>
      </w:pPr>
      <w:r w:rsidRPr="00E77F11">
        <w:rPr>
          <w:rFonts w:cs="Arial"/>
        </w:rPr>
        <w:t>Indicator 15 is a performance indicator that measures the percent of due process hearing requests that went to resolution sessions that were resolved through resolution session settlement agreements.</w:t>
      </w:r>
    </w:p>
    <w:p w:rsidR="00EB1E42" w:rsidRPr="00E77F11" w:rsidRDefault="00EB1E42" w:rsidP="00EB1E42">
      <w:pPr>
        <w:spacing w:after="240"/>
        <w:rPr>
          <w:rFonts w:cs="Arial"/>
          <w:b/>
          <w:bCs/>
        </w:rPr>
      </w:pPr>
      <w:r>
        <w:rPr>
          <w:rFonts w:cs="Arial"/>
          <w:bCs/>
        </w:rPr>
        <w:t xml:space="preserve">The indicator is calculated by </w:t>
      </w:r>
      <w:r>
        <w:rPr>
          <w:rFonts w:cs="Arial"/>
        </w:rPr>
        <w:t>the number of resolution sessions resolved through settlement agreements divided by the number of resolution sessions</w:t>
      </w:r>
      <w:r w:rsidRPr="00E77F11">
        <w:rPr>
          <w:rFonts w:cs="Arial"/>
        </w:rPr>
        <w:t xml:space="preserve"> multiplied by 100.</w:t>
      </w:r>
    </w:p>
    <w:p w:rsidR="00EB1E42" w:rsidRPr="00E77F11" w:rsidRDefault="00EB1E42" w:rsidP="00EB1E42">
      <w:pPr>
        <w:pStyle w:val="Heading3"/>
        <w:spacing w:before="0" w:after="240"/>
        <w:rPr>
          <w:rFonts w:cs="Arial"/>
          <w:bCs/>
        </w:rPr>
      </w:pPr>
      <w:bookmarkStart w:id="167" w:name="_Toc77599143"/>
      <w:r>
        <w:t>Notable Change(s)</w:t>
      </w:r>
      <w:bookmarkEnd w:id="167"/>
    </w:p>
    <w:p w:rsidR="00EB1E42" w:rsidRDefault="00EB1E42" w:rsidP="00EB1E42">
      <w:r>
        <w:t>OSEP made no changes to this indicator.</w:t>
      </w:r>
    </w:p>
    <w:p w:rsidR="00EB1E42" w:rsidRDefault="00EB1E42" w:rsidP="00EB1E42"/>
    <w:p w:rsidR="00EB1E42" w:rsidRPr="00E77F11" w:rsidRDefault="00EB1E42" w:rsidP="00EB1E42">
      <w:pPr>
        <w:pStyle w:val="Heading3"/>
        <w:spacing w:before="0" w:after="240"/>
        <w:rPr>
          <w:rFonts w:cs="Arial"/>
          <w:bCs/>
        </w:rPr>
      </w:pPr>
      <w:bookmarkStart w:id="168" w:name="_Toc77599144"/>
      <w:r>
        <w:rPr>
          <w:rFonts w:cs="Arial"/>
          <w:bCs/>
        </w:rPr>
        <w:t>Stakeholder Feedback</w:t>
      </w:r>
      <w:bookmarkEnd w:id="168"/>
    </w:p>
    <w:p w:rsidR="00EB1E42" w:rsidRDefault="00EB1E42" w:rsidP="00EB1E42">
      <w:pPr>
        <w:rPr>
          <w:szCs w:val="22"/>
        </w:rPr>
      </w:pPr>
      <w:r>
        <w:t xml:space="preserve">The data for this indicator can greatly fluctuate year to year. The CDE, with the Office of Administrative Hearings, is developing a clearer operational definition of what is considered a ‘successful’ agreement. The stakeholders were very interested in how successful agreement would be defined in the future and how that could impact the data. Since this discussion is currently ongoing CDE recommends using 2020 as a new baseline and starting point for new ambitious targets. </w:t>
      </w:r>
    </w:p>
    <w:p w:rsidR="00EB1E42" w:rsidRPr="00E77F11" w:rsidRDefault="00EB1E42" w:rsidP="00EB1E42">
      <w:pPr>
        <w:pStyle w:val="Heading3"/>
      </w:pPr>
      <w:bookmarkStart w:id="169" w:name="_Toc77599145"/>
      <w:r w:rsidRPr="00E77F11">
        <w:t>Resolution Sessions</w:t>
      </w:r>
      <w:r>
        <w:t xml:space="preserve"> New</w:t>
      </w:r>
      <w:r w:rsidRPr="00E77F11">
        <w:t xml:space="preserve"> Targets</w:t>
      </w:r>
      <w:bookmarkEnd w:id="169"/>
      <w:r w:rsidRPr="00E77F11">
        <w:t xml:space="preserve"> </w:t>
      </w:r>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15</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45%</w:t>
            </w:r>
          </w:p>
        </w:tc>
      </w:tr>
    </w:tbl>
    <w:p w:rsidR="00EB1E42" w:rsidRDefault="00EB1E42" w:rsidP="00EB1E42">
      <w:pPr>
        <w:pStyle w:val="Heading3"/>
      </w:pPr>
      <w:bookmarkStart w:id="170" w:name="_Toc77599146"/>
      <w:r w:rsidRPr="00E77F11">
        <w:t>Resolution Sessions</w:t>
      </w:r>
      <w:r>
        <w:t xml:space="preserve"> Old</w:t>
      </w:r>
      <w:r w:rsidRPr="00E77F11">
        <w:t xml:space="preserve"> Targets</w:t>
      </w:r>
      <w:bookmarkEnd w:id="170"/>
      <w:r w:rsidRPr="00E77F11">
        <w:t xml:space="preserve"> </w:t>
      </w:r>
    </w:p>
    <w:tbl>
      <w:tblPr>
        <w:tblStyle w:val="TableGrid151"/>
        <w:tblW w:w="9449" w:type="dxa"/>
        <w:tblLook w:val="04A0" w:firstRow="1" w:lastRow="0" w:firstColumn="1" w:lastColumn="0" w:noHBand="0" w:noVBand="1"/>
        <w:tblDescription w:val="Indicator 15 Targets and Results"/>
      </w:tblPr>
      <w:tblGrid>
        <w:gridCol w:w="1885"/>
        <w:gridCol w:w="1144"/>
        <w:gridCol w:w="1144"/>
        <w:gridCol w:w="1019"/>
        <w:gridCol w:w="1099"/>
        <w:gridCol w:w="1099"/>
        <w:gridCol w:w="1063"/>
        <w:gridCol w:w="996"/>
      </w:tblGrid>
      <w:tr w:rsidR="00EB1E42" w:rsidRPr="004B1E47" w:rsidTr="00704E41">
        <w:trPr>
          <w:cantSplit/>
          <w:trHeight w:val="305"/>
          <w:tblHeader/>
        </w:trPr>
        <w:tc>
          <w:tcPr>
            <w:tcW w:w="1885"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Indicator 15</w:t>
            </w:r>
          </w:p>
        </w:tc>
        <w:tc>
          <w:tcPr>
            <w:tcW w:w="114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2013</w:t>
            </w:r>
          </w:p>
        </w:tc>
        <w:tc>
          <w:tcPr>
            <w:tcW w:w="114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2014</w:t>
            </w:r>
          </w:p>
        </w:tc>
        <w:tc>
          <w:tcPr>
            <w:tcW w:w="101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2015</w:t>
            </w:r>
          </w:p>
        </w:tc>
        <w:tc>
          <w:tcPr>
            <w:tcW w:w="109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2016</w:t>
            </w:r>
          </w:p>
        </w:tc>
        <w:tc>
          <w:tcPr>
            <w:tcW w:w="109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2017</w:t>
            </w:r>
          </w:p>
        </w:tc>
        <w:tc>
          <w:tcPr>
            <w:tcW w:w="1063"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2018</w:t>
            </w:r>
          </w:p>
        </w:tc>
        <w:tc>
          <w:tcPr>
            <w:tcW w:w="996" w:type="dxa"/>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2019</w:t>
            </w:r>
          </w:p>
        </w:tc>
      </w:tr>
      <w:tr w:rsidR="00EB1E42" w:rsidRPr="004B1E47" w:rsidTr="00704E41">
        <w:trPr>
          <w:cantSplit/>
          <w:trHeight w:val="305"/>
        </w:trPr>
        <w:tc>
          <w:tcPr>
            <w:tcW w:w="1885"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55%</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56%</w:t>
            </w:r>
          </w:p>
        </w:tc>
        <w:tc>
          <w:tcPr>
            <w:tcW w:w="101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57%</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58%</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59%</w:t>
            </w:r>
          </w:p>
        </w:tc>
        <w:tc>
          <w:tcPr>
            <w:tcW w:w="1063"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60%</w:t>
            </w:r>
          </w:p>
        </w:tc>
        <w:tc>
          <w:tcPr>
            <w:tcW w:w="996"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61%</w:t>
            </w:r>
          </w:p>
        </w:tc>
      </w:tr>
      <w:tr w:rsidR="00EB1E42" w:rsidRPr="004B1E47" w:rsidTr="00704E41">
        <w:trPr>
          <w:cantSplit/>
          <w:trHeight w:val="305"/>
        </w:trPr>
        <w:tc>
          <w:tcPr>
            <w:tcW w:w="1885"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Result</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32.7%</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30.2%</w:t>
            </w:r>
          </w:p>
        </w:tc>
        <w:tc>
          <w:tcPr>
            <w:tcW w:w="101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32.1%</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31.2%</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24.1%</w:t>
            </w:r>
          </w:p>
        </w:tc>
        <w:tc>
          <w:tcPr>
            <w:tcW w:w="1063"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21.9%</w:t>
            </w:r>
          </w:p>
        </w:tc>
        <w:tc>
          <w:tcPr>
            <w:tcW w:w="996"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25.9%</w:t>
            </w:r>
          </w:p>
        </w:tc>
      </w:tr>
      <w:tr w:rsidR="00EB1E42" w:rsidRPr="004B1E47" w:rsidTr="00704E41">
        <w:trPr>
          <w:cantSplit/>
          <w:trHeight w:val="305"/>
        </w:trPr>
        <w:tc>
          <w:tcPr>
            <w:tcW w:w="1885"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 Met</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14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1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9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1063"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996"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r>
    </w:tbl>
    <w:p w:rsidR="00EB1E42" w:rsidRPr="004B1E47" w:rsidRDefault="00EB1E42" w:rsidP="00EB1E42"/>
    <w:p w:rsidR="00EB1E42" w:rsidRPr="00E77F11" w:rsidRDefault="00EB1E42" w:rsidP="00EB1E42">
      <w:pPr>
        <w:pStyle w:val="Heading2"/>
        <w:spacing w:before="4560" w:after="240"/>
        <w:jc w:val="center"/>
      </w:pPr>
      <w:bookmarkStart w:id="171" w:name="_Toc77599147"/>
      <w:r w:rsidRPr="00E77F11">
        <w:lastRenderedPageBreak/>
        <w:t>Indicator 16: Mediation</w:t>
      </w:r>
      <w:bookmarkEnd w:id="171"/>
    </w:p>
    <w:p w:rsidR="00EB1E42" w:rsidRPr="00E77F11" w:rsidRDefault="00EB1E42" w:rsidP="00EB1E42">
      <w:pPr>
        <w:pStyle w:val="Heading3"/>
        <w:spacing w:before="0" w:after="240"/>
        <w:rPr>
          <w:rFonts w:cs="Arial"/>
          <w:bCs/>
        </w:rPr>
      </w:pPr>
      <w:bookmarkStart w:id="172" w:name="_Toc77599148"/>
      <w:r>
        <w:t>Measurement</w:t>
      </w:r>
      <w:bookmarkEnd w:id="172"/>
    </w:p>
    <w:p w:rsidR="00EB1E42" w:rsidRDefault="00EB1E42" w:rsidP="00EB1E42">
      <w:pPr>
        <w:spacing w:after="240"/>
        <w:rPr>
          <w:rFonts w:cs="Arial"/>
        </w:rPr>
      </w:pPr>
      <w:r w:rsidRPr="00E77F11">
        <w:rPr>
          <w:rFonts w:cs="Arial"/>
        </w:rPr>
        <w:t>Indicator 16 is a performance indicator that measures the percent of mediations held that resulted in mediation agreements.</w:t>
      </w:r>
    </w:p>
    <w:p w:rsidR="00EB1E42" w:rsidRPr="00E77F11" w:rsidRDefault="00EB1E42" w:rsidP="00EB1E42">
      <w:pPr>
        <w:spacing w:after="240"/>
        <w:rPr>
          <w:rFonts w:cs="Arial"/>
        </w:rPr>
      </w:pPr>
      <w:r>
        <w:rPr>
          <w:rFonts w:cs="Arial"/>
        </w:rPr>
        <w:t>The indicator is calculated by mediation agreements related to due process complaints plus</w:t>
      </w:r>
      <w:r w:rsidRPr="00E77F11">
        <w:rPr>
          <w:rFonts w:cs="Arial"/>
        </w:rPr>
        <w:t xml:space="preserve"> </w:t>
      </w:r>
      <w:r>
        <w:rPr>
          <w:rFonts w:cs="Arial"/>
        </w:rPr>
        <w:t>mediation agreements not related to due process complaints</w:t>
      </w:r>
      <w:r w:rsidRPr="00E77F11">
        <w:rPr>
          <w:rFonts w:cs="Arial"/>
        </w:rPr>
        <w:t xml:space="preserve"> divided by </w:t>
      </w:r>
      <w:r>
        <w:rPr>
          <w:rFonts w:cs="Arial"/>
        </w:rPr>
        <w:t>number of mediations held,</w:t>
      </w:r>
      <w:r w:rsidRPr="00E77F11">
        <w:rPr>
          <w:rFonts w:cs="Arial"/>
        </w:rPr>
        <w:t xml:space="preserve"> multiplied by 100.</w:t>
      </w:r>
    </w:p>
    <w:p w:rsidR="00EB1E42" w:rsidRPr="00E77F11" w:rsidRDefault="00EB1E42" w:rsidP="00EB1E42">
      <w:pPr>
        <w:pStyle w:val="Heading3"/>
        <w:spacing w:before="0" w:after="240"/>
      </w:pPr>
      <w:bookmarkStart w:id="173" w:name="_Toc77599149"/>
      <w:r>
        <w:t>Notable Change(s)</w:t>
      </w:r>
      <w:bookmarkEnd w:id="173"/>
    </w:p>
    <w:p w:rsidR="00EB1E42" w:rsidRDefault="00EB1E42" w:rsidP="00EB1E42">
      <w:r>
        <w:t>OSEP made no changes to this indicator.</w:t>
      </w:r>
    </w:p>
    <w:p w:rsidR="00EB1E42" w:rsidRDefault="00EB1E42" w:rsidP="00EB1E42"/>
    <w:p w:rsidR="00EB1E42" w:rsidRPr="00E77F11" w:rsidRDefault="00EB1E42" w:rsidP="00EB1E42">
      <w:pPr>
        <w:pStyle w:val="Heading3"/>
        <w:spacing w:before="0" w:after="240"/>
        <w:rPr>
          <w:rFonts w:cs="Arial"/>
        </w:rPr>
      </w:pPr>
      <w:bookmarkStart w:id="174" w:name="_Toc77599150"/>
      <w:r>
        <w:t>Stakeholder Feedback</w:t>
      </w:r>
      <w:bookmarkEnd w:id="174"/>
    </w:p>
    <w:p w:rsidR="00EB1E42" w:rsidRDefault="00EB1E42" w:rsidP="00EB1E42">
      <w:r>
        <w:t>The data for this indicator can greatly fluctuate year to year and is difficult to accurately forecast. The CDE, with the Office of Administrative Hearings, is developing a clearer operational definition of what is considered a ‘successful’ agreement. The stakeholders were very interested in how successful agreement would be defined in the future and how that could impact the data. Since this discussion is currently ongoing CDE recommends using 2020 as a new baseline and starting point for new ambitious targets.</w:t>
      </w:r>
    </w:p>
    <w:p w:rsidR="00EB1E42" w:rsidRPr="00E77F11" w:rsidRDefault="00EB1E42" w:rsidP="00EB1E42">
      <w:pPr>
        <w:pStyle w:val="Heading3"/>
      </w:pPr>
      <w:bookmarkStart w:id="175" w:name="_Toc77599151"/>
      <w:r w:rsidRPr="00E77F11">
        <w:t xml:space="preserve">Mediation </w:t>
      </w:r>
      <w:r>
        <w:t xml:space="preserve">New </w:t>
      </w:r>
      <w:r w:rsidRPr="00E77F11">
        <w:t>Targets</w:t>
      </w:r>
      <w:bookmarkEnd w:id="175"/>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16</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65%</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66%</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67%</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68%</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69%</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70%</w:t>
            </w:r>
          </w:p>
        </w:tc>
      </w:tr>
    </w:tbl>
    <w:p w:rsidR="00EB1E42" w:rsidRDefault="00EB1E42" w:rsidP="00EB1E42">
      <w:pPr>
        <w:pStyle w:val="Heading3"/>
      </w:pPr>
      <w:bookmarkStart w:id="176" w:name="_Toc77599152"/>
      <w:r w:rsidRPr="00E77F11">
        <w:t xml:space="preserve">Mediation </w:t>
      </w:r>
      <w:r>
        <w:t xml:space="preserve">Old </w:t>
      </w:r>
      <w:r w:rsidRPr="00E77F11">
        <w:t>Targets</w:t>
      </w:r>
      <w:bookmarkEnd w:id="176"/>
    </w:p>
    <w:tbl>
      <w:tblPr>
        <w:tblStyle w:val="TableGrid161"/>
        <w:tblW w:w="0" w:type="auto"/>
        <w:tblLook w:val="04A0" w:firstRow="1" w:lastRow="0" w:firstColumn="1" w:lastColumn="0" w:noHBand="0" w:noVBand="1"/>
        <w:tblDescription w:val="Indicator 16 Targets and Results"/>
      </w:tblPr>
      <w:tblGrid>
        <w:gridCol w:w="1852"/>
        <w:gridCol w:w="1124"/>
        <w:gridCol w:w="1124"/>
        <w:gridCol w:w="1270"/>
        <w:gridCol w:w="979"/>
        <w:gridCol w:w="979"/>
        <w:gridCol w:w="979"/>
        <w:gridCol w:w="979"/>
      </w:tblGrid>
      <w:tr w:rsidR="00EB1E42" w:rsidRPr="004B1E47" w:rsidTr="00704E41">
        <w:trPr>
          <w:cantSplit/>
          <w:trHeight w:val="312"/>
          <w:tblHeader/>
        </w:trPr>
        <w:tc>
          <w:tcPr>
            <w:tcW w:w="1852"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Indicator 16</w:t>
            </w:r>
          </w:p>
        </w:tc>
        <w:tc>
          <w:tcPr>
            <w:tcW w:w="112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2013</w:t>
            </w:r>
          </w:p>
        </w:tc>
        <w:tc>
          <w:tcPr>
            <w:tcW w:w="1124"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2014</w:t>
            </w:r>
          </w:p>
        </w:tc>
        <w:tc>
          <w:tcPr>
            <w:tcW w:w="1270"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2015</w:t>
            </w:r>
          </w:p>
        </w:tc>
        <w:tc>
          <w:tcPr>
            <w:tcW w:w="97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2016</w:t>
            </w:r>
          </w:p>
        </w:tc>
        <w:tc>
          <w:tcPr>
            <w:tcW w:w="97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2017</w:t>
            </w:r>
          </w:p>
        </w:tc>
        <w:tc>
          <w:tcPr>
            <w:tcW w:w="979" w:type="dxa"/>
            <w:hideMark/>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2018</w:t>
            </w:r>
          </w:p>
        </w:tc>
        <w:tc>
          <w:tcPr>
            <w:tcW w:w="979" w:type="dxa"/>
          </w:tcPr>
          <w:p w:rsidR="00EB1E42" w:rsidRPr="004B1E47" w:rsidRDefault="00EB1E42" w:rsidP="00704E41">
            <w:pPr>
              <w:widowControl w:val="0"/>
              <w:overflowPunct w:val="0"/>
              <w:autoSpaceDE w:val="0"/>
              <w:autoSpaceDN w:val="0"/>
              <w:adjustRightInd w:val="0"/>
              <w:jc w:val="center"/>
              <w:rPr>
                <w:rFonts w:cs="Arial"/>
                <w:b/>
                <w:bCs/>
              </w:rPr>
            </w:pPr>
            <w:r w:rsidRPr="004B1E47">
              <w:rPr>
                <w:rFonts w:cs="Arial"/>
                <w:b/>
                <w:bCs/>
              </w:rPr>
              <w:t>2019</w:t>
            </w:r>
          </w:p>
        </w:tc>
      </w:tr>
      <w:tr w:rsidR="00EB1E42" w:rsidRPr="004B1E47" w:rsidTr="00704E41">
        <w:trPr>
          <w:cantSplit/>
          <w:trHeight w:val="312"/>
        </w:trPr>
        <w:tc>
          <w:tcPr>
            <w:tcW w:w="1852"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55%</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56%</w:t>
            </w:r>
          </w:p>
        </w:tc>
        <w:tc>
          <w:tcPr>
            <w:tcW w:w="1270"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57%</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58%</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59%</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60%</w:t>
            </w:r>
          </w:p>
        </w:tc>
        <w:tc>
          <w:tcPr>
            <w:tcW w:w="979"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61%</w:t>
            </w:r>
          </w:p>
        </w:tc>
      </w:tr>
      <w:tr w:rsidR="00EB1E42" w:rsidRPr="004B1E47" w:rsidTr="00704E41">
        <w:trPr>
          <w:cantSplit/>
          <w:trHeight w:val="312"/>
        </w:trPr>
        <w:tc>
          <w:tcPr>
            <w:tcW w:w="1852"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Result</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65.1%</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62.6%</w:t>
            </w:r>
          </w:p>
        </w:tc>
        <w:tc>
          <w:tcPr>
            <w:tcW w:w="1270"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60.0%</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53.6%</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57.8%</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62.1%</w:t>
            </w:r>
          </w:p>
        </w:tc>
        <w:tc>
          <w:tcPr>
            <w:tcW w:w="979"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53.1%</w:t>
            </w:r>
          </w:p>
        </w:tc>
      </w:tr>
      <w:tr w:rsidR="00EB1E42" w:rsidRPr="004B1E47" w:rsidTr="00704E41">
        <w:trPr>
          <w:cantSplit/>
          <w:trHeight w:val="312"/>
        </w:trPr>
        <w:tc>
          <w:tcPr>
            <w:tcW w:w="1852"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Target Met</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1124"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1270"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c>
          <w:tcPr>
            <w:tcW w:w="979" w:type="dxa"/>
            <w:hideMark/>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Yes</w:t>
            </w:r>
          </w:p>
        </w:tc>
        <w:tc>
          <w:tcPr>
            <w:tcW w:w="979" w:type="dxa"/>
          </w:tcPr>
          <w:p w:rsidR="00EB1E42" w:rsidRPr="004B1E47" w:rsidRDefault="00EB1E42" w:rsidP="00704E41">
            <w:pPr>
              <w:widowControl w:val="0"/>
              <w:overflowPunct w:val="0"/>
              <w:autoSpaceDE w:val="0"/>
              <w:autoSpaceDN w:val="0"/>
              <w:adjustRightInd w:val="0"/>
              <w:jc w:val="center"/>
              <w:rPr>
                <w:rFonts w:cs="Arial"/>
                <w:bCs/>
              </w:rPr>
            </w:pPr>
            <w:r w:rsidRPr="004B1E47">
              <w:rPr>
                <w:rFonts w:cs="Arial"/>
                <w:bCs/>
              </w:rPr>
              <w:t>No</w:t>
            </w:r>
          </w:p>
        </w:tc>
      </w:tr>
    </w:tbl>
    <w:p w:rsidR="00EB1E42" w:rsidRPr="004B1E47" w:rsidRDefault="00EB1E42" w:rsidP="00EB1E42"/>
    <w:p w:rsidR="00EB1E42" w:rsidRPr="00950A43" w:rsidRDefault="00EB1E42" w:rsidP="00EB1E42">
      <w:pPr>
        <w:pStyle w:val="Heading2"/>
        <w:tabs>
          <w:tab w:val="center" w:pos="4680"/>
          <w:tab w:val="right" w:pos="9360"/>
        </w:tabs>
        <w:spacing w:before="5400" w:after="240"/>
        <w:jc w:val="center"/>
        <w:rPr>
          <w:b w:val="0"/>
        </w:rPr>
      </w:pPr>
      <w:bookmarkStart w:id="177" w:name="_Toc77599153"/>
      <w:r w:rsidRPr="00E77F11">
        <w:lastRenderedPageBreak/>
        <w:t>Indicator 17: State Systemic Improvement Plan</w:t>
      </w:r>
      <w:bookmarkEnd w:id="177"/>
    </w:p>
    <w:p w:rsidR="00EB1E42" w:rsidRPr="00E77F11" w:rsidRDefault="00EB1E42" w:rsidP="00EB1E42">
      <w:pPr>
        <w:pStyle w:val="Heading3"/>
        <w:spacing w:after="240"/>
      </w:pPr>
      <w:bookmarkStart w:id="178" w:name="_Toc77599154"/>
      <w:r>
        <w:t>Measurement</w:t>
      </w:r>
      <w:bookmarkEnd w:id="178"/>
    </w:p>
    <w:p w:rsidR="00EB1E42" w:rsidRDefault="00EB1E42" w:rsidP="00EB1E42">
      <w:pPr>
        <w:rPr>
          <w:rFonts w:cs="Arial"/>
          <w:bCs/>
        </w:rPr>
      </w:pPr>
      <w:r w:rsidRPr="00E77F11">
        <w:rPr>
          <w:rFonts w:cs="Arial"/>
        </w:rPr>
        <w:t>The S</w:t>
      </w:r>
      <w:r>
        <w:rPr>
          <w:rFonts w:cs="Arial"/>
        </w:rPr>
        <w:t xml:space="preserve">tate </w:t>
      </w:r>
      <w:r w:rsidRPr="00E77F11">
        <w:rPr>
          <w:rFonts w:cs="Arial"/>
        </w:rPr>
        <w:t>S</w:t>
      </w:r>
      <w:r>
        <w:rPr>
          <w:rFonts w:cs="Arial"/>
        </w:rPr>
        <w:t xml:space="preserve">ystemic Improvement </w:t>
      </w:r>
      <w:r w:rsidRPr="00E77F11">
        <w:rPr>
          <w:rFonts w:cs="Arial"/>
        </w:rPr>
        <w:t>P</w:t>
      </w:r>
      <w:r>
        <w:rPr>
          <w:rFonts w:cs="Arial"/>
        </w:rPr>
        <w:t>lan</w:t>
      </w:r>
      <w:r w:rsidRPr="00E77F11">
        <w:rPr>
          <w:rFonts w:cs="Arial"/>
        </w:rPr>
        <w:t xml:space="preserve"> indicator describes how the state identified and analyzed key data, including data from the SPP/APR indicators, </w:t>
      </w:r>
      <w:r>
        <w:rPr>
          <w:rFonts w:cs="Arial"/>
        </w:rPr>
        <w:t xml:space="preserve">section </w:t>
      </w:r>
      <w:r w:rsidRPr="00E77F11">
        <w:rPr>
          <w:rFonts w:cs="Arial"/>
        </w:rPr>
        <w:t xml:space="preserve">618 </w:t>
      </w:r>
      <w:r>
        <w:rPr>
          <w:rFonts w:cs="Arial"/>
        </w:rPr>
        <w:t xml:space="preserve">of the IDEA </w:t>
      </w:r>
      <w:r w:rsidRPr="00E77F11">
        <w:rPr>
          <w:rFonts w:cs="Arial"/>
        </w:rPr>
        <w:t>data collections, and other available data as applicable, to: (1) Select the State-identified Measurable Result(s)</w:t>
      </w:r>
      <w:r>
        <w:rPr>
          <w:rFonts w:cs="Arial"/>
        </w:rPr>
        <w:t xml:space="preserve"> (</w:t>
      </w:r>
      <w:proofErr w:type="spellStart"/>
      <w:r>
        <w:rPr>
          <w:rFonts w:cs="Arial"/>
        </w:rPr>
        <w:t>SiMR</w:t>
      </w:r>
      <w:proofErr w:type="spellEnd"/>
      <w:r>
        <w:rPr>
          <w:rFonts w:cs="Arial"/>
        </w:rPr>
        <w:t>)</w:t>
      </w:r>
      <w:r w:rsidRPr="00E77F11">
        <w:rPr>
          <w:rFonts w:cs="Arial"/>
        </w:rPr>
        <w:t xml:space="preserve"> for students with disabilities, and (2) Identify root causes contributing to low performance. The description must include information about how the data were disaggregated by multiple variables (LEA, region, race/ethnicity, gender, disability category, placement, etc.). As part of its data analysis, the state should also consider compliance data and whether those data present potential barriers to improvement</w:t>
      </w:r>
      <w:r>
        <w:rPr>
          <w:rFonts w:cs="Arial"/>
        </w:rPr>
        <w:t>.</w:t>
      </w:r>
    </w:p>
    <w:p w:rsidR="00EB1E42" w:rsidRDefault="00EB1E42" w:rsidP="00EB1E42">
      <w:pPr>
        <w:pStyle w:val="Heading3"/>
      </w:pPr>
      <w:bookmarkStart w:id="179" w:name="_Toc77599155"/>
      <w:r>
        <w:t>Notable Change(s)</w:t>
      </w:r>
      <w:bookmarkEnd w:id="179"/>
    </w:p>
    <w:p w:rsidR="00EB1E42" w:rsidRPr="0023224E" w:rsidRDefault="00EB1E42" w:rsidP="00EB1E42">
      <w:r>
        <w:t xml:space="preserve">OSEP made no notable changes to either the measurement or calculation for this indicator. OSEP now requires the SSIP to be submitted in February, along with the other 16 indicators, instead of April. </w:t>
      </w:r>
    </w:p>
    <w:p w:rsidR="00EB1E42" w:rsidRDefault="00EB1E42" w:rsidP="00EB1E42">
      <w:pPr>
        <w:pStyle w:val="Heading3"/>
      </w:pPr>
      <w:bookmarkStart w:id="180" w:name="_Toc77599156"/>
      <w:r>
        <w:t>Stakeholder Feedback</w:t>
      </w:r>
      <w:bookmarkEnd w:id="180"/>
    </w:p>
    <w:p w:rsidR="00EB1E42" w:rsidRPr="004249B0" w:rsidRDefault="00EB1E42" w:rsidP="00EB1E42">
      <w:r>
        <w:t xml:space="preserve">The CDE uses statewide assessment data to measure progress toward the </w:t>
      </w:r>
      <w:proofErr w:type="spellStart"/>
      <w:r>
        <w:t>SiMR</w:t>
      </w:r>
      <w:proofErr w:type="spellEnd"/>
      <w:r>
        <w:t xml:space="preserve">. While indicator 3 has several targets, OSEP only allows one target for the SSIP. Stakeholders </w:t>
      </w:r>
      <w:r w:rsidRPr="00E603B3">
        <w:t>agreed to keep the SSIP targets similar to the 3b math and ELA assessment targets and on the same trajectory. These targets are on the higher end to account for all grades.</w:t>
      </w:r>
      <w:r>
        <w:t xml:space="preserve"> </w:t>
      </w:r>
    </w:p>
    <w:p w:rsidR="00EB1E42" w:rsidRDefault="00EB1E42" w:rsidP="00EB1E42">
      <w:pPr>
        <w:pStyle w:val="Heading3"/>
      </w:pPr>
      <w:bookmarkStart w:id="181" w:name="_Toc77599157"/>
      <w:r>
        <w:t>SSIP New Targets</w:t>
      </w:r>
      <w:bookmarkEnd w:id="181"/>
    </w:p>
    <w:tbl>
      <w:tblPr>
        <w:tblStyle w:val="TableGrid1"/>
        <w:tblW w:w="9350" w:type="dxa"/>
        <w:tblLook w:val="04A0" w:firstRow="1" w:lastRow="0" w:firstColumn="1" w:lastColumn="0" w:noHBand="0" w:noVBand="1"/>
        <w:tblDescription w:val="Indicator 4A Targets and Results"/>
      </w:tblPr>
      <w:tblGrid>
        <w:gridCol w:w="2155"/>
        <w:gridCol w:w="1203"/>
        <w:gridCol w:w="1204"/>
        <w:gridCol w:w="1204"/>
        <w:gridCol w:w="1204"/>
        <w:gridCol w:w="1204"/>
        <w:gridCol w:w="1176"/>
      </w:tblGrid>
      <w:tr w:rsidR="00EB1E42" w:rsidTr="00704E41">
        <w:trPr>
          <w:cantSplit/>
          <w:trHeight w:val="288"/>
          <w:tblHeader/>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17</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2020</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2021</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2022</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2023</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2024</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2025</w:t>
            </w:r>
          </w:p>
        </w:tc>
      </w:tr>
      <w:tr w:rsidR="00EB1E42" w:rsidTr="00704E41">
        <w:trPr>
          <w:cantSplit/>
          <w:trHeight w:val="288"/>
        </w:trPr>
        <w:tc>
          <w:tcPr>
            <w:tcW w:w="215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203"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14%</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14%</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15%</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16%</w:t>
            </w:r>
          </w:p>
        </w:tc>
        <w:tc>
          <w:tcPr>
            <w:tcW w:w="120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17%</w:t>
            </w:r>
          </w:p>
        </w:tc>
        <w:tc>
          <w:tcPr>
            <w:tcW w:w="1176"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18%</w:t>
            </w:r>
          </w:p>
        </w:tc>
      </w:tr>
    </w:tbl>
    <w:p w:rsidR="00EB1E42" w:rsidRPr="004249B0" w:rsidRDefault="00EB1E42" w:rsidP="00EB1E42"/>
    <w:p w:rsidR="00EB1E42" w:rsidRDefault="00EB1E42" w:rsidP="00EB1E42">
      <w:pPr>
        <w:pStyle w:val="Heading3"/>
      </w:pPr>
      <w:bookmarkStart w:id="182" w:name="_Toc77599158"/>
      <w:r>
        <w:t>SSIP Old Targets</w:t>
      </w:r>
      <w:bookmarkEnd w:id="182"/>
      <w:r>
        <w:t xml:space="preserve"> </w:t>
      </w:r>
    </w:p>
    <w:tbl>
      <w:tblPr>
        <w:tblStyle w:val="TableGrid1"/>
        <w:tblW w:w="9350" w:type="dxa"/>
        <w:tblLook w:val="04A0" w:firstRow="1" w:lastRow="0" w:firstColumn="1" w:lastColumn="0" w:noHBand="0" w:noVBand="1"/>
        <w:tblDescription w:val="Indicator 4A Targets and Results"/>
      </w:tblPr>
      <w:tblGrid>
        <w:gridCol w:w="1914"/>
        <w:gridCol w:w="1084"/>
        <w:gridCol w:w="1085"/>
        <w:gridCol w:w="1085"/>
        <w:gridCol w:w="1085"/>
        <w:gridCol w:w="947"/>
        <w:gridCol w:w="1085"/>
        <w:gridCol w:w="1065"/>
      </w:tblGrid>
      <w:tr w:rsidR="00EB1E42" w:rsidTr="00704E41">
        <w:trPr>
          <w:cantSplit/>
          <w:trHeight w:val="288"/>
          <w:tblHeader/>
        </w:trPr>
        <w:tc>
          <w:tcPr>
            <w:tcW w:w="191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szCs w:val="22"/>
              </w:rPr>
            </w:pPr>
            <w:r>
              <w:rPr>
                <w:rFonts w:cs="Arial"/>
                <w:b/>
                <w:bCs/>
              </w:rPr>
              <w:t>Indicator 17</w:t>
            </w:r>
          </w:p>
        </w:tc>
        <w:tc>
          <w:tcPr>
            <w:tcW w:w="10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2013</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2014</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2015</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2016</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
                <w:bCs/>
              </w:rPr>
            </w:pPr>
            <w:r>
              <w:rPr>
                <w:rFonts w:cs="Arial"/>
                <w:b/>
                <w:bCs/>
              </w:rPr>
              <w:t>2017</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2018</w:t>
            </w:r>
          </w:p>
        </w:tc>
        <w:tc>
          <w:tcPr>
            <w:tcW w:w="10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
                <w:bCs/>
              </w:rPr>
            </w:pPr>
            <w:r>
              <w:rPr>
                <w:rFonts w:cs="Arial"/>
                <w:b/>
                <w:bCs/>
              </w:rPr>
              <w:t>2019**</w:t>
            </w:r>
          </w:p>
        </w:tc>
      </w:tr>
      <w:tr w:rsidR="00EB1E42" w:rsidTr="00704E41">
        <w:trPr>
          <w:cantSplit/>
          <w:trHeight w:val="288"/>
        </w:trPr>
        <w:tc>
          <w:tcPr>
            <w:tcW w:w="191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Target</w:t>
            </w:r>
          </w:p>
        </w:tc>
        <w:tc>
          <w:tcPr>
            <w:tcW w:w="1084"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28.3%</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29.3%</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12.6%</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13.6%</w:t>
            </w:r>
          </w:p>
        </w:tc>
        <w:tc>
          <w:tcPr>
            <w:tcW w:w="108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14.6%</w:t>
            </w:r>
          </w:p>
        </w:tc>
        <w:tc>
          <w:tcPr>
            <w:tcW w:w="1065" w:type="dxa"/>
            <w:tcBorders>
              <w:top w:val="single" w:sz="4" w:space="0" w:color="auto"/>
              <w:left w:val="single" w:sz="4" w:space="0" w:color="auto"/>
              <w:bottom w:val="single" w:sz="4" w:space="0" w:color="auto"/>
              <w:right w:val="single" w:sz="4" w:space="0" w:color="auto"/>
            </w:tcBorders>
            <w:hideMark/>
          </w:tcPr>
          <w:p w:rsidR="00EB1E42" w:rsidRDefault="00EB1E42" w:rsidP="00704E41">
            <w:pPr>
              <w:widowControl w:val="0"/>
              <w:overflowPunct w:val="0"/>
              <w:autoSpaceDE w:val="0"/>
              <w:autoSpaceDN w:val="0"/>
              <w:adjustRightInd w:val="0"/>
              <w:jc w:val="center"/>
              <w:rPr>
                <w:rFonts w:cs="Arial"/>
                <w:bCs/>
              </w:rPr>
            </w:pPr>
            <w:r>
              <w:rPr>
                <w:rFonts w:cs="Arial"/>
                <w:bCs/>
              </w:rPr>
              <w:t>15.6%</w:t>
            </w:r>
          </w:p>
        </w:tc>
      </w:tr>
      <w:tr w:rsidR="00EB1E42" w:rsidTr="00704E41">
        <w:trPr>
          <w:cantSplit/>
          <w:trHeight w:val="288"/>
        </w:trPr>
        <w:tc>
          <w:tcPr>
            <w:tcW w:w="191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Result</w:t>
            </w:r>
          </w:p>
        </w:tc>
        <w:tc>
          <w:tcPr>
            <w:tcW w:w="108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2.11%</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11.10%</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14.5%</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13.0%</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14.0%</w:t>
            </w:r>
          </w:p>
        </w:tc>
        <w:tc>
          <w:tcPr>
            <w:tcW w:w="106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N/A</w:t>
            </w:r>
          </w:p>
        </w:tc>
      </w:tr>
      <w:tr w:rsidR="00EB1E42" w:rsidTr="00704E41">
        <w:trPr>
          <w:cantSplit/>
          <w:trHeight w:val="288"/>
        </w:trPr>
        <w:tc>
          <w:tcPr>
            <w:tcW w:w="191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Target Met</w:t>
            </w:r>
          </w:p>
        </w:tc>
        <w:tc>
          <w:tcPr>
            <w:tcW w:w="1084"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Yes</w:t>
            </w:r>
          </w:p>
        </w:tc>
        <w:tc>
          <w:tcPr>
            <w:tcW w:w="947"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8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No</w:t>
            </w:r>
          </w:p>
        </w:tc>
        <w:tc>
          <w:tcPr>
            <w:tcW w:w="1065" w:type="dxa"/>
            <w:tcBorders>
              <w:top w:val="single" w:sz="4" w:space="0" w:color="auto"/>
              <w:left w:val="single" w:sz="4" w:space="0" w:color="auto"/>
              <w:bottom w:val="single" w:sz="4" w:space="0" w:color="auto"/>
              <w:right w:val="single" w:sz="4" w:space="0" w:color="auto"/>
            </w:tcBorders>
          </w:tcPr>
          <w:p w:rsidR="00EB1E42" w:rsidRDefault="00EB1E42" w:rsidP="00704E41">
            <w:pPr>
              <w:widowControl w:val="0"/>
              <w:overflowPunct w:val="0"/>
              <w:autoSpaceDE w:val="0"/>
              <w:autoSpaceDN w:val="0"/>
              <w:adjustRightInd w:val="0"/>
              <w:jc w:val="center"/>
              <w:rPr>
                <w:rFonts w:cs="Arial"/>
                <w:bCs/>
              </w:rPr>
            </w:pPr>
            <w:r>
              <w:rPr>
                <w:rFonts w:cs="Arial"/>
                <w:bCs/>
              </w:rPr>
              <w:t>N/A</w:t>
            </w:r>
          </w:p>
        </w:tc>
      </w:tr>
    </w:tbl>
    <w:p w:rsidR="00EB1E42" w:rsidRDefault="00EB1E42" w:rsidP="00EB1E42">
      <w:r>
        <w:t>* The SSIP was not reported this year.</w:t>
      </w:r>
    </w:p>
    <w:p w:rsidR="00674A29" w:rsidRDefault="00EB1E42" w:rsidP="00EB1E42">
      <w:r>
        <w:t>** No results were available for 2019 due to Covid-1</w:t>
      </w:r>
    </w:p>
    <w:sectPr w:rsidR="00674A29" w:rsidSect="00423A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E22" w:rsidRDefault="00637E22" w:rsidP="00423AB9">
      <w:r>
        <w:separator/>
      </w:r>
    </w:p>
    <w:p w:rsidR="00637E22" w:rsidRDefault="00637E22"/>
  </w:endnote>
  <w:endnote w:type="continuationSeparator" w:id="0">
    <w:p w:rsidR="00637E22" w:rsidRDefault="00637E22" w:rsidP="00423AB9">
      <w:r>
        <w:continuationSeparator/>
      </w:r>
    </w:p>
    <w:p w:rsidR="00637E22" w:rsidRDefault="0063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E22" w:rsidRDefault="00637E22" w:rsidP="00423AB9">
      <w:r>
        <w:separator/>
      </w:r>
    </w:p>
    <w:p w:rsidR="00637E22" w:rsidRDefault="00637E22"/>
  </w:footnote>
  <w:footnote w:type="continuationSeparator" w:id="0">
    <w:p w:rsidR="00637E22" w:rsidRDefault="00637E22" w:rsidP="00423AB9">
      <w:r>
        <w:continuationSeparator/>
      </w:r>
    </w:p>
    <w:p w:rsidR="00637E22" w:rsidRDefault="00637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4A5" w:rsidRDefault="005004A5" w:rsidP="00704E41">
    <w:pPr>
      <w:pStyle w:val="Header"/>
      <w:jc w:val="right"/>
      <w:rPr>
        <w:rFonts w:cs="Arial"/>
      </w:rPr>
    </w:pPr>
    <w:r>
      <w:rPr>
        <w:rFonts w:cs="Arial"/>
      </w:rPr>
      <w:t>ofab-sed-sep21item01</w:t>
    </w:r>
  </w:p>
  <w:p w:rsidR="005004A5" w:rsidRPr="00527B0E" w:rsidRDefault="005004A5" w:rsidP="00704E41">
    <w:pPr>
      <w:pStyle w:val="Header"/>
      <w:jc w:val="right"/>
      <w:rPr>
        <w:rFonts w:cs="Arial"/>
      </w:rPr>
    </w:pPr>
    <w:r>
      <w:rPr>
        <w:rFonts w:cs="Arial"/>
      </w:rPr>
      <w:t xml:space="preserve">Page </w:t>
    </w:r>
    <w:r w:rsidRPr="00423AB9">
      <w:rPr>
        <w:rFonts w:cs="Arial"/>
      </w:rPr>
      <w:fldChar w:fldCharType="begin"/>
    </w:r>
    <w:r w:rsidRPr="00423AB9">
      <w:rPr>
        <w:rFonts w:cs="Arial"/>
      </w:rPr>
      <w:instrText xml:space="preserve"> PAGE   \* MERGEFORMAT </w:instrText>
    </w:r>
    <w:r w:rsidRPr="00423AB9">
      <w:rPr>
        <w:rFonts w:cs="Arial"/>
      </w:rPr>
      <w:fldChar w:fldCharType="separate"/>
    </w:r>
    <w:r w:rsidRPr="00423AB9">
      <w:rPr>
        <w:rFonts w:cs="Arial"/>
        <w:noProof/>
      </w:rPr>
      <w:t>1</w:t>
    </w:r>
    <w:r w:rsidRPr="00423AB9">
      <w:rPr>
        <w:rFonts w:cs="Arial"/>
        <w:noProof/>
      </w:rPr>
      <w:fldChar w:fldCharType="end"/>
    </w:r>
    <w:r>
      <w:rPr>
        <w:rFonts w:cs="Arial"/>
        <w:noProof/>
      </w:rPr>
      <w:t xml:space="preserve"> of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4A5" w:rsidRDefault="005004A5" w:rsidP="00704E41">
    <w:pPr>
      <w:pStyle w:val="Header"/>
      <w:jc w:val="right"/>
    </w:pPr>
    <w:r>
      <w:t>ofab-sed-sep21item01</w:t>
    </w:r>
  </w:p>
  <w:p w:rsidR="005004A5" w:rsidRPr="00262AB3" w:rsidRDefault="005004A5" w:rsidP="00704E41">
    <w:pPr>
      <w:pStyle w:val="Header"/>
      <w:spacing w:after="480"/>
      <w:jc w:val="right"/>
      <w:rPr>
        <w:rFonts w:cs="Arial"/>
      </w:rPr>
    </w:pPr>
    <w:r w:rsidRPr="00262AB3">
      <w:rPr>
        <w:rFonts w:cs="Arial"/>
      </w:rPr>
      <w:t xml:space="preserve">Page </w:t>
    </w:r>
    <w:r w:rsidRPr="00EB1E42">
      <w:rPr>
        <w:rFonts w:cs="Arial"/>
        <w:bCs/>
        <w:color w:val="2B579A"/>
      </w:rPr>
      <w:fldChar w:fldCharType="begin"/>
    </w:r>
    <w:r w:rsidRPr="00EB1E42">
      <w:rPr>
        <w:rFonts w:cs="Arial"/>
        <w:bCs/>
      </w:rPr>
      <w:instrText xml:space="preserve"> PAGE  \* Arabic  \* MERGEFORMAT </w:instrText>
    </w:r>
    <w:r w:rsidRPr="00EB1E42">
      <w:rPr>
        <w:rFonts w:cs="Arial"/>
        <w:bCs/>
        <w:color w:val="2B579A"/>
      </w:rPr>
      <w:fldChar w:fldCharType="separate"/>
    </w:r>
    <w:r w:rsidRPr="00EB1E42">
      <w:rPr>
        <w:rFonts w:cs="Arial"/>
        <w:bCs/>
        <w:noProof/>
      </w:rPr>
      <w:t>3</w:t>
    </w:r>
    <w:r w:rsidRPr="00EB1E42">
      <w:rPr>
        <w:rFonts w:cs="Arial"/>
        <w:bCs/>
        <w:color w:val="2B579A"/>
      </w:rPr>
      <w:fldChar w:fldCharType="end"/>
    </w:r>
    <w:r w:rsidRPr="00262AB3">
      <w:rPr>
        <w:rFonts w:cs="Arial"/>
      </w:rPr>
      <w:t xml:space="preserve"> of </w:t>
    </w:r>
    <w:r>
      <w:rPr>
        <w:rFonts w:cs="Arial"/>
        <w:bCs/>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4A5" w:rsidRDefault="005004A5" w:rsidP="00704E41">
    <w:pPr>
      <w:pStyle w:val="Header"/>
      <w:jc w:val="right"/>
    </w:pPr>
    <w:r>
      <w:t>ofab-sed-sep21item01</w:t>
    </w:r>
  </w:p>
  <w:p w:rsidR="005004A5" w:rsidRPr="00262AB3" w:rsidRDefault="005004A5" w:rsidP="00704E41">
    <w:pPr>
      <w:pStyle w:val="Header"/>
      <w:spacing w:after="480"/>
      <w:jc w:val="right"/>
      <w:rPr>
        <w:rFonts w:cs="Arial"/>
      </w:rPr>
    </w:pPr>
    <w:r w:rsidRPr="00262AB3">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6</w:t>
    </w:r>
    <w:r>
      <w:rPr>
        <w:rFonts w:cs="Arial"/>
      </w:rPr>
      <w:fldChar w:fldCharType="end"/>
    </w:r>
    <w:r w:rsidRPr="00262AB3">
      <w:rPr>
        <w:rFonts w:cs="Arial"/>
      </w:rPr>
      <w:t xml:space="preserve"> of </w:t>
    </w:r>
    <w:r>
      <w:rPr>
        <w:rFonts w:cs="Arial"/>
        <w:bCs/>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14"/>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D7DA8"/>
    <w:multiLevelType w:val="hybridMultilevel"/>
    <w:tmpl w:val="E9969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494C"/>
    <w:multiLevelType w:val="hybridMultilevel"/>
    <w:tmpl w:val="E2CC3E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7F175E"/>
    <w:multiLevelType w:val="hybridMultilevel"/>
    <w:tmpl w:val="54083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4A99"/>
    <w:multiLevelType w:val="hybridMultilevel"/>
    <w:tmpl w:val="282E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D43C4"/>
    <w:multiLevelType w:val="hybridMultilevel"/>
    <w:tmpl w:val="F2483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D1A7A"/>
    <w:multiLevelType w:val="multilevel"/>
    <w:tmpl w:val="02003D5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AE0988"/>
    <w:multiLevelType w:val="hybridMultilevel"/>
    <w:tmpl w:val="A7F04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93AE8"/>
    <w:multiLevelType w:val="hybridMultilevel"/>
    <w:tmpl w:val="0B1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234C65"/>
    <w:multiLevelType w:val="hybridMultilevel"/>
    <w:tmpl w:val="13D64C56"/>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4C3759"/>
    <w:multiLevelType w:val="hybridMultilevel"/>
    <w:tmpl w:val="2C449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6091"/>
    <w:multiLevelType w:val="hybridMultilevel"/>
    <w:tmpl w:val="B65EA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3B27B3"/>
    <w:multiLevelType w:val="hybridMultilevel"/>
    <w:tmpl w:val="215E6B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17597"/>
    <w:multiLevelType w:val="hybridMultilevel"/>
    <w:tmpl w:val="EE92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C108E"/>
    <w:multiLevelType w:val="hybridMultilevel"/>
    <w:tmpl w:val="FE9673C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B3106C8"/>
    <w:multiLevelType w:val="hybridMultilevel"/>
    <w:tmpl w:val="9364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897910"/>
    <w:multiLevelType w:val="hybridMultilevel"/>
    <w:tmpl w:val="4F2CA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43005A"/>
    <w:multiLevelType w:val="hybridMultilevel"/>
    <w:tmpl w:val="58A6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82C54"/>
    <w:multiLevelType w:val="hybridMultilevel"/>
    <w:tmpl w:val="A2228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CC85D8F"/>
    <w:multiLevelType w:val="hybridMultilevel"/>
    <w:tmpl w:val="A99A0A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C77883"/>
    <w:multiLevelType w:val="hybridMultilevel"/>
    <w:tmpl w:val="11C27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54F66"/>
    <w:multiLevelType w:val="hybridMultilevel"/>
    <w:tmpl w:val="9222A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4691D"/>
    <w:multiLevelType w:val="hybridMultilevel"/>
    <w:tmpl w:val="A4A4D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DBB2AEF"/>
    <w:multiLevelType w:val="hybridMultilevel"/>
    <w:tmpl w:val="AA38CD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75967"/>
    <w:multiLevelType w:val="hybridMultilevel"/>
    <w:tmpl w:val="0EEE2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10EDD"/>
    <w:multiLevelType w:val="hybridMultilevel"/>
    <w:tmpl w:val="F5821FCA"/>
    <w:lvl w:ilvl="0" w:tplc="ED4C43A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D93B5E"/>
    <w:multiLevelType w:val="hybridMultilevel"/>
    <w:tmpl w:val="D662EC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27139"/>
    <w:multiLevelType w:val="hybridMultilevel"/>
    <w:tmpl w:val="C984458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8CE4D7D"/>
    <w:multiLevelType w:val="hybridMultilevel"/>
    <w:tmpl w:val="F9F61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C413D"/>
    <w:multiLevelType w:val="hybridMultilevel"/>
    <w:tmpl w:val="BDE487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F66F5"/>
    <w:multiLevelType w:val="hybridMultilevel"/>
    <w:tmpl w:val="22DCAE2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E490826"/>
    <w:multiLevelType w:val="hybridMultilevel"/>
    <w:tmpl w:val="C16A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2"/>
  </w:num>
  <w:num w:numId="4">
    <w:abstractNumId w:val="25"/>
  </w:num>
  <w:num w:numId="5">
    <w:abstractNumId w:val="27"/>
  </w:num>
  <w:num w:numId="6">
    <w:abstractNumId w:val="4"/>
  </w:num>
  <w:num w:numId="7">
    <w:abstractNumId w:val="13"/>
  </w:num>
  <w:num w:numId="8">
    <w:abstractNumId w:val="38"/>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0"/>
  </w:num>
  <w:num w:numId="17">
    <w:abstractNumId w:val="14"/>
  </w:num>
  <w:num w:numId="18">
    <w:abstractNumId w:val="28"/>
  </w:num>
  <w:num w:numId="19">
    <w:abstractNumId w:val="3"/>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0"/>
  </w:num>
  <w:num w:numId="25">
    <w:abstractNumId w:val="2"/>
  </w:num>
  <w:num w:numId="26">
    <w:abstractNumId w:val="36"/>
  </w:num>
  <w:num w:numId="27">
    <w:abstractNumId w:val="7"/>
  </w:num>
  <w:num w:numId="28">
    <w:abstractNumId w:val="5"/>
  </w:num>
  <w:num w:numId="29">
    <w:abstractNumId w:val="29"/>
  </w:num>
  <w:num w:numId="30">
    <w:abstractNumId w:val="6"/>
  </w:num>
  <w:num w:numId="31">
    <w:abstractNumId w:val="11"/>
  </w:num>
  <w:num w:numId="32">
    <w:abstractNumId w:val="1"/>
  </w:num>
  <w:num w:numId="33">
    <w:abstractNumId w:val="24"/>
  </w:num>
  <w:num w:numId="34">
    <w:abstractNumId w:val="30"/>
  </w:num>
  <w:num w:numId="35">
    <w:abstractNumId w:val="21"/>
  </w:num>
  <w:num w:numId="36">
    <w:abstractNumId w:val="33"/>
  </w:num>
  <w:num w:numId="37">
    <w:abstractNumId w:val="8"/>
  </w:num>
  <w:num w:numId="38">
    <w:abstractNumId w:val="35"/>
  </w:num>
  <w:num w:numId="39">
    <w:abstractNumId w:val="16"/>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B9"/>
    <w:rsid w:val="000408CE"/>
    <w:rsid w:val="00117FD6"/>
    <w:rsid w:val="0014134D"/>
    <w:rsid w:val="001C554B"/>
    <w:rsid w:val="001E5B32"/>
    <w:rsid w:val="00204B92"/>
    <w:rsid w:val="00215905"/>
    <w:rsid w:val="00272AF5"/>
    <w:rsid w:val="00372272"/>
    <w:rsid w:val="0038387C"/>
    <w:rsid w:val="00423AB9"/>
    <w:rsid w:val="00492BE7"/>
    <w:rsid w:val="005004A5"/>
    <w:rsid w:val="005070ED"/>
    <w:rsid w:val="00560576"/>
    <w:rsid w:val="005C5997"/>
    <w:rsid w:val="00635FFB"/>
    <w:rsid w:val="00637E22"/>
    <w:rsid w:val="00674A29"/>
    <w:rsid w:val="006901DD"/>
    <w:rsid w:val="006A51BB"/>
    <w:rsid w:val="006B08EF"/>
    <w:rsid w:val="006B5DD7"/>
    <w:rsid w:val="006C547E"/>
    <w:rsid w:val="007036B2"/>
    <w:rsid w:val="00704E41"/>
    <w:rsid w:val="007762FB"/>
    <w:rsid w:val="00781DA3"/>
    <w:rsid w:val="00790450"/>
    <w:rsid w:val="007A24B1"/>
    <w:rsid w:val="007A6591"/>
    <w:rsid w:val="007D6A40"/>
    <w:rsid w:val="007F68BA"/>
    <w:rsid w:val="0084330B"/>
    <w:rsid w:val="008A2534"/>
    <w:rsid w:val="0092478D"/>
    <w:rsid w:val="00935EB4"/>
    <w:rsid w:val="00951DC3"/>
    <w:rsid w:val="009B33F6"/>
    <w:rsid w:val="009F678F"/>
    <w:rsid w:val="00AE2AAC"/>
    <w:rsid w:val="00AE4BC8"/>
    <w:rsid w:val="00B873D0"/>
    <w:rsid w:val="00BB59E0"/>
    <w:rsid w:val="00BD7049"/>
    <w:rsid w:val="00C81B03"/>
    <w:rsid w:val="00CB30D6"/>
    <w:rsid w:val="00CC3904"/>
    <w:rsid w:val="00CC3D57"/>
    <w:rsid w:val="00CE6BEA"/>
    <w:rsid w:val="00D07E97"/>
    <w:rsid w:val="00D24F72"/>
    <w:rsid w:val="00D4375F"/>
    <w:rsid w:val="00D505AF"/>
    <w:rsid w:val="00E1659C"/>
    <w:rsid w:val="00E563D9"/>
    <w:rsid w:val="00E82C4D"/>
    <w:rsid w:val="00EB1E42"/>
    <w:rsid w:val="00EC6054"/>
    <w:rsid w:val="00F452B2"/>
    <w:rsid w:val="00F509C9"/>
    <w:rsid w:val="00F7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8389C-708E-4698-9BE1-66BA417A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AB9"/>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423AB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23AB9"/>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B1E42"/>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EB1E42"/>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EB1E42"/>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B1E42"/>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B1E42"/>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AB9"/>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423AB9"/>
    <w:rPr>
      <w:rFonts w:ascii="Arial" w:eastAsiaTheme="majorEastAsia" w:hAnsi="Arial" w:cstheme="majorBidi"/>
      <w:b/>
      <w:sz w:val="28"/>
      <w:szCs w:val="26"/>
      <w:lang w:eastAsia="en-US"/>
    </w:rPr>
  </w:style>
  <w:style w:type="character" w:styleId="Hyperlink">
    <w:name w:val="Hyperlink"/>
    <w:uiPriority w:val="99"/>
    <w:rsid w:val="00423AB9"/>
    <w:rPr>
      <w:color w:val="0000FF"/>
      <w:u w:val="single"/>
    </w:rPr>
  </w:style>
  <w:style w:type="paragraph" w:styleId="Header">
    <w:name w:val="header"/>
    <w:basedOn w:val="Normal"/>
    <w:link w:val="HeaderChar"/>
    <w:uiPriority w:val="99"/>
    <w:unhideWhenUsed/>
    <w:rsid w:val="00423AB9"/>
    <w:pPr>
      <w:tabs>
        <w:tab w:val="center" w:pos="4680"/>
        <w:tab w:val="right" w:pos="9360"/>
      </w:tabs>
    </w:pPr>
  </w:style>
  <w:style w:type="character" w:customStyle="1" w:styleId="HeaderChar">
    <w:name w:val="Header Char"/>
    <w:basedOn w:val="DefaultParagraphFont"/>
    <w:link w:val="Header"/>
    <w:uiPriority w:val="99"/>
    <w:rsid w:val="00423AB9"/>
    <w:rPr>
      <w:rFonts w:ascii="Arial" w:eastAsia="Times New Roman" w:hAnsi="Arial" w:cs="Times New Roman"/>
      <w:sz w:val="24"/>
      <w:szCs w:val="24"/>
      <w:lang w:eastAsia="en-US"/>
    </w:rPr>
  </w:style>
  <w:style w:type="table" w:styleId="TableGrid">
    <w:name w:val="Table Grid"/>
    <w:basedOn w:val="TableNormal"/>
    <w:uiPriority w:val="39"/>
    <w:rsid w:val="00423A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3AB9"/>
    <w:rPr>
      <w:sz w:val="16"/>
      <w:szCs w:val="16"/>
    </w:rPr>
  </w:style>
  <w:style w:type="paragraph" w:styleId="Footer">
    <w:name w:val="footer"/>
    <w:basedOn w:val="Normal"/>
    <w:link w:val="FooterChar"/>
    <w:uiPriority w:val="99"/>
    <w:unhideWhenUsed/>
    <w:rsid w:val="00423AB9"/>
    <w:pPr>
      <w:tabs>
        <w:tab w:val="center" w:pos="4680"/>
        <w:tab w:val="right" w:pos="9360"/>
      </w:tabs>
    </w:pPr>
  </w:style>
  <w:style w:type="character" w:customStyle="1" w:styleId="FooterChar">
    <w:name w:val="Footer Char"/>
    <w:basedOn w:val="DefaultParagraphFont"/>
    <w:link w:val="Footer"/>
    <w:uiPriority w:val="99"/>
    <w:rsid w:val="00423AB9"/>
    <w:rPr>
      <w:rFonts w:ascii="Arial" w:eastAsia="Times New Roman" w:hAnsi="Arial" w:cs="Times New Roman"/>
      <w:sz w:val="24"/>
      <w:szCs w:val="24"/>
      <w:lang w:eastAsia="en-US"/>
    </w:rPr>
  </w:style>
  <w:style w:type="character" w:customStyle="1" w:styleId="Heading3Char">
    <w:name w:val="Heading 3 Char"/>
    <w:basedOn w:val="DefaultParagraphFont"/>
    <w:link w:val="Heading3"/>
    <w:uiPriority w:val="9"/>
    <w:rsid w:val="00EB1E42"/>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EB1E4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EB1E42"/>
    <w:rPr>
      <w:rFonts w:ascii="Arial" w:eastAsiaTheme="majorEastAsia" w:hAnsi="Arial" w:cstheme="majorBidi"/>
      <w:sz w:val="24"/>
      <w:szCs w:val="24"/>
      <w:lang w:eastAsia="en-US"/>
    </w:rPr>
  </w:style>
  <w:style w:type="character" w:customStyle="1" w:styleId="Heading6Char">
    <w:name w:val="Heading 6 Char"/>
    <w:basedOn w:val="DefaultParagraphFont"/>
    <w:link w:val="Heading6"/>
    <w:uiPriority w:val="9"/>
    <w:rsid w:val="00EB1E42"/>
    <w:rPr>
      <w:rFonts w:ascii="Arial" w:eastAsiaTheme="majorEastAsia" w:hAnsi="Arial" w:cstheme="majorBidi"/>
      <w:sz w:val="24"/>
      <w:szCs w:val="24"/>
      <w:lang w:eastAsia="en-US"/>
    </w:rPr>
  </w:style>
  <w:style w:type="character" w:customStyle="1" w:styleId="Heading7Char">
    <w:name w:val="Heading 7 Char"/>
    <w:basedOn w:val="DefaultParagraphFont"/>
    <w:link w:val="Heading7"/>
    <w:uiPriority w:val="9"/>
    <w:semiHidden/>
    <w:rsid w:val="00EB1E42"/>
    <w:rPr>
      <w:rFonts w:ascii="Arial" w:eastAsiaTheme="majorEastAsia" w:hAnsi="Arial" w:cstheme="majorBidi"/>
      <w:i/>
      <w:iCs/>
      <w:color w:val="1F3763" w:themeColor="accent1" w:themeShade="7F"/>
      <w:sz w:val="24"/>
      <w:szCs w:val="24"/>
      <w:lang w:eastAsia="en-US"/>
    </w:rPr>
  </w:style>
  <w:style w:type="paragraph" w:styleId="Title">
    <w:name w:val="Title"/>
    <w:basedOn w:val="Normal"/>
    <w:next w:val="Normal"/>
    <w:link w:val="TitleChar"/>
    <w:uiPriority w:val="10"/>
    <w:qFormat/>
    <w:rsid w:val="00EB1E4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1E42"/>
    <w:rPr>
      <w:rFonts w:ascii="Arial" w:eastAsiaTheme="majorEastAsia" w:hAnsi="Arial" w:cstheme="majorBidi"/>
      <w:spacing w:val="-10"/>
      <w:kern w:val="28"/>
      <w:sz w:val="56"/>
      <w:szCs w:val="56"/>
      <w:lang w:eastAsia="en-US"/>
    </w:rPr>
  </w:style>
  <w:style w:type="paragraph" w:styleId="NoSpacing">
    <w:name w:val="No Spacing"/>
    <w:uiPriority w:val="1"/>
    <w:qFormat/>
    <w:rsid w:val="00EB1E42"/>
    <w:pPr>
      <w:spacing w:after="0" w:line="240" w:lineRule="auto"/>
    </w:pPr>
    <w:rPr>
      <w:rFonts w:ascii="Arial" w:eastAsiaTheme="minorHAnsi" w:hAnsi="Arial"/>
      <w:sz w:val="24"/>
      <w:lang w:eastAsia="en-US"/>
    </w:rPr>
  </w:style>
  <w:style w:type="paragraph" w:styleId="Subtitle">
    <w:name w:val="Subtitle"/>
    <w:basedOn w:val="Normal"/>
    <w:next w:val="Normal"/>
    <w:link w:val="SubtitleChar"/>
    <w:uiPriority w:val="11"/>
    <w:qFormat/>
    <w:rsid w:val="00EB1E4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B1E42"/>
    <w:rPr>
      <w:rFonts w:ascii="Arial" w:hAnsi="Arial" w:cs="Times New Roman"/>
      <w:color w:val="5A5A5A" w:themeColor="text1" w:themeTint="A5"/>
      <w:spacing w:val="15"/>
      <w:sz w:val="28"/>
      <w:szCs w:val="24"/>
      <w:lang w:eastAsia="en-US"/>
    </w:rPr>
  </w:style>
  <w:style w:type="paragraph" w:styleId="ListParagraph">
    <w:name w:val="List Paragraph"/>
    <w:basedOn w:val="Normal"/>
    <w:uiPriority w:val="34"/>
    <w:qFormat/>
    <w:rsid w:val="00EB1E42"/>
    <w:pPr>
      <w:ind w:left="720"/>
      <w:contextualSpacing/>
    </w:pPr>
  </w:style>
  <w:style w:type="paragraph" w:styleId="BalloonText">
    <w:name w:val="Balloon Text"/>
    <w:basedOn w:val="Normal"/>
    <w:link w:val="BalloonTextChar"/>
    <w:uiPriority w:val="99"/>
    <w:semiHidden/>
    <w:unhideWhenUsed/>
    <w:rsid w:val="00EB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42"/>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EB1E42"/>
    <w:pPr>
      <w:spacing w:before="240"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EB1E42"/>
    <w:pPr>
      <w:spacing w:after="100"/>
    </w:pPr>
  </w:style>
  <w:style w:type="paragraph" w:styleId="TOC2">
    <w:name w:val="toc 2"/>
    <w:basedOn w:val="Normal"/>
    <w:next w:val="Normal"/>
    <w:autoRedefine/>
    <w:uiPriority w:val="39"/>
    <w:unhideWhenUsed/>
    <w:rsid w:val="00EB1E42"/>
    <w:pPr>
      <w:spacing w:after="100"/>
      <w:ind w:left="240"/>
    </w:pPr>
  </w:style>
  <w:style w:type="paragraph" w:styleId="TOC3">
    <w:name w:val="toc 3"/>
    <w:basedOn w:val="Normal"/>
    <w:next w:val="Normal"/>
    <w:autoRedefine/>
    <w:uiPriority w:val="39"/>
    <w:unhideWhenUsed/>
    <w:rsid w:val="00EB1E42"/>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B1E4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B1E4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B1E4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B1E4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B1E4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B1E42"/>
    <w:pPr>
      <w:spacing w:after="100" w:line="259" w:lineRule="auto"/>
      <w:ind w:left="1760"/>
    </w:pPr>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EB1E42"/>
    <w:rPr>
      <w:sz w:val="20"/>
      <w:szCs w:val="20"/>
    </w:rPr>
  </w:style>
  <w:style w:type="character" w:customStyle="1" w:styleId="CommentTextChar">
    <w:name w:val="Comment Text Char"/>
    <w:basedOn w:val="DefaultParagraphFont"/>
    <w:link w:val="CommentText"/>
    <w:uiPriority w:val="99"/>
    <w:rsid w:val="00EB1E4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B1E42"/>
    <w:rPr>
      <w:b/>
      <w:bCs/>
    </w:rPr>
  </w:style>
  <w:style w:type="character" w:customStyle="1" w:styleId="CommentSubjectChar">
    <w:name w:val="Comment Subject Char"/>
    <w:basedOn w:val="CommentTextChar"/>
    <w:link w:val="CommentSubject"/>
    <w:uiPriority w:val="99"/>
    <w:semiHidden/>
    <w:rsid w:val="00EB1E42"/>
    <w:rPr>
      <w:rFonts w:ascii="Arial" w:eastAsia="Times New Roman" w:hAnsi="Arial" w:cs="Times New Roman"/>
      <w:b/>
      <w:bCs/>
      <w:sz w:val="20"/>
      <w:szCs w:val="20"/>
      <w:lang w:eastAsia="en-US"/>
    </w:rPr>
  </w:style>
  <w:style w:type="character" w:styleId="UnresolvedMention">
    <w:name w:val="Unresolved Mention"/>
    <w:basedOn w:val="DefaultParagraphFont"/>
    <w:uiPriority w:val="99"/>
    <w:semiHidden/>
    <w:unhideWhenUsed/>
    <w:rsid w:val="00EB1E42"/>
    <w:rPr>
      <w:color w:val="605E5C"/>
      <w:shd w:val="clear" w:color="auto" w:fill="E1DFDD"/>
    </w:rPr>
  </w:style>
  <w:style w:type="character" w:styleId="Mention">
    <w:name w:val="Mention"/>
    <w:basedOn w:val="DefaultParagraphFont"/>
    <w:uiPriority w:val="99"/>
    <w:unhideWhenUsed/>
    <w:rsid w:val="00EB1E42"/>
    <w:rPr>
      <w:color w:val="2B579A"/>
      <w:shd w:val="clear" w:color="auto" w:fill="E6E6E6"/>
    </w:rPr>
  </w:style>
  <w:style w:type="table" w:customStyle="1" w:styleId="TableGrid17">
    <w:name w:val="Table Grid17"/>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EB1E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57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ystemimprovement.org/uploads/resources/State-Performance-Plan-Indicator-Guid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B747-7051-402A-9CFC-C6E3F27E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10615</Words>
  <Characters>60512</Characters>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70986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04 Revised - Meeting Agendas (CA State Board of Education)</dc:title>
  <dc:subject>Revised. New Targets for State Performance Plan Indicators in the Annual Performance Report for Part B of the Individuals with Disabilities Education Act of 2004.</dc:subject>
  <dc:creator/>
  <cp:keywords/>
  <dc:description/>
  <dcterms:created xsi:type="dcterms:W3CDTF">2021-08-13T20:29:00Z</dcterms:created>
  <dcterms:modified xsi:type="dcterms:W3CDTF">2021-09-03T20:09:00Z</dcterms:modified>
  <cp:category/>
</cp:coreProperties>
</file>