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B1045" w14:textId="77777777" w:rsidR="006E06C6" w:rsidRDefault="00D5115F" w:rsidP="00B723BE">
      <w:r w:rsidRPr="00D5115F">
        <w:rPr>
          <w:noProof/>
        </w:rPr>
        <w:drawing>
          <wp:inline distT="0" distB="0" distL="0" distR="0" wp14:anchorId="17119291" wp14:editId="183082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88BE842" w14:textId="77777777" w:rsidR="00B723BE" w:rsidRDefault="00FC1FCE" w:rsidP="00B723BE">
      <w:pPr>
        <w:jc w:val="right"/>
      </w:pPr>
      <w:r w:rsidRPr="00B723BE">
        <w:t>California Department of Education</w:t>
      </w:r>
    </w:p>
    <w:p w14:paraId="4A59E080" w14:textId="77777777" w:rsidR="00B723BE" w:rsidRDefault="00FC1FCE" w:rsidP="00B723BE">
      <w:pPr>
        <w:jc w:val="right"/>
      </w:pPr>
      <w:r w:rsidRPr="00B723BE">
        <w:t>Executive Office</w:t>
      </w:r>
    </w:p>
    <w:p w14:paraId="75067500"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13C36D6D" w14:textId="472BEEFC" w:rsidR="00B723BE" w:rsidRDefault="004D3CDC" w:rsidP="00B723BE">
      <w:pPr>
        <w:jc w:val="right"/>
      </w:pPr>
      <w:r>
        <w:t>oab-csd-</w:t>
      </w:r>
      <w:r w:rsidR="008B2C48">
        <w:t>jul22item05</w:t>
      </w:r>
    </w:p>
    <w:p w14:paraId="4B499BC7" w14:textId="77777777" w:rsidR="00B723BE" w:rsidRDefault="00B723BE" w:rsidP="00FC1FCE">
      <w:pPr>
        <w:pStyle w:val="Heading1"/>
        <w:jc w:val="center"/>
        <w:rPr>
          <w:sz w:val="40"/>
          <w:szCs w:val="40"/>
        </w:rPr>
        <w:sectPr w:rsidR="00B723BE" w:rsidSect="00C82C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num="2" w:space="720"/>
          <w:titlePg/>
          <w:docGrid w:linePitch="360"/>
        </w:sectPr>
      </w:pPr>
    </w:p>
    <w:p w14:paraId="61EA0F70" w14:textId="77777777" w:rsidR="006E06C6" w:rsidRDefault="006E06C6" w:rsidP="004D3CDC">
      <w:pPr>
        <w:pStyle w:val="Heading1"/>
        <w:rPr>
          <w:sz w:val="40"/>
          <w:szCs w:val="40"/>
        </w:rPr>
        <w:sectPr w:rsidR="006E06C6" w:rsidSect="0091117B">
          <w:type w:val="continuous"/>
          <w:pgSz w:w="12240" w:h="15840"/>
          <w:pgMar w:top="720" w:right="1440" w:bottom="1440" w:left="1440" w:header="720" w:footer="720" w:gutter="0"/>
          <w:cols w:space="720"/>
          <w:docGrid w:linePitch="360"/>
        </w:sectPr>
      </w:pPr>
    </w:p>
    <w:p w14:paraId="6B5F15F9" w14:textId="7DB6B21E"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8B2C48">
        <w:rPr>
          <w:sz w:val="40"/>
          <w:szCs w:val="40"/>
        </w:rPr>
        <w:t>July</w:t>
      </w:r>
      <w:r w:rsidR="004D3CDC" w:rsidRPr="004D3CDC">
        <w:rPr>
          <w:sz w:val="40"/>
          <w:szCs w:val="40"/>
        </w:rPr>
        <w:t xml:space="preserve"> 202</w:t>
      </w:r>
      <w:r w:rsidR="004D3CDC">
        <w:rPr>
          <w:sz w:val="40"/>
          <w:szCs w:val="40"/>
        </w:rPr>
        <w:t>2</w:t>
      </w:r>
      <w:r w:rsidRPr="004D3CDC">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7E5A21">
        <w:rPr>
          <w:sz w:val="40"/>
          <w:szCs w:val="40"/>
        </w:rPr>
        <w:t>18</w:t>
      </w:r>
      <w:bookmarkStart w:id="0" w:name="_GoBack"/>
      <w:bookmarkEnd w:id="0"/>
    </w:p>
    <w:p w14:paraId="39DAECF1" w14:textId="77777777" w:rsidR="00FC1FCE" w:rsidRPr="001B3958" w:rsidRDefault="00FC1FCE" w:rsidP="00812F6E">
      <w:pPr>
        <w:pStyle w:val="Heading2"/>
        <w:spacing w:before="0"/>
      </w:pPr>
      <w:r w:rsidRPr="001B3958">
        <w:t>Subject</w:t>
      </w:r>
    </w:p>
    <w:p w14:paraId="1EC09A37" w14:textId="2BE6D984" w:rsidR="004D3CDC" w:rsidRDefault="008B2C48" w:rsidP="00812F6E">
      <w:pPr>
        <w:spacing w:after="240"/>
        <w:rPr>
          <w:rFonts w:ascii="Calibri" w:hAnsi="Calibri"/>
          <w:sz w:val="22"/>
          <w:szCs w:val="22"/>
        </w:rPr>
      </w:pPr>
      <w:bookmarkStart w:id="1" w:name="_Hlk107407929"/>
      <w:r>
        <w:rPr>
          <w:rFonts w:cs="Arial"/>
        </w:rPr>
        <w:t>T.I.M.E. Community School</w:t>
      </w:r>
      <w:r w:rsidR="004D3CDC">
        <w:t xml:space="preserve">: Consider Issuing a Notice of Violation Pursuant to California </w:t>
      </w:r>
      <w:r w:rsidR="004D3CDC">
        <w:rPr>
          <w:i/>
          <w:iCs/>
        </w:rPr>
        <w:t xml:space="preserve">Education Code </w:t>
      </w:r>
      <w:r w:rsidR="004D3CDC">
        <w:t>Section 47607(g).</w:t>
      </w:r>
    </w:p>
    <w:bookmarkEnd w:id="1"/>
    <w:p w14:paraId="5DE90074" w14:textId="77777777" w:rsidR="00FC1FCE" w:rsidRPr="001B3958" w:rsidRDefault="00FC1FCE" w:rsidP="00812F6E">
      <w:pPr>
        <w:pStyle w:val="Heading2"/>
        <w:spacing w:before="0"/>
      </w:pPr>
      <w:r w:rsidRPr="001B3958">
        <w:t>Type of Action</w:t>
      </w:r>
    </w:p>
    <w:p w14:paraId="4EC33F20" w14:textId="131C14A3" w:rsidR="004D3CDC" w:rsidRDefault="004D3CDC" w:rsidP="00812F6E">
      <w:pPr>
        <w:spacing w:after="240"/>
      </w:pPr>
      <w:r>
        <w:t>Action, Information</w:t>
      </w:r>
    </w:p>
    <w:p w14:paraId="3359986D" w14:textId="77777777" w:rsidR="00FC1FCE" w:rsidRPr="001B3958" w:rsidRDefault="00FC1FCE" w:rsidP="00812F6E">
      <w:pPr>
        <w:pStyle w:val="Heading2"/>
        <w:spacing w:before="0"/>
      </w:pPr>
      <w:r w:rsidRPr="001B3958">
        <w:t>Summary of the Issue</w:t>
      </w:r>
    </w:p>
    <w:p w14:paraId="6D77A1C8" w14:textId="04C7C63D" w:rsidR="0092219C" w:rsidRDefault="004D3CDC" w:rsidP="00812F6E">
      <w:pPr>
        <w:spacing w:after="240"/>
        <w:rPr>
          <w:rFonts w:cs="Arial"/>
        </w:rPr>
      </w:pPr>
      <w:r>
        <w:rPr>
          <w:rFonts w:cs="Arial"/>
        </w:rPr>
        <w:t xml:space="preserve">The California Department of Education (CDE) </w:t>
      </w:r>
      <w:r w:rsidR="008B2C48">
        <w:rPr>
          <w:rFonts w:cs="Arial"/>
        </w:rPr>
        <w:t xml:space="preserve">and Los Angeles County Office of Education (LACOE) </w:t>
      </w:r>
      <w:r>
        <w:rPr>
          <w:rFonts w:cs="Arial"/>
        </w:rPr>
        <w:t xml:space="preserve">believe that there is substantial evidence that </w:t>
      </w:r>
      <w:r w:rsidR="008B2C48">
        <w:rPr>
          <w:rFonts w:cs="Arial"/>
        </w:rPr>
        <w:t xml:space="preserve">T.I.M.E. </w:t>
      </w:r>
      <w:r w:rsidR="002A7569">
        <w:rPr>
          <w:rFonts w:cs="Arial"/>
        </w:rPr>
        <w:t xml:space="preserve">(Teamwork, Individualization, Mastery, and Extension) </w:t>
      </w:r>
      <w:r w:rsidR="008B2C48">
        <w:rPr>
          <w:rFonts w:cs="Arial"/>
        </w:rPr>
        <w:t>Community School (TCS)</w:t>
      </w:r>
      <w:r>
        <w:rPr>
          <w:rFonts w:cs="Arial"/>
        </w:rPr>
        <w:t xml:space="preserve">, a </w:t>
      </w:r>
      <w:r w:rsidR="00ED5DF2">
        <w:rPr>
          <w:rFonts w:cs="Arial"/>
        </w:rPr>
        <w:t xml:space="preserve">California </w:t>
      </w:r>
      <w:r>
        <w:rPr>
          <w:rFonts w:cs="Arial"/>
        </w:rPr>
        <w:t xml:space="preserve">State Board of Education (SBE)-authorized charter </w:t>
      </w:r>
      <w:r w:rsidRPr="00572215">
        <w:rPr>
          <w:rFonts w:cs="Arial"/>
        </w:rPr>
        <w:t>school, engaged in fiscal mismanagement</w:t>
      </w:r>
      <w:r w:rsidR="008B2C48">
        <w:rPr>
          <w:rFonts w:cs="Arial"/>
        </w:rPr>
        <w:t>; failed to meet or pursue any of the pupil outcomes identified in the charter</w:t>
      </w:r>
      <w:r w:rsidR="00AD6C9D">
        <w:rPr>
          <w:rFonts w:cs="Arial"/>
        </w:rPr>
        <w:t xml:space="preserve"> petition</w:t>
      </w:r>
      <w:r w:rsidR="008B2C48">
        <w:rPr>
          <w:rFonts w:cs="Arial"/>
        </w:rPr>
        <w:t>; and committed a material violation of the conditions, standards, or procedures set forth in the charter petition,</w:t>
      </w:r>
      <w:r w:rsidR="000D16B3" w:rsidRPr="00572215">
        <w:rPr>
          <w:rFonts w:cs="Arial"/>
        </w:rPr>
        <w:t xml:space="preserve"> pursuant to California </w:t>
      </w:r>
      <w:r w:rsidR="000D16B3" w:rsidRPr="00572215">
        <w:rPr>
          <w:rFonts w:cs="Arial"/>
          <w:i/>
        </w:rPr>
        <w:t xml:space="preserve">Education Code </w:t>
      </w:r>
      <w:r w:rsidR="00562591" w:rsidRPr="00562591">
        <w:rPr>
          <w:rFonts w:cs="Arial"/>
        </w:rPr>
        <w:t>(</w:t>
      </w:r>
      <w:r w:rsidR="00562591">
        <w:rPr>
          <w:rFonts w:cs="Arial"/>
          <w:i/>
        </w:rPr>
        <w:t>EC</w:t>
      </w:r>
      <w:r w:rsidR="00562591" w:rsidRPr="00562591">
        <w:rPr>
          <w:rFonts w:cs="Arial"/>
        </w:rPr>
        <w:t xml:space="preserve">) </w:t>
      </w:r>
      <w:r w:rsidR="000D16B3" w:rsidRPr="00572215">
        <w:rPr>
          <w:rFonts w:cs="Arial"/>
        </w:rPr>
        <w:t>Section 47607(f)</w:t>
      </w:r>
      <w:r w:rsidR="005C5DE8">
        <w:rPr>
          <w:rFonts w:cs="Arial"/>
        </w:rPr>
        <w:t>.</w:t>
      </w:r>
      <w:r w:rsidR="000D16B3">
        <w:rPr>
          <w:rFonts w:cs="Arial"/>
        </w:rPr>
        <w:t xml:space="preserve"> </w:t>
      </w:r>
      <w:r w:rsidRPr="00572215">
        <w:rPr>
          <w:rFonts w:cs="Arial"/>
        </w:rPr>
        <w:t xml:space="preserve">Pursuant to </w:t>
      </w:r>
      <w:r w:rsidR="003A6FCD" w:rsidRPr="00572215">
        <w:rPr>
          <w:rFonts w:cs="Arial"/>
          <w:i/>
        </w:rPr>
        <w:t xml:space="preserve">EC </w:t>
      </w:r>
      <w:r w:rsidRPr="00572215">
        <w:rPr>
          <w:rFonts w:cs="Arial"/>
        </w:rPr>
        <w:t xml:space="preserve">Section 47607(g), the authority that granted the charter </w:t>
      </w:r>
      <w:r w:rsidR="00BE3DB0">
        <w:rPr>
          <w:rFonts w:cs="Arial"/>
        </w:rPr>
        <w:t xml:space="preserve">petition </w:t>
      </w:r>
      <w:r w:rsidRPr="00572215">
        <w:rPr>
          <w:rFonts w:cs="Arial"/>
        </w:rPr>
        <w:t>shall notify the charter school of any violation and provide the school a reasonable opportunity to remedy</w:t>
      </w:r>
      <w:r>
        <w:rPr>
          <w:rFonts w:cs="Arial"/>
        </w:rPr>
        <w:t xml:space="preserve"> the violation.</w:t>
      </w:r>
    </w:p>
    <w:p w14:paraId="253FA805" w14:textId="4323DB6E" w:rsidR="003E4DF7" w:rsidRPr="00F40510" w:rsidRDefault="003E4DF7" w:rsidP="00812F6E">
      <w:pPr>
        <w:pStyle w:val="Heading2"/>
        <w:spacing w:before="0"/>
      </w:pPr>
      <w:r>
        <w:t>Recommendation</w:t>
      </w:r>
    </w:p>
    <w:p w14:paraId="58A0B1BF" w14:textId="7FE1DB16" w:rsidR="00A363F9" w:rsidRDefault="004D3CDC" w:rsidP="00812F6E">
      <w:pPr>
        <w:spacing w:after="240"/>
        <w:rPr>
          <w:rFonts w:cs="Arial"/>
        </w:rPr>
      </w:pPr>
      <w:r>
        <w:rPr>
          <w:rFonts w:cs="Arial"/>
        </w:rPr>
        <w:t xml:space="preserve">The CDE recommends that the </w:t>
      </w:r>
      <w:r w:rsidR="00ED5DF2">
        <w:rPr>
          <w:rFonts w:cs="Arial"/>
        </w:rPr>
        <w:t>SBE</w:t>
      </w:r>
      <w:r>
        <w:rPr>
          <w:rFonts w:cs="Arial"/>
        </w:rPr>
        <w:t xml:space="preserve"> consider </w:t>
      </w:r>
      <w:r w:rsidR="00ED5DF2">
        <w:rPr>
          <w:rFonts w:cs="Arial"/>
        </w:rPr>
        <w:t xml:space="preserve">issuing a Notice of Violation to </w:t>
      </w:r>
      <w:r w:rsidR="008B2C48">
        <w:rPr>
          <w:rFonts w:cs="Arial"/>
        </w:rPr>
        <w:t xml:space="preserve">TCS </w:t>
      </w:r>
      <w:r w:rsidR="000E5E10">
        <w:rPr>
          <w:rFonts w:cs="Arial"/>
        </w:rPr>
        <w:t>(Attachment 1)</w:t>
      </w:r>
      <w:r w:rsidR="00ED5DF2">
        <w:rPr>
          <w:rFonts w:cs="Arial"/>
        </w:rPr>
        <w:t xml:space="preserve">, pursuant to </w:t>
      </w:r>
      <w:r w:rsidR="00ED5DF2">
        <w:rPr>
          <w:rFonts w:cs="Arial"/>
          <w:i/>
        </w:rPr>
        <w:t xml:space="preserve">EC </w:t>
      </w:r>
      <w:r w:rsidR="00ED5DF2">
        <w:rPr>
          <w:rFonts w:cs="Arial"/>
        </w:rPr>
        <w:t xml:space="preserve">Section 47607(g). </w:t>
      </w:r>
      <w:r w:rsidR="008B2C48">
        <w:rPr>
          <w:rFonts w:cs="Arial"/>
        </w:rPr>
        <w:t>TCS</w:t>
      </w:r>
      <w:r w:rsidR="008E3E4F">
        <w:rPr>
          <w:rFonts w:cs="Arial"/>
        </w:rPr>
        <w:t xml:space="preserve"> has </w:t>
      </w:r>
      <w:r w:rsidR="00A363F9">
        <w:rPr>
          <w:rFonts w:cs="Arial"/>
        </w:rPr>
        <w:t>committed the following:</w:t>
      </w:r>
    </w:p>
    <w:p w14:paraId="7EFC8AC3" w14:textId="79EED62C" w:rsidR="00A363F9" w:rsidRDefault="00BE3DB0" w:rsidP="00142F9D">
      <w:pPr>
        <w:pStyle w:val="ListParagraph"/>
        <w:numPr>
          <w:ilvl w:val="0"/>
          <w:numId w:val="3"/>
        </w:numPr>
        <w:spacing w:before="240" w:after="240"/>
        <w:contextualSpacing w:val="0"/>
        <w:rPr>
          <w:rFonts w:cs="Arial"/>
        </w:rPr>
      </w:pPr>
      <w:r>
        <w:rPr>
          <w:rFonts w:cs="Arial"/>
        </w:rPr>
        <w:t>F</w:t>
      </w:r>
      <w:r w:rsidR="004D3CDC" w:rsidRPr="00A95381">
        <w:rPr>
          <w:rFonts w:cs="Arial"/>
        </w:rPr>
        <w:t xml:space="preserve">iscal mismanagement </w:t>
      </w:r>
      <w:r w:rsidR="00A363F9">
        <w:rPr>
          <w:rFonts w:cs="Arial"/>
        </w:rPr>
        <w:t>(</w:t>
      </w:r>
      <w:r w:rsidR="004D3CDC" w:rsidRPr="00A95381">
        <w:rPr>
          <w:rFonts w:cs="Arial"/>
          <w:i/>
        </w:rPr>
        <w:t>EC</w:t>
      </w:r>
      <w:r w:rsidR="004D3CDC" w:rsidRPr="00A95381">
        <w:rPr>
          <w:rFonts w:cs="Arial"/>
        </w:rPr>
        <w:t xml:space="preserve"> Section 47607</w:t>
      </w:r>
      <w:r w:rsidR="00A363F9">
        <w:rPr>
          <w:rFonts w:cs="Arial"/>
        </w:rPr>
        <w:t>[</w:t>
      </w:r>
      <w:r w:rsidR="005A2BF0" w:rsidRPr="00A95381">
        <w:rPr>
          <w:rFonts w:cs="Arial"/>
        </w:rPr>
        <w:t>f</w:t>
      </w:r>
      <w:r w:rsidR="00A363F9">
        <w:rPr>
          <w:rFonts w:cs="Arial"/>
        </w:rPr>
        <w:t>][</w:t>
      </w:r>
      <w:r w:rsidR="005A2BF0" w:rsidRPr="00A95381">
        <w:rPr>
          <w:rFonts w:cs="Arial"/>
        </w:rPr>
        <w:t>3</w:t>
      </w:r>
      <w:r w:rsidR="00A363F9">
        <w:rPr>
          <w:rFonts w:cs="Arial"/>
        </w:rPr>
        <w:t>]</w:t>
      </w:r>
      <w:r w:rsidR="004D3CDC" w:rsidRPr="00A95381">
        <w:rPr>
          <w:rFonts w:cs="Arial"/>
        </w:rPr>
        <w:t>)</w:t>
      </w:r>
      <w:r w:rsidR="00A363F9">
        <w:rPr>
          <w:rFonts w:cs="Arial"/>
        </w:rPr>
        <w:t>,</w:t>
      </w:r>
    </w:p>
    <w:p w14:paraId="5A9B51B1" w14:textId="3401B560" w:rsidR="008B2C48" w:rsidRPr="00A95381" w:rsidRDefault="00AD6C9D" w:rsidP="00142F9D">
      <w:pPr>
        <w:pStyle w:val="ListParagraph"/>
        <w:numPr>
          <w:ilvl w:val="0"/>
          <w:numId w:val="3"/>
        </w:numPr>
        <w:spacing w:before="240" w:after="240"/>
        <w:contextualSpacing w:val="0"/>
        <w:rPr>
          <w:rFonts w:cs="Arial"/>
        </w:rPr>
      </w:pPr>
      <w:r>
        <w:rPr>
          <w:rFonts w:cs="Arial"/>
        </w:rPr>
        <w:t>Failure to meet or pursue any of the pupil outcomes identified in the charter petition (</w:t>
      </w:r>
      <w:r>
        <w:rPr>
          <w:rFonts w:cs="Arial"/>
          <w:i/>
        </w:rPr>
        <w:t xml:space="preserve">EC </w:t>
      </w:r>
      <w:r>
        <w:rPr>
          <w:rFonts w:cs="Arial"/>
        </w:rPr>
        <w:t>Section 47607[f][2]), and</w:t>
      </w:r>
    </w:p>
    <w:p w14:paraId="43716FF2" w14:textId="49B9DA0C" w:rsidR="00A363F9" w:rsidRPr="00A95381" w:rsidRDefault="00BE3DB0" w:rsidP="00142F9D">
      <w:pPr>
        <w:pStyle w:val="ListParagraph"/>
        <w:numPr>
          <w:ilvl w:val="0"/>
          <w:numId w:val="3"/>
        </w:numPr>
        <w:spacing w:before="240" w:after="240"/>
        <w:contextualSpacing w:val="0"/>
        <w:rPr>
          <w:rFonts w:cs="Arial"/>
        </w:rPr>
      </w:pPr>
      <w:r>
        <w:rPr>
          <w:rFonts w:cs="Arial"/>
        </w:rPr>
        <w:lastRenderedPageBreak/>
        <w:t>V</w:t>
      </w:r>
      <w:r w:rsidR="00A363F9">
        <w:rPr>
          <w:rFonts w:cs="Arial"/>
        </w:rPr>
        <w:t xml:space="preserve">iolation of several </w:t>
      </w:r>
      <w:r w:rsidR="00A363F9" w:rsidRPr="00A363F9">
        <w:rPr>
          <w:rFonts w:cs="Arial"/>
        </w:rPr>
        <w:t>conditions, standards, or procedures set forth in the charter</w:t>
      </w:r>
      <w:r w:rsidR="00A363F9">
        <w:rPr>
          <w:rFonts w:cs="Arial"/>
        </w:rPr>
        <w:t xml:space="preserve"> </w:t>
      </w:r>
      <w:r>
        <w:rPr>
          <w:rFonts w:cs="Arial"/>
        </w:rPr>
        <w:t xml:space="preserve">petition </w:t>
      </w:r>
      <w:r w:rsidR="00A363F9">
        <w:rPr>
          <w:rFonts w:cs="Arial"/>
        </w:rPr>
        <w:t>(</w:t>
      </w:r>
      <w:r w:rsidR="00A363F9" w:rsidRPr="007479D4">
        <w:rPr>
          <w:rFonts w:cs="Arial"/>
          <w:i/>
        </w:rPr>
        <w:t>EC</w:t>
      </w:r>
      <w:r w:rsidR="00A363F9" w:rsidRPr="007479D4">
        <w:rPr>
          <w:rFonts w:cs="Arial"/>
        </w:rPr>
        <w:t xml:space="preserve"> Section 47607</w:t>
      </w:r>
      <w:r w:rsidR="00A363F9">
        <w:rPr>
          <w:rFonts w:cs="Arial"/>
        </w:rPr>
        <w:t>[</w:t>
      </w:r>
      <w:r w:rsidR="00A363F9" w:rsidRPr="007479D4">
        <w:rPr>
          <w:rFonts w:cs="Arial"/>
        </w:rPr>
        <w:t>f</w:t>
      </w:r>
      <w:r w:rsidR="00A363F9">
        <w:rPr>
          <w:rFonts w:cs="Arial"/>
        </w:rPr>
        <w:t>][1</w:t>
      </w:r>
      <w:r w:rsidR="008B2C48">
        <w:rPr>
          <w:rFonts w:cs="Arial"/>
        </w:rPr>
        <w:t>]).</w:t>
      </w:r>
    </w:p>
    <w:p w14:paraId="5C6E5A3E" w14:textId="3F8DB3B9" w:rsidR="004D3CDC" w:rsidRDefault="004D3CDC" w:rsidP="00812F6E">
      <w:pPr>
        <w:spacing w:after="240"/>
        <w:rPr>
          <w:rFonts w:cs="Arial"/>
        </w:rPr>
      </w:pPr>
      <w:r>
        <w:rPr>
          <w:rFonts w:cs="Arial"/>
        </w:rPr>
        <w:t xml:space="preserve">Pursuant to </w:t>
      </w:r>
      <w:r>
        <w:rPr>
          <w:rFonts w:cs="Arial"/>
          <w:i/>
        </w:rPr>
        <w:t>EC</w:t>
      </w:r>
      <w:r>
        <w:rPr>
          <w:rFonts w:cs="Arial"/>
        </w:rPr>
        <w:t xml:space="preserve"> Section 47607(</w:t>
      </w:r>
      <w:r w:rsidR="00FD5079">
        <w:rPr>
          <w:rFonts w:cs="Arial"/>
        </w:rPr>
        <w:t>g</w:t>
      </w:r>
      <w:r>
        <w:rPr>
          <w:rFonts w:cs="Arial"/>
        </w:rPr>
        <w:t xml:space="preserve">) and </w:t>
      </w:r>
      <w:r w:rsidR="00D64EA2" w:rsidRPr="00BA5D0B">
        <w:rPr>
          <w:rFonts w:cs="Arial"/>
          <w:i/>
        </w:rPr>
        <w:t>California Code of Regulations</w:t>
      </w:r>
      <w:r w:rsidR="00D64EA2">
        <w:rPr>
          <w:rFonts w:cs="Arial"/>
        </w:rPr>
        <w:t>, Title 5 (</w:t>
      </w:r>
      <w:r w:rsidR="00D3736E" w:rsidRPr="00D3736E">
        <w:rPr>
          <w:rFonts w:cs="Arial"/>
        </w:rPr>
        <w:t xml:space="preserve">5 </w:t>
      </w:r>
      <w:r w:rsidR="00D3736E">
        <w:rPr>
          <w:rFonts w:cs="Arial"/>
          <w:i/>
        </w:rPr>
        <w:t>CCR</w:t>
      </w:r>
      <w:r w:rsidR="00D64EA2">
        <w:rPr>
          <w:rFonts w:cs="Arial"/>
        </w:rPr>
        <w:t>)</w:t>
      </w:r>
      <w:r>
        <w:rPr>
          <w:rFonts w:cs="Arial"/>
        </w:rPr>
        <w:t xml:space="preserve"> Section 11968.5.2, </w:t>
      </w:r>
      <w:r w:rsidR="00AD6C9D">
        <w:rPr>
          <w:rFonts w:cs="Arial"/>
        </w:rPr>
        <w:t>TCS</w:t>
      </w:r>
      <w:r w:rsidR="00D509B9">
        <w:rPr>
          <w:rFonts w:cs="Arial"/>
        </w:rPr>
        <w:t xml:space="preserve"> shall</w:t>
      </w:r>
      <w:r>
        <w:rPr>
          <w:rFonts w:cs="Arial"/>
        </w:rPr>
        <w:t xml:space="preserve"> have the opportunity to present evidence that refutes, remedies, or proposes to remedy the alleged violations at the </w:t>
      </w:r>
      <w:r w:rsidR="00AD6C9D">
        <w:rPr>
          <w:rFonts w:cs="Arial"/>
        </w:rPr>
        <w:t>August 11</w:t>
      </w:r>
      <w:r>
        <w:rPr>
          <w:rFonts w:cs="Arial"/>
        </w:rPr>
        <w:t xml:space="preserve">, 2022, </w:t>
      </w:r>
      <w:r w:rsidR="00FD5079">
        <w:rPr>
          <w:rFonts w:cs="Arial"/>
        </w:rPr>
        <w:t xml:space="preserve">Advisory Commission on Charter Schools (ACCS) </w:t>
      </w:r>
      <w:r>
        <w:rPr>
          <w:rFonts w:cs="Arial"/>
        </w:rPr>
        <w:t xml:space="preserve">meeting. At that meeting, the ACCS will </w:t>
      </w:r>
      <w:proofErr w:type="gramStart"/>
      <w:r>
        <w:rPr>
          <w:rFonts w:cs="Arial"/>
        </w:rPr>
        <w:t>take action</w:t>
      </w:r>
      <w:proofErr w:type="gramEnd"/>
      <w:r>
        <w:rPr>
          <w:rFonts w:cs="Arial"/>
        </w:rPr>
        <w:t xml:space="preserve"> on a recommendation to the SBE regarding whether, at </w:t>
      </w:r>
      <w:r w:rsidR="00D64EA2">
        <w:rPr>
          <w:rFonts w:cs="Arial"/>
        </w:rPr>
        <w:t xml:space="preserve">its </w:t>
      </w:r>
      <w:r w:rsidR="00AD7B5F">
        <w:rPr>
          <w:rFonts w:cs="Arial"/>
        </w:rPr>
        <w:br/>
      </w:r>
      <w:r w:rsidR="00AD6C9D">
        <w:rPr>
          <w:rFonts w:cs="Arial"/>
        </w:rPr>
        <w:t>September 14–15</w:t>
      </w:r>
      <w:r w:rsidR="00FD5079">
        <w:rPr>
          <w:rFonts w:cs="Arial"/>
        </w:rPr>
        <w:t xml:space="preserve">, </w:t>
      </w:r>
      <w:r>
        <w:rPr>
          <w:rFonts w:cs="Arial"/>
        </w:rPr>
        <w:t>2022</w:t>
      </w:r>
      <w:r w:rsidR="00FD5079">
        <w:rPr>
          <w:rFonts w:cs="Arial"/>
        </w:rPr>
        <w:t>,</w:t>
      </w:r>
      <w:r>
        <w:rPr>
          <w:rFonts w:cs="Arial"/>
        </w:rPr>
        <w:t xml:space="preserve"> meeting, the SBE should issue a Notice of Intent to Revoke with Notice of Facts</w:t>
      </w:r>
      <w:r w:rsidR="00D64EA2">
        <w:rPr>
          <w:rFonts w:cs="Arial"/>
        </w:rPr>
        <w:t>,</w:t>
      </w:r>
      <w:r>
        <w:rPr>
          <w:rFonts w:cs="Arial"/>
        </w:rPr>
        <w:t xml:space="preserve"> pursuant to </w:t>
      </w:r>
      <w:r>
        <w:rPr>
          <w:rFonts w:cs="Arial"/>
          <w:i/>
        </w:rPr>
        <w:t>EC</w:t>
      </w:r>
      <w:r>
        <w:rPr>
          <w:rFonts w:cs="Arial"/>
        </w:rPr>
        <w:t xml:space="preserve"> Section 47607(</w:t>
      </w:r>
      <w:r w:rsidR="00FD5079">
        <w:rPr>
          <w:rFonts w:cs="Arial"/>
        </w:rPr>
        <w:t>h</w:t>
      </w:r>
      <w:r>
        <w:rPr>
          <w:rFonts w:cs="Arial"/>
        </w:rPr>
        <w:t>)</w:t>
      </w:r>
      <w:r w:rsidR="00D64EA2">
        <w:rPr>
          <w:rFonts w:cs="Arial"/>
        </w:rPr>
        <w:t>,</w:t>
      </w:r>
      <w:r>
        <w:rPr>
          <w:rFonts w:cs="Arial"/>
        </w:rPr>
        <w:t xml:space="preserve"> and take action to revoke the </w:t>
      </w:r>
      <w:r w:rsidR="00AD6C9D">
        <w:rPr>
          <w:rFonts w:cs="Arial"/>
        </w:rPr>
        <w:t>TCS</w:t>
      </w:r>
      <w:r>
        <w:rPr>
          <w:rFonts w:cs="Arial"/>
        </w:rPr>
        <w:t xml:space="preserve"> charter</w:t>
      </w:r>
      <w:r w:rsidR="00D64EA2">
        <w:rPr>
          <w:rFonts w:cs="Arial"/>
        </w:rPr>
        <w:t xml:space="preserve"> petition</w:t>
      </w:r>
      <w:r>
        <w:rPr>
          <w:rFonts w:cs="Arial"/>
        </w:rPr>
        <w:t xml:space="preserve">. </w:t>
      </w:r>
    </w:p>
    <w:p w14:paraId="1088ECC5" w14:textId="4825BB0C" w:rsidR="00F40510" w:rsidRPr="00F40510" w:rsidRDefault="001B4524" w:rsidP="00812F6E">
      <w:pPr>
        <w:pStyle w:val="Heading2"/>
        <w:spacing w:before="0"/>
      </w:pPr>
      <w:r>
        <w:t>Reasons for Revocation</w:t>
      </w:r>
    </w:p>
    <w:p w14:paraId="6FEFF8C9" w14:textId="144E1619" w:rsidR="004D3CDC" w:rsidRDefault="004D3CDC" w:rsidP="00812F6E">
      <w:pPr>
        <w:spacing w:after="240"/>
        <w:rPr>
          <w:rFonts w:cs="Arial"/>
        </w:rPr>
      </w:pPr>
      <w:r>
        <w:rPr>
          <w:rFonts w:cs="Arial"/>
          <w:i/>
        </w:rPr>
        <w:t>EC</w:t>
      </w:r>
      <w:r>
        <w:rPr>
          <w:rFonts w:cs="Arial"/>
        </w:rPr>
        <w:t xml:space="preserve"> Section 47607(</w:t>
      </w:r>
      <w:r w:rsidR="001E1806">
        <w:rPr>
          <w:rFonts w:cs="Arial"/>
        </w:rPr>
        <w:t>f</w:t>
      </w:r>
      <w:r>
        <w:rPr>
          <w:rFonts w:cs="Arial"/>
        </w:rPr>
        <w:t>) states that a charter</w:t>
      </w:r>
      <w:r w:rsidR="00BE3DB0">
        <w:rPr>
          <w:rFonts w:cs="Arial"/>
        </w:rPr>
        <w:t xml:space="preserve"> petition</w:t>
      </w:r>
      <w:r>
        <w:rPr>
          <w:rFonts w:cs="Arial"/>
        </w:rPr>
        <w:t xml:space="preserve"> may be revoked by the</w:t>
      </w:r>
      <w:r w:rsidR="00D1641D">
        <w:rPr>
          <w:rFonts w:cs="Arial"/>
        </w:rPr>
        <w:t xml:space="preserve"> chartering</w:t>
      </w:r>
      <w:r>
        <w:rPr>
          <w:rFonts w:cs="Arial"/>
        </w:rPr>
        <w:t xml:space="preserve"> authority if the authority finds, through a showing of substantial evidence, that the charter school did any of the following:</w:t>
      </w:r>
    </w:p>
    <w:p w14:paraId="1E4646F5" w14:textId="409120F4" w:rsidR="004D3CDC" w:rsidRPr="00812F6E" w:rsidRDefault="004D3CDC" w:rsidP="00142F9D">
      <w:pPr>
        <w:pStyle w:val="ListParagraph"/>
        <w:numPr>
          <w:ilvl w:val="0"/>
          <w:numId w:val="2"/>
        </w:numPr>
        <w:spacing w:after="240"/>
        <w:contextualSpacing w:val="0"/>
        <w:rPr>
          <w:rFonts w:cs="Arial"/>
        </w:rPr>
      </w:pPr>
      <w:r w:rsidRPr="005A2BF0">
        <w:rPr>
          <w:rFonts w:cs="Arial"/>
        </w:rPr>
        <w:t>Committed a material violation of any of the conditions, standards, or procedures set forth in the charter.</w:t>
      </w:r>
    </w:p>
    <w:p w14:paraId="091CDA48" w14:textId="0EC22902" w:rsidR="004D3CDC" w:rsidRPr="005A2BF0" w:rsidRDefault="004D3CDC" w:rsidP="00142F9D">
      <w:pPr>
        <w:pStyle w:val="ListParagraph"/>
        <w:numPr>
          <w:ilvl w:val="0"/>
          <w:numId w:val="2"/>
        </w:numPr>
        <w:spacing w:after="240"/>
        <w:contextualSpacing w:val="0"/>
        <w:rPr>
          <w:rFonts w:cs="Arial"/>
        </w:rPr>
      </w:pPr>
      <w:r w:rsidRPr="005A2BF0">
        <w:rPr>
          <w:rFonts w:cs="Arial"/>
        </w:rPr>
        <w:t>Failed to meet or pursue any of the pupil outcomes identified in the charter.</w:t>
      </w:r>
    </w:p>
    <w:p w14:paraId="0AAC41D4" w14:textId="77777777" w:rsidR="004D3CDC" w:rsidRDefault="004D3CDC" w:rsidP="00142F9D">
      <w:pPr>
        <w:numPr>
          <w:ilvl w:val="0"/>
          <w:numId w:val="2"/>
        </w:numPr>
        <w:spacing w:after="240"/>
        <w:rPr>
          <w:rFonts w:cs="Arial"/>
        </w:rPr>
      </w:pPr>
      <w:r>
        <w:rPr>
          <w:rFonts w:cs="Arial"/>
        </w:rPr>
        <w:t>Failed to meet generally accepted accounting principles, or engaged in fiscal mismanagement.</w:t>
      </w:r>
    </w:p>
    <w:p w14:paraId="1FEEB8F9" w14:textId="12B283BE" w:rsidR="004D3CDC" w:rsidRDefault="004D3CDC" w:rsidP="00142F9D">
      <w:pPr>
        <w:numPr>
          <w:ilvl w:val="0"/>
          <w:numId w:val="2"/>
        </w:numPr>
        <w:spacing w:after="240"/>
        <w:rPr>
          <w:rFonts w:cs="Arial"/>
        </w:rPr>
      </w:pPr>
      <w:r>
        <w:rPr>
          <w:rFonts w:cs="Arial"/>
        </w:rPr>
        <w:t>Violated any law.</w:t>
      </w:r>
    </w:p>
    <w:p w14:paraId="4739E788" w14:textId="4D236429" w:rsidR="00D052A0" w:rsidRDefault="001F5D55" w:rsidP="00812F6E">
      <w:pPr>
        <w:spacing w:after="240"/>
        <w:rPr>
          <w:rFonts w:cs="Arial"/>
        </w:rPr>
      </w:pPr>
      <w:r>
        <w:rPr>
          <w:rFonts w:cs="Arial"/>
        </w:rPr>
        <w:t xml:space="preserve">Substantial evidence </w:t>
      </w:r>
      <w:r w:rsidR="004D3CDC">
        <w:rPr>
          <w:rFonts w:cs="Arial"/>
        </w:rPr>
        <w:t xml:space="preserve">exists to support the finding that the </w:t>
      </w:r>
      <w:r w:rsidR="0030697D">
        <w:rPr>
          <w:rFonts w:cs="Arial"/>
        </w:rPr>
        <w:t>TCS</w:t>
      </w:r>
      <w:r w:rsidR="004D3CDC">
        <w:rPr>
          <w:rFonts w:cs="Arial"/>
        </w:rPr>
        <w:t xml:space="preserve"> Board has engaged </w:t>
      </w:r>
      <w:r w:rsidR="0030697D" w:rsidRPr="00572215">
        <w:rPr>
          <w:rFonts w:cs="Arial"/>
        </w:rPr>
        <w:t>in fiscal mismanagement</w:t>
      </w:r>
      <w:r w:rsidR="0030697D">
        <w:rPr>
          <w:rFonts w:cs="Arial"/>
        </w:rPr>
        <w:t>; failed to meet or pursue any of the pupil outcomes identified in the charter petition; and committed a material violation of the conditions, standards, or procedures set forth in the charter petition.</w:t>
      </w:r>
    </w:p>
    <w:p w14:paraId="222068E5" w14:textId="77777777" w:rsidR="0030697D" w:rsidRDefault="0030697D" w:rsidP="0030697D">
      <w:pPr>
        <w:pStyle w:val="Heading2"/>
        <w:spacing w:before="0"/>
      </w:pPr>
      <w:r>
        <w:t>Background</w:t>
      </w:r>
    </w:p>
    <w:p w14:paraId="5064E41E" w14:textId="7621E174" w:rsidR="0030697D" w:rsidRDefault="0030697D" w:rsidP="0030697D">
      <w:pPr>
        <w:spacing w:after="240"/>
      </w:pPr>
      <w:r>
        <w:t>On July 9, 2020, the SBE approved the charter petition to establish TCS, a new school</w:t>
      </w:r>
      <w:r w:rsidR="00BD420C">
        <w:t>,</w:t>
      </w:r>
      <w:r>
        <w:t xml:space="preserve"> which anticipated serving 110 pupils in grade nine beginning in 2020–21 and growing to serve 600 pupils in grade nine through grade twelve in 2024–25. TCS was approved by the SBE for a term of five years, effective July 1, 2020, and with a delay in opening and starting instruction until the 2021–22 school year. </w:t>
      </w:r>
    </w:p>
    <w:p w14:paraId="49904550" w14:textId="61C65A4D" w:rsidR="0030697D" w:rsidRPr="00731296" w:rsidRDefault="0030697D" w:rsidP="0030697D">
      <w:pPr>
        <w:spacing w:after="240"/>
      </w:pPr>
      <w:r>
        <w:t>At this same meeting, the SBE delegated oversight of TCS to the Los Angeles County Board of Education (LACBOE</w:t>
      </w:r>
      <w:r w:rsidRPr="00731296">
        <w:t>)</w:t>
      </w:r>
      <w:r w:rsidR="00707D1A" w:rsidRPr="00731296">
        <w:t xml:space="preserve">, pursuant to </w:t>
      </w:r>
      <w:r w:rsidR="001F5D55" w:rsidRPr="00731296">
        <w:t xml:space="preserve">former </w:t>
      </w:r>
      <w:r w:rsidR="00707D1A" w:rsidRPr="00731296">
        <w:rPr>
          <w:i/>
        </w:rPr>
        <w:t xml:space="preserve">EC </w:t>
      </w:r>
      <w:r w:rsidR="00707D1A" w:rsidRPr="00731296">
        <w:t>Section 47605(k)(</w:t>
      </w:r>
      <w:r w:rsidR="001F5D55" w:rsidRPr="00731296">
        <w:t>1</w:t>
      </w:r>
      <w:r w:rsidR="00707D1A" w:rsidRPr="00731296">
        <w:t>)</w:t>
      </w:r>
      <w:r w:rsidRPr="00731296">
        <w:t xml:space="preserve">. In a memorandum of understanding (MOU) signed on October 19, 2020, the LACBOE agreed to supervisorial and oversight responsibilities for TCS on behalf of the SBE. The LACBOE delegated the monitoring and oversight of TCS to the Los Angeles County </w:t>
      </w:r>
      <w:r w:rsidRPr="00731296">
        <w:lastRenderedPageBreak/>
        <w:t>Superintendent of Schools and LACOE staff</w:t>
      </w:r>
      <w:r w:rsidR="00BD420C" w:rsidRPr="00731296">
        <w:t>,</w:t>
      </w:r>
      <w:r w:rsidRPr="00731296">
        <w:t xml:space="preserve"> as detailed in the LACOE MOU, which TCS signed on December 17, 2020.</w:t>
      </w:r>
    </w:p>
    <w:p w14:paraId="1CD3E947" w14:textId="39B371F9" w:rsidR="00B858F6" w:rsidRDefault="00D369FF" w:rsidP="00B858F6">
      <w:pPr>
        <w:spacing w:after="240"/>
        <w:rPr>
          <w:b/>
        </w:rPr>
      </w:pPr>
      <w:r w:rsidRPr="00731296">
        <w:t>Since</w:t>
      </w:r>
      <w:r w:rsidR="00B858F6" w:rsidRPr="00731296">
        <w:t xml:space="preserve"> March 2022, CDE and SBE staff have been </w:t>
      </w:r>
      <w:r w:rsidRPr="00731296">
        <w:t>in communication</w:t>
      </w:r>
      <w:r w:rsidR="00B858F6" w:rsidRPr="00731296">
        <w:t xml:space="preserve"> with LACOE about </w:t>
      </w:r>
      <w:r w:rsidRPr="00731296">
        <w:t>LACOE’s</w:t>
      </w:r>
      <w:r w:rsidR="00B858F6" w:rsidRPr="00731296">
        <w:t xml:space="preserve"> concerns regarding the sustainability of TCS. </w:t>
      </w:r>
      <w:r w:rsidRPr="00731296">
        <w:t xml:space="preserve">Due to the </w:t>
      </w:r>
      <w:r w:rsidR="00410DEE" w:rsidRPr="00731296">
        <w:t>nature</w:t>
      </w:r>
      <w:r w:rsidRPr="00731296">
        <w:t xml:space="preserve"> of the </w:t>
      </w:r>
      <w:r w:rsidR="00410DEE" w:rsidRPr="00731296">
        <w:t>concerns,</w:t>
      </w:r>
      <w:r w:rsidR="00B858F6" w:rsidRPr="00731296">
        <w:t xml:space="preserve"> </w:t>
      </w:r>
      <w:r w:rsidRPr="00731296">
        <w:t xml:space="preserve">a recommendation to the SBE regarding the </w:t>
      </w:r>
      <w:r w:rsidR="00B858F6" w:rsidRPr="00731296">
        <w:t xml:space="preserve">issuance of a Notice of Violation to TCS was discussed. However, </w:t>
      </w:r>
      <w:r w:rsidR="00410DEE" w:rsidRPr="00731296">
        <w:t xml:space="preserve">at that time, </w:t>
      </w:r>
      <w:r w:rsidR="00B858F6" w:rsidRPr="00731296">
        <w:t>LACOE expressed their desire to continue collaborating and providing guidance to TCS in the hopes of bringing the school into compliance and</w:t>
      </w:r>
      <w:r w:rsidR="003F7F53" w:rsidRPr="00731296">
        <w:t xml:space="preserve"> into </w:t>
      </w:r>
      <w:r w:rsidR="00B858F6" w:rsidRPr="00731296">
        <w:t>a more stable fiscal position. Unfortunately,</w:t>
      </w:r>
      <w:r w:rsidR="003F7F53" w:rsidRPr="00731296">
        <w:t xml:space="preserve"> TCS’ condition has not improved.</w:t>
      </w:r>
    </w:p>
    <w:p w14:paraId="490B488A" w14:textId="1BEAE15A" w:rsidR="0088563C" w:rsidRDefault="00E55138" w:rsidP="00812F6E">
      <w:pPr>
        <w:pStyle w:val="Heading2"/>
        <w:spacing w:before="0"/>
        <w:rPr>
          <w:rFonts w:eastAsia="Arial" w:cs="Arial"/>
          <w:color w:val="000000"/>
        </w:rPr>
      </w:pPr>
      <w:r w:rsidRPr="00E55138">
        <w:rPr>
          <w:lang w:eastAsia="ja-JP"/>
        </w:rPr>
        <w:t xml:space="preserve">Instances of </w:t>
      </w:r>
      <w:r w:rsidR="0088563C" w:rsidRPr="00E55138">
        <w:rPr>
          <w:lang w:eastAsia="ja-JP"/>
        </w:rPr>
        <w:t>Violation</w:t>
      </w:r>
      <w:r w:rsidR="0088563C" w:rsidRPr="00E55138">
        <w:rPr>
          <w:rFonts w:eastAsia="Arial" w:cs="Arial"/>
          <w:color w:val="000000"/>
        </w:rPr>
        <w:t xml:space="preserve"> </w:t>
      </w:r>
    </w:p>
    <w:p w14:paraId="63EB68BF" w14:textId="77777777" w:rsidR="00BD420C" w:rsidRPr="00AD6C9D" w:rsidRDefault="00BD420C" w:rsidP="00BD420C">
      <w:pPr>
        <w:spacing w:after="240"/>
      </w:pPr>
      <w:r>
        <w:t>The LACOE Charter School Office identified a number of violations that, if not resolved immediately by the TCS Board, will directly impact the ability of TCS to continue operations in 2022–23.</w:t>
      </w:r>
    </w:p>
    <w:p w14:paraId="069F3BE1" w14:textId="55C013E9" w:rsidR="00E55138" w:rsidRDefault="0088563C" w:rsidP="00812F6E">
      <w:pPr>
        <w:pStyle w:val="Heading3"/>
        <w:spacing w:before="0"/>
        <w:rPr>
          <w:rFonts w:eastAsia="Arial"/>
        </w:rPr>
      </w:pPr>
      <w:bookmarkStart w:id="2" w:name="_Hlk107230620"/>
      <w:r w:rsidRPr="00E55138">
        <w:rPr>
          <w:rFonts w:eastAsia="Arial"/>
        </w:rPr>
        <w:t>The</w:t>
      </w:r>
      <w:r w:rsidR="00E55138" w:rsidRPr="00E55138">
        <w:rPr>
          <w:rFonts w:eastAsia="Arial"/>
        </w:rPr>
        <w:t xml:space="preserve"> </w:t>
      </w:r>
      <w:r w:rsidR="0030697D">
        <w:rPr>
          <w:rFonts w:eastAsia="Arial"/>
        </w:rPr>
        <w:t>TCS</w:t>
      </w:r>
      <w:r w:rsidR="00E55138" w:rsidRPr="00E55138">
        <w:rPr>
          <w:rFonts w:eastAsia="Arial"/>
        </w:rPr>
        <w:t xml:space="preserve"> Board engaged in fiscal mismanagement (</w:t>
      </w:r>
      <w:r w:rsidR="00E55138" w:rsidRPr="00E55138">
        <w:rPr>
          <w:rFonts w:eastAsia="Arial"/>
          <w:i/>
        </w:rPr>
        <w:t>EC</w:t>
      </w:r>
      <w:r w:rsidR="00E55138" w:rsidRPr="00E55138">
        <w:rPr>
          <w:rFonts w:eastAsia="Arial"/>
        </w:rPr>
        <w:t xml:space="preserve"> Section </w:t>
      </w:r>
      <w:bookmarkStart w:id="3" w:name="_Hlk90045661"/>
      <w:r w:rsidR="00E55138" w:rsidRPr="00E55138">
        <w:rPr>
          <w:rFonts w:eastAsia="Arial"/>
        </w:rPr>
        <w:t>47607[f][3]).</w:t>
      </w:r>
      <w:bookmarkEnd w:id="3"/>
    </w:p>
    <w:p w14:paraId="25ECF4C4" w14:textId="248EF5F8" w:rsidR="00707D1A" w:rsidRPr="00707D1A" w:rsidRDefault="00707D1A" w:rsidP="00707D1A">
      <w:pPr>
        <w:spacing w:before="240"/>
        <w:rPr>
          <w:rFonts w:ascii="Times New Roman" w:hAnsi="Times New Roman"/>
          <w:szCs w:val="22"/>
        </w:rPr>
      </w:pPr>
      <w:r>
        <w:rPr>
          <w:szCs w:val="22"/>
        </w:rPr>
        <w:t>TCS</w:t>
      </w:r>
      <w:r w:rsidRPr="00707D1A">
        <w:rPr>
          <w:szCs w:val="22"/>
        </w:rPr>
        <w:t xml:space="preserve"> has engaged in fiscal mismanagement under </w:t>
      </w:r>
      <w:r w:rsidRPr="00707D1A">
        <w:rPr>
          <w:i/>
          <w:szCs w:val="22"/>
        </w:rPr>
        <w:t>EC</w:t>
      </w:r>
      <w:r w:rsidRPr="00707D1A">
        <w:rPr>
          <w:szCs w:val="22"/>
        </w:rPr>
        <w:t xml:space="preserve"> Section 47607(f)(3) by continuing to base its budget and multiyear projections on unrealistic enrollment projections and failing to demonstrate financial viability in the current or subsequent two fiscal years. </w:t>
      </w:r>
      <w:r>
        <w:rPr>
          <w:szCs w:val="22"/>
        </w:rPr>
        <w:t>TCS</w:t>
      </w:r>
      <w:r w:rsidRPr="00707D1A">
        <w:rPr>
          <w:szCs w:val="22"/>
        </w:rPr>
        <w:t xml:space="preserve"> continues to incur substantial deficit spending and increasing debts due to cash deficiencies and is projected to be insolvent for fiscal year 2021</w:t>
      </w:r>
      <w:r>
        <w:rPr>
          <w:szCs w:val="22"/>
        </w:rPr>
        <w:t>–</w:t>
      </w:r>
      <w:r w:rsidRPr="00707D1A">
        <w:rPr>
          <w:szCs w:val="22"/>
        </w:rPr>
        <w:t xml:space="preserve">22. </w:t>
      </w:r>
      <w:r>
        <w:rPr>
          <w:szCs w:val="22"/>
        </w:rPr>
        <w:t>TCS’</w:t>
      </w:r>
      <w:r w:rsidRPr="00707D1A">
        <w:rPr>
          <w:szCs w:val="22"/>
        </w:rPr>
        <w:t xml:space="preserve"> future fiscal solvency is dependent on achieving unrealistic enrollment projections.</w:t>
      </w:r>
    </w:p>
    <w:p w14:paraId="115CC7E4" w14:textId="72C018D1" w:rsidR="00BD420C" w:rsidRDefault="00BD420C" w:rsidP="00322CDA">
      <w:pPr>
        <w:pStyle w:val="Heading4"/>
      </w:pPr>
      <w:r>
        <w:t>Unrealistic Enrollment and Average Daily Attendance Projections</w:t>
      </w:r>
    </w:p>
    <w:p w14:paraId="7A5B0F13" w14:textId="4D1D52E6" w:rsidR="00707D1A" w:rsidRPr="00707D1A" w:rsidRDefault="00707D1A" w:rsidP="00707D1A">
      <w:pPr>
        <w:spacing w:before="240" w:after="240"/>
        <w:rPr>
          <w:rFonts w:ascii="Times New Roman" w:hAnsi="Times New Roman"/>
          <w:szCs w:val="22"/>
        </w:rPr>
      </w:pPr>
      <w:r w:rsidRPr="00707D1A">
        <w:rPr>
          <w:szCs w:val="22"/>
        </w:rPr>
        <w:t xml:space="preserve">Pursuant to </w:t>
      </w:r>
      <w:r w:rsidRPr="00707D1A">
        <w:rPr>
          <w:i/>
          <w:szCs w:val="22"/>
        </w:rPr>
        <w:t xml:space="preserve">EC </w:t>
      </w:r>
      <w:r>
        <w:rPr>
          <w:szCs w:val="22"/>
        </w:rPr>
        <w:t xml:space="preserve">Section </w:t>
      </w:r>
      <w:r w:rsidRPr="00707D1A">
        <w:rPr>
          <w:szCs w:val="22"/>
        </w:rPr>
        <w:t xml:space="preserve">47652, </w:t>
      </w:r>
      <w:r w:rsidRPr="00707D1A">
        <w:rPr>
          <w:szCs w:val="22"/>
          <w:shd w:val="clear" w:color="auto" w:fill="FFFFFF"/>
        </w:rPr>
        <w:t xml:space="preserve">a charter school in its first year of operation shall be eligible to receive funding for the advance apportionment based on an estimate of average daily attendance for the current fiscal year. </w:t>
      </w:r>
      <w:r>
        <w:rPr>
          <w:szCs w:val="22"/>
        </w:rPr>
        <w:t>TCS</w:t>
      </w:r>
      <w:r w:rsidRPr="00707D1A">
        <w:rPr>
          <w:szCs w:val="22"/>
        </w:rPr>
        <w:t xml:space="preserve"> submitted its Pupil Estimates for New or Significantly Expanding Charters</w:t>
      </w:r>
      <w:r w:rsidRPr="00707D1A">
        <w:rPr>
          <w:i/>
          <w:szCs w:val="22"/>
        </w:rPr>
        <w:t xml:space="preserve"> </w:t>
      </w:r>
      <w:r w:rsidRPr="00707D1A">
        <w:rPr>
          <w:szCs w:val="22"/>
        </w:rPr>
        <w:t xml:space="preserve">(PENSEC) report in order to receive the First Special Advance Apportionment for Charter Schools. As detailed in the table below, actual enrollment and </w:t>
      </w:r>
      <w:r>
        <w:rPr>
          <w:szCs w:val="22"/>
        </w:rPr>
        <w:t>average daily attendance (ADA)</w:t>
      </w:r>
      <w:r w:rsidRPr="00707D1A">
        <w:rPr>
          <w:szCs w:val="22"/>
        </w:rPr>
        <w:t xml:space="preserve"> fall substantially below </w:t>
      </w:r>
      <w:r>
        <w:rPr>
          <w:szCs w:val="22"/>
        </w:rPr>
        <w:t>TCS’</w:t>
      </w:r>
      <w:r w:rsidRPr="00707D1A">
        <w:rPr>
          <w:szCs w:val="22"/>
        </w:rPr>
        <w:t xml:space="preserve"> estimated projections.</w:t>
      </w:r>
    </w:p>
    <w:tbl>
      <w:tblPr>
        <w:tblStyle w:val="TableGrid"/>
        <w:tblW w:w="9360" w:type="dxa"/>
        <w:tblInd w:w="-5" w:type="dxa"/>
        <w:tblLook w:val="04A0" w:firstRow="1" w:lastRow="0" w:firstColumn="1" w:lastColumn="0" w:noHBand="0" w:noVBand="1"/>
        <w:tblDescription w:val="Actual enrollment and ADA for TCS."/>
      </w:tblPr>
      <w:tblGrid>
        <w:gridCol w:w="1560"/>
        <w:gridCol w:w="1560"/>
        <w:gridCol w:w="1560"/>
        <w:gridCol w:w="1560"/>
        <w:gridCol w:w="1560"/>
        <w:gridCol w:w="1560"/>
      </w:tblGrid>
      <w:tr w:rsidR="00BD420C" w:rsidRPr="00BD420C" w14:paraId="7740761F" w14:textId="77777777" w:rsidTr="007C1AFA">
        <w:trPr>
          <w:cantSplit/>
          <w:trHeight w:val="359"/>
          <w:tblHeader/>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4DDBE" w14:textId="6DD8937B" w:rsidR="00BD420C" w:rsidRPr="00BD420C" w:rsidRDefault="00BD420C" w:rsidP="00BD420C">
            <w:pPr>
              <w:pStyle w:val="ListParagraph"/>
              <w:ind w:left="0"/>
              <w:jc w:val="center"/>
              <w:rPr>
                <w:rFonts w:cs="Arial"/>
                <w:b/>
                <w:szCs w:val="22"/>
              </w:rPr>
            </w:pPr>
            <w:r w:rsidRPr="00BD420C">
              <w:rPr>
                <w:rFonts w:cs="Arial"/>
                <w:b/>
                <w:szCs w:val="22"/>
              </w:rPr>
              <w:t>Criteria</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AB877C" w14:textId="77777777" w:rsidR="00BD420C" w:rsidRPr="00BD420C" w:rsidRDefault="00BD420C" w:rsidP="00BD420C">
            <w:pPr>
              <w:pStyle w:val="ListParagraph"/>
              <w:ind w:left="0"/>
              <w:jc w:val="center"/>
              <w:rPr>
                <w:rFonts w:cs="Arial"/>
                <w:b/>
                <w:szCs w:val="22"/>
              </w:rPr>
            </w:pPr>
            <w:r w:rsidRPr="00BD420C">
              <w:rPr>
                <w:rFonts w:cs="Arial"/>
                <w:b/>
                <w:szCs w:val="22"/>
              </w:rPr>
              <w:t>PENSEC Estimates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796222" w14:textId="77777777" w:rsidR="00BD420C" w:rsidRPr="00BD420C" w:rsidRDefault="00BD420C" w:rsidP="00BD420C">
            <w:pPr>
              <w:pStyle w:val="ListParagraph"/>
              <w:ind w:left="0"/>
              <w:jc w:val="center"/>
              <w:rPr>
                <w:rFonts w:cs="Arial"/>
                <w:b/>
                <w:szCs w:val="22"/>
              </w:rPr>
            </w:pPr>
            <w:r w:rsidRPr="00BD420C">
              <w:rPr>
                <w:rFonts w:cs="Arial"/>
                <w:b/>
                <w:szCs w:val="22"/>
              </w:rPr>
              <w:t>20-Day Attendance Report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69422" w14:textId="289EC601" w:rsidR="00BD420C" w:rsidRPr="00BD420C" w:rsidRDefault="00BD420C" w:rsidP="00BD420C">
            <w:pPr>
              <w:pStyle w:val="ListParagraph"/>
              <w:ind w:left="0"/>
              <w:jc w:val="center"/>
              <w:rPr>
                <w:rFonts w:cs="Arial"/>
                <w:b/>
                <w:szCs w:val="22"/>
              </w:rPr>
            </w:pPr>
            <w:r w:rsidRPr="00BD420C">
              <w:rPr>
                <w:rFonts w:cs="Arial"/>
                <w:b/>
                <w:szCs w:val="22"/>
              </w:rPr>
              <w:t>Month 10 (5/27/2022) Attendance Report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DB7C3" w14:textId="55383380" w:rsidR="00BD420C" w:rsidRPr="00BD420C" w:rsidRDefault="00BD420C" w:rsidP="00BD420C">
            <w:pPr>
              <w:pStyle w:val="ListParagraph"/>
              <w:ind w:left="0"/>
              <w:jc w:val="center"/>
              <w:rPr>
                <w:rFonts w:cs="Arial"/>
                <w:b/>
                <w:szCs w:val="22"/>
              </w:rPr>
            </w:pPr>
            <w:r w:rsidRPr="00BD420C">
              <w:rPr>
                <w:rFonts w:cs="Arial"/>
                <w:b/>
                <w:szCs w:val="22"/>
              </w:rPr>
              <w:t>Projection for 2022–23</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FA4C2" w14:textId="3750D6AB" w:rsidR="00BD420C" w:rsidRPr="00BD420C" w:rsidRDefault="00BD420C" w:rsidP="00BD420C">
            <w:pPr>
              <w:pStyle w:val="ListParagraph"/>
              <w:ind w:left="0"/>
              <w:jc w:val="center"/>
              <w:rPr>
                <w:rFonts w:cs="Arial"/>
                <w:b/>
                <w:szCs w:val="22"/>
              </w:rPr>
            </w:pPr>
            <w:r w:rsidRPr="00BD420C">
              <w:rPr>
                <w:rFonts w:cs="Arial"/>
                <w:b/>
                <w:szCs w:val="22"/>
              </w:rPr>
              <w:t>Projection for 2023–24</w:t>
            </w:r>
          </w:p>
        </w:tc>
      </w:tr>
      <w:tr w:rsidR="00BD420C" w:rsidRPr="00BD420C" w14:paraId="626D32B0" w14:textId="77777777" w:rsidTr="007C1AFA">
        <w:trPr>
          <w:cantSplit/>
          <w:trHeight w:val="440"/>
        </w:trPr>
        <w:tc>
          <w:tcPr>
            <w:tcW w:w="1560" w:type="dxa"/>
            <w:tcBorders>
              <w:top w:val="single" w:sz="4" w:space="0" w:color="auto"/>
              <w:left w:val="single" w:sz="4" w:space="0" w:color="auto"/>
              <w:bottom w:val="single" w:sz="4" w:space="0" w:color="auto"/>
              <w:right w:val="single" w:sz="4" w:space="0" w:color="auto"/>
            </w:tcBorders>
            <w:vAlign w:val="center"/>
            <w:hideMark/>
          </w:tcPr>
          <w:p w14:paraId="7F0086AF" w14:textId="77777777" w:rsidR="00BD420C" w:rsidRPr="00BD420C" w:rsidRDefault="00BD420C" w:rsidP="00BD420C">
            <w:pPr>
              <w:pStyle w:val="ListParagraph"/>
              <w:ind w:left="0"/>
              <w:jc w:val="center"/>
              <w:rPr>
                <w:rFonts w:cs="Arial"/>
                <w:b/>
                <w:szCs w:val="22"/>
              </w:rPr>
            </w:pPr>
            <w:r w:rsidRPr="00BD420C">
              <w:rPr>
                <w:rFonts w:cs="Arial"/>
                <w:b/>
                <w:szCs w:val="22"/>
              </w:rPr>
              <w:t>Enrollment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23BD87E" w14:textId="77777777" w:rsidR="00BD420C" w:rsidRPr="00BD420C" w:rsidRDefault="00BD420C" w:rsidP="00BD420C">
            <w:pPr>
              <w:pStyle w:val="ListParagraph"/>
              <w:ind w:left="0"/>
              <w:jc w:val="center"/>
              <w:rPr>
                <w:rFonts w:cs="Arial"/>
                <w:szCs w:val="22"/>
              </w:rPr>
            </w:pPr>
            <w:r w:rsidRPr="00BD420C">
              <w:rPr>
                <w:rFonts w:cs="Arial"/>
                <w:szCs w:val="22"/>
              </w:rPr>
              <w:t>165 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CED296C" w14:textId="334834F7" w:rsidR="00BD420C" w:rsidRPr="00BD420C" w:rsidRDefault="00BD420C" w:rsidP="00BD420C">
            <w:pPr>
              <w:pStyle w:val="ListParagraph"/>
              <w:ind w:left="0"/>
              <w:jc w:val="center"/>
              <w:rPr>
                <w:rFonts w:cs="Arial"/>
                <w:szCs w:val="22"/>
              </w:rPr>
            </w:pPr>
            <w:r w:rsidRPr="00BD420C">
              <w:rPr>
                <w:rFonts w:cs="Arial"/>
                <w:szCs w:val="22"/>
              </w:rPr>
              <w:t xml:space="preserve">29 </w:t>
            </w:r>
            <w:r>
              <w:rPr>
                <w:rFonts w:cs="Arial"/>
                <w:szCs w:val="22"/>
              </w:rPr>
              <w:br/>
            </w:r>
            <w:r w:rsidRPr="00BD420C">
              <w:rPr>
                <w:rFonts w:cs="Arial"/>
                <w:szCs w:val="22"/>
              </w:rPr>
              <w:t>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15AF14C" w14:textId="3E628F65" w:rsidR="00BD420C" w:rsidRPr="00BD420C" w:rsidRDefault="00BD420C" w:rsidP="00BD420C">
            <w:pPr>
              <w:pStyle w:val="ListParagraph"/>
              <w:ind w:left="0"/>
              <w:jc w:val="center"/>
              <w:rPr>
                <w:rFonts w:cs="Arial"/>
                <w:szCs w:val="22"/>
              </w:rPr>
            </w:pPr>
            <w:r w:rsidRPr="00BD420C">
              <w:rPr>
                <w:rFonts w:cs="Arial"/>
                <w:szCs w:val="22"/>
              </w:rPr>
              <w:t>41</w:t>
            </w:r>
            <w:r>
              <w:rPr>
                <w:rFonts w:cs="Arial"/>
                <w:szCs w:val="22"/>
              </w:rPr>
              <w:br/>
            </w:r>
            <w:r w:rsidRPr="00BD420C">
              <w:rPr>
                <w:rFonts w:cs="Arial"/>
                <w:szCs w:val="22"/>
              </w:rPr>
              <w:t>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8E7BB03" w14:textId="77777777" w:rsidR="00BD420C" w:rsidRPr="00BD420C" w:rsidRDefault="00BD420C" w:rsidP="00BD420C">
            <w:pPr>
              <w:pStyle w:val="ListParagraph"/>
              <w:ind w:left="0"/>
              <w:jc w:val="center"/>
              <w:rPr>
                <w:rFonts w:cs="Arial"/>
                <w:szCs w:val="22"/>
              </w:rPr>
            </w:pPr>
            <w:r w:rsidRPr="00BD420C">
              <w:rPr>
                <w:rFonts w:cs="Arial"/>
                <w:szCs w:val="22"/>
              </w:rPr>
              <w:t>110 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CFE4A18" w14:textId="77777777" w:rsidR="00BD420C" w:rsidRPr="00BD420C" w:rsidRDefault="00BD420C" w:rsidP="00BD420C">
            <w:pPr>
              <w:pStyle w:val="ListParagraph"/>
              <w:ind w:left="0"/>
              <w:jc w:val="center"/>
              <w:rPr>
                <w:rFonts w:cs="Arial"/>
                <w:szCs w:val="22"/>
              </w:rPr>
            </w:pPr>
            <w:r w:rsidRPr="00BD420C">
              <w:rPr>
                <w:rFonts w:cs="Arial"/>
                <w:szCs w:val="22"/>
              </w:rPr>
              <w:t>165 students</w:t>
            </w:r>
          </w:p>
        </w:tc>
      </w:tr>
      <w:tr w:rsidR="00BD420C" w:rsidRPr="00BD420C" w14:paraId="0F43E955" w14:textId="77777777" w:rsidTr="007C1AFA">
        <w:trPr>
          <w:cantSplit/>
          <w:trHeight w:val="440"/>
        </w:trPr>
        <w:tc>
          <w:tcPr>
            <w:tcW w:w="1560" w:type="dxa"/>
            <w:tcBorders>
              <w:top w:val="single" w:sz="4" w:space="0" w:color="auto"/>
              <w:left w:val="single" w:sz="4" w:space="0" w:color="auto"/>
              <w:bottom w:val="single" w:sz="4" w:space="0" w:color="auto"/>
              <w:right w:val="single" w:sz="4" w:space="0" w:color="auto"/>
            </w:tcBorders>
            <w:vAlign w:val="center"/>
            <w:hideMark/>
          </w:tcPr>
          <w:p w14:paraId="123E7E14" w14:textId="77777777" w:rsidR="00BD420C" w:rsidRPr="00BD420C" w:rsidRDefault="00BD420C" w:rsidP="00BD420C">
            <w:pPr>
              <w:pStyle w:val="ListParagraph"/>
              <w:ind w:left="0"/>
              <w:jc w:val="center"/>
              <w:rPr>
                <w:rFonts w:cs="Arial"/>
                <w:b/>
                <w:szCs w:val="22"/>
              </w:rPr>
            </w:pPr>
            <w:r w:rsidRPr="00BD420C">
              <w:rPr>
                <w:rFonts w:cs="Arial"/>
                <w:b/>
                <w:szCs w:val="22"/>
              </w:rPr>
              <w:t>ADA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2778D93" w14:textId="224133F7" w:rsidR="00BD420C" w:rsidRPr="00BD420C" w:rsidRDefault="00707D1A" w:rsidP="00BD420C">
            <w:pPr>
              <w:pStyle w:val="ListParagraph"/>
              <w:ind w:left="0"/>
              <w:jc w:val="center"/>
              <w:rPr>
                <w:rFonts w:cs="Arial"/>
                <w:szCs w:val="22"/>
              </w:rPr>
            </w:pPr>
            <w:r>
              <w:rPr>
                <w:rFonts w:cs="Arial"/>
                <w:szCs w:val="22"/>
              </w:rPr>
              <w:t>95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F7EFEBE" w14:textId="77777777" w:rsidR="00BD420C" w:rsidRPr="00BD420C" w:rsidRDefault="00BD420C" w:rsidP="00BD420C">
            <w:pPr>
              <w:pStyle w:val="ListParagraph"/>
              <w:ind w:left="0"/>
              <w:jc w:val="center"/>
              <w:rPr>
                <w:rFonts w:cs="Arial"/>
                <w:szCs w:val="22"/>
              </w:rPr>
            </w:pPr>
            <w:r w:rsidRPr="00BD420C">
              <w:rPr>
                <w:rFonts w:cs="Arial"/>
                <w:szCs w:val="22"/>
              </w:rPr>
              <w:t>25.80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FF9DAA" w14:textId="77777777" w:rsidR="00BD420C" w:rsidRPr="00BD420C" w:rsidRDefault="00BD420C" w:rsidP="00BD420C">
            <w:pPr>
              <w:pStyle w:val="ListParagraph"/>
              <w:ind w:left="0"/>
              <w:jc w:val="center"/>
              <w:rPr>
                <w:rFonts w:cs="Arial"/>
                <w:szCs w:val="22"/>
              </w:rPr>
            </w:pPr>
            <w:r w:rsidRPr="00BD420C">
              <w:rPr>
                <w:rFonts w:cs="Arial"/>
                <w:szCs w:val="22"/>
              </w:rPr>
              <w:t>36.68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A5036AF" w14:textId="77777777" w:rsidR="00BD420C" w:rsidRPr="00BD420C" w:rsidRDefault="00BD420C" w:rsidP="00BD420C">
            <w:pPr>
              <w:pStyle w:val="ListParagraph"/>
              <w:ind w:left="0"/>
              <w:jc w:val="center"/>
              <w:rPr>
                <w:rFonts w:cs="Arial"/>
                <w:szCs w:val="22"/>
              </w:rPr>
            </w:pPr>
            <w:r w:rsidRPr="00BD420C">
              <w:rPr>
                <w:rFonts w:cs="Arial"/>
                <w:szCs w:val="22"/>
              </w:rPr>
              <w:t>104.50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24EACB2" w14:textId="77777777" w:rsidR="00BD420C" w:rsidRPr="00BD420C" w:rsidRDefault="00BD420C" w:rsidP="00BD420C">
            <w:pPr>
              <w:pStyle w:val="ListParagraph"/>
              <w:ind w:left="0"/>
              <w:jc w:val="center"/>
              <w:rPr>
                <w:rFonts w:cs="Arial"/>
                <w:szCs w:val="22"/>
              </w:rPr>
            </w:pPr>
            <w:r w:rsidRPr="00BD420C">
              <w:rPr>
                <w:rFonts w:cs="Arial"/>
                <w:szCs w:val="22"/>
              </w:rPr>
              <w:t>156.75</w:t>
            </w:r>
          </w:p>
        </w:tc>
      </w:tr>
    </w:tbl>
    <w:p w14:paraId="68319D18" w14:textId="56C179D2" w:rsidR="00707D1A" w:rsidRPr="00707D1A" w:rsidRDefault="00707D1A" w:rsidP="00707D1A">
      <w:pPr>
        <w:spacing w:before="240"/>
        <w:rPr>
          <w:rFonts w:ascii="Times New Roman" w:hAnsi="Times New Roman"/>
          <w:strike/>
          <w:szCs w:val="22"/>
        </w:rPr>
      </w:pPr>
      <w:r w:rsidRPr="00707D1A">
        <w:rPr>
          <w:szCs w:val="22"/>
        </w:rPr>
        <w:t xml:space="preserve">As of December 2021, </w:t>
      </w:r>
      <w:r>
        <w:rPr>
          <w:szCs w:val="22"/>
        </w:rPr>
        <w:t>TCS</w:t>
      </w:r>
      <w:r w:rsidRPr="00707D1A">
        <w:rPr>
          <w:szCs w:val="22"/>
        </w:rPr>
        <w:t xml:space="preserve"> revised its budget and projected enrollment of 135 students for 2022</w:t>
      </w:r>
      <w:r>
        <w:rPr>
          <w:szCs w:val="22"/>
        </w:rPr>
        <w:t>–</w:t>
      </w:r>
      <w:r w:rsidRPr="00707D1A">
        <w:rPr>
          <w:szCs w:val="22"/>
        </w:rPr>
        <w:t>23 and 285 students for 2023</w:t>
      </w:r>
      <w:r>
        <w:rPr>
          <w:szCs w:val="22"/>
        </w:rPr>
        <w:t>–</w:t>
      </w:r>
      <w:r w:rsidRPr="00707D1A">
        <w:rPr>
          <w:szCs w:val="22"/>
        </w:rPr>
        <w:t xml:space="preserve">24. In its latest budget, </w:t>
      </w:r>
      <w:r>
        <w:rPr>
          <w:szCs w:val="22"/>
        </w:rPr>
        <w:t>TCS</w:t>
      </w:r>
      <w:r w:rsidRPr="00707D1A">
        <w:rPr>
          <w:szCs w:val="22"/>
        </w:rPr>
        <w:t xml:space="preserve"> projects enrollment </w:t>
      </w:r>
      <w:r w:rsidRPr="00707D1A">
        <w:rPr>
          <w:szCs w:val="22"/>
        </w:rPr>
        <w:lastRenderedPageBreak/>
        <w:t>of 110 students for 2022</w:t>
      </w:r>
      <w:r>
        <w:rPr>
          <w:szCs w:val="22"/>
        </w:rPr>
        <w:t>–</w:t>
      </w:r>
      <w:r w:rsidRPr="00707D1A">
        <w:rPr>
          <w:szCs w:val="22"/>
        </w:rPr>
        <w:t xml:space="preserve">23 and 165 students for 2023-24. </w:t>
      </w:r>
      <w:r>
        <w:rPr>
          <w:szCs w:val="22"/>
        </w:rPr>
        <w:t>TCS</w:t>
      </w:r>
      <w:r w:rsidRPr="00707D1A">
        <w:rPr>
          <w:szCs w:val="22"/>
        </w:rPr>
        <w:t xml:space="preserve"> has not submitted documentation or demonstrated that it will be able to achieve the projected enrollment of 110 students for 2022</w:t>
      </w:r>
      <w:r>
        <w:rPr>
          <w:szCs w:val="22"/>
        </w:rPr>
        <w:t>–</w:t>
      </w:r>
      <w:r w:rsidRPr="00707D1A">
        <w:rPr>
          <w:szCs w:val="22"/>
        </w:rPr>
        <w:t xml:space="preserve">23. Additionally, </w:t>
      </w:r>
      <w:r>
        <w:rPr>
          <w:szCs w:val="22"/>
        </w:rPr>
        <w:t>TCS’</w:t>
      </w:r>
      <w:r w:rsidRPr="00707D1A">
        <w:rPr>
          <w:szCs w:val="22"/>
        </w:rPr>
        <w:t xml:space="preserve"> approved Public Charter School Grant Program Start-Up Sub-Grant totaling $500,000 was placed on hold by the CDE during 2021</w:t>
      </w:r>
      <w:r>
        <w:rPr>
          <w:szCs w:val="22"/>
        </w:rPr>
        <w:t>–</w:t>
      </w:r>
      <w:r w:rsidRPr="00707D1A">
        <w:rPr>
          <w:szCs w:val="22"/>
        </w:rPr>
        <w:t xml:space="preserve">22 because it failed to enroll the required minimum of 80 students. </w:t>
      </w:r>
      <w:r>
        <w:rPr>
          <w:szCs w:val="22"/>
        </w:rPr>
        <w:t xml:space="preserve">The </w:t>
      </w:r>
      <w:r w:rsidRPr="00707D1A">
        <w:rPr>
          <w:szCs w:val="22"/>
        </w:rPr>
        <w:t xml:space="preserve">CDE has indicated this grant will be terminated if </w:t>
      </w:r>
      <w:r>
        <w:rPr>
          <w:szCs w:val="22"/>
        </w:rPr>
        <w:t>TCS</w:t>
      </w:r>
      <w:r w:rsidRPr="00707D1A">
        <w:rPr>
          <w:szCs w:val="22"/>
        </w:rPr>
        <w:t xml:space="preserve"> does not meet the minimum enrollment target or demonstrate financial sustainability by June 30, 2022. Should </w:t>
      </w:r>
      <w:r>
        <w:rPr>
          <w:szCs w:val="22"/>
        </w:rPr>
        <w:t>TCS</w:t>
      </w:r>
      <w:r w:rsidRPr="00707D1A">
        <w:rPr>
          <w:szCs w:val="22"/>
        </w:rPr>
        <w:t xml:space="preserve"> be unable to achieve its stated enrollment and ADA projections, its fiscal condition could further deteriorate.  </w:t>
      </w:r>
    </w:p>
    <w:p w14:paraId="190FFB58" w14:textId="241BA3C6" w:rsidR="002B26AC" w:rsidRDefault="002B26AC" w:rsidP="00322CDA">
      <w:pPr>
        <w:pStyle w:val="Heading4"/>
      </w:pPr>
      <w:r>
        <w:t>Projected Fiscal Insolvency</w:t>
      </w:r>
    </w:p>
    <w:p w14:paraId="5366AB76" w14:textId="54A12B0F" w:rsidR="002B26AC" w:rsidRDefault="002B26AC" w:rsidP="002B26AC">
      <w:pPr>
        <w:spacing w:after="240"/>
        <w:rPr>
          <w:rFonts w:eastAsia="Arial"/>
        </w:rPr>
      </w:pPr>
      <w:r>
        <w:rPr>
          <w:rFonts w:eastAsia="Arial"/>
        </w:rPr>
        <w:t>The table below provides a summary of TCS’ financial projections during the 2021–22 fiscal year and includes year-to-date actuals from July 2021 through May 2022.</w:t>
      </w:r>
    </w:p>
    <w:tbl>
      <w:tblPr>
        <w:tblStyle w:val="TableGrid"/>
        <w:tblW w:w="9355" w:type="dxa"/>
        <w:tblInd w:w="0" w:type="dxa"/>
        <w:tblLook w:val="04A0" w:firstRow="1" w:lastRow="0" w:firstColumn="1" w:lastColumn="0" w:noHBand="0" w:noVBand="1"/>
        <w:tblDescription w:val="TCS’ financial projections during the 2021–22 fiscal year and includes year-to-date actuals from July 2021 through May 2022."/>
      </w:tblPr>
      <w:tblGrid>
        <w:gridCol w:w="2331"/>
        <w:gridCol w:w="1756"/>
        <w:gridCol w:w="1756"/>
        <w:gridCol w:w="1756"/>
        <w:gridCol w:w="1756"/>
      </w:tblGrid>
      <w:tr w:rsidR="002B26AC" w:rsidRPr="002B26AC" w14:paraId="1FB52B76" w14:textId="77777777" w:rsidTr="0042251B">
        <w:trPr>
          <w:cantSplit/>
          <w:tblHeader/>
        </w:trPr>
        <w:tc>
          <w:tcPr>
            <w:tcW w:w="2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61677" w14:textId="7F630803" w:rsidR="002B26AC" w:rsidRPr="002B26AC" w:rsidRDefault="002B26AC" w:rsidP="002B26AC">
            <w:pPr>
              <w:jc w:val="center"/>
              <w:rPr>
                <w:rFonts w:cs="Arial"/>
                <w:b/>
                <w:szCs w:val="22"/>
              </w:rPr>
            </w:pPr>
            <w:r w:rsidRPr="002B26AC">
              <w:rPr>
                <w:rFonts w:cs="Arial"/>
                <w:b/>
                <w:szCs w:val="22"/>
              </w:rPr>
              <w:t>Criteria</w:t>
            </w:r>
          </w:p>
        </w:tc>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A0C7A" w14:textId="2E48BF15" w:rsidR="002B26AC" w:rsidRPr="002B26AC" w:rsidRDefault="002B26AC" w:rsidP="002B26AC">
            <w:pPr>
              <w:jc w:val="center"/>
              <w:rPr>
                <w:rFonts w:cs="Arial"/>
                <w:b/>
                <w:szCs w:val="22"/>
              </w:rPr>
            </w:pPr>
            <w:r w:rsidRPr="002B26AC">
              <w:rPr>
                <w:rFonts w:cs="Arial"/>
                <w:b/>
                <w:szCs w:val="22"/>
              </w:rPr>
              <w:t>2021–22 Budget</w:t>
            </w:r>
          </w:p>
        </w:tc>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CD5FA9" w14:textId="5ECEF6C8" w:rsidR="002B26AC" w:rsidRPr="002B26AC" w:rsidRDefault="002B26AC" w:rsidP="002B26AC">
            <w:pPr>
              <w:jc w:val="center"/>
              <w:rPr>
                <w:rFonts w:cs="Arial"/>
                <w:b/>
                <w:szCs w:val="22"/>
              </w:rPr>
            </w:pPr>
            <w:r w:rsidRPr="002B26AC">
              <w:rPr>
                <w:rFonts w:cs="Arial"/>
                <w:b/>
                <w:szCs w:val="22"/>
              </w:rPr>
              <w:t>2021–22</w:t>
            </w:r>
          </w:p>
          <w:p w14:paraId="41DBD134" w14:textId="06C45BE2" w:rsidR="002B26AC" w:rsidRPr="002B26AC" w:rsidRDefault="002B26AC" w:rsidP="002B26AC">
            <w:pPr>
              <w:jc w:val="center"/>
              <w:rPr>
                <w:rFonts w:cs="Arial"/>
                <w:b/>
                <w:szCs w:val="22"/>
              </w:rPr>
            </w:pPr>
            <w:r w:rsidRPr="002B26AC">
              <w:rPr>
                <w:rFonts w:cs="Arial"/>
                <w:b/>
                <w:szCs w:val="22"/>
              </w:rPr>
              <w:t xml:space="preserve">First </w:t>
            </w:r>
            <w:r>
              <w:rPr>
                <w:rFonts w:cs="Arial"/>
                <w:b/>
                <w:szCs w:val="22"/>
              </w:rPr>
              <w:br/>
            </w:r>
            <w:r w:rsidRPr="002B26AC">
              <w:rPr>
                <w:rFonts w:cs="Arial"/>
                <w:b/>
                <w:szCs w:val="22"/>
              </w:rPr>
              <w:t>Interim</w:t>
            </w:r>
          </w:p>
        </w:tc>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F58691" w14:textId="7560511A" w:rsidR="002B26AC" w:rsidRPr="002B26AC" w:rsidRDefault="002B26AC" w:rsidP="002B26AC">
            <w:pPr>
              <w:jc w:val="center"/>
              <w:rPr>
                <w:rFonts w:cs="Arial"/>
                <w:b/>
                <w:szCs w:val="22"/>
              </w:rPr>
            </w:pPr>
            <w:r w:rsidRPr="002B26AC">
              <w:rPr>
                <w:rFonts w:cs="Arial"/>
                <w:b/>
                <w:szCs w:val="22"/>
              </w:rPr>
              <w:t>2021–22</w:t>
            </w:r>
          </w:p>
          <w:p w14:paraId="6E3837DF" w14:textId="77777777" w:rsidR="002B26AC" w:rsidRPr="002B26AC" w:rsidRDefault="002B26AC" w:rsidP="002B26AC">
            <w:pPr>
              <w:jc w:val="center"/>
              <w:rPr>
                <w:rFonts w:cs="Arial"/>
                <w:b/>
                <w:szCs w:val="22"/>
              </w:rPr>
            </w:pPr>
            <w:r w:rsidRPr="002B26AC">
              <w:rPr>
                <w:rFonts w:cs="Arial"/>
                <w:b/>
                <w:szCs w:val="22"/>
              </w:rPr>
              <w:t>Second Interim</w:t>
            </w:r>
          </w:p>
        </w:tc>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C465FC" w14:textId="15C54FB4" w:rsidR="002B26AC" w:rsidRPr="002B26AC" w:rsidRDefault="002B26AC" w:rsidP="002B26AC">
            <w:pPr>
              <w:jc w:val="center"/>
              <w:rPr>
                <w:rFonts w:cs="Arial"/>
                <w:b/>
                <w:szCs w:val="22"/>
              </w:rPr>
            </w:pPr>
            <w:r w:rsidRPr="002B26AC">
              <w:rPr>
                <w:rFonts w:cs="Arial"/>
                <w:b/>
                <w:szCs w:val="22"/>
              </w:rPr>
              <w:t>July 2021 to</w:t>
            </w:r>
          </w:p>
          <w:p w14:paraId="72897E0A" w14:textId="77777777" w:rsidR="002B26AC" w:rsidRPr="002B26AC" w:rsidRDefault="002B26AC" w:rsidP="002B26AC">
            <w:pPr>
              <w:jc w:val="center"/>
              <w:rPr>
                <w:rFonts w:cs="Arial"/>
                <w:b/>
                <w:szCs w:val="22"/>
              </w:rPr>
            </w:pPr>
            <w:r w:rsidRPr="002B26AC">
              <w:rPr>
                <w:rFonts w:cs="Arial"/>
                <w:b/>
                <w:szCs w:val="22"/>
              </w:rPr>
              <w:t>May 2022 Actuals</w:t>
            </w:r>
          </w:p>
        </w:tc>
      </w:tr>
      <w:tr w:rsidR="002B26AC" w:rsidRPr="002B26AC" w14:paraId="6950C6AE" w14:textId="77777777" w:rsidTr="0042251B">
        <w:trPr>
          <w:cantSplit/>
        </w:trPr>
        <w:tc>
          <w:tcPr>
            <w:tcW w:w="2331" w:type="dxa"/>
            <w:tcBorders>
              <w:top w:val="single" w:sz="4" w:space="0" w:color="auto"/>
              <w:left w:val="single" w:sz="4" w:space="0" w:color="auto"/>
              <w:bottom w:val="single" w:sz="4" w:space="0" w:color="auto"/>
              <w:right w:val="single" w:sz="4" w:space="0" w:color="auto"/>
            </w:tcBorders>
            <w:vAlign w:val="center"/>
            <w:hideMark/>
          </w:tcPr>
          <w:p w14:paraId="04512204" w14:textId="77777777" w:rsidR="002B26AC" w:rsidRPr="002B26AC" w:rsidRDefault="002B26AC" w:rsidP="002B26AC">
            <w:pPr>
              <w:rPr>
                <w:rFonts w:cs="Arial"/>
                <w:b/>
                <w:szCs w:val="22"/>
              </w:rPr>
            </w:pPr>
            <w:r w:rsidRPr="002B26AC">
              <w:rPr>
                <w:rFonts w:cs="Arial"/>
                <w:b/>
                <w:szCs w:val="22"/>
              </w:rPr>
              <w:t>Total Revenues</w:t>
            </w:r>
          </w:p>
        </w:tc>
        <w:tc>
          <w:tcPr>
            <w:tcW w:w="1756" w:type="dxa"/>
            <w:tcBorders>
              <w:top w:val="single" w:sz="4" w:space="0" w:color="auto"/>
              <w:left w:val="single" w:sz="4" w:space="0" w:color="auto"/>
              <w:bottom w:val="single" w:sz="4" w:space="0" w:color="auto"/>
              <w:right w:val="single" w:sz="4" w:space="0" w:color="auto"/>
            </w:tcBorders>
            <w:vAlign w:val="center"/>
            <w:hideMark/>
          </w:tcPr>
          <w:p w14:paraId="3792A641" w14:textId="77777777" w:rsidR="002B26AC" w:rsidRPr="002B26AC" w:rsidRDefault="002B26AC" w:rsidP="002B26AC">
            <w:pPr>
              <w:jc w:val="center"/>
              <w:rPr>
                <w:rFonts w:cs="Arial"/>
                <w:szCs w:val="22"/>
              </w:rPr>
            </w:pPr>
            <w:r w:rsidRPr="002B26AC">
              <w:rPr>
                <w:rFonts w:cs="Arial"/>
                <w:szCs w:val="22"/>
              </w:rPr>
              <w:t>$2,386,765</w:t>
            </w:r>
          </w:p>
        </w:tc>
        <w:tc>
          <w:tcPr>
            <w:tcW w:w="1756" w:type="dxa"/>
            <w:tcBorders>
              <w:top w:val="single" w:sz="4" w:space="0" w:color="auto"/>
              <w:left w:val="single" w:sz="4" w:space="0" w:color="auto"/>
              <w:bottom w:val="single" w:sz="4" w:space="0" w:color="auto"/>
              <w:right w:val="single" w:sz="4" w:space="0" w:color="auto"/>
            </w:tcBorders>
            <w:vAlign w:val="center"/>
            <w:hideMark/>
          </w:tcPr>
          <w:p w14:paraId="1000EB4D" w14:textId="77777777" w:rsidR="002B26AC" w:rsidRPr="002B26AC" w:rsidRDefault="002B26AC" w:rsidP="002B26AC">
            <w:pPr>
              <w:jc w:val="center"/>
              <w:rPr>
                <w:rFonts w:cs="Arial"/>
                <w:szCs w:val="22"/>
              </w:rPr>
            </w:pPr>
            <w:r w:rsidRPr="002B26AC">
              <w:rPr>
                <w:rFonts w:cs="Arial"/>
                <w:szCs w:val="22"/>
              </w:rPr>
              <w:t>$605,813</w:t>
            </w:r>
          </w:p>
        </w:tc>
        <w:tc>
          <w:tcPr>
            <w:tcW w:w="1756" w:type="dxa"/>
            <w:tcBorders>
              <w:top w:val="single" w:sz="4" w:space="0" w:color="auto"/>
              <w:left w:val="single" w:sz="4" w:space="0" w:color="auto"/>
              <w:bottom w:val="single" w:sz="4" w:space="0" w:color="auto"/>
              <w:right w:val="single" w:sz="4" w:space="0" w:color="auto"/>
            </w:tcBorders>
            <w:vAlign w:val="center"/>
            <w:hideMark/>
          </w:tcPr>
          <w:p w14:paraId="0E4F9ABA" w14:textId="77777777" w:rsidR="002B26AC" w:rsidRPr="002B26AC" w:rsidRDefault="002B26AC" w:rsidP="002B26AC">
            <w:pPr>
              <w:jc w:val="center"/>
              <w:rPr>
                <w:rFonts w:cs="Arial"/>
                <w:szCs w:val="22"/>
              </w:rPr>
            </w:pPr>
            <w:r w:rsidRPr="002B26AC">
              <w:rPr>
                <w:rFonts w:cs="Arial"/>
                <w:szCs w:val="22"/>
              </w:rPr>
              <w:t>$897,549</w:t>
            </w:r>
          </w:p>
        </w:tc>
        <w:tc>
          <w:tcPr>
            <w:tcW w:w="1756" w:type="dxa"/>
            <w:tcBorders>
              <w:top w:val="single" w:sz="4" w:space="0" w:color="auto"/>
              <w:left w:val="single" w:sz="4" w:space="0" w:color="auto"/>
              <w:bottom w:val="single" w:sz="4" w:space="0" w:color="auto"/>
              <w:right w:val="single" w:sz="4" w:space="0" w:color="auto"/>
            </w:tcBorders>
            <w:vAlign w:val="center"/>
            <w:hideMark/>
          </w:tcPr>
          <w:p w14:paraId="1EEF9C6D" w14:textId="77777777" w:rsidR="002B26AC" w:rsidRPr="002B26AC" w:rsidRDefault="002B26AC" w:rsidP="002B26AC">
            <w:pPr>
              <w:jc w:val="center"/>
              <w:rPr>
                <w:rFonts w:cs="Arial"/>
                <w:szCs w:val="22"/>
              </w:rPr>
            </w:pPr>
            <w:r w:rsidRPr="002B26AC">
              <w:rPr>
                <w:rFonts w:cs="Arial"/>
                <w:szCs w:val="22"/>
              </w:rPr>
              <w:t>$654,916</w:t>
            </w:r>
          </w:p>
        </w:tc>
      </w:tr>
      <w:tr w:rsidR="002B26AC" w:rsidRPr="002B26AC" w14:paraId="3ABF8B66" w14:textId="77777777" w:rsidTr="0042251B">
        <w:trPr>
          <w:cantSplit/>
        </w:trPr>
        <w:tc>
          <w:tcPr>
            <w:tcW w:w="2331" w:type="dxa"/>
            <w:tcBorders>
              <w:top w:val="single" w:sz="4" w:space="0" w:color="auto"/>
              <w:left w:val="single" w:sz="4" w:space="0" w:color="auto"/>
              <w:bottom w:val="single" w:sz="4" w:space="0" w:color="auto"/>
              <w:right w:val="single" w:sz="4" w:space="0" w:color="auto"/>
            </w:tcBorders>
            <w:vAlign w:val="center"/>
            <w:hideMark/>
          </w:tcPr>
          <w:p w14:paraId="5AE2ED2E" w14:textId="77777777" w:rsidR="002B26AC" w:rsidRPr="002B26AC" w:rsidRDefault="002B26AC" w:rsidP="002B26AC">
            <w:pPr>
              <w:rPr>
                <w:rFonts w:cs="Arial"/>
                <w:b/>
                <w:szCs w:val="22"/>
              </w:rPr>
            </w:pPr>
            <w:r w:rsidRPr="002B26AC">
              <w:rPr>
                <w:rFonts w:cs="Arial"/>
                <w:b/>
                <w:szCs w:val="22"/>
              </w:rPr>
              <w:t>Total Expenditures</w:t>
            </w:r>
          </w:p>
        </w:tc>
        <w:tc>
          <w:tcPr>
            <w:tcW w:w="1756" w:type="dxa"/>
            <w:tcBorders>
              <w:top w:val="single" w:sz="4" w:space="0" w:color="auto"/>
              <w:left w:val="single" w:sz="4" w:space="0" w:color="auto"/>
              <w:bottom w:val="single" w:sz="4" w:space="0" w:color="auto"/>
              <w:right w:val="single" w:sz="4" w:space="0" w:color="auto"/>
            </w:tcBorders>
            <w:vAlign w:val="center"/>
            <w:hideMark/>
          </w:tcPr>
          <w:p w14:paraId="4EB1F419" w14:textId="77777777" w:rsidR="002B26AC" w:rsidRPr="002B26AC" w:rsidRDefault="002B26AC" w:rsidP="002B26AC">
            <w:pPr>
              <w:jc w:val="center"/>
              <w:rPr>
                <w:rFonts w:cs="Arial"/>
                <w:szCs w:val="22"/>
              </w:rPr>
            </w:pPr>
            <w:r w:rsidRPr="002B26AC">
              <w:rPr>
                <w:rFonts w:cs="Arial"/>
                <w:szCs w:val="22"/>
              </w:rPr>
              <w:t>$2,010,305</w:t>
            </w:r>
          </w:p>
        </w:tc>
        <w:tc>
          <w:tcPr>
            <w:tcW w:w="1756" w:type="dxa"/>
            <w:tcBorders>
              <w:top w:val="single" w:sz="4" w:space="0" w:color="auto"/>
              <w:left w:val="single" w:sz="4" w:space="0" w:color="auto"/>
              <w:bottom w:val="single" w:sz="4" w:space="0" w:color="auto"/>
              <w:right w:val="single" w:sz="4" w:space="0" w:color="auto"/>
            </w:tcBorders>
            <w:vAlign w:val="center"/>
            <w:hideMark/>
          </w:tcPr>
          <w:p w14:paraId="1BEE3CA0" w14:textId="77777777" w:rsidR="002B26AC" w:rsidRPr="002B26AC" w:rsidRDefault="002B26AC" w:rsidP="002B26AC">
            <w:pPr>
              <w:jc w:val="center"/>
              <w:rPr>
                <w:rFonts w:cs="Arial"/>
                <w:szCs w:val="22"/>
              </w:rPr>
            </w:pPr>
            <w:r w:rsidRPr="002B26AC">
              <w:rPr>
                <w:rFonts w:cs="Arial"/>
                <w:szCs w:val="22"/>
              </w:rPr>
              <w:t>$1,197,288</w:t>
            </w:r>
          </w:p>
        </w:tc>
        <w:tc>
          <w:tcPr>
            <w:tcW w:w="1756" w:type="dxa"/>
            <w:tcBorders>
              <w:top w:val="single" w:sz="4" w:space="0" w:color="auto"/>
              <w:left w:val="single" w:sz="4" w:space="0" w:color="auto"/>
              <w:bottom w:val="single" w:sz="4" w:space="0" w:color="auto"/>
              <w:right w:val="single" w:sz="4" w:space="0" w:color="auto"/>
            </w:tcBorders>
            <w:vAlign w:val="center"/>
            <w:hideMark/>
          </w:tcPr>
          <w:p w14:paraId="1D987BED" w14:textId="77777777" w:rsidR="002B26AC" w:rsidRPr="002B26AC" w:rsidRDefault="002B26AC" w:rsidP="002B26AC">
            <w:pPr>
              <w:jc w:val="center"/>
              <w:rPr>
                <w:rFonts w:cs="Arial"/>
                <w:szCs w:val="22"/>
              </w:rPr>
            </w:pPr>
            <w:r w:rsidRPr="002B26AC">
              <w:rPr>
                <w:rFonts w:cs="Arial"/>
                <w:szCs w:val="22"/>
              </w:rPr>
              <w:t>$1,220,959</w:t>
            </w:r>
          </w:p>
        </w:tc>
        <w:tc>
          <w:tcPr>
            <w:tcW w:w="1756" w:type="dxa"/>
            <w:tcBorders>
              <w:top w:val="single" w:sz="4" w:space="0" w:color="auto"/>
              <w:left w:val="single" w:sz="4" w:space="0" w:color="auto"/>
              <w:bottom w:val="single" w:sz="4" w:space="0" w:color="auto"/>
              <w:right w:val="single" w:sz="4" w:space="0" w:color="auto"/>
            </w:tcBorders>
            <w:vAlign w:val="center"/>
            <w:hideMark/>
          </w:tcPr>
          <w:p w14:paraId="7DD6F69B" w14:textId="77777777" w:rsidR="002B26AC" w:rsidRPr="002B26AC" w:rsidRDefault="002B26AC" w:rsidP="002B26AC">
            <w:pPr>
              <w:jc w:val="center"/>
              <w:rPr>
                <w:rFonts w:cs="Arial"/>
                <w:szCs w:val="22"/>
              </w:rPr>
            </w:pPr>
            <w:r w:rsidRPr="002B26AC">
              <w:rPr>
                <w:rFonts w:cs="Arial"/>
                <w:szCs w:val="22"/>
              </w:rPr>
              <w:t>$976,380</w:t>
            </w:r>
          </w:p>
        </w:tc>
      </w:tr>
      <w:tr w:rsidR="002B26AC" w:rsidRPr="002B26AC" w14:paraId="11530203" w14:textId="77777777" w:rsidTr="0042251B">
        <w:trPr>
          <w:cantSplit/>
        </w:trPr>
        <w:tc>
          <w:tcPr>
            <w:tcW w:w="2331" w:type="dxa"/>
            <w:tcBorders>
              <w:top w:val="single" w:sz="4" w:space="0" w:color="auto"/>
              <w:left w:val="single" w:sz="4" w:space="0" w:color="auto"/>
              <w:bottom w:val="single" w:sz="4" w:space="0" w:color="auto"/>
              <w:right w:val="single" w:sz="4" w:space="0" w:color="auto"/>
            </w:tcBorders>
            <w:vAlign w:val="center"/>
            <w:hideMark/>
          </w:tcPr>
          <w:p w14:paraId="6153A1E4" w14:textId="77777777" w:rsidR="002B26AC" w:rsidRPr="002B26AC" w:rsidRDefault="002B26AC" w:rsidP="002B26AC">
            <w:pPr>
              <w:rPr>
                <w:rFonts w:cs="Arial"/>
                <w:b/>
                <w:szCs w:val="22"/>
              </w:rPr>
            </w:pPr>
            <w:r w:rsidRPr="002B26AC">
              <w:rPr>
                <w:rFonts w:cs="Arial"/>
                <w:b/>
                <w:szCs w:val="22"/>
              </w:rPr>
              <w:t>Surplus (Deficits)</w:t>
            </w:r>
          </w:p>
        </w:tc>
        <w:tc>
          <w:tcPr>
            <w:tcW w:w="1756" w:type="dxa"/>
            <w:tcBorders>
              <w:top w:val="single" w:sz="4" w:space="0" w:color="auto"/>
              <w:left w:val="single" w:sz="4" w:space="0" w:color="auto"/>
              <w:bottom w:val="single" w:sz="4" w:space="0" w:color="auto"/>
              <w:right w:val="single" w:sz="4" w:space="0" w:color="auto"/>
            </w:tcBorders>
            <w:vAlign w:val="center"/>
            <w:hideMark/>
          </w:tcPr>
          <w:p w14:paraId="60769FDD" w14:textId="77777777" w:rsidR="002B26AC" w:rsidRPr="002B26AC" w:rsidRDefault="002B26AC" w:rsidP="002B26AC">
            <w:pPr>
              <w:jc w:val="center"/>
              <w:rPr>
                <w:rFonts w:cs="Arial"/>
                <w:szCs w:val="22"/>
              </w:rPr>
            </w:pPr>
            <w:r w:rsidRPr="002B26AC">
              <w:rPr>
                <w:rFonts w:cs="Arial"/>
                <w:szCs w:val="22"/>
              </w:rPr>
              <w:t>$376,460</w:t>
            </w:r>
          </w:p>
        </w:tc>
        <w:tc>
          <w:tcPr>
            <w:tcW w:w="1756" w:type="dxa"/>
            <w:tcBorders>
              <w:top w:val="single" w:sz="4" w:space="0" w:color="auto"/>
              <w:left w:val="single" w:sz="4" w:space="0" w:color="auto"/>
              <w:bottom w:val="single" w:sz="4" w:space="0" w:color="auto"/>
              <w:right w:val="single" w:sz="4" w:space="0" w:color="auto"/>
            </w:tcBorders>
            <w:vAlign w:val="center"/>
            <w:hideMark/>
          </w:tcPr>
          <w:p w14:paraId="41DFBAAD" w14:textId="77777777" w:rsidR="002B26AC" w:rsidRPr="002B26AC" w:rsidRDefault="002B26AC" w:rsidP="002B26AC">
            <w:pPr>
              <w:jc w:val="center"/>
              <w:rPr>
                <w:rFonts w:cs="Arial"/>
                <w:szCs w:val="22"/>
              </w:rPr>
            </w:pPr>
            <w:r w:rsidRPr="002B26AC">
              <w:rPr>
                <w:rFonts w:cs="Arial"/>
                <w:szCs w:val="22"/>
              </w:rPr>
              <w:t>($591,475)</w:t>
            </w:r>
          </w:p>
        </w:tc>
        <w:tc>
          <w:tcPr>
            <w:tcW w:w="1756" w:type="dxa"/>
            <w:tcBorders>
              <w:top w:val="single" w:sz="4" w:space="0" w:color="auto"/>
              <w:left w:val="single" w:sz="4" w:space="0" w:color="auto"/>
              <w:bottom w:val="single" w:sz="4" w:space="0" w:color="auto"/>
              <w:right w:val="single" w:sz="4" w:space="0" w:color="auto"/>
            </w:tcBorders>
            <w:vAlign w:val="center"/>
            <w:hideMark/>
          </w:tcPr>
          <w:p w14:paraId="3F094D13" w14:textId="77777777" w:rsidR="002B26AC" w:rsidRPr="002B26AC" w:rsidRDefault="002B26AC" w:rsidP="002B26AC">
            <w:pPr>
              <w:jc w:val="center"/>
              <w:rPr>
                <w:rFonts w:cs="Arial"/>
                <w:szCs w:val="22"/>
              </w:rPr>
            </w:pPr>
            <w:r w:rsidRPr="002B26AC">
              <w:rPr>
                <w:rFonts w:cs="Arial"/>
                <w:szCs w:val="22"/>
              </w:rPr>
              <w:t>($323,401)</w:t>
            </w:r>
          </w:p>
        </w:tc>
        <w:tc>
          <w:tcPr>
            <w:tcW w:w="1756" w:type="dxa"/>
            <w:tcBorders>
              <w:top w:val="single" w:sz="4" w:space="0" w:color="auto"/>
              <w:left w:val="single" w:sz="4" w:space="0" w:color="auto"/>
              <w:bottom w:val="single" w:sz="4" w:space="0" w:color="auto"/>
              <w:right w:val="single" w:sz="4" w:space="0" w:color="auto"/>
            </w:tcBorders>
            <w:vAlign w:val="center"/>
            <w:hideMark/>
          </w:tcPr>
          <w:p w14:paraId="62DE9DA7" w14:textId="77777777" w:rsidR="002B26AC" w:rsidRPr="002B26AC" w:rsidRDefault="002B26AC" w:rsidP="002B26AC">
            <w:pPr>
              <w:jc w:val="center"/>
              <w:rPr>
                <w:rFonts w:cs="Arial"/>
                <w:szCs w:val="22"/>
              </w:rPr>
            </w:pPr>
            <w:r w:rsidRPr="002B26AC">
              <w:rPr>
                <w:rFonts w:cs="Arial"/>
                <w:szCs w:val="22"/>
              </w:rPr>
              <w:t>($321,464)</w:t>
            </w:r>
          </w:p>
        </w:tc>
      </w:tr>
      <w:tr w:rsidR="002B26AC" w:rsidRPr="002B26AC" w14:paraId="5AB0E872" w14:textId="77777777" w:rsidTr="0042251B">
        <w:trPr>
          <w:cantSplit/>
        </w:trPr>
        <w:tc>
          <w:tcPr>
            <w:tcW w:w="2331" w:type="dxa"/>
            <w:tcBorders>
              <w:top w:val="single" w:sz="4" w:space="0" w:color="auto"/>
              <w:left w:val="single" w:sz="4" w:space="0" w:color="auto"/>
              <w:bottom w:val="single" w:sz="4" w:space="0" w:color="auto"/>
              <w:right w:val="single" w:sz="4" w:space="0" w:color="auto"/>
            </w:tcBorders>
            <w:vAlign w:val="center"/>
            <w:hideMark/>
          </w:tcPr>
          <w:p w14:paraId="3880E79C" w14:textId="77777777" w:rsidR="002B26AC" w:rsidRPr="002B26AC" w:rsidRDefault="002B26AC" w:rsidP="002B26AC">
            <w:pPr>
              <w:rPr>
                <w:rFonts w:cs="Arial"/>
                <w:b/>
                <w:szCs w:val="22"/>
              </w:rPr>
            </w:pPr>
            <w:r w:rsidRPr="002B26AC">
              <w:rPr>
                <w:rFonts w:cs="Arial"/>
                <w:b/>
                <w:szCs w:val="22"/>
              </w:rPr>
              <w:t>Beginning Net Position</w:t>
            </w:r>
          </w:p>
        </w:tc>
        <w:tc>
          <w:tcPr>
            <w:tcW w:w="1756" w:type="dxa"/>
            <w:tcBorders>
              <w:top w:val="single" w:sz="4" w:space="0" w:color="auto"/>
              <w:left w:val="single" w:sz="4" w:space="0" w:color="auto"/>
              <w:bottom w:val="single" w:sz="4" w:space="0" w:color="auto"/>
              <w:right w:val="single" w:sz="4" w:space="0" w:color="auto"/>
            </w:tcBorders>
            <w:vAlign w:val="center"/>
            <w:hideMark/>
          </w:tcPr>
          <w:p w14:paraId="44422031" w14:textId="2895DCEB" w:rsidR="002B26AC" w:rsidRPr="002B26AC" w:rsidRDefault="002B26AC" w:rsidP="002B26AC">
            <w:pPr>
              <w:jc w:val="center"/>
              <w:rPr>
                <w:rFonts w:cs="Arial"/>
                <w:szCs w:val="22"/>
              </w:rPr>
            </w:pPr>
            <w:r w:rsidRPr="002B26AC">
              <w:rPr>
                <w:rFonts w:cs="Arial"/>
                <w:szCs w:val="22"/>
              </w:rPr>
              <w:t>$91,812</w:t>
            </w:r>
            <w:r>
              <w:rPr>
                <w:rFonts w:cs="Arial"/>
                <w:szCs w:val="22"/>
              </w:rPr>
              <w:t>*</w:t>
            </w:r>
          </w:p>
        </w:tc>
        <w:tc>
          <w:tcPr>
            <w:tcW w:w="1756" w:type="dxa"/>
            <w:tcBorders>
              <w:top w:val="single" w:sz="4" w:space="0" w:color="auto"/>
              <w:left w:val="single" w:sz="4" w:space="0" w:color="auto"/>
              <w:bottom w:val="single" w:sz="4" w:space="0" w:color="auto"/>
              <w:right w:val="single" w:sz="4" w:space="0" w:color="auto"/>
            </w:tcBorders>
            <w:vAlign w:val="center"/>
            <w:hideMark/>
          </w:tcPr>
          <w:p w14:paraId="37D9CD72" w14:textId="77777777" w:rsidR="002B26AC" w:rsidRPr="002B26AC" w:rsidRDefault="002B26AC" w:rsidP="002B26AC">
            <w:pPr>
              <w:jc w:val="center"/>
              <w:rPr>
                <w:rFonts w:cs="Arial"/>
                <w:szCs w:val="22"/>
              </w:rPr>
            </w:pPr>
            <w:r w:rsidRPr="002B26AC">
              <w:rPr>
                <w:rFonts w:cs="Arial"/>
                <w:szCs w:val="22"/>
              </w:rPr>
              <w:t>$109,671</w:t>
            </w:r>
          </w:p>
        </w:tc>
        <w:tc>
          <w:tcPr>
            <w:tcW w:w="1756" w:type="dxa"/>
            <w:tcBorders>
              <w:top w:val="single" w:sz="4" w:space="0" w:color="auto"/>
              <w:left w:val="single" w:sz="4" w:space="0" w:color="auto"/>
              <w:bottom w:val="single" w:sz="4" w:space="0" w:color="auto"/>
              <w:right w:val="single" w:sz="4" w:space="0" w:color="auto"/>
            </w:tcBorders>
            <w:vAlign w:val="center"/>
            <w:hideMark/>
          </w:tcPr>
          <w:p w14:paraId="39AB597E" w14:textId="77777777" w:rsidR="002B26AC" w:rsidRPr="002B26AC" w:rsidRDefault="002B26AC" w:rsidP="002B26AC">
            <w:pPr>
              <w:jc w:val="center"/>
              <w:rPr>
                <w:rFonts w:cs="Arial"/>
                <w:szCs w:val="22"/>
              </w:rPr>
            </w:pPr>
            <w:r w:rsidRPr="002B26AC">
              <w:rPr>
                <w:rFonts w:cs="Arial"/>
                <w:szCs w:val="22"/>
              </w:rPr>
              <w:t>$109,671</w:t>
            </w:r>
          </w:p>
        </w:tc>
        <w:tc>
          <w:tcPr>
            <w:tcW w:w="1756" w:type="dxa"/>
            <w:tcBorders>
              <w:top w:val="single" w:sz="4" w:space="0" w:color="auto"/>
              <w:left w:val="single" w:sz="4" w:space="0" w:color="auto"/>
              <w:bottom w:val="single" w:sz="4" w:space="0" w:color="auto"/>
              <w:right w:val="single" w:sz="4" w:space="0" w:color="auto"/>
            </w:tcBorders>
            <w:vAlign w:val="center"/>
            <w:hideMark/>
          </w:tcPr>
          <w:p w14:paraId="7D9510C2" w14:textId="77777777" w:rsidR="002B26AC" w:rsidRPr="002B26AC" w:rsidRDefault="002B26AC" w:rsidP="002B26AC">
            <w:pPr>
              <w:jc w:val="center"/>
              <w:rPr>
                <w:rFonts w:cs="Arial"/>
                <w:szCs w:val="22"/>
              </w:rPr>
            </w:pPr>
            <w:r w:rsidRPr="002B26AC">
              <w:rPr>
                <w:rFonts w:cs="Arial"/>
                <w:szCs w:val="22"/>
              </w:rPr>
              <w:t>$109,671</w:t>
            </w:r>
          </w:p>
        </w:tc>
      </w:tr>
      <w:tr w:rsidR="002B26AC" w:rsidRPr="002B26AC" w14:paraId="30EA5722" w14:textId="77777777" w:rsidTr="0042251B">
        <w:trPr>
          <w:cantSplit/>
        </w:trPr>
        <w:tc>
          <w:tcPr>
            <w:tcW w:w="2331" w:type="dxa"/>
            <w:tcBorders>
              <w:top w:val="single" w:sz="4" w:space="0" w:color="auto"/>
              <w:left w:val="single" w:sz="4" w:space="0" w:color="auto"/>
              <w:bottom w:val="single" w:sz="4" w:space="0" w:color="auto"/>
              <w:right w:val="single" w:sz="4" w:space="0" w:color="auto"/>
            </w:tcBorders>
            <w:vAlign w:val="center"/>
            <w:hideMark/>
          </w:tcPr>
          <w:p w14:paraId="4FD254ED" w14:textId="77777777" w:rsidR="002B26AC" w:rsidRPr="002B26AC" w:rsidRDefault="002B26AC" w:rsidP="002B26AC">
            <w:pPr>
              <w:rPr>
                <w:rFonts w:cs="Arial"/>
                <w:b/>
                <w:szCs w:val="22"/>
              </w:rPr>
            </w:pPr>
            <w:r w:rsidRPr="002B26AC">
              <w:rPr>
                <w:rFonts w:cs="Arial"/>
                <w:b/>
                <w:szCs w:val="22"/>
              </w:rPr>
              <w:t>Ending Net Position</w:t>
            </w:r>
          </w:p>
        </w:tc>
        <w:tc>
          <w:tcPr>
            <w:tcW w:w="1756" w:type="dxa"/>
            <w:tcBorders>
              <w:top w:val="single" w:sz="4" w:space="0" w:color="auto"/>
              <w:left w:val="single" w:sz="4" w:space="0" w:color="auto"/>
              <w:bottom w:val="single" w:sz="4" w:space="0" w:color="auto"/>
              <w:right w:val="single" w:sz="4" w:space="0" w:color="auto"/>
            </w:tcBorders>
            <w:vAlign w:val="center"/>
            <w:hideMark/>
          </w:tcPr>
          <w:p w14:paraId="5310D712" w14:textId="77777777" w:rsidR="002B26AC" w:rsidRPr="002B26AC" w:rsidRDefault="002B26AC" w:rsidP="002B26AC">
            <w:pPr>
              <w:jc w:val="center"/>
              <w:rPr>
                <w:rFonts w:cs="Arial"/>
                <w:szCs w:val="22"/>
              </w:rPr>
            </w:pPr>
            <w:r w:rsidRPr="002B26AC">
              <w:rPr>
                <w:rFonts w:cs="Arial"/>
                <w:szCs w:val="22"/>
              </w:rPr>
              <w:t>$468,272</w:t>
            </w:r>
          </w:p>
        </w:tc>
        <w:tc>
          <w:tcPr>
            <w:tcW w:w="1756" w:type="dxa"/>
            <w:tcBorders>
              <w:top w:val="single" w:sz="4" w:space="0" w:color="auto"/>
              <w:left w:val="single" w:sz="4" w:space="0" w:color="auto"/>
              <w:bottom w:val="single" w:sz="4" w:space="0" w:color="auto"/>
              <w:right w:val="single" w:sz="4" w:space="0" w:color="auto"/>
            </w:tcBorders>
            <w:vAlign w:val="center"/>
            <w:hideMark/>
          </w:tcPr>
          <w:p w14:paraId="4817B89D" w14:textId="77777777" w:rsidR="002B26AC" w:rsidRPr="002B26AC" w:rsidRDefault="002B26AC" w:rsidP="002B26AC">
            <w:pPr>
              <w:jc w:val="center"/>
              <w:rPr>
                <w:rFonts w:cs="Arial"/>
                <w:szCs w:val="22"/>
              </w:rPr>
            </w:pPr>
            <w:r w:rsidRPr="002B26AC">
              <w:rPr>
                <w:rFonts w:cs="Arial"/>
                <w:szCs w:val="22"/>
              </w:rPr>
              <w:t>($481,804)</w:t>
            </w:r>
          </w:p>
        </w:tc>
        <w:tc>
          <w:tcPr>
            <w:tcW w:w="1756" w:type="dxa"/>
            <w:tcBorders>
              <w:top w:val="single" w:sz="4" w:space="0" w:color="auto"/>
              <w:left w:val="single" w:sz="4" w:space="0" w:color="auto"/>
              <w:bottom w:val="single" w:sz="4" w:space="0" w:color="auto"/>
              <w:right w:val="single" w:sz="4" w:space="0" w:color="auto"/>
            </w:tcBorders>
            <w:vAlign w:val="center"/>
            <w:hideMark/>
          </w:tcPr>
          <w:p w14:paraId="5112282A" w14:textId="77777777" w:rsidR="002B26AC" w:rsidRPr="002B26AC" w:rsidRDefault="002B26AC" w:rsidP="002B26AC">
            <w:pPr>
              <w:jc w:val="center"/>
              <w:rPr>
                <w:rFonts w:cs="Arial"/>
                <w:szCs w:val="22"/>
              </w:rPr>
            </w:pPr>
            <w:r w:rsidRPr="002B26AC">
              <w:rPr>
                <w:rFonts w:cs="Arial"/>
                <w:szCs w:val="22"/>
              </w:rPr>
              <w:t>($213,730)</w:t>
            </w:r>
          </w:p>
        </w:tc>
        <w:tc>
          <w:tcPr>
            <w:tcW w:w="1756" w:type="dxa"/>
            <w:tcBorders>
              <w:top w:val="single" w:sz="4" w:space="0" w:color="auto"/>
              <w:left w:val="single" w:sz="4" w:space="0" w:color="auto"/>
              <w:bottom w:val="single" w:sz="4" w:space="0" w:color="auto"/>
              <w:right w:val="single" w:sz="4" w:space="0" w:color="auto"/>
            </w:tcBorders>
            <w:vAlign w:val="center"/>
            <w:hideMark/>
          </w:tcPr>
          <w:p w14:paraId="409BB7E3" w14:textId="77777777" w:rsidR="002B26AC" w:rsidRPr="002B26AC" w:rsidRDefault="002B26AC" w:rsidP="002B26AC">
            <w:pPr>
              <w:jc w:val="center"/>
              <w:rPr>
                <w:rFonts w:cs="Arial"/>
                <w:szCs w:val="22"/>
              </w:rPr>
            </w:pPr>
            <w:r w:rsidRPr="002B26AC">
              <w:rPr>
                <w:rFonts w:cs="Arial"/>
                <w:szCs w:val="22"/>
              </w:rPr>
              <w:t>($211,793)</w:t>
            </w:r>
          </w:p>
        </w:tc>
      </w:tr>
    </w:tbl>
    <w:p w14:paraId="2AE829BD" w14:textId="72F56D83" w:rsidR="002B26AC" w:rsidRDefault="002B26AC" w:rsidP="002B26AC">
      <w:pPr>
        <w:spacing w:before="240" w:after="240"/>
        <w:rPr>
          <w:rFonts w:cs="Arial"/>
          <w:szCs w:val="22"/>
        </w:rPr>
      </w:pPr>
      <w:r w:rsidRPr="002B26AC">
        <w:rPr>
          <w:rFonts w:cs="Arial"/>
          <w:szCs w:val="22"/>
        </w:rPr>
        <w:t>*The $91,812 was estimated based on TCS’ 2020–21 (planning year) estimated actuals ending Net Position. TCS’ 2020–21 actuals ended with a balance of $109,671 or $17,859 higher.</w:t>
      </w:r>
    </w:p>
    <w:p w14:paraId="2576DF74" w14:textId="77AAD680" w:rsidR="00707D1A" w:rsidRPr="00707D1A" w:rsidRDefault="00707D1A" w:rsidP="00707D1A">
      <w:pPr>
        <w:spacing w:before="240"/>
        <w:rPr>
          <w:rFonts w:ascii="Times New Roman" w:hAnsi="Times New Roman"/>
          <w:szCs w:val="22"/>
        </w:rPr>
      </w:pPr>
      <w:r w:rsidRPr="00707D1A">
        <w:rPr>
          <w:szCs w:val="22"/>
        </w:rPr>
        <w:t xml:space="preserve">As illustrated in the table above, </w:t>
      </w:r>
      <w:r>
        <w:rPr>
          <w:szCs w:val="22"/>
        </w:rPr>
        <w:t>TCS’</w:t>
      </w:r>
      <w:r w:rsidRPr="00707D1A">
        <w:rPr>
          <w:szCs w:val="22"/>
        </w:rPr>
        <w:t xml:space="preserve"> 2021</w:t>
      </w:r>
      <w:r>
        <w:rPr>
          <w:szCs w:val="22"/>
        </w:rPr>
        <w:t>–</w:t>
      </w:r>
      <w:r w:rsidRPr="00707D1A">
        <w:rPr>
          <w:szCs w:val="22"/>
        </w:rPr>
        <w:t xml:space="preserve">22 adopted budget projected an operating surplus of approximately $376,000 and an ending Net Position of $468,000. Due to </w:t>
      </w:r>
      <w:r>
        <w:rPr>
          <w:szCs w:val="22"/>
        </w:rPr>
        <w:t>TCS’</w:t>
      </w:r>
      <w:r w:rsidRPr="00707D1A">
        <w:rPr>
          <w:szCs w:val="22"/>
        </w:rPr>
        <w:t xml:space="preserve"> substantial enrollment shortfall, in its 2021</w:t>
      </w:r>
      <w:r>
        <w:rPr>
          <w:szCs w:val="22"/>
        </w:rPr>
        <w:t>–</w:t>
      </w:r>
      <w:r w:rsidRPr="00707D1A">
        <w:rPr>
          <w:szCs w:val="22"/>
        </w:rPr>
        <w:t xml:space="preserve">22 First Interim Report, </w:t>
      </w:r>
      <w:r>
        <w:rPr>
          <w:szCs w:val="22"/>
        </w:rPr>
        <w:t>TCS</w:t>
      </w:r>
      <w:r w:rsidRPr="00707D1A">
        <w:rPr>
          <w:szCs w:val="22"/>
        </w:rPr>
        <w:t xml:space="preserve"> projected an operating deficit of $591,000 and an ending Net Position of negative $482,000. Per a request from LACOE’s Business Advisory Services, </w:t>
      </w:r>
      <w:r>
        <w:rPr>
          <w:szCs w:val="22"/>
        </w:rPr>
        <w:t>TCS</w:t>
      </w:r>
      <w:r w:rsidRPr="00707D1A">
        <w:rPr>
          <w:szCs w:val="22"/>
        </w:rPr>
        <w:t xml:space="preserve"> submitted a revised current year budget, multiyear projections for 2022</w:t>
      </w:r>
      <w:r>
        <w:rPr>
          <w:szCs w:val="22"/>
        </w:rPr>
        <w:t>–</w:t>
      </w:r>
      <w:r w:rsidRPr="00707D1A">
        <w:rPr>
          <w:szCs w:val="22"/>
        </w:rPr>
        <w:t>23 and 2023</w:t>
      </w:r>
      <w:r>
        <w:rPr>
          <w:szCs w:val="22"/>
        </w:rPr>
        <w:t>–</w:t>
      </w:r>
      <w:r w:rsidRPr="00707D1A">
        <w:rPr>
          <w:szCs w:val="22"/>
        </w:rPr>
        <w:t>24, and updated cash flow projection with its 2021</w:t>
      </w:r>
      <w:r>
        <w:rPr>
          <w:szCs w:val="22"/>
        </w:rPr>
        <w:t>–</w:t>
      </w:r>
      <w:r w:rsidRPr="00707D1A">
        <w:rPr>
          <w:szCs w:val="22"/>
        </w:rPr>
        <w:t xml:space="preserve">22 Second Interim Report. </w:t>
      </w:r>
      <w:r>
        <w:rPr>
          <w:szCs w:val="22"/>
        </w:rPr>
        <w:t>TCS’</w:t>
      </w:r>
      <w:r w:rsidRPr="00707D1A">
        <w:rPr>
          <w:szCs w:val="22"/>
        </w:rPr>
        <w:t xml:space="preserve"> 2021</w:t>
      </w:r>
      <w:r>
        <w:rPr>
          <w:szCs w:val="22"/>
        </w:rPr>
        <w:t>–</w:t>
      </w:r>
      <w:r w:rsidRPr="00707D1A">
        <w:rPr>
          <w:szCs w:val="22"/>
        </w:rPr>
        <w:t xml:space="preserve">22 Second Interim Report projected an operating deficit of $323,000 and an ending Net Position of negative $214,000. The Second Interim reflected improvement from the First Interim’s projected deficit spending due primarily to the addition of federal one-time ESSER II and ESSER III funding, totaling approximately $282,000. As of May 31, 2022, </w:t>
      </w:r>
      <w:r>
        <w:rPr>
          <w:szCs w:val="22"/>
        </w:rPr>
        <w:t>TCS</w:t>
      </w:r>
      <w:r w:rsidRPr="00707D1A">
        <w:rPr>
          <w:szCs w:val="22"/>
        </w:rPr>
        <w:t xml:space="preserve"> has an operating deficit of $321,000, an ending Net Position of negative $212,000, and a reserve for economic uncertainties of negative 21.7 percent. The reserve is well below the 3 percent minimum reserve requirement pursuant to the </w:t>
      </w:r>
      <w:r>
        <w:rPr>
          <w:szCs w:val="22"/>
        </w:rPr>
        <w:t>MOU</w:t>
      </w:r>
      <w:r w:rsidRPr="00707D1A">
        <w:rPr>
          <w:szCs w:val="22"/>
        </w:rPr>
        <w:t xml:space="preserve">, page 18, section 3.4 </w:t>
      </w:r>
      <w:r w:rsidRPr="00707D1A">
        <w:rPr>
          <w:szCs w:val="22"/>
        </w:rPr>
        <w:lastRenderedPageBreak/>
        <w:t>(Revenue and Expenditure Reporting).</w:t>
      </w:r>
      <w:r w:rsidRPr="00707D1A">
        <w:rPr>
          <w:b/>
          <w:i/>
          <w:szCs w:val="22"/>
        </w:rPr>
        <w:t xml:space="preserve"> </w:t>
      </w:r>
      <w:r w:rsidRPr="00707D1A">
        <w:rPr>
          <w:szCs w:val="22"/>
        </w:rPr>
        <w:t xml:space="preserve">In summary, </w:t>
      </w:r>
      <w:r>
        <w:rPr>
          <w:szCs w:val="22"/>
        </w:rPr>
        <w:t>TCS’</w:t>
      </w:r>
      <w:r w:rsidRPr="00707D1A">
        <w:rPr>
          <w:szCs w:val="22"/>
        </w:rPr>
        <w:t xml:space="preserve"> future fiscal solvency is dependent on achieving its unrealistic enrollment and ADA projections.</w:t>
      </w:r>
    </w:p>
    <w:p w14:paraId="6CFDCA07" w14:textId="7C16D67D" w:rsidR="002B26AC" w:rsidRDefault="002B26AC" w:rsidP="00322CDA">
      <w:pPr>
        <w:pStyle w:val="Heading4"/>
      </w:pPr>
      <w:r>
        <w:t>Debt Accumulation</w:t>
      </w:r>
    </w:p>
    <w:p w14:paraId="6D8810C4" w14:textId="7C37450D" w:rsidR="00707D1A" w:rsidRPr="00707D1A" w:rsidRDefault="00707D1A" w:rsidP="00707D1A">
      <w:pPr>
        <w:spacing w:before="120"/>
        <w:rPr>
          <w:rFonts w:ascii="Times New Roman" w:hAnsi="Times New Roman"/>
          <w:szCs w:val="22"/>
        </w:rPr>
      </w:pPr>
      <w:r>
        <w:rPr>
          <w:szCs w:val="22"/>
        </w:rPr>
        <w:t>TCS’</w:t>
      </w:r>
      <w:r w:rsidRPr="00707D1A">
        <w:rPr>
          <w:szCs w:val="22"/>
        </w:rPr>
        <w:t xml:space="preserve"> substantial enrollment and ADA shortfall contributed to deficit spending, cash deficiencies, and increasing debts in the current fiscal year. As of May 31, 2022, </w:t>
      </w:r>
      <w:r>
        <w:rPr>
          <w:szCs w:val="22"/>
        </w:rPr>
        <w:t>TCS</w:t>
      </w:r>
      <w:r w:rsidRPr="00707D1A">
        <w:rPr>
          <w:szCs w:val="22"/>
        </w:rPr>
        <w:t xml:space="preserve"> reported total assets of $161,419</w:t>
      </w:r>
      <w:r>
        <w:rPr>
          <w:szCs w:val="22"/>
        </w:rPr>
        <w:t>;</w:t>
      </w:r>
      <w:r w:rsidRPr="00707D1A">
        <w:rPr>
          <w:szCs w:val="22"/>
        </w:rPr>
        <w:t xml:space="preserve"> total liabilities of $373,213</w:t>
      </w:r>
      <w:r>
        <w:rPr>
          <w:szCs w:val="22"/>
        </w:rPr>
        <w:t>;</w:t>
      </w:r>
      <w:r w:rsidRPr="00707D1A">
        <w:rPr>
          <w:szCs w:val="22"/>
        </w:rPr>
        <w:t xml:space="preserve"> an ending Net Position of negative $211,794. Included in the total liabilities are various notes payable totaling $221,348 due to its Executive Director, a private lender</w:t>
      </w:r>
      <w:r>
        <w:rPr>
          <w:szCs w:val="22"/>
        </w:rPr>
        <w:t>,</w:t>
      </w:r>
      <w:r w:rsidRPr="00707D1A">
        <w:rPr>
          <w:szCs w:val="22"/>
        </w:rPr>
        <w:t xml:space="preserve"> and a California School Financing Authority </w:t>
      </w:r>
      <w:r w:rsidR="00261A90">
        <w:rPr>
          <w:szCs w:val="22"/>
        </w:rPr>
        <w:t xml:space="preserve">(CSFA) </w:t>
      </w:r>
      <w:r w:rsidRPr="00707D1A">
        <w:rPr>
          <w:szCs w:val="22"/>
        </w:rPr>
        <w:t xml:space="preserve">Charter School Revolving Loan of $100,000. </w:t>
      </w:r>
      <w:r>
        <w:rPr>
          <w:szCs w:val="22"/>
        </w:rPr>
        <w:t xml:space="preserve">TCS’ </w:t>
      </w:r>
      <w:r w:rsidRPr="00707D1A">
        <w:rPr>
          <w:szCs w:val="22"/>
        </w:rPr>
        <w:t>ability to repay outstanding liabilities will be dependent on future revenue growth in excess of program expenditures.</w:t>
      </w:r>
      <w:r>
        <w:rPr>
          <w:szCs w:val="22"/>
        </w:rPr>
        <w:t xml:space="preserve"> The CDE and</w:t>
      </w:r>
      <w:r w:rsidRPr="00707D1A">
        <w:rPr>
          <w:szCs w:val="22"/>
        </w:rPr>
        <w:t xml:space="preserve"> </w:t>
      </w:r>
      <w:r>
        <w:rPr>
          <w:szCs w:val="22"/>
        </w:rPr>
        <w:t>LACOE</w:t>
      </w:r>
      <w:r w:rsidRPr="00707D1A">
        <w:rPr>
          <w:szCs w:val="22"/>
        </w:rPr>
        <w:t xml:space="preserve"> remain extremely concerned about </w:t>
      </w:r>
      <w:r>
        <w:rPr>
          <w:szCs w:val="22"/>
        </w:rPr>
        <w:t>TCS’</w:t>
      </w:r>
      <w:r w:rsidRPr="00707D1A">
        <w:rPr>
          <w:szCs w:val="22"/>
        </w:rPr>
        <w:t xml:space="preserve"> rising debts and its ability to secure additional funding in order to satisfy its immediate and future financial obligations. </w:t>
      </w:r>
    </w:p>
    <w:p w14:paraId="0DA3D7C5" w14:textId="7E3F1847" w:rsidR="002B26AC" w:rsidRDefault="002B26AC" w:rsidP="00322CDA">
      <w:pPr>
        <w:pStyle w:val="Heading4"/>
      </w:pPr>
      <w:r>
        <w:t>Cash Flow Projections</w:t>
      </w:r>
    </w:p>
    <w:p w14:paraId="64629588" w14:textId="265CB0BC" w:rsidR="00707D1A" w:rsidRPr="00707D1A" w:rsidRDefault="00707D1A" w:rsidP="00707D1A">
      <w:pPr>
        <w:spacing w:before="120"/>
        <w:rPr>
          <w:rFonts w:ascii="Times New Roman" w:hAnsi="Times New Roman"/>
          <w:szCs w:val="22"/>
        </w:rPr>
      </w:pPr>
      <w:bookmarkStart w:id="4" w:name="_Hlk91166169"/>
      <w:r>
        <w:rPr>
          <w:szCs w:val="22"/>
        </w:rPr>
        <w:t>TCS’</w:t>
      </w:r>
      <w:r w:rsidRPr="00707D1A">
        <w:rPr>
          <w:szCs w:val="22"/>
        </w:rPr>
        <w:t xml:space="preserve"> ability to meets its financial obligations is reliant on substantial enrollment growth and cash borrowing, including the sales of current and future receivables. As of May 31, 2022, </w:t>
      </w:r>
      <w:r>
        <w:rPr>
          <w:szCs w:val="22"/>
        </w:rPr>
        <w:t>TCS</w:t>
      </w:r>
      <w:r w:rsidRPr="00707D1A">
        <w:rPr>
          <w:szCs w:val="22"/>
        </w:rPr>
        <w:t xml:space="preserve"> has a cash balance of $8,105; this represents three days of operating cash. </w:t>
      </w:r>
      <w:r>
        <w:rPr>
          <w:szCs w:val="22"/>
        </w:rPr>
        <w:t>TCS’</w:t>
      </w:r>
      <w:r w:rsidRPr="00707D1A">
        <w:rPr>
          <w:szCs w:val="22"/>
        </w:rPr>
        <w:t xml:space="preserve"> 2022</w:t>
      </w:r>
      <w:r>
        <w:rPr>
          <w:szCs w:val="22"/>
        </w:rPr>
        <w:t>–</w:t>
      </w:r>
      <w:r w:rsidRPr="00707D1A">
        <w:rPr>
          <w:szCs w:val="22"/>
        </w:rPr>
        <w:t xml:space="preserve">23 cash flow projection includes selling current and future State Aid receivables and accessing a CSFA Charter School Revolving Loan in the amount of $150,000. Although </w:t>
      </w:r>
      <w:r w:rsidR="00261A90">
        <w:rPr>
          <w:szCs w:val="22"/>
        </w:rPr>
        <w:t>TCS</w:t>
      </w:r>
      <w:r w:rsidRPr="00707D1A">
        <w:rPr>
          <w:szCs w:val="22"/>
        </w:rPr>
        <w:t xml:space="preserve"> is projecting substantial revenue growth for 2022</w:t>
      </w:r>
      <w:r w:rsidR="00261A90">
        <w:rPr>
          <w:szCs w:val="22"/>
        </w:rPr>
        <w:t>–</w:t>
      </w:r>
      <w:r w:rsidRPr="00707D1A">
        <w:rPr>
          <w:szCs w:val="22"/>
        </w:rPr>
        <w:t xml:space="preserve">23 due to a projected enrollment increase, the cash flow projections reflect negative cash balances, ranging from negative $14,679 to negative $81,254, for </w:t>
      </w:r>
      <w:r w:rsidR="00261A90">
        <w:rPr>
          <w:szCs w:val="22"/>
        </w:rPr>
        <w:t>6</w:t>
      </w:r>
      <w:r w:rsidRPr="00707D1A">
        <w:rPr>
          <w:szCs w:val="22"/>
        </w:rPr>
        <w:t xml:space="preserve"> out of </w:t>
      </w:r>
      <w:r w:rsidR="00261A90">
        <w:rPr>
          <w:szCs w:val="22"/>
        </w:rPr>
        <w:t>12</w:t>
      </w:r>
      <w:r w:rsidRPr="00707D1A">
        <w:rPr>
          <w:szCs w:val="22"/>
        </w:rPr>
        <w:t xml:space="preserve"> months; the months of July, August, October, December, January, and February reflect negative ending balances. </w:t>
      </w:r>
      <w:r w:rsidR="00261A90">
        <w:rPr>
          <w:szCs w:val="22"/>
        </w:rPr>
        <w:t>TCS</w:t>
      </w:r>
      <w:r w:rsidRPr="00707D1A">
        <w:rPr>
          <w:szCs w:val="22"/>
        </w:rPr>
        <w:t xml:space="preserve"> has indicated it will borrow, fundraise, and/or sell future receivables to address its cash needs. For the period of July 2021 through May 2022, </w:t>
      </w:r>
      <w:r w:rsidR="00261A90">
        <w:rPr>
          <w:szCs w:val="22"/>
        </w:rPr>
        <w:t>TCS</w:t>
      </w:r>
      <w:r w:rsidRPr="00707D1A">
        <w:rPr>
          <w:szCs w:val="22"/>
        </w:rPr>
        <w:t xml:space="preserve"> reported total Local Revenues of $11,206, which are comprised of fundraising and contributions. Because </w:t>
      </w:r>
      <w:r w:rsidR="00261A90">
        <w:rPr>
          <w:szCs w:val="22"/>
        </w:rPr>
        <w:t>TCS</w:t>
      </w:r>
      <w:r w:rsidRPr="00707D1A">
        <w:rPr>
          <w:szCs w:val="22"/>
        </w:rPr>
        <w:t xml:space="preserve"> has accumulated a significant amount of debts, its borrowing options or capacity to borrow may be limited, and the cost to finance debt could become costly, particularly in an inflationary and rising interest environment. The costs of borrowing also negatively impacts </w:t>
      </w:r>
      <w:r w:rsidR="00261A90">
        <w:rPr>
          <w:szCs w:val="22"/>
        </w:rPr>
        <w:t>TCS’</w:t>
      </w:r>
      <w:r w:rsidRPr="00707D1A">
        <w:rPr>
          <w:szCs w:val="22"/>
        </w:rPr>
        <w:t xml:space="preserve"> financial resources. Due to its cash deficiencies, </w:t>
      </w:r>
      <w:r w:rsidR="00261A90">
        <w:rPr>
          <w:szCs w:val="22"/>
        </w:rPr>
        <w:t>TCS</w:t>
      </w:r>
      <w:r w:rsidRPr="00707D1A">
        <w:rPr>
          <w:szCs w:val="22"/>
        </w:rPr>
        <w:t xml:space="preserve"> may not be able to make payments on its current obligations, including payroll expenses and related benefits.</w:t>
      </w:r>
    </w:p>
    <w:p w14:paraId="54B96C2D" w14:textId="2ECD262C" w:rsidR="00453CE1" w:rsidRDefault="0030697D" w:rsidP="0030697D">
      <w:pPr>
        <w:pStyle w:val="Heading3"/>
      </w:pPr>
      <w:r w:rsidRPr="0030697D">
        <w:t xml:space="preserve">The </w:t>
      </w:r>
      <w:r>
        <w:t>TCS</w:t>
      </w:r>
      <w:r w:rsidRPr="0030697D">
        <w:t xml:space="preserve"> Board failed to meet or pursue pupil outcomes identified in the charter (</w:t>
      </w:r>
      <w:r w:rsidRPr="0030697D">
        <w:rPr>
          <w:i/>
        </w:rPr>
        <w:t>EC</w:t>
      </w:r>
      <w:r w:rsidRPr="0030697D">
        <w:t xml:space="preserve"> Section 47607[f][2]).</w:t>
      </w:r>
    </w:p>
    <w:p w14:paraId="508242C2" w14:textId="79145E53" w:rsidR="0030697D" w:rsidRDefault="00F822F6" w:rsidP="00322CDA">
      <w:pPr>
        <w:pStyle w:val="Heading4"/>
      </w:pPr>
      <w:r>
        <w:t>Failure to Report Academic Performance for All Students</w:t>
      </w:r>
    </w:p>
    <w:p w14:paraId="59F162D9" w14:textId="3622E8DA" w:rsidR="00261A90" w:rsidRPr="00261A90" w:rsidRDefault="00261A90" w:rsidP="00261A90">
      <w:pPr>
        <w:autoSpaceDE w:val="0"/>
        <w:autoSpaceDN w:val="0"/>
        <w:adjustRightInd w:val="0"/>
        <w:spacing w:before="120"/>
        <w:rPr>
          <w:szCs w:val="22"/>
        </w:rPr>
      </w:pPr>
      <w:r w:rsidRPr="00261A90">
        <w:rPr>
          <w:szCs w:val="22"/>
        </w:rPr>
        <w:t xml:space="preserve">According to Section 2.2 of the MOU between the LACOE and </w:t>
      </w:r>
      <w:r>
        <w:rPr>
          <w:szCs w:val="22"/>
        </w:rPr>
        <w:t>TCS</w:t>
      </w:r>
      <w:r w:rsidRPr="00261A90">
        <w:rPr>
          <w:szCs w:val="22"/>
        </w:rPr>
        <w:t xml:space="preserve">, it is the school’s responsibility to submit to LACOE, in a timely manner, the results of the academic performance of the students for both English Language Arts and Mathematics, based on baseline, mid-year, and end of year results. </w:t>
      </w:r>
      <w:r>
        <w:rPr>
          <w:szCs w:val="22"/>
        </w:rPr>
        <w:t>TCS</w:t>
      </w:r>
      <w:r w:rsidRPr="00261A90">
        <w:rPr>
          <w:szCs w:val="22"/>
        </w:rPr>
        <w:t xml:space="preserve"> failed to report the results of interim/benchmark assessments used to evaluate student progress during the 2021</w:t>
      </w:r>
      <w:r>
        <w:rPr>
          <w:szCs w:val="22"/>
        </w:rPr>
        <w:t>–</w:t>
      </w:r>
      <w:r w:rsidRPr="00261A90">
        <w:rPr>
          <w:szCs w:val="22"/>
        </w:rPr>
        <w:t xml:space="preserve">22 </w:t>
      </w:r>
      <w:r w:rsidRPr="00261A90">
        <w:rPr>
          <w:szCs w:val="22"/>
        </w:rPr>
        <w:lastRenderedPageBreak/>
        <w:t xml:space="preserve">school year for all students and all student groups. </w:t>
      </w:r>
      <w:r>
        <w:rPr>
          <w:szCs w:val="22"/>
        </w:rPr>
        <w:t>TCS</w:t>
      </w:r>
      <w:r w:rsidRPr="00261A90">
        <w:rPr>
          <w:szCs w:val="22"/>
        </w:rPr>
        <w:t xml:space="preserve"> submitted partial school-wide benchmark assessment data and no data disaggregated by student groups. Benchmarks serve as a measurement gauge to monitor a student’s progress and to determine if the student is making sufficient progress towards attaining academic goals. </w:t>
      </w:r>
      <w:r>
        <w:rPr>
          <w:szCs w:val="22"/>
        </w:rPr>
        <w:t>TCS’ fai</w:t>
      </w:r>
      <w:r w:rsidRPr="00261A90">
        <w:rPr>
          <w:szCs w:val="22"/>
        </w:rPr>
        <w:t xml:space="preserve">lure to submit data on the academic performance of all its students and student groups effectively prevented LACOE from evaluating the academic performance of students enrolled at the charter school. </w:t>
      </w:r>
    </w:p>
    <w:p w14:paraId="0E525779" w14:textId="73CE3015" w:rsidR="00F822F6" w:rsidRDefault="00F822F6" w:rsidP="00322CDA">
      <w:pPr>
        <w:pStyle w:val="Heading4"/>
      </w:pPr>
      <w:r>
        <w:t>Low Participation Rate for Benchmark Assessments</w:t>
      </w:r>
    </w:p>
    <w:p w14:paraId="0B7CE411" w14:textId="74AEABE0" w:rsidR="00261A90" w:rsidRPr="00261A90" w:rsidRDefault="00261A90" w:rsidP="00261A90">
      <w:pPr>
        <w:autoSpaceDE w:val="0"/>
        <w:autoSpaceDN w:val="0"/>
        <w:adjustRightInd w:val="0"/>
        <w:spacing w:before="240" w:after="240"/>
        <w:rPr>
          <w:rFonts w:ascii="Times New Roman" w:hAnsi="Times New Roman"/>
          <w:szCs w:val="22"/>
        </w:rPr>
      </w:pPr>
      <w:r w:rsidRPr="00261A90">
        <w:rPr>
          <w:szCs w:val="22"/>
        </w:rPr>
        <w:t xml:space="preserve">The student participation rates for </w:t>
      </w:r>
      <w:r>
        <w:rPr>
          <w:szCs w:val="22"/>
        </w:rPr>
        <w:t>TCS’</w:t>
      </w:r>
      <w:r w:rsidRPr="00261A90">
        <w:rPr>
          <w:szCs w:val="22"/>
        </w:rPr>
        <w:t xml:space="preserve"> benchmark assessments are significantly below the 95 percent threshold established by the SBE for verifiable student data. Low benchmark assessment participation has a significant impact on the school’s ability to evaluate academic progress and make data-based instructional decisions for the school’s </w:t>
      </w:r>
      <w:r>
        <w:rPr>
          <w:szCs w:val="22"/>
        </w:rPr>
        <w:t>ninth and tenth</w:t>
      </w:r>
      <w:r w:rsidRPr="00261A90">
        <w:rPr>
          <w:szCs w:val="22"/>
        </w:rPr>
        <w:t xml:space="preserve"> grade students. </w:t>
      </w:r>
      <w:r>
        <w:rPr>
          <w:szCs w:val="22"/>
        </w:rPr>
        <w:t>TCS</w:t>
      </w:r>
      <w:r w:rsidRPr="00261A90">
        <w:rPr>
          <w:szCs w:val="22"/>
        </w:rPr>
        <w:t xml:space="preserve"> uses NWEA’s Measures of Academic Progress (MAP) for benchmark assessments. The NWEA benchmarks are designed to evaluate a full year’s learning through the administration of three assessments given in the Fall, Winter, and Spring that include assessments in math, reading, and language usage. The charts below show participation rates for </w:t>
      </w:r>
      <w:r>
        <w:rPr>
          <w:szCs w:val="22"/>
        </w:rPr>
        <w:t>TCS’</w:t>
      </w:r>
      <w:r w:rsidRPr="00261A90">
        <w:rPr>
          <w:szCs w:val="22"/>
        </w:rPr>
        <w:t xml:space="preserve"> 2021</w:t>
      </w:r>
      <w:r>
        <w:rPr>
          <w:szCs w:val="22"/>
        </w:rPr>
        <w:t>–</w:t>
      </w:r>
      <w:r w:rsidRPr="00261A90">
        <w:rPr>
          <w:szCs w:val="22"/>
        </w:rPr>
        <w:t xml:space="preserve">22 benchmark assessments for the schools </w:t>
      </w:r>
      <w:r>
        <w:rPr>
          <w:szCs w:val="22"/>
        </w:rPr>
        <w:t xml:space="preserve">25 </w:t>
      </w:r>
      <w:r w:rsidRPr="00261A90">
        <w:rPr>
          <w:szCs w:val="22"/>
        </w:rPr>
        <w:t xml:space="preserve">ninth grade students and </w:t>
      </w:r>
      <w:r>
        <w:rPr>
          <w:szCs w:val="22"/>
        </w:rPr>
        <w:t>15 tenth</w:t>
      </w:r>
      <w:r w:rsidRPr="00261A90">
        <w:rPr>
          <w:szCs w:val="22"/>
        </w:rPr>
        <w:t xml:space="preserve"> grade students. </w:t>
      </w:r>
    </w:p>
    <w:p w14:paraId="18FE5DE1" w14:textId="0E8A5ED2" w:rsidR="00F822F6" w:rsidRPr="00F31EDE" w:rsidRDefault="00F822F6" w:rsidP="00F31EDE">
      <w:pPr>
        <w:spacing w:after="240"/>
        <w:jc w:val="center"/>
        <w:rPr>
          <w:i/>
        </w:rPr>
      </w:pPr>
      <w:r w:rsidRPr="00F31EDE">
        <w:rPr>
          <w:i/>
        </w:rPr>
        <w:t>2021–22 Ninth Grade NWEA Benchmark Participation Rates</w:t>
      </w:r>
    </w:p>
    <w:tbl>
      <w:tblPr>
        <w:tblStyle w:val="TableGrid"/>
        <w:tblW w:w="0" w:type="auto"/>
        <w:tblInd w:w="0" w:type="dxa"/>
        <w:tblLayout w:type="fixed"/>
        <w:tblCellMar>
          <w:left w:w="43" w:type="dxa"/>
          <w:right w:w="43" w:type="dxa"/>
        </w:tblCellMar>
        <w:tblLook w:val="04A0" w:firstRow="1" w:lastRow="0" w:firstColumn="1" w:lastColumn="0" w:noHBand="0" w:noVBand="1"/>
        <w:tblDescription w:val="2021–22 Ninth Grade NWEA Benchmark Participation Rates"/>
      </w:tblPr>
      <w:tblGrid>
        <w:gridCol w:w="2965"/>
        <w:gridCol w:w="2117"/>
        <w:gridCol w:w="2117"/>
        <w:gridCol w:w="2117"/>
      </w:tblGrid>
      <w:tr w:rsidR="00F822F6" w:rsidRPr="00F822F6" w14:paraId="230CC0D2" w14:textId="77777777" w:rsidTr="00F31EDE">
        <w:trPr>
          <w:cantSplit/>
          <w:trHeight w:val="371"/>
          <w:tblHeader/>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DCF9C" w14:textId="5650F3AC" w:rsidR="00F822F6" w:rsidRPr="00F822F6" w:rsidRDefault="00F822F6" w:rsidP="00F822F6">
            <w:pPr>
              <w:jc w:val="center"/>
              <w:rPr>
                <w:rFonts w:cs="Arial"/>
                <w:b/>
              </w:rPr>
            </w:pPr>
            <w:r w:rsidRPr="00F822F6">
              <w:rPr>
                <w:rFonts w:cs="Arial"/>
                <w:b/>
              </w:rPr>
              <w:t>Subject</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72596E" w14:textId="77777777" w:rsidR="00F822F6" w:rsidRPr="00F822F6" w:rsidRDefault="00F822F6" w:rsidP="00F822F6">
            <w:pPr>
              <w:jc w:val="center"/>
              <w:rPr>
                <w:rFonts w:cs="Arial"/>
                <w:b/>
              </w:rPr>
            </w:pPr>
            <w:r w:rsidRPr="00F822F6">
              <w:rPr>
                <w:rFonts w:cs="Arial"/>
                <w:b/>
              </w:rPr>
              <w:t>Fall</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DDAEEC" w14:textId="77777777" w:rsidR="00F822F6" w:rsidRPr="00F822F6" w:rsidRDefault="00F822F6" w:rsidP="00F822F6">
            <w:pPr>
              <w:jc w:val="center"/>
              <w:rPr>
                <w:rFonts w:cs="Arial"/>
                <w:b/>
              </w:rPr>
            </w:pPr>
            <w:r w:rsidRPr="00F822F6">
              <w:rPr>
                <w:rFonts w:cs="Arial"/>
                <w:b/>
              </w:rPr>
              <w:t>Winter</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C6509" w14:textId="77777777" w:rsidR="00F822F6" w:rsidRPr="00F822F6" w:rsidRDefault="00F822F6" w:rsidP="00F822F6">
            <w:pPr>
              <w:jc w:val="center"/>
              <w:rPr>
                <w:rFonts w:cs="Arial"/>
                <w:b/>
              </w:rPr>
            </w:pPr>
            <w:r w:rsidRPr="00F822F6">
              <w:rPr>
                <w:rFonts w:cs="Arial"/>
                <w:b/>
              </w:rPr>
              <w:t>Spring</w:t>
            </w:r>
          </w:p>
        </w:tc>
      </w:tr>
      <w:tr w:rsidR="00F822F6" w:rsidRPr="00F822F6" w14:paraId="3AB299FE" w14:textId="77777777" w:rsidTr="00F31EDE">
        <w:trPr>
          <w:cantSplit/>
          <w:trHeight w:val="309"/>
        </w:trPr>
        <w:tc>
          <w:tcPr>
            <w:tcW w:w="2965" w:type="dxa"/>
            <w:tcBorders>
              <w:top w:val="single" w:sz="4" w:space="0" w:color="auto"/>
              <w:left w:val="single" w:sz="4" w:space="0" w:color="auto"/>
              <w:bottom w:val="single" w:sz="4" w:space="0" w:color="auto"/>
              <w:right w:val="single" w:sz="4" w:space="0" w:color="auto"/>
            </w:tcBorders>
            <w:vAlign w:val="center"/>
            <w:hideMark/>
          </w:tcPr>
          <w:p w14:paraId="3B4DF4C2" w14:textId="77777777" w:rsidR="00F822F6" w:rsidRPr="00F822F6" w:rsidRDefault="00F822F6" w:rsidP="00F822F6">
            <w:pPr>
              <w:jc w:val="center"/>
              <w:rPr>
                <w:rFonts w:cs="Arial"/>
                <w:b/>
              </w:rPr>
            </w:pPr>
            <w:r w:rsidRPr="00F822F6">
              <w:rPr>
                <w:rFonts w:cs="Arial"/>
                <w:b/>
              </w:rPr>
              <w:t>Algebra/Geometry</w:t>
            </w:r>
          </w:p>
        </w:tc>
        <w:tc>
          <w:tcPr>
            <w:tcW w:w="2117" w:type="dxa"/>
            <w:tcBorders>
              <w:top w:val="single" w:sz="4" w:space="0" w:color="auto"/>
              <w:left w:val="single" w:sz="4" w:space="0" w:color="auto"/>
              <w:bottom w:val="single" w:sz="4" w:space="0" w:color="auto"/>
              <w:right w:val="single" w:sz="4" w:space="0" w:color="auto"/>
            </w:tcBorders>
            <w:vAlign w:val="center"/>
            <w:hideMark/>
          </w:tcPr>
          <w:p w14:paraId="38B3805B" w14:textId="77777777" w:rsidR="00F822F6" w:rsidRPr="00F822F6" w:rsidRDefault="00F822F6" w:rsidP="00F822F6">
            <w:pPr>
              <w:jc w:val="center"/>
              <w:rPr>
                <w:rFonts w:cs="Arial"/>
              </w:rPr>
            </w:pPr>
            <w:r w:rsidRPr="00F822F6">
              <w:rPr>
                <w:rFonts w:cs="Arial"/>
              </w:rPr>
              <w:t>95%</w:t>
            </w:r>
          </w:p>
        </w:tc>
        <w:tc>
          <w:tcPr>
            <w:tcW w:w="2117" w:type="dxa"/>
            <w:tcBorders>
              <w:top w:val="single" w:sz="4" w:space="0" w:color="auto"/>
              <w:left w:val="single" w:sz="4" w:space="0" w:color="auto"/>
              <w:bottom w:val="single" w:sz="4" w:space="0" w:color="auto"/>
              <w:right w:val="single" w:sz="4" w:space="0" w:color="auto"/>
            </w:tcBorders>
            <w:vAlign w:val="center"/>
            <w:hideMark/>
          </w:tcPr>
          <w:p w14:paraId="595000A5" w14:textId="77777777" w:rsidR="00F822F6" w:rsidRPr="00F822F6" w:rsidRDefault="00F822F6" w:rsidP="00F822F6">
            <w:pPr>
              <w:jc w:val="center"/>
              <w:rPr>
                <w:rFonts w:cs="Arial"/>
              </w:rPr>
            </w:pPr>
            <w:r w:rsidRPr="00F822F6">
              <w:rPr>
                <w:rFonts w:cs="Arial"/>
              </w:rPr>
              <w:t>100%</w:t>
            </w:r>
          </w:p>
        </w:tc>
        <w:tc>
          <w:tcPr>
            <w:tcW w:w="2117" w:type="dxa"/>
            <w:tcBorders>
              <w:top w:val="single" w:sz="4" w:space="0" w:color="auto"/>
              <w:left w:val="single" w:sz="4" w:space="0" w:color="auto"/>
              <w:bottom w:val="single" w:sz="4" w:space="0" w:color="auto"/>
              <w:right w:val="single" w:sz="4" w:space="0" w:color="auto"/>
            </w:tcBorders>
            <w:vAlign w:val="center"/>
            <w:hideMark/>
          </w:tcPr>
          <w:p w14:paraId="6D358EC2" w14:textId="77777777" w:rsidR="00F822F6" w:rsidRPr="00F822F6" w:rsidRDefault="00F822F6" w:rsidP="00F822F6">
            <w:pPr>
              <w:jc w:val="center"/>
              <w:rPr>
                <w:rFonts w:cs="Arial"/>
              </w:rPr>
            </w:pPr>
            <w:r w:rsidRPr="00F822F6">
              <w:rPr>
                <w:rFonts w:cs="Arial"/>
              </w:rPr>
              <w:t>No data reported</w:t>
            </w:r>
          </w:p>
        </w:tc>
      </w:tr>
      <w:tr w:rsidR="00F822F6" w:rsidRPr="00F822F6" w14:paraId="31C85794" w14:textId="77777777" w:rsidTr="00F31EDE">
        <w:trPr>
          <w:cantSplit/>
          <w:trHeight w:val="309"/>
        </w:trPr>
        <w:tc>
          <w:tcPr>
            <w:tcW w:w="2965" w:type="dxa"/>
            <w:tcBorders>
              <w:top w:val="single" w:sz="4" w:space="0" w:color="auto"/>
              <w:left w:val="single" w:sz="4" w:space="0" w:color="auto"/>
              <w:bottom w:val="single" w:sz="4" w:space="0" w:color="auto"/>
              <w:right w:val="single" w:sz="4" w:space="0" w:color="auto"/>
            </w:tcBorders>
            <w:vAlign w:val="center"/>
            <w:hideMark/>
          </w:tcPr>
          <w:p w14:paraId="70CA864E" w14:textId="77777777" w:rsidR="00F822F6" w:rsidRPr="00F822F6" w:rsidRDefault="00F822F6" w:rsidP="00F822F6">
            <w:pPr>
              <w:jc w:val="center"/>
              <w:rPr>
                <w:rFonts w:cs="Arial"/>
                <w:b/>
              </w:rPr>
            </w:pPr>
            <w:r w:rsidRPr="00F822F6">
              <w:rPr>
                <w:rFonts w:cs="Arial"/>
                <w:b/>
              </w:rPr>
              <w:t>Reading</w:t>
            </w:r>
          </w:p>
        </w:tc>
        <w:tc>
          <w:tcPr>
            <w:tcW w:w="2117" w:type="dxa"/>
            <w:tcBorders>
              <w:top w:val="single" w:sz="4" w:space="0" w:color="auto"/>
              <w:left w:val="single" w:sz="4" w:space="0" w:color="auto"/>
              <w:bottom w:val="single" w:sz="4" w:space="0" w:color="auto"/>
              <w:right w:val="single" w:sz="4" w:space="0" w:color="auto"/>
            </w:tcBorders>
            <w:vAlign w:val="center"/>
            <w:hideMark/>
          </w:tcPr>
          <w:p w14:paraId="248F40CB" w14:textId="77777777" w:rsidR="00F822F6" w:rsidRPr="00F822F6" w:rsidRDefault="00F822F6" w:rsidP="00F822F6">
            <w:pPr>
              <w:jc w:val="center"/>
              <w:rPr>
                <w:rFonts w:cs="Arial"/>
              </w:rPr>
            </w:pPr>
            <w:r w:rsidRPr="00F822F6">
              <w:rPr>
                <w:rFonts w:cs="Arial"/>
              </w:rPr>
              <w:t>38%</w:t>
            </w:r>
          </w:p>
        </w:tc>
        <w:tc>
          <w:tcPr>
            <w:tcW w:w="2117" w:type="dxa"/>
            <w:tcBorders>
              <w:top w:val="single" w:sz="4" w:space="0" w:color="auto"/>
              <w:left w:val="single" w:sz="4" w:space="0" w:color="auto"/>
              <w:bottom w:val="single" w:sz="4" w:space="0" w:color="auto"/>
              <w:right w:val="single" w:sz="4" w:space="0" w:color="auto"/>
            </w:tcBorders>
            <w:vAlign w:val="center"/>
            <w:hideMark/>
          </w:tcPr>
          <w:p w14:paraId="26B5794C" w14:textId="77777777" w:rsidR="00F822F6" w:rsidRPr="00F822F6" w:rsidRDefault="00F822F6" w:rsidP="00F822F6">
            <w:pPr>
              <w:jc w:val="center"/>
              <w:rPr>
                <w:rFonts w:cs="Arial"/>
              </w:rPr>
            </w:pPr>
            <w:r w:rsidRPr="00F822F6">
              <w:rPr>
                <w:rFonts w:cs="Arial"/>
              </w:rPr>
              <w:t>100%</w:t>
            </w:r>
          </w:p>
        </w:tc>
        <w:tc>
          <w:tcPr>
            <w:tcW w:w="2117" w:type="dxa"/>
            <w:tcBorders>
              <w:top w:val="single" w:sz="4" w:space="0" w:color="auto"/>
              <w:left w:val="single" w:sz="4" w:space="0" w:color="auto"/>
              <w:bottom w:val="single" w:sz="4" w:space="0" w:color="auto"/>
              <w:right w:val="single" w:sz="4" w:space="0" w:color="auto"/>
            </w:tcBorders>
            <w:vAlign w:val="center"/>
            <w:hideMark/>
          </w:tcPr>
          <w:p w14:paraId="1AFB3260" w14:textId="77777777" w:rsidR="00F822F6" w:rsidRPr="00F822F6" w:rsidRDefault="00F822F6" w:rsidP="00F822F6">
            <w:pPr>
              <w:jc w:val="center"/>
              <w:rPr>
                <w:rFonts w:cs="Arial"/>
              </w:rPr>
            </w:pPr>
            <w:r w:rsidRPr="00F822F6">
              <w:rPr>
                <w:rFonts w:cs="Arial"/>
              </w:rPr>
              <w:t>No data reported</w:t>
            </w:r>
          </w:p>
        </w:tc>
      </w:tr>
      <w:tr w:rsidR="00F822F6" w:rsidRPr="00F822F6" w14:paraId="34490F37" w14:textId="77777777" w:rsidTr="00F31EDE">
        <w:trPr>
          <w:cantSplit/>
          <w:trHeight w:val="364"/>
        </w:trPr>
        <w:tc>
          <w:tcPr>
            <w:tcW w:w="2965" w:type="dxa"/>
            <w:tcBorders>
              <w:top w:val="single" w:sz="4" w:space="0" w:color="auto"/>
              <w:left w:val="single" w:sz="4" w:space="0" w:color="auto"/>
              <w:bottom w:val="single" w:sz="4" w:space="0" w:color="auto"/>
              <w:right w:val="single" w:sz="4" w:space="0" w:color="auto"/>
            </w:tcBorders>
            <w:vAlign w:val="center"/>
            <w:hideMark/>
          </w:tcPr>
          <w:p w14:paraId="6DD4A646" w14:textId="77777777" w:rsidR="00F822F6" w:rsidRPr="00F822F6" w:rsidRDefault="00F822F6" w:rsidP="00F822F6">
            <w:pPr>
              <w:jc w:val="center"/>
              <w:rPr>
                <w:rFonts w:cs="Arial"/>
                <w:b/>
              </w:rPr>
            </w:pPr>
            <w:r w:rsidRPr="00F822F6">
              <w:rPr>
                <w:rFonts w:cs="Arial"/>
                <w:b/>
              </w:rPr>
              <w:t>Language Usage</w:t>
            </w:r>
          </w:p>
        </w:tc>
        <w:tc>
          <w:tcPr>
            <w:tcW w:w="2117" w:type="dxa"/>
            <w:tcBorders>
              <w:top w:val="single" w:sz="4" w:space="0" w:color="auto"/>
              <w:left w:val="single" w:sz="4" w:space="0" w:color="auto"/>
              <w:bottom w:val="single" w:sz="4" w:space="0" w:color="auto"/>
              <w:right w:val="single" w:sz="4" w:space="0" w:color="auto"/>
            </w:tcBorders>
            <w:vAlign w:val="center"/>
            <w:hideMark/>
          </w:tcPr>
          <w:p w14:paraId="11FBBFA6" w14:textId="77777777" w:rsidR="00F822F6" w:rsidRPr="00F822F6" w:rsidRDefault="00F822F6" w:rsidP="00F822F6">
            <w:pPr>
              <w:jc w:val="center"/>
              <w:rPr>
                <w:rFonts w:cs="Arial"/>
              </w:rPr>
            </w:pPr>
            <w:r w:rsidRPr="00F822F6">
              <w:rPr>
                <w:rFonts w:cs="Arial"/>
              </w:rPr>
              <w:t>59%</w:t>
            </w:r>
          </w:p>
        </w:tc>
        <w:tc>
          <w:tcPr>
            <w:tcW w:w="2117" w:type="dxa"/>
            <w:tcBorders>
              <w:top w:val="single" w:sz="4" w:space="0" w:color="auto"/>
              <w:left w:val="single" w:sz="4" w:space="0" w:color="auto"/>
              <w:bottom w:val="single" w:sz="4" w:space="0" w:color="auto"/>
              <w:right w:val="single" w:sz="4" w:space="0" w:color="auto"/>
            </w:tcBorders>
            <w:vAlign w:val="center"/>
            <w:hideMark/>
          </w:tcPr>
          <w:p w14:paraId="01F3EC4B" w14:textId="77777777" w:rsidR="00F822F6" w:rsidRPr="00F822F6" w:rsidRDefault="00F822F6" w:rsidP="00F822F6">
            <w:pPr>
              <w:jc w:val="center"/>
              <w:rPr>
                <w:rFonts w:cs="Arial"/>
              </w:rPr>
            </w:pPr>
            <w:r w:rsidRPr="00F822F6">
              <w:rPr>
                <w:rFonts w:cs="Arial"/>
              </w:rPr>
              <w:t>8%</w:t>
            </w:r>
          </w:p>
        </w:tc>
        <w:tc>
          <w:tcPr>
            <w:tcW w:w="2117" w:type="dxa"/>
            <w:tcBorders>
              <w:top w:val="single" w:sz="4" w:space="0" w:color="auto"/>
              <w:left w:val="single" w:sz="4" w:space="0" w:color="auto"/>
              <w:bottom w:val="single" w:sz="4" w:space="0" w:color="auto"/>
              <w:right w:val="single" w:sz="4" w:space="0" w:color="auto"/>
            </w:tcBorders>
            <w:vAlign w:val="center"/>
            <w:hideMark/>
          </w:tcPr>
          <w:p w14:paraId="05BCBA70" w14:textId="77777777" w:rsidR="00F822F6" w:rsidRPr="00F822F6" w:rsidRDefault="00F822F6" w:rsidP="00F822F6">
            <w:pPr>
              <w:jc w:val="center"/>
              <w:rPr>
                <w:rFonts w:cs="Arial"/>
              </w:rPr>
            </w:pPr>
            <w:r w:rsidRPr="00F822F6">
              <w:rPr>
                <w:rFonts w:cs="Arial"/>
              </w:rPr>
              <w:t>Test not given</w:t>
            </w:r>
          </w:p>
        </w:tc>
      </w:tr>
    </w:tbl>
    <w:p w14:paraId="263B32A9" w14:textId="77777777" w:rsidR="00F31EDE" w:rsidRPr="00F822F6" w:rsidRDefault="00F31EDE" w:rsidP="00F31EDE">
      <w:pPr>
        <w:spacing w:before="240" w:after="240"/>
      </w:pPr>
      <w:r w:rsidRPr="00F31EDE">
        <w:t xml:space="preserve">Source: </w:t>
      </w:r>
      <w:r>
        <w:t>TCS</w:t>
      </w:r>
      <w:r w:rsidRPr="00F31EDE">
        <w:t xml:space="preserve"> 2021</w:t>
      </w:r>
      <w:r>
        <w:t>–</w:t>
      </w:r>
      <w:r w:rsidRPr="00F31EDE">
        <w:t>22 Annual Report to LACOE</w:t>
      </w:r>
    </w:p>
    <w:p w14:paraId="34CFAE4B" w14:textId="5778BACC" w:rsidR="00F822F6" w:rsidRPr="00F31EDE" w:rsidRDefault="00F822F6" w:rsidP="00F31EDE">
      <w:pPr>
        <w:spacing w:after="240"/>
        <w:jc w:val="center"/>
        <w:rPr>
          <w:i/>
        </w:rPr>
      </w:pPr>
      <w:r w:rsidRPr="00F31EDE">
        <w:rPr>
          <w:i/>
        </w:rPr>
        <w:t>2021–22 Tenth Grade NWEA Benchmark Participation Rates</w:t>
      </w:r>
    </w:p>
    <w:tbl>
      <w:tblPr>
        <w:tblStyle w:val="TableGrid"/>
        <w:tblW w:w="0" w:type="auto"/>
        <w:tblInd w:w="0" w:type="dxa"/>
        <w:tblLayout w:type="fixed"/>
        <w:tblCellMar>
          <w:left w:w="43" w:type="dxa"/>
          <w:right w:w="43" w:type="dxa"/>
        </w:tblCellMar>
        <w:tblLook w:val="04A0" w:firstRow="1" w:lastRow="0" w:firstColumn="1" w:lastColumn="0" w:noHBand="0" w:noVBand="1"/>
        <w:tblDescription w:val="2021–22 Tenth Grade NWEA Benchmark Participation Rates"/>
      </w:tblPr>
      <w:tblGrid>
        <w:gridCol w:w="2965"/>
        <w:gridCol w:w="2117"/>
        <w:gridCol w:w="2117"/>
        <w:gridCol w:w="2117"/>
      </w:tblGrid>
      <w:tr w:rsidR="00F31EDE" w:rsidRPr="00F822F6" w14:paraId="0145CC73" w14:textId="77777777" w:rsidTr="0054681A">
        <w:trPr>
          <w:cantSplit/>
          <w:trHeight w:val="371"/>
          <w:tblHeader/>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11043" w14:textId="77777777" w:rsidR="00F31EDE" w:rsidRPr="00F822F6" w:rsidRDefault="00F31EDE" w:rsidP="0054681A">
            <w:pPr>
              <w:jc w:val="center"/>
              <w:rPr>
                <w:rFonts w:cs="Arial"/>
                <w:b/>
              </w:rPr>
            </w:pPr>
            <w:r w:rsidRPr="00F822F6">
              <w:rPr>
                <w:rFonts w:cs="Arial"/>
                <w:b/>
              </w:rPr>
              <w:t>Subject</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99862C" w14:textId="77777777" w:rsidR="00F31EDE" w:rsidRPr="00F822F6" w:rsidRDefault="00F31EDE" w:rsidP="0054681A">
            <w:pPr>
              <w:jc w:val="center"/>
              <w:rPr>
                <w:rFonts w:cs="Arial"/>
                <w:b/>
              </w:rPr>
            </w:pPr>
            <w:r w:rsidRPr="00F822F6">
              <w:rPr>
                <w:rFonts w:cs="Arial"/>
                <w:b/>
              </w:rPr>
              <w:t>Fall</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BD29CA" w14:textId="77777777" w:rsidR="00F31EDE" w:rsidRPr="00F822F6" w:rsidRDefault="00F31EDE" w:rsidP="0054681A">
            <w:pPr>
              <w:jc w:val="center"/>
              <w:rPr>
                <w:rFonts w:cs="Arial"/>
                <w:b/>
              </w:rPr>
            </w:pPr>
            <w:r w:rsidRPr="00F822F6">
              <w:rPr>
                <w:rFonts w:cs="Arial"/>
                <w:b/>
              </w:rPr>
              <w:t>Winter</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F91921" w14:textId="77777777" w:rsidR="00F31EDE" w:rsidRPr="00F822F6" w:rsidRDefault="00F31EDE" w:rsidP="0054681A">
            <w:pPr>
              <w:jc w:val="center"/>
              <w:rPr>
                <w:rFonts w:cs="Arial"/>
                <w:b/>
              </w:rPr>
            </w:pPr>
            <w:r w:rsidRPr="00F822F6">
              <w:rPr>
                <w:rFonts w:cs="Arial"/>
                <w:b/>
              </w:rPr>
              <w:t>Spring</w:t>
            </w:r>
          </w:p>
        </w:tc>
      </w:tr>
      <w:tr w:rsidR="00F31EDE" w:rsidRPr="00F822F6" w14:paraId="583BCFC5" w14:textId="77777777" w:rsidTr="0054681A">
        <w:trPr>
          <w:cantSplit/>
          <w:trHeight w:val="309"/>
        </w:trPr>
        <w:tc>
          <w:tcPr>
            <w:tcW w:w="2965" w:type="dxa"/>
            <w:tcBorders>
              <w:top w:val="single" w:sz="4" w:space="0" w:color="auto"/>
              <w:left w:val="single" w:sz="4" w:space="0" w:color="auto"/>
              <w:bottom w:val="single" w:sz="4" w:space="0" w:color="auto"/>
              <w:right w:val="single" w:sz="4" w:space="0" w:color="auto"/>
            </w:tcBorders>
            <w:vAlign w:val="center"/>
            <w:hideMark/>
          </w:tcPr>
          <w:p w14:paraId="6DC119DD" w14:textId="77777777" w:rsidR="00F31EDE" w:rsidRPr="00F822F6" w:rsidRDefault="00F31EDE" w:rsidP="0054681A">
            <w:pPr>
              <w:jc w:val="center"/>
              <w:rPr>
                <w:rFonts w:cs="Arial"/>
                <w:b/>
              </w:rPr>
            </w:pPr>
            <w:r w:rsidRPr="00F822F6">
              <w:rPr>
                <w:rFonts w:cs="Arial"/>
                <w:b/>
              </w:rPr>
              <w:t>Algebra/Geometry</w:t>
            </w:r>
          </w:p>
        </w:tc>
        <w:tc>
          <w:tcPr>
            <w:tcW w:w="2117" w:type="dxa"/>
            <w:tcBorders>
              <w:top w:val="single" w:sz="4" w:space="0" w:color="auto"/>
              <w:left w:val="single" w:sz="4" w:space="0" w:color="auto"/>
              <w:bottom w:val="single" w:sz="4" w:space="0" w:color="auto"/>
              <w:right w:val="single" w:sz="4" w:space="0" w:color="auto"/>
            </w:tcBorders>
            <w:vAlign w:val="center"/>
            <w:hideMark/>
          </w:tcPr>
          <w:p w14:paraId="240A1512" w14:textId="76EBF4C1" w:rsidR="00F31EDE" w:rsidRPr="00F822F6" w:rsidRDefault="00F31EDE" w:rsidP="0054681A">
            <w:pPr>
              <w:jc w:val="center"/>
              <w:rPr>
                <w:rFonts w:cs="Arial"/>
              </w:rPr>
            </w:pPr>
            <w:r>
              <w:rPr>
                <w:rFonts w:cs="Arial"/>
              </w:rPr>
              <w:t>70</w:t>
            </w:r>
            <w:r w:rsidRPr="00F822F6">
              <w:rPr>
                <w:rFonts w:cs="Arial"/>
              </w:rPr>
              <w:t>%</w:t>
            </w:r>
          </w:p>
        </w:tc>
        <w:tc>
          <w:tcPr>
            <w:tcW w:w="2117" w:type="dxa"/>
            <w:tcBorders>
              <w:top w:val="single" w:sz="4" w:space="0" w:color="auto"/>
              <w:left w:val="single" w:sz="4" w:space="0" w:color="auto"/>
              <w:bottom w:val="single" w:sz="4" w:space="0" w:color="auto"/>
              <w:right w:val="single" w:sz="4" w:space="0" w:color="auto"/>
            </w:tcBorders>
            <w:vAlign w:val="center"/>
            <w:hideMark/>
          </w:tcPr>
          <w:p w14:paraId="31D71434" w14:textId="77777777" w:rsidR="00F31EDE" w:rsidRPr="00F822F6" w:rsidRDefault="00F31EDE" w:rsidP="0054681A">
            <w:pPr>
              <w:jc w:val="center"/>
              <w:rPr>
                <w:rFonts w:cs="Arial"/>
              </w:rPr>
            </w:pPr>
            <w:r w:rsidRPr="00F822F6">
              <w:rPr>
                <w:rFonts w:cs="Arial"/>
              </w:rPr>
              <w:t>100%</w:t>
            </w:r>
          </w:p>
        </w:tc>
        <w:tc>
          <w:tcPr>
            <w:tcW w:w="2117" w:type="dxa"/>
            <w:tcBorders>
              <w:top w:val="single" w:sz="4" w:space="0" w:color="auto"/>
              <w:left w:val="single" w:sz="4" w:space="0" w:color="auto"/>
              <w:bottom w:val="single" w:sz="4" w:space="0" w:color="auto"/>
              <w:right w:val="single" w:sz="4" w:space="0" w:color="auto"/>
            </w:tcBorders>
            <w:vAlign w:val="center"/>
            <w:hideMark/>
          </w:tcPr>
          <w:p w14:paraId="232EDF5E" w14:textId="77777777" w:rsidR="00F31EDE" w:rsidRPr="00F822F6" w:rsidRDefault="00F31EDE" w:rsidP="0054681A">
            <w:pPr>
              <w:jc w:val="center"/>
              <w:rPr>
                <w:rFonts w:cs="Arial"/>
              </w:rPr>
            </w:pPr>
            <w:r w:rsidRPr="00F822F6">
              <w:rPr>
                <w:rFonts w:cs="Arial"/>
              </w:rPr>
              <w:t>No data reported</w:t>
            </w:r>
          </w:p>
        </w:tc>
      </w:tr>
      <w:tr w:rsidR="00F31EDE" w:rsidRPr="00F822F6" w14:paraId="0C84DF47" w14:textId="77777777" w:rsidTr="0054681A">
        <w:trPr>
          <w:cantSplit/>
          <w:trHeight w:val="309"/>
        </w:trPr>
        <w:tc>
          <w:tcPr>
            <w:tcW w:w="2965" w:type="dxa"/>
            <w:tcBorders>
              <w:top w:val="single" w:sz="4" w:space="0" w:color="auto"/>
              <w:left w:val="single" w:sz="4" w:space="0" w:color="auto"/>
              <w:bottom w:val="single" w:sz="4" w:space="0" w:color="auto"/>
              <w:right w:val="single" w:sz="4" w:space="0" w:color="auto"/>
            </w:tcBorders>
            <w:vAlign w:val="center"/>
            <w:hideMark/>
          </w:tcPr>
          <w:p w14:paraId="099EA25E" w14:textId="77777777" w:rsidR="00F31EDE" w:rsidRPr="00F822F6" w:rsidRDefault="00F31EDE" w:rsidP="0054681A">
            <w:pPr>
              <w:jc w:val="center"/>
              <w:rPr>
                <w:rFonts w:cs="Arial"/>
                <w:b/>
              </w:rPr>
            </w:pPr>
            <w:r w:rsidRPr="00F822F6">
              <w:rPr>
                <w:rFonts w:cs="Arial"/>
                <w:b/>
              </w:rPr>
              <w:t>Reading</w:t>
            </w:r>
          </w:p>
        </w:tc>
        <w:tc>
          <w:tcPr>
            <w:tcW w:w="2117" w:type="dxa"/>
            <w:tcBorders>
              <w:top w:val="single" w:sz="4" w:space="0" w:color="auto"/>
              <w:left w:val="single" w:sz="4" w:space="0" w:color="auto"/>
              <w:bottom w:val="single" w:sz="4" w:space="0" w:color="auto"/>
              <w:right w:val="single" w:sz="4" w:space="0" w:color="auto"/>
            </w:tcBorders>
            <w:vAlign w:val="center"/>
            <w:hideMark/>
          </w:tcPr>
          <w:p w14:paraId="25C7B5E9" w14:textId="1F085755" w:rsidR="00F31EDE" w:rsidRPr="00F822F6" w:rsidRDefault="00F31EDE" w:rsidP="0054681A">
            <w:pPr>
              <w:jc w:val="center"/>
              <w:rPr>
                <w:rFonts w:cs="Arial"/>
              </w:rPr>
            </w:pPr>
            <w:r>
              <w:rPr>
                <w:rFonts w:cs="Arial"/>
              </w:rPr>
              <w:t>50</w:t>
            </w:r>
            <w:r w:rsidRPr="00F822F6">
              <w:rPr>
                <w:rFonts w:cs="Arial"/>
              </w:rPr>
              <w:t>%</w:t>
            </w:r>
          </w:p>
        </w:tc>
        <w:tc>
          <w:tcPr>
            <w:tcW w:w="2117" w:type="dxa"/>
            <w:tcBorders>
              <w:top w:val="single" w:sz="4" w:space="0" w:color="auto"/>
              <w:left w:val="single" w:sz="4" w:space="0" w:color="auto"/>
              <w:bottom w:val="single" w:sz="4" w:space="0" w:color="auto"/>
              <w:right w:val="single" w:sz="4" w:space="0" w:color="auto"/>
            </w:tcBorders>
            <w:vAlign w:val="center"/>
            <w:hideMark/>
          </w:tcPr>
          <w:p w14:paraId="799A633D" w14:textId="77777777" w:rsidR="00F31EDE" w:rsidRPr="00F822F6" w:rsidRDefault="00F31EDE" w:rsidP="0054681A">
            <w:pPr>
              <w:jc w:val="center"/>
              <w:rPr>
                <w:rFonts w:cs="Arial"/>
              </w:rPr>
            </w:pPr>
            <w:r w:rsidRPr="00F822F6">
              <w:rPr>
                <w:rFonts w:cs="Arial"/>
              </w:rPr>
              <w:t>100%</w:t>
            </w:r>
          </w:p>
        </w:tc>
        <w:tc>
          <w:tcPr>
            <w:tcW w:w="2117" w:type="dxa"/>
            <w:tcBorders>
              <w:top w:val="single" w:sz="4" w:space="0" w:color="auto"/>
              <w:left w:val="single" w:sz="4" w:space="0" w:color="auto"/>
              <w:bottom w:val="single" w:sz="4" w:space="0" w:color="auto"/>
              <w:right w:val="single" w:sz="4" w:space="0" w:color="auto"/>
            </w:tcBorders>
            <w:vAlign w:val="center"/>
            <w:hideMark/>
          </w:tcPr>
          <w:p w14:paraId="32DE12D2" w14:textId="77777777" w:rsidR="00F31EDE" w:rsidRPr="00F822F6" w:rsidRDefault="00F31EDE" w:rsidP="0054681A">
            <w:pPr>
              <w:jc w:val="center"/>
              <w:rPr>
                <w:rFonts w:cs="Arial"/>
              </w:rPr>
            </w:pPr>
            <w:r w:rsidRPr="00F822F6">
              <w:rPr>
                <w:rFonts w:cs="Arial"/>
              </w:rPr>
              <w:t>No data reported</w:t>
            </w:r>
          </w:p>
        </w:tc>
      </w:tr>
      <w:tr w:rsidR="00F31EDE" w:rsidRPr="00F822F6" w14:paraId="6638F5A0" w14:textId="77777777" w:rsidTr="0054681A">
        <w:trPr>
          <w:cantSplit/>
          <w:trHeight w:val="364"/>
        </w:trPr>
        <w:tc>
          <w:tcPr>
            <w:tcW w:w="2965" w:type="dxa"/>
            <w:tcBorders>
              <w:top w:val="single" w:sz="4" w:space="0" w:color="auto"/>
              <w:left w:val="single" w:sz="4" w:space="0" w:color="auto"/>
              <w:bottom w:val="single" w:sz="4" w:space="0" w:color="auto"/>
              <w:right w:val="single" w:sz="4" w:space="0" w:color="auto"/>
            </w:tcBorders>
            <w:vAlign w:val="center"/>
            <w:hideMark/>
          </w:tcPr>
          <w:p w14:paraId="60766A3A" w14:textId="77777777" w:rsidR="00F31EDE" w:rsidRPr="00F822F6" w:rsidRDefault="00F31EDE" w:rsidP="0054681A">
            <w:pPr>
              <w:jc w:val="center"/>
              <w:rPr>
                <w:rFonts w:cs="Arial"/>
                <w:b/>
              </w:rPr>
            </w:pPr>
            <w:r w:rsidRPr="00F822F6">
              <w:rPr>
                <w:rFonts w:cs="Arial"/>
                <w:b/>
              </w:rPr>
              <w:t>Language Usage</w:t>
            </w:r>
          </w:p>
        </w:tc>
        <w:tc>
          <w:tcPr>
            <w:tcW w:w="2117" w:type="dxa"/>
            <w:tcBorders>
              <w:top w:val="single" w:sz="4" w:space="0" w:color="auto"/>
              <w:left w:val="single" w:sz="4" w:space="0" w:color="auto"/>
              <w:bottom w:val="single" w:sz="4" w:space="0" w:color="auto"/>
              <w:right w:val="single" w:sz="4" w:space="0" w:color="auto"/>
            </w:tcBorders>
            <w:vAlign w:val="center"/>
            <w:hideMark/>
          </w:tcPr>
          <w:p w14:paraId="39D61F31" w14:textId="5D265E46" w:rsidR="00F31EDE" w:rsidRPr="00F822F6" w:rsidRDefault="00F31EDE" w:rsidP="0054681A">
            <w:pPr>
              <w:jc w:val="center"/>
              <w:rPr>
                <w:rFonts w:cs="Arial"/>
              </w:rPr>
            </w:pPr>
            <w:r>
              <w:rPr>
                <w:rFonts w:cs="Arial"/>
              </w:rPr>
              <w:t>40</w:t>
            </w:r>
            <w:r w:rsidRPr="00F822F6">
              <w:rPr>
                <w:rFonts w:cs="Arial"/>
              </w:rPr>
              <w:t>%</w:t>
            </w:r>
          </w:p>
        </w:tc>
        <w:tc>
          <w:tcPr>
            <w:tcW w:w="2117" w:type="dxa"/>
            <w:tcBorders>
              <w:top w:val="single" w:sz="4" w:space="0" w:color="auto"/>
              <w:left w:val="single" w:sz="4" w:space="0" w:color="auto"/>
              <w:bottom w:val="single" w:sz="4" w:space="0" w:color="auto"/>
              <w:right w:val="single" w:sz="4" w:space="0" w:color="auto"/>
            </w:tcBorders>
            <w:vAlign w:val="center"/>
            <w:hideMark/>
          </w:tcPr>
          <w:p w14:paraId="667778C2" w14:textId="77777777" w:rsidR="00F31EDE" w:rsidRPr="00F822F6" w:rsidRDefault="00F31EDE" w:rsidP="0054681A">
            <w:pPr>
              <w:jc w:val="center"/>
              <w:rPr>
                <w:rFonts w:cs="Arial"/>
              </w:rPr>
            </w:pPr>
            <w:r w:rsidRPr="00F822F6">
              <w:rPr>
                <w:rFonts w:cs="Arial"/>
              </w:rPr>
              <w:t>8%</w:t>
            </w:r>
          </w:p>
        </w:tc>
        <w:tc>
          <w:tcPr>
            <w:tcW w:w="2117" w:type="dxa"/>
            <w:tcBorders>
              <w:top w:val="single" w:sz="4" w:space="0" w:color="auto"/>
              <w:left w:val="single" w:sz="4" w:space="0" w:color="auto"/>
              <w:bottom w:val="single" w:sz="4" w:space="0" w:color="auto"/>
              <w:right w:val="single" w:sz="4" w:space="0" w:color="auto"/>
            </w:tcBorders>
            <w:vAlign w:val="center"/>
            <w:hideMark/>
          </w:tcPr>
          <w:p w14:paraId="1060A224" w14:textId="77777777" w:rsidR="00F31EDE" w:rsidRPr="00F822F6" w:rsidRDefault="00F31EDE" w:rsidP="0054681A">
            <w:pPr>
              <w:jc w:val="center"/>
              <w:rPr>
                <w:rFonts w:cs="Arial"/>
              </w:rPr>
            </w:pPr>
            <w:r w:rsidRPr="00F822F6">
              <w:rPr>
                <w:rFonts w:cs="Arial"/>
              </w:rPr>
              <w:t>Test not given</w:t>
            </w:r>
          </w:p>
        </w:tc>
      </w:tr>
    </w:tbl>
    <w:p w14:paraId="4DA309F0" w14:textId="5F0E217C" w:rsidR="00F31EDE" w:rsidRPr="00F822F6" w:rsidRDefault="00F31EDE" w:rsidP="00F31EDE">
      <w:pPr>
        <w:spacing w:before="240" w:after="240"/>
      </w:pPr>
      <w:r w:rsidRPr="00F31EDE">
        <w:t xml:space="preserve">Source: </w:t>
      </w:r>
      <w:r>
        <w:t>TCS</w:t>
      </w:r>
      <w:r w:rsidRPr="00F31EDE">
        <w:t xml:space="preserve"> 2021</w:t>
      </w:r>
      <w:r>
        <w:t>–</w:t>
      </w:r>
      <w:r w:rsidRPr="00F31EDE">
        <w:t>22 Annual Report to LACOE</w:t>
      </w:r>
    </w:p>
    <w:p w14:paraId="508C97DF" w14:textId="26490A07" w:rsidR="0030697D" w:rsidRDefault="0030697D" w:rsidP="0030697D">
      <w:pPr>
        <w:pStyle w:val="Heading3"/>
      </w:pPr>
      <w:r w:rsidRPr="0030697D">
        <w:lastRenderedPageBreak/>
        <w:t xml:space="preserve">The </w:t>
      </w:r>
      <w:r>
        <w:t>TCS</w:t>
      </w:r>
      <w:r w:rsidRPr="0030697D">
        <w:t xml:space="preserve"> Board committed a material violation of the conditions, standards, or procedures set forth in the charter petition (</w:t>
      </w:r>
      <w:r w:rsidRPr="0030697D">
        <w:rPr>
          <w:i/>
        </w:rPr>
        <w:t>EC</w:t>
      </w:r>
      <w:r w:rsidRPr="0030697D">
        <w:t xml:space="preserve"> Section 47607[f][1]).</w:t>
      </w:r>
    </w:p>
    <w:p w14:paraId="5B1269A9" w14:textId="336C8D4E" w:rsidR="00F31EDE" w:rsidRDefault="00F31EDE" w:rsidP="00322CDA">
      <w:pPr>
        <w:pStyle w:val="Heading4"/>
      </w:pPr>
      <w:r>
        <w:t>Facilities Design and Usage Does Not Reflect Description in Charter</w:t>
      </w:r>
    </w:p>
    <w:p w14:paraId="39612333" w14:textId="5BF618A1" w:rsidR="00261A90" w:rsidRPr="00261A90" w:rsidRDefault="00261A90" w:rsidP="00261A90">
      <w:pPr>
        <w:pStyle w:val="NormalWeb"/>
        <w:spacing w:before="240" w:beforeAutospacing="0" w:after="240" w:afterAutospacing="0"/>
        <w:rPr>
          <w:rFonts w:ascii="Arial" w:hAnsi="Arial" w:cs="Arial"/>
          <w:color w:val="000000"/>
        </w:rPr>
      </w:pPr>
      <w:r w:rsidRPr="00261A90">
        <w:rPr>
          <w:rFonts w:ascii="Arial" w:hAnsi="Arial" w:cs="Arial"/>
          <w:color w:val="000000"/>
        </w:rPr>
        <w:t xml:space="preserve">The school facility that </w:t>
      </w:r>
      <w:r>
        <w:rPr>
          <w:rFonts w:ascii="Arial" w:hAnsi="Arial" w:cs="Arial"/>
          <w:color w:val="000000"/>
        </w:rPr>
        <w:t>TCS</w:t>
      </w:r>
      <w:r w:rsidRPr="00261A90">
        <w:rPr>
          <w:rFonts w:ascii="Arial" w:hAnsi="Arial" w:cs="Arial"/>
          <w:color w:val="000000"/>
        </w:rPr>
        <w:t xml:space="preserve"> occupied in the 2021</w:t>
      </w:r>
      <w:r>
        <w:rPr>
          <w:rFonts w:ascii="Arial" w:hAnsi="Arial" w:cs="Arial"/>
          <w:color w:val="000000"/>
        </w:rPr>
        <w:t>–</w:t>
      </w:r>
      <w:r w:rsidRPr="00261A90">
        <w:rPr>
          <w:rFonts w:ascii="Arial" w:hAnsi="Arial" w:cs="Arial"/>
          <w:color w:val="000000"/>
        </w:rPr>
        <w:t xml:space="preserve">22 school year did not align with the facility design included in the charter petition. The petition describes a specific facility layout designed to support the unique TCS Learning Model. The petition includes a diagram of a school facility that integrates flexible classrooms, open classroom design, and a learning hub. </w:t>
      </w:r>
      <w:r>
        <w:rPr>
          <w:rFonts w:ascii="Arial" w:hAnsi="Arial" w:cs="Arial"/>
          <w:color w:val="000000"/>
        </w:rPr>
        <w:t>TCS’</w:t>
      </w:r>
      <w:r w:rsidRPr="00261A90">
        <w:rPr>
          <w:rFonts w:ascii="Arial" w:hAnsi="Arial" w:cs="Arial"/>
          <w:color w:val="000000"/>
        </w:rPr>
        <w:t xml:space="preserve"> failure to provide a learning environment that meets the unique needs of the </w:t>
      </w:r>
      <w:r>
        <w:rPr>
          <w:rFonts w:ascii="Arial" w:hAnsi="Arial" w:cs="Arial"/>
          <w:color w:val="000000"/>
        </w:rPr>
        <w:t>TCS</w:t>
      </w:r>
      <w:r w:rsidRPr="00261A90">
        <w:rPr>
          <w:rFonts w:ascii="Arial" w:hAnsi="Arial" w:cs="Arial"/>
          <w:color w:val="000000"/>
        </w:rPr>
        <w:t xml:space="preserve"> Learning Model constitutes a material violation of the approved charter petition.</w:t>
      </w:r>
    </w:p>
    <w:p w14:paraId="5E9037C3" w14:textId="77777777" w:rsidR="00261A90" w:rsidRPr="00261A90" w:rsidRDefault="00261A90" w:rsidP="00261A90">
      <w:pPr>
        <w:spacing w:before="240" w:after="240"/>
        <w:rPr>
          <w:rFonts w:cs="Arial"/>
        </w:rPr>
      </w:pPr>
      <w:r w:rsidRPr="00261A90">
        <w:rPr>
          <w:rFonts w:cs="Arial"/>
        </w:rPr>
        <w:t>The petition states:</w:t>
      </w:r>
    </w:p>
    <w:p w14:paraId="5DB824AE" w14:textId="51D217B5" w:rsidR="00261A90" w:rsidRPr="00261A90" w:rsidRDefault="00261A90" w:rsidP="00261A90">
      <w:pPr>
        <w:pStyle w:val="ListParagraph"/>
        <w:numPr>
          <w:ilvl w:val="0"/>
          <w:numId w:val="6"/>
        </w:numPr>
        <w:spacing w:before="240" w:after="240"/>
        <w:contextualSpacing w:val="0"/>
        <w:rPr>
          <w:rFonts w:cs="Arial"/>
        </w:rPr>
      </w:pPr>
      <w:r w:rsidRPr="00261A90">
        <w:rPr>
          <w:rFonts w:cs="Arial"/>
        </w:rPr>
        <w:t xml:space="preserve">TCS will build a lab school environment and border free classrooms in which our innovative daily schedule will prepare students for taking their </w:t>
      </w:r>
      <w:r>
        <w:rPr>
          <w:rFonts w:cs="Arial"/>
        </w:rPr>
        <w:t xml:space="preserve">twenty-first </w:t>
      </w:r>
      <w:r w:rsidRPr="00261A90">
        <w:rPr>
          <w:rFonts w:cs="Arial"/>
        </w:rPr>
        <w:t>century STEAM learning into the community.</w:t>
      </w:r>
    </w:p>
    <w:p w14:paraId="7C64162D" w14:textId="77777777" w:rsidR="00261A90" w:rsidRPr="00261A90" w:rsidRDefault="00261A90" w:rsidP="00261A90">
      <w:pPr>
        <w:pStyle w:val="ListParagraph"/>
        <w:numPr>
          <w:ilvl w:val="0"/>
          <w:numId w:val="6"/>
        </w:numPr>
        <w:spacing w:before="240" w:after="240"/>
        <w:contextualSpacing w:val="0"/>
        <w:rPr>
          <w:rFonts w:cs="Arial"/>
        </w:rPr>
      </w:pPr>
      <w:r w:rsidRPr="00261A90">
        <w:rPr>
          <w:rFonts w:cs="Arial"/>
        </w:rPr>
        <w:t>TCS will expand the flexible classroom concept and integrate it into an open school design where students will be surrounded by a physical environment that adapts to their learning needs.</w:t>
      </w:r>
    </w:p>
    <w:p w14:paraId="26B3BCED" w14:textId="77777777" w:rsidR="00261A90" w:rsidRPr="00261A90" w:rsidRDefault="00261A90" w:rsidP="00261A90">
      <w:pPr>
        <w:pStyle w:val="ListParagraph"/>
        <w:numPr>
          <w:ilvl w:val="0"/>
          <w:numId w:val="6"/>
        </w:numPr>
        <w:spacing w:before="240" w:after="240"/>
        <w:contextualSpacing w:val="0"/>
        <w:rPr>
          <w:rFonts w:cs="Arial"/>
        </w:rPr>
      </w:pPr>
      <w:r w:rsidRPr="00261A90">
        <w:rPr>
          <w:rFonts w:cs="Arial"/>
        </w:rPr>
        <w:t>Grade level space includes four classrooms and a learning hub that is both personalized and adaptable. Each of the four classrooms will have flexible seating, flexible tables/stations, and space to collaborate.</w:t>
      </w:r>
    </w:p>
    <w:p w14:paraId="58639E3F" w14:textId="233C9D82" w:rsidR="00261A90" w:rsidRPr="00261A90" w:rsidRDefault="00261A90" w:rsidP="00261A90">
      <w:pPr>
        <w:spacing w:before="240" w:after="240"/>
        <w:rPr>
          <w:rFonts w:cs="Arial"/>
        </w:rPr>
      </w:pPr>
      <w:r w:rsidRPr="00261A90">
        <w:rPr>
          <w:rFonts w:cs="Arial"/>
        </w:rPr>
        <w:t xml:space="preserve">While the petition states that </w:t>
      </w:r>
      <w:r>
        <w:rPr>
          <w:rFonts w:cs="Arial"/>
        </w:rPr>
        <w:t>TCS</w:t>
      </w:r>
      <w:r w:rsidRPr="00261A90">
        <w:rPr>
          <w:rFonts w:cs="Arial"/>
        </w:rPr>
        <w:t xml:space="preserve"> recognizes traditional classroom space may be converted into learning hubs, there was no evidence of adjustments to the 2021</w:t>
      </w:r>
      <w:r>
        <w:rPr>
          <w:rFonts w:cs="Arial"/>
        </w:rPr>
        <w:t>–</w:t>
      </w:r>
      <w:r w:rsidRPr="00261A90">
        <w:rPr>
          <w:rFonts w:cs="Arial"/>
        </w:rPr>
        <w:t xml:space="preserve">22 facility that aligned with the facility description included in the petition. While LACOE acknowledges the constraints that Prop 39 facilities usage agreements may impose on substantive modifications to existing school facilities, </w:t>
      </w:r>
      <w:r>
        <w:rPr>
          <w:rFonts w:cs="Arial"/>
        </w:rPr>
        <w:t>TCS</w:t>
      </w:r>
      <w:r w:rsidRPr="00261A90">
        <w:rPr>
          <w:rFonts w:cs="Arial"/>
        </w:rPr>
        <w:t xml:space="preserve"> did not show evidence that the traditional physical environment was personalized or adjusted to innovatively meet students’ learning needs. </w:t>
      </w:r>
    </w:p>
    <w:p w14:paraId="50C3582B" w14:textId="0054F86E" w:rsidR="00322CDA" w:rsidRPr="00F31EDE" w:rsidRDefault="00322CDA" w:rsidP="00322CDA">
      <w:pPr>
        <w:pStyle w:val="Heading4"/>
      </w:pPr>
      <w:r>
        <w:t>Proposed 2022–23 Staffing Does Not Include the Key Position of Counselor</w:t>
      </w:r>
    </w:p>
    <w:bookmarkEnd w:id="4"/>
    <w:p w14:paraId="382EF91E" w14:textId="17792F23" w:rsidR="00261A90" w:rsidRPr="00261A90" w:rsidRDefault="00261A90" w:rsidP="00261A90">
      <w:pPr>
        <w:spacing w:before="240" w:after="240"/>
        <w:rPr>
          <w:rFonts w:cs="Arial"/>
          <w:szCs w:val="22"/>
        </w:rPr>
      </w:pPr>
      <w:r w:rsidRPr="00261A90">
        <w:rPr>
          <w:rFonts w:cs="Arial"/>
          <w:szCs w:val="22"/>
        </w:rPr>
        <w:t>The 2022</w:t>
      </w:r>
      <w:r>
        <w:rPr>
          <w:rFonts w:cs="Arial"/>
          <w:szCs w:val="22"/>
        </w:rPr>
        <w:t>–</w:t>
      </w:r>
      <w:r w:rsidRPr="00261A90">
        <w:rPr>
          <w:rFonts w:cs="Arial"/>
          <w:szCs w:val="22"/>
        </w:rPr>
        <w:t xml:space="preserve">23 proposed staff list provided by </w:t>
      </w:r>
      <w:r>
        <w:rPr>
          <w:rFonts w:cs="Arial"/>
          <w:szCs w:val="22"/>
        </w:rPr>
        <w:t>TCS</w:t>
      </w:r>
      <w:r w:rsidRPr="00261A90">
        <w:rPr>
          <w:rFonts w:cs="Arial"/>
          <w:szCs w:val="22"/>
        </w:rPr>
        <w:t xml:space="preserve"> does not include a full-time counselor. The original approved petition budget included one counselor in year 1, adding an additional counselor in years two and three. During the 2021</w:t>
      </w:r>
      <w:r>
        <w:rPr>
          <w:rFonts w:cs="Arial"/>
          <w:szCs w:val="22"/>
        </w:rPr>
        <w:t>–</w:t>
      </w:r>
      <w:r w:rsidRPr="00261A90">
        <w:rPr>
          <w:rFonts w:cs="Arial"/>
          <w:szCs w:val="22"/>
        </w:rPr>
        <w:t xml:space="preserve">22 school year </w:t>
      </w:r>
      <w:r>
        <w:rPr>
          <w:rFonts w:cs="Arial"/>
          <w:szCs w:val="22"/>
        </w:rPr>
        <w:t>TCS</w:t>
      </w:r>
      <w:r w:rsidRPr="00261A90">
        <w:rPr>
          <w:rFonts w:cs="Arial"/>
          <w:szCs w:val="22"/>
        </w:rPr>
        <w:t xml:space="preserve"> hired a counselor; however, due to a budget shortfall, the counseling position was left vacant for most of the school year. The charter petition states that part of the counselor’s job responsibilities include:</w:t>
      </w:r>
    </w:p>
    <w:p w14:paraId="7D17D082" w14:textId="77777777" w:rsidR="00261A90" w:rsidRPr="00261A90" w:rsidRDefault="00261A90" w:rsidP="00261A90">
      <w:pPr>
        <w:pStyle w:val="ListParagraph"/>
        <w:numPr>
          <w:ilvl w:val="0"/>
          <w:numId w:val="7"/>
        </w:numPr>
        <w:spacing w:before="240" w:after="240"/>
        <w:ind w:left="720"/>
        <w:contextualSpacing w:val="0"/>
        <w:rPr>
          <w:rFonts w:cs="Arial"/>
          <w:szCs w:val="22"/>
        </w:rPr>
      </w:pPr>
      <w:r w:rsidRPr="00261A90">
        <w:rPr>
          <w:rFonts w:cs="Arial"/>
          <w:szCs w:val="22"/>
        </w:rPr>
        <w:t>Working with students on developing academic and career goals, ensuring students are meeting high school graduation requirements, and addressing specific educational needs of students pertaining to college/career choices.</w:t>
      </w:r>
    </w:p>
    <w:p w14:paraId="15A6F88D" w14:textId="77777777" w:rsidR="00261A90" w:rsidRPr="00261A90" w:rsidRDefault="00261A90" w:rsidP="00261A90">
      <w:pPr>
        <w:pStyle w:val="ListParagraph"/>
        <w:numPr>
          <w:ilvl w:val="0"/>
          <w:numId w:val="7"/>
        </w:numPr>
        <w:spacing w:before="240" w:after="240"/>
        <w:ind w:left="720"/>
        <w:contextualSpacing w:val="0"/>
        <w:rPr>
          <w:rFonts w:cs="Arial"/>
          <w:szCs w:val="22"/>
        </w:rPr>
      </w:pPr>
      <w:r w:rsidRPr="00261A90">
        <w:rPr>
          <w:rFonts w:cs="Arial"/>
          <w:szCs w:val="22"/>
        </w:rPr>
        <w:lastRenderedPageBreak/>
        <w:t>Collecting, disaggregating, and analyzing student learning data from standardized tests and school assessments.</w:t>
      </w:r>
    </w:p>
    <w:p w14:paraId="4199ED4C" w14:textId="68CF9FC9" w:rsidR="00261A90" w:rsidRPr="00261A90" w:rsidRDefault="00261A90" w:rsidP="00261A90">
      <w:pPr>
        <w:spacing w:before="240" w:after="240"/>
        <w:rPr>
          <w:rFonts w:cs="Arial"/>
          <w:szCs w:val="22"/>
        </w:rPr>
      </w:pPr>
      <w:r w:rsidRPr="00261A90">
        <w:rPr>
          <w:rFonts w:cs="Arial"/>
          <w:szCs w:val="22"/>
        </w:rPr>
        <w:t xml:space="preserve">Based on the job responsibilities described in the petition, the impact of </w:t>
      </w:r>
      <w:r>
        <w:rPr>
          <w:rFonts w:cs="Arial"/>
          <w:szCs w:val="22"/>
        </w:rPr>
        <w:t>TCS</w:t>
      </w:r>
      <w:r w:rsidRPr="00261A90">
        <w:rPr>
          <w:rFonts w:cs="Arial"/>
          <w:szCs w:val="22"/>
        </w:rPr>
        <w:t xml:space="preserve"> operating without a counselor has already negatively impacted the instructional program. As previously noted, </w:t>
      </w:r>
      <w:r>
        <w:rPr>
          <w:rFonts w:cs="Arial"/>
          <w:szCs w:val="22"/>
        </w:rPr>
        <w:t>TCS</w:t>
      </w:r>
      <w:r w:rsidRPr="00261A90">
        <w:rPr>
          <w:rFonts w:cs="Arial"/>
          <w:szCs w:val="22"/>
        </w:rPr>
        <w:t xml:space="preserve"> failed to assess all students on NWEA benchmark assessments. In addition, there has been no evidence submitted to LACOE of analysis of NWEA assessment data. </w:t>
      </w:r>
      <w:r>
        <w:rPr>
          <w:rFonts w:cs="Arial"/>
          <w:szCs w:val="22"/>
        </w:rPr>
        <w:t>TCS</w:t>
      </w:r>
      <w:r w:rsidRPr="00261A90">
        <w:rPr>
          <w:rFonts w:cs="Arial"/>
          <w:szCs w:val="22"/>
        </w:rPr>
        <w:t xml:space="preserve"> will begin enrolling </w:t>
      </w:r>
      <w:r>
        <w:rPr>
          <w:rFonts w:cs="Arial"/>
          <w:szCs w:val="22"/>
        </w:rPr>
        <w:t>eleventh</w:t>
      </w:r>
      <w:r w:rsidRPr="00261A90">
        <w:rPr>
          <w:rFonts w:cs="Arial"/>
          <w:szCs w:val="22"/>
        </w:rPr>
        <w:t xml:space="preserve"> grade students in Fall 2022. This grade level requires significant support in exploring college/career choices and exploring post-secondary options. Additionally, research shows significant increases in the social-emotional needs of students resulting from the COVID-19 pandemic and traumatic experiences outside of school. With no counselor to implement school wide, small group, and individual supports for students, this key position that is critical for any high school will not be present at </w:t>
      </w:r>
      <w:r>
        <w:rPr>
          <w:rFonts w:cs="Arial"/>
          <w:szCs w:val="22"/>
        </w:rPr>
        <w:t>TCS</w:t>
      </w:r>
      <w:r w:rsidRPr="00261A90">
        <w:rPr>
          <w:rFonts w:cs="Arial"/>
          <w:szCs w:val="22"/>
        </w:rPr>
        <w:t xml:space="preserve">. As such, </w:t>
      </w:r>
      <w:r>
        <w:rPr>
          <w:rFonts w:cs="Arial"/>
          <w:szCs w:val="22"/>
        </w:rPr>
        <w:t>TCS’</w:t>
      </w:r>
      <w:r w:rsidRPr="00261A90">
        <w:rPr>
          <w:rFonts w:cs="Arial"/>
          <w:szCs w:val="22"/>
        </w:rPr>
        <w:t xml:space="preserve"> failure to hire and retain a full-time counselor is a material violation of the approved charter petition. </w:t>
      </w:r>
    </w:p>
    <w:p w14:paraId="388A0A90" w14:textId="77777777" w:rsidR="0025135D" w:rsidRPr="00227FF6" w:rsidRDefault="0025135D" w:rsidP="00812F6E">
      <w:pPr>
        <w:pStyle w:val="Heading2"/>
        <w:spacing w:before="0"/>
        <w:rPr>
          <w:lang w:eastAsia="ja-JP"/>
        </w:rPr>
      </w:pPr>
      <w:r w:rsidRPr="00227FF6">
        <w:rPr>
          <w:lang w:eastAsia="ja-JP"/>
        </w:rPr>
        <w:t>Other Concerns</w:t>
      </w:r>
    </w:p>
    <w:p w14:paraId="12F1AB34" w14:textId="406A1487" w:rsidR="00261A90" w:rsidRDefault="00350B8F" w:rsidP="002B1C0C">
      <w:pPr>
        <w:spacing w:after="240"/>
      </w:pPr>
      <w:r>
        <w:t xml:space="preserve">TCS’ initial WASC accreditation visit was in </w:t>
      </w:r>
      <w:r w:rsidR="00261A90">
        <w:t>April of</w:t>
      </w:r>
      <w:r>
        <w:t xml:space="preserve"> 2022; however, the school has not yet received an accreditation term.</w:t>
      </w:r>
    </w:p>
    <w:p w14:paraId="0CE4FD4C" w14:textId="6804A3EC" w:rsidR="002B1C0C" w:rsidRDefault="00350B8F" w:rsidP="002B1C0C">
      <w:pPr>
        <w:spacing w:after="240"/>
      </w:pPr>
      <w:r>
        <w:t>Additionally, LACOE</w:t>
      </w:r>
      <w:r w:rsidR="00261A90">
        <w:t xml:space="preserve"> staff met with the TCS Board and Executive Director on May 25, 2022. During the meeting, TCS was asked to submit NWEA normed Condition Growth Index data, NWEA data broken down by student group, the number of students on track for CSU/UC eligibility, and end of year transcripts for all students. However, TCS</w:t>
      </w:r>
      <w:r>
        <w:t xml:space="preserve"> has not submitted this data.</w:t>
      </w:r>
      <w:bookmarkEnd w:id="2"/>
    </w:p>
    <w:p w14:paraId="27B4890F" w14:textId="2F0C7B5A" w:rsidR="003E4DF7" w:rsidRDefault="00B7378E" w:rsidP="00812F6E">
      <w:pPr>
        <w:pStyle w:val="Heading2"/>
        <w:spacing w:before="0"/>
      </w:pPr>
      <w:r>
        <w:rPr>
          <w:bCs/>
        </w:rPr>
        <w:t xml:space="preserve">Previous Board </w:t>
      </w:r>
      <w:r w:rsidR="003E4DF7">
        <w:t>Action</w:t>
      </w:r>
    </w:p>
    <w:p w14:paraId="5FEAD44E" w14:textId="77777777" w:rsidR="002A7569" w:rsidRDefault="002A7569" w:rsidP="002A7569">
      <w:pPr>
        <w:spacing w:after="240"/>
      </w:pPr>
      <w:bookmarkStart w:id="5" w:name="_Hlk39038666"/>
      <w:r w:rsidRPr="009D4E23">
        <w:t>On August 26, 2019, the petitioner submitted the TCS petition to Montebello Unified School District (MUSD). O</w:t>
      </w:r>
      <w:bookmarkStart w:id="6" w:name="_Hlk37326099"/>
      <w:r w:rsidRPr="009D4E23">
        <w:t xml:space="preserve">n October 23, 2019, MUSD voted to deny the TCS petition by a vote of four to zero. </w:t>
      </w:r>
    </w:p>
    <w:p w14:paraId="3D3FD942" w14:textId="0A8E7847" w:rsidR="002A7569" w:rsidRPr="009D4E23" w:rsidRDefault="002A7569" w:rsidP="002A7569">
      <w:pPr>
        <w:spacing w:after="240"/>
      </w:pPr>
      <w:r w:rsidRPr="009D4E23">
        <w:t xml:space="preserve">On November 12, 2019, the petitioner submitted the TCS petition to the </w:t>
      </w:r>
      <w:r>
        <w:t>LACOE.</w:t>
      </w:r>
      <w:r w:rsidRPr="009D4E23">
        <w:t xml:space="preserve"> On January 14, 2020, the LACBOE voted to amend the motion to approve the Superintendent’s recommendation to deny the TCS petition. The</w:t>
      </w:r>
      <w:r>
        <w:t xml:space="preserve"> </w:t>
      </w:r>
      <w:r w:rsidRPr="009D4E23">
        <w:t>CDE notes that LACBOE only adopted Finding 2, Indicator 2 (Budget Plan[s] Deficiencies) of the staff report (Attachment 7</w:t>
      </w:r>
      <w:r w:rsidRPr="00E271E0">
        <w:rPr>
          <w:rFonts w:cs="Arial"/>
        </w:rPr>
        <w:t xml:space="preserve"> </w:t>
      </w:r>
      <w:r>
        <w:rPr>
          <w:rFonts w:cs="Arial"/>
        </w:rPr>
        <w:t xml:space="preserve">of the Agenda Item 06 on the June 9, 2020, Meeting Notice on the SBE ACCS web page at </w:t>
      </w:r>
      <w:hyperlink r:id="rId15" w:tooltip="June 2020 ACCS Meeting Agenda web page" w:history="1">
        <w:r w:rsidRPr="00EB1B5C">
          <w:rPr>
            <w:rStyle w:val="Hyperlink"/>
            <w:rFonts w:cs="Arial"/>
          </w:rPr>
          <w:t>https://www.cde.ca.gov/be/cc/cs/accsnotice060920.asp</w:t>
        </w:r>
      </w:hyperlink>
      <w:r w:rsidRPr="009D4E23">
        <w:t>). LACBOE denied the TCS petition by a vote of five to one.</w:t>
      </w:r>
    </w:p>
    <w:p w14:paraId="1419E8FA" w14:textId="6027935A" w:rsidR="002B1C0C" w:rsidRPr="009F60BF" w:rsidRDefault="002A7569" w:rsidP="00812F6E">
      <w:pPr>
        <w:spacing w:after="240"/>
      </w:pPr>
      <w:r w:rsidRPr="009F60BF">
        <w:t>The petitioner submitted the TCS petition to the SBE on March 6, 2020.</w:t>
      </w:r>
      <w:bookmarkEnd w:id="5"/>
      <w:bookmarkEnd w:id="6"/>
      <w:r w:rsidRPr="009F60BF">
        <w:t xml:space="preserve"> The ACCS considered the TCS charter petition at its </w:t>
      </w:r>
      <w:r w:rsidR="00804AF0" w:rsidRPr="009F60BF">
        <w:t>June 9, 2020, meeting</w:t>
      </w:r>
      <w:r w:rsidR="00731296" w:rsidRPr="009F60BF">
        <w:t xml:space="preserve">. At this meeting, the CDE proposed to recommend that the SBE deny the TCS charter petition. The ACCS did not agree with the CDE’s recommendation and </w:t>
      </w:r>
      <w:r w:rsidR="00350B8F" w:rsidRPr="009F60BF">
        <w:t xml:space="preserve">moved to </w:t>
      </w:r>
      <w:r w:rsidR="0038181C" w:rsidRPr="009F60BF">
        <w:t xml:space="preserve">recommend approval of </w:t>
      </w:r>
      <w:r w:rsidR="00350B8F" w:rsidRPr="009F60BF">
        <w:t xml:space="preserve">the TCS petition with a delay in opening for one year, with the understanding that TCS </w:t>
      </w:r>
      <w:r w:rsidR="00350B8F" w:rsidRPr="009F60BF">
        <w:lastRenderedPageBreak/>
        <w:t>would be in operation for four years. The motion passed by a vote of seven to two.</w:t>
      </w:r>
      <w:r w:rsidR="001B4524" w:rsidRPr="009F60BF">
        <w:t xml:space="preserve"> </w:t>
      </w:r>
      <w:r w:rsidR="00804AF0" w:rsidRPr="009F60BF">
        <w:rPr>
          <w:rFonts w:eastAsia="Calibri" w:cs="Arial"/>
        </w:rPr>
        <w:t xml:space="preserve">The notice for the June 9, 2020, ACCS meeting is located on the SBE ACCS web page at </w:t>
      </w:r>
      <w:hyperlink r:id="rId16" w:tooltip="June 2020 ACCS Meeting Agenda web page" w:history="1">
        <w:r w:rsidR="00804AF0" w:rsidRPr="009F60BF">
          <w:rPr>
            <w:rStyle w:val="Hyperlink"/>
          </w:rPr>
          <w:t>https://www.cde.ca.gov/be/cc/cs/accsnotice060920.asp</w:t>
        </w:r>
      </w:hyperlink>
      <w:r w:rsidR="00804AF0" w:rsidRPr="009F60BF">
        <w:t>.</w:t>
      </w:r>
    </w:p>
    <w:p w14:paraId="038CDE52" w14:textId="308653A5" w:rsidR="004D3CDC" w:rsidRPr="002B1C0C" w:rsidRDefault="00731296" w:rsidP="00812F6E">
      <w:pPr>
        <w:spacing w:after="240"/>
      </w:pPr>
      <w:r w:rsidRPr="009F60BF">
        <w:rPr>
          <w:rFonts w:cs="Arial"/>
        </w:rPr>
        <w:t xml:space="preserve">At its July 9, 2020, meeting, the CDE again recommended that the SBE deny the TCS charter petition. However, the SBE moved to approve the TCS charter petition with conditions. The motion passed by a vote of 10 to 0. </w:t>
      </w:r>
      <w:r w:rsidR="00496F6B" w:rsidRPr="009F60BF">
        <w:rPr>
          <w:rFonts w:cs="Arial"/>
        </w:rPr>
        <w:t xml:space="preserve">The </w:t>
      </w:r>
      <w:r w:rsidR="004D3CDC" w:rsidRPr="009F60BF">
        <w:rPr>
          <w:rFonts w:cs="Arial"/>
        </w:rPr>
        <w:t xml:space="preserve">meeting agenda and corresponding minutes </w:t>
      </w:r>
      <w:r w:rsidR="00496F6B" w:rsidRPr="009F60BF">
        <w:rPr>
          <w:rFonts w:cs="Arial"/>
        </w:rPr>
        <w:t xml:space="preserve">for this item (Item </w:t>
      </w:r>
      <w:r w:rsidR="002A7569" w:rsidRPr="009F60BF">
        <w:rPr>
          <w:rFonts w:cs="Arial"/>
        </w:rPr>
        <w:t>19)</w:t>
      </w:r>
      <w:r w:rsidR="00496F6B" w:rsidRPr="009F60BF">
        <w:rPr>
          <w:rFonts w:cs="Arial"/>
        </w:rPr>
        <w:t xml:space="preserve"> </w:t>
      </w:r>
      <w:r w:rsidR="004D3CDC" w:rsidRPr="009F60BF">
        <w:rPr>
          <w:rFonts w:cs="Arial"/>
        </w:rPr>
        <w:t xml:space="preserve">can be found on the </w:t>
      </w:r>
      <w:r w:rsidR="001B4524" w:rsidRPr="009F60BF">
        <w:rPr>
          <w:rFonts w:cs="Arial"/>
        </w:rPr>
        <w:t xml:space="preserve">SBE Meeting for July 2020 web page at </w:t>
      </w:r>
      <w:hyperlink r:id="rId17" w:tooltip="SBE Meeting for July 2020 web page" w:history="1">
        <w:r w:rsidR="002801DF" w:rsidRPr="009F60BF">
          <w:rPr>
            <w:rStyle w:val="Hyperlink"/>
          </w:rPr>
          <w:t>https://www.cde.ca.gov/be/ag/ag/yr20/agenda202007.asp</w:t>
        </w:r>
      </w:hyperlink>
      <w:r w:rsidRPr="009F60BF">
        <w:rPr>
          <w:rFonts w:cs="Arial"/>
        </w:rPr>
        <w:t xml:space="preserve"> and </w:t>
      </w:r>
      <w:hyperlink r:id="rId18" w:tooltip="SBE Meeting for July 2020 web page" w:history="1">
        <w:r w:rsidRPr="009F60BF">
          <w:rPr>
            <w:rStyle w:val="Hyperlink"/>
            <w:rFonts w:cs="Arial"/>
          </w:rPr>
          <w:t>https://www.cde.ca.gov/be/mt/ms/documents/finalminutes0809jul2020.docx</w:t>
        </w:r>
      </w:hyperlink>
      <w:r w:rsidRPr="009F60BF">
        <w:rPr>
          <w:rFonts w:cs="Arial"/>
        </w:rPr>
        <w:t>, respectively.</w:t>
      </w:r>
      <w:r w:rsidR="002801DF">
        <w:rPr>
          <w:rFonts w:cs="Arial"/>
        </w:rPr>
        <w:t xml:space="preserve"> </w:t>
      </w:r>
    </w:p>
    <w:p w14:paraId="411B142C" w14:textId="77777777" w:rsidR="00406F50" w:rsidRPr="001B3958" w:rsidRDefault="00406F50" w:rsidP="00812F6E">
      <w:pPr>
        <w:pStyle w:val="Heading2"/>
        <w:spacing w:before="0"/>
      </w:pPr>
      <w:bookmarkStart w:id="7" w:name="_Hlk91149395"/>
      <w:bookmarkStart w:id="8" w:name="_Hlk90454948"/>
      <w:r w:rsidRPr="001B3958">
        <w:t>Attachments</w:t>
      </w:r>
    </w:p>
    <w:p w14:paraId="27BD2B4B" w14:textId="188C5D07" w:rsidR="001A6C61" w:rsidRDefault="00397BFD" w:rsidP="00142F9D">
      <w:pPr>
        <w:pStyle w:val="Default"/>
        <w:numPr>
          <w:ilvl w:val="0"/>
          <w:numId w:val="1"/>
        </w:numPr>
        <w:spacing w:after="240"/>
      </w:pPr>
      <w:bookmarkStart w:id="9" w:name="_Hlk91152495"/>
      <w:r w:rsidRPr="00812F6E">
        <w:rPr>
          <w:b/>
        </w:rPr>
        <w:t>Attachment 1:</w:t>
      </w:r>
      <w:r w:rsidRPr="00812F6E">
        <w:t xml:space="preserve"> </w:t>
      </w:r>
      <w:r w:rsidR="00C32D8B">
        <w:t xml:space="preserve">Draft </w:t>
      </w:r>
      <w:r w:rsidRPr="00812F6E">
        <w:t xml:space="preserve">Letter to </w:t>
      </w:r>
      <w:bookmarkStart w:id="10" w:name="_Hlk107230547"/>
      <w:r w:rsidRPr="00812F6E">
        <w:t xml:space="preserve">Board President </w:t>
      </w:r>
      <w:r w:rsidR="00142F9D">
        <w:t xml:space="preserve">Brown, </w:t>
      </w:r>
      <w:r w:rsidRPr="00812F6E">
        <w:t xml:space="preserve">Executive </w:t>
      </w:r>
      <w:r w:rsidR="00142F9D">
        <w:t>Director Ramirez, and T.I.M.E. Community School Governing</w:t>
      </w:r>
      <w:bookmarkEnd w:id="10"/>
      <w:r w:rsidR="00142F9D">
        <w:t xml:space="preserve"> Board</w:t>
      </w:r>
      <w:r w:rsidRPr="00812F6E">
        <w:t xml:space="preserve"> </w:t>
      </w:r>
      <w:r>
        <w:t xml:space="preserve">Dated </w:t>
      </w:r>
      <w:r w:rsidR="00E3189E" w:rsidRPr="00E3189E">
        <w:t>July 14,</w:t>
      </w:r>
      <w:r w:rsidR="0030697D">
        <w:t xml:space="preserve"> 2022</w:t>
      </w:r>
      <w:r w:rsidRPr="00812F6E">
        <w:t xml:space="preserve">: Notice of Violation Pursuant to California </w:t>
      </w:r>
      <w:r w:rsidRPr="00812F6E">
        <w:rPr>
          <w:i/>
        </w:rPr>
        <w:t>Education Code</w:t>
      </w:r>
      <w:r w:rsidRPr="00812F6E">
        <w:t xml:space="preserve"> Section 47607(</w:t>
      </w:r>
      <w:r>
        <w:t>g</w:t>
      </w:r>
      <w:r w:rsidRPr="00812F6E">
        <w:t>) (</w:t>
      </w:r>
      <w:r w:rsidR="00BE2E86">
        <w:t>8</w:t>
      </w:r>
      <w:r w:rsidR="00F62FA8">
        <w:t xml:space="preserve"> </w:t>
      </w:r>
      <w:r w:rsidRPr="00F62FA8">
        <w:t>Pages</w:t>
      </w:r>
      <w:r w:rsidRPr="00812F6E">
        <w:t>)</w:t>
      </w:r>
      <w:bookmarkEnd w:id="7"/>
      <w:bookmarkEnd w:id="8"/>
      <w:bookmarkEnd w:id="9"/>
    </w:p>
    <w:p w14:paraId="50C3752A" w14:textId="3DFE17BA" w:rsidR="009F60BF" w:rsidRDefault="009F60BF" w:rsidP="00142F9D">
      <w:pPr>
        <w:pStyle w:val="Default"/>
        <w:numPr>
          <w:ilvl w:val="0"/>
          <w:numId w:val="1"/>
        </w:numPr>
        <w:spacing w:after="240"/>
      </w:pPr>
      <w:r>
        <w:rPr>
          <w:b/>
        </w:rPr>
        <w:t>Attachment 2:</w:t>
      </w:r>
      <w:r>
        <w:t xml:space="preserve"> T.I.M.E. Community School </w:t>
      </w:r>
      <w:r w:rsidRPr="00812F6E">
        <w:t xml:space="preserve">Charter </w:t>
      </w:r>
      <w:r>
        <w:t xml:space="preserve">Petition </w:t>
      </w:r>
      <w:r w:rsidRPr="00812F6E">
        <w:t xml:space="preserve">as </w:t>
      </w:r>
      <w:r>
        <w:t>A</w:t>
      </w:r>
      <w:r w:rsidRPr="00812F6E">
        <w:t xml:space="preserve">pproved by the California State Board of Education on July </w:t>
      </w:r>
      <w:r>
        <w:t>9</w:t>
      </w:r>
      <w:r w:rsidRPr="00812F6E">
        <w:t>, 2020 (</w:t>
      </w:r>
      <w:r w:rsidR="00F848E7">
        <w:t xml:space="preserve">145 </w:t>
      </w:r>
      <w:r>
        <w:t>P</w:t>
      </w:r>
      <w:r w:rsidRPr="00812F6E">
        <w:t>ages)</w:t>
      </w:r>
    </w:p>
    <w:p w14:paraId="5C734AFF" w14:textId="0C4CE2D8" w:rsidR="009F60BF" w:rsidRDefault="009F60BF" w:rsidP="009F60BF">
      <w:pPr>
        <w:pStyle w:val="ListParagraph"/>
        <w:numPr>
          <w:ilvl w:val="0"/>
          <w:numId w:val="1"/>
        </w:numPr>
        <w:spacing w:after="240"/>
        <w:contextualSpacing w:val="0"/>
        <w:rPr>
          <w:rFonts w:cs="Arial"/>
        </w:rPr>
      </w:pPr>
      <w:r w:rsidRPr="00812F6E">
        <w:rPr>
          <w:rFonts w:cs="Arial"/>
          <w:b/>
        </w:rPr>
        <w:t xml:space="preserve">Attachment </w:t>
      </w:r>
      <w:r>
        <w:rPr>
          <w:rFonts w:cs="Arial"/>
          <w:b/>
        </w:rPr>
        <w:t>3</w:t>
      </w:r>
      <w:r w:rsidRPr="00812F6E">
        <w:rPr>
          <w:rFonts w:cs="Arial"/>
          <w:b/>
        </w:rPr>
        <w:t>:</w:t>
      </w:r>
      <w:r w:rsidRPr="00812F6E">
        <w:rPr>
          <w:rFonts w:cs="Arial"/>
        </w:rPr>
        <w:t xml:space="preserve"> Memorandum of Understanding between the </w:t>
      </w:r>
      <w:bookmarkStart w:id="11" w:name="_Hlk107237538"/>
      <w:r>
        <w:rPr>
          <w:rFonts w:cs="Arial"/>
        </w:rPr>
        <w:t xml:space="preserve">Los Angeles County Office of Education </w:t>
      </w:r>
      <w:bookmarkEnd w:id="11"/>
      <w:r w:rsidRPr="00812F6E">
        <w:rPr>
          <w:rFonts w:cs="Arial"/>
        </w:rPr>
        <w:t xml:space="preserve">and </w:t>
      </w:r>
      <w:r>
        <w:rPr>
          <w:rFonts w:cs="Arial"/>
        </w:rPr>
        <w:t>T.I.M.E. Community School</w:t>
      </w:r>
      <w:r w:rsidRPr="00812F6E">
        <w:rPr>
          <w:rFonts w:cs="Arial"/>
        </w:rPr>
        <w:t xml:space="preserve"> (</w:t>
      </w:r>
      <w:r w:rsidR="00F848E7">
        <w:rPr>
          <w:rFonts w:cs="Arial"/>
        </w:rPr>
        <w:t>43</w:t>
      </w:r>
      <w:r>
        <w:rPr>
          <w:rFonts w:cs="Arial"/>
        </w:rPr>
        <w:t xml:space="preserve"> P</w:t>
      </w:r>
      <w:r w:rsidRPr="00812F6E">
        <w:rPr>
          <w:rFonts w:cs="Arial"/>
        </w:rPr>
        <w:t>ages)</w:t>
      </w:r>
    </w:p>
    <w:p w14:paraId="4E1101FC" w14:textId="3281C947" w:rsidR="009F60BF" w:rsidRPr="00812F6E" w:rsidRDefault="009F60BF" w:rsidP="009F60BF">
      <w:pPr>
        <w:pStyle w:val="ListParagraph"/>
        <w:numPr>
          <w:ilvl w:val="0"/>
          <w:numId w:val="1"/>
        </w:numPr>
        <w:spacing w:after="240"/>
        <w:contextualSpacing w:val="0"/>
        <w:rPr>
          <w:rFonts w:cs="Arial"/>
        </w:rPr>
      </w:pPr>
      <w:r w:rsidRPr="00812F6E">
        <w:rPr>
          <w:rFonts w:cs="Arial"/>
          <w:b/>
        </w:rPr>
        <w:t xml:space="preserve">Attachment </w:t>
      </w:r>
      <w:r>
        <w:rPr>
          <w:rFonts w:cs="Arial"/>
          <w:b/>
        </w:rPr>
        <w:t>4</w:t>
      </w:r>
      <w:r w:rsidRPr="00812F6E">
        <w:rPr>
          <w:rFonts w:cs="Arial"/>
          <w:b/>
        </w:rPr>
        <w:t>:</w:t>
      </w:r>
      <w:r w:rsidRPr="00812F6E">
        <w:rPr>
          <w:rFonts w:cs="Arial"/>
        </w:rPr>
        <w:t xml:space="preserve"> </w:t>
      </w:r>
      <w:r w:rsidRPr="00E61253">
        <w:rPr>
          <w:rFonts w:cs="Arial"/>
        </w:rPr>
        <w:t xml:space="preserve">Los Angeles County Office of Education </w:t>
      </w:r>
      <w:r>
        <w:rPr>
          <w:rFonts w:cs="Arial"/>
        </w:rPr>
        <w:t>Notice</w:t>
      </w:r>
      <w:r w:rsidRPr="00812F6E">
        <w:rPr>
          <w:rFonts w:cs="Arial"/>
        </w:rPr>
        <w:t xml:space="preserve"> of Concern to </w:t>
      </w:r>
      <w:r>
        <w:rPr>
          <w:rFonts w:cs="Arial"/>
        </w:rPr>
        <w:t>T.I.M.E. Community School</w:t>
      </w:r>
      <w:r w:rsidRPr="00812F6E">
        <w:rPr>
          <w:rFonts w:cs="Arial"/>
        </w:rPr>
        <w:t xml:space="preserve"> </w:t>
      </w:r>
      <w:r>
        <w:rPr>
          <w:rFonts w:cs="Arial"/>
        </w:rPr>
        <w:t>D</w:t>
      </w:r>
      <w:r w:rsidRPr="00812F6E">
        <w:rPr>
          <w:rFonts w:cs="Arial"/>
        </w:rPr>
        <w:t xml:space="preserve">ated </w:t>
      </w:r>
      <w:r>
        <w:rPr>
          <w:rFonts w:cs="Arial"/>
        </w:rPr>
        <w:t>January 26</w:t>
      </w:r>
      <w:r w:rsidRPr="00812F6E">
        <w:rPr>
          <w:rFonts w:cs="Arial"/>
        </w:rPr>
        <w:t>, 202</w:t>
      </w:r>
      <w:r>
        <w:rPr>
          <w:rFonts w:cs="Arial"/>
        </w:rPr>
        <w:t>2</w:t>
      </w:r>
      <w:r w:rsidRPr="00812F6E">
        <w:rPr>
          <w:rFonts w:cs="Arial"/>
        </w:rPr>
        <w:t xml:space="preserve"> (</w:t>
      </w:r>
      <w:r w:rsidR="00F848E7">
        <w:rPr>
          <w:rFonts w:cs="Arial"/>
        </w:rPr>
        <w:t>6</w:t>
      </w:r>
      <w:r>
        <w:rPr>
          <w:rFonts w:cs="Arial"/>
        </w:rPr>
        <w:t xml:space="preserve"> P</w:t>
      </w:r>
      <w:r w:rsidRPr="00812F6E">
        <w:rPr>
          <w:rFonts w:cs="Arial"/>
        </w:rPr>
        <w:t>ages)</w:t>
      </w:r>
    </w:p>
    <w:p w14:paraId="7D860938" w14:textId="06C3C604" w:rsidR="009F60BF" w:rsidRPr="00EA078E" w:rsidRDefault="009F60BF" w:rsidP="009F60BF">
      <w:pPr>
        <w:pStyle w:val="ListParagraph"/>
        <w:numPr>
          <w:ilvl w:val="0"/>
          <w:numId w:val="1"/>
        </w:numPr>
        <w:spacing w:after="240"/>
        <w:contextualSpacing w:val="0"/>
        <w:rPr>
          <w:rFonts w:cs="Arial"/>
        </w:rPr>
      </w:pPr>
      <w:r w:rsidRPr="00812F6E">
        <w:rPr>
          <w:rFonts w:cs="Arial"/>
          <w:b/>
        </w:rPr>
        <w:t xml:space="preserve">Attachment </w:t>
      </w:r>
      <w:r>
        <w:rPr>
          <w:rFonts w:cs="Arial"/>
          <w:b/>
        </w:rPr>
        <w:t>5</w:t>
      </w:r>
      <w:r w:rsidRPr="00812F6E">
        <w:rPr>
          <w:rFonts w:cs="Arial"/>
          <w:b/>
        </w:rPr>
        <w:t>:</w:t>
      </w:r>
      <w:r w:rsidRPr="00812F6E">
        <w:rPr>
          <w:rFonts w:cs="Arial"/>
        </w:rPr>
        <w:t xml:space="preserve"> </w:t>
      </w:r>
      <w:r w:rsidRPr="00E61253">
        <w:rPr>
          <w:rFonts w:cs="Arial"/>
        </w:rPr>
        <w:t xml:space="preserve">Los Angeles County Office of Education </w:t>
      </w:r>
      <w:r>
        <w:rPr>
          <w:rFonts w:cs="Arial"/>
        </w:rPr>
        <w:t>Notice</w:t>
      </w:r>
      <w:r w:rsidRPr="00812F6E">
        <w:rPr>
          <w:rFonts w:cs="Arial"/>
        </w:rPr>
        <w:t xml:space="preserve"> of Concern to </w:t>
      </w:r>
      <w:r>
        <w:rPr>
          <w:rFonts w:cs="Arial"/>
        </w:rPr>
        <w:t>T.I.M.E. Community School</w:t>
      </w:r>
      <w:r w:rsidRPr="00812F6E">
        <w:rPr>
          <w:rFonts w:cs="Arial"/>
        </w:rPr>
        <w:t xml:space="preserve"> </w:t>
      </w:r>
      <w:r>
        <w:rPr>
          <w:rFonts w:cs="Arial"/>
        </w:rPr>
        <w:t>D</w:t>
      </w:r>
      <w:r w:rsidRPr="00812F6E">
        <w:rPr>
          <w:rFonts w:cs="Arial"/>
        </w:rPr>
        <w:t xml:space="preserve">ated </w:t>
      </w:r>
      <w:r w:rsidRPr="00EA078E">
        <w:rPr>
          <w:rFonts w:cs="Arial"/>
        </w:rPr>
        <w:t>June 2</w:t>
      </w:r>
      <w:r w:rsidR="00EA078E">
        <w:rPr>
          <w:rFonts w:cs="Arial"/>
        </w:rPr>
        <w:t>8</w:t>
      </w:r>
      <w:r w:rsidRPr="00EA078E">
        <w:rPr>
          <w:rFonts w:cs="Arial"/>
        </w:rPr>
        <w:t>, 2022 (</w:t>
      </w:r>
      <w:r w:rsidR="00F848E7">
        <w:rPr>
          <w:rFonts w:cs="Arial"/>
        </w:rPr>
        <w:t xml:space="preserve">7 </w:t>
      </w:r>
      <w:r w:rsidRPr="00EA078E">
        <w:rPr>
          <w:rFonts w:cs="Arial"/>
        </w:rPr>
        <w:t>Pages)</w:t>
      </w:r>
    </w:p>
    <w:p w14:paraId="573421F4" w14:textId="78DE88E6" w:rsidR="009F60BF" w:rsidRPr="00095B45" w:rsidRDefault="009F60BF" w:rsidP="00821640">
      <w:pPr>
        <w:pStyle w:val="ListParagraph"/>
        <w:numPr>
          <w:ilvl w:val="0"/>
          <w:numId w:val="1"/>
        </w:numPr>
        <w:spacing w:after="240"/>
        <w:contextualSpacing w:val="0"/>
        <w:rPr>
          <w:rFonts w:cs="Arial"/>
        </w:rPr>
      </w:pPr>
      <w:r w:rsidRPr="00095B45">
        <w:rPr>
          <w:rFonts w:cs="Arial"/>
          <w:b/>
        </w:rPr>
        <w:t>Attachment 6:</w:t>
      </w:r>
      <w:r w:rsidRPr="00095B45">
        <w:rPr>
          <w:rFonts w:cs="Arial"/>
        </w:rPr>
        <w:t xml:space="preserve"> T.I.M.E. Community School Pupil Estimates for New or Significantly Expanding Charters Report (</w:t>
      </w:r>
      <w:r w:rsidR="00F848E7">
        <w:rPr>
          <w:rFonts w:cs="Arial"/>
        </w:rPr>
        <w:t>4</w:t>
      </w:r>
      <w:r w:rsidRPr="00095B45">
        <w:rPr>
          <w:rFonts w:cs="Arial"/>
        </w:rPr>
        <w:t xml:space="preserve"> Pages)</w:t>
      </w:r>
    </w:p>
    <w:p w14:paraId="06077FAF" w14:textId="317D786D" w:rsidR="009F60BF" w:rsidRPr="003E2DFD" w:rsidRDefault="009F60BF" w:rsidP="009F60BF">
      <w:pPr>
        <w:pStyle w:val="Default"/>
        <w:numPr>
          <w:ilvl w:val="0"/>
          <w:numId w:val="1"/>
        </w:numPr>
        <w:spacing w:after="240"/>
      </w:pPr>
      <w:r w:rsidRPr="003E2DFD">
        <w:rPr>
          <w:b/>
        </w:rPr>
        <w:t xml:space="preserve">Attachment </w:t>
      </w:r>
      <w:r w:rsidR="00095B45">
        <w:rPr>
          <w:b/>
        </w:rPr>
        <w:t>7</w:t>
      </w:r>
      <w:r>
        <w:rPr>
          <w:b/>
        </w:rPr>
        <w:t>:</w:t>
      </w:r>
      <w:r w:rsidRPr="003E2DFD">
        <w:t xml:space="preserve"> </w:t>
      </w:r>
      <w:r>
        <w:t>Public Charter Schools Grant Program Letter of Concern to T.I.M.E. Community School Dated January 31</w:t>
      </w:r>
      <w:r w:rsidRPr="003E2DFD">
        <w:t>,</w:t>
      </w:r>
      <w:r>
        <w:t xml:space="preserve"> 2022 (</w:t>
      </w:r>
      <w:r w:rsidR="00F848E7">
        <w:t>2</w:t>
      </w:r>
      <w:r>
        <w:t xml:space="preserve"> Pages)</w:t>
      </w:r>
    </w:p>
    <w:p w14:paraId="68BA2195" w14:textId="374169EC" w:rsidR="009F60BF" w:rsidRPr="00812F6E" w:rsidRDefault="009F60BF" w:rsidP="009F60BF">
      <w:pPr>
        <w:pStyle w:val="ListParagraph"/>
        <w:numPr>
          <w:ilvl w:val="0"/>
          <w:numId w:val="1"/>
        </w:numPr>
        <w:spacing w:after="240"/>
        <w:contextualSpacing w:val="0"/>
        <w:rPr>
          <w:rFonts w:cs="Arial"/>
        </w:rPr>
      </w:pPr>
      <w:r w:rsidRPr="00812F6E">
        <w:rPr>
          <w:rFonts w:cs="Arial"/>
          <w:b/>
        </w:rPr>
        <w:t xml:space="preserve">Attachment </w:t>
      </w:r>
      <w:r w:rsidR="00095B45">
        <w:rPr>
          <w:rFonts w:cs="Arial"/>
          <w:b/>
        </w:rPr>
        <w:t>8</w:t>
      </w:r>
      <w:r w:rsidRPr="00812F6E">
        <w:rPr>
          <w:rFonts w:cs="Arial"/>
          <w:b/>
        </w:rPr>
        <w:t>:</w:t>
      </w:r>
      <w:r w:rsidRPr="00812F6E">
        <w:rPr>
          <w:rFonts w:cs="Arial"/>
        </w:rPr>
        <w:t xml:space="preserve"> </w:t>
      </w:r>
      <w:r>
        <w:t>Promissory Notes (</w:t>
      </w:r>
      <w:r w:rsidR="00F848E7">
        <w:t xml:space="preserve">5 </w:t>
      </w:r>
      <w:r>
        <w:t>Pages)</w:t>
      </w:r>
    </w:p>
    <w:p w14:paraId="2525F9F4" w14:textId="1F0A2B26" w:rsidR="00095B45" w:rsidRPr="00095B45" w:rsidRDefault="00095B45" w:rsidP="009F60BF">
      <w:pPr>
        <w:pStyle w:val="Default"/>
        <w:numPr>
          <w:ilvl w:val="0"/>
          <w:numId w:val="1"/>
        </w:numPr>
        <w:spacing w:after="240"/>
      </w:pPr>
      <w:r>
        <w:rPr>
          <w:b/>
        </w:rPr>
        <w:t xml:space="preserve">Attachment 9: </w:t>
      </w:r>
      <w:r>
        <w:t>T.I.M.E. Community School May 2022 State of Cash Flow and Fiscal Year 2022–25 Forecasts</w:t>
      </w:r>
      <w:r w:rsidR="00F848E7">
        <w:t xml:space="preserve"> (87 Pages)</w:t>
      </w:r>
    </w:p>
    <w:p w14:paraId="47A73622" w14:textId="0E3C00CC" w:rsidR="009F60BF" w:rsidRDefault="009F60BF" w:rsidP="009F60BF">
      <w:pPr>
        <w:pStyle w:val="Default"/>
        <w:numPr>
          <w:ilvl w:val="0"/>
          <w:numId w:val="1"/>
        </w:numPr>
        <w:spacing w:after="240"/>
      </w:pPr>
      <w:r w:rsidRPr="000252A7">
        <w:rPr>
          <w:b/>
        </w:rPr>
        <w:t xml:space="preserve">Attachment </w:t>
      </w:r>
      <w:r w:rsidR="00095B45">
        <w:rPr>
          <w:b/>
        </w:rPr>
        <w:t>10</w:t>
      </w:r>
      <w:r w:rsidRPr="000252A7">
        <w:rPr>
          <w:b/>
        </w:rPr>
        <w:t xml:space="preserve">: </w:t>
      </w:r>
      <w:r>
        <w:t>T.I.M.E. Community School 2021–22 Annual Report to the Los Angeles County Office of Education (</w:t>
      </w:r>
      <w:r w:rsidR="00006281">
        <w:t xml:space="preserve">12 </w:t>
      </w:r>
      <w:r>
        <w:t>Pages)</w:t>
      </w:r>
    </w:p>
    <w:p w14:paraId="3AA1F748" w14:textId="21538510" w:rsidR="009F60BF" w:rsidRPr="00BA5D0B" w:rsidRDefault="009F60BF" w:rsidP="009F60BF">
      <w:pPr>
        <w:pStyle w:val="Default"/>
        <w:numPr>
          <w:ilvl w:val="0"/>
          <w:numId w:val="1"/>
        </w:numPr>
        <w:spacing w:after="240"/>
      </w:pPr>
      <w:r w:rsidRPr="009F60BF">
        <w:rPr>
          <w:b/>
        </w:rPr>
        <w:lastRenderedPageBreak/>
        <w:t>Attachment 11:</w:t>
      </w:r>
      <w:r>
        <w:t xml:space="preserve"> Additional Documentation Provided by the Los Angeles County Office of Education in Support of the Issuance of a Notice of Violation to T.I.M.E. Community School (</w:t>
      </w:r>
      <w:r w:rsidR="00006281">
        <w:t>487</w:t>
      </w:r>
      <w:r>
        <w:t xml:space="preserve"> Pages) </w:t>
      </w:r>
    </w:p>
    <w:sectPr w:rsidR="009F60BF" w:rsidRPr="00BA5D0B" w:rsidSect="00407E9B">
      <w:headerReference w:type="default" r:id="rId1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37CBA" w14:textId="77777777" w:rsidR="0082388D" w:rsidRDefault="0082388D" w:rsidP="000E09DC">
      <w:r>
        <w:separator/>
      </w:r>
    </w:p>
  </w:endnote>
  <w:endnote w:type="continuationSeparator" w:id="0">
    <w:p w14:paraId="2AB56C87" w14:textId="77777777" w:rsidR="0082388D" w:rsidRDefault="0082388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7168" w14:textId="77777777" w:rsidR="00873EFF" w:rsidRDefault="00873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FB01" w14:textId="77777777" w:rsidR="00873EFF" w:rsidRDefault="00873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8C121" w14:textId="77777777" w:rsidR="00873EFF" w:rsidRDefault="00873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666D3" w14:textId="77777777" w:rsidR="0082388D" w:rsidRDefault="0082388D" w:rsidP="000E09DC">
      <w:r>
        <w:separator/>
      </w:r>
    </w:p>
  </w:footnote>
  <w:footnote w:type="continuationSeparator" w:id="0">
    <w:p w14:paraId="7130EB45" w14:textId="77777777" w:rsidR="0082388D" w:rsidRDefault="0082388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26B1" w14:textId="77777777" w:rsidR="00873EFF" w:rsidRDefault="00873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94DF" w14:textId="77777777" w:rsidR="00873EFF" w:rsidRPr="000E09DC" w:rsidRDefault="00873EFF"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E0A1D4E" w14:textId="77777777" w:rsidR="00873EFF" w:rsidRDefault="00873EFF"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25132190" w14:textId="77777777" w:rsidR="00873EFF" w:rsidRPr="00527B0E" w:rsidRDefault="00873EFF"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B3B4" w14:textId="71D4324C" w:rsidR="00873EFF" w:rsidRDefault="00873E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6B593F36" w14:textId="00A52E93" w:rsidR="00873EFF" w:rsidRDefault="00873EFF" w:rsidP="009247FB">
        <w:pPr>
          <w:pStyle w:val="Header"/>
          <w:jc w:val="right"/>
        </w:pPr>
        <w:r>
          <w:t>oab-csd-jan2</w:t>
        </w:r>
        <w:r w:rsidRPr="00972074">
          <w:t>2item04</w:t>
        </w:r>
      </w:p>
      <w:p w14:paraId="59DAEA69" w14:textId="77777777" w:rsidR="00873EFF" w:rsidRPr="009247FB" w:rsidRDefault="00873EFF"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Pr>
            <w:bCs/>
            <w:noProof/>
          </w:rPr>
          <w:t>2</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Pr>
            <w:bCs/>
            <w:noProof/>
          </w:rPr>
          <w:t>3</w:t>
        </w:r>
        <w:r w:rsidRPr="009247FB">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82A"/>
    <w:multiLevelType w:val="hybridMultilevel"/>
    <w:tmpl w:val="3CD2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CF6D20"/>
    <w:multiLevelType w:val="hybridMultilevel"/>
    <w:tmpl w:val="85C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A758B"/>
    <w:multiLevelType w:val="hybridMultilevel"/>
    <w:tmpl w:val="47CE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20A5B"/>
    <w:multiLevelType w:val="hybridMultilevel"/>
    <w:tmpl w:val="2884AFBE"/>
    <w:lvl w:ilvl="0" w:tplc="1BBEC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F75A3"/>
    <w:multiLevelType w:val="hybridMultilevel"/>
    <w:tmpl w:val="8396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A0839"/>
    <w:multiLevelType w:val="hybridMultilevel"/>
    <w:tmpl w:val="383E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42D0D"/>
    <w:multiLevelType w:val="hybridMultilevel"/>
    <w:tmpl w:val="FBAC84A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DC"/>
    <w:rsid w:val="000040D5"/>
    <w:rsid w:val="00006281"/>
    <w:rsid w:val="00013FD5"/>
    <w:rsid w:val="000225FA"/>
    <w:rsid w:val="00022D62"/>
    <w:rsid w:val="000252A7"/>
    <w:rsid w:val="000324AD"/>
    <w:rsid w:val="0003292C"/>
    <w:rsid w:val="00040FE1"/>
    <w:rsid w:val="00050EBB"/>
    <w:rsid w:val="00056944"/>
    <w:rsid w:val="00062A49"/>
    <w:rsid w:val="00067731"/>
    <w:rsid w:val="000713B0"/>
    <w:rsid w:val="00081AAE"/>
    <w:rsid w:val="00095B45"/>
    <w:rsid w:val="000A3AB1"/>
    <w:rsid w:val="000B6B89"/>
    <w:rsid w:val="000C1313"/>
    <w:rsid w:val="000C2209"/>
    <w:rsid w:val="000D16B3"/>
    <w:rsid w:val="000D537B"/>
    <w:rsid w:val="000E09DC"/>
    <w:rsid w:val="000E2B2F"/>
    <w:rsid w:val="000E5E10"/>
    <w:rsid w:val="000E5F38"/>
    <w:rsid w:val="000E6E7B"/>
    <w:rsid w:val="001048F3"/>
    <w:rsid w:val="00106FCE"/>
    <w:rsid w:val="00114EBB"/>
    <w:rsid w:val="0011641E"/>
    <w:rsid w:val="001176A6"/>
    <w:rsid w:val="00121A8F"/>
    <w:rsid w:val="00125CA3"/>
    <w:rsid w:val="00130059"/>
    <w:rsid w:val="00130DEA"/>
    <w:rsid w:val="00137C27"/>
    <w:rsid w:val="00142F9D"/>
    <w:rsid w:val="0014312F"/>
    <w:rsid w:val="00145181"/>
    <w:rsid w:val="001522A8"/>
    <w:rsid w:val="00154498"/>
    <w:rsid w:val="00157585"/>
    <w:rsid w:val="00175084"/>
    <w:rsid w:val="0018148D"/>
    <w:rsid w:val="001859DA"/>
    <w:rsid w:val="001862C4"/>
    <w:rsid w:val="00187A65"/>
    <w:rsid w:val="00197779"/>
    <w:rsid w:val="001A049D"/>
    <w:rsid w:val="001A0CA5"/>
    <w:rsid w:val="001A5416"/>
    <w:rsid w:val="001A5A3C"/>
    <w:rsid w:val="001A6C61"/>
    <w:rsid w:val="001B3958"/>
    <w:rsid w:val="001B4524"/>
    <w:rsid w:val="001D3781"/>
    <w:rsid w:val="001D68B9"/>
    <w:rsid w:val="001E1806"/>
    <w:rsid w:val="001E1929"/>
    <w:rsid w:val="001E3928"/>
    <w:rsid w:val="001F32FD"/>
    <w:rsid w:val="001F355C"/>
    <w:rsid w:val="001F3AD9"/>
    <w:rsid w:val="001F5D55"/>
    <w:rsid w:val="0021232E"/>
    <w:rsid w:val="00214956"/>
    <w:rsid w:val="00223112"/>
    <w:rsid w:val="0022456D"/>
    <w:rsid w:val="00227FF6"/>
    <w:rsid w:val="00240B26"/>
    <w:rsid w:val="00250A08"/>
    <w:rsid w:val="0025135D"/>
    <w:rsid w:val="002515BF"/>
    <w:rsid w:val="0025301B"/>
    <w:rsid w:val="00256DDA"/>
    <w:rsid w:val="00261A90"/>
    <w:rsid w:val="00264E9A"/>
    <w:rsid w:val="00267112"/>
    <w:rsid w:val="002801DF"/>
    <w:rsid w:val="0028245D"/>
    <w:rsid w:val="00284633"/>
    <w:rsid w:val="002A4B1E"/>
    <w:rsid w:val="002A7569"/>
    <w:rsid w:val="002B1C0C"/>
    <w:rsid w:val="002B1F45"/>
    <w:rsid w:val="002B26AC"/>
    <w:rsid w:val="002B27D5"/>
    <w:rsid w:val="002B4B14"/>
    <w:rsid w:val="002C08C6"/>
    <w:rsid w:val="002C63EF"/>
    <w:rsid w:val="002D1A82"/>
    <w:rsid w:val="002E417C"/>
    <w:rsid w:val="002E4CB5"/>
    <w:rsid w:val="002E6FCA"/>
    <w:rsid w:val="002F043B"/>
    <w:rsid w:val="002F21A5"/>
    <w:rsid w:val="002F279B"/>
    <w:rsid w:val="00302849"/>
    <w:rsid w:val="00306401"/>
    <w:rsid w:val="0030697D"/>
    <w:rsid w:val="00314CB7"/>
    <w:rsid w:val="00315131"/>
    <w:rsid w:val="003227A8"/>
    <w:rsid w:val="00322CDA"/>
    <w:rsid w:val="00341367"/>
    <w:rsid w:val="00342D95"/>
    <w:rsid w:val="00350B8F"/>
    <w:rsid w:val="00352292"/>
    <w:rsid w:val="00356AB4"/>
    <w:rsid w:val="00363520"/>
    <w:rsid w:val="00365BBC"/>
    <w:rsid w:val="003705FC"/>
    <w:rsid w:val="00372CBF"/>
    <w:rsid w:val="0038181C"/>
    <w:rsid w:val="003846F4"/>
    <w:rsid w:val="00384ACF"/>
    <w:rsid w:val="00384CBF"/>
    <w:rsid w:val="00385D38"/>
    <w:rsid w:val="00397BFD"/>
    <w:rsid w:val="003A625C"/>
    <w:rsid w:val="003A666B"/>
    <w:rsid w:val="003A6FCD"/>
    <w:rsid w:val="003A78D4"/>
    <w:rsid w:val="003C1BA4"/>
    <w:rsid w:val="003D0273"/>
    <w:rsid w:val="003D09D8"/>
    <w:rsid w:val="003D1ECD"/>
    <w:rsid w:val="003E1E8D"/>
    <w:rsid w:val="003E4DF7"/>
    <w:rsid w:val="003F0BB2"/>
    <w:rsid w:val="003F7F53"/>
    <w:rsid w:val="00406F50"/>
    <w:rsid w:val="00407E9B"/>
    <w:rsid w:val="00410DEE"/>
    <w:rsid w:val="004123C2"/>
    <w:rsid w:val="004203BC"/>
    <w:rsid w:val="0042251B"/>
    <w:rsid w:val="00432934"/>
    <w:rsid w:val="0044670C"/>
    <w:rsid w:val="0045247F"/>
    <w:rsid w:val="00453CE1"/>
    <w:rsid w:val="00456102"/>
    <w:rsid w:val="0046223B"/>
    <w:rsid w:val="00467C51"/>
    <w:rsid w:val="0047534A"/>
    <w:rsid w:val="00485BCA"/>
    <w:rsid w:val="00494071"/>
    <w:rsid w:val="00495F83"/>
    <w:rsid w:val="00496F6B"/>
    <w:rsid w:val="004A463D"/>
    <w:rsid w:val="004C4A23"/>
    <w:rsid w:val="004C5979"/>
    <w:rsid w:val="004C6696"/>
    <w:rsid w:val="004D3CDC"/>
    <w:rsid w:val="004E029B"/>
    <w:rsid w:val="004E6CE4"/>
    <w:rsid w:val="004F0733"/>
    <w:rsid w:val="00510EDD"/>
    <w:rsid w:val="00515590"/>
    <w:rsid w:val="00517C00"/>
    <w:rsid w:val="005210F5"/>
    <w:rsid w:val="0052199E"/>
    <w:rsid w:val="005238D3"/>
    <w:rsid w:val="00527B0E"/>
    <w:rsid w:val="005375E6"/>
    <w:rsid w:val="00545BED"/>
    <w:rsid w:val="005562B6"/>
    <w:rsid w:val="00562591"/>
    <w:rsid w:val="00572215"/>
    <w:rsid w:val="005917B1"/>
    <w:rsid w:val="00592E15"/>
    <w:rsid w:val="0059460E"/>
    <w:rsid w:val="005A2BF0"/>
    <w:rsid w:val="005B6761"/>
    <w:rsid w:val="005C4AB2"/>
    <w:rsid w:val="005C5DE8"/>
    <w:rsid w:val="005C6974"/>
    <w:rsid w:val="005D357D"/>
    <w:rsid w:val="005E2A26"/>
    <w:rsid w:val="005F2F40"/>
    <w:rsid w:val="005F4A57"/>
    <w:rsid w:val="005F6BD2"/>
    <w:rsid w:val="00604955"/>
    <w:rsid w:val="00616C86"/>
    <w:rsid w:val="006173D6"/>
    <w:rsid w:val="00623295"/>
    <w:rsid w:val="00623EA3"/>
    <w:rsid w:val="0063237D"/>
    <w:rsid w:val="0063303C"/>
    <w:rsid w:val="006359C2"/>
    <w:rsid w:val="00655A1D"/>
    <w:rsid w:val="00665895"/>
    <w:rsid w:val="00666327"/>
    <w:rsid w:val="00677247"/>
    <w:rsid w:val="00681823"/>
    <w:rsid w:val="006875DB"/>
    <w:rsid w:val="006900F4"/>
    <w:rsid w:val="00692300"/>
    <w:rsid w:val="00693951"/>
    <w:rsid w:val="006A2969"/>
    <w:rsid w:val="006A3B77"/>
    <w:rsid w:val="006B2111"/>
    <w:rsid w:val="006B5238"/>
    <w:rsid w:val="006C0A1F"/>
    <w:rsid w:val="006C3770"/>
    <w:rsid w:val="006C40E1"/>
    <w:rsid w:val="006D0223"/>
    <w:rsid w:val="006E06C6"/>
    <w:rsid w:val="006E454D"/>
    <w:rsid w:val="006F3AE6"/>
    <w:rsid w:val="006F52EF"/>
    <w:rsid w:val="006F6081"/>
    <w:rsid w:val="007031AD"/>
    <w:rsid w:val="00703286"/>
    <w:rsid w:val="00707B28"/>
    <w:rsid w:val="00707D1A"/>
    <w:rsid w:val="00714928"/>
    <w:rsid w:val="00715F92"/>
    <w:rsid w:val="00726013"/>
    <w:rsid w:val="00726EDA"/>
    <w:rsid w:val="00731296"/>
    <w:rsid w:val="007313A3"/>
    <w:rsid w:val="0073223B"/>
    <w:rsid w:val="00733F44"/>
    <w:rsid w:val="00737158"/>
    <w:rsid w:val="0074041D"/>
    <w:rsid w:val="007428B8"/>
    <w:rsid w:val="00746164"/>
    <w:rsid w:val="007515A9"/>
    <w:rsid w:val="00753901"/>
    <w:rsid w:val="00761E40"/>
    <w:rsid w:val="0076411F"/>
    <w:rsid w:val="00772B0E"/>
    <w:rsid w:val="007733C5"/>
    <w:rsid w:val="00780AEC"/>
    <w:rsid w:val="00780BB6"/>
    <w:rsid w:val="00783E36"/>
    <w:rsid w:val="007A4AC3"/>
    <w:rsid w:val="007C1AFA"/>
    <w:rsid w:val="007C5697"/>
    <w:rsid w:val="007D106D"/>
    <w:rsid w:val="007D6A8F"/>
    <w:rsid w:val="007D6FBD"/>
    <w:rsid w:val="007E593F"/>
    <w:rsid w:val="007E5A21"/>
    <w:rsid w:val="007F28DB"/>
    <w:rsid w:val="007F3F08"/>
    <w:rsid w:val="00804AF0"/>
    <w:rsid w:val="00807405"/>
    <w:rsid w:val="00807AC7"/>
    <w:rsid w:val="00812F6E"/>
    <w:rsid w:val="00814B47"/>
    <w:rsid w:val="008230B7"/>
    <w:rsid w:val="0082388D"/>
    <w:rsid w:val="0082678F"/>
    <w:rsid w:val="00834351"/>
    <w:rsid w:val="0083588B"/>
    <w:rsid w:val="00847729"/>
    <w:rsid w:val="0085320B"/>
    <w:rsid w:val="00866EDE"/>
    <w:rsid w:val="00873EFF"/>
    <w:rsid w:val="0087532F"/>
    <w:rsid w:val="00877214"/>
    <w:rsid w:val="0088563C"/>
    <w:rsid w:val="00886523"/>
    <w:rsid w:val="008876D1"/>
    <w:rsid w:val="008909EE"/>
    <w:rsid w:val="008913F8"/>
    <w:rsid w:val="008930F3"/>
    <w:rsid w:val="008932E6"/>
    <w:rsid w:val="008A2154"/>
    <w:rsid w:val="008B228D"/>
    <w:rsid w:val="008B2C48"/>
    <w:rsid w:val="008B6A03"/>
    <w:rsid w:val="008B7577"/>
    <w:rsid w:val="008C21F1"/>
    <w:rsid w:val="008D7093"/>
    <w:rsid w:val="008E3E4F"/>
    <w:rsid w:val="008E6C53"/>
    <w:rsid w:val="008F138E"/>
    <w:rsid w:val="008F41ED"/>
    <w:rsid w:val="0090398F"/>
    <w:rsid w:val="0091117B"/>
    <w:rsid w:val="00913854"/>
    <w:rsid w:val="0091710D"/>
    <w:rsid w:val="0092219C"/>
    <w:rsid w:val="009247FB"/>
    <w:rsid w:val="0092584F"/>
    <w:rsid w:val="00964602"/>
    <w:rsid w:val="0096590B"/>
    <w:rsid w:val="00971FFB"/>
    <w:rsid w:val="00972074"/>
    <w:rsid w:val="00972076"/>
    <w:rsid w:val="009763EE"/>
    <w:rsid w:val="00984D51"/>
    <w:rsid w:val="00990C62"/>
    <w:rsid w:val="00997EE4"/>
    <w:rsid w:val="009A5DFF"/>
    <w:rsid w:val="009A7B21"/>
    <w:rsid w:val="009B04E1"/>
    <w:rsid w:val="009B6DE4"/>
    <w:rsid w:val="009C4ED0"/>
    <w:rsid w:val="009C63AD"/>
    <w:rsid w:val="009D5028"/>
    <w:rsid w:val="009F19DC"/>
    <w:rsid w:val="009F60BF"/>
    <w:rsid w:val="00A07F42"/>
    <w:rsid w:val="00A15283"/>
    <w:rsid w:val="00A16315"/>
    <w:rsid w:val="00A265CA"/>
    <w:rsid w:val="00A30B3C"/>
    <w:rsid w:val="00A363F9"/>
    <w:rsid w:val="00A42FD6"/>
    <w:rsid w:val="00A646A5"/>
    <w:rsid w:val="00A70418"/>
    <w:rsid w:val="00A8254E"/>
    <w:rsid w:val="00A95381"/>
    <w:rsid w:val="00A9747A"/>
    <w:rsid w:val="00AA2148"/>
    <w:rsid w:val="00AC1982"/>
    <w:rsid w:val="00AD6C9D"/>
    <w:rsid w:val="00AD7B5F"/>
    <w:rsid w:val="00AE784D"/>
    <w:rsid w:val="00AF5844"/>
    <w:rsid w:val="00AF79DD"/>
    <w:rsid w:val="00B04C99"/>
    <w:rsid w:val="00B12FC9"/>
    <w:rsid w:val="00B33419"/>
    <w:rsid w:val="00B35B0F"/>
    <w:rsid w:val="00B4750F"/>
    <w:rsid w:val="00B633F8"/>
    <w:rsid w:val="00B676CA"/>
    <w:rsid w:val="00B723B4"/>
    <w:rsid w:val="00B723BE"/>
    <w:rsid w:val="00B7378E"/>
    <w:rsid w:val="00B7702B"/>
    <w:rsid w:val="00B82705"/>
    <w:rsid w:val="00B85331"/>
    <w:rsid w:val="00B858F6"/>
    <w:rsid w:val="00BA0BBE"/>
    <w:rsid w:val="00BA5D0B"/>
    <w:rsid w:val="00BA62C7"/>
    <w:rsid w:val="00BA7E4B"/>
    <w:rsid w:val="00BB4D19"/>
    <w:rsid w:val="00BD420C"/>
    <w:rsid w:val="00BE2E86"/>
    <w:rsid w:val="00BE314B"/>
    <w:rsid w:val="00BE3DB0"/>
    <w:rsid w:val="00BF0B0F"/>
    <w:rsid w:val="00BF1C2E"/>
    <w:rsid w:val="00C02A7A"/>
    <w:rsid w:val="00C07DBE"/>
    <w:rsid w:val="00C1168C"/>
    <w:rsid w:val="00C144D1"/>
    <w:rsid w:val="00C15C41"/>
    <w:rsid w:val="00C16C10"/>
    <w:rsid w:val="00C23507"/>
    <w:rsid w:val="00C258CF"/>
    <w:rsid w:val="00C26A2F"/>
    <w:rsid w:val="00C2794C"/>
    <w:rsid w:val="00C27D57"/>
    <w:rsid w:val="00C30001"/>
    <w:rsid w:val="00C32D8B"/>
    <w:rsid w:val="00C36BD7"/>
    <w:rsid w:val="00C55E33"/>
    <w:rsid w:val="00C70C21"/>
    <w:rsid w:val="00C71903"/>
    <w:rsid w:val="00C754B9"/>
    <w:rsid w:val="00C82CBA"/>
    <w:rsid w:val="00CA38E3"/>
    <w:rsid w:val="00CA4ECD"/>
    <w:rsid w:val="00CC323A"/>
    <w:rsid w:val="00CE1C84"/>
    <w:rsid w:val="00CE3205"/>
    <w:rsid w:val="00CF546A"/>
    <w:rsid w:val="00CF56B3"/>
    <w:rsid w:val="00D006A0"/>
    <w:rsid w:val="00D048A3"/>
    <w:rsid w:val="00D04D60"/>
    <w:rsid w:val="00D052A0"/>
    <w:rsid w:val="00D063CC"/>
    <w:rsid w:val="00D137AB"/>
    <w:rsid w:val="00D1641D"/>
    <w:rsid w:val="00D21FD7"/>
    <w:rsid w:val="00D369FF"/>
    <w:rsid w:val="00D3736E"/>
    <w:rsid w:val="00D37BA0"/>
    <w:rsid w:val="00D4044E"/>
    <w:rsid w:val="00D47214"/>
    <w:rsid w:val="00D47DAB"/>
    <w:rsid w:val="00D509B9"/>
    <w:rsid w:val="00D5115F"/>
    <w:rsid w:val="00D51366"/>
    <w:rsid w:val="00D53B5D"/>
    <w:rsid w:val="00D56F5B"/>
    <w:rsid w:val="00D64EA2"/>
    <w:rsid w:val="00D67DFB"/>
    <w:rsid w:val="00D800C3"/>
    <w:rsid w:val="00D85DCC"/>
    <w:rsid w:val="00D8667C"/>
    <w:rsid w:val="00D86AB9"/>
    <w:rsid w:val="00D92E80"/>
    <w:rsid w:val="00D96DD3"/>
    <w:rsid w:val="00DA0361"/>
    <w:rsid w:val="00DA441F"/>
    <w:rsid w:val="00DA6E61"/>
    <w:rsid w:val="00DC12C1"/>
    <w:rsid w:val="00DD0939"/>
    <w:rsid w:val="00DD1205"/>
    <w:rsid w:val="00DD17F4"/>
    <w:rsid w:val="00DD4045"/>
    <w:rsid w:val="00DE6813"/>
    <w:rsid w:val="00DF04A6"/>
    <w:rsid w:val="00DF052F"/>
    <w:rsid w:val="00E04471"/>
    <w:rsid w:val="00E125A4"/>
    <w:rsid w:val="00E12AED"/>
    <w:rsid w:val="00E16CD6"/>
    <w:rsid w:val="00E17454"/>
    <w:rsid w:val="00E22061"/>
    <w:rsid w:val="00E23FA8"/>
    <w:rsid w:val="00E3189E"/>
    <w:rsid w:val="00E3596B"/>
    <w:rsid w:val="00E4698A"/>
    <w:rsid w:val="00E51715"/>
    <w:rsid w:val="00E55138"/>
    <w:rsid w:val="00E674EF"/>
    <w:rsid w:val="00E700FA"/>
    <w:rsid w:val="00E71E07"/>
    <w:rsid w:val="00E845C1"/>
    <w:rsid w:val="00EA078E"/>
    <w:rsid w:val="00EA1E21"/>
    <w:rsid w:val="00EA5A0B"/>
    <w:rsid w:val="00EA7D4F"/>
    <w:rsid w:val="00EB16F7"/>
    <w:rsid w:val="00EB5D8B"/>
    <w:rsid w:val="00EB638E"/>
    <w:rsid w:val="00EB7C3A"/>
    <w:rsid w:val="00EC504C"/>
    <w:rsid w:val="00ED5DF2"/>
    <w:rsid w:val="00EE5681"/>
    <w:rsid w:val="00EF380B"/>
    <w:rsid w:val="00EF715E"/>
    <w:rsid w:val="00F17553"/>
    <w:rsid w:val="00F2637D"/>
    <w:rsid w:val="00F26643"/>
    <w:rsid w:val="00F31EDE"/>
    <w:rsid w:val="00F32142"/>
    <w:rsid w:val="00F342A0"/>
    <w:rsid w:val="00F343A8"/>
    <w:rsid w:val="00F40507"/>
    <w:rsid w:val="00F40510"/>
    <w:rsid w:val="00F61B1C"/>
    <w:rsid w:val="00F62FA8"/>
    <w:rsid w:val="00F63840"/>
    <w:rsid w:val="00F668DA"/>
    <w:rsid w:val="00F74A8E"/>
    <w:rsid w:val="00F76D8D"/>
    <w:rsid w:val="00F822F6"/>
    <w:rsid w:val="00F826E4"/>
    <w:rsid w:val="00F848E7"/>
    <w:rsid w:val="00F84ED3"/>
    <w:rsid w:val="00F86758"/>
    <w:rsid w:val="00F95F8E"/>
    <w:rsid w:val="00FA1F4D"/>
    <w:rsid w:val="00FB0A5C"/>
    <w:rsid w:val="00FB1D66"/>
    <w:rsid w:val="00FC1FCE"/>
    <w:rsid w:val="00FC25E2"/>
    <w:rsid w:val="00FC451B"/>
    <w:rsid w:val="00FD27B8"/>
    <w:rsid w:val="00FD5079"/>
    <w:rsid w:val="00FE3007"/>
    <w:rsid w:val="00FE4BD6"/>
    <w:rsid w:val="00FF277C"/>
    <w:rsid w:val="00FF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AF2666"/>
  <w15:chartTrackingRefBased/>
  <w15:docId w15:val="{AF7F25F9-5754-4868-9B55-EF8F3D21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1B4524"/>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9C63AD"/>
    <w:pPr>
      <w:keepNext/>
      <w:keepLines/>
      <w:spacing w:before="240" w:after="240"/>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322CDA"/>
    <w:pPr>
      <w:keepNext/>
      <w:keepLines/>
      <w:spacing w:before="240" w:after="240"/>
      <w:outlineLvl w:val="3"/>
    </w:pPr>
    <w:rPr>
      <w:rFonts w:eastAsia="Arial" w:cstheme="majorBidi"/>
      <w:i/>
      <w:iCs/>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1B4524"/>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9C63AD"/>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22CDA"/>
    <w:rPr>
      <w:rFonts w:ascii="Arial" w:eastAsia="Arial" w:hAnsi="Arial" w:cstheme="majorBidi"/>
      <w:i/>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sid w:val="004D3CDC"/>
    <w:rPr>
      <w:sz w:val="20"/>
      <w:szCs w:val="20"/>
    </w:rPr>
  </w:style>
  <w:style w:type="character" w:customStyle="1" w:styleId="CommentTextChar">
    <w:name w:val="Comment Text Char"/>
    <w:basedOn w:val="DefaultParagraphFont"/>
    <w:link w:val="CommentText"/>
    <w:uiPriority w:val="99"/>
    <w:rsid w:val="004D3CDC"/>
    <w:rPr>
      <w:rFonts w:ascii="Arial" w:eastAsia="Times New Roman" w:hAnsi="Arial" w:cs="Times New Roman"/>
      <w:sz w:val="20"/>
      <w:szCs w:val="20"/>
    </w:rPr>
  </w:style>
  <w:style w:type="paragraph" w:customStyle="1" w:styleId="Default">
    <w:name w:val="Default"/>
    <w:rsid w:val="004D3CDC"/>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uiPriority w:val="99"/>
    <w:semiHidden/>
    <w:unhideWhenUsed/>
    <w:rsid w:val="004D3CDC"/>
    <w:rPr>
      <w:sz w:val="16"/>
      <w:szCs w:val="16"/>
    </w:rPr>
  </w:style>
  <w:style w:type="paragraph" w:styleId="CommentSubject">
    <w:name w:val="annotation subject"/>
    <w:basedOn w:val="CommentText"/>
    <w:next w:val="CommentText"/>
    <w:link w:val="CommentSubjectChar"/>
    <w:uiPriority w:val="99"/>
    <w:semiHidden/>
    <w:unhideWhenUsed/>
    <w:rsid w:val="004D3CDC"/>
    <w:rPr>
      <w:b/>
      <w:bCs/>
    </w:rPr>
  </w:style>
  <w:style w:type="character" w:customStyle="1" w:styleId="CommentSubjectChar">
    <w:name w:val="Comment Subject Char"/>
    <w:basedOn w:val="CommentTextChar"/>
    <w:link w:val="CommentSubject"/>
    <w:uiPriority w:val="99"/>
    <w:semiHidden/>
    <w:rsid w:val="004D3CD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B4524"/>
    <w:rPr>
      <w:color w:val="954F72" w:themeColor="followedHyperlink"/>
      <w:u w:val="single"/>
    </w:rPr>
  </w:style>
  <w:style w:type="character" w:styleId="UnresolvedMention">
    <w:name w:val="Unresolved Mention"/>
    <w:basedOn w:val="DefaultParagraphFont"/>
    <w:uiPriority w:val="99"/>
    <w:semiHidden/>
    <w:unhideWhenUsed/>
    <w:rsid w:val="001B4524"/>
    <w:rPr>
      <w:color w:val="605E5C"/>
      <w:shd w:val="clear" w:color="auto" w:fill="E1DFDD"/>
    </w:rPr>
  </w:style>
  <w:style w:type="paragraph" w:styleId="Revision">
    <w:name w:val="Revision"/>
    <w:hidden/>
    <w:uiPriority w:val="99"/>
    <w:semiHidden/>
    <w:rsid w:val="00C754B9"/>
    <w:pPr>
      <w:spacing w:after="0" w:line="240" w:lineRule="auto"/>
    </w:pPr>
    <w:rPr>
      <w:rFonts w:ascii="Arial" w:eastAsia="Times New Roman" w:hAnsi="Arial" w:cs="Times New Roman"/>
      <w:sz w:val="24"/>
      <w:szCs w:val="24"/>
    </w:rPr>
  </w:style>
  <w:style w:type="paragraph" w:styleId="FootnoteText">
    <w:name w:val="footnote text"/>
    <w:basedOn w:val="Normal"/>
    <w:link w:val="FootnoteTextChar"/>
    <w:uiPriority w:val="99"/>
    <w:unhideWhenUsed/>
    <w:rsid w:val="007F28DB"/>
    <w:rPr>
      <w:sz w:val="20"/>
      <w:szCs w:val="20"/>
    </w:rPr>
  </w:style>
  <w:style w:type="character" w:customStyle="1" w:styleId="FootnoteTextChar">
    <w:name w:val="Footnote Text Char"/>
    <w:basedOn w:val="DefaultParagraphFont"/>
    <w:link w:val="FootnoteText"/>
    <w:uiPriority w:val="99"/>
    <w:rsid w:val="007F28D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F28DB"/>
    <w:rPr>
      <w:vertAlign w:val="superscript"/>
    </w:rPr>
  </w:style>
  <w:style w:type="table" w:styleId="TableGrid">
    <w:name w:val="Table Grid"/>
    <w:basedOn w:val="TableNormal"/>
    <w:rsid w:val="00BD42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1A9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804">
      <w:bodyDiv w:val="1"/>
      <w:marLeft w:val="0"/>
      <w:marRight w:val="0"/>
      <w:marTop w:val="0"/>
      <w:marBottom w:val="0"/>
      <w:divBdr>
        <w:top w:val="none" w:sz="0" w:space="0" w:color="auto"/>
        <w:left w:val="none" w:sz="0" w:space="0" w:color="auto"/>
        <w:bottom w:val="none" w:sz="0" w:space="0" w:color="auto"/>
        <w:right w:val="none" w:sz="0" w:space="0" w:color="auto"/>
      </w:divBdr>
    </w:div>
    <w:div w:id="48849508">
      <w:bodyDiv w:val="1"/>
      <w:marLeft w:val="0"/>
      <w:marRight w:val="0"/>
      <w:marTop w:val="0"/>
      <w:marBottom w:val="0"/>
      <w:divBdr>
        <w:top w:val="none" w:sz="0" w:space="0" w:color="auto"/>
        <w:left w:val="none" w:sz="0" w:space="0" w:color="auto"/>
        <w:bottom w:val="none" w:sz="0" w:space="0" w:color="auto"/>
        <w:right w:val="none" w:sz="0" w:space="0" w:color="auto"/>
      </w:divBdr>
    </w:div>
    <w:div w:id="55668376">
      <w:bodyDiv w:val="1"/>
      <w:marLeft w:val="0"/>
      <w:marRight w:val="0"/>
      <w:marTop w:val="0"/>
      <w:marBottom w:val="0"/>
      <w:divBdr>
        <w:top w:val="none" w:sz="0" w:space="0" w:color="auto"/>
        <w:left w:val="none" w:sz="0" w:space="0" w:color="auto"/>
        <w:bottom w:val="none" w:sz="0" w:space="0" w:color="auto"/>
        <w:right w:val="none" w:sz="0" w:space="0" w:color="auto"/>
      </w:divBdr>
    </w:div>
    <w:div w:id="165630260">
      <w:bodyDiv w:val="1"/>
      <w:marLeft w:val="0"/>
      <w:marRight w:val="0"/>
      <w:marTop w:val="0"/>
      <w:marBottom w:val="0"/>
      <w:divBdr>
        <w:top w:val="none" w:sz="0" w:space="0" w:color="auto"/>
        <w:left w:val="none" w:sz="0" w:space="0" w:color="auto"/>
        <w:bottom w:val="none" w:sz="0" w:space="0" w:color="auto"/>
        <w:right w:val="none" w:sz="0" w:space="0" w:color="auto"/>
      </w:divBdr>
    </w:div>
    <w:div w:id="209730343">
      <w:bodyDiv w:val="1"/>
      <w:marLeft w:val="0"/>
      <w:marRight w:val="0"/>
      <w:marTop w:val="0"/>
      <w:marBottom w:val="0"/>
      <w:divBdr>
        <w:top w:val="none" w:sz="0" w:space="0" w:color="auto"/>
        <w:left w:val="none" w:sz="0" w:space="0" w:color="auto"/>
        <w:bottom w:val="none" w:sz="0" w:space="0" w:color="auto"/>
        <w:right w:val="none" w:sz="0" w:space="0" w:color="auto"/>
      </w:divBdr>
    </w:div>
    <w:div w:id="235282136">
      <w:bodyDiv w:val="1"/>
      <w:marLeft w:val="0"/>
      <w:marRight w:val="0"/>
      <w:marTop w:val="0"/>
      <w:marBottom w:val="0"/>
      <w:divBdr>
        <w:top w:val="none" w:sz="0" w:space="0" w:color="auto"/>
        <w:left w:val="none" w:sz="0" w:space="0" w:color="auto"/>
        <w:bottom w:val="none" w:sz="0" w:space="0" w:color="auto"/>
        <w:right w:val="none" w:sz="0" w:space="0" w:color="auto"/>
      </w:divBdr>
    </w:div>
    <w:div w:id="425421504">
      <w:bodyDiv w:val="1"/>
      <w:marLeft w:val="0"/>
      <w:marRight w:val="0"/>
      <w:marTop w:val="0"/>
      <w:marBottom w:val="0"/>
      <w:divBdr>
        <w:top w:val="none" w:sz="0" w:space="0" w:color="auto"/>
        <w:left w:val="none" w:sz="0" w:space="0" w:color="auto"/>
        <w:bottom w:val="none" w:sz="0" w:space="0" w:color="auto"/>
        <w:right w:val="none" w:sz="0" w:space="0" w:color="auto"/>
      </w:divBdr>
    </w:div>
    <w:div w:id="452676337">
      <w:bodyDiv w:val="1"/>
      <w:marLeft w:val="0"/>
      <w:marRight w:val="0"/>
      <w:marTop w:val="0"/>
      <w:marBottom w:val="0"/>
      <w:divBdr>
        <w:top w:val="none" w:sz="0" w:space="0" w:color="auto"/>
        <w:left w:val="none" w:sz="0" w:space="0" w:color="auto"/>
        <w:bottom w:val="none" w:sz="0" w:space="0" w:color="auto"/>
        <w:right w:val="none" w:sz="0" w:space="0" w:color="auto"/>
      </w:divBdr>
    </w:div>
    <w:div w:id="526601428">
      <w:bodyDiv w:val="1"/>
      <w:marLeft w:val="0"/>
      <w:marRight w:val="0"/>
      <w:marTop w:val="0"/>
      <w:marBottom w:val="0"/>
      <w:divBdr>
        <w:top w:val="none" w:sz="0" w:space="0" w:color="auto"/>
        <w:left w:val="none" w:sz="0" w:space="0" w:color="auto"/>
        <w:bottom w:val="none" w:sz="0" w:space="0" w:color="auto"/>
        <w:right w:val="none" w:sz="0" w:space="0" w:color="auto"/>
      </w:divBdr>
    </w:div>
    <w:div w:id="571085770">
      <w:bodyDiv w:val="1"/>
      <w:marLeft w:val="0"/>
      <w:marRight w:val="0"/>
      <w:marTop w:val="0"/>
      <w:marBottom w:val="0"/>
      <w:divBdr>
        <w:top w:val="none" w:sz="0" w:space="0" w:color="auto"/>
        <w:left w:val="none" w:sz="0" w:space="0" w:color="auto"/>
        <w:bottom w:val="none" w:sz="0" w:space="0" w:color="auto"/>
        <w:right w:val="none" w:sz="0" w:space="0" w:color="auto"/>
      </w:divBdr>
    </w:div>
    <w:div w:id="575094610">
      <w:bodyDiv w:val="1"/>
      <w:marLeft w:val="0"/>
      <w:marRight w:val="0"/>
      <w:marTop w:val="0"/>
      <w:marBottom w:val="0"/>
      <w:divBdr>
        <w:top w:val="none" w:sz="0" w:space="0" w:color="auto"/>
        <w:left w:val="none" w:sz="0" w:space="0" w:color="auto"/>
        <w:bottom w:val="none" w:sz="0" w:space="0" w:color="auto"/>
        <w:right w:val="none" w:sz="0" w:space="0" w:color="auto"/>
      </w:divBdr>
    </w:div>
    <w:div w:id="665086159">
      <w:bodyDiv w:val="1"/>
      <w:marLeft w:val="0"/>
      <w:marRight w:val="0"/>
      <w:marTop w:val="0"/>
      <w:marBottom w:val="0"/>
      <w:divBdr>
        <w:top w:val="none" w:sz="0" w:space="0" w:color="auto"/>
        <w:left w:val="none" w:sz="0" w:space="0" w:color="auto"/>
        <w:bottom w:val="none" w:sz="0" w:space="0" w:color="auto"/>
        <w:right w:val="none" w:sz="0" w:space="0" w:color="auto"/>
      </w:divBdr>
    </w:div>
    <w:div w:id="719015749">
      <w:bodyDiv w:val="1"/>
      <w:marLeft w:val="0"/>
      <w:marRight w:val="0"/>
      <w:marTop w:val="0"/>
      <w:marBottom w:val="0"/>
      <w:divBdr>
        <w:top w:val="none" w:sz="0" w:space="0" w:color="auto"/>
        <w:left w:val="none" w:sz="0" w:space="0" w:color="auto"/>
        <w:bottom w:val="none" w:sz="0" w:space="0" w:color="auto"/>
        <w:right w:val="none" w:sz="0" w:space="0" w:color="auto"/>
      </w:divBdr>
    </w:div>
    <w:div w:id="861436129">
      <w:bodyDiv w:val="1"/>
      <w:marLeft w:val="0"/>
      <w:marRight w:val="0"/>
      <w:marTop w:val="0"/>
      <w:marBottom w:val="0"/>
      <w:divBdr>
        <w:top w:val="none" w:sz="0" w:space="0" w:color="auto"/>
        <w:left w:val="none" w:sz="0" w:space="0" w:color="auto"/>
        <w:bottom w:val="none" w:sz="0" w:space="0" w:color="auto"/>
        <w:right w:val="none" w:sz="0" w:space="0" w:color="auto"/>
      </w:divBdr>
    </w:div>
    <w:div w:id="959454353">
      <w:bodyDiv w:val="1"/>
      <w:marLeft w:val="0"/>
      <w:marRight w:val="0"/>
      <w:marTop w:val="0"/>
      <w:marBottom w:val="0"/>
      <w:divBdr>
        <w:top w:val="none" w:sz="0" w:space="0" w:color="auto"/>
        <w:left w:val="none" w:sz="0" w:space="0" w:color="auto"/>
        <w:bottom w:val="none" w:sz="0" w:space="0" w:color="auto"/>
        <w:right w:val="none" w:sz="0" w:space="0" w:color="auto"/>
      </w:divBdr>
    </w:div>
    <w:div w:id="1062143969">
      <w:bodyDiv w:val="1"/>
      <w:marLeft w:val="0"/>
      <w:marRight w:val="0"/>
      <w:marTop w:val="0"/>
      <w:marBottom w:val="0"/>
      <w:divBdr>
        <w:top w:val="none" w:sz="0" w:space="0" w:color="auto"/>
        <w:left w:val="none" w:sz="0" w:space="0" w:color="auto"/>
        <w:bottom w:val="none" w:sz="0" w:space="0" w:color="auto"/>
        <w:right w:val="none" w:sz="0" w:space="0" w:color="auto"/>
      </w:divBdr>
    </w:div>
    <w:div w:id="1116026040">
      <w:bodyDiv w:val="1"/>
      <w:marLeft w:val="0"/>
      <w:marRight w:val="0"/>
      <w:marTop w:val="0"/>
      <w:marBottom w:val="0"/>
      <w:divBdr>
        <w:top w:val="none" w:sz="0" w:space="0" w:color="auto"/>
        <w:left w:val="none" w:sz="0" w:space="0" w:color="auto"/>
        <w:bottom w:val="none" w:sz="0" w:space="0" w:color="auto"/>
        <w:right w:val="none" w:sz="0" w:space="0" w:color="auto"/>
      </w:divBdr>
    </w:div>
    <w:div w:id="1288706485">
      <w:bodyDiv w:val="1"/>
      <w:marLeft w:val="0"/>
      <w:marRight w:val="0"/>
      <w:marTop w:val="0"/>
      <w:marBottom w:val="0"/>
      <w:divBdr>
        <w:top w:val="none" w:sz="0" w:space="0" w:color="auto"/>
        <w:left w:val="none" w:sz="0" w:space="0" w:color="auto"/>
        <w:bottom w:val="none" w:sz="0" w:space="0" w:color="auto"/>
        <w:right w:val="none" w:sz="0" w:space="0" w:color="auto"/>
      </w:divBdr>
    </w:div>
    <w:div w:id="1298878244">
      <w:bodyDiv w:val="1"/>
      <w:marLeft w:val="0"/>
      <w:marRight w:val="0"/>
      <w:marTop w:val="0"/>
      <w:marBottom w:val="0"/>
      <w:divBdr>
        <w:top w:val="none" w:sz="0" w:space="0" w:color="auto"/>
        <w:left w:val="none" w:sz="0" w:space="0" w:color="auto"/>
        <w:bottom w:val="none" w:sz="0" w:space="0" w:color="auto"/>
        <w:right w:val="none" w:sz="0" w:space="0" w:color="auto"/>
      </w:divBdr>
    </w:div>
    <w:div w:id="1301492553">
      <w:bodyDiv w:val="1"/>
      <w:marLeft w:val="0"/>
      <w:marRight w:val="0"/>
      <w:marTop w:val="0"/>
      <w:marBottom w:val="0"/>
      <w:divBdr>
        <w:top w:val="none" w:sz="0" w:space="0" w:color="auto"/>
        <w:left w:val="none" w:sz="0" w:space="0" w:color="auto"/>
        <w:bottom w:val="none" w:sz="0" w:space="0" w:color="auto"/>
        <w:right w:val="none" w:sz="0" w:space="0" w:color="auto"/>
      </w:divBdr>
    </w:div>
    <w:div w:id="1333265482">
      <w:bodyDiv w:val="1"/>
      <w:marLeft w:val="0"/>
      <w:marRight w:val="0"/>
      <w:marTop w:val="0"/>
      <w:marBottom w:val="0"/>
      <w:divBdr>
        <w:top w:val="none" w:sz="0" w:space="0" w:color="auto"/>
        <w:left w:val="none" w:sz="0" w:space="0" w:color="auto"/>
        <w:bottom w:val="none" w:sz="0" w:space="0" w:color="auto"/>
        <w:right w:val="none" w:sz="0" w:space="0" w:color="auto"/>
      </w:divBdr>
    </w:div>
    <w:div w:id="1339579389">
      <w:bodyDiv w:val="1"/>
      <w:marLeft w:val="0"/>
      <w:marRight w:val="0"/>
      <w:marTop w:val="0"/>
      <w:marBottom w:val="0"/>
      <w:divBdr>
        <w:top w:val="none" w:sz="0" w:space="0" w:color="auto"/>
        <w:left w:val="none" w:sz="0" w:space="0" w:color="auto"/>
        <w:bottom w:val="none" w:sz="0" w:space="0" w:color="auto"/>
        <w:right w:val="none" w:sz="0" w:space="0" w:color="auto"/>
      </w:divBdr>
    </w:div>
    <w:div w:id="1342587756">
      <w:bodyDiv w:val="1"/>
      <w:marLeft w:val="0"/>
      <w:marRight w:val="0"/>
      <w:marTop w:val="0"/>
      <w:marBottom w:val="0"/>
      <w:divBdr>
        <w:top w:val="none" w:sz="0" w:space="0" w:color="auto"/>
        <w:left w:val="none" w:sz="0" w:space="0" w:color="auto"/>
        <w:bottom w:val="none" w:sz="0" w:space="0" w:color="auto"/>
        <w:right w:val="none" w:sz="0" w:space="0" w:color="auto"/>
      </w:divBdr>
    </w:div>
    <w:div w:id="1378044123">
      <w:bodyDiv w:val="1"/>
      <w:marLeft w:val="0"/>
      <w:marRight w:val="0"/>
      <w:marTop w:val="0"/>
      <w:marBottom w:val="0"/>
      <w:divBdr>
        <w:top w:val="none" w:sz="0" w:space="0" w:color="auto"/>
        <w:left w:val="none" w:sz="0" w:space="0" w:color="auto"/>
        <w:bottom w:val="none" w:sz="0" w:space="0" w:color="auto"/>
        <w:right w:val="none" w:sz="0" w:space="0" w:color="auto"/>
      </w:divBdr>
      <w:divsChild>
        <w:div w:id="1830827642">
          <w:marLeft w:val="0"/>
          <w:marRight w:val="0"/>
          <w:marTop w:val="0"/>
          <w:marBottom w:val="0"/>
          <w:divBdr>
            <w:top w:val="none" w:sz="0" w:space="0" w:color="auto"/>
            <w:left w:val="none" w:sz="0" w:space="0" w:color="auto"/>
            <w:bottom w:val="none" w:sz="0" w:space="0" w:color="auto"/>
            <w:right w:val="none" w:sz="0" w:space="0" w:color="auto"/>
          </w:divBdr>
        </w:div>
        <w:div w:id="1898662092">
          <w:marLeft w:val="0"/>
          <w:marRight w:val="0"/>
          <w:marTop w:val="0"/>
          <w:marBottom w:val="0"/>
          <w:divBdr>
            <w:top w:val="none" w:sz="0" w:space="0" w:color="auto"/>
            <w:left w:val="none" w:sz="0" w:space="0" w:color="auto"/>
            <w:bottom w:val="none" w:sz="0" w:space="0" w:color="auto"/>
            <w:right w:val="none" w:sz="0" w:space="0" w:color="auto"/>
          </w:divBdr>
        </w:div>
      </w:divsChild>
    </w:div>
    <w:div w:id="1381440386">
      <w:bodyDiv w:val="1"/>
      <w:marLeft w:val="0"/>
      <w:marRight w:val="0"/>
      <w:marTop w:val="0"/>
      <w:marBottom w:val="0"/>
      <w:divBdr>
        <w:top w:val="none" w:sz="0" w:space="0" w:color="auto"/>
        <w:left w:val="none" w:sz="0" w:space="0" w:color="auto"/>
        <w:bottom w:val="none" w:sz="0" w:space="0" w:color="auto"/>
        <w:right w:val="none" w:sz="0" w:space="0" w:color="auto"/>
      </w:divBdr>
    </w:div>
    <w:div w:id="1799294356">
      <w:bodyDiv w:val="1"/>
      <w:marLeft w:val="0"/>
      <w:marRight w:val="0"/>
      <w:marTop w:val="0"/>
      <w:marBottom w:val="0"/>
      <w:divBdr>
        <w:top w:val="none" w:sz="0" w:space="0" w:color="auto"/>
        <w:left w:val="none" w:sz="0" w:space="0" w:color="auto"/>
        <w:bottom w:val="none" w:sz="0" w:space="0" w:color="auto"/>
        <w:right w:val="none" w:sz="0" w:space="0" w:color="auto"/>
      </w:divBdr>
    </w:div>
    <w:div w:id="20233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cde.ca.gov/be/mt/ms/documents/finalminutes0809jul2020.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e.ca.gov/be/ag/ag/yr20/agenda202007.asp" TargetMode="External"/><Relationship Id="rId2" Type="http://schemas.openxmlformats.org/officeDocument/2006/relationships/numbering" Target="numbering.xml"/><Relationship Id="rId16" Type="http://schemas.openxmlformats.org/officeDocument/2006/relationships/hyperlink" Target="https://www.cde.ca.gov/be/cc/cs/accsnotice060920.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e.ca.gov/be/cc/cs/accsnotice060920.asp"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0C1CA-F8D7-4A31-8AA7-0029DD75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3282</Words>
  <Characters>18714</Characters>
  <DocSecurity>0</DocSecurity>
  <Lines>155</Lines>
  <Paragraphs>43</Paragraphs>
  <ScaleCrop>false</ScaleCrop>
  <HeadingPairs>
    <vt:vector size="2" baseType="variant">
      <vt:variant>
        <vt:lpstr>Title</vt:lpstr>
      </vt:variant>
      <vt:variant>
        <vt:i4>1</vt:i4>
      </vt:variant>
    </vt:vector>
  </HeadingPairs>
  <TitlesOfParts>
    <vt:vector size="1" baseType="lpstr">
      <vt:lpstr>July 2022 Agenda Item 18 - Meeting Agendas (CA State Board of Education)</vt:lpstr>
    </vt:vector>
  </TitlesOfParts>
  <Company>California State Board of Education</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Agenda Item 18 - Meeting Agendas (CA State Board of Education)</dc:title>
  <dc:subject>T.I.M.E. Community School: Consider Issuing a Notice of Violation Pursuant to California Education Code Section 47607(g).</dc:subject>
  <dc:creator/>
  <cp:keywords/>
  <dc:description/>
  <cp:lastPrinted>2018-02-13T16:54:00Z</cp:lastPrinted>
  <dcterms:created xsi:type="dcterms:W3CDTF">2022-06-28T01:02:00Z</dcterms:created>
  <dcterms:modified xsi:type="dcterms:W3CDTF">2022-06-29T22:16:00Z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747535718</vt:i4>
  </property>
</Properties>
</file>