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6FBF" w:rsidRPr="0002299C" w:rsidRDefault="00D46FBF" w:rsidP="0002299C">
      <w:pPr>
        <w:pStyle w:val="Heading1"/>
        <w:spacing w:before="0" w:after="120"/>
        <w:jc w:val="center"/>
        <w:rPr>
          <w:rFonts w:ascii="Arial" w:hAnsi="Arial" w:cs="Arial"/>
          <w:b/>
          <w:color w:val="auto"/>
        </w:rPr>
      </w:pPr>
      <w:bookmarkStart w:id="0" w:name="_GoBack"/>
      <w:bookmarkEnd w:id="0"/>
      <w:r w:rsidRPr="0002299C">
        <w:rPr>
          <w:rFonts w:ascii="Arial" w:hAnsi="Arial" w:cs="Arial"/>
          <w:b/>
          <w:color w:val="auto"/>
        </w:rPr>
        <w:t>2022–23 CCSPP County Office Coordination</w:t>
      </w:r>
      <w:r w:rsidR="0002299C">
        <w:rPr>
          <w:rFonts w:ascii="Arial" w:hAnsi="Arial" w:cs="Arial"/>
          <w:b/>
          <w:color w:val="auto"/>
        </w:rPr>
        <w:br/>
      </w:r>
      <w:r w:rsidRPr="0002299C">
        <w:rPr>
          <w:rFonts w:ascii="Arial" w:hAnsi="Arial" w:cs="Arial"/>
          <w:b/>
          <w:color w:val="auto"/>
        </w:rPr>
        <w:t>Grant Program Allocations</w:t>
      </w:r>
    </w:p>
    <w:p w:rsidR="00D46FBF" w:rsidRDefault="00D46FBF" w:rsidP="00D46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California Community Schools Partnership Program (CCSPP) 2022–23 County Office of Education (COE) Coordination Grant allocations are de</w:t>
      </w:r>
      <w:r w:rsidRPr="00F909AE">
        <w:rPr>
          <w:rFonts w:ascii="Arial" w:hAnsi="Arial" w:cs="Arial"/>
          <w:sz w:val="24"/>
          <w:szCs w:val="24"/>
        </w:rPr>
        <w:t>termined based on the</w:t>
      </w:r>
      <w:r>
        <w:rPr>
          <w:rFonts w:ascii="Arial" w:hAnsi="Arial" w:cs="Arial"/>
          <w:sz w:val="24"/>
          <w:szCs w:val="24"/>
        </w:rPr>
        <w:t xml:space="preserve"> n</w:t>
      </w:r>
      <w:r w:rsidRPr="00F909AE">
        <w:rPr>
          <w:rFonts w:ascii="Arial" w:hAnsi="Arial" w:cs="Arial"/>
          <w:sz w:val="24"/>
          <w:szCs w:val="24"/>
        </w:rPr>
        <w:t>umber community schools funded</w:t>
      </w:r>
      <w:r>
        <w:rPr>
          <w:rFonts w:ascii="Arial" w:hAnsi="Arial" w:cs="Arial"/>
          <w:sz w:val="24"/>
          <w:szCs w:val="24"/>
        </w:rPr>
        <w:t xml:space="preserve"> in the county</w:t>
      </w:r>
      <w:r w:rsidRPr="00F909AE">
        <w:rPr>
          <w:rFonts w:ascii="Arial" w:hAnsi="Arial" w:cs="Arial"/>
          <w:sz w:val="24"/>
          <w:szCs w:val="24"/>
        </w:rPr>
        <w:t>, and the number </w:t>
      </w:r>
      <w:r>
        <w:rPr>
          <w:rFonts w:ascii="Arial" w:hAnsi="Arial" w:cs="Arial"/>
          <w:sz w:val="24"/>
          <w:szCs w:val="24"/>
        </w:rPr>
        <w:t xml:space="preserve">of </w:t>
      </w:r>
      <w:r w:rsidRPr="00F909AE">
        <w:rPr>
          <w:rFonts w:ascii="Arial" w:hAnsi="Arial" w:cs="Arial"/>
          <w:sz w:val="24"/>
          <w:szCs w:val="24"/>
        </w:rPr>
        <w:t>pupils served in those schools</w:t>
      </w:r>
      <w:r>
        <w:rPr>
          <w:rFonts w:ascii="Arial" w:hAnsi="Arial" w:cs="Arial"/>
          <w:sz w:val="24"/>
          <w:szCs w:val="24"/>
        </w:rPr>
        <w:t>. The COE eligibility for the Coordination Grant is based on a minimum of two CCSPP Planning or Implementation Grants within the county. The funding range was a minimum of $200,000 and up to $500,000.</w:t>
      </w:r>
    </w:p>
    <w:p w:rsidR="00D46FBF" w:rsidRDefault="00D46FBF" w:rsidP="00D46F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Total funding for the Coordination Grant is $140 million over seven years.  Grants will be awarded annually over the seven-year period and will be recalculated in future years to reflect changes in the number of schools funded with CCSPP Planning and Implementation Grants within each county.</w:t>
      </w:r>
    </w:p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Northern California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980989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B70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B7022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Humboldt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$250,000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Mendocino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Lake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Siskiyou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$250,000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Shasta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Lassen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Tehama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Glenn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Butte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$300,000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Capitol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612BA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Yuba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612BA6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612BA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Yolo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612BA6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612BA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Sacramento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612BA6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612BA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Joaquin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612BA6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$375,000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Bay Area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92"/>
        <w:gridCol w:w="3117"/>
      </w:tblGrid>
      <w:tr w:rsidR="00612BA6" w:rsidRPr="00594991" w:rsidTr="00CC56CB">
        <w:trPr>
          <w:cantSplit/>
          <w:tblHeader/>
          <w:jc w:val="center"/>
        </w:trPr>
        <w:tc>
          <w:tcPr>
            <w:tcW w:w="609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Marin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Sonoma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Napa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Contra Costa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Alameda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$425,000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Mateo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Santa Clara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$375,000</w:t>
            </w:r>
          </w:p>
        </w:tc>
      </w:tr>
      <w:tr w:rsidR="00612BA6" w:rsidRPr="00594991" w:rsidTr="00CC56CB">
        <w:trPr>
          <w:jc w:val="center"/>
        </w:trPr>
        <w:tc>
          <w:tcPr>
            <w:tcW w:w="609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Francisco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$275,000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lastRenderedPageBreak/>
        <w:t>Central Coast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Monterey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$425,000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Luis Obispo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Santa Barbara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$375,000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Central Valley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Stanislaus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$400,000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Merced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$350,000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Madera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Fresno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Kings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Tulare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Kern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Southern Coast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Orange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Imperial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$375,000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Diego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Southern Inland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Inyo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$200,000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San Bernardino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Riverside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</w:tbl>
    <w:p w:rsidR="00612BA6" w:rsidRPr="0002299C" w:rsidRDefault="00612BA6" w:rsidP="0002299C">
      <w:pPr>
        <w:pStyle w:val="Heading2"/>
        <w:spacing w:before="240" w:after="120"/>
        <w:rPr>
          <w:rFonts w:ascii="Arial" w:hAnsi="Arial" w:cs="Arial"/>
          <w:b/>
          <w:color w:val="auto"/>
        </w:rPr>
      </w:pPr>
      <w:r w:rsidRPr="0002299C">
        <w:rPr>
          <w:rFonts w:ascii="Arial" w:hAnsi="Arial" w:cs="Arial"/>
          <w:b/>
          <w:color w:val="auto"/>
        </w:rPr>
        <w:t>Greater Los Angeles Area Region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82"/>
        <w:gridCol w:w="3117"/>
      </w:tblGrid>
      <w:tr w:rsidR="00612BA6" w:rsidRPr="00594991" w:rsidTr="00CC56CB">
        <w:trPr>
          <w:jc w:val="center"/>
        </w:trPr>
        <w:tc>
          <w:tcPr>
            <w:tcW w:w="6182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County Office</w:t>
            </w:r>
          </w:p>
        </w:tc>
        <w:tc>
          <w:tcPr>
            <w:tcW w:w="3117" w:type="dxa"/>
            <w:shd w:val="clear" w:color="auto" w:fill="BFBFBF" w:themeFill="background1" w:themeFillShade="BF"/>
            <w:vAlign w:val="bottom"/>
          </w:tcPr>
          <w:p w:rsidR="00612BA6" w:rsidRPr="00612BA6" w:rsidRDefault="00612BA6" w:rsidP="00612BA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612BA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Allocation</w:t>
            </w:r>
          </w:p>
        </w:tc>
      </w:tr>
      <w:tr w:rsidR="00612BA6" w:rsidRPr="00594991" w:rsidTr="00CC56CB">
        <w:trPr>
          <w:jc w:val="center"/>
        </w:trPr>
        <w:tc>
          <w:tcPr>
            <w:tcW w:w="6182" w:type="dxa"/>
            <w:vAlign w:val="bottom"/>
          </w:tcPr>
          <w:p w:rsidR="00612BA6" w:rsidRPr="00594991" w:rsidRDefault="00612BA6" w:rsidP="00B70227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Los Angeles</w:t>
            </w:r>
          </w:p>
        </w:tc>
        <w:tc>
          <w:tcPr>
            <w:tcW w:w="3117" w:type="dxa"/>
            <w:vAlign w:val="bottom"/>
          </w:tcPr>
          <w:p w:rsidR="00612BA6" w:rsidRPr="00594991" w:rsidRDefault="00612BA6" w:rsidP="00B70227">
            <w:pPr>
              <w:jc w:val="right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</w:pPr>
            <w:r w:rsidRPr="00594991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</w:rPr>
              <w:t>$500,000</w:t>
            </w:r>
          </w:p>
        </w:tc>
      </w:tr>
    </w:tbl>
    <w:p w:rsidR="005E70FB" w:rsidRPr="0002299C" w:rsidRDefault="00612BA6" w:rsidP="0002299C">
      <w:pPr>
        <w:pStyle w:val="Heading2"/>
        <w:tabs>
          <w:tab w:val="left" w:pos="7650"/>
          <w:tab w:val="left" w:pos="7830"/>
        </w:tabs>
        <w:spacing w:before="480" w:after="120"/>
        <w:rPr>
          <w:rFonts w:ascii="Arial" w:hAnsi="Arial" w:cs="Arial"/>
          <w:b/>
          <w:color w:val="auto"/>
          <w:sz w:val="28"/>
        </w:rPr>
      </w:pPr>
      <w:r w:rsidRPr="0002299C">
        <w:rPr>
          <w:rFonts w:ascii="Arial" w:hAnsi="Arial" w:cs="Arial"/>
          <w:b/>
          <w:color w:val="auto"/>
          <w:sz w:val="28"/>
        </w:rPr>
        <w:t>2022-23 Total Allocation</w:t>
      </w:r>
      <w:r w:rsidR="0002299C" w:rsidRPr="0002299C">
        <w:rPr>
          <w:rFonts w:ascii="Arial" w:hAnsi="Arial" w:cs="Arial"/>
          <w:b/>
          <w:color w:val="auto"/>
          <w:sz w:val="28"/>
        </w:rPr>
        <w:t>:</w:t>
      </w:r>
      <w:r w:rsidR="0002299C" w:rsidRPr="0002299C">
        <w:rPr>
          <w:rFonts w:ascii="Arial" w:hAnsi="Arial" w:cs="Arial"/>
          <w:b/>
          <w:color w:val="auto"/>
          <w:sz w:val="28"/>
        </w:rPr>
        <w:tab/>
      </w:r>
      <w:r w:rsidRPr="0002299C">
        <w:rPr>
          <w:rFonts w:ascii="Arial" w:hAnsi="Arial" w:cs="Arial"/>
          <w:b/>
          <w:color w:val="auto"/>
          <w:sz w:val="28"/>
        </w:rPr>
        <w:t>$12,875,000</w:t>
      </w:r>
    </w:p>
    <w:sectPr w:rsidR="005E70FB" w:rsidRPr="0002299C" w:rsidSect="0002299C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0A7" w:rsidRDefault="005E50A7" w:rsidP="00D46FBF">
      <w:pPr>
        <w:spacing w:after="0" w:line="240" w:lineRule="auto"/>
      </w:pPr>
      <w:r>
        <w:separator/>
      </w:r>
    </w:p>
  </w:endnote>
  <w:endnote w:type="continuationSeparator" w:id="0">
    <w:p w:rsidR="005E50A7" w:rsidRDefault="005E50A7" w:rsidP="00D46F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0A7" w:rsidRDefault="005E50A7" w:rsidP="00D46FBF">
      <w:pPr>
        <w:spacing w:after="0" w:line="240" w:lineRule="auto"/>
      </w:pPr>
      <w:r>
        <w:separator/>
      </w:r>
    </w:p>
  </w:footnote>
  <w:footnote w:type="continuationSeparator" w:id="0">
    <w:p w:rsidR="005E50A7" w:rsidRDefault="005E50A7" w:rsidP="00D46F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FBF" w:rsidRDefault="00D46FBF" w:rsidP="00D46FB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sssb-cctd-nov22item01a01</w:t>
    </w:r>
  </w:p>
  <w:p w:rsidR="00D46FBF" w:rsidRDefault="00D46FBF" w:rsidP="00D46FBF">
    <w:pPr>
      <w:pStyle w:val="Header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Attachment </w:t>
    </w:r>
    <w:r w:rsidRPr="009D3B7A">
      <w:rPr>
        <w:rFonts w:ascii="Arial" w:hAnsi="Arial" w:cs="Arial"/>
      </w:rPr>
      <w:t>1</w:t>
    </w:r>
  </w:p>
  <w:p w:rsidR="00D46FBF" w:rsidRPr="0002299C" w:rsidRDefault="00D46FBF" w:rsidP="0002299C">
    <w:pPr>
      <w:pStyle w:val="Header"/>
      <w:spacing w:after="120"/>
      <w:jc w:val="right"/>
      <w:rPr>
        <w:rFonts w:ascii="Arial" w:hAnsi="Arial" w:cs="Arial"/>
      </w:rPr>
    </w:pPr>
    <w:r w:rsidRPr="00D05AD8">
      <w:rPr>
        <w:rFonts w:ascii="Arial" w:hAnsi="Arial" w:cs="Arial"/>
      </w:rPr>
      <w:t xml:space="preserve">Page </w:t>
    </w:r>
    <w:r w:rsidRPr="00D05AD8">
      <w:rPr>
        <w:rFonts w:ascii="Arial" w:hAnsi="Arial" w:cs="Arial"/>
      </w:rPr>
      <w:fldChar w:fldCharType="begin"/>
    </w:r>
    <w:r w:rsidRPr="00D05AD8">
      <w:rPr>
        <w:rFonts w:ascii="Arial" w:hAnsi="Arial" w:cs="Arial"/>
      </w:rPr>
      <w:instrText xml:space="preserve"> PAGE   \* MERGEFORMAT </w:instrText>
    </w:r>
    <w:r w:rsidRPr="00D05AD8">
      <w:rPr>
        <w:rFonts w:ascii="Arial" w:hAnsi="Arial" w:cs="Arial"/>
      </w:rPr>
      <w:fldChar w:fldCharType="separate"/>
    </w:r>
    <w:r>
      <w:rPr>
        <w:rFonts w:ascii="Arial" w:hAnsi="Arial" w:cs="Arial"/>
      </w:rPr>
      <w:t>1</w:t>
    </w:r>
    <w:r w:rsidRPr="00D05AD8">
      <w:rPr>
        <w:rFonts w:ascii="Arial" w:hAnsi="Arial" w:cs="Arial"/>
        <w:noProof/>
      </w:rPr>
      <w:fldChar w:fldCharType="end"/>
    </w:r>
    <w:r w:rsidRPr="00D05AD8">
      <w:rPr>
        <w:rFonts w:ascii="Arial" w:hAnsi="Arial" w:cs="Arial"/>
        <w:noProof/>
      </w:rPr>
      <w:t xml:space="preserve"> of </w:t>
    </w:r>
    <w:r w:rsidR="00CF72F8">
      <w:rPr>
        <w:rFonts w:ascii="Arial" w:hAnsi="Arial" w:cs="Arial"/>
        <w:noProof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FBF"/>
    <w:rsid w:val="0002299C"/>
    <w:rsid w:val="00594991"/>
    <w:rsid w:val="005B27A5"/>
    <w:rsid w:val="005E50A7"/>
    <w:rsid w:val="005E70FB"/>
    <w:rsid w:val="00612BA6"/>
    <w:rsid w:val="008700E5"/>
    <w:rsid w:val="009F4FE7"/>
    <w:rsid w:val="00AB73DF"/>
    <w:rsid w:val="00B23094"/>
    <w:rsid w:val="00CC56CB"/>
    <w:rsid w:val="00CD75B2"/>
    <w:rsid w:val="00CF72F8"/>
    <w:rsid w:val="00D46FBF"/>
    <w:rsid w:val="00F6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|"/>
  <w14:docId w14:val="13E892FB"/>
  <w15:chartTrackingRefBased/>
  <w15:docId w15:val="{50C5912F-E063-4ACF-8647-CA66A339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FBF"/>
  </w:style>
  <w:style w:type="paragraph" w:styleId="Heading1">
    <w:name w:val="heading 1"/>
    <w:basedOn w:val="Normal"/>
    <w:next w:val="Normal"/>
    <w:link w:val="Heading1Char"/>
    <w:uiPriority w:val="9"/>
    <w:qFormat/>
    <w:rsid w:val="000229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29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FBF"/>
  </w:style>
  <w:style w:type="paragraph" w:styleId="Footer">
    <w:name w:val="footer"/>
    <w:basedOn w:val="Normal"/>
    <w:link w:val="FooterChar"/>
    <w:uiPriority w:val="99"/>
    <w:unhideWhenUsed/>
    <w:rsid w:val="00D46F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FBF"/>
  </w:style>
  <w:style w:type="table" w:styleId="TableGrid">
    <w:name w:val="Table Grid"/>
    <w:basedOn w:val="TableNormal"/>
    <w:uiPriority w:val="39"/>
    <w:rsid w:val="00D46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229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229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EF7CF-6B90-4BCB-A826-279EF996E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292</Words>
  <Characters>1668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Board of Education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2022 Agenda Item 04 Attachment 1 - Meeting Agendas (CA State Board of Education)</dc:title>
  <dc:subject>2022-23 CCSPP County Office Coordination Grant Program Allocations.</dc:subject>
  <cp:keywords/>
  <dc:description/>
  <dcterms:created xsi:type="dcterms:W3CDTF">2022-10-21T19:45:00Z</dcterms:created>
  <dcterms:modified xsi:type="dcterms:W3CDTF">2022-10-21T21:12:00Z</dcterms:modified>
</cp:coreProperties>
</file>