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F274" w14:textId="177B44DF" w:rsidR="00E92402" w:rsidRPr="00E92402" w:rsidRDefault="00E92402" w:rsidP="00801A0D">
      <w:pPr>
        <w:pStyle w:val="Heading1"/>
      </w:pPr>
      <w:r w:rsidRPr="00E92402">
        <w:t xml:space="preserve">Attachment </w:t>
      </w:r>
      <w:r w:rsidR="004261B2">
        <w:t>3</w:t>
      </w:r>
    </w:p>
    <w:p w14:paraId="26D4A597" w14:textId="55139BDB" w:rsidR="00CF2869" w:rsidRPr="00AA658E" w:rsidRDefault="00CF2869" w:rsidP="00801A0D">
      <w:pPr>
        <w:pStyle w:val="Heading2"/>
        <w:jc w:val="left"/>
      </w:pPr>
      <w:r w:rsidRPr="00AA658E">
        <w:t>California Department of Education</w:t>
      </w:r>
    </w:p>
    <w:p w14:paraId="4F8BCD3E" w14:textId="13DD1B02" w:rsidR="00CF2869" w:rsidRPr="00AA658E" w:rsidRDefault="00CF2869" w:rsidP="00696B30">
      <w:pPr>
        <w:pStyle w:val="Heading2"/>
        <w:jc w:val="left"/>
        <w:rPr>
          <w:bCs/>
          <w:sz w:val="36"/>
          <w:szCs w:val="36"/>
        </w:rPr>
      </w:pPr>
      <w:r w:rsidRPr="00AA658E">
        <w:rPr>
          <w:bCs/>
          <w:sz w:val="36"/>
          <w:szCs w:val="36"/>
        </w:rPr>
        <w:t>M e m o r a n d u m</w:t>
      </w:r>
    </w:p>
    <w:p w14:paraId="5AC2DD23" w14:textId="5868BDF1" w:rsidR="00CF2869" w:rsidRDefault="00CF2869" w:rsidP="00CF2869">
      <w:pPr>
        <w:tabs>
          <w:tab w:val="left" w:pos="1080"/>
        </w:tabs>
        <w:rPr>
          <w:rFonts w:cs="Arial"/>
          <w:b/>
        </w:rPr>
      </w:pPr>
      <w:r>
        <w:rPr>
          <w:rFonts w:cs="Arial"/>
          <w:b/>
        </w:rPr>
        <w:t>Date:</w:t>
      </w:r>
      <w:r>
        <w:rPr>
          <w:rFonts w:cs="Arial"/>
          <w:b/>
        </w:rPr>
        <w:tab/>
      </w:r>
      <w:r w:rsidR="00CB5D1C">
        <w:rPr>
          <w:rFonts w:cs="Arial"/>
        </w:rPr>
        <w:t xml:space="preserve">December 29, </w:t>
      </w:r>
      <w:r>
        <w:rPr>
          <w:rFonts w:cs="Arial"/>
        </w:rPr>
        <w:t>2</w:t>
      </w:r>
      <w:r w:rsidR="00CB5D1C">
        <w:rPr>
          <w:rFonts w:cs="Arial"/>
        </w:rPr>
        <w:t>023</w:t>
      </w:r>
    </w:p>
    <w:p w14:paraId="1C4EFD97" w14:textId="41BB9500" w:rsidR="00696B30" w:rsidRDefault="00CF2869" w:rsidP="00696B30">
      <w:pPr>
        <w:tabs>
          <w:tab w:val="left" w:pos="1080"/>
        </w:tabs>
        <w:rPr>
          <w:rFonts w:cs="Arial"/>
        </w:rPr>
      </w:pPr>
      <w:r>
        <w:rPr>
          <w:rFonts w:cs="Arial"/>
          <w:b/>
        </w:rPr>
        <w:t>To:</w:t>
      </w:r>
      <w:r>
        <w:rPr>
          <w:rFonts w:cs="Arial"/>
          <w:b/>
        </w:rPr>
        <w:tab/>
      </w:r>
      <w:r w:rsidR="00696B30">
        <w:rPr>
          <w:rFonts w:cs="Arial"/>
        </w:rPr>
        <w:t>Juan Mireles, Director</w:t>
      </w:r>
      <w:r w:rsidR="00960000">
        <w:rPr>
          <w:rFonts w:cs="Arial"/>
        </w:rPr>
        <w:t>, School Facilities and Transportation Division</w:t>
      </w:r>
    </w:p>
    <w:p w14:paraId="0EE64A45" w14:textId="01FD40EA" w:rsidR="00CF2869" w:rsidRDefault="00CF2869" w:rsidP="00696B30">
      <w:pPr>
        <w:tabs>
          <w:tab w:val="left" w:pos="1080"/>
        </w:tabs>
        <w:rPr>
          <w:rFonts w:cs="Arial"/>
        </w:rPr>
      </w:pPr>
      <w:r>
        <w:rPr>
          <w:rFonts w:cs="Arial"/>
          <w:b/>
        </w:rPr>
        <w:t>From:</w:t>
      </w:r>
      <w:r>
        <w:rPr>
          <w:rFonts w:cs="Arial"/>
          <w:b/>
        </w:rPr>
        <w:tab/>
      </w:r>
      <w:r w:rsidR="00696B30">
        <w:rPr>
          <w:rFonts w:cs="Arial"/>
        </w:rPr>
        <w:t>Elizabeth Dearstyne, Director</w:t>
      </w:r>
      <w:r w:rsidR="00960000">
        <w:rPr>
          <w:rFonts w:cs="Arial"/>
        </w:rPr>
        <w:t>, School Fiscal Services Division</w:t>
      </w:r>
    </w:p>
    <w:p w14:paraId="047A0580" w14:textId="090375BF" w:rsidR="007D48A6" w:rsidRDefault="00CF2869" w:rsidP="004A2B3D">
      <w:pPr>
        <w:tabs>
          <w:tab w:val="left" w:pos="1080"/>
          <w:tab w:val="left" w:pos="5130"/>
        </w:tabs>
        <w:rPr>
          <w:rFonts w:cs="Arial"/>
        </w:rPr>
      </w:pPr>
      <w:r>
        <w:rPr>
          <w:rFonts w:cs="Arial"/>
          <w:b/>
        </w:rPr>
        <w:t>Subject:</w:t>
      </w:r>
      <w:r>
        <w:rPr>
          <w:rFonts w:cs="Arial"/>
          <w:b/>
        </w:rPr>
        <w:tab/>
      </w:r>
      <w:r w:rsidR="007D48A6" w:rsidRPr="007D48A6">
        <w:rPr>
          <w:rFonts w:cs="Arial"/>
          <w:bCs/>
        </w:rPr>
        <w:t>Fiscal Analysis for the</w:t>
      </w:r>
      <w:r w:rsidR="007D48A6">
        <w:rPr>
          <w:rFonts w:cs="Arial"/>
          <w:b/>
        </w:rPr>
        <w:t xml:space="preserve"> </w:t>
      </w:r>
      <w:r w:rsidR="007D48A6" w:rsidRPr="007D48A6">
        <w:rPr>
          <w:rFonts w:cs="Arial"/>
        </w:rPr>
        <w:t xml:space="preserve">Appeal from an Action of the Los Angeles County Committee on School District Organization to Approve a Petition to Transfer Territory from the </w:t>
      </w:r>
      <w:r w:rsidR="007D48A6">
        <w:rPr>
          <w:rFonts w:cs="Arial"/>
        </w:rPr>
        <w:t>Glendale Unified</w:t>
      </w:r>
      <w:r w:rsidR="007D48A6" w:rsidRPr="007D48A6">
        <w:rPr>
          <w:rFonts w:cs="Arial"/>
        </w:rPr>
        <w:t xml:space="preserve"> School District to the </w:t>
      </w:r>
      <w:r w:rsidR="00FA0ABA">
        <w:rPr>
          <w:rFonts w:cs="Arial"/>
        </w:rPr>
        <w:t>La Cañada</w:t>
      </w:r>
      <w:r w:rsidR="007D48A6" w:rsidRPr="007D48A6">
        <w:rPr>
          <w:rFonts w:cs="Arial"/>
        </w:rPr>
        <w:t xml:space="preserve"> Unified School District</w:t>
      </w:r>
    </w:p>
    <w:p w14:paraId="7013B295" w14:textId="3352ABD6" w:rsidR="00CF2869" w:rsidRDefault="00CF2869" w:rsidP="007D48A6">
      <w:pPr>
        <w:tabs>
          <w:tab w:val="left" w:pos="1080"/>
        </w:tabs>
        <w:rPr>
          <w:rFonts w:cs="Arial"/>
        </w:rPr>
      </w:pPr>
      <w:r w:rsidRPr="00D72EC3">
        <w:rPr>
          <w:rFonts w:cs="Arial"/>
        </w:rPr>
        <w:t xml:space="preserve">Following is the </w:t>
      </w:r>
      <w:r w:rsidR="00143E71" w:rsidRPr="00D72EC3">
        <w:rPr>
          <w:rFonts w:cs="Arial"/>
        </w:rPr>
        <w:t xml:space="preserve">fiscal </w:t>
      </w:r>
      <w:r w:rsidRPr="00D72EC3">
        <w:rPr>
          <w:rFonts w:cs="Arial"/>
        </w:rPr>
        <w:t xml:space="preserve">analysis </w:t>
      </w:r>
      <w:r w:rsidR="00143E71" w:rsidRPr="00D72EC3">
        <w:rPr>
          <w:rFonts w:cs="Arial"/>
        </w:rPr>
        <w:t xml:space="preserve">requested </w:t>
      </w:r>
      <w:r w:rsidRPr="00D72EC3">
        <w:rPr>
          <w:rFonts w:cs="Arial"/>
        </w:rPr>
        <w:t xml:space="preserve">by the Facilities Planning </w:t>
      </w:r>
      <w:r w:rsidR="0021522E" w:rsidRPr="00D72EC3">
        <w:rPr>
          <w:rFonts w:cs="Arial"/>
        </w:rPr>
        <w:t>Policy &amp; Standards</w:t>
      </w:r>
      <w:r w:rsidRPr="00D72EC3">
        <w:rPr>
          <w:rFonts w:cs="Arial"/>
        </w:rPr>
        <w:t xml:space="preserve"> unit </w:t>
      </w:r>
      <w:r w:rsidR="00A74772">
        <w:rPr>
          <w:rFonts w:cs="Arial"/>
        </w:rPr>
        <w:t xml:space="preserve">of the School Facilities and Transportation Division </w:t>
      </w:r>
      <w:r w:rsidR="00143E71" w:rsidRPr="00D72EC3">
        <w:rPr>
          <w:rFonts w:cs="Arial"/>
        </w:rPr>
        <w:t>for the</w:t>
      </w:r>
      <w:r w:rsidRPr="00D72EC3">
        <w:rPr>
          <w:rFonts w:cs="Arial"/>
        </w:rPr>
        <w:t xml:space="preserve"> appeal</w:t>
      </w:r>
      <w:r w:rsidR="00143E71" w:rsidRPr="00D72EC3">
        <w:rPr>
          <w:rFonts w:cs="Arial"/>
        </w:rPr>
        <w:t xml:space="preserve"> </w:t>
      </w:r>
      <w:r w:rsidR="0021522E" w:rsidRPr="00D72EC3">
        <w:rPr>
          <w:rFonts w:cs="Arial"/>
        </w:rPr>
        <w:t xml:space="preserve">submitted to the State Board of Education </w:t>
      </w:r>
      <w:r w:rsidR="00143E71" w:rsidRPr="00D72EC3">
        <w:rPr>
          <w:rFonts w:cs="Arial"/>
        </w:rPr>
        <w:t>by Glendale Unified School District (USD)</w:t>
      </w:r>
      <w:r w:rsidRPr="00D72EC3">
        <w:rPr>
          <w:rFonts w:cs="Arial"/>
        </w:rPr>
        <w:t xml:space="preserve"> </w:t>
      </w:r>
      <w:r w:rsidR="0021522E" w:rsidRPr="00D72EC3">
        <w:rPr>
          <w:rFonts w:cs="Arial"/>
        </w:rPr>
        <w:t>regarding</w:t>
      </w:r>
      <w:r w:rsidR="00143E71" w:rsidRPr="00D72EC3">
        <w:rPr>
          <w:rFonts w:cs="Arial"/>
        </w:rPr>
        <w:t xml:space="preserve"> the action of the Los Angeles County Committee on School District Organization</w:t>
      </w:r>
      <w:r w:rsidR="00143E71" w:rsidRPr="00143E71">
        <w:rPr>
          <w:rFonts w:cs="Arial"/>
        </w:rPr>
        <w:t xml:space="preserve"> </w:t>
      </w:r>
      <w:r w:rsidR="00143E71">
        <w:rPr>
          <w:rFonts w:cs="Arial"/>
        </w:rPr>
        <w:t>(County Committee) to a</w:t>
      </w:r>
      <w:r w:rsidR="00143E71" w:rsidRPr="00143E71">
        <w:rPr>
          <w:rFonts w:cs="Arial"/>
        </w:rPr>
        <w:t>pprov</w:t>
      </w:r>
      <w:r w:rsidR="00143E71">
        <w:rPr>
          <w:rFonts w:cs="Arial"/>
        </w:rPr>
        <w:t>e</w:t>
      </w:r>
      <w:r w:rsidR="00143E71" w:rsidRPr="00143E71">
        <w:rPr>
          <w:rFonts w:cs="Arial"/>
        </w:rPr>
        <w:t xml:space="preserve"> a </w:t>
      </w:r>
      <w:r w:rsidR="00143E71">
        <w:rPr>
          <w:rFonts w:cs="Arial"/>
        </w:rPr>
        <w:t>proposal</w:t>
      </w:r>
      <w:r w:rsidR="00143E71" w:rsidRPr="00143E71">
        <w:rPr>
          <w:rFonts w:cs="Arial"/>
        </w:rPr>
        <w:t xml:space="preserve"> to </w:t>
      </w:r>
      <w:r w:rsidR="00143E71">
        <w:rPr>
          <w:rFonts w:cs="Arial"/>
        </w:rPr>
        <w:t>t</w:t>
      </w:r>
      <w:r w:rsidR="00143E71" w:rsidRPr="00143E71">
        <w:rPr>
          <w:rFonts w:cs="Arial"/>
        </w:rPr>
        <w:t xml:space="preserve">ransfer </w:t>
      </w:r>
      <w:r w:rsidR="00143E71">
        <w:rPr>
          <w:rFonts w:cs="Arial"/>
        </w:rPr>
        <w:t>t</w:t>
      </w:r>
      <w:r w:rsidR="00143E71" w:rsidRPr="00143E71">
        <w:rPr>
          <w:rFonts w:cs="Arial"/>
        </w:rPr>
        <w:t>erritory</w:t>
      </w:r>
      <w:r w:rsidR="00E70B0B">
        <w:rPr>
          <w:rFonts w:cs="Arial"/>
        </w:rPr>
        <w:t xml:space="preserve"> (Sagebrush Area) </w:t>
      </w:r>
      <w:r w:rsidR="00143E71" w:rsidRPr="00143E71">
        <w:rPr>
          <w:rFonts w:cs="Arial"/>
        </w:rPr>
        <w:t xml:space="preserve">from the Glendale </w:t>
      </w:r>
      <w:r w:rsidR="00143E71">
        <w:rPr>
          <w:rFonts w:cs="Arial"/>
        </w:rPr>
        <w:t>USD</w:t>
      </w:r>
      <w:r w:rsidR="00143E71" w:rsidRPr="00143E71">
        <w:rPr>
          <w:rFonts w:cs="Arial"/>
        </w:rPr>
        <w:t xml:space="preserve"> to the La Cañada </w:t>
      </w:r>
      <w:r w:rsidR="00143E71">
        <w:rPr>
          <w:rFonts w:cs="Arial"/>
        </w:rPr>
        <w:t>USD</w:t>
      </w:r>
      <w:r w:rsidR="00E92402" w:rsidRPr="00EB3E38">
        <w:t>.</w:t>
      </w:r>
    </w:p>
    <w:p w14:paraId="32F9E259" w14:textId="01647CEF" w:rsidR="005E4FFE" w:rsidRPr="00C427D9" w:rsidRDefault="00143E71" w:rsidP="002A23DC">
      <w:pPr>
        <w:spacing w:line="259" w:lineRule="auto"/>
      </w:pPr>
      <w:r>
        <w:t xml:space="preserve">The decision of the County Committee </w:t>
      </w:r>
      <w:r w:rsidR="00F637B0">
        <w:t xml:space="preserve">included determining whether the proposal </w:t>
      </w:r>
      <w:r w:rsidR="005E4FFE" w:rsidRPr="00C427D9">
        <w:t>substantially m</w:t>
      </w:r>
      <w:r w:rsidR="00571C61">
        <w:t>e</w:t>
      </w:r>
      <w:r w:rsidR="005E4FFE" w:rsidRPr="00C427D9">
        <w:t>t</w:t>
      </w:r>
      <w:r w:rsidR="00571C61">
        <w:t xml:space="preserve"> nine</w:t>
      </w:r>
      <w:r w:rsidR="005E4FFE" w:rsidRPr="00C427D9">
        <w:t xml:space="preserve"> conditions</w:t>
      </w:r>
      <w:r w:rsidR="00571C61">
        <w:t>,</w:t>
      </w:r>
      <w:r w:rsidR="005E4FFE" w:rsidRPr="00C427D9">
        <w:t xml:space="preserve"> including the following: </w:t>
      </w:r>
    </w:p>
    <w:p w14:paraId="4EF5DC86" w14:textId="79895699" w:rsidR="003669C9" w:rsidRDefault="00EB2B26" w:rsidP="002A23DC">
      <w:pPr>
        <w:pStyle w:val="ListParagraph"/>
        <w:numPr>
          <w:ilvl w:val="0"/>
          <w:numId w:val="13"/>
        </w:numPr>
        <w:spacing w:before="240" w:after="240"/>
        <w:ind w:left="720"/>
        <w:contextualSpacing w:val="0"/>
      </w:pPr>
      <w:r w:rsidRPr="00EB2B26">
        <w:t xml:space="preserve">Any increase in costs to the state </w:t>
      </w:r>
      <w:proofErr w:type="gramStart"/>
      <w:r w:rsidRPr="00EB2B26">
        <w:t>as a result of</w:t>
      </w:r>
      <w:proofErr w:type="gramEnd"/>
      <w:r w:rsidRPr="00EB2B26">
        <w:t xml:space="preserve"> the proposed reorganization will be insignificant and otherwise incidental to the reorganization.</w:t>
      </w:r>
      <w:r w:rsidR="0089500F">
        <w:t xml:space="preserve"> </w:t>
      </w:r>
      <w:r w:rsidR="00F07312">
        <w:t>(</w:t>
      </w:r>
      <w:r w:rsidR="0089500F" w:rsidRPr="0089500F">
        <w:rPr>
          <w:i/>
        </w:rPr>
        <w:t>Education Code</w:t>
      </w:r>
      <w:r w:rsidR="0089500F">
        <w:t xml:space="preserve"> </w:t>
      </w:r>
      <w:r w:rsidR="00F07312">
        <w:t>[</w:t>
      </w:r>
      <w:r w:rsidR="0089500F" w:rsidRPr="0089500F">
        <w:rPr>
          <w:i/>
        </w:rPr>
        <w:t>EC</w:t>
      </w:r>
      <w:r w:rsidR="00F07312">
        <w:t xml:space="preserve">] </w:t>
      </w:r>
      <w:r w:rsidR="0089500F">
        <w:t>Section 35753</w:t>
      </w:r>
      <w:r w:rsidR="00F07312">
        <w:t>[</w:t>
      </w:r>
      <w:r w:rsidR="0089500F">
        <w:t>a</w:t>
      </w:r>
      <w:r w:rsidR="00F07312">
        <w:t>][</w:t>
      </w:r>
      <w:r w:rsidR="00B00C2B">
        <w:t>5</w:t>
      </w:r>
      <w:r w:rsidR="00F07312">
        <w:t>])</w:t>
      </w:r>
    </w:p>
    <w:p w14:paraId="13061C28" w14:textId="3113CC66" w:rsidR="003669C9" w:rsidRDefault="00291E35" w:rsidP="002A23DC">
      <w:pPr>
        <w:pStyle w:val="ListParagraph"/>
        <w:numPr>
          <w:ilvl w:val="0"/>
          <w:numId w:val="13"/>
        </w:numPr>
        <w:spacing w:before="240" w:after="240"/>
        <w:ind w:left="720"/>
        <w:contextualSpacing w:val="0"/>
      </w:pPr>
      <w:r w:rsidRPr="00291E35">
        <w:t>The proposed reorganization will continue to promote sound fiscal management and not cause a substantial negative effect on the fiscal status of the affected district</w:t>
      </w:r>
      <w:r w:rsidR="0089500F">
        <w:t xml:space="preserve">. </w:t>
      </w:r>
      <w:r w:rsidR="00F07312">
        <w:t>(</w:t>
      </w:r>
      <w:r w:rsidR="0089500F" w:rsidRPr="0089500F">
        <w:rPr>
          <w:i/>
        </w:rPr>
        <w:t>EC</w:t>
      </w:r>
      <w:r w:rsidR="0089500F">
        <w:t xml:space="preserve"> Section 35753</w:t>
      </w:r>
      <w:r w:rsidR="00F07312">
        <w:t>[</w:t>
      </w:r>
      <w:r w:rsidR="0089500F">
        <w:t>a</w:t>
      </w:r>
      <w:r w:rsidR="00F07312">
        <w:t>][</w:t>
      </w:r>
      <w:r w:rsidR="00B00C2B">
        <w:t>9</w:t>
      </w:r>
      <w:r w:rsidR="00F07312">
        <w:t>])</w:t>
      </w:r>
    </w:p>
    <w:p w14:paraId="597BD6DC" w14:textId="6BE7A305" w:rsidR="00C219A8" w:rsidRDefault="00C219A8" w:rsidP="00C219A8">
      <w:r w:rsidRPr="00C427D9">
        <w:t xml:space="preserve">The </w:t>
      </w:r>
      <w:r>
        <w:t>Los Angeles</w:t>
      </w:r>
      <w:r w:rsidRPr="00C427D9">
        <w:t xml:space="preserve"> County Office of Education</w:t>
      </w:r>
      <w:r>
        <w:t xml:space="preserve"> (LACOE)</w:t>
      </w:r>
      <w:r w:rsidRPr="00C427D9">
        <w:t xml:space="preserve"> </w:t>
      </w:r>
      <w:r>
        <w:t xml:space="preserve">staff recommendation to the County Committee was based </w:t>
      </w:r>
      <w:r w:rsidR="00636CFB">
        <w:t>on a</w:t>
      </w:r>
      <w:r>
        <w:t xml:space="preserve"> review and analysis of self-assessments by the affected districts as well as the 2016 Summary of Mitigation Options report prepared by Capitol Advisors Group. LACOE staff noted La Ca</w:t>
      </w:r>
      <w:r w:rsidRPr="00C219A8">
        <w:rPr>
          <w:rFonts w:cs="Arial"/>
        </w:rPr>
        <w:t>ñ</w:t>
      </w:r>
      <w:r>
        <w:t xml:space="preserve">ada USD would need to add facilities to accommodate additional student enrollment because of the reorganization. LACOE staff also noted that Glendale USD would experience a reduction in operational efficiencies due to the loss of students at Mountain Avenue Elementary, which serves the Sagebrush Territory, and there were concerns about the affected districts’ ability to maintain a statutory reserve for economic uncertainties. As a result, LACOE staff concluded that the transfer would result in additional costs to the state and would </w:t>
      </w:r>
      <w:r>
        <w:lastRenderedPageBreak/>
        <w:t xml:space="preserve">negatively affect the fiscal management or status of both affected districts. Therefore, LACOE staff recommended the County Committee find conditions 5 and 9 not substantially met. </w:t>
      </w:r>
    </w:p>
    <w:p w14:paraId="38219A5A" w14:textId="12174684" w:rsidR="00C219A8" w:rsidRDefault="00C219A8" w:rsidP="00C219A8">
      <w:pPr>
        <w:spacing w:line="259" w:lineRule="auto"/>
      </w:pPr>
      <w:r>
        <w:t>After</w:t>
      </w:r>
      <w:r w:rsidRPr="00C427D9">
        <w:t xml:space="preserve"> considering the information </w:t>
      </w:r>
      <w:r>
        <w:t>provided by all parties</w:t>
      </w:r>
      <w:r w:rsidRPr="00C427D9">
        <w:t xml:space="preserve">, the County Committee </w:t>
      </w:r>
      <w:r>
        <w:t xml:space="preserve">disagreed with the LACOE staff </w:t>
      </w:r>
      <w:r w:rsidR="00D92856">
        <w:t xml:space="preserve">recommendation </w:t>
      </w:r>
      <w:r>
        <w:t xml:space="preserve">and </w:t>
      </w:r>
      <w:r w:rsidRPr="00C427D9">
        <w:t xml:space="preserve">concluded the proposal </w:t>
      </w:r>
      <w:r>
        <w:t xml:space="preserve">substantially met </w:t>
      </w:r>
      <w:r w:rsidR="00D92856">
        <w:t xml:space="preserve">the conditions in </w:t>
      </w:r>
      <w:r>
        <w:t xml:space="preserve">both </w:t>
      </w:r>
      <w:r w:rsidR="00D92856">
        <w:t xml:space="preserve">subdivision (a)(5) and (a)(9) of </w:t>
      </w:r>
      <w:r w:rsidRPr="00A41D9A">
        <w:rPr>
          <w:i/>
        </w:rPr>
        <w:t>EC</w:t>
      </w:r>
      <w:r>
        <w:t xml:space="preserve"> Section 35753</w:t>
      </w:r>
      <w:r w:rsidRPr="00C427D9">
        <w:t xml:space="preserve">. </w:t>
      </w:r>
    </w:p>
    <w:p w14:paraId="2135D8DD" w14:textId="77777777" w:rsidR="00725AEC" w:rsidRPr="00725AEC" w:rsidRDefault="00725AEC" w:rsidP="00725AEC">
      <w:pPr>
        <w:pStyle w:val="Heading2"/>
      </w:pPr>
      <w:r w:rsidRPr="00725AEC">
        <w:t>Recommendation</w:t>
      </w:r>
    </w:p>
    <w:p w14:paraId="5BDFADB4" w14:textId="3FBEE2FE" w:rsidR="001852C8" w:rsidRDefault="00725AEC" w:rsidP="002A23DC">
      <w:pPr>
        <w:spacing w:line="259" w:lineRule="auto"/>
        <w:rPr>
          <w:rStyle w:val="Strong"/>
          <w:b w:val="0"/>
        </w:rPr>
      </w:pPr>
      <w:r>
        <w:t xml:space="preserve">The </w:t>
      </w:r>
      <w:r w:rsidR="003D7B41">
        <w:t>California Department of California (CDE)</w:t>
      </w:r>
      <w:r>
        <w:t xml:space="preserve"> recommends that </w:t>
      </w:r>
      <w:r w:rsidR="00EA57CD">
        <w:t xml:space="preserve">the SBE find that </w:t>
      </w:r>
      <w:r>
        <w:t xml:space="preserve">the proposal to </w:t>
      </w:r>
      <w:r w:rsidR="00143E71">
        <w:t>transfer territory from t</w:t>
      </w:r>
      <w:r>
        <w:t xml:space="preserve">he </w:t>
      </w:r>
      <w:r w:rsidR="00143E71">
        <w:t>Glendale</w:t>
      </w:r>
      <w:r>
        <w:t xml:space="preserve"> USD </w:t>
      </w:r>
      <w:r w:rsidR="00143E71">
        <w:t xml:space="preserve">to the </w:t>
      </w:r>
      <w:r w:rsidR="00143E71" w:rsidRPr="00143E71">
        <w:rPr>
          <w:rFonts w:cs="Arial"/>
        </w:rPr>
        <w:t xml:space="preserve">La Cañada </w:t>
      </w:r>
      <w:r w:rsidR="00143E71">
        <w:rPr>
          <w:rFonts w:cs="Arial"/>
        </w:rPr>
        <w:t>USD</w:t>
      </w:r>
      <w:r w:rsidR="00143E71" w:rsidRPr="002B2D6F">
        <w:t xml:space="preserve"> </w:t>
      </w:r>
      <w:r w:rsidRPr="002B2D6F">
        <w:t>substantially complies</w:t>
      </w:r>
      <w:r>
        <w:t xml:space="preserve"> with</w:t>
      </w:r>
      <w:r w:rsidR="00C70001">
        <w:t xml:space="preserve"> conditions set forth in paragraphs (5) and (9) of subdivision (a) of </w:t>
      </w:r>
      <w:r w:rsidRPr="00CD6BCC">
        <w:rPr>
          <w:i/>
        </w:rPr>
        <w:t>EC</w:t>
      </w:r>
      <w:r>
        <w:t xml:space="preserve"> Section 35753</w:t>
      </w:r>
      <w:r w:rsidRPr="001C4584">
        <w:t>.</w:t>
      </w:r>
      <w:r w:rsidR="00CB5656">
        <w:t xml:space="preserve"> </w:t>
      </w:r>
    </w:p>
    <w:p w14:paraId="7F7E58D8" w14:textId="32557C11" w:rsidR="00E620E1" w:rsidRDefault="00725AEC" w:rsidP="002A23DC">
      <w:pPr>
        <w:spacing w:line="259" w:lineRule="auto"/>
        <w:rPr>
          <w:rStyle w:val="Strong"/>
          <w:b w:val="0"/>
        </w:rPr>
      </w:pPr>
      <w:r>
        <w:t xml:space="preserve">The following report, prepared by the </w:t>
      </w:r>
      <w:r w:rsidR="00B3556B">
        <w:t>CDE</w:t>
      </w:r>
      <w:r>
        <w:t>, provides detailed analyses to support this recommendation.</w:t>
      </w:r>
      <w:r w:rsidR="00D8283B">
        <w:t xml:space="preserve"> </w:t>
      </w:r>
      <w:r w:rsidR="00E620E1" w:rsidRPr="00035ED2">
        <w:rPr>
          <w:rStyle w:val="Strong"/>
          <w:b w:val="0"/>
        </w:rPr>
        <w:t xml:space="preserve">The standards and criteria adopted by the SBE pursuant to </w:t>
      </w:r>
      <w:r w:rsidR="00E620E1" w:rsidRPr="00077604">
        <w:rPr>
          <w:rStyle w:val="Strong"/>
          <w:b w:val="0"/>
          <w:i/>
        </w:rPr>
        <w:t>EC</w:t>
      </w:r>
      <w:r w:rsidR="00E620E1" w:rsidRPr="00035ED2">
        <w:rPr>
          <w:rStyle w:val="Strong"/>
          <w:b w:val="0"/>
        </w:rPr>
        <w:t xml:space="preserve"> Section 33127 and published in </w:t>
      </w:r>
      <w:r w:rsidR="0053166E">
        <w:rPr>
          <w:rStyle w:val="Strong"/>
          <w:b w:val="0"/>
        </w:rPr>
        <w:t xml:space="preserve">Title 5 </w:t>
      </w:r>
      <w:r w:rsidR="0053166E" w:rsidRPr="0053166E">
        <w:rPr>
          <w:rStyle w:val="Strong"/>
          <w:b w:val="0"/>
          <w:i/>
        </w:rPr>
        <w:t>California Code of Regulations</w:t>
      </w:r>
      <w:r w:rsidR="00E620E1" w:rsidRPr="00035ED2">
        <w:rPr>
          <w:rStyle w:val="Strong"/>
          <w:b w:val="0"/>
        </w:rPr>
        <w:t xml:space="preserve"> </w:t>
      </w:r>
      <w:r w:rsidR="0028262C">
        <w:rPr>
          <w:rStyle w:val="Strong"/>
          <w:b w:val="0"/>
        </w:rPr>
        <w:t>s</w:t>
      </w:r>
      <w:r w:rsidR="00E620E1" w:rsidRPr="00035ED2">
        <w:rPr>
          <w:rStyle w:val="Strong"/>
          <w:b w:val="0"/>
        </w:rPr>
        <w:t>ections 15440</w:t>
      </w:r>
      <w:r w:rsidR="0053166E">
        <w:rPr>
          <w:rStyle w:val="Strong"/>
          <w:b w:val="0"/>
        </w:rPr>
        <w:t xml:space="preserve"> through </w:t>
      </w:r>
      <w:r w:rsidR="00E620E1" w:rsidRPr="00035ED2">
        <w:rPr>
          <w:rStyle w:val="Strong"/>
          <w:b w:val="0"/>
        </w:rPr>
        <w:t xml:space="preserve">15466 </w:t>
      </w:r>
      <w:r w:rsidR="00E620E1">
        <w:rPr>
          <w:rStyle w:val="Strong"/>
          <w:b w:val="0"/>
        </w:rPr>
        <w:t>were used</w:t>
      </w:r>
      <w:r w:rsidR="00E620E1" w:rsidRPr="00035ED2">
        <w:rPr>
          <w:rStyle w:val="Strong"/>
          <w:b w:val="0"/>
        </w:rPr>
        <w:t xml:space="preserve"> for evaluation of the financial conditions of the affected districts.</w:t>
      </w:r>
    </w:p>
    <w:p w14:paraId="14855D90" w14:textId="0D2AEFB7" w:rsidR="00654AE7" w:rsidRDefault="00654AE7" w:rsidP="002A23DC">
      <w:pPr>
        <w:spacing w:line="259" w:lineRule="auto"/>
        <w:rPr>
          <w:rStyle w:val="Strong"/>
          <w:b w:val="0"/>
        </w:rPr>
      </w:pPr>
      <w:r>
        <w:rPr>
          <w:rStyle w:val="Strong"/>
          <w:b w:val="0"/>
        </w:rPr>
        <w:t xml:space="preserve">It should be noted that the determination of the student capacity of the two districts is outside the scope of this analysis and will be addressed in the facility analysis, which is a separate report. </w:t>
      </w:r>
    </w:p>
    <w:p w14:paraId="7F93B87D" w14:textId="77777777" w:rsidR="00D80C15" w:rsidRDefault="00D80C15">
      <w:pPr>
        <w:spacing w:after="160" w:line="259" w:lineRule="auto"/>
        <w:rPr>
          <w:rFonts w:eastAsiaTheme="majorEastAsia" w:cs="Arial"/>
          <w:b/>
          <w:sz w:val="32"/>
          <w:szCs w:val="26"/>
        </w:rPr>
      </w:pPr>
      <w:r>
        <w:br w:type="page"/>
      </w:r>
    </w:p>
    <w:p w14:paraId="033DDB83" w14:textId="5347ABB9" w:rsidR="00882504" w:rsidRPr="00EA731B" w:rsidRDefault="00882504" w:rsidP="00882504">
      <w:pPr>
        <w:pStyle w:val="Heading2"/>
      </w:pPr>
      <w:r>
        <w:lastRenderedPageBreak/>
        <w:t xml:space="preserve">Evaluation </w:t>
      </w:r>
      <w:r w:rsidRPr="00CC2A01">
        <w:t xml:space="preserve">Criteria </w:t>
      </w:r>
      <w:r>
        <w:t>for the</w:t>
      </w:r>
      <w:r w:rsidRPr="00CC2A01">
        <w:t xml:space="preserve"> </w:t>
      </w:r>
      <w:r>
        <w:t>U</w:t>
      </w:r>
      <w:r w:rsidRPr="00CC2A01">
        <w:t xml:space="preserve">nification </w:t>
      </w:r>
      <w:r>
        <w:t>P</w:t>
      </w:r>
      <w:r w:rsidRPr="00CC2A01">
        <w:t>roposal</w:t>
      </w:r>
    </w:p>
    <w:p w14:paraId="35E75698" w14:textId="38CD7E38" w:rsidR="00BA2AAD" w:rsidRPr="00CB5656" w:rsidRDefault="00BA2AAD" w:rsidP="00F703F1">
      <w:pPr>
        <w:pStyle w:val="Heading3"/>
      </w:pPr>
      <w:r w:rsidRPr="00CB5656">
        <w:t>Criterion 5</w:t>
      </w:r>
      <w:r w:rsidR="00C51BA3">
        <w:t>.</w:t>
      </w:r>
      <w:r w:rsidRPr="00CB5656">
        <w:t xml:space="preserve"> The proposed reorganization must not result in any significant increase in costs to the State.</w:t>
      </w:r>
    </w:p>
    <w:p w14:paraId="13565F3C" w14:textId="5C601E23" w:rsidR="00454CFF" w:rsidRDefault="00454CFF" w:rsidP="002A23DC">
      <w:pPr>
        <w:spacing w:line="259" w:lineRule="auto"/>
      </w:pPr>
      <w:proofErr w:type="gramStart"/>
      <w:r>
        <w:t>In order to</w:t>
      </w:r>
      <w:proofErr w:type="gramEnd"/>
      <w:r>
        <w:t xml:space="preserve"> determine whether the proposed reorganization would result in significa</w:t>
      </w:r>
      <w:r w:rsidR="00885A78">
        <w:t>nt</w:t>
      </w:r>
      <w:r>
        <w:t xml:space="preserve"> increased costs to the state, CDE staff reviewed fiscal reports provided by Glendale USD and La Ca</w:t>
      </w:r>
      <w:r>
        <w:rPr>
          <w:rFonts w:cs="Arial"/>
        </w:rPr>
        <w:t>ñ</w:t>
      </w:r>
      <w:r>
        <w:t xml:space="preserve">ada USD. CDE also </w:t>
      </w:r>
      <w:r w:rsidR="00786C30">
        <w:t xml:space="preserve">reviewed the </w:t>
      </w:r>
      <w:r>
        <w:t xml:space="preserve">estimated the impact to Glendale USD’s </w:t>
      </w:r>
      <w:r w:rsidR="00786C30">
        <w:t>funding under LCFF and other per pupil funding program</w:t>
      </w:r>
      <w:r w:rsidR="00A42E5C">
        <w:t xml:space="preserve">s. </w:t>
      </w:r>
    </w:p>
    <w:p w14:paraId="113A2E7D" w14:textId="6E711A76" w:rsidR="00AF72E2" w:rsidRDefault="00454CFF" w:rsidP="002A23DC">
      <w:pPr>
        <w:spacing w:line="259" w:lineRule="auto"/>
      </w:pPr>
      <w:r>
        <w:t xml:space="preserve">Table 1, below, provides a summary of enrollment and funding data for Glendale USD for the </w:t>
      </w:r>
      <w:r w:rsidR="00885A78">
        <w:t xml:space="preserve">three </w:t>
      </w:r>
      <w:r>
        <w:t xml:space="preserve">most recent fiscal years. </w:t>
      </w:r>
    </w:p>
    <w:p w14:paraId="145CA9A8" w14:textId="22B5C7BD" w:rsidR="00AF72E2" w:rsidRPr="004B4AD0" w:rsidRDefault="00AF72E2" w:rsidP="00AF72E2">
      <w:pPr>
        <w:spacing w:after="120"/>
        <w:rPr>
          <w:b/>
        </w:rPr>
      </w:pPr>
      <w:r w:rsidRPr="004B4AD0">
        <w:rPr>
          <w:b/>
        </w:rPr>
        <w:t xml:space="preserve">Table </w:t>
      </w:r>
      <w:r>
        <w:rPr>
          <w:b/>
        </w:rPr>
        <w:t>1</w:t>
      </w:r>
      <w:r w:rsidRPr="004B4AD0">
        <w:rPr>
          <w:b/>
        </w:rPr>
        <w:t xml:space="preserve">. </w:t>
      </w:r>
      <w:r>
        <w:rPr>
          <w:b/>
        </w:rPr>
        <w:t xml:space="preserve">Enrollment Data for </w:t>
      </w:r>
      <w:r w:rsidR="00EA08EC">
        <w:rPr>
          <w:b/>
        </w:rPr>
        <w:t xml:space="preserve">Glendale </w:t>
      </w:r>
      <w:r>
        <w:rPr>
          <w:b/>
        </w:rPr>
        <w:t>USD</w:t>
      </w:r>
    </w:p>
    <w:tbl>
      <w:tblPr>
        <w:tblW w:w="9445" w:type="dxa"/>
        <w:tblLayout w:type="fixed"/>
        <w:tblCellMar>
          <w:top w:w="115" w:type="dxa"/>
          <w:bottom w:w="115" w:type="dxa"/>
        </w:tblCellMar>
        <w:tblLook w:val="04A0" w:firstRow="1" w:lastRow="0" w:firstColumn="1" w:lastColumn="0" w:noHBand="0" w:noVBand="1"/>
        <w:tblCaption w:val="Enrollment Data For Glendale USD"/>
        <w:tblDescription w:val="This table shows Reported ADA and funded ADA for Glendale USD for the years 2019-2020, 2020-2021, and 2021-2022."/>
      </w:tblPr>
      <w:tblGrid>
        <w:gridCol w:w="4315"/>
        <w:gridCol w:w="1710"/>
        <w:gridCol w:w="1710"/>
        <w:gridCol w:w="1710"/>
      </w:tblGrid>
      <w:tr w:rsidR="00454CFF" w:rsidRPr="00934FD5" w14:paraId="3B54D00A" w14:textId="77777777" w:rsidTr="66476713">
        <w:trPr>
          <w:trHeight w:val="53"/>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0865A3" w14:textId="77777777" w:rsidR="00454CFF" w:rsidRPr="00934FD5" w:rsidRDefault="00454CFF" w:rsidP="00454CFF">
            <w:pPr>
              <w:spacing w:after="0"/>
              <w:rPr>
                <w:rFonts w:cs="Arial"/>
                <w:color w:val="000000"/>
              </w:rPr>
            </w:pPr>
            <w:r w:rsidRPr="00934FD5">
              <w:rPr>
                <w:rFonts w:cs="Arial"/>
                <w:color w:val="000000"/>
              </w:rPr>
              <w:t>Fiscal Year</w:t>
            </w:r>
          </w:p>
        </w:tc>
        <w:tc>
          <w:tcPr>
            <w:tcW w:w="1710" w:type="dxa"/>
            <w:tcBorders>
              <w:top w:val="single" w:sz="4" w:space="0" w:color="auto"/>
              <w:left w:val="nil"/>
              <w:bottom w:val="single" w:sz="4" w:space="0" w:color="auto"/>
              <w:right w:val="single" w:sz="4" w:space="0" w:color="auto"/>
            </w:tcBorders>
            <w:shd w:val="clear" w:color="auto" w:fill="auto"/>
            <w:noWrap/>
            <w:hideMark/>
          </w:tcPr>
          <w:p w14:paraId="352FFC8D" w14:textId="6AC2CEE1" w:rsidR="00454CFF" w:rsidRPr="00934FD5" w:rsidRDefault="00454CFF" w:rsidP="00454CFF">
            <w:pPr>
              <w:spacing w:after="0"/>
              <w:jc w:val="right"/>
              <w:rPr>
                <w:rFonts w:cs="Arial"/>
                <w:color w:val="000000"/>
              </w:rPr>
            </w:pPr>
            <w:r w:rsidRPr="000A5CB3">
              <w:t>2019–20</w:t>
            </w:r>
          </w:p>
        </w:tc>
        <w:tc>
          <w:tcPr>
            <w:tcW w:w="1710" w:type="dxa"/>
            <w:tcBorders>
              <w:top w:val="single" w:sz="4" w:space="0" w:color="auto"/>
              <w:left w:val="nil"/>
              <w:bottom w:val="single" w:sz="4" w:space="0" w:color="auto"/>
              <w:right w:val="single" w:sz="4" w:space="0" w:color="auto"/>
            </w:tcBorders>
            <w:shd w:val="clear" w:color="auto" w:fill="auto"/>
            <w:noWrap/>
            <w:hideMark/>
          </w:tcPr>
          <w:p w14:paraId="0CF87B00" w14:textId="79F8D66E" w:rsidR="00454CFF" w:rsidRPr="00934FD5" w:rsidRDefault="00454CFF" w:rsidP="00454CFF">
            <w:pPr>
              <w:spacing w:after="0"/>
              <w:jc w:val="right"/>
              <w:rPr>
                <w:rFonts w:cs="Arial"/>
                <w:color w:val="000000"/>
              </w:rPr>
            </w:pPr>
            <w:r w:rsidRPr="000A5CB3">
              <w:t>2020–21</w:t>
            </w:r>
            <w:r>
              <w:rPr>
                <w:rStyle w:val="FootnoteReference"/>
              </w:rPr>
              <w:footnoteReference w:id="2"/>
            </w:r>
          </w:p>
        </w:tc>
        <w:tc>
          <w:tcPr>
            <w:tcW w:w="1710" w:type="dxa"/>
            <w:tcBorders>
              <w:top w:val="single" w:sz="4" w:space="0" w:color="auto"/>
              <w:left w:val="nil"/>
              <w:bottom w:val="single" w:sz="4" w:space="0" w:color="auto"/>
              <w:right w:val="single" w:sz="4" w:space="0" w:color="auto"/>
            </w:tcBorders>
            <w:shd w:val="clear" w:color="auto" w:fill="auto"/>
            <w:noWrap/>
            <w:hideMark/>
          </w:tcPr>
          <w:p w14:paraId="3393774F" w14:textId="0C0DF91C" w:rsidR="00454CFF" w:rsidRPr="00934FD5" w:rsidRDefault="00454CFF" w:rsidP="00454CFF">
            <w:pPr>
              <w:spacing w:after="0"/>
              <w:jc w:val="right"/>
              <w:rPr>
                <w:rFonts w:cs="Arial"/>
                <w:color w:val="000000"/>
              </w:rPr>
            </w:pPr>
            <w:r w:rsidRPr="000A5CB3">
              <w:t>2021–22</w:t>
            </w:r>
          </w:p>
        </w:tc>
      </w:tr>
      <w:tr w:rsidR="00454CFF" w:rsidRPr="00934FD5" w14:paraId="7F2850F7" w14:textId="77777777" w:rsidTr="66476713">
        <w:trPr>
          <w:trHeight w:val="310"/>
        </w:trPr>
        <w:tc>
          <w:tcPr>
            <w:tcW w:w="431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FBDEE45" w14:textId="77777777" w:rsidR="00454CFF" w:rsidRPr="00934FD5" w:rsidRDefault="00454CFF" w:rsidP="00454CFF">
            <w:pPr>
              <w:spacing w:after="0"/>
              <w:rPr>
                <w:rFonts w:cs="Arial"/>
                <w:color w:val="000000"/>
              </w:rPr>
            </w:pPr>
            <w:r w:rsidRPr="00934FD5">
              <w:rPr>
                <w:rFonts w:cs="Arial"/>
              </w:rPr>
              <w:t>Reported ADA</w:t>
            </w:r>
          </w:p>
        </w:tc>
        <w:tc>
          <w:tcPr>
            <w:tcW w:w="1710" w:type="dxa"/>
            <w:tcBorders>
              <w:top w:val="nil"/>
              <w:left w:val="nil"/>
              <w:bottom w:val="single" w:sz="4" w:space="0" w:color="auto"/>
              <w:right w:val="single" w:sz="4" w:space="0" w:color="auto"/>
            </w:tcBorders>
            <w:shd w:val="clear" w:color="auto" w:fill="auto"/>
            <w:noWrap/>
            <w:hideMark/>
          </w:tcPr>
          <w:p w14:paraId="746A9059" w14:textId="7F7F1635" w:rsidR="00454CFF" w:rsidRPr="00934FD5" w:rsidRDefault="00454CFF" w:rsidP="00454CFF">
            <w:pPr>
              <w:spacing w:after="0"/>
              <w:jc w:val="right"/>
              <w:rPr>
                <w:rFonts w:cs="Arial"/>
                <w:color w:val="000000"/>
              </w:rPr>
            </w:pPr>
            <w:r w:rsidRPr="000A5CB3">
              <w:t>24,617.27</w:t>
            </w:r>
          </w:p>
        </w:tc>
        <w:tc>
          <w:tcPr>
            <w:tcW w:w="1710" w:type="dxa"/>
            <w:tcBorders>
              <w:top w:val="nil"/>
              <w:left w:val="nil"/>
              <w:bottom w:val="single" w:sz="4" w:space="0" w:color="auto"/>
              <w:right w:val="single" w:sz="4" w:space="0" w:color="auto"/>
            </w:tcBorders>
            <w:shd w:val="clear" w:color="auto" w:fill="auto"/>
            <w:noWrap/>
            <w:hideMark/>
          </w:tcPr>
          <w:p w14:paraId="3730AAE2" w14:textId="664C8440" w:rsidR="00454CFF" w:rsidRPr="00934FD5" w:rsidRDefault="00454CFF" w:rsidP="00454CFF">
            <w:pPr>
              <w:spacing w:after="0"/>
              <w:jc w:val="right"/>
              <w:rPr>
                <w:rFonts w:cs="Arial"/>
                <w:color w:val="000000"/>
              </w:rPr>
            </w:pPr>
            <w:r w:rsidRPr="000A5CB3">
              <w:t xml:space="preserve"> 24,617.27 </w:t>
            </w:r>
          </w:p>
        </w:tc>
        <w:tc>
          <w:tcPr>
            <w:tcW w:w="1710" w:type="dxa"/>
            <w:tcBorders>
              <w:top w:val="nil"/>
              <w:left w:val="nil"/>
              <w:bottom w:val="single" w:sz="4" w:space="0" w:color="auto"/>
              <w:right w:val="single" w:sz="4" w:space="0" w:color="auto"/>
            </w:tcBorders>
            <w:shd w:val="clear" w:color="auto" w:fill="auto"/>
            <w:noWrap/>
            <w:hideMark/>
          </w:tcPr>
          <w:p w14:paraId="61186004" w14:textId="15D4EEE1" w:rsidR="00454CFF" w:rsidRPr="00934FD5" w:rsidRDefault="00454CFF" w:rsidP="00454CFF">
            <w:pPr>
              <w:spacing w:after="0"/>
              <w:jc w:val="right"/>
              <w:rPr>
                <w:rFonts w:cs="Arial"/>
                <w:color w:val="000000"/>
              </w:rPr>
            </w:pPr>
            <w:r w:rsidRPr="000A5CB3">
              <w:t>22,637.48</w:t>
            </w:r>
          </w:p>
        </w:tc>
      </w:tr>
      <w:tr w:rsidR="00454CFF" w:rsidRPr="00934FD5" w14:paraId="19C05B8B" w14:textId="77777777" w:rsidTr="66476713">
        <w:trPr>
          <w:trHeight w:val="53"/>
        </w:trPr>
        <w:tc>
          <w:tcPr>
            <w:tcW w:w="431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8B719ED" w14:textId="187FDEC7" w:rsidR="00454CFF" w:rsidRPr="00934FD5" w:rsidRDefault="00454CFF" w:rsidP="00454CFF">
            <w:pPr>
              <w:spacing w:after="0"/>
              <w:rPr>
                <w:rFonts w:cs="Arial"/>
                <w:color w:val="000000"/>
              </w:rPr>
            </w:pPr>
            <w:r w:rsidRPr="00934FD5">
              <w:rPr>
                <w:rFonts w:cs="Arial"/>
                <w:color w:val="000000"/>
              </w:rPr>
              <w:t>Funded ADA</w:t>
            </w:r>
            <w:r>
              <w:rPr>
                <w:rStyle w:val="FootnoteReference"/>
                <w:rFonts w:cs="Arial"/>
                <w:color w:val="000000"/>
              </w:rPr>
              <w:footnoteReference w:id="3"/>
            </w:r>
          </w:p>
        </w:tc>
        <w:tc>
          <w:tcPr>
            <w:tcW w:w="1710" w:type="dxa"/>
            <w:tcBorders>
              <w:top w:val="nil"/>
              <w:left w:val="nil"/>
              <w:bottom w:val="single" w:sz="4" w:space="0" w:color="auto"/>
              <w:right w:val="single" w:sz="4" w:space="0" w:color="auto"/>
            </w:tcBorders>
            <w:shd w:val="clear" w:color="auto" w:fill="auto"/>
            <w:noWrap/>
            <w:hideMark/>
          </w:tcPr>
          <w:p w14:paraId="336A7F3A" w14:textId="4A7098DD" w:rsidR="00454CFF" w:rsidRPr="00934FD5" w:rsidRDefault="00454CFF" w:rsidP="00454CFF">
            <w:pPr>
              <w:spacing w:after="0"/>
              <w:jc w:val="right"/>
              <w:rPr>
                <w:rFonts w:cs="Arial"/>
                <w:color w:val="000000"/>
              </w:rPr>
            </w:pPr>
            <w:r w:rsidRPr="000A5CB3">
              <w:t>24,913.00</w:t>
            </w:r>
          </w:p>
        </w:tc>
        <w:tc>
          <w:tcPr>
            <w:tcW w:w="1710" w:type="dxa"/>
            <w:tcBorders>
              <w:top w:val="nil"/>
              <w:left w:val="nil"/>
              <w:bottom w:val="single" w:sz="4" w:space="0" w:color="auto"/>
              <w:right w:val="single" w:sz="4" w:space="0" w:color="auto"/>
            </w:tcBorders>
            <w:shd w:val="clear" w:color="auto" w:fill="auto"/>
            <w:noWrap/>
            <w:hideMark/>
          </w:tcPr>
          <w:p w14:paraId="179F9DA7" w14:textId="3CE21C5A" w:rsidR="00454CFF" w:rsidRPr="00934FD5" w:rsidRDefault="00454CFF" w:rsidP="009A11F2">
            <w:pPr>
              <w:spacing w:after="0"/>
              <w:jc w:val="right"/>
              <w:rPr>
                <w:rFonts w:cs="Arial"/>
                <w:color w:val="000000"/>
              </w:rPr>
            </w:pPr>
            <w:r w:rsidRPr="000A5CB3">
              <w:t xml:space="preserve"> 24,721.89</w:t>
            </w:r>
          </w:p>
        </w:tc>
        <w:tc>
          <w:tcPr>
            <w:tcW w:w="1710" w:type="dxa"/>
            <w:tcBorders>
              <w:top w:val="nil"/>
              <w:left w:val="nil"/>
              <w:bottom w:val="single" w:sz="4" w:space="0" w:color="auto"/>
              <w:right w:val="single" w:sz="4" w:space="0" w:color="auto"/>
            </w:tcBorders>
            <w:shd w:val="clear" w:color="auto" w:fill="auto"/>
            <w:noWrap/>
            <w:hideMark/>
          </w:tcPr>
          <w:p w14:paraId="616FD161" w14:textId="02BCD59D" w:rsidR="00454CFF" w:rsidRPr="00934FD5" w:rsidRDefault="00454CFF" w:rsidP="00454CFF">
            <w:pPr>
              <w:spacing w:after="0"/>
              <w:jc w:val="right"/>
              <w:rPr>
                <w:rFonts w:cs="Arial"/>
                <w:color w:val="000000"/>
              </w:rPr>
            </w:pPr>
            <w:r w:rsidRPr="000A5CB3">
              <w:t>24,705.56</w:t>
            </w:r>
          </w:p>
        </w:tc>
      </w:tr>
      <w:tr w:rsidR="00454CFF" w:rsidRPr="00934FD5" w14:paraId="35EAC435" w14:textId="77777777" w:rsidTr="66476713">
        <w:trPr>
          <w:trHeight w:val="310"/>
        </w:trPr>
        <w:tc>
          <w:tcPr>
            <w:tcW w:w="431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84AD28" w14:textId="77777777" w:rsidR="00454CFF" w:rsidRPr="00934FD5" w:rsidRDefault="00454CFF" w:rsidP="00454CFF">
            <w:pPr>
              <w:spacing w:after="0"/>
              <w:rPr>
                <w:rFonts w:cs="Arial"/>
                <w:color w:val="000000"/>
              </w:rPr>
            </w:pPr>
            <w:r w:rsidRPr="00934FD5">
              <w:rPr>
                <w:rFonts w:cs="Arial"/>
              </w:rPr>
              <w:t>Total Enrollment</w:t>
            </w:r>
          </w:p>
        </w:tc>
        <w:tc>
          <w:tcPr>
            <w:tcW w:w="1710" w:type="dxa"/>
            <w:tcBorders>
              <w:top w:val="nil"/>
              <w:left w:val="nil"/>
              <w:bottom w:val="single" w:sz="4" w:space="0" w:color="auto"/>
              <w:right w:val="single" w:sz="4" w:space="0" w:color="auto"/>
            </w:tcBorders>
            <w:shd w:val="clear" w:color="auto" w:fill="auto"/>
            <w:noWrap/>
            <w:hideMark/>
          </w:tcPr>
          <w:p w14:paraId="13F379DA" w14:textId="506FD906" w:rsidR="00454CFF" w:rsidRPr="00934FD5" w:rsidRDefault="00454CFF" w:rsidP="00454CFF">
            <w:pPr>
              <w:spacing w:after="0"/>
              <w:jc w:val="right"/>
              <w:rPr>
                <w:rFonts w:cs="Arial"/>
                <w:color w:val="000000"/>
              </w:rPr>
            </w:pPr>
            <w:r w:rsidRPr="000A5CB3">
              <w:t>25,560</w:t>
            </w:r>
          </w:p>
        </w:tc>
        <w:tc>
          <w:tcPr>
            <w:tcW w:w="1710" w:type="dxa"/>
            <w:tcBorders>
              <w:top w:val="nil"/>
              <w:left w:val="nil"/>
              <w:bottom w:val="single" w:sz="4" w:space="0" w:color="auto"/>
              <w:right w:val="single" w:sz="4" w:space="0" w:color="auto"/>
            </w:tcBorders>
            <w:shd w:val="clear" w:color="auto" w:fill="auto"/>
            <w:noWrap/>
            <w:hideMark/>
          </w:tcPr>
          <w:p w14:paraId="7E965B03" w14:textId="1E69F1C5" w:rsidR="00454CFF" w:rsidRPr="00934FD5" w:rsidRDefault="00454CFF" w:rsidP="00454CFF">
            <w:pPr>
              <w:spacing w:after="0"/>
              <w:jc w:val="right"/>
              <w:rPr>
                <w:rFonts w:cs="Arial"/>
                <w:color w:val="000000"/>
              </w:rPr>
            </w:pPr>
            <w:r w:rsidRPr="000A5CB3">
              <w:t>24,960</w:t>
            </w:r>
          </w:p>
        </w:tc>
        <w:tc>
          <w:tcPr>
            <w:tcW w:w="1710" w:type="dxa"/>
            <w:tcBorders>
              <w:top w:val="nil"/>
              <w:left w:val="nil"/>
              <w:bottom w:val="single" w:sz="4" w:space="0" w:color="auto"/>
              <w:right w:val="single" w:sz="4" w:space="0" w:color="auto"/>
            </w:tcBorders>
            <w:shd w:val="clear" w:color="auto" w:fill="auto"/>
            <w:noWrap/>
            <w:hideMark/>
          </w:tcPr>
          <w:p w14:paraId="692E727B" w14:textId="29A22FDF" w:rsidR="00454CFF" w:rsidRPr="00934FD5" w:rsidRDefault="00454CFF" w:rsidP="00454CFF">
            <w:pPr>
              <w:spacing w:after="0"/>
              <w:jc w:val="right"/>
              <w:rPr>
                <w:rFonts w:cs="Arial"/>
                <w:color w:val="000000"/>
              </w:rPr>
            </w:pPr>
            <w:r w:rsidRPr="000A5CB3">
              <w:t>24,238</w:t>
            </w:r>
          </w:p>
        </w:tc>
      </w:tr>
      <w:tr w:rsidR="00454CFF" w:rsidRPr="00934FD5" w14:paraId="3E1750FB" w14:textId="77777777" w:rsidTr="66476713">
        <w:trPr>
          <w:trHeight w:val="53"/>
        </w:trPr>
        <w:tc>
          <w:tcPr>
            <w:tcW w:w="431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A75F1D6" w14:textId="77777777" w:rsidR="00454CFF" w:rsidRPr="00934FD5" w:rsidRDefault="00454CFF" w:rsidP="00454CFF">
            <w:pPr>
              <w:spacing w:after="0"/>
              <w:rPr>
                <w:rFonts w:cs="Arial"/>
                <w:color w:val="000000"/>
              </w:rPr>
            </w:pPr>
            <w:r w:rsidRPr="00934FD5">
              <w:rPr>
                <w:rFonts w:cs="Arial"/>
              </w:rPr>
              <w:t>Sagebrush Area Resident Enrollment</w:t>
            </w:r>
          </w:p>
        </w:tc>
        <w:tc>
          <w:tcPr>
            <w:tcW w:w="1710" w:type="dxa"/>
            <w:tcBorders>
              <w:top w:val="nil"/>
              <w:left w:val="nil"/>
              <w:bottom w:val="single" w:sz="4" w:space="0" w:color="auto"/>
              <w:right w:val="single" w:sz="4" w:space="0" w:color="auto"/>
            </w:tcBorders>
            <w:shd w:val="clear" w:color="auto" w:fill="auto"/>
            <w:noWrap/>
            <w:hideMark/>
          </w:tcPr>
          <w:p w14:paraId="69CB4447" w14:textId="5319062A" w:rsidR="00454CFF" w:rsidRPr="00934FD5" w:rsidRDefault="00454CFF" w:rsidP="00454CFF">
            <w:pPr>
              <w:spacing w:after="0"/>
              <w:jc w:val="right"/>
              <w:rPr>
                <w:rFonts w:cs="Arial"/>
                <w:color w:val="000000"/>
              </w:rPr>
            </w:pPr>
            <w:r w:rsidRPr="000A5CB3">
              <w:t>N/A</w:t>
            </w:r>
          </w:p>
        </w:tc>
        <w:tc>
          <w:tcPr>
            <w:tcW w:w="1710" w:type="dxa"/>
            <w:tcBorders>
              <w:top w:val="nil"/>
              <w:left w:val="nil"/>
              <w:bottom w:val="single" w:sz="4" w:space="0" w:color="auto"/>
              <w:right w:val="single" w:sz="4" w:space="0" w:color="auto"/>
            </w:tcBorders>
            <w:shd w:val="clear" w:color="auto" w:fill="auto"/>
            <w:noWrap/>
            <w:hideMark/>
          </w:tcPr>
          <w:p w14:paraId="36075812" w14:textId="7D261A44" w:rsidR="00454CFF" w:rsidRPr="00934FD5" w:rsidRDefault="00454CFF" w:rsidP="00454CFF">
            <w:pPr>
              <w:spacing w:after="0"/>
              <w:jc w:val="right"/>
              <w:rPr>
                <w:rFonts w:cs="Arial"/>
                <w:color w:val="000000"/>
              </w:rPr>
            </w:pPr>
            <w:r w:rsidRPr="000A5CB3">
              <w:t>228</w:t>
            </w:r>
          </w:p>
        </w:tc>
        <w:tc>
          <w:tcPr>
            <w:tcW w:w="1710" w:type="dxa"/>
            <w:tcBorders>
              <w:top w:val="nil"/>
              <w:left w:val="nil"/>
              <w:bottom w:val="single" w:sz="4" w:space="0" w:color="auto"/>
              <w:right w:val="single" w:sz="4" w:space="0" w:color="auto"/>
            </w:tcBorders>
            <w:shd w:val="clear" w:color="auto" w:fill="auto"/>
            <w:noWrap/>
            <w:hideMark/>
          </w:tcPr>
          <w:p w14:paraId="52CA832E" w14:textId="2AF2E853" w:rsidR="00454CFF" w:rsidRPr="00934FD5" w:rsidRDefault="00454CFF" w:rsidP="00454CFF">
            <w:pPr>
              <w:spacing w:after="0"/>
              <w:jc w:val="right"/>
              <w:rPr>
                <w:rFonts w:cs="Arial"/>
                <w:color w:val="000000"/>
              </w:rPr>
            </w:pPr>
            <w:r w:rsidRPr="000A5CB3">
              <w:t>210</w:t>
            </w:r>
          </w:p>
        </w:tc>
      </w:tr>
      <w:tr w:rsidR="00454CFF" w:rsidRPr="00934FD5" w14:paraId="2E41C340" w14:textId="77777777" w:rsidTr="66476713">
        <w:trPr>
          <w:trHeight w:val="53"/>
        </w:trPr>
        <w:tc>
          <w:tcPr>
            <w:tcW w:w="431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F8A7BC9" w14:textId="77777777" w:rsidR="00454CFF" w:rsidRPr="00934FD5" w:rsidRDefault="00454CFF" w:rsidP="00454CFF">
            <w:pPr>
              <w:spacing w:after="0"/>
              <w:rPr>
                <w:rFonts w:cs="Arial"/>
                <w:color w:val="000000"/>
              </w:rPr>
            </w:pPr>
            <w:r w:rsidRPr="00934FD5">
              <w:rPr>
                <w:rFonts w:cs="Arial"/>
              </w:rPr>
              <w:t>Sagebrush Area Resident UPC</w:t>
            </w:r>
          </w:p>
        </w:tc>
        <w:tc>
          <w:tcPr>
            <w:tcW w:w="1710" w:type="dxa"/>
            <w:tcBorders>
              <w:top w:val="nil"/>
              <w:left w:val="nil"/>
              <w:bottom w:val="single" w:sz="4" w:space="0" w:color="auto"/>
              <w:right w:val="single" w:sz="4" w:space="0" w:color="auto"/>
            </w:tcBorders>
            <w:shd w:val="clear" w:color="auto" w:fill="auto"/>
            <w:noWrap/>
            <w:hideMark/>
          </w:tcPr>
          <w:p w14:paraId="1EBB9641" w14:textId="5727D240" w:rsidR="00454CFF" w:rsidRPr="00934FD5" w:rsidRDefault="00454CFF" w:rsidP="00454CFF">
            <w:pPr>
              <w:spacing w:after="0"/>
              <w:jc w:val="right"/>
              <w:rPr>
                <w:rFonts w:cs="Arial"/>
                <w:color w:val="000000"/>
              </w:rPr>
            </w:pPr>
            <w:r w:rsidRPr="000A5CB3">
              <w:t>N/A</w:t>
            </w:r>
          </w:p>
        </w:tc>
        <w:tc>
          <w:tcPr>
            <w:tcW w:w="1710" w:type="dxa"/>
            <w:tcBorders>
              <w:top w:val="nil"/>
              <w:left w:val="nil"/>
              <w:bottom w:val="single" w:sz="4" w:space="0" w:color="auto"/>
              <w:right w:val="single" w:sz="4" w:space="0" w:color="auto"/>
            </w:tcBorders>
            <w:shd w:val="clear" w:color="auto" w:fill="auto"/>
            <w:noWrap/>
            <w:hideMark/>
          </w:tcPr>
          <w:p w14:paraId="1D7FF2FD" w14:textId="4B19FE35" w:rsidR="00454CFF" w:rsidRPr="00934FD5" w:rsidRDefault="00454CFF" w:rsidP="00454CFF">
            <w:pPr>
              <w:spacing w:after="0"/>
              <w:jc w:val="right"/>
              <w:rPr>
                <w:rFonts w:cs="Arial"/>
                <w:color w:val="000000"/>
              </w:rPr>
            </w:pPr>
            <w:r w:rsidRPr="000A5CB3">
              <w:t>17</w:t>
            </w:r>
          </w:p>
        </w:tc>
        <w:tc>
          <w:tcPr>
            <w:tcW w:w="1710" w:type="dxa"/>
            <w:tcBorders>
              <w:top w:val="nil"/>
              <w:left w:val="nil"/>
              <w:bottom w:val="single" w:sz="4" w:space="0" w:color="auto"/>
              <w:right w:val="single" w:sz="4" w:space="0" w:color="auto"/>
            </w:tcBorders>
            <w:shd w:val="clear" w:color="auto" w:fill="auto"/>
            <w:noWrap/>
            <w:hideMark/>
          </w:tcPr>
          <w:p w14:paraId="5099904D" w14:textId="2FEB4BB2" w:rsidR="00454CFF" w:rsidRPr="00934FD5" w:rsidRDefault="00454CFF" w:rsidP="00454CFF">
            <w:pPr>
              <w:spacing w:after="0"/>
              <w:jc w:val="right"/>
              <w:rPr>
                <w:rFonts w:cs="Arial"/>
                <w:color w:val="000000"/>
              </w:rPr>
            </w:pPr>
            <w:r w:rsidRPr="000A5CB3">
              <w:t>35</w:t>
            </w:r>
          </w:p>
        </w:tc>
      </w:tr>
    </w:tbl>
    <w:p w14:paraId="0521757E" w14:textId="2AEB85A6" w:rsidR="00BA2AAD" w:rsidRDefault="00AF72E2" w:rsidP="00FF75CC">
      <w:pPr>
        <w:spacing w:before="120"/>
        <w:rPr>
          <w:i/>
        </w:rPr>
      </w:pPr>
      <w:r w:rsidRPr="00E13E60">
        <w:rPr>
          <w:i/>
        </w:rPr>
        <w:t xml:space="preserve">Source: </w:t>
      </w:r>
      <w:r w:rsidR="00A74772">
        <w:rPr>
          <w:i/>
        </w:rPr>
        <w:t xml:space="preserve">Glendale USD, </w:t>
      </w:r>
      <w:r w:rsidR="00C04068">
        <w:rPr>
          <w:i/>
        </w:rPr>
        <w:t xml:space="preserve">School District </w:t>
      </w:r>
      <w:r w:rsidR="00934FD5">
        <w:rPr>
          <w:i/>
        </w:rPr>
        <w:t>ADA</w:t>
      </w:r>
      <w:r w:rsidR="00D506CB">
        <w:rPr>
          <w:i/>
        </w:rPr>
        <w:t xml:space="preserve"> Exhibit,</w:t>
      </w:r>
      <w:r w:rsidR="007A7397">
        <w:rPr>
          <w:i/>
        </w:rPr>
        <w:t xml:space="preserve"> </w:t>
      </w:r>
      <w:r w:rsidR="00A74772">
        <w:rPr>
          <w:i/>
        </w:rPr>
        <w:t>Unduplicated Pupil Percentage Exhibit</w:t>
      </w:r>
      <w:r w:rsidR="00D506CB">
        <w:rPr>
          <w:i/>
        </w:rPr>
        <w:t xml:space="preserve"> </w:t>
      </w:r>
    </w:p>
    <w:p w14:paraId="77D6126C" w14:textId="7F9F7F63" w:rsidR="00AA06B6" w:rsidRDefault="00FA6449" w:rsidP="00FA6449">
      <w:pPr>
        <w:spacing w:line="259" w:lineRule="auto"/>
      </w:pPr>
      <w:r>
        <w:t xml:space="preserve">Using ADA and enrollment data from </w:t>
      </w:r>
      <w:r w:rsidR="00454CFF">
        <w:t>the</w:t>
      </w:r>
      <w:r w:rsidRPr="00DE42D3">
        <w:t xml:space="preserve"> 2021–22 </w:t>
      </w:r>
      <w:r w:rsidR="003513BB">
        <w:t>P-2</w:t>
      </w:r>
      <w:r>
        <w:t xml:space="preserve"> Apportionment </w:t>
      </w:r>
      <w:r w:rsidR="00454CFF">
        <w:t>certifications and data</w:t>
      </w:r>
      <w:r w:rsidR="00F5179F">
        <w:t xml:space="preserve"> </w:t>
      </w:r>
      <w:r>
        <w:t>provided by the district for the Sagebrush</w:t>
      </w:r>
      <w:r w:rsidR="00FF2CBA">
        <w:t xml:space="preserve"> Area</w:t>
      </w:r>
      <w:r>
        <w:t xml:space="preserve"> resident students attending Glendale USD schools</w:t>
      </w:r>
      <w:r w:rsidR="00454CFF">
        <w:t xml:space="preserve"> in 2021</w:t>
      </w:r>
      <w:r w:rsidR="00454CFF" w:rsidRPr="00DE42D3">
        <w:t>–</w:t>
      </w:r>
      <w:r w:rsidR="00454CFF">
        <w:t>22</w:t>
      </w:r>
      <w:r>
        <w:t xml:space="preserve">, CDE estimated the </w:t>
      </w:r>
      <w:r w:rsidR="00454CFF">
        <w:t xml:space="preserve">district’s LCFF funding </w:t>
      </w:r>
      <w:r w:rsidR="00355F9C">
        <w:t xml:space="preserve">excluding the Sagebrush Area students </w:t>
      </w:r>
      <w:r w:rsidR="00454CFF">
        <w:t>for</w:t>
      </w:r>
      <w:r w:rsidR="00355F9C">
        <w:t xml:space="preserve"> the</w:t>
      </w:r>
      <w:r>
        <w:t xml:space="preserve"> 2021–22</w:t>
      </w:r>
      <w:r w:rsidR="003513BB">
        <w:t xml:space="preserve"> and 2022–23</w:t>
      </w:r>
      <w:r>
        <w:t xml:space="preserve"> </w:t>
      </w:r>
      <w:r w:rsidR="00454CFF">
        <w:t>fiscal years</w:t>
      </w:r>
      <w:r>
        <w:t>.</w:t>
      </w:r>
      <w:r w:rsidR="00AA06B6">
        <w:t xml:space="preserve"> </w:t>
      </w:r>
    </w:p>
    <w:p w14:paraId="7BCDA15D" w14:textId="77777777" w:rsidR="00454CFF" w:rsidRDefault="00454CFF" w:rsidP="00AA06B6">
      <w:pPr>
        <w:spacing w:after="160" w:line="259" w:lineRule="auto"/>
        <w:rPr>
          <w:bCs/>
          <w:i/>
          <w:iCs/>
        </w:rPr>
      </w:pPr>
    </w:p>
    <w:p w14:paraId="69C0F1F0" w14:textId="07198E95" w:rsidR="004B4AD0" w:rsidRPr="004B4AD0" w:rsidRDefault="004B4AD0" w:rsidP="00801A0D">
      <w:pPr>
        <w:spacing w:before="240" w:after="120"/>
        <w:rPr>
          <w:b/>
        </w:rPr>
      </w:pPr>
      <w:r w:rsidRPr="004B4AD0">
        <w:rPr>
          <w:b/>
        </w:rPr>
        <w:lastRenderedPageBreak/>
        <w:t xml:space="preserve">Table </w:t>
      </w:r>
      <w:r w:rsidR="00AF72E2">
        <w:rPr>
          <w:b/>
        </w:rPr>
        <w:t>2</w:t>
      </w:r>
      <w:r w:rsidRPr="004B4AD0">
        <w:rPr>
          <w:b/>
        </w:rPr>
        <w:t>. LCFF</w:t>
      </w:r>
      <w:r w:rsidR="00B97208">
        <w:rPr>
          <w:b/>
        </w:rPr>
        <w:t xml:space="preserve"> </w:t>
      </w:r>
      <w:r w:rsidRPr="004B4AD0">
        <w:rPr>
          <w:b/>
        </w:rPr>
        <w:t xml:space="preserve">Estimates for </w:t>
      </w:r>
      <w:r w:rsidR="00B17DB4">
        <w:rPr>
          <w:b/>
        </w:rPr>
        <w:t>FY</w:t>
      </w:r>
      <w:r w:rsidRPr="004B4AD0">
        <w:rPr>
          <w:b/>
        </w:rPr>
        <w:t xml:space="preserve"> 202</w:t>
      </w:r>
      <w:r w:rsidR="00143E71">
        <w:rPr>
          <w:b/>
        </w:rPr>
        <w:t>1</w:t>
      </w:r>
      <w:r w:rsidRPr="004B4AD0">
        <w:rPr>
          <w:b/>
        </w:rPr>
        <w:t>–2</w:t>
      </w:r>
      <w:r w:rsidR="00143E71">
        <w:rPr>
          <w:b/>
        </w:rPr>
        <w:t>2</w:t>
      </w:r>
    </w:p>
    <w:tbl>
      <w:tblPr>
        <w:tblStyle w:val="TableGrid"/>
        <w:tblW w:w="0" w:type="auto"/>
        <w:tblCellMar>
          <w:top w:w="115" w:type="dxa"/>
          <w:bottom w:w="115" w:type="dxa"/>
        </w:tblCellMar>
        <w:tblLook w:val="04A0" w:firstRow="1" w:lastRow="0" w:firstColumn="1" w:lastColumn="0" w:noHBand="0" w:noVBand="1"/>
        <w:tblCaption w:val="LCFF Estimates for FY 2021-22"/>
        <w:tblDescription w:val="This table shows funding estimates for Glendale USD for FY 2021-22 with and without the students in the reorganized territory."/>
      </w:tblPr>
      <w:tblGrid>
        <w:gridCol w:w="2245"/>
        <w:gridCol w:w="1890"/>
        <w:gridCol w:w="2160"/>
        <w:gridCol w:w="1710"/>
        <w:gridCol w:w="1345"/>
      </w:tblGrid>
      <w:tr w:rsidR="00C75977" w:rsidRPr="0089224B" w14:paraId="65502CE7" w14:textId="29EEE5E6" w:rsidTr="66476713">
        <w:trPr>
          <w:trHeight w:val="919"/>
          <w:tblHeader/>
        </w:trPr>
        <w:tc>
          <w:tcPr>
            <w:tcW w:w="2245" w:type="dxa"/>
            <w:shd w:val="clear" w:color="auto" w:fill="D9D9D9" w:themeFill="background1" w:themeFillShade="D9"/>
            <w:vAlign w:val="center"/>
          </w:tcPr>
          <w:p w14:paraId="3D1E18F0" w14:textId="407B60FA" w:rsidR="00513EF5" w:rsidRPr="006A2883" w:rsidRDefault="00513EF5" w:rsidP="00697E02">
            <w:pPr>
              <w:spacing w:after="0"/>
              <w:jc w:val="center"/>
              <w:rPr>
                <w:b/>
              </w:rPr>
            </w:pPr>
            <w:r w:rsidRPr="0089224B">
              <w:rPr>
                <w:b/>
              </w:rPr>
              <w:t>Category</w:t>
            </w:r>
          </w:p>
        </w:tc>
        <w:tc>
          <w:tcPr>
            <w:tcW w:w="1890" w:type="dxa"/>
            <w:shd w:val="clear" w:color="auto" w:fill="D9D9D9" w:themeFill="background1" w:themeFillShade="D9"/>
            <w:vAlign w:val="center"/>
          </w:tcPr>
          <w:p w14:paraId="46AF8D86" w14:textId="220ABBBC" w:rsidR="00513EF5" w:rsidRPr="006A2883" w:rsidRDefault="00513EF5" w:rsidP="00697E02">
            <w:pPr>
              <w:spacing w:after="0"/>
              <w:jc w:val="center"/>
              <w:rPr>
                <w:b/>
              </w:rPr>
            </w:pPr>
            <w:r w:rsidRPr="0089224B">
              <w:rPr>
                <w:b/>
              </w:rPr>
              <w:t xml:space="preserve">Existing </w:t>
            </w:r>
            <w:r w:rsidRPr="0089224B">
              <w:rPr>
                <w:b/>
              </w:rPr>
              <w:br/>
              <w:t>Glendale USD</w:t>
            </w:r>
          </w:p>
        </w:tc>
        <w:tc>
          <w:tcPr>
            <w:tcW w:w="2160" w:type="dxa"/>
            <w:shd w:val="clear" w:color="auto" w:fill="D9D9D9" w:themeFill="background1" w:themeFillShade="D9"/>
            <w:vAlign w:val="center"/>
          </w:tcPr>
          <w:p w14:paraId="57D51B74" w14:textId="2893B921" w:rsidR="00513EF5" w:rsidRPr="006A2883" w:rsidRDefault="00513EF5" w:rsidP="00697E02">
            <w:pPr>
              <w:spacing w:after="0"/>
              <w:jc w:val="center"/>
              <w:rPr>
                <w:b/>
              </w:rPr>
            </w:pPr>
            <w:r w:rsidRPr="0089224B">
              <w:rPr>
                <w:b/>
              </w:rPr>
              <w:t>Glendale USD After Reorganization</w:t>
            </w:r>
          </w:p>
        </w:tc>
        <w:tc>
          <w:tcPr>
            <w:tcW w:w="1710" w:type="dxa"/>
            <w:shd w:val="clear" w:color="auto" w:fill="D9D9D9" w:themeFill="background1" w:themeFillShade="D9"/>
            <w:vAlign w:val="center"/>
          </w:tcPr>
          <w:p w14:paraId="258B1FD0" w14:textId="167ECCFA" w:rsidR="00513EF5" w:rsidRPr="006A2883" w:rsidRDefault="00513EF5" w:rsidP="00697E02">
            <w:pPr>
              <w:spacing w:after="0"/>
              <w:jc w:val="center"/>
              <w:rPr>
                <w:b/>
              </w:rPr>
            </w:pPr>
            <w:r w:rsidRPr="0089224B">
              <w:rPr>
                <w:b/>
              </w:rPr>
              <w:t>Difference</w:t>
            </w:r>
          </w:p>
        </w:tc>
        <w:tc>
          <w:tcPr>
            <w:tcW w:w="1345" w:type="dxa"/>
            <w:shd w:val="clear" w:color="auto" w:fill="D9D9D9" w:themeFill="background1" w:themeFillShade="D9"/>
            <w:vAlign w:val="center"/>
          </w:tcPr>
          <w:p w14:paraId="4CF669E4" w14:textId="1D0F9038" w:rsidR="00513EF5" w:rsidRPr="0089224B" w:rsidRDefault="00513EF5" w:rsidP="00513EF5">
            <w:pPr>
              <w:spacing w:after="0"/>
              <w:jc w:val="center"/>
              <w:rPr>
                <w:b/>
              </w:rPr>
            </w:pPr>
            <w:r w:rsidRPr="0089224B">
              <w:rPr>
                <w:b/>
              </w:rPr>
              <w:t>Percent Change</w:t>
            </w:r>
          </w:p>
        </w:tc>
      </w:tr>
      <w:tr w:rsidR="00513EF5" w:rsidRPr="0089224B" w14:paraId="1113792D" w14:textId="244938A8" w:rsidTr="66476713">
        <w:trPr>
          <w:trHeight w:val="154"/>
        </w:trPr>
        <w:tc>
          <w:tcPr>
            <w:tcW w:w="2245" w:type="dxa"/>
            <w:vAlign w:val="center"/>
          </w:tcPr>
          <w:p w14:paraId="20E2DA5E" w14:textId="0FAC3314" w:rsidR="00513EF5" w:rsidRPr="0089224B" w:rsidRDefault="00513EF5" w:rsidP="00491526">
            <w:pPr>
              <w:spacing w:after="0"/>
            </w:pPr>
            <w:r w:rsidRPr="0089224B">
              <w:t>Enrollment</w:t>
            </w:r>
          </w:p>
        </w:tc>
        <w:tc>
          <w:tcPr>
            <w:tcW w:w="1890" w:type="dxa"/>
            <w:vAlign w:val="center"/>
          </w:tcPr>
          <w:p w14:paraId="39DFFCE6" w14:textId="467CCD70" w:rsidR="00513EF5" w:rsidRPr="0089224B" w:rsidRDefault="00513EF5" w:rsidP="003A3AB1">
            <w:pPr>
              <w:spacing w:after="0"/>
              <w:jc w:val="right"/>
            </w:pPr>
            <w:r w:rsidRPr="0089224B">
              <w:t>24,</w:t>
            </w:r>
            <w:r w:rsidR="009A11F2">
              <w:t>2</w:t>
            </w:r>
            <w:r w:rsidRPr="0089224B">
              <w:t>38</w:t>
            </w:r>
          </w:p>
        </w:tc>
        <w:tc>
          <w:tcPr>
            <w:tcW w:w="2160" w:type="dxa"/>
            <w:vAlign w:val="center"/>
          </w:tcPr>
          <w:p w14:paraId="60F5D899" w14:textId="1685EB5A" w:rsidR="00513EF5" w:rsidRPr="0089224B" w:rsidRDefault="00513EF5" w:rsidP="003A3AB1">
            <w:pPr>
              <w:spacing w:after="0"/>
              <w:jc w:val="right"/>
            </w:pPr>
            <w:r w:rsidRPr="0089224B">
              <w:t>24,</w:t>
            </w:r>
            <w:r w:rsidR="00885A78">
              <w:t>0</w:t>
            </w:r>
            <w:r w:rsidR="00885A78" w:rsidRPr="0089224B">
              <w:t>28</w:t>
            </w:r>
          </w:p>
        </w:tc>
        <w:tc>
          <w:tcPr>
            <w:tcW w:w="1710" w:type="dxa"/>
            <w:vAlign w:val="center"/>
          </w:tcPr>
          <w:p w14:paraId="528345A4" w14:textId="5E1304DF" w:rsidR="00513EF5" w:rsidRPr="0089224B" w:rsidRDefault="00513EF5" w:rsidP="003A3AB1">
            <w:pPr>
              <w:spacing w:after="0"/>
              <w:jc w:val="right"/>
            </w:pPr>
            <w:r w:rsidRPr="0089224B">
              <w:t xml:space="preserve">210 </w:t>
            </w:r>
          </w:p>
        </w:tc>
        <w:tc>
          <w:tcPr>
            <w:tcW w:w="1345" w:type="dxa"/>
            <w:vAlign w:val="center"/>
          </w:tcPr>
          <w:p w14:paraId="280F3CEE" w14:textId="598F6788" w:rsidR="00513EF5" w:rsidRPr="0089224B" w:rsidRDefault="009A11F2" w:rsidP="003A3AB1">
            <w:pPr>
              <w:spacing w:after="0"/>
              <w:jc w:val="right"/>
            </w:pPr>
            <w:r>
              <w:t>(</w:t>
            </w:r>
            <w:r w:rsidRPr="0089224B">
              <w:t>0.87%</w:t>
            </w:r>
            <w:r>
              <w:t>)</w:t>
            </w:r>
          </w:p>
        </w:tc>
      </w:tr>
      <w:tr w:rsidR="00C75977" w:rsidRPr="0089224B" w14:paraId="72914FE1" w14:textId="6BA13D44" w:rsidTr="66476713">
        <w:trPr>
          <w:trHeight w:val="154"/>
        </w:trPr>
        <w:tc>
          <w:tcPr>
            <w:tcW w:w="2245" w:type="dxa"/>
            <w:vAlign w:val="center"/>
          </w:tcPr>
          <w:p w14:paraId="34016B59" w14:textId="5803E6BF" w:rsidR="00513EF5" w:rsidRPr="006A2883" w:rsidRDefault="00513EF5" w:rsidP="00491526">
            <w:pPr>
              <w:spacing w:after="0"/>
            </w:pPr>
            <w:r w:rsidRPr="0089224B">
              <w:t>UPP</w:t>
            </w:r>
            <w:r w:rsidRPr="0089224B">
              <w:rPr>
                <w:rStyle w:val="FootnoteReference"/>
              </w:rPr>
              <w:footnoteReference w:id="4"/>
            </w:r>
          </w:p>
        </w:tc>
        <w:tc>
          <w:tcPr>
            <w:tcW w:w="1890" w:type="dxa"/>
            <w:vAlign w:val="center"/>
          </w:tcPr>
          <w:p w14:paraId="357FF4B9" w14:textId="16FED16C" w:rsidR="00513EF5" w:rsidRPr="006A2883" w:rsidRDefault="00513EF5" w:rsidP="003A3AB1">
            <w:pPr>
              <w:spacing w:after="0"/>
              <w:jc w:val="right"/>
            </w:pPr>
            <w:r w:rsidRPr="0089224B">
              <w:t>52.17%</w:t>
            </w:r>
          </w:p>
        </w:tc>
        <w:tc>
          <w:tcPr>
            <w:tcW w:w="2160" w:type="dxa"/>
            <w:vAlign w:val="center"/>
          </w:tcPr>
          <w:p w14:paraId="08DC2A50" w14:textId="5C19D0C7" w:rsidR="00513EF5" w:rsidRPr="006A2883" w:rsidRDefault="00513EF5" w:rsidP="003A3AB1">
            <w:pPr>
              <w:spacing w:after="0"/>
              <w:jc w:val="right"/>
            </w:pPr>
            <w:r w:rsidRPr="0089224B">
              <w:t>52.26%</w:t>
            </w:r>
          </w:p>
        </w:tc>
        <w:tc>
          <w:tcPr>
            <w:tcW w:w="1710" w:type="dxa"/>
            <w:vAlign w:val="center"/>
          </w:tcPr>
          <w:p w14:paraId="014FEF05" w14:textId="791C7022" w:rsidR="00513EF5" w:rsidRPr="006A2883" w:rsidRDefault="00513EF5" w:rsidP="003A3AB1">
            <w:pPr>
              <w:spacing w:after="0"/>
              <w:jc w:val="right"/>
            </w:pPr>
            <w:r w:rsidRPr="0089224B">
              <w:t xml:space="preserve">0.09% </w:t>
            </w:r>
          </w:p>
        </w:tc>
        <w:tc>
          <w:tcPr>
            <w:tcW w:w="1345" w:type="dxa"/>
            <w:vAlign w:val="center"/>
          </w:tcPr>
          <w:p w14:paraId="23B84C7F" w14:textId="3D06F914" w:rsidR="00513EF5" w:rsidRPr="0089224B" w:rsidRDefault="00513EF5" w:rsidP="003A3AB1">
            <w:pPr>
              <w:spacing w:after="0"/>
              <w:jc w:val="right"/>
            </w:pPr>
            <w:r w:rsidRPr="0089224B">
              <w:t>N/A</w:t>
            </w:r>
          </w:p>
        </w:tc>
      </w:tr>
      <w:tr w:rsidR="00C75977" w:rsidRPr="0089224B" w14:paraId="0AD628D5" w14:textId="705B621A" w:rsidTr="66476713">
        <w:tc>
          <w:tcPr>
            <w:tcW w:w="2245" w:type="dxa"/>
            <w:vAlign w:val="center"/>
          </w:tcPr>
          <w:p w14:paraId="0A41519F" w14:textId="48FEA4E2" w:rsidR="00513EF5" w:rsidRPr="006A2883" w:rsidRDefault="00513EF5" w:rsidP="00763658">
            <w:pPr>
              <w:spacing w:after="0"/>
            </w:pPr>
            <w:r w:rsidRPr="0089224B">
              <w:t>Funded ADA</w:t>
            </w:r>
            <w:r w:rsidRPr="0089224B">
              <w:rPr>
                <w:rStyle w:val="FootnoteReference"/>
              </w:rPr>
              <w:footnoteReference w:id="5"/>
            </w:r>
          </w:p>
        </w:tc>
        <w:tc>
          <w:tcPr>
            <w:tcW w:w="1890" w:type="dxa"/>
            <w:vAlign w:val="center"/>
          </w:tcPr>
          <w:p w14:paraId="06E50014" w14:textId="40729012" w:rsidR="00513EF5" w:rsidRPr="006A2883" w:rsidRDefault="00513EF5" w:rsidP="003A3AB1">
            <w:pPr>
              <w:spacing w:after="0"/>
              <w:jc w:val="right"/>
            </w:pPr>
            <w:r w:rsidRPr="0089224B">
              <w:t>24,702.56</w:t>
            </w:r>
          </w:p>
        </w:tc>
        <w:tc>
          <w:tcPr>
            <w:tcW w:w="2160" w:type="dxa"/>
            <w:vAlign w:val="center"/>
          </w:tcPr>
          <w:p w14:paraId="1A40C567" w14:textId="4E721C49" w:rsidR="00513EF5" w:rsidRPr="006A2883" w:rsidRDefault="00513EF5" w:rsidP="003A3AB1">
            <w:pPr>
              <w:spacing w:after="0"/>
              <w:jc w:val="right"/>
            </w:pPr>
            <w:r w:rsidRPr="0089224B">
              <w:t>24,487.64</w:t>
            </w:r>
          </w:p>
        </w:tc>
        <w:tc>
          <w:tcPr>
            <w:tcW w:w="1710" w:type="dxa"/>
            <w:vAlign w:val="center"/>
          </w:tcPr>
          <w:p w14:paraId="41E1B47E" w14:textId="76F9F3E8" w:rsidR="00513EF5" w:rsidRPr="006A2883" w:rsidRDefault="009A11F2" w:rsidP="003A3AB1">
            <w:pPr>
              <w:spacing w:after="0"/>
              <w:jc w:val="right"/>
            </w:pPr>
            <w:r>
              <w:t>(</w:t>
            </w:r>
            <w:r w:rsidR="00513EF5" w:rsidRPr="0089224B">
              <w:t>214.92</w:t>
            </w:r>
            <w:r>
              <w:t>)</w:t>
            </w:r>
            <w:r w:rsidR="00513EF5" w:rsidRPr="0089224B">
              <w:t xml:space="preserve"> </w:t>
            </w:r>
          </w:p>
        </w:tc>
        <w:tc>
          <w:tcPr>
            <w:tcW w:w="1345" w:type="dxa"/>
            <w:vAlign w:val="center"/>
          </w:tcPr>
          <w:p w14:paraId="7CCF6199" w14:textId="615659AF" w:rsidR="00513EF5" w:rsidRPr="0089224B" w:rsidRDefault="009A11F2" w:rsidP="003A3AB1">
            <w:pPr>
              <w:spacing w:after="0"/>
              <w:jc w:val="right"/>
            </w:pPr>
            <w:r>
              <w:t>(</w:t>
            </w:r>
            <w:r w:rsidR="00513EF5" w:rsidRPr="0089224B">
              <w:t>0.87%</w:t>
            </w:r>
            <w:r>
              <w:t>)</w:t>
            </w:r>
          </w:p>
        </w:tc>
      </w:tr>
      <w:tr w:rsidR="00C75977" w:rsidRPr="0089224B" w14:paraId="645C0CFC" w14:textId="3AE028FD" w:rsidTr="66476713">
        <w:trPr>
          <w:trHeight w:val="181"/>
        </w:trPr>
        <w:tc>
          <w:tcPr>
            <w:tcW w:w="2245" w:type="dxa"/>
            <w:vAlign w:val="center"/>
          </w:tcPr>
          <w:p w14:paraId="5FF50193" w14:textId="725A9E41" w:rsidR="00513EF5" w:rsidRPr="006A2883" w:rsidRDefault="00513EF5" w:rsidP="00014AE5">
            <w:pPr>
              <w:spacing w:after="0"/>
            </w:pPr>
            <w:r w:rsidRPr="0089224B">
              <w:t>LCFF Entitlement</w:t>
            </w:r>
          </w:p>
        </w:tc>
        <w:tc>
          <w:tcPr>
            <w:tcW w:w="1890" w:type="dxa"/>
            <w:vAlign w:val="center"/>
          </w:tcPr>
          <w:p w14:paraId="554A4DD3" w14:textId="44040997" w:rsidR="00513EF5" w:rsidRPr="006A2883" w:rsidRDefault="00513EF5" w:rsidP="003A3AB1">
            <w:pPr>
              <w:spacing w:after="0"/>
              <w:jc w:val="right"/>
            </w:pPr>
            <w:r w:rsidRPr="0089224B">
              <w:t xml:space="preserve"> $ 248,707,081 </w:t>
            </w:r>
          </w:p>
        </w:tc>
        <w:tc>
          <w:tcPr>
            <w:tcW w:w="2160" w:type="dxa"/>
            <w:vAlign w:val="center"/>
          </w:tcPr>
          <w:p w14:paraId="1E98874C" w14:textId="43D32C3C" w:rsidR="00513EF5" w:rsidRPr="006A2883" w:rsidRDefault="00513EF5" w:rsidP="003A3AB1">
            <w:pPr>
              <w:spacing w:after="0"/>
              <w:jc w:val="right"/>
            </w:pPr>
            <w:r w:rsidRPr="0089224B">
              <w:t xml:space="preserve"> $ 246,599,545  </w:t>
            </w:r>
          </w:p>
        </w:tc>
        <w:tc>
          <w:tcPr>
            <w:tcW w:w="1710" w:type="dxa"/>
            <w:vAlign w:val="center"/>
          </w:tcPr>
          <w:p w14:paraId="5C8B3ACF" w14:textId="6D208137" w:rsidR="00513EF5" w:rsidRPr="006A2883" w:rsidRDefault="009A11F2" w:rsidP="003A3AB1">
            <w:pPr>
              <w:spacing w:after="0"/>
              <w:jc w:val="right"/>
            </w:pPr>
            <w:r>
              <w:t>(</w:t>
            </w:r>
            <w:r w:rsidR="00513EF5" w:rsidRPr="0089224B">
              <w:t>$</w:t>
            </w:r>
            <w:r>
              <w:t xml:space="preserve"> </w:t>
            </w:r>
            <w:r w:rsidR="00513EF5" w:rsidRPr="0089224B">
              <w:t>2,107,536</w:t>
            </w:r>
            <w:r>
              <w:t>)</w:t>
            </w:r>
            <w:r w:rsidR="00513EF5" w:rsidRPr="0089224B">
              <w:t xml:space="preserve"> </w:t>
            </w:r>
          </w:p>
        </w:tc>
        <w:tc>
          <w:tcPr>
            <w:tcW w:w="1345" w:type="dxa"/>
            <w:vAlign w:val="center"/>
          </w:tcPr>
          <w:p w14:paraId="449135DF" w14:textId="4CC52234" w:rsidR="00513EF5" w:rsidRPr="0089224B" w:rsidRDefault="009A11F2" w:rsidP="003A3AB1">
            <w:pPr>
              <w:spacing w:after="0"/>
              <w:jc w:val="right"/>
            </w:pPr>
            <w:r>
              <w:t>(</w:t>
            </w:r>
            <w:r w:rsidRPr="0089224B">
              <w:t>0.8</w:t>
            </w:r>
            <w:r>
              <w:t>5</w:t>
            </w:r>
            <w:r w:rsidRPr="0089224B">
              <w:t>%</w:t>
            </w:r>
            <w:r>
              <w:t>)</w:t>
            </w:r>
          </w:p>
        </w:tc>
      </w:tr>
    </w:tbl>
    <w:p w14:paraId="50110B39" w14:textId="5A8CC7A6" w:rsidR="00E13E60" w:rsidRDefault="00E13E60" w:rsidP="00E13E60">
      <w:pPr>
        <w:spacing w:before="120"/>
        <w:rPr>
          <w:i/>
        </w:rPr>
      </w:pPr>
      <w:r w:rsidRPr="00E13E60">
        <w:rPr>
          <w:i/>
        </w:rPr>
        <w:t xml:space="preserve">Source: </w:t>
      </w:r>
      <w:r w:rsidR="00D57315">
        <w:rPr>
          <w:i/>
        </w:rPr>
        <w:t xml:space="preserve">Unduplicated Pupil Percentage Exhibit, LCFF Calculation Exhibit, Glendale USD </w:t>
      </w:r>
    </w:p>
    <w:p w14:paraId="030E743C" w14:textId="30BBE60D" w:rsidR="004B4AD0" w:rsidRPr="0003535B" w:rsidRDefault="004B4AD0" w:rsidP="006A7841">
      <w:pPr>
        <w:spacing w:before="240" w:after="120"/>
        <w:rPr>
          <w:b/>
        </w:rPr>
      </w:pPr>
      <w:r w:rsidRPr="0003535B">
        <w:rPr>
          <w:b/>
        </w:rPr>
        <w:t xml:space="preserve">Table </w:t>
      </w:r>
      <w:r w:rsidR="00AF72E2">
        <w:rPr>
          <w:b/>
        </w:rPr>
        <w:t>3</w:t>
      </w:r>
      <w:r w:rsidRPr="0003535B">
        <w:rPr>
          <w:b/>
        </w:rPr>
        <w:t xml:space="preserve">. LCFF Estimates for </w:t>
      </w:r>
      <w:r w:rsidR="00B17DB4">
        <w:rPr>
          <w:b/>
        </w:rPr>
        <w:t>FY</w:t>
      </w:r>
      <w:r w:rsidRPr="0003535B">
        <w:rPr>
          <w:b/>
        </w:rPr>
        <w:t xml:space="preserve"> 202</w:t>
      </w:r>
      <w:r w:rsidR="00D8283B">
        <w:rPr>
          <w:b/>
        </w:rPr>
        <w:t>2</w:t>
      </w:r>
      <w:r w:rsidRPr="0003535B">
        <w:rPr>
          <w:b/>
        </w:rPr>
        <w:t>–2</w:t>
      </w:r>
      <w:r w:rsidR="00D8283B">
        <w:rPr>
          <w:b/>
        </w:rPr>
        <w:t>3</w:t>
      </w:r>
    </w:p>
    <w:tbl>
      <w:tblPr>
        <w:tblStyle w:val="TableGrid"/>
        <w:tblW w:w="9355" w:type="dxa"/>
        <w:tblLayout w:type="fixed"/>
        <w:tblCellMar>
          <w:top w:w="115" w:type="dxa"/>
          <w:left w:w="115" w:type="dxa"/>
          <w:bottom w:w="115" w:type="dxa"/>
          <w:right w:w="115" w:type="dxa"/>
        </w:tblCellMar>
        <w:tblLook w:val="04A0" w:firstRow="1" w:lastRow="0" w:firstColumn="1" w:lastColumn="0" w:noHBand="0" w:noVBand="1"/>
        <w:tblCaption w:val="LCFF Estimates for FY 2022-23"/>
        <w:tblDescription w:val="This table shows funding estimates for Glendale USD for FY 2022-23 with and without the students in the reorganized territory."/>
      </w:tblPr>
      <w:tblGrid>
        <w:gridCol w:w="2245"/>
        <w:gridCol w:w="1890"/>
        <w:gridCol w:w="2190"/>
        <w:gridCol w:w="1710"/>
        <w:gridCol w:w="1320"/>
      </w:tblGrid>
      <w:tr w:rsidR="0089224B" w:rsidRPr="0089224B" w14:paraId="27474584" w14:textId="049DA5EB" w:rsidTr="66476713">
        <w:trPr>
          <w:trHeight w:val="1000"/>
          <w:tblHeader/>
        </w:trPr>
        <w:tc>
          <w:tcPr>
            <w:tcW w:w="2245" w:type="dxa"/>
            <w:shd w:val="clear" w:color="auto" w:fill="D9D9D9" w:themeFill="background1" w:themeFillShade="D9"/>
            <w:vAlign w:val="center"/>
          </w:tcPr>
          <w:p w14:paraId="5C8DCA8E" w14:textId="77777777" w:rsidR="00F928C7" w:rsidRPr="006A2883" w:rsidRDefault="00F928C7" w:rsidP="00D143FE">
            <w:pPr>
              <w:spacing w:after="0"/>
              <w:jc w:val="center"/>
              <w:rPr>
                <w:b/>
              </w:rPr>
            </w:pPr>
            <w:r w:rsidRPr="0089224B">
              <w:rPr>
                <w:b/>
              </w:rPr>
              <w:t>Category</w:t>
            </w:r>
          </w:p>
        </w:tc>
        <w:tc>
          <w:tcPr>
            <w:tcW w:w="1890" w:type="dxa"/>
            <w:shd w:val="clear" w:color="auto" w:fill="D9D9D9" w:themeFill="background1" w:themeFillShade="D9"/>
            <w:vAlign w:val="center"/>
          </w:tcPr>
          <w:p w14:paraId="46A0A299" w14:textId="7203AA30" w:rsidR="00F928C7" w:rsidRPr="006A2883" w:rsidRDefault="00F928C7" w:rsidP="00D143FE">
            <w:pPr>
              <w:spacing w:after="0"/>
              <w:jc w:val="center"/>
              <w:rPr>
                <w:b/>
              </w:rPr>
            </w:pPr>
            <w:r w:rsidRPr="0089224B">
              <w:rPr>
                <w:b/>
              </w:rPr>
              <w:t xml:space="preserve">Existing </w:t>
            </w:r>
            <w:r w:rsidRPr="0089224B">
              <w:rPr>
                <w:b/>
              </w:rPr>
              <w:br/>
              <w:t>Glendale USD</w:t>
            </w:r>
          </w:p>
        </w:tc>
        <w:tc>
          <w:tcPr>
            <w:tcW w:w="2190" w:type="dxa"/>
            <w:shd w:val="clear" w:color="auto" w:fill="D9D9D9" w:themeFill="background1" w:themeFillShade="D9"/>
            <w:vAlign w:val="center"/>
          </w:tcPr>
          <w:p w14:paraId="1B8A9F7A" w14:textId="012940A3" w:rsidR="00F928C7" w:rsidRPr="006A2883" w:rsidRDefault="00F928C7" w:rsidP="00D143FE">
            <w:pPr>
              <w:spacing w:after="0"/>
              <w:jc w:val="center"/>
              <w:rPr>
                <w:b/>
              </w:rPr>
            </w:pPr>
            <w:r w:rsidRPr="0089224B">
              <w:rPr>
                <w:b/>
              </w:rPr>
              <w:t>Glendale USD After Reorganization</w:t>
            </w:r>
          </w:p>
        </w:tc>
        <w:tc>
          <w:tcPr>
            <w:tcW w:w="1710" w:type="dxa"/>
            <w:shd w:val="clear" w:color="auto" w:fill="D9D9D9" w:themeFill="background1" w:themeFillShade="D9"/>
            <w:vAlign w:val="center"/>
          </w:tcPr>
          <w:p w14:paraId="3014C145" w14:textId="40D39516" w:rsidR="00F928C7" w:rsidRPr="006A2883" w:rsidRDefault="00F928C7" w:rsidP="00D143FE">
            <w:pPr>
              <w:spacing w:after="0"/>
              <w:jc w:val="center"/>
              <w:rPr>
                <w:b/>
              </w:rPr>
            </w:pPr>
            <w:r w:rsidRPr="0089224B">
              <w:rPr>
                <w:b/>
              </w:rPr>
              <w:t xml:space="preserve">Difference </w:t>
            </w:r>
            <w:r w:rsidRPr="0089224B">
              <w:rPr>
                <w:b/>
              </w:rPr>
              <w:br/>
            </w:r>
          </w:p>
        </w:tc>
        <w:tc>
          <w:tcPr>
            <w:tcW w:w="1320" w:type="dxa"/>
            <w:shd w:val="clear" w:color="auto" w:fill="D9D9D9" w:themeFill="background1" w:themeFillShade="D9"/>
          </w:tcPr>
          <w:p w14:paraId="2EF2E657" w14:textId="4D403567" w:rsidR="00F928C7" w:rsidRPr="0089224B" w:rsidRDefault="00F928C7" w:rsidP="00D143FE">
            <w:pPr>
              <w:spacing w:after="0"/>
              <w:jc w:val="center"/>
              <w:rPr>
                <w:b/>
              </w:rPr>
            </w:pPr>
            <w:r w:rsidRPr="0089224B">
              <w:rPr>
                <w:b/>
              </w:rPr>
              <w:t>Percent Change</w:t>
            </w:r>
          </w:p>
        </w:tc>
      </w:tr>
      <w:tr w:rsidR="006A2883" w:rsidRPr="0089224B" w14:paraId="5B090E40" w14:textId="377B5366" w:rsidTr="66476713">
        <w:trPr>
          <w:trHeight w:val="25"/>
        </w:trPr>
        <w:tc>
          <w:tcPr>
            <w:tcW w:w="2245" w:type="dxa"/>
            <w:vAlign w:val="center"/>
          </w:tcPr>
          <w:p w14:paraId="3538782B" w14:textId="31B5C3F9" w:rsidR="00F928C7" w:rsidRPr="006A2883" w:rsidRDefault="00F928C7" w:rsidP="00A66BE2">
            <w:pPr>
              <w:spacing w:after="0"/>
            </w:pPr>
            <w:r w:rsidRPr="0089224B">
              <w:t>UPP</w:t>
            </w:r>
          </w:p>
        </w:tc>
        <w:tc>
          <w:tcPr>
            <w:tcW w:w="1890" w:type="dxa"/>
            <w:vAlign w:val="center"/>
          </w:tcPr>
          <w:p w14:paraId="5266CC4E" w14:textId="3AE60564" w:rsidR="00F928C7" w:rsidRPr="006A2883" w:rsidRDefault="00F928C7" w:rsidP="003A3AB1">
            <w:pPr>
              <w:spacing w:after="0"/>
              <w:jc w:val="right"/>
            </w:pPr>
            <w:r w:rsidRPr="0089224B">
              <w:t>51.19%</w:t>
            </w:r>
          </w:p>
        </w:tc>
        <w:tc>
          <w:tcPr>
            <w:tcW w:w="2190" w:type="dxa"/>
            <w:vAlign w:val="center"/>
          </w:tcPr>
          <w:p w14:paraId="4CB8BF80" w14:textId="25699ABB" w:rsidR="00F928C7" w:rsidRPr="006A2883" w:rsidRDefault="00F928C7" w:rsidP="003A3AB1">
            <w:pPr>
              <w:spacing w:after="0"/>
              <w:jc w:val="right"/>
            </w:pPr>
            <w:r w:rsidRPr="0089224B">
              <w:t>51.28%</w:t>
            </w:r>
          </w:p>
        </w:tc>
        <w:tc>
          <w:tcPr>
            <w:tcW w:w="1710" w:type="dxa"/>
            <w:vAlign w:val="center"/>
          </w:tcPr>
          <w:p w14:paraId="6697724E" w14:textId="65D42091" w:rsidR="00F928C7" w:rsidRPr="006A2883" w:rsidRDefault="00F928C7" w:rsidP="003A3AB1">
            <w:pPr>
              <w:spacing w:after="0"/>
              <w:jc w:val="right"/>
            </w:pPr>
            <w:r w:rsidRPr="0089224B">
              <w:t>0.09%</w:t>
            </w:r>
          </w:p>
        </w:tc>
        <w:tc>
          <w:tcPr>
            <w:tcW w:w="1320" w:type="dxa"/>
            <w:vAlign w:val="center"/>
          </w:tcPr>
          <w:p w14:paraId="113B47F3" w14:textId="3E9D4060" w:rsidR="00F928C7" w:rsidRPr="0089224B" w:rsidRDefault="00F928C7" w:rsidP="003A3AB1">
            <w:pPr>
              <w:spacing w:after="0"/>
              <w:jc w:val="right"/>
            </w:pPr>
            <w:r w:rsidRPr="0089224B">
              <w:t>N/A</w:t>
            </w:r>
          </w:p>
        </w:tc>
      </w:tr>
      <w:tr w:rsidR="006A2883" w:rsidRPr="0089224B" w14:paraId="48F232DA" w14:textId="2A43EB3A" w:rsidTr="66476713">
        <w:tc>
          <w:tcPr>
            <w:tcW w:w="2245" w:type="dxa"/>
            <w:vAlign w:val="center"/>
          </w:tcPr>
          <w:p w14:paraId="5883FEDB" w14:textId="6D120DE4" w:rsidR="00F928C7" w:rsidRPr="006A2883" w:rsidRDefault="00F928C7" w:rsidP="00763658">
            <w:pPr>
              <w:spacing w:after="0"/>
            </w:pPr>
            <w:r w:rsidRPr="0089224B">
              <w:t>Funded ADA</w:t>
            </w:r>
          </w:p>
        </w:tc>
        <w:tc>
          <w:tcPr>
            <w:tcW w:w="1890" w:type="dxa"/>
            <w:vAlign w:val="center"/>
          </w:tcPr>
          <w:p w14:paraId="5AD5033B" w14:textId="095F4BE9" w:rsidR="00F928C7" w:rsidRPr="006A2883" w:rsidRDefault="00F928C7" w:rsidP="003A3AB1">
            <w:pPr>
              <w:spacing w:after="0"/>
              <w:jc w:val="right"/>
            </w:pPr>
            <w:r w:rsidRPr="0089224B">
              <w:t>22,897</w:t>
            </w:r>
          </w:p>
        </w:tc>
        <w:tc>
          <w:tcPr>
            <w:tcW w:w="2190" w:type="dxa"/>
            <w:vAlign w:val="center"/>
          </w:tcPr>
          <w:p w14:paraId="38E9C8F3" w14:textId="27EFE789" w:rsidR="00F928C7" w:rsidRPr="006A2883" w:rsidRDefault="00F928C7" w:rsidP="003A3AB1">
            <w:pPr>
              <w:spacing w:after="0"/>
              <w:jc w:val="right"/>
            </w:pPr>
            <w:r w:rsidRPr="0089224B">
              <w:t>22,697.79</w:t>
            </w:r>
          </w:p>
        </w:tc>
        <w:tc>
          <w:tcPr>
            <w:tcW w:w="1710" w:type="dxa"/>
            <w:vAlign w:val="center"/>
          </w:tcPr>
          <w:p w14:paraId="7BCED5EF" w14:textId="294D0427" w:rsidR="00F928C7" w:rsidRPr="006A2883" w:rsidRDefault="009A11F2" w:rsidP="003A3AB1">
            <w:pPr>
              <w:spacing w:after="0"/>
              <w:jc w:val="right"/>
            </w:pPr>
            <w:r>
              <w:t>(</w:t>
            </w:r>
            <w:r w:rsidR="00F928C7" w:rsidRPr="0089224B">
              <w:t>199.21</w:t>
            </w:r>
            <w:r>
              <w:t>)</w:t>
            </w:r>
            <w:r w:rsidR="00F928C7" w:rsidRPr="0089224B">
              <w:t xml:space="preserve"> </w:t>
            </w:r>
          </w:p>
        </w:tc>
        <w:tc>
          <w:tcPr>
            <w:tcW w:w="1320" w:type="dxa"/>
            <w:vAlign w:val="center"/>
          </w:tcPr>
          <w:p w14:paraId="0AA3E185" w14:textId="32E763DE" w:rsidR="00F928C7" w:rsidRPr="0089224B" w:rsidRDefault="009A11F2" w:rsidP="003A3AB1">
            <w:pPr>
              <w:spacing w:after="0"/>
              <w:jc w:val="right"/>
            </w:pPr>
            <w:r>
              <w:t>(</w:t>
            </w:r>
            <w:r w:rsidRPr="0089224B">
              <w:t>0.87%</w:t>
            </w:r>
            <w:r>
              <w:t>)</w:t>
            </w:r>
          </w:p>
        </w:tc>
      </w:tr>
      <w:tr w:rsidR="006A2883" w:rsidRPr="0089224B" w14:paraId="77A98C99" w14:textId="4C0F6FCD" w:rsidTr="66476713">
        <w:tc>
          <w:tcPr>
            <w:tcW w:w="2245" w:type="dxa"/>
            <w:vAlign w:val="center"/>
          </w:tcPr>
          <w:p w14:paraId="34E07530" w14:textId="55AB291D" w:rsidR="00F928C7" w:rsidRPr="006A2883" w:rsidRDefault="00F928C7" w:rsidP="00F928C7">
            <w:pPr>
              <w:spacing w:after="0"/>
            </w:pPr>
            <w:r w:rsidRPr="0089224B">
              <w:t>LCFF Entitlement</w:t>
            </w:r>
          </w:p>
        </w:tc>
        <w:tc>
          <w:tcPr>
            <w:tcW w:w="1890" w:type="dxa"/>
            <w:vAlign w:val="center"/>
          </w:tcPr>
          <w:p w14:paraId="21FC8AA1" w14:textId="3CC58C04" w:rsidR="00F928C7" w:rsidRPr="006A2883" w:rsidRDefault="00F928C7" w:rsidP="003A3AB1">
            <w:pPr>
              <w:spacing w:after="0"/>
              <w:jc w:val="right"/>
            </w:pPr>
            <w:r w:rsidRPr="0089224B">
              <w:t xml:space="preserve">$ 258,653,780  </w:t>
            </w:r>
          </w:p>
        </w:tc>
        <w:tc>
          <w:tcPr>
            <w:tcW w:w="2190" w:type="dxa"/>
            <w:vAlign w:val="center"/>
          </w:tcPr>
          <w:p w14:paraId="705F144F" w14:textId="01995165" w:rsidR="00F928C7" w:rsidRPr="006A2883" w:rsidRDefault="00F928C7" w:rsidP="003A3AB1">
            <w:pPr>
              <w:spacing w:after="0"/>
              <w:jc w:val="right"/>
            </w:pPr>
            <w:r w:rsidRPr="0089224B">
              <w:t xml:space="preserve">$ 256,445,294 </w:t>
            </w:r>
          </w:p>
        </w:tc>
        <w:tc>
          <w:tcPr>
            <w:tcW w:w="1710" w:type="dxa"/>
            <w:vAlign w:val="center"/>
          </w:tcPr>
          <w:p w14:paraId="0A9B0207" w14:textId="5CB028F7" w:rsidR="00F928C7" w:rsidRPr="006A2883" w:rsidRDefault="009A11F2" w:rsidP="003A3AB1">
            <w:pPr>
              <w:spacing w:after="0"/>
              <w:jc w:val="right"/>
            </w:pPr>
            <w:r>
              <w:t>(</w:t>
            </w:r>
            <w:r w:rsidR="00F928C7" w:rsidRPr="0089224B">
              <w:t>$</w:t>
            </w:r>
            <w:r>
              <w:t xml:space="preserve"> </w:t>
            </w:r>
            <w:r w:rsidR="00F928C7" w:rsidRPr="0089224B">
              <w:t>2,208,486</w:t>
            </w:r>
            <w:r>
              <w:t>)</w:t>
            </w:r>
            <w:r w:rsidR="00F928C7" w:rsidRPr="0089224B">
              <w:t xml:space="preserve"> </w:t>
            </w:r>
          </w:p>
        </w:tc>
        <w:tc>
          <w:tcPr>
            <w:tcW w:w="1320" w:type="dxa"/>
            <w:vAlign w:val="center"/>
          </w:tcPr>
          <w:p w14:paraId="0740E611" w14:textId="7BDBD0CB" w:rsidR="00F928C7" w:rsidRPr="0089224B" w:rsidRDefault="009A11F2" w:rsidP="003A3AB1">
            <w:pPr>
              <w:spacing w:after="0"/>
              <w:jc w:val="right"/>
            </w:pPr>
            <w:r>
              <w:t>(</w:t>
            </w:r>
            <w:r w:rsidRPr="0089224B">
              <w:t>0.87%</w:t>
            </w:r>
            <w:r>
              <w:t>)</w:t>
            </w:r>
          </w:p>
        </w:tc>
      </w:tr>
    </w:tbl>
    <w:p w14:paraId="6527FF60" w14:textId="1A7650D9" w:rsidR="009A11F2" w:rsidRPr="009A11F2" w:rsidRDefault="009A11F2" w:rsidP="009A11F2">
      <w:pPr>
        <w:spacing w:before="120" w:line="259" w:lineRule="auto"/>
        <w:rPr>
          <w:i/>
          <w:iCs/>
        </w:rPr>
      </w:pPr>
      <w:r w:rsidRPr="009A11F2">
        <w:rPr>
          <w:i/>
          <w:iCs/>
        </w:rPr>
        <w:t xml:space="preserve">Source: </w:t>
      </w:r>
      <w:r w:rsidR="00371443">
        <w:rPr>
          <w:i/>
          <w:iCs/>
        </w:rPr>
        <w:t xml:space="preserve">Glendale Unified 2021-22 Multi-Year Projection, </w:t>
      </w:r>
      <w:r w:rsidR="00371443" w:rsidRPr="00371443">
        <w:rPr>
          <w:i/>
          <w:iCs/>
        </w:rPr>
        <w:t>CDE Calculations</w:t>
      </w:r>
    </w:p>
    <w:p w14:paraId="465DA386" w14:textId="006770C9" w:rsidR="001F506A" w:rsidRDefault="00463D81" w:rsidP="006A2883">
      <w:pPr>
        <w:spacing w:before="240" w:line="259" w:lineRule="auto"/>
      </w:pPr>
      <w:r w:rsidRPr="00DB1B22">
        <w:t>Tables 2 and 3 show that</w:t>
      </w:r>
      <w:r w:rsidR="00F62E33">
        <w:t xml:space="preserve"> </w:t>
      </w:r>
      <w:r w:rsidR="00146BE6" w:rsidRPr="00F928C7">
        <w:t>LCFF funding for Glendale USD</w:t>
      </w:r>
      <w:r w:rsidR="00146BE6">
        <w:t xml:space="preserve"> </w:t>
      </w:r>
      <w:r w:rsidR="009D44AE" w:rsidRPr="00DB1B22">
        <w:t xml:space="preserve">would </w:t>
      </w:r>
      <w:r w:rsidR="00146BE6">
        <w:t>decrease by</w:t>
      </w:r>
      <w:r w:rsidR="009D44AE" w:rsidRPr="00DB1B22">
        <w:t xml:space="preserve"> $2.1 million and </w:t>
      </w:r>
      <w:r w:rsidR="00610093" w:rsidRPr="00610093">
        <w:t>$2.</w:t>
      </w:r>
      <w:r w:rsidR="00F63FED">
        <w:t>2</w:t>
      </w:r>
      <w:r w:rsidR="00610093" w:rsidRPr="00610093">
        <w:t xml:space="preserve"> million</w:t>
      </w:r>
      <w:r w:rsidR="00F62E33" w:rsidRPr="00F62E33">
        <w:t xml:space="preserve"> </w:t>
      </w:r>
      <w:r w:rsidR="00F62E33" w:rsidRPr="00F928C7">
        <w:t>in 2021–22 and 2022–23</w:t>
      </w:r>
      <w:r w:rsidR="00146BE6">
        <w:t>, respectively</w:t>
      </w:r>
      <w:r w:rsidR="00F62E33" w:rsidRPr="00DB1B22">
        <w:t xml:space="preserve">, </w:t>
      </w:r>
      <w:r w:rsidR="00F62E33">
        <w:t>if</w:t>
      </w:r>
      <w:r w:rsidR="00F62E33" w:rsidRPr="00DB1B22">
        <w:t xml:space="preserve"> </w:t>
      </w:r>
      <w:r w:rsidR="00F62E33">
        <w:t xml:space="preserve">the </w:t>
      </w:r>
      <w:r w:rsidR="00F62E33" w:rsidRPr="00DB1B22">
        <w:t>s</w:t>
      </w:r>
      <w:r w:rsidR="00F62E33">
        <w:t xml:space="preserve">tudents who reside </w:t>
      </w:r>
      <w:r w:rsidR="00F62E33" w:rsidRPr="00DB1B22">
        <w:t xml:space="preserve">in the </w:t>
      </w:r>
      <w:r w:rsidR="00F62E33">
        <w:t>Sagebrush Area and attend Glendale USD schools were instead</w:t>
      </w:r>
      <w:r w:rsidR="00F62E33" w:rsidRPr="00DB1B22">
        <w:t xml:space="preserve"> students </w:t>
      </w:r>
      <w:r w:rsidR="00F62E33" w:rsidRPr="00F928C7">
        <w:t xml:space="preserve">of the </w:t>
      </w:r>
      <w:r w:rsidR="00F62E33" w:rsidRPr="00F928C7">
        <w:rPr>
          <w:rFonts w:cs="Arial"/>
        </w:rPr>
        <w:t>La Cañada USD</w:t>
      </w:r>
      <w:r w:rsidR="00A71FA6">
        <w:t>.</w:t>
      </w:r>
      <w:r w:rsidR="00A012EE">
        <w:t xml:space="preserve"> </w:t>
      </w:r>
      <w:r w:rsidR="0061237B">
        <w:t xml:space="preserve">The UPP for </w:t>
      </w:r>
      <w:r w:rsidR="009D44AE">
        <w:t xml:space="preserve">Glendale USD would </w:t>
      </w:r>
      <w:r w:rsidR="0061237B">
        <w:t xml:space="preserve">likely </w:t>
      </w:r>
      <w:r w:rsidR="009D44AE">
        <w:t>increase</w:t>
      </w:r>
      <w:r w:rsidR="0061237B">
        <w:t xml:space="preserve"> </w:t>
      </w:r>
      <w:r w:rsidR="00885A78">
        <w:t xml:space="preserve">by </w:t>
      </w:r>
      <w:r w:rsidR="0061237B">
        <w:t>a small amount</w:t>
      </w:r>
      <w:r w:rsidR="009D44AE">
        <w:t xml:space="preserve"> because of the territory transfer, </w:t>
      </w:r>
      <w:r w:rsidR="0061237B">
        <w:t>but</w:t>
      </w:r>
      <w:r w:rsidR="005E2596">
        <w:t xml:space="preserve"> not enough to offset the decrease</w:t>
      </w:r>
      <w:r w:rsidR="0061237B">
        <w:t xml:space="preserve"> in</w:t>
      </w:r>
      <w:r w:rsidR="005E2596">
        <w:t xml:space="preserve"> base </w:t>
      </w:r>
      <w:r w:rsidR="005E2596">
        <w:lastRenderedPageBreak/>
        <w:t>grant funding</w:t>
      </w:r>
      <w:r w:rsidR="0061237B">
        <w:t xml:space="preserve"> due to the decline in ADA</w:t>
      </w:r>
      <w:r w:rsidR="009D44AE">
        <w:t xml:space="preserve">. </w:t>
      </w:r>
      <w:r w:rsidR="00FE5CEB">
        <w:t>T</w:t>
      </w:r>
      <w:r w:rsidR="009D44AE">
        <w:t>he loss to Glendale</w:t>
      </w:r>
      <w:r w:rsidR="00FE5CEB">
        <w:t xml:space="preserve"> USD</w:t>
      </w:r>
      <w:r w:rsidR="009D44AE">
        <w:t xml:space="preserve"> is </w:t>
      </w:r>
      <w:r w:rsidR="008E6631">
        <w:t xml:space="preserve">estimated to be </w:t>
      </w:r>
      <w:r w:rsidR="009D44AE">
        <w:t>less than 1 percent of its ADA</w:t>
      </w:r>
      <w:r w:rsidR="00F928C7">
        <w:t xml:space="preserve">, which results in a loss of </w:t>
      </w:r>
      <w:r w:rsidR="00FE5CEB">
        <w:t xml:space="preserve">less than 1 percent of </w:t>
      </w:r>
      <w:r w:rsidR="009D44AE">
        <w:t xml:space="preserve">its total LCFF </w:t>
      </w:r>
      <w:r w:rsidR="00FE5CEB">
        <w:t>funding</w:t>
      </w:r>
      <w:r w:rsidR="009D44AE">
        <w:t xml:space="preserve">. </w:t>
      </w:r>
      <w:r w:rsidR="0061237B">
        <w:t xml:space="preserve">LCFF is the largest source of a school district’s funding. </w:t>
      </w:r>
      <w:r w:rsidR="006C5B8A">
        <w:t>There are other one-time and on-going state funding programs from which the district would also receive less funding</w:t>
      </w:r>
      <w:r w:rsidR="0061237B">
        <w:t>, but these do not represent a significant portion of the district’s funding</w:t>
      </w:r>
      <w:r w:rsidR="006C5B8A">
        <w:t>.</w:t>
      </w:r>
      <w:r w:rsidR="00654AE7">
        <w:t xml:space="preserve"> </w:t>
      </w:r>
      <w:r w:rsidR="00A42E5C">
        <w:t>Additionally, t</w:t>
      </w:r>
      <w:r w:rsidR="00654AE7">
        <w:t xml:space="preserve">he funding </w:t>
      </w:r>
      <w:r w:rsidR="00355F9C">
        <w:t>generated through</w:t>
      </w:r>
      <w:r w:rsidR="00654AE7">
        <w:t xml:space="preserve"> other programs is not greater per pupil for La Ca</w:t>
      </w:r>
      <w:r w:rsidR="00654AE7">
        <w:rPr>
          <w:rFonts w:cs="Arial"/>
        </w:rPr>
        <w:t>ñ</w:t>
      </w:r>
      <w:r w:rsidR="00654AE7">
        <w:t>ada USD than it is for Glendale USD</w:t>
      </w:r>
      <w:r w:rsidR="00A42E5C">
        <w:t xml:space="preserve"> and</w:t>
      </w:r>
      <w:r w:rsidR="00885A78">
        <w:t>, thus,</w:t>
      </w:r>
      <w:r w:rsidR="00A42E5C">
        <w:t xml:space="preserve"> would not result in additional state costs.</w:t>
      </w:r>
    </w:p>
    <w:p w14:paraId="468B3C71" w14:textId="25C5219A" w:rsidR="00DB6CEE" w:rsidRPr="0003535B" w:rsidRDefault="00DB6CEE" w:rsidP="00DB6CEE">
      <w:pPr>
        <w:spacing w:before="240" w:after="120"/>
        <w:rPr>
          <w:b/>
        </w:rPr>
      </w:pPr>
      <w:r w:rsidRPr="0003535B">
        <w:rPr>
          <w:b/>
        </w:rPr>
        <w:t xml:space="preserve">Table </w:t>
      </w:r>
      <w:r w:rsidR="00A216E3">
        <w:rPr>
          <w:b/>
        </w:rPr>
        <w:t>4</w:t>
      </w:r>
      <w:r w:rsidRPr="0003535B">
        <w:rPr>
          <w:b/>
        </w:rPr>
        <w:t xml:space="preserve">. </w:t>
      </w:r>
      <w:r w:rsidR="00AA7774">
        <w:rPr>
          <w:b/>
        </w:rPr>
        <w:t xml:space="preserve">Estimated </w:t>
      </w:r>
      <w:r w:rsidRPr="0003535B">
        <w:rPr>
          <w:b/>
        </w:rPr>
        <w:t>LCF</w:t>
      </w:r>
      <w:r w:rsidR="00682FB9">
        <w:rPr>
          <w:b/>
        </w:rPr>
        <w:t>F State</w:t>
      </w:r>
      <w:r w:rsidR="00C26741">
        <w:rPr>
          <w:b/>
        </w:rPr>
        <w:t xml:space="preserve"> Aid</w:t>
      </w:r>
      <w:r w:rsidR="00682FB9">
        <w:rPr>
          <w:b/>
        </w:rPr>
        <w:t xml:space="preserve"> and Local Revenue </w:t>
      </w:r>
      <w:r w:rsidRPr="0003535B">
        <w:rPr>
          <w:b/>
        </w:rPr>
        <w:t xml:space="preserve">for </w:t>
      </w:r>
      <w:r w:rsidR="00B17DB4">
        <w:rPr>
          <w:b/>
        </w:rPr>
        <w:t>FY</w:t>
      </w:r>
      <w:r w:rsidRPr="0003535B">
        <w:rPr>
          <w:b/>
        </w:rPr>
        <w:t xml:space="preserve"> 202</w:t>
      </w:r>
      <w:r w:rsidR="00D8283B">
        <w:rPr>
          <w:b/>
        </w:rPr>
        <w:t>1</w:t>
      </w:r>
      <w:r w:rsidRPr="0003535B">
        <w:rPr>
          <w:b/>
        </w:rPr>
        <w:t>–2</w:t>
      </w:r>
      <w:r w:rsidR="00D8283B">
        <w:rPr>
          <w:b/>
        </w:rPr>
        <w:t>2</w:t>
      </w:r>
    </w:p>
    <w:tbl>
      <w:tblPr>
        <w:tblStyle w:val="TableGrid"/>
        <w:tblW w:w="0" w:type="auto"/>
        <w:tblCellMar>
          <w:top w:w="115" w:type="dxa"/>
          <w:left w:w="115" w:type="dxa"/>
          <w:bottom w:w="115" w:type="dxa"/>
          <w:right w:w="115" w:type="dxa"/>
        </w:tblCellMar>
        <w:tblLook w:val="04A0" w:firstRow="1" w:lastRow="0" w:firstColumn="1" w:lastColumn="0" w:noHBand="0" w:noVBand="1"/>
        <w:tblCaption w:val="Estimated LCFF State Aid and Local Revenue for FY 2021-22"/>
        <w:tblDescription w:val="This table contains estimates of local revenue and state aid for 2021-22 currently, and after a reorganization."/>
      </w:tblPr>
      <w:tblGrid>
        <w:gridCol w:w="2515"/>
        <w:gridCol w:w="2218"/>
        <w:gridCol w:w="2552"/>
        <w:gridCol w:w="2065"/>
      </w:tblGrid>
      <w:tr w:rsidR="00D8283B" w:rsidRPr="0089224B" w14:paraId="308AA0C1" w14:textId="77777777" w:rsidTr="66476713">
        <w:trPr>
          <w:trHeight w:val="703"/>
          <w:tblHeader/>
        </w:trPr>
        <w:tc>
          <w:tcPr>
            <w:tcW w:w="2515" w:type="dxa"/>
            <w:shd w:val="clear" w:color="auto" w:fill="D9D9D9" w:themeFill="background1" w:themeFillShade="D9"/>
            <w:vAlign w:val="center"/>
          </w:tcPr>
          <w:p w14:paraId="468B56E2" w14:textId="77777777" w:rsidR="00D8283B" w:rsidRPr="006A2883" w:rsidRDefault="00D8283B" w:rsidP="00804F26">
            <w:pPr>
              <w:spacing w:after="0"/>
              <w:jc w:val="center"/>
              <w:rPr>
                <w:b/>
              </w:rPr>
            </w:pPr>
            <w:r w:rsidRPr="0089224B">
              <w:rPr>
                <w:b/>
              </w:rPr>
              <w:t>Category</w:t>
            </w:r>
          </w:p>
        </w:tc>
        <w:tc>
          <w:tcPr>
            <w:tcW w:w="2218" w:type="dxa"/>
            <w:shd w:val="clear" w:color="auto" w:fill="D9D9D9" w:themeFill="background1" w:themeFillShade="D9"/>
            <w:vAlign w:val="center"/>
          </w:tcPr>
          <w:p w14:paraId="6A910779" w14:textId="77777777" w:rsidR="00D8283B" w:rsidRPr="006A2883" w:rsidRDefault="00D8283B" w:rsidP="00804F26">
            <w:pPr>
              <w:spacing w:after="0"/>
              <w:jc w:val="center"/>
              <w:rPr>
                <w:b/>
              </w:rPr>
            </w:pPr>
            <w:r w:rsidRPr="0089224B">
              <w:rPr>
                <w:b/>
              </w:rPr>
              <w:t xml:space="preserve">Existing </w:t>
            </w:r>
            <w:r w:rsidRPr="0089224B">
              <w:rPr>
                <w:b/>
              </w:rPr>
              <w:br/>
              <w:t>Glendale USD</w:t>
            </w:r>
          </w:p>
        </w:tc>
        <w:tc>
          <w:tcPr>
            <w:tcW w:w="2552" w:type="dxa"/>
            <w:shd w:val="clear" w:color="auto" w:fill="D9D9D9" w:themeFill="background1" w:themeFillShade="D9"/>
            <w:vAlign w:val="center"/>
          </w:tcPr>
          <w:p w14:paraId="58D891F6" w14:textId="77777777" w:rsidR="00D8283B" w:rsidRPr="006A2883" w:rsidRDefault="00D8283B" w:rsidP="00804F26">
            <w:pPr>
              <w:spacing w:after="0"/>
              <w:jc w:val="center"/>
              <w:rPr>
                <w:b/>
              </w:rPr>
            </w:pPr>
            <w:r w:rsidRPr="0089224B">
              <w:rPr>
                <w:b/>
              </w:rPr>
              <w:t>Glendale USD After Reorganization</w:t>
            </w:r>
          </w:p>
        </w:tc>
        <w:tc>
          <w:tcPr>
            <w:tcW w:w="2065" w:type="dxa"/>
            <w:shd w:val="clear" w:color="auto" w:fill="D9D9D9" w:themeFill="background1" w:themeFillShade="D9"/>
            <w:vAlign w:val="center"/>
          </w:tcPr>
          <w:p w14:paraId="07645E84" w14:textId="77777777" w:rsidR="00D8283B" w:rsidRPr="006A2883" w:rsidRDefault="00D8283B" w:rsidP="00804F26">
            <w:pPr>
              <w:spacing w:after="0"/>
              <w:jc w:val="center"/>
              <w:rPr>
                <w:b/>
              </w:rPr>
            </w:pPr>
            <w:r w:rsidRPr="0089224B">
              <w:rPr>
                <w:b/>
              </w:rPr>
              <w:t>Difference</w:t>
            </w:r>
          </w:p>
        </w:tc>
      </w:tr>
      <w:tr w:rsidR="00611CD6" w:rsidRPr="0089224B" w14:paraId="50E0B404" w14:textId="77777777" w:rsidTr="66476713">
        <w:trPr>
          <w:trHeight w:val="25"/>
        </w:trPr>
        <w:tc>
          <w:tcPr>
            <w:tcW w:w="2515" w:type="dxa"/>
            <w:vAlign w:val="center"/>
          </w:tcPr>
          <w:p w14:paraId="2C436AE3" w14:textId="3D5F2137" w:rsidR="00611CD6" w:rsidRPr="006A2883" w:rsidRDefault="00611CD6" w:rsidP="00611CD6">
            <w:pPr>
              <w:spacing w:after="0"/>
            </w:pPr>
            <w:r w:rsidRPr="0089224B">
              <w:t>Local Revenue</w:t>
            </w:r>
          </w:p>
        </w:tc>
        <w:tc>
          <w:tcPr>
            <w:tcW w:w="2218" w:type="dxa"/>
            <w:vAlign w:val="center"/>
          </w:tcPr>
          <w:p w14:paraId="316862DA" w14:textId="79D4A9EB" w:rsidR="00611CD6" w:rsidRPr="006A2883" w:rsidRDefault="00611CD6" w:rsidP="003A3AB1">
            <w:pPr>
              <w:spacing w:after="0"/>
              <w:jc w:val="right"/>
            </w:pPr>
            <w:r w:rsidRPr="0089224B">
              <w:t xml:space="preserve"> $</w:t>
            </w:r>
            <w:r w:rsidR="00014AE5" w:rsidRPr="0089224B">
              <w:t xml:space="preserve"> </w:t>
            </w:r>
            <w:r w:rsidR="00030E81" w:rsidRPr="0089224B">
              <w:t>95,196,357</w:t>
            </w:r>
          </w:p>
        </w:tc>
        <w:tc>
          <w:tcPr>
            <w:tcW w:w="2552" w:type="dxa"/>
            <w:vAlign w:val="center"/>
          </w:tcPr>
          <w:p w14:paraId="0CA51D9D" w14:textId="18B58432" w:rsidR="00611CD6" w:rsidRPr="006A2883" w:rsidRDefault="00611CD6" w:rsidP="003A3AB1">
            <w:pPr>
              <w:spacing w:after="0"/>
              <w:jc w:val="right"/>
            </w:pPr>
            <w:r w:rsidRPr="0089224B">
              <w:t xml:space="preserve"> $</w:t>
            </w:r>
            <w:r w:rsidR="00D8283B" w:rsidRPr="0089224B">
              <w:t xml:space="preserve"> </w:t>
            </w:r>
            <w:r w:rsidR="00576A39" w:rsidRPr="0089224B">
              <w:t>93,435,224</w:t>
            </w:r>
          </w:p>
        </w:tc>
        <w:tc>
          <w:tcPr>
            <w:tcW w:w="2065" w:type="dxa"/>
            <w:vAlign w:val="center"/>
          </w:tcPr>
          <w:p w14:paraId="356DD066" w14:textId="63EBB35B" w:rsidR="00611CD6" w:rsidRPr="006A2883" w:rsidRDefault="004662C2" w:rsidP="003A3AB1">
            <w:pPr>
              <w:pStyle w:val="ListParagraph"/>
              <w:spacing w:after="0"/>
              <w:jc w:val="right"/>
              <w:rPr>
                <w:szCs w:val="24"/>
              </w:rPr>
            </w:pPr>
            <w:r>
              <w:rPr>
                <w:szCs w:val="24"/>
              </w:rPr>
              <w:t>(</w:t>
            </w:r>
            <w:r w:rsidR="00576A39" w:rsidRPr="0089224B">
              <w:rPr>
                <w:szCs w:val="24"/>
              </w:rPr>
              <w:t>1.85%</w:t>
            </w:r>
            <w:r>
              <w:rPr>
                <w:szCs w:val="24"/>
              </w:rPr>
              <w:t>)</w:t>
            </w:r>
          </w:p>
        </w:tc>
      </w:tr>
      <w:tr w:rsidR="00014AE5" w:rsidRPr="0089224B" w14:paraId="3B65AA9B" w14:textId="77777777" w:rsidTr="66476713">
        <w:tc>
          <w:tcPr>
            <w:tcW w:w="2515" w:type="dxa"/>
            <w:vAlign w:val="center"/>
          </w:tcPr>
          <w:p w14:paraId="5766EAEC" w14:textId="7167DA6D" w:rsidR="00014AE5" w:rsidRPr="006A2883" w:rsidRDefault="00014AE5" w:rsidP="00014AE5">
            <w:pPr>
              <w:spacing w:after="0"/>
            </w:pPr>
            <w:r w:rsidRPr="0089224B">
              <w:t>State Aid</w:t>
            </w:r>
          </w:p>
        </w:tc>
        <w:tc>
          <w:tcPr>
            <w:tcW w:w="2218" w:type="dxa"/>
            <w:vAlign w:val="center"/>
          </w:tcPr>
          <w:p w14:paraId="224F4809" w14:textId="1C46AF3D" w:rsidR="00014AE5" w:rsidRPr="006A2883" w:rsidRDefault="00014AE5" w:rsidP="003A3AB1">
            <w:pPr>
              <w:spacing w:after="0"/>
              <w:jc w:val="right"/>
            </w:pPr>
            <w:r w:rsidRPr="0089224B">
              <w:t xml:space="preserve"> $ </w:t>
            </w:r>
            <w:r w:rsidR="00030E81" w:rsidRPr="0089224B">
              <w:t>153,510,724</w:t>
            </w:r>
          </w:p>
        </w:tc>
        <w:tc>
          <w:tcPr>
            <w:tcW w:w="2552" w:type="dxa"/>
            <w:vAlign w:val="center"/>
          </w:tcPr>
          <w:p w14:paraId="568B551D" w14:textId="2731EF67" w:rsidR="00014AE5" w:rsidRPr="006A2883" w:rsidRDefault="00014AE5" w:rsidP="003A3AB1">
            <w:pPr>
              <w:spacing w:after="0"/>
              <w:jc w:val="right"/>
            </w:pPr>
            <w:r w:rsidRPr="0089224B">
              <w:t xml:space="preserve"> $</w:t>
            </w:r>
            <w:r w:rsidR="00576A39" w:rsidRPr="0089224B">
              <w:t xml:space="preserve"> 153,164,321</w:t>
            </w:r>
            <w:r w:rsidRPr="0089224B">
              <w:t xml:space="preserve"> </w:t>
            </w:r>
          </w:p>
        </w:tc>
        <w:tc>
          <w:tcPr>
            <w:tcW w:w="2065" w:type="dxa"/>
            <w:vAlign w:val="center"/>
          </w:tcPr>
          <w:p w14:paraId="3A4D1D31" w14:textId="644C9401" w:rsidR="00014AE5" w:rsidRPr="006A2883" w:rsidRDefault="004662C2" w:rsidP="003A3AB1">
            <w:pPr>
              <w:pStyle w:val="ListParagraph"/>
              <w:spacing w:after="0"/>
              <w:jc w:val="right"/>
              <w:rPr>
                <w:szCs w:val="24"/>
              </w:rPr>
            </w:pPr>
            <w:r>
              <w:rPr>
                <w:szCs w:val="24"/>
              </w:rPr>
              <w:t>(</w:t>
            </w:r>
            <w:r w:rsidR="00576A39" w:rsidRPr="0089224B">
              <w:rPr>
                <w:szCs w:val="24"/>
              </w:rPr>
              <w:t>0.23</w:t>
            </w:r>
            <w:r w:rsidR="004F1ACD" w:rsidRPr="0089224B">
              <w:rPr>
                <w:szCs w:val="24"/>
              </w:rPr>
              <w:t>%</w:t>
            </w:r>
            <w:r>
              <w:rPr>
                <w:szCs w:val="24"/>
              </w:rPr>
              <w:t>)</w:t>
            </w:r>
          </w:p>
        </w:tc>
      </w:tr>
      <w:tr w:rsidR="00502077" w:rsidRPr="0089224B" w14:paraId="099640DC" w14:textId="77777777" w:rsidTr="66476713">
        <w:trPr>
          <w:trHeight w:val="199"/>
        </w:trPr>
        <w:tc>
          <w:tcPr>
            <w:tcW w:w="2515" w:type="dxa"/>
            <w:vAlign w:val="center"/>
          </w:tcPr>
          <w:p w14:paraId="464ED2ED" w14:textId="4E23B423" w:rsidR="00502077" w:rsidRPr="006A2883" w:rsidRDefault="00502077" w:rsidP="00502077">
            <w:pPr>
              <w:spacing w:after="0"/>
            </w:pPr>
            <w:r w:rsidRPr="0089224B">
              <w:t>Total LCFF Funding</w:t>
            </w:r>
          </w:p>
        </w:tc>
        <w:tc>
          <w:tcPr>
            <w:tcW w:w="2218" w:type="dxa"/>
            <w:vAlign w:val="center"/>
          </w:tcPr>
          <w:p w14:paraId="58FEA709" w14:textId="3A8974BF" w:rsidR="00502077" w:rsidRPr="006A2883" w:rsidRDefault="00502077" w:rsidP="003A3AB1">
            <w:pPr>
              <w:spacing w:after="0"/>
              <w:jc w:val="right"/>
            </w:pPr>
            <w:r w:rsidRPr="0089224B">
              <w:t xml:space="preserve"> $ 248,707,081 </w:t>
            </w:r>
          </w:p>
        </w:tc>
        <w:tc>
          <w:tcPr>
            <w:tcW w:w="2552" w:type="dxa"/>
            <w:vAlign w:val="center"/>
          </w:tcPr>
          <w:p w14:paraId="3C5AF569" w14:textId="40CADA66" w:rsidR="00502077" w:rsidRPr="006A2883" w:rsidRDefault="00502077" w:rsidP="003A3AB1">
            <w:pPr>
              <w:spacing w:after="0"/>
              <w:jc w:val="right"/>
            </w:pPr>
            <w:r w:rsidRPr="0089224B">
              <w:t xml:space="preserve"> $ 246,599,545  </w:t>
            </w:r>
          </w:p>
        </w:tc>
        <w:tc>
          <w:tcPr>
            <w:tcW w:w="2065" w:type="dxa"/>
            <w:vAlign w:val="center"/>
          </w:tcPr>
          <w:p w14:paraId="0885A1A1" w14:textId="1EF1E21D" w:rsidR="00502077" w:rsidRPr="006A2883" w:rsidRDefault="004662C2" w:rsidP="003A3AB1">
            <w:pPr>
              <w:pStyle w:val="ListParagraph"/>
              <w:spacing w:after="0"/>
              <w:jc w:val="right"/>
              <w:rPr>
                <w:szCs w:val="24"/>
              </w:rPr>
            </w:pPr>
            <w:r>
              <w:rPr>
                <w:szCs w:val="24"/>
              </w:rPr>
              <w:t>(</w:t>
            </w:r>
            <w:r w:rsidR="00502077" w:rsidRPr="0089224B">
              <w:rPr>
                <w:szCs w:val="24"/>
              </w:rPr>
              <w:t>0.8</w:t>
            </w:r>
            <w:r w:rsidR="00A42E5C">
              <w:rPr>
                <w:szCs w:val="24"/>
              </w:rPr>
              <w:t>5</w:t>
            </w:r>
            <w:r w:rsidR="00502077" w:rsidRPr="0089224B">
              <w:rPr>
                <w:szCs w:val="24"/>
              </w:rPr>
              <w:t>%</w:t>
            </w:r>
            <w:r>
              <w:rPr>
                <w:szCs w:val="24"/>
              </w:rPr>
              <w:t>)</w:t>
            </w:r>
            <w:r w:rsidR="00502077" w:rsidRPr="0089224B">
              <w:rPr>
                <w:szCs w:val="24"/>
              </w:rPr>
              <w:t xml:space="preserve"> </w:t>
            </w:r>
          </w:p>
        </w:tc>
      </w:tr>
    </w:tbl>
    <w:p w14:paraId="35B1224D" w14:textId="1376A383" w:rsidR="00A42E5C" w:rsidRPr="00A42E5C" w:rsidRDefault="00A42E5C" w:rsidP="00A42E5C">
      <w:pPr>
        <w:spacing w:before="120" w:line="259" w:lineRule="auto"/>
        <w:rPr>
          <w:i/>
          <w:iCs/>
        </w:rPr>
      </w:pPr>
      <w:r w:rsidRPr="00A42E5C">
        <w:rPr>
          <w:i/>
          <w:iCs/>
        </w:rPr>
        <w:t>Source: Assessed</w:t>
      </w:r>
      <w:r>
        <w:rPr>
          <w:i/>
          <w:iCs/>
        </w:rPr>
        <w:t xml:space="preserve"> Valuation from California Municipal Statistics, Inc.</w:t>
      </w:r>
      <w:r w:rsidRPr="00A42E5C">
        <w:rPr>
          <w:i/>
          <w:iCs/>
        </w:rPr>
        <w:t>, CDE Calculations</w:t>
      </w:r>
    </w:p>
    <w:p w14:paraId="425219B0" w14:textId="3436CF08" w:rsidR="006D188A" w:rsidRDefault="00BA2AAD" w:rsidP="002A23DC">
      <w:pPr>
        <w:spacing w:before="240" w:line="259" w:lineRule="auto"/>
      </w:pPr>
      <w:r>
        <w:t>As of the 202</w:t>
      </w:r>
      <w:r w:rsidR="00030E81">
        <w:t>1</w:t>
      </w:r>
      <w:r>
        <w:t>–2</w:t>
      </w:r>
      <w:r w:rsidR="00030E81">
        <w:t>2</w:t>
      </w:r>
      <w:r>
        <w:t xml:space="preserve"> Second Principal Apportionment, the amount of local property taxes collected by </w:t>
      </w:r>
      <w:r w:rsidR="00030E81">
        <w:t>Glendale</w:t>
      </w:r>
      <w:r>
        <w:t xml:space="preserve"> USD was $</w:t>
      </w:r>
      <w:r w:rsidR="00030E81">
        <w:t>153,510,724</w:t>
      </w:r>
      <w:r>
        <w:t xml:space="preserve">, which is </w:t>
      </w:r>
      <w:r w:rsidR="00030E81">
        <w:t>38.3</w:t>
      </w:r>
      <w:r w:rsidR="00E72A73">
        <w:t xml:space="preserve"> </w:t>
      </w:r>
      <w:r>
        <w:t xml:space="preserve">percent of its LCFF entitlement. </w:t>
      </w:r>
      <w:r w:rsidR="00904754">
        <w:t xml:space="preserve">According to </w:t>
      </w:r>
      <w:r w:rsidR="00ED3EB8">
        <w:t>a</w:t>
      </w:r>
      <w:r w:rsidR="007325F9" w:rsidRPr="00904754">
        <w:t xml:space="preserve"> </w:t>
      </w:r>
      <w:r w:rsidR="00904754" w:rsidRPr="00904754">
        <w:t xml:space="preserve">report </w:t>
      </w:r>
      <w:r w:rsidR="00ED3EB8">
        <w:t>presented to</w:t>
      </w:r>
      <w:r w:rsidR="00904754" w:rsidRPr="00904754">
        <w:t xml:space="preserve"> the County Committee</w:t>
      </w:r>
      <w:r w:rsidR="00904754">
        <w:t>, the California Municipal Statistics, Inc. estimated the</w:t>
      </w:r>
      <w:r w:rsidRPr="00904754">
        <w:t xml:space="preserve"> </w:t>
      </w:r>
      <w:r w:rsidR="00D26376" w:rsidRPr="00904754">
        <w:t>territory</w:t>
      </w:r>
      <w:r w:rsidR="0008330D" w:rsidRPr="00904754">
        <w:t xml:space="preserve"> proposed for transfer</w:t>
      </w:r>
      <w:r w:rsidR="00D26376" w:rsidRPr="00904754">
        <w:t xml:space="preserve"> represent</w:t>
      </w:r>
      <w:r w:rsidR="007325F9" w:rsidRPr="00904754">
        <w:t>ed</w:t>
      </w:r>
      <w:r w:rsidRPr="00904754">
        <w:t xml:space="preserve"> </w:t>
      </w:r>
      <w:r w:rsidR="00904754" w:rsidRPr="00904754">
        <w:t>1.85</w:t>
      </w:r>
      <w:r w:rsidR="00904754">
        <w:t xml:space="preserve"> </w:t>
      </w:r>
      <w:r w:rsidRPr="00904754">
        <w:t xml:space="preserve">percent </w:t>
      </w:r>
      <w:r w:rsidR="00D26376" w:rsidRPr="00904754">
        <w:t>of</w:t>
      </w:r>
      <w:r w:rsidR="00D17FC9" w:rsidRPr="00904754">
        <w:t xml:space="preserve"> </w:t>
      </w:r>
      <w:r w:rsidR="00D26376" w:rsidRPr="00904754">
        <w:t>the</w:t>
      </w:r>
      <w:r w:rsidR="00D17FC9" w:rsidRPr="00904754">
        <w:t xml:space="preserve"> </w:t>
      </w:r>
      <w:r w:rsidR="00D26376" w:rsidRPr="00904754">
        <w:t xml:space="preserve">assessed valuation of the </w:t>
      </w:r>
      <w:r w:rsidR="0008330D" w:rsidRPr="00904754">
        <w:t>Glendale USD</w:t>
      </w:r>
      <w:r w:rsidR="007325F9" w:rsidRPr="00904754">
        <w:t xml:space="preserve"> as of 20</w:t>
      </w:r>
      <w:r w:rsidR="00904754" w:rsidRPr="00904754">
        <w:t>18</w:t>
      </w:r>
      <w:r w:rsidR="00D26376" w:rsidRPr="00904754">
        <w:t>.</w:t>
      </w:r>
      <w:r w:rsidR="00D26376">
        <w:t xml:space="preserve"> </w:t>
      </w:r>
      <w:r>
        <w:t xml:space="preserve">Therefore, </w:t>
      </w:r>
      <w:r w:rsidR="007325F9">
        <w:t xml:space="preserve">on that basis, </w:t>
      </w:r>
      <w:r>
        <w:t xml:space="preserve">the </w:t>
      </w:r>
      <w:r w:rsidR="00030E81">
        <w:t>Glendale USD</w:t>
      </w:r>
      <w:r>
        <w:t xml:space="preserve"> </w:t>
      </w:r>
      <w:r w:rsidR="009B7C9C">
        <w:t xml:space="preserve">would be expected to </w:t>
      </w:r>
      <w:r w:rsidR="007325F9">
        <w:t>receive</w:t>
      </w:r>
      <w:r w:rsidR="009B7C9C">
        <w:t xml:space="preserve"> </w:t>
      </w:r>
      <w:r w:rsidR="00904754">
        <w:t>1.85</w:t>
      </w:r>
      <w:r w:rsidR="009B7C9C">
        <w:t xml:space="preserve"> percent </w:t>
      </w:r>
      <w:r w:rsidR="00030E81">
        <w:t xml:space="preserve">less </w:t>
      </w:r>
      <w:r w:rsidR="009B7C9C">
        <w:t>property taxes</w:t>
      </w:r>
      <w:r w:rsidR="007325F9">
        <w:t xml:space="preserve"> </w:t>
      </w:r>
      <w:r w:rsidR="00030E81">
        <w:t>if the territory transfer were to occur</w:t>
      </w:r>
      <w:r w:rsidR="00ED528B">
        <w:t xml:space="preserve">. </w:t>
      </w:r>
      <w:r w:rsidR="00030E81">
        <w:t xml:space="preserve">Both the Glendale USD </w:t>
      </w:r>
      <w:r w:rsidR="00904754">
        <w:t>and</w:t>
      </w:r>
      <w:r w:rsidR="00030E81">
        <w:t xml:space="preserve"> the La Ca</w:t>
      </w:r>
      <w:r w:rsidR="00030E81">
        <w:rPr>
          <w:rFonts w:cs="Arial"/>
        </w:rPr>
        <w:t>ñ</w:t>
      </w:r>
      <w:r w:rsidR="00030E81">
        <w:t>ada USD are</w:t>
      </w:r>
      <w:r w:rsidR="00ED528B">
        <w:t xml:space="preserve"> state aid funded</w:t>
      </w:r>
      <w:r w:rsidR="0094793E">
        <w:t xml:space="preserve"> district</w:t>
      </w:r>
      <w:r w:rsidR="00904754">
        <w:t>s</w:t>
      </w:r>
      <w:r w:rsidR="0094793E">
        <w:t xml:space="preserve"> currently. </w:t>
      </w:r>
      <w:r w:rsidR="00030E81">
        <w:t>Neither district</w:t>
      </w:r>
      <w:r w:rsidR="0094793E">
        <w:t xml:space="preserve"> would become basic aid </w:t>
      </w:r>
      <w:r w:rsidR="00776361">
        <w:t>because of</w:t>
      </w:r>
      <w:r w:rsidR="0094793E">
        <w:t xml:space="preserve"> the reorganization.</w:t>
      </w:r>
      <w:r w:rsidR="00750918">
        <w:rPr>
          <w:rStyle w:val="FootnoteReference"/>
        </w:rPr>
        <w:footnoteReference w:id="6"/>
      </w:r>
      <w:r w:rsidR="00654AE7">
        <w:t xml:space="preserve"> </w:t>
      </w:r>
      <w:r w:rsidR="00C41D4C">
        <w:t xml:space="preserve"> Total revenue for non-basic aid districts is unaffected by gains or loss</w:t>
      </w:r>
      <w:r w:rsidR="00CD34D3">
        <w:t>es</w:t>
      </w:r>
      <w:r w:rsidR="00C41D4C">
        <w:t xml:space="preserve"> in property </w:t>
      </w:r>
      <w:r w:rsidR="00F928C7">
        <w:t>taxes because</w:t>
      </w:r>
      <w:r w:rsidR="00C41D4C">
        <w:t xml:space="preserve"> </w:t>
      </w:r>
      <w:r w:rsidR="00502077">
        <w:t>local property taxes</w:t>
      </w:r>
      <w:r w:rsidR="00C41D4C">
        <w:t xml:space="preserve"> are an offset to state aid.  </w:t>
      </w:r>
      <w:r w:rsidR="00513EF5">
        <w:t>Table 4 shows that after accounting for the estimated 1.85 percent loss in property taxes and the 0.84 percent decline in total funding resulting from the loss of students, state aid overall would decrease for Glendale by an estimated 0.23</w:t>
      </w:r>
      <w:r w:rsidR="00F928C7">
        <w:t xml:space="preserve"> percent.</w:t>
      </w:r>
    </w:p>
    <w:p w14:paraId="6044B04E" w14:textId="70A3B705" w:rsidR="00C010C4" w:rsidRDefault="00DB2843" w:rsidP="00776361">
      <w:pPr>
        <w:spacing w:before="120" w:line="259" w:lineRule="auto"/>
      </w:pPr>
      <w:r>
        <w:lastRenderedPageBreak/>
        <w:t>If the La Ca</w:t>
      </w:r>
      <w:r>
        <w:rPr>
          <w:rFonts w:cs="Arial"/>
        </w:rPr>
        <w:t>ñ</w:t>
      </w:r>
      <w:r>
        <w:t xml:space="preserve">ada USD does not have sufficient capacity at its existing schools to serve Sagebrush Area students and the district applies for state funding through the School Facilities Program, the state would incur additional costs. However, recent information </w:t>
      </w:r>
      <w:r w:rsidR="00673D19">
        <w:t xml:space="preserve">provided to CDE in the Administrative Record </w:t>
      </w:r>
      <w:r>
        <w:t xml:space="preserve">suggests that the district </w:t>
      </w:r>
      <w:r w:rsidR="00D464DF">
        <w:t xml:space="preserve">has completed school construction projects since </w:t>
      </w:r>
      <w:r w:rsidR="00D464DF" w:rsidRPr="00EB3E38">
        <w:t xml:space="preserve">the original analysis occurred and </w:t>
      </w:r>
      <w:r w:rsidR="00CB5D1C" w:rsidRPr="00EB3E38">
        <w:t>is</w:t>
      </w:r>
      <w:r w:rsidR="00D464DF" w:rsidRPr="00EB3E38">
        <w:t xml:space="preserve"> now</w:t>
      </w:r>
      <w:r w:rsidRPr="00EB3E38">
        <w:t xml:space="preserve"> </w:t>
      </w:r>
      <w:r w:rsidR="00CB5D1C" w:rsidRPr="00EB3E38">
        <w:t xml:space="preserve">likely able to </w:t>
      </w:r>
      <w:r w:rsidRPr="00EB3E38">
        <w:t>serve the additional pupils</w:t>
      </w:r>
      <w:r w:rsidR="00D464DF" w:rsidRPr="00EB3E38">
        <w:t xml:space="preserve"> within its existing</w:t>
      </w:r>
      <w:r w:rsidR="00D464DF">
        <w:t xml:space="preserve"> capacity</w:t>
      </w:r>
      <w:r>
        <w:t>. As</w:t>
      </w:r>
      <w:r w:rsidR="00776361">
        <w:t xml:space="preserve"> noted in the introduction, </w:t>
      </w:r>
      <w:r w:rsidR="00776361" w:rsidRPr="00654AE7">
        <w:t xml:space="preserve">the </w:t>
      </w:r>
      <w:r w:rsidR="00776361">
        <w:t xml:space="preserve">evaluation of </w:t>
      </w:r>
      <w:r w:rsidR="00776361" w:rsidRPr="00654AE7">
        <w:t>student capacity is outside the scope of this analysis and will be addressed in the facility analysis.</w:t>
      </w:r>
      <w:r w:rsidR="00776361">
        <w:t xml:space="preserve"> </w:t>
      </w:r>
    </w:p>
    <w:p w14:paraId="127C9366" w14:textId="60E9540C" w:rsidR="00BA2AAD" w:rsidRDefault="00C010C4" w:rsidP="00776361">
      <w:pPr>
        <w:spacing w:before="120" w:line="259" w:lineRule="auto"/>
      </w:pPr>
      <w:r>
        <w:t xml:space="preserve">Based on the data </w:t>
      </w:r>
      <w:r w:rsidR="00726EF7">
        <w:t xml:space="preserve">and analysis noted above </w:t>
      </w:r>
      <w:r>
        <w:t>and a</w:t>
      </w:r>
      <w:r w:rsidR="00DB2843">
        <w:t xml:space="preserve">ssuming </w:t>
      </w:r>
      <w:r w:rsidR="00776361">
        <w:t>La Ca</w:t>
      </w:r>
      <w:r w:rsidR="00776361">
        <w:rPr>
          <w:rFonts w:cs="Arial"/>
        </w:rPr>
        <w:t>ñ</w:t>
      </w:r>
      <w:r w:rsidR="00776361">
        <w:t>ada</w:t>
      </w:r>
      <w:r w:rsidR="00F0071A">
        <w:t xml:space="preserve"> USD</w:t>
      </w:r>
      <w:r w:rsidR="00776361">
        <w:t xml:space="preserve"> has sufficient capacity to serve the Sagebrush Area students, </w:t>
      </w:r>
      <w:r w:rsidR="0069147A">
        <w:t>CDE finds that t</w:t>
      </w:r>
      <w:r w:rsidR="006E0151">
        <w:t xml:space="preserve">he </w:t>
      </w:r>
      <w:r w:rsidR="0069147A">
        <w:t>reorganization</w:t>
      </w:r>
      <w:r w:rsidR="00352E7F">
        <w:t xml:space="preserve"> would</w:t>
      </w:r>
      <w:r w:rsidR="00BA2AAD">
        <w:t xml:space="preserve"> </w:t>
      </w:r>
      <w:r w:rsidR="006E0151">
        <w:t xml:space="preserve">not result in </w:t>
      </w:r>
      <w:r w:rsidR="00F0071A">
        <w:t xml:space="preserve">significant </w:t>
      </w:r>
      <w:r w:rsidR="006E0151">
        <w:t>increased costs to the state</w:t>
      </w:r>
      <w:r w:rsidR="0094793E">
        <w:t>.</w:t>
      </w:r>
    </w:p>
    <w:p w14:paraId="2CD635F9" w14:textId="1AD5D42F" w:rsidR="00C30B51" w:rsidRPr="00C30B51" w:rsidRDefault="00C30B51" w:rsidP="002A23DC">
      <w:pPr>
        <w:pStyle w:val="Heading3"/>
        <w:spacing w:line="259" w:lineRule="auto"/>
      </w:pPr>
      <w:r w:rsidRPr="00C30B51">
        <w:t xml:space="preserve">Criterion </w:t>
      </w:r>
      <w:r w:rsidR="00C45855">
        <w:t>9</w:t>
      </w:r>
      <w:r w:rsidR="00C51BA3">
        <w:t>.</w:t>
      </w:r>
      <w:r w:rsidRPr="00C30B51">
        <w:t xml:space="preserve"> The proposed reorganization must not cause a substantial negative effect on the fiscal management or fiscal status of the proposed </w:t>
      </w:r>
      <w:r w:rsidR="00A42E5C" w:rsidRPr="00C30B51">
        <w:t>district,</w:t>
      </w:r>
      <w:r w:rsidRPr="00C30B51">
        <w:t xml:space="preserve"> or any existing district affected by the proposed reorganization</w:t>
      </w:r>
      <w:r w:rsidR="003E0C5F">
        <w:t>.</w:t>
      </w:r>
    </w:p>
    <w:p w14:paraId="004E6A73" w14:textId="74A4402E" w:rsidR="00D469A8" w:rsidRDefault="00D469A8" w:rsidP="00D469A8">
      <w:pPr>
        <w:spacing w:line="259" w:lineRule="auto"/>
      </w:pPr>
      <w:bookmarkStart w:id="0" w:name="_Hlk103086142"/>
      <w:r>
        <w:t>Glendale</w:t>
      </w:r>
      <w:r w:rsidRPr="00C30B51">
        <w:t xml:space="preserve"> USD </w:t>
      </w:r>
      <w:r>
        <w:t xml:space="preserve">reports that it served </w:t>
      </w:r>
      <w:r w:rsidR="00026428">
        <w:t xml:space="preserve">228 </w:t>
      </w:r>
      <w:r>
        <w:t xml:space="preserve">students from the Sagebrush Area in </w:t>
      </w:r>
      <w:r w:rsidR="00026428" w:rsidRPr="001B5335">
        <w:t xml:space="preserve">2020–21 </w:t>
      </w:r>
      <w:r w:rsidR="00026428">
        <w:t xml:space="preserve">and 210 students from that area in </w:t>
      </w:r>
      <w:r>
        <w:t>2021–22. If those students became residents of the La Ca</w:t>
      </w:r>
      <w:r>
        <w:rPr>
          <w:rFonts w:cs="Arial"/>
        </w:rPr>
        <w:t>ñ</w:t>
      </w:r>
      <w:r>
        <w:t xml:space="preserve">ada USD </w:t>
      </w:r>
      <w:r w:rsidR="00ED00CE">
        <w:t>because of</w:t>
      </w:r>
      <w:r>
        <w:t xml:space="preserve"> the reorganization, Glendale USD would have </w:t>
      </w:r>
      <w:r w:rsidR="00026428">
        <w:t xml:space="preserve">had </w:t>
      </w:r>
      <w:r>
        <w:t>24,</w:t>
      </w:r>
      <w:r w:rsidR="003363A9">
        <w:t>0</w:t>
      </w:r>
      <w:r w:rsidR="00ED00CE">
        <w:t>28</w:t>
      </w:r>
      <w:r w:rsidRPr="00C30B51">
        <w:t xml:space="preserve"> pupils </w:t>
      </w:r>
      <w:r>
        <w:t>enrolled</w:t>
      </w:r>
      <w:r w:rsidR="00ED00CE">
        <w:t xml:space="preserve"> in 2021–22 instead of 24,</w:t>
      </w:r>
      <w:r w:rsidR="003363A9">
        <w:t>2</w:t>
      </w:r>
      <w:r w:rsidR="00ED00CE">
        <w:t>38</w:t>
      </w:r>
      <w:r w:rsidR="0031422A">
        <w:t>,</w:t>
      </w:r>
      <w:r>
        <w:t xml:space="preserve"> while the La Ca</w:t>
      </w:r>
      <w:r>
        <w:rPr>
          <w:rFonts w:cs="Arial"/>
        </w:rPr>
        <w:t>ñ</w:t>
      </w:r>
      <w:r>
        <w:t>ada</w:t>
      </w:r>
      <w:r w:rsidRPr="00C30B51">
        <w:t xml:space="preserve"> USD </w:t>
      </w:r>
      <w:r>
        <w:t xml:space="preserve">would have had </w:t>
      </w:r>
      <w:r w:rsidR="001F5538">
        <w:t>4,119</w:t>
      </w:r>
      <w:r w:rsidR="00D71B90">
        <w:t xml:space="preserve"> </w:t>
      </w:r>
      <w:r>
        <w:t>students</w:t>
      </w:r>
      <w:r w:rsidR="00ED00CE">
        <w:t xml:space="preserve"> instead of 3,909</w:t>
      </w:r>
      <w:r w:rsidR="00026428">
        <w:t>.</w:t>
      </w:r>
    </w:p>
    <w:p w14:paraId="6E090F49" w14:textId="092D6BD0" w:rsidR="00BD3EA2" w:rsidRPr="0031422A" w:rsidRDefault="00BD3EA2" w:rsidP="0031422A">
      <w:pPr>
        <w:spacing w:after="120" w:line="259" w:lineRule="auto"/>
        <w:rPr>
          <w:b/>
          <w:bCs/>
        </w:rPr>
      </w:pPr>
      <w:r w:rsidRPr="0031422A">
        <w:rPr>
          <w:b/>
          <w:bCs/>
        </w:rPr>
        <w:t xml:space="preserve">Table </w:t>
      </w:r>
      <w:r w:rsidR="00BD381B" w:rsidRPr="0031422A">
        <w:rPr>
          <w:b/>
          <w:bCs/>
        </w:rPr>
        <w:t>5</w:t>
      </w:r>
      <w:r w:rsidRPr="0031422A">
        <w:rPr>
          <w:b/>
          <w:bCs/>
        </w:rPr>
        <w:t xml:space="preserve">. Enrollment </w:t>
      </w:r>
      <w:r w:rsidR="00BD381B" w:rsidRPr="0031422A">
        <w:rPr>
          <w:b/>
          <w:bCs/>
        </w:rPr>
        <w:t xml:space="preserve">of Affected Districts </w:t>
      </w:r>
      <w:r w:rsidRPr="0031422A">
        <w:rPr>
          <w:b/>
          <w:bCs/>
        </w:rPr>
        <w:t>Before and After Reorganization</w:t>
      </w:r>
    </w:p>
    <w:tbl>
      <w:tblPr>
        <w:tblStyle w:val="TableGrid"/>
        <w:tblW w:w="9445" w:type="dxa"/>
        <w:tblLayout w:type="fixed"/>
        <w:tblCellMar>
          <w:top w:w="115" w:type="dxa"/>
          <w:bottom w:w="115" w:type="dxa"/>
        </w:tblCellMar>
        <w:tblLook w:val="04A0" w:firstRow="1" w:lastRow="0" w:firstColumn="1" w:lastColumn="0" w:noHBand="0" w:noVBand="1"/>
        <w:tblCaption w:val="Enrollment of Affected Districts Before and After Reorganization"/>
        <w:tblDescription w:val="This table shows enrollment for Glendale and La Canada USDs for FY 2020-21 and FY 2021-22, currently and after reorganization."/>
      </w:tblPr>
      <w:tblGrid>
        <w:gridCol w:w="3438"/>
        <w:gridCol w:w="2328"/>
        <w:gridCol w:w="2329"/>
        <w:gridCol w:w="1350"/>
      </w:tblGrid>
      <w:tr w:rsidR="00C75977" w:rsidRPr="00BD3EA2" w14:paraId="1CB7D5E3" w14:textId="0798ABF7" w:rsidTr="66476713">
        <w:tc>
          <w:tcPr>
            <w:tcW w:w="3438" w:type="dxa"/>
            <w:shd w:val="clear" w:color="auto" w:fill="D9D9D9" w:themeFill="background1" w:themeFillShade="D9"/>
            <w:vAlign w:val="center"/>
          </w:tcPr>
          <w:p w14:paraId="3E1A3FB4" w14:textId="5148B59B" w:rsidR="00BD3EA2" w:rsidRPr="005E6D63" w:rsidRDefault="00BD3EA2" w:rsidP="00BD3EA2">
            <w:pPr>
              <w:spacing w:line="259" w:lineRule="auto"/>
              <w:contextualSpacing/>
              <w:jc w:val="center"/>
              <w:rPr>
                <w:b/>
                <w:bCs/>
              </w:rPr>
            </w:pPr>
            <w:r w:rsidRPr="005E6D63">
              <w:rPr>
                <w:b/>
                <w:bCs/>
              </w:rPr>
              <w:t>School District</w:t>
            </w:r>
          </w:p>
        </w:tc>
        <w:tc>
          <w:tcPr>
            <w:tcW w:w="2328" w:type="dxa"/>
            <w:shd w:val="clear" w:color="auto" w:fill="D9D9D9" w:themeFill="background1" w:themeFillShade="D9"/>
            <w:vAlign w:val="center"/>
          </w:tcPr>
          <w:p w14:paraId="100AB3EA" w14:textId="0A333DCB" w:rsidR="00BD3EA2" w:rsidRPr="005E6D63" w:rsidRDefault="00BD3EA2" w:rsidP="00BD3EA2">
            <w:pPr>
              <w:spacing w:line="259" w:lineRule="auto"/>
              <w:contextualSpacing/>
              <w:jc w:val="center"/>
              <w:rPr>
                <w:b/>
                <w:bCs/>
              </w:rPr>
            </w:pPr>
            <w:r w:rsidRPr="005E6D63">
              <w:rPr>
                <w:b/>
                <w:bCs/>
              </w:rPr>
              <w:t>Enrollment Before Reorganization</w:t>
            </w:r>
          </w:p>
        </w:tc>
        <w:tc>
          <w:tcPr>
            <w:tcW w:w="2329" w:type="dxa"/>
            <w:shd w:val="clear" w:color="auto" w:fill="D9D9D9" w:themeFill="background1" w:themeFillShade="D9"/>
            <w:vAlign w:val="center"/>
          </w:tcPr>
          <w:p w14:paraId="05A4C21F" w14:textId="14786E82" w:rsidR="00BD3EA2" w:rsidRPr="005E6D63" w:rsidRDefault="00BD3EA2" w:rsidP="00BD3EA2">
            <w:pPr>
              <w:spacing w:line="259" w:lineRule="auto"/>
              <w:contextualSpacing/>
              <w:jc w:val="center"/>
              <w:rPr>
                <w:b/>
                <w:bCs/>
              </w:rPr>
            </w:pPr>
            <w:r w:rsidRPr="005E6D63">
              <w:rPr>
                <w:b/>
                <w:bCs/>
              </w:rPr>
              <w:t>Enrollment After Reorganization</w:t>
            </w:r>
          </w:p>
        </w:tc>
        <w:tc>
          <w:tcPr>
            <w:tcW w:w="1350" w:type="dxa"/>
            <w:shd w:val="clear" w:color="auto" w:fill="D9D9D9" w:themeFill="background1" w:themeFillShade="D9"/>
          </w:tcPr>
          <w:p w14:paraId="0709CB58" w14:textId="2C41CC1E" w:rsidR="00BD3EA2" w:rsidRPr="005E6D63" w:rsidRDefault="00BD3EA2" w:rsidP="00BD3EA2">
            <w:pPr>
              <w:spacing w:line="259" w:lineRule="auto"/>
              <w:contextualSpacing/>
              <w:jc w:val="center"/>
              <w:rPr>
                <w:b/>
                <w:bCs/>
              </w:rPr>
            </w:pPr>
            <w:r w:rsidRPr="005E6D63">
              <w:rPr>
                <w:b/>
                <w:bCs/>
              </w:rPr>
              <w:t>Percent Change</w:t>
            </w:r>
          </w:p>
        </w:tc>
      </w:tr>
      <w:tr w:rsidR="00D50A22" w:rsidRPr="00D50A22" w14:paraId="2D133322" w14:textId="77777777" w:rsidTr="66476713">
        <w:trPr>
          <w:trHeight w:val="208"/>
        </w:trPr>
        <w:tc>
          <w:tcPr>
            <w:tcW w:w="3438" w:type="dxa"/>
            <w:vAlign w:val="center"/>
          </w:tcPr>
          <w:p w14:paraId="2C31F6F8" w14:textId="075E67A0" w:rsidR="00D75998" w:rsidRPr="00BD3EA2" w:rsidRDefault="00D75998" w:rsidP="00C20BE0">
            <w:pPr>
              <w:spacing w:line="259" w:lineRule="auto"/>
              <w:contextualSpacing/>
            </w:pPr>
            <w:r w:rsidRPr="00BD3EA2">
              <w:t>Glendale USD</w:t>
            </w:r>
            <w:r>
              <w:t>, FY 2020</w:t>
            </w:r>
            <w:r w:rsidR="00ED00CE">
              <w:t>–</w:t>
            </w:r>
            <w:r>
              <w:t>2</w:t>
            </w:r>
            <w:r w:rsidR="00D71B90">
              <w:t>1</w:t>
            </w:r>
          </w:p>
        </w:tc>
        <w:tc>
          <w:tcPr>
            <w:tcW w:w="2328" w:type="dxa"/>
            <w:vAlign w:val="center"/>
          </w:tcPr>
          <w:p w14:paraId="13DC5E30" w14:textId="688CECD2" w:rsidR="00D75998" w:rsidRPr="00D74056" w:rsidRDefault="00C20BE0" w:rsidP="00C20BE0">
            <w:pPr>
              <w:spacing w:line="259" w:lineRule="auto"/>
              <w:contextualSpacing/>
              <w:jc w:val="right"/>
            </w:pPr>
            <w:r w:rsidRPr="00C20BE0">
              <w:t>24,960</w:t>
            </w:r>
          </w:p>
        </w:tc>
        <w:tc>
          <w:tcPr>
            <w:tcW w:w="2329" w:type="dxa"/>
            <w:vAlign w:val="center"/>
          </w:tcPr>
          <w:p w14:paraId="081625F7" w14:textId="4D5FE8B1" w:rsidR="00D75998" w:rsidRPr="00D50A22" w:rsidRDefault="00C20BE0" w:rsidP="00D50A22">
            <w:pPr>
              <w:spacing w:after="0" w:line="259" w:lineRule="auto"/>
              <w:jc w:val="right"/>
            </w:pPr>
            <w:r w:rsidRPr="00D50A22">
              <w:t>24,732</w:t>
            </w:r>
          </w:p>
        </w:tc>
        <w:tc>
          <w:tcPr>
            <w:tcW w:w="1350" w:type="dxa"/>
            <w:vAlign w:val="center"/>
          </w:tcPr>
          <w:p w14:paraId="54BB35FE" w14:textId="64308463" w:rsidR="00D75998" w:rsidRPr="00D50A22" w:rsidRDefault="004662C2" w:rsidP="00D50A22">
            <w:pPr>
              <w:spacing w:after="0"/>
              <w:jc w:val="right"/>
            </w:pPr>
            <w:r>
              <w:t>(</w:t>
            </w:r>
            <w:r w:rsidR="00C20BE0" w:rsidRPr="00D50A22">
              <w:t>0.91%</w:t>
            </w:r>
            <w:r>
              <w:t>)</w:t>
            </w:r>
          </w:p>
        </w:tc>
      </w:tr>
      <w:tr w:rsidR="00ED00CE" w:rsidRPr="00BD3EA2" w14:paraId="318B4DDF" w14:textId="77777777" w:rsidTr="66476713">
        <w:tc>
          <w:tcPr>
            <w:tcW w:w="3438" w:type="dxa"/>
            <w:vAlign w:val="center"/>
          </w:tcPr>
          <w:p w14:paraId="25A1455F" w14:textId="79934A38" w:rsidR="00ED00CE" w:rsidRPr="00BD3EA2" w:rsidRDefault="00ED00CE" w:rsidP="00452BE0">
            <w:pPr>
              <w:spacing w:line="259" w:lineRule="auto"/>
              <w:contextualSpacing/>
            </w:pPr>
            <w:r w:rsidRPr="00BD3EA2">
              <w:t>Glendale USD</w:t>
            </w:r>
            <w:r>
              <w:t>, FY 2021–22</w:t>
            </w:r>
          </w:p>
        </w:tc>
        <w:tc>
          <w:tcPr>
            <w:tcW w:w="2328" w:type="dxa"/>
          </w:tcPr>
          <w:p w14:paraId="36EF14B2" w14:textId="4E3DC71B" w:rsidR="00ED00CE" w:rsidRPr="00D74056" w:rsidRDefault="00ED00CE" w:rsidP="00452BE0">
            <w:pPr>
              <w:spacing w:line="259" w:lineRule="auto"/>
              <w:contextualSpacing/>
              <w:jc w:val="right"/>
            </w:pPr>
            <w:r w:rsidRPr="00D74056">
              <w:t>24,</w:t>
            </w:r>
            <w:r w:rsidR="003363A9">
              <w:t>2</w:t>
            </w:r>
            <w:r w:rsidRPr="00D74056">
              <w:t>38</w:t>
            </w:r>
          </w:p>
        </w:tc>
        <w:tc>
          <w:tcPr>
            <w:tcW w:w="2329" w:type="dxa"/>
          </w:tcPr>
          <w:p w14:paraId="0CF9B993" w14:textId="78E93CFC" w:rsidR="00ED00CE" w:rsidRPr="00D74056" w:rsidRDefault="00ED00CE" w:rsidP="00452BE0">
            <w:pPr>
              <w:spacing w:line="259" w:lineRule="auto"/>
              <w:contextualSpacing/>
              <w:jc w:val="right"/>
            </w:pPr>
            <w:r w:rsidRPr="00D74056">
              <w:t>24,</w:t>
            </w:r>
            <w:r w:rsidR="003363A9">
              <w:t>0</w:t>
            </w:r>
            <w:r w:rsidRPr="00D74056">
              <w:t>28</w:t>
            </w:r>
          </w:p>
        </w:tc>
        <w:tc>
          <w:tcPr>
            <w:tcW w:w="1350" w:type="dxa"/>
          </w:tcPr>
          <w:p w14:paraId="6350E5C3" w14:textId="702526CA" w:rsidR="00ED00CE" w:rsidRPr="00BD3EA2" w:rsidRDefault="004662C2" w:rsidP="00452BE0">
            <w:pPr>
              <w:spacing w:line="259" w:lineRule="auto"/>
              <w:contextualSpacing/>
              <w:jc w:val="right"/>
            </w:pPr>
            <w:r>
              <w:t>(</w:t>
            </w:r>
            <w:r w:rsidR="00ED00CE">
              <w:t>0.8</w:t>
            </w:r>
            <w:r w:rsidR="003363A9">
              <w:t>7</w:t>
            </w:r>
            <w:r w:rsidR="00ED00CE">
              <w:t>%</w:t>
            </w:r>
            <w:r>
              <w:t>)</w:t>
            </w:r>
          </w:p>
        </w:tc>
      </w:tr>
      <w:tr w:rsidR="00D50A22" w:rsidRPr="00BD3EA2" w14:paraId="193821FE" w14:textId="77777777" w:rsidTr="66476713">
        <w:tc>
          <w:tcPr>
            <w:tcW w:w="3438" w:type="dxa"/>
            <w:vAlign w:val="center"/>
          </w:tcPr>
          <w:p w14:paraId="549D5B5E" w14:textId="2594F05E" w:rsidR="00D75998" w:rsidRPr="00BD3EA2" w:rsidRDefault="00D75998" w:rsidP="00C20BE0">
            <w:pPr>
              <w:spacing w:line="259" w:lineRule="auto"/>
              <w:contextualSpacing/>
            </w:pPr>
            <w:r w:rsidRPr="00BD3EA2">
              <w:t>La Ca</w:t>
            </w:r>
            <w:r w:rsidRPr="00BD3EA2">
              <w:rPr>
                <w:rFonts w:cs="Arial"/>
              </w:rPr>
              <w:t>ñ</w:t>
            </w:r>
            <w:r w:rsidRPr="00BD3EA2">
              <w:t>ada USD</w:t>
            </w:r>
            <w:r>
              <w:t xml:space="preserve">, </w:t>
            </w:r>
            <w:r w:rsidR="00ED00CE">
              <w:t>FY 2020–21</w:t>
            </w:r>
          </w:p>
        </w:tc>
        <w:tc>
          <w:tcPr>
            <w:tcW w:w="2328" w:type="dxa"/>
            <w:vAlign w:val="center"/>
          </w:tcPr>
          <w:p w14:paraId="33C711F2" w14:textId="1E6DC4BC" w:rsidR="00D75998" w:rsidRPr="00BD3EA2" w:rsidRDefault="001F5538" w:rsidP="00C20BE0">
            <w:pPr>
              <w:spacing w:line="259" w:lineRule="auto"/>
              <w:contextualSpacing/>
              <w:jc w:val="right"/>
            </w:pPr>
            <w:r>
              <w:t>3,981</w:t>
            </w:r>
          </w:p>
        </w:tc>
        <w:tc>
          <w:tcPr>
            <w:tcW w:w="2329" w:type="dxa"/>
            <w:vAlign w:val="center"/>
          </w:tcPr>
          <w:p w14:paraId="770840DC" w14:textId="63BA9F6C" w:rsidR="00D75998" w:rsidRPr="00BD3EA2" w:rsidRDefault="001F5538" w:rsidP="00C20BE0">
            <w:pPr>
              <w:spacing w:line="259" w:lineRule="auto"/>
              <w:contextualSpacing/>
              <w:jc w:val="right"/>
            </w:pPr>
            <w:r>
              <w:t>4,</w:t>
            </w:r>
            <w:r w:rsidR="00C20BE0">
              <w:t>2</w:t>
            </w:r>
            <w:r>
              <w:t>09</w:t>
            </w:r>
          </w:p>
        </w:tc>
        <w:tc>
          <w:tcPr>
            <w:tcW w:w="1350" w:type="dxa"/>
            <w:vAlign w:val="center"/>
          </w:tcPr>
          <w:p w14:paraId="12AD30DC" w14:textId="40717039" w:rsidR="00D75998" w:rsidRPr="00BD3EA2" w:rsidRDefault="001F5538" w:rsidP="00C20BE0">
            <w:pPr>
              <w:spacing w:line="259" w:lineRule="auto"/>
              <w:contextualSpacing/>
              <w:jc w:val="right"/>
            </w:pPr>
            <w:r>
              <w:t>5.73%</w:t>
            </w:r>
          </w:p>
        </w:tc>
      </w:tr>
      <w:tr w:rsidR="00C75977" w:rsidRPr="00BD3EA2" w14:paraId="3D6878CC" w14:textId="542D653C" w:rsidTr="66476713">
        <w:tc>
          <w:tcPr>
            <w:tcW w:w="3438" w:type="dxa"/>
            <w:vAlign w:val="center"/>
          </w:tcPr>
          <w:p w14:paraId="0C89D40D" w14:textId="32F0F3F5" w:rsidR="00BD3EA2" w:rsidRPr="00BD3EA2" w:rsidRDefault="00BD3EA2" w:rsidP="00BD3EA2">
            <w:pPr>
              <w:spacing w:line="259" w:lineRule="auto"/>
              <w:contextualSpacing/>
            </w:pPr>
            <w:r w:rsidRPr="00BD3EA2">
              <w:t>La Ca</w:t>
            </w:r>
            <w:r w:rsidRPr="00BD3EA2">
              <w:rPr>
                <w:rFonts w:cs="Arial"/>
              </w:rPr>
              <w:t>ñ</w:t>
            </w:r>
            <w:r w:rsidRPr="00BD3EA2">
              <w:t>ada USD</w:t>
            </w:r>
            <w:r w:rsidR="00D75998">
              <w:t>, FY 2021-22</w:t>
            </w:r>
          </w:p>
        </w:tc>
        <w:tc>
          <w:tcPr>
            <w:tcW w:w="2328" w:type="dxa"/>
            <w:vAlign w:val="center"/>
          </w:tcPr>
          <w:p w14:paraId="1E98B331" w14:textId="0917081E" w:rsidR="00BD3EA2" w:rsidRPr="00BD3EA2" w:rsidRDefault="00D71B90" w:rsidP="00BD3EA2">
            <w:pPr>
              <w:spacing w:line="259" w:lineRule="auto"/>
              <w:contextualSpacing/>
              <w:jc w:val="right"/>
            </w:pPr>
            <w:r>
              <w:t>3,909</w:t>
            </w:r>
          </w:p>
        </w:tc>
        <w:tc>
          <w:tcPr>
            <w:tcW w:w="2329" w:type="dxa"/>
            <w:vAlign w:val="center"/>
          </w:tcPr>
          <w:p w14:paraId="631F28AE" w14:textId="4129324C" w:rsidR="00BD3EA2" w:rsidRPr="00BD3EA2" w:rsidRDefault="00D74056" w:rsidP="00BD3EA2">
            <w:pPr>
              <w:spacing w:line="259" w:lineRule="auto"/>
              <w:contextualSpacing/>
              <w:jc w:val="right"/>
            </w:pPr>
            <w:r>
              <w:t>4,</w:t>
            </w:r>
            <w:r w:rsidR="00D71B90">
              <w:t>119</w:t>
            </w:r>
          </w:p>
        </w:tc>
        <w:tc>
          <w:tcPr>
            <w:tcW w:w="1350" w:type="dxa"/>
          </w:tcPr>
          <w:p w14:paraId="6C918676" w14:textId="250AC1E4" w:rsidR="00BD3EA2" w:rsidRPr="00BD3EA2" w:rsidRDefault="004F1ACD" w:rsidP="00BD3EA2">
            <w:pPr>
              <w:spacing w:line="259" w:lineRule="auto"/>
              <w:contextualSpacing/>
              <w:jc w:val="right"/>
            </w:pPr>
            <w:r>
              <w:t>5.</w:t>
            </w:r>
            <w:r w:rsidR="00D71B90">
              <w:t>37</w:t>
            </w:r>
            <w:r>
              <w:t>%</w:t>
            </w:r>
          </w:p>
        </w:tc>
      </w:tr>
    </w:tbl>
    <w:p w14:paraId="139BB33E" w14:textId="77777777" w:rsidR="003363A9" w:rsidRPr="003363A9" w:rsidRDefault="003363A9" w:rsidP="003363A9">
      <w:pPr>
        <w:spacing w:before="120" w:line="259" w:lineRule="auto"/>
        <w:rPr>
          <w:i/>
          <w:iCs/>
        </w:rPr>
      </w:pPr>
      <w:r w:rsidRPr="003363A9">
        <w:rPr>
          <w:i/>
          <w:iCs/>
        </w:rPr>
        <w:t>Source: Unduplicated Pupil Percentage Exhibit, Lines A-1 and A-2, Enrollment Data from Glendale USD</w:t>
      </w:r>
    </w:p>
    <w:p w14:paraId="4504F598" w14:textId="0E0BBC72" w:rsidR="00C30B51" w:rsidRPr="001B5335" w:rsidRDefault="00C30B51" w:rsidP="002A23DC">
      <w:pPr>
        <w:spacing w:line="259" w:lineRule="auto"/>
      </w:pPr>
      <w:r w:rsidRPr="001B5335">
        <w:t xml:space="preserve">Based upon </w:t>
      </w:r>
      <w:r w:rsidR="00BF51BF">
        <w:t xml:space="preserve">the districts’ </w:t>
      </w:r>
      <w:r w:rsidRPr="001B5335">
        <w:t xml:space="preserve">calculations of LCFF revenue for </w:t>
      </w:r>
      <w:r w:rsidR="001B5335" w:rsidRPr="001B5335">
        <w:t>2020–21 and 2021–22</w:t>
      </w:r>
      <w:r w:rsidR="008A6060" w:rsidRPr="001B5335">
        <w:t>, and</w:t>
      </w:r>
      <w:r w:rsidRPr="001B5335">
        <w:t xml:space="preserve"> assuming that the </w:t>
      </w:r>
      <w:r w:rsidR="00DF3946">
        <w:t>reorganization</w:t>
      </w:r>
      <w:r w:rsidRPr="001B5335">
        <w:t xml:space="preserve"> had been in </w:t>
      </w:r>
      <w:r w:rsidR="00DF3946">
        <w:t>effect</w:t>
      </w:r>
      <w:r w:rsidR="00DF3946" w:rsidRPr="001B5335">
        <w:t xml:space="preserve"> </w:t>
      </w:r>
      <w:r w:rsidRPr="001B5335">
        <w:t xml:space="preserve">in </w:t>
      </w:r>
      <w:r w:rsidR="001B5335" w:rsidRPr="001B5335">
        <w:t>those years</w:t>
      </w:r>
      <w:r w:rsidRPr="001B5335">
        <w:t xml:space="preserve">, </w:t>
      </w:r>
      <w:r w:rsidR="00DF3946">
        <w:t>CDE</w:t>
      </w:r>
      <w:r w:rsidRPr="001B5335">
        <w:t xml:space="preserve"> developed a hypothetical fiscal scenario. </w:t>
      </w:r>
    </w:p>
    <w:bookmarkEnd w:id="0"/>
    <w:p w14:paraId="03345005" w14:textId="7CD33893" w:rsidR="005A4FE8" w:rsidRPr="001B5335" w:rsidRDefault="00A350EC" w:rsidP="002A23DC">
      <w:pPr>
        <w:spacing w:line="259" w:lineRule="auto"/>
      </w:pPr>
      <w:r w:rsidRPr="001B5335">
        <w:lastRenderedPageBreak/>
        <w:t>The hypothetical fiscal estimates contained in table</w:t>
      </w:r>
      <w:r w:rsidR="00ED7D8E" w:rsidRPr="001B5335">
        <w:t>s</w:t>
      </w:r>
      <w:r w:rsidRPr="001B5335">
        <w:t xml:space="preserve"> </w:t>
      </w:r>
      <w:r w:rsidR="001F5538">
        <w:t>6</w:t>
      </w:r>
      <w:r w:rsidRPr="001B5335">
        <w:t xml:space="preserve"> </w:t>
      </w:r>
      <w:r w:rsidR="00ED7D8E" w:rsidRPr="001B5335">
        <w:t xml:space="preserve">and </w:t>
      </w:r>
      <w:r w:rsidR="001F5538">
        <w:t>7</w:t>
      </w:r>
      <w:r w:rsidR="00ED7D8E" w:rsidRPr="001B5335">
        <w:t xml:space="preserve"> </w:t>
      </w:r>
      <w:r w:rsidRPr="001B5335">
        <w:t xml:space="preserve">include </w:t>
      </w:r>
      <w:r w:rsidR="005A4FE8" w:rsidRPr="001B5335">
        <w:t>the following assumptions:</w:t>
      </w:r>
    </w:p>
    <w:p w14:paraId="08EE9295" w14:textId="6AD3C1E7" w:rsidR="005A4FE8" w:rsidRPr="00732695" w:rsidRDefault="005A4FE8" w:rsidP="002A23DC">
      <w:pPr>
        <w:pStyle w:val="ListParagraph"/>
        <w:numPr>
          <w:ilvl w:val="0"/>
          <w:numId w:val="15"/>
        </w:numPr>
        <w:spacing w:after="240"/>
        <w:ind w:left="720" w:hanging="360"/>
        <w:contextualSpacing w:val="0"/>
      </w:pPr>
      <w:r w:rsidRPr="00732695">
        <w:t xml:space="preserve">Enrollment/ADA declines based </w:t>
      </w:r>
      <w:r w:rsidR="00CA056B">
        <w:t xml:space="preserve">on the districts’ assumptions in their </w:t>
      </w:r>
      <w:r w:rsidR="00732695">
        <w:t>FY 2</w:t>
      </w:r>
      <w:r w:rsidR="00732695" w:rsidRPr="00732695">
        <w:t>021–22</w:t>
      </w:r>
      <w:r w:rsidR="00732695">
        <w:t xml:space="preserve"> </w:t>
      </w:r>
      <w:r w:rsidR="00BF51BF">
        <w:t>fiscal</w:t>
      </w:r>
      <w:r w:rsidR="00732695">
        <w:t xml:space="preserve"> report</w:t>
      </w:r>
      <w:r w:rsidR="003A3AB1">
        <w:t xml:space="preserve">s. </w:t>
      </w:r>
    </w:p>
    <w:p w14:paraId="437A0B8A" w14:textId="43C76CDD" w:rsidR="005A4FE8" w:rsidRPr="00732695" w:rsidRDefault="005A4FE8" w:rsidP="002A23DC">
      <w:pPr>
        <w:pStyle w:val="ListParagraph"/>
        <w:numPr>
          <w:ilvl w:val="0"/>
          <w:numId w:val="15"/>
        </w:numPr>
        <w:spacing w:after="240"/>
        <w:ind w:left="720" w:hanging="360"/>
        <w:contextualSpacing w:val="0"/>
      </w:pPr>
      <w:r w:rsidRPr="00732695">
        <w:t>Certificated/Classified staffing levels</w:t>
      </w:r>
      <w:r w:rsidR="0031422A">
        <w:t xml:space="preserve"> </w:t>
      </w:r>
      <w:r w:rsidR="00F76341">
        <w:t>were based on the districts’ assumptions and were not adjusted for the purpose of these calculations</w:t>
      </w:r>
      <w:r w:rsidRPr="00732695">
        <w:t>.</w:t>
      </w:r>
    </w:p>
    <w:p w14:paraId="3C197A73" w14:textId="520C723D" w:rsidR="005A4FE8" w:rsidRPr="00732695" w:rsidRDefault="005A4FE8" w:rsidP="002A23DC">
      <w:pPr>
        <w:pStyle w:val="ListParagraph"/>
        <w:numPr>
          <w:ilvl w:val="0"/>
          <w:numId w:val="15"/>
        </w:numPr>
        <w:spacing w:after="240"/>
        <w:ind w:left="720" w:hanging="360"/>
        <w:contextualSpacing w:val="0"/>
      </w:pPr>
      <w:r w:rsidRPr="00732695">
        <w:t xml:space="preserve">All </w:t>
      </w:r>
      <w:r w:rsidR="00732695">
        <w:t>r</w:t>
      </w:r>
      <w:r w:rsidRPr="00732695">
        <w:t xml:space="preserve">evenues </w:t>
      </w:r>
      <w:r w:rsidR="00732695">
        <w:t xml:space="preserve">for Glendale USD </w:t>
      </w:r>
      <w:r w:rsidRPr="00732695">
        <w:t xml:space="preserve">were pro-rated </w:t>
      </w:r>
      <w:r w:rsidR="00732695">
        <w:t>0.91</w:t>
      </w:r>
      <w:r w:rsidR="00026428">
        <w:t xml:space="preserve"> percent</w:t>
      </w:r>
      <w:r w:rsidR="00732695">
        <w:t xml:space="preserve"> for FY 2020–21 and 0.8</w:t>
      </w:r>
      <w:r w:rsidR="003363A9">
        <w:t>7</w:t>
      </w:r>
      <w:r w:rsidR="00026428">
        <w:t xml:space="preserve"> percent</w:t>
      </w:r>
      <w:r w:rsidR="00732695">
        <w:t xml:space="preserve"> </w:t>
      </w:r>
      <w:r w:rsidR="002010D5">
        <w:t xml:space="preserve">to account </w:t>
      </w:r>
      <w:r w:rsidR="00732695">
        <w:t xml:space="preserve">for FY 2021–22 </w:t>
      </w:r>
      <w:r w:rsidRPr="00732695">
        <w:t xml:space="preserve">enrollment </w:t>
      </w:r>
      <w:r w:rsidR="00732695">
        <w:t xml:space="preserve">data it provided for </w:t>
      </w:r>
      <w:r w:rsidR="00E04397">
        <w:t xml:space="preserve">Sagebrush Area </w:t>
      </w:r>
      <w:r w:rsidR="00732695">
        <w:t>students</w:t>
      </w:r>
      <w:r w:rsidR="002010D5">
        <w:t>.</w:t>
      </w:r>
      <w:r w:rsidR="00732695">
        <w:t xml:space="preserve"> Using the same student enrollment data, the La Ca</w:t>
      </w:r>
      <w:r w:rsidR="00732695">
        <w:rPr>
          <w:rFonts w:cs="Arial"/>
        </w:rPr>
        <w:t>ñ</w:t>
      </w:r>
      <w:r w:rsidR="00732695">
        <w:t xml:space="preserve">ada USD estimated </w:t>
      </w:r>
      <w:r w:rsidR="00E04397">
        <w:t xml:space="preserve">revenues </w:t>
      </w:r>
      <w:r w:rsidR="00732695">
        <w:t xml:space="preserve">for FY 2020–21 and FY 2021–22 </w:t>
      </w:r>
      <w:proofErr w:type="gramStart"/>
      <w:r w:rsidR="00732695">
        <w:t>were</w:t>
      </w:r>
      <w:proofErr w:type="gramEnd"/>
      <w:r w:rsidR="00732695">
        <w:t xml:space="preserve"> adjusted by 5.</w:t>
      </w:r>
      <w:r w:rsidR="00636CFB">
        <w:t xml:space="preserve">73 </w:t>
      </w:r>
      <w:r w:rsidR="00026428">
        <w:t>percent</w:t>
      </w:r>
      <w:r w:rsidR="00732695">
        <w:t xml:space="preserve"> and 5.</w:t>
      </w:r>
      <w:r w:rsidR="00636CFB">
        <w:t xml:space="preserve">37 </w:t>
      </w:r>
      <w:r w:rsidR="00026428">
        <w:t>percent</w:t>
      </w:r>
      <w:r w:rsidR="00732695">
        <w:t>, respectively.</w:t>
      </w:r>
      <w:r w:rsidR="001F5538">
        <w:t xml:space="preserve"> </w:t>
      </w:r>
      <w:r w:rsidR="00D478CE">
        <w:t>(</w:t>
      </w:r>
      <w:r w:rsidR="001F5538">
        <w:t>See table 5</w:t>
      </w:r>
      <w:r w:rsidR="00D478CE">
        <w:t>)</w:t>
      </w:r>
    </w:p>
    <w:p w14:paraId="795E851E" w14:textId="109E57EC" w:rsidR="0094793E" w:rsidRPr="00732695" w:rsidRDefault="0094793E" w:rsidP="002A23DC">
      <w:pPr>
        <w:pStyle w:val="ListParagraph"/>
        <w:numPr>
          <w:ilvl w:val="0"/>
          <w:numId w:val="15"/>
        </w:numPr>
        <w:spacing w:after="240"/>
        <w:ind w:left="720" w:hanging="360"/>
        <w:contextualSpacing w:val="0"/>
      </w:pPr>
      <w:r w:rsidRPr="00732695">
        <w:t xml:space="preserve">The </w:t>
      </w:r>
      <w:r w:rsidR="00732695" w:rsidRPr="00732695">
        <w:t xml:space="preserve">territory to be transferred </w:t>
      </w:r>
      <w:r w:rsidRPr="00732695">
        <w:t xml:space="preserve">represents </w:t>
      </w:r>
      <w:r w:rsidR="00732695" w:rsidRPr="00732695">
        <w:t>1.85</w:t>
      </w:r>
      <w:r w:rsidRPr="00732695">
        <w:t xml:space="preserve"> percent of the assessed valuation of the existing </w:t>
      </w:r>
      <w:r w:rsidR="00732695" w:rsidRPr="00732695">
        <w:t>Glendale USD</w:t>
      </w:r>
      <w:r w:rsidRPr="00732695">
        <w:t xml:space="preserve"> based o</w:t>
      </w:r>
      <w:r w:rsidR="00DF5168" w:rsidRPr="00732695">
        <w:t>n</w:t>
      </w:r>
      <w:r w:rsidR="00732695">
        <w:t xml:space="preserve"> the data from</w:t>
      </w:r>
      <w:r w:rsidR="00732695" w:rsidRPr="00732695">
        <w:t xml:space="preserve"> the California Municipal Statistics, Inc. </w:t>
      </w:r>
      <w:r w:rsidR="00732695">
        <w:t>that was provided to the County Committee.</w:t>
      </w:r>
    </w:p>
    <w:p w14:paraId="5867B2AD" w14:textId="2AEA7381" w:rsidR="005A4FE8" w:rsidRPr="00732695" w:rsidRDefault="005A4FE8" w:rsidP="002A23DC">
      <w:pPr>
        <w:pStyle w:val="ListParagraph"/>
        <w:numPr>
          <w:ilvl w:val="0"/>
          <w:numId w:val="15"/>
        </w:numPr>
        <w:spacing w:after="240"/>
        <w:ind w:left="720" w:hanging="360"/>
        <w:contextualSpacing w:val="0"/>
      </w:pPr>
      <w:r w:rsidRPr="00732695">
        <w:t xml:space="preserve">LCFF </w:t>
      </w:r>
      <w:r w:rsidR="00D478CE">
        <w:t>estimates</w:t>
      </w:r>
      <w:r w:rsidRPr="00732695">
        <w:t xml:space="preserve"> </w:t>
      </w:r>
      <w:r w:rsidR="00CA056B">
        <w:t>were</w:t>
      </w:r>
      <w:r w:rsidRPr="00732695">
        <w:t xml:space="preserve"> calculated assuming </w:t>
      </w:r>
      <w:r w:rsidR="00732695" w:rsidRPr="00732695">
        <w:t>the reorganization had occurred as of FY 202</w:t>
      </w:r>
      <w:r w:rsidR="00BF6773">
        <w:t>0</w:t>
      </w:r>
      <w:r w:rsidR="00732695" w:rsidRPr="00732695">
        <w:t>–2</w:t>
      </w:r>
      <w:r w:rsidR="00BF6773">
        <w:t>1</w:t>
      </w:r>
      <w:r w:rsidRPr="00732695">
        <w:t xml:space="preserve">. </w:t>
      </w:r>
    </w:p>
    <w:p w14:paraId="651217B8" w14:textId="696AC919" w:rsidR="00047571" w:rsidRDefault="00636CFB" w:rsidP="002A23DC">
      <w:pPr>
        <w:spacing w:line="259" w:lineRule="auto"/>
      </w:pPr>
      <w:r>
        <w:t>For purposes of this analysis,</w:t>
      </w:r>
      <w:r w:rsidR="00802DBA" w:rsidRPr="00F33046">
        <w:t xml:space="preserve"> estimated </w:t>
      </w:r>
      <w:r w:rsidR="008F2636">
        <w:t xml:space="preserve">LCFF </w:t>
      </w:r>
      <w:r w:rsidR="00802DBA" w:rsidRPr="00F33046">
        <w:t xml:space="preserve">revenues reported </w:t>
      </w:r>
      <w:r w:rsidR="00802DBA">
        <w:t xml:space="preserve">by </w:t>
      </w:r>
      <w:r w:rsidR="00802DBA" w:rsidRPr="00F33046">
        <w:t xml:space="preserve">the districts </w:t>
      </w:r>
      <w:r w:rsidR="00D97AA9">
        <w:t xml:space="preserve">in their fiscal reports </w:t>
      </w:r>
      <w:r w:rsidR="00802DBA" w:rsidRPr="00F33046">
        <w:t>were adjusted proportionately based on the percentage of Sagebrush Area students enrolled in Glendale USD schools in 2020</w:t>
      </w:r>
      <w:r w:rsidR="003A3AB1">
        <w:t>–</w:t>
      </w:r>
      <w:r w:rsidR="00802DBA" w:rsidRPr="00F33046">
        <w:t>21 and 2021</w:t>
      </w:r>
      <w:r w:rsidR="003A3AB1">
        <w:t>–</w:t>
      </w:r>
      <w:r w:rsidR="00802DBA" w:rsidRPr="00F33046">
        <w:t>22 that would become residents of La Ca</w:t>
      </w:r>
      <w:r w:rsidR="00802DBA" w:rsidRPr="00F33046">
        <w:rPr>
          <w:rFonts w:cs="Arial"/>
        </w:rPr>
        <w:t>ñ</w:t>
      </w:r>
      <w:r w:rsidR="00802DBA" w:rsidRPr="00F33046">
        <w:t>ada USD if the reorganization occurred</w:t>
      </w:r>
      <w:r w:rsidR="00802DBA" w:rsidRPr="00802DBA">
        <w:t xml:space="preserve"> </w:t>
      </w:r>
      <w:r w:rsidR="00417210">
        <w:t xml:space="preserve">(See </w:t>
      </w:r>
      <w:r w:rsidR="00802DBA">
        <w:t>table 5</w:t>
      </w:r>
      <w:r w:rsidR="00417210">
        <w:t>)</w:t>
      </w:r>
      <w:r w:rsidR="00802DBA" w:rsidRPr="00F33046">
        <w:t xml:space="preserve">. </w:t>
      </w:r>
      <w:r w:rsidR="00064A6E">
        <w:t>The estimates are shown in tables 7 and 8.</w:t>
      </w:r>
    </w:p>
    <w:p w14:paraId="2B9D1D79" w14:textId="77777777" w:rsidR="005B4085" w:rsidRPr="00ED7D8E" w:rsidRDefault="005B4085" w:rsidP="005B4085">
      <w:pPr>
        <w:spacing w:before="240" w:line="259" w:lineRule="auto"/>
      </w:pPr>
      <w:r w:rsidRPr="003B715F">
        <w:t>LCFF funding requirements for reorganiz</w:t>
      </w:r>
      <w:r>
        <w:t>ed</w:t>
      </w:r>
      <w:r w:rsidRPr="003B715F">
        <w:t xml:space="preserve"> districts provides that the 2012–13 categorical program entitlements (categorical funding) subsumed into LCFF remain with the Glendale USD rather than be divided between the two districts. Pursuant to </w:t>
      </w:r>
      <w:r w:rsidRPr="003B715F">
        <w:rPr>
          <w:i/>
        </w:rPr>
        <w:t>EC</w:t>
      </w:r>
      <w:r w:rsidRPr="00ED7D8E">
        <w:t xml:space="preserve"> Section 35735.2, the district that loses territory maintains its categorical funding. Districts involved in the reorganization may work out local arrangements related to the categorical funding, but the CDE </w:t>
      </w:r>
      <w:r>
        <w:t>did</w:t>
      </w:r>
      <w:r w:rsidRPr="00ED7D8E">
        <w:t xml:space="preserve"> not make any adjustments for these situations. For the purposes of this analysis, the CDE assumed that no local arrangements to allocate any of the categorical funding to </w:t>
      </w:r>
      <w:r>
        <w:t>La Ca</w:t>
      </w:r>
      <w:r>
        <w:rPr>
          <w:rFonts w:cs="Arial"/>
        </w:rPr>
        <w:t>ñ</w:t>
      </w:r>
      <w:r>
        <w:t xml:space="preserve">ada </w:t>
      </w:r>
      <w:r w:rsidRPr="00ED7D8E">
        <w:t xml:space="preserve">USD will be made. </w:t>
      </w:r>
    </w:p>
    <w:p w14:paraId="5A01329F" w14:textId="55EA3EF6" w:rsidR="00802DBA" w:rsidRDefault="00064A6E" w:rsidP="002A23DC">
      <w:pPr>
        <w:spacing w:line="259" w:lineRule="auto"/>
      </w:pPr>
      <w:r>
        <w:t>According to the CDE estimates, t</w:t>
      </w:r>
      <w:r w:rsidR="009E567B">
        <w:t xml:space="preserve">he </w:t>
      </w:r>
      <w:r w:rsidR="001A65CE">
        <w:t xml:space="preserve">affected </w:t>
      </w:r>
      <w:r w:rsidR="009E567B">
        <w:t xml:space="preserve">ADA </w:t>
      </w:r>
      <w:r w:rsidR="00BF3B72">
        <w:t xml:space="preserve">would </w:t>
      </w:r>
      <w:r w:rsidR="001A65CE">
        <w:t>result in a</w:t>
      </w:r>
      <w:r w:rsidR="00047571">
        <w:t xml:space="preserve"> revenue loss to Glendale USD of approximately</w:t>
      </w:r>
      <w:r w:rsidR="001A65CE">
        <w:t xml:space="preserve"> $2 million</w:t>
      </w:r>
      <w:r w:rsidR="00047571">
        <w:t xml:space="preserve"> for each year examined</w:t>
      </w:r>
      <w:r w:rsidR="001A65CE">
        <w:t xml:space="preserve"> and a $2 million gain for</w:t>
      </w:r>
      <w:r w:rsidR="001A65CE" w:rsidRPr="001A65CE">
        <w:t xml:space="preserve"> </w:t>
      </w:r>
      <w:r w:rsidR="001A65CE">
        <w:t xml:space="preserve">La </w:t>
      </w:r>
      <w:r w:rsidR="001A65CE" w:rsidRPr="00F33046">
        <w:t>Ca</w:t>
      </w:r>
      <w:r w:rsidR="001A65CE" w:rsidRPr="00F33046">
        <w:rPr>
          <w:rFonts w:cs="Arial"/>
        </w:rPr>
        <w:t>ñ</w:t>
      </w:r>
      <w:r w:rsidR="001A65CE" w:rsidRPr="00F33046">
        <w:t>ada</w:t>
      </w:r>
      <w:r w:rsidR="001A65CE">
        <w:t xml:space="preserve"> USD</w:t>
      </w:r>
      <w:r w:rsidR="00047571">
        <w:t xml:space="preserve"> for each of the</w:t>
      </w:r>
      <w:r>
        <w:t xml:space="preserve"> same</w:t>
      </w:r>
      <w:r w:rsidR="00047571">
        <w:t xml:space="preserve"> year</w:t>
      </w:r>
      <w:r>
        <w:t>s</w:t>
      </w:r>
      <w:r w:rsidR="009E567B">
        <w:t>.</w:t>
      </w:r>
      <w:r w:rsidR="00A64DB5">
        <w:t xml:space="preserve"> </w:t>
      </w:r>
      <w:r w:rsidR="00B02E70">
        <w:t xml:space="preserve">It is reasonable to expect that the </w:t>
      </w:r>
      <w:r w:rsidR="001A65CE">
        <w:t>transfer of</w:t>
      </w:r>
      <w:r w:rsidR="00B02E70">
        <w:t xml:space="preserve"> </w:t>
      </w:r>
      <w:r>
        <w:t xml:space="preserve">approximately </w:t>
      </w:r>
      <w:r w:rsidR="00B02E70">
        <w:t xml:space="preserve">200 </w:t>
      </w:r>
      <w:r w:rsidR="001A65CE">
        <w:t xml:space="preserve">students </w:t>
      </w:r>
      <w:r w:rsidR="00047571">
        <w:t>from Glendale USD to La Ca</w:t>
      </w:r>
      <w:r w:rsidR="00047571">
        <w:rPr>
          <w:rFonts w:cs="Arial"/>
        </w:rPr>
        <w:t>ñ</w:t>
      </w:r>
      <w:r w:rsidR="00047571">
        <w:t xml:space="preserve">ada USD </w:t>
      </w:r>
      <w:r w:rsidR="001A65CE">
        <w:t xml:space="preserve">will </w:t>
      </w:r>
      <w:r w:rsidR="00B02E70">
        <w:t xml:space="preserve">result in a reduction of expenditures </w:t>
      </w:r>
      <w:r w:rsidR="001A65CE">
        <w:t>for Glendale USD and an increase</w:t>
      </w:r>
      <w:r>
        <w:t xml:space="preserve"> in expenditures</w:t>
      </w:r>
      <w:r w:rsidR="001A65CE">
        <w:t xml:space="preserve"> for</w:t>
      </w:r>
      <w:r w:rsidR="00B02E70">
        <w:t xml:space="preserve"> La </w:t>
      </w:r>
      <w:r w:rsidR="00B02E70" w:rsidRPr="00F33046">
        <w:t>Ca</w:t>
      </w:r>
      <w:r w:rsidR="00B02E70" w:rsidRPr="00F33046">
        <w:rPr>
          <w:rFonts w:cs="Arial"/>
        </w:rPr>
        <w:t>ñ</w:t>
      </w:r>
      <w:r w:rsidR="00B02E70" w:rsidRPr="00F33046">
        <w:t>ada USD</w:t>
      </w:r>
      <w:r w:rsidR="00B02E70">
        <w:t xml:space="preserve"> </w:t>
      </w:r>
      <w:r w:rsidR="001A65CE">
        <w:t xml:space="preserve">due to changes </w:t>
      </w:r>
      <w:r w:rsidR="00B02E70">
        <w:t xml:space="preserve">staffing </w:t>
      </w:r>
      <w:r w:rsidR="00047571">
        <w:t xml:space="preserve">needs </w:t>
      </w:r>
      <w:r w:rsidR="00B02E70">
        <w:t xml:space="preserve">and other expenditures for the </w:t>
      </w:r>
      <w:r w:rsidR="00B02E70">
        <w:lastRenderedPageBreak/>
        <w:t>district</w:t>
      </w:r>
      <w:r w:rsidR="001A65CE">
        <w:t>s</w:t>
      </w:r>
      <w:r w:rsidR="00B02E70">
        <w:t xml:space="preserve">. However, the extent of impact </w:t>
      </w:r>
      <w:r w:rsidR="001A65CE">
        <w:t xml:space="preserve">to </w:t>
      </w:r>
      <w:r w:rsidR="00047571">
        <w:t>the districts’ expenditures</w:t>
      </w:r>
      <w:r w:rsidR="00B02E70">
        <w:t xml:space="preserve"> is unknown</w:t>
      </w:r>
      <w:r w:rsidR="00BF3B72">
        <w:t>, therefore the expenditures</w:t>
      </w:r>
      <w:r w:rsidR="00047571">
        <w:t xml:space="preserve"> </w:t>
      </w:r>
      <w:r w:rsidR="00BF3B72">
        <w:t>in the CDE funding estimates</w:t>
      </w:r>
      <w:r w:rsidR="00047571">
        <w:t xml:space="preserve"> have not been adjusted to account for these anticipated changes</w:t>
      </w:r>
      <w:r w:rsidR="00BF3B72">
        <w:t xml:space="preserve">. </w:t>
      </w:r>
    </w:p>
    <w:p w14:paraId="06DF3AAB" w14:textId="063D4065" w:rsidR="00064A6E" w:rsidRPr="00F33046" w:rsidRDefault="00767A5E" w:rsidP="00064A6E">
      <w:pPr>
        <w:spacing w:before="240" w:line="259" w:lineRule="auto"/>
      </w:pPr>
      <w:r w:rsidRPr="001C70A9">
        <w:t xml:space="preserve">Both districts anticipate they will be deficit spending in 2022–23 and beyond, </w:t>
      </w:r>
      <w:r w:rsidR="00100072" w:rsidRPr="001C70A9">
        <w:t>because of</w:t>
      </w:r>
      <w:r w:rsidR="00064A6E" w:rsidRPr="001C70A9">
        <w:t xml:space="preserve"> </w:t>
      </w:r>
      <w:r w:rsidRPr="001C70A9">
        <w:t xml:space="preserve">overall projected declines in enrollment and associated loss of </w:t>
      </w:r>
      <w:r w:rsidR="00064A6E" w:rsidRPr="001C70A9">
        <w:t>LCFF funding.</w:t>
      </w:r>
      <w:r w:rsidR="00064A6E" w:rsidRPr="00F33046">
        <w:t xml:space="preserve"> The reductions needed to address the deficit spending would be exacerbated by the reorganization; however, the extent of that impact does not appear significant.</w:t>
      </w:r>
    </w:p>
    <w:p w14:paraId="43151FBB" w14:textId="6A3A3C0A" w:rsidR="00D96548" w:rsidRPr="0093508C" w:rsidRDefault="00D96548" w:rsidP="00D96548">
      <w:pPr>
        <w:spacing w:before="240" w:line="259" w:lineRule="auto"/>
      </w:pPr>
      <w:r w:rsidRPr="0093508C">
        <w:t>Glendale USD would have had a spending deficit of $7.</w:t>
      </w:r>
      <w:r>
        <w:t>12</w:t>
      </w:r>
      <w:r w:rsidRPr="0093508C">
        <w:t xml:space="preserve"> million</w:t>
      </w:r>
      <w:r>
        <w:t xml:space="preserve"> before the reorganization and $9.2 million after accounting for the loss in ADA revenue and its ending fund balance would have been $38.0 million</w:t>
      </w:r>
      <w:r w:rsidRPr="0093508C">
        <w:t xml:space="preserve">. </w:t>
      </w:r>
      <w:r>
        <w:t xml:space="preserve">Similarly, </w:t>
      </w:r>
      <w:r w:rsidRPr="0093508C">
        <w:t xml:space="preserve">the </w:t>
      </w:r>
      <w:r>
        <w:t>La Ca</w:t>
      </w:r>
      <w:r>
        <w:rPr>
          <w:rFonts w:cs="Arial"/>
        </w:rPr>
        <w:t>ñ</w:t>
      </w:r>
      <w:r>
        <w:t>ada</w:t>
      </w:r>
      <w:r w:rsidRPr="0093508C">
        <w:t xml:space="preserve"> USD would have had a </w:t>
      </w:r>
      <w:r>
        <w:t xml:space="preserve">FY </w:t>
      </w:r>
      <w:r w:rsidRPr="0093508C">
        <w:t>2021–22 spending deficit of $1.</w:t>
      </w:r>
      <w:r>
        <w:t>17</w:t>
      </w:r>
      <w:r w:rsidRPr="0093508C">
        <w:t xml:space="preserve"> million in unrestricted funds</w:t>
      </w:r>
      <w:r>
        <w:t xml:space="preserve"> without the additional Sagebrush Area students and would have a surplus of 771,000</w:t>
      </w:r>
      <w:r w:rsidR="001C70A9">
        <w:rPr>
          <w:rStyle w:val="FootnoteReference"/>
        </w:rPr>
        <w:footnoteReference w:id="7"/>
      </w:r>
      <w:r>
        <w:t xml:space="preserve"> with additional Sagebrush Area students, with an ending fund balance of $10.6 million. </w:t>
      </w:r>
    </w:p>
    <w:p w14:paraId="3BC053B3" w14:textId="1C6F265F" w:rsidR="00885A78" w:rsidRPr="0031422A" w:rsidRDefault="00885A78" w:rsidP="00885A78">
      <w:pPr>
        <w:spacing w:after="120" w:line="259" w:lineRule="auto"/>
        <w:rPr>
          <w:b/>
          <w:bCs/>
        </w:rPr>
      </w:pPr>
      <w:r w:rsidRPr="0031422A">
        <w:rPr>
          <w:b/>
          <w:bCs/>
        </w:rPr>
        <w:t xml:space="preserve">Table </w:t>
      </w:r>
      <w:r w:rsidR="00D97AA9">
        <w:rPr>
          <w:b/>
          <w:bCs/>
        </w:rPr>
        <w:t>6</w:t>
      </w:r>
      <w:r w:rsidRPr="0031422A">
        <w:rPr>
          <w:b/>
          <w:bCs/>
        </w:rPr>
        <w:t xml:space="preserve">. </w:t>
      </w:r>
      <w:r>
        <w:rPr>
          <w:b/>
          <w:bCs/>
        </w:rPr>
        <w:t>Ending Fund Balance</w:t>
      </w:r>
      <w:r w:rsidRPr="0031422A">
        <w:rPr>
          <w:b/>
          <w:bCs/>
        </w:rPr>
        <w:t xml:space="preserve"> of Affected Districts Before and After Reorganization</w:t>
      </w:r>
    </w:p>
    <w:tbl>
      <w:tblPr>
        <w:tblStyle w:val="TableGrid"/>
        <w:tblW w:w="9355" w:type="dxa"/>
        <w:tblLayout w:type="fixed"/>
        <w:tblCellMar>
          <w:top w:w="115" w:type="dxa"/>
          <w:bottom w:w="115" w:type="dxa"/>
        </w:tblCellMar>
        <w:tblLook w:val="04A0" w:firstRow="1" w:lastRow="0" w:firstColumn="1" w:lastColumn="0" w:noHBand="0" w:noVBand="1"/>
        <w:tblCaption w:val="Ending Fund Balance of Affected Districts Before and After Reorganization"/>
        <w:tblDescription w:val="This table shows the ending fund balance of both the Glendale and La Canada USD's for FY 2020-21 and 2021-22, currently, and after reorganization."/>
      </w:tblPr>
      <w:tblGrid>
        <w:gridCol w:w="3595"/>
        <w:gridCol w:w="2880"/>
        <w:gridCol w:w="2880"/>
      </w:tblGrid>
      <w:tr w:rsidR="00B02E70" w:rsidRPr="00BD3EA2" w14:paraId="6F5190B6" w14:textId="77777777" w:rsidTr="66476713">
        <w:trPr>
          <w:trHeight w:val="917"/>
        </w:trPr>
        <w:tc>
          <w:tcPr>
            <w:tcW w:w="3595" w:type="dxa"/>
            <w:shd w:val="clear" w:color="auto" w:fill="D9D9D9" w:themeFill="background1" w:themeFillShade="D9"/>
            <w:vAlign w:val="center"/>
          </w:tcPr>
          <w:p w14:paraId="5C57D1FE" w14:textId="77777777" w:rsidR="00B02E70" w:rsidRPr="005E6D63" w:rsidRDefault="00B02E70" w:rsidP="00EF10E9">
            <w:pPr>
              <w:spacing w:line="259" w:lineRule="auto"/>
              <w:contextualSpacing/>
              <w:jc w:val="center"/>
              <w:rPr>
                <w:b/>
                <w:bCs/>
              </w:rPr>
            </w:pPr>
            <w:r w:rsidRPr="005E6D63">
              <w:rPr>
                <w:b/>
                <w:bCs/>
              </w:rPr>
              <w:t>School District</w:t>
            </w:r>
          </w:p>
        </w:tc>
        <w:tc>
          <w:tcPr>
            <w:tcW w:w="2880" w:type="dxa"/>
            <w:shd w:val="clear" w:color="auto" w:fill="D9D9D9" w:themeFill="background1" w:themeFillShade="D9"/>
            <w:vAlign w:val="center"/>
          </w:tcPr>
          <w:p w14:paraId="301FE08E" w14:textId="3A7C8CE6" w:rsidR="00B02E70" w:rsidRPr="005E6D63" w:rsidRDefault="00B02E70" w:rsidP="00EF10E9">
            <w:pPr>
              <w:spacing w:line="259" w:lineRule="auto"/>
              <w:contextualSpacing/>
              <w:jc w:val="center"/>
              <w:rPr>
                <w:b/>
                <w:bCs/>
              </w:rPr>
            </w:pPr>
            <w:r>
              <w:rPr>
                <w:b/>
                <w:bCs/>
              </w:rPr>
              <w:t xml:space="preserve">Ending Fund Balance </w:t>
            </w:r>
            <w:r w:rsidRPr="005E6D63">
              <w:rPr>
                <w:b/>
                <w:bCs/>
              </w:rPr>
              <w:t>Before Reorganization</w:t>
            </w:r>
          </w:p>
        </w:tc>
        <w:tc>
          <w:tcPr>
            <w:tcW w:w="2880" w:type="dxa"/>
            <w:shd w:val="clear" w:color="auto" w:fill="D9D9D9" w:themeFill="background1" w:themeFillShade="D9"/>
            <w:vAlign w:val="center"/>
          </w:tcPr>
          <w:p w14:paraId="51F674E9" w14:textId="0ABA6ECF" w:rsidR="00B02E70" w:rsidRPr="005E6D63" w:rsidRDefault="00B02E70" w:rsidP="00EF10E9">
            <w:pPr>
              <w:spacing w:line="259" w:lineRule="auto"/>
              <w:contextualSpacing/>
              <w:jc w:val="center"/>
              <w:rPr>
                <w:b/>
                <w:bCs/>
              </w:rPr>
            </w:pPr>
            <w:r>
              <w:rPr>
                <w:b/>
                <w:bCs/>
              </w:rPr>
              <w:t>Ending Fund Balance</w:t>
            </w:r>
            <w:r w:rsidRPr="005E6D63">
              <w:rPr>
                <w:b/>
                <w:bCs/>
              </w:rPr>
              <w:t xml:space="preserve"> After Reorganization</w:t>
            </w:r>
          </w:p>
        </w:tc>
      </w:tr>
      <w:tr w:rsidR="00B02E70" w:rsidRPr="00D50A22" w14:paraId="69EDB61F" w14:textId="77777777" w:rsidTr="66476713">
        <w:trPr>
          <w:trHeight w:val="211"/>
        </w:trPr>
        <w:tc>
          <w:tcPr>
            <w:tcW w:w="3595" w:type="dxa"/>
            <w:vAlign w:val="center"/>
          </w:tcPr>
          <w:p w14:paraId="27299905" w14:textId="77777777" w:rsidR="00B02E70" w:rsidRPr="00BD3EA2" w:rsidRDefault="00B02E70" w:rsidP="00EF10E9">
            <w:pPr>
              <w:spacing w:line="259" w:lineRule="auto"/>
              <w:contextualSpacing/>
            </w:pPr>
            <w:r w:rsidRPr="00BD3EA2">
              <w:t>Glendale USD</w:t>
            </w:r>
            <w:r>
              <w:t>, FY 2020–21</w:t>
            </w:r>
          </w:p>
        </w:tc>
        <w:tc>
          <w:tcPr>
            <w:tcW w:w="2880" w:type="dxa"/>
            <w:vAlign w:val="center"/>
          </w:tcPr>
          <w:p w14:paraId="01E014E2" w14:textId="15B52D09" w:rsidR="00B02E70" w:rsidRPr="00D74056" w:rsidRDefault="00B02E70" w:rsidP="00EF10E9">
            <w:pPr>
              <w:spacing w:line="259" w:lineRule="auto"/>
              <w:contextualSpacing/>
              <w:jc w:val="right"/>
            </w:pPr>
            <w:r>
              <w:t>$ 47,338,052</w:t>
            </w:r>
          </w:p>
        </w:tc>
        <w:tc>
          <w:tcPr>
            <w:tcW w:w="2880" w:type="dxa"/>
            <w:vAlign w:val="center"/>
          </w:tcPr>
          <w:p w14:paraId="0C8DE132" w14:textId="1EFEDB19" w:rsidR="00B02E70" w:rsidRPr="00D50A22" w:rsidRDefault="00B02E70" w:rsidP="00EF10E9">
            <w:pPr>
              <w:spacing w:after="0" w:line="259" w:lineRule="auto"/>
              <w:jc w:val="right"/>
            </w:pPr>
            <w:r>
              <w:t>$ 45,176</w:t>
            </w:r>
            <w:r w:rsidRPr="00D50A22">
              <w:t>,</w:t>
            </w:r>
            <w:r>
              <w:t>440</w:t>
            </w:r>
          </w:p>
        </w:tc>
      </w:tr>
      <w:tr w:rsidR="00B02E70" w:rsidRPr="00BD3EA2" w14:paraId="1E124048" w14:textId="77777777" w:rsidTr="66476713">
        <w:trPr>
          <w:trHeight w:val="320"/>
        </w:trPr>
        <w:tc>
          <w:tcPr>
            <w:tcW w:w="3595" w:type="dxa"/>
            <w:vAlign w:val="center"/>
          </w:tcPr>
          <w:p w14:paraId="5F70B334" w14:textId="77777777" w:rsidR="00B02E70" w:rsidRPr="00BD3EA2" w:rsidRDefault="00B02E70" w:rsidP="00EF10E9">
            <w:pPr>
              <w:spacing w:line="259" w:lineRule="auto"/>
              <w:contextualSpacing/>
            </w:pPr>
            <w:r w:rsidRPr="00BD3EA2">
              <w:t>Glendale USD</w:t>
            </w:r>
            <w:r>
              <w:t>, FY 2021–22</w:t>
            </w:r>
          </w:p>
        </w:tc>
        <w:tc>
          <w:tcPr>
            <w:tcW w:w="2880" w:type="dxa"/>
          </w:tcPr>
          <w:p w14:paraId="0197B9F8" w14:textId="651EFF40" w:rsidR="00B02E70" w:rsidRPr="00D74056" w:rsidRDefault="00136164" w:rsidP="00EF10E9">
            <w:pPr>
              <w:spacing w:line="259" w:lineRule="auto"/>
              <w:contextualSpacing/>
              <w:jc w:val="right"/>
            </w:pPr>
            <w:r>
              <w:t xml:space="preserve">$ </w:t>
            </w:r>
            <w:r w:rsidR="00B02E70">
              <w:t>40</w:t>
            </w:r>
            <w:r w:rsidR="00B02E70" w:rsidRPr="00D74056">
              <w:t>,</w:t>
            </w:r>
            <w:r w:rsidR="00B02E70">
              <w:t>219,730</w:t>
            </w:r>
          </w:p>
        </w:tc>
        <w:tc>
          <w:tcPr>
            <w:tcW w:w="2880" w:type="dxa"/>
          </w:tcPr>
          <w:p w14:paraId="34C61E09" w14:textId="2346D4F3" w:rsidR="00B02E70" w:rsidRPr="00D74056" w:rsidRDefault="00136164" w:rsidP="00EF10E9">
            <w:pPr>
              <w:spacing w:line="259" w:lineRule="auto"/>
              <w:contextualSpacing/>
              <w:jc w:val="right"/>
            </w:pPr>
            <w:r>
              <w:t xml:space="preserve">$ </w:t>
            </w:r>
            <w:r w:rsidR="00B02E70">
              <w:t>38,054,034</w:t>
            </w:r>
          </w:p>
        </w:tc>
      </w:tr>
      <w:tr w:rsidR="00B02E70" w:rsidRPr="00BD3EA2" w14:paraId="077703D0" w14:textId="77777777" w:rsidTr="66476713">
        <w:trPr>
          <w:trHeight w:val="305"/>
        </w:trPr>
        <w:tc>
          <w:tcPr>
            <w:tcW w:w="3595" w:type="dxa"/>
            <w:vAlign w:val="center"/>
          </w:tcPr>
          <w:p w14:paraId="3D38D3A0" w14:textId="77777777" w:rsidR="00B02E70" w:rsidRPr="00BD3EA2" w:rsidRDefault="00B02E70" w:rsidP="00EF10E9">
            <w:pPr>
              <w:spacing w:line="259" w:lineRule="auto"/>
              <w:contextualSpacing/>
            </w:pPr>
            <w:r w:rsidRPr="00BD3EA2">
              <w:t>La Ca</w:t>
            </w:r>
            <w:r w:rsidRPr="00BD3EA2">
              <w:rPr>
                <w:rFonts w:cs="Arial"/>
              </w:rPr>
              <w:t>ñ</w:t>
            </w:r>
            <w:r w:rsidRPr="00BD3EA2">
              <w:t>ada USD</w:t>
            </w:r>
            <w:r>
              <w:t>, FY 2020–21</w:t>
            </w:r>
          </w:p>
        </w:tc>
        <w:tc>
          <w:tcPr>
            <w:tcW w:w="2880" w:type="dxa"/>
            <w:vAlign w:val="center"/>
          </w:tcPr>
          <w:p w14:paraId="481B6B91" w14:textId="21226E55" w:rsidR="00B02E70" w:rsidRPr="00BD3EA2" w:rsidRDefault="00136164" w:rsidP="00EF10E9">
            <w:pPr>
              <w:spacing w:line="259" w:lineRule="auto"/>
              <w:contextualSpacing/>
              <w:jc w:val="right"/>
            </w:pPr>
            <w:r>
              <w:t xml:space="preserve">$ </w:t>
            </w:r>
            <w:r w:rsidR="00B02E70">
              <w:t>9,838,592</w:t>
            </w:r>
          </w:p>
        </w:tc>
        <w:tc>
          <w:tcPr>
            <w:tcW w:w="2880" w:type="dxa"/>
            <w:vAlign w:val="center"/>
          </w:tcPr>
          <w:p w14:paraId="5EFA71F1" w14:textId="5056E71C" w:rsidR="00B02E70" w:rsidRPr="00BD3EA2" w:rsidRDefault="00136164" w:rsidP="00EF10E9">
            <w:pPr>
              <w:spacing w:line="259" w:lineRule="auto"/>
              <w:contextualSpacing/>
              <w:jc w:val="right"/>
            </w:pPr>
            <w:r>
              <w:t xml:space="preserve">$ </w:t>
            </w:r>
            <w:r w:rsidR="00B02E70">
              <w:t>11,907,994</w:t>
            </w:r>
          </w:p>
        </w:tc>
      </w:tr>
      <w:tr w:rsidR="00B02E70" w:rsidRPr="00BD3EA2" w14:paraId="0867E781" w14:textId="77777777" w:rsidTr="66476713">
        <w:trPr>
          <w:trHeight w:val="305"/>
        </w:trPr>
        <w:tc>
          <w:tcPr>
            <w:tcW w:w="3595" w:type="dxa"/>
            <w:vAlign w:val="center"/>
          </w:tcPr>
          <w:p w14:paraId="7BDA08EB" w14:textId="6A188EC6" w:rsidR="00B02E70" w:rsidRPr="00BD3EA2" w:rsidRDefault="00B02E70" w:rsidP="00EF10E9">
            <w:pPr>
              <w:spacing w:line="259" w:lineRule="auto"/>
              <w:contextualSpacing/>
            </w:pPr>
            <w:r w:rsidRPr="00BD3EA2">
              <w:t>La Ca</w:t>
            </w:r>
            <w:r w:rsidRPr="00BD3EA2">
              <w:rPr>
                <w:rFonts w:cs="Arial"/>
              </w:rPr>
              <w:t>ñ</w:t>
            </w:r>
            <w:r w:rsidRPr="00BD3EA2">
              <w:t>ada USD</w:t>
            </w:r>
            <w:r>
              <w:t xml:space="preserve">, </w:t>
            </w:r>
            <w:r w:rsidR="00D96548">
              <w:t>2021–22</w:t>
            </w:r>
          </w:p>
        </w:tc>
        <w:tc>
          <w:tcPr>
            <w:tcW w:w="2880" w:type="dxa"/>
            <w:vAlign w:val="center"/>
          </w:tcPr>
          <w:p w14:paraId="76950EB6" w14:textId="6F040365" w:rsidR="00B02E70" w:rsidRPr="00BD3EA2" w:rsidRDefault="00136164" w:rsidP="00EF10E9">
            <w:pPr>
              <w:spacing w:line="259" w:lineRule="auto"/>
              <w:contextualSpacing/>
              <w:jc w:val="right"/>
            </w:pPr>
            <w:r>
              <w:t xml:space="preserve">$ </w:t>
            </w:r>
            <w:r w:rsidR="00B02E70">
              <w:t>8,670,343</w:t>
            </w:r>
          </w:p>
        </w:tc>
        <w:tc>
          <w:tcPr>
            <w:tcW w:w="2880" w:type="dxa"/>
            <w:vAlign w:val="center"/>
          </w:tcPr>
          <w:p w14:paraId="4F625952" w14:textId="6BB3BFD4" w:rsidR="00B02E70" w:rsidRPr="00BD3EA2" w:rsidRDefault="00136164" w:rsidP="00EF10E9">
            <w:pPr>
              <w:spacing w:line="259" w:lineRule="auto"/>
              <w:contextualSpacing/>
              <w:jc w:val="right"/>
            </w:pPr>
            <w:r>
              <w:t xml:space="preserve"> $ </w:t>
            </w:r>
            <w:r w:rsidR="00B02E70">
              <w:t>10,610,464</w:t>
            </w:r>
          </w:p>
        </w:tc>
      </w:tr>
    </w:tbl>
    <w:p w14:paraId="79F5C228" w14:textId="045D3112" w:rsidR="00064A6E" w:rsidRDefault="00064A6E" w:rsidP="00064A6E">
      <w:pPr>
        <w:spacing w:before="240" w:line="259" w:lineRule="auto"/>
      </w:pPr>
      <w:r>
        <w:t xml:space="preserve">It is likely </w:t>
      </w:r>
      <w:r w:rsidR="00767A5E" w:rsidRPr="00BD3EA2">
        <w:t>La Ca</w:t>
      </w:r>
      <w:r w:rsidR="00767A5E" w:rsidRPr="00BD3EA2">
        <w:rPr>
          <w:rFonts w:cs="Arial"/>
        </w:rPr>
        <w:t>ñ</w:t>
      </w:r>
      <w:r w:rsidR="00767A5E" w:rsidRPr="00BD3EA2">
        <w:t>ada USD</w:t>
      </w:r>
      <w:r w:rsidR="00767A5E" w:rsidDel="00767A5E">
        <w:t xml:space="preserve"> </w:t>
      </w:r>
      <w:r>
        <w:t xml:space="preserve">would need to increase certificated and credentialed staff to accommodate the new students, but the extent of that was not factored into the estimate. </w:t>
      </w:r>
      <w:r w:rsidR="00767A5E">
        <w:t>Al</w:t>
      </w:r>
      <w:r>
        <w:t xml:space="preserve">though both districts were deficit spending, they each received </w:t>
      </w:r>
      <w:r w:rsidRPr="0093508C">
        <w:t>a positive certification</w:t>
      </w:r>
      <w:r>
        <w:t xml:space="preserve"> in their latest interim reports</w:t>
      </w:r>
      <w:r w:rsidRPr="0093508C">
        <w:t xml:space="preserve"> and funded their required reserve for economic uncertainties in FY </w:t>
      </w:r>
      <w:r>
        <w:t xml:space="preserve">2020–21 and </w:t>
      </w:r>
      <w:r w:rsidRPr="0093508C">
        <w:t>2021–22</w:t>
      </w:r>
      <w:r>
        <w:t>.</w:t>
      </w:r>
    </w:p>
    <w:p w14:paraId="7C0F6AED" w14:textId="793BE3FD" w:rsidR="006D188A" w:rsidRDefault="007C2BC8" w:rsidP="002A23DC">
      <w:pPr>
        <w:spacing w:line="259" w:lineRule="auto"/>
      </w:pPr>
      <w:bookmarkStart w:id="1" w:name="_Hlk103086182"/>
      <w:r w:rsidRPr="00A96815">
        <w:lastRenderedPageBreak/>
        <w:t xml:space="preserve">Based on the information </w:t>
      </w:r>
      <w:r w:rsidR="00FC33ED" w:rsidRPr="00A96815">
        <w:t>shown in table</w:t>
      </w:r>
      <w:r w:rsidR="00D00A2D" w:rsidRPr="00A96815">
        <w:t>s</w:t>
      </w:r>
      <w:r w:rsidR="00FC33ED" w:rsidRPr="00A96815">
        <w:t xml:space="preserve"> </w:t>
      </w:r>
      <w:r w:rsidR="0013644F">
        <w:t>7</w:t>
      </w:r>
      <w:r w:rsidR="00D00A2D" w:rsidRPr="00A96815">
        <w:t xml:space="preserve"> and </w:t>
      </w:r>
      <w:r w:rsidR="0013644F">
        <w:t>8</w:t>
      </w:r>
      <w:r w:rsidR="00FC33ED" w:rsidRPr="00A96815">
        <w:t xml:space="preserve"> </w:t>
      </w:r>
      <w:r w:rsidRPr="00A96815">
        <w:t>and this analysis, CDE finds that t</w:t>
      </w:r>
      <w:r w:rsidR="006D188A" w:rsidRPr="00A96815">
        <w:t xml:space="preserve">he changes that would result </w:t>
      </w:r>
      <w:r w:rsidR="00A80EC2" w:rsidRPr="00A96815">
        <w:t xml:space="preserve">from the </w:t>
      </w:r>
      <w:r w:rsidR="006D188A" w:rsidRPr="00A96815">
        <w:t>proposed reorganization itself would not have</w:t>
      </w:r>
      <w:r w:rsidR="00A80EC2" w:rsidRPr="00A96815">
        <w:t xml:space="preserve"> a</w:t>
      </w:r>
      <w:r w:rsidR="006D188A" w:rsidRPr="00A96815">
        <w:t xml:space="preserve"> substantial negative effect on the fiscal management or fiscal status of the </w:t>
      </w:r>
      <w:r w:rsidR="00D00A2D" w:rsidRPr="00A96815">
        <w:t>either affected district, noting that with or without the reorganization,</w:t>
      </w:r>
      <w:r w:rsidR="004B264D" w:rsidRPr="00A96815">
        <w:t xml:space="preserve"> both school district governing boards</w:t>
      </w:r>
      <w:r w:rsidR="00D00A2D" w:rsidRPr="00A96815">
        <w:t xml:space="preserve"> will need to take steps to address their deficit spending</w:t>
      </w:r>
      <w:r w:rsidR="006D188A" w:rsidRPr="00A96815">
        <w:t>.</w:t>
      </w:r>
      <w:r w:rsidR="006D188A">
        <w:t xml:space="preserve"> </w:t>
      </w:r>
      <w:bookmarkEnd w:id="1"/>
    </w:p>
    <w:p w14:paraId="0C889C51" w14:textId="506BB7B5" w:rsidR="006D188A" w:rsidRPr="00BE6C4F" w:rsidRDefault="006D188A" w:rsidP="004201D2">
      <w:pPr>
        <w:spacing w:after="160" w:line="259" w:lineRule="auto"/>
        <w:rPr>
          <w:rStyle w:val="Strong"/>
          <w:b w:val="0"/>
          <w:bCs w:val="0"/>
          <w:sz w:val="32"/>
        </w:rPr>
      </w:pPr>
      <w:r w:rsidRPr="00BE6C4F">
        <w:rPr>
          <w:rStyle w:val="Strong"/>
          <w:bCs w:val="0"/>
          <w:sz w:val="32"/>
        </w:rPr>
        <w:t>Conclusion</w:t>
      </w:r>
    </w:p>
    <w:p w14:paraId="4040FD59" w14:textId="77777777" w:rsidR="006637BA" w:rsidRDefault="002B2D6F" w:rsidP="002A23DC">
      <w:pPr>
        <w:spacing w:line="259" w:lineRule="auto"/>
      </w:pPr>
      <w:r>
        <w:t xml:space="preserve">The CDE </w:t>
      </w:r>
      <w:r w:rsidR="006637BA">
        <w:t>finds that:</w:t>
      </w:r>
    </w:p>
    <w:p w14:paraId="09A8A617" w14:textId="337EE50F" w:rsidR="006637BA" w:rsidRDefault="006637BA" w:rsidP="002A23DC">
      <w:pPr>
        <w:pStyle w:val="ListParagraph"/>
        <w:numPr>
          <w:ilvl w:val="0"/>
          <w:numId w:val="16"/>
        </w:numPr>
        <w:spacing w:after="240"/>
        <w:contextualSpacing w:val="0"/>
      </w:pPr>
      <w:r w:rsidRPr="006637BA">
        <w:t xml:space="preserve">The proposed reorganization </w:t>
      </w:r>
      <w:r>
        <w:t xml:space="preserve">does </w:t>
      </w:r>
      <w:r w:rsidRPr="006637BA">
        <w:t xml:space="preserve">not result in </w:t>
      </w:r>
      <w:r w:rsidR="00C80469">
        <w:t>a</w:t>
      </w:r>
      <w:r w:rsidRPr="006637BA">
        <w:t xml:space="preserve"> significant increase in costs to the State.</w:t>
      </w:r>
    </w:p>
    <w:p w14:paraId="18094104" w14:textId="2287EFF0" w:rsidR="006637BA" w:rsidRDefault="006637BA" w:rsidP="002A23DC">
      <w:pPr>
        <w:pStyle w:val="ListParagraph"/>
        <w:numPr>
          <w:ilvl w:val="0"/>
          <w:numId w:val="16"/>
        </w:numPr>
        <w:spacing w:after="240"/>
        <w:contextualSpacing w:val="0"/>
      </w:pPr>
      <w:r w:rsidRPr="006637BA">
        <w:t xml:space="preserve">The proposed reorganization </w:t>
      </w:r>
      <w:r w:rsidR="00493A43">
        <w:t xml:space="preserve">would </w:t>
      </w:r>
      <w:r w:rsidRPr="006637BA">
        <w:t xml:space="preserve">not cause a substantial negative effect on the fiscal management or fiscal status of the proposed </w:t>
      </w:r>
      <w:r w:rsidR="00E224B2" w:rsidRPr="006637BA">
        <w:t>district,</w:t>
      </w:r>
      <w:r w:rsidRPr="006637BA">
        <w:t xml:space="preserve"> or any existing district affected by the proposed reorganization.</w:t>
      </w:r>
    </w:p>
    <w:p w14:paraId="073CD72B" w14:textId="1E4D262F" w:rsidR="002B2D6F" w:rsidRDefault="006637BA" w:rsidP="002A23DC">
      <w:pPr>
        <w:spacing w:line="259" w:lineRule="auto"/>
        <w:rPr>
          <w:rStyle w:val="Strong"/>
          <w:b w:val="0"/>
        </w:rPr>
      </w:pPr>
      <w:r>
        <w:t xml:space="preserve">Therefore, CDE </w:t>
      </w:r>
      <w:r w:rsidR="002B2D6F">
        <w:t xml:space="preserve">recommends that the </w:t>
      </w:r>
      <w:r w:rsidR="007E1520">
        <w:t xml:space="preserve">state board of education </w:t>
      </w:r>
      <w:r w:rsidR="00DC328F">
        <w:t xml:space="preserve">determine the </w:t>
      </w:r>
      <w:r w:rsidR="007E1520">
        <w:t>proposed territory transfer of the Sagebrush Area</w:t>
      </w:r>
      <w:r w:rsidR="002B2D6F">
        <w:t xml:space="preserve"> </w:t>
      </w:r>
      <w:r w:rsidR="002B2D6F" w:rsidRPr="002B2D6F">
        <w:t>substantially complies</w:t>
      </w:r>
      <w:r w:rsidR="002B2D6F">
        <w:t xml:space="preserve"> with conditions set forth in paragraphs (5) and (9) of subdivision (a) of </w:t>
      </w:r>
      <w:r w:rsidR="002B2D6F" w:rsidRPr="00CD6BCC">
        <w:rPr>
          <w:i/>
        </w:rPr>
        <w:t>EC</w:t>
      </w:r>
      <w:r w:rsidR="002B2D6F">
        <w:t xml:space="preserve"> Section 35753</w:t>
      </w:r>
      <w:r w:rsidR="002B2D6F" w:rsidRPr="001C4584">
        <w:t>.</w:t>
      </w:r>
      <w:r w:rsidR="002B2D6F">
        <w:t xml:space="preserve"> </w:t>
      </w:r>
    </w:p>
    <w:p w14:paraId="477E180F" w14:textId="55919BC2" w:rsidR="002B2D6F" w:rsidRPr="0059652C" w:rsidRDefault="002B2D6F" w:rsidP="0059652C">
      <w:pPr>
        <w:rPr>
          <w:rFonts w:eastAsiaTheme="minorHAnsi" w:cs="Arial"/>
          <w:bCs/>
          <w:color w:val="000000"/>
        </w:rPr>
        <w:sectPr w:rsidR="002B2D6F" w:rsidRPr="0059652C" w:rsidSect="00031E0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3A3114BB" w14:textId="015DEEF4" w:rsidR="00B30927" w:rsidRDefault="008A0604" w:rsidP="00AF2470">
      <w:pPr>
        <w:spacing w:after="120"/>
        <w:rPr>
          <w:rFonts w:eastAsiaTheme="minorHAnsi"/>
          <w:b/>
        </w:rPr>
      </w:pPr>
      <w:r w:rsidRPr="00AF2470">
        <w:rPr>
          <w:rFonts w:eastAsiaTheme="minorHAnsi"/>
          <w:b/>
        </w:rPr>
        <w:lastRenderedPageBreak/>
        <w:t xml:space="preserve">Table </w:t>
      </w:r>
      <w:r w:rsidR="0013644F">
        <w:rPr>
          <w:rFonts w:eastAsiaTheme="minorHAnsi"/>
          <w:b/>
        </w:rPr>
        <w:t>7</w:t>
      </w:r>
      <w:r w:rsidRPr="00AF2470">
        <w:rPr>
          <w:rFonts w:eastAsiaTheme="minorHAnsi"/>
          <w:b/>
        </w:rPr>
        <w:t xml:space="preserve">. </w:t>
      </w:r>
      <w:r w:rsidR="008153AE">
        <w:rPr>
          <w:rFonts w:eastAsiaTheme="minorHAnsi"/>
          <w:b/>
        </w:rPr>
        <w:t xml:space="preserve">Glendale USD </w:t>
      </w:r>
      <w:r w:rsidRPr="00AF2470">
        <w:rPr>
          <w:rFonts w:eastAsiaTheme="minorHAnsi"/>
          <w:b/>
        </w:rPr>
        <w:t>Unrestricted General Fund Estimate for Fiscal Year</w:t>
      </w:r>
      <w:r w:rsidR="007B2BB6">
        <w:rPr>
          <w:rFonts w:eastAsiaTheme="minorHAnsi"/>
          <w:b/>
        </w:rPr>
        <w:t>s</w:t>
      </w:r>
      <w:r w:rsidRPr="00AF2470">
        <w:rPr>
          <w:rFonts w:eastAsiaTheme="minorHAnsi"/>
          <w:b/>
        </w:rPr>
        <w:t xml:space="preserve"> 2020–21</w:t>
      </w:r>
      <w:r w:rsidR="007B2BB6">
        <w:rPr>
          <w:rFonts w:eastAsiaTheme="minorHAnsi"/>
          <w:b/>
        </w:rPr>
        <w:t xml:space="preserve"> and </w:t>
      </w:r>
      <w:r w:rsidR="007B2BB6" w:rsidRPr="00AF2470">
        <w:rPr>
          <w:rFonts w:eastAsiaTheme="minorHAnsi"/>
          <w:b/>
        </w:rPr>
        <w:t>20</w:t>
      </w:r>
      <w:r w:rsidR="007B2BB6">
        <w:rPr>
          <w:rFonts w:eastAsiaTheme="minorHAnsi"/>
          <w:b/>
        </w:rPr>
        <w:t>21</w:t>
      </w:r>
      <w:r w:rsidR="007B2BB6" w:rsidRPr="00AF2470">
        <w:rPr>
          <w:rFonts w:eastAsiaTheme="minorHAnsi"/>
          <w:b/>
        </w:rPr>
        <w:t>–2</w:t>
      </w:r>
      <w:r w:rsidR="007B2BB6">
        <w:rPr>
          <w:rFonts w:eastAsiaTheme="minorHAnsi"/>
          <w:b/>
        </w:rPr>
        <w:t>2</w:t>
      </w:r>
    </w:p>
    <w:tbl>
      <w:tblPr>
        <w:tblStyle w:val="TableGrid"/>
        <w:tblW w:w="14395" w:type="dxa"/>
        <w:tblCellMar>
          <w:top w:w="86" w:type="dxa"/>
          <w:bottom w:w="86" w:type="dxa"/>
        </w:tblCellMar>
        <w:tblLook w:val="04A0" w:firstRow="1" w:lastRow="0" w:firstColumn="1" w:lastColumn="0" w:noHBand="0" w:noVBand="1"/>
      </w:tblPr>
      <w:tblGrid>
        <w:gridCol w:w="3595"/>
        <w:gridCol w:w="2700"/>
        <w:gridCol w:w="2659"/>
        <w:gridCol w:w="2768"/>
        <w:gridCol w:w="2673"/>
      </w:tblGrid>
      <w:tr w:rsidR="007805B3" w:rsidRPr="006E35B7" w14:paraId="6FC33044" w14:textId="77777777" w:rsidTr="006C497A">
        <w:trPr>
          <w:trHeight w:val="828"/>
          <w:tblHeader/>
        </w:trPr>
        <w:tc>
          <w:tcPr>
            <w:tcW w:w="3595" w:type="dxa"/>
            <w:tcBorders>
              <w:top w:val="single" w:sz="4" w:space="0" w:color="auto"/>
              <w:left w:val="single" w:sz="4" w:space="0" w:color="auto"/>
              <w:bottom w:val="single" w:sz="4" w:space="0" w:color="auto"/>
              <w:right w:val="single" w:sz="4" w:space="0" w:color="auto"/>
            </w:tcBorders>
            <w:shd w:val="clear" w:color="auto" w:fill="008000"/>
            <w:vAlign w:val="center"/>
          </w:tcPr>
          <w:p w14:paraId="30A467B9" w14:textId="3AE84D12" w:rsidR="006E35B7" w:rsidRPr="006E35B7" w:rsidRDefault="006E35B7" w:rsidP="006E35B7">
            <w:pPr>
              <w:spacing w:after="0"/>
              <w:jc w:val="center"/>
              <w:rPr>
                <w:rFonts w:eastAsiaTheme="minorHAnsi"/>
                <w:b/>
              </w:rPr>
            </w:pPr>
            <w:r w:rsidRPr="006E35B7">
              <w:rPr>
                <w:rFonts w:cs="Arial"/>
                <w:b/>
                <w:bCs/>
                <w:color w:val="FFFFFF"/>
              </w:rPr>
              <w:t>Description</w:t>
            </w:r>
          </w:p>
        </w:tc>
        <w:tc>
          <w:tcPr>
            <w:tcW w:w="2700" w:type="dxa"/>
            <w:tcBorders>
              <w:top w:val="single" w:sz="4" w:space="0" w:color="auto"/>
              <w:left w:val="single" w:sz="4" w:space="0" w:color="auto"/>
              <w:bottom w:val="single" w:sz="4" w:space="0" w:color="auto"/>
              <w:right w:val="single" w:sz="4" w:space="0" w:color="auto"/>
            </w:tcBorders>
            <w:shd w:val="clear" w:color="auto" w:fill="008000"/>
            <w:vAlign w:val="center"/>
          </w:tcPr>
          <w:p w14:paraId="2E2BEE2A" w14:textId="14D936E9" w:rsidR="006E35B7" w:rsidRPr="006E35B7" w:rsidRDefault="006E35B7" w:rsidP="006E35B7">
            <w:pPr>
              <w:spacing w:after="0"/>
              <w:jc w:val="center"/>
              <w:rPr>
                <w:rFonts w:eastAsiaTheme="minorHAnsi"/>
                <w:b/>
              </w:rPr>
            </w:pPr>
            <w:r w:rsidRPr="006E35B7">
              <w:rPr>
                <w:rFonts w:cs="Arial"/>
                <w:b/>
                <w:bCs/>
                <w:color w:val="FFFFFF"/>
              </w:rPr>
              <w:t>FY 2020–21</w:t>
            </w:r>
            <w:r w:rsidRPr="006E35B7">
              <w:rPr>
                <w:rFonts w:cs="Arial"/>
                <w:b/>
                <w:bCs/>
                <w:color w:val="FFFFFF"/>
              </w:rPr>
              <w:br/>
              <w:t>Glendale USD</w:t>
            </w:r>
            <w:r w:rsidRPr="006E35B7">
              <w:rPr>
                <w:rFonts w:cs="Arial"/>
                <w:b/>
                <w:bCs/>
                <w:color w:val="FFFFFF"/>
              </w:rPr>
              <w:br/>
              <w:t>(Before Reorg)</w:t>
            </w:r>
          </w:p>
        </w:tc>
        <w:tc>
          <w:tcPr>
            <w:tcW w:w="2659" w:type="dxa"/>
            <w:tcBorders>
              <w:top w:val="single" w:sz="4" w:space="0" w:color="auto"/>
              <w:left w:val="single" w:sz="4" w:space="0" w:color="auto"/>
              <w:bottom w:val="single" w:sz="4" w:space="0" w:color="auto"/>
              <w:right w:val="single" w:sz="4" w:space="0" w:color="auto"/>
            </w:tcBorders>
            <w:shd w:val="clear" w:color="auto" w:fill="008000"/>
            <w:vAlign w:val="center"/>
          </w:tcPr>
          <w:p w14:paraId="665C7F72" w14:textId="6C1C4077" w:rsidR="006E35B7" w:rsidRPr="006E35B7" w:rsidRDefault="006E35B7" w:rsidP="006E35B7">
            <w:pPr>
              <w:spacing w:after="0"/>
              <w:jc w:val="center"/>
              <w:rPr>
                <w:rFonts w:eastAsiaTheme="minorHAnsi"/>
                <w:b/>
              </w:rPr>
            </w:pPr>
            <w:r w:rsidRPr="006E35B7">
              <w:rPr>
                <w:rFonts w:cs="Arial"/>
                <w:b/>
                <w:bCs/>
                <w:color w:val="FFFFFF"/>
              </w:rPr>
              <w:t>FY 2020–21</w:t>
            </w:r>
            <w:r w:rsidRPr="006E35B7">
              <w:rPr>
                <w:rFonts w:cs="Arial"/>
                <w:b/>
                <w:bCs/>
                <w:color w:val="FFFFFF"/>
              </w:rPr>
              <w:br/>
              <w:t xml:space="preserve">Glendale USD </w:t>
            </w:r>
            <w:r w:rsidRPr="006E35B7">
              <w:rPr>
                <w:rFonts w:cs="Arial"/>
                <w:b/>
                <w:bCs/>
                <w:color w:val="FFFFFF"/>
              </w:rPr>
              <w:br/>
              <w:t>(After Reorg)</w:t>
            </w:r>
          </w:p>
        </w:tc>
        <w:tc>
          <w:tcPr>
            <w:tcW w:w="2768" w:type="dxa"/>
            <w:tcBorders>
              <w:top w:val="single" w:sz="4" w:space="0" w:color="auto"/>
              <w:left w:val="single" w:sz="4" w:space="0" w:color="auto"/>
              <w:bottom w:val="single" w:sz="4" w:space="0" w:color="auto"/>
              <w:right w:val="single" w:sz="4" w:space="0" w:color="auto"/>
            </w:tcBorders>
            <w:shd w:val="clear" w:color="auto" w:fill="008000"/>
            <w:vAlign w:val="center"/>
          </w:tcPr>
          <w:p w14:paraId="05922F7B" w14:textId="12E1FB70" w:rsidR="006E35B7" w:rsidRPr="006E35B7" w:rsidRDefault="006E35B7" w:rsidP="006E35B7">
            <w:pPr>
              <w:spacing w:after="0"/>
              <w:jc w:val="center"/>
              <w:rPr>
                <w:rFonts w:eastAsiaTheme="minorHAnsi"/>
                <w:b/>
              </w:rPr>
            </w:pPr>
            <w:r w:rsidRPr="006E35B7">
              <w:rPr>
                <w:rFonts w:cs="Arial"/>
                <w:b/>
                <w:bCs/>
                <w:color w:val="FFFFFF"/>
              </w:rPr>
              <w:t>FY 2021–22</w:t>
            </w:r>
            <w:r w:rsidRPr="006E35B7">
              <w:rPr>
                <w:rFonts w:cs="Arial"/>
                <w:b/>
                <w:bCs/>
                <w:color w:val="FFFFFF"/>
              </w:rPr>
              <w:br/>
              <w:t>Glendale USD</w:t>
            </w:r>
            <w:r w:rsidRPr="006E35B7">
              <w:rPr>
                <w:rFonts w:cs="Arial"/>
                <w:b/>
                <w:bCs/>
                <w:color w:val="FFFFFF"/>
              </w:rPr>
              <w:br/>
              <w:t>(Before Reorg)</w:t>
            </w:r>
          </w:p>
        </w:tc>
        <w:tc>
          <w:tcPr>
            <w:tcW w:w="2673" w:type="dxa"/>
            <w:tcBorders>
              <w:top w:val="single" w:sz="4" w:space="0" w:color="auto"/>
              <w:left w:val="single" w:sz="4" w:space="0" w:color="auto"/>
              <w:bottom w:val="single" w:sz="4" w:space="0" w:color="auto"/>
              <w:right w:val="single" w:sz="4" w:space="0" w:color="auto"/>
            </w:tcBorders>
            <w:shd w:val="clear" w:color="auto" w:fill="008000"/>
            <w:vAlign w:val="center"/>
          </w:tcPr>
          <w:p w14:paraId="543426D9" w14:textId="0277A1E0" w:rsidR="006E35B7" w:rsidRPr="006E35B7" w:rsidRDefault="006E35B7" w:rsidP="006E35B7">
            <w:pPr>
              <w:spacing w:after="0"/>
              <w:jc w:val="center"/>
              <w:rPr>
                <w:rFonts w:eastAsiaTheme="minorHAnsi"/>
                <w:b/>
              </w:rPr>
            </w:pPr>
            <w:r w:rsidRPr="006E35B7">
              <w:rPr>
                <w:rFonts w:cs="Arial"/>
                <w:b/>
                <w:bCs/>
                <w:color w:val="FFFFFF"/>
              </w:rPr>
              <w:t>FY 2021–22</w:t>
            </w:r>
            <w:r w:rsidRPr="006E35B7">
              <w:rPr>
                <w:rFonts w:cs="Arial"/>
                <w:b/>
                <w:bCs/>
                <w:color w:val="FFFFFF"/>
              </w:rPr>
              <w:br/>
              <w:t xml:space="preserve">Glendale USD </w:t>
            </w:r>
            <w:r w:rsidRPr="006E35B7">
              <w:rPr>
                <w:rFonts w:cs="Arial"/>
                <w:b/>
                <w:bCs/>
                <w:color w:val="FFFFFF"/>
              </w:rPr>
              <w:br/>
              <w:t>(After Reorg)</w:t>
            </w:r>
          </w:p>
        </w:tc>
      </w:tr>
      <w:tr w:rsidR="00AB1702" w:rsidRPr="006E35B7" w14:paraId="10B2BB11" w14:textId="77777777" w:rsidTr="00AB1702">
        <w:trPr>
          <w:trHeight w:val="286"/>
        </w:trPr>
        <w:tc>
          <w:tcPr>
            <w:tcW w:w="3595" w:type="dxa"/>
            <w:tcBorders>
              <w:top w:val="single" w:sz="4" w:space="0" w:color="auto"/>
            </w:tcBorders>
            <w:vAlign w:val="center"/>
          </w:tcPr>
          <w:p w14:paraId="2E1F8DF3" w14:textId="1CB1E207" w:rsidR="00AB1702" w:rsidRPr="006E35B7" w:rsidRDefault="00AB1702" w:rsidP="00AB1702">
            <w:pPr>
              <w:spacing w:after="0"/>
              <w:rPr>
                <w:rFonts w:eastAsiaTheme="minorHAnsi"/>
                <w:b/>
              </w:rPr>
            </w:pPr>
            <w:r w:rsidRPr="006A4699">
              <w:t>LCFF Revenues</w:t>
            </w:r>
            <w:r>
              <w:rPr>
                <w:rStyle w:val="FootnoteReference"/>
              </w:rPr>
              <w:footnoteReference w:id="8"/>
            </w:r>
          </w:p>
        </w:tc>
        <w:tc>
          <w:tcPr>
            <w:tcW w:w="2700" w:type="dxa"/>
            <w:tcBorders>
              <w:top w:val="single" w:sz="4" w:space="0" w:color="auto"/>
            </w:tcBorders>
            <w:vAlign w:val="center"/>
          </w:tcPr>
          <w:p w14:paraId="0B9576D3" w14:textId="141A01C8" w:rsidR="00AB1702" w:rsidRPr="006E35B7" w:rsidRDefault="00AB1702" w:rsidP="00AB1702">
            <w:pPr>
              <w:spacing w:after="0"/>
              <w:jc w:val="right"/>
              <w:rPr>
                <w:rFonts w:eastAsiaTheme="minorHAnsi"/>
                <w:b/>
              </w:rPr>
            </w:pPr>
            <w:r w:rsidRPr="006A4699">
              <w:t xml:space="preserve"> $</w:t>
            </w:r>
            <w:r>
              <w:t xml:space="preserve"> </w:t>
            </w:r>
            <w:r w:rsidRPr="006A4699">
              <w:t xml:space="preserve">237,539,776 </w:t>
            </w:r>
          </w:p>
        </w:tc>
        <w:tc>
          <w:tcPr>
            <w:tcW w:w="2659" w:type="dxa"/>
            <w:tcBorders>
              <w:top w:val="single" w:sz="4" w:space="0" w:color="auto"/>
            </w:tcBorders>
            <w:vAlign w:val="center"/>
          </w:tcPr>
          <w:p w14:paraId="7FFC446E" w14:textId="015AD13F" w:rsidR="00AB1702" w:rsidRPr="006E35B7" w:rsidRDefault="00AB1702" w:rsidP="00AB1702">
            <w:pPr>
              <w:spacing w:after="0"/>
              <w:jc w:val="right"/>
              <w:rPr>
                <w:rFonts w:eastAsiaTheme="minorHAnsi"/>
                <w:b/>
              </w:rPr>
            </w:pPr>
            <w:r w:rsidRPr="008D1650">
              <w:t xml:space="preserve"> $</w:t>
            </w:r>
            <w:r>
              <w:t xml:space="preserve"> </w:t>
            </w:r>
            <w:r w:rsidRPr="008D1650">
              <w:t xml:space="preserve">235,378,164 </w:t>
            </w:r>
          </w:p>
        </w:tc>
        <w:tc>
          <w:tcPr>
            <w:tcW w:w="2768" w:type="dxa"/>
            <w:tcBorders>
              <w:top w:val="single" w:sz="4" w:space="0" w:color="auto"/>
            </w:tcBorders>
            <w:vAlign w:val="center"/>
          </w:tcPr>
          <w:p w14:paraId="0BDA309E" w14:textId="74808427" w:rsidR="00AB1702" w:rsidRPr="006E35B7" w:rsidRDefault="00AB1702" w:rsidP="00AB1702">
            <w:pPr>
              <w:spacing w:after="0"/>
              <w:jc w:val="right"/>
              <w:rPr>
                <w:rFonts w:eastAsiaTheme="minorHAnsi"/>
                <w:b/>
              </w:rPr>
            </w:pPr>
            <w:r w:rsidRPr="006A4699">
              <w:t xml:space="preserve"> $</w:t>
            </w:r>
            <w:r>
              <w:t xml:space="preserve"> </w:t>
            </w:r>
            <w:r w:rsidRPr="006A4699">
              <w:t xml:space="preserve">248,930,486 </w:t>
            </w:r>
          </w:p>
        </w:tc>
        <w:tc>
          <w:tcPr>
            <w:tcW w:w="2673" w:type="dxa"/>
            <w:tcBorders>
              <w:top w:val="single" w:sz="4" w:space="0" w:color="auto"/>
            </w:tcBorders>
            <w:vAlign w:val="center"/>
          </w:tcPr>
          <w:p w14:paraId="4C87CC3A" w14:textId="562F608D" w:rsidR="00AB1702" w:rsidRPr="006E35B7" w:rsidRDefault="00AB1702" w:rsidP="00AB1702">
            <w:pPr>
              <w:spacing w:after="0"/>
              <w:jc w:val="right"/>
              <w:rPr>
                <w:rFonts w:eastAsiaTheme="minorHAnsi"/>
                <w:b/>
              </w:rPr>
            </w:pPr>
            <w:r w:rsidRPr="00171A2D">
              <w:t xml:space="preserve"> $</w:t>
            </w:r>
            <w:r>
              <w:t xml:space="preserve"> </w:t>
            </w:r>
            <w:r w:rsidRPr="00171A2D">
              <w:t xml:space="preserve">246,764,791 </w:t>
            </w:r>
          </w:p>
        </w:tc>
      </w:tr>
      <w:tr w:rsidR="00AB1702" w:rsidRPr="006E35B7" w14:paraId="2491741F" w14:textId="77777777" w:rsidTr="00AB1702">
        <w:trPr>
          <w:trHeight w:val="271"/>
        </w:trPr>
        <w:tc>
          <w:tcPr>
            <w:tcW w:w="3595" w:type="dxa"/>
            <w:vAlign w:val="center"/>
          </w:tcPr>
          <w:p w14:paraId="7F1279D5" w14:textId="3A658BBB" w:rsidR="00AB1702" w:rsidRPr="006E35B7" w:rsidRDefault="00AB1702" w:rsidP="00AB1702">
            <w:pPr>
              <w:spacing w:after="0"/>
              <w:rPr>
                <w:rFonts w:eastAsiaTheme="minorHAnsi"/>
                <w:b/>
              </w:rPr>
            </w:pPr>
            <w:r w:rsidRPr="006A4699">
              <w:t>Federal Revenues</w:t>
            </w:r>
          </w:p>
        </w:tc>
        <w:tc>
          <w:tcPr>
            <w:tcW w:w="2700" w:type="dxa"/>
            <w:vAlign w:val="center"/>
          </w:tcPr>
          <w:p w14:paraId="02D8CC94" w14:textId="64AE552E" w:rsidR="00AB1702" w:rsidRPr="006E35B7" w:rsidRDefault="00AB1702" w:rsidP="00AB1702">
            <w:pPr>
              <w:spacing w:after="0"/>
              <w:jc w:val="right"/>
              <w:rPr>
                <w:rFonts w:eastAsiaTheme="minorHAnsi"/>
                <w:b/>
              </w:rPr>
            </w:pPr>
            <w:r w:rsidRPr="006A4699">
              <w:t xml:space="preserve">                 207,503 </w:t>
            </w:r>
          </w:p>
        </w:tc>
        <w:tc>
          <w:tcPr>
            <w:tcW w:w="2659" w:type="dxa"/>
            <w:vAlign w:val="center"/>
          </w:tcPr>
          <w:p w14:paraId="522D0854" w14:textId="0B64833F" w:rsidR="00AB1702" w:rsidRPr="006E35B7" w:rsidRDefault="00AB1702" w:rsidP="00AB1702">
            <w:pPr>
              <w:spacing w:after="0"/>
              <w:jc w:val="right"/>
              <w:rPr>
                <w:rFonts w:eastAsiaTheme="minorHAnsi"/>
                <w:b/>
              </w:rPr>
            </w:pPr>
            <w:r w:rsidRPr="008D1650">
              <w:t xml:space="preserve"> 207,503 </w:t>
            </w:r>
          </w:p>
        </w:tc>
        <w:tc>
          <w:tcPr>
            <w:tcW w:w="2768" w:type="dxa"/>
            <w:vAlign w:val="center"/>
          </w:tcPr>
          <w:p w14:paraId="24A5720F" w14:textId="0F3A3255" w:rsidR="00AB1702" w:rsidRPr="006E35B7" w:rsidRDefault="00AB1702" w:rsidP="00AB1702">
            <w:pPr>
              <w:spacing w:after="0"/>
              <w:jc w:val="right"/>
              <w:rPr>
                <w:rFonts w:eastAsiaTheme="minorHAnsi"/>
                <w:b/>
              </w:rPr>
            </w:pPr>
            <w:r w:rsidRPr="006A4699">
              <w:t xml:space="preserve">                    200,000 </w:t>
            </w:r>
          </w:p>
        </w:tc>
        <w:tc>
          <w:tcPr>
            <w:tcW w:w="2673" w:type="dxa"/>
            <w:vAlign w:val="center"/>
          </w:tcPr>
          <w:p w14:paraId="7A15775F" w14:textId="2AC3626C" w:rsidR="00AB1702" w:rsidRPr="006E35B7" w:rsidRDefault="00AB1702" w:rsidP="00AB1702">
            <w:pPr>
              <w:spacing w:after="0"/>
              <w:jc w:val="right"/>
              <w:rPr>
                <w:rFonts w:eastAsiaTheme="minorHAnsi"/>
                <w:b/>
              </w:rPr>
            </w:pPr>
            <w:r w:rsidRPr="00171A2D">
              <w:t xml:space="preserve"> 200,000 </w:t>
            </w:r>
          </w:p>
        </w:tc>
      </w:tr>
      <w:tr w:rsidR="00AB1702" w:rsidRPr="006E35B7" w14:paraId="307A4504" w14:textId="77777777" w:rsidTr="00AB1702">
        <w:trPr>
          <w:trHeight w:val="286"/>
        </w:trPr>
        <w:tc>
          <w:tcPr>
            <w:tcW w:w="3595" w:type="dxa"/>
            <w:vAlign w:val="center"/>
          </w:tcPr>
          <w:p w14:paraId="7B207F6E" w14:textId="7625A91D" w:rsidR="00AB1702" w:rsidRPr="006E35B7" w:rsidRDefault="00AB1702" w:rsidP="00AB1702">
            <w:pPr>
              <w:spacing w:after="0"/>
              <w:rPr>
                <w:rFonts w:eastAsiaTheme="minorHAnsi"/>
                <w:b/>
              </w:rPr>
            </w:pPr>
            <w:r w:rsidRPr="006A4699">
              <w:t>Other State Revenues</w:t>
            </w:r>
          </w:p>
        </w:tc>
        <w:tc>
          <w:tcPr>
            <w:tcW w:w="2700" w:type="dxa"/>
            <w:vAlign w:val="center"/>
          </w:tcPr>
          <w:p w14:paraId="28C5ABAE" w14:textId="1DD5A64A" w:rsidR="00AB1702" w:rsidRPr="006E35B7" w:rsidRDefault="00AB1702" w:rsidP="00AB1702">
            <w:pPr>
              <w:spacing w:after="0"/>
              <w:jc w:val="right"/>
              <w:rPr>
                <w:rFonts w:eastAsiaTheme="minorHAnsi"/>
                <w:b/>
              </w:rPr>
            </w:pPr>
            <w:r w:rsidRPr="006A4699">
              <w:t xml:space="preserve">              5,375,689 </w:t>
            </w:r>
          </w:p>
        </w:tc>
        <w:tc>
          <w:tcPr>
            <w:tcW w:w="2659" w:type="dxa"/>
            <w:vAlign w:val="center"/>
          </w:tcPr>
          <w:p w14:paraId="4257EA7B" w14:textId="1ED213F3" w:rsidR="00AB1702" w:rsidRPr="006E35B7" w:rsidRDefault="00AB1702" w:rsidP="00AB1702">
            <w:pPr>
              <w:spacing w:after="0"/>
              <w:jc w:val="right"/>
              <w:rPr>
                <w:rFonts w:eastAsiaTheme="minorHAnsi"/>
                <w:b/>
              </w:rPr>
            </w:pPr>
            <w:r w:rsidRPr="008D1650">
              <w:t xml:space="preserve"> 5,375,689 </w:t>
            </w:r>
          </w:p>
        </w:tc>
        <w:tc>
          <w:tcPr>
            <w:tcW w:w="2768" w:type="dxa"/>
            <w:vAlign w:val="center"/>
          </w:tcPr>
          <w:p w14:paraId="41CB5A55" w14:textId="7CAC573B" w:rsidR="00AB1702" w:rsidRPr="006E35B7" w:rsidRDefault="00AB1702" w:rsidP="00AB1702">
            <w:pPr>
              <w:spacing w:after="0"/>
              <w:jc w:val="right"/>
              <w:rPr>
                <w:rFonts w:eastAsiaTheme="minorHAnsi"/>
                <w:b/>
              </w:rPr>
            </w:pPr>
            <w:r w:rsidRPr="006A4699">
              <w:t xml:space="preserve">                 5,152,431 </w:t>
            </w:r>
          </w:p>
        </w:tc>
        <w:tc>
          <w:tcPr>
            <w:tcW w:w="2673" w:type="dxa"/>
            <w:vAlign w:val="center"/>
          </w:tcPr>
          <w:p w14:paraId="31554D11" w14:textId="33D96B67" w:rsidR="00AB1702" w:rsidRPr="006E35B7" w:rsidRDefault="00AB1702" w:rsidP="00AB1702">
            <w:pPr>
              <w:spacing w:after="0"/>
              <w:jc w:val="right"/>
              <w:rPr>
                <w:rFonts w:eastAsiaTheme="minorHAnsi"/>
                <w:b/>
              </w:rPr>
            </w:pPr>
            <w:r w:rsidRPr="00171A2D">
              <w:t xml:space="preserve"> 5,152,431 </w:t>
            </w:r>
          </w:p>
        </w:tc>
      </w:tr>
      <w:tr w:rsidR="00AB1702" w:rsidRPr="006E35B7" w14:paraId="113C6FDA" w14:textId="77777777" w:rsidTr="00AB1702">
        <w:trPr>
          <w:trHeight w:val="271"/>
        </w:trPr>
        <w:tc>
          <w:tcPr>
            <w:tcW w:w="3595" w:type="dxa"/>
            <w:vAlign w:val="center"/>
          </w:tcPr>
          <w:p w14:paraId="7F0CD06A" w14:textId="353C8EFC" w:rsidR="00AB1702" w:rsidRPr="006E35B7" w:rsidRDefault="00AB1702" w:rsidP="00AB1702">
            <w:pPr>
              <w:spacing w:after="0"/>
              <w:rPr>
                <w:rFonts w:eastAsiaTheme="minorHAnsi"/>
                <w:b/>
              </w:rPr>
            </w:pPr>
            <w:r w:rsidRPr="006A4699">
              <w:t>Other Local Revenues</w:t>
            </w:r>
          </w:p>
        </w:tc>
        <w:tc>
          <w:tcPr>
            <w:tcW w:w="2700" w:type="dxa"/>
            <w:vAlign w:val="center"/>
          </w:tcPr>
          <w:p w14:paraId="29A46A18" w14:textId="6F4629F1" w:rsidR="00AB1702" w:rsidRPr="006E35B7" w:rsidRDefault="00AB1702" w:rsidP="00AB1702">
            <w:pPr>
              <w:spacing w:after="0"/>
              <w:jc w:val="right"/>
              <w:rPr>
                <w:rFonts w:eastAsiaTheme="minorHAnsi"/>
                <w:b/>
              </w:rPr>
            </w:pPr>
            <w:r w:rsidRPr="006A4699">
              <w:t xml:space="preserve">              4,381,049 </w:t>
            </w:r>
          </w:p>
        </w:tc>
        <w:tc>
          <w:tcPr>
            <w:tcW w:w="2659" w:type="dxa"/>
            <w:vAlign w:val="center"/>
          </w:tcPr>
          <w:p w14:paraId="2386F0AA" w14:textId="436316F1" w:rsidR="00AB1702" w:rsidRPr="006E35B7" w:rsidRDefault="00AB1702" w:rsidP="00AB1702">
            <w:pPr>
              <w:spacing w:after="0"/>
              <w:jc w:val="right"/>
              <w:rPr>
                <w:rFonts w:eastAsiaTheme="minorHAnsi"/>
                <w:b/>
              </w:rPr>
            </w:pPr>
            <w:r w:rsidRPr="008D1650">
              <w:t xml:space="preserve"> 4,381,049 </w:t>
            </w:r>
          </w:p>
        </w:tc>
        <w:tc>
          <w:tcPr>
            <w:tcW w:w="2768" w:type="dxa"/>
            <w:vAlign w:val="center"/>
          </w:tcPr>
          <w:p w14:paraId="0ACB6A59" w14:textId="0717DE62" w:rsidR="00AB1702" w:rsidRPr="006E35B7" w:rsidRDefault="00AB1702" w:rsidP="00AB1702">
            <w:pPr>
              <w:spacing w:after="0"/>
              <w:jc w:val="right"/>
              <w:rPr>
                <w:rFonts w:eastAsiaTheme="minorHAnsi"/>
                <w:b/>
              </w:rPr>
            </w:pPr>
            <w:r w:rsidRPr="006A4699">
              <w:t xml:space="preserve">                 4,530,655 </w:t>
            </w:r>
          </w:p>
        </w:tc>
        <w:tc>
          <w:tcPr>
            <w:tcW w:w="2673" w:type="dxa"/>
            <w:vAlign w:val="center"/>
          </w:tcPr>
          <w:p w14:paraId="38BBA1D6" w14:textId="36C77390" w:rsidR="00AB1702" w:rsidRPr="006E35B7" w:rsidRDefault="00AB1702" w:rsidP="00AB1702">
            <w:pPr>
              <w:spacing w:after="0"/>
              <w:jc w:val="right"/>
              <w:rPr>
                <w:rFonts w:eastAsiaTheme="minorHAnsi"/>
                <w:b/>
              </w:rPr>
            </w:pPr>
            <w:r w:rsidRPr="00171A2D">
              <w:t xml:space="preserve"> 4,530,655 </w:t>
            </w:r>
          </w:p>
        </w:tc>
      </w:tr>
      <w:tr w:rsidR="00AB1702" w:rsidRPr="006E35B7" w14:paraId="70955D9E" w14:textId="77777777" w:rsidTr="00AB1702">
        <w:trPr>
          <w:trHeight w:val="286"/>
        </w:trPr>
        <w:tc>
          <w:tcPr>
            <w:tcW w:w="3595" w:type="dxa"/>
            <w:shd w:val="clear" w:color="auto" w:fill="auto"/>
            <w:vAlign w:val="center"/>
          </w:tcPr>
          <w:p w14:paraId="28CF3482" w14:textId="5A09F6E6" w:rsidR="00AB1702" w:rsidRPr="006E35B7" w:rsidRDefault="00AB1702" w:rsidP="00AB1702">
            <w:pPr>
              <w:spacing w:after="0"/>
              <w:jc w:val="right"/>
              <w:rPr>
                <w:rFonts w:eastAsiaTheme="minorHAnsi"/>
                <w:b/>
                <w:bCs/>
              </w:rPr>
            </w:pPr>
            <w:r w:rsidRPr="006E35B7">
              <w:rPr>
                <w:b/>
                <w:bCs/>
              </w:rPr>
              <w:t>Total Revenues</w:t>
            </w:r>
          </w:p>
        </w:tc>
        <w:tc>
          <w:tcPr>
            <w:tcW w:w="2700" w:type="dxa"/>
            <w:shd w:val="clear" w:color="auto" w:fill="auto"/>
            <w:vAlign w:val="center"/>
          </w:tcPr>
          <w:p w14:paraId="301E1C72" w14:textId="4B51B756" w:rsidR="00AB1702" w:rsidRPr="006E35B7" w:rsidRDefault="00AB1702" w:rsidP="00AB1702">
            <w:pPr>
              <w:spacing w:after="0"/>
              <w:jc w:val="right"/>
              <w:rPr>
                <w:rFonts w:eastAsiaTheme="minorHAnsi"/>
                <w:b/>
                <w:bCs/>
              </w:rPr>
            </w:pPr>
            <w:r w:rsidRPr="006E35B7">
              <w:rPr>
                <w:b/>
                <w:bCs/>
              </w:rPr>
              <w:t xml:space="preserve">          247,504,017 </w:t>
            </w:r>
          </w:p>
        </w:tc>
        <w:tc>
          <w:tcPr>
            <w:tcW w:w="2659" w:type="dxa"/>
            <w:shd w:val="clear" w:color="auto" w:fill="auto"/>
            <w:vAlign w:val="center"/>
          </w:tcPr>
          <w:p w14:paraId="0E360441" w14:textId="3B408780" w:rsidR="00AB1702" w:rsidRPr="00AB1702" w:rsidRDefault="00AB1702" w:rsidP="00AB1702">
            <w:pPr>
              <w:spacing w:after="0"/>
              <w:jc w:val="right"/>
              <w:rPr>
                <w:rFonts w:eastAsiaTheme="minorHAnsi"/>
                <w:b/>
                <w:bCs/>
              </w:rPr>
            </w:pPr>
            <w:r w:rsidRPr="00AB1702">
              <w:rPr>
                <w:b/>
                <w:bCs/>
              </w:rPr>
              <w:t xml:space="preserve"> 245,342,405 </w:t>
            </w:r>
          </w:p>
        </w:tc>
        <w:tc>
          <w:tcPr>
            <w:tcW w:w="2768" w:type="dxa"/>
            <w:shd w:val="clear" w:color="auto" w:fill="auto"/>
            <w:vAlign w:val="center"/>
          </w:tcPr>
          <w:p w14:paraId="494DE5FD" w14:textId="45F7AC96" w:rsidR="00AB1702" w:rsidRPr="006E35B7" w:rsidRDefault="00AB1702" w:rsidP="00AB1702">
            <w:pPr>
              <w:spacing w:after="0"/>
              <w:jc w:val="right"/>
              <w:rPr>
                <w:rFonts w:eastAsiaTheme="minorHAnsi"/>
                <w:b/>
                <w:bCs/>
              </w:rPr>
            </w:pPr>
            <w:r w:rsidRPr="006E35B7">
              <w:rPr>
                <w:b/>
                <w:bCs/>
              </w:rPr>
              <w:t xml:space="preserve">            258,813,572 </w:t>
            </w:r>
          </w:p>
        </w:tc>
        <w:tc>
          <w:tcPr>
            <w:tcW w:w="2673" w:type="dxa"/>
            <w:shd w:val="clear" w:color="auto" w:fill="auto"/>
            <w:vAlign w:val="center"/>
          </w:tcPr>
          <w:p w14:paraId="4C7CF37A" w14:textId="514BD651" w:rsidR="00AB1702" w:rsidRPr="00B03BB2" w:rsidRDefault="00B03BB2" w:rsidP="00B03BB2">
            <w:pPr>
              <w:spacing w:after="0"/>
              <w:jc w:val="right"/>
              <w:rPr>
                <w:rFonts w:cs="Arial"/>
                <w:b/>
                <w:bCs/>
                <w:color w:val="000000"/>
              </w:rPr>
            </w:pPr>
            <w:r>
              <w:rPr>
                <w:rFonts w:cs="Arial"/>
                <w:b/>
                <w:bCs/>
                <w:color w:val="000000"/>
              </w:rPr>
              <w:t xml:space="preserve">             256,647,877 </w:t>
            </w:r>
          </w:p>
        </w:tc>
      </w:tr>
      <w:tr w:rsidR="00AB1702" w:rsidRPr="006E35B7" w14:paraId="5F69973F" w14:textId="77777777" w:rsidTr="00AB1702">
        <w:trPr>
          <w:trHeight w:val="286"/>
        </w:trPr>
        <w:tc>
          <w:tcPr>
            <w:tcW w:w="3595" w:type="dxa"/>
            <w:vAlign w:val="center"/>
          </w:tcPr>
          <w:p w14:paraId="4E87E526" w14:textId="01DD65A8" w:rsidR="00AB1702" w:rsidRPr="006A4699" w:rsidRDefault="00AB1702" w:rsidP="00AB1702">
            <w:pPr>
              <w:spacing w:after="0"/>
            </w:pPr>
            <w:r w:rsidRPr="000C6BD9">
              <w:t>Certificated Salaries</w:t>
            </w:r>
          </w:p>
        </w:tc>
        <w:tc>
          <w:tcPr>
            <w:tcW w:w="2700" w:type="dxa"/>
            <w:vAlign w:val="center"/>
          </w:tcPr>
          <w:p w14:paraId="4E6EAF02" w14:textId="2591A0CB" w:rsidR="00AB1702" w:rsidRPr="006A4699" w:rsidRDefault="00AB1702" w:rsidP="00AB1702">
            <w:pPr>
              <w:spacing w:after="0"/>
              <w:jc w:val="right"/>
            </w:pPr>
            <w:r w:rsidRPr="000C6BD9">
              <w:t xml:space="preserve">          104,656,281 </w:t>
            </w:r>
          </w:p>
        </w:tc>
        <w:tc>
          <w:tcPr>
            <w:tcW w:w="2659" w:type="dxa"/>
            <w:vAlign w:val="center"/>
          </w:tcPr>
          <w:p w14:paraId="073CAF28" w14:textId="17DD5251" w:rsidR="00AB1702" w:rsidRPr="006A4699" w:rsidRDefault="00AB1702" w:rsidP="00AB1702">
            <w:pPr>
              <w:spacing w:after="0"/>
              <w:jc w:val="right"/>
            </w:pPr>
            <w:r w:rsidRPr="008D1650">
              <w:t xml:space="preserve"> 104,656,281 </w:t>
            </w:r>
          </w:p>
        </w:tc>
        <w:tc>
          <w:tcPr>
            <w:tcW w:w="2768" w:type="dxa"/>
            <w:vAlign w:val="center"/>
          </w:tcPr>
          <w:p w14:paraId="3E183353" w14:textId="0F48C52E" w:rsidR="00AB1702" w:rsidRPr="006A4699" w:rsidRDefault="00AB1702" w:rsidP="00AB1702">
            <w:pPr>
              <w:spacing w:after="0"/>
              <w:jc w:val="right"/>
            </w:pPr>
            <w:r w:rsidRPr="000C6BD9">
              <w:t xml:space="preserve">             102,509,449 </w:t>
            </w:r>
          </w:p>
        </w:tc>
        <w:tc>
          <w:tcPr>
            <w:tcW w:w="2673" w:type="dxa"/>
            <w:vAlign w:val="center"/>
          </w:tcPr>
          <w:p w14:paraId="4175CDEB" w14:textId="268814CF" w:rsidR="00AB1702" w:rsidRPr="006A4699" w:rsidRDefault="00AB1702" w:rsidP="00AB1702">
            <w:pPr>
              <w:spacing w:after="0"/>
              <w:jc w:val="right"/>
            </w:pPr>
            <w:r w:rsidRPr="00171A2D">
              <w:t xml:space="preserve"> 102,509,449 </w:t>
            </w:r>
          </w:p>
        </w:tc>
      </w:tr>
      <w:tr w:rsidR="00AB1702" w:rsidRPr="006E35B7" w14:paraId="39557F35" w14:textId="77777777" w:rsidTr="00AB1702">
        <w:trPr>
          <w:trHeight w:val="271"/>
        </w:trPr>
        <w:tc>
          <w:tcPr>
            <w:tcW w:w="3595" w:type="dxa"/>
            <w:vAlign w:val="center"/>
          </w:tcPr>
          <w:p w14:paraId="7CDA8E08" w14:textId="0594038B" w:rsidR="00AB1702" w:rsidRPr="006A4699" w:rsidRDefault="00AB1702" w:rsidP="00AB1702">
            <w:pPr>
              <w:spacing w:after="0"/>
            </w:pPr>
            <w:r w:rsidRPr="000C6BD9">
              <w:t>Classified Salaries</w:t>
            </w:r>
          </w:p>
        </w:tc>
        <w:tc>
          <w:tcPr>
            <w:tcW w:w="2700" w:type="dxa"/>
            <w:vAlign w:val="center"/>
          </w:tcPr>
          <w:p w14:paraId="6787B0D4" w14:textId="279A43E6" w:rsidR="00AB1702" w:rsidRPr="006A4699" w:rsidRDefault="00AB1702" w:rsidP="00AB1702">
            <w:pPr>
              <w:spacing w:after="0"/>
              <w:jc w:val="right"/>
            </w:pPr>
            <w:r w:rsidRPr="000C6BD9">
              <w:t xml:space="preserve">             25,866,308 </w:t>
            </w:r>
          </w:p>
        </w:tc>
        <w:tc>
          <w:tcPr>
            <w:tcW w:w="2659" w:type="dxa"/>
            <w:vAlign w:val="center"/>
          </w:tcPr>
          <w:p w14:paraId="5B97B2D2" w14:textId="750EBB27" w:rsidR="00AB1702" w:rsidRPr="006A4699" w:rsidRDefault="00AB1702" w:rsidP="00AB1702">
            <w:pPr>
              <w:spacing w:after="0"/>
              <w:jc w:val="right"/>
            </w:pPr>
            <w:r w:rsidRPr="008D1650">
              <w:t xml:space="preserve"> 25,866,308 </w:t>
            </w:r>
          </w:p>
        </w:tc>
        <w:tc>
          <w:tcPr>
            <w:tcW w:w="2768" w:type="dxa"/>
            <w:vAlign w:val="center"/>
          </w:tcPr>
          <w:p w14:paraId="65B3FB27" w14:textId="6D751770" w:rsidR="00AB1702" w:rsidRPr="006A4699" w:rsidRDefault="00AB1702" w:rsidP="00AB1702">
            <w:pPr>
              <w:spacing w:after="0"/>
              <w:jc w:val="right"/>
            </w:pPr>
            <w:r w:rsidRPr="000C6BD9">
              <w:t xml:space="preserve">               27,377,945 </w:t>
            </w:r>
          </w:p>
        </w:tc>
        <w:tc>
          <w:tcPr>
            <w:tcW w:w="2673" w:type="dxa"/>
            <w:vAlign w:val="center"/>
          </w:tcPr>
          <w:p w14:paraId="44B6F157" w14:textId="20A888D3" w:rsidR="00AB1702" w:rsidRPr="006A4699" w:rsidRDefault="00AB1702" w:rsidP="00AB1702">
            <w:pPr>
              <w:spacing w:after="0"/>
              <w:jc w:val="right"/>
            </w:pPr>
            <w:r w:rsidRPr="00171A2D">
              <w:t xml:space="preserve"> 27,377,945 </w:t>
            </w:r>
          </w:p>
        </w:tc>
      </w:tr>
      <w:tr w:rsidR="00AB1702" w:rsidRPr="006E35B7" w14:paraId="76CB0C5B" w14:textId="77777777" w:rsidTr="00AB1702">
        <w:trPr>
          <w:trHeight w:val="286"/>
        </w:trPr>
        <w:tc>
          <w:tcPr>
            <w:tcW w:w="3595" w:type="dxa"/>
            <w:vAlign w:val="center"/>
          </w:tcPr>
          <w:p w14:paraId="7A3D792E" w14:textId="6CE29044" w:rsidR="00AB1702" w:rsidRPr="006A4699" w:rsidRDefault="00AB1702" w:rsidP="00AB1702">
            <w:pPr>
              <w:spacing w:after="0"/>
            </w:pPr>
            <w:r w:rsidRPr="000C6BD9">
              <w:t>Employee Benefits</w:t>
            </w:r>
          </w:p>
        </w:tc>
        <w:tc>
          <w:tcPr>
            <w:tcW w:w="2700" w:type="dxa"/>
            <w:vAlign w:val="center"/>
          </w:tcPr>
          <w:p w14:paraId="235EC60F" w14:textId="765BA53A" w:rsidR="00AB1702" w:rsidRPr="006A4699" w:rsidRDefault="00AB1702" w:rsidP="00AB1702">
            <w:pPr>
              <w:spacing w:after="0"/>
              <w:jc w:val="right"/>
            </w:pPr>
            <w:r w:rsidRPr="000C6BD9">
              <w:t xml:space="preserve">             59,596,502 </w:t>
            </w:r>
          </w:p>
        </w:tc>
        <w:tc>
          <w:tcPr>
            <w:tcW w:w="2659" w:type="dxa"/>
            <w:vAlign w:val="center"/>
          </w:tcPr>
          <w:p w14:paraId="05E0FA1B" w14:textId="0ABA583A" w:rsidR="00AB1702" w:rsidRPr="006A4699" w:rsidRDefault="00AB1702" w:rsidP="00AB1702">
            <w:pPr>
              <w:spacing w:after="0"/>
              <w:jc w:val="right"/>
            </w:pPr>
            <w:r w:rsidRPr="008D1650">
              <w:t xml:space="preserve"> 59,596,502 </w:t>
            </w:r>
          </w:p>
        </w:tc>
        <w:tc>
          <w:tcPr>
            <w:tcW w:w="2768" w:type="dxa"/>
            <w:vAlign w:val="center"/>
          </w:tcPr>
          <w:p w14:paraId="22E78A51" w14:textId="47FE1FCE" w:rsidR="00AB1702" w:rsidRPr="006A4699" w:rsidRDefault="00AB1702" w:rsidP="00AB1702">
            <w:pPr>
              <w:spacing w:after="0"/>
              <w:jc w:val="right"/>
            </w:pPr>
            <w:r w:rsidRPr="000C6BD9">
              <w:t xml:space="preserve">               62,656,297 </w:t>
            </w:r>
          </w:p>
        </w:tc>
        <w:tc>
          <w:tcPr>
            <w:tcW w:w="2673" w:type="dxa"/>
            <w:vAlign w:val="center"/>
          </w:tcPr>
          <w:p w14:paraId="27B21B38" w14:textId="197979FD" w:rsidR="00AB1702" w:rsidRPr="006A4699" w:rsidRDefault="00AB1702" w:rsidP="00AB1702">
            <w:pPr>
              <w:spacing w:after="0"/>
              <w:jc w:val="right"/>
            </w:pPr>
            <w:r w:rsidRPr="00171A2D">
              <w:t xml:space="preserve"> 62,656,297 </w:t>
            </w:r>
          </w:p>
        </w:tc>
      </w:tr>
      <w:tr w:rsidR="00AB1702" w:rsidRPr="006E35B7" w14:paraId="4320B8C4" w14:textId="77777777" w:rsidTr="00AB1702">
        <w:trPr>
          <w:trHeight w:val="271"/>
        </w:trPr>
        <w:tc>
          <w:tcPr>
            <w:tcW w:w="3595" w:type="dxa"/>
            <w:vAlign w:val="center"/>
          </w:tcPr>
          <w:p w14:paraId="53E5B3B2" w14:textId="3BBC2DC7" w:rsidR="00AB1702" w:rsidRPr="006A4699" w:rsidRDefault="00AB1702" w:rsidP="00AB1702">
            <w:pPr>
              <w:spacing w:after="0"/>
            </w:pPr>
            <w:r w:rsidRPr="000C6BD9">
              <w:t>Books and Supplies</w:t>
            </w:r>
          </w:p>
        </w:tc>
        <w:tc>
          <w:tcPr>
            <w:tcW w:w="2700" w:type="dxa"/>
            <w:vAlign w:val="center"/>
          </w:tcPr>
          <w:p w14:paraId="2E2B9D17" w14:textId="5BA26D92" w:rsidR="00AB1702" w:rsidRPr="006A4699" w:rsidRDefault="00AB1702" w:rsidP="00AB1702">
            <w:pPr>
              <w:spacing w:after="0"/>
              <w:jc w:val="right"/>
            </w:pPr>
            <w:r w:rsidRPr="000C6BD9">
              <w:t xml:space="preserve">               9,533,861 </w:t>
            </w:r>
          </w:p>
        </w:tc>
        <w:tc>
          <w:tcPr>
            <w:tcW w:w="2659" w:type="dxa"/>
            <w:vAlign w:val="center"/>
          </w:tcPr>
          <w:p w14:paraId="5A3644A2" w14:textId="47CF43F8" w:rsidR="00AB1702" w:rsidRPr="006A4699" w:rsidRDefault="00AB1702" w:rsidP="00AB1702">
            <w:pPr>
              <w:spacing w:after="0"/>
              <w:jc w:val="right"/>
            </w:pPr>
            <w:r w:rsidRPr="008D1650">
              <w:t xml:space="preserve"> 9,533,861 </w:t>
            </w:r>
          </w:p>
        </w:tc>
        <w:tc>
          <w:tcPr>
            <w:tcW w:w="2768" w:type="dxa"/>
            <w:vAlign w:val="center"/>
          </w:tcPr>
          <w:p w14:paraId="6EF3ED6A" w14:textId="5438B332" w:rsidR="00AB1702" w:rsidRPr="006A4699" w:rsidRDefault="00AB1702" w:rsidP="00AB1702">
            <w:pPr>
              <w:spacing w:after="0"/>
              <w:jc w:val="right"/>
            </w:pPr>
            <w:r w:rsidRPr="000C6BD9">
              <w:t xml:space="preserve">               10,962,910 </w:t>
            </w:r>
          </w:p>
        </w:tc>
        <w:tc>
          <w:tcPr>
            <w:tcW w:w="2673" w:type="dxa"/>
            <w:vAlign w:val="center"/>
          </w:tcPr>
          <w:p w14:paraId="1EE7F14C" w14:textId="7581B1A2" w:rsidR="00AB1702" w:rsidRPr="006A4699" w:rsidRDefault="00AB1702" w:rsidP="00AB1702">
            <w:pPr>
              <w:spacing w:after="0"/>
              <w:jc w:val="right"/>
            </w:pPr>
            <w:r w:rsidRPr="00171A2D">
              <w:t xml:space="preserve"> 10,962,910 </w:t>
            </w:r>
          </w:p>
        </w:tc>
      </w:tr>
      <w:tr w:rsidR="00AB1702" w:rsidRPr="006E35B7" w14:paraId="7D2582C3" w14:textId="77777777" w:rsidTr="00AB1702">
        <w:trPr>
          <w:trHeight w:val="581"/>
        </w:trPr>
        <w:tc>
          <w:tcPr>
            <w:tcW w:w="3595" w:type="dxa"/>
            <w:vAlign w:val="center"/>
          </w:tcPr>
          <w:p w14:paraId="1E6F8D3C" w14:textId="0445ABD6" w:rsidR="00AB1702" w:rsidRPr="006A4699" w:rsidRDefault="00AB1702" w:rsidP="00AB1702">
            <w:pPr>
              <w:spacing w:after="0"/>
            </w:pPr>
            <w:r w:rsidRPr="000C6BD9">
              <w:t>Service and Other Operating Expenses</w:t>
            </w:r>
          </w:p>
        </w:tc>
        <w:tc>
          <w:tcPr>
            <w:tcW w:w="2700" w:type="dxa"/>
            <w:vAlign w:val="center"/>
          </w:tcPr>
          <w:p w14:paraId="3889E69A" w14:textId="4D7647CE" w:rsidR="00AB1702" w:rsidRPr="006A4699" w:rsidRDefault="00AB1702" w:rsidP="00AB1702">
            <w:pPr>
              <w:spacing w:after="0"/>
              <w:jc w:val="right"/>
            </w:pPr>
            <w:r w:rsidRPr="000C6BD9">
              <w:t xml:space="preserve">         12,731,834 </w:t>
            </w:r>
          </w:p>
        </w:tc>
        <w:tc>
          <w:tcPr>
            <w:tcW w:w="2659" w:type="dxa"/>
            <w:vAlign w:val="center"/>
          </w:tcPr>
          <w:p w14:paraId="1D607771" w14:textId="4B793A93" w:rsidR="00AB1702" w:rsidRPr="006A4699" w:rsidRDefault="00AB1702" w:rsidP="00AB1702">
            <w:pPr>
              <w:spacing w:after="0"/>
              <w:jc w:val="right"/>
            </w:pPr>
            <w:r w:rsidRPr="008D1650">
              <w:t xml:space="preserve"> 12,731,834 </w:t>
            </w:r>
          </w:p>
        </w:tc>
        <w:tc>
          <w:tcPr>
            <w:tcW w:w="2768" w:type="dxa"/>
            <w:vAlign w:val="center"/>
          </w:tcPr>
          <w:p w14:paraId="18D2E732" w14:textId="3D3D5746" w:rsidR="00AB1702" w:rsidRPr="006A4699" w:rsidRDefault="00AB1702" w:rsidP="00AB1702">
            <w:pPr>
              <w:spacing w:after="0"/>
              <w:jc w:val="right"/>
            </w:pPr>
            <w:r w:rsidRPr="000C6BD9">
              <w:t xml:space="preserve">               23,194,355 </w:t>
            </w:r>
          </w:p>
        </w:tc>
        <w:tc>
          <w:tcPr>
            <w:tcW w:w="2673" w:type="dxa"/>
            <w:vAlign w:val="center"/>
          </w:tcPr>
          <w:p w14:paraId="6DFC2507" w14:textId="11936F9D" w:rsidR="00AB1702" w:rsidRPr="006A4699" w:rsidRDefault="00AB1702" w:rsidP="00AB1702">
            <w:pPr>
              <w:spacing w:after="0"/>
              <w:jc w:val="right"/>
            </w:pPr>
            <w:r w:rsidRPr="00171A2D">
              <w:t xml:space="preserve"> 23,194,355 </w:t>
            </w:r>
          </w:p>
        </w:tc>
      </w:tr>
      <w:tr w:rsidR="00AB1702" w:rsidRPr="006E35B7" w14:paraId="67B3F8A3" w14:textId="77777777" w:rsidTr="00AB1702">
        <w:trPr>
          <w:trHeight w:val="271"/>
        </w:trPr>
        <w:tc>
          <w:tcPr>
            <w:tcW w:w="3595" w:type="dxa"/>
            <w:vAlign w:val="center"/>
          </w:tcPr>
          <w:p w14:paraId="1D853FEA" w14:textId="2F98617C" w:rsidR="00AB1702" w:rsidRPr="006A4699" w:rsidRDefault="00AB1702" w:rsidP="00AB1702">
            <w:pPr>
              <w:spacing w:after="0"/>
            </w:pPr>
            <w:r w:rsidRPr="000C6BD9">
              <w:t>Capital Expenses</w:t>
            </w:r>
          </w:p>
        </w:tc>
        <w:tc>
          <w:tcPr>
            <w:tcW w:w="2700" w:type="dxa"/>
            <w:vAlign w:val="center"/>
          </w:tcPr>
          <w:p w14:paraId="1BF1C5AF" w14:textId="494397D3" w:rsidR="00AB1702" w:rsidRPr="006A4699" w:rsidRDefault="00AB1702" w:rsidP="00AB1702">
            <w:pPr>
              <w:spacing w:after="0"/>
              <w:jc w:val="right"/>
            </w:pPr>
            <w:r w:rsidRPr="000C6BD9">
              <w:t xml:space="preserve">                    30,994 </w:t>
            </w:r>
          </w:p>
        </w:tc>
        <w:tc>
          <w:tcPr>
            <w:tcW w:w="2659" w:type="dxa"/>
            <w:vAlign w:val="center"/>
          </w:tcPr>
          <w:p w14:paraId="25397D9A" w14:textId="2C61E09C" w:rsidR="00AB1702" w:rsidRPr="006A4699" w:rsidRDefault="00AB1702" w:rsidP="00AB1702">
            <w:pPr>
              <w:spacing w:after="0"/>
              <w:jc w:val="right"/>
            </w:pPr>
            <w:r w:rsidRPr="008D1650">
              <w:t xml:space="preserve"> 30,994 </w:t>
            </w:r>
          </w:p>
        </w:tc>
        <w:tc>
          <w:tcPr>
            <w:tcW w:w="2768" w:type="dxa"/>
            <w:vAlign w:val="center"/>
          </w:tcPr>
          <w:p w14:paraId="29944B2C" w14:textId="4643A426" w:rsidR="00AB1702" w:rsidRPr="006A4699" w:rsidRDefault="00AB1702" w:rsidP="00AB1702">
            <w:pPr>
              <w:spacing w:after="0"/>
              <w:jc w:val="right"/>
            </w:pPr>
            <w:r w:rsidRPr="000C6BD9">
              <w:t xml:space="preserve">                    541,411 </w:t>
            </w:r>
          </w:p>
        </w:tc>
        <w:tc>
          <w:tcPr>
            <w:tcW w:w="2673" w:type="dxa"/>
            <w:vAlign w:val="center"/>
          </w:tcPr>
          <w:p w14:paraId="3914A2BD" w14:textId="4D89988C" w:rsidR="00AB1702" w:rsidRPr="006A4699" w:rsidRDefault="00AB1702" w:rsidP="00AB1702">
            <w:pPr>
              <w:spacing w:after="0"/>
              <w:jc w:val="right"/>
            </w:pPr>
            <w:r w:rsidRPr="00171A2D">
              <w:t xml:space="preserve"> 541,411 </w:t>
            </w:r>
          </w:p>
        </w:tc>
      </w:tr>
      <w:tr w:rsidR="00AB1702" w:rsidRPr="006E35B7" w14:paraId="05464006" w14:textId="77777777" w:rsidTr="00AB1702">
        <w:trPr>
          <w:trHeight w:val="286"/>
        </w:trPr>
        <w:tc>
          <w:tcPr>
            <w:tcW w:w="3595" w:type="dxa"/>
            <w:vAlign w:val="center"/>
          </w:tcPr>
          <w:p w14:paraId="4A851781" w14:textId="47BB8824" w:rsidR="00AB1702" w:rsidRPr="006A4699" w:rsidRDefault="00AB1702" w:rsidP="00AB1702">
            <w:pPr>
              <w:spacing w:after="0"/>
            </w:pPr>
            <w:r w:rsidRPr="0080536F">
              <w:t>Other Outgo Expense</w:t>
            </w:r>
          </w:p>
        </w:tc>
        <w:tc>
          <w:tcPr>
            <w:tcW w:w="2700" w:type="dxa"/>
            <w:vAlign w:val="center"/>
          </w:tcPr>
          <w:p w14:paraId="6EE39803" w14:textId="2861E8EE" w:rsidR="00AB1702" w:rsidRPr="006A4699" w:rsidRDefault="00AB1702" w:rsidP="00AB1702">
            <w:pPr>
              <w:spacing w:after="0"/>
              <w:jc w:val="right"/>
            </w:pPr>
            <w:r w:rsidRPr="0080536F">
              <w:t xml:space="preserve">                  255,177 </w:t>
            </w:r>
          </w:p>
        </w:tc>
        <w:tc>
          <w:tcPr>
            <w:tcW w:w="2659" w:type="dxa"/>
            <w:vAlign w:val="center"/>
          </w:tcPr>
          <w:p w14:paraId="2C4B975D" w14:textId="1232AFDF" w:rsidR="00AB1702" w:rsidRPr="006A4699" w:rsidRDefault="00AB1702" w:rsidP="00AB1702">
            <w:pPr>
              <w:spacing w:after="0"/>
              <w:jc w:val="right"/>
            </w:pPr>
            <w:r w:rsidRPr="008D1650">
              <w:t xml:space="preserve"> 255,177 </w:t>
            </w:r>
          </w:p>
        </w:tc>
        <w:tc>
          <w:tcPr>
            <w:tcW w:w="2768" w:type="dxa"/>
            <w:vAlign w:val="center"/>
          </w:tcPr>
          <w:p w14:paraId="6AFA9064" w14:textId="06E24A11" w:rsidR="00AB1702" w:rsidRPr="006A4699" w:rsidRDefault="00AB1702" w:rsidP="00AB1702">
            <w:pPr>
              <w:spacing w:after="0"/>
              <w:jc w:val="right"/>
            </w:pPr>
            <w:r w:rsidRPr="0080536F">
              <w:t xml:space="preserve">                    220,000 </w:t>
            </w:r>
          </w:p>
        </w:tc>
        <w:tc>
          <w:tcPr>
            <w:tcW w:w="2673" w:type="dxa"/>
            <w:vAlign w:val="center"/>
          </w:tcPr>
          <w:p w14:paraId="298242B7" w14:textId="5B4693E5" w:rsidR="00AB1702" w:rsidRPr="006A4699" w:rsidRDefault="00AB1702" w:rsidP="00AB1702">
            <w:pPr>
              <w:spacing w:after="0"/>
              <w:jc w:val="right"/>
            </w:pPr>
            <w:r w:rsidRPr="00171A2D">
              <w:t xml:space="preserve"> 220,000 </w:t>
            </w:r>
          </w:p>
        </w:tc>
      </w:tr>
      <w:tr w:rsidR="00AB1702" w:rsidRPr="006E35B7" w14:paraId="23855EFE" w14:textId="77777777" w:rsidTr="00AB1702">
        <w:trPr>
          <w:trHeight w:val="557"/>
        </w:trPr>
        <w:tc>
          <w:tcPr>
            <w:tcW w:w="3595" w:type="dxa"/>
            <w:vAlign w:val="center"/>
          </w:tcPr>
          <w:p w14:paraId="29590F97" w14:textId="635D3E0F" w:rsidR="00AB1702" w:rsidRPr="006A4699" w:rsidRDefault="00AB1702" w:rsidP="00AB1702">
            <w:pPr>
              <w:spacing w:after="0"/>
            </w:pPr>
            <w:r w:rsidRPr="0080536F">
              <w:t>Direct Support / Indirect Costs</w:t>
            </w:r>
          </w:p>
        </w:tc>
        <w:tc>
          <w:tcPr>
            <w:tcW w:w="2700" w:type="dxa"/>
            <w:vAlign w:val="center"/>
          </w:tcPr>
          <w:p w14:paraId="58B7CED3" w14:textId="04F5F13E" w:rsidR="00AB1702" w:rsidRPr="006A4699" w:rsidRDefault="00AB1702" w:rsidP="00AB1702">
            <w:pPr>
              <w:spacing w:after="0"/>
              <w:jc w:val="right"/>
            </w:pPr>
            <w:r w:rsidRPr="0080536F">
              <w:t xml:space="preserve">                (635,723)</w:t>
            </w:r>
          </w:p>
        </w:tc>
        <w:tc>
          <w:tcPr>
            <w:tcW w:w="2659" w:type="dxa"/>
            <w:vAlign w:val="center"/>
          </w:tcPr>
          <w:p w14:paraId="1E864C9F" w14:textId="1827E789" w:rsidR="00AB1702" w:rsidRPr="006A4699" w:rsidRDefault="00AB1702" w:rsidP="00AB1702">
            <w:pPr>
              <w:spacing w:after="0"/>
              <w:jc w:val="right"/>
            </w:pPr>
            <w:r w:rsidRPr="008D1650">
              <w:t xml:space="preserve"> (635,723)</w:t>
            </w:r>
          </w:p>
        </w:tc>
        <w:tc>
          <w:tcPr>
            <w:tcW w:w="2768" w:type="dxa"/>
            <w:vAlign w:val="center"/>
          </w:tcPr>
          <w:p w14:paraId="21362CAE" w14:textId="4DB16775" w:rsidR="00AB1702" w:rsidRPr="006A4699" w:rsidRDefault="00AB1702" w:rsidP="00AB1702">
            <w:pPr>
              <w:spacing w:after="0"/>
              <w:jc w:val="right"/>
            </w:pPr>
            <w:r w:rsidRPr="0080536F">
              <w:t xml:space="preserve">                (1,328,549)</w:t>
            </w:r>
          </w:p>
        </w:tc>
        <w:tc>
          <w:tcPr>
            <w:tcW w:w="2673" w:type="dxa"/>
            <w:vAlign w:val="center"/>
          </w:tcPr>
          <w:p w14:paraId="365CDC8A" w14:textId="6F8B572B" w:rsidR="00AB1702" w:rsidRPr="006A4699" w:rsidRDefault="00AB1702" w:rsidP="00AB1702">
            <w:pPr>
              <w:spacing w:after="0"/>
              <w:jc w:val="right"/>
            </w:pPr>
            <w:r w:rsidRPr="00171A2D">
              <w:t xml:space="preserve"> (1,328,549)</w:t>
            </w:r>
          </w:p>
        </w:tc>
      </w:tr>
      <w:tr w:rsidR="00AB1702" w:rsidRPr="00555584" w14:paraId="3F697388" w14:textId="77777777" w:rsidTr="00AB1702">
        <w:trPr>
          <w:trHeight w:val="271"/>
        </w:trPr>
        <w:tc>
          <w:tcPr>
            <w:tcW w:w="3595" w:type="dxa"/>
            <w:shd w:val="clear" w:color="auto" w:fill="auto"/>
            <w:vAlign w:val="center"/>
          </w:tcPr>
          <w:p w14:paraId="6323EEFE" w14:textId="722CA519" w:rsidR="00AB1702" w:rsidRPr="00555584" w:rsidRDefault="00AB1702" w:rsidP="00AB1702">
            <w:pPr>
              <w:spacing w:after="0"/>
              <w:jc w:val="right"/>
              <w:rPr>
                <w:b/>
                <w:bCs/>
              </w:rPr>
            </w:pPr>
            <w:r w:rsidRPr="00555584">
              <w:rPr>
                <w:b/>
                <w:bCs/>
              </w:rPr>
              <w:t>Total Expenditures</w:t>
            </w:r>
          </w:p>
        </w:tc>
        <w:tc>
          <w:tcPr>
            <w:tcW w:w="2700" w:type="dxa"/>
            <w:shd w:val="clear" w:color="auto" w:fill="auto"/>
            <w:vAlign w:val="center"/>
          </w:tcPr>
          <w:p w14:paraId="749478FC" w14:textId="7B977E3F" w:rsidR="00AB1702" w:rsidRPr="00555584" w:rsidRDefault="00AB1702" w:rsidP="00AB1702">
            <w:pPr>
              <w:spacing w:after="0"/>
              <w:jc w:val="right"/>
              <w:rPr>
                <w:b/>
                <w:bCs/>
              </w:rPr>
            </w:pPr>
            <w:r w:rsidRPr="00555584">
              <w:rPr>
                <w:b/>
                <w:bCs/>
              </w:rPr>
              <w:t xml:space="preserve">           212,035,234 </w:t>
            </w:r>
          </w:p>
        </w:tc>
        <w:tc>
          <w:tcPr>
            <w:tcW w:w="2659" w:type="dxa"/>
            <w:shd w:val="clear" w:color="auto" w:fill="auto"/>
            <w:vAlign w:val="center"/>
          </w:tcPr>
          <w:p w14:paraId="7EF25F44" w14:textId="2BB5C5F5" w:rsidR="00AB1702" w:rsidRPr="00B03BB2" w:rsidRDefault="00AB1702" w:rsidP="00AB1702">
            <w:pPr>
              <w:spacing w:after="0"/>
              <w:jc w:val="right"/>
              <w:rPr>
                <w:b/>
                <w:bCs/>
              </w:rPr>
            </w:pPr>
            <w:r w:rsidRPr="00B03BB2">
              <w:rPr>
                <w:b/>
                <w:bCs/>
              </w:rPr>
              <w:t xml:space="preserve"> 212,035,234 </w:t>
            </w:r>
          </w:p>
        </w:tc>
        <w:tc>
          <w:tcPr>
            <w:tcW w:w="2768" w:type="dxa"/>
            <w:shd w:val="clear" w:color="auto" w:fill="auto"/>
            <w:vAlign w:val="center"/>
          </w:tcPr>
          <w:p w14:paraId="333DC07F" w14:textId="56A295EB" w:rsidR="00AB1702" w:rsidRPr="00B03BB2" w:rsidRDefault="00AB1702" w:rsidP="00AB1702">
            <w:pPr>
              <w:spacing w:after="0"/>
              <w:jc w:val="right"/>
              <w:rPr>
                <w:b/>
                <w:bCs/>
              </w:rPr>
            </w:pPr>
            <w:r w:rsidRPr="00B03BB2">
              <w:rPr>
                <w:b/>
                <w:bCs/>
              </w:rPr>
              <w:t xml:space="preserve">             226,133,818 </w:t>
            </w:r>
          </w:p>
        </w:tc>
        <w:tc>
          <w:tcPr>
            <w:tcW w:w="2673" w:type="dxa"/>
            <w:shd w:val="clear" w:color="auto" w:fill="auto"/>
            <w:vAlign w:val="center"/>
          </w:tcPr>
          <w:p w14:paraId="630E874D" w14:textId="2E070A9C" w:rsidR="00AB1702" w:rsidRPr="00B03BB2" w:rsidRDefault="00AB1702" w:rsidP="00AB1702">
            <w:pPr>
              <w:spacing w:after="0"/>
              <w:jc w:val="right"/>
              <w:rPr>
                <w:b/>
                <w:bCs/>
              </w:rPr>
            </w:pPr>
            <w:r w:rsidRPr="00B03BB2">
              <w:rPr>
                <w:b/>
                <w:bCs/>
              </w:rPr>
              <w:t xml:space="preserve"> 226,133,818 </w:t>
            </w:r>
          </w:p>
        </w:tc>
      </w:tr>
      <w:tr w:rsidR="00AB1702" w:rsidRPr="006E35B7" w14:paraId="2D2DEA46" w14:textId="77777777" w:rsidTr="00AB1702">
        <w:trPr>
          <w:trHeight w:val="286"/>
        </w:trPr>
        <w:tc>
          <w:tcPr>
            <w:tcW w:w="3595" w:type="dxa"/>
            <w:shd w:val="clear" w:color="auto" w:fill="E7E6E6" w:themeFill="background2"/>
            <w:vAlign w:val="center"/>
          </w:tcPr>
          <w:p w14:paraId="2353244A" w14:textId="472BFFED" w:rsidR="00AB1702" w:rsidRPr="00424245" w:rsidRDefault="00AB1702" w:rsidP="00AB1702">
            <w:pPr>
              <w:spacing w:after="0"/>
              <w:jc w:val="right"/>
              <w:rPr>
                <w:b/>
                <w:bCs/>
              </w:rPr>
            </w:pPr>
            <w:r w:rsidRPr="00424245">
              <w:rPr>
                <w:b/>
                <w:bCs/>
              </w:rPr>
              <w:lastRenderedPageBreak/>
              <w:t>EXCESS /</w:t>
            </w:r>
            <w:r>
              <w:rPr>
                <w:b/>
                <w:bCs/>
              </w:rPr>
              <w:t xml:space="preserve"> </w:t>
            </w:r>
            <w:r w:rsidRPr="00424245">
              <w:rPr>
                <w:b/>
                <w:bCs/>
              </w:rPr>
              <w:t>(DEFICIENCY)</w:t>
            </w:r>
          </w:p>
        </w:tc>
        <w:tc>
          <w:tcPr>
            <w:tcW w:w="2700" w:type="dxa"/>
            <w:shd w:val="clear" w:color="auto" w:fill="E7E6E6" w:themeFill="background2"/>
            <w:vAlign w:val="center"/>
          </w:tcPr>
          <w:p w14:paraId="47A402A0" w14:textId="2C7F0D50" w:rsidR="00AB1702" w:rsidRPr="00424245" w:rsidRDefault="00AB1702" w:rsidP="00AB1702">
            <w:pPr>
              <w:spacing w:after="0"/>
              <w:jc w:val="right"/>
              <w:rPr>
                <w:b/>
                <w:bCs/>
              </w:rPr>
            </w:pPr>
            <w:r w:rsidRPr="00424245">
              <w:rPr>
                <w:b/>
                <w:bCs/>
              </w:rPr>
              <w:t xml:space="preserve">             35,468,783 </w:t>
            </w:r>
          </w:p>
        </w:tc>
        <w:tc>
          <w:tcPr>
            <w:tcW w:w="2659" w:type="dxa"/>
            <w:shd w:val="clear" w:color="auto" w:fill="E7E6E6" w:themeFill="background2"/>
            <w:vAlign w:val="center"/>
          </w:tcPr>
          <w:p w14:paraId="7A05827F" w14:textId="51FFE375" w:rsidR="00AB1702" w:rsidRPr="00B03BB2" w:rsidRDefault="00AB1702" w:rsidP="00AB1702">
            <w:pPr>
              <w:spacing w:after="0"/>
              <w:jc w:val="right"/>
              <w:rPr>
                <w:b/>
                <w:bCs/>
              </w:rPr>
            </w:pPr>
            <w:r w:rsidRPr="00B03BB2">
              <w:rPr>
                <w:b/>
                <w:bCs/>
              </w:rPr>
              <w:t xml:space="preserve"> 33,307,171 </w:t>
            </w:r>
          </w:p>
        </w:tc>
        <w:tc>
          <w:tcPr>
            <w:tcW w:w="2768" w:type="dxa"/>
            <w:shd w:val="clear" w:color="auto" w:fill="E7E6E6" w:themeFill="background2"/>
            <w:vAlign w:val="center"/>
          </w:tcPr>
          <w:p w14:paraId="406C4231" w14:textId="47985A9A" w:rsidR="00AB1702" w:rsidRPr="00B03BB2" w:rsidRDefault="00AB1702" w:rsidP="00AB1702">
            <w:pPr>
              <w:spacing w:after="0"/>
              <w:jc w:val="right"/>
              <w:rPr>
                <w:b/>
                <w:bCs/>
              </w:rPr>
            </w:pPr>
            <w:r w:rsidRPr="00B03BB2">
              <w:rPr>
                <w:b/>
                <w:bCs/>
              </w:rPr>
              <w:t xml:space="preserve">               32,679,754 </w:t>
            </w:r>
          </w:p>
        </w:tc>
        <w:tc>
          <w:tcPr>
            <w:tcW w:w="2673" w:type="dxa"/>
            <w:shd w:val="clear" w:color="auto" w:fill="E7E6E6" w:themeFill="background2"/>
            <w:vAlign w:val="center"/>
          </w:tcPr>
          <w:p w14:paraId="1434159D" w14:textId="6B5F890A" w:rsidR="00AB1702" w:rsidRPr="00B03BB2" w:rsidRDefault="00B03BB2" w:rsidP="00B03BB2">
            <w:pPr>
              <w:spacing w:after="0"/>
              <w:jc w:val="right"/>
              <w:rPr>
                <w:rFonts w:cs="Arial"/>
                <w:b/>
                <w:bCs/>
                <w:color w:val="000000"/>
              </w:rPr>
            </w:pPr>
            <w:r>
              <w:rPr>
                <w:rFonts w:cs="Arial"/>
                <w:b/>
                <w:bCs/>
                <w:color w:val="000000"/>
              </w:rPr>
              <w:t xml:space="preserve">30,514,059 </w:t>
            </w:r>
          </w:p>
        </w:tc>
      </w:tr>
      <w:tr w:rsidR="00AB1702" w:rsidRPr="006E35B7" w14:paraId="5D9139FD" w14:textId="77777777" w:rsidTr="00AB1702">
        <w:trPr>
          <w:trHeight w:val="271"/>
        </w:trPr>
        <w:tc>
          <w:tcPr>
            <w:tcW w:w="3595" w:type="dxa"/>
            <w:vAlign w:val="center"/>
          </w:tcPr>
          <w:p w14:paraId="7DAEC677" w14:textId="24F7E25D" w:rsidR="00AB1702" w:rsidRPr="0080536F" w:rsidRDefault="00AB1702" w:rsidP="00AB1702">
            <w:pPr>
              <w:spacing w:after="0"/>
            </w:pPr>
            <w:r w:rsidRPr="00DD7C88">
              <w:t>Transfers In</w:t>
            </w:r>
          </w:p>
        </w:tc>
        <w:tc>
          <w:tcPr>
            <w:tcW w:w="2700" w:type="dxa"/>
            <w:vAlign w:val="center"/>
          </w:tcPr>
          <w:p w14:paraId="3500AE01" w14:textId="65A834EB" w:rsidR="00AB1702" w:rsidRPr="0080536F" w:rsidRDefault="00AB1702" w:rsidP="00AB1702">
            <w:pPr>
              <w:spacing w:after="0"/>
              <w:jc w:val="right"/>
            </w:pPr>
            <w:r w:rsidRPr="00DD7C88">
              <w:t xml:space="preserve">               4,525,152 </w:t>
            </w:r>
          </w:p>
        </w:tc>
        <w:tc>
          <w:tcPr>
            <w:tcW w:w="2659" w:type="dxa"/>
            <w:vAlign w:val="center"/>
          </w:tcPr>
          <w:p w14:paraId="7620300E" w14:textId="21D0CF67" w:rsidR="00AB1702" w:rsidRPr="0080536F" w:rsidRDefault="00AB1702" w:rsidP="00AB1702">
            <w:pPr>
              <w:spacing w:after="0"/>
              <w:jc w:val="right"/>
            </w:pPr>
            <w:r w:rsidRPr="008D1650">
              <w:t xml:space="preserve"> 4,525,152 </w:t>
            </w:r>
          </w:p>
        </w:tc>
        <w:tc>
          <w:tcPr>
            <w:tcW w:w="2768" w:type="dxa"/>
            <w:vAlign w:val="center"/>
          </w:tcPr>
          <w:p w14:paraId="4BE0852B" w14:textId="01495C3F" w:rsidR="00AB1702" w:rsidRPr="0080536F" w:rsidRDefault="00AB1702" w:rsidP="00AB1702">
            <w:pPr>
              <w:spacing w:after="0"/>
              <w:jc w:val="right"/>
            </w:pPr>
            <w:r w:rsidRPr="00DD7C88">
              <w:t xml:space="preserve">                               - </w:t>
            </w:r>
          </w:p>
        </w:tc>
        <w:tc>
          <w:tcPr>
            <w:tcW w:w="2673" w:type="dxa"/>
            <w:vAlign w:val="center"/>
          </w:tcPr>
          <w:p w14:paraId="7F6194AA" w14:textId="1CD791E2" w:rsidR="00AB1702" w:rsidRPr="0080536F" w:rsidRDefault="00AB1702" w:rsidP="00AB1702">
            <w:pPr>
              <w:spacing w:after="0"/>
              <w:jc w:val="right"/>
            </w:pPr>
            <w:r w:rsidRPr="00171A2D">
              <w:t xml:space="preserve"> - </w:t>
            </w:r>
          </w:p>
        </w:tc>
      </w:tr>
      <w:tr w:rsidR="00AB1702" w:rsidRPr="006E35B7" w14:paraId="78DA90CE" w14:textId="77777777" w:rsidTr="00AB1702">
        <w:trPr>
          <w:trHeight w:val="286"/>
        </w:trPr>
        <w:tc>
          <w:tcPr>
            <w:tcW w:w="3595" w:type="dxa"/>
            <w:vAlign w:val="center"/>
          </w:tcPr>
          <w:p w14:paraId="5A380461" w14:textId="09178794" w:rsidR="00AB1702" w:rsidRPr="0080536F" w:rsidRDefault="00AB1702" w:rsidP="00AB1702">
            <w:pPr>
              <w:spacing w:after="0"/>
            </w:pPr>
            <w:r w:rsidRPr="00DD7C88">
              <w:t>Transfers Out</w:t>
            </w:r>
          </w:p>
        </w:tc>
        <w:tc>
          <w:tcPr>
            <w:tcW w:w="2700" w:type="dxa"/>
            <w:vAlign w:val="center"/>
          </w:tcPr>
          <w:p w14:paraId="320CDCEC" w14:textId="69E4C605" w:rsidR="00AB1702" w:rsidRPr="0080536F" w:rsidRDefault="00AB1702" w:rsidP="00AB1702">
            <w:pPr>
              <w:spacing w:after="0"/>
              <w:jc w:val="right"/>
            </w:pPr>
            <w:r w:rsidRPr="00DD7C88">
              <w:t xml:space="preserve">                             - </w:t>
            </w:r>
          </w:p>
        </w:tc>
        <w:tc>
          <w:tcPr>
            <w:tcW w:w="2659" w:type="dxa"/>
            <w:vAlign w:val="center"/>
          </w:tcPr>
          <w:p w14:paraId="328421DA" w14:textId="4810C5AC" w:rsidR="00AB1702" w:rsidRPr="0080536F" w:rsidRDefault="00AB1702" w:rsidP="00AB1702">
            <w:pPr>
              <w:spacing w:after="0"/>
              <w:jc w:val="right"/>
            </w:pPr>
            <w:r w:rsidRPr="008D1650">
              <w:t xml:space="preserve"> - </w:t>
            </w:r>
          </w:p>
        </w:tc>
        <w:tc>
          <w:tcPr>
            <w:tcW w:w="2768" w:type="dxa"/>
            <w:vAlign w:val="center"/>
          </w:tcPr>
          <w:p w14:paraId="1213730D" w14:textId="07D5D695" w:rsidR="00AB1702" w:rsidRPr="0080536F" w:rsidRDefault="00AB1702" w:rsidP="00AB1702">
            <w:pPr>
              <w:spacing w:after="0"/>
              <w:jc w:val="right"/>
            </w:pPr>
            <w:r w:rsidRPr="00DD7C88">
              <w:t xml:space="preserve">                        7,877 </w:t>
            </w:r>
          </w:p>
        </w:tc>
        <w:tc>
          <w:tcPr>
            <w:tcW w:w="2673" w:type="dxa"/>
            <w:vAlign w:val="center"/>
          </w:tcPr>
          <w:p w14:paraId="0F317ECF" w14:textId="631774F0" w:rsidR="00AB1702" w:rsidRPr="0080536F" w:rsidRDefault="00AB1702" w:rsidP="00AB1702">
            <w:pPr>
              <w:spacing w:after="0"/>
              <w:jc w:val="right"/>
            </w:pPr>
            <w:r w:rsidRPr="00171A2D">
              <w:t xml:space="preserve"> 7,877 </w:t>
            </w:r>
          </w:p>
        </w:tc>
      </w:tr>
      <w:tr w:rsidR="00AB1702" w:rsidRPr="006E35B7" w14:paraId="33D9BC3C" w14:textId="77777777" w:rsidTr="00AB1702">
        <w:trPr>
          <w:trHeight w:val="286"/>
        </w:trPr>
        <w:tc>
          <w:tcPr>
            <w:tcW w:w="3595" w:type="dxa"/>
            <w:vAlign w:val="center"/>
          </w:tcPr>
          <w:p w14:paraId="3A550604" w14:textId="2C85A1DC" w:rsidR="00AB1702" w:rsidRPr="0080536F" w:rsidRDefault="00AB1702" w:rsidP="00AB1702">
            <w:pPr>
              <w:spacing w:after="0"/>
            </w:pPr>
            <w:r w:rsidRPr="00A158CF">
              <w:t>Other Sources</w:t>
            </w:r>
          </w:p>
        </w:tc>
        <w:tc>
          <w:tcPr>
            <w:tcW w:w="2700" w:type="dxa"/>
            <w:vAlign w:val="center"/>
          </w:tcPr>
          <w:p w14:paraId="6AD495D3" w14:textId="088D98AB" w:rsidR="00AB1702" w:rsidRPr="0080536F" w:rsidRDefault="00AB1702" w:rsidP="00AB1702">
            <w:pPr>
              <w:spacing w:after="0"/>
              <w:jc w:val="right"/>
            </w:pPr>
            <w:r w:rsidRPr="00A158CF">
              <w:t xml:space="preserve">                              - </w:t>
            </w:r>
          </w:p>
        </w:tc>
        <w:tc>
          <w:tcPr>
            <w:tcW w:w="2659" w:type="dxa"/>
            <w:vAlign w:val="center"/>
          </w:tcPr>
          <w:p w14:paraId="7884BFB4" w14:textId="28516E3C" w:rsidR="00AB1702" w:rsidRPr="0080536F" w:rsidRDefault="00AB1702" w:rsidP="00AB1702">
            <w:pPr>
              <w:spacing w:after="0"/>
              <w:jc w:val="right"/>
            </w:pPr>
            <w:r w:rsidRPr="008D1650">
              <w:t xml:space="preserve"> - </w:t>
            </w:r>
          </w:p>
        </w:tc>
        <w:tc>
          <w:tcPr>
            <w:tcW w:w="2768" w:type="dxa"/>
            <w:vAlign w:val="center"/>
          </w:tcPr>
          <w:p w14:paraId="17BB4691" w14:textId="63069F9F" w:rsidR="00AB1702" w:rsidRPr="0080536F" w:rsidRDefault="00AB1702" w:rsidP="00AB1702">
            <w:pPr>
              <w:spacing w:after="0"/>
              <w:jc w:val="right"/>
            </w:pPr>
            <w:r w:rsidRPr="00A158CF">
              <w:t xml:space="preserve">                               - </w:t>
            </w:r>
          </w:p>
        </w:tc>
        <w:tc>
          <w:tcPr>
            <w:tcW w:w="2673" w:type="dxa"/>
            <w:vAlign w:val="center"/>
          </w:tcPr>
          <w:p w14:paraId="068EEAFE" w14:textId="68EB9087" w:rsidR="00AB1702" w:rsidRPr="0080536F" w:rsidRDefault="00AB1702" w:rsidP="00AB1702">
            <w:pPr>
              <w:spacing w:after="0"/>
              <w:jc w:val="right"/>
            </w:pPr>
            <w:r w:rsidRPr="00171A2D">
              <w:t xml:space="preserve"> - </w:t>
            </w:r>
          </w:p>
        </w:tc>
      </w:tr>
      <w:tr w:rsidR="00AB1702" w:rsidRPr="006E35B7" w14:paraId="5F4C76B7" w14:textId="77777777" w:rsidTr="00AB1702">
        <w:trPr>
          <w:trHeight w:val="286"/>
        </w:trPr>
        <w:tc>
          <w:tcPr>
            <w:tcW w:w="3595" w:type="dxa"/>
            <w:vAlign w:val="center"/>
          </w:tcPr>
          <w:p w14:paraId="75A515E1" w14:textId="2EBD49FB" w:rsidR="00AB1702" w:rsidRPr="0080536F" w:rsidRDefault="00AB1702" w:rsidP="00AB1702">
            <w:pPr>
              <w:spacing w:after="0"/>
            </w:pPr>
            <w:r w:rsidRPr="00A158CF">
              <w:t>Other Uses</w:t>
            </w:r>
          </w:p>
        </w:tc>
        <w:tc>
          <w:tcPr>
            <w:tcW w:w="2700" w:type="dxa"/>
            <w:vAlign w:val="center"/>
          </w:tcPr>
          <w:p w14:paraId="59454575" w14:textId="529AC92C" w:rsidR="00AB1702" w:rsidRPr="0080536F" w:rsidRDefault="00AB1702" w:rsidP="00AB1702">
            <w:pPr>
              <w:spacing w:after="0"/>
              <w:jc w:val="right"/>
            </w:pPr>
            <w:r w:rsidRPr="00A158CF">
              <w:t xml:space="preserve">                         527 </w:t>
            </w:r>
          </w:p>
        </w:tc>
        <w:tc>
          <w:tcPr>
            <w:tcW w:w="2659" w:type="dxa"/>
            <w:vAlign w:val="center"/>
          </w:tcPr>
          <w:p w14:paraId="518688EC" w14:textId="07AAFD52" w:rsidR="00AB1702" w:rsidRPr="0080536F" w:rsidRDefault="00AB1702" w:rsidP="00AB1702">
            <w:pPr>
              <w:spacing w:after="0"/>
              <w:jc w:val="right"/>
            </w:pPr>
            <w:r w:rsidRPr="008D1650">
              <w:t xml:space="preserve"> 527 </w:t>
            </w:r>
          </w:p>
        </w:tc>
        <w:tc>
          <w:tcPr>
            <w:tcW w:w="2768" w:type="dxa"/>
            <w:vAlign w:val="center"/>
          </w:tcPr>
          <w:p w14:paraId="313FA365" w14:textId="6BCFE9A2" w:rsidR="00AB1702" w:rsidRPr="0080536F" w:rsidRDefault="00AB1702" w:rsidP="00AB1702">
            <w:pPr>
              <w:spacing w:after="0"/>
              <w:jc w:val="right"/>
            </w:pPr>
            <w:r w:rsidRPr="00A158CF">
              <w:t xml:space="preserve">                               - </w:t>
            </w:r>
          </w:p>
        </w:tc>
        <w:tc>
          <w:tcPr>
            <w:tcW w:w="2673" w:type="dxa"/>
            <w:vAlign w:val="center"/>
          </w:tcPr>
          <w:p w14:paraId="716C357A" w14:textId="1AA295F0" w:rsidR="00AB1702" w:rsidRPr="0080536F" w:rsidRDefault="00AB1702" w:rsidP="00AB1702">
            <w:pPr>
              <w:spacing w:after="0"/>
              <w:jc w:val="right"/>
            </w:pPr>
            <w:r w:rsidRPr="00171A2D">
              <w:t xml:space="preserve"> - </w:t>
            </w:r>
          </w:p>
        </w:tc>
      </w:tr>
      <w:tr w:rsidR="00AB1702" w:rsidRPr="006E35B7" w14:paraId="20EF50D2" w14:textId="77777777" w:rsidTr="00AB1702">
        <w:trPr>
          <w:trHeight w:val="271"/>
        </w:trPr>
        <w:tc>
          <w:tcPr>
            <w:tcW w:w="3595" w:type="dxa"/>
            <w:vAlign w:val="center"/>
          </w:tcPr>
          <w:p w14:paraId="54275C56" w14:textId="50B53E1A" w:rsidR="00AB1702" w:rsidRPr="0080536F" w:rsidRDefault="00AB1702" w:rsidP="00AB1702">
            <w:pPr>
              <w:spacing w:after="0"/>
            </w:pPr>
            <w:r w:rsidRPr="007D76DA">
              <w:t>Contributions</w:t>
            </w:r>
          </w:p>
        </w:tc>
        <w:tc>
          <w:tcPr>
            <w:tcW w:w="2700" w:type="dxa"/>
            <w:vAlign w:val="center"/>
          </w:tcPr>
          <w:p w14:paraId="050E3A8B" w14:textId="6FAF8EA3" w:rsidR="00AB1702" w:rsidRPr="0080536F" w:rsidRDefault="00AB1702" w:rsidP="00AB1702">
            <w:pPr>
              <w:spacing w:after="0"/>
              <w:jc w:val="right"/>
            </w:pPr>
            <w:r w:rsidRPr="007D76DA">
              <w:t xml:space="preserve">           (38,399,213)</w:t>
            </w:r>
          </w:p>
        </w:tc>
        <w:tc>
          <w:tcPr>
            <w:tcW w:w="2659" w:type="dxa"/>
            <w:vAlign w:val="center"/>
          </w:tcPr>
          <w:p w14:paraId="0DE89E2C" w14:textId="30A26F45" w:rsidR="00AB1702" w:rsidRPr="0080536F" w:rsidRDefault="00AB1702" w:rsidP="00AB1702">
            <w:pPr>
              <w:spacing w:after="0"/>
              <w:jc w:val="right"/>
            </w:pPr>
            <w:r w:rsidRPr="008D1650">
              <w:t xml:space="preserve"> (38,399,213)</w:t>
            </w:r>
          </w:p>
        </w:tc>
        <w:tc>
          <w:tcPr>
            <w:tcW w:w="2768" w:type="dxa"/>
            <w:vAlign w:val="center"/>
          </w:tcPr>
          <w:p w14:paraId="3008AFE3" w14:textId="0E4923C1" w:rsidR="00AB1702" w:rsidRPr="0080536F" w:rsidRDefault="00AB1702" w:rsidP="00AB1702">
            <w:pPr>
              <w:spacing w:after="0"/>
              <w:jc w:val="right"/>
            </w:pPr>
            <w:r w:rsidRPr="007D76DA">
              <w:t xml:space="preserve">             (39,790,199)</w:t>
            </w:r>
          </w:p>
        </w:tc>
        <w:tc>
          <w:tcPr>
            <w:tcW w:w="2673" w:type="dxa"/>
            <w:vAlign w:val="center"/>
          </w:tcPr>
          <w:p w14:paraId="58507041" w14:textId="548F49B6" w:rsidR="00AB1702" w:rsidRPr="0080536F" w:rsidRDefault="00AB1702" w:rsidP="00AB1702">
            <w:pPr>
              <w:spacing w:after="0"/>
              <w:jc w:val="right"/>
            </w:pPr>
            <w:r w:rsidRPr="00171A2D">
              <w:t xml:space="preserve"> (39,790,199)</w:t>
            </w:r>
          </w:p>
        </w:tc>
      </w:tr>
      <w:tr w:rsidR="00AB1702" w:rsidRPr="006E35B7" w14:paraId="02BB1A1E" w14:textId="77777777" w:rsidTr="00B03BB2">
        <w:trPr>
          <w:trHeight w:val="557"/>
        </w:trPr>
        <w:tc>
          <w:tcPr>
            <w:tcW w:w="3595" w:type="dxa"/>
            <w:shd w:val="clear" w:color="auto" w:fill="auto"/>
            <w:vAlign w:val="center"/>
          </w:tcPr>
          <w:p w14:paraId="3918BA81" w14:textId="7D48607E" w:rsidR="00AB1702" w:rsidRPr="00555584" w:rsidRDefault="00AB1702" w:rsidP="00AB1702">
            <w:pPr>
              <w:spacing w:after="0"/>
              <w:jc w:val="right"/>
              <w:rPr>
                <w:b/>
                <w:bCs/>
              </w:rPr>
            </w:pPr>
            <w:r w:rsidRPr="00555584">
              <w:rPr>
                <w:b/>
                <w:bCs/>
              </w:rPr>
              <w:t>Total, Other Financing Sources and Uses</w:t>
            </w:r>
          </w:p>
        </w:tc>
        <w:tc>
          <w:tcPr>
            <w:tcW w:w="2700" w:type="dxa"/>
            <w:shd w:val="clear" w:color="auto" w:fill="auto"/>
            <w:vAlign w:val="center"/>
          </w:tcPr>
          <w:p w14:paraId="04B7C5E0" w14:textId="14BC131C" w:rsidR="00AB1702" w:rsidRPr="00B03BB2" w:rsidRDefault="00AB1702" w:rsidP="00B03BB2">
            <w:pPr>
              <w:spacing w:after="0"/>
              <w:jc w:val="right"/>
              <w:rPr>
                <w:b/>
                <w:bCs/>
              </w:rPr>
            </w:pPr>
            <w:r w:rsidRPr="00B03BB2">
              <w:rPr>
                <w:b/>
                <w:bCs/>
              </w:rPr>
              <w:t xml:space="preserve">           (33,874,588)</w:t>
            </w:r>
          </w:p>
        </w:tc>
        <w:tc>
          <w:tcPr>
            <w:tcW w:w="2659" w:type="dxa"/>
            <w:shd w:val="clear" w:color="auto" w:fill="auto"/>
            <w:vAlign w:val="center"/>
          </w:tcPr>
          <w:p w14:paraId="192EE224" w14:textId="4D470ED6" w:rsidR="00AB1702" w:rsidRPr="00B03BB2" w:rsidRDefault="00AB1702" w:rsidP="00B03BB2">
            <w:pPr>
              <w:spacing w:after="0"/>
              <w:jc w:val="right"/>
              <w:rPr>
                <w:b/>
                <w:bCs/>
              </w:rPr>
            </w:pPr>
            <w:r w:rsidRPr="00B03BB2">
              <w:rPr>
                <w:b/>
                <w:bCs/>
              </w:rPr>
              <w:t xml:space="preserve"> (33,874,588)</w:t>
            </w:r>
          </w:p>
        </w:tc>
        <w:tc>
          <w:tcPr>
            <w:tcW w:w="2768" w:type="dxa"/>
            <w:shd w:val="clear" w:color="auto" w:fill="auto"/>
            <w:vAlign w:val="center"/>
          </w:tcPr>
          <w:p w14:paraId="36A648A9" w14:textId="547ADDF3" w:rsidR="00AB1702" w:rsidRPr="00B03BB2" w:rsidRDefault="00AB1702" w:rsidP="00B03BB2">
            <w:pPr>
              <w:spacing w:after="0"/>
              <w:jc w:val="right"/>
              <w:rPr>
                <w:b/>
                <w:bCs/>
              </w:rPr>
            </w:pPr>
            <w:r w:rsidRPr="00B03BB2">
              <w:rPr>
                <w:b/>
                <w:bCs/>
              </w:rPr>
              <w:t xml:space="preserve">              (39,798,076)</w:t>
            </w:r>
          </w:p>
        </w:tc>
        <w:tc>
          <w:tcPr>
            <w:tcW w:w="2673" w:type="dxa"/>
            <w:shd w:val="clear" w:color="auto" w:fill="auto"/>
            <w:vAlign w:val="center"/>
          </w:tcPr>
          <w:p w14:paraId="243E3D1C" w14:textId="10AD4939" w:rsidR="00AB1702" w:rsidRPr="00B03BB2" w:rsidRDefault="00AB1702" w:rsidP="00B03BB2">
            <w:pPr>
              <w:spacing w:after="0"/>
              <w:jc w:val="right"/>
              <w:rPr>
                <w:b/>
                <w:bCs/>
              </w:rPr>
            </w:pPr>
            <w:r w:rsidRPr="00B03BB2">
              <w:rPr>
                <w:b/>
                <w:bCs/>
              </w:rPr>
              <w:t xml:space="preserve"> (39,798,076)</w:t>
            </w:r>
          </w:p>
        </w:tc>
      </w:tr>
      <w:tr w:rsidR="00B03BB2" w:rsidRPr="006E35B7" w14:paraId="2C8322E5" w14:textId="77777777" w:rsidTr="00B03BB2">
        <w:trPr>
          <w:trHeight w:val="354"/>
        </w:trPr>
        <w:tc>
          <w:tcPr>
            <w:tcW w:w="3595" w:type="dxa"/>
            <w:shd w:val="clear" w:color="auto" w:fill="E7E6E6" w:themeFill="background2"/>
            <w:vAlign w:val="center"/>
          </w:tcPr>
          <w:p w14:paraId="667943F8" w14:textId="0594494E" w:rsidR="00B03BB2" w:rsidRPr="00555584" w:rsidRDefault="00B03BB2" w:rsidP="00B03BB2">
            <w:pPr>
              <w:spacing w:after="0"/>
              <w:jc w:val="right"/>
              <w:rPr>
                <w:b/>
                <w:bCs/>
              </w:rPr>
            </w:pPr>
            <w:r w:rsidRPr="00555584">
              <w:rPr>
                <w:b/>
                <w:bCs/>
              </w:rPr>
              <w:t>FUND BALANCE CHANGE</w:t>
            </w:r>
          </w:p>
        </w:tc>
        <w:tc>
          <w:tcPr>
            <w:tcW w:w="2700" w:type="dxa"/>
            <w:shd w:val="clear" w:color="auto" w:fill="E7E6E6" w:themeFill="background2"/>
            <w:vAlign w:val="center"/>
          </w:tcPr>
          <w:p w14:paraId="55315EFA" w14:textId="544E59C9" w:rsidR="00B03BB2" w:rsidRPr="00B03BB2" w:rsidRDefault="00B03BB2" w:rsidP="00B03BB2">
            <w:pPr>
              <w:spacing w:after="0"/>
              <w:jc w:val="right"/>
              <w:rPr>
                <w:b/>
                <w:bCs/>
              </w:rPr>
            </w:pPr>
            <w:r w:rsidRPr="00B03BB2">
              <w:rPr>
                <w:b/>
                <w:bCs/>
              </w:rPr>
              <w:t xml:space="preserve"> 1,594,195 </w:t>
            </w:r>
          </w:p>
        </w:tc>
        <w:tc>
          <w:tcPr>
            <w:tcW w:w="2659" w:type="dxa"/>
            <w:shd w:val="clear" w:color="auto" w:fill="E7E6E6" w:themeFill="background2"/>
            <w:vAlign w:val="center"/>
          </w:tcPr>
          <w:p w14:paraId="62158D83" w14:textId="4AE401D1" w:rsidR="00B03BB2" w:rsidRPr="00B03BB2" w:rsidRDefault="00B03BB2" w:rsidP="00B03BB2">
            <w:pPr>
              <w:spacing w:after="0"/>
              <w:jc w:val="right"/>
              <w:rPr>
                <w:b/>
                <w:bCs/>
              </w:rPr>
            </w:pPr>
            <w:r w:rsidRPr="00B03BB2">
              <w:rPr>
                <w:b/>
                <w:bCs/>
              </w:rPr>
              <w:t xml:space="preserve"> (567,417)</w:t>
            </w:r>
          </w:p>
        </w:tc>
        <w:tc>
          <w:tcPr>
            <w:tcW w:w="2768" w:type="dxa"/>
            <w:shd w:val="clear" w:color="auto" w:fill="E7E6E6" w:themeFill="background2"/>
            <w:vAlign w:val="center"/>
          </w:tcPr>
          <w:p w14:paraId="6FE2BB9F" w14:textId="6B53821C" w:rsidR="00B03BB2" w:rsidRPr="00B03BB2" w:rsidRDefault="00B03BB2" w:rsidP="00B03BB2">
            <w:pPr>
              <w:spacing w:after="0"/>
              <w:jc w:val="right"/>
              <w:rPr>
                <w:b/>
                <w:bCs/>
              </w:rPr>
            </w:pPr>
            <w:r w:rsidRPr="00B03BB2">
              <w:rPr>
                <w:b/>
                <w:bCs/>
              </w:rPr>
              <w:t xml:space="preserve"> (7,118,322)</w:t>
            </w:r>
          </w:p>
        </w:tc>
        <w:tc>
          <w:tcPr>
            <w:tcW w:w="2673" w:type="dxa"/>
            <w:shd w:val="clear" w:color="auto" w:fill="E7E6E6" w:themeFill="background2"/>
            <w:vAlign w:val="center"/>
          </w:tcPr>
          <w:p w14:paraId="6844A537" w14:textId="67CA2B30" w:rsidR="00B03BB2" w:rsidRPr="00B03BB2" w:rsidRDefault="00B03BB2" w:rsidP="00B03BB2">
            <w:pPr>
              <w:spacing w:after="0"/>
              <w:jc w:val="right"/>
              <w:rPr>
                <w:b/>
                <w:bCs/>
              </w:rPr>
            </w:pPr>
            <w:r w:rsidRPr="00B03BB2">
              <w:rPr>
                <w:b/>
                <w:bCs/>
              </w:rPr>
              <w:t xml:space="preserve"> (9,284,017)</w:t>
            </w:r>
          </w:p>
        </w:tc>
      </w:tr>
      <w:tr w:rsidR="00AB1702" w:rsidRPr="006E35B7" w14:paraId="2AEABA5C" w14:textId="77777777" w:rsidTr="00AB1702">
        <w:trPr>
          <w:trHeight w:val="557"/>
        </w:trPr>
        <w:tc>
          <w:tcPr>
            <w:tcW w:w="3595" w:type="dxa"/>
            <w:vAlign w:val="center"/>
          </w:tcPr>
          <w:p w14:paraId="319C8832" w14:textId="7DA114E4" w:rsidR="00AB1702" w:rsidRPr="006E7DB6" w:rsidRDefault="00AB1702" w:rsidP="00AB1702">
            <w:pPr>
              <w:spacing w:after="0"/>
            </w:pPr>
            <w:r w:rsidRPr="003C6463">
              <w:t xml:space="preserve">Beginning Fund Balance </w:t>
            </w:r>
            <w:r>
              <w:br/>
            </w:r>
            <w:r w:rsidRPr="003C6463">
              <w:t>(July 1)</w:t>
            </w:r>
          </w:p>
        </w:tc>
        <w:tc>
          <w:tcPr>
            <w:tcW w:w="2700" w:type="dxa"/>
            <w:vAlign w:val="center"/>
          </w:tcPr>
          <w:p w14:paraId="5D21A122" w14:textId="7E4AF967" w:rsidR="00AB1702" w:rsidRPr="006E7DB6" w:rsidRDefault="00AB1702" w:rsidP="00AB1702">
            <w:pPr>
              <w:spacing w:after="0"/>
              <w:jc w:val="right"/>
            </w:pPr>
            <w:r w:rsidRPr="003C6463">
              <w:t xml:space="preserve">             45,743,857 </w:t>
            </w:r>
          </w:p>
        </w:tc>
        <w:tc>
          <w:tcPr>
            <w:tcW w:w="2659" w:type="dxa"/>
            <w:vAlign w:val="center"/>
          </w:tcPr>
          <w:p w14:paraId="6E2F6D51" w14:textId="6BD2F94C" w:rsidR="00AB1702" w:rsidRPr="006E7DB6" w:rsidRDefault="00AB1702" w:rsidP="00AB1702">
            <w:pPr>
              <w:spacing w:after="0"/>
              <w:jc w:val="right"/>
            </w:pPr>
            <w:r w:rsidRPr="008D1650">
              <w:t xml:space="preserve"> 45,743,857 </w:t>
            </w:r>
          </w:p>
        </w:tc>
        <w:tc>
          <w:tcPr>
            <w:tcW w:w="2768" w:type="dxa"/>
            <w:vAlign w:val="center"/>
          </w:tcPr>
          <w:p w14:paraId="2C819FB5" w14:textId="6A557B05" w:rsidR="00AB1702" w:rsidRPr="006E7DB6" w:rsidRDefault="00AB1702" w:rsidP="00AB1702">
            <w:pPr>
              <w:spacing w:after="0"/>
              <w:jc w:val="right"/>
            </w:pPr>
            <w:r w:rsidRPr="003C6463">
              <w:t xml:space="preserve">               47,338,052 </w:t>
            </w:r>
          </w:p>
        </w:tc>
        <w:tc>
          <w:tcPr>
            <w:tcW w:w="2673" w:type="dxa"/>
            <w:vAlign w:val="center"/>
          </w:tcPr>
          <w:p w14:paraId="03D8B029" w14:textId="120E3DE6" w:rsidR="00AB1702" w:rsidRPr="006E7DB6" w:rsidRDefault="00AB1702" w:rsidP="00AB1702">
            <w:pPr>
              <w:spacing w:after="0"/>
              <w:jc w:val="right"/>
            </w:pPr>
            <w:r w:rsidRPr="00171A2D">
              <w:t xml:space="preserve"> 47,338,051 </w:t>
            </w:r>
          </w:p>
        </w:tc>
      </w:tr>
      <w:tr w:rsidR="00AB1702" w:rsidRPr="006E35B7" w14:paraId="3F028605" w14:textId="77777777" w:rsidTr="00AB1702">
        <w:trPr>
          <w:trHeight w:val="557"/>
        </w:trPr>
        <w:tc>
          <w:tcPr>
            <w:tcW w:w="3595" w:type="dxa"/>
            <w:vAlign w:val="center"/>
          </w:tcPr>
          <w:p w14:paraId="061B57B4" w14:textId="27AB5867" w:rsidR="00AB1702" w:rsidRPr="006E7DB6" w:rsidRDefault="00AB1702" w:rsidP="00AB1702">
            <w:pPr>
              <w:spacing w:after="0"/>
            </w:pPr>
            <w:r w:rsidRPr="003C6463">
              <w:t xml:space="preserve">Ending Fund Balance </w:t>
            </w:r>
            <w:r>
              <w:br/>
            </w:r>
            <w:r w:rsidRPr="003C6463">
              <w:t>(June 30)</w:t>
            </w:r>
          </w:p>
        </w:tc>
        <w:tc>
          <w:tcPr>
            <w:tcW w:w="2700" w:type="dxa"/>
            <w:vAlign w:val="center"/>
          </w:tcPr>
          <w:p w14:paraId="62004B89" w14:textId="73EDD8CD" w:rsidR="00AB1702" w:rsidRPr="006E7DB6" w:rsidRDefault="00AB1702" w:rsidP="00AB1702">
            <w:pPr>
              <w:spacing w:after="0"/>
              <w:jc w:val="right"/>
            </w:pPr>
            <w:r w:rsidRPr="003C6463">
              <w:t xml:space="preserve">             47,338,052 </w:t>
            </w:r>
          </w:p>
        </w:tc>
        <w:tc>
          <w:tcPr>
            <w:tcW w:w="2659" w:type="dxa"/>
            <w:vAlign w:val="center"/>
          </w:tcPr>
          <w:p w14:paraId="405EBAFC" w14:textId="3FB39DA9" w:rsidR="00AB1702" w:rsidRPr="006E7DB6" w:rsidRDefault="00AB1702" w:rsidP="00AB1702">
            <w:pPr>
              <w:spacing w:after="0"/>
              <w:jc w:val="right"/>
            </w:pPr>
            <w:r w:rsidRPr="008D1650">
              <w:t xml:space="preserve"> 45,176,440 </w:t>
            </w:r>
          </w:p>
        </w:tc>
        <w:tc>
          <w:tcPr>
            <w:tcW w:w="2768" w:type="dxa"/>
            <w:vAlign w:val="center"/>
          </w:tcPr>
          <w:p w14:paraId="0D3824D3" w14:textId="4B0A9A0F" w:rsidR="00AB1702" w:rsidRPr="006E7DB6" w:rsidRDefault="00AB1702" w:rsidP="00AB1702">
            <w:pPr>
              <w:spacing w:after="0"/>
              <w:jc w:val="right"/>
            </w:pPr>
            <w:r w:rsidRPr="003C6463">
              <w:t xml:space="preserve">               40,219,730 </w:t>
            </w:r>
          </w:p>
        </w:tc>
        <w:tc>
          <w:tcPr>
            <w:tcW w:w="2673" w:type="dxa"/>
            <w:vAlign w:val="center"/>
          </w:tcPr>
          <w:p w14:paraId="3DE96CDF" w14:textId="6D7B5145" w:rsidR="00AB1702" w:rsidRPr="006E7DB6" w:rsidRDefault="00B03BB2" w:rsidP="00AB1702">
            <w:pPr>
              <w:spacing w:after="0"/>
              <w:jc w:val="right"/>
            </w:pPr>
            <w:r w:rsidRPr="00B03BB2">
              <w:t>38,054,034</w:t>
            </w:r>
          </w:p>
        </w:tc>
      </w:tr>
      <w:tr w:rsidR="00AB1702" w:rsidRPr="006E35B7" w14:paraId="66298FEC" w14:textId="77777777" w:rsidTr="00AB1702">
        <w:trPr>
          <w:trHeight w:val="557"/>
        </w:trPr>
        <w:tc>
          <w:tcPr>
            <w:tcW w:w="3595" w:type="dxa"/>
            <w:vAlign w:val="center"/>
          </w:tcPr>
          <w:p w14:paraId="3F83A8E6" w14:textId="3575DE79" w:rsidR="00AB1702" w:rsidRPr="006E7DB6" w:rsidRDefault="00AB1702" w:rsidP="00AB1702">
            <w:pPr>
              <w:spacing w:after="0"/>
            </w:pPr>
            <w:r w:rsidRPr="00FF3B44">
              <w:t>Available Reserve for Economic Uncertainties</w:t>
            </w:r>
          </w:p>
        </w:tc>
        <w:tc>
          <w:tcPr>
            <w:tcW w:w="2700" w:type="dxa"/>
            <w:vAlign w:val="center"/>
          </w:tcPr>
          <w:p w14:paraId="38F35DD1" w14:textId="3E838387" w:rsidR="00AB1702" w:rsidRPr="006E7DB6" w:rsidRDefault="00AB1702" w:rsidP="00AB1702">
            <w:pPr>
              <w:spacing w:after="0"/>
              <w:jc w:val="right"/>
            </w:pPr>
            <w:r w:rsidRPr="00FF3B44">
              <w:t xml:space="preserve">             10,565,000 </w:t>
            </w:r>
          </w:p>
        </w:tc>
        <w:tc>
          <w:tcPr>
            <w:tcW w:w="2659" w:type="dxa"/>
            <w:vAlign w:val="center"/>
          </w:tcPr>
          <w:p w14:paraId="6B62E1BB" w14:textId="62C2A24A" w:rsidR="00AB1702" w:rsidRPr="006E7DB6" w:rsidRDefault="00AB1702" w:rsidP="00AB1702">
            <w:pPr>
              <w:spacing w:after="0"/>
              <w:jc w:val="right"/>
            </w:pPr>
            <w:r w:rsidRPr="008D1650">
              <w:t xml:space="preserve"> N/A </w:t>
            </w:r>
          </w:p>
        </w:tc>
        <w:tc>
          <w:tcPr>
            <w:tcW w:w="2768" w:type="dxa"/>
            <w:vAlign w:val="center"/>
          </w:tcPr>
          <w:p w14:paraId="4B7AB5B9" w14:textId="6976BC8E" w:rsidR="00AB1702" w:rsidRPr="006E7DB6" w:rsidRDefault="00AB1702" w:rsidP="00AB1702">
            <w:pPr>
              <w:spacing w:after="0"/>
              <w:jc w:val="right"/>
            </w:pPr>
            <w:r w:rsidRPr="00FF3B44">
              <w:t xml:space="preserve">               11,265,375 </w:t>
            </w:r>
          </w:p>
        </w:tc>
        <w:tc>
          <w:tcPr>
            <w:tcW w:w="2673" w:type="dxa"/>
            <w:vAlign w:val="center"/>
          </w:tcPr>
          <w:p w14:paraId="3D9A5E89" w14:textId="1E0A2E65" w:rsidR="00AB1702" w:rsidRPr="006E7DB6" w:rsidRDefault="00AB1702" w:rsidP="00AB1702">
            <w:pPr>
              <w:spacing w:after="0"/>
              <w:jc w:val="right"/>
            </w:pPr>
            <w:r w:rsidRPr="00171A2D">
              <w:t xml:space="preserve"> N/A </w:t>
            </w:r>
          </w:p>
        </w:tc>
      </w:tr>
      <w:tr w:rsidR="00AB1702" w:rsidRPr="006E35B7" w14:paraId="2D0826CA" w14:textId="77777777" w:rsidTr="004201D2">
        <w:trPr>
          <w:trHeight w:val="1506"/>
        </w:trPr>
        <w:tc>
          <w:tcPr>
            <w:tcW w:w="3595" w:type="dxa"/>
            <w:vAlign w:val="center"/>
          </w:tcPr>
          <w:p w14:paraId="4D9813D2" w14:textId="0F7594BD" w:rsidR="00AB1702" w:rsidRPr="00AB1702" w:rsidRDefault="00AB1702" w:rsidP="00AB1702">
            <w:pPr>
              <w:spacing w:after="0"/>
              <w:rPr>
                <w:rFonts w:cs="Arial"/>
                <w:color w:val="000000"/>
              </w:rPr>
            </w:pPr>
            <w:r>
              <w:rPr>
                <w:rFonts w:cs="Arial"/>
                <w:color w:val="000000"/>
              </w:rPr>
              <w:t xml:space="preserve">Recommended Reserve for Economic Uncertainties </w:t>
            </w:r>
            <w:r w:rsidR="002404D5">
              <w:rPr>
                <w:rFonts w:cs="Arial"/>
                <w:color w:val="000000"/>
              </w:rPr>
              <w:br/>
            </w:r>
            <w:r>
              <w:rPr>
                <w:rFonts w:cs="Arial"/>
                <w:color w:val="000000"/>
              </w:rPr>
              <w:t>(3% of restricted and unrestricted general fund expenditures and other financing uses)</w:t>
            </w:r>
          </w:p>
        </w:tc>
        <w:tc>
          <w:tcPr>
            <w:tcW w:w="2700" w:type="dxa"/>
            <w:vAlign w:val="center"/>
          </w:tcPr>
          <w:p w14:paraId="5E3D4C75" w14:textId="0718E70B" w:rsidR="00AB1702" w:rsidRPr="00FF3B44" w:rsidRDefault="00AB1702" w:rsidP="00AB1702">
            <w:pPr>
              <w:spacing w:after="0"/>
              <w:jc w:val="right"/>
            </w:pPr>
            <w:r w:rsidRPr="006A7227">
              <w:t xml:space="preserve"> $   10,561,047 </w:t>
            </w:r>
          </w:p>
        </w:tc>
        <w:tc>
          <w:tcPr>
            <w:tcW w:w="2659" w:type="dxa"/>
            <w:vAlign w:val="center"/>
          </w:tcPr>
          <w:p w14:paraId="70AB174B" w14:textId="1C86BA21" w:rsidR="00AB1702" w:rsidRPr="00FF3B44" w:rsidRDefault="00AB1702" w:rsidP="00AB1702">
            <w:pPr>
              <w:spacing w:after="0"/>
              <w:jc w:val="right"/>
            </w:pPr>
            <w:r w:rsidRPr="008D1650">
              <w:t xml:space="preserve"> $10,464,491 </w:t>
            </w:r>
          </w:p>
        </w:tc>
        <w:tc>
          <w:tcPr>
            <w:tcW w:w="2768" w:type="dxa"/>
            <w:vAlign w:val="center"/>
          </w:tcPr>
          <w:p w14:paraId="6EA97C93" w14:textId="6FE740D7" w:rsidR="00AB1702" w:rsidRPr="00FF3B44" w:rsidRDefault="00AB1702" w:rsidP="00AB1702">
            <w:pPr>
              <w:spacing w:after="0"/>
              <w:jc w:val="right"/>
            </w:pPr>
            <w:r w:rsidRPr="006A7227">
              <w:t xml:space="preserve"> $            11,256,372 </w:t>
            </w:r>
          </w:p>
        </w:tc>
        <w:tc>
          <w:tcPr>
            <w:tcW w:w="2673" w:type="dxa"/>
            <w:vAlign w:val="center"/>
          </w:tcPr>
          <w:p w14:paraId="771CF5A1" w14:textId="04E4BCE5" w:rsidR="00AB1702" w:rsidRPr="00FF3B44" w:rsidRDefault="00AB1702" w:rsidP="00AB1702">
            <w:pPr>
              <w:spacing w:after="0"/>
              <w:jc w:val="right"/>
            </w:pPr>
            <w:r w:rsidRPr="00171A2D">
              <w:t xml:space="preserve"> $11,168,490 </w:t>
            </w:r>
          </w:p>
        </w:tc>
      </w:tr>
    </w:tbl>
    <w:p w14:paraId="5F750309" w14:textId="286271F7" w:rsidR="008153AE" w:rsidRDefault="00EC7ADB" w:rsidP="002A23DC">
      <w:pPr>
        <w:spacing w:before="240" w:after="120" w:line="259" w:lineRule="auto"/>
        <w:rPr>
          <w:rFonts w:eastAsiaTheme="minorHAnsi"/>
          <w:iCs/>
        </w:rPr>
      </w:pPr>
      <w:r w:rsidRPr="00AB6ACA">
        <w:rPr>
          <w:rFonts w:eastAsiaTheme="minorHAnsi"/>
          <w:i/>
        </w:rPr>
        <w:lastRenderedPageBreak/>
        <w:t xml:space="preserve">Sources: </w:t>
      </w:r>
      <w:r>
        <w:rPr>
          <w:rFonts w:eastAsiaTheme="minorHAnsi"/>
          <w:i/>
        </w:rPr>
        <w:t>Glendale</w:t>
      </w:r>
      <w:r w:rsidRPr="00AB6ACA">
        <w:rPr>
          <w:rFonts w:eastAsiaTheme="minorHAnsi"/>
          <w:i/>
        </w:rPr>
        <w:t xml:space="preserve"> Unified School District Unaudited Actuals</w:t>
      </w:r>
      <w:r w:rsidR="006D75C6">
        <w:rPr>
          <w:rFonts w:eastAsiaTheme="minorHAnsi"/>
          <w:i/>
        </w:rPr>
        <w:t>,</w:t>
      </w:r>
      <w:r w:rsidRPr="00AB6ACA">
        <w:rPr>
          <w:rFonts w:eastAsiaTheme="minorHAnsi"/>
          <w:i/>
        </w:rPr>
        <w:t xml:space="preserve"> FY 2020–21; </w:t>
      </w:r>
      <w:r>
        <w:rPr>
          <w:rFonts w:eastAsiaTheme="minorHAnsi"/>
          <w:i/>
        </w:rPr>
        <w:t>Glendale</w:t>
      </w:r>
      <w:r w:rsidRPr="00AB6ACA">
        <w:rPr>
          <w:rFonts w:eastAsiaTheme="minorHAnsi"/>
          <w:i/>
        </w:rPr>
        <w:t xml:space="preserve"> Unified School District </w:t>
      </w:r>
      <w:r>
        <w:rPr>
          <w:rFonts w:eastAsiaTheme="minorHAnsi"/>
          <w:i/>
        </w:rPr>
        <w:t>Second</w:t>
      </w:r>
      <w:r w:rsidRPr="00AB6ACA">
        <w:rPr>
          <w:rFonts w:eastAsiaTheme="minorHAnsi"/>
          <w:i/>
        </w:rPr>
        <w:t xml:space="preserve"> Interim</w:t>
      </w:r>
      <w:r w:rsidR="006D75C6">
        <w:rPr>
          <w:rFonts w:eastAsiaTheme="minorHAnsi"/>
          <w:i/>
        </w:rPr>
        <w:t xml:space="preserve"> Report,</w:t>
      </w:r>
      <w:r w:rsidRPr="00AB6ACA">
        <w:rPr>
          <w:rFonts w:eastAsiaTheme="minorHAnsi"/>
          <w:i/>
        </w:rPr>
        <w:t xml:space="preserve"> </w:t>
      </w:r>
      <w:r w:rsidR="006D75C6">
        <w:rPr>
          <w:rFonts w:eastAsiaTheme="minorHAnsi"/>
          <w:i/>
        </w:rPr>
        <w:br/>
      </w:r>
      <w:r w:rsidRPr="00AB6ACA">
        <w:rPr>
          <w:rFonts w:eastAsiaTheme="minorHAnsi"/>
          <w:i/>
        </w:rPr>
        <w:t>FY 2021–22</w:t>
      </w:r>
      <w:r>
        <w:rPr>
          <w:rFonts w:eastAsiaTheme="minorHAnsi"/>
          <w:i/>
        </w:rPr>
        <w:t>; Sagebrush Resident Data from Glendale Unified School District</w:t>
      </w:r>
      <w:r w:rsidR="00802DBA">
        <w:rPr>
          <w:rFonts w:eastAsiaTheme="minorHAnsi"/>
          <w:i/>
        </w:rPr>
        <w:t>, California Department of Education</w:t>
      </w:r>
    </w:p>
    <w:p w14:paraId="7E6D14CA" w14:textId="0BA4B374" w:rsidR="008153AE" w:rsidRDefault="008153AE" w:rsidP="00D36497">
      <w:pPr>
        <w:spacing w:before="240" w:after="120"/>
        <w:rPr>
          <w:rFonts w:eastAsiaTheme="minorHAnsi"/>
          <w:b/>
        </w:rPr>
      </w:pPr>
      <w:r w:rsidRPr="00AF2470">
        <w:rPr>
          <w:rFonts w:eastAsiaTheme="minorHAnsi"/>
          <w:b/>
        </w:rPr>
        <w:t xml:space="preserve">Table </w:t>
      </w:r>
      <w:r w:rsidR="0013644F">
        <w:rPr>
          <w:rFonts w:eastAsiaTheme="minorHAnsi"/>
          <w:b/>
        </w:rPr>
        <w:t>8</w:t>
      </w:r>
      <w:r w:rsidRPr="00AF2470">
        <w:rPr>
          <w:rFonts w:eastAsiaTheme="minorHAnsi"/>
          <w:b/>
        </w:rPr>
        <w:t xml:space="preserve">. </w:t>
      </w:r>
      <w:r>
        <w:rPr>
          <w:rFonts w:eastAsiaTheme="minorHAnsi"/>
          <w:b/>
        </w:rPr>
        <w:t>La Ca</w:t>
      </w:r>
      <w:r>
        <w:rPr>
          <w:rFonts w:eastAsiaTheme="minorHAnsi" w:cs="Arial"/>
          <w:b/>
        </w:rPr>
        <w:t>ñ</w:t>
      </w:r>
      <w:r>
        <w:rPr>
          <w:rFonts w:eastAsiaTheme="minorHAnsi"/>
          <w:b/>
        </w:rPr>
        <w:t xml:space="preserve">ada USD </w:t>
      </w:r>
      <w:r w:rsidRPr="00AF2470">
        <w:rPr>
          <w:rFonts w:eastAsiaTheme="minorHAnsi"/>
          <w:b/>
        </w:rPr>
        <w:t>Unrestricted General Fund Estimate for Fiscal Year</w:t>
      </w:r>
      <w:r>
        <w:rPr>
          <w:rFonts w:eastAsiaTheme="minorHAnsi"/>
          <w:b/>
        </w:rPr>
        <w:t>s</w:t>
      </w:r>
      <w:r w:rsidRPr="00AF2470">
        <w:rPr>
          <w:rFonts w:eastAsiaTheme="minorHAnsi"/>
          <w:b/>
        </w:rPr>
        <w:t xml:space="preserve"> 2020–21</w:t>
      </w:r>
      <w:r>
        <w:rPr>
          <w:rFonts w:eastAsiaTheme="minorHAnsi"/>
          <w:b/>
        </w:rPr>
        <w:t xml:space="preserve"> and </w:t>
      </w:r>
      <w:r w:rsidRPr="00AF2470">
        <w:rPr>
          <w:rFonts w:eastAsiaTheme="minorHAnsi"/>
          <w:b/>
        </w:rPr>
        <w:t>20</w:t>
      </w:r>
      <w:r>
        <w:rPr>
          <w:rFonts w:eastAsiaTheme="minorHAnsi"/>
          <w:b/>
        </w:rPr>
        <w:t>21</w:t>
      </w:r>
      <w:r w:rsidRPr="00AF2470">
        <w:rPr>
          <w:rFonts w:eastAsiaTheme="minorHAnsi"/>
          <w:b/>
        </w:rPr>
        <w:t>–2</w:t>
      </w:r>
      <w:r>
        <w:rPr>
          <w:rFonts w:eastAsiaTheme="minorHAnsi"/>
          <w:b/>
        </w:rPr>
        <w:t>2</w:t>
      </w: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bottom w:w="86" w:type="dxa"/>
        </w:tblCellMar>
        <w:tblLook w:val="04A0" w:firstRow="1" w:lastRow="0" w:firstColumn="1" w:lastColumn="0" w:noHBand="0" w:noVBand="1"/>
      </w:tblPr>
      <w:tblGrid>
        <w:gridCol w:w="3647"/>
        <w:gridCol w:w="2684"/>
        <w:gridCol w:w="2685"/>
        <w:gridCol w:w="2685"/>
        <w:gridCol w:w="2685"/>
      </w:tblGrid>
      <w:tr w:rsidR="00C75977" w:rsidRPr="00C61FDF" w14:paraId="5F544150" w14:textId="77777777" w:rsidTr="00801A0D">
        <w:trPr>
          <w:cantSplit/>
          <w:trHeight w:val="777"/>
          <w:tblHeader/>
        </w:trPr>
        <w:tc>
          <w:tcPr>
            <w:tcW w:w="3647" w:type="dxa"/>
            <w:shd w:val="clear" w:color="000000" w:fill="008000"/>
            <w:vAlign w:val="center"/>
            <w:hideMark/>
          </w:tcPr>
          <w:p w14:paraId="6A73731B" w14:textId="77777777" w:rsidR="00582BA9" w:rsidRPr="00C61FDF" w:rsidRDefault="00582BA9" w:rsidP="00582BA9">
            <w:pPr>
              <w:spacing w:after="0"/>
              <w:jc w:val="center"/>
              <w:rPr>
                <w:rFonts w:cs="Arial"/>
                <w:b/>
                <w:bCs/>
                <w:color w:val="FFFFFF"/>
              </w:rPr>
            </w:pPr>
            <w:r w:rsidRPr="00C61FDF">
              <w:rPr>
                <w:rFonts w:cs="Arial"/>
                <w:b/>
                <w:bCs/>
                <w:color w:val="FFFFFF"/>
              </w:rPr>
              <w:t>Description</w:t>
            </w:r>
          </w:p>
        </w:tc>
        <w:tc>
          <w:tcPr>
            <w:tcW w:w="2684" w:type="dxa"/>
            <w:shd w:val="clear" w:color="000000" w:fill="008000"/>
            <w:vAlign w:val="center"/>
            <w:hideMark/>
          </w:tcPr>
          <w:p w14:paraId="6A13B1BE" w14:textId="6B9E2B89" w:rsidR="00582BA9" w:rsidRPr="00C61FDF" w:rsidRDefault="00582BA9" w:rsidP="00582BA9">
            <w:pPr>
              <w:spacing w:after="0"/>
              <w:jc w:val="center"/>
              <w:rPr>
                <w:rFonts w:cs="Arial"/>
                <w:b/>
                <w:bCs/>
                <w:color w:val="FFFFFF"/>
              </w:rPr>
            </w:pPr>
            <w:r w:rsidRPr="00C61FDF">
              <w:rPr>
                <w:rFonts w:cs="Arial"/>
                <w:b/>
                <w:bCs/>
                <w:color w:val="FFFFFF"/>
              </w:rPr>
              <w:t>FY 2020–21</w:t>
            </w:r>
            <w:r w:rsidRPr="00C61FDF">
              <w:rPr>
                <w:rFonts w:cs="Arial"/>
                <w:b/>
                <w:bCs/>
                <w:color w:val="FFFFFF"/>
              </w:rPr>
              <w:br/>
              <w:t>La Cañada USD</w:t>
            </w:r>
            <w:r w:rsidRPr="00C61FDF">
              <w:rPr>
                <w:rFonts w:cs="Arial"/>
                <w:b/>
                <w:bCs/>
                <w:color w:val="FFFFFF"/>
              </w:rPr>
              <w:br/>
              <w:t>(Before Reorg)</w:t>
            </w:r>
          </w:p>
        </w:tc>
        <w:tc>
          <w:tcPr>
            <w:tcW w:w="2685" w:type="dxa"/>
            <w:shd w:val="clear" w:color="000000" w:fill="008000"/>
            <w:vAlign w:val="center"/>
            <w:hideMark/>
          </w:tcPr>
          <w:p w14:paraId="1096A530" w14:textId="2DF90A33" w:rsidR="00582BA9" w:rsidRPr="00C61FDF" w:rsidRDefault="00582BA9" w:rsidP="00582BA9">
            <w:pPr>
              <w:spacing w:after="0"/>
              <w:jc w:val="center"/>
              <w:rPr>
                <w:rFonts w:cs="Arial"/>
                <w:b/>
                <w:bCs/>
                <w:color w:val="FFFFFF"/>
              </w:rPr>
            </w:pPr>
            <w:r w:rsidRPr="00C61FDF">
              <w:rPr>
                <w:rFonts w:cs="Arial"/>
                <w:b/>
                <w:bCs/>
                <w:color w:val="FFFFFF"/>
              </w:rPr>
              <w:t>FY 2020–21</w:t>
            </w:r>
            <w:r w:rsidRPr="00C61FDF">
              <w:rPr>
                <w:rFonts w:cs="Arial"/>
                <w:b/>
                <w:bCs/>
                <w:color w:val="FFFFFF"/>
              </w:rPr>
              <w:br/>
              <w:t>La Cañada USD (After Reorg)</w:t>
            </w:r>
          </w:p>
        </w:tc>
        <w:tc>
          <w:tcPr>
            <w:tcW w:w="2685" w:type="dxa"/>
            <w:shd w:val="clear" w:color="000000" w:fill="008000"/>
            <w:vAlign w:val="center"/>
            <w:hideMark/>
          </w:tcPr>
          <w:p w14:paraId="7E4BC9C5" w14:textId="460921DD" w:rsidR="00582BA9" w:rsidRPr="00C61FDF" w:rsidRDefault="00582BA9" w:rsidP="00582BA9">
            <w:pPr>
              <w:spacing w:after="0"/>
              <w:jc w:val="center"/>
              <w:rPr>
                <w:rFonts w:cs="Arial"/>
                <w:b/>
                <w:bCs/>
                <w:color w:val="FFFFFF"/>
              </w:rPr>
            </w:pPr>
            <w:r w:rsidRPr="00C61FDF">
              <w:rPr>
                <w:rFonts w:cs="Arial"/>
                <w:b/>
                <w:bCs/>
                <w:color w:val="FFFFFF"/>
              </w:rPr>
              <w:t>FY 2021–22</w:t>
            </w:r>
            <w:r w:rsidRPr="00C61FDF">
              <w:rPr>
                <w:rFonts w:cs="Arial"/>
                <w:b/>
                <w:bCs/>
                <w:color w:val="FFFFFF"/>
              </w:rPr>
              <w:br/>
              <w:t>La Cañada USD</w:t>
            </w:r>
            <w:r w:rsidRPr="00C61FDF">
              <w:rPr>
                <w:rFonts w:cs="Arial"/>
                <w:b/>
                <w:bCs/>
                <w:color w:val="FFFFFF"/>
              </w:rPr>
              <w:br/>
              <w:t>(Before Reorg)</w:t>
            </w:r>
          </w:p>
        </w:tc>
        <w:tc>
          <w:tcPr>
            <w:tcW w:w="2685" w:type="dxa"/>
            <w:shd w:val="clear" w:color="000000" w:fill="008000"/>
            <w:vAlign w:val="center"/>
            <w:hideMark/>
          </w:tcPr>
          <w:p w14:paraId="3C8898A2" w14:textId="6765053B" w:rsidR="00582BA9" w:rsidRPr="00C61FDF" w:rsidRDefault="00582BA9" w:rsidP="00582BA9">
            <w:pPr>
              <w:spacing w:after="0"/>
              <w:jc w:val="center"/>
              <w:rPr>
                <w:rFonts w:cs="Arial"/>
                <w:b/>
                <w:bCs/>
                <w:color w:val="FFFFFF"/>
              </w:rPr>
            </w:pPr>
            <w:r w:rsidRPr="00C61FDF">
              <w:rPr>
                <w:rFonts w:cs="Arial"/>
                <w:b/>
                <w:bCs/>
                <w:color w:val="FFFFFF"/>
              </w:rPr>
              <w:t>FY 2021–22</w:t>
            </w:r>
            <w:r w:rsidRPr="00C61FDF">
              <w:rPr>
                <w:rFonts w:cs="Arial"/>
                <w:b/>
                <w:bCs/>
                <w:color w:val="FFFFFF"/>
              </w:rPr>
              <w:br/>
              <w:t>La Cañada USD (After Reorg)</w:t>
            </w:r>
          </w:p>
        </w:tc>
      </w:tr>
      <w:tr w:rsidR="00597F3C" w:rsidRPr="00C61FDF" w14:paraId="21CD3137" w14:textId="77777777" w:rsidTr="00801A0D">
        <w:trPr>
          <w:cantSplit/>
          <w:trHeight w:val="307"/>
        </w:trPr>
        <w:tc>
          <w:tcPr>
            <w:tcW w:w="3647" w:type="dxa"/>
            <w:shd w:val="clear" w:color="auto" w:fill="auto"/>
            <w:vAlign w:val="center"/>
            <w:hideMark/>
          </w:tcPr>
          <w:p w14:paraId="3E5A7853" w14:textId="77777777" w:rsidR="00597F3C" w:rsidRPr="00C61FDF" w:rsidRDefault="00597F3C" w:rsidP="00597F3C">
            <w:pPr>
              <w:spacing w:after="0"/>
              <w:rPr>
                <w:rFonts w:cs="Arial"/>
                <w:color w:val="000000"/>
              </w:rPr>
            </w:pPr>
            <w:r w:rsidRPr="00C61FDF">
              <w:rPr>
                <w:rFonts w:cs="Arial"/>
                <w:color w:val="000000"/>
              </w:rPr>
              <w:t>LCFF Revenues</w:t>
            </w:r>
          </w:p>
        </w:tc>
        <w:tc>
          <w:tcPr>
            <w:tcW w:w="2684" w:type="dxa"/>
            <w:shd w:val="clear" w:color="auto" w:fill="auto"/>
            <w:noWrap/>
            <w:vAlign w:val="center"/>
            <w:hideMark/>
          </w:tcPr>
          <w:p w14:paraId="2FC6CEF6" w14:textId="628E9C38" w:rsidR="00597F3C" w:rsidRPr="00C61FDF" w:rsidRDefault="00597F3C" w:rsidP="00597F3C">
            <w:pPr>
              <w:spacing w:after="0"/>
              <w:jc w:val="right"/>
              <w:rPr>
                <w:rFonts w:cs="Arial"/>
                <w:color w:val="000000"/>
              </w:rPr>
            </w:pPr>
            <w:r w:rsidRPr="00C61FDF">
              <w:rPr>
                <w:rFonts w:cs="Arial"/>
                <w:color w:val="000000"/>
              </w:rPr>
              <w:t xml:space="preserve"> $</w:t>
            </w:r>
            <w:r>
              <w:rPr>
                <w:rFonts w:cs="Arial"/>
                <w:color w:val="000000"/>
              </w:rPr>
              <w:t xml:space="preserve"> </w:t>
            </w:r>
            <w:r w:rsidRPr="00C61FDF">
              <w:rPr>
                <w:rFonts w:cs="Arial"/>
                <w:color w:val="000000"/>
              </w:rPr>
              <w:t xml:space="preserve">36,115,220 </w:t>
            </w:r>
          </w:p>
        </w:tc>
        <w:tc>
          <w:tcPr>
            <w:tcW w:w="2685" w:type="dxa"/>
            <w:shd w:val="clear" w:color="auto" w:fill="auto"/>
            <w:noWrap/>
            <w:vAlign w:val="center"/>
            <w:hideMark/>
          </w:tcPr>
          <w:p w14:paraId="78FE7FCA" w14:textId="2B5E045D" w:rsidR="00597F3C" w:rsidRPr="00C61FDF" w:rsidRDefault="00597F3C" w:rsidP="00597F3C">
            <w:pPr>
              <w:spacing w:after="0"/>
              <w:jc w:val="right"/>
              <w:rPr>
                <w:rFonts w:cs="Arial"/>
                <w:color w:val="000000"/>
              </w:rPr>
            </w:pPr>
            <w:r w:rsidRPr="00261061">
              <w:t xml:space="preserve"> $</w:t>
            </w:r>
            <w:r>
              <w:t xml:space="preserve"> </w:t>
            </w:r>
            <w:r w:rsidRPr="00261061">
              <w:t xml:space="preserve">38,184,622 </w:t>
            </w:r>
          </w:p>
        </w:tc>
        <w:tc>
          <w:tcPr>
            <w:tcW w:w="2685" w:type="dxa"/>
            <w:shd w:val="clear" w:color="auto" w:fill="auto"/>
            <w:noWrap/>
            <w:vAlign w:val="center"/>
            <w:hideMark/>
          </w:tcPr>
          <w:p w14:paraId="56797313" w14:textId="0D26464B" w:rsidR="00597F3C" w:rsidRPr="00C61FDF" w:rsidRDefault="00597F3C" w:rsidP="00597F3C">
            <w:pPr>
              <w:spacing w:after="0"/>
              <w:jc w:val="right"/>
              <w:rPr>
                <w:rFonts w:cs="Arial"/>
                <w:color w:val="000000"/>
              </w:rPr>
            </w:pPr>
            <w:r w:rsidRPr="00C61FDF">
              <w:rPr>
                <w:rFonts w:cs="Arial"/>
                <w:color w:val="000000"/>
              </w:rPr>
              <w:t xml:space="preserve"> $ 36,128,903 </w:t>
            </w:r>
          </w:p>
        </w:tc>
        <w:tc>
          <w:tcPr>
            <w:tcW w:w="2685" w:type="dxa"/>
            <w:shd w:val="clear" w:color="auto" w:fill="auto"/>
            <w:noWrap/>
            <w:hideMark/>
          </w:tcPr>
          <w:p w14:paraId="0C408223" w14:textId="3B14BCCB" w:rsidR="00597F3C" w:rsidRPr="00C61FDF" w:rsidRDefault="00597F3C" w:rsidP="00597F3C">
            <w:pPr>
              <w:spacing w:after="0"/>
              <w:jc w:val="right"/>
              <w:rPr>
                <w:rFonts w:cs="Arial"/>
                <w:color w:val="000000"/>
              </w:rPr>
            </w:pPr>
            <w:r w:rsidRPr="00AF791E">
              <w:t xml:space="preserve"> $</w:t>
            </w:r>
            <w:r>
              <w:t xml:space="preserve"> </w:t>
            </w:r>
            <w:r w:rsidRPr="00AF791E">
              <w:t xml:space="preserve">38,069,025 </w:t>
            </w:r>
          </w:p>
        </w:tc>
      </w:tr>
      <w:tr w:rsidR="00597F3C" w:rsidRPr="00C61FDF" w14:paraId="64A77361" w14:textId="77777777" w:rsidTr="00801A0D">
        <w:trPr>
          <w:cantSplit/>
          <w:trHeight w:val="307"/>
        </w:trPr>
        <w:tc>
          <w:tcPr>
            <w:tcW w:w="3647" w:type="dxa"/>
            <w:shd w:val="clear" w:color="auto" w:fill="auto"/>
            <w:vAlign w:val="center"/>
            <w:hideMark/>
          </w:tcPr>
          <w:p w14:paraId="57E5BCCF" w14:textId="77777777" w:rsidR="00597F3C" w:rsidRPr="00C61FDF" w:rsidRDefault="00597F3C" w:rsidP="00597F3C">
            <w:pPr>
              <w:spacing w:after="0"/>
              <w:rPr>
                <w:rFonts w:cs="Arial"/>
                <w:color w:val="000000"/>
              </w:rPr>
            </w:pPr>
            <w:r w:rsidRPr="00C61FDF">
              <w:rPr>
                <w:rFonts w:cs="Arial"/>
                <w:color w:val="000000"/>
              </w:rPr>
              <w:t>Federal Revenues</w:t>
            </w:r>
          </w:p>
        </w:tc>
        <w:tc>
          <w:tcPr>
            <w:tcW w:w="2684" w:type="dxa"/>
            <w:shd w:val="clear" w:color="auto" w:fill="auto"/>
            <w:noWrap/>
            <w:vAlign w:val="center"/>
            <w:hideMark/>
          </w:tcPr>
          <w:p w14:paraId="23892306" w14:textId="77777777" w:rsidR="00597F3C" w:rsidRPr="00C61FDF" w:rsidRDefault="00597F3C" w:rsidP="00597F3C">
            <w:pPr>
              <w:spacing w:after="0"/>
              <w:jc w:val="right"/>
              <w:rPr>
                <w:rFonts w:cs="Arial"/>
                <w:color w:val="000000"/>
              </w:rPr>
            </w:pPr>
            <w:r w:rsidRPr="00C61FDF">
              <w:rPr>
                <w:rFonts w:cs="Arial"/>
                <w:color w:val="000000"/>
              </w:rPr>
              <w:t xml:space="preserve">                  12,527 </w:t>
            </w:r>
          </w:p>
        </w:tc>
        <w:tc>
          <w:tcPr>
            <w:tcW w:w="2685" w:type="dxa"/>
            <w:shd w:val="clear" w:color="auto" w:fill="auto"/>
            <w:noWrap/>
            <w:vAlign w:val="center"/>
            <w:hideMark/>
          </w:tcPr>
          <w:p w14:paraId="5F115E24" w14:textId="63AC738C" w:rsidR="00597F3C" w:rsidRPr="00C61FDF" w:rsidRDefault="00597F3C" w:rsidP="00597F3C">
            <w:pPr>
              <w:spacing w:after="0"/>
              <w:jc w:val="right"/>
              <w:rPr>
                <w:rFonts w:cs="Arial"/>
                <w:color w:val="000000"/>
              </w:rPr>
            </w:pPr>
            <w:r w:rsidRPr="00261061">
              <w:t xml:space="preserve"> 12,527 </w:t>
            </w:r>
          </w:p>
        </w:tc>
        <w:tc>
          <w:tcPr>
            <w:tcW w:w="2685" w:type="dxa"/>
            <w:shd w:val="clear" w:color="auto" w:fill="auto"/>
            <w:noWrap/>
            <w:vAlign w:val="center"/>
            <w:hideMark/>
          </w:tcPr>
          <w:p w14:paraId="3855776D" w14:textId="77777777" w:rsidR="00597F3C" w:rsidRPr="00C61FDF" w:rsidRDefault="00597F3C" w:rsidP="00597F3C">
            <w:pPr>
              <w:spacing w:after="0"/>
              <w:jc w:val="right"/>
              <w:rPr>
                <w:rFonts w:cs="Arial"/>
                <w:color w:val="000000"/>
              </w:rPr>
            </w:pPr>
            <w:r w:rsidRPr="00C61FDF">
              <w:rPr>
                <w:rFonts w:cs="Arial"/>
                <w:color w:val="000000"/>
              </w:rPr>
              <w:t xml:space="preserve">                  10,284 </w:t>
            </w:r>
          </w:p>
        </w:tc>
        <w:tc>
          <w:tcPr>
            <w:tcW w:w="2685" w:type="dxa"/>
            <w:shd w:val="clear" w:color="auto" w:fill="auto"/>
            <w:noWrap/>
            <w:hideMark/>
          </w:tcPr>
          <w:p w14:paraId="41D35D1A" w14:textId="3E19105E" w:rsidR="00597F3C" w:rsidRPr="00C61FDF" w:rsidRDefault="00597F3C" w:rsidP="00597F3C">
            <w:pPr>
              <w:spacing w:after="0"/>
              <w:jc w:val="right"/>
              <w:rPr>
                <w:rFonts w:cs="Arial"/>
                <w:color w:val="000000"/>
              </w:rPr>
            </w:pPr>
            <w:r w:rsidRPr="00AF791E">
              <w:t xml:space="preserve"> 10,284 </w:t>
            </w:r>
          </w:p>
        </w:tc>
      </w:tr>
      <w:tr w:rsidR="00597F3C" w:rsidRPr="00C61FDF" w14:paraId="6380A62C" w14:textId="77777777" w:rsidTr="00801A0D">
        <w:trPr>
          <w:cantSplit/>
          <w:trHeight w:val="307"/>
        </w:trPr>
        <w:tc>
          <w:tcPr>
            <w:tcW w:w="3647" w:type="dxa"/>
            <w:shd w:val="clear" w:color="auto" w:fill="auto"/>
            <w:vAlign w:val="center"/>
            <w:hideMark/>
          </w:tcPr>
          <w:p w14:paraId="07022E47" w14:textId="77777777" w:rsidR="00597F3C" w:rsidRPr="00C61FDF" w:rsidRDefault="00597F3C" w:rsidP="00597F3C">
            <w:pPr>
              <w:spacing w:after="0"/>
              <w:rPr>
                <w:rFonts w:cs="Arial"/>
                <w:color w:val="000000"/>
              </w:rPr>
            </w:pPr>
            <w:r w:rsidRPr="00C61FDF">
              <w:rPr>
                <w:rFonts w:cs="Arial"/>
                <w:color w:val="000000"/>
              </w:rPr>
              <w:t>Other State Revenues</w:t>
            </w:r>
          </w:p>
        </w:tc>
        <w:tc>
          <w:tcPr>
            <w:tcW w:w="2684" w:type="dxa"/>
            <w:shd w:val="clear" w:color="auto" w:fill="auto"/>
            <w:noWrap/>
            <w:vAlign w:val="center"/>
            <w:hideMark/>
          </w:tcPr>
          <w:p w14:paraId="79B60BB1" w14:textId="77777777" w:rsidR="00597F3C" w:rsidRPr="00C61FDF" w:rsidRDefault="00597F3C" w:rsidP="00597F3C">
            <w:pPr>
              <w:spacing w:after="0"/>
              <w:jc w:val="right"/>
              <w:rPr>
                <w:rFonts w:cs="Arial"/>
                <w:color w:val="000000"/>
              </w:rPr>
            </w:pPr>
            <w:r w:rsidRPr="00C61FDF">
              <w:rPr>
                <w:rFonts w:cs="Arial"/>
                <w:color w:val="000000"/>
              </w:rPr>
              <w:t xml:space="preserve">                884,958 </w:t>
            </w:r>
          </w:p>
        </w:tc>
        <w:tc>
          <w:tcPr>
            <w:tcW w:w="2685" w:type="dxa"/>
            <w:shd w:val="clear" w:color="auto" w:fill="auto"/>
            <w:noWrap/>
            <w:vAlign w:val="center"/>
            <w:hideMark/>
          </w:tcPr>
          <w:p w14:paraId="57EB8474" w14:textId="5F4D7022" w:rsidR="00597F3C" w:rsidRPr="00C61FDF" w:rsidRDefault="00597F3C" w:rsidP="00597F3C">
            <w:pPr>
              <w:spacing w:after="0"/>
              <w:jc w:val="right"/>
              <w:rPr>
                <w:rFonts w:cs="Arial"/>
                <w:color w:val="000000"/>
              </w:rPr>
            </w:pPr>
            <w:r w:rsidRPr="00261061">
              <w:t xml:space="preserve"> 884,958 </w:t>
            </w:r>
          </w:p>
        </w:tc>
        <w:tc>
          <w:tcPr>
            <w:tcW w:w="2685" w:type="dxa"/>
            <w:shd w:val="clear" w:color="auto" w:fill="auto"/>
            <w:noWrap/>
            <w:vAlign w:val="center"/>
            <w:hideMark/>
          </w:tcPr>
          <w:p w14:paraId="0145396D" w14:textId="77777777" w:rsidR="00597F3C" w:rsidRPr="00C61FDF" w:rsidRDefault="00597F3C" w:rsidP="00597F3C">
            <w:pPr>
              <w:spacing w:after="0"/>
              <w:jc w:val="right"/>
              <w:rPr>
                <w:rFonts w:cs="Arial"/>
                <w:color w:val="000000"/>
              </w:rPr>
            </w:pPr>
            <w:r w:rsidRPr="00C61FDF">
              <w:rPr>
                <w:rFonts w:cs="Arial"/>
                <w:color w:val="000000"/>
              </w:rPr>
              <w:t xml:space="preserve">                910,321 </w:t>
            </w:r>
          </w:p>
        </w:tc>
        <w:tc>
          <w:tcPr>
            <w:tcW w:w="2685" w:type="dxa"/>
            <w:shd w:val="clear" w:color="auto" w:fill="auto"/>
            <w:noWrap/>
            <w:hideMark/>
          </w:tcPr>
          <w:p w14:paraId="57B8B18F" w14:textId="226F6710" w:rsidR="00597F3C" w:rsidRPr="00C61FDF" w:rsidRDefault="00597F3C" w:rsidP="00597F3C">
            <w:pPr>
              <w:spacing w:after="0"/>
              <w:jc w:val="right"/>
              <w:rPr>
                <w:rFonts w:cs="Arial"/>
                <w:color w:val="000000"/>
              </w:rPr>
            </w:pPr>
            <w:r w:rsidRPr="00AF791E">
              <w:t xml:space="preserve"> 910,321 </w:t>
            </w:r>
          </w:p>
        </w:tc>
      </w:tr>
      <w:tr w:rsidR="00597F3C" w:rsidRPr="00C61FDF" w14:paraId="7123D07D" w14:textId="77777777" w:rsidTr="00801A0D">
        <w:trPr>
          <w:cantSplit/>
          <w:trHeight w:val="307"/>
        </w:trPr>
        <w:tc>
          <w:tcPr>
            <w:tcW w:w="3647" w:type="dxa"/>
            <w:shd w:val="clear" w:color="auto" w:fill="auto"/>
            <w:vAlign w:val="center"/>
            <w:hideMark/>
          </w:tcPr>
          <w:p w14:paraId="5973C884" w14:textId="77777777" w:rsidR="00597F3C" w:rsidRPr="00C61FDF" w:rsidRDefault="00597F3C" w:rsidP="00597F3C">
            <w:pPr>
              <w:spacing w:after="0"/>
              <w:rPr>
                <w:rFonts w:cs="Arial"/>
                <w:color w:val="000000"/>
              </w:rPr>
            </w:pPr>
            <w:r w:rsidRPr="00C61FDF">
              <w:rPr>
                <w:rFonts w:cs="Arial"/>
                <w:color w:val="000000"/>
              </w:rPr>
              <w:t>Other Local Revenues</w:t>
            </w:r>
          </w:p>
        </w:tc>
        <w:tc>
          <w:tcPr>
            <w:tcW w:w="2684" w:type="dxa"/>
            <w:shd w:val="clear" w:color="auto" w:fill="auto"/>
            <w:noWrap/>
            <w:vAlign w:val="center"/>
            <w:hideMark/>
          </w:tcPr>
          <w:p w14:paraId="49E04452" w14:textId="77777777" w:rsidR="00597F3C" w:rsidRPr="00C61FDF" w:rsidRDefault="00597F3C" w:rsidP="00597F3C">
            <w:pPr>
              <w:spacing w:after="0"/>
              <w:jc w:val="right"/>
              <w:rPr>
                <w:rFonts w:cs="Arial"/>
                <w:color w:val="000000"/>
              </w:rPr>
            </w:pPr>
            <w:r w:rsidRPr="00C61FDF">
              <w:rPr>
                <w:rFonts w:cs="Arial"/>
                <w:color w:val="000000"/>
              </w:rPr>
              <w:t xml:space="preserve">             7,190,760 </w:t>
            </w:r>
          </w:p>
        </w:tc>
        <w:tc>
          <w:tcPr>
            <w:tcW w:w="2685" w:type="dxa"/>
            <w:shd w:val="clear" w:color="auto" w:fill="auto"/>
            <w:noWrap/>
            <w:vAlign w:val="center"/>
            <w:hideMark/>
          </w:tcPr>
          <w:p w14:paraId="3BA9EBDC" w14:textId="2C9445DC" w:rsidR="00597F3C" w:rsidRPr="00C61FDF" w:rsidRDefault="00597F3C" w:rsidP="00597F3C">
            <w:pPr>
              <w:spacing w:after="0"/>
              <w:jc w:val="right"/>
              <w:rPr>
                <w:rFonts w:cs="Arial"/>
                <w:color w:val="000000"/>
              </w:rPr>
            </w:pPr>
            <w:r w:rsidRPr="00261061">
              <w:t xml:space="preserve"> 7,190,760 </w:t>
            </w:r>
          </w:p>
        </w:tc>
        <w:tc>
          <w:tcPr>
            <w:tcW w:w="2685" w:type="dxa"/>
            <w:shd w:val="clear" w:color="auto" w:fill="auto"/>
            <w:noWrap/>
            <w:vAlign w:val="center"/>
            <w:hideMark/>
          </w:tcPr>
          <w:p w14:paraId="00CA2A3F" w14:textId="77777777" w:rsidR="00597F3C" w:rsidRPr="00C61FDF" w:rsidRDefault="00597F3C" w:rsidP="00597F3C">
            <w:pPr>
              <w:spacing w:after="0"/>
              <w:jc w:val="right"/>
              <w:rPr>
                <w:rFonts w:cs="Arial"/>
                <w:color w:val="000000"/>
              </w:rPr>
            </w:pPr>
            <w:r w:rsidRPr="00C61FDF">
              <w:rPr>
                <w:rFonts w:cs="Arial"/>
                <w:color w:val="000000"/>
              </w:rPr>
              <w:t xml:space="preserve">             8,782,331 </w:t>
            </w:r>
          </w:p>
        </w:tc>
        <w:tc>
          <w:tcPr>
            <w:tcW w:w="2685" w:type="dxa"/>
            <w:shd w:val="clear" w:color="auto" w:fill="auto"/>
            <w:noWrap/>
            <w:hideMark/>
          </w:tcPr>
          <w:p w14:paraId="66C365C3" w14:textId="52509413" w:rsidR="00597F3C" w:rsidRPr="00C61FDF" w:rsidRDefault="00597F3C" w:rsidP="00597F3C">
            <w:pPr>
              <w:spacing w:after="0"/>
              <w:jc w:val="right"/>
              <w:rPr>
                <w:rFonts w:cs="Arial"/>
                <w:color w:val="000000"/>
              </w:rPr>
            </w:pPr>
            <w:r w:rsidRPr="00AF791E">
              <w:t xml:space="preserve"> 8,782,331 </w:t>
            </w:r>
          </w:p>
        </w:tc>
      </w:tr>
      <w:tr w:rsidR="00597F3C" w:rsidRPr="00C61FDF" w14:paraId="21F08A13" w14:textId="77777777" w:rsidTr="00801A0D">
        <w:trPr>
          <w:cantSplit/>
          <w:trHeight w:val="307"/>
        </w:trPr>
        <w:tc>
          <w:tcPr>
            <w:tcW w:w="3647" w:type="dxa"/>
            <w:shd w:val="clear" w:color="auto" w:fill="auto"/>
            <w:vAlign w:val="center"/>
            <w:hideMark/>
          </w:tcPr>
          <w:p w14:paraId="0602513C" w14:textId="77777777" w:rsidR="00597F3C" w:rsidRPr="00C61FDF" w:rsidRDefault="00597F3C" w:rsidP="00597F3C">
            <w:pPr>
              <w:spacing w:after="0"/>
              <w:ind w:firstLineChars="100" w:firstLine="241"/>
              <w:jc w:val="right"/>
              <w:rPr>
                <w:rFonts w:cs="Arial"/>
                <w:b/>
                <w:bCs/>
                <w:color w:val="000000"/>
              </w:rPr>
            </w:pPr>
            <w:r w:rsidRPr="00C61FDF">
              <w:rPr>
                <w:rFonts w:cs="Arial"/>
                <w:b/>
                <w:bCs/>
                <w:color w:val="000000"/>
              </w:rPr>
              <w:t>Total Revenues</w:t>
            </w:r>
          </w:p>
        </w:tc>
        <w:tc>
          <w:tcPr>
            <w:tcW w:w="2684" w:type="dxa"/>
            <w:shd w:val="clear" w:color="auto" w:fill="auto"/>
            <w:noWrap/>
            <w:vAlign w:val="center"/>
            <w:hideMark/>
          </w:tcPr>
          <w:p w14:paraId="21F32E29" w14:textId="7766A525" w:rsidR="00597F3C" w:rsidRPr="00C61FDF" w:rsidRDefault="00597F3C" w:rsidP="00597F3C">
            <w:pPr>
              <w:spacing w:after="0"/>
              <w:jc w:val="right"/>
              <w:rPr>
                <w:rFonts w:cs="Arial"/>
                <w:b/>
                <w:bCs/>
                <w:color w:val="000000"/>
              </w:rPr>
            </w:pPr>
            <w:r w:rsidRPr="00C61FDF">
              <w:rPr>
                <w:rFonts w:cs="Arial"/>
                <w:b/>
                <w:bCs/>
                <w:color w:val="000000"/>
              </w:rPr>
              <w:t xml:space="preserve">          44,203,465 </w:t>
            </w:r>
          </w:p>
        </w:tc>
        <w:tc>
          <w:tcPr>
            <w:tcW w:w="2685" w:type="dxa"/>
            <w:shd w:val="clear" w:color="auto" w:fill="auto"/>
            <w:noWrap/>
            <w:vAlign w:val="center"/>
            <w:hideMark/>
          </w:tcPr>
          <w:p w14:paraId="093E99B0" w14:textId="36AC6CFE" w:rsidR="00597F3C" w:rsidRPr="00597F3C" w:rsidRDefault="00597F3C" w:rsidP="00597F3C">
            <w:pPr>
              <w:spacing w:after="0"/>
              <w:jc w:val="right"/>
              <w:rPr>
                <w:rFonts w:cs="Arial"/>
                <w:b/>
                <w:bCs/>
                <w:color w:val="000000"/>
              </w:rPr>
            </w:pPr>
            <w:r w:rsidRPr="00597F3C">
              <w:rPr>
                <w:b/>
                <w:bCs/>
              </w:rPr>
              <w:t xml:space="preserve"> 46,272,867 </w:t>
            </w:r>
          </w:p>
        </w:tc>
        <w:tc>
          <w:tcPr>
            <w:tcW w:w="2685" w:type="dxa"/>
            <w:shd w:val="clear" w:color="auto" w:fill="auto"/>
            <w:noWrap/>
            <w:vAlign w:val="center"/>
            <w:hideMark/>
          </w:tcPr>
          <w:p w14:paraId="419AB0A8" w14:textId="51A23212" w:rsidR="00597F3C" w:rsidRPr="00A64DB5" w:rsidRDefault="00597F3C" w:rsidP="00597F3C">
            <w:pPr>
              <w:spacing w:after="0"/>
              <w:jc w:val="right"/>
              <w:rPr>
                <w:rFonts w:cs="Arial"/>
                <w:b/>
                <w:bCs/>
                <w:color w:val="000000"/>
              </w:rPr>
            </w:pPr>
            <w:r w:rsidRPr="00A64DB5">
              <w:rPr>
                <w:rFonts w:cs="Arial"/>
                <w:b/>
                <w:bCs/>
                <w:color w:val="000000"/>
              </w:rPr>
              <w:t xml:space="preserve">           45,831,839 </w:t>
            </w:r>
          </w:p>
        </w:tc>
        <w:tc>
          <w:tcPr>
            <w:tcW w:w="2685" w:type="dxa"/>
            <w:shd w:val="clear" w:color="auto" w:fill="auto"/>
            <w:noWrap/>
            <w:hideMark/>
          </w:tcPr>
          <w:p w14:paraId="6677EDF4" w14:textId="50EAB083" w:rsidR="00597F3C" w:rsidRPr="00597F3C" w:rsidRDefault="00597F3C" w:rsidP="00597F3C">
            <w:pPr>
              <w:spacing w:after="0"/>
              <w:jc w:val="right"/>
              <w:rPr>
                <w:rFonts w:cs="Arial"/>
                <w:b/>
                <w:bCs/>
                <w:color w:val="000000"/>
              </w:rPr>
            </w:pPr>
            <w:r w:rsidRPr="00AF791E">
              <w:t xml:space="preserve"> </w:t>
            </w:r>
            <w:r w:rsidRPr="00597F3C">
              <w:rPr>
                <w:b/>
                <w:bCs/>
              </w:rPr>
              <w:t xml:space="preserve">47,771,961 </w:t>
            </w:r>
          </w:p>
        </w:tc>
      </w:tr>
      <w:tr w:rsidR="00597F3C" w:rsidRPr="00C61FDF" w14:paraId="092CDCDA" w14:textId="77777777" w:rsidTr="00801A0D">
        <w:trPr>
          <w:cantSplit/>
          <w:trHeight w:val="307"/>
        </w:trPr>
        <w:tc>
          <w:tcPr>
            <w:tcW w:w="3647" w:type="dxa"/>
            <w:shd w:val="clear" w:color="auto" w:fill="auto"/>
            <w:vAlign w:val="center"/>
            <w:hideMark/>
          </w:tcPr>
          <w:p w14:paraId="23EDCBFA" w14:textId="77777777" w:rsidR="00597F3C" w:rsidRPr="00C61FDF" w:rsidRDefault="00597F3C" w:rsidP="00597F3C">
            <w:pPr>
              <w:spacing w:after="0"/>
              <w:rPr>
                <w:rFonts w:cs="Arial"/>
                <w:color w:val="000000"/>
              </w:rPr>
            </w:pPr>
            <w:r w:rsidRPr="00C61FDF">
              <w:rPr>
                <w:rFonts w:cs="Arial"/>
                <w:color w:val="000000"/>
              </w:rPr>
              <w:t>Certificated Salaries</w:t>
            </w:r>
          </w:p>
        </w:tc>
        <w:tc>
          <w:tcPr>
            <w:tcW w:w="2684" w:type="dxa"/>
            <w:shd w:val="clear" w:color="auto" w:fill="auto"/>
            <w:noWrap/>
            <w:vAlign w:val="center"/>
            <w:hideMark/>
          </w:tcPr>
          <w:p w14:paraId="74B6FDD3" w14:textId="170567C2" w:rsidR="00597F3C" w:rsidRPr="00C61FDF" w:rsidRDefault="00597F3C" w:rsidP="00597F3C">
            <w:pPr>
              <w:spacing w:after="0"/>
              <w:jc w:val="right"/>
              <w:rPr>
                <w:rFonts w:cs="Arial"/>
                <w:color w:val="000000"/>
              </w:rPr>
            </w:pPr>
            <w:r w:rsidRPr="00C61FDF">
              <w:rPr>
                <w:rFonts w:cs="Arial"/>
                <w:color w:val="000000"/>
              </w:rPr>
              <w:t xml:space="preserve">            8,946,210 </w:t>
            </w:r>
          </w:p>
        </w:tc>
        <w:tc>
          <w:tcPr>
            <w:tcW w:w="2685" w:type="dxa"/>
            <w:shd w:val="clear" w:color="auto" w:fill="auto"/>
            <w:noWrap/>
            <w:vAlign w:val="center"/>
            <w:hideMark/>
          </w:tcPr>
          <w:p w14:paraId="2B3476D9" w14:textId="562CF1F1" w:rsidR="00597F3C" w:rsidRPr="00C61FDF" w:rsidRDefault="00597F3C" w:rsidP="00597F3C">
            <w:pPr>
              <w:spacing w:after="0"/>
              <w:jc w:val="right"/>
              <w:rPr>
                <w:rFonts w:cs="Arial"/>
                <w:color w:val="000000"/>
              </w:rPr>
            </w:pPr>
            <w:r w:rsidRPr="00261061">
              <w:t xml:space="preserve"> 18,946,210 </w:t>
            </w:r>
          </w:p>
        </w:tc>
        <w:tc>
          <w:tcPr>
            <w:tcW w:w="2685" w:type="dxa"/>
            <w:shd w:val="clear" w:color="auto" w:fill="auto"/>
            <w:noWrap/>
            <w:vAlign w:val="center"/>
            <w:hideMark/>
          </w:tcPr>
          <w:p w14:paraId="16C02B97" w14:textId="3C1B2555" w:rsidR="00597F3C" w:rsidRPr="00C61FDF" w:rsidRDefault="00597F3C" w:rsidP="00597F3C">
            <w:pPr>
              <w:spacing w:after="0"/>
              <w:jc w:val="right"/>
              <w:rPr>
                <w:rFonts w:cs="Arial"/>
                <w:color w:val="000000"/>
              </w:rPr>
            </w:pPr>
            <w:r w:rsidRPr="00C61FDF">
              <w:rPr>
                <w:rFonts w:cs="Arial"/>
                <w:color w:val="000000"/>
              </w:rPr>
              <w:t xml:space="preserve">           20,210,135 </w:t>
            </w:r>
          </w:p>
        </w:tc>
        <w:tc>
          <w:tcPr>
            <w:tcW w:w="2685" w:type="dxa"/>
            <w:shd w:val="clear" w:color="auto" w:fill="auto"/>
            <w:noWrap/>
            <w:hideMark/>
          </w:tcPr>
          <w:p w14:paraId="655501A4" w14:textId="63D07319" w:rsidR="00597F3C" w:rsidRPr="00C61FDF" w:rsidRDefault="00597F3C" w:rsidP="00597F3C">
            <w:pPr>
              <w:spacing w:after="0"/>
              <w:jc w:val="right"/>
              <w:rPr>
                <w:rFonts w:cs="Arial"/>
                <w:color w:val="000000"/>
              </w:rPr>
            </w:pPr>
            <w:r w:rsidRPr="00AF791E">
              <w:t xml:space="preserve"> 20,210,135 </w:t>
            </w:r>
          </w:p>
        </w:tc>
      </w:tr>
      <w:tr w:rsidR="00597F3C" w:rsidRPr="00C61FDF" w14:paraId="293162B1" w14:textId="77777777" w:rsidTr="00801A0D">
        <w:trPr>
          <w:cantSplit/>
          <w:trHeight w:val="307"/>
        </w:trPr>
        <w:tc>
          <w:tcPr>
            <w:tcW w:w="3647" w:type="dxa"/>
            <w:shd w:val="clear" w:color="auto" w:fill="auto"/>
            <w:vAlign w:val="center"/>
            <w:hideMark/>
          </w:tcPr>
          <w:p w14:paraId="19215CBB" w14:textId="77777777" w:rsidR="00597F3C" w:rsidRPr="00C61FDF" w:rsidRDefault="00597F3C" w:rsidP="00597F3C">
            <w:pPr>
              <w:spacing w:after="0"/>
              <w:rPr>
                <w:rFonts w:cs="Arial"/>
                <w:color w:val="000000"/>
              </w:rPr>
            </w:pPr>
            <w:r w:rsidRPr="00C61FDF">
              <w:rPr>
                <w:rFonts w:cs="Arial"/>
                <w:color w:val="000000"/>
              </w:rPr>
              <w:t>Classified Salaries</w:t>
            </w:r>
          </w:p>
        </w:tc>
        <w:tc>
          <w:tcPr>
            <w:tcW w:w="2684" w:type="dxa"/>
            <w:shd w:val="clear" w:color="auto" w:fill="auto"/>
            <w:noWrap/>
            <w:vAlign w:val="center"/>
            <w:hideMark/>
          </w:tcPr>
          <w:p w14:paraId="2FEF3AFD" w14:textId="77777777" w:rsidR="00597F3C" w:rsidRPr="00C61FDF" w:rsidRDefault="00597F3C" w:rsidP="00597F3C">
            <w:pPr>
              <w:spacing w:after="0"/>
              <w:jc w:val="right"/>
              <w:rPr>
                <w:rFonts w:cs="Arial"/>
                <w:color w:val="000000"/>
              </w:rPr>
            </w:pPr>
            <w:r w:rsidRPr="00C61FDF">
              <w:rPr>
                <w:rFonts w:cs="Arial"/>
                <w:color w:val="000000"/>
              </w:rPr>
              <w:t xml:space="preserve">             5,441,016 </w:t>
            </w:r>
          </w:p>
        </w:tc>
        <w:tc>
          <w:tcPr>
            <w:tcW w:w="2685" w:type="dxa"/>
            <w:shd w:val="clear" w:color="auto" w:fill="auto"/>
            <w:noWrap/>
            <w:vAlign w:val="center"/>
            <w:hideMark/>
          </w:tcPr>
          <w:p w14:paraId="07B6D993" w14:textId="68DF49D0" w:rsidR="00597F3C" w:rsidRPr="00C61FDF" w:rsidRDefault="00597F3C" w:rsidP="00597F3C">
            <w:pPr>
              <w:spacing w:after="0"/>
              <w:jc w:val="right"/>
              <w:rPr>
                <w:rFonts w:cs="Arial"/>
                <w:color w:val="000000"/>
              </w:rPr>
            </w:pPr>
            <w:r w:rsidRPr="00261061">
              <w:t xml:space="preserve"> 5,441,016 </w:t>
            </w:r>
          </w:p>
        </w:tc>
        <w:tc>
          <w:tcPr>
            <w:tcW w:w="2685" w:type="dxa"/>
            <w:shd w:val="clear" w:color="auto" w:fill="auto"/>
            <w:noWrap/>
            <w:vAlign w:val="center"/>
            <w:hideMark/>
          </w:tcPr>
          <w:p w14:paraId="0CC591D4" w14:textId="77777777" w:rsidR="00597F3C" w:rsidRPr="00C61FDF" w:rsidRDefault="00597F3C" w:rsidP="00597F3C">
            <w:pPr>
              <w:spacing w:after="0"/>
              <w:jc w:val="right"/>
              <w:rPr>
                <w:rFonts w:cs="Arial"/>
                <w:color w:val="000000"/>
              </w:rPr>
            </w:pPr>
            <w:r w:rsidRPr="00C61FDF">
              <w:rPr>
                <w:rFonts w:cs="Arial"/>
                <w:color w:val="000000"/>
              </w:rPr>
              <w:t xml:space="preserve">             5,887,880 </w:t>
            </w:r>
          </w:p>
        </w:tc>
        <w:tc>
          <w:tcPr>
            <w:tcW w:w="2685" w:type="dxa"/>
            <w:shd w:val="clear" w:color="auto" w:fill="auto"/>
            <w:noWrap/>
            <w:hideMark/>
          </w:tcPr>
          <w:p w14:paraId="1278390D" w14:textId="79699A9B" w:rsidR="00597F3C" w:rsidRPr="00C61FDF" w:rsidRDefault="00597F3C" w:rsidP="00597F3C">
            <w:pPr>
              <w:spacing w:after="0"/>
              <w:jc w:val="right"/>
              <w:rPr>
                <w:rFonts w:cs="Arial"/>
                <w:color w:val="000000"/>
              </w:rPr>
            </w:pPr>
            <w:r w:rsidRPr="00AF791E">
              <w:t xml:space="preserve"> 5,887,880 </w:t>
            </w:r>
          </w:p>
        </w:tc>
      </w:tr>
      <w:tr w:rsidR="00597F3C" w:rsidRPr="00C61FDF" w14:paraId="65586FD2" w14:textId="77777777" w:rsidTr="00801A0D">
        <w:trPr>
          <w:cantSplit/>
          <w:trHeight w:val="307"/>
        </w:trPr>
        <w:tc>
          <w:tcPr>
            <w:tcW w:w="3647" w:type="dxa"/>
            <w:shd w:val="clear" w:color="auto" w:fill="auto"/>
            <w:vAlign w:val="center"/>
            <w:hideMark/>
          </w:tcPr>
          <w:p w14:paraId="66A3F844" w14:textId="77777777" w:rsidR="00597F3C" w:rsidRPr="00C61FDF" w:rsidRDefault="00597F3C" w:rsidP="00597F3C">
            <w:pPr>
              <w:spacing w:after="0"/>
              <w:rPr>
                <w:rFonts w:cs="Arial"/>
                <w:color w:val="000000"/>
              </w:rPr>
            </w:pPr>
            <w:r w:rsidRPr="00C61FDF">
              <w:rPr>
                <w:rFonts w:cs="Arial"/>
                <w:color w:val="000000"/>
              </w:rPr>
              <w:t>Employee Benefits</w:t>
            </w:r>
          </w:p>
        </w:tc>
        <w:tc>
          <w:tcPr>
            <w:tcW w:w="2684" w:type="dxa"/>
            <w:shd w:val="clear" w:color="auto" w:fill="auto"/>
            <w:noWrap/>
            <w:vAlign w:val="center"/>
            <w:hideMark/>
          </w:tcPr>
          <w:p w14:paraId="3B782BFC" w14:textId="77777777" w:rsidR="00597F3C" w:rsidRPr="00C61FDF" w:rsidRDefault="00597F3C" w:rsidP="00597F3C">
            <w:pPr>
              <w:spacing w:after="0"/>
              <w:jc w:val="right"/>
              <w:rPr>
                <w:rFonts w:cs="Arial"/>
                <w:color w:val="000000"/>
              </w:rPr>
            </w:pPr>
            <w:r w:rsidRPr="00C61FDF">
              <w:rPr>
                <w:rFonts w:cs="Arial"/>
                <w:color w:val="000000"/>
              </w:rPr>
              <w:t xml:space="preserve">             7,696,927 </w:t>
            </w:r>
          </w:p>
        </w:tc>
        <w:tc>
          <w:tcPr>
            <w:tcW w:w="2685" w:type="dxa"/>
            <w:shd w:val="clear" w:color="auto" w:fill="auto"/>
            <w:noWrap/>
            <w:vAlign w:val="center"/>
            <w:hideMark/>
          </w:tcPr>
          <w:p w14:paraId="0C3C2FE0" w14:textId="2F3A8779" w:rsidR="00597F3C" w:rsidRPr="00C61FDF" w:rsidRDefault="00597F3C" w:rsidP="00597F3C">
            <w:pPr>
              <w:spacing w:after="0"/>
              <w:jc w:val="right"/>
              <w:rPr>
                <w:rFonts w:cs="Arial"/>
                <w:color w:val="000000"/>
              </w:rPr>
            </w:pPr>
            <w:r w:rsidRPr="00261061">
              <w:t xml:space="preserve"> 7,696,927 </w:t>
            </w:r>
          </w:p>
        </w:tc>
        <w:tc>
          <w:tcPr>
            <w:tcW w:w="2685" w:type="dxa"/>
            <w:shd w:val="clear" w:color="auto" w:fill="auto"/>
            <w:noWrap/>
            <w:vAlign w:val="center"/>
            <w:hideMark/>
          </w:tcPr>
          <w:p w14:paraId="7C05693B" w14:textId="77777777" w:rsidR="00597F3C" w:rsidRPr="00C61FDF" w:rsidRDefault="00597F3C" w:rsidP="00597F3C">
            <w:pPr>
              <w:spacing w:after="0"/>
              <w:jc w:val="right"/>
              <w:rPr>
                <w:rFonts w:cs="Arial"/>
                <w:color w:val="000000"/>
              </w:rPr>
            </w:pPr>
            <w:r w:rsidRPr="00C61FDF">
              <w:rPr>
                <w:rFonts w:cs="Arial"/>
                <w:color w:val="000000"/>
              </w:rPr>
              <w:t xml:space="preserve">             8,571,614 </w:t>
            </w:r>
          </w:p>
        </w:tc>
        <w:tc>
          <w:tcPr>
            <w:tcW w:w="2685" w:type="dxa"/>
            <w:shd w:val="clear" w:color="auto" w:fill="auto"/>
            <w:noWrap/>
            <w:hideMark/>
          </w:tcPr>
          <w:p w14:paraId="76A2F9DC" w14:textId="09C92099" w:rsidR="00597F3C" w:rsidRPr="00C61FDF" w:rsidRDefault="00597F3C" w:rsidP="00597F3C">
            <w:pPr>
              <w:spacing w:after="0"/>
              <w:jc w:val="right"/>
              <w:rPr>
                <w:rFonts w:cs="Arial"/>
                <w:color w:val="000000"/>
              </w:rPr>
            </w:pPr>
            <w:r w:rsidRPr="00AF791E">
              <w:t xml:space="preserve"> 8,571,614 </w:t>
            </w:r>
          </w:p>
        </w:tc>
      </w:tr>
      <w:tr w:rsidR="00597F3C" w:rsidRPr="00C61FDF" w14:paraId="3310F8D7" w14:textId="77777777" w:rsidTr="00801A0D">
        <w:trPr>
          <w:cantSplit/>
          <w:trHeight w:val="307"/>
        </w:trPr>
        <w:tc>
          <w:tcPr>
            <w:tcW w:w="3647" w:type="dxa"/>
            <w:shd w:val="clear" w:color="auto" w:fill="auto"/>
            <w:vAlign w:val="center"/>
            <w:hideMark/>
          </w:tcPr>
          <w:p w14:paraId="0CC6B1B8" w14:textId="77777777" w:rsidR="00597F3C" w:rsidRPr="00C61FDF" w:rsidRDefault="00597F3C" w:rsidP="00597F3C">
            <w:pPr>
              <w:spacing w:after="0"/>
              <w:rPr>
                <w:rFonts w:cs="Arial"/>
                <w:color w:val="000000"/>
              </w:rPr>
            </w:pPr>
            <w:r w:rsidRPr="00C61FDF">
              <w:rPr>
                <w:rFonts w:cs="Arial"/>
                <w:color w:val="000000"/>
              </w:rPr>
              <w:t>Books and Supplies</w:t>
            </w:r>
          </w:p>
        </w:tc>
        <w:tc>
          <w:tcPr>
            <w:tcW w:w="2684" w:type="dxa"/>
            <w:shd w:val="clear" w:color="auto" w:fill="auto"/>
            <w:noWrap/>
            <w:vAlign w:val="center"/>
            <w:hideMark/>
          </w:tcPr>
          <w:p w14:paraId="3D9C9EEF" w14:textId="77777777" w:rsidR="00597F3C" w:rsidRPr="00C61FDF" w:rsidRDefault="00597F3C" w:rsidP="00597F3C">
            <w:pPr>
              <w:spacing w:after="0"/>
              <w:jc w:val="right"/>
              <w:rPr>
                <w:rFonts w:cs="Arial"/>
                <w:color w:val="000000"/>
              </w:rPr>
            </w:pPr>
            <w:r w:rsidRPr="00C61FDF">
              <w:rPr>
                <w:rFonts w:cs="Arial"/>
                <w:color w:val="000000"/>
              </w:rPr>
              <w:t xml:space="preserve">             1,225,578 </w:t>
            </w:r>
          </w:p>
        </w:tc>
        <w:tc>
          <w:tcPr>
            <w:tcW w:w="2685" w:type="dxa"/>
            <w:shd w:val="clear" w:color="auto" w:fill="auto"/>
            <w:noWrap/>
            <w:vAlign w:val="center"/>
            <w:hideMark/>
          </w:tcPr>
          <w:p w14:paraId="3C8A0E6A" w14:textId="0F3CD517" w:rsidR="00597F3C" w:rsidRPr="00C61FDF" w:rsidRDefault="00597F3C" w:rsidP="00597F3C">
            <w:pPr>
              <w:spacing w:after="0"/>
              <w:jc w:val="right"/>
              <w:rPr>
                <w:rFonts w:cs="Arial"/>
                <w:color w:val="000000"/>
              </w:rPr>
            </w:pPr>
            <w:r w:rsidRPr="00261061">
              <w:t xml:space="preserve"> 1,225,578 </w:t>
            </w:r>
          </w:p>
        </w:tc>
        <w:tc>
          <w:tcPr>
            <w:tcW w:w="2685" w:type="dxa"/>
            <w:shd w:val="clear" w:color="auto" w:fill="auto"/>
            <w:noWrap/>
            <w:vAlign w:val="center"/>
            <w:hideMark/>
          </w:tcPr>
          <w:p w14:paraId="1757DF50" w14:textId="77777777" w:rsidR="00597F3C" w:rsidRPr="00C61FDF" w:rsidRDefault="00597F3C" w:rsidP="00597F3C">
            <w:pPr>
              <w:spacing w:after="0"/>
              <w:jc w:val="right"/>
              <w:rPr>
                <w:rFonts w:cs="Arial"/>
                <w:color w:val="000000"/>
              </w:rPr>
            </w:pPr>
            <w:r w:rsidRPr="00C61FDF">
              <w:rPr>
                <w:rFonts w:cs="Arial"/>
                <w:color w:val="000000"/>
              </w:rPr>
              <w:t xml:space="preserve">             1,212,170 </w:t>
            </w:r>
          </w:p>
        </w:tc>
        <w:tc>
          <w:tcPr>
            <w:tcW w:w="2685" w:type="dxa"/>
            <w:shd w:val="clear" w:color="auto" w:fill="auto"/>
            <w:noWrap/>
            <w:hideMark/>
          </w:tcPr>
          <w:p w14:paraId="211EBBA2" w14:textId="4C00932A" w:rsidR="00597F3C" w:rsidRPr="00C61FDF" w:rsidRDefault="00597F3C" w:rsidP="00597F3C">
            <w:pPr>
              <w:spacing w:after="0"/>
              <w:jc w:val="right"/>
              <w:rPr>
                <w:rFonts w:cs="Arial"/>
                <w:color w:val="000000"/>
              </w:rPr>
            </w:pPr>
            <w:r w:rsidRPr="00AF791E">
              <w:t xml:space="preserve"> 1,212,170 </w:t>
            </w:r>
          </w:p>
        </w:tc>
      </w:tr>
      <w:tr w:rsidR="00597F3C" w:rsidRPr="00C61FDF" w14:paraId="147F312A" w14:textId="77777777" w:rsidTr="00801A0D">
        <w:trPr>
          <w:cantSplit/>
          <w:trHeight w:val="614"/>
        </w:trPr>
        <w:tc>
          <w:tcPr>
            <w:tcW w:w="3647" w:type="dxa"/>
            <w:shd w:val="clear" w:color="auto" w:fill="auto"/>
            <w:vAlign w:val="center"/>
            <w:hideMark/>
          </w:tcPr>
          <w:p w14:paraId="2D27126B" w14:textId="77777777" w:rsidR="00597F3C" w:rsidRPr="00C61FDF" w:rsidRDefault="00597F3C" w:rsidP="00597F3C">
            <w:pPr>
              <w:spacing w:after="0"/>
              <w:rPr>
                <w:rFonts w:cs="Arial"/>
                <w:color w:val="000000"/>
              </w:rPr>
            </w:pPr>
            <w:r w:rsidRPr="00C61FDF">
              <w:rPr>
                <w:rFonts w:cs="Arial"/>
                <w:color w:val="000000"/>
              </w:rPr>
              <w:t>Service/Other Operating Expenses</w:t>
            </w:r>
          </w:p>
        </w:tc>
        <w:tc>
          <w:tcPr>
            <w:tcW w:w="2684" w:type="dxa"/>
            <w:shd w:val="clear" w:color="auto" w:fill="auto"/>
            <w:noWrap/>
            <w:vAlign w:val="center"/>
            <w:hideMark/>
          </w:tcPr>
          <w:p w14:paraId="4EFA6332" w14:textId="77777777" w:rsidR="00597F3C" w:rsidRPr="00C61FDF" w:rsidRDefault="00597F3C" w:rsidP="00597F3C">
            <w:pPr>
              <w:spacing w:after="0"/>
              <w:jc w:val="right"/>
              <w:rPr>
                <w:rFonts w:cs="Arial"/>
                <w:color w:val="000000"/>
              </w:rPr>
            </w:pPr>
            <w:r w:rsidRPr="00C61FDF">
              <w:rPr>
                <w:rFonts w:cs="Arial"/>
                <w:color w:val="000000"/>
              </w:rPr>
              <w:t xml:space="preserve">             3,166,152 </w:t>
            </w:r>
          </w:p>
        </w:tc>
        <w:tc>
          <w:tcPr>
            <w:tcW w:w="2685" w:type="dxa"/>
            <w:shd w:val="clear" w:color="auto" w:fill="auto"/>
            <w:noWrap/>
            <w:vAlign w:val="center"/>
            <w:hideMark/>
          </w:tcPr>
          <w:p w14:paraId="76BC4436" w14:textId="225E161A" w:rsidR="00597F3C" w:rsidRPr="00C61FDF" w:rsidRDefault="00597F3C" w:rsidP="00597F3C">
            <w:pPr>
              <w:spacing w:after="0"/>
              <w:jc w:val="right"/>
              <w:rPr>
                <w:rFonts w:cs="Arial"/>
                <w:color w:val="000000"/>
              </w:rPr>
            </w:pPr>
            <w:r w:rsidRPr="00261061">
              <w:t xml:space="preserve"> 3,166,152 </w:t>
            </w:r>
          </w:p>
        </w:tc>
        <w:tc>
          <w:tcPr>
            <w:tcW w:w="2685" w:type="dxa"/>
            <w:shd w:val="clear" w:color="auto" w:fill="auto"/>
            <w:noWrap/>
            <w:vAlign w:val="center"/>
            <w:hideMark/>
          </w:tcPr>
          <w:p w14:paraId="2F91BDA9" w14:textId="77777777" w:rsidR="00597F3C" w:rsidRPr="00C61FDF" w:rsidRDefault="00597F3C" w:rsidP="00597F3C">
            <w:pPr>
              <w:spacing w:after="0"/>
              <w:jc w:val="right"/>
              <w:rPr>
                <w:rFonts w:cs="Arial"/>
                <w:color w:val="000000"/>
              </w:rPr>
            </w:pPr>
            <w:r w:rsidRPr="00C61FDF">
              <w:rPr>
                <w:rFonts w:cs="Arial"/>
                <w:color w:val="000000"/>
              </w:rPr>
              <w:t xml:space="preserve">             4,954,399 </w:t>
            </w:r>
          </w:p>
        </w:tc>
        <w:tc>
          <w:tcPr>
            <w:tcW w:w="2685" w:type="dxa"/>
            <w:shd w:val="clear" w:color="auto" w:fill="auto"/>
            <w:noWrap/>
            <w:hideMark/>
          </w:tcPr>
          <w:p w14:paraId="0525C18F" w14:textId="0F8300FD" w:rsidR="00597F3C" w:rsidRPr="00C61FDF" w:rsidRDefault="00597F3C" w:rsidP="00597F3C">
            <w:pPr>
              <w:spacing w:after="0"/>
              <w:jc w:val="right"/>
              <w:rPr>
                <w:rFonts w:cs="Arial"/>
                <w:color w:val="000000"/>
              </w:rPr>
            </w:pPr>
            <w:r w:rsidRPr="00AF791E">
              <w:t xml:space="preserve"> 4,954,399 </w:t>
            </w:r>
          </w:p>
        </w:tc>
      </w:tr>
      <w:tr w:rsidR="00597F3C" w:rsidRPr="00C61FDF" w14:paraId="4046954B" w14:textId="77777777" w:rsidTr="00801A0D">
        <w:trPr>
          <w:cantSplit/>
          <w:trHeight w:val="307"/>
        </w:trPr>
        <w:tc>
          <w:tcPr>
            <w:tcW w:w="3647" w:type="dxa"/>
            <w:shd w:val="clear" w:color="auto" w:fill="auto"/>
            <w:vAlign w:val="center"/>
            <w:hideMark/>
          </w:tcPr>
          <w:p w14:paraId="6E8DE428" w14:textId="77777777" w:rsidR="00597F3C" w:rsidRPr="00C61FDF" w:rsidRDefault="00597F3C" w:rsidP="00597F3C">
            <w:pPr>
              <w:spacing w:after="0"/>
              <w:rPr>
                <w:rFonts w:cs="Arial"/>
              </w:rPr>
            </w:pPr>
            <w:r w:rsidRPr="00C61FDF">
              <w:rPr>
                <w:rFonts w:cs="Arial"/>
              </w:rPr>
              <w:t>Capital Expenses</w:t>
            </w:r>
          </w:p>
        </w:tc>
        <w:tc>
          <w:tcPr>
            <w:tcW w:w="2684" w:type="dxa"/>
            <w:shd w:val="clear" w:color="auto" w:fill="auto"/>
            <w:noWrap/>
            <w:vAlign w:val="center"/>
            <w:hideMark/>
          </w:tcPr>
          <w:p w14:paraId="5476D2CF" w14:textId="77777777" w:rsidR="00597F3C" w:rsidRPr="00C61FDF" w:rsidRDefault="00597F3C" w:rsidP="00597F3C">
            <w:pPr>
              <w:spacing w:after="0"/>
              <w:jc w:val="right"/>
              <w:rPr>
                <w:rFonts w:cs="Arial"/>
                <w:color w:val="000000"/>
              </w:rPr>
            </w:pPr>
            <w:r w:rsidRPr="00C61FDF">
              <w:rPr>
                <w:rFonts w:cs="Arial"/>
                <w:color w:val="000000"/>
              </w:rPr>
              <w:t xml:space="preserve">                    6,250 </w:t>
            </w:r>
          </w:p>
        </w:tc>
        <w:tc>
          <w:tcPr>
            <w:tcW w:w="2685" w:type="dxa"/>
            <w:shd w:val="clear" w:color="auto" w:fill="auto"/>
            <w:noWrap/>
            <w:vAlign w:val="center"/>
            <w:hideMark/>
          </w:tcPr>
          <w:p w14:paraId="6D8227D6" w14:textId="4643069C" w:rsidR="00597F3C" w:rsidRPr="00C61FDF" w:rsidRDefault="00597F3C" w:rsidP="00597F3C">
            <w:pPr>
              <w:spacing w:after="0"/>
              <w:jc w:val="right"/>
              <w:rPr>
                <w:rFonts w:cs="Arial"/>
                <w:color w:val="000000"/>
              </w:rPr>
            </w:pPr>
            <w:r w:rsidRPr="00261061">
              <w:t xml:space="preserve"> 6,250 </w:t>
            </w:r>
          </w:p>
        </w:tc>
        <w:tc>
          <w:tcPr>
            <w:tcW w:w="2685" w:type="dxa"/>
            <w:shd w:val="clear" w:color="auto" w:fill="auto"/>
            <w:noWrap/>
            <w:vAlign w:val="center"/>
            <w:hideMark/>
          </w:tcPr>
          <w:p w14:paraId="353F3860" w14:textId="77777777" w:rsidR="00597F3C" w:rsidRPr="00C61FDF" w:rsidRDefault="00597F3C" w:rsidP="00597F3C">
            <w:pPr>
              <w:spacing w:after="0"/>
              <w:jc w:val="right"/>
              <w:rPr>
                <w:rFonts w:cs="Arial"/>
                <w:color w:val="000000"/>
              </w:rPr>
            </w:pPr>
            <w:r w:rsidRPr="00C61FDF">
              <w:rPr>
                <w:rFonts w:cs="Arial"/>
                <w:color w:val="000000"/>
              </w:rPr>
              <w:t xml:space="preserve">                  71,793 </w:t>
            </w:r>
          </w:p>
        </w:tc>
        <w:tc>
          <w:tcPr>
            <w:tcW w:w="2685" w:type="dxa"/>
            <w:shd w:val="clear" w:color="auto" w:fill="auto"/>
            <w:noWrap/>
            <w:hideMark/>
          </w:tcPr>
          <w:p w14:paraId="556289A0" w14:textId="65E1028A" w:rsidR="00597F3C" w:rsidRPr="00C61FDF" w:rsidRDefault="00597F3C" w:rsidP="00597F3C">
            <w:pPr>
              <w:spacing w:after="0"/>
              <w:jc w:val="right"/>
              <w:rPr>
                <w:rFonts w:cs="Arial"/>
                <w:color w:val="000000"/>
              </w:rPr>
            </w:pPr>
            <w:r w:rsidRPr="00AF791E">
              <w:t xml:space="preserve"> 71,793 </w:t>
            </w:r>
          </w:p>
        </w:tc>
      </w:tr>
      <w:tr w:rsidR="00597F3C" w:rsidRPr="00C61FDF" w14:paraId="0C5AE0E0" w14:textId="77777777" w:rsidTr="00801A0D">
        <w:trPr>
          <w:cantSplit/>
          <w:trHeight w:val="307"/>
        </w:trPr>
        <w:tc>
          <w:tcPr>
            <w:tcW w:w="3647" w:type="dxa"/>
            <w:shd w:val="clear" w:color="auto" w:fill="auto"/>
            <w:vAlign w:val="center"/>
            <w:hideMark/>
          </w:tcPr>
          <w:p w14:paraId="6EDA33BD" w14:textId="77777777" w:rsidR="00597F3C" w:rsidRPr="00C61FDF" w:rsidRDefault="00597F3C" w:rsidP="00597F3C">
            <w:pPr>
              <w:spacing w:after="0"/>
              <w:rPr>
                <w:rFonts w:cs="Arial"/>
              </w:rPr>
            </w:pPr>
            <w:r w:rsidRPr="00C61FDF">
              <w:rPr>
                <w:rFonts w:cs="Arial"/>
              </w:rPr>
              <w:t>Other Outgo Expense</w:t>
            </w:r>
          </w:p>
        </w:tc>
        <w:tc>
          <w:tcPr>
            <w:tcW w:w="2684" w:type="dxa"/>
            <w:shd w:val="clear" w:color="auto" w:fill="auto"/>
            <w:noWrap/>
            <w:vAlign w:val="center"/>
            <w:hideMark/>
          </w:tcPr>
          <w:p w14:paraId="43FFBD2A" w14:textId="77777777" w:rsidR="00597F3C" w:rsidRPr="00C61FDF" w:rsidRDefault="00597F3C" w:rsidP="00597F3C">
            <w:pPr>
              <w:spacing w:after="0"/>
              <w:jc w:val="right"/>
              <w:rPr>
                <w:rFonts w:cs="Arial"/>
                <w:color w:val="000000"/>
              </w:rPr>
            </w:pPr>
            <w:r w:rsidRPr="00C61FDF">
              <w:rPr>
                <w:rFonts w:cs="Arial"/>
                <w:color w:val="000000"/>
              </w:rPr>
              <w:t xml:space="preserve">                  14,359 </w:t>
            </w:r>
          </w:p>
        </w:tc>
        <w:tc>
          <w:tcPr>
            <w:tcW w:w="2685" w:type="dxa"/>
            <w:shd w:val="clear" w:color="auto" w:fill="auto"/>
            <w:noWrap/>
            <w:vAlign w:val="center"/>
            <w:hideMark/>
          </w:tcPr>
          <w:p w14:paraId="4508D67D" w14:textId="76948B09" w:rsidR="00597F3C" w:rsidRPr="00C61FDF" w:rsidRDefault="00597F3C" w:rsidP="00597F3C">
            <w:pPr>
              <w:spacing w:after="0"/>
              <w:jc w:val="right"/>
              <w:rPr>
                <w:rFonts w:cs="Arial"/>
                <w:color w:val="000000"/>
              </w:rPr>
            </w:pPr>
            <w:r w:rsidRPr="00261061">
              <w:t xml:space="preserve"> 14,359 </w:t>
            </w:r>
          </w:p>
        </w:tc>
        <w:tc>
          <w:tcPr>
            <w:tcW w:w="2685" w:type="dxa"/>
            <w:shd w:val="clear" w:color="auto" w:fill="auto"/>
            <w:noWrap/>
            <w:vAlign w:val="center"/>
            <w:hideMark/>
          </w:tcPr>
          <w:p w14:paraId="7F195844" w14:textId="77777777" w:rsidR="00597F3C" w:rsidRPr="00C61FDF" w:rsidRDefault="00597F3C" w:rsidP="00597F3C">
            <w:pPr>
              <w:spacing w:after="0"/>
              <w:jc w:val="right"/>
              <w:rPr>
                <w:rFonts w:cs="Arial"/>
                <w:color w:val="000000"/>
              </w:rPr>
            </w:pPr>
            <w:r w:rsidRPr="00C61FDF">
              <w:rPr>
                <w:rFonts w:cs="Arial"/>
                <w:color w:val="000000"/>
              </w:rPr>
              <w:t xml:space="preserve">                  14,694 </w:t>
            </w:r>
          </w:p>
        </w:tc>
        <w:tc>
          <w:tcPr>
            <w:tcW w:w="2685" w:type="dxa"/>
            <w:shd w:val="clear" w:color="auto" w:fill="auto"/>
            <w:noWrap/>
            <w:hideMark/>
          </w:tcPr>
          <w:p w14:paraId="0A5C2743" w14:textId="0C29CCA4" w:rsidR="00597F3C" w:rsidRPr="00C61FDF" w:rsidRDefault="00597F3C" w:rsidP="00597F3C">
            <w:pPr>
              <w:spacing w:after="0"/>
              <w:jc w:val="right"/>
              <w:rPr>
                <w:rFonts w:cs="Arial"/>
                <w:color w:val="000000"/>
              </w:rPr>
            </w:pPr>
            <w:r w:rsidRPr="00AF791E">
              <w:t xml:space="preserve"> 14,694 </w:t>
            </w:r>
          </w:p>
        </w:tc>
      </w:tr>
      <w:tr w:rsidR="00597F3C" w:rsidRPr="00C61FDF" w14:paraId="47DDE427" w14:textId="77777777" w:rsidTr="00801A0D">
        <w:trPr>
          <w:cantSplit/>
          <w:trHeight w:val="307"/>
        </w:trPr>
        <w:tc>
          <w:tcPr>
            <w:tcW w:w="3647" w:type="dxa"/>
            <w:shd w:val="clear" w:color="auto" w:fill="auto"/>
            <w:vAlign w:val="center"/>
            <w:hideMark/>
          </w:tcPr>
          <w:p w14:paraId="1571B94F" w14:textId="77777777" w:rsidR="00597F3C" w:rsidRPr="00C61FDF" w:rsidRDefault="00597F3C" w:rsidP="00597F3C">
            <w:pPr>
              <w:spacing w:after="0"/>
              <w:rPr>
                <w:rFonts w:cs="Arial"/>
                <w:color w:val="000000"/>
              </w:rPr>
            </w:pPr>
            <w:r w:rsidRPr="00C61FDF">
              <w:rPr>
                <w:rFonts w:cs="Arial"/>
                <w:color w:val="000000"/>
              </w:rPr>
              <w:t>Direct Support / Indirect Costs</w:t>
            </w:r>
          </w:p>
        </w:tc>
        <w:tc>
          <w:tcPr>
            <w:tcW w:w="2684" w:type="dxa"/>
            <w:shd w:val="clear" w:color="auto" w:fill="auto"/>
            <w:noWrap/>
            <w:vAlign w:val="center"/>
            <w:hideMark/>
          </w:tcPr>
          <w:p w14:paraId="46DECD90" w14:textId="44CEF765" w:rsidR="00597F3C" w:rsidRPr="00C61FDF" w:rsidRDefault="00597F3C" w:rsidP="00597F3C">
            <w:pPr>
              <w:spacing w:after="0"/>
              <w:jc w:val="right"/>
              <w:rPr>
                <w:rFonts w:cs="Arial"/>
                <w:color w:val="000000"/>
              </w:rPr>
            </w:pPr>
            <w:r w:rsidRPr="00C61FDF">
              <w:rPr>
                <w:rFonts w:cs="Arial"/>
                <w:color w:val="000000"/>
              </w:rPr>
              <w:t xml:space="preserve">              (842,664)</w:t>
            </w:r>
          </w:p>
        </w:tc>
        <w:tc>
          <w:tcPr>
            <w:tcW w:w="2685" w:type="dxa"/>
            <w:shd w:val="clear" w:color="auto" w:fill="auto"/>
            <w:noWrap/>
            <w:vAlign w:val="center"/>
            <w:hideMark/>
          </w:tcPr>
          <w:p w14:paraId="6C80DA30" w14:textId="0B556580" w:rsidR="00597F3C" w:rsidRPr="00C61FDF" w:rsidRDefault="00597F3C" w:rsidP="00597F3C">
            <w:pPr>
              <w:spacing w:after="0"/>
              <w:jc w:val="right"/>
              <w:rPr>
                <w:rFonts w:cs="Arial"/>
                <w:color w:val="000000"/>
              </w:rPr>
            </w:pPr>
            <w:r w:rsidRPr="00261061">
              <w:t xml:space="preserve"> (842,664)</w:t>
            </w:r>
          </w:p>
        </w:tc>
        <w:tc>
          <w:tcPr>
            <w:tcW w:w="2685" w:type="dxa"/>
            <w:shd w:val="clear" w:color="auto" w:fill="auto"/>
            <w:noWrap/>
            <w:vAlign w:val="center"/>
            <w:hideMark/>
          </w:tcPr>
          <w:p w14:paraId="263F4B37" w14:textId="2368F1D7" w:rsidR="00597F3C" w:rsidRPr="00C61FDF" w:rsidRDefault="00597F3C" w:rsidP="00597F3C">
            <w:pPr>
              <w:spacing w:after="0"/>
              <w:jc w:val="right"/>
              <w:rPr>
                <w:rFonts w:cs="Arial"/>
                <w:color w:val="000000"/>
              </w:rPr>
            </w:pPr>
            <w:r w:rsidRPr="00C61FDF">
              <w:rPr>
                <w:rFonts w:cs="Arial"/>
                <w:color w:val="000000"/>
              </w:rPr>
              <w:t xml:space="preserve">              (925,825)</w:t>
            </w:r>
          </w:p>
        </w:tc>
        <w:tc>
          <w:tcPr>
            <w:tcW w:w="2685" w:type="dxa"/>
            <w:shd w:val="clear" w:color="auto" w:fill="auto"/>
            <w:noWrap/>
            <w:hideMark/>
          </w:tcPr>
          <w:p w14:paraId="6535467C" w14:textId="1A6BDA76" w:rsidR="00597F3C" w:rsidRPr="00C61FDF" w:rsidRDefault="00597F3C" w:rsidP="00597F3C">
            <w:pPr>
              <w:spacing w:after="0"/>
              <w:jc w:val="right"/>
              <w:rPr>
                <w:rFonts w:cs="Arial"/>
                <w:color w:val="000000"/>
              </w:rPr>
            </w:pPr>
            <w:r w:rsidRPr="00AF791E">
              <w:t xml:space="preserve"> (925,825)</w:t>
            </w:r>
          </w:p>
        </w:tc>
      </w:tr>
      <w:tr w:rsidR="00597F3C" w:rsidRPr="00C61FDF" w14:paraId="3CC1D965" w14:textId="77777777" w:rsidTr="00801A0D">
        <w:trPr>
          <w:cantSplit/>
          <w:trHeight w:val="307"/>
        </w:trPr>
        <w:tc>
          <w:tcPr>
            <w:tcW w:w="3647" w:type="dxa"/>
            <w:shd w:val="clear" w:color="auto" w:fill="auto"/>
            <w:vAlign w:val="center"/>
            <w:hideMark/>
          </w:tcPr>
          <w:p w14:paraId="26869598" w14:textId="77777777" w:rsidR="00597F3C" w:rsidRPr="00C61FDF" w:rsidRDefault="00597F3C" w:rsidP="00597F3C">
            <w:pPr>
              <w:spacing w:after="0"/>
              <w:ind w:firstLineChars="100" w:firstLine="241"/>
              <w:jc w:val="right"/>
              <w:rPr>
                <w:rFonts w:cs="Arial"/>
                <w:b/>
                <w:bCs/>
                <w:color w:val="000000"/>
              </w:rPr>
            </w:pPr>
            <w:r w:rsidRPr="00C61FDF">
              <w:rPr>
                <w:rFonts w:cs="Arial"/>
                <w:b/>
                <w:bCs/>
                <w:color w:val="000000"/>
              </w:rPr>
              <w:t>Total Expenditures</w:t>
            </w:r>
          </w:p>
        </w:tc>
        <w:tc>
          <w:tcPr>
            <w:tcW w:w="2684" w:type="dxa"/>
            <w:shd w:val="clear" w:color="auto" w:fill="auto"/>
            <w:noWrap/>
            <w:vAlign w:val="center"/>
            <w:hideMark/>
          </w:tcPr>
          <w:p w14:paraId="1425B180" w14:textId="3E240138" w:rsidR="00597F3C" w:rsidRPr="00C61FDF" w:rsidRDefault="00597F3C" w:rsidP="00597F3C">
            <w:pPr>
              <w:spacing w:after="0"/>
              <w:jc w:val="right"/>
              <w:rPr>
                <w:rFonts w:cs="Arial"/>
                <w:b/>
                <w:bCs/>
                <w:color w:val="000000"/>
              </w:rPr>
            </w:pPr>
            <w:r w:rsidRPr="00C61FDF">
              <w:rPr>
                <w:rFonts w:cs="Arial"/>
                <w:b/>
                <w:bCs/>
                <w:color w:val="000000"/>
              </w:rPr>
              <w:t xml:space="preserve">           35,653,828 </w:t>
            </w:r>
          </w:p>
        </w:tc>
        <w:tc>
          <w:tcPr>
            <w:tcW w:w="2685" w:type="dxa"/>
            <w:shd w:val="clear" w:color="auto" w:fill="auto"/>
            <w:noWrap/>
            <w:vAlign w:val="center"/>
            <w:hideMark/>
          </w:tcPr>
          <w:p w14:paraId="051747B5" w14:textId="7DDE7195" w:rsidR="00597F3C" w:rsidRPr="00597F3C" w:rsidRDefault="00597F3C" w:rsidP="00597F3C">
            <w:pPr>
              <w:spacing w:after="0"/>
              <w:jc w:val="right"/>
              <w:rPr>
                <w:rFonts w:cs="Arial"/>
                <w:b/>
                <w:bCs/>
                <w:color w:val="000000"/>
              </w:rPr>
            </w:pPr>
            <w:r w:rsidRPr="00597F3C">
              <w:rPr>
                <w:b/>
                <w:bCs/>
              </w:rPr>
              <w:t xml:space="preserve"> 35,653,828 </w:t>
            </w:r>
          </w:p>
        </w:tc>
        <w:tc>
          <w:tcPr>
            <w:tcW w:w="2685" w:type="dxa"/>
            <w:shd w:val="clear" w:color="auto" w:fill="auto"/>
            <w:noWrap/>
            <w:vAlign w:val="center"/>
            <w:hideMark/>
          </w:tcPr>
          <w:p w14:paraId="692693D0" w14:textId="3647FFF3" w:rsidR="00597F3C" w:rsidRPr="00A64DB5" w:rsidRDefault="00597F3C" w:rsidP="00597F3C">
            <w:pPr>
              <w:spacing w:after="0"/>
              <w:jc w:val="right"/>
              <w:rPr>
                <w:rFonts w:cs="Arial"/>
                <w:b/>
                <w:bCs/>
                <w:color w:val="000000"/>
              </w:rPr>
            </w:pPr>
            <w:r w:rsidRPr="00A64DB5">
              <w:rPr>
                <w:rFonts w:cs="Arial"/>
                <w:b/>
                <w:bCs/>
                <w:color w:val="000000"/>
              </w:rPr>
              <w:t xml:space="preserve">           39,996,860 </w:t>
            </w:r>
          </w:p>
        </w:tc>
        <w:tc>
          <w:tcPr>
            <w:tcW w:w="2685" w:type="dxa"/>
            <w:shd w:val="clear" w:color="auto" w:fill="auto"/>
            <w:noWrap/>
            <w:hideMark/>
          </w:tcPr>
          <w:p w14:paraId="08018116" w14:textId="7F384424" w:rsidR="00597F3C" w:rsidRPr="00597F3C" w:rsidRDefault="00597F3C" w:rsidP="00597F3C">
            <w:pPr>
              <w:spacing w:after="0"/>
              <w:jc w:val="right"/>
              <w:rPr>
                <w:rFonts w:cs="Arial"/>
                <w:b/>
                <w:bCs/>
                <w:color w:val="000000"/>
              </w:rPr>
            </w:pPr>
            <w:r w:rsidRPr="00597F3C">
              <w:rPr>
                <w:b/>
                <w:bCs/>
              </w:rPr>
              <w:t xml:space="preserve"> 39,996,860 </w:t>
            </w:r>
          </w:p>
        </w:tc>
      </w:tr>
      <w:tr w:rsidR="00597F3C" w:rsidRPr="00C61FDF" w14:paraId="11E849A2" w14:textId="77777777" w:rsidTr="00801A0D">
        <w:trPr>
          <w:cantSplit/>
          <w:trHeight w:val="307"/>
        </w:trPr>
        <w:tc>
          <w:tcPr>
            <w:tcW w:w="3647" w:type="dxa"/>
            <w:shd w:val="clear" w:color="auto" w:fill="D9D9D9" w:themeFill="background1" w:themeFillShade="D9"/>
            <w:vAlign w:val="center"/>
            <w:hideMark/>
          </w:tcPr>
          <w:p w14:paraId="73BDDE91" w14:textId="77777777" w:rsidR="00597F3C" w:rsidRPr="00C61FDF" w:rsidRDefault="00597F3C" w:rsidP="00597F3C">
            <w:pPr>
              <w:spacing w:after="0"/>
              <w:jc w:val="right"/>
              <w:rPr>
                <w:rFonts w:cs="Arial"/>
                <w:b/>
                <w:bCs/>
                <w:color w:val="000000"/>
              </w:rPr>
            </w:pPr>
            <w:r w:rsidRPr="00C61FDF">
              <w:rPr>
                <w:rFonts w:cs="Arial"/>
                <w:b/>
                <w:bCs/>
                <w:color w:val="000000"/>
              </w:rPr>
              <w:lastRenderedPageBreak/>
              <w:t>EXCESS / (DEFICIENCY)</w:t>
            </w:r>
          </w:p>
        </w:tc>
        <w:tc>
          <w:tcPr>
            <w:tcW w:w="2684" w:type="dxa"/>
            <w:shd w:val="clear" w:color="auto" w:fill="D9D9D9" w:themeFill="background1" w:themeFillShade="D9"/>
            <w:noWrap/>
            <w:vAlign w:val="center"/>
            <w:hideMark/>
          </w:tcPr>
          <w:p w14:paraId="56104993" w14:textId="77777777" w:rsidR="00597F3C" w:rsidRPr="00C61FDF" w:rsidRDefault="00597F3C" w:rsidP="00597F3C">
            <w:pPr>
              <w:spacing w:after="0"/>
              <w:jc w:val="right"/>
              <w:rPr>
                <w:rFonts w:cs="Arial"/>
                <w:b/>
                <w:bCs/>
                <w:color w:val="000000"/>
              </w:rPr>
            </w:pPr>
            <w:r w:rsidRPr="00C61FDF">
              <w:rPr>
                <w:rFonts w:cs="Arial"/>
                <w:b/>
                <w:bCs/>
                <w:color w:val="000000"/>
              </w:rPr>
              <w:t xml:space="preserve">             8,549,637 </w:t>
            </w:r>
          </w:p>
        </w:tc>
        <w:tc>
          <w:tcPr>
            <w:tcW w:w="2685" w:type="dxa"/>
            <w:shd w:val="clear" w:color="auto" w:fill="D9D9D9" w:themeFill="background1" w:themeFillShade="D9"/>
            <w:noWrap/>
            <w:vAlign w:val="center"/>
            <w:hideMark/>
          </w:tcPr>
          <w:p w14:paraId="49E371A1" w14:textId="12D69BE8" w:rsidR="00597F3C" w:rsidRPr="00597F3C" w:rsidRDefault="00597F3C" w:rsidP="00597F3C">
            <w:pPr>
              <w:spacing w:after="0"/>
              <w:jc w:val="right"/>
              <w:rPr>
                <w:rFonts w:cs="Arial"/>
                <w:b/>
                <w:bCs/>
                <w:color w:val="000000"/>
              </w:rPr>
            </w:pPr>
            <w:r w:rsidRPr="00597F3C">
              <w:rPr>
                <w:b/>
                <w:bCs/>
              </w:rPr>
              <w:t xml:space="preserve"> 10,619,039 </w:t>
            </w:r>
          </w:p>
        </w:tc>
        <w:tc>
          <w:tcPr>
            <w:tcW w:w="2685" w:type="dxa"/>
            <w:shd w:val="clear" w:color="auto" w:fill="D9D9D9" w:themeFill="background1" w:themeFillShade="D9"/>
            <w:noWrap/>
            <w:vAlign w:val="center"/>
            <w:hideMark/>
          </w:tcPr>
          <w:p w14:paraId="358B168A" w14:textId="77777777" w:rsidR="00597F3C" w:rsidRPr="00A64DB5" w:rsidRDefault="00597F3C" w:rsidP="00597F3C">
            <w:pPr>
              <w:spacing w:after="0"/>
              <w:jc w:val="right"/>
              <w:rPr>
                <w:rFonts w:cs="Arial"/>
                <w:b/>
                <w:bCs/>
                <w:color w:val="000000"/>
              </w:rPr>
            </w:pPr>
            <w:r w:rsidRPr="00A64DB5">
              <w:rPr>
                <w:rFonts w:cs="Arial"/>
                <w:b/>
                <w:bCs/>
                <w:color w:val="000000"/>
              </w:rPr>
              <w:t xml:space="preserve">             5,834,980 </w:t>
            </w:r>
          </w:p>
        </w:tc>
        <w:tc>
          <w:tcPr>
            <w:tcW w:w="2685" w:type="dxa"/>
            <w:shd w:val="clear" w:color="auto" w:fill="D9D9D9" w:themeFill="background1" w:themeFillShade="D9"/>
            <w:noWrap/>
            <w:hideMark/>
          </w:tcPr>
          <w:p w14:paraId="33EC78EF" w14:textId="561A05D6" w:rsidR="00597F3C" w:rsidRPr="00597F3C" w:rsidRDefault="00597F3C" w:rsidP="00597F3C">
            <w:pPr>
              <w:spacing w:after="0"/>
              <w:jc w:val="right"/>
              <w:rPr>
                <w:rFonts w:cs="Arial"/>
                <w:b/>
                <w:bCs/>
                <w:color w:val="000000"/>
              </w:rPr>
            </w:pPr>
            <w:r w:rsidRPr="00597F3C">
              <w:rPr>
                <w:b/>
                <w:bCs/>
              </w:rPr>
              <w:t xml:space="preserve"> 7,775,101 </w:t>
            </w:r>
          </w:p>
        </w:tc>
      </w:tr>
      <w:tr w:rsidR="00597F3C" w:rsidRPr="00C61FDF" w14:paraId="60CDE31A" w14:textId="77777777" w:rsidTr="00801A0D">
        <w:trPr>
          <w:cantSplit/>
          <w:trHeight w:val="307"/>
        </w:trPr>
        <w:tc>
          <w:tcPr>
            <w:tcW w:w="3647" w:type="dxa"/>
            <w:shd w:val="clear" w:color="auto" w:fill="auto"/>
            <w:vAlign w:val="center"/>
            <w:hideMark/>
          </w:tcPr>
          <w:p w14:paraId="175D9968" w14:textId="77777777" w:rsidR="00597F3C" w:rsidRPr="00C61FDF" w:rsidRDefault="00597F3C" w:rsidP="00597F3C">
            <w:pPr>
              <w:spacing w:after="0"/>
              <w:rPr>
                <w:rFonts w:cs="Arial"/>
                <w:color w:val="000000"/>
              </w:rPr>
            </w:pPr>
            <w:r w:rsidRPr="00C61FDF">
              <w:rPr>
                <w:rFonts w:cs="Arial"/>
                <w:color w:val="000000"/>
              </w:rPr>
              <w:t>Transfers In</w:t>
            </w:r>
          </w:p>
        </w:tc>
        <w:tc>
          <w:tcPr>
            <w:tcW w:w="2684" w:type="dxa"/>
            <w:shd w:val="clear" w:color="auto" w:fill="auto"/>
            <w:noWrap/>
            <w:vAlign w:val="center"/>
            <w:hideMark/>
          </w:tcPr>
          <w:p w14:paraId="7CD2DE2E" w14:textId="77777777" w:rsidR="00597F3C" w:rsidRPr="00C61FDF" w:rsidRDefault="00597F3C" w:rsidP="00597F3C">
            <w:pPr>
              <w:spacing w:after="0"/>
              <w:jc w:val="right"/>
              <w:rPr>
                <w:rFonts w:cs="Arial"/>
                <w:color w:val="000000"/>
              </w:rPr>
            </w:pPr>
            <w:r w:rsidRPr="00C61FDF">
              <w:rPr>
                <w:rFonts w:cs="Arial"/>
                <w:color w:val="000000"/>
              </w:rPr>
              <w:t xml:space="preserve">                           - </w:t>
            </w:r>
          </w:p>
        </w:tc>
        <w:tc>
          <w:tcPr>
            <w:tcW w:w="2685" w:type="dxa"/>
            <w:shd w:val="clear" w:color="auto" w:fill="auto"/>
            <w:noWrap/>
            <w:vAlign w:val="center"/>
            <w:hideMark/>
          </w:tcPr>
          <w:p w14:paraId="40A27BC7" w14:textId="66F272CB" w:rsidR="00597F3C" w:rsidRPr="00C61FDF" w:rsidRDefault="00597F3C" w:rsidP="00597F3C">
            <w:pPr>
              <w:spacing w:after="0"/>
              <w:jc w:val="right"/>
              <w:rPr>
                <w:rFonts w:cs="Arial"/>
                <w:color w:val="000000"/>
              </w:rPr>
            </w:pPr>
            <w:r w:rsidRPr="00261061">
              <w:t xml:space="preserve"> - </w:t>
            </w:r>
          </w:p>
        </w:tc>
        <w:tc>
          <w:tcPr>
            <w:tcW w:w="2685" w:type="dxa"/>
            <w:shd w:val="clear" w:color="auto" w:fill="auto"/>
            <w:noWrap/>
            <w:vAlign w:val="center"/>
            <w:hideMark/>
          </w:tcPr>
          <w:p w14:paraId="34735EE1" w14:textId="77777777" w:rsidR="00597F3C" w:rsidRPr="00C61FDF" w:rsidRDefault="00597F3C" w:rsidP="00597F3C">
            <w:pPr>
              <w:spacing w:after="0"/>
              <w:jc w:val="right"/>
              <w:rPr>
                <w:rFonts w:cs="Arial"/>
                <w:color w:val="000000"/>
              </w:rPr>
            </w:pPr>
            <w:r w:rsidRPr="00C61FDF">
              <w:rPr>
                <w:rFonts w:cs="Arial"/>
                <w:color w:val="000000"/>
              </w:rPr>
              <w:t xml:space="preserve">                           - </w:t>
            </w:r>
          </w:p>
        </w:tc>
        <w:tc>
          <w:tcPr>
            <w:tcW w:w="2685" w:type="dxa"/>
            <w:shd w:val="clear" w:color="auto" w:fill="auto"/>
            <w:noWrap/>
            <w:hideMark/>
          </w:tcPr>
          <w:p w14:paraId="490BB28F" w14:textId="2FA39B3E" w:rsidR="00597F3C" w:rsidRPr="00C61FDF" w:rsidRDefault="00597F3C" w:rsidP="00597F3C">
            <w:pPr>
              <w:spacing w:after="0"/>
              <w:jc w:val="right"/>
              <w:rPr>
                <w:rFonts w:cs="Arial"/>
                <w:color w:val="000000"/>
              </w:rPr>
            </w:pPr>
            <w:r w:rsidRPr="00AF791E">
              <w:t xml:space="preserve"> - </w:t>
            </w:r>
          </w:p>
        </w:tc>
      </w:tr>
      <w:tr w:rsidR="00597F3C" w:rsidRPr="00C61FDF" w14:paraId="4E72A6D9" w14:textId="77777777" w:rsidTr="00801A0D">
        <w:trPr>
          <w:cantSplit/>
          <w:trHeight w:val="307"/>
        </w:trPr>
        <w:tc>
          <w:tcPr>
            <w:tcW w:w="3647" w:type="dxa"/>
            <w:shd w:val="clear" w:color="auto" w:fill="auto"/>
            <w:vAlign w:val="center"/>
            <w:hideMark/>
          </w:tcPr>
          <w:p w14:paraId="558E3D67" w14:textId="77777777" w:rsidR="00597F3C" w:rsidRPr="00C61FDF" w:rsidRDefault="00597F3C" w:rsidP="00597F3C">
            <w:pPr>
              <w:spacing w:after="0"/>
              <w:rPr>
                <w:rFonts w:cs="Arial"/>
                <w:color w:val="000000"/>
              </w:rPr>
            </w:pPr>
            <w:r w:rsidRPr="00C61FDF">
              <w:rPr>
                <w:rFonts w:cs="Arial"/>
                <w:color w:val="000000"/>
              </w:rPr>
              <w:t>Transfers Out</w:t>
            </w:r>
          </w:p>
        </w:tc>
        <w:tc>
          <w:tcPr>
            <w:tcW w:w="2684" w:type="dxa"/>
            <w:shd w:val="clear" w:color="auto" w:fill="auto"/>
            <w:noWrap/>
            <w:vAlign w:val="center"/>
            <w:hideMark/>
          </w:tcPr>
          <w:p w14:paraId="4CD673E8" w14:textId="77777777" w:rsidR="00597F3C" w:rsidRPr="00C61FDF" w:rsidRDefault="00597F3C" w:rsidP="00597F3C">
            <w:pPr>
              <w:spacing w:after="0"/>
              <w:jc w:val="right"/>
              <w:rPr>
                <w:rFonts w:cs="Arial"/>
                <w:color w:val="000000"/>
              </w:rPr>
            </w:pPr>
            <w:r w:rsidRPr="00C61FDF">
              <w:rPr>
                <w:rFonts w:cs="Arial"/>
                <w:color w:val="000000"/>
              </w:rPr>
              <w:t xml:space="preserve">                375,000 </w:t>
            </w:r>
          </w:p>
        </w:tc>
        <w:tc>
          <w:tcPr>
            <w:tcW w:w="2685" w:type="dxa"/>
            <w:shd w:val="clear" w:color="auto" w:fill="auto"/>
            <w:noWrap/>
            <w:vAlign w:val="center"/>
            <w:hideMark/>
          </w:tcPr>
          <w:p w14:paraId="5A295CCD" w14:textId="49A41C60" w:rsidR="00597F3C" w:rsidRPr="00C61FDF" w:rsidRDefault="00597F3C" w:rsidP="00597F3C">
            <w:pPr>
              <w:spacing w:after="0"/>
              <w:jc w:val="right"/>
              <w:rPr>
                <w:rFonts w:cs="Arial"/>
                <w:color w:val="000000"/>
              </w:rPr>
            </w:pPr>
            <w:r w:rsidRPr="00261061">
              <w:t xml:space="preserve"> 375,000 </w:t>
            </w:r>
          </w:p>
        </w:tc>
        <w:tc>
          <w:tcPr>
            <w:tcW w:w="2685" w:type="dxa"/>
            <w:shd w:val="clear" w:color="auto" w:fill="auto"/>
            <w:noWrap/>
            <w:vAlign w:val="center"/>
            <w:hideMark/>
          </w:tcPr>
          <w:p w14:paraId="7FDA1649" w14:textId="77777777" w:rsidR="00597F3C" w:rsidRPr="00C61FDF" w:rsidRDefault="00597F3C" w:rsidP="00597F3C">
            <w:pPr>
              <w:spacing w:after="0"/>
              <w:jc w:val="right"/>
              <w:rPr>
                <w:rFonts w:cs="Arial"/>
                <w:color w:val="000000"/>
              </w:rPr>
            </w:pPr>
            <w:r w:rsidRPr="00C61FDF">
              <w:rPr>
                <w:rFonts w:cs="Arial"/>
                <w:color w:val="000000"/>
              </w:rPr>
              <w:t xml:space="preserve">                375,000 </w:t>
            </w:r>
          </w:p>
        </w:tc>
        <w:tc>
          <w:tcPr>
            <w:tcW w:w="2685" w:type="dxa"/>
            <w:shd w:val="clear" w:color="auto" w:fill="auto"/>
            <w:noWrap/>
            <w:hideMark/>
          </w:tcPr>
          <w:p w14:paraId="6C95EB59" w14:textId="106773B6" w:rsidR="00597F3C" w:rsidRPr="00C61FDF" w:rsidRDefault="00597F3C" w:rsidP="00597F3C">
            <w:pPr>
              <w:spacing w:after="0"/>
              <w:jc w:val="right"/>
              <w:rPr>
                <w:rFonts w:cs="Arial"/>
                <w:color w:val="000000"/>
              </w:rPr>
            </w:pPr>
            <w:r w:rsidRPr="00AF791E">
              <w:t xml:space="preserve"> 375,000 </w:t>
            </w:r>
          </w:p>
        </w:tc>
      </w:tr>
      <w:tr w:rsidR="00597F3C" w:rsidRPr="00C61FDF" w14:paraId="11363743" w14:textId="77777777" w:rsidTr="00801A0D">
        <w:trPr>
          <w:cantSplit/>
          <w:trHeight w:val="307"/>
        </w:trPr>
        <w:tc>
          <w:tcPr>
            <w:tcW w:w="3647" w:type="dxa"/>
            <w:shd w:val="clear" w:color="auto" w:fill="auto"/>
            <w:vAlign w:val="center"/>
            <w:hideMark/>
          </w:tcPr>
          <w:p w14:paraId="1F77B3DE" w14:textId="77777777" w:rsidR="00597F3C" w:rsidRPr="00C61FDF" w:rsidRDefault="00597F3C" w:rsidP="00597F3C">
            <w:pPr>
              <w:spacing w:after="0"/>
              <w:rPr>
                <w:rFonts w:cs="Arial"/>
                <w:color w:val="000000"/>
              </w:rPr>
            </w:pPr>
            <w:r w:rsidRPr="00C61FDF">
              <w:rPr>
                <w:rFonts w:cs="Arial"/>
                <w:color w:val="000000"/>
              </w:rPr>
              <w:t>Other Sources</w:t>
            </w:r>
          </w:p>
        </w:tc>
        <w:tc>
          <w:tcPr>
            <w:tcW w:w="2684" w:type="dxa"/>
            <w:shd w:val="clear" w:color="auto" w:fill="auto"/>
            <w:noWrap/>
            <w:vAlign w:val="center"/>
            <w:hideMark/>
          </w:tcPr>
          <w:p w14:paraId="4E3C07BE" w14:textId="77777777" w:rsidR="00597F3C" w:rsidRPr="00C61FDF" w:rsidRDefault="00597F3C" w:rsidP="00597F3C">
            <w:pPr>
              <w:spacing w:after="0"/>
              <w:jc w:val="right"/>
              <w:rPr>
                <w:rFonts w:cs="Arial"/>
                <w:color w:val="000000"/>
              </w:rPr>
            </w:pPr>
            <w:r w:rsidRPr="00C61FDF">
              <w:rPr>
                <w:rFonts w:cs="Arial"/>
                <w:color w:val="000000"/>
              </w:rPr>
              <w:t xml:space="preserve">                           - </w:t>
            </w:r>
          </w:p>
        </w:tc>
        <w:tc>
          <w:tcPr>
            <w:tcW w:w="2685" w:type="dxa"/>
            <w:shd w:val="clear" w:color="auto" w:fill="auto"/>
            <w:noWrap/>
            <w:vAlign w:val="center"/>
            <w:hideMark/>
          </w:tcPr>
          <w:p w14:paraId="7001D16C" w14:textId="5E04FFF1" w:rsidR="00597F3C" w:rsidRPr="00C61FDF" w:rsidRDefault="00597F3C" w:rsidP="00597F3C">
            <w:pPr>
              <w:spacing w:after="0"/>
              <w:jc w:val="right"/>
              <w:rPr>
                <w:rFonts w:cs="Arial"/>
                <w:color w:val="000000"/>
              </w:rPr>
            </w:pPr>
            <w:r w:rsidRPr="00261061">
              <w:t xml:space="preserve"> - </w:t>
            </w:r>
          </w:p>
        </w:tc>
        <w:tc>
          <w:tcPr>
            <w:tcW w:w="2685" w:type="dxa"/>
            <w:shd w:val="clear" w:color="auto" w:fill="auto"/>
            <w:noWrap/>
            <w:vAlign w:val="center"/>
            <w:hideMark/>
          </w:tcPr>
          <w:p w14:paraId="10CC0E6E" w14:textId="77777777" w:rsidR="00597F3C" w:rsidRPr="00C61FDF" w:rsidRDefault="00597F3C" w:rsidP="00597F3C">
            <w:pPr>
              <w:spacing w:after="0"/>
              <w:jc w:val="right"/>
              <w:rPr>
                <w:rFonts w:cs="Arial"/>
                <w:color w:val="000000"/>
              </w:rPr>
            </w:pPr>
            <w:r w:rsidRPr="00C61FDF">
              <w:rPr>
                <w:rFonts w:cs="Arial"/>
                <w:color w:val="000000"/>
              </w:rPr>
              <w:t xml:space="preserve">                           - </w:t>
            </w:r>
          </w:p>
        </w:tc>
        <w:tc>
          <w:tcPr>
            <w:tcW w:w="2685" w:type="dxa"/>
            <w:shd w:val="clear" w:color="auto" w:fill="auto"/>
            <w:noWrap/>
            <w:hideMark/>
          </w:tcPr>
          <w:p w14:paraId="7F523E8A" w14:textId="77AAE2C6" w:rsidR="00597F3C" w:rsidRPr="00C61FDF" w:rsidRDefault="00597F3C" w:rsidP="00597F3C">
            <w:pPr>
              <w:spacing w:after="0"/>
              <w:jc w:val="right"/>
              <w:rPr>
                <w:rFonts w:cs="Arial"/>
                <w:color w:val="000000"/>
              </w:rPr>
            </w:pPr>
            <w:r w:rsidRPr="00AF791E">
              <w:t xml:space="preserve"> - </w:t>
            </w:r>
          </w:p>
        </w:tc>
      </w:tr>
      <w:tr w:rsidR="00597F3C" w:rsidRPr="00C61FDF" w14:paraId="6E47D07A" w14:textId="77777777" w:rsidTr="00801A0D">
        <w:trPr>
          <w:cantSplit/>
          <w:trHeight w:val="307"/>
        </w:trPr>
        <w:tc>
          <w:tcPr>
            <w:tcW w:w="3647" w:type="dxa"/>
            <w:shd w:val="clear" w:color="auto" w:fill="auto"/>
            <w:vAlign w:val="center"/>
            <w:hideMark/>
          </w:tcPr>
          <w:p w14:paraId="67F2B405" w14:textId="77777777" w:rsidR="00597F3C" w:rsidRPr="00C61FDF" w:rsidRDefault="00597F3C" w:rsidP="00597F3C">
            <w:pPr>
              <w:spacing w:after="0"/>
              <w:rPr>
                <w:rFonts w:cs="Arial"/>
                <w:color w:val="000000"/>
              </w:rPr>
            </w:pPr>
            <w:r w:rsidRPr="00C61FDF">
              <w:rPr>
                <w:rFonts w:cs="Arial"/>
                <w:color w:val="000000"/>
              </w:rPr>
              <w:t>Other Uses</w:t>
            </w:r>
          </w:p>
        </w:tc>
        <w:tc>
          <w:tcPr>
            <w:tcW w:w="2684" w:type="dxa"/>
            <w:shd w:val="clear" w:color="auto" w:fill="auto"/>
            <w:noWrap/>
            <w:vAlign w:val="center"/>
            <w:hideMark/>
          </w:tcPr>
          <w:p w14:paraId="64F103DF" w14:textId="77777777" w:rsidR="00597F3C" w:rsidRPr="00C61FDF" w:rsidRDefault="00597F3C" w:rsidP="00597F3C">
            <w:pPr>
              <w:spacing w:after="0"/>
              <w:jc w:val="right"/>
              <w:rPr>
                <w:rFonts w:cs="Arial"/>
                <w:color w:val="000000"/>
              </w:rPr>
            </w:pPr>
            <w:r w:rsidRPr="00C61FDF">
              <w:rPr>
                <w:rFonts w:cs="Arial"/>
                <w:color w:val="000000"/>
              </w:rPr>
              <w:t xml:space="preserve">                           - </w:t>
            </w:r>
          </w:p>
        </w:tc>
        <w:tc>
          <w:tcPr>
            <w:tcW w:w="2685" w:type="dxa"/>
            <w:shd w:val="clear" w:color="auto" w:fill="auto"/>
            <w:noWrap/>
            <w:vAlign w:val="center"/>
            <w:hideMark/>
          </w:tcPr>
          <w:p w14:paraId="0D2E7CF9" w14:textId="088748E9" w:rsidR="00597F3C" w:rsidRPr="00C61FDF" w:rsidRDefault="00597F3C" w:rsidP="00597F3C">
            <w:pPr>
              <w:spacing w:after="0"/>
              <w:jc w:val="right"/>
              <w:rPr>
                <w:rFonts w:cs="Arial"/>
                <w:color w:val="000000"/>
              </w:rPr>
            </w:pPr>
            <w:r w:rsidRPr="00261061">
              <w:t xml:space="preserve"> - </w:t>
            </w:r>
          </w:p>
        </w:tc>
        <w:tc>
          <w:tcPr>
            <w:tcW w:w="2685" w:type="dxa"/>
            <w:shd w:val="clear" w:color="auto" w:fill="auto"/>
            <w:noWrap/>
            <w:vAlign w:val="center"/>
            <w:hideMark/>
          </w:tcPr>
          <w:p w14:paraId="4B7D12B4" w14:textId="77777777" w:rsidR="00597F3C" w:rsidRPr="00C61FDF" w:rsidRDefault="00597F3C" w:rsidP="00597F3C">
            <w:pPr>
              <w:spacing w:after="0"/>
              <w:jc w:val="right"/>
              <w:rPr>
                <w:rFonts w:cs="Arial"/>
                <w:color w:val="000000"/>
              </w:rPr>
            </w:pPr>
            <w:r w:rsidRPr="00C61FDF">
              <w:rPr>
                <w:rFonts w:cs="Arial"/>
                <w:color w:val="000000"/>
              </w:rPr>
              <w:t xml:space="preserve">                           - </w:t>
            </w:r>
          </w:p>
        </w:tc>
        <w:tc>
          <w:tcPr>
            <w:tcW w:w="2685" w:type="dxa"/>
            <w:shd w:val="clear" w:color="auto" w:fill="auto"/>
            <w:noWrap/>
            <w:hideMark/>
          </w:tcPr>
          <w:p w14:paraId="184370B7" w14:textId="08F23131" w:rsidR="00597F3C" w:rsidRPr="00C61FDF" w:rsidRDefault="00597F3C" w:rsidP="00597F3C">
            <w:pPr>
              <w:spacing w:after="0"/>
              <w:jc w:val="right"/>
              <w:rPr>
                <w:rFonts w:cs="Arial"/>
                <w:color w:val="000000"/>
              </w:rPr>
            </w:pPr>
            <w:r w:rsidRPr="00AF791E">
              <w:t xml:space="preserve"> - </w:t>
            </w:r>
          </w:p>
        </w:tc>
      </w:tr>
      <w:tr w:rsidR="00597F3C" w:rsidRPr="00C61FDF" w14:paraId="74487F9E" w14:textId="77777777" w:rsidTr="00801A0D">
        <w:trPr>
          <w:cantSplit/>
          <w:trHeight w:val="307"/>
        </w:trPr>
        <w:tc>
          <w:tcPr>
            <w:tcW w:w="3647" w:type="dxa"/>
            <w:shd w:val="clear" w:color="auto" w:fill="auto"/>
            <w:vAlign w:val="center"/>
            <w:hideMark/>
          </w:tcPr>
          <w:p w14:paraId="5415DAC5" w14:textId="77777777" w:rsidR="00597F3C" w:rsidRPr="00C61FDF" w:rsidRDefault="00597F3C" w:rsidP="00597F3C">
            <w:pPr>
              <w:spacing w:after="0"/>
              <w:rPr>
                <w:rFonts w:cs="Arial"/>
                <w:color w:val="000000"/>
              </w:rPr>
            </w:pPr>
            <w:r w:rsidRPr="00C61FDF">
              <w:rPr>
                <w:rFonts w:cs="Arial"/>
                <w:color w:val="000000"/>
              </w:rPr>
              <w:t>Contributions</w:t>
            </w:r>
          </w:p>
        </w:tc>
        <w:tc>
          <w:tcPr>
            <w:tcW w:w="2684" w:type="dxa"/>
            <w:shd w:val="clear" w:color="auto" w:fill="auto"/>
            <w:noWrap/>
            <w:vAlign w:val="center"/>
            <w:hideMark/>
          </w:tcPr>
          <w:p w14:paraId="65769A8B" w14:textId="3BE58CDE" w:rsidR="00597F3C" w:rsidRPr="00C61FDF" w:rsidRDefault="00597F3C" w:rsidP="00597F3C">
            <w:pPr>
              <w:spacing w:after="0"/>
              <w:jc w:val="right"/>
              <w:rPr>
                <w:rFonts w:cs="Arial"/>
                <w:color w:val="000000"/>
              </w:rPr>
            </w:pPr>
            <w:r w:rsidRPr="00C61FDF">
              <w:rPr>
                <w:rFonts w:cs="Arial"/>
                <w:color w:val="000000"/>
              </w:rPr>
              <w:t xml:space="preserve">           (6,553,835)</w:t>
            </w:r>
          </w:p>
        </w:tc>
        <w:tc>
          <w:tcPr>
            <w:tcW w:w="2685" w:type="dxa"/>
            <w:shd w:val="clear" w:color="auto" w:fill="auto"/>
            <w:noWrap/>
            <w:vAlign w:val="center"/>
            <w:hideMark/>
          </w:tcPr>
          <w:p w14:paraId="1213C4AE" w14:textId="587EE16F" w:rsidR="00597F3C" w:rsidRPr="00C61FDF" w:rsidRDefault="00597F3C" w:rsidP="00597F3C">
            <w:pPr>
              <w:spacing w:after="0"/>
              <w:jc w:val="right"/>
              <w:rPr>
                <w:rFonts w:cs="Arial"/>
                <w:color w:val="000000"/>
              </w:rPr>
            </w:pPr>
            <w:r w:rsidRPr="00261061">
              <w:t xml:space="preserve"> (6,553,835)</w:t>
            </w:r>
          </w:p>
        </w:tc>
        <w:tc>
          <w:tcPr>
            <w:tcW w:w="2685" w:type="dxa"/>
            <w:shd w:val="clear" w:color="auto" w:fill="auto"/>
            <w:noWrap/>
            <w:vAlign w:val="center"/>
            <w:hideMark/>
          </w:tcPr>
          <w:p w14:paraId="1B6CF632" w14:textId="7EB53480" w:rsidR="00597F3C" w:rsidRPr="00C61FDF" w:rsidRDefault="00597F3C" w:rsidP="00597F3C">
            <w:pPr>
              <w:spacing w:after="0"/>
              <w:jc w:val="right"/>
              <w:rPr>
                <w:rFonts w:cs="Arial"/>
                <w:color w:val="000000"/>
              </w:rPr>
            </w:pPr>
            <w:r w:rsidRPr="00C61FDF">
              <w:rPr>
                <w:rFonts w:cs="Arial"/>
                <w:color w:val="000000"/>
              </w:rPr>
              <w:t xml:space="preserve">           (6,628,229)</w:t>
            </w:r>
          </w:p>
        </w:tc>
        <w:tc>
          <w:tcPr>
            <w:tcW w:w="2685" w:type="dxa"/>
            <w:shd w:val="clear" w:color="auto" w:fill="auto"/>
            <w:noWrap/>
            <w:hideMark/>
          </w:tcPr>
          <w:p w14:paraId="3E2D8B5F" w14:textId="4E682CB0" w:rsidR="00597F3C" w:rsidRPr="00C61FDF" w:rsidRDefault="00597F3C" w:rsidP="00597F3C">
            <w:pPr>
              <w:spacing w:after="0"/>
              <w:jc w:val="right"/>
              <w:rPr>
                <w:rFonts w:cs="Arial"/>
                <w:color w:val="000000"/>
              </w:rPr>
            </w:pPr>
            <w:r w:rsidRPr="00AF791E">
              <w:t xml:space="preserve"> (6,628,229)</w:t>
            </w:r>
          </w:p>
        </w:tc>
      </w:tr>
      <w:tr w:rsidR="00597F3C" w:rsidRPr="00C61FDF" w14:paraId="3F0FE506" w14:textId="77777777" w:rsidTr="00801A0D">
        <w:trPr>
          <w:cantSplit/>
          <w:trHeight w:val="614"/>
        </w:trPr>
        <w:tc>
          <w:tcPr>
            <w:tcW w:w="3647" w:type="dxa"/>
            <w:shd w:val="clear" w:color="auto" w:fill="auto"/>
            <w:vAlign w:val="center"/>
            <w:hideMark/>
          </w:tcPr>
          <w:p w14:paraId="1C54D4E0" w14:textId="77777777" w:rsidR="00597F3C" w:rsidRPr="00C61FDF" w:rsidRDefault="00597F3C" w:rsidP="00597F3C">
            <w:pPr>
              <w:spacing w:after="0"/>
              <w:ind w:left="242" w:hanging="1"/>
              <w:jc w:val="right"/>
              <w:rPr>
                <w:rFonts w:cs="Arial"/>
                <w:b/>
                <w:bCs/>
                <w:color w:val="000000"/>
              </w:rPr>
            </w:pPr>
            <w:r w:rsidRPr="00C61FDF">
              <w:rPr>
                <w:rFonts w:cs="Arial"/>
                <w:b/>
                <w:bCs/>
                <w:color w:val="000000"/>
              </w:rPr>
              <w:t>Total, Other Financing Sources/Uses</w:t>
            </w:r>
          </w:p>
        </w:tc>
        <w:tc>
          <w:tcPr>
            <w:tcW w:w="2684" w:type="dxa"/>
            <w:shd w:val="clear" w:color="auto" w:fill="auto"/>
            <w:noWrap/>
            <w:vAlign w:val="center"/>
            <w:hideMark/>
          </w:tcPr>
          <w:p w14:paraId="7D774E3E" w14:textId="4DF44284" w:rsidR="00597F3C" w:rsidRPr="00C61FDF" w:rsidRDefault="00597F3C" w:rsidP="00597F3C">
            <w:pPr>
              <w:spacing w:after="0"/>
              <w:jc w:val="right"/>
              <w:rPr>
                <w:rFonts w:cs="Arial"/>
                <w:b/>
                <w:bCs/>
                <w:color w:val="000000"/>
              </w:rPr>
            </w:pPr>
            <w:r w:rsidRPr="00C61FDF">
              <w:rPr>
                <w:rFonts w:cs="Arial"/>
                <w:b/>
                <w:bCs/>
                <w:color w:val="000000"/>
              </w:rPr>
              <w:t xml:space="preserve">           (6,928,835)</w:t>
            </w:r>
          </w:p>
        </w:tc>
        <w:tc>
          <w:tcPr>
            <w:tcW w:w="2685" w:type="dxa"/>
            <w:shd w:val="clear" w:color="auto" w:fill="auto"/>
            <w:noWrap/>
            <w:vAlign w:val="center"/>
            <w:hideMark/>
          </w:tcPr>
          <w:p w14:paraId="65019B8E" w14:textId="5B65B802" w:rsidR="00597F3C" w:rsidRPr="00597F3C" w:rsidRDefault="00597F3C" w:rsidP="00597F3C">
            <w:pPr>
              <w:spacing w:after="0"/>
              <w:jc w:val="right"/>
              <w:rPr>
                <w:rFonts w:cs="Arial"/>
                <w:b/>
                <w:bCs/>
                <w:color w:val="000000"/>
              </w:rPr>
            </w:pPr>
            <w:r w:rsidRPr="00597F3C">
              <w:rPr>
                <w:b/>
                <w:bCs/>
              </w:rPr>
              <w:t xml:space="preserve"> (6,928,835)</w:t>
            </w:r>
          </w:p>
        </w:tc>
        <w:tc>
          <w:tcPr>
            <w:tcW w:w="2685" w:type="dxa"/>
            <w:shd w:val="clear" w:color="auto" w:fill="auto"/>
            <w:noWrap/>
            <w:vAlign w:val="center"/>
            <w:hideMark/>
          </w:tcPr>
          <w:p w14:paraId="09B97A52" w14:textId="1ACE2734" w:rsidR="00597F3C" w:rsidRPr="00A64DB5" w:rsidRDefault="00597F3C" w:rsidP="00597F3C">
            <w:pPr>
              <w:spacing w:after="0"/>
              <w:jc w:val="right"/>
              <w:rPr>
                <w:rFonts w:cs="Arial"/>
                <w:b/>
                <w:bCs/>
                <w:color w:val="000000"/>
              </w:rPr>
            </w:pPr>
            <w:r w:rsidRPr="00A64DB5">
              <w:rPr>
                <w:rFonts w:cs="Arial"/>
                <w:b/>
                <w:bCs/>
                <w:color w:val="000000"/>
              </w:rPr>
              <w:t xml:space="preserve">           (7,003,229)</w:t>
            </w:r>
          </w:p>
        </w:tc>
        <w:tc>
          <w:tcPr>
            <w:tcW w:w="2685" w:type="dxa"/>
            <w:shd w:val="clear" w:color="auto" w:fill="auto"/>
            <w:noWrap/>
            <w:vAlign w:val="center"/>
            <w:hideMark/>
          </w:tcPr>
          <w:p w14:paraId="2B964633" w14:textId="1920CE35" w:rsidR="00597F3C" w:rsidRPr="00A64DB5" w:rsidRDefault="00597F3C" w:rsidP="00110F6E">
            <w:pPr>
              <w:spacing w:after="0"/>
              <w:jc w:val="right"/>
              <w:rPr>
                <w:rFonts w:cs="Arial"/>
                <w:b/>
                <w:bCs/>
                <w:color w:val="000000"/>
              </w:rPr>
            </w:pPr>
            <w:r w:rsidRPr="00AF791E">
              <w:t xml:space="preserve"> (7,003,229)</w:t>
            </w:r>
          </w:p>
        </w:tc>
      </w:tr>
      <w:tr w:rsidR="00597F3C" w:rsidRPr="00C61FDF" w14:paraId="5B54CE28" w14:textId="77777777" w:rsidTr="00801A0D">
        <w:trPr>
          <w:cantSplit/>
          <w:trHeight w:val="307"/>
        </w:trPr>
        <w:tc>
          <w:tcPr>
            <w:tcW w:w="3647" w:type="dxa"/>
            <w:shd w:val="clear" w:color="auto" w:fill="D9D9D9" w:themeFill="background1" w:themeFillShade="D9"/>
            <w:vAlign w:val="center"/>
            <w:hideMark/>
          </w:tcPr>
          <w:p w14:paraId="5FD1F07E" w14:textId="77777777" w:rsidR="00597F3C" w:rsidRPr="00C61FDF" w:rsidRDefault="00597F3C" w:rsidP="00597F3C">
            <w:pPr>
              <w:spacing w:after="0"/>
              <w:ind w:left="242" w:hanging="1"/>
              <w:jc w:val="right"/>
              <w:rPr>
                <w:rFonts w:cs="Arial"/>
                <w:b/>
                <w:bCs/>
                <w:color w:val="000000"/>
              </w:rPr>
            </w:pPr>
            <w:r w:rsidRPr="00C61FDF">
              <w:rPr>
                <w:rFonts w:cs="Arial"/>
                <w:b/>
                <w:bCs/>
                <w:color w:val="000000"/>
              </w:rPr>
              <w:t>FUND BALANCE CHANGE</w:t>
            </w:r>
          </w:p>
        </w:tc>
        <w:tc>
          <w:tcPr>
            <w:tcW w:w="2684" w:type="dxa"/>
            <w:shd w:val="clear" w:color="auto" w:fill="D9D9D9" w:themeFill="background1" w:themeFillShade="D9"/>
            <w:noWrap/>
            <w:vAlign w:val="center"/>
            <w:hideMark/>
          </w:tcPr>
          <w:p w14:paraId="1403FF66" w14:textId="77777777" w:rsidR="00597F3C" w:rsidRPr="00C61FDF" w:rsidRDefault="00597F3C" w:rsidP="00597F3C">
            <w:pPr>
              <w:spacing w:after="0"/>
              <w:jc w:val="right"/>
              <w:rPr>
                <w:rFonts w:cs="Arial"/>
                <w:b/>
                <w:bCs/>
                <w:color w:val="000000"/>
              </w:rPr>
            </w:pPr>
            <w:r w:rsidRPr="00C61FDF">
              <w:rPr>
                <w:rFonts w:cs="Arial"/>
                <w:b/>
                <w:bCs/>
                <w:color w:val="000000"/>
              </w:rPr>
              <w:t xml:space="preserve">             1,620,802 </w:t>
            </w:r>
          </w:p>
        </w:tc>
        <w:tc>
          <w:tcPr>
            <w:tcW w:w="2685" w:type="dxa"/>
            <w:shd w:val="clear" w:color="auto" w:fill="D9D9D9" w:themeFill="background1" w:themeFillShade="D9"/>
            <w:noWrap/>
            <w:vAlign w:val="center"/>
            <w:hideMark/>
          </w:tcPr>
          <w:p w14:paraId="78699590" w14:textId="06796FE5" w:rsidR="00597F3C" w:rsidRPr="00597F3C" w:rsidRDefault="00597F3C" w:rsidP="00597F3C">
            <w:pPr>
              <w:spacing w:after="0"/>
              <w:jc w:val="right"/>
              <w:rPr>
                <w:rFonts w:cs="Arial"/>
                <w:b/>
                <w:bCs/>
                <w:color w:val="000000"/>
              </w:rPr>
            </w:pPr>
            <w:r w:rsidRPr="00597F3C">
              <w:rPr>
                <w:b/>
                <w:bCs/>
              </w:rPr>
              <w:t xml:space="preserve"> 3,690,204 </w:t>
            </w:r>
          </w:p>
        </w:tc>
        <w:tc>
          <w:tcPr>
            <w:tcW w:w="2685" w:type="dxa"/>
            <w:shd w:val="clear" w:color="auto" w:fill="D9D9D9" w:themeFill="background1" w:themeFillShade="D9"/>
            <w:noWrap/>
            <w:vAlign w:val="center"/>
            <w:hideMark/>
          </w:tcPr>
          <w:p w14:paraId="059BA748" w14:textId="226BDBA2" w:rsidR="00597F3C" w:rsidRPr="00A64DB5" w:rsidRDefault="00597F3C" w:rsidP="00597F3C">
            <w:pPr>
              <w:spacing w:after="0"/>
              <w:jc w:val="right"/>
              <w:rPr>
                <w:rFonts w:cs="Arial"/>
                <w:b/>
                <w:bCs/>
                <w:color w:val="000000"/>
              </w:rPr>
            </w:pPr>
            <w:r w:rsidRPr="00A64DB5">
              <w:rPr>
                <w:rFonts w:cs="Arial"/>
                <w:b/>
                <w:bCs/>
                <w:color w:val="000000"/>
              </w:rPr>
              <w:t xml:space="preserve">           (1,168,249)</w:t>
            </w:r>
          </w:p>
        </w:tc>
        <w:tc>
          <w:tcPr>
            <w:tcW w:w="2685" w:type="dxa"/>
            <w:shd w:val="clear" w:color="auto" w:fill="D9D9D9" w:themeFill="background1" w:themeFillShade="D9"/>
            <w:noWrap/>
            <w:hideMark/>
          </w:tcPr>
          <w:p w14:paraId="3F6D3346" w14:textId="2750E42D" w:rsidR="00597F3C" w:rsidRPr="00597F3C" w:rsidRDefault="00597F3C" w:rsidP="00597F3C">
            <w:pPr>
              <w:spacing w:after="0"/>
              <w:jc w:val="right"/>
              <w:rPr>
                <w:rFonts w:cs="Arial"/>
                <w:b/>
                <w:bCs/>
                <w:color w:val="000000"/>
              </w:rPr>
            </w:pPr>
            <w:r w:rsidRPr="00597F3C">
              <w:rPr>
                <w:b/>
                <w:bCs/>
              </w:rPr>
              <w:t xml:space="preserve"> 771,872 </w:t>
            </w:r>
          </w:p>
        </w:tc>
      </w:tr>
      <w:tr w:rsidR="00597F3C" w:rsidRPr="00C61FDF" w14:paraId="23206BC7" w14:textId="77777777" w:rsidTr="00801A0D">
        <w:trPr>
          <w:cantSplit/>
          <w:trHeight w:val="614"/>
        </w:trPr>
        <w:tc>
          <w:tcPr>
            <w:tcW w:w="3647" w:type="dxa"/>
            <w:shd w:val="clear" w:color="auto" w:fill="auto"/>
            <w:vAlign w:val="center"/>
            <w:hideMark/>
          </w:tcPr>
          <w:p w14:paraId="5F75CA8B" w14:textId="77777777" w:rsidR="00597F3C" w:rsidRPr="00C61FDF" w:rsidRDefault="00597F3C" w:rsidP="00597F3C">
            <w:pPr>
              <w:spacing w:after="0"/>
              <w:rPr>
                <w:rFonts w:cs="Arial"/>
                <w:color w:val="000000"/>
              </w:rPr>
            </w:pPr>
            <w:r w:rsidRPr="00C61FDF">
              <w:rPr>
                <w:rFonts w:cs="Arial"/>
                <w:color w:val="000000"/>
              </w:rPr>
              <w:t xml:space="preserve">Beginning Fund Balance </w:t>
            </w:r>
            <w:r w:rsidRPr="00C61FDF">
              <w:rPr>
                <w:rFonts w:cs="Arial"/>
                <w:color w:val="000000"/>
              </w:rPr>
              <w:br/>
              <w:t>(July 1)</w:t>
            </w:r>
          </w:p>
        </w:tc>
        <w:tc>
          <w:tcPr>
            <w:tcW w:w="2684" w:type="dxa"/>
            <w:shd w:val="clear" w:color="auto" w:fill="auto"/>
            <w:noWrap/>
            <w:vAlign w:val="center"/>
            <w:hideMark/>
          </w:tcPr>
          <w:p w14:paraId="44E8138F" w14:textId="77777777" w:rsidR="00597F3C" w:rsidRPr="00C61FDF" w:rsidRDefault="00597F3C" w:rsidP="00597F3C">
            <w:pPr>
              <w:spacing w:after="0"/>
              <w:jc w:val="right"/>
              <w:rPr>
                <w:rFonts w:cs="Arial"/>
                <w:color w:val="000000"/>
              </w:rPr>
            </w:pPr>
            <w:r w:rsidRPr="00C61FDF">
              <w:rPr>
                <w:rFonts w:cs="Arial"/>
                <w:color w:val="000000"/>
              </w:rPr>
              <w:t xml:space="preserve">             8,217,790 </w:t>
            </w:r>
          </w:p>
        </w:tc>
        <w:tc>
          <w:tcPr>
            <w:tcW w:w="2685" w:type="dxa"/>
            <w:shd w:val="clear" w:color="auto" w:fill="auto"/>
            <w:noWrap/>
            <w:vAlign w:val="center"/>
            <w:hideMark/>
          </w:tcPr>
          <w:p w14:paraId="16431F5B" w14:textId="02D0704A" w:rsidR="00597F3C" w:rsidRPr="00C61FDF" w:rsidRDefault="00597F3C" w:rsidP="00597F3C">
            <w:pPr>
              <w:spacing w:after="0"/>
              <w:jc w:val="right"/>
              <w:rPr>
                <w:rFonts w:cs="Arial"/>
                <w:color w:val="000000"/>
              </w:rPr>
            </w:pPr>
            <w:r w:rsidRPr="00261061">
              <w:t xml:space="preserve"> 8,217,790 </w:t>
            </w:r>
          </w:p>
        </w:tc>
        <w:tc>
          <w:tcPr>
            <w:tcW w:w="2685" w:type="dxa"/>
            <w:shd w:val="clear" w:color="auto" w:fill="auto"/>
            <w:noWrap/>
            <w:vAlign w:val="center"/>
            <w:hideMark/>
          </w:tcPr>
          <w:p w14:paraId="2816A7B3" w14:textId="77777777" w:rsidR="00597F3C" w:rsidRPr="00C61FDF" w:rsidRDefault="00597F3C" w:rsidP="00597F3C">
            <w:pPr>
              <w:spacing w:after="0"/>
              <w:jc w:val="right"/>
              <w:rPr>
                <w:rFonts w:cs="Arial"/>
                <w:color w:val="000000"/>
              </w:rPr>
            </w:pPr>
            <w:r w:rsidRPr="00C61FDF">
              <w:rPr>
                <w:rFonts w:cs="Arial"/>
                <w:color w:val="000000"/>
              </w:rPr>
              <w:t xml:space="preserve">             9,838,592 </w:t>
            </w:r>
          </w:p>
        </w:tc>
        <w:tc>
          <w:tcPr>
            <w:tcW w:w="2685" w:type="dxa"/>
            <w:shd w:val="clear" w:color="auto" w:fill="auto"/>
            <w:noWrap/>
            <w:hideMark/>
          </w:tcPr>
          <w:p w14:paraId="082C3601" w14:textId="0996E1C6" w:rsidR="00597F3C" w:rsidRPr="00C61FDF" w:rsidRDefault="00597F3C" w:rsidP="00597F3C">
            <w:pPr>
              <w:spacing w:after="0"/>
              <w:jc w:val="right"/>
              <w:rPr>
                <w:rFonts w:cs="Arial"/>
                <w:color w:val="000000"/>
              </w:rPr>
            </w:pPr>
            <w:r w:rsidRPr="00AF791E">
              <w:t xml:space="preserve"> 9,838,592 </w:t>
            </w:r>
          </w:p>
        </w:tc>
      </w:tr>
      <w:tr w:rsidR="00597F3C" w:rsidRPr="00C61FDF" w14:paraId="2A039360" w14:textId="77777777" w:rsidTr="00801A0D">
        <w:trPr>
          <w:cantSplit/>
          <w:trHeight w:val="614"/>
        </w:trPr>
        <w:tc>
          <w:tcPr>
            <w:tcW w:w="3647" w:type="dxa"/>
            <w:shd w:val="clear" w:color="auto" w:fill="auto"/>
            <w:vAlign w:val="center"/>
            <w:hideMark/>
          </w:tcPr>
          <w:p w14:paraId="2DD3799A" w14:textId="77777777" w:rsidR="00597F3C" w:rsidRPr="00C61FDF" w:rsidRDefault="00597F3C" w:rsidP="00597F3C">
            <w:pPr>
              <w:spacing w:after="0"/>
              <w:rPr>
                <w:rFonts w:cs="Arial"/>
                <w:color w:val="000000"/>
              </w:rPr>
            </w:pPr>
            <w:r w:rsidRPr="00C61FDF">
              <w:rPr>
                <w:rFonts w:cs="Arial"/>
                <w:color w:val="000000"/>
              </w:rPr>
              <w:t xml:space="preserve">Ending Fund Balance </w:t>
            </w:r>
            <w:r w:rsidRPr="00C61FDF">
              <w:rPr>
                <w:rFonts w:cs="Arial"/>
                <w:color w:val="000000"/>
              </w:rPr>
              <w:br/>
              <w:t>(June 30)</w:t>
            </w:r>
          </w:p>
        </w:tc>
        <w:tc>
          <w:tcPr>
            <w:tcW w:w="2684" w:type="dxa"/>
            <w:shd w:val="clear" w:color="auto" w:fill="auto"/>
            <w:noWrap/>
            <w:vAlign w:val="center"/>
            <w:hideMark/>
          </w:tcPr>
          <w:p w14:paraId="24ECC74A" w14:textId="77777777" w:rsidR="00597F3C" w:rsidRPr="00C61FDF" w:rsidRDefault="00597F3C" w:rsidP="00597F3C">
            <w:pPr>
              <w:spacing w:after="0"/>
              <w:jc w:val="right"/>
              <w:rPr>
                <w:rFonts w:cs="Arial"/>
                <w:color w:val="000000"/>
              </w:rPr>
            </w:pPr>
            <w:r w:rsidRPr="00C61FDF">
              <w:rPr>
                <w:rFonts w:cs="Arial"/>
                <w:color w:val="000000"/>
              </w:rPr>
              <w:t xml:space="preserve">             9,838,592 </w:t>
            </w:r>
          </w:p>
        </w:tc>
        <w:tc>
          <w:tcPr>
            <w:tcW w:w="2685" w:type="dxa"/>
            <w:shd w:val="clear" w:color="auto" w:fill="auto"/>
            <w:noWrap/>
            <w:vAlign w:val="center"/>
            <w:hideMark/>
          </w:tcPr>
          <w:p w14:paraId="2AA61A28" w14:textId="2271F457" w:rsidR="00597F3C" w:rsidRPr="00C61FDF" w:rsidRDefault="00597F3C" w:rsidP="00597F3C">
            <w:pPr>
              <w:spacing w:after="0"/>
              <w:jc w:val="right"/>
              <w:rPr>
                <w:rFonts w:cs="Arial"/>
                <w:color w:val="000000"/>
              </w:rPr>
            </w:pPr>
            <w:r w:rsidRPr="00261061">
              <w:t xml:space="preserve"> 11,907,994 </w:t>
            </w:r>
          </w:p>
        </w:tc>
        <w:tc>
          <w:tcPr>
            <w:tcW w:w="2685" w:type="dxa"/>
            <w:shd w:val="clear" w:color="auto" w:fill="auto"/>
            <w:noWrap/>
            <w:vAlign w:val="center"/>
            <w:hideMark/>
          </w:tcPr>
          <w:p w14:paraId="414633D1" w14:textId="77777777" w:rsidR="00597F3C" w:rsidRPr="00C61FDF" w:rsidRDefault="00597F3C" w:rsidP="00597F3C">
            <w:pPr>
              <w:spacing w:after="0"/>
              <w:jc w:val="right"/>
              <w:rPr>
                <w:rFonts w:cs="Arial"/>
                <w:color w:val="000000"/>
              </w:rPr>
            </w:pPr>
            <w:r w:rsidRPr="00C61FDF">
              <w:rPr>
                <w:rFonts w:cs="Arial"/>
                <w:color w:val="000000"/>
              </w:rPr>
              <w:t xml:space="preserve">             8,670,343 </w:t>
            </w:r>
          </w:p>
        </w:tc>
        <w:tc>
          <w:tcPr>
            <w:tcW w:w="2685" w:type="dxa"/>
            <w:shd w:val="clear" w:color="auto" w:fill="auto"/>
            <w:noWrap/>
            <w:hideMark/>
          </w:tcPr>
          <w:p w14:paraId="3D3EB71C" w14:textId="0CE6E233" w:rsidR="00597F3C" w:rsidRPr="00C61FDF" w:rsidRDefault="00597F3C" w:rsidP="00597F3C">
            <w:pPr>
              <w:spacing w:after="0"/>
              <w:jc w:val="right"/>
              <w:rPr>
                <w:rFonts w:cs="Arial"/>
                <w:color w:val="000000"/>
              </w:rPr>
            </w:pPr>
            <w:r w:rsidRPr="00AF791E">
              <w:t xml:space="preserve"> 10,610,464 </w:t>
            </w:r>
          </w:p>
        </w:tc>
      </w:tr>
      <w:tr w:rsidR="00597F3C" w:rsidRPr="00C61FDF" w14:paraId="00CC8107" w14:textId="77777777" w:rsidTr="00801A0D">
        <w:trPr>
          <w:cantSplit/>
          <w:trHeight w:val="614"/>
        </w:trPr>
        <w:tc>
          <w:tcPr>
            <w:tcW w:w="3647" w:type="dxa"/>
            <w:shd w:val="clear" w:color="auto" w:fill="auto"/>
            <w:vAlign w:val="center"/>
            <w:hideMark/>
          </w:tcPr>
          <w:p w14:paraId="66399A6C" w14:textId="77777777" w:rsidR="00597F3C" w:rsidRPr="00C61FDF" w:rsidRDefault="00597F3C" w:rsidP="00597F3C">
            <w:pPr>
              <w:spacing w:after="0"/>
              <w:rPr>
                <w:rFonts w:cs="Arial"/>
                <w:color w:val="000000"/>
              </w:rPr>
            </w:pPr>
            <w:r w:rsidRPr="00C61FDF">
              <w:rPr>
                <w:rFonts w:cs="Arial"/>
                <w:color w:val="000000"/>
              </w:rPr>
              <w:t>Available Reserve for Economic Uncertainties</w:t>
            </w:r>
          </w:p>
        </w:tc>
        <w:tc>
          <w:tcPr>
            <w:tcW w:w="2684" w:type="dxa"/>
            <w:shd w:val="clear" w:color="auto" w:fill="auto"/>
            <w:noWrap/>
            <w:vAlign w:val="center"/>
            <w:hideMark/>
          </w:tcPr>
          <w:p w14:paraId="4AE60530" w14:textId="77777777" w:rsidR="00597F3C" w:rsidRPr="00C61FDF" w:rsidRDefault="00597F3C" w:rsidP="00597F3C">
            <w:pPr>
              <w:spacing w:after="0"/>
              <w:jc w:val="right"/>
              <w:rPr>
                <w:rFonts w:cs="Arial"/>
                <w:color w:val="000000"/>
              </w:rPr>
            </w:pPr>
            <w:r w:rsidRPr="00C61FDF">
              <w:rPr>
                <w:rFonts w:cs="Arial"/>
                <w:color w:val="000000"/>
              </w:rPr>
              <w:t xml:space="preserve">             6,518,882 </w:t>
            </w:r>
          </w:p>
        </w:tc>
        <w:tc>
          <w:tcPr>
            <w:tcW w:w="2685" w:type="dxa"/>
            <w:shd w:val="clear" w:color="auto" w:fill="auto"/>
            <w:noWrap/>
            <w:vAlign w:val="center"/>
            <w:hideMark/>
          </w:tcPr>
          <w:p w14:paraId="7561E81D" w14:textId="018C6C58" w:rsidR="00597F3C" w:rsidRPr="00C61FDF" w:rsidRDefault="00597F3C" w:rsidP="00597F3C">
            <w:pPr>
              <w:spacing w:after="0"/>
              <w:jc w:val="right"/>
              <w:rPr>
                <w:rFonts w:cs="Arial"/>
                <w:color w:val="000000"/>
              </w:rPr>
            </w:pPr>
            <w:r w:rsidRPr="00261061">
              <w:t xml:space="preserve"> N/A </w:t>
            </w:r>
          </w:p>
        </w:tc>
        <w:tc>
          <w:tcPr>
            <w:tcW w:w="2685" w:type="dxa"/>
            <w:shd w:val="clear" w:color="auto" w:fill="auto"/>
            <w:noWrap/>
            <w:vAlign w:val="center"/>
            <w:hideMark/>
          </w:tcPr>
          <w:p w14:paraId="48128D08" w14:textId="77777777" w:rsidR="00597F3C" w:rsidRPr="00C61FDF" w:rsidRDefault="00597F3C" w:rsidP="00597F3C">
            <w:pPr>
              <w:spacing w:after="0"/>
              <w:jc w:val="right"/>
              <w:rPr>
                <w:rFonts w:cs="Arial"/>
                <w:color w:val="000000"/>
              </w:rPr>
            </w:pPr>
            <w:r w:rsidRPr="00C61FDF">
              <w:rPr>
                <w:rFonts w:cs="Arial"/>
                <w:color w:val="000000"/>
              </w:rPr>
              <w:t xml:space="preserve">             6,304,627 </w:t>
            </w:r>
          </w:p>
        </w:tc>
        <w:tc>
          <w:tcPr>
            <w:tcW w:w="2685" w:type="dxa"/>
            <w:shd w:val="clear" w:color="auto" w:fill="auto"/>
            <w:noWrap/>
            <w:hideMark/>
          </w:tcPr>
          <w:p w14:paraId="0AB94659" w14:textId="2BFB5284" w:rsidR="00597F3C" w:rsidRPr="00C61FDF" w:rsidRDefault="00597F3C" w:rsidP="00597F3C">
            <w:pPr>
              <w:spacing w:after="0"/>
              <w:jc w:val="right"/>
              <w:rPr>
                <w:rFonts w:cs="Arial"/>
                <w:color w:val="000000"/>
              </w:rPr>
            </w:pPr>
            <w:r w:rsidRPr="00AF791E">
              <w:t xml:space="preserve"> N/A </w:t>
            </w:r>
          </w:p>
        </w:tc>
      </w:tr>
      <w:tr w:rsidR="00597F3C" w:rsidRPr="00C61FDF" w14:paraId="20FB82A9" w14:textId="77777777" w:rsidTr="00801A0D">
        <w:trPr>
          <w:cantSplit/>
          <w:trHeight w:val="614"/>
        </w:trPr>
        <w:tc>
          <w:tcPr>
            <w:tcW w:w="3647" w:type="dxa"/>
            <w:shd w:val="clear" w:color="auto" w:fill="auto"/>
            <w:vAlign w:val="center"/>
            <w:hideMark/>
          </w:tcPr>
          <w:p w14:paraId="18D7AF76" w14:textId="6EE541B3" w:rsidR="00597F3C" w:rsidRPr="00C61FDF" w:rsidRDefault="00597F3C" w:rsidP="00597F3C">
            <w:pPr>
              <w:spacing w:after="0"/>
              <w:rPr>
                <w:rFonts w:cs="Arial"/>
                <w:color w:val="000000"/>
              </w:rPr>
            </w:pPr>
            <w:r>
              <w:rPr>
                <w:rFonts w:cs="Arial"/>
                <w:color w:val="000000"/>
              </w:rPr>
              <w:lastRenderedPageBreak/>
              <w:t xml:space="preserve">Recommended Reserve for Economic Uncertainties </w:t>
            </w:r>
            <w:r>
              <w:rPr>
                <w:rFonts w:cs="Arial"/>
                <w:color w:val="000000"/>
              </w:rPr>
              <w:br/>
              <w:t>(3% of restricted and unrestricted general fund expenditures and other financing uses)</w:t>
            </w:r>
          </w:p>
        </w:tc>
        <w:tc>
          <w:tcPr>
            <w:tcW w:w="2684" w:type="dxa"/>
            <w:shd w:val="clear" w:color="auto" w:fill="auto"/>
            <w:noWrap/>
            <w:vAlign w:val="center"/>
            <w:hideMark/>
          </w:tcPr>
          <w:p w14:paraId="25730B4D" w14:textId="2699932A" w:rsidR="00597F3C" w:rsidRPr="00C61FDF" w:rsidRDefault="00597F3C" w:rsidP="00597F3C">
            <w:pPr>
              <w:spacing w:after="0"/>
              <w:jc w:val="right"/>
              <w:rPr>
                <w:rFonts w:cs="Arial"/>
                <w:color w:val="000000"/>
              </w:rPr>
            </w:pPr>
            <w:r w:rsidRPr="00C61FDF">
              <w:rPr>
                <w:rFonts w:cs="Arial"/>
                <w:color w:val="000000"/>
              </w:rPr>
              <w:t xml:space="preserve"> $ 1,481,493 </w:t>
            </w:r>
          </w:p>
        </w:tc>
        <w:tc>
          <w:tcPr>
            <w:tcW w:w="2685" w:type="dxa"/>
            <w:shd w:val="clear" w:color="auto" w:fill="auto"/>
            <w:noWrap/>
            <w:vAlign w:val="center"/>
            <w:hideMark/>
          </w:tcPr>
          <w:p w14:paraId="49853CBF" w14:textId="50DA28B8" w:rsidR="00597F3C" w:rsidRPr="00C61FDF" w:rsidRDefault="00597F3C" w:rsidP="00597F3C">
            <w:pPr>
              <w:spacing w:after="0"/>
              <w:jc w:val="right"/>
              <w:rPr>
                <w:rFonts w:cs="Arial"/>
                <w:color w:val="000000"/>
              </w:rPr>
            </w:pPr>
            <w:r w:rsidRPr="00261061">
              <w:t xml:space="preserve"> $</w:t>
            </w:r>
            <w:r>
              <w:t xml:space="preserve"> </w:t>
            </w:r>
            <w:r w:rsidRPr="00261061">
              <w:t xml:space="preserve">1,566,383 </w:t>
            </w:r>
          </w:p>
        </w:tc>
        <w:tc>
          <w:tcPr>
            <w:tcW w:w="2685" w:type="dxa"/>
            <w:shd w:val="clear" w:color="auto" w:fill="auto"/>
            <w:noWrap/>
            <w:vAlign w:val="center"/>
            <w:hideMark/>
          </w:tcPr>
          <w:p w14:paraId="177858EF" w14:textId="60F91418" w:rsidR="00597F3C" w:rsidRPr="00C61FDF" w:rsidRDefault="00597F3C" w:rsidP="00597F3C">
            <w:pPr>
              <w:spacing w:after="0"/>
              <w:jc w:val="right"/>
              <w:rPr>
                <w:rFonts w:cs="Arial"/>
                <w:color w:val="000000"/>
              </w:rPr>
            </w:pPr>
            <w:r w:rsidRPr="00C61FDF">
              <w:rPr>
                <w:rFonts w:cs="Arial"/>
                <w:color w:val="000000"/>
              </w:rPr>
              <w:t xml:space="preserve"> $ 1,634,322 </w:t>
            </w:r>
          </w:p>
        </w:tc>
        <w:tc>
          <w:tcPr>
            <w:tcW w:w="2685" w:type="dxa"/>
            <w:shd w:val="clear" w:color="auto" w:fill="auto"/>
            <w:noWrap/>
            <w:vAlign w:val="center"/>
            <w:hideMark/>
          </w:tcPr>
          <w:p w14:paraId="7EF891BA" w14:textId="1058D5F4" w:rsidR="00597F3C" w:rsidRPr="00C61FDF" w:rsidRDefault="00597F3C" w:rsidP="00597F3C">
            <w:pPr>
              <w:spacing w:after="0"/>
              <w:jc w:val="right"/>
              <w:rPr>
                <w:rFonts w:cs="Arial"/>
                <w:color w:val="000000"/>
              </w:rPr>
            </w:pPr>
            <w:r w:rsidRPr="00AF791E">
              <w:t xml:space="preserve"> $1,561,049 </w:t>
            </w:r>
          </w:p>
        </w:tc>
      </w:tr>
    </w:tbl>
    <w:p w14:paraId="2EDFB46B" w14:textId="337A0FA9" w:rsidR="008153AE" w:rsidRPr="008153AE" w:rsidRDefault="00EC7ADB" w:rsidP="00C61FDF">
      <w:pPr>
        <w:spacing w:before="120" w:line="259" w:lineRule="auto"/>
        <w:rPr>
          <w:rFonts w:eastAsiaTheme="minorHAnsi"/>
          <w:iCs/>
        </w:rPr>
      </w:pPr>
      <w:r w:rsidRPr="00AB6ACA">
        <w:rPr>
          <w:rFonts w:eastAsiaTheme="minorHAnsi"/>
          <w:i/>
        </w:rPr>
        <w:t xml:space="preserve">Sources: </w:t>
      </w:r>
      <w:r>
        <w:rPr>
          <w:rFonts w:eastAsiaTheme="minorHAnsi"/>
          <w:i/>
        </w:rPr>
        <w:t>La Ca</w:t>
      </w:r>
      <w:r>
        <w:rPr>
          <w:rFonts w:eastAsiaTheme="minorHAnsi" w:cs="Arial"/>
          <w:i/>
        </w:rPr>
        <w:t>ñ</w:t>
      </w:r>
      <w:r>
        <w:rPr>
          <w:rFonts w:eastAsiaTheme="minorHAnsi"/>
          <w:i/>
        </w:rPr>
        <w:t>ada</w:t>
      </w:r>
      <w:r w:rsidRPr="00AB6ACA">
        <w:rPr>
          <w:rFonts w:eastAsiaTheme="minorHAnsi"/>
          <w:i/>
        </w:rPr>
        <w:t xml:space="preserve"> Unified School District Unaudited Actuals</w:t>
      </w:r>
      <w:r w:rsidR="006D75C6">
        <w:rPr>
          <w:rFonts w:eastAsiaTheme="minorHAnsi"/>
          <w:i/>
        </w:rPr>
        <w:t>,</w:t>
      </w:r>
      <w:r w:rsidRPr="00AB6ACA">
        <w:rPr>
          <w:rFonts w:eastAsiaTheme="minorHAnsi"/>
          <w:i/>
        </w:rPr>
        <w:t xml:space="preserve"> FY 2020–21</w:t>
      </w:r>
      <w:r>
        <w:rPr>
          <w:rFonts w:eastAsiaTheme="minorHAnsi"/>
          <w:i/>
        </w:rPr>
        <w:t xml:space="preserve"> (ed-data.org)</w:t>
      </w:r>
      <w:r w:rsidRPr="00AB6ACA">
        <w:rPr>
          <w:rFonts w:eastAsiaTheme="minorHAnsi"/>
          <w:i/>
        </w:rPr>
        <w:t xml:space="preserve">; </w:t>
      </w:r>
      <w:r>
        <w:rPr>
          <w:rFonts w:eastAsiaTheme="minorHAnsi"/>
          <w:i/>
        </w:rPr>
        <w:t>La Ca</w:t>
      </w:r>
      <w:r>
        <w:rPr>
          <w:rFonts w:eastAsiaTheme="minorHAnsi" w:cs="Arial"/>
          <w:i/>
        </w:rPr>
        <w:t>ñ</w:t>
      </w:r>
      <w:r>
        <w:rPr>
          <w:rFonts w:eastAsiaTheme="minorHAnsi"/>
          <w:i/>
        </w:rPr>
        <w:t>ada</w:t>
      </w:r>
      <w:r w:rsidRPr="00AB6ACA">
        <w:rPr>
          <w:rFonts w:eastAsiaTheme="minorHAnsi"/>
          <w:i/>
        </w:rPr>
        <w:t xml:space="preserve"> Unified School </w:t>
      </w:r>
      <w:r w:rsidR="006D75C6">
        <w:rPr>
          <w:rFonts w:eastAsiaTheme="minorHAnsi"/>
          <w:i/>
        </w:rPr>
        <w:t>Second Interim Report,</w:t>
      </w:r>
      <w:r w:rsidRPr="00AB6ACA">
        <w:rPr>
          <w:rFonts w:eastAsiaTheme="minorHAnsi"/>
          <w:i/>
        </w:rPr>
        <w:t xml:space="preserve"> FY 2021–22</w:t>
      </w:r>
      <w:r>
        <w:rPr>
          <w:rFonts w:eastAsiaTheme="minorHAnsi"/>
          <w:i/>
        </w:rPr>
        <w:t>; Sagebrush Resident Student Data from Glendale Unified School District</w:t>
      </w:r>
      <w:r w:rsidR="00802DBA">
        <w:rPr>
          <w:rFonts w:eastAsiaTheme="minorHAnsi"/>
          <w:i/>
        </w:rPr>
        <w:t>, California Department of Education</w:t>
      </w:r>
    </w:p>
    <w:sectPr w:rsidR="008153AE" w:rsidRPr="008153AE" w:rsidSect="004201D2">
      <w:footnotePr>
        <w:numRestart w:val="eachSect"/>
      </w:footnotePr>
      <w:endnotePr>
        <w:numFmt w:val="decimal"/>
      </w:endnotePr>
      <w:pgSz w:w="15840" w:h="12240" w:orient="landscape" w:code="1"/>
      <w:pgMar w:top="1260" w:right="720" w:bottom="9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1653" w14:textId="77777777" w:rsidR="00DE7006" w:rsidRDefault="00DE7006" w:rsidP="002403CD">
      <w:pPr>
        <w:spacing w:after="0"/>
      </w:pPr>
      <w:r>
        <w:separator/>
      </w:r>
    </w:p>
  </w:endnote>
  <w:endnote w:type="continuationSeparator" w:id="0">
    <w:p w14:paraId="18E3760F" w14:textId="77777777" w:rsidR="00DE7006" w:rsidRDefault="00DE7006" w:rsidP="002403CD">
      <w:pPr>
        <w:spacing w:after="0"/>
      </w:pPr>
      <w:r>
        <w:continuationSeparator/>
      </w:r>
    </w:p>
  </w:endnote>
  <w:endnote w:type="continuationNotice" w:id="1">
    <w:p w14:paraId="2A1A8774" w14:textId="77777777" w:rsidR="00DE7006" w:rsidRDefault="00DE70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57A0" w14:textId="1ABD36A8" w:rsidR="00C75977" w:rsidRDefault="00E92402" w:rsidP="00031E00">
    <w:pPr>
      <w:pStyle w:val="Footer"/>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4F8D" w14:textId="6A0DB7B6" w:rsidR="00031E00" w:rsidRDefault="00031E00" w:rsidP="00031E00">
    <w:pPr>
      <w:pStyle w:val="Footer"/>
      <w:jc w:val="center"/>
    </w:pPr>
    <w:r>
      <w:t xml:space="preserve">Page </w:t>
    </w:r>
    <w:sdt>
      <w:sdtPr>
        <w:id w:val="770047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B263" w14:textId="77777777" w:rsidR="00DE7006" w:rsidRDefault="00DE7006" w:rsidP="002403CD">
      <w:pPr>
        <w:spacing w:after="0"/>
      </w:pPr>
      <w:r>
        <w:separator/>
      </w:r>
    </w:p>
  </w:footnote>
  <w:footnote w:type="continuationSeparator" w:id="0">
    <w:p w14:paraId="73854C29" w14:textId="77777777" w:rsidR="00DE7006" w:rsidRDefault="00DE7006" w:rsidP="002403CD">
      <w:pPr>
        <w:spacing w:after="0"/>
      </w:pPr>
      <w:r>
        <w:continuationSeparator/>
      </w:r>
    </w:p>
  </w:footnote>
  <w:footnote w:type="continuationNotice" w:id="1">
    <w:p w14:paraId="164270B2" w14:textId="77777777" w:rsidR="00DE7006" w:rsidRDefault="00DE7006">
      <w:pPr>
        <w:spacing w:after="0"/>
      </w:pPr>
    </w:p>
  </w:footnote>
  <w:footnote w:id="2">
    <w:p w14:paraId="5A473FC8" w14:textId="7DF5DCA0" w:rsidR="00454CFF" w:rsidRPr="00454CFF" w:rsidRDefault="00454CFF" w:rsidP="00371443">
      <w:pPr>
        <w:pStyle w:val="FootnoteText"/>
        <w:spacing w:after="240"/>
        <w:rPr>
          <w:sz w:val="24"/>
          <w:szCs w:val="24"/>
        </w:rPr>
      </w:pPr>
      <w:r w:rsidRPr="00454CFF">
        <w:rPr>
          <w:rStyle w:val="FootnoteReference"/>
          <w:sz w:val="24"/>
          <w:szCs w:val="24"/>
        </w:rPr>
        <w:footnoteRef/>
      </w:r>
      <w:r w:rsidRPr="00454CFF">
        <w:rPr>
          <w:sz w:val="24"/>
          <w:szCs w:val="24"/>
        </w:rPr>
        <w:t xml:space="preserve"> Due to issues related to the COVID-19 pandemic, </w:t>
      </w:r>
      <w:r w:rsidR="00355F9C">
        <w:rPr>
          <w:sz w:val="24"/>
          <w:szCs w:val="24"/>
        </w:rPr>
        <w:t>local educational agencies</w:t>
      </w:r>
      <w:r w:rsidRPr="00454CFF">
        <w:rPr>
          <w:sz w:val="24"/>
          <w:szCs w:val="24"/>
        </w:rPr>
        <w:t xml:space="preserve"> were not required to report ADA for FY 2020</w:t>
      </w:r>
      <w:r w:rsidR="00355F9C">
        <w:rPr>
          <w:sz w:val="24"/>
          <w:szCs w:val="24"/>
        </w:rPr>
        <w:t>–</w:t>
      </w:r>
      <w:r w:rsidRPr="00454CFF">
        <w:rPr>
          <w:sz w:val="24"/>
          <w:szCs w:val="24"/>
        </w:rPr>
        <w:t>21. Prior year reported ADA was used in place of current year reported ADA for the purpose of ADA-driven funding calculations.</w:t>
      </w:r>
    </w:p>
  </w:footnote>
  <w:footnote w:id="3">
    <w:p w14:paraId="7C923EA6" w14:textId="39D8D362" w:rsidR="00454CFF" w:rsidRDefault="00454CFF" w:rsidP="00371443">
      <w:pPr>
        <w:pStyle w:val="FootnoteText"/>
        <w:spacing w:after="240"/>
      </w:pPr>
      <w:r w:rsidRPr="00454CFF">
        <w:rPr>
          <w:rStyle w:val="FootnoteReference"/>
          <w:sz w:val="24"/>
          <w:szCs w:val="24"/>
        </w:rPr>
        <w:footnoteRef/>
      </w:r>
      <w:r w:rsidRPr="00454CFF">
        <w:rPr>
          <w:sz w:val="24"/>
          <w:szCs w:val="24"/>
        </w:rPr>
        <w:t xml:space="preserve"> Funded ADA is the greater of current year or prior year P-2 ADA, plus current year ADA for district funded county programs and special programs.</w:t>
      </w:r>
    </w:p>
  </w:footnote>
  <w:footnote w:id="4">
    <w:p w14:paraId="28B809ED" w14:textId="51CFA844" w:rsidR="00513EF5" w:rsidRPr="00371443" w:rsidRDefault="00513EF5" w:rsidP="006A2883">
      <w:pPr>
        <w:pStyle w:val="FootnoteText"/>
        <w:spacing w:after="240"/>
        <w:rPr>
          <w:sz w:val="24"/>
          <w:szCs w:val="24"/>
        </w:rPr>
      </w:pPr>
      <w:r w:rsidRPr="00371443">
        <w:rPr>
          <w:rStyle w:val="FootnoteReference"/>
          <w:sz w:val="24"/>
          <w:szCs w:val="24"/>
        </w:rPr>
        <w:footnoteRef/>
      </w:r>
      <w:r w:rsidRPr="00371443">
        <w:rPr>
          <w:sz w:val="24"/>
          <w:szCs w:val="24"/>
        </w:rPr>
        <w:t xml:space="preserve"> Unduplicated Pupil Percentage (UPP) is the sum of the current and prior two years unduplicated pupil count divided by the sum of total enrollment for the same three years. The unduplicated pupil count is the unduplicated count of students identified as low-income, English learner, and/or foster youth. </w:t>
      </w:r>
    </w:p>
  </w:footnote>
  <w:footnote w:id="5">
    <w:p w14:paraId="6C083EC0" w14:textId="0284A026" w:rsidR="00513EF5" w:rsidRPr="00371443" w:rsidRDefault="00513EF5" w:rsidP="00F928C7">
      <w:pPr>
        <w:pStyle w:val="FootnoteText"/>
        <w:spacing w:after="240"/>
        <w:rPr>
          <w:sz w:val="24"/>
          <w:szCs w:val="24"/>
        </w:rPr>
      </w:pPr>
      <w:r w:rsidRPr="00371443">
        <w:rPr>
          <w:rStyle w:val="FootnoteReference"/>
          <w:sz w:val="24"/>
          <w:szCs w:val="24"/>
        </w:rPr>
        <w:footnoteRef/>
      </w:r>
      <w:r w:rsidRPr="00371443">
        <w:rPr>
          <w:sz w:val="24"/>
          <w:szCs w:val="24"/>
        </w:rPr>
        <w:t xml:space="preserve"> </w:t>
      </w:r>
      <w:r w:rsidR="00371443" w:rsidRPr="00371443">
        <w:rPr>
          <w:sz w:val="24"/>
          <w:szCs w:val="24"/>
        </w:rPr>
        <w:t xml:space="preserve">Enrollment may be lower than funded ADA due to </w:t>
      </w:r>
      <w:r w:rsidR="00371443" w:rsidRPr="00786C30">
        <w:rPr>
          <w:i/>
          <w:iCs/>
          <w:sz w:val="24"/>
          <w:szCs w:val="24"/>
        </w:rPr>
        <w:t>EC</w:t>
      </w:r>
      <w:r w:rsidR="00371443" w:rsidRPr="00371443">
        <w:rPr>
          <w:sz w:val="24"/>
          <w:szCs w:val="24"/>
        </w:rPr>
        <w:t xml:space="preserve"> </w:t>
      </w:r>
      <w:r w:rsidR="00786C30">
        <w:rPr>
          <w:sz w:val="24"/>
          <w:szCs w:val="24"/>
        </w:rPr>
        <w:t xml:space="preserve">Section </w:t>
      </w:r>
      <w:r w:rsidR="00371443" w:rsidRPr="00371443">
        <w:rPr>
          <w:sz w:val="24"/>
          <w:szCs w:val="24"/>
        </w:rPr>
        <w:t xml:space="preserve">42238.05 (declining enrollment protection), as has occurred with Glendale USD. </w:t>
      </w:r>
      <w:r w:rsidRPr="00371443">
        <w:rPr>
          <w:sz w:val="24"/>
          <w:szCs w:val="24"/>
        </w:rPr>
        <w:t xml:space="preserve"> </w:t>
      </w:r>
    </w:p>
  </w:footnote>
  <w:footnote w:id="6">
    <w:p w14:paraId="40F4034A" w14:textId="41054734" w:rsidR="00750918" w:rsidRDefault="00750918">
      <w:pPr>
        <w:pStyle w:val="FootnoteText"/>
      </w:pPr>
      <w:r w:rsidRPr="00750918">
        <w:rPr>
          <w:rStyle w:val="FootnoteReference"/>
          <w:sz w:val="24"/>
        </w:rPr>
        <w:footnoteRef/>
      </w:r>
      <w:r w:rsidRPr="00750918">
        <w:rPr>
          <w:sz w:val="24"/>
        </w:rPr>
        <w:t xml:space="preserve"> </w:t>
      </w:r>
      <w:r w:rsidR="002A23DC" w:rsidRPr="002A23DC">
        <w:rPr>
          <w:sz w:val="24"/>
        </w:rPr>
        <w:t xml:space="preserve">A school district that does not receive an apportionment of state funds pursuant to </w:t>
      </w:r>
      <w:r w:rsidR="002A23DC">
        <w:rPr>
          <w:sz w:val="24"/>
        </w:rPr>
        <w:t>EC Section 42238.02</w:t>
      </w:r>
      <w:r w:rsidR="002A23DC" w:rsidRPr="002A23DC">
        <w:rPr>
          <w:sz w:val="24"/>
        </w:rPr>
        <w:t>, as implemented pursuant to Section 42238.03, excluding funds apportioned pursuant to the requirements of subparagraph (A) of paragraph (2) of subdivision (e) of Section 42238.03, shall be considered a “basic aid school district</w:t>
      </w:r>
      <w:r w:rsidR="002A23DC">
        <w:rPr>
          <w:sz w:val="24"/>
        </w:rPr>
        <w:t>.</w:t>
      </w:r>
      <w:r w:rsidR="002A23DC" w:rsidRPr="002A23DC">
        <w:rPr>
          <w:sz w:val="24"/>
        </w:rPr>
        <w:t xml:space="preserve">” </w:t>
      </w:r>
      <w:r>
        <w:rPr>
          <w:sz w:val="24"/>
        </w:rPr>
        <w:t>(</w:t>
      </w:r>
      <w:r w:rsidRPr="00750918">
        <w:rPr>
          <w:i/>
          <w:sz w:val="24"/>
        </w:rPr>
        <w:t>EC</w:t>
      </w:r>
      <w:r>
        <w:rPr>
          <w:sz w:val="24"/>
        </w:rPr>
        <w:t xml:space="preserve"> Section 42238.02[o]).</w:t>
      </w:r>
    </w:p>
  </w:footnote>
  <w:footnote w:id="7">
    <w:p w14:paraId="7D44A268" w14:textId="0EDB0E92" w:rsidR="001C70A9" w:rsidRPr="001C70A9" w:rsidRDefault="001C70A9">
      <w:pPr>
        <w:pStyle w:val="FootnoteText"/>
        <w:rPr>
          <w:sz w:val="24"/>
          <w:szCs w:val="24"/>
        </w:rPr>
      </w:pPr>
      <w:r w:rsidRPr="001C70A9">
        <w:rPr>
          <w:rStyle w:val="FootnoteReference"/>
          <w:sz w:val="24"/>
          <w:szCs w:val="24"/>
        </w:rPr>
        <w:footnoteRef/>
      </w:r>
      <w:r w:rsidRPr="001C70A9">
        <w:rPr>
          <w:sz w:val="24"/>
          <w:szCs w:val="24"/>
        </w:rPr>
        <w:t xml:space="preserve"> </w:t>
      </w:r>
      <w:r>
        <w:rPr>
          <w:sz w:val="24"/>
          <w:szCs w:val="24"/>
        </w:rPr>
        <w:t xml:space="preserve">The CDE’s post-reorganization estimate </w:t>
      </w:r>
      <w:r w:rsidR="00983600">
        <w:rPr>
          <w:sz w:val="24"/>
          <w:szCs w:val="24"/>
        </w:rPr>
        <w:t xml:space="preserve">of </w:t>
      </w:r>
      <w:r>
        <w:rPr>
          <w:sz w:val="24"/>
          <w:szCs w:val="24"/>
        </w:rPr>
        <w:t>FY 2022-23 for La Ca</w:t>
      </w:r>
      <w:r>
        <w:rPr>
          <w:rFonts w:cs="Arial"/>
          <w:sz w:val="24"/>
          <w:szCs w:val="24"/>
        </w:rPr>
        <w:t>ñ</w:t>
      </w:r>
      <w:r>
        <w:rPr>
          <w:sz w:val="24"/>
          <w:szCs w:val="24"/>
        </w:rPr>
        <w:t xml:space="preserve">ada USD </w:t>
      </w:r>
      <w:r w:rsidR="00983600">
        <w:rPr>
          <w:sz w:val="24"/>
          <w:szCs w:val="24"/>
        </w:rPr>
        <w:t>shows a surplus; however, it should be noted that the expenditures in this estimate were not adjusted to reflect increases in staffing costs to serve the additional pupils as a result of the territory transfer.</w:t>
      </w:r>
    </w:p>
  </w:footnote>
  <w:footnote w:id="8">
    <w:p w14:paraId="6F38F990" w14:textId="30842C82" w:rsidR="00AB1702" w:rsidRDefault="00AB1702" w:rsidP="00AB1702">
      <w:pPr>
        <w:pStyle w:val="FootnoteText"/>
      </w:pPr>
      <w:r>
        <w:rPr>
          <w:rStyle w:val="FootnoteReference"/>
        </w:rPr>
        <w:footnoteRef/>
      </w:r>
      <w:r>
        <w:t xml:space="preserve"> LCFF Revenues in this table are slightly different from the certified and adjusted LCFF amounts shown in table 4. The values shown in this table are directly from the district’s budget documents, which were based on the district’s assumptions and information available before final certified amounts were known.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EB9B" w14:textId="43D00B55" w:rsidR="00E92402" w:rsidRDefault="00E92402" w:rsidP="00E92402">
    <w:pPr>
      <w:pStyle w:val="Header"/>
      <w:tabs>
        <w:tab w:val="clear" w:pos="4680"/>
        <w:tab w:val="clear" w:pos="9360"/>
        <w:tab w:val="left" w:pos="2820"/>
      </w:tabs>
      <w:jc w:val="right"/>
    </w:pPr>
    <w:r>
      <w:t>oab-sftsd-jan24</w:t>
    </w:r>
    <w:r w:rsidRPr="00400178">
      <w:t>item</w:t>
    </w:r>
    <w:r w:rsidR="004261B2">
      <w:t>02</w:t>
    </w:r>
    <w:r>
      <w:t xml:space="preserve"> </w:t>
    </w:r>
  </w:p>
  <w:p w14:paraId="2E6880B6" w14:textId="4A85ED25" w:rsidR="00E92402" w:rsidRDefault="00E92402" w:rsidP="00E92402">
    <w:pPr>
      <w:pStyle w:val="Header"/>
      <w:tabs>
        <w:tab w:val="clear" w:pos="4680"/>
        <w:tab w:val="clear" w:pos="9360"/>
        <w:tab w:val="left" w:pos="2820"/>
      </w:tabs>
      <w:jc w:val="right"/>
    </w:pPr>
    <w:r>
      <w:t xml:space="preserve">Attachment </w:t>
    </w:r>
    <w:r w:rsidR="004261B2">
      <w:t>3</w:t>
    </w:r>
  </w:p>
  <w:p w14:paraId="7A1E9311" w14:textId="77777777" w:rsidR="00E92402" w:rsidRDefault="00E92402" w:rsidP="00E92402">
    <w:pPr>
      <w:pStyle w:val="Header"/>
      <w:tabs>
        <w:tab w:val="clear" w:pos="4680"/>
        <w:tab w:val="clear" w:pos="9360"/>
        <w:tab w:val="left" w:pos="2820"/>
      </w:tabs>
      <w:jc w:val="right"/>
    </w:pPr>
    <w:r>
      <w:t xml:space="preserve">Page </w:t>
    </w:r>
    <w:r w:rsidRPr="00E01945">
      <w:fldChar w:fldCharType="begin"/>
    </w:r>
    <w:r w:rsidRPr="00E01945">
      <w:instrText xml:space="preserve"> PAGE  \* Arabic  \* MERGEFORMAT </w:instrText>
    </w:r>
    <w:r w:rsidRPr="00E01945">
      <w:fldChar w:fldCharType="separate"/>
    </w:r>
    <w:r>
      <w:t>1</w:t>
    </w:r>
    <w:r w:rsidRPr="00E01945">
      <w:fldChar w:fldCharType="end"/>
    </w:r>
    <w:r w:rsidRPr="00E01945">
      <w:t xml:space="preserve"> of </w:t>
    </w:r>
    <w:fldSimple w:instr=" NUMPAGES  \* Arabic  \* MERGEFORMAT ">
      <w:r>
        <w:t>8</w:t>
      </w:r>
    </w:fldSimple>
  </w:p>
  <w:p w14:paraId="1E9C4EFC" w14:textId="41D7234C" w:rsidR="00031E00" w:rsidRPr="00E92402" w:rsidRDefault="00031E00" w:rsidP="00E92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5695" w14:textId="248B488A" w:rsidR="004261B2" w:rsidRDefault="004261B2" w:rsidP="004261B2">
    <w:pPr>
      <w:pStyle w:val="Header"/>
      <w:tabs>
        <w:tab w:val="clear" w:pos="4680"/>
        <w:tab w:val="clear" w:pos="9360"/>
        <w:tab w:val="left" w:pos="2820"/>
      </w:tabs>
      <w:jc w:val="right"/>
    </w:pPr>
    <w:r>
      <w:t>oab-sftsd-jan24</w:t>
    </w:r>
    <w:r w:rsidRPr="00400178">
      <w:t>item</w:t>
    </w:r>
    <w:r>
      <w:t xml:space="preserve">01 </w:t>
    </w:r>
  </w:p>
  <w:p w14:paraId="4B7478C8" w14:textId="63C46C3B" w:rsidR="004261B2" w:rsidRDefault="004261B2" w:rsidP="004261B2">
    <w:pPr>
      <w:pStyle w:val="Header"/>
      <w:tabs>
        <w:tab w:val="clear" w:pos="4680"/>
        <w:tab w:val="clear" w:pos="9360"/>
        <w:tab w:val="left" w:pos="2820"/>
      </w:tabs>
      <w:jc w:val="right"/>
    </w:pPr>
    <w:r>
      <w:t xml:space="preserve">Attachment 3 </w:t>
    </w:r>
  </w:p>
  <w:p w14:paraId="152EAA1F" w14:textId="6A182657" w:rsidR="004261B2" w:rsidRDefault="004261B2" w:rsidP="004261B2">
    <w:pPr>
      <w:pStyle w:val="Header"/>
      <w:tabs>
        <w:tab w:val="clear" w:pos="4680"/>
        <w:tab w:val="clear" w:pos="9360"/>
        <w:tab w:val="left" w:pos="2820"/>
      </w:tabs>
      <w:jc w:val="right"/>
    </w:pPr>
    <w:r>
      <w:t>Page 1 of 14</w:t>
    </w:r>
  </w:p>
  <w:p w14:paraId="44DF7156" w14:textId="77777777" w:rsidR="004261B2" w:rsidRPr="004261B2" w:rsidRDefault="004261B2" w:rsidP="00426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3F4"/>
    <w:multiLevelType w:val="hybridMultilevel"/>
    <w:tmpl w:val="2ADCC2A8"/>
    <w:lvl w:ilvl="0" w:tplc="045C8C8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D2C98"/>
    <w:multiLevelType w:val="hybridMultilevel"/>
    <w:tmpl w:val="2FDC8132"/>
    <w:lvl w:ilvl="0" w:tplc="F788A952">
      <w:start w:val="2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87E6A"/>
    <w:multiLevelType w:val="hybridMultilevel"/>
    <w:tmpl w:val="E2FE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333A9"/>
    <w:multiLevelType w:val="hybridMultilevel"/>
    <w:tmpl w:val="21C27F7C"/>
    <w:lvl w:ilvl="0" w:tplc="4BB0228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0355D"/>
    <w:multiLevelType w:val="hybridMultilevel"/>
    <w:tmpl w:val="14265226"/>
    <w:lvl w:ilvl="0" w:tplc="B16620A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8416C"/>
    <w:multiLevelType w:val="hybridMultilevel"/>
    <w:tmpl w:val="17A21E92"/>
    <w:lvl w:ilvl="0" w:tplc="CF744C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6A2C"/>
    <w:multiLevelType w:val="hybridMultilevel"/>
    <w:tmpl w:val="A3F2F444"/>
    <w:lvl w:ilvl="0" w:tplc="AB7E8BA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87F16"/>
    <w:multiLevelType w:val="multilevel"/>
    <w:tmpl w:val="E35CC48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upperLetter"/>
      <w:lvlText w:val="%3)"/>
      <w:lvlJc w:val="left"/>
      <w:pPr>
        <w:ind w:left="360" w:hanging="360"/>
      </w:pPr>
      <w:rPr>
        <w:rFonts w:hint="default"/>
      </w:rPr>
    </w:lvl>
    <w:lvl w:ilvl="3">
      <w:start w:val="1"/>
      <w:numFmt w:val="lowerRoman"/>
      <w:lvlText w:val="(%4)"/>
      <w:lvlJc w:val="left"/>
      <w:pPr>
        <w:ind w:left="360" w:hanging="360"/>
      </w:pPr>
      <w:rPr>
        <w:rFonts w:hint="default"/>
      </w:rPr>
    </w:lvl>
    <w:lvl w:ilvl="4">
      <w:start w:val="1"/>
      <w:numFmt w:val="upperRoman"/>
      <w:lvlText w:val="(%5)"/>
      <w:lvlJc w:val="left"/>
      <w:pPr>
        <w:ind w:left="360" w:hanging="360"/>
      </w:pPr>
      <w:rPr>
        <w:rFonts w:hint="default"/>
      </w:rPr>
    </w:lvl>
    <w:lvl w:ilvl="5">
      <w:start w:val="1"/>
      <w:numFmt w:val="lowerLetter"/>
      <w:pStyle w:val="StatutoryReference"/>
      <w:lvlText w:val="(%6)"/>
      <w:lvlJc w:val="left"/>
      <w:pPr>
        <w:ind w:left="360" w:hanging="360"/>
      </w:pPr>
      <w:rPr>
        <w:rFonts w:ascii="Calibri" w:eastAsiaTheme="minorHAnsi" w:hAnsi="Calibri" w:cs="Calibri"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232D3618"/>
    <w:multiLevelType w:val="hybridMultilevel"/>
    <w:tmpl w:val="768E9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CC3CD5"/>
    <w:multiLevelType w:val="hybridMultilevel"/>
    <w:tmpl w:val="837A5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B63124"/>
    <w:multiLevelType w:val="hybridMultilevel"/>
    <w:tmpl w:val="DEEE0C28"/>
    <w:lvl w:ilvl="0" w:tplc="C5001F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73E8F"/>
    <w:multiLevelType w:val="hybridMultilevel"/>
    <w:tmpl w:val="F24E4E32"/>
    <w:lvl w:ilvl="0" w:tplc="4CE2D6CC">
      <w:start w:val="2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946FD5"/>
    <w:multiLevelType w:val="hybridMultilevel"/>
    <w:tmpl w:val="E46C9DF0"/>
    <w:lvl w:ilvl="0" w:tplc="E530E16E">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E15DE"/>
    <w:multiLevelType w:val="hybridMultilevel"/>
    <w:tmpl w:val="39CC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42109D"/>
    <w:multiLevelType w:val="hybridMultilevel"/>
    <w:tmpl w:val="A31E5ED6"/>
    <w:lvl w:ilvl="0" w:tplc="A37A0D7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C77AF3"/>
    <w:multiLevelType w:val="hybridMultilevel"/>
    <w:tmpl w:val="419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5017A"/>
    <w:multiLevelType w:val="hybridMultilevel"/>
    <w:tmpl w:val="CB88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900CF"/>
    <w:multiLevelType w:val="hybridMultilevel"/>
    <w:tmpl w:val="6908B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8167BA"/>
    <w:multiLevelType w:val="hybridMultilevel"/>
    <w:tmpl w:val="509C0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ED08F4"/>
    <w:multiLevelType w:val="hybridMultilevel"/>
    <w:tmpl w:val="5DFC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E6FC5"/>
    <w:multiLevelType w:val="hybridMultilevel"/>
    <w:tmpl w:val="5054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B16A9"/>
    <w:multiLevelType w:val="hybridMultilevel"/>
    <w:tmpl w:val="2D8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26FB1"/>
    <w:multiLevelType w:val="hybridMultilevel"/>
    <w:tmpl w:val="2A7091BE"/>
    <w:lvl w:ilvl="0" w:tplc="67B874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B5065"/>
    <w:multiLevelType w:val="hybridMultilevel"/>
    <w:tmpl w:val="FEAA5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000683"/>
    <w:multiLevelType w:val="hybridMultilevel"/>
    <w:tmpl w:val="16B45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6174550">
    <w:abstractNumId w:val="7"/>
  </w:num>
  <w:num w:numId="2" w16cid:durableId="487984484">
    <w:abstractNumId w:val="7"/>
  </w:num>
  <w:num w:numId="3" w16cid:durableId="2008710630">
    <w:abstractNumId w:val="8"/>
  </w:num>
  <w:num w:numId="4" w16cid:durableId="691803197">
    <w:abstractNumId w:val="2"/>
  </w:num>
  <w:num w:numId="5" w16cid:durableId="1868592062">
    <w:abstractNumId w:val="19"/>
  </w:num>
  <w:num w:numId="6" w16cid:durableId="459418145">
    <w:abstractNumId w:val="16"/>
  </w:num>
  <w:num w:numId="7" w16cid:durableId="1093014840">
    <w:abstractNumId w:val="9"/>
  </w:num>
  <w:num w:numId="8" w16cid:durableId="2115398467">
    <w:abstractNumId w:val="20"/>
  </w:num>
  <w:num w:numId="9" w16cid:durableId="1556502490">
    <w:abstractNumId w:val="13"/>
  </w:num>
  <w:num w:numId="10" w16cid:durableId="1333608954">
    <w:abstractNumId w:val="18"/>
  </w:num>
  <w:num w:numId="11" w16cid:durableId="1134564842">
    <w:abstractNumId w:val="23"/>
  </w:num>
  <w:num w:numId="12" w16cid:durableId="1885285225">
    <w:abstractNumId w:val="24"/>
  </w:num>
  <w:num w:numId="13" w16cid:durableId="693650981">
    <w:abstractNumId w:val="17"/>
  </w:num>
  <w:num w:numId="14" w16cid:durableId="1234045115">
    <w:abstractNumId w:val="15"/>
  </w:num>
  <w:num w:numId="15" w16cid:durableId="934509819">
    <w:abstractNumId w:val="10"/>
  </w:num>
  <w:num w:numId="16" w16cid:durableId="623969062">
    <w:abstractNumId w:val="21"/>
  </w:num>
  <w:num w:numId="17" w16cid:durableId="400490724">
    <w:abstractNumId w:val="5"/>
  </w:num>
  <w:num w:numId="18" w16cid:durableId="166796831">
    <w:abstractNumId w:val="22"/>
  </w:num>
  <w:num w:numId="19" w16cid:durableId="917635181">
    <w:abstractNumId w:val="1"/>
  </w:num>
  <w:num w:numId="20" w16cid:durableId="1757750381">
    <w:abstractNumId w:val="11"/>
  </w:num>
  <w:num w:numId="21" w16cid:durableId="1302345000">
    <w:abstractNumId w:val="12"/>
  </w:num>
  <w:num w:numId="22" w16cid:durableId="290094000">
    <w:abstractNumId w:val="14"/>
  </w:num>
  <w:num w:numId="23" w16cid:durableId="1180319876">
    <w:abstractNumId w:val="6"/>
  </w:num>
  <w:num w:numId="24" w16cid:durableId="773599634">
    <w:abstractNumId w:val="4"/>
  </w:num>
  <w:num w:numId="25" w16cid:durableId="977760546">
    <w:abstractNumId w:val="0"/>
  </w:num>
  <w:num w:numId="26" w16cid:durableId="2128044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3D"/>
    <w:rsid w:val="000012B2"/>
    <w:rsid w:val="00007745"/>
    <w:rsid w:val="00010774"/>
    <w:rsid w:val="000119EB"/>
    <w:rsid w:val="00012029"/>
    <w:rsid w:val="00014AE5"/>
    <w:rsid w:val="000164AF"/>
    <w:rsid w:val="000207FA"/>
    <w:rsid w:val="00026428"/>
    <w:rsid w:val="000278D8"/>
    <w:rsid w:val="00030E81"/>
    <w:rsid w:val="00031E00"/>
    <w:rsid w:val="00032E80"/>
    <w:rsid w:val="0003535B"/>
    <w:rsid w:val="00035ED2"/>
    <w:rsid w:val="00036F4F"/>
    <w:rsid w:val="00041D22"/>
    <w:rsid w:val="00042441"/>
    <w:rsid w:val="00045A00"/>
    <w:rsid w:val="00047571"/>
    <w:rsid w:val="00054F51"/>
    <w:rsid w:val="0005531B"/>
    <w:rsid w:val="00056604"/>
    <w:rsid w:val="00064356"/>
    <w:rsid w:val="00064A6E"/>
    <w:rsid w:val="000670FD"/>
    <w:rsid w:val="000715DD"/>
    <w:rsid w:val="00072871"/>
    <w:rsid w:val="00072F62"/>
    <w:rsid w:val="0007444B"/>
    <w:rsid w:val="000748AE"/>
    <w:rsid w:val="00075777"/>
    <w:rsid w:val="00077604"/>
    <w:rsid w:val="00080062"/>
    <w:rsid w:val="0008330D"/>
    <w:rsid w:val="000871B1"/>
    <w:rsid w:val="0009662D"/>
    <w:rsid w:val="000A37BE"/>
    <w:rsid w:val="000A3D48"/>
    <w:rsid w:val="000B448F"/>
    <w:rsid w:val="000C2876"/>
    <w:rsid w:val="000C34CB"/>
    <w:rsid w:val="000C5F74"/>
    <w:rsid w:val="000C7C0F"/>
    <w:rsid w:val="000E0C65"/>
    <w:rsid w:val="000E14FF"/>
    <w:rsid w:val="000E6239"/>
    <w:rsid w:val="000F25D7"/>
    <w:rsid w:val="000F2681"/>
    <w:rsid w:val="000F3654"/>
    <w:rsid w:val="000F37DB"/>
    <w:rsid w:val="00100072"/>
    <w:rsid w:val="00106FE7"/>
    <w:rsid w:val="00110F6E"/>
    <w:rsid w:val="00122588"/>
    <w:rsid w:val="00126918"/>
    <w:rsid w:val="00131D28"/>
    <w:rsid w:val="001326D7"/>
    <w:rsid w:val="00132CEE"/>
    <w:rsid w:val="00133D14"/>
    <w:rsid w:val="00136164"/>
    <w:rsid w:val="0013644F"/>
    <w:rsid w:val="00137F40"/>
    <w:rsid w:val="001422CE"/>
    <w:rsid w:val="00143E71"/>
    <w:rsid w:val="00146BE6"/>
    <w:rsid w:val="00153399"/>
    <w:rsid w:val="001563C5"/>
    <w:rsid w:val="0016323A"/>
    <w:rsid w:val="001670D7"/>
    <w:rsid w:val="001673B2"/>
    <w:rsid w:val="00171312"/>
    <w:rsid w:val="001721FB"/>
    <w:rsid w:val="00172A6F"/>
    <w:rsid w:val="00174FD8"/>
    <w:rsid w:val="00176A96"/>
    <w:rsid w:val="00177ED2"/>
    <w:rsid w:val="00180306"/>
    <w:rsid w:val="00180752"/>
    <w:rsid w:val="001852C8"/>
    <w:rsid w:val="001A1292"/>
    <w:rsid w:val="001A51C2"/>
    <w:rsid w:val="001A65CE"/>
    <w:rsid w:val="001A6C47"/>
    <w:rsid w:val="001A7794"/>
    <w:rsid w:val="001A7BDA"/>
    <w:rsid w:val="001B148F"/>
    <w:rsid w:val="001B5335"/>
    <w:rsid w:val="001B62CF"/>
    <w:rsid w:val="001C09F5"/>
    <w:rsid w:val="001C33AF"/>
    <w:rsid w:val="001C39FB"/>
    <w:rsid w:val="001C70A9"/>
    <w:rsid w:val="001E05F1"/>
    <w:rsid w:val="001E5245"/>
    <w:rsid w:val="001E5C5D"/>
    <w:rsid w:val="001E7BA4"/>
    <w:rsid w:val="001F0232"/>
    <w:rsid w:val="001F2725"/>
    <w:rsid w:val="001F506A"/>
    <w:rsid w:val="001F5538"/>
    <w:rsid w:val="002010D5"/>
    <w:rsid w:val="0020589B"/>
    <w:rsid w:val="00210235"/>
    <w:rsid w:val="00212F34"/>
    <w:rsid w:val="0021522E"/>
    <w:rsid w:val="0022354A"/>
    <w:rsid w:val="00224E6F"/>
    <w:rsid w:val="002252A0"/>
    <w:rsid w:val="00225529"/>
    <w:rsid w:val="00225E26"/>
    <w:rsid w:val="00226FDF"/>
    <w:rsid w:val="00232724"/>
    <w:rsid w:val="002368BC"/>
    <w:rsid w:val="00236EF9"/>
    <w:rsid w:val="002403CD"/>
    <w:rsid w:val="002404D5"/>
    <w:rsid w:val="00245197"/>
    <w:rsid w:val="00245A02"/>
    <w:rsid w:val="00245BC6"/>
    <w:rsid w:val="00251D88"/>
    <w:rsid w:val="00252803"/>
    <w:rsid w:val="002531C7"/>
    <w:rsid w:val="0025614F"/>
    <w:rsid w:val="00256B31"/>
    <w:rsid w:val="0025755B"/>
    <w:rsid w:val="002637A1"/>
    <w:rsid w:val="00266F28"/>
    <w:rsid w:val="00271A00"/>
    <w:rsid w:val="00272C27"/>
    <w:rsid w:val="00280B63"/>
    <w:rsid w:val="0028262C"/>
    <w:rsid w:val="00283A77"/>
    <w:rsid w:val="002840AF"/>
    <w:rsid w:val="00285ECC"/>
    <w:rsid w:val="00290AA6"/>
    <w:rsid w:val="00291E35"/>
    <w:rsid w:val="00291FBF"/>
    <w:rsid w:val="002A23DC"/>
    <w:rsid w:val="002A2D59"/>
    <w:rsid w:val="002A310E"/>
    <w:rsid w:val="002A398E"/>
    <w:rsid w:val="002A541A"/>
    <w:rsid w:val="002A5D66"/>
    <w:rsid w:val="002B1BBE"/>
    <w:rsid w:val="002B2D6F"/>
    <w:rsid w:val="002B5ADD"/>
    <w:rsid w:val="002B600E"/>
    <w:rsid w:val="002C2708"/>
    <w:rsid w:val="002C6E32"/>
    <w:rsid w:val="002C7FE4"/>
    <w:rsid w:val="002D0FC8"/>
    <w:rsid w:val="002D1C97"/>
    <w:rsid w:val="002D2238"/>
    <w:rsid w:val="002D576C"/>
    <w:rsid w:val="002D649D"/>
    <w:rsid w:val="002E34E3"/>
    <w:rsid w:val="002E5565"/>
    <w:rsid w:val="002F3B1D"/>
    <w:rsid w:val="002F3F88"/>
    <w:rsid w:val="003069C8"/>
    <w:rsid w:val="00312905"/>
    <w:rsid w:val="0031292F"/>
    <w:rsid w:val="0031294F"/>
    <w:rsid w:val="0031422A"/>
    <w:rsid w:val="00316952"/>
    <w:rsid w:val="0032550A"/>
    <w:rsid w:val="00330206"/>
    <w:rsid w:val="0033062D"/>
    <w:rsid w:val="003321E2"/>
    <w:rsid w:val="00332974"/>
    <w:rsid w:val="00334020"/>
    <w:rsid w:val="003363A9"/>
    <w:rsid w:val="0034002E"/>
    <w:rsid w:val="003417A0"/>
    <w:rsid w:val="003446C0"/>
    <w:rsid w:val="0035110E"/>
    <w:rsid w:val="003513BB"/>
    <w:rsid w:val="00352E7F"/>
    <w:rsid w:val="00355F9C"/>
    <w:rsid w:val="003560B8"/>
    <w:rsid w:val="00364270"/>
    <w:rsid w:val="003669C9"/>
    <w:rsid w:val="00370D45"/>
    <w:rsid w:val="00371443"/>
    <w:rsid w:val="00377A9D"/>
    <w:rsid w:val="00381EDE"/>
    <w:rsid w:val="00382813"/>
    <w:rsid w:val="00386DEA"/>
    <w:rsid w:val="0039384A"/>
    <w:rsid w:val="00395B2E"/>
    <w:rsid w:val="003A0B74"/>
    <w:rsid w:val="003A12C1"/>
    <w:rsid w:val="003A3AB1"/>
    <w:rsid w:val="003A479C"/>
    <w:rsid w:val="003B257E"/>
    <w:rsid w:val="003B715F"/>
    <w:rsid w:val="003C2D79"/>
    <w:rsid w:val="003C6735"/>
    <w:rsid w:val="003D3650"/>
    <w:rsid w:val="003D5CC7"/>
    <w:rsid w:val="003D76D6"/>
    <w:rsid w:val="003D7B05"/>
    <w:rsid w:val="003D7B41"/>
    <w:rsid w:val="003D7FF3"/>
    <w:rsid w:val="003E0C5F"/>
    <w:rsid w:val="003E13DC"/>
    <w:rsid w:val="003E39A3"/>
    <w:rsid w:val="003E3D36"/>
    <w:rsid w:val="003E5BF4"/>
    <w:rsid w:val="003E7746"/>
    <w:rsid w:val="003F0DFF"/>
    <w:rsid w:val="003F0E80"/>
    <w:rsid w:val="003F677F"/>
    <w:rsid w:val="003F6E5E"/>
    <w:rsid w:val="003F7341"/>
    <w:rsid w:val="003F7441"/>
    <w:rsid w:val="004035BF"/>
    <w:rsid w:val="004043C1"/>
    <w:rsid w:val="00407095"/>
    <w:rsid w:val="004102E0"/>
    <w:rsid w:val="00415994"/>
    <w:rsid w:val="00417210"/>
    <w:rsid w:val="004201D2"/>
    <w:rsid w:val="004226D3"/>
    <w:rsid w:val="00424245"/>
    <w:rsid w:val="00425711"/>
    <w:rsid w:val="004261B2"/>
    <w:rsid w:val="0042728A"/>
    <w:rsid w:val="0043067C"/>
    <w:rsid w:val="00431B7B"/>
    <w:rsid w:val="004364AD"/>
    <w:rsid w:val="004368B3"/>
    <w:rsid w:val="00436BBC"/>
    <w:rsid w:val="00445057"/>
    <w:rsid w:val="00446C35"/>
    <w:rsid w:val="00451737"/>
    <w:rsid w:val="00454CFF"/>
    <w:rsid w:val="00455AB5"/>
    <w:rsid w:val="00461D49"/>
    <w:rsid w:val="00463D81"/>
    <w:rsid w:val="004662C2"/>
    <w:rsid w:val="0046790D"/>
    <w:rsid w:val="0047340C"/>
    <w:rsid w:val="00477636"/>
    <w:rsid w:val="00482231"/>
    <w:rsid w:val="00483D7D"/>
    <w:rsid w:val="00484CC7"/>
    <w:rsid w:val="00485795"/>
    <w:rsid w:val="00491526"/>
    <w:rsid w:val="00492E2D"/>
    <w:rsid w:val="00493A43"/>
    <w:rsid w:val="00494636"/>
    <w:rsid w:val="004A2B3D"/>
    <w:rsid w:val="004B0110"/>
    <w:rsid w:val="004B264D"/>
    <w:rsid w:val="004B4AD0"/>
    <w:rsid w:val="004D3CB6"/>
    <w:rsid w:val="004E400A"/>
    <w:rsid w:val="004F1ACD"/>
    <w:rsid w:val="004F486F"/>
    <w:rsid w:val="004F7AB9"/>
    <w:rsid w:val="00500D80"/>
    <w:rsid w:val="00502077"/>
    <w:rsid w:val="00504B04"/>
    <w:rsid w:val="005059E7"/>
    <w:rsid w:val="00506EB1"/>
    <w:rsid w:val="00506EB8"/>
    <w:rsid w:val="0050798D"/>
    <w:rsid w:val="00507CD9"/>
    <w:rsid w:val="0051289F"/>
    <w:rsid w:val="00513EF5"/>
    <w:rsid w:val="005211E5"/>
    <w:rsid w:val="0053166E"/>
    <w:rsid w:val="00535503"/>
    <w:rsid w:val="00540497"/>
    <w:rsid w:val="00552651"/>
    <w:rsid w:val="005529B1"/>
    <w:rsid w:val="00555584"/>
    <w:rsid w:val="0055791A"/>
    <w:rsid w:val="00560FB8"/>
    <w:rsid w:val="00561BE0"/>
    <w:rsid w:val="0056326E"/>
    <w:rsid w:val="00571C61"/>
    <w:rsid w:val="00574B79"/>
    <w:rsid w:val="005751A8"/>
    <w:rsid w:val="00576A39"/>
    <w:rsid w:val="00581422"/>
    <w:rsid w:val="00581A0B"/>
    <w:rsid w:val="00582958"/>
    <w:rsid w:val="00582BA9"/>
    <w:rsid w:val="00583FBD"/>
    <w:rsid w:val="005840CF"/>
    <w:rsid w:val="00584630"/>
    <w:rsid w:val="005852C4"/>
    <w:rsid w:val="005860E5"/>
    <w:rsid w:val="00586DB2"/>
    <w:rsid w:val="00592B2C"/>
    <w:rsid w:val="005942F6"/>
    <w:rsid w:val="0059652C"/>
    <w:rsid w:val="005968C5"/>
    <w:rsid w:val="005968DF"/>
    <w:rsid w:val="00597F3C"/>
    <w:rsid w:val="005A0FE4"/>
    <w:rsid w:val="005A4FE8"/>
    <w:rsid w:val="005B0435"/>
    <w:rsid w:val="005B0B76"/>
    <w:rsid w:val="005B4085"/>
    <w:rsid w:val="005B4162"/>
    <w:rsid w:val="005B5A85"/>
    <w:rsid w:val="005B7B8A"/>
    <w:rsid w:val="005C01A1"/>
    <w:rsid w:val="005C117B"/>
    <w:rsid w:val="005C18C8"/>
    <w:rsid w:val="005C7EE5"/>
    <w:rsid w:val="005D7D39"/>
    <w:rsid w:val="005E2596"/>
    <w:rsid w:val="005E26E5"/>
    <w:rsid w:val="005E4FFE"/>
    <w:rsid w:val="005E5560"/>
    <w:rsid w:val="005E6D63"/>
    <w:rsid w:val="005F072C"/>
    <w:rsid w:val="005F3133"/>
    <w:rsid w:val="005F3317"/>
    <w:rsid w:val="00604722"/>
    <w:rsid w:val="00610093"/>
    <w:rsid w:val="0061061E"/>
    <w:rsid w:val="0061087E"/>
    <w:rsid w:val="006109D1"/>
    <w:rsid w:val="00610A26"/>
    <w:rsid w:val="00611A54"/>
    <w:rsid w:val="00611CD6"/>
    <w:rsid w:val="006120AE"/>
    <w:rsid w:val="0061237B"/>
    <w:rsid w:val="00613FDE"/>
    <w:rsid w:val="006165AE"/>
    <w:rsid w:val="00622400"/>
    <w:rsid w:val="0062333D"/>
    <w:rsid w:val="00636CFB"/>
    <w:rsid w:val="00637167"/>
    <w:rsid w:val="006425AA"/>
    <w:rsid w:val="00646559"/>
    <w:rsid w:val="00654AE7"/>
    <w:rsid w:val="00654BA7"/>
    <w:rsid w:val="0066109D"/>
    <w:rsid w:val="006637BA"/>
    <w:rsid w:val="00666820"/>
    <w:rsid w:val="006717E0"/>
    <w:rsid w:val="0067286D"/>
    <w:rsid w:val="00672DE1"/>
    <w:rsid w:val="00673D19"/>
    <w:rsid w:val="0067607D"/>
    <w:rsid w:val="00676D53"/>
    <w:rsid w:val="00682FB9"/>
    <w:rsid w:val="00684BF0"/>
    <w:rsid w:val="00685049"/>
    <w:rsid w:val="00686048"/>
    <w:rsid w:val="00690AFA"/>
    <w:rsid w:val="0069147A"/>
    <w:rsid w:val="00694087"/>
    <w:rsid w:val="00695D48"/>
    <w:rsid w:val="00696B30"/>
    <w:rsid w:val="00697E02"/>
    <w:rsid w:val="006A0537"/>
    <w:rsid w:val="006A2883"/>
    <w:rsid w:val="006A7841"/>
    <w:rsid w:val="006B1DB0"/>
    <w:rsid w:val="006B1F9D"/>
    <w:rsid w:val="006B2293"/>
    <w:rsid w:val="006B49BA"/>
    <w:rsid w:val="006B6949"/>
    <w:rsid w:val="006C497A"/>
    <w:rsid w:val="006C4EB0"/>
    <w:rsid w:val="006C5B8A"/>
    <w:rsid w:val="006C630D"/>
    <w:rsid w:val="006C6C08"/>
    <w:rsid w:val="006D188A"/>
    <w:rsid w:val="006D19EA"/>
    <w:rsid w:val="006D75C6"/>
    <w:rsid w:val="006D78A9"/>
    <w:rsid w:val="006E0151"/>
    <w:rsid w:val="006E3497"/>
    <w:rsid w:val="006E35B7"/>
    <w:rsid w:val="006E3C52"/>
    <w:rsid w:val="006E41E0"/>
    <w:rsid w:val="006E65A9"/>
    <w:rsid w:val="006E6C01"/>
    <w:rsid w:val="006F5C46"/>
    <w:rsid w:val="006F77D0"/>
    <w:rsid w:val="00700A49"/>
    <w:rsid w:val="00701001"/>
    <w:rsid w:val="00704934"/>
    <w:rsid w:val="007161D6"/>
    <w:rsid w:val="00717109"/>
    <w:rsid w:val="00717C4F"/>
    <w:rsid w:val="00725AEC"/>
    <w:rsid w:val="00726EF7"/>
    <w:rsid w:val="0072739C"/>
    <w:rsid w:val="00727B4A"/>
    <w:rsid w:val="007325F9"/>
    <w:rsid w:val="00732695"/>
    <w:rsid w:val="00732C0E"/>
    <w:rsid w:val="007330A7"/>
    <w:rsid w:val="00736449"/>
    <w:rsid w:val="007376C0"/>
    <w:rsid w:val="007401A2"/>
    <w:rsid w:val="007447AB"/>
    <w:rsid w:val="00745B3D"/>
    <w:rsid w:val="00746077"/>
    <w:rsid w:val="00750918"/>
    <w:rsid w:val="00752254"/>
    <w:rsid w:val="007617D2"/>
    <w:rsid w:val="00763658"/>
    <w:rsid w:val="0076490F"/>
    <w:rsid w:val="00767A5E"/>
    <w:rsid w:val="00776361"/>
    <w:rsid w:val="007805B3"/>
    <w:rsid w:val="00780644"/>
    <w:rsid w:val="00786C30"/>
    <w:rsid w:val="007938C2"/>
    <w:rsid w:val="007A1882"/>
    <w:rsid w:val="007A6441"/>
    <w:rsid w:val="007A7397"/>
    <w:rsid w:val="007A7AB4"/>
    <w:rsid w:val="007B050A"/>
    <w:rsid w:val="007B2BB6"/>
    <w:rsid w:val="007C2BC8"/>
    <w:rsid w:val="007C47C9"/>
    <w:rsid w:val="007C7716"/>
    <w:rsid w:val="007D26BE"/>
    <w:rsid w:val="007D48A6"/>
    <w:rsid w:val="007D50D9"/>
    <w:rsid w:val="007D7850"/>
    <w:rsid w:val="007E1520"/>
    <w:rsid w:val="007F4171"/>
    <w:rsid w:val="007F6C41"/>
    <w:rsid w:val="00801091"/>
    <w:rsid w:val="00801499"/>
    <w:rsid w:val="00801A0D"/>
    <w:rsid w:val="00802DBA"/>
    <w:rsid w:val="00804F26"/>
    <w:rsid w:val="0081136A"/>
    <w:rsid w:val="008144DA"/>
    <w:rsid w:val="008153AE"/>
    <w:rsid w:val="008163B3"/>
    <w:rsid w:val="008170C7"/>
    <w:rsid w:val="008307EF"/>
    <w:rsid w:val="00830856"/>
    <w:rsid w:val="00830A28"/>
    <w:rsid w:val="00832AB1"/>
    <w:rsid w:val="008346CD"/>
    <w:rsid w:val="00834A6B"/>
    <w:rsid w:val="0083517A"/>
    <w:rsid w:val="00837FE9"/>
    <w:rsid w:val="00841ED9"/>
    <w:rsid w:val="00850C42"/>
    <w:rsid w:val="00851C25"/>
    <w:rsid w:val="008525AD"/>
    <w:rsid w:val="00852C02"/>
    <w:rsid w:val="008710FD"/>
    <w:rsid w:val="008717BD"/>
    <w:rsid w:val="00871BD7"/>
    <w:rsid w:val="00877C68"/>
    <w:rsid w:val="00881811"/>
    <w:rsid w:val="00882504"/>
    <w:rsid w:val="00884515"/>
    <w:rsid w:val="008847B5"/>
    <w:rsid w:val="00885A78"/>
    <w:rsid w:val="0088683C"/>
    <w:rsid w:val="0089224B"/>
    <w:rsid w:val="0089500F"/>
    <w:rsid w:val="00895316"/>
    <w:rsid w:val="00896B16"/>
    <w:rsid w:val="008A0604"/>
    <w:rsid w:val="008A330B"/>
    <w:rsid w:val="008A38A8"/>
    <w:rsid w:val="008A3EC4"/>
    <w:rsid w:val="008A6060"/>
    <w:rsid w:val="008A6AFB"/>
    <w:rsid w:val="008B071E"/>
    <w:rsid w:val="008C6D86"/>
    <w:rsid w:val="008C7ED3"/>
    <w:rsid w:val="008D0561"/>
    <w:rsid w:val="008D0D1D"/>
    <w:rsid w:val="008D3B5B"/>
    <w:rsid w:val="008E4FE2"/>
    <w:rsid w:val="008E6631"/>
    <w:rsid w:val="008F2636"/>
    <w:rsid w:val="008F27EB"/>
    <w:rsid w:val="008F31DC"/>
    <w:rsid w:val="008F482D"/>
    <w:rsid w:val="008F7D78"/>
    <w:rsid w:val="00900464"/>
    <w:rsid w:val="00900535"/>
    <w:rsid w:val="00900B74"/>
    <w:rsid w:val="00904754"/>
    <w:rsid w:val="009055CD"/>
    <w:rsid w:val="00913802"/>
    <w:rsid w:val="00916CA8"/>
    <w:rsid w:val="0091760C"/>
    <w:rsid w:val="00920555"/>
    <w:rsid w:val="009230C1"/>
    <w:rsid w:val="009242D8"/>
    <w:rsid w:val="00924A0C"/>
    <w:rsid w:val="00926568"/>
    <w:rsid w:val="00927044"/>
    <w:rsid w:val="00933CA1"/>
    <w:rsid w:val="00934FD5"/>
    <w:rsid w:val="0093508C"/>
    <w:rsid w:val="00935D70"/>
    <w:rsid w:val="00941799"/>
    <w:rsid w:val="0094489D"/>
    <w:rsid w:val="00944DED"/>
    <w:rsid w:val="0094793E"/>
    <w:rsid w:val="00954041"/>
    <w:rsid w:val="00955D02"/>
    <w:rsid w:val="009569D5"/>
    <w:rsid w:val="00956D99"/>
    <w:rsid w:val="00957C7F"/>
    <w:rsid w:val="00960000"/>
    <w:rsid w:val="0096636F"/>
    <w:rsid w:val="009668C1"/>
    <w:rsid w:val="00970A45"/>
    <w:rsid w:val="00972FE5"/>
    <w:rsid w:val="00973C39"/>
    <w:rsid w:val="00975D31"/>
    <w:rsid w:val="00983600"/>
    <w:rsid w:val="00983E2E"/>
    <w:rsid w:val="009905CD"/>
    <w:rsid w:val="00991E04"/>
    <w:rsid w:val="00991E7D"/>
    <w:rsid w:val="0099349B"/>
    <w:rsid w:val="00994BED"/>
    <w:rsid w:val="009979E2"/>
    <w:rsid w:val="00997E24"/>
    <w:rsid w:val="009A11F2"/>
    <w:rsid w:val="009A1E59"/>
    <w:rsid w:val="009A4F93"/>
    <w:rsid w:val="009A57D2"/>
    <w:rsid w:val="009A5FBD"/>
    <w:rsid w:val="009B21A7"/>
    <w:rsid w:val="009B42C3"/>
    <w:rsid w:val="009B5461"/>
    <w:rsid w:val="009B77F8"/>
    <w:rsid w:val="009B7C9C"/>
    <w:rsid w:val="009C5B32"/>
    <w:rsid w:val="009D0176"/>
    <w:rsid w:val="009D04BC"/>
    <w:rsid w:val="009D1BC3"/>
    <w:rsid w:val="009D44AE"/>
    <w:rsid w:val="009E3628"/>
    <w:rsid w:val="009E567B"/>
    <w:rsid w:val="009E5D12"/>
    <w:rsid w:val="009E6FDA"/>
    <w:rsid w:val="009E7C71"/>
    <w:rsid w:val="009F02AA"/>
    <w:rsid w:val="009F2D97"/>
    <w:rsid w:val="009F549C"/>
    <w:rsid w:val="00A0017C"/>
    <w:rsid w:val="00A00CA6"/>
    <w:rsid w:val="00A012EE"/>
    <w:rsid w:val="00A014B2"/>
    <w:rsid w:val="00A02866"/>
    <w:rsid w:val="00A04123"/>
    <w:rsid w:val="00A10292"/>
    <w:rsid w:val="00A12D07"/>
    <w:rsid w:val="00A13A2E"/>
    <w:rsid w:val="00A201BA"/>
    <w:rsid w:val="00A216E3"/>
    <w:rsid w:val="00A22E7B"/>
    <w:rsid w:val="00A2320B"/>
    <w:rsid w:val="00A264C1"/>
    <w:rsid w:val="00A30A22"/>
    <w:rsid w:val="00A34C55"/>
    <w:rsid w:val="00A350EC"/>
    <w:rsid w:val="00A37310"/>
    <w:rsid w:val="00A408AB"/>
    <w:rsid w:val="00A41D2E"/>
    <w:rsid w:val="00A41D9A"/>
    <w:rsid w:val="00A42E5C"/>
    <w:rsid w:val="00A44A93"/>
    <w:rsid w:val="00A55B28"/>
    <w:rsid w:val="00A60706"/>
    <w:rsid w:val="00A60E7D"/>
    <w:rsid w:val="00A64DB5"/>
    <w:rsid w:val="00A66BE2"/>
    <w:rsid w:val="00A70E15"/>
    <w:rsid w:val="00A71FA6"/>
    <w:rsid w:val="00A74772"/>
    <w:rsid w:val="00A80EC2"/>
    <w:rsid w:val="00A819D1"/>
    <w:rsid w:val="00A833C1"/>
    <w:rsid w:val="00A8515D"/>
    <w:rsid w:val="00A8675F"/>
    <w:rsid w:val="00A9010A"/>
    <w:rsid w:val="00A96815"/>
    <w:rsid w:val="00AA0569"/>
    <w:rsid w:val="00AA06B6"/>
    <w:rsid w:val="00AA0B3B"/>
    <w:rsid w:val="00AA31C5"/>
    <w:rsid w:val="00AA4BDA"/>
    <w:rsid w:val="00AA7774"/>
    <w:rsid w:val="00AB1436"/>
    <w:rsid w:val="00AB1702"/>
    <w:rsid w:val="00AB1F63"/>
    <w:rsid w:val="00AB6ACA"/>
    <w:rsid w:val="00AC2C3D"/>
    <w:rsid w:val="00AC4EB9"/>
    <w:rsid w:val="00AC6DF0"/>
    <w:rsid w:val="00AC7218"/>
    <w:rsid w:val="00AC7C16"/>
    <w:rsid w:val="00AD00AC"/>
    <w:rsid w:val="00AD2743"/>
    <w:rsid w:val="00AD52FA"/>
    <w:rsid w:val="00AD56FE"/>
    <w:rsid w:val="00AE181D"/>
    <w:rsid w:val="00AE1E33"/>
    <w:rsid w:val="00AE6AAB"/>
    <w:rsid w:val="00AF2470"/>
    <w:rsid w:val="00AF444F"/>
    <w:rsid w:val="00AF72E2"/>
    <w:rsid w:val="00AF76B9"/>
    <w:rsid w:val="00AF7E29"/>
    <w:rsid w:val="00B00C2B"/>
    <w:rsid w:val="00B02E70"/>
    <w:rsid w:val="00B03BB2"/>
    <w:rsid w:val="00B10058"/>
    <w:rsid w:val="00B10153"/>
    <w:rsid w:val="00B1219E"/>
    <w:rsid w:val="00B17383"/>
    <w:rsid w:val="00B17DB4"/>
    <w:rsid w:val="00B30927"/>
    <w:rsid w:val="00B3556B"/>
    <w:rsid w:val="00B3598E"/>
    <w:rsid w:val="00B37376"/>
    <w:rsid w:val="00B44350"/>
    <w:rsid w:val="00B4460D"/>
    <w:rsid w:val="00B44A1A"/>
    <w:rsid w:val="00B44C49"/>
    <w:rsid w:val="00B45CE7"/>
    <w:rsid w:val="00B50206"/>
    <w:rsid w:val="00B54887"/>
    <w:rsid w:val="00B67584"/>
    <w:rsid w:val="00B67742"/>
    <w:rsid w:val="00B70F6F"/>
    <w:rsid w:val="00B71733"/>
    <w:rsid w:val="00B741BF"/>
    <w:rsid w:val="00B774DE"/>
    <w:rsid w:val="00B80320"/>
    <w:rsid w:val="00B832DA"/>
    <w:rsid w:val="00B84BC6"/>
    <w:rsid w:val="00B85164"/>
    <w:rsid w:val="00B90D6B"/>
    <w:rsid w:val="00B92BA5"/>
    <w:rsid w:val="00B97208"/>
    <w:rsid w:val="00BA2AAD"/>
    <w:rsid w:val="00BA2E82"/>
    <w:rsid w:val="00BA7254"/>
    <w:rsid w:val="00BB08AA"/>
    <w:rsid w:val="00BB42AA"/>
    <w:rsid w:val="00BC268C"/>
    <w:rsid w:val="00BC7798"/>
    <w:rsid w:val="00BD381B"/>
    <w:rsid w:val="00BD3EA2"/>
    <w:rsid w:val="00BD4C67"/>
    <w:rsid w:val="00BD6AAD"/>
    <w:rsid w:val="00BE2A40"/>
    <w:rsid w:val="00BE402A"/>
    <w:rsid w:val="00BE6C4F"/>
    <w:rsid w:val="00BE7D17"/>
    <w:rsid w:val="00BF112C"/>
    <w:rsid w:val="00BF3B72"/>
    <w:rsid w:val="00BF51BF"/>
    <w:rsid w:val="00BF6556"/>
    <w:rsid w:val="00BF6773"/>
    <w:rsid w:val="00BF68AC"/>
    <w:rsid w:val="00C00150"/>
    <w:rsid w:val="00C00ABC"/>
    <w:rsid w:val="00C010C4"/>
    <w:rsid w:val="00C04068"/>
    <w:rsid w:val="00C0693D"/>
    <w:rsid w:val="00C12039"/>
    <w:rsid w:val="00C12C08"/>
    <w:rsid w:val="00C15138"/>
    <w:rsid w:val="00C1581E"/>
    <w:rsid w:val="00C20BE0"/>
    <w:rsid w:val="00C2122D"/>
    <w:rsid w:val="00C21573"/>
    <w:rsid w:val="00C219A8"/>
    <w:rsid w:val="00C22441"/>
    <w:rsid w:val="00C24844"/>
    <w:rsid w:val="00C26741"/>
    <w:rsid w:val="00C307C0"/>
    <w:rsid w:val="00C30B51"/>
    <w:rsid w:val="00C36FBC"/>
    <w:rsid w:val="00C41D4C"/>
    <w:rsid w:val="00C424FA"/>
    <w:rsid w:val="00C43BB9"/>
    <w:rsid w:val="00C45855"/>
    <w:rsid w:val="00C4647F"/>
    <w:rsid w:val="00C46991"/>
    <w:rsid w:val="00C47133"/>
    <w:rsid w:val="00C51BA3"/>
    <w:rsid w:val="00C55B1F"/>
    <w:rsid w:val="00C61FDF"/>
    <w:rsid w:val="00C63E3E"/>
    <w:rsid w:val="00C64A1B"/>
    <w:rsid w:val="00C66F08"/>
    <w:rsid w:val="00C672F6"/>
    <w:rsid w:val="00C67538"/>
    <w:rsid w:val="00C70001"/>
    <w:rsid w:val="00C73583"/>
    <w:rsid w:val="00C7502B"/>
    <w:rsid w:val="00C7570E"/>
    <w:rsid w:val="00C75977"/>
    <w:rsid w:val="00C80469"/>
    <w:rsid w:val="00C857EF"/>
    <w:rsid w:val="00C901B5"/>
    <w:rsid w:val="00C94516"/>
    <w:rsid w:val="00C97D6C"/>
    <w:rsid w:val="00CA056B"/>
    <w:rsid w:val="00CA0A6B"/>
    <w:rsid w:val="00CA7997"/>
    <w:rsid w:val="00CB37BD"/>
    <w:rsid w:val="00CB5656"/>
    <w:rsid w:val="00CB5D1C"/>
    <w:rsid w:val="00CC62BF"/>
    <w:rsid w:val="00CD020D"/>
    <w:rsid w:val="00CD232A"/>
    <w:rsid w:val="00CD34D3"/>
    <w:rsid w:val="00CD4F6D"/>
    <w:rsid w:val="00CD620A"/>
    <w:rsid w:val="00CD7179"/>
    <w:rsid w:val="00CE2BB3"/>
    <w:rsid w:val="00CF1776"/>
    <w:rsid w:val="00CF2869"/>
    <w:rsid w:val="00CF51AC"/>
    <w:rsid w:val="00CF7A03"/>
    <w:rsid w:val="00D00781"/>
    <w:rsid w:val="00D00A2D"/>
    <w:rsid w:val="00D131D5"/>
    <w:rsid w:val="00D143FE"/>
    <w:rsid w:val="00D16EF6"/>
    <w:rsid w:val="00D17FC9"/>
    <w:rsid w:val="00D2026E"/>
    <w:rsid w:val="00D22C48"/>
    <w:rsid w:val="00D26376"/>
    <w:rsid w:val="00D267A4"/>
    <w:rsid w:val="00D31426"/>
    <w:rsid w:val="00D351EE"/>
    <w:rsid w:val="00D354CF"/>
    <w:rsid w:val="00D36497"/>
    <w:rsid w:val="00D464DF"/>
    <w:rsid w:val="00D469A8"/>
    <w:rsid w:val="00D478CE"/>
    <w:rsid w:val="00D50598"/>
    <w:rsid w:val="00D506CB"/>
    <w:rsid w:val="00D50A22"/>
    <w:rsid w:val="00D50DD3"/>
    <w:rsid w:val="00D53207"/>
    <w:rsid w:val="00D54B8E"/>
    <w:rsid w:val="00D56ECB"/>
    <w:rsid w:val="00D57315"/>
    <w:rsid w:val="00D60B51"/>
    <w:rsid w:val="00D61DAC"/>
    <w:rsid w:val="00D6303A"/>
    <w:rsid w:val="00D6673D"/>
    <w:rsid w:val="00D67DE2"/>
    <w:rsid w:val="00D709D2"/>
    <w:rsid w:val="00D71B90"/>
    <w:rsid w:val="00D72EC3"/>
    <w:rsid w:val="00D74056"/>
    <w:rsid w:val="00D746E8"/>
    <w:rsid w:val="00D74CFF"/>
    <w:rsid w:val="00D75998"/>
    <w:rsid w:val="00D80C15"/>
    <w:rsid w:val="00D81618"/>
    <w:rsid w:val="00D8283B"/>
    <w:rsid w:val="00D8609D"/>
    <w:rsid w:val="00D86480"/>
    <w:rsid w:val="00D925E7"/>
    <w:rsid w:val="00D92856"/>
    <w:rsid w:val="00D96548"/>
    <w:rsid w:val="00D97275"/>
    <w:rsid w:val="00D97AA9"/>
    <w:rsid w:val="00DA41DE"/>
    <w:rsid w:val="00DA44E6"/>
    <w:rsid w:val="00DA51ED"/>
    <w:rsid w:val="00DB0396"/>
    <w:rsid w:val="00DB1B22"/>
    <w:rsid w:val="00DB2843"/>
    <w:rsid w:val="00DB64F7"/>
    <w:rsid w:val="00DB6CEE"/>
    <w:rsid w:val="00DC12A6"/>
    <w:rsid w:val="00DC328F"/>
    <w:rsid w:val="00DC6208"/>
    <w:rsid w:val="00DC77A7"/>
    <w:rsid w:val="00DD047C"/>
    <w:rsid w:val="00DD33FD"/>
    <w:rsid w:val="00DE06D6"/>
    <w:rsid w:val="00DE42AD"/>
    <w:rsid w:val="00DE42D3"/>
    <w:rsid w:val="00DE7006"/>
    <w:rsid w:val="00DF0E32"/>
    <w:rsid w:val="00DF3946"/>
    <w:rsid w:val="00DF3F33"/>
    <w:rsid w:val="00DF5168"/>
    <w:rsid w:val="00E00478"/>
    <w:rsid w:val="00E04397"/>
    <w:rsid w:val="00E044CE"/>
    <w:rsid w:val="00E10C4E"/>
    <w:rsid w:val="00E10CAF"/>
    <w:rsid w:val="00E11E5B"/>
    <w:rsid w:val="00E12DE1"/>
    <w:rsid w:val="00E13E60"/>
    <w:rsid w:val="00E14C49"/>
    <w:rsid w:val="00E224B2"/>
    <w:rsid w:val="00E25808"/>
    <w:rsid w:val="00E26AB5"/>
    <w:rsid w:val="00E27F7A"/>
    <w:rsid w:val="00E3540A"/>
    <w:rsid w:val="00E35E44"/>
    <w:rsid w:val="00E36EF9"/>
    <w:rsid w:val="00E40945"/>
    <w:rsid w:val="00E46106"/>
    <w:rsid w:val="00E51BF1"/>
    <w:rsid w:val="00E54AC7"/>
    <w:rsid w:val="00E55BFD"/>
    <w:rsid w:val="00E620E1"/>
    <w:rsid w:val="00E65290"/>
    <w:rsid w:val="00E6574E"/>
    <w:rsid w:val="00E6690F"/>
    <w:rsid w:val="00E70B0B"/>
    <w:rsid w:val="00E72A73"/>
    <w:rsid w:val="00E755C0"/>
    <w:rsid w:val="00E7662D"/>
    <w:rsid w:val="00E8087A"/>
    <w:rsid w:val="00E90438"/>
    <w:rsid w:val="00E9151D"/>
    <w:rsid w:val="00E92402"/>
    <w:rsid w:val="00E92F3A"/>
    <w:rsid w:val="00E93F18"/>
    <w:rsid w:val="00EA08EC"/>
    <w:rsid w:val="00EA09E9"/>
    <w:rsid w:val="00EA2F8E"/>
    <w:rsid w:val="00EA2FC4"/>
    <w:rsid w:val="00EA30F1"/>
    <w:rsid w:val="00EA3DEC"/>
    <w:rsid w:val="00EA4B07"/>
    <w:rsid w:val="00EA57CD"/>
    <w:rsid w:val="00EB2B26"/>
    <w:rsid w:val="00EB3E38"/>
    <w:rsid w:val="00EC0577"/>
    <w:rsid w:val="00EC0E18"/>
    <w:rsid w:val="00EC5DF6"/>
    <w:rsid w:val="00EC7ADB"/>
    <w:rsid w:val="00ED00CE"/>
    <w:rsid w:val="00ED3EB8"/>
    <w:rsid w:val="00ED4C62"/>
    <w:rsid w:val="00ED528B"/>
    <w:rsid w:val="00ED7D8E"/>
    <w:rsid w:val="00EE062C"/>
    <w:rsid w:val="00EE49F7"/>
    <w:rsid w:val="00EE5008"/>
    <w:rsid w:val="00EE7E7F"/>
    <w:rsid w:val="00EF00DD"/>
    <w:rsid w:val="00EF1B36"/>
    <w:rsid w:val="00EF33F7"/>
    <w:rsid w:val="00EF4D82"/>
    <w:rsid w:val="00EF6FD1"/>
    <w:rsid w:val="00F0071A"/>
    <w:rsid w:val="00F064E7"/>
    <w:rsid w:val="00F06CC2"/>
    <w:rsid w:val="00F07312"/>
    <w:rsid w:val="00F10318"/>
    <w:rsid w:val="00F108B5"/>
    <w:rsid w:val="00F12F1A"/>
    <w:rsid w:val="00F137B8"/>
    <w:rsid w:val="00F25942"/>
    <w:rsid w:val="00F2675F"/>
    <w:rsid w:val="00F33046"/>
    <w:rsid w:val="00F34A5F"/>
    <w:rsid w:val="00F3674B"/>
    <w:rsid w:val="00F37F56"/>
    <w:rsid w:val="00F42F46"/>
    <w:rsid w:val="00F5179F"/>
    <w:rsid w:val="00F5766E"/>
    <w:rsid w:val="00F62756"/>
    <w:rsid w:val="00F62E33"/>
    <w:rsid w:val="00F637B0"/>
    <w:rsid w:val="00F63FED"/>
    <w:rsid w:val="00F649B4"/>
    <w:rsid w:val="00F703F1"/>
    <w:rsid w:val="00F72C47"/>
    <w:rsid w:val="00F76341"/>
    <w:rsid w:val="00F8679D"/>
    <w:rsid w:val="00F86B7D"/>
    <w:rsid w:val="00F928C7"/>
    <w:rsid w:val="00F932C6"/>
    <w:rsid w:val="00F94C4B"/>
    <w:rsid w:val="00F9508E"/>
    <w:rsid w:val="00F95EFD"/>
    <w:rsid w:val="00FA0ABA"/>
    <w:rsid w:val="00FA3035"/>
    <w:rsid w:val="00FA4389"/>
    <w:rsid w:val="00FA6449"/>
    <w:rsid w:val="00FB255A"/>
    <w:rsid w:val="00FB41F1"/>
    <w:rsid w:val="00FB572E"/>
    <w:rsid w:val="00FC1559"/>
    <w:rsid w:val="00FC33ED"/>
    <w:rsid w:val="00FC373B"/>
    <w:rsid w:val="00FC3D7A"/>
    <w:rsid w:val="00FC762D"/>
    <w:rsid w:val="00FD00E2"/>
    <w:rsid w:val="00FD02E3"/>
    <w:rsid w:val="00FD699A"/>
    <w:rsid w:val="00FE5CEB"/>
    <w:rsid w:val="00FF2CBA"/>
    <w:rsid w:val="00FF3F04"/>
    <w:rsid w:val="00FF6FFA"/>
    <w:rsid w:val="00FF75CC"/>
    <w:rsid w:val="0365E43A"/>
    <w:rsid w:val="0ACA7C48"/>
    <w:rsid w:val="389FD593"/>
    <w:rsid w:val="48D05A47"/>
    <w:rsid w:val="66476713"/>
    <w:rsid w:val="68CE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537D2"/>
  <w15:docId w15:val="{FD1B6289-8026-4982-9192-521DC8C0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D9"/>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25AEC"/>
    <w:pPr>
      <w:keepNext/>
      <w:keepLines/>
      <w:spacing w:before="240" w:line="259" w:lineRule="auto"/>
      <w:jc w:val="center"/>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33062D"/>
    <w:pPr>
      <w:keepNext/>
      <w:keepLines/>
      <w:spacing w:before="240"/>
      <w:jc w:val="center"/>
      <w:outlineLvl w:val="1"/>
    </w:pPr>
    <w:rPr>
      <w:rFonts w:eastAsiaTheme="majorEastAsia" w:cs="Arial"/>
      <w:b/>
      <w:sz w:val="32"/>
      <w:szCs w:val="26"/>
    </w:rPr>
  </w:style>
  <w:style w:type="paragraph" w:styleId="Heading3">
    <w:name w:val="heading 3"/>
    <w:basedOn w:val="Normal"/>
    <w:next w:val="Normal"/>
    <w:link w:val="Heading3Char"/>
    <w:uiPriority w:val="9"/>
    <w:unhideWhenUsed/>
    <w:qFormat/>
    <w:rsid w:val="007D26BE"/>
    <w:pPr>
      <w:keepNext/>
      <w:keepLines/>
      <w:outlineLvl w:val="2"/>
    </w:pPr>
    <w:rPr>
      <w:rFonts w:eastAsiaTheme="majorEastAs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oryReference">
    <w:name w:val="Statutory Reference"/>
    <w:qFormat/>
    <w:rsid w:val="00717C4F"/>
    <w:pPr>
      <w:numPr>
        <w:ilvl w:val="5"/>
        <w:numId w:val="2"/>
      </w:numPr>
      <w:contextualSpacing/>
    </w:pPr>
    <w:rPr>
      <w:rFonts w:ascii="Calibri" w:hAnsi="Calibri" w:cs="Calibri"/>
    </w:rPr>
  </w:style>
  <w:style w:type="table" w:styleId="TableGrid">
    <w:name w:val="Table Grid"/>
    <w:basedOn w:val="TableNormal"/>
    <w:uiPriority w:val="39"/>
    <w:rsid w:val="0062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33D"/>
    <w:pPr>
      <w:spacing w:after="160" w:line="259" w:lineRule="auto"/>
      <w:ind w:left="720"/>
      <w:contextualSpacing/>
    </w:pPr>
    <w:rPr>
      <w:rFonts w:eastAsiaTheme="minorHAnsi" w:cstheme="minorBidi"/>
      <w:szCs w:val="22"/>
    </w:rPr>
  </w:style>
  <w:style w:type="character" w:styleId="Strong">
    <w:name w:val="Strong"/>
    <w:basedOn w:val="DefaultParagraphFont"/>
    <w:uiPriority w:val="22"/>
    <w:qFormat/>
    <w:rsid w:val="0062333D"/>
    <w:rPr>
      <w:rFonts w:ascii="Arial" w:hAnsi="Arial" w:cs="Arial"/>
      <w:b/>
      <w:bCs/>
      <w:sz w:val="24"/>
    </w:rPr>
  </w:style>
  <w:style w:type="character" w:customStyle="1" w:styleId="Heading1Char">
    <w:name w:val="Heading 1 Char"/>
    <w:basedOn w:val="DefaultParagraphFont"/>
    <w:link w:val="Heading1"/>
    <w:uiPriority w:val="9"/>
    <w:rsid w:val="00725AEC"/>
    <w:rPr>
      <w:rFonts w:ascii="Arial" w:eastAsiaTheme="majorEastAsia" w:hAnsi="Arial" w:cs="Arial"/>
      <w:b/>
      <w:sz w:val="32"/>
      <w:szCs w:val="32"/>
    </w:rPr>
  </w:style>
  <w:style w:type="paragraph" w:styleId="Header">
    <w:name w:val="header"/>
    <w:basedOn w:val="Normal"/>
    <w:link w:val="HeaderChar"/>
    <w:uiPriority w:val="99"/>
    <w:unhideWhenUsed/>
    <w:rsid w:val="002403CD"/>
    <w:pPr>
      <w:tabs>
        <w:tab w:val="center" w:pos="4680"/>
        <w:tab w:val="right" w:pos="9360"/>
      </w:tabs>
      <w:spacing w:after="0"/>
    </w:pPr>
  </w:style>
  <w:style w:type="character" w:customStyle="1" w:styleId="HeaderChar">
    <w:name w:val="Header Char"/>
    <w:basedOn w:val="DefaultParagraphFont"/>
    <w:link w:val="Header"/>
    <w:uiPriority w:val="99"/>
    <w:rsid w:val="002403CD"/>
    <w:rPr>
      <w:rFonts w:ascii="Arial" w:eastAsia="Times New Roman" w:hAnsi="Arial" w:cs="Times New Roman"/>
      <w:sz w:val="24"/>
      <w:szCs w:val="24"/>
    </w:rPr>
  </w:style>
  <w:style w:type="paragraph" w:styleId="Footer">
    <w:name w:val="footer"/>
    <w:basedOn w:val="Normal"/>
    <w:link w:val="FooterChar"/>
    <w:uiPriority w:val="99"/>
    <w:unhideWhenUsed/>
    <w:rsid w:val="002403CD"/>
    <w:pPr>
      <w:tabs>
        <w:tab w:val="center" w:pos="4680"/>
        <w:tab w:val="right" w:pos="9360"/>
      </w:tabs>
      <w:spacing w:after="0"/>
    </w:pPr>
  </w:style>
  <w:style w:type="character" w:customStyle="1" w:styleId="FooterChar">
    <w:name w:val="Footer Char"/>
    <w:basedOn w:val="DefaultParagraphFont"/>
    <w:link w:val="Footer"/>
    <w:uiPriority w:val="99"/>
    <w:rsid w:val="002403CD"/>
    <w:rPr>
      <w:rFonts w:ascii="Arial" w:eastAsia="Times New Roman" w:hAnsi="Arial" w:cs="Times New Roman"/>
      <w:sz w:val="24"/>
      <w:szCs w:val="24"/>
    </w:rPr>
  </w:style>
  <w:style w:type="paragraph" w:styleId="FootnoteText">
    <w:name w:val="footnote text"/>
    <w:basedOn w:val="Normal"/>
    <w:link w:val="FootnoteTextChar"/>
    <w:uiPriority w:val="99"/>
    <w:unhideWhenUsed/>
    <w:rsid w:val="0031294F"/>
    <w:pPr>
      <w:spacing w:after="0"/>
    </w:pPr>
    <w:rPr>
      <w:sz w:val="20"/>
      <w:szCs w:val="20"/>
    </w:rPr>
  </w:style>
  <w:style w:type="character" w:customStyle="1" w:styleId="FootnoteTextChar">
    <w:name w:val="Footnote Text Char"/>
    <w:basedOn w:val="DefaultParagraphFont"/>
    <w:link w:val="FootnoteText"/>
    <w:uiPriority w:val="99"/>
    <w:rsid w:val="0031294F"/>
    <w:rPr>
      <w:rFonts w:ascii="Arial" w:eastAsia="Times New Roman" w:hAnsi="Arial" w:cs="Times New Roman"/>
      <w:sz w:val="20"/>
      <w:szCs w:val="20"/>
    </w:rPr>
  </w:style>
  <w:style w:type="character" w:styleId="FootnoteReference">
    <w:name w:val="footnote reference"/>
    <w:basedOn w:val="DefaultParagraphFont"/>
    <w:uiPriority w:val="99"/>
    <w:unhideWhenUsed/>
    <w:rsid w:val="0031294F"/>
    <w:rPr>
      <w:vertAlign w:val="superscript"/>
    </w:rPr>
  </w:style>
  <w:style w:type="character" w:styleId="Hyperlink">
    <w:name w:val="Hyperlink"/>
    <w:rsid w:val="00F10318"/>
    <w:rPr>
      <w:color w:val="0000FF"/>
      <w:u w:val="single"/>
    </w:rPr>
  </w:style>
  <w:style w:type="paragraph" w:styleId="BodyText">
    <w:name w:val="Body Text"/>
    <w:basedOn w:val="Normal"/>
    <w:link w:val="BodyTextChar"/>
    <w:rsid w:val="00F10318"/>
    <w:pPr>
      <w:spacing w:after="0"/>
      <w:ind w:right="-360"/>
    </w:pPr>
    <w:rPr>
      <w:rFonts w:cs="Arial"/>
    </w:rPr>
  </w:style>
  <w:style w:type="character" w:customStyle="1" w:styleId="BodyTextChar">
    <w:name w:val="Body Text Char"/>
    <w:basedOn w:val="DefaultParagraphFont"/>
    <w:link w:val="BodyText"/>
    <w:rsid w:val="00F10318"/>
    <w:rPr>
      <w:rFonts w:ascii="Arial" w:eastAsia="Times New Roman" w:hAnsi="Arial" w:cs="Arial"/>
      <w:sz w:val="24"/>
      <w:szCs w:val="24"/>
    </w:rPr>
  </w:style>
  <w:style w:type="paragraph" w:styleId="NoSpacing">
    <w:name w:val="No Spacing"/>
    <w:uiPriority w:val="1"/>
    <w:qFormat/>
    <w:rsid w:val="006C6C08"/>
    <w:pPr>
      <w:spacing w:after="0" w:line="240" w:lineRule="auto"/>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33062D"/>
    <w:rPr>
      <w:rFonts w:ascii="Arial" w:eastAsiaTheme="majorEastAsia" w:hAnsi="Arial" w:cs="Arial"/>
      <w:b/>
      <w:sz w:val="32"/>
      <w:szCs w:val="26"/>
    </w:rPr>
  </w:style>
  <w:style w:type="character" w:customStyle="1" w:styleId="Heading3Char">
    <w:name w:val="Heading 3 Char"/>
    <w:basedOn w:val="DefaultParagraphFont"/>
    <w:link w:val="Heading3"/>
    <w:uiPriority w:val="9"/>
    <w:rsid w:val="007D26BE"/>
    <w:rPr>
      <w:rFonts w:ascii="Arial" w:eastAsiaTheme="majorEastAsia" w:hAnsi="Arial" w:cs="Arial"/>
      <w:b/>
      <w:sz w:val="24"/>
      <w:szCs w:val="24"/>
    </w:rPr>
  </w:style>
  <w:style w:type="character" w:styleId="CommentReference">
    <w:name w:val="annotation reference"/>
    <w:basedOn w:val="DefaultParagraphFont"/>
    <w:uiPriority w:val="99"/>
    <w:semiHidden/>
    <w:unhideWhenUsed/>
    <w:rsid w:val="00A44A93"/>
    <w:rPr>
      <w:sz w:val="16"/>
      <w:szCs w:val="16"/>
    </w:rPr>
  </w:style>
  <w:style w:type="paragraph" w:styleId="CommentText">
    <w:name w:val="annotation text"/>
    <w:basedOn w:val="Normal"/>
    <w:link w:val="CommentTextChar"/>
    <w:uiPriority w:val="99"/>
    <w:unhideWhenUsed/>
    <w:rsid w:val="00A44A93"/>
    <w:rPr>
      <w:sz w:val="20"/>
      <w:szCs w:val="20"/>
    </w:rPr>
  </w:style>
  <w:style w:type="character" w:customStyle="1" w:styleId="CommentTextChar">
    <w:name w:val="Comment Text Char"/>
    <w:basedOn w:val="DefaultParagraphFont"/>
    <w:link w:val="CommentText"/>
    <w:uiPriority w:val="99"/>
    <w:rsid w:val="00A44A9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44A93"/>
    <w:rPr>
      <w:b/>
      <w:bCs/>
    </w:rPr>
  </w:style>
  <w:style w:type="character" w:customStyle="1" w:styleId="CommentSubjectChar">
    <w:name w:val="Comment Subject Char"/>
    <w:basedOn w:val="CommentTextChar"/>
    <w:link w:val="CommentSubject"/>
    <w:uiPriority w:val="99"/>
    <w:semiHidden/>
    <w:rsid w:val="00A44A9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44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9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819D1"/>
    <w:rPr>
      <w:color w:val="605E5C"/>
      <w:shd w:val="clear" w:color="auto" w:fill="E1DFDD"/>
    </w:rPr>
  </w:style>
  <w:style w:type="paragraph" w:styleId="Revision">
    <w:name w:val="Revision"/>
    <w:hidden/>
    <w:uiPriority w:val="99"/>
    <w:semiHidden/>
    <w:rsid w:val="00D9285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0649">
      <w:bodyDiv w:val="1"/>
      <w:marLeft w:val="0"/>
      <w:marRight w:val="0"/>
      <w:marTop w:val="0"/>
      <w:marBottom w:val="0"/>
      <w:divBdr>
        <w:top w:val="none" w:sz="0" w:space="0" w:color="auto"/>
        <w:left w:val="none" w:sz="0" w:space="0" w:color="auto"/>
        <w:bottom w:val="none" w:sz="0" w:space="0" w:color="auto"/>
        <w:right w:val="none" w:sz="0" w:space="0" w:color="auto"/>
      </w:divBdr>
    </w:div>
    <w:div w:id="410086349">
      <w:bodyDiv w:val="1"/>
      <w:marLeft w:val="0"/>
      <w:marRight w:val="0"/>
      <w:marTop w:val="0"/>
      <w:marBottom w:val="0"/>
      <w:divBdr>
        <w:top w:val="none" w:sz="0" w:space="0" w:color="auto"/>
        <w:left w:val="none" w:sz="0" w:space="0" w:color="auto"/>
        <w:bottom w:val="none" w:sz="0" w:space="0" w:color="auto"/>
        <w:right w:val="none" w:sz="0" w:space="0" w:color="auto"/>
      </w:divBdr>
    </w:div>
    <w:div w:id="461849847">
      <w:bodyDiv w:val="1"/>
      <w:marLeft w:val="0"/>
      <w:marRight w:val="0"/>
      <w:marTop w:val="0"/>
      <w:marBottom w:val="0"/>
      <w:divBdr>
        <w:top w:val="none" w:sz="0" w:space="0" w:color="auto"/>
        <w:left w:val="none" w:sz="0" w:space="0" w:color="auto"/>
        <w:bottom w:val="none" w:sz="0" w:space="0" w:color="auto"/>
        <w:right w:val="none" w:sz="0" w:space="0" w:color="auto"/>
      </w:divBdr>
    </w:div>
    <w:div w:id="604193356">
      <w:bodyDiv w:val="1"/>
      <w:marLeft w:val="0"/>
      <w:marRight w:val="0"/>
      <w:marTop w:val="0"/>
      <w:marBottom w:val="0"/>
      <w:divBdr>
        <w:top w:val="none" w:sz="0" w:space="0" w:color="auto"/>
        <w:left w:val="none" w:sz="0" w:space="0" w:color="auto"/>
        <w:bottom w:val="none" w:sz="0" w:space="0" w:color="auto"/>
        <w:right w:val="none" w:sz="0" w:space="0" w:color="auto"/>
      </w:divBdr>
    </w:div>
    <w:div w:id="669604920">
      <w:bodyDiv w:val="1"/>
      <w:marLeft w:val="0"/>
      <w:marRight w:val="0"/>
      <w:marTop w:val="0"/>
      <w:marBottom w:val="0"/>
      <w:divBdr>
        <w:top w:val="none" w:sz="0" w:space="0" w:color="auto"/>
        <w:left w:val="none" w:sz="0" w:space="0" w:color="auto"/>
        <w:bottom w:val="none" w:sz="0" w:space="0" w:color="auto"/>
        <w:right w:val="none" w:sz="0" w:space="0" w:color="auto"/>
      </w:divBdr>
    </w:div>
    <w:div w:id="705714401">
      <w:bodyDiv w:val="1"/>
      <w:marLeft w:val="0"/>
      <w:marRight w:val="0"/>
      <w:marTop w:val="0"/>
      <w:marBottom w:val="0"/>
      <w:divBdr>
        <w:top w:val="none" w:sz="0" w:space="0" w:color="auto"/>
        <w:left w:val="none" w:sz="0" w:space="0" w:color="auto"/>
        <w:bottom w:val="none" w:sz="0" w:space="0" w:color="auto"/>
        <w:right w:val="none" w:sz="0" w:space="0" w:color="auto"/>
      </w:divBdr>
    </w:div>
    <w:div w:id="724597843">
      <w:bodyDiv w:val="1"/>
      <w:marLeft w:val="0"/>
      <w:marRight w:val="0"/>
      <w:marTop w:val="0"/>
      <w:marBottom w:val="0"/>
      <w:divBdr>
        <w:top w:val="none" w:sz="0" w:space="0" w:color="auto"/>
        <w:left w:val="none" w:sz="0" w:space="0" w:color="auto"/>
        <w:bottom w:val="none" w:sz="0" w:space="0" w:color="auto"/>
        <w:right w:val="none" w:sz="0" w:space="0" w:color="auto"/>
      </w:divBdr>
    </w:div>
    <w:div w:id="853417944">
      <w:bodyDiv w:val="1"/>
      <w:marLeft w:val="0"/>
      <w:marRight w:val="0"/>
      <w:marTop w:val="0"/>
      <w:marBottom w:val="0"/>
      <w:divBdr>
        <w:top w:val="none" w:sz="0" w:space="0" w:color="auto"/>
        <w:left w:val="none" w:sz="0" w:space="0" w:color="auto"/>
        <w:bottom w:val="none" w:sz="0" w:space="0" w:color="auto"/>
        <w:right w:val="none" w:sz="0" w:space="0" w:color="auto"/>
      </w:divBdr>
    </w:div>
    <w:div w:id="1199702056">
      <w:bodyDiv w:val="1"/>
      <w:marLeft w:val="0"/>
      <w:marRight w:val="0"/>
      <w:marTop w:val="0"/>
      <w:marBottom w:val="0"/>
      <w:divBdr>
        <w:top w:val="none" w:sz="0" w:space="0" w:color="auto"/>
        <w:left w:val="none" w:sz="0" w:space="0" w:color="auto"/>
        <w:bottom w:val="none" w:sz="0" w:space="0" w:color="auto"/>
        <w:right w:val="none" w:sz="0" w:space="0" w:color="auto"/>
      </w:divBdr>
    </w:div>
    <w:div w:id="1393891525">
      <w:bodyDiv w:val="1"/>
      <w:marLeft w:val="0"/>
      <w:marRight w:val="0"/>
      <w:marTop w:val="0"/>
      <w:marBottom w:val="0"/>
      <w:divBdr>
        <w:top w:val="none" w:sz="0" w:space="0" w:color="auto"/>
        <w:left w:val="none" w:sz="0" w:space="0" w:color="auto"/>
        <w:bottom w:val="none" w:sz="0" w:space="0" w:color="auto"/>
        <w:right w:val="none" w:sz="0" w:space="0" w:color="auto"/>
      </w:divBdr>
    </w:div>
    <w:div w:id="1556509075">
      <w:bodyDiv w:val="1"/>
      <w:marLeft w:val="0"/>
      <w:marRight w:val="0"/>
      <w:marTop w:val="0"/>
      <w:marBottom w:val="0"/>
      <w:divBdr>
        <w:top w:val="none" w:sz="0" w:space="0" w:color="auto"/>
        <w:left w:val="none" w:sz="0" w:space="0" w:color="auto"/>
        <w:bottom w:val="none" w:sz="0" w:space="0" w:color="auto"/>
        <w:right w:val="none" w:sz="0" w:space="0" w:color="auto"/>
      </w:divBdr>
    </w:div>
    <w:div w:id="1886334600">
      <w:bodyDiv w:val="1"/>
      <w:marLeft w:val="0"/>
      <w:marRight w:val="0"/>
      <w:marTop w:val="0"/>
      <w:marBottom w:val="0"/>
      <w:divBdr>
        <w:top w:val="none" w:sz="0" w:space="0" w:color="auto"/>
        <w:left w:val="none" w:sz="0" w:space="0" w:color="auto"/>
        <w:bottom w:val="none" w:sz="0" w:space="0" w:color="auto"/>
        <w:right w:val="none" w:sz="0" w:space="0" w:color="auto"/>
      </w:divBdr>
    </w:div>
    <w:div w:id="1890536111">
      <w:bodyDiv w:val="1"/>
      <w:marLeft w:val="0"/>
      <w:marRight w:val="0"/>
      <w:marTop w:val="0"/>
      <w:marBottom w:val="0"/>
      <w:divBdr>
        <w:top w:val="none" w:sz="0" w:space="0" w:color="auto"/>
        <w:left w:val="none" w:sz="0" w:space="0" w:color="auto"/>
        <w:bottom w:val="none" w:sz="0" w:space="0" w:color="auto"/>
        <w:right w:val="none" w:sz="0" w:space="0" w:color="auto"/>
      </w:divBdr>
    </w:div>
    <w:div w:id="1905871836">
      <w:bodyDiv w:val="1"/>
      <w:marLeft w:val="0"/>
      <w:marRight w:val="0"/>
      <w:marTop w:val="0"/>
      <w:marBottom w:val="0"/>
      <w:divBdr>
        <w:top w:val="none" w:sz="0" w:space="0" w:color="auto"/>
        <w:left w:val="none" w:sz="0" w:space="0" w:color="auto"/>
        <w:bottom w:val="none" w:sz="0" w:space="0" w:color="auto"/>
        <w:right w:val="none" w:sz="0" w:space="0" w:color="auto"/>
      </w:divBdr>
    </w:div>
    <w:div w:id="2073768772">
      <w:bodyDiv w:val="1"/>
      <w:marLeft w:val="0"/>
      <w:marRight w:val="0"/>
      <w:marTop w:val="0"/>
      <w:marBottom w:val="0"/>
      <w:divBdr>
        <w:top w:val="none" w:sz="0" w:space="0" w:color="auto"/>
        <w:left w:val="none" w:sz="0" w:space="0" w:color="auto"/>
        <w:bottom w:val="none" w:sz="0" w:space="0" w:color="auto"/>
        <w:right w:val="none" w:sz="0" w:space="0" w:color="auto"/>
      </w:divBdr>
    </w:div>
    <w:div w:id="214245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B15C-C995-4076-969F-8ECE5BA7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3257</Words>
  <Characters>18566</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January 2024 Agenda Item 19 Attachment 3 - Meeting Agendas (CA State Board of Education)</vt:lpstr>
    </vt:vector>
  </TitlesOfParts>
  <Company>California State Board of Education</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19 Attachment 3 - Meeting Agendas (CA State Board of Education)</dc:title>
  <dc:subject>Fiscal Analysis of the Sagebrush Territory Transfer.</dc:subject>
  <cp:keywords/>
  <dc:description/>
  <cp:lastPrinted>2022-10-19T19:59:00Z</cp:lastPrinted>
  <dcterms:created xsi:type="dcterms:W3CDTF">2023-12-29T21:51:00Z</dcterms:created>
  <dcterms:modified xsi:type="dcterms:W3CDTF">2024-01-06T00:38:00Z</dcterms:modified>
  <cp:category/>
</cp:coreProperties>
</file>