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B7" w:rsidRPr="00C80ECA" w:rsidRDefault="006515B7" w:rsidP="00C80ECA">
      <w:pPr>
        <w:pStyle w:val="Heading1"/>
        <w:jc w:val="center"/>
        <w:rPr>
          <w:sz w:val="40"/>
          <w:szCs w:val="40"/>
        </w:rPr>
      </w:pPr>
      <w:bookmarkStart w:id="0" w:name="_GoBack"/>
      <w:bookmarkEnd w:id="0"/>
      <w:proofErr w:type="spellStart"/>
      <w:r w:rsidRPr="00C80ECA">
        <w:rPr>
          <w:sz w:val="40"/>
          <w:szCs w:val="40"/>
        </w:rPr>
        <w:t>Prepa</w:t>
      </w:r>
      <w:proofErr w:type="spellEnd"/>
      <w:r w:rsidRPr="00C80ECA">
        <w:rPr>
          <w:sz w:val="40"/>
          <w:szCs w:val="40"/>
        </w:rPr>
        <w:t xml:space="preserve"> Tec Los Angeles High</w:t>
      </w:r>
    </w:p>
    <w:p w:rsidR="006515B7" w:rsidRPr="0061608F" w:rsidRDefault="006515B7" w:rsidP="006515B7">
      <w:pPr>
        <w:spacing w:before="120" w:after="240"/>
        <w:rPr>
          <w:rFonts w:cs="Arial"/>
        </w:rPr>
      </w:pPr>
      <w:r w:rsidRPr="0061608F">
        <w:rPr>
          <w:rFonts w:cs="Arial"/>
        </w:rPr>
        <w:t xml:space="preserve">Address: </w:t>
      </w:r>
      <w:r>
        <w:rPr>
          <w:rFonts w:cs="Arial"/>
        </w:rPr>
        <w:t>4210 East Gage Street, Bell, CA 90201-1213</w:t>
      </w:r>
    </w:p>
    <w:p w:rsidR="006515B7" w:rsidRPr="00DF69A6" w:rsidRDefault="006515B7" w:rsidP="006515B7">
      <w:pPr>
        <w:spacing w:before="120" w:after="240"/>
        <w:rPr>
          <w:rFonts w:cs="Arial"/>
          <w:b/>
        </w:rPr>
      </w:pPr>
      <w:r>
        <w:rPr>
          <w:rFonts w:cs="Arial"/>
        </w:rPr>
        <w:t>Web s</w:t>
      </w:r>
      <w:r w:rsidRPr="0061608F">
        <w:rPr>
          <w:rFonts w:cs="Arial"/>
        </w:rPr>
        <w:t xml:space="preserve">ite </w:t>
      </w:r>
      <w:r>
        <w:rPr>
          <w:rFonts w:cs="Arial"/>
        </w:rPr>
        <w:t>Address</w:t>
      </w:r>
      <w:r w:rsidRPr="00DF69A6">
        <w:rPr>
          <w:rFonts w:cs="Arial"/>
        </w:rPr>
        <w:t xml:space="preserve">: </w:t>
      </w:r>
      <w:hyperlink r:id="rId7" w:tgtFrame="_blank" w:tooltip="Prepa Tec Los Angeles High" w:history="1">
        <w:r w:rsidRPr="00C80ECA">
          <w:rPr>
            <w:rFonts w:cs="Arial"/>
            <w:color w:val="0000FF"/>
            <w:u w:val="single"/>
          </w:rPr>
          <w:t>http://altapublicschools.org/prepatechighschool/</w:t>
        </w:r>
      </w:hyperlink>
    </w:p>
    <w:p w:rsidR="006515B7" w:rsidRPr="0061608F" w:rsidRDefault="006515B7" w:rsidP="006515B7">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DF69A6">
        <w:rPr>
          <w:rFonts w:cs="Arial"/>
          <w:color w:val="000000"/>
        </w:rPr>
        <w:t>19 76992 0133900</w:t>
      </w:r>
    </w:p>
    <w:p w:rsidR="006515B7" w:rsidRPr="0061608F" w:rsidRDefault="006515B7" w:rsidP="006515B7">
      <w:pPr>
        <w:spacing w:before="120" w:after="240"/>
        <w:rPr>
          <w:rFonts w:cs="Arial"/>
        </w:rPr>
      </w:pPr>
      <w:r w:rsidRPr="0061608F">
        <w:rPr>
          <w:rFonts w:cs="Arial"/>
        </w:rPr>
        <w:t xml:space="preserve">Charter Number: </w:t>
      </w:r>
      <w:r>
        <w:rPr>
          <w:rFonts w:cs="Arial"/>
        </w:rPr>
        <w:t>1789</w:t>
      </w:r>
    </w:p>
    <w:p w:rsidR="006515B7" w:rsidRPr="0061608F" w:rsidRDefault="006515B7" w:rsidP="006515B7">
      <w:pPr>
        <w:spacing w:before="120" w:after="240"/>
        <w:rPr>
          <w:rFonts w:cs="Arial"/>
        </w:rPr>
      </w:pPr>
      <w:r w:rsidRPr="0061608F">
        <w:rPr>
          <w:rFonts w:cs="Arial"/>
        </w:rPr>
        <w:t xml:space="preserve">Charter Term: </w:t>
      </w:r>
      <w:r>
        <w:rPr>
          <w:rFonts w:cs="Arial"/>
        </w:rPr>
        <w:t>July 1, 2016, through June 30, 2021</w:t>
      </w:r>
    </w:p>
    <w:p w:rsidR="006515B7" w:rsidRPr="0061608F" w:rsidRDefault="006515B7" w:rsidP="006515B7">
      <w:pPr>
        <w:spacing w:before="120" w:after="240"/>
        <w:rPr>
          <w:rFonts w:cs="Arial"/>
        </w:rPr>
      </w:pPr>
      <w:r w:rsidRPr="0061608F">
        <w:rPr>
          <w:rFonts w:cs="Arial"/>
        </w:rPr>
        <w:t xml:space="preserve">School Description: </w:t>
      </w:r>
      <w:proofErr w:type="spellStart"/>
      <w:r w:rsidRPr="006515B7">
        <w:rPr>
          <w:rStyle w:val="Strong"/>
          <w:rFonts w:cs="Arial"/>
          <w:b w:val="0"/>
        </w:rPr>
        <w:t>Prepa</w:t>
      </w:r>
      <w:proofErr w:type="spellEnd"/>
      <w:r w:rsidRPr="006515B7">
        <w:rPr>
          <w:rStyle w:val="Strong"/>
          <w:rFonts w:cs="Arial"/>
          <w:b w:val="0"/>
        </w:rPr>
        <w:t xml:space="preserve"> Tec Los Angeles High</w:t>
      </w:r>
      <w:r w:rsidRPr="00583DA7">
        <w:rPr>
          <w:rStyle w:val="Strong"/>
          <w:rFonts w:cs="Arial"/>
        </w:rPr>
        <w:t xml:space="preserve"> </w:t>
      </w:r>
      <w:r w:rsidRPr="00583DA7">
        <w:rPr>
          <w:rFonts w:cs="Arial"/>
        </w:rPr>
        <w:t>will apply the International Baccalaureate philosophy and methods to be a school where partnerships for continuous improvement between teachers, parents, community and students are authentic, and seek to prepare each student in grades nine through twelve for the challenges of the 21</w:t>
      </w:r>
      <w:r w:rsidRPr="00583DA7">
        <w:rPr>
          <w:rFonts w:cs="Arial"/>
          <w:vertAlign w:val="superscript"/>
        </w:rPr>
        <w:t>st</w:t>
      </w:r>
      <w:r w:rsidRPr="00583DA7">
        <w:rPr>
          <w:rFonts w:cs="Arial"/>
        </w:rPr>
        <w:t xml:space="preserve"> century school.</w:t>
      </w:r>
    </w:p>
    <w:p w:rsidR="006515B7" w:rsidRPr="0061608F" w:rsidRDefault="006515B7" w:rsidP="006515B7">
      <w:pPr>
        <w:spacing w:before="120" w:after="240"/>
        <w:rPr>
          <w:rFonts w:cs="Arial"/>
        </w:rPr>
      </w:pPr>
      <w:r w:rsidRPr="0061608F">
        <w:rPr>
          <w:rFonts w:cs="Arial"/>
        </w:rPr>
        <w:t xml:space="preserve">Grade Levels Served: </w:t>
      </w:r>
      <w:r>
        <w:rPr>
          <w:rFonts w:cs="Arial"/>
        </w:rPr>
        <w:t>Grade Nine through Grade Twelve</w:t>
      </w:r>
    </w:p>
    <w:p w:rsidR="006515B7" w:rsidRDefault="006515B7" w:rsidP="006515B7">
      <w:pPr>
        <w:spacing w:before="120" w:after="240"/>
        <w:rPr>
          <w:rFonts w:cs="Arial"/>
        </w:rPr>
      </w:pPr>
      <w:r>
        <w:rPr>
          <w:rFonts w:cs="Arial"/>
        </w:rPr>
        <w:t>2017–18 Enrollment: 224</w:t>
      </w:r>
    </w:p>
    <w:p w:rsidR="007F5F3F" w:rsidRPr="00213F4B" w:rsidRDefault="006515B7" w:rsidP="00213F4B">
      <w:pPr>
        <w:spacing w:before="120" w:after="240"/>
        <w:contextualSpacing/>
        <w:rPr>
          <w:rFonts w:cs="Arial"/>
        </w:rPr>
      </w:pPr>
      <w:r w:rsidRPr="0061608F">
        <w:rPr>
          <w:rFonts w:cs="Arial"/>
        </w:rPr>
        <w:t>Site Based or Non-Site Based:</w:t>
      </w:r>
      <w:r>
        <w:rPr>
          <w:rFonts w:cs="Arial"/>
        </w:rPr>
        <w:t xml:space="preserve"> Site Based</w:t>
      </w:r>
    </w:p>
    <w:p w:rsidR="0029496A" w:rsidRPr="00E9253D" w:rsidRDefault="0029496A" w:rsidP="00E9253D">
      <w:pPr>
        <w:pStyle w:val="Heading2"/>
        <w:rPr>
          <w:sz w:val="36"/>
          <w:szCs w:val="36"/>
        </w:rPr>
      </w:pPr>
      <w:r w:rsidRPr="00E9253D">
        <w:rPr>
          <w:sz w:val="36"/>
          <w:szCs w:val="36"/>
        </w:rPr>
        <w:t xml:space="preserve">Data Sources: </w:t>
      </w:r>
    </w:p>
    <w:p w:rsidR="0029496A" w:rsidRPr="0029496A" w:rsidRDefault="0029496A" w:rsidP="0029496A">
      <w:pPr>
        <w:spacing w:after="240"/>
        <w:rPr>
          <w:rFonts w:eastAsiaTheme="minorHAnsi" w:cstheme="minorBidi"/>
          <w:b/>
          <w:szCs w:val="22"/>
        </w:rPr>
      </w:pPr>
      <w:r w:rsidRPr="0029496A">
        <w:rPr>
          <w:rFonts w:eastAsiaTheme="minorHAnsi" w:cstheme="minorBidi"/>
          <w:b/>
          <w:szCs w:val="22"/>
        </w:rPr>
        <w:t>CA School Dashboard</w:t>
      </w:r>
    </w:p>
    <w:p w:rsidR="0029496A" w:rsidRDefault="00087FBE" w:rsidP="00E634EC">
      <w:pPr>
        <w:rPr>
          <w:rStyle w:val="Hyperlink"/>
        </w:rPr>
      </w:pPr>
      <w:hyperlink r:id="rId8" w:tooltip="California School Dashboard" w:history="1">
        <w:r w:rsidR="0029496A" w:rsidRPr="00EC5E43">
          <w:rPr>
            <w:rStyle w:val="Hyperlink"/>
          </w:rPr>
          <w:t>https://www.caschooldashboard.org/reports/19769920133900/2018</w:t>
        </w:r>
      </w:hyperlink>
    </w:p>
    <w:p w:rsidR="008F4924" w:rsidRDefault="008F4924" w:rsidP="00E634EC">
      <w:pPr>
        <w:sectPr w:rsidR="008F4924">
          <w:headerReference w:type="default" r:id="rId9"/>
          <w:pgSz w:w="12240" w:h="15840"/>
          <w:pgMar w:top="1440" w:right="1440" w:bottom="1440" w:left="1440" w:header="720" w:footer="720" w:gutter="0"/>
          <w:cols w:space="720"/>
          <w:docGrid w:linePitch="360"/>
        </w:sectPr>
      </w:pPr>
    </w:p>
    <w:p w:rsidR="008F4924" w:rsidRPr="00FD04B1" w:rsidRDefault="008F4924" w:rsidP="008F4924">
      <w:pPr>
        <w:spacing w:after="240"/>
        <w:rPr>
          <w:rFonts w:cs="Arial"/>
        </w:rPr>
      </w:pPr>
      <w:r>
        <w:rPr>
          <w:rFonts w:cs="Arial"/>
        </w:rPr>
        <w:lastRenderedPageBreak/>
        <w:t>Dear Chief Executive Officer Reyes, Superintendent Valenzuela, and Principal Aguirre,</w:t>
      </w:r>
    </w:p>
    <w:p w:rsidR="008F4924" w:rsidRDefault="008F4924" w:rsidP="008F4924">
      <w:pPr>
        <w:spacing w:after="240"/>
        <w:rPr>
          <w:rFonts w:cs="Arial"/>
        </w:rPr>
      </w:pPr>
      <w:r>
        <w:rPr>
          <w:rFonts w:cs="Arial"/>
        </w:rPr>
        <w:t>The California Department of Education, Charter Schools Division, provides an annual academic update to the State Board of Education (SBE) in the form of an Ac</w:t>
      </w:r>
      <w:r w:rsidR="0078202B">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78202B">
        <w:rPr>
          <w:rFonts w:cs="Arial"/>
        </w:rPr>
        <w:t>is being provided to each SBE-</w:t>
      </w:r>
      <w:r w:rsidRPr="004D1543">
        <w:rPr>
          <w:rFonts w:cs="Arial"/>
        </w:rPr>
        <w:t>authorized school in preparation for the annual Academic Memo that will be presented to the SBE members in June.</w:t>
      </w:r>
    </w:p>
    <w:p w:rsidR="008F4924" w:rsidRDefault="008F4924" w:rsidP="008F4924">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8F4924" w:rsidRDefault="008F4924" w:rsidP="008F4924">
      <w:pPr>
        <w:spacing w:after="240"/>
        <w:rPr>
          <w:rFonts w:cs="Arial"/>
        </w:rPr>
      </w:pPr>
      <w:proofErr w:type="spellStart"/>
      <w:r>
        <w:rPr>
          <w:rFonts w:cs="Arial"/>
        </w:rPr>
        <w:t>P</w:t>
      </w:r>
      <w:r w:rsidR="0078202B">
        <w:rPr>
          <w:rFonts w:cs="Arial"/>
        </w:rPr>
        <w:t>repa</w:t>
      </w:r>
      <w:proofErr w:type="spellEnd"/>
      <w:r w:rsidR="0078202B">
        <w:rPr>
          <w:rFonts w:cs="Arial"/>
        </w:rPr>
        <w:t xml:space="preserve"> Tec Los Angeles High (PTLAH</w:t>
      </w:r>
      <w:r>
        <w:rPr>
          <w:rFonts w:cs="Arial"/>
        </w:rPr>
        <w:t>) is up for renewal in 2021.</w:t>
      </w:r>
    </w:p>
    <w:p w:rsidR="008F4924" w:rsidRDefault="008F4924" w:rsidP="008F4924">
      <w:pPr>
        <w:spacing w:after="240"/>
        <w:rPr>
          <w:rFonts w:cs="Arial"/>
        </w:rPr>
      </w:pPr>
      <w:r w:rsidRPr="00A64E40">
        <w:rPr>
          <w:rFonts w:cs="Arial"/>
        </w:rPr>
        <w:t xml:space="preserve">Based on the criteria in California’s Every Student Succeeds (ESSA) State Plan, </w:t>
      </w:r>
      <w:r w:rsidR="0078202B">
        <w:rPr>
          <w:rFonts w:cs="Arial"/>
        </w:rPr>
        <w:t>PTLAH</w:t>
      </w:r>
      <w:r>
        <w:rPr>
          <w:rFonts w:cs="Arial"/>
        </w:rPr>
        <w:t xml:space="preserve"> is eligible for Comprehensive Support and Improvement (CSI) </w:t>
      </w:r>
      <w:r w:rsidRPr="00A64E40">
        <w:rPr>
          <w:rFonts w:cs="Arial"/>
        </w:rPr>
        <w:t xml:space="preserve">on the ESSA School Eligibility list and </w:t>
      </w:r>
      <w:r>
        <w:rPr>
          <w:rFonts w:cs="Arial"/>
        </w:rPr>
        <w:t>has applied for the CSI</w:t>
      </w:r>
      <w:r w:rsidRPr="00A64E40">
        <w:rPr>
          <w:rFonts w:cs="Arial"/>
        </w:rPr>
        <w:t xml:space="preserve"> Application for Funding. The grant funding can be used for developing and implementing a plan to improve student outcomes, which can assist with the school meeting their L</w:t>
      </w:r>
      <w:r w:rsidR="0078202B">
        <w:rPr>
          <w:rFonts w:cs="Arial"/>
        </w:rPr>
        <w:t xml:space="preserve">ocal </w:t>
      </w:r>
      <w:r w:rsidRPr="00A64E40">
        <w:rPr>
          <w:rFonts w:cs="Arial"/>
        </w:rPr>
        <w:t>C</w:t>
      </w:r>
      <w:r w:rsidR="0078202B">
        <w:rPr>
          <w:rFonts w:cs="Arial"/>
        </w:rPr>
        <w:t xml:space="preserve">ontrol and </w:t>
      </w:r>
      <w:r w:rsidRPr="00A64E40">
        <w:rPr>
          <w:rFonts w:cs="Arial"/>
        </w:rPr>
        <w:t>A</w:t>
      </w:r>
      <w:r w:rsidR="0078202B">
        <w:rPr>
          <w:rFonts w:cs="Arial"/>
        </w:rPr>
        <w:t xml:space="preserve">ccountability </w:t>
      </w:r>
      <w:r w:rsidRPr="00A64E40">
        <w:rPr>
          <w:rFonts w:cs="Arial"/>
        </w:rPr>
        <w:t>P</w:t>
      </w:r>
      <w:r w:rsidR="0078202B">
        <w:rPr>
          <w:rFonts w:cs="Arial"/>
        </w:rPr>
        <w:t>lan (LCAP)</w:t>
      </w:r>
      <w:r w:rsidRPr="00A64E40">
        <w:rPr>
          <w:rFonts w:cs="Arial"/>
        </w:rPr>
        <w:t xml:space="preserve"> goals.</w:t>
      </w:r>
    </w:p>
    <w:p w:rsidR="008F4924" w:rsidRPr="00F461A6" w:rsidRDefault="008F4924" w:rsidP="008F4924">
      <w:pPr>
        <w:spacing w:after="240"/>
        <w:rPr>
          <w:rFonts w:cs="Arial"/>
          <w:b/>
          <w:u w:val="single"/>
        </w:rPr>
      </w:pPr>
      <w:r w:rsidRPr="00F804A8">
        <w:rPr>
          <w:rFonts w:cs="Arial"/>
          <w:b/>
        </w:rPr>
        <w:t>Written Response Needed: (no more than 3 pages)</w:t>
      </w:r>
    </w:p>
    <w:p w:rsidR="008F4924" w:rsidRPr="004D1543" w:rsidRDefault="008F4924" w:rsidP="008F4924">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w:t>
      </w:r>
      <w:r w:rsidR="0078202B">
        <w:rPr>
          <w:rFonts w:cs="Arial"/>
        </w:rPr>
        <w:t>ddress in your 2019–2020 LCAP</w:t>
      </w:r>
      <w:r>
        <w:rPr>
          <w:rFonts w:cs="Arial"/>
        </w:rPr>
        <w:t xml:space="preserve"> or Annual update the goals and timelines for improving performance schoolwide and for how the low student groups will be addressed. Please also state how the school will address the suspension rate in the coming school year. CDE will be reviewing your LCAP and this written response during monthly calls with the school as part of the oversight</w:t>
      </w:r>
      <w:r w:rsidR="00FE1949">
        <w:rPr>
          <w:rFonts w:cs="Arial"/>
        </w:rPr>
        <w:t xml:space="preserve"> process</w:t>
      </w:r>
      <w:r>
        <w:rPr>
          <w:rFonts w:cs="Arial"/>
        </w:rPr>
        <w:t>.</w:t>
      </w:r>
    </w:p>
    <w:p w:rsidR="008F4924" w:rsidRPr="002A5896" w:rsidRDefault="008F4924" w:rsidP="008F4924">
      <w:pPr>
        <w:spacing w:after="240"/>
        <w:rPr>
          <w:rFonts w:cs="Arial"/>
          <w:b/>
          <w:u w:val="single"/>
        </w:rPr>
      </w:pPr>
      <w:r w:rsidRPr="00F804A8">
        <w:rPr>
          <w:rFonts w:cs="Arial"/>
          <w:b/>
        </w:rPr>
        <w:t>Renewal Criteria</w:t>
      </w:r>
    </w:p>
    <w:p w:rsidR="008F4924" w:rsidRPr="00C13C3B" w:rsidRDefault="008F4924" w:rsidP="008F4924">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8F4924" w:rsidRPr="00F804A8" w:rsidRDefault="008F4924" w:rsidP="008F4924">
      <w:pPr>
        <w:numPr>
          <w:ilvl w:val="0"/>
          <w:numId w:val="11"/>
        </w:numPr>
        <w:autoSpaceDE w:val="0"/>
        <w:autoSpaceDN w:val="0"/>
        <w:adjustRightInd w:val="0"/>
        <w:spacing w:before="240" w:after="240"/>
        <w:rPr>
          <w:rFonts w:eastAsia="Calibri" w:cs="Arial"/>
          <w:bCs/>
        </w:rPr>
      </w:pPr>
      <w:r w:rsidRPr="00F804A8">
        <w:rPr>
          <w:rFonts w:eastAsia="Calibri" w:cs="Arial"/>
          <w:bCs/>
        </w:rPr>
        <w:t>The authority that granted the charter shall consider increases in pupil academic achievement for all groups of pupils served by the charter school as the most important factor determining whet</w:t>
      </w:r>
      <w:r>
        <w:rPr>
          <w:rFonts w:eastAsia="Calibri" w:cs="Arial"/>
          <w:bCs/>
        </w:rPr>
        <w:t>her to grant a charter renewal.</w:t>
      </w:r>
    </w:p>
    <w:p w:rsidR="008F4924" w:rsidRPr="00F804A8" w:rsidRDefault="008F4924" w:rsidP="008F4924">
      <w:pPr>
        <w:numPr>
          <w:ilvl w:val="0"/>
          <w:numId w:val="11"/>
        </w:numPr>
        <w:autoSpaceDE w:val="0"/>
        <w:autoSpaceDN w:val="0"/>
        <w:adjustRightInd w:val="0"/>
        <w:spacing w:before="240" w:after="240"/>
        <w:rPr>
          <w:rFonts w:eastAsia="Calibri" w:cs="Arial"/>
          <w:bCs/>
        </w:rPr>
      </w:pPr>
      <w:r w:rsidRPr="00F804A8">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8F4924" w:rsidRDefault="008F4924" w:rsidP="008F4924">
      <w:pPr>
        <w:spacing w:after="240"/>
        <w:rPr>
          <w:rFonts w:cs="Arial"/>
        </w:rPr>
      </w:pPr>
      <w:r>
        <w:rPr>
          <w:rFonts w:cs="Arial"/>
        </w:rPr>
        <w:lastRenderedPageBreak/>
        <w:t xml:space="preserve">CDE </w:t>
      </w:r>
      <w:r w:rsidRPr="004D1543">
        <w:rPr>
          <w:rFonts w:cs="Arial"/>
        </w:rPr>
        <w:t>will be reviewing the C</w:t>
      </w:r>
      <w:r w:rsidR="0078202B">
        <w:rPr>
          <w:rFonts w:cs="Arial"/>
        </w:rPr>
        <w:t>AASPP</w:t>
      </w:r>
      <w:r w:rsidRPr="004D1543">
        <w:rPr>
          <w:rFonts w:cs="Arial"/>
        </w:rPr>
        <w:t xml:space="preserve"> results</w:t>
      </w:r>
      <w:r>
        <w:rPr>
          <w:rFonts w:cs="Arial"/>
        </w:rPr>
        <w:t xml:space="preserve"> as part o</w:t>
      </w:r>
      <w:r w:rsidR="0078202B">
        <w:rPr>
          <w:rFonts w:cs="Arial"/>
        </w:rPr>
        <w:t xml:space="preserve">f the renewal process if PTLAH </w:t>
      </w:r>
      <w:r>
        <w:rPr>
          <w:rFonts w:cs="Arial"/>
        </w:rPr>
        <w:t>submits its renewal petition to the SBE for approval.</w:t>
      </w:r>
    </w:p>
    <w:p w:rsidR="008F4924" w:rsidRDefault="008F4924" w:rsidP="008F4924">
      <w:pPr>
        <w:spacing w:after="240"/>
        <w:rPr>
          <w:rFonts w:cs="Arial"/>
        </w:rPr>
      </w:pPr>
      <w:r>
        <w:rPr>
          <w:rFonts w:cs="Arial"/>
        </w:rPr>
        <w:t xml:space="preserve">The following is a </w:t>
      </w:r>
      <w:r w:rsidR="0078202B">
        <w:rPr>
          <w:rFonts w:cs="Arial"/>
        </w:rPr>
        <w:t>list of schools within a 5 mile</w:t>
      </w:r>
      <w:r>
        <w:rPr>
          <w:rFonts w:cs="Arial"/>
        </w:rPr>
        <w:t xml:space="preserve"> radius where the students would otherwise attend:</w:t>
      </w:r>
    </w:p>
    <w:p w:rsidR="008F4924" w:rsidRDefault="008F4924" w:rsidP="008F4924">
      <w:pPr>
        <w:pStyle w:val="ListParagraph"/>
        <w:numPr>
          <w:ilvl w:val="0"/>
          <w:numId w:val="12"/>
        </w:numPr>
        <w:spacing w:after="240"/>
        <w:contextualSpacing w:val="0"/>
        <w:rPr>
          <w:rFonts w:ascii="Arial" w:hAnsi="Arial" w:cs="Arial"/>
          <w:sz w:val="24"/>
          <w:szCs w:val="24"/>
        </w:rPr>
      </w:pPr>
      <w:r>
        <w:rPr>
          <w:rFonts w:ascii="Arial" w:hAnsi="Arial" w:cs="Arial"/>
          <w:sz w:val="24"/>
          <w:szCs w:val="24"/>
        </w:rPr>
        <w:t xml:space="preserve">Huntington Park Senior High </w:t>
      </w:r>
    </w:p>
    <w:p w:rsidR="008F4924" w:rsidRPr="00B02816" w:rsidRDefault="008F4924" w:rsidP="008F4924">
      <w:pPr>
        <w:pStyle w:val="ListParagraph"/>
        <w:numPr>
          <w:ilvl w:val="0"/>
          <w:numId w:val="12"/>
        </w:numPr>
        <w:spacing w:after="240"/>
        <w:contextualSpacing w:val="0"/>
        <w:rPr>
          <w:rFonts w:ascii="Arial" w:hAnsi="Arial" w:cs="Arial"/>
          <w:sz w:val="24"/>
          <w:szCs w:val="24"/>
        </w:rPr>
      </w:pPr>
      <w:r w:rsidRPr="00B02816">
        <w:rPr>
          <w:rFonts w:ascii="Arial" w:hAnsi="Arial" w:cs="Arial"/>
          <w:sz w:val="24"/>
          <w:szCs w:val="24"/>
        </w:rPr>
        <w:t>Lind</w:t>
      </w:r>
      <w:r w:rsidR="0078202B">
        <w:rPr>
          <w:rFonts w:ascii="Arial" w:hAnsi="Arial" w:cs="Arial"/>
          <w:sz w:val="24"/>
          <w:szCs w:val="24"/>
        </w:rPr>
        <w:t xml:space="preserve">a Esperanza Marquez High </w:t>
      </w:r>
      <w:r w:rsidRPr="00B02816">
        <w:rPr>
          <w:rFonts w:ascii="Arial" w:hAnsi="Arial" w:cs="Arial"/>
          <w:sz w:val="24"/>
          <w:szCs w:val="24"/>
        </w:rPr>
        <w:t xml:space="preserve">A Huntington Park Institute of Applied Medicine </w:t>
      </w:r>
    </w:p>
    <w:p w:rsidR="008F4924" w:rsidRDefault="008F4924" w:rsidP="008F4924">
      <w:pPr>
        <w:pStyle w:val="ListParagraph"/>
        <w:numPr>
          <w:ilvl w:val="0"/>
          <w:numId w:val="12"/>
        </w:numPr>
        <w:spacing w:after="240"/>
        <w:contextualSpacing w:val="0"/>
        <w:rPr>
          <w:rFonts w:ascii="Arial" w:hAnsi="Arial" w:cs="Arial"/>
          <w:sz w:val="24"/>
          <w:szCs w:val="24"/>
        </w:rPr>
      </w:pPr>
      <w:r>
        <w:rPr>
          <w:rFonts w:ascii="Arial" w:hAnsi="Arial" w:cs="Arial"/>
          <w:sz w:val="24"/>
          <w:szCs w:val="24"/>
        </w:rPr>
        <w:t xml:space="preserve">Bell Senior High </w:t>
      </w:r>
    </w:p>
    <w:p w:rsidR="008F4924" w:rsidRDefault="008F4924" w:rsidP="008F4924">
      <w:pPr>
        <w:pStyle w:val="ListParagraph"/>
        <w:numPr>
          <w:ilvl w:val="0"/>
          <w:numId w:val="12"/>
        </w:numPr>
        <w:spacing w:after="240"/>
        <w:contextualSpacing w:val="0"/>
        <w:rPr>
          <w:rFonts w:ascii="Arial" w:hAnsi="Arial" w:cs="Arial"/>
          <w:sz w:val="24"/>
          <w:szCs w:val="24"/>
        </w:rPr>
      </w:pPr>
      <w:r>
        <w:rPr>
          <w:rFonts w:ascii="Arial" w:hAnsi="Arial" w:cs="Arial"/>
          <w:sz w:val="24"/>
          <w:szCs w:val="24"/>
        </w:rPr>
        <w:t xml:space="preserve">Alliance Collins Family College–Ready High </w:t>
      </w:r>
    </w:p>
    <w:p w:rsidR="008F4924" w:rsidRPr="00F804A8" w:rsidRDefault="008F4924" w:rsidP="008F4924">
      <w:pPr>
        <w:pStyle w:val="ListParagraph"/>
        <w:numPr>
          <w:ilvl w:val="0"/>
          <w:numId w:val="12"/>
        </w:numPr>
        <w:spacing w:after="240"/>
        <w:contextualSpacing w:val="0"/>
        <w:rPr>
          <w:rFonts w:ascii="Arial" w:hAnsi="Arial" w:cs="Arial"/>
          <w:sz w:val="24"/>
          <w:szCs w:val="24"/>
        </w:rPr>
      </w:pPr>
      <w:r w:rsidRPr="00F804A8">
        <w:rPr>
          <w:rFonts w:ascii="Arial" w:hAnsi="Arial" w:cs="Arial"/>
          <w:sz w:val="24"/>
          <w:szCs w:val="24"/>
        </w:rPr>
        <w:t>Aspire Pacific Academy</w:t>
      </w:r>
    </w:p>
    <w:p w:rsidR="008F4924" w:rsidRDefault="008F4924" w:rsidP="008F4924">
      <w:pPr>
        <w:spacing w:after="240"/>
        <w:rPr>
          <w:rFonts w:cs="Arial"/>
        </w:rPr>
      </w:pPr>
      <w:r>
        <w:rPr>
          <w:rFonts w:cs="Arial"/>
        </w:rPr>
        <w:t>The academic performance of these schools may be used as the comparison schools for purposes of renewal.</w:t>
      </w:r>
    </w:p>
    <w:p w:rsidR="008F4924" w:rsidRDefault="008F4924" w:rsidP="008F4924">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8F4924" w:rsidRDefault="008F4924" w:rsidP="008F4924">
      <w:pPr>
        <w:spacing w:after="240"/>
        <w:rPr>
          <w:rFonts w:cs="Arial"/>
        </w:rPr>
      </w:pPr>
      <w:r>
        <w:rPr>
          <w:rFonts w:cs="Arial"/>
        </w:rPr>
        <w:t xml:space="preserve">California </w:t>
      </w:r>
      <w:r w:rsidRPr="00F461A6">
        <w:rPr>
          <w:rFonts w:cs="Arial"/>
        </w:rPr>
        <w:t xml:space="preserve">Dashboard: </w:t>
      </w:r>
      <w:hyperlink r:id="rId10" w:tooltip="California School Dashboard and System of Support" w:history="1">
        <w:r w:rsidRPr="00C144C2">
          <w:rPr>
            <w:rStyle w:val="Hyperlink"/>
            <w:rFonts w:eastAsiaTheme="majorEastAsia" w:cs="Arial"/>
          </w:rPr>
          <w:t>https://www.cde.ca.gov/ta/ac/cm/</w:t>
        </w:r>
      </w:hyperlink>
    </w:p>
    <w:p w:rsidR="008F4924" w:rsidRDefault="008F4924" w:rsidP="008F4924">
      <w:pPr>
        <w:spacing w:after="240"/>
        <w:rPr>
          <w:rStyle w:val="Hyperlink"/>
          <w:rFonts w:eastAsiaTheme="majorEastAsia" w:cs="Arial"/>
        </w:rPr>
      </w:pPr>
      <w:r w:rsidRPr="00F461A6">
        <w:rPr>
          <w:rFonts w:cs="Arial"/>
        </w:rPr>
        <w:t xml:space="preserve">LCAP Resources: </w:t>
      </w:r>
      <w:hyperlink r:id="rId11" w:tooltip="Planning for the LCAP and School Plan" w:history="1">
        <w:r w:rsidRPr="00C144C2">
          <w:rPr>
            <w:rStyle w:val="Hyperlink"/>
            <w:rFonts w:eastAsiaTheme="majorEastAsia" w:cs="Arial"/>
          </w:rPr>
          <w:t>https://www.cde.ca.gov/re/lc/planninglcapschoolplan.asp</w:t>
        </w:r>
      </w:hyperlink>
    </w:p>
    <w:p w:rsidR="00E9253D" w:rsidRDefault="00E9253D" w:rsidP="008F4924">
      <w:pPr>
        <w:spacing w:after="240"/>
        <w:rPr>
          <w:rFonts w:cs="Arial"/>
        </w:rPr>
        <w:sectPr w:rsidR="00E9253D">
          <w:pgSz w:w="12240" w:h="15840"/>
          <w:pgMar w:top="1440" w:right="1440" w:bottom="1440" w:left="1440" w:header="720" w:footer="720" w:gutter="0"/>
          <w:cols w:space="720"/>
          <w:docGrid w:linePitch="360"/>
        </w:sectPr>
      </w:pPr>
    </w:p>
    <w:p w:rsidR="00E9253D" w:rsidRPr="00E9253D" w:rsidRDefault="00E9253D" w:rsidP="00E9253D">
      <w:pPr>
        <w:pStyle w:val="Heading2"/>
        <w:jc w:val="center"/>
        <w:rPr>
          <w:sz w:val="36"/>
          <w:szCs w:val="36"/>
        </w:rPr>
      </w:pPr>
      <w:r w:rsidRPr="00E9253D">
        <w:rPr>
          <w:sz w:val="36"/>
          <w:szCs w:val="36"/>
        </w:rPr>
        <w:lastRenderedPageBreak/>
        <w:t>2018 California School Dashboard Data Summary Overview</w:t>
      </w:r>
    </w:p>
    <w:p w:rsidR="00E9253D" w:rsidRDefault="00E9253D" w:rsidP="00E9253D">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E9253D" w:rsidTr="004369D5">
        <w:trPr>
          <w:cantSplit/>
          <w:tblHeader/>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Indicator</w:t>
            </w:r>
          </w:p>
        </w:tc>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Color</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ELA</w:t>
            </w:r>
          </w:p>
        </w:tc>
        <w:tc>
          <w:tcPr>
            <w:tcW w:w="4675" w:type="dxa"/>
          </w:tcPr>
          <w:p w:rsidR="00E9253D" w:rsidRPr="0096434F" w:rsidRDefault="00E9253D" w:rsidP="00E9253D">
            <w:pPr>
              <w:spacing w:line="259" w:lineRule="auto"/>
              <w:jc w:val="center"/>
            </w:pPr>
            <w:r>
              <w:t>NA</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Math</w:t>
            </w:r>
          </w:p>
        </w:tc>
        <w:tc>
          <w:tcPr>
            <w:tcW w:w="4675" w:type="dxa"/>
          </w:tcPr>
          <w:p w:rsidR="00E9253D" w:rsidRPr="0096434F" w:rsidRDefault="00E9253D" w:rsidP="00E9253D">
            <w:pPr>
              <w:spacing w:line="259" w:lineRule="auto"/>
              <w:jc w:val="center"/>
            </w:pPr>
            <w:r>
              <w:t>NA</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Chronic Absenteeism</w:t>
            </w:r>
          </w:p>
        </w:tc>
        <w:tc>
          <w:tcPr>
            <w:tcW w:w="4675" w:type="dxa"/>
          </w:tcPr>
          <w:p w:rsidR="00E9253D" w:rsidRPr="0096434F" w:rsidRDefault="00E9253D" w:rsidP="00E9253D">
            <w:pPr>
              <w:spacing w:line="259" w:lineRule="auto"/>
              <w:jc w:val="center"/>
            </w:pPr>
            <w:r>
              <w:t>NA</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Suspension Rate</w:t>
            </w:r>
          </w:p>
        </w:tc>
        <w:tc>
          <w:tcPr>
            <w:tcW w:w="4675" w:type="dxa"/>
          </w:tcPr>
          <w:p w:rsidR="00E9253D" w:rsidRPr="0096434F" w:rsidRDefault="00E9253D" w:rsidP="00E9253D">
            <w:pPr>
              <w:spacing w:line="259" w:lineRule="auto"/>
              <w:jc w:val="center"/>
            </w:pPr>
            <w:r>
              <w:t>Red</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English Learner Progress</w:t>
            </w:r>
          </w:p>
        </w:tc>
        <w:tc>
          <w:tcPr>
            <w:tcW w:w="4675" w:type="dxa"/>
          </w:tcPr>
          <w:p w:rsidR="00E9253D" w:rsidRPr="0096434F" w:rsidRDefault="00E9253D" w:rsidP="00E9253D">
            <w:pPr>
              <w:spacing w:line="259" w:lineRule="auto"/>
              <w:jc w:val="center"/>
            </w:pPr>
            <w:r>
              <w:t>No Performance Color</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Graduation Rate</w:t>
            </w:r>
          </w:p>
        </w:tc>
        <w:tc>
          <w:tcPr>
            <w:tcW w:w="4675" w:type="dxa"/>
          </w:tcPr>
          <w:p w:rsidR="00E9253D" w:rsidRPr="0096434F" w:rsidRDefault="00E9253D" w:rsidP="00E9253D">
            <w:pPr>
              <w:spacing w:line="259" w:lineRule="auto"/>
              <w:jc w:val="center"/>
            </w:pPr>
            <w:r>
              <w:t>NA</w:t>
            </w:r>
          </w:p>
        </w:tc>
      </w:tr>
      <w:tr w:rsidR="00E9253D" w:rsidTr="004369D5">
        <w:trPr>
          <w:cantSplit/>
        </w:trPr>
        <w:tc>
          <w:tcPr>
            <w:tcW w:w="4675" w:type="dxa"/>
            <w:shd w:val="clear" w:color="auto" w:fill="BFBFBF" w:themeFill="background1" w:themeFillShade="BF"/>
          </w:tcPr>
          <w:p w:rsidR="00E9253D" w:rsidRPr="0096434F" w:rsidRDefault="00E9253D" w:rsidP="00E9253D">
            <w:pPr>
              <w:spacing w:line="259" w:lineRule="auto"/>
              <w:jc w:val="center"/>
              <w:rPr>
                <w:b/>
              </w:rPr>
            </w:pPr>
            <w:r w:rsidRPr="0096434F">
              <w:rPr>
                <w:b/>
              </w:rPr>
              <w:t>College/Career</w:t>
            </w:r>
          </w:p>
        </w:tc>
        <w:tc>
          <w:tcPr>
            <w:tcW w:w="4675" w:type="dxa"/>
          </w:tcPr>
          <w:p w:rsidR="00E9253D" w:rsidRPr="0096434F" w:rsidRDefault="00E9253D" w:rsidP="00E9253D">
            <w:pPr>
              <w:spacing w:line="259" w:lineRule="auto"/>
              <w:jc w:val="center"/>
            </w:pPr>
            <w:r>
              <w:t>NA</w:t>
            </w:r>
          </w:p>
        </w:tc>
      </w:tr>
    </w:tbl>
    <w:p w:rsidR="00E9253D" w:rsidRPr="009E5AAB" w:rsidRDefault="00E9253D" w:rsidP="00E9253D">
      <w:pPr>
        <w:spacing w:before="100" w:beforeAutospacing="1"/>
        <w:rPr>
          <w:b/>
        </w:rPr>
      </w:pPr>
      <w:r w:rsidRPr="009E5AAB">
        <w:rPr>
          <w:b/>
        </w:rPr>
        <w:t xml:space="preserve">Data Source </w:t>
      </w:r>
    </w:p>
    <w:p w:rsidR="00E9253D" w:rsidRPr="00E9253D" w:rsidRDefault="00087FBE" w:rsidP="00E9253D">
      <w:pPr>
        <w:spacing w:after="100" w:afterAutospacing="1"/>
        <w:rPr>
          <w:color w:val="0000FF"/>
        </w:rPr>
      </w:pPr>
      <w:hyperlink r:id="rId12" w:tooltip="California School Dashboard" w:history="1">
        <w:r w:rsidR="00E9253D" w:rsidRPr="00E9253D">
          <w:rPr>
            <w:rStyle w:val="Hyperlink"/>
          </w:rPr>
          <w:t>https://www.caschooldashboard.org/reports/19769920133900/2018</w:t>
        </w:r>
      </w:hyperlink>
    </w:p>
    <w:p w:rsidR="00E9253D" w:rsidRPr="00EA3B5B" w:rsidRDefault="00E9253D" w:rsidP="00E9253D">
      <w:r w:rsidRPr="00EA3B5B">
        <w:t>Prepared by the California Department of Education, Charter Schools Division,</w:t>
      </w:r>
      <w:r>
        <w:t xml:space="preserve"> March 2019</w:t>
      </w:r>
    </w:p>
    <w:sectPr w:rsidR="00E9253D"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A6" w:rsidRDefault="00FD1CA6" w:rsidP="00FD1CA6">
      <w:r>
        <w:separator/>
      </w:r>
    </w:p>
  </w:endnote>
  <w:endnote w:type="continuationSeparator" w:id="0">
    <w:p w:rsidR="00FD1CA6" w:rsidRDefault="00FD1CA6" w:rsidP="00FD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A6" w:rsidRDefault="00FD1CA6" w:rsidP="00FD1CA6">
      <w:r>
        <w:separator/>
      </w:r>
    </w:p>
  </w:footnote>
  <w:footnote w:type="continuationSeparator" w:id="0">
    <w:p w:rsidR="00FD1CA6" w:rsidRDefault="00FD1CA6" w:rsidP="00FD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A6" w:rsidRDefault="00FD1CA6" w:rsidP="00FD1CA6">
    <w:pPr>
      <w:pStyle w:val="Header"/>
      <w:jc w:val="right"/>
    </w:pPr>
    <w:r>
      <w:t>memo-gacsb-csd-jun19item02</w:t>
    </w:r>
  </w:p>
  <w:p w:rsidR="00FD1CA6" w:rsidRDefault="00FD1CA6" w:rsidP="00FD1CA6">
    <w:pPr>
      <w:pStyle w:val="Header"/>
      <w:jc w:val="right"/>
    </w:pPr>
    <w:r>
      <w:t>Attachment 61</w:t>
    </w:r>
  </w:p>
  <w:p w:rsidR="00FD1CA6" w:rsidRDefault="00FD1CA6" w:rsidP="00FD1CA6">
    <w:pPr>
      <w:pStyle w:val="Header"/>
      <w:spacing w:after="100" w:afterAutospacing="1"/>
      <w:jc w:val="right"/>
    </w:pPr>
    <w:r>
      <w:t xml:space="preserve">Page </w:t>
    </w:r>
    <w:r>
      <w:fldChar w:fldCharType="begin"/>
    </w:r>
    <w:r>
      <w:instrText xml:space="preserve"> PAGE   \* MERGEFORMAT </w:instrText>
    </w:r>
    <w:r>
      <w:fldChar w:fldCharType="separate"/>
    </w:r>
    <w:r w:rsidR="00FE1949">
      <w:rPr>
        <w:noProof/>
      </w:rPr>
      <w:t>4</w:t>
    </w:r>
    <w:r>
      <w:fldChar w:fldCharType="end"/>
    </w:r>
    <w:r>
      <w:t xml:space="preserve"> of </w:t>
    </w:r>
    <w:fldSimple w:instr=" NUMPAGES   \* MERGEFORMAT ">
      <w:r w:rsidR="00FE1949">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B7"/>
    <w:rsid w:val="00087FBE"/>
    <w:rsid w:val="000F7AF5"/>
    <w:rsid w:val="00161238"/>
    <w:rsid w:val="001A0CA5"/>
    <w:rsid w:val="00213F4B"/>
    <w:rsid w:val="00223F78"/>
    <w:rsid w:val="00254AD1"/>
    <w:rsid w:val="0029496A"/>
    <w:rsid w:val="002E4CB5"/>
    <w:rsid w:val="00430734"/>
    <w:rsid w:val="004D58E8"/>
    <w:rsid w:val="004E7AC1"/>
    <w:rsid w:val="005C5B70"/>
    <w:rsid w:val="006515B7"/>
    <w:rsid w:val="007428B8"/>
    <w:rsid w:val="0078202B"/>
    <w:rsid w:val="007E5BF1"/>
    <w:rsid w:val="007E64ED"/>
    <w:rsid w:val="007F5F3F"/>
    <w:rsid w:val="0081256C"/>
    <w:rsid w:val="008E4D20"/>
    <w:rsid w:val="008F4924"/>
    <w:rsid w:val="00985C28"/>
    <w:rsid w:val="009B3E8C"/>
    <w:rsid w:val="009C70F5"/>
    <w:rsid w:val="00AE0C8E"/>
    <w:rsid w:val="00AF0211"/>
    <w:rsid w:val="00BB1847"/>
    <w:rsid w:val="00BC76C9"/>
    <w:rsid w:val="00C21731"/>
    <w:rsid w:val="00C80ECA"/>
    <w:rsid w:val="00C82975"/>
    <w:rsid w:val="00CA6E47"/>
    <w:rsid w:val="00CB6664"/>
    <w:rsid w:val="00D15074"/>
    <w:rsid w:val="00D41632"/>
    <w:rsid w:val="00D47DAB"/>
    <w:rsid w:val="00DA52B3"/>
    <w:rsid w:val="00DC52B0"/>
    <w:rsid w:val="00DC6AE6"/>
    <w:rsid w:val="00DC774C"/>
    <w:rsid w:val="00DD596D"/>
    <w:rsid w:val="00E634EC"/>
    <w:rsid w:val="00E90B6F"/>
    <w:rsid w:val="00E9253D"/>
    <w:rsid w:val="00EA58D4"/>
    <w:rsid w:val="00EC47D6"/>
    <w:rsid w:val="00FD1CA6"/>
    <w:rsid w:val="00FE194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77A853C-2AF3-4062-B2C6-C9C7DCC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5B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Strong">
    <w:name w:val="Strong"/>
    <w:basedOn w:val="DefaultParagraphFont"/>
    <w:uiPriority w:val="22"/>
    <w:qFormat/>
    <w:rsid w:val="006515B7"/>
    <w:rPr>
      <w:b/>
      <w:bCs/>
    </w:rPr>
  </w:style>
  <w:style w:type="character" w:styleId="FollowedHyperlink">
    <w:name w:val="FollowedHyperlink"/>
    <w:basedOn w:val="DefaultParagraphFont"/>
    <w:uiPriority w:val="99"/>
    <w:semiHidden/>
    <w:unhideWhenUsed/>
    <w:rsid w:val="00C80ECA"/>
    <w:rPr>
      <w:color w:val="954F72" w:themeColor="followedHyperlink"/>
      <w:u w:val="single"/>
    </w:rPr>
  </w:style>
  <w:style w:type="paragraph" w:styleId="ListParagraph">
    <w:name w:val="List Paragraph"/>
    <w:basedOn w:val="Normal"/>
    <w:uiPriority w:val="34"/>
    <w:qFormat/>
    <w:rsid w:val="008F4924"/>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CA6"/>
    <w:pPr>
      <w:tabs>
        <w:tab w:val="center" w:pos="4680"/>
        <w:tab w:val="right" w:pos="9360"/>
      </w:tabs>
    </w:pPr>
  </w:style>
  <w:style w:type="character" w:customStyle="1" w:styleId="HeaderChar">
    <w:name w:val="Header Char"/>
    <w:basedOn w:val="DefaultParagraphFont"/>
    <w:link w:val="Header"/>
    <w:uiPriority w:val="99"/>
    <w:rsid w:val="00FD1CA6"/>
    <w:rPr>
      <w:rFonts w:ascii="Arial" w:eastAsia="Times New Roman" w:hAnsi="Arial" w:cs="Times New Roman"/>
      <w:sz w:val="24"/>
      <w:szCs w:val="24"/>
    </w:rPr>
  </w:style>
  <w:style w:type="paragraph" w:styleId="Footer">
    <w:name w:val="footer"/>
    <w:basedOn w:val="Normal"/>
    <w:link w:val="FooterChar"/>
    <w:uiPriority w:val="99"/>
    <w:unhideWhenUsed/>
    <w:rsid w:val="00FD1CA6"/>
    <w:pPr>
      <w:tabs>
        <w:tab w:val="center" w:pos="4680"/>
        <w:tab w:val="right" w:pos="9360"/>
      </w:tabs>
    </w:pPr>
  </w:style>
  <w:style w:type="character" w:customStyle="1" w:styleId="FooterChar">
    <w:name w:val="Footer Char"/>
    <w:basedOn w:val="DefaultParagraphFont"/>
    <w:link w:val="Footer"/>
    <w:uiPriority w:val="99"/>
    <w:rsid w:val="00FD1CA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reports/19769920133900/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tapublicschools.org/prepatechighschool/" TargetMode="External"/><Relationship Id="rId12" Type="http://schemas.openxmlformats.org/officeDocument/2006/relationships/hyperlink" Target="https://www.caschooldashboard.org/reports/19769920133900/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re/lc/planninglcapschoolplan.asp" TargetMode="External"/><Relationship Id="rId5" Type="http://schemas.openxmlformats.org/officeDocument/2006/relationships/footnotes" Target="footnotes.xml"/><Relationship Id="rId10" Type="http://schemas.openxmlformats.org/officeDocument/2006/relationships/hyperlink" Target="https://www.cde.ca.gov/ta/ac/c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June 2019 Memorandum Item 02 Attachment 61 - Information Memorandum (CA State Board of Education)</vt:lpstr>
    </vt:vector>
  </TitlesOfParts>
  <Company>California State Board of Education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61 - Information Memorandum (CA State Board of Education)</dc:title>
  <dc:subject>Prepa Tec Los Angeles High. Contains the letter and California Assessment of Student Performance and Progress Test Results sent by CDE.</dc:subject>
  <dc:creator/>
  <cp:keywords/>
  <dc:description/>
  <cp:lastPrinted>2017-12-08T22:18:00Z</cp:lastPrinted>
  <dcterms:created xsi:type="dcterms:W3CDTF">2019-05-24T21:50:00Z</dcterms:created>
  <dcterms:modified xsi:type="dcterms:W3CDTF">2019-08-02T22:55:00Z</dcterms:modified>
  <cp:category/>
</cp:coreProperties>
</file>