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BA62" w14:textId="7F7A72A0" w:rsidR="00C846DF" w:rsidRPr="00ED5C62" w:rsidRDefault="00C846DF" w:rsidP="00C846DF">
      <w:pPr>
        <w:pStyle w:val="Heading1"/>
        <w:ind w:right="-720"/>
      </w:pPr>
      <w:bookmarkStart w:id="0" w:name="_Toc107466433"/>
      <w:r>
        <w:t xml:space="preserve">SACS WEB SYSTEM </w:t>
      </w:r>
      <w:r w:rsidRPr="00C6764E">
        <w:t>WHAT'S NEW</w:t>
      </w:r>
      <w:r>
        <w:br/>
      </w:r>
      <w:r w:rsidRPr="007B38B9">
        <w:t xml:space="preserve">2023–24 </w:t>
      </w:r>
      <w:r>
        <w:t>INTERIM</w:t>
      </w:r>
      <w:r w:rsidRPr="007B38B9">
        <w:t xml:space="preserve"> REPORTING PERIOD</w:t>
      </w:r>
      <w:r w:rsidR="00533CB9">
        <w:t>S</w:t>
      </w:r>
    </w:p>
    <w:p w14:paraId="14BD21BD" w14:textId="327C3C2E" w:rsidR="00C846DF" w:rsidRPr="00C6764E" w:rsidRDefault="00C846DF" w:rsidP="00C846DF">
      <w:pPr>
        <w:spacing w:after="240"/>
      </w:pPr>
      <w:r>
        <w:rPr>
          <w:b/>
        </w:rPr>
        <w:t>California Department of Education</w:t>
      </w:r>
      <w:r w:rsidR="00AC516C">
        <w:rPr>
          <w:b/>
        </w:rPr>
        <w:t xml:space="preserve"> (CDE)</w:t>
      </w:r>
    </w:p>
    <w:p w14:paraId="36C404DC" w14:textId="517CD326" w:rsidR="00C846DF" w:rsidRPr="00C6764E" w:rsidRDefault="00C846DF" w:rsidP="00C846DF">
      <w:pPr>
        <w:spacing w:after="240"/>
      </w:pPr>
      <w:r w:rsidRPr="00C6764E">
        <w:t xml:space="preserve">Listed below is a summary of changes made to the 2023–24 </w:t>
      </w:r>
      <w:r>
        <w:t>interim</w:t>
      </w:r>
      <w:r w:rsidRPr="00C6764E">
        <w:t xml:space="preserve"> </w:t>
      </w:r>
      <w:r>
        <w:t xml:space="preserve">reporting </w:t>
      </w:r>
      <w:r w:rsidRPr="00C6764E">
        <w:t xml:space="preserve">components of the </w:t>
      </w:r>
      <w:r w:rsidR="00375CEA">
        <w:rPr>
          <w:rFonts w:ascii="Helvetica" w:hAnsi="Helvetica" w:cs="Helvetica"/>
          <w:color w:val="000000"/>
          <w:shd w:val="clear" w:color="auto" w:fill="FFFFFF"/>
        </w:rPr>
        <w:t>Standardized Account Code Structure (</w:t>
      </w:r>
      <w:r w:rsidRPr="00C6764E">
        <w:t>SACS</w:t>
      </w:r>
      <w:r w:rsidR="00375CEA">
        <w:t>)</w:t>
      </w:r>
      <w:r w:rsidRPr="00C6764E">
        <w:t xml:space="preserve"> </w:t>
      </w:r>
      <w:r>
        <w:t>Web System</w:t>
      </w:r>
      <w:r w:rsidRPr="00C6764E">
        <w:t>.</w:t>
      </w:r>
    </w:p>
    <w:p w14:paraId="18FB446A" w14:textId="77777777" w:rsidR="00C846DF" w:rsidRPr="00C6764E" w:rsidRDefault="00C846DF" w:rsidP="00C846DF">
      <w:pPr>
        <w:spacing w:after="480"/>
      </w:pPr>
      <w:r w:rsidRPr="00C6764E">
        <w:t xml:space="preserve">This year </w:t>
      </w:r>
      <w:r>
        <w:t>CDE’s</w:t>
      </w:r>
      <w:r w:rsidRPr="00C6764E">
        <w:t xml:space="preserve"> efforts were primarily focused on required changes (e.g., those due to Governmental Accounting Standards Board Statement </w:t>
      </w:r>
      <w:r>
        <w:t>96</w:t>
      </w:r>
      <w:r w:rsidRPr="00C6764E">
        <w:t>). For additional information on each of the changes, refer to the relevant sections of th</w:t>
      </w:r>
      <w:r>
        <w:t>e SACS Web System</w:t>
      </w:r>
      <w:r w:rsidRPr="00C6764E">
        <w:t xml:space="preserve"> </w:t>
      </w:r>
      <w:r>
        <w:t>U</w:t>
      </w:r>
      <w:r w:rsidRPr="00C6764E">
        <w:t xml:space="preserve">ser </w:t>
      </w:r>
      <w:r>
        <w:t>G</w:t>
      </w:r>
      <w:r w:rsidRPr="00C6764E">
        <w:t>uide.</w:t>
      </w:r>
    </w:p>
    <w:p w14:paraId="7A7C5DD6" w14:textId="77777777" w:rsidR="00C846DF" w:rsidRPr="00846867" w:rsidRDefault="00C846DF" w:rsidP="00C846DF">
      <w:pPr>
        <w:pStyle w:val="Heading2"/>
        <w:spacing w:after="240"/>
        <w:rPr>
          <w:b/>
          <w:u w:val="none"/>
        </w:rPr>
      </w:pPr>
      <w:r w:rsidRPr="00846867">
        <w:rPr>
          <w:b/>
          <w:u w:val="none"/>
        </w:rPr>
        <w:t xml:space="preserve">Revised Fund Forms </w:t>
      </w:r>
    </w:p>
    <w:p w14:paraId="1028D7F3" w14:textId="53D9575E" w:rsidR="00C846DF" w:rsidRPr="00CE2BDA" w:rsidRDefault="00C846DF" w:rsidP="00C846DF">
      <w:pPr>
        <w:numPr>
          <w:ilvl w:val="0"/>
          <w:numId w:val="1"/>
        </w:numPr>
        <w:ind w:left="720"/>
      </w:pPr>
      <w:r w:rsidRPr="00CE2BDA">
        <w:rPr>
          <w:b/>
        </w:rPr>
        <w:t>Form 01</w:t>
      </w:r>
      <w:r w:rsidR="00735DE6">
        <w:rPr>
          <w:b/>
        </w:rPr>
        <w:t>I</w:t>
      </w:r>
      <w:r w:rsidRPr="00CE2BDA">
        <w:rPr>
          <w:b/>
        </w:rPr>
        <w:t>, 08</w:t>
      </w:r>
      <w:r w:rsidR="00735DE6">
        <w:rPr>
          <w:b/>
        </w:rPr>
        <w:t>I</w:t>
      </w:r>
      <w:r w:rsidRPr="00CE2BDA">
        <w:rPr>
          <w:b/>
        </w:rPr>
        <w:t>, 09</w:t>
      </w:r>
      <w:r w:rsidR="00735DE6">
        <w:rPr>
          <w:b/>
        </w:rPr>
        <w:t>I</w:t>
      </w:r>
      <w:r w:rsidRPr="00CE2BDA">
        <w:rPr>
          <w:b/>
        </w:rPr>
        <w:t>, 11</w:t>
      </w:r>
      <w:r w:rsidR="00735DE6">
        <w:rPr>
          <w:b/>
        </w:rPr>
        <w:t>I</w:t>
      </w:r>
      <w:r w:rsidRPr="00CE2BDA">
        <w:rPr>
          <w:b/>
        </w:rPr>
        <w:t>, 12</w:t>
      </w:r>
      <w:r w:rsidR="00735DE6">
        <w:rPr>
          <w:b/>
        </w:rPr>
        <w:t>I</w:t>
      </w:r>
      <w:r w:rsidRPr="00CE2BDA">
        <w:rPr>
          <w:b/>
        </w:rPr>
        <w:t>, 13</w:t>
      </w:r>
      <w:r w:rsidR="00735DE6">
        <w:rPr>
          <w:b/>
        </w:rPr>
        <w:t>I</w:t>
      </w:r>
      <w:r w:rsidRPr="00CE2BDA">
        <w:rPr>
          <w:b/>
        </w:rPr>
        <w:t>, 14</w:t>
      </w:r>
      <w:r w:rsidR="00735DE6">
        <w:rPr>
          <w:b/>
        </w:rPr>
        <w:t>I</w:t>
      </w:r>
      <w:r w:rsidRPr="00CE2BDA">
        <w:rPr>
          <w:b/>
        </w:rPr>
        <w:t>, 15</w:t>
      </w:r>
      <w:r w:rsidR="00735DE6">
        <w:rPr>
          <w:b/>
        </w:rPr>
        <w:t>I</w:t>
      </w:r>
      <w:r w:rsidRPr="00CE2BDA">
        <w:rPr>
          <w:b/>
        </w:rPr>
        <w:t>, 18</w:t>
      </w:r>
      <w:r w:rsidR="00735DE6">
        <w:rPr>
          <w:b/>
        </w:rPr>
        <w:t>I</w:t>
      </w:r>
      <w:r w:rsidRPr="00CE2BDA">
        <w:rPr>
          <w:b/>
        </w:rPr>
        <w:t>, 21</w:t>
      </w:r>
      <w:r w:rsidR="00735DE6">
        <w:rPr>
          <w:b/>
        </w:rPr>
        <w:t>I</w:t>
      </w:r>
      <w:r w:rsidRPr="00CE2BDA">
        <w:rPr>
          <w:b/>
        </w:rPr>
        <w:t>, 25</w:t>
      </w:r>
      <w:r w:rsidR="00735DE6">
        <w:rPr>
          <w:b/>
        </w:rPr>
        <w:t>I</w:t>
      </w:r>
      <w:r w:rsidRPr="00CE2BDA">
        <w:rPr>
          <w:b/>
        </w:rPr>
        <w:t>, 30</w:t>
      </w:r>
      <w:r w:rsidR="00735DE6">
        <w:rPr>
          <w:b/>
        </w:rPr>
        <w:t>I</w:t>
      </w:r>
      <w:r w:rsidRPr="00CE2BDA">
        <w:rPr>
          <w:b/>
        </w:rPr>
        <w:t>, 35</w:t>
      </w:r>
      <w:r w:rsidR="00735DE6">
        <w:rPr>
          <w:b/>
        </w:rPr>
        <w:t>I</w:t>
      </w:r>
      <w:r w:rsidRPr="00CE2BDA">
        <w:rPr>
          <w:b/>
        </w:rPr>
        <w:t>, 40</w:t>
      </w:r>
      <w:r w:rsidR="00735DE6">
        <w:rPr>
          <w:b/>
        </w:rPr>
        <w:t>I</w:t>
      </w:r>
      <w:r w:rsidRPr="00CE2BDA">
        <w:rPr>
          <w:b/>
        </w:rPr>
        <w:t>, and 49</w:t>
      </w:r>
      <w:r w:rsidR="00735DE6">
        <w:rPr>
          <w:b/>
        </w:rPr>
        <w:t>I</w:t>
      </w:r>
      <w:r w:rsidRPr="00CE2BDA">
        <w:t>—Capital Outlay Section.</w:t>
      </w:r>
      <w:r w:rsidRPr="00CE2BDA">
        <w:br/>
        <w:t>Added a new line, Subscription Assets, Object 6700.</w:t>
      </w:r>
    </w:p>
    <w:p w14:paraId="09F14CD6" w14:textId="7CCC5ED9" w:rsidR="00CE2BDA" w:rsidRDefault="00735DE6" w:rsidP="00CE2BDA">
      <w:pPr>
        <w:numPr>
          <w:ilvl w:val="0"/>
          <w:numId w:val="1"/>
        </w:numPr>
        <w:ind w:left="720"/>
      </w:pPr>
      <w:r w:rsidRPr="00CE2BDA">
        <w:rPr>
          <w:b/>
        </w:rPr>
        <w:t>Form 01</w:t>
      </w:r>
      <w:r>
        <w:rPr>
          <w:b/>
        </w:rPr>
        <w:t>I</w:t>
      </w:r>
      <w:r w:rsidRPr="00CE2BDA">
        <w:rPr>
          <w:b/>
        </w:rPr>
        <w:t>, 08</w:t>
      </w:r>
      <w:r>
        <w:rPr>
          <w:b/>
        </w:rPr>
        <w:t>I</w:t>
      </w:r>
      <w:r w:rsidRPr="00CE2BDA">
        <w:rPr>
          <w:b/>
        </w:rPr>
        <w:t>, 09</w:t>
      </w:r>
      <w:r>
        <w:rPr>
          <w:b/>
        </w:rPr>
        <w:t>I</w:t>
      </w:r>
      <w:r w:rsidRPr="00CE2BDA">
        <w:rPr>
          <w:b/>
        </w:rPr>
        <w:t>, 11</w:t>
      </w:r>
      <w:r>
        <w:rPr>
          <w:b/>
        </w:rPr>
        <w:t>I</w:t>
      </w:r>
      <w:r w:rsidRPr="00CE2BDA">
        <w:rPr>
          <w:b/>
        </w:rPr>
        <w:t>, 12</w:t>
      </w:r>
      <w:r>
        <w:rPr>
          <w:b/>
        </w:rPr>
        <w:t>I</w:t>
      </w:r>
      <w:r w:rsidRPr="00CE2BDA">
        <w:rPr>
          <w:b/>
        </w:rPr>
        <w:t>, 13</w:t>
      </w:r>
      <w:r>
        <w:rPr>
          <w:b/>
        </w:rPr>
        <w:t>I</w:t>
      </w:r>
      <w:r w:rsidRPr="00CE2BDA">
        <w:rPr>
          <w:b/>
        </w:rPr>
        <w:t>, 14</w:t>
      </w:r>
      <w:r>
        <w:rPr>
          <w:b/>
        </w:rPr>
        <w:t>I</w:t>
      </w:r>
      <w:r w:rsidRPr="00CE2BDA">
        <w:rPr>
          <w:b/>
        </w:rPr>
        <w:t>, 15</w:t>
      </w:r>
      <w:r>
        <w:rPr>
          <w:b/>
        </w:rPr>
        <w:t>I</w:t>
      </w:r>
      <w:r w:rsidRPr="00CE2BDA">
        <w:rPr>
          <w:b/>
        </w:rPr>
        <w:t>, 18</w:t>
      </w:r>
      <w:r>
        <w:rPr>
          <w:b/>
        </w:rPr>
        <w:t>I</w:t>
      </w:r>
      <w:r w:rsidRPr="00CE2BDA">
        <w:rPr>
          <w:b/>
        </w:rPr>
        <w:t>, 21</w:t>
      </w:r>
      <w:r>
        <w:rPr>
          <w:b/>
        </w:rPr>
        <w:t>I</w:t>
      </w:r>
      <w:r w:rsidRPr="00CE2BDA">
        <w:rPr>
          <w:b/>
        </w:rPr>
        <w:t>, 25</w:t>
      </w:r>
      <w:r>
        <w:rPr>
          <w:b/>
        </w:rPr>
        <w:t>I</w:t>
      </w:r>
      <w:r w:rsidRPr="00CE2BDA">
        <w:rPr>
          <w:b/>
        </w:rPr>
        <w:t>, 30</w:t>
      </w:r>
      <w:r>
        <w:rPr>
          <w:b/>
        </w:rPr>
        <w:t>I</w:t>
      </w:r>
      <w:r w:rsidRPr="00CE2BDA">
        <w:rPr>
          <w:b/>
        </w:rPr>
        <w:t>, 35</w:t>
      </w:r>
      <w:r>
        <w:rPr>
          <w:b/>
        </w:rPr>
        <w:t>I</w:t>
      </w:r>
      <w:r w:rsidRPr="00CE2BDA">
        <w:rPr>
          <w:b/>
        </w:rPr>
        <w:t>, 40</w:t>
      </w:r>
      <w:r>
        <w:rPr>
          <w:b/>
        </w:rPr>
        <w:t>I</w:t>
      </w:r>
      <w:r w:rsidRPr="00CE2BDA">
        <w:rPr>
          <w:b/>
        </w:rPr>
        <w:t>, and 49</w:t>
      </w:r>
      <w:r>
        <w:rPr>
          <w:b/>
        </w:rPr>
        <w:t>I</w:t>
      </w:r>
      <w:r w:rsidRPr="00CE2BDA">
        <w:t xml:space="preserve"> </w:t>
      </w:r>
      <w:r w:rsidR="00C846DF" w:rsidRPr="00CE2BDA">
        <w:t>—Other Sources/Uses Section.</w:t>
      </w:r>
      <w:r w:rsidR="00C846DF" w:rsidRPr="00CE2BDA">
        <w:br/>
        <w:t>Added a new line, Proceeds from SBITAs, Object 8974.</w:t>
      </w:r>
    </w:p>
    <w:p w14:paraId="091D7321" w14:textId="7A8EF454" w:rsidR="00CE2BDA" w:rsidRPr="00CE2BDA" w:rsidRDefault="00C846DF" w:rsidP="00CE2BDA">
      <w:pPr>
        <w:numPr>
          <w:ilvl w:val="0"/>
          <w:numId w:val="1"/>
        </w:numPr>
        <w:spacing w:after="480"/>
        <w:ind w:left="720"/>
      </w:pPr>
      <w:r w:rsidRPr="00CE2BDA">
        <w:rPr>
          <w:b/>
        </w:rPr>
        <w:t>Form 61</w:t>
      </w:r>
      <w:r w:rsidR="00735DE6">
        <w:rPr>
          <w:b/>
        </w:rPr>
        <w:t>I</w:t>
      </w:r>
      <w:r w:rsidRPr="00CE2BDA">
        <w:rPr>
          <w:b/>
        </w:rPr>
        <w:t>, 62</w:t>
      </w:r>
      <w:r w:rsidR="00735DE6">
        <w:rPr>
          <w:b/>
        </w:rPr>
        <w:t>I</w:t>
      </w:r>
      <w:r w:rsidRPr="00CE2BDA">
        <w:rPr>
          <w:b/>
        </w:rPr>
        <w:t>, 63</w:t>
      </w:r>
      <w:r w:rsidR="00735DE6">
        <w:rPr>
          <w:b/>
        </w:rPr>
        <w:t>I</w:t>
      </w:r>
      <w:r w:rsidRPr="00CE2BDA">
        <w:rPr>
          <w:b/>
        </w:rPr>
        <w:t>, 66</w:t>
      </w:r>
      <w:r w:rsidR="00735DE6">
        <w:rPr>
          <w:b/>
        </w:rPr>
        <w:t>I</w:t>
      </w:r>
      <w:r w:rsidRPr="00CE2BDA">
        <w:rPr>
          <w:b/>
        </w:rPr>
        <w:t>, 67</w:t>
      </w:r>
      <w:r w:rsidR="00735DE6">
        <w:rPr>
          <w:b/>
        </w:rPr>
        <w:t>I</w:t>
      </w:r>
      <w:r w:rsidRPr="00CE2BDA">
        <w:rPr>
          <w:b/>
        </w:rPr>
        <w:t>, and 73</w:t>
      </w:r>
      <w:r w:rsidR="00735DE6">
        <w:rPr>
          <w:b/>
        </w:rPr>
        <w:t>I</w:t>
      </w:r>
      <w:r w:rsidRPr="00CE2BDA">
        <w:t>—Depreciation and Amortization Section.</w:t>
      </w:r>
      <w:r w:rsidRPr="00CE2BDA">
        <w:br/>
        <w:t>Added a new line, Amortization Expense-Subscription Assets, Object 6920.</w:t>
      </w:r>
    </w:p>
    <w:p w14:paraId="49D6741B" w14:textId="77777777" w:rsidR="00C846DF" w:rsidRPr="00846867" w:rsidRDefault="00C846DF" w:rsidP="00C846DF">
      <w:pPr>
        <w:pStyle w:val="Heading2"/>
        <w:spacing w:after="240"/>
        <w:rPr>
          <w:b/>
          <w:bCs/>
          <w:u w:val="none"/>
        </w:rPr>
      </w:pPr>
      <w:r w:rsidRPr="00846867">
        <w:rPr>
          <w:b/>
          <w:u w:val="none"/>
        </w:rPr>
        <w:t xml:space="preserve">Revised Supplemental Forms </w:t>
      </w:r>
    </w:p>
    <w:p w14:paraId="433115B6" w14:textId="77777777" w:rsidR="00CE2BDA" w:rsidRDefault="00CE2BDA" w:rsidP="00CE2BDA">
      <w:pPr>
        <w:rPr>
          <w:rFonts w:cs="Arial"/>
          <w:szCs w:val="24"/>
        </w:rPr>
      </w:pPr>
      <w:r>
        <w:rPr>
          <w:b/>
          <w:bCs/>
        </w:rPr>
        <w:t>Form MYPI</w:t>
      </w:r>
      <w:r>
        <w:t>—Multiyear Projections—Interims</w:t>
      </w:r>
    </w:p>
    <w:p w14:paraId="4D1AC228" w14:textId="35E350AA" w:rsidR="00C846DF" w:rsidRPr="00C6764E" w:rsidRDefault="00CE2BDA" w:rsidP="00FD2EC7">
      <w:pPr>
        <w:numPr>
          <w:ilvl w:val="0"/>
          <w:numId w:val="1"/>
        </w:numPr>
        <w:spacing w:after="480"/>
        <w:ind w:left="720"/>
      </w:pPr>
      <w:r>
        <w:t>Adjusted the dollar amounts used in the Unrestricted/Restricted worksheet, Reserve Standard Percentage Level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 xml:space="preserve">Line F3d for </w:t>
      </w:r>
      <w:r w:rsidR="005E1C25">
        <w:rPr>
          <w:i/>
          <w:iCs/>
        </w:rPr>
        <w:t>County Offices of Education [</w:t>
      </w:r>
      <w:r>
        <w:rPr>
          <w:i/>
          <w:iCs/>
        </w:rPr>
        <w:t>COEs</w:t>
      </w:r>
      <w:r w:rsidR="005E1C25">
        <w:rPr>
          <w:i/>
          <w:iCs/>
        </w:rPr>
        <w:t>]</w:t>
      </w:r>
      <w:r>
        <w:rPr>
          <w:i/>
          <w:iCs/>
        </w:rPr>
        <w:t xml:space="preserve"> only</w:t>
      </w:r>
      <w:r>
        <w:t>) and Reserve Standard – By Amount (Line F3f for COEs and districts, and Line F7 for JPAs), based on the COLA adjustment made to the Criteria and Standards Review form.</w:t>
      </w:r>
    </w:p>
    <w:p w14:paraId="1697469C" w14:textId="77777777" w:rsidR="00C846DF" w:rsidRPr="00846867" w:rsidRDefault="00C846DF" w:rsidP="00C846DF">
      <w:pPr>
        <w:pStyle w:val="Heading2"/>
        <w:spacing w:after="240"/>
        <w:rPr>
          <w:b/>
          <w:u w:val="none"/>
        </w:rPr>
      </w:pPr>
      <w:r w:rsidRPr="00846867">
        <w:rPr>
          <w:b/>
          <w:u w:val="none"/>
        </w:rPr>
        <w:t xml:space="preserve">Revised Criteria and Standards </w:t>
      </w:r>
    </w:p>
    <w:p w14:paraId="447C8C7D" w14:textId="77777777" w:rsidR="00CE2BDA" w:rsidRDefault="00CE2BDA" w:rsidP="00CE2BDA">
      <w:pPr>
        <w:ind w:left="1080" w:hanging="1080"/>
        <w:rPr>
          <w:rFonts w:cs="Arial"/>
          <w:szCs w:val="24"/>
        </w:rPr>
      </w:pPr>
      <w:r>
        <w:rPr>
          <w:b/>
          <w:bCs/>
        </w:rPr>
        <w:t>Form 01CSI</w:t>
      </w:r>
      <w:r>
        <w:t>—Criteria and Standards Review—Interims</w:t>
      </w:r>
    </w:p>
    <w:p w14:paraId="79266BA0" w14:textId="1F8A57DB" w:rsidR="00CE2BDA" w:rsidRDefault="00CE2BDA" w:rsidP="00CE2BDA">
      <w:pPr>
        <w:numPr>
          <w:ilvl w:val="0"/>
          <w:numId w:val="1"/>
        </w:numPr>
        <w:ind w:left="720"/>
        <w:rPr>
          <w:rFonts w:ascii="Calibri" w:hAnsi="Calibri" w:cs="Calibri"/>
          <w:sz w:val="22"/>
          <w:szCs w:val="22"/>
        </w:rPr>
      </w:pPr>
      <w:r>
        <w:t xml:space="preserve">Adjusted </w:t>
      </w:r>
      <w:r>
        <w:rPr>
          <w:i/>
          <w:iCs/>
        </w:rPr>
        <w:t xml:space="preserve">fund balance levels for COEs, </w:t>
      </w:r>
      <w:r>
        <w:t xml:space="preserve">and reserve levels for all </w:t>
      </w:r>
      <w:r w:rsidR="00AC516C">
        <w:rPr>
          <w:rFonts w:ascii="Helvetica" w:hAnsi="Helvetica" w:cs="Helvetica"/>
          <w:color w:val="000000"/>
          <w:shd w:val="clear" w:color="auto" w:fill="FFFFFF"/>
        </w:rPr>
        <w:t>local educational agencies (</w:t>
      </w:r>
      <w:r>
        <w:t>LEAs</w:t>
      </w:r>
      <w:r w:rsidR="00AC516C">
        <w:t>)</w:t>
      </w:r>
      <w:r>
        <w:t>, based on prior year's statutory COLA.</w:t>
      </w:r>
    </w:p>
    <w:p w14:paraId="51FBDF9F" w14:textId="780E70E9" w:rsidR="00C846DF" w:rsidRPr="00C6764E" w:rsidRDefault="00CE2BDA" w:rsidP="00263B9A">
      <w:pPr>
        <w:pStyle w:val="ListParagraph"/>
        <w:numPr>
          <w:ilvl w:val="1"/>
          <w:numId w:val="1"/>
        </w:numPr>
        <w:spacing w:after="480"/>
        <w:ind w:left="1440" w:hanging="720"/>
      </w:pPr>
      <w:r>
        <w:t>Districts only – Criterion 7 – Facilities Maintenance</w:t>
      </w:r>
      <w:r>
        <w:br/>
        <w:t>Updated the resource codes exclusions for the required minimum contribution calculation. The following resource codes will be automatically</w:t>
      </w:r>
      <w:r w:rsidR="00533CB9">
        <w:t xml:space="preserve"> </w:t>
      </w:r>
      <w:r>
        <w:t>excluded from the total budgeted expenditures and other financing uses calculation: 3212, 3213, 3214, 3216, 3218, 3219, 3225, 3226, 3227, 3228, 5316, 5632, 5633, 5634, 7027, and 7690. Please note resource codes 3210 and 3215 removed from the RRMA exclusion in SACS Web 2023-24.</w:t>
      </w:r>
    </w:p>
    <w:bookmarkEnd w:id="0"/>
    <w:p w14:paraId="46BEB266" w14:textId="77777777" w:rsidR="00263B9A" w:rsidRDefault="00263B9A" w:rsidP="00263B9A">
      <w:pPr>
        <w:pStyle w:val="Heading2"/>
        <w:spacing w:after="240"/>
        <w:rPr>
          <w:b/>
          <w:u w:val="none"/>
        </w:rPr>
      </w:pPr>
      <w:r w:rsidRPr="00263B9A">
        <w:rPr>
          <w:b/>
          <w:u w:val="none"/>
        </w:rPr>
        <w:lastRenderedPageBreak/>
        <w:t>Revised Reports</w:t>
      </w:r>
    </w:p>
    <w:p w14:paraId="1CCED284" w14:textId="59402536" w:rsidR="00263B9A" w:rsidRPr="002E7B71" w:rsidRDefault="00263B9A" w:rsidP="00263B9A">
      <w:r w:rsidRPr="002E7B71">
        <w:rPr>
          <w:b/>
          <w:bCs/>
        </w:rPr>
        <w:t>Reports SEMAI––</w:t>
      </w:r>
      <w:r w:rsidRPr="002E7B71">
        <w:t>Special Education Maintenance of Effort (MOE)</w:t>
      </w:r>
    </w:p>
    <w:p w14:paraId="456ED52A" w14:textId="77777777" w:rsidR="00263B9A" w:rsidRDefault="00263B9A" w:rsidP="00263B9A">
      <w:pPr>
        <w:numPr>
          <w:ilvl w:val="0"/>
          <w:numId w:val="6"/>
        </w:numPr>
      </w:pPr>
      <w:r>
        <w:t xml:space="preserve">SEMAI, LEA Projected (LP-I) </w:t>
      </w:r>
      <w:proofErr w:type="gramStart"/>
      <w:r>
        <w:t>worksheet</w:t>
      </w:r>
      <w:proofErr w:type="gramEnd"/>
    </w:p>
    <w:p w14:paraId="47F48379" w14:textId="77777777" w:rsidR="00263B9A" w:rsidRPr="002E7B71" w:rsidRDefault="00263B9A" w:rsidP="00263B9A">
      <w:pPr>
        <w:ind w:left="720"/>
      </w:pPr>
      <w:r w:rsidRPr="002E7B71">
        <w:t>SEMAI, LEA Actual (LA-I) worksheet</w:t>
      </w:r>
    </w:p>
    <w:p w14:paraId="0A64A349" w14:textId="77777777" w:rsidR="00263B9A" w:rsidRPr="002E7B71" w:rsidRDefault="00263B9A" w:rsidP="00263B9A">
      <w:pPr>
        <w:numPr>
          <w:ilvl w:val="1"/>
          <w:numId w:val="6"/>
        </w:numPr>
        <w:ind w:hanging="720"/>
      </w:pPr>
      <w:r w:rsidRPr="002E7B71">
        <w:t>Modified data extraction by excluding Object 6</w:t>
      </w:r>
      <w:r>
        <w:t>7</w:t>
      </w:r>
      <w:r w:rsidRPr="002E7B71">
        <w:t xml:space="preserve">00, </w:t>
      </w:r>
      <w:r>
        <w:t>Subscription</w:t>
      </w:r>
      <w:r w:rsidRPr="002E7B71">
        <w:t xml:space="preserve"> Assets, and Object 69</w:t>
      </w:r>
      <w:r>
        <w:t>2</w:t>
      </w:r>
      <w:r w:rsidRPr="002E7B71">
        <w:t>0, Amortization Expense–</w:t>
      </w:r>
      <w:r>
        <w:t>Subscription</w:t>
      </w:r>
      <w:r w:rsidRPr="002E7B71">
        <w:t xml:space="preserve"> Assets, from the Capital Outlay Expenditure line(s) with the object range of 6600–6999. </w:t>
      </w:r>
      <w:r w:rsidRPr="002E7B71">
        <w:br/>
        <w:t>Objects 6</w:t>
      </w:r>
      <w:r>
        <w:t>7</w:t>
      </w:r>
      <w:r w:rsidRPr="002E7B71">
        <w:t>00 and 69</w:t>
      </w:r>
      <w:r>
        <w:t>2</w:t>
      </w:r>
      <w:r w:rsidRPr="002E7B71">
        <w:t xml:space="preserve">0 are established in accordance </w:t>
      </w:r>
      <w:proofErr w:type="gramStart"/>
      <w:r w:rsidRPr="002E7B71">
        <w:t>to</w:t>
      </w:r>
      <w:proofErr w:type="gramEnd"/>
      <w:r w:rsidRPr="002E7B71">
        <w:t xml:space="preserve"> GASB </w:t>
      </w:r>
      <w:r>
        <w:t>96</w:t>
      </w:r>
      <w:r w:rsidRPr="002E7B71">
        <w:t xml:space="preserve">, in order to allow LEAs to account for intangible right-to-use </w:t>
      </w:r>
      <w:r>
        <w:t xml:space="preserve">information system (IT) </w:t>
      </w:r>
      <w:r w:rsidRPr="002E7B71">
        <w:t>assets under contracts effective 202</w:t>
      </w:r>
      <w:r>
        <w:t>2</w:t>
      </w:r>
      <w:r w:rsidRPr="002E7B71">
        <w:t>–2</w:t>
      </w:r>
      <w:r>
        <w:t>3</w:t>
      </w:r>
      <w:r w:rsidRPr="002E7B71">
        <w:t xml:space="preserve">. </w:t>
      </w:r>
    </w:p>
    <w:p w14:paraId="317EDCDC" w14:textId="77777777" w:rsidR="00375CEA" w:rsidRDefault="00263B9A" w:rsidP="00375CEA">
      <w:pPr>
        <w:numPr>
          <w:ilvl w:val="1"/>
          <w:numId w:val="6"/>
        </w:numPr>
        <w:ind w:hanging="720"/>
      </w:pPr>
      <w:r w:rsidRPr="002E7B71">
        <w:t>For clarification, added the word “(except Object 6</w:t>
      </w:r>
      <w:r>
        <w:t>600, 6700, 6910, &amp;</w:t>
      </w:r>
      <w:r w:rsidRPr="002E7B71">
        <w:t xml:space="preserve"> Object 69</w:t>
      </w:r>
      <w:r>
        <w:t>2</w:t>
      </w:r>
      <w:r w:rsidRPr="002E7B71">
        <w:t>0)” to the Capital Outlay Expenditure line(s).</w:t>
      </w:r>
    </w:p>
    <w:p w14:paraId="228AC764" w14:textId="77777777" w:rsidR="00375CEA" w:rsidRDefault="00263B9A" w:rsidP="00375CEA">
      <w:pPr>
        <w:numPr>
          <w:ilvl w:val="0"/>
          <w:numId w:val="6"/>
        </w:numPr>
      </w:pPr>
      <w:r>
        <w:t xml:space="preserve">SEMAI, SELPA Projected (SP-I) </w:t>
      </w:r>
      <w:proofErr w:type="gramStart"/>
      <w:r>
        <w:t>worksheet</w:t>
      </w:r>
      <w:proofErr w:type="gramEnd"/>
    </w:p>
    <w:p w14:paraId="0AFBB0A7" w14:textId="77777777" w:rsidR="00375CEA" w:rsidRDefault="00263B9A" w:rsidP="00375CEA">
      <w:pPr>
        <w:numPr>
          <w:ilvl w:val="1"/>
          <w:numId w:val="6"/>
        </w:numPr>
        <w:ind w:hanging="720"/>
      </w:pPr>
      <w:r w:rsidRPr="002E7B71">
        <w:t>For clarification, added the word “(except Object 6</w:t>
      </w:r>
      <w:r>
        <w:t>600, 6700, 6910, &amp; 6920</w:t>
      </w:r>
      <w:r w:rsidRPr="002E7B71">
        <w:t>)” to the Capital Outlay Expenditure line(s).</w:t>
      </w:r>
    </w:p>
    <w:p w14:paraId="216C82D2" w14:textId="77777777" w:rsidR="00375CEA" w:rsidRDefault="00263B9A" w:rsidP="00375CEA">
      <w:pPr>
        <w:numPr>
          <w:ilvl w:val="0"/>
          <w:numId w:val="6"/>
        </w:numPr>
      </w:pPr>
      <w:r w:rsidRPr="002E7B71">
        <w:t>SEMAI, LEA MOE Calculation (LMC-I)</w:t>
      </w:r>
    </w:p>
    <w:p w14:paraId="52AF035F" w14:textId="24D884D4" w:rsidR="00263B9A" w:rsidRPr="00263B9A" w:rsidRDefault="00263B9A" w:rsidP="00375CEA">
      <w:pPr>
        <w:numPr>
          <w:ilvl w:val="1"/>
          <w:numId w:val="6"/>
        </w:numPr>
        <w:ind w:hanging="720"/>
      </w:pPr>
      <w:r w:rsidRPr="002E7B71">
        <w:t xml:space="preserve">Modified text to </w:t>
      </w:r>
      <w:r w:rsidR="00F640FF">
        <w:t>delete all references related to</w:t>
      </w:r>
      <w:r w:rsidRPr="002E7B71">
        <w:t xml:space="preserve"> American Rescue Plan (ARP) Act IDEA Part B resources (that are, Resources 3305 and 3308) in Section 2.</w:t>
      </w:r>
    </w:p>
    <w:sectPr w:rsidR="00263B9A" w:rsidRPr="0026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707D" w14:textId="77777777" w:rsidR="00F2114E" w:rsidRDefault="00F2114E" w:rsidP="0049426B">
      <w:r>
        <w:separator/>
      </w:r>
    </w:p>
  </w:endnote>
  <w:endnote w:type="continuationSeparator" w:id="0">
    <w:p w14:paraId="31E4AFB9" w14:textId="77777777" w:rsidR="00F2114E" w:rsidRDefault="00F2114E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D513" w14:textId="77777777" w:rsidR="00F2114E" w:rsidRDefault="00F2114E" w:rsidP="0049426B">
      <w:r>
        <w:separator/>
      </w:r>
    </w:p>
  </w:footnote>
  <w:footnote w:type="continuationSeparator" w:id="0">
    <w:p w14:paraId="41F117A9" w14:textId="77777777" w:rsidR="00F2114E" w:rsidRDefault="00F2114E" w:rsidP="0049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F2F"/>
    <w:multiLevelType w:val="hybridMultilevel"/>
    <w:tmpl w:val="049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468"/>
    <w:multiLevelType w:val="hybridMultilevel"/>
    <w:tmpl w:val="1776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6FD4"/>
    <w:multiLevelType w:val="hybridMultilevel"/>
    <w:tmpl w:val="FEB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754D"/>
    <w:multiLevelType w:val="hybridMultilevel"/>
    <w:tmpl w:val="B388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B53"/>
    <w:multiLevelType w:val="hybridMultilevel"/>
    <w:tmpl w:val="BCAC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73D58"/>
    <w:multiLevelType w:val="hybridMultilevel"/>
    <w:tmpl w:val="C5A2665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 w16cid:durableId="815531712">
    <w:abstractNumId w:val="5"/>
  </w:num>
  <w:num w:numId="2" w16cid:durableId="732503343">
    <w:abstractNumId w:val="2"/>
  </w:num>
  <w:num w:numId="3" w16cid:durableId="618997421">
    <w:abstractNumId w:val="4"/>
  </w:num>
  <w:num w:numId="4" w16cid:durableId="670328977">
    <w:abstractNumId w:val="0"/>
  </w:num>
  <w:num w:numId="5" w16cid:durableId="1673559710">
    <w:abstractNumId w:val="5"/>
  </w:num>
  <w:num w:numId="6" w16cid:durableId="509680832">
    <w:abstractNumId w:val="3"/>
  </w:num>
  <w:num w:numId="7" w16cid:durableId="5898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F"/>
    <w:rsid w:val="00096E97"/>
    <w:rsid w:val="00172FE2"/>
    <w:rsid w:val="00263B9A"/>
    <w:rsid w:val="00375CEA"/>
    <w:rsid w:val="0049426B"/>
    <w:rsid w:val="00533CB9"/>
    <w:rsid w:val="005E1C25"/>
    <w:rsid w:val="005F4475"/>
    <w:rsid w:val="00735DE6"/>
    <w:rsid w:val="00862E4B"/>
    <w:rsid w:val="00990CD0"/>
    <w:rsid w:val="00A453DA"/>
    <w:rsid w:val="00AC516C"/>
    <w:rsid w:val="00C846DF"/>
    <w:rsid w:val="00C934D9"/>
    <w:rsid w:val="00CC2156"/>
    <w:rsid w:val="00CE2BDA"/>
    <w:rsid w:val="00D80B8D"/>
    <w:rsid w:val="00E4377C"/>
    <w:rsid w:val="00F2114E"/>
    <w:rsid w:val="00F640FF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CF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DF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846DF"/>
    <w:pPr>
      <w:keepNext/>
      <w:widowControl w:val="0"/>
      <w:tabs>
        <w:tab w:val="center" w:pos="5040"/>
      </w:tabs>
      <w:suppressAutoHyphens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1"/>
    <w:qFormat/>
    <w:rsid w:val="00C846DF"/>
    <w:pPr>
      <w:keepNext/>
      <w:tabs>
        <w:tab w:val="center" w:pos="4860"/>
      </w:tabs>
      <w:outlineLvl w:val="1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6DF"/>
    <w:rPr>
      <w:rFonts w:eastAsia="Times New Roman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C84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rsid w:val="00C846DF"/>
    <w:rPr>
      <w:rFonts w:eastAsia="Times New Roman" w:cs="Arial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846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2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9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26B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SACS 23–24 ­Interim What's New - Financial Reporting (CA Dept of Education)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23–24 ­Interim What's New - Financial Reporting (CA Dept of Education)</dc:title>
  <dc:subject>A list of new changes made to the 2023–24 SACS Web Interims Application.</dc:subject>
  <dc:creator/>
  <cp:keywords/>
  <dc:description/>
  <cp:lastModifiedBy/>
  <cp:revision>1</cp:revision>
  <dcterms:created xsi:type="dcterms:W3CDTF">2023-10-25T21:27:00Z</dcterms:created>
  <dcterms:modified xsi:type="dcterms:W3CDTF">2023-10-30T23:59:00Z</dcterms:modified>
</cp:coreProperties>
</file>