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B94" w14:textId="77777777" w:rsidR="003A0CCA" w:rsidRPr="001E269E" w:rsidRDefault="003A0CCA" w:rsidP="003A0CCA">
      <w:pPr>
        <w:rPr>
          <w:rFonts w:cs="Arial"/>
        </w:rPr>
      </w:pPr>
      <w:r w:rsidRPr="001E269E">
        <w:rPr>
          <w:rFonts w:cs="Arial"/>
          <w:noProof/>
        </w:rPr>
        <w:drawing>
          <wp:inline distT="0" distB="0" distL="0" distR="0" wp14:anchorId="6BBB7D77" wp14:editId="12C91C32">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484B553F" wp14:editId="0D123CBD">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E269E">
        <w:rPr>
          <w:rFonts w:cs="Arial"/>
        </w:rPr>
        <w:tab/>
      </w:r>
      <w:r w:rsidRPr="001E269E">
        <w:rPr>
          <w:rFonts w:cs="Arial"/>
        </w:rPr>
        <w:tab/>
      </w:r>
      <w:r w:rsidRPr="001E269E">
        <w:rPr>
          <w:rFonts w:cs="Arial"/>
        </w:rPr>
        <w:tab/>
      </w:r>
      <w:r w:rsidRPr="001E269E">
        <w:rPr>
          <w:rFonts w:cs="Arial"/>
          <w:noProof/>
        </w:rPr>
        <w:drawing>
          <wp:inline distT="0" distB="0" distL="0" distR="0" wp14:anchorId="0FB0D2E3" wp14:editId="0D971919">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629BDAB0" w14:textId="77777777" w:rsidR="003A0CCA" w:rsidRPr="001E269E" w:rsidRDefault="003A0CCA" w:rsidP="003A0CCA">
      <w:pPr>
        <w:pStyle w:val="Heading1"/>
        <w:spacing w:before="480" w:after="240"/>
        <w:jc w:val="center"/>
        <w:rPr>
          <w:rFonts w:cs="Arial"/>
          <w:sz w:val="40"/>
          <w:szCs w:val="40"/>
        </w:rPr>
      </w:pPr>
      <w:r w:rsidRPr="001E269E">
        <w:rPr>
          <w:rFonts w:cs="Arial"/>
          <w:sz w:val="40"/>
          <w:szCs w:val="40"/>
        </w:rPr>
        <w:t>California Workforce Pathways</w:t>
      </w:r>
      <w:r w:rsidRPr="001E269E">
        <w:rPr>
          <w:rFonts w:cs="Arial"/>
          <w:sz w:val="40"/>
          <w:szCs w:val="40"/>
        </w:rPr>
        <w:br/>
        <w:t>Joint Advisory Committee</w:t>
      </w:r>
      <w:r w:rsidRPr="001E269E">
        <w:rPr>
          <w:rFonts w:cs="Arial"/>
          <w:sz w:val="40"/>
          <w:szCs w:val="40"/>
        </w:rPr>
        <w:br/>
      </w:r>
      <w:r w:rsidR="00A338CA">
        <w:rPr>
          <w:rFonts w:cs="Arial"/>
          <w:sz w:val="40"/>
          <w:szCs w:val="40"/>
        </w:rPr>
        <w:t>November</w:t>
      </w:r>
      <w:r w:rsidR="00937C6E">
        <w:rPr>
          <w:rFonts w:cs="Arial"/>
          <w:sz w:val="40"/>
          <w:szCs w:val="40"/>
        </w:rPr>
        <w:t xml:space="preserve"> </w:t>
      </w:r>
      <w:r w:rsidR="00EB630C">
        <w:rPr>
          <w:rFonts w:cs="Arial"/>
          <w:sz w:val="40"/>
          <w:szCs w:val="40"/>
        </w:rPr>
        <w:t>2</w:t>
      </w:r>
      <w:r w:rsidR="00FB3E56">
        <w:rPr>
          <w:rFonts w:cs="Arial"/>
          <w:sz w:val="40"/>
          <w:szCs w:val="40"/>
        </w:rPr>
        <w:t>9</w:t>
      </w:r>
      <w:r w:rsidR="005E2F1D" w:rsidRPr="001E269E">
        <w:rPr>
          <w:rFonts w:cs="Arial"/>
          <w:sz w:val="40"/>
          <w:szCs w:val="40"/>
        </w:rPr>
        <w:t>, 202</w:t>
      </w:r>
      <w:r w:rsidR="00EB630C">
        <w:rPr>
          <w:rFonts w:cs="Arial"/>
          <w:sz w:val="40"/>
          <w:szCs w:val="40"/>
        </w:rPr>
        <w:t>2</w:t>
      </w:r>
      <w:r w:rsidRPr="001E269E">
        <w:rPr>
          <w:rFonts w:cs="Arial"/>
          <w:sz w:val="40"/>
          <w:szCs w:val="40"/>
        </w:rPr>
        <w:br/>
        <w:t>Agenda Item</w:t>
      </w:r>
      <w:r w:rsidR="00920F1B">
        <w:rPr>
          <w:rFonts w:cs="Arial"/>
          <w:sz w:val="40"/>
          <w:szCs w:val="40"/>
        </w:rPr>
        <w:t xml:space="preserve"> 0</w:t>
      </w:r>
      <w:r w:rsidR="00BB6B8B">
        <w:rPr>
          <w:rFonts w:cs="Arial"/>
          <w:sz w:val="40"/>
          <w:szCs w:val="40"/>
        </w:rPr>
        <w:t>3</w:t>
      </w:r>
    </w:p>
    <w:p w14:paraId="10218E8C" w14:textId="77777777" w:rsidR="003A0CCA" w:rsidRPr="001E269E" w:rsidRDefault="003A0CCA" w:rsidP="003A0CCA">
      <w:pPr>
        <w:jc w:val="center"/>
        <w:rPr>
          <w:rFonts w:cs="Arial"/>
        </w:rPr>
      </w:pPr>
      <w:r w:rsidRPr="001E269E">
        <w:rPr>
          <w:rFonts w:cs="Arial"/>
        </w:rPr>
        <w:t>Posted by the California Department of Education</w:t>
      </w:r>
    </w:p>
    <w:p w14:paraId="726646F4" w14:textId="77777777" w:rsidR="00144DF4" w:rsidRPr="001A50A1" w:rsidRDefault="00FC1FCE" w:rsidP="00D370A0">
      <w:pPr>
        <w:pStyle w:val="Heading2"/>
        <w:spacing w:before="480" w:after="240"/>
        <w:rPr>
          <w:rFonts w:cs="Arial"/>
          <w:sz w:val="36"/>
          <w:szCs w:val="36"/>
        </w:rPr>
      </w:pPr>
      <w:r w:rsidRPr="001A50A1">
        <w:rPr>
          <w:rFonts w:cs="Arial"/>
          <w:sz w:val="36"/>
          <w:szCs w:val="36"/>
        </w:rPr>
        <w:t>Subject</w:t>
      </w:r>
    </w:p>
    <w:p w14:paraId="58BD0463" w14:textId="77777777" w:rsidR="00F25602" w:rsidRPr="001E269E" w:rsidRDefault="000D35C8" w:rsidP="00CE3317">
      <w:pPr>
        <w:spacing w:after="240"/>
        <w:rPr>
          <w:rFonts w:cs="Arial"/>
        </w:rPr>
      </w:pPr>
      <w:bookmarkStart w:id="0" w:name="_Hlk68853835"/>
      <w:r w:rsidRPr="001E269E">
        <w:rPr>
          <w:rFonts w:cs="Arial"/>
        </w:rPr>
        <w:t>The Career Technical Education Incentive Grant</w:t>
      </w:r>
      <w:r w:rsidR="009A32D9" w:rsidRPr="001E269E">
        <w:rPr>
          <w:rFonts w:cs="Arial"/>
        </w:rPr>
        <w:t xml:space="preserve"> (CTEIG</w:t>
      </w:r>
      <w:r w:rsidR="004123DD">
        <w:rPr>
          <w:rFonts w:cs="Arial"/>
        </w:rPr>
        <w:t>)</w:t>
      </w:r>
      <w:r w:rsidR="00FC2674" w:rsidRPr="001E269E">
        <w:rPr>
          <w:rFonts w:cs="Arial"/>
        </w:rPr>
        <w:t>:</w:t>
      </w:r>
      <w:r w:rsidR="00BC70C9" w:rsidRPr="001E269E">
        <w:rPr>
          <w:rFonts w:cs="Arial"/>
        </w:rPr>
        <w:t xml:space="preserve"> </w:t>
      </w:r>
      <w:r w:rsidR="00FC2674" w:rsidRPr="001E269E">
        <w:rPr>
          <w:rFonts w:cs="Arial"/>
        </w:rPr>
        <w:t>U</w:t>
      </w:r>
      <w:r w:rsidR="003C79E6" w:rsidRPr="001E269E">
        <w:rPr>
          <w:rFonts w:cs="Arial"/>
        </w:rPr>
        <w:t>pdate</w:t>
      </w:r>
      <w:r w:rsidR="00BC70C9" w:rsidRPr="001E269E">
        <w:rPr>
          <w:rFonts w:cs="Arial"/>
        </w:rPr>
        <w:t xml:space="preserve"> </w:t>
      </w:r>
      <w:r w:rsidR="00FC2674" w:rsidRPr="001E269E">
        <w:rPr>
          <w:rFonts w:cs="Arial"/>
        </w:rPr>
        <w:t xml:space="preserve">on </w:t>
      </w:r>
      <w:r w:rsidR="003C79E6" w:rsidRPr="001E269E">
        <w:rPr>
          <w:rFonts w:cs="Arial"/>
        </w:rPr>
        <w:t>the</w:t>
      </w:r>
      <w:r w:rsidR="003A4F10" w:rsidRPr="001E269E">
        <w:rPr>
          <w:rFonts w:cs="Arial"/>
        </w:rPr>
        <w:t xml:space="preserve"> 202</w:t>
      </w:r>
      <w:r w:rsidR="004123DD">
        <w:rPr>
          <w:rFonts w:cs="Arial"/>
        </w:rPr>
        <w:t>2</w:t>
      </w:r>
      <w:r w:rsidR="00AB0F76" w:rsidRPr="001E269E">
        <w:rPr>
          <w:rFonts w:cs="Arial"/>
        </w:rPr>
        <w:t>–</w:t>
      </w:r>
      <w:r w:rsidR="003A4F10" w:rsidRPr="001E269E">
        <w:rPr>
          <w:rFonts w:cs="Arial"/>
        </w:rPr>
        <w:t>2</w:t>
      </w:r>
      <w:r w:rsidR="004123DD">
        <w:rPr>
          <w:rFonts w:cs="Arial"/>
        </w:rPr>
        <w:t>3</w:t>
      </w:r>
      <w:r w:rsidR="003A4F10" w:rsidRPr="001E269E">
        <w:rPr>
          <w:rFonts w:cs="Arial"/>
        </w:rPr>
        <w:t xml:space="preserve"> </w:t>
      </w:r>
      <w:r w:rsidR="009A32D9" w:rsidRPr="001E269E">
        <w:rPr>
          <w:rFonts w:cs="Arial"/>
        </w:rPr>
        <w:t>CTEIG</w:t>
      </w:r>
      <w:r w:rsidR="00A406EA" w:rsidRPr="001E269E">
        <w:rPr>
          <w:rFonts w:cs="Arial"/>
        </w:rPr>
        <w:t xml:space="preserve"> </w:t>
      </w:r>
      <w:r w:rsidR="005E2F1D" w:rsidRPr="001E269E">
        <w:rPr>
          <w:rFonts w:cs="Arial"/>
        </w:rPr>
        <w:t>Application</w:t>
      </w:r>
      <w:r w:rsidR="00D5145A">
        <w:rPr>
          <w:rFonts w:cs="Arial"/>
        </w:rPr>
        <w:t xml:space="preserve"> Process and Timeline</w:t>
      </w:r>
      <w:r w:rsidR="004123DD">
        <w:rPr>
          <w:rFonts w:cs="Arial"/>
        </w:rPr>
        <w:t>.</w:t>
      </w:r>
    </w:p>
    <w:bookmarkEnd w:id="0"/>
    <w:p w14:paraId="665E2CA5" w14:textId="77777777" w:rsidR="00FC1FCE" w:rsidRPr="001A50A1" w:rsidRDefault="00FC1FCE" w:rsidP="003A0CCA">
      <w:pPr>
        <w:pStyle w:val="Heading2"/>
        <w:spacing w:before="480" w:after="240"/>
        <w:rPr>
          <w:rFonts w:cs="Arial"/>
          <w:sz w:val="36"/>
          <w:szCs w:val="36"/>
        </w:rPr>
      </w:pPr>
      <w:r w:rsidRPr="001A50A1">
        <w:rPr>
          <w:rFonts w:cs="Arial"/>
          <w:sz w:val="36"/>
          <w:szCs w:val="36"/>
        </w:rPr>
        <w:t>Type of Action</w:t>
      </w:r>
    </w:p>
    <w:p w14:paraId="45E3983F" w14:textId="77777777" w:rsidR="00D61502" w:rsidRPr="001E269E" w:rsidRDefault="00144DF4" w:rsidP="00D61502">
      <w:pPr>
        <w:spacing w:after="240"/>
        <w:rPr>
          <w:rFonts w:cs="Arial"/>
        </w:rPr>
      </w:pPr>
      <w:r w:rsidRPr="001E269E">
        <w:rPr>
          <w:rFonts w:cs="Arial"/>
          <w:noProof/>
        </w:rPr>
        <w:t>Information</w:t>
      </w:r>
    </w:p>
    <w:p w14:paraId="47548EB7" w14:textId="77777777" w:rsidR="00FC1FCE" w:rsidRPr="001A50A1" w:rsidRDefault="00FC1FCE" w:rsidP="003A0CCA">
      <w:pPr>
        <w:pStyle w:val="Heading2"/>
        <w:spacing w:before="480" w:after="240"/>
        <w:rPr>
          <w:rFonts w:cs="Arial"/>
          <w:sz w:val="36"/>
          <w:szCs w:val="36"/>
        </w:rPr>
      </w:pPr>
      <w:r w:rsidRPr="001A50A1">
        <w:rPr>
          <w:rFonts w:cs="Arial"/>
          <w:sz w:val="36"/>
          <w:szCs w:val="36"/>
        </w:rPr>
        <w:t>Summary of the Issue(s)</w:t>
      </w:r>
    </w:p>
    <w:p w14:paraId="11F3D68E" w14:textId="77777777" w:rsidR="00167E35" w:rsidRPr="001E269E" w:rsidRDefault="00BC70C9" w:rsidP="007051E8">
      <w:pPr>
        <w:tabs>
          <w:tab w:val="left" w:pos="1755"/>
        </w:tabs>
        <w:spacing w:after="240"/>
        <w:rPr>
          <w:rFonts w:cs="Arial"/>
        </w:rPr>
      </w:pPr>
      <w:r w:rsidRPr="001E269E">
        <w:rPr>
          <w:rFonts w:cs="Arial"/>
        </w:rPr>
        <w:t xml:space="preserve">This agenda item </w:t>
      </w:r>
      <w:r w:rsidR="00E60842" w:rsidRPr="001E269E">
        <w:rPr>
          <w:rFonts w:cs="Arial"/>
        </w:rPr>
        <w:t>provides</w:t>
      </w:r>
      <w:r w:rsidRPr="001E269E">
        <w:rPr>
          <w:rFonts w:cs="Arial"/>
        </w:rPr>
        <w:t xml:space="preserve"> updates on various aspects of the CTEIG</w:t>
      </w:r>
      <w:r w:rsidR="00167E35" w:rsidRPr="001E269E">
        <w:rPr>
          <w:rFonts w:cs="Arial"/>
        </w:rPr>
        <w:t>:</w:t>
      </w:r>
    </w:p>
    <w:p w14:paraId="527AB16B" w14:textId="77777777" w:rsidR="00167E35" w:rsidRPr="001E269E" w:rsidRDefault="00F814C5" w:rsidP="005859C2">
      <w:pPr>
        <w:pStyle w:val="ListParagraph"/>
        <w:numPr>
          <w:ilvl w:val="0"/>
          <w:numId w:val="12"/>
        </w:numPr>
        <w:tabs>
          <w:tab w:val="left" w:pos="1755"/>
        </w:tabs>
        <w:spacing w:after="240"/>
        <w:contextualSpacing w:val="0"/>
        <w:rPr>
          <w:rFonts w:cs="Arial"/>
        </w:rPr>
      </w:pPr>
      <w:r w:rsidRPr="001E269E">
        <w:rPr>
          <w:rFonts w:cs="Arial"/>
        </w:rPr>
        <w:t>T</w:t>
      </w:r>
      <w:r w:rsidR="00BC70C9" w:rsidRPr="001E269E">
        <w:rPr>
          <w:rFonts w:cs="Arial"/>
        </w:rPr>
        <w:t>he F</w:t>
      </w:r>
      <w:r w:rsidR="0003321E" w:rsidRPr="001E269E">
        <w:rPr>
          <w:rFonts w:cs="Arial"/>
        </w:rPr>
        <w:t xml:space="preserve">iscal Year (FY) </w:t>
      </w:r>
      <w:r w:rsidR="00245750" w:rsidRPr="001E269E">
        <w:rPr>
          <w:rFonts w:cs="Arial"/>
        </w:rPr>
        <w:t>202</w:t>
      </w:r>
      <w:r w:rsidR="004123DD">
        <w:rPr>
          <w:rFonts w:cs="Arial"/>
        </w:rPr>
        <w:t>2</w:t>
      </w:r>
      <w:r w:rsidR="00245750" w:rsidRPr="001E269E">
        <w:rPr>
          <w:rFonts w:cs="Arial"/>
        </w:rPr>
        <w:t>–2</w:t>
      </w:r>
      <w:r w:rsidR="004123DD">
        <w:rPr>
          <w:rFonts w:cs="Arial"/>
        </w:rPr>
        <w:t>3</w:t>
      </w:r>
      <w:r w:rsidR="00245750" w:rsidRPr="001E269E">
        <w:rPr>
          <w:rFonts w:cs="Arial"/>
        </w:rPr>
        <w:t xml:space="preserve"> </w:t>
      </w:r>
      <w:r w:rsidR="00BC70C9" w:rsidRPr="001E269E">
        <w:rPr>
          <w:rFonts w:cs="Arial"/>
        </w:rPr>
        <w:t xml:space="preserve">CTEIG </w:t>
      </w:r>
      <w:r w:rsidR="00FF79CE" w:rsidRPr="001E269E">
        <w:rPr>
          <w:rFonts w:cs="Arial"/>
        </w:rPr>
        <w:t>application process</w:t>
      </w:r>
      <w:r w:rsidR="00D5145A">
        <w:rPr>
          <w:rFonts w:cs="Arial"/>
        </w:rPr>
        <w:t xml:space="preserve"> and timeline</w:t>
      </w:r>
    </w:p>
    <w:p w14:paraId="47F539AD" w14:textId="77777777" w:rsidR="004E74CA" w:rsidRPr="001A50A1" w:rsidRDefault="004E74CA" w:rsidP="004E74CA">
      <w:pPr>
        <w:pStyle w:val="Heading2"/>
        <w:spacing w:before="480" w:after="240"/>
        <w:rPr>
          <w:rFonts w:cs="Arial"/>
          <w:sz w:val="36"/>
          <w:szCs w:val="36"/>
        </w:rPr>
      </w:pPr>
      <w:r w:rsidRPr="001A50A1">
        <w:rPr>
          <w:rFonts w:cs="Arial"/>
          <w:sz w:val="36"/>
          <w:szCs w:val="36"/>
        </w:rPr>
        <w:t>Recommendation</w:t>
      </w:r>
    </w:p>
    <w:p w14:paraId="25B27997" w14:textId="77777777" w:rsidR="00D84A73" w:rsidRPr="001E269E" w:rsidRDefault="00D84A73" w:rsidP="00D84A73">
      <w:r w:rsidRPr="001E269E">
        <w:t>This is an information item only; there is no recommendation at this time.</w:t>
      </w:r>
    </w:p>
    <w:p w14:paraId="4AEF643B" w14:textId="77777777" w:rsidR="00B7410C" w:rsidRPr="001A50A1" w:rsidRDefault="00F814C5" w:rsidP="005859C2">
      <w:pPr>
        <w:pStyle w:val="Heading2"/>
        <w:spacing w:before="480" w:after="240"/>
        <w:rPr>
          <w:rFonts w:cs="Arial"/>
          <w:sz w:val="36"/>
          <w:szCs w:val="36"/>
        </w:rPr>
      </w:pPr>
      <w:r w:rsidRPr="001A50A1">
        <w:rPr>
          <w:rFonts w:cs="Arial"/>
          <w:sz w:val="36"/>
          <w:szCs w:val="36"/>
        </w:rPr>
        <w:lastRenderedPageBreak/>
        <w:t>Brief History of Key Issues</w:t>
      </w:r>
    </w:p>
    <w:p w14:paraId="5CE5051F" w14:textId="77777777" w:rsidR="003C79E6" w:rsidRPr="001E269E" w:rsidRDefault="008C0560" w:rsidP="00AE6BBC">
      <w:pPr>
        <w:spacing w:after="240"/>
      </w:pPr>
      <w:r w:rsidRPr="001E269E">
        <w:t>The CTEIG was originally established by the Budget Act of 2015 with a one-time investment of $900 million to cover a three-year span</w:t>
      </w:r>
      <w:r w:rsidR="004A3BD0" w:rsidRPr="001E269E">
        <w:t>,</w:t>
      </w:r>
      <w:r w:rsidRPr="001E269E">
        <w:t xml:space="preserve"> and </w:t>
      </w:r>
      <w:r w:rsidR="003C79E6" w:rsidRPr="001E269E">
        <w:t xml:space="preserve">acted </w:t>
      </w:r>
      <w:r w:rsidRPr="001E269E">
        <w:t xml:space="preserve">as a bridge for local educational agencies (LEAs) </w:t>
      </w:r>
      <w:r w:rsidR="003C79E6" w:rsidRPr="001E269E">
        <w:t xml:space="preserve">to support career technical education (CTE) programs </w:t>
      </w:r>
      <w:r w:rsidRPr="001E269E">
        <w:t xml:space="preserve">until the </w:t>
      </w:r>
      <w:r w:rsidR="003B101D" w:rsidRPr="001E269E">
        <w:t>L</w:t>
      </w:r>
      <w:r w:rsidRPr="001E269E">
        <w:t xml:space="preserve">ocal </w:t>
      </w:r>
      <w:r w:rsidR="003B101D" w:rsidRPr="001E269E">
        <w:t>C</w:t>
      </w:r>
      <w:r w:rsidRPr="001E269E">
        <w:t xml:space="preserve">ontrol </w:t>
      </w:r>
      <w:r w:rsidR="003B101D" w:rsidRPr="001E269E">
        <w:t>F</w:t>
      </w:r>
      <w:r w:rsidRPr="001E269E">
        <w:t>u</w:t>
      </w:r>
      <w:r w:rsidR="00832A5D" w:rsidRPr="001E269E">
        <w:t xml:space="preserve">nding </w:t>
      </w:r>
      <w:r w:rsidR="003B101D" w:rsidRPr="001E269E">
        <w:t>F</w:t>
      </w:r>
      <w:r w:rsidR="00832A5D" w:rsidRPr="001E269E">
        <w:t>ormula was fully funded.</w:t>
      </w:r>
    </w:p>
    <w:p w14:paraId="5902605C" w14:textId="77777777" w:rsidR="008C0560" w:rsidRPr="001E269E" w:rsidRDefault="003C79E6" w:rsidP="0078733C">
      <w:pPr>
        <w:spacing w:after="240"/>
        <w:rPr>
          <w:rFonts w:cs="Arial"/>
        </w:rPr>
      </w:pPr>
      <w:r w:rsidRPr="001E269E">
        <w:t xml:space="preserve">In the 2018 Budget Act, </w:t>
      </w:r>
      <w:r w:rsidRPr="001E269E">
        <w:rPr>
          <w:rFonts w:cs="Arial"/>
        </w:rPr>
        <w:t xml:space="preserve">the </w:t>
      </w:r>
      <w:r w:rsidR="00AE6BBC" w:rsidRPr="001E269E">
        <w:rPr>
          <w:rFonts w:cs="Arial"/>
        </w:rPr>
        <w:t xml:space="preserve">CTEIG </w:t>
      </w:r>
      <w:r w:rsidR="004123DD">
        <w:rPr>
          <w:rFonts w:cs="Arial"/>
        </w:rPr>
        <w:t>was</w:t>
      </w:r>
      <w:r w:rsidR="000B7883" w:rsidRPr="001E269E">
        <w:rPr>
          <w:rFonts w:cs="Arial"/>
        </w:rPr>
        <w:t xml:space="preserve"> allocated $150 million </w:t>
      </w:r>
      <w:r w:rsidRPr="001E269E">
        <w:t>in ongoing funds</w:t>
      </w:r>
      <w:r w:rsidR="00AE6BBC" w:rsidRPr="001E269E">
        <w:t>. An additional $13.5 million was provided annually</w:t>
      </w:r>
      <w:r w:rsidR="00FD2FD5">
        <w:t>,</w:t>
      </w:r>
      <w:r w:rsidR="00AE6BBC" w:rsidRPr="001E269E">
        <w:t xml:space="preserve"> </w:t>
      </w:r>
      <w:r w:rsidR="00FD2FD5">
        <w:t>through the K</w:t>
      </w:r>
      <w:r w:rsidR="00824C9E">
        <w:t>–12 Strong</w:t>
      </w:r>
      <w:r w:rsidR="00FD2FD5">
        <w:t xml:space="preserve"> Workforce Program, </w:t>
      </w:r>
      <w:r w:rsidR="00AE6BBC" w:rsidRPr="001E269E">
        <w:t xml:space="preserve">to establish technical assistance providers and workforce pathway coordinators in support </w:t>
      </w:r>
      <w:r w:rsidR="00232AD0">
        <w:t>CTEIG</w:t>
      </w:r>
      <w:r w:rsidR="00AE6BBC" w:rsidRPr="001E269E">
        <w:t>.</w:t>
      </w:r>
      <w:r w:rsidR="007159C8" w:rsidRPr="001E269E">
        <w:rPr>
          <w:rFonts w:cs="Arial"/>
        </w:rPr>
        <w:t xml:space="preserve"> </w:t>
      </w:r>
      <w:r w:rsidR="00AE6BBC" w:rsidRPr="001E269E">
        <w:rPr>
          <w:rFonts w:cs="Arial"/>
        </w:rPr>
        <w:t xml:space="preserve">The CTEIG </w:t>
      </w:r>
      <w:r w:rsidR="00232AD0">
        <w:rPr>
          <w:rFonts w:cs="Arial"/>
        </w:rPr>
        <w:t>is</w:t>
      </w:r>
      <w:r w:rsidR="00AE6BBC" w:rsidRPr="001E269E">
        <w:rPr>
          <w:rFonts w:cs="Arial"/>
        </w:rPr>
        <w:t xml:space="preserve"> administered by the </w:t>
      </w:r>
      <w:r w:rsidR="00BD6651">
        <w:rPr>
          <w:rFonts w:cs="Arial"/>
        </w:rPr>
        <w:t xml:space="preserve">California </w:t>
      </w:r>
      <w:r w:rsidR="00AE6BBC" w:rsidRPr="001E269E">
        <w:rPr>
          <w:rFonts w:cs="Arial"/>
        </w:rPr>
        <w:t>D</w:t>
      </w:r>
      <w:r w:rsidR="00BD6651">
        <w:rPr>
          <w:rFonts w:cs="Arial"/>
        </w:rPr>
        <w:t xml:space="preserve">epartment of </w:t>
      </w:r>
      <w:r w:rsidR="00AE6BBC" w:rsidRPr="001E269E">
        <w:rPr>
          <w:rFonts w:cs="Arial"/>
        </w:rPr>
        <w:t>E</w:t>
      </w:r>
      <w:r w:rsidR="00BD6651">
        <w:rPr>
          <w:rFonts w:cs="Arial"/>
        </w:rPr>
        <w:t>ducation (CDE)</w:t>
      </w:r>
      <w:r w:rsidR="00AE6BBC" w:rsidRPr="001E269E">
        <w:t>.</w:t>
      </w:r>
    </w:p>
    <w:p w14:paraId="4B378B0E" w14:textId="77777777" w:rsidR="00BC70C9" w:rsidRDefault="003B11CA" w:rsidP="00B753D9">
      <w:pPr>
        <w:pStyle w:val="Heading3"/>
      </w:pPr>
      <w:r w:rsidRPr="001E269E">
        <w:t>The</w:t>
      </w:r>
      <w:r w:rsidR="005F590E" w:rsidRPr="001E269E">
        <w:t xml:space="preserve"> FY</w:t>
      </w:r>
      <w:r w:rsidR="0003321E" w:rsidRPr="001E269E">
        <w:t xml:space="preserve"> </w:t>
      </w:r>
      <w:r w:rsidR="005F590E" w:rsidRPr="001E269E">
        <w:t>20</w:t>
      </w:r>
      <w:r w:rsidR="00EF2391" w:rsidRPr="001E269E">
        <w:t>2</w:t>
      </w:r>
      <w:r w:rsidR="00232AD0">
        <w:t>2</w:t>
      </w:r>
      <w:r w:rsidR="00AB0F76" w:rsidRPr="001E269E">
        <w:t>–</w:t>
      </w:r>
      <w:r w:rsidR="005F590E" w:rsidRPr="001E269E">
        <w:t>2</w:t>
      </w:r>
      <w:r w:rsidR="00232AD0">
        <w:t>3</w:t>
      </w:r>
      <w:r w:rsidR="00AB0F76" w:rsidRPr="001E269E">
        <w:t xml:space="preserve"> </w:t>
      </w:r>
      <w:r w:rsidR="005F590E" w:rsidRPr="001E269E">
        <w:t xml:space="preserve">CTEIG </w:t>
      </w:r>
      <w:r w:rsidR="00830417" w:rsidRPr="001E269E">
        <w:t>Application Process</w:t>
      </w:r>
      <w:r w:rsidR="00D5145A">
        <w:t xml:space="preserve"> and Timeline</w:t>
      </w:r>
    </w:p>
    <w:p w14:paraId="2CDE6590" w14:textId="77777777" w:rsidR="003D6ECF" w:rsidRDefault="00D5145A" w:rsidP="00A02190">
      <w:pPr>
        <w:tabs>
          <w:tab w:val="left" w:pos="1755"/>
        </w:tabs>
        <w:spacing w:after="240"/>
        <w:rPr>
          <w:rFonts w:cs="Arial"/>
        </w:rPr>
      </w:pPr>
      <w:r>
        <w:rPr>
          <w:rFonts w:cs="Arial"/>
        </w:rPr>
        <w:t>The FY 202</w:t>
      </w:r>
      <w:r w:rsidR="004123DD">
        <w:rPr>
          <w:rFonts w:cs="Arial"/>
        </w:rPr>
        <w:t>2</w:t>
      </w:r>
      <w:r>
        <w:rPr>
          <w:rFonts w:cs="Arial"/>
        </w:rPr>
        <w:t>–2</w:t>
      </w:r>
      <w:r w:rsidR="004123DD">
        <w:rPr>
          <w:rFonts w:cs="Arial"/>
        </w:rPr>
        <w:t>3</w:t>
      </w:r>
      <w:r>
        <w:rPr>
          <w:rFonts w:cs="Arial"/>
        </w:rPr>
        <w:t xml:space="preserve"> CTEIG </w:t>
      </w:r>
      <w:r w:rsidR="006C268F">
        <w:rPr>
          <w:rFonts w:cs="Arial"/>
        </w:rPr>
        <w:t>Request for Applications (RFA)</w:t>
      </w:r>
      <w:r>
        <w:rPr>
          <w:rFonts w:cs="Arial"/>
        </w:rPr>
        <w:t xml:space="preserve"> was released to LEAs</w:t>
      </w:r>
      <w:r w:rsidR="00BD6651">
        <w:rPr>
          <w:rFonts w:cs="Arial"/>
        </w:rPr>
        <w:t xml:space="preserve"> </w:t>
      </w:r>
      <w:r w:rsidR="002B1D31">
        <w:rPr>
          <w:rFonts w:cs="Arial"/>
        </w:rPr>
        <w:t>i</w:t>
      </w:r>
      <w:r>
        <w:rPr>
          <w:rFonts w:cs="Arial"/>
        </w:rPr>
        <w:t>n A</w:t>
      </w:r>
      <w:r w:rsidR="002B1D31">
        <w:rPr>
          <w:rFonts w:cs="Arial"/>
        </w:rPr>
        <w:t>ugust</w:t>
      </w:r>
      <w:r>
        <w:rPr>
          <w:rFonts w:cs="Arial"/>
        </w:rPr>
        <w:t xml:space="preserve"> 202</w:t>
      </w:r>
      <w:r w:rsidR="002B1D31">
        <w:rPr>
          <w:rFonts w:cs="Arial"/>
        </w:rPr>
        <w:t>2</w:t>
      </w:r>
      <w:r w:rsidR="00BD6651">
        <w:rPr>
          <w:rFonts w:cs="Arial"/>
        </w:rPr>
        <w:t>,</w:t>
      </w:r>
      <w:r>
        <w:rPr>
          <w:rFonts w:cs="Arial"/>
        </w:rPr>
        <w:t xml:space="preserve"> with the due date </w:t>
      </w:r>
      <w:r w:rsidR="003D6ECF">
        <w:rPr>
          <w:rFonts w:cs="Arial"/>
        </w:rPr>
        <w:t>of</w:t>
      </w:r>
      <w:r>
        <w:rPr>
          <w:rFonts w:cs="Arial"/>
        </w:rPr>
        <w:t xml:space="preserve"> </w:t>
      </w:r>
      <w:r w:rsidR="002B1D31">
        <w:rPr>
          <w:rFonts w:cs="Arial"/>
        </w:rPr>
        <w:t>September 30</w:t>
      </w:r>
      <w:r>
        <w:rPr>
          <w:rFonts w:cs="Arial"/>
        </w:rPr>
        <w:t>, 202</w:t>
      </w:r>
      <w:r w:rsidR="002B1D31">
        <w:rPr>
          <w:rFonts w:cs="Arial"/>
        </w:rPr>
        <w:t>2</w:t>
      </w:r>
      <w:r>
        <w:rPr>
          <w:rFonts w:cs="Arial"/>
        </w:rPr>
        <w:t xml:space="preserve">. </w:t>
      </w:r>
      <w:bookmarkStart w:id="1" w:name="_Hlk68592475"/>
      <w:r w:rsidR="00BD6651">
        <w:rPr>
          <w:rFonts w:cs="Arial"/>
        </w:rPr>
        <w:t xml:space="preserve">The </w:t>
      </w:r>
      <w:r w:rsidR="00387218">
        <w:rPr>
          <w:rFonts w:cs="Arial"/>
        </w:rPr>
        <w:t>CDE held a series of webinars to provide LEAs with information on how to complete the RFA process and continues to provide technical assistance to LEAs who contact CDE’s CTEIG Regional Consultants.</w:t>
      </w:r>
      <w:r w:rsidR="00BD6651">
        <w:rPr>
          <w:rFonts w:cs="Arial"/>
        </w:rPr>
        <w:t xml:space="preserve"> The</w:t>
      </w:r>
      <w:r w:rsidR="00387218">
        <w:rPr>
          <w:rFonts w:cs="Arial"/>
        </w:rPr>
        <w:t xml:space="preserve"> </w:t>
      </w:r>
      <w:r w:rsidR="006A4647">
        <w:rPr>
          <w:rFonts w:cs="Arial"/>
        </w:rPr>
        <w:t xml:space="preserve">CDE </w:t>
      </w:r>
      <w:r w:rsidR="003D6ECF">
        <w:rPr>
          <w:rFonts w:cs="Arial"/>
        </w:rPr>
        <w:t xml:space="preserve">staff also </w:t>
      </w:r>
      <w:r w:rsidR="006A4647">
        <w:rPr>
          <w:rFonts w:cs="Arial"/>
        </w:rPr>
        <w:t>provide</w:t>
      </w:r>
      <w:r w:rsidR="003D6ECF">
        <w:rPr>
          <w:rFonts w:cs="Arial"/>
        </w:rPr>
        <w:t>d</w:t>
      </w:r>
      <w:r w:rsidR="006A4647">
        <w:rPr>
          <w:rFonts w:cs="Arial"/>
        </w:rPr>
        <w:t xml:space="preserve"> </w:t>
      </w:r>
      <w:r w:rsidR="00A02190">
        <w:rPr>
          <w:rFonts w:cs="Arial"/>
        </w:rPr>
        <w:t>p</w:t>
      </w:r>
      <w:r w:rsidR="006A4647">
        <w:rPr>
          <w:rFonts w:cs="Arial"/>
        </w:rPr>
        <w:t xml:space="preserve">rofessional development to the </w:t>
      </w:r>
      <w:r w:rsidR="006A4647" w:rsidRPr="006A4647">
        <w:rPr>
          <w:rFonts w:cs="Arial"/>
        </w:rPr>
        <w:t xml:space="preserve">K–14 Technical </w:t>
      </w:r>
      <w:r w:rsidR="006A4647" w:rsidRPr="000705E1">
        <w:rPr>
          <w:rFonts w:cs="Arial"/>
        </w:rPr>
        <w:t>Assistance Providers and Pathway Coordinators regarding the 202</w:t>
      </w:r>
      <w:r w:rsidR="00E87462">
        <w:rPr>
          <w:rFonts w:cs="Arial"/>
        </w:rPr>
        <w:t>2</w:t>
      </w:r>
      <w:r w:rsidR="00BD6651" w:rsidRPr="000705E1">
        <w:rPr>
          <w:rFonts w:cs="Arial"/>
        </w:rPr>
        <w:t>–</w:t>
      </w:r>
      <w:r w:rsidR="006A4647" w:rsidRPr="000705E1">
        <w:rPr>
          <w:rFonts w:cs="Arial"/>
        </w:rPr>
        <w:t>2</w:t>
      </w:r>
      <w:r w:rsidR="00E87462">
        <w:rPr>
          <w:rFonts w:cs="Arial"/>
        </w:rPr>
        <w:t>3</w:t>
      </w:r>
      <w:r w:rsidR="006A4647" w:rsidRPr="000705E1">
        <w:rPr>
          <w:rFonts w:cs="Arial"/>
        </w:rPr>
        <w:t xml:space="preserve"> CTEIG </w:t>
      </w:r>
      <w:r w:rsidR="008042AF" w:rsidRPr="000705E1">
        <w:rPr>
          <w:rFonts w:cs="Arial"/>
        </w:rPr>
        <w:t>RFA</w:t>
      </w:r>
      <w:r w:rsidR="006A4647" w:rsidRPr="000705E1">
        <w:rPr>
          <w:rFonts w:cs="Arial"/>
        </w:rPr>
        <w:t xml:space="preserve"> process to </w:t>
      </w:r>
      <w:r w:rsidR="007164BA" w:rsidRPr="000705E1">
        <w:rPr>
          <w:rFonts w:cs="Arial"/>
        </w:rPr>
        <w:t xml:space="preserve">enable them to </w:t>
      </w:r>
      <w:r w:rsidR="006A4647" w:rsidRPr="000705E1">
        <w:rPr>
          <w:rFonts w:cs="Arial"/>
        </w:rPr>
        <w:t xml:space="preserve">better assist LEAs in completing the application. </w:t>
      </w:r>
    </w:p>
    <w:p w14:paraId="6AEB181B" w14:textId="77777777" w:rsidR="00D5145A" w:rsidRPr="003D6ECF" w:rsidRDefault="00937C6E" w:rsidP="00A02190">
      <w:pPr>
        <w:tabs>
          <w:tab w:val="left" w:pos="1755"/>
        </w:tabs>
        <w:spacing w:after="240"/>
        <w:rPr>
          <w:rFonts w:cs="Arial"/>
          <w:b/>
        </w:rPr>
      </w:pPr>
      <w:r>
        <w:rPr>
          <w:rFonts w:cs="Arial"/>
        </w:rPr>
        <w:t xml:space="preserve">The 2021 </w:t>
      </w:r>
      <w:r w:rsidR="00F314F2">
        <w:rPr>
          <w:rFonts w:cs="Arial"/>
        </w:rPr>
        <w:t xml:space="preserve">Budget </w:t>
      </w:r>
      <w:r w:rsidR="00E87462">
        <w:rPr>
          <w:rFonts w:cs="Arial"/>
        </w:rPr>
        <w:t>Act added</w:t>
      </w:r>
      <w:r>
        <w:rPr>
          <w:rFonts w:cs="Arial"/>
        </w:rPr>
        <w:t xml:space="preserve"> an additional $150 million to the available CTEIG funding that brings the total available funding to $300 million. </w:t>
      </w:r>
      <w:r w:rsidR="006A4647" w:rsidRPr="000705E1">
        <w:rPr>
          <w:rFonts w:cs="Arial"/>
        </w:rPr>
        <w:t>It</w:t>
      </w:r>
      <w:r w:rsidR="00387218" w:rsidRPr="000705E1">
        <w:rPr>
          <w:rFonts w:cs="Arial"/>
        </w:rPr>
        <w:t xml:space="preserve"> is </w:t>
      </w:r>
      <w:r w:rsidR="000E2BCD" w:rsidRPr="000705E1">
        <w:rPr>
          <w:rFonts w:cs="Arial"/>
        </w:rPr>
        <w:t>anticip</w:t>
      </w:r>
      <w:r w:rsidR="000E2BCD">
        <w:rPr>
          <w:rFonts w:cs="Arial"/>
        </w:rPr>
        <w:t>a</w:t>
      </w:r>
      <w:r w:rsidR="000E2BCD" w:rsidRPr="000705E1">
        <w:rPr>
          <w:rFonts w:cs="Arial"/>
        </w:rPr>
        <w:t>ted</w:t>
      </w:r>
      <w:r w:rsidR="00387218" w:rsidRPr="000705E1">
        <w:rPr>
          <w:rFonts w:cs="Arial"/>
        </w:rPr>
        <w:t xml:space="preserve"> that the proposed allocations for the FY 202</w:t>
      </w:r>
      <w:r w:rsidR="00E87462">
        <w:rPr>
          <w:rFonts w:cs="Arial"/>
        </w:rPr>
        <w:t>2</w:t>
      </w:r>
      <w:r w:rsidR="00387218" w:rsidRPr="000705E1">
        <w:rPr>
          <w:rFonts w:cs="Arial"/>
        </w:rPr>
        <w:t>–2</w:t>
      </w:r>
      <w:r w:rsidR="00E87462">
        <w:rPr>
          <w:rFonts w:cs="Arial"/>
        </w:rPr>
        <w:t>3</w:t>
      </w:r>
      <w:r w:rsidR="00387218" w:rsidRPr="000705E1">
        <w:rPr>
          <w:rFonts w:cs="Arial"/>
        </w:rPr>
        <w:t xml:space="preserve"> CTEIG program will </w:t>
      </w:r>
      <w:r w:rsidR="007164BA" w:rsidRPr="000705E1">
        <w:rPr>
          <w:rFonts w:cs="Arial"/>
        </w:rPr>
        <w:t xml:space="preserve">be recommended for approval at </w:t>
      </w:r>
      <w:r w:rsidR="00387218" w:rsidRPr="000705E1">
        <w:rPr>
          <w:rFonts w:cs="Arial"/>
        </w:rPr>
        <w:t xml:space="preserve">the </w:t>
      </w:r>
      <w:r>
        <w:rPr>
          <w:rFonts w:cs="Arial"/>
        </w:rPr>
        <w:t>January</w:t>
      </w:r>
      <w:r w:rsidR="00387218" w:rsidRPr="000705E1">
        <w:rPr>
          <w:rFonts w:cs="Arial"/>
        </w:rPr>
        <w:t xml:space="preserve"> 202</w:t>
      </w:r>
      <w:r w:rsidR="00E87462">
        <w:rPr>
          <w:rFonts w:cs="Arial"/>
        </w:rPr>
        <w:t>3</w:t>
      </w:r>
      <w:r w:rsidR="00387218" w:rsidRPr="000705E1">
        <w:rPr>
          <w:rFonts w:cs="Arial"/>
        </w:rPr>
        <w:t xml:space="preserve"> State Board of Education meeting</w:t>
      </w:r>
      <w:r w:rsidR="00387218" w:rsidRPr="003D6ECF">
        <w:rPr>
          <w:rFonts w:cs="Arial"/>
        </w:rPr>
        <w:t>.</w:t>
      </w:r>
    </w:p>
    <w:p w14:paraId="5808B8FF" w14:textId="77777777" w:rsidR="000E2BCD" w:rsidRDefault="000E2BCD" w:rsidP="00322932">
      <w:pPr>
        <w:spacing w:after="240"/>
        <w:rPr>
          <w:rFonts w:cs="Arial"/>
        </w:rPr>
      </w:pPr>
      <w:r>
        <w:rPr>
          <w:rFonts w:cs="Arial"/>
        </w:rPr>
        <w:t>The 2021 Budget Act also included language that amended the match requirement and programs eligible to apply for the CTEIG funding. The CTEIG match now requires applicants to encumber their match during the first year of the grant. CTE-based Advanced Placement, International Baccalaureate, and Dual Enrollment programs are now eligible to apply for CTEIG funds.</w:t>
      </w:r>
    </w:p>
    <w:bookmarkEnd w:id="1"/>
    <w:p w14:paraId="61ADEBC5" w14:textId="77777777" w:rsidR="003E4DF7" w:rsidRPr="001E269E" w:rsidRDefault="003E4DF7" w:rsidP="003A0CCA">
      <w:pPr>
        <w:pStyle w:val="Heading2"/>
        <w:spacing w:before="480" w:after="240"/>
        <w:rPr>
          <w:rFonts w:cs="Arial"/>
          <w:sz w:val="36"/>
          <w:szCs w:val="36"/>
        </w:rPr>
      </w:pPr>
      <w:r w:rsidRPr="001E269E">
        <w:rPr>
          <w:rFonts w:cs="Arial"/>
          <w:sz w:val="36"/>
          <w:szCs w:val="36"/>
        </w:rPr>
        <w:t xml:space="preserve">Summary of Previous </w:t>
      </w:r>
      <w:r w:rsidR="00366CE0" w:rsidRPr="00366CE0">
        <w:rPr>
          <w:rFonts w:cs="Arial"/>
          <w:sz w:val="36"/>
          <w:szCs w:val="36"/>
        </w:rPr>
        <w:t xml:space="preserve">California Workforce Pathways Joint Advisory </w:t>
      </w:r>
      <w:r w:rsidRPr="001E269E">
        <w:rPr>
          <w:rFonts w:cs="Arial"/>
          <w:sz w:val="36"/>
          <w:szCs w:val="36"/>
        </w:rPr>
        <w:t>Discussion</w:t>
      </w:r>
      <w:r w:rsidR="00677419" w:rsidRPr="001E269E">
        <w:rPr>
          <w:rFonts w:cs="Arial"/>
          <w:sz w:val="36"/>
          <w:szCs w:val="36"/>
        </w:rPr>
        <w:t>(s)</w:t>
      </w:r>
      <w:r w:rsidRPr="001E269E">
        <w:rPr>
          <w:rFonts w:cs="Arial"/>
          <w:sz w:val="36"/>
          <w:szCs w:val="36"/>
        </w:rPr>
        <w:t xml:space="preserve"> and Action</w:t>
      </w:r>
      <w:r w:rsidR="00677419" w:rsidRPr="001E269E">
        <w:rPr>
          <w:rFonts w:cs="Arial"/>
          <w:sz w:val="36"/>
          <w:szCs w:val="36"/>
        </w:rPr>
        <w:t>(s)</w:t>
      </w:r>
    </w:p>
    <w:p w14:paraId="683ADC4D" w14:textId="77777777" w:rsidR="00364387" w:rsidRDefault="00364387" w:rsidP="00631A90">
      <w:pPr>
        <w:spacing w:after="240"/>
        <w:rPr>
          <w:rStyle w:val="Heading3Char"/>
        </w:rPr>
      </w:pPr>
      <w:r>
        <w:rPr>
          <w:rStyle w:val="Heading3Char"/>
        </w:rPr>
        <w:t>August 11,2022:</w:t>
      </w:r>
      <w:r w:rsidRPr="003D6ECF">
        <w:rPr>
          <w:rStyle w:val="Heading3Char"/>
          <w:b w:val="0"/>
        </w:rPr>
        <w:t xml:space="preserve"> </w:t>
      </w:r>
      <w:r>
        <w:rPr>
          <w:rStyle w:val="Heading3Char"/>
          <w:b w:val="0"/>
        </w:rPr>
        <w:t>The CDE provided an update on the 2022–23 Round 8 CTEIG Application Process and Timeline.</w:t>
      </w:r>
    </w:p>
    <w:p w14:paraId="352259DA" w14:textId="77777777" w:rsidR="00364387" w:rsidRDefault="00364387" w:rsidP="00631A90">
      <w:pPr>
        <w:spacing w:after="240"/>
        <w:rPr>
          <w:rStyle w:val="Heading3Char"/>
        </w:rPr>
      </w:pPr>
      <w:r>
        <w:rPr>
          <w:rStyle w:val="Heading3Char"/>
        </w:rPr>
        <w:t>March 25, 2022:</w:t>
      </w:r>
      <w:r w:rsidRPr="003D6ECF">
        <w:rPr>
          <w:rStyle w:val="Heading3Char"/>
          <w:b w:val="0"/>
        </w:rPr>
        <w:t xml:space="preserve"> </w:t>
      </w:r>
      <w:r>
        <w:rPr>
          <w:rStyle w:val="Heading3Char"/>
          <w:b w:val="0"/>
        </w:rPr>
        <w:t>The CDE provided an update on the 2021–22 Round 7B CTEIG Application Process and Timeline.</w:t>
      </w:r>
    </w:p>
    <w:p w14:paraId="01DDDEE9" w14:textId="77777777" w:rsidR="00E87462" w:rsidRDefault="00E87462" w:rsidP="00631A90">
      <w:pPr>
        <w:spacing w:after="240"/>
        <w:rPr>
          <w:rStyle w:val="Heading3Char"/>
        </w:rPr>
      </w:pPr>
      <w:r>
        <w:rPr>
          <w:rStyle w:val="Heading3Char"/>
        </w:rPr>
        <w:t xml:space="preserve">November </w:t>
      </w:r>
      <w:r w:rsidR="00364387">
        <w:rPr>
          <w:rStyle w:val="Heading3Char"/>
        </w:rPr>
        <w:t>19</w:t>
      </w:r>
      <w:r>
        <w:rPr>
          <w:rStyle w:val="Heading3Char"/>
        </w:rPr>
        <w:t>, 2021:</w:t>
      </w:r>
      <w:r w:rsidRPr="003D6ECF">
        <w:rPr>
          <w:rStyle w:val="Heading3Char"/>
          <w:b w:val="0"/>
        </w:rPr>
        <w:t xml:space="preserve"> </w:t>
      </w:r>
      <w:r>
        <w:rPr>
          <w:rStyle w:val="Heading3Char"/>
          <w:b w:val="0"/>
        </w:rPr>
        <w:t xml:space="preserve">The CDE provided an update on the 2021–22 CTEIG Application Process and Timeline, </w:t>
      </w:r>
      <w:r w:rsidR="00364387">
        <w:rPr>
          <w:rStyle w:val="Heading3Char"/>
          <w:b w:val="0"/>
        </w:rPr>
        <w:t>for</w:t>
      </w:r>
      <w:r>
        <w:rPr>
          <w:rStyle w:val="Heading3Char"/>
          <w:b w:val="0"/>
        </w:rPr>
        <w:t xml:space="preserve"> the CTEIG 2021–22 Application Process. </w:t>
      </w:r>
      <w:r w:rsidR="003D6ECF">
        <w:rPr>
          <w:rStyle w:val="Heading3Char"/>
          <w:b w:val="0"/>
        </w:rPr>
        <w:t xml:space="preserve">The </w:t>
      </w:r>
      <w:r>
        <w:rPr>
          <w:rStyle w:val="Heading3Char"/>
          <w:b w:val="0"/>
        </w:rPr>
        <w:t>C</w:t>
      </w:r>
      <w:r w:rsidR="003D6ECF">
        <w:rPr>
          <w:rStyle w:val="Heading3Char"/>
          <w:b w:val="0"/>
        </w:rPr>
        <w:t xml:space="preserve">alifonria </w:t>
      </w:r>
      <w:r>
        <w:rPr>
          <w:rStyle w:val="Heading3Char"/>
          <w:b w:val="0"/>
        </w:rPr>
        <w:t>C</w:t>
      </w:r>
      <w:r w:rsidR="003D6ECF">
        <w:rPr>
          <w:rStyle w:val="Heading3Char"/>
          <w:b w:val="0"/>
        </w:rPr>
        <w:t xml:space="preserve">ommunity </w:t>
      </w:r>
      <w:r>
        <w:rPr>
          <w:rStyle w:val="Heading3Char"/>
          <w:b w:val="0"/>
        </w:rPr>
        <w:t>C</w:t>
      </w:r>
      <w:r w:rsidR="003D6ECF">
        <w:rPr>
          <w:rStyle w:val="Heading3Char"/>
          <w:b w:val="0"/>
        </w:rPr>
        <w:t xml:space="preserve">olleges </w:t>
      </w:r>
      <w:r>
        <w:rPr>
          <w:rStyle w:val="Heading3Char"/>
          <w:b w:val="0"/>
        </w:rPr>
        <w:t>C</w:t>
      </w:r>
      <w:r w:rsidR="003D6ECF">
        <w:rPr>
          <w:rStyle w:val="Heading3Char"/>
          <w:b w:val="0"/>
        </w:rPr>
        <w:t xml:space="preserve">hancellor’s </w:t>
      </w:r>
      <w:r>
        <w:rPr>
          <w:rStyle w:val="Heading3Char"/>
          <w:b w:val="0"/>
        </w:rPr>
        <w:t>O</w:t>
      </w:r>
      <w:r w:rsidR="003D6ECF">
        <w:rPr>
          <w:rStyle w:val="Heading3Char"/>
          <w:b w:val="0"/>
        </w:rPr>
        <w:t>ffice</w:t>
      </w:r>
      <w:r>
        <w:rPr>
          <w:rStyle w:val="Heading3Char"/>
          <w:b w:val="0"/>
        </w:rPr>
        <w:t xml:space="preserve"> provided a brief update on the 2021–22 </w:t>
      </w:r>
      <w:r>
        <w:rPr>
          <w:rStyle w:val="Heading3Char"/>
          <w:b w:val="0"/>
        </w:rPr>
        <w:lastRenderedPageBreak/>
        <w:t>K</w:t>
      </w:r>
      <w:r w:rsidR="003D6ECF">
        <w:rPr>
          <w:rStyle w:val="Heading3Char"/>
          <w:b w:val="0"/>
        </w:rPr>
        <w:t>indergarten through grade twelve (K</w:t>
      </w:r>
      <w:r>
        <w:rPr>
          <w:rStyle w:val="Heading3Char"/>
          <w:b w:val="0"/>
        </w:rPr>
        <w:t>–12</w:t>
      </w:r>
      <w:r w:rsidR="003D6ECF">
        <w:rPr>
          <w:rStyle w:val="Heading3Char"/>
          <w:b w:val="0"/>
        </w:rPr>
        <w:t>)</w:t>
      </w:r>
      <w:r>
        <w:rPr>
          <w:rStyle w:val="Heading3Char"/>
          <w:b w:val="0"/>
        </w:rPr>
        <w:t xml:space="preserve"> S</w:t>
      </w:r>
      <w:r w:rsidR="003D6ECF">
        <w:rPr>
          <w:rStyle w:val="Heading3Char"/>
          <w:b w:val="0"/>
        </w:rPr>
        <w:t xml:space="preserve">trong </w:t>
      </w:r>
      <w:r>
        <w:rPr>
          <w:rStyle w:val="Heading3Char"/>
          <w:b w:val="0"/>
        </w:rPr>
        <w:t>W</w:t>
      </w:r>
      <w:r w:rsidR="003D6ECF">
        <w:rPr>
          <w:rStyle w:val="Heading3Char"/>
          <w:b w:val="0"/>
        </w:rPr>
        <w:t xml:space="preserve">orkforce </w:t>
      </w:r>
      <w:r>
        <w:rPr>
          <w:rStyle w:val="Heading3Char"/>
          <w:b w:val="0"/>
        </w:rPr>
        <w:t>P</w:t>
      </w:r>
      <w:r w:rsidR="003D6ECF">
        <w:rPr>
          <w:rStyle w:val="Heading3Char"/>
          <w:b w:val="0"/>
        </w:rPr>
        <w:t>athway</w:t>
      </w:r>
      <w:r>
        <w:rPr>
          <w:rStyle w:val="Heading3Char"/>
          <w:b w:val="0"/>
        </w:rPr>
        <w:t xml:space="preserve"> Application Process and Timeline, and the K</w:t>
      </w:r>
      <w:r w:rsidR="003D6ECF">
        <w:rPr>
          <w:rStyle w:val="Heading3Char"/>
          <w:b w:val="0"/>
        </w:rPr>
        <w:t>indergarten through grade fourteen (K</w:t>
      </w:r>
      <w:r>
        <w:rPr>
          <w:rStyle w:val="Heading3Char"/>
          <w:b w:val="0"/>
        </w:rPr>
        <w:t>–14</w:t>
      </w:r>
      <w:r w:rsidR="003D6ECF">
        <w:rPr>
          <w:rStyle w:val="Heading3Char"/>
          <w:b w:val="0"/>
        </w:rPr>
        <w:t>)</w:t>
      </w:r>
      <w:r>
        <w:rPr>
          <w:rStyle w:val="Heading3Char"/>
          <w:b w:val="0"/>
        </w:rPr>
        <w:t xml:space="preserve"> Technical Assistance Providers and Workforce Pathway Coordinators.</w:t>
      </w:r>
    </w:p>
    <w:p w14:paraId="37BD3489" w14:textId="77777777" w:rsidR="00A44E9D" w:rsidRPr="00E223A0" w:rsidRDefault="00A44E9D" w:rsidP="00631A90">
      <w:pPr>
        <w:spacing w:after="240"/>
        <w:rPr>
          <w:rStyle w:val="Heading3Char"/>
          <w:b w:val="0"/>
        </w:rPr>
      </w:pPr>
      <w:r>
        <w:rPr>
          <w:rStyle w:val="Heading3Char"/>
        </w:rPr>
        <w:t>September 29, 2021:</w:t>
      </w:r>
      <w:r w:rsidRPr="003D6ECF">
        <w:rPr>
          <w:rStyle w:val="Heading3Char"/>
          <w:b w:val="0"/>
        </w:rPr>
        <w:t xml:space="preserve"> </w:t>
      </w:r>
      <w:bookmarkStart w:id="2" w:name="_Hlk120026302"/>
      <w:r w:rsidR="00E223A0">
        <w:rPr>
          <w:rStyle w:val="Heading3Char"/>
          <w:b w:val="0"/>
        </w:rPr>
        <w:t>The CDE provided an update on the 2021–22 CTEIG Application Process and Timeline, including Addendum 1 and Addendum 2 to the CTEIG 2021–22 Application Process. CCCCO provided the update on the 2021–22 K–12 SWP Application Process and Timeline, and the K–14 Technical Assistance Providers and Workforce Pathway Coordinators.</w:t>
      </w:r>
      <w:bookmarkEnd w:id="2"/>
    </w:p>
    <w:p w14:paraId="709545D5" w14:textId="77777777" w:rsidR="00CD789A" w:rsidRDefault="00CD789A" w:rsidP="00631A90">
      <w:pPr>
        <w:spacing w:after="240"/>
        <w:rPr>
          <w:rStyle w:val="Heading3Char"/>
        </w:rPr>
      </w:pPr>
      <w:r>
        <w:rPr>
          <w:rStyle w:val="Heading3Char"/>
        </w:rPr>
        <w:t xml:space="preserve">May 14, 2021: </w:t>
      </w:r>
      <w:r>
        <w:rPr>
          <w:rStyle w:val="Heading3Char"/>
          <w:b w:val="0"/>
        </w:rPr>
        <w:t>The CDE provided an u</w:t>
      </w:r>
      <w:r w:rsidRPr="001E269E">
        <w:rPr>
          <w:rFonts w:cs="Arial"/>
        </w:rPr>
        <w:t>pdate on the 202</w:t>
      </w:r>
      <w:r>
        <w:rPr>
          <w:rFonts w:cs="Arial"/>
        </w:rPr>
        <w:t>1</w:t>
      </w:r>
      <w:r w:rsidRPr="001E269E">
        <w:rPr>
          <w:rFonts w:cs="Arial"/>
        </w:rPr>
        <w:t>–2</w:t>
      </w:r>
      <w:r>
        <w:rPr>
          <w:rFonts w:cs="Arial"/>
        </w:rPr>
        <w:t>2</w:t>
      </w:r>
      <w:r w:rsidRPr="001E269E">
        <w:rPr>
          <w:rFonts w:cs="Arial"/>
        </w:rPr>
        <w:t xml:space="preserve"> CTEIG Application</w:t>
      </w:r>
      <w:r>
        <w:rPr>
          <w:rFonts w:cs="Arial"/>
        </w:rPr>
        <w:t xml:space="preserve"> Process and Timeline</w:t>
      </w:r>
      <w:r w:rsidRPr="001E269E">
        <w:rPr>
          <w:rFonts w:cs="Arial"/>
        </w:rPr>
        <w:t>; the 202</w:t>
      </w:r>
      <w:r>
        <w:rPr>
          <w:rFonts w:cs="Arial"/>
        </w:rPr>
        <w:t>1</w:t>
      </w:r>
      <w:r w:rsidRPr="001E269E">
        <w:rPr>
          <w:rFonts w:cs="Arial"/>
        </w:rPr>
        <w:t>–2</w:t>
      </w:r>
      <w:r>
        <w:rPr>
          <w:rFonts w:cs="Arial"/>
        </w:rPr>
        <w:t xml:space="preserve">2 </w:t>
      </w:r>
      <w:r w:rsidRPr="001E269E">
        <w:rPr>
          <w:rFonts w:cs="Arial"/>
        </w:rPr>
        <w:t xml:space="preserve">K–12 SWP </w:t>
      </w:r>
      <w:r>
        <w:rPr>
          <w:rFonts w:cs="Arial"/>
        </w:rPr>
        <w:t>Application Process and Timeline</w:t>
      </w:r>
      <w:r w:rsidRPr="001E269E">
        <w:rPr>
          <w:rFonts w:cs="Arial"/>
        </w:rPr>
        <w:t>; and K–14 Technical Assistance Providers and Workforce Pathways Coordinators.</w:t>
      </w:r>
    </w:p>
    <w:p w14:paraId="29A4F9F6" w14:textId="77777777" w:rsidR="00387218" w:rsidRPr="00932350" w:rsidRDefault="00387218" w:rsidP="004C3487">
      <w:pPr>
        <w:tabs>
          <w:tab w:val="left" w:pos="1770"/>
        </w:tabs>
        <w:spacing w:after="240"/>
        <w:rPr>
          <w:rFonts w:cs="Arial"/>
        </w:rPr>
      </w:pPr>
      <w:r w:rsidRPr="00B753D9">
        <w:rPr>
          <w:rStyle w:val="Heading3Char"/>
        </w:rPr>
        <w:t>January 29, 2021:</w:t>
      </w:r>
      <w:r>
        <w:rPr>
          <w:rFonts w:cs="Arial"/>
          <w:b/>
        </w:rPr>
        <w:t xml:space="preserve"> </w:t>
      </w:r>
      <w:r>
        <w:rPr>
          <w:rFonts w:cs="Arial"/>
        </w:rPr>
        <w:t>The CDE provided updates on the approved CTEIG allocations for FY 2020–21 and</w:t>
      </w:r>
      <w:r w:rsidR="00932350">
        <w:rPr>
          <w:rFonts w:cs="Arial"/>
        </w:rPr>
        <w:t xml:space="preserve"> the FY 2021–22 CTEIG application; the CCCCO provided updates on the K–12 SWP</w:t>
      </w:r>
      <w:r>
        <w:rPr>
          <w:rFonts w:cs="Arial"/>
        </w:rPr>
        <w:t xml:space="preserve"> </w:t>
      </w:r>
      <w:r w:rsidR="00932350">
        <w:rPr>
          <w:rFonts w:cs="Arial"/>
        </w:rPr>
        <w:t>funding allocations and interim measures; and an update was provided on the K–14 Technical Assistance Providers and Pathway Coordinators.</w:t>
      </w:r>
    </w:p>
    <w:p w14:paraId="39161654" w14:textId="77777777" w:rsidR="00FF79CE" w:rsidRPr="001E269E" w:rsidRDefault="00FF79CE" w:rsidP="004C3487">
      <w:pPr>
        <w:tabs>
          <w:tab w:val="left" w:pos="1770"/>
        </w:tabs>
        <w:spacing w:after="240"/>
        <w:rPr>
          <w:rFonts w:cs="Arial"/>
        </w:rPr>
      </w:pPr>
      <w:r w:rsidRPr="00B753D9">
        <w:rPr>
          <w:rStyle w:val="Heading3Char"/>
        </w:rPr>
        <w:t>November 20, 2020</w:t>
      </w:r>
      <w:r w:rsidRPr="001E269E">
        <w:rPr>
          <w:rFonts w:cs="Arial"/>
          <w:b/>
        </w:rPr>
        <w:t xml:space="preserve">: </w:t>
      </w:r>
      <w:r w:rsidRPr="001E269E">
        <w:rPr>
          <w:rFonts w:cs="Arial"/>
        </w:rPr>
        <w:t>The CDE presented updates on the FY 2020</w:t>
      </w:r>
      <w:r w:rsidR="00B1539A" w:rsidRPr="001E269E">
        <w:rPr>
          <w:rFonts w:cs="Arial"/>
        </w:rPr>
        <w:t>–</w:t>
      </w:r>
      <w:r w:rsidRPr="001E269E">
        <w:rPr>
          <w:rFonts w:cs="Arial"/>
        </w:rPr>
        <w:t>21 CTEIG funding allocations</w:t>
      </w:r>
      <w:r w:rsidR="00EF4790" w:rsidRPr="001E269E">
        <w:rPr>
          <w:rFonts w:cs="Arial"/>
        </w:rPr>
        <w:t>;</w:t>
      </w:r>
      <w:r w:rsidRPr="001E269E">
        <w:rPr>
          <w:rFonts w:cs="Arial"/>
        </w:rPr>
        <w:t xml:space="preserve"> the FY 2020</w:t>
      </w:r>
      <w:r w:rsidR="00B1539A" w:rsidRPr="001E269E">
        <w:rPr>
          <w:rFonts w:cs="Arial"/>
        </w:rPr>
        <w:t>–</w:t>
      </w:r>
      <w:r w:rsidRPr="001E269E">
        <w:rPr>
          <w:rFonts w:cs="Arial"/>
        </w:rPr>
        <w:t>21 K–12 SWP application process</w:t>
      </w:r>
      <w:r w:rsidR="00EF4790" w:rsidRPr="001E269E">
        <w:rPr>
          <w:rFonts w:cs="Arial"/>
        </w:rPr>
        <w:t>;</w:t>
      </w:r>
      <w:r w:rsidRPr="001E269E">
        <w:rPr>
          <w:rFonts w:cs="Arial"/>
        </w:rPr>
        <w:t xml:space="preserve"> and the M</w:t>
      </w:r>
      <w:r w:rsidR="00B1539A" w:rsidRPr="001E269E">
        <w:rPr>
          <w:rFonts w:cs="Arial"/>
        </w:rPr>
        <w:t xml:space="preserve">emorandum of </w:t>
      </w:r>
      <w:r w:rsidRPr="001E269E">
        <w:rPr>
          <w:rFonts w:cs="Arial"/>
        </w:rPr>
        <w:t>U</w:t>
      </w:r>
      <w:r w:rsidR="00B1539A" w:rsidRPr="001E269E">
        <w:rPr>
          <w:rFonts w:cs="Arial"/>
        </w:rPr>
        <w:t xml:space="preserve">nderstanding </w:t>
      </w:r>
      <w:r w:rsidRPr="001E269E">
        <w:rPr>
          <w:rFonts w:cs="Arial"/>
        </w:rPr>
        <w:t xml:space="preserve">data sharing agreement between the CDE and CCCCO. Staff recommended that there be no change to the data metrics for both the CTEIG and K–12 SWP, and that a phased approach be </w:t>
      </w:r>
      <w:r w:rsidR="000B7883" w:rsidRPr="001E269E">
        <w:rPr>
          <w:rFonts w:cs="Arial"/>
        </w:rPr>
        <w:t xml:space="preserve">used </w:t>
      </w:r>
      <w:r w:rsidRPr="001E269E">
        <w:rPr>
          <w:rFonts w:cs="Arial"/>
        </w:rPr>
        <w:t>to operationalize the data metrics.</w:t>
      </w:r>
    </w:p>
    <w:p w14:paraId="1F6364B1" w14:textId="77777777" w:rsidR="003E4DF7" w:rsidRPr="001E269E" w:rsidRDefault="003E4DF7" w:rsidP="003A0CCA">
      <w:pPr>
        <w:pStyle w:val="Heading2"/>
        <w:spacing w:before="480" w:after="240"/>
        <w:rPr>
          <w:rFonts w:cs="Arial"/>
          <w:sz w:val="36"/>
          <w:szCs w:val="36"/>
        </w:rPr>
      </w:pPr>
      <w:r w:rsidRPr="001E269E">
        <w:rPr>
          <w:rFonts w:cs="Arial"/>
          <w:sz w:val="36"/>
          <w:szCs w:val="36"/>
        </w:rPr>
        <w:t>Fiscal Analysis (as appropriate)</w:t>
      </w:r>
    </w:p>
    <w:p w14:paraId="431A9B6A" w14:textId="77777777" w:rsidR="00C72AD1" w:rsidRPr="001E269E" w:rsidRDefault="00C72AD1" w:rsidP="00C72AD1">
      <w:pPr>
        <w:spacing w:after="240"/>
        <w:rPr>
          <w:rFonts w:cs="Arial"/>
          <w:b/>
        </w:rPr>
      </w:pPr>
      <w:r w:rsidRPr="001E269E">
        <w:rPr>
          <w:rFonts w:cs="Arial"/>
        </w:rPr>
        <w:t xml:space="preserve">Funding available to eligible recipients under the CTEIG </w:t>
      </w:r>
      <w:r w:rsidR="00A80653" w:rsidRPr="001E269E">
        <w:rPr>
          <w:rFonts w:cs="Arial"/>
        </w:rPr>
        <w:t>i</w:t>
      </w:r>
      <w:r w:rsidRPr="001E269E">
        <w:rPr>
          <w:rFonts w:cs="Arial"/>
        </w:rPr>
        <w:t>s $</w:t>
      </w:r>
      <w:r w:rsidR="00CD789A">
        <w:rPr>
          <w:rFonts w:cs="Arial"/>
        </w:rPr>
        <w:t>30</w:t>
      </w:r>
      <w:r w:rsidRPr="001E269E">
        <w:rPr>
          <w:rFonts w:cs="Arial"/>
        </w:rPr>
        <w:t xml:space="preserve">0 million </w:t>
      </w:r>
      <w:r w:rsidR="00AF0408" w:rsidRPr="001E269E">
        <w:rPr>
          <w:rFonts w:cs="Arial"/>
        </w:rPr>
        <w:t>for the program year 20</w:t>
      </w:r>
      <w:r w:rsidR="00B46F06" w:rsidRPr="001E269E">
        <w:rPr>
          <w:rFonts w:cs="Arial"/>
        </w:rPr>
        <w:t>2</w:t>
      </w:r>
      <w:r w:rsidR="00364387">
        <w:rPr>
          <w:rFonts w:cs="Arial"/>
        </w:rPr>
        <w:t>2</w:t>
      </w:r>
      <w:r w:rsidR="00AF0408" w:rsidRPr="001E269E">
        <w:rPr>
          <w:rFonts w:cs="Arial"/>
        </w:rPr>
        <w:t>–2</w:t>
      </w:r>
      <w:r w:rsidR="00364387">
        <w:rPr>
          <w:rFonts w:cs="Arial"/>
        </w:rPr>
        <w:t>3</w:t>
      </w:r>
      <w:r w:rsidRPr="001E269E">
        <w:rPr>
          <w:rFonts w:cs="Arial"/>
        </w:rPr>
        <w:t xml:space="preserve">. </w:t>
      </w:r>
      <w:r w:rsidR="001C3DC0" w:rsidRPr="001E269E">
        <w:rPr>
          <w:rFonts w:cs="Arial"/>
        </w:rPr>
        <w:t>In addition,</w:t>
      </w:r>
      <w:r w:rsidRPr="001E269E">
        <w:rPr>
          <w:rFonts w:cs="Arial"/>
        </w:rPr>
        <w:t xml:space="preserve"> $1</w:t>
      </w:r>
      <w:r w:rsidR="00AD489B" w:rsidRPr="001E269E">
        <w:rPr>
          <w:rFonts w:cs="Arial"/>
        </w:rPr>
        <w:t>3.5</w:t>
      </w:r>
      <w:r w:rsidRPr="001E269E">
        <w:rPr>
          <w:rFonts w:cs="Arial"/>
        </w:rPr>
        <w:t xml:space="preserve"> million</w:t>
      </w:r>
      <w:r w:rsidR="00A14CA6" w:rsidRPr="001E269E">
        <w:rPr>
          <w:rFonts w:cs="Arial"/>
        </w:rPr>
        <w:t xml:space="preserve"> </w:t>
      </w:r>
      <w:r w:rsidR="00A80653" w:rsidRPr="001E269E">
        <w:rPr>
          <w:rFonts w:cs="Arial"/>
        </w:rPr>
        <w:t>i</w:t>
      </w:r>
      <w:r w:rsidR="00AF0408" w:rsidRPr="001E269E">
        <w:rPr>
          <w:rFonts w:cs="Arial"/>
        </w:rPr>
        <w:t>s</w:t>
      </w:r>
      <w:r w:rsidRPr="001E269E">
        <w:rPr>
          <w:rFonts w:cs="Arial"/>
        </w:rPr>
        <w:t xml:space="preserve"> </w:t>
      </w:r>
      <w:r w:rsidR="00EA0CEF" w:rsidRPr="001E269E">
        <w:rPr>
          <w:rFonts w:cs="Arial"/>
        </w:rPr>
        <w:t xml:space="preserve">provided </w:t>
      </w:r>
      <w:r w:rsidR="00B40246" w:rsidRPr="001E269E">
        <w:rPr>
          <w:rFonts w:cs="Arial"/>
        </w:rPr>
        <w:t xml:space="preserve">to support </w:t>
      </w:r>
      <w:r w:rsidR="002D7DA4" w:rsidRPr="001E269E">
        <w:rPr>
          <w:rFonts w:cs="Arial"/>
        </w:rPr>
        <w:t xml:space="preserve">eight </w:t>
      </w:r>
      <w:r w:rsidRPr="001E269E">
        <w:rPr>
          <w:rFonts w:cs="Arial"/>
        </w:rPr>
        <w:t xml:space="preserve">K–14 </w:t>
      </w:r>
      <w:r w:rsidR="00D82C7B" w:rsidRPr="001E269E">
        <w:rPr>
          <w:rFonts w:cs="Arial"/>
        </w:rPr>
        <w:t>Technical Assistance Providers</w:t>
      </w:r>
      <w:r w:rsidR="00B40246" w:rsidRPr="001E269E">
        <w:rPr>
          <w:rFonts w:cs="Arial"/>
        </w:rPr>
        <w:t xml:space="preserve"> and </w:t>
      </w:r>
      <w:r w:rsidR="002D7DA4" w:rsidRPr="001E269E">
        <w:rPr>
          <w:rFonts w:cs="Arial"/>
        </w:rPr>
        <w:t xml:space="preserve">72 </w:t>
      </w:r>
      <w:r w:rsidR="00322932">
        <w:rPr>
          <w:rFonts w:cs="Arial"/>
        </w:rPr>
        <w:t>W</w:t>
      </w:r>
      <w:r w:rsidR="00B40246" w:rsidRPr="001E269E">
        <w:rPr>
          <w:rFonts w:cs="Arial"/>
        </w:rPr>
        <w:t xml:space="preserve">orkforce </w:t>
      </w:r>
      <w:r w:rsidR="00322932">
        <w:rPr>
          <w:rFonts w:cs="Arial"/>
        </w:rPr>
        <w:t>P</w:t>
      </w:r>
      <w:r w:rsidR="00121964" w:rsidRPr="001E269E">
        <w:rPr>
          <w:rFonts w:cs="Arial"/>
        </w:rPr>
        <w:t xml:space="preserve">athway </w:t>
      </w:r>
      <w:r w:rsidR="00322932">
        <w:rPr>
          <w:rFonts w:cs="Arial"/>
        </w:rPr>
        <w:t>C</w:t>
      </w:r>
      <w:r w:rsidR="00B40246" w:rsidRPr="001E269E">
        <w:rPr>
          <w:rFonts w:cs="Arial"/>
        </w:rPr>
        <w:t>oordinators</w:t>
      </w:r>
      <w:r w:rsidRPr="001E269E">
        <w:rPr>
          <w:rFonts w:cs="Arial"/>
        </w:rPr>
        <w:t xml:space="preserve"> </w:t>
      </w:r>
      <w:r w:rsidR="00B40246" w:rsidRPr="001E269E">
        <w:rPr>
          <w:rFonts w:cs="Arial"/>
        </w:rPr>
        <w:t>for</w:t>
      </w:r>
      <w:r w:rsidRPr="001E269E">
        <w:rPr>
          <w:rFonts w:cs="Arial"/>
        </w:rPr>
        <w:t xml:space="preserve"> both CTEIG and K–12 SWP initiatives.</w:t>
      </w:r>
    </w:p>
    <w:p w14:paraId="6EC9056D" w14:textId="77777777" w:rsidR="00406F50" w:rsidRPr="001E269E" w:rsidRDefault="00406F50" w:rsidP="003A0CCA">
      <w:pPr>
        <w:pStyle w:val="Heading2"/>
        <w:spacing w:before="480" w:after="240"/>
        <w:rPr>
          <w:rFonts w:cs="Arial"/>
          <w:sz w:val="36"/>
          <w:szCs w:val="36"/>
        </w:rPr>
      </w:pPr>
      <w:r w:rsidRPr="001E269E">
        <w:rPr>
          <w:rFonts w:cs="Arial"/>
          <w:sz w:val="36"/>
          <w:szCs w:val="36"/>
        </w:rPr>
        <w:t>Attachment(s)</w:t>
      </w:r>
    </w:p>
    <w:p w14:paraId="30E21139" w14:textId="77777777" w:rsidR="00191509" w:rsidRPr="00D96824" w:rsidRDefault="009229C0" w:rsidP="00B1539A">
      <w:pPr>
        <w:spacing w:after="240"/>
        <w:rPr>
          <w:rFonts w:cs="Arial"/>
        </w:rPr>
      </w:pPr>
      <w:r w:rsidRPr="001E269E">
        <w:rPr>
          <w:rFonts w:cs="Arial"/>
        </w:rPr>
        <w:t>None</w:t>
      </w:r>
    </w:p>
    <w:sectPr w:rsidR="00191509" w:rsidRPr="00D96824" w:rsidSect="00E12B59">
      <w:headerReference w:type="even" r:id="rId14"/>
      <w:headerReference w:type="default" r:id="rId15"/>
      <w:headerReference w:type="first" r:id="rId16"/>
      <w:type w:val="continuous"/>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965A" w14:textId="77777777" w:rsidR="00300A1A" w:rsidRDefault="00300A1A" w:rsidP="000E09DC">
      <w:r>
        <w:separator/>
      </w:r>
    </w:p>
  </w:endnote>
  <w:endnote w:type="continuationSeparator" w:id="0">
    <w:p w14:paraId="19ADE135" w14:textId="77777777" w:rsidR="00300A1A" w:rsidRDefault="00300A1A"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6114" w14:textId="77777777" w:rsidR="00300A1A" w:rsidRDefault="00300A1A" w:rsidP="000E09DC">
      <w:r>
        <w:separator/>
      </w:r>
    </w:p>
  </w:footnote>
  <w:footnote w:type="continuationSeparator" w:id="0">
    <w:p w14:paraId="227BDEDD" w14:textId="77777777" w:rsidR="00300A1A" w:rsidRDefault="00300A1A"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5D4C" w14:textId="77777777" w:rsidR="00937C6E" w:rsidRPr="00AA6EC1" w:rsidRDefault="00937C6E" w:rsidP="00E12B59">
    <w:pPr>
      <w:pStyle w:val="Header"/>
      <w:jc w:val="right"/>
      <w:rPr>
        <w:rFonts w:cs="Arial"/>
      </w:rPr>
    </w:pPr>
    <w:r>
      <w:rPr>
        <w:rFonts w:cs="Arial"/>
      </w:rPr>
      <w:t>cwpjac-nov20item02</w:t>
    </w:r>
  </w:p>
  <w:p w14:paraId="2C69283E" w14:textId="77777777" w:rsidR="00937C6E" w:rsidRDefault="00937C6E" w:rsidP="00E12B59">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11</w:t>
    </w:r>
    <w:r w:rsidRPr="00CB2B58">
      <w:rPr>
        <w:rFonts w:cs="Arial"/>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D09A" w14:textId="77777777" w:rsidR="00937C6E" w:rsidRPr="001A50A1" w:rsidRDefault="00937C6E" w:rsidP="00E12B59">
    <w:pPr>
      <w:pStyle w:val="Header"/>
      <w:jc w:val="right"/>
      <w:rPr>
        <w:rFonts w:cs="Arial"/>
      </w:rPr>
    </w:pPr>
    <w:r w:rsidRPr="001A50A1">
      <w:rPr>
        <w:rFonts w:cs="Arial"/>
      </w:rPr>
      <w:t>cwpjac-</w:t>
    </w:r>
    <w:r w:rsidR="00FB3E56">
      <w:rPr>
        <w:rFonts w:cs="Arial"/>
      </w:rPr>
      <w:t>nov</w:t>
    </w:r>
    <w:r>
      <w:rPr>
        <w:rFonts w:cs="Arial"/>
      </w:rPr>
      <w:t>2</w:t>
    </w:r>
    <w:r w:rsidRPr="001A50A1">
      <w:rPr>
        <w:rFonts w:cs="Arial"/>
      </w:rPr>
      <w:t>1item0</w:t>
    </w:r>
    <w:r w:rsidR="00BB6B8B">
      <w:rPr>
        <w:rFonts w:cs="Arial"/>
      </w:rPr>
      <w:t>3</w:t>
    </w:r>
  </w:p>
  <w:p w14:paraId="220B5314" w14:textId="77777777" w:rsidR="00937C6E" w:rsidRPr="001A50A1" w:rsidRDefault="00937C6E" w:rsidP="00E12B59">
    <w:pPr>
      <w:pStyle w:val="Header"/>
      <w:spacing w:after="120"/>
      <w:jc w:val="right"/>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4</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EF03" w14:textId="77777777" w:rsidR="00937C6E" w:rsidRPr="001A50A1" w:rsidRDefault="00937C6E" w:rsidP="003A0CCA">
    <w:pPr>
      <w:pStyle w:val="Header"/>
      <w:jc w:val="right"/>
      <w:rPr>
        <w:rFonts w:cs="Arial"/>
      </w:rPr>
    </w:pPr>
    <w:r w:rsidRPr="001A50A1">
      <w:rPr>
        <w:rFonts w:cs="Arial"/>
      </w:rPr>
      <w:t>California Workforce Pathways Joint Advisory Committee</w:t>
    </w:r>
  </w:p>
  <w:p w14:paraId="3B6C24F3" w14:textId="77777777" w:rsidR="00937C6E" w:rsidRPr="001A50A1" w:rsidRDefault="00937C6E" w:rsidP="003A0CCA">
    <w:pPr>
      <w:pStyle w:val="Header"/>
      <w:jc w:val="right"/>
      <w:rPr>
        <w:rFonts w:cs="Arial"/>
      </w:rPr>
    </w:pPr>
    <w:r w:rsidRPr="001A50A1">
      <w:rPr>
        <w:rFonts w:cs="Arial"/>
      </w:rPr>
      <w:t>cwpjac-</w:t>
    </w:r>
    <w:r w:rsidR="00A338CA">
      <w:rPr>
        <w:rFonts w:cs="Arial"/>
      </w:rPr>
      <w:t>nov</w:t>
    </w:r>
    <w:r w:rsidRPr="000705E1">
      <w:rPr>
        <w:rFonts w:cs="Arial"/>
      </w:rPr>
      <w:t>2</w:t>
    </w:r>
    <w:r w:rsidR="00824C9E">
      <w:rPr>
        <w:rFonts w:cs="Arial"/>
      </w:rPr>
      <w:t>2</w:t>
    </w:r>
    <w:r w:rsidRPr="001A50A1">
      <w:rPr>
        <w:rFonts w:cs="Arial"/>
      </w:rPr>
      <w:t>item0</w:t>
    </w:r>
    <w:r w:rsidR="00BB6B8B">
      <w:rPr>
        <w:rFonts w:cs="Arial"/>
      </w:rPr>
      <w:t>3</w:t>
    </w:r>
  </w:p>
  <w:p w14:paraId="3ED25678" w14:textId="77777777" w:rsidR="00937C6E" w:rsidRPr="001A50A1" w:rsidRDefault="00937C6E" w:rsidP="003A0CCA">
    <w:pPr>
      <w:pStyle w:val="Header"/>
      <w:spacing w:after="120"/>
      <w:jc w:val="right"/>
      <w:rPr>
        <w:rFonts w:cs="Arial"/>
      </w:rPr>
    </w:pPr>
    <w:r w:rsidRPr="001A50A1">
      <w:rPr>
        <w:rFonts w:cs="Arial"/>
      </w:rPr>
      <w:t xml:space="preserve">Page </w:t>
    </w:r>
    <w:r w:rsidRPr="001A50A1">
      <w:rPr>
        <w:rFonts w:cs="Arial"/>
        <w:bCs/>
      </w:rPr>
      <w:fldChar w:fldCharType="begin"/>
    </w:r>
    <w:r w:rsidRPr="001A50A1">
      <w:rPr>
        <w:rFonts w:cs="Arial"/>
        <w:bCs/>
      </w:rPr>
      <w:instrText xml:space="preserve"> PAGE  \* Arabic  \* MERGEFORMAT </w:instrText>
    </w:r>
    <w:r w:rsidRPr="001A50A1">
      <w:rPr>
        <w:rFonts w:cs="Arial"/>
        <w:bCs/>
      </w:rPr>
      <w:fldChar w:fldCharType="separate"/>
    </w:r>
    <w:r>
      <w:rPr>
        <w:rFonts w:cs="Arial"/>
        <w:bCs/>
        <w:noProof/>
      </w:rPr>
      <w:t>1</w:t>
    </w:r>
    <w:r w:rsidRPr="001A50A1">
      <w:rPr>
        <w:rFonts w:cs="Arial"/>
        <w:bCs/>
      </w:rPr>
      <w:fldChar w:fldCharType="end"/>
    </w:r>
    <w:r w:rsidRPr="001A50A1">
      <w:rPr>
        <w:rFonts w:cs="Arial"/>
      </w:rPr>
      <w:t xml:space="preserve"> of </w:t>
    </w:r>
    <w:r w:rsidRPr="001A50A1">
      <w:rPr>
        <w:rFonts w:cs="Arial"/>
        <w:bCs/>
      </w:rPr>
      <w:fldChar w:fldCharType="begin"/>
    </w:r>
    <w:r w:rsidRPr="001A50A1">
      <w:rPr>
        <w:rFonts w:cs="Arial"/>
        <w:bCs/>
      </w:rPr>
      <w:instrText xml:space="preserve"> NUMPAGES  \* Arabic  \* MERGEFORMAT </w:instrText>
    </w:r>
    <w:r w:rsidRPr="001A50A1">
      <w:rPr>
        <w:rFonts w:cs="Arial"/>
        <w:bCs/>
      </w:rPr>
      <w:fldChar w:fldCharType="separate"/>
    </w:r>
    <w:r>
      <w:rPr>
        <w:rFonts w:cs="Arial"/>
        <w:bCs/>
        <w:noProof/>
      </w:rPr>
      <w:t>4</w:t>
    </w:r>
    <w:r w:rsidRPr="001A50A1">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7F"/>
    <w:multiLevelType w:val="hybridMultilevel"/>
    <w:tmpl w:val="BD78250C"/>
    <w:lvl w:ilvl="0" w:tplc="A760A598">
      <w:start w:val="1"/>
      <w:numFmt w:val="upperRoman"/>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A94"/>
    <w:multiLevelType w:val="hybridMultilevel"/>
    <w:tmpl w:val="BFBC2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F5298"/>
    <w:multiLevelType w:val="hybridMultilevel"/>
    <w:tmpl w:val="F05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3DDB"/>
    <w:multiLevelType w:val="hybridMultilevel"/>
    <w:tmpl w:val="549E8DC4"/>
    <w:lvl w:ilvl="0" w:tplc="342ABD4C">
      <w:start w:val="1"/>
      <w:numFmt w:val="bullet"/>
      <w:lvlText w:val="•"/>
      <w:lvlJc w:val="left"/>
      <w:pPr>
        <w:tabs>
          <w:tab w:val="num" w:pos="720"/>
        </w:tabs>
        <w:ind w:left="720" w:hanging="360"/>
      </w:pPr>
      <w:rPr>
        <w:rFonts w:ascii="Arial" w:hAnsi="Arial" w:hint="default"/>
      </w:rPr>
    </w:lvl>
    <w:lvl w:ilvl="1" w:tplc="B47435D8" w:tentative="1">
      <w:start w:val="1"/>
      <w:numFmt w:val="bullet"/>
      <w:lvlText w:val="•"/>
      <w:lvlJc w:val="left"/>
      <w:pPr>
        <w:tabs>
          <w:tab w:val="num" w:pos="1440"/>
        </w:tabs>
        <w:ind w:left="1440" w:hanging="360"/>
      </w:pPr>
      <w:rPr>
        <w:rFonts w:ascii="Arial" w:hAnsi="Arial" w:hint="default"/>
      </w:rPr>
    </w:lvl>
    <w:lvl w:ilvl="2" w:tplc="0972D80A" w:tentative="1">
      <w:start w:val="1"/>
      <w:numFmt w:val="bullet"/>
      <w:lvlText w:val="•"/>
      <w:lvlJc w:val="left"/>
      <w:pPr>
        <w:tabs>
          <w:tab w:val="num" w:pos="2160"/>
        </w:tabs>
        <w:ind w:left="2160" w:hanging="360"/>
      </w:pPr>
      <w:rPr>
        <w:rFonts w:ascii="Arial" w:hAnsi="Arial" w:hint="default"/>
      </w:rPr>
    </w:lvl>
    <w:lvl w:ilvl="3" w:tplc="8F286F4C" w:tentative="1">
      <w:start w:val="1"/>
      <w:numFmt w:val="bullet"/>
      <w:lvlText w:val="•"/>
      <w:lvlJc w:val="left"/>
      <w:pPr>
        <w:tabs>
          <w:tab w:val="num" w:pos="2880"/>
        </w:tabs>
        <w:ind w:left="2880" w:hanging="360"/>
      </w:pPr>
      <w:rPr>
        <w:rFonts w:ascii="Arial" w:hAnsi="Arial" w:hint="default"/>
      </w:rPr>
    </w:lvl>
    <w:lvl w:ilvl="4" w:tplc="105C0982" w:tentative="1">
      <w:start w:val="1"/>
      <w:numFmt w:val="bullet"/>
      <w:lvlText w:val="•"/>
      <w:lvlJc w:val="left"/>
      <w:pPr>
        <w:tabs>
          <w:tab w:val="num" w:pos="3600"/>
        </w:tabs>
        <w:ind w:left="3600" w:hanging="360"/>
      </w:pPr>
      <w:rPr>
        <w:rFonts w:ascii="Arial" w:hAnsi="Arial" w:hint="default"/>
      </w:rPr>
    </w:lvl>
    <w:lvl w:ilvl="5" w:tplc="2D52EF04" w:tentative="1">
      <w:start w:val="1"/>
      <w:numFmt w:val="bullet"/>
      <w:lvlText w:val="•"/>
      <w:lvlJc w:val="left"/>
      <w:pPr>
        <w:tabs>
          <w:tab w:val="num" w:pos="4320"/>
        </w:tabs>
        <w:ind w:left="4320" w:hanging="360"/>
      </w:pPr>
      <w:rPr>
        <w:rFonts w:ascii="Arial" w:hAnsi="Arial" w:hint="default"/>
      </w:rPr>
    </w:lvl>
    <w:lvl w:ilvl="6" w:tplc="25AA5252" w:tentative="1">
      <w:start w:val="1"/>
      <w:numFmt w:val="bullet"/>
      <w:lvlText w:val="•"/>
      <w:lvlJc w:val="left"/>
      <w:pPr>
        <w:tabs>
          <w:tab w:val="num" w:pos="5040"/>
        </w:tabs>
        <w:ind w:left="5040" w:hanging="360"/>
      </w:pPr>
      <w:rPr>
        <w:rFonts w:ascii="Arial" w:hAnsi="Arial" w:hint="default"/>
      </w:rPr>
    </w:lvl>
    <w:lvl w:ilvl="7" w:tplc="6E204614" w:tentative="1">
      <w:start w:val="1"/>
      <w:numFmt w:val="bullet"/>
      <w:lvlText w:val="•"/>
      <w:lvlJc w:val="left"/>
      <w:pPr>
        <w:tabs>
          <w:tab w:val="num" w:pos="5760"/>
        </w:tabs>
        <w:ind w:left="5760" w:hanging="360"/>
      </w:pPr>
      <w:rPr>
        <w:rFonts w:ascii="Arial" w:hAnsi="Arial" w:hint="default"/>
      </w:rPr>
    </w:lvl>
    <w:lvl w:ilvl="8" w:tplc="E16C9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A96C8F"/>
    <w:multiLevelType w:val="hybridMultilevel"/>
    <w:tmpl w:val="4F446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93E33"/>
    <w:multiLevelType w:val="hybridMultilevel"/>
    <w:tmpl w:val="D7B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15EC"/>
    <w:multiLevelType w:val="hybridMultilevel"/>
    <w:tmpl w:val="7832948E"/>
    <w:lvl w:ilvl="0" w:tplc="DAFC7E8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A71C9"/>
    <w:multiLevelType w:val="hybridMultilevel"/>
    <w:tmpl w:val="1EAAB9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7D9"/>
    <w:multiLevelType w:val="hybridMultilevel"/>
    <w:tmpl w:val="BCCA4B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6610B9"/>
    <w:multiLevelType w:val="hybridMultilevel"/>
    <w:tmpl w:val="73EA7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8F7B42"/>
    <w:multiLevelType w:val="hybridMultilevel"/>
    <w:tmpl w:val="E3C2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D3FA6"/>
    <w:multiLevelType w:val="hybridMultilevel"/>
    <w:tmpl w:val="AE102D88"/>
    <w:lvl w:ilvl="0" w:tplc="E592B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A59A6"/>
    <w:multiLevelType w:val="hybridMultilevel"/>
    <w:tmpl w:val="9A845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E5E8A"/>
    <w:multiLevelType w:val="hybridMultilevel"/>
    <w:tmpl w:val="30CA08E0"/>
    <w:lvl w:ilvl="0" w:tplc="DAFC7E8C">
      <w:start w:val="1"/>
      <w:numFmt w:val="lowerRoman"/>
      <w:lvlText w:val="(%1)"/>
      <w:lvlJc w:val="left"/>
      <w:pPr>
        <w:ind w:left="1440" w:hanging="360"/>
      </w:pPr>
      <w:rPr>
        <w:rFonts w:hint="default"/>
      </w:rPr>
    </w:lvl>
    <w:lvl w:ilvl="1" w:tplc="946A408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46E82"/>
    <w:multiLevelType w:val="hybridMultilevel"/>
    <w:tmpl w:val="5CE2DBFA"/>
    <w:lvl w:ilvl="0" w:tplc="91C01568">
      <w:start w:val="1"/>
      <w:numFmt w:val="bullet"/>
      <w:lvlText w:val="•"/>
      <w:lvlJc w:val="left"/>
      <w:pPr>
        <w:tabs>
          <w:tab w:val="num" w:pos="360"/>
        </w:tabs>
        <w:ind w:left="360" w:hanging="360"/>
      </w:pPr>
      <w:rPr>
        <w:rFonts w:ascii="Arial" w:hAnsi="Arial" w:hint="default"/>
      </w:rPr>
    </w:lvl>
    <w:lvl w:ilvl="1" w:tplc="BA807616">
      <w:start w:val="1"/>
      <w:numFmt w:val="bullet"/>
      <w:lvlText w:val="•"/>
      <w:lvlJc w:val="left"/>
      <w:pPr>
        <w:tabs>
          <w:tab w:val="num" w:pos="1080"/>
        </w:tabs>
        <w:ind w:left="1080" w:hanging="360"/>
      </w:pPr>
      <w:rPr>
        <w:rFonts w:ascii="Arial" w:hAnsi="Arial" w:hint="default"/>
      </w:rPr>
    </w:lvl>
    <w:lvl w:ilvl="2" w:tplc="B4FA6A0C" w:tentative="1">
      <w:start w:val="1"/>
      <w:numFmt w:val="bullet"/>
      <w:lvlText w:val="•"/>
      <w:lvlJc w:val="left"/>
      <w:pPr>
        <w:tabs>
          <w:tab w:val="num" w:pos="1800"/>
        </w:tabs>
        <w:ind w:left="1800" w:hanging="360"/>
      </w:pPr>
      <w:rPr>
        <w:rFonts w:ascii="Arial" w:hAnsi="Arial" w:hint="default"/>
      </w:rPr>
    </w:lvl>
    <w:lvl w:ilvl="3" w:tplc="AE2C78B0" w:tentative="1">
      <w:start w:val="1"/>
      <w:numFmt w:val="bullet"/>
      <w:lvlText w:val="•"/>
      <w:lvlJc w:val="left"/>
      <w:pPr>
        <w:tabs>
          <w:tab w:val="num" w:pos="2520"/>
        </w:tabs>
        <w:ind w:left="2520" w:hanging="360"/>
      </w:pPr>
      <w:rPr>
        <w:rFonts w:ascii="Arial" w:hAnsi="Arial" w:hint="default"/>
      </w:rPr>
    </w:lvl>
    <w:lvl w:ilvl="4" w:tplc="566021CC" w:tentative="1">
      <w:start w:val="1"/>
      <w:numFmt w:val="bullet"/>
      <w:lvlText w:val="•"/>
      <w:lvlJc w:val="left"/>
      <w:pPr>
        <w:tabs>
          <w:tab w:val="num" w:pos="3240"/>
        </w:tabs>
        <w:ind w:left="3240" w:hanging="360"/>
      </w:pPr>
      <w:rPr>
        <w:rFonts w:ascii="Arial" w:hAnsi="Arial" w:hint="default"/>
      </w:rPr>
    </w:lvl>
    <w:lvl w:ilvl="5" w:tplc="113A3E08" w:tentative="1">
      <w:start w:val="1"/>
      <w:numFmt w:val="bullet"/>
      <w:lvlText w:val="•"/>
      <w:lvlJc w:val="left"/>
      <w:pPr>
        <w:tabs>
          <w:tab w:val="num" w:pos="3960"/>
        </w:tabs>
        <w:ind w:left="3960" w:hanging="360"/>
      </w:pPr>
      <w:rPr>
        <w:rFonts w:ascii="Arial" w:hAnsi="Arial" w:hint="default"/>
      </w:rPr>
    </w:lvl>
    <w:lvl w:ilvl="6" w:tplc="311EA7CC" w:tentative="1">
      <w:start w:val="1"/>
      <w:numFmt w:val="bullet"/>
      <w:lvlText w:val="•"/>
      <w:lvlJc w:val="left"/>
      <w:pPr>
        <w:tabs>
          <w:tab w:val="num" w:pos="4680"/>
        </w:tabs>
        <w:ind w:left="4680" w:hanging="360"/>
      </w:pPr>
      <w:rPr>
        <w:rFonts w:ascii="Arial" w:hAnsi="Arial" w:hint="default"/>
      </w:rPr>
    </w:lvl>
    <w:lvl w:ilvl="7" w:tplc="D444BC70" w:tentative="1">
      <w:start w:val="1"/>
      <w:numFmt w:val="bullet"/>
      <w:lvlText w:val="•"/>
      <w:lvlJc w:val="left"/>
      <w:pPr>
        <w:tabs>
          <w:tab w:val="num" w:pos="5400"/>
        </w:tabs>
        <w:ind w:left="5400" w:hanging="360"/>
      </w:pPr>
      <w:rPr>
        <w:rFonts w:ascii="Arial" w:hAnsi="Arial" w:hint="default"/>
      </w:rPr>
    </w:lvl>
    <w:lvl w:ilvl="8" w:tplc="B33EDB1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285"/>
    <w:multiLevelType w:val="hybridMultilevel"/>
    <w:tmpl w:val="718ED5FA"/>
    <w:lvl w:ilvl="0" w:tplc="A01CC4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27830"/>
    <w:multiLevelType w:val="hybridMultilevel"/>
    <w:tmpl w:val="3F9E13FE"/>
    <w:lvl w:ilvl="0" w:tplc="617C39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C6D11"/>
    <w:multiLevelType w:val="hybridMultilevel"/>
    <w:tmpl w:val="5322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2229CA"/>
    <w:multiLevelType w:val="hybridMultilevel"/>
    <w:tmpl w:val="27425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366A3"/>
    <w:multiLevelType w:val="hybridMultilevel"/>
    <w:tmpl w:val="83B09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932532">
    <w:abstractNumId w:val="13"/>
  </w:num>
  <w:num w:numId="2" w16cid:durableId="1440833787">
    <w:abstractNumId w:val="24"/>
  </w:num>
  <w:num w:numId="3" w16cid:durableId="1084763208">
    <w:abstractNumId w:val="9"/>
  </w:num>
  <w:num w:numId="4" w16cid:durableId="1520391444">
    <w:abstractNumId w:val="19"/>
  </w:num>
  <w:num w:numId="5" w16cid:durableId="517423784">
    <w:abstractNumId w:val="22"/>
  </w:num>
  <w:num w:numId="6" w16cid:durableId="860558431">
    <w:abstractNumId w:val="2"/>
  </w:num>
  <w:num w:numId="7" w16cid:durableId="385566820">
    <w:abstractNumId w:val="12"/>
  </w:num>
  <w:num w:numId="8" w16cid:durableId="688140114">
    <w:abstractNumId w:val="3"/>
  </w:num>
  <w:num w:numId="9" w16cid:durableId="1504976901">
    <w:abstractNumId w:val="25"/>
  </w:num>
  <w:num w:numId="10" w16cid:durableId="1157185248">
    <w:abstractNumId w:val="26"/>
  </w:num>
  <w:num w:numId="11" w16cid:durableId="2105225160">
    <w:abstractNumId w:val="8"/>
  </w:num>
  <w:num w:numId="12" w16cid:durableId="2034266451">
    <w:abstractNumId w:val="6"/>
  </w:num>
  <w:num w:numId="13" w16cid:durableId="1897741129">
    <w:abstractNumId w:val="5"/>
  </w:num>
  <w:num w:numId="14" w16cid:durableId="252470948">
    <w:abstractNumId w:val="14"/>
  </w:num>
  <w:num w:numId="15" w16cid:durableId="1550453865">
    <w:abstractNumId w:val="11"/>
  </w:num>
  <w:num w:numId="16" w16cid:durableId="2117943792">
    <w:abstractNumId w:val="16"/>
  </w:num>
  <w:num w:numId="17" w16cid:durableId="2078741178">
    <w:abstractNumId w:val="27"/>
  </w:num>
  <w:num w:numId="18" w16cid:durableId="119156212">
    <w:abstractNumId w:val="20"/>
  </w:num>
  <w:num w:numId="19" w16cid:durableId="1184175129">
    <w:abstractNumId w:val="10"/>
  </w:num>
  <w:num w:numId="20" w16cid:durableId="1116675583">
    <w:abstractNumId w:val="0"/>
  </w:num>
  <w:num w:numId="21" w16cid:durableId="154998834">
    <w:abstractNumId w:val="4"/>
  </w:num>
  <w:num w:numId="22" w16cid:durableId="938878902">
    <w:abstractNumId w:val="7"/>
  </w:num>
  <w:num w:numId="23" w16cid:durableId="1577278657">
    <w:abstractNumId w:val="17"/>
  </w:num>
  <w:num w:numId="24" w16cid:durableId="1381317382">
    <w:abstractNumId w:val="21"/>
  </w:num>
  <w:num w:numId="25" w16cid:durableId="552156064">
    <w:abstractNumId w:val="23"/>
  </w:num>
  <w:num w:numId="26" w16cid:durableId="174270267">
    <w:abstractNumId w:val="15"/>
  </w:num>
  <w:num w:numId="27" w16cid:durableId="1477182789">
    <w:abstractNumId w:val="1"/>
  </w:num>
  <w:num w:numId="28" w16cid:durableId="17930934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D53"/>
    <w:rsid w:val="000027EE"/>
    <w:rsid w:val="00002A89"/>
    <w:rsid w:val="000040D5"/>
    <w:rsid w:val="000067A8"/>
    <w:rsid w:val="0001303B"/>
    <w:rsid w:val="00014370"/>
    <w:rsid w:val="00016526"/>
    <w:rsid w:val="00020B59"/>
    <w:rsid w:val="0002235C"/>
    <w:rsid w:val="000324AD"/>
    <w:rsid w:val="0003321E"/>
    <w:rsid w:val="000334CD"/>
    <w:rsid w:val="000401C9"/>
    <w:rsid w:val="000435B8"/>
    <w:rsid w:val="00043B71"/>
    <w:rsid w:val="00044A2D"/>
    <w:rsid w:val="00046EE9"/>
    <w:rsid w:val="000578FF"/>
    <w:rsid w:val="000617FE"/>
    <w:rsid w:val="000621AF"/>
    <w:rsid w:val="00062765"/>
    <w:rsid w:val="00062D3F"/>
    <w:rsid w:val="00063275"/>
    <w:rsid w:val="00067290"/>
    <w:rsid w:val="00067ED7"/>
    <w:rsid w:val="000705E1"/>
    <w:rsid w:val="000705EA"/>
    <w:rsid w:val="00073372"/>
    <w:rsid w:val="00074805"/>
    <w:rsid w:val="00086B7F"/>
    <w:rsid w:val="00093974"/>
    <w:rsid w:val="00093BF4"/>
    <w:rsid w:val="00094714"/>
    <w:rsid w:val="00096CA8"/>
    <w:rsid w:val="00097B08"/>
    <w:rsid w:val="000A05A6"/>
    <w:rsid w:val="000A136F"/>
    <w:rsid w:val="000A15D7"/>
    <w:rsid w:val="000A2787"/>
    <w:rsid w:val="000A746C"/>
    <w:rsid w:val="000B0905"/>
    <w:rsid w:val="000B1226"/>
    <w:rsid w:val="000B5C2B"/>
    <w:rsid w:val="000B7883"/>
    <w:rsid w:val="000C1D49"/>
    <w:rsid w:val="000C3068"/>
    <w:rsid w:val="000C5DCF"/>
    <w:rsid w:val="000C63B6"/>
    <w:rsid w:val="000C6E48"/>
    <w:rsid w:val="000D35C8"/>
    <w:rsid w:val="000D5ED9"/>
    <w:rsid w:val="000E09DC"/>
    <w:rsid w:val="000E11D9"/>
    <w:rsid w:val="000E2BCD"/>
    <w:rsid w:val="000E57F5"/>
    <w:rsid w:val="000E7F74"/>
    <w:rsid w:val="000F0270"/>
    <w:rsid w:val="000F03CE"/>
    <w:rsid w:val="000F225D"/>
    <w:rsid w:val="000F2A7C"/>
    <w:rsid w:val="000F3DCA"/>
    <w:rsid w:val="000F4F6F"/>
    <w:rsid w:val="000F7B5E"/>
    <w:rsid w:val="00101CBB"/>
    <w:rsid w:val="001048F3"/>
    <w:rsid w:val="0010668C"/>
    <w:rsid w:val="00106AFB"/>
    <w:rsid w:val="00112E7B"/>
    <w:rsid w:val="00115A04"/>
    <w:rsid w:val="001170AB"/>
    <w:rsid w:val="00121964"/>
    <w:rsid w:val="00126663"/>
    <w:rsid w:val="00130059"/>
    <w:rsid w:val="001329B0"/>
    <w:rsid w:val="00135768"/>
    <w:rsid w:val="00137F11"/>
    <w:rsid w:val="00140E69"/>
    <w:rsid w:val="0014120C"/>
    <w:rsid w:val="00141C23"/>
    <w:rsid w:val="00143D14"/>
    <w:rsid w:val="00144DF4"/>
    <w:rsid w:val="001472F4"/>
    <w:rsid w:val="00157690"/>
    <w:rsid w:val="001626F1"/>
    <w:rsid w:val="00164061"/>
    <w:rsid w:val="00164C5A"/>
    <w:rsid w:val="00167017"/>
    <w:rsid w:val="00167E35"/>
    <w:rsid w:val="001721C9"/>
    <w:rsid w:val="00172323"/>
    <w:rsid w:val="00172D7F"/>
    <w:rsid w:val="001731F3"/>
    <w:rsid w:val="0017400C"/>
    <w:rsid w:val="00180C36"/>
    <w:rsid w:val="0018148D"/>
    <w:rsid w:val="001814FC"/>
    <w:rsid w:val="001825ED"/>
    <w:rsid w:val="0018266E"/>
    <w:rsid w:val="001828D0"/>
    <w:rsid w:val="0018691F"/>
    <w:rsid w:val="00191480"/>
    <w:rsid w:val="00191509"/>
    <w:rsid w:val="00194775"/>
    <w:rsid w:val="00194D47"/>
    <w:rsid w:val="00195E52"/>
    <w:rsid w:val="001A0CA5"/>
    <w:rsid w:val="001A12B0"/>
    <w:rsid w:val="001A50A1"/>
    <w:rsid w:val="001A53C0"/>
    <w:rsid w:val="001B0EF5"/>
    <w:rsid w:val="001B33BC"/>
    <w:rsid w:val="001B3958"/>
    <w:rsid w:val="001B67DD"/>
    <w:rsid w:val="001C27A1"/>
    <w:rsid w:val="001C280A"/>
    <w:rsid w:val="001C3DC0"/>
    <w:rsid w:val="001C48C1"/>
    <w:rsid w:val="001C4C02"/>
    <w:rsid w:val="001C4D24"/>
    <w:rsid w:val="001C644F"/>
    <w:rsid w:val="001D0408"/>
    <w:rsid w:val="001D138A"/>
    <w:rsid w:val="001D1BCA"/>
    <w:rsid w:val="001D5632"/>
    <w:rsid w:val="001D6903"/>
    <w:rsid w:val="001E01E9"/>
    <w:rsid w:val="001E1929"/>
    <w:rsid w:val="001E269E"/>
    <w:rsid w:val="001F0B57"/>
    <w:rsid w:val="001F3D3F"/>
    <w:rsid w:val="001F7E45"/>
    <w:rsid w:val="00202B99"/>
    <w:rsid w:val="0020468C"/>
    <w:rsid w:val="00205533"/>
    <w:rsid w:val="00210872"/>
    <w:rsid w:val="00210D0F"/>
    <w:rsid w:val="00212525"/>
    <w:rsid w:val="00217419"/>
    <w:rsid w:val="00217FC3"/>
    <w:rsid w:val="0022016E"/>
    <w:rsid w:val="002204BB"/>
    <w:rsid w:val="00221598"/>
    <w:rsid w:val="002219C8"/>
    <w:rsid w:val="00223112"/>
    <w:rsid w:val="0022495E"/>
    <w:rsid w:val="002256AC"/>
    <w:rsid w:val="00225A48"/>
    <w:rsid w:val="00227FDF"/>
    <w:rsid w:val="00231862"/>
    <w:rsid w:val="0023256F"/>
    <w:rsid w:val="00232AD0"/>
    <w:rsid w:val="00240B26"/>
    <w:rsid w:val="0024129C"/>
    <w:rsid w:val="00243C5F"/>
    <w:rsid w:val="00245750"/>
    <w:rsid w:val="00246406"/>
    <w:rsid w:val="0025363B"/>
    <w:rsid w:val="0026062D"/>
    <w:rsid w:val="00261992"/>
    <w:rsid w:val="00267499"/>
    <w:rsid w:val="00267828"/>
    <w:rsid w:val="002717C0"/>
    <w:rsid w:val="002722A8"/>
    <w:rsid w:val="0028059B"/>
    <w:rsid w:val="00285BBA"/>
    <w:rsid w:val="00285DA3"/>
    <w:rsid w:val="002867FD"/>
    <w:rsid w:val="00286F20"/>
    <w:rsid w:val="00290809"/>
    <w:rsid w:val="00290E57"/>
    <w:rsid w:val="00293EAB"/>
    <w:rsid w:val="00294379"/>
    <w:rsid w:val="00296542"/>
    <w:rsid w:val="00297C98"/>
    <w:rsid w:val="002A02CB"/>
    <w:rsid w:val="002A0728"/>
    <w:rsid w:val="002A666E"/>
    <w:rsid w:val="002A7086"/>
    <w:rsid w:val="002B0B00"/>
    <w:rsid w:val="002B1D31"/>
    <w:rsid w:val="002B278B"/>
    <w:rsid w:val="002B4B14"/>
    <w:rsid w:val="002C5BE9"/>
    <w:rsid w:val="002C68E1"/>
    <w:rsid w:val="002C6CF7"/>
    <w:rsid w:val="002C7F6C"/>
    <w:rsid w:val="002D13AD"/>
    <w:rsid w:val="002D1A82"/>
    <w:rsid w:val="002D7DA4"/>
    <w:rsid w:val="002E0B94"/>
    <w:rsid w:val="002E1B69"/>
    <w:rsid w:val="002E30CC"/>
    <w:rsid w:val="002E4CB5"/>
    <w:rsid w:val="002E54A3"/>
    <w:rsid w:val="002E6FCA"/>
    <w:rsid w:val="002F1DAE"/>
    <w:rsid w:val="002F279B"/>
    <w:rsid w:val="002F3981"/>
    <w:rsid w:val="00300A1A"/>
    <w:rsid w:val="00303123"/>
    <w:rsid w:val="00304C3F"/>
    <w:rsid w:val="00311725"/>
    <w:rsid w:val="00311776"/>
    <w:rsid w:val="003140AF"/>
    <w:rsid w:val="003141EF"/>
    <w:rsid w:val="00315131"/>
    <w:rsid w:val="00322932"/>
    <w:rsid w:val="00323795"/>
    <w:rsid w:val="00324B8B"/>
    <w:rsid w:val="00325F59"/>
    <w:rsid w:val="00327179"/>
    <w:rsid w:val="00330624"/>
    <w:rsid w:val="003311CD"/>
    <w:rsid w:val="00331A2F"/>
    <w:rsid w:val="00337F11"/>
    <w:rsid w:val="00341CE3"/>
    <w:rsid w:val="00343E81"/>
    <w:rsid w:val="00346E58"/>
    <w:rsid w:val="00347FBF"/>
    <w:rsid w:val="003627EA"/>
    <w:rsid w:val="00362E36"/>
    <w:rsid w:val="00363520"/>
    <w:rsid w:val="00364387"/>
    <w:rsid w:val="0036578A"/>
    <w:rsid w:val="003666D8"/>
    <w:rsid w:val="00366CE0"/>
    <w:rsid w:val="003705FC"/>
    <w:rsid w:val="00371ED1"/>
    <w:rsid w:val="0037413D"/>
    <w:rsid w:val="00382CE5"/>
    <w:rsid w:val="00383464"/>
    <w:rsid w:val="00383A23"/>
    <w:rsid w:val="00384ACF"/>
    <w:rsid w:val="00384B74"/>
    <w:rsid w:val="00386532"/>
    <w:rsid w:val="00386C2E"/>
    <w:rsid w:val="00387218"/>
    <w:rsid w:val="003942E6"/>
    <w:rsid w:val="0039556E"/>
    <w:rsid w:val="00396705"/>
    <w:rsid w:val="003A0CCA"/>
    <w:rsid w:val="003A4F10"/>
    <w:rsid w:val="003A60F9"/>
    <w:rsid w:val="003A6A84"/>
    <w:rsid w:val="003A74FC"/>
    <w:rsid w:val="003A7FA8"/>
    <w:rsid w:val="003B0B17"/>
    <w:rsid w:val="003B101D"/>
    <w:rsid w:val="003B11CA"/>
    <w:rsid w:val="003B37A0"/>
    <w:rsid w:val="003B4154"/>
    <w:rsid w:val="003B485C"/>
    <w:rsid w:val="003B6254"/>
    <w:rsid w:val="003C2049"/>
    <w:rsid w:val="003C3CB6"/>
    <w:rsid w:val="003C79E6"/>
    <w:rsid w:val="003D1ECD"/>
    <w:rsid w:val="003D2FED"/>
    <w:rsid w:val="003D6BBF"/>
    <w:rsid w:val="003D6ECF"/>
    <w:rsid w:val="003E0AFD"/>
    <w:rsid w:val="003E1E8D"/>
    <w:rsid w:val="003E32E3"/>
    <w:rsid w:val="003E4DF7"/>
    <w:rsid w:val="003E7972"/>
    <w:rsid w:val="003E7EEC"/>
    <w:rsid w:val="003F1C66"/>
    <w:rsid w:val="003F2DB6"/>
    <w:rsid w:val="003F4814"/>
    <w:rsid w:val="003F7CD4"/>
    <w:rsid w:val="0040468B"/>
    <w:rsid w:val="00406DAD"/>
    <w:rsid w:val="00406F50"/>
    <w:rsid w:val="00407E9B"/>
    <w:rsid w:val="004107D0"/>
    <w:rsid w:val="004123DD"/>
    <w:rsid w:val="00413B6D"/>
    <w:rsid w:val="0041680C"/>
    <w:rsid w:val="00417D07"/>
    <w:rsid w:val="004203BC"/>
    <w:rsid w:val="004207DC"/>
    <w:rsid w:val="00430B32"/>
    <w:rsid w:val="004319E4"/>
    <w:rsid w:val="004325CA"/>
    <w:rsid w:val="00432E90"/>
    <w:rsid w:val="00433DD0"/>
    <w:rsid w:val="00434163"/>
    <w:rsid w:val="00434ED0"/>
    <w:rsid w:val="004354F4"/>
    <w:rsid w:val="00437684"/>
    <w:rsid w:val="00441C65"/>
    <w:rsid w:val="00444B95"/>
    <w:rsid w:val="00444FA3"/>
    <w:rsid w:val="0044670C"/>
    <w:rsid w:val="00447742"/>
    <w:rsid w:val="00452D68"/>
    <w:rsid w:val="00453038"/>
    <w:rsid w:val="00454BB1"/>
    <w:rsid w:val="004571E1"/>
    <w:rsid w:val="004629C9"/>
    <w:rsid w:val="00470968"/>
    <w:rsid w:val="00470FD6"/>
    <w:rsid w:val="004723B4"/>
    <w:rsid w:val="00474761"/>
    <w:rsid w:val="004752B9"/>
    <w:rsid w:val="0047534A"/>
    <w:rsid w:val="00476DBD"/>
    <w:rsid w:val="00480344"/>
    <w:rsid w:val="0048041C"/>
    <w:rsid w:val="00480F96"/>
    <w:rsid w:val="00481A2E"/>
    <w:rsid w:val="00482D01"/>
    <w:rsid w:val="00483064"/>
    <w:rsid w:val="00483165"/>
    <w:rsid w:val="004836BB"/>
    <w:rsid w:val="00485CD3"/>
    <w:rsid w:val="00490BDE"/>
    <w:rsid w:val="00491A3C"/>
    <w:rsid w:val="00491DA1"/>
    <w:rsid w:val="0049399F"/>
    <w:rsid w:val="00496759"/>
    <w:rsid w:val="00496ECC"/>
    <w:rsid w:val="004A3A16"/>
    <w:rsid w:val="004A3BD0"/>
    <w:rsid w:val="004A76DC"/>
    <w:rsid w:val="004B376F"/>
    <w:rsid w:val="004C20C0"/>
    <w:rsid w:val="004C301B"/>
    <w:rsid w:val="004C3487"/>
    <w:rsid w:val="004C57F7"/>
    <w:rsid w:val="004D2954"/>
    <w:rsid w:val="004D2A97"/>
    <w:rsid w:val="004D46CB"/>
    <w:rsid w:val="004E029B"/>
    <w:rsid w:val="004E74CA"/>
    <w:rsid w:val="004F1080"/>
    <w:rsid w:val="004F2C82"/>
    <w:rsid w:val="004F6259"/>
    <w:rsid w:val="004F7AB4"/>
    <w:rsid w:val="00501703"/>
    <w:rsid w:val="00502181"/>
    <w:rsid w:val="00504F7D"/>
    <w:rsid w:val="0050768D"/>
    <w:rsid w:val="00510FED"/>
    <w:rsid w:val="00512CAA"/>
    <w:rsid w:val="00512D98"/>
    <w:rsid w:val="00516B6E"/>
    <w:rsid w:val="00516F52"/>
    <w:rsid w:val="00517C00"/>
    <w:rsid w:val="00517C64"/>
    <w:rsid w:val="00525296"/>
    <w:rsid w:val="00526679"/>
    <w:rsid w:val="00527B0E"/>
    <w:rsid w:val="00532981"/>
    <w:rsid w:val="00540670"/>
    <w:rsid w:val="00543A49"/>
    <w:rsid w:val="0054640F"/>
    <w:rsid w:val="005466A4"/>
    <w:rsid w:val="00550B91"/>
    <w:rsid w:val="005531EC"/>
    <w:rsid w:val="00553ABA"/>
    <w:rsid w:val="005542D0"/>
    <w:rsid w:val="00555C92"/>
    <w:rsid w:val="00555CC5"/>
    <w:rsid w:val="00557D10"/>
    <w:rsid w:val="00562413"/>
    <w:rsid w:val="00563981"/>
    <w:rsid w:val="0056668F"/>
    <w:rsid w:val="005705A5"/>
    <w:rsid w:val="00570D75"/>
    <w:rsid w:val="0057128D"/>
    <w:rsid w:val="005727BD"/>
    <w:rsid w:val="0057351F"/>
    <w:rsid w:val="00576062"/>
    <w:rsid w:val="005859C2"/>
    <w:rsid w:val="00585CC0"/>
    <w:rsid w:val="00586F79"/>
    <w:rsid w:val="00587A1D"/>
    <w:rsid w:val="0059193D"/>
    <w:rsid w:val="0059735B"/>
    <w:rsid w:val="005A3D23"/>
    <w:rsid w:val="005A776D"/>
    <w:rsid w:val="005B18B3"/>
    <w:rsid w:val="005B328C"/>
    <w:rsid w:val="005B4A8A"/>
    <w:rsid w:val="005B5FF9"/>
    <w:rsid w:val="005B7B1C"/>
    <w:rsid w:val="005C04D5"/>
    <w:rsid w:val="005C161E"/>
    <w:rsid w:val="005C2D5A"/>
    <w:rsid w:val="005C407C"/>
    <w:rsid w:val="005C4645"/>
    <w:rsid w:val="005D0467"/>
    <w:rsid w:val="005D2A3B"/>
    <w:rsid w:val="005D3564"/>
    <w:rsid w:val="005D7B92"/>
    <w:rsid w:val="005E2F1D"/>
    <w:rsid w:val="005E7340"/>
    <w:rsid w:val="005F590E"/>
    <w:rsid w:val="005F7611"/>
    <w:rsid w:val="00600842"/>
    <w:rsid w:val="00601378"/>
    <w:rsid w:val="006034C8"/>
    <w:rsid w:val="00604843"/>
    <w:rsid w:val="00605707"/>
    <w:rsid w:val="0060576F"/>
    <w:rsid w:val="0060622D"/>
    <w:rsid w:val="00606403"/>
    <w:rsid w:val="00612B8C"/>
    <w:rsid w:val="006142FF"/>
    <w:rsid w:val="0061717F"/>
    <w:rsid w:val="0062025C"/>
    <w:rsid w:val="00627626"/>
    <w:rsid w:val="00631A90"/>
    <w:rsid w:val="00633411"/>
    <w:rsid w:val="0063446F"/>
    <w:rsid w:val="00641BC4"/>
    <w:rsid w:val="0064436F"/>
    <w:rsid w:val="00645A7C"/>
    <w:rsid w:val="0064744D"/>
    <w:rsid w:val="00650E83"/>
    <w:rsid w:val="00653359"/>
    <w:rsid w:val="006553BA"/>
    <w:rsid w:val="006560B3"/>
    <w:rsid w:val="00657100"/>
    <w:rsid w:val="00665786"/>
    <w:rsid w:val="00670BE9"/>
    <w:rsid w:val="00671363"/>
    <w:rsid w:val="0067247F"/>
    <w:rsid w:val="00677419"/>
    <w:rsid w:val="0068567F"/>
    <w:rsid w:val="00692300"/>
    <w:rsid w:val="00693094"/>
    <w:rsid w:val="00693951"/>
    <w:rsid w:val="00696B59"/>
    <w:rsid w:val="0069737A"/>
    <w:rsid w:val="006A0D26"/>
    <w:rsid w:val="006A22FD"/>
    <w:rsid w:val="006A35DB"/>
    <w:rsid w:val="006A3829"/>
    <w:rsid w:val="006A4647"/>
    <w:rsid w:val="006A4E4D"/>
    <w:rsid w:val="006A5099"/>
    <w:rsid w:val="006B09DA"/>
    <w:rsid w:val="006B185B"/>
    <w:rsid w:val="006B2111"/>
    <w:rsid w:val="006B324B"/>
    <w:rsid w:val="006B3262"/>
    <w:rsid w:val="006B42A6"/>
    <w:rsid w:val="006B68B7"/>
    <w:rsid w:val="006B6BD9"/>
    <w:rsid w:val="006B76D1"/>
    <w:rsid w:val="006C2404"/>
    <w:rsid w:val="006C268F"/>
    <w:rsid w:val="006C6310"/>
    <w:rsid w:val="006D0223"/>
    <w:rsid w:val="006D1A68"/>
    <w:rsid w:val="006D1CEF"/>
    <w:rsid w:val="006D3598"/>
    <w:rsid w:val="006D3B36"/>
    <w:rsid w:val="006D3E3B"/>
    <w:rsid w:val="006D70A4"/>
    <w:rsid w:val="006E06C6"/>
    <w:rsid w:val="006E083B"/>
    <w:rsid w:val="006E0F99"/>
    <w:rsid w:val="006E302A"/>
    <w:rsid w:val="006E3F2A"/>
    <w:rsid w:val="006E7481"/>
    <w:rsid w:val="006E79FF"/>
    <w:rsid w:val="006F05A3"/>
    <w:rsid w:val="006F1584"/>
    <w:rsid w:val="006F1B7F"/>
    <w:rsid w:val="006F58C8"/>
    <w:rsid w:val="00700F50"/>
    <w:rsid w:val="00702A82"/>
    <w:rsid w:val="007032BD"/>
    <w:rsid w:val="0070334E"/>
    <w:rsid w:val="007051E8"/>
    <w:rsid w:val="00707F65"/>
    <w:rsid w:val="007127CF"/>
    <w:rsid w:val="007129A9"/>
    <w:rsid w:val="00712D5B"/>
    <w:rsid w:val="007159C8"/>
    <w:rsid w:val="007164BA"/>
    <w:rsid w:val="00716933"/>
    <w:rsid w:val="00716F41"/>
    <w:rsid w:val="0072129F"/>
    <w:rsid w:val="00722AFA"/>
    <w:rsid w:val="00723FD5"/>
    <w:rsid w:val="00726342"/>
    <w:rsid w:val="0072680E"/>
    <w:rsid w:val="00726EDA"/>
    <w:rsid w:val="007313A3"/>
    <w:rsid w:val="00731CCB"/>
    <w:rsid w:val="007362A5"/>
    <w:rsid w:val="00736694"/>
    <w:rsid w:val="00740368"/>
    <w:rsid w:val="00740ABA"/>
    <w:rsid w:val="007428B8"/>
    <w:rsid w:val="00743245"/>
    <w:rsid w:val="00746164"/>
    <w:rsid w:val="007475B7"/>
    <w:rsid w:val="00752071"/>
    <w:rsid w:val="007541F2"/>
    <w:rsid w:val="00754D9E"/>
    <w:rsid w:val="0075603A"/>
    <w:rsid w:val="00760008"/>
    <w:rsid w:val="00760937"/>
    <w:rsid w:val="0076439B"/>
    <w:rsid w:val="00764C25"/>
    <w:rsid w:val="00774050"/>
    <w:rsid w:val="00780BB6"/>
    <w:rsid w:val="00780D78"/>
    <w:rsid w:val="00783F32"/>
    <w:rsid w:val="007866CC"/>
    <w:rsid w:val="0078733C"/>
    <w:rsid w:val="0078738A"/>
    <w:rsid w:val="00790810"/>
    <w:rsid w:val="00791042"/>
    <w:rsid w:val="00793FD2"/>
    <w:rsid w:val="0079698A"/>
    <w:rsid w:val="007A1FCC"/>
    <w:rsid w:val="007A4A61"/>
    <w:rsid w:val="007A7605"/>
    <w:rsid w:val="007A7A5E"/>
    <w:rsid w:val="007B0102"/>
    <w:rsid w:val="007B12FA"/>
    <w:rsid w:val="007B19E0"/>
    <w:rsid w:val="007B7479"/>
    <w:rsid w:val="007C3AA1"/>
    <w:rsid w:val="007C4C41"/>
    <w:rsid w:val="007C5597"/>
    <w:rsid w:val="007C5697"/>
    <w:rsid w:val="007C62BA"/>
    <w:rsid w:val="007C6663"/>
    <w:rsid w:val="007C6888"/>
    <w:rsid w:val="007D11B5"/>
    <w:rsid w:val="007D20FB"/>
    <w:rsid w:val="007D56F0"/>
    <w:rsid w:val="007D6A8F"/>
    <w:rsid w:val="007D78AF"/>
    <w:rsid w:val="007E0724"/>
    <w:rsid w:val="007E0E9B"/>
    <w:rsid w:val="007E135C"/>
    <w:rsid w:val="007E27C6"/>
    <w:rsid w:val="007E7B65"/>
    <w:rsid w:val="007F02BE"/>
    <w:rsid w:val="007F1E94"/>
    <w:rsid w:val="007F390B"/>
    <w:rsid w:val="007F3A41"/>
    <w:rsid w:val="007F419D"/>
    <w:rsid w:val="00801A7A"/>
    <w:rsid w:val="008042AF"/>
    <w:rsid w:val="00807AE4"/>
    <w:rsid w:val="00811CEB"/>
    <w:rsid w:val="0081409D"/>
    <w:rsid w:val="008165D1"/>
    <w:rsid w:val="00824C9E"/>
    <w:rsid w:val="008262CC"/>
    <w:rsid w:val="0082774A"/>
    <w:rsid w:val="00827E27"/>
    <w:rsid w:val="00827F39"/>
    <w:rsid w:val="008301CE"/>
    <w:rsid w:val="00830417"/>
    <w:rsid w:val="00832A5D"/>
    <w:rsid w:val="008418C7"/>
    <w:rsid w:val="008422FD"/>
    <w:rsid w:val="00842498"/>
    <w:rsid w:val="00851085"/>
    <w:rsid w:val="0085676E"/>
    <w:rsid w:val="008626B5"/>
    <w:rsid w:val="008634E7"/>
    <w:rsid w:val="008657B5"/>
    <w:rsid w:val="00867693"/>
    <w:rsid w:val="0087214B"/>
    <w:rsid w:val="008763AC"/>
    <w:rsid w:val="00883D95"/>
    <w:rsid w:val="00886D61"/>
    <w:rsid w:val="008903CD"/>
    <w:rsid w:val="008909EE"/>
    <w:rsid w:val="00893768"/>
    <w:rsid w:val="00894388"/>
    <w:rsid w:val="008946E7"/>
    <w:rsid w:val="0089685C"/>
    <w:rsid w:val="008A069A"/>
    <w:rsid w:val="008A1535"/>
    <w:rsid w:val="008A3519"/>
    <w:rsid w:val="008A603B"/>
    <w:rsid w:val="008A6F19"/>
    <w:rsid w:val="008B34B7"/>
    <w:rsid w:val="008B355F"/>
    <w:rsid w:val="008C0560"/>
    <w:rsid w:val="008C4C7A"/>
    <w:rsid w:val="008C5CCD"/>
    <w:rsid w:val="008C73C6"/>
    <w:rsid w:val="008C7D65"/>
    <w:rsid w:val="008D4CE5"/>
    <w:rsid w:val="008D6B3D"/>
    <w:rsid w:val="008E2C3A"/>
    <w:rsid w:val="008E71B8"/>
    <w:rsid w:val="008F0C94"/>
    <w:rsid w:val="008F151E"/>
    <w:rsid w:val="008F3A2B"/>
    <w:rsid w:val="008F6EB4"/>
    <w:rsid w:val="00900BAB"/>
    <w:rsid w:val="00901149"/>
    <w:rsid w:val="00901D24"/>
    <w:rsid w:val="00903224"/>
    <w:rsid w:val="00904EA8"/>
    <w:rsid w:val="0091117B"/>
    <w:rsid w:val="00917C6D"/>
    <w:rsid w:val="00920F1B"/>
    <w:rsid w:val="009229C0"/>
    <w:rsid w:val="00924664"/>
    <w:rsid w:val="009249B0"/>
    <w:rsid w:val="0093189D"/>
    <w:rsid w:val="00932350"/>
    <w:rsid w:val="00932AEE"/>
    <w:rsid w:val="009347A8"/>
    <w:rsid w:val="00935E33"/>
    <w:rsid w:val="00937C6E"/>
    <w:rsid w:val="00940D4F"/>
    <w:rsid w:val="00943AED"/>
    <w:rsid w:val="00945D79"/>
    <w:rsid w:val="0094755F"/>
    <w:rsid w:val="009533BA"/>
    <w:rsid w:val="00955E39"/>
    <w:rsid w:val="00964C6B"/>
    <w:rsid w:val="00966015"/>
    <w:rsid w:val="00966F4D"/>
    <w:rsid w:val="00967C05"/>
    <w:rsid w:val="00970D21"/>
    <w:rsid w:val="00970FB0"/>
    <w:rsid w:val="00972CF1"/>
    <w:rsid w:val="009757CE"/>
    <w:rsid w:val="00980EB5"/>
    <w:rsid w:val="0098161C"/>
    <w:rsid w:val="00983709"/>
    <w:rsid w:val="00984558"/>
    <w:rsid w:val="009918FA"/>
    <w:rsid w:val="00992087"/>
    <w:rsid w:val="009923C9"/>
    <w:rsid w:val="009933A3"/>
    <w:rsid w:val="00993D2E"/>
    <w:rsid w:val="009A143F"/>
    <w:rsid w:val="009A2104"/>
    <w:rsid w:val="009A30B4"/>
    <w:rsid w:val="009A32D9"/>
    <w:rsid w:val="009B02E6"/>
    <w:rsid w:val="009B04E1"/>
    <w:rsid w:val="009B04F7"/>
    <w:rsid w:val="009B1108"/>
    <w:rsid w:val="009B1D61"/>
    <w:rsid w:val="009B39BA"/>
    <w:rsid w:val="009B3A84"/>
    <w:rsid w:val="009B422C"/>
    <w:rsid w:val="009B43B3"/>
    <w:rsid w:val="009B685E"/>
    <w:rsid w:val="009C33AF"/>
    <w:rsid w:val="009C55C9"/>
    <w:rsid w:val="009C6DF0"/>
    <w:rsid w:val="009D5028"/>
    <w:rsid w:val="009D59D9"/>
    <w:rsid w:val="009D652E"/>
    <w:rsid w:val="009E0551"/>
    <w:rsid w:val="009E0AF8"/>
    <w:rsid w:val="009E0F94"/>
    <w:rsid w:val="009E48AA"/>
    <w:rsid w:val="009E5763"/>
    <w:rsid w:val="00A0083C"/>
    <w:rsid w:val="00A02190"/>
    <w:rsid w:val="00A040E1"/>
    <w:rsid w:val="00A07F42"/>
    <w:rsid w:val="00A10EBF"/>
    <w:rsid w:val="00A11FF5"/>
    <w:rsid w:val="00A12EFA"/>
    <w:rsid w:val="00A148D8"/>
    <w:rsid w:val="00A14CA6"/>
    <w:rsid w:val="00A16315"/>
    <w:rsid w:val="00A3048B"/>
    <w:rsid w:val="00A307EC"/>
    <w:rsid w:val="00A30B3C"/>
    <w:rsid w:val="00A30F75"/>
    <w:rsid w:val="00A338CA"/>
    <w:rsid w:val="00A406EA"/>
    <w:rsid w:val="00A41DA3"/>
    <w:rsid w:val="00A42B59"/>
    <w:rsid w:val="00A44021"/>
    <w:rsid w:val="00A44D83"/>
    <w:rsid w:val="00A44E9D"/>
    <w:rsid w:val="00A47F19"/>
    <w:rsid w:val="00A55A35"/>
    <w:rsid w:val="00A60996"/>
    <w:rsid w:val="00A63624"/>
    <w:rsid w:val="00A63824"/>
    <w:rsid w:val="00A738D2"/>
    <w:rsid w:val="00A77C5F"/>
    <w:rsid w:val="00A80653"/>
    <w:rsid w:val="00A80D3C"/>
    <w:rsid w:val="00A83645"/>
    <w:rsid w:val="00A84813"/>
    <w:rsid w:val="00A87356"/>
    <w:rsid w:val="00A90833"/>
    <w:rsid w:val="00A908B6"/>
    <w:rsid w:val="00A910A6"/>
    <w:rsid w:val="00A95AC7"/>
    <w:rsid w:val="00A96C70"/>
    <w:rsid w:val="00A970C5"/>
    <w:rsid w:val="00AA018F"/>
    <w:rsid w:val="00AB0F76"/>
    <w:rsid w:val="00AB3E61"/>
    <w:rsid w:val="00AB47B6"/>
    <w:rsid w:val="00AB6497"/>
    <w:rsid w:val="00AC1C8D"/>
    <w:rsid w:val="00AD1BF8"/>
    <w:rsid w:val="00AD1E5E"/>
    <w:rsid w:val="00AD1E77"/>
    <w:rsid w:val="00AD489B"/>
    <w:rsid w:val="00AD6644"/>
    <w:rsid w:val="00AE502C"/>
    <w:rsid w:val="00AE58A9"/>
    <w:rsid w:val="00AE5D9B"/>
    <w:rsid w:val="00AE6BBC"/>
    <w:rsid w:val="00AE7553"/>
    <w:rsid w:val="00AE7C23"/>
    <w:rsid w:val="00AF0408"/>
    <w:rsid w:val="00AF4B30"/>
    <w:rsid w:val="00AF641B"/>
    <w:rsid w:val="00AF7183"/>
    <w:rsid w:val="00AF7C84"/>
    <w:rsid w:val="00B00D73"/>
    <w:rsid w:val="00B02D60"/>
    <w:rsid w:val="00B04BD5"/>
    <w:rsid w:val="00B04EFD"/>
    <w:rsid w:val="00B114B5"/>
    <w:rsid w:val="00B11D66"/>
    <w:rsid w:val="00B134F6"/>
    <w:rsid w:val="00B15189"/>
    <w:rsid w:val="00B1539A"/>
    <w:rsid w:val="00B1634D"/>
    <w:rsid w:val="00B1638D"/>
    <w:rsid w:val="00B218D4"/>
    <w:rsid w:val="00B21CD1"/>
    <w:rsid w:val="00B2410E"/>
    <w:rsid w:val="00B24609"/>
    <w:rsid w:val="00B255D0"/>
    <w:rsid w:val="00B257FE"/>
    <w:rsid w:val="00B3179B"/>
    <w:rsid w:val="00B3659C"/>
    <w:rsid w:val="00B40246"/>
    <w:rsid w:val="00B40E8F"/>
    <w:rsid w:val="00B410B7"/>
    <w:rsid w:val="00B434AB"/>
    <w:rsid w:val="00B43AE4"/>
    <w:rsid w:val="00B43F85"/>
    <w:rsid w:val="00B4571C"/>
    <w:rsid w:val="00B46F06"/>
    <w:rsid w:val="00B53EAA"/>
    <w:rsid w:val="00B601C4"/>
    <w:rsid w:val="00B617B2"/>
    <w:rsid w:val="00B65CF0"/>
    <w:rsid w:val="00B65D8C"/>
    <w:rsid w:val="00B6696F"/>
    <w:rsid w:val="00B71EF8"/>
    <w:rsid w:val="00B723BE"/>
    <w:rsid w:val="00B73D87"/>
    <w:rsid w:val="00B7410C"/>
    <w:rsid w:val="00B74290"/>
    <w:rsid w:val="00B75379"/>
    <w:rsid w:val="00B753D9"/>
    <w:rsid w:val="00B8031B"/>
    <w:rsid w:val="00B80383"/>
    <w:rsid w:val="00B817F4"/>
    <w:rsid w:val="00B82705"/>
    <w:rsid w:val="00B85450"/>
    <w:rsid w:val="00B86B44"/>
    <w:rsid w:val="00B87FEC"/>
    <w:rsid w:val="00B91194"/>
    <w:rsid w:val="00B93CAB"/>
    <w:rsid w:val="00B97471"/>
    <w:rsid w:val="00B97F42"/>
    <w:rsid w:val="00BA137B"/>
    <w:rsid w:val="00BA1476"/>
    <w:rsid w:val="00BA2A1A"/>
    <w:rsid w:val="00BA4046"/>
    <w:rsid w:val="00BA6A96"/>
    <w:rsid w:val="00BB03E6"/>
    <w:rsid w:val="00BB1368"/>
    <w:rsid w:val="00BB15CF"/>
    <w:rsid w:val="00BB2D11"/>
    <w:rsid w:val="00BB4EF5"/>
    <w:rsid w:val="00BB56E7"/>
    <w:rsid w:val="00BB6B8B"/>
    <w:rsid w:val="00BC1530"/>
    <w:rsid w:val="00BC55DA"/>
    <w:rsid w:val="00BC6620"/>
    <w:rsid w:val="00BC70C9"/>
    <w:rsid w:val="00BD1532"/>
    <w:rsid w:val="00BD6651"/>
    <w:rsid w:val="00BD68FE"/>
    <w:rsid w:val="00BE4ED8"/>
    <w:rsid w:val="00BE5EC4"/>
    <w:rsid w:val="00BE712B"/>
    <w:rsid w:val="00BF058E"/>
    <w:rsid w:val="00BF0F85"/>
    <w:rsid w:val="00BF2418"/>
    <w:rsid w:val="00BF67B9"/>
    <w:rsid w:val="00BF7FE2"/>
    <w:rsid w:val="00C00B7D"/>
    <w:rsid w:val="00C0289A"/>
    <w:rsid w:val="00C02EB5"/>
    <w:rsid w:val="00C05A1C"/>
    <w:rsid w:val="00C1016E"/>
    <w:rsid w:val="00C10675"/>
    <w:rsid w:val="00C11AFA"/>
    <w:rsid w:val="00C15503"/>
    <w:rsid w:val="00C170A1"/>
    <w:rsid w:val="00C17F5D"/>
    <w:rsid w:val="00C20F6E"/>
    <w:rsid w:val="00C23DEE"/>
    <w:rsid w:val="00C24087"/>
    <w:rsid w:val="00C27D57"/>
    <w:rsid w:val="00C30DAE"/>
    <w:rsid w:val="00C3206E"/>
    <w:rsid w:val="00C33479"/>
    <w:rsid w:val="00C338C7"/>
    <w:rsid w:val="00C33943"/>
    <w:rsid w:val="00C359CA"/>
    <w:rsid w:val="00C405B1"/>
    <w:rsid w:val="00C41281"/>
    <w:rsid w:val="00C41339"/>
    <w:rsid w:val="00C421CE"/>
    <w:rsid w:val="00C458D7"/>
    <w:rsid w:val="00C47593"/>
    <w:rsid w:val="00C522A3"/>
    <w:rsid w:val="00C54D0A"/>
    <w:rsid w:val="00C60E0D"/>
    <w:rsid w:val="00C635C8"/>
    <w:rsid w:val="00C70170"/>
    <w:rsid w:val="00C71674"/>
    <w:rsid w:val="00C72AD1"/>
    <w:rsid w:val="00C75201"/>
    <w:rsid w:val="00C77532"/>
    <w:rsid w:val="00C827B3"/>
    <w:rsid w:val="00C82CBA"/>
    <w:rsid w:val="00C87131"/>
    <w:rsid w:val="00C878F7"/>
    <w:rsid w:val="00C909A2"/>
    <w:rsid w:val="00C930FE"/>
    <w:rsid w:val="00C939FC"/>
    <w:rsid w:val="00C95142"/>
    <w:rsid w:val="00C96415"/>
    <w:rsid w:val="00C97DB0"/>
    <w:rsid w:val="00CA0810"/>
    <w:rsid w:val="00CA2D14"/>
    <w:rsid w:val="00CA3510"/>
    <w:rsid w:val="00CA422A"/>
    <w:rsid w:val="00CA5D4C"/>
    <w:rsid w:val="00CA60A5"/>
    <w:rsid w:val="00CB0B8A"/>
    <w:rsid w:val="00CB211C"/>
    <w:rsid w:val="00CB4511"/>
    <w:rsid w:val="00CB64DD"/>
    <w:rsid w:val="00CC0DDE"/>
    <w:rsid w:val="00CC0E7B"/>
    <w:rsid w:val="00CC5BD2"/>
    <w:rsid w:val="00CD02A8"/>
    <w:rsid w:val="00CD1627"/>
    <w:rsid w:val="00CD391A"/>
    <w:rsid w:val="00CD789A"/>
    <w:rsid w:val="00CD7FB1"/>
    <w:rsid w:val="00CE0500"/>
    <w:rsid w:val="00CE1C84"/>
    <w:rsid w:val="00CE3317"/>
    <w:rsid w:val="00CE676A"/>
    <w:rsid w:val="00CE739E"/>
    <w:rsid w:val="00CF182F"/>
    <w:rsid w:val="00CF1A9B"/>
    <w:rsid w:val="00CF2DD0"/>
    <w:rsid w:val="00CF358E"/>
    <w:rsid w:val="00CF3741"/>
    <w:rsid w:val="00D01DBB"/>
    <w:rsid w:val="00D03D1F"/>
    <w:rsid w:val="00D0404D"/>
    <w:rsid w:val="00D04236"/>
    <w:rsid w:val="00D12098"/>
    <w:rsid w:val="00D1797A"/>
    <w:rsid w:val="00D25FCD"/>
    <w:rsid w:val="00D307D2"/>
    <w:rsid w:val="00D316CB"/>
    <w:rsid w:val="00D33086"/>
    <w:rsid w:val="00D336F8"/>
    <w:rsid w:val="00D33AF9"/>
    <w:rsid w:val="00D36A80"/>
    <w:rsid w:val="00D36E64"/>
    <w:rsid w:val="00D370A0"/>
    <w:rsid w:val="00D43543"/>
    <w:rsid w:val="00D43921"/>
    <w:rsid w:val="00D44132"/>
    <w:rsid w:val="00D47DAB"/>
    <w:rsid w:val="00D5115F"/>
    <w:rsid w:val="00D5145A"/>
    <w:rsid w:val="00D56E54"/>
    <w:rsid w:val="00D60BD9"/>
    <w:rsid w:val="00D61502"/>
    <w:rsid w:val="00D62324"/>
    <w:rsid w:val="00D7084C"/>
    <w:rsid w:val="00D70D38"/>
    <w:rsid w:val="00D7184F"/>
    <w:rsid w:val="00D72DD8"/>
    <w:rsid w:val="00D742D3"/>
    <w:rsid w:val="00D7489A"/>
    <w:rsid w:val="00D75664"/>
    <w:rsid w:val="00D81928"/>
    <w:rsid w:val="00D81B79"/>
    <w:rsid w:val="00D82C7B"/>
    <w:rsid w:val="00D84A73"/>
    <w:rsid w:val="00D85512"/>
    <w:rsid w:val="00D8667C"/>
    <w:rsid w:val="00D86AB9"/>
    <w:rsid w:val="00D875D0"/>
    <w:rsid w:val="00D90C07"/>
    <w:rsid w:val="00D926A5"/>
    <w:rsid w:val="00D928A5"/>
    <w:rsid w:val="00D92BA9"/>
    <w:rsid w:val="00D94794"/>
    <w:rsid w:val="00D94A3B"/>
    <w:rsid w:val="00D96824"/>
    <w:rsid w:val="00DA0FB1"/>
    <w:rsid w:val="00DA211B"/>
    <w:rsid w:val="00DA62A1"/>
    <w:rsid w:val="00DA7A99"/>
    <w:rsid w:val="00DB20E9"/>
    <w:rsid w:val="00DB4A36"/>
    <w:rsid w:val="00DB4A4C"/>
    <w:rsid w:val="00DB4AD1"/>
    <w:rsid w:val="00DB6B17"/>
    <w:rsid w:val="00DC3431"/>
    <w:rsid w:val="00DD3C49"/>
    <w:rsid w:val="00DD4BD9"/>
    <w:rsid w:val="00DE2AFC"/>
    <w:rsid w:val="00DE3AAE"/>
    <w:rsid w:val="00DE42CF"/>
    <w:rsid w:val="00DE4AD3"/>
    <w:rsid w:val="00DE633B"/>
    <w:rsid w:val="00DF0E99"/>
    <w:rsid w:val="00DF2079"/>
    <w:rsid w:val="00DF6B12"/>
    <w:rsid w:val="00E01464"/>
    <w:rsid w:val="00E024EC"/>
    <w:rsid w:val="00E02DCF"/>
    <w:rsid w:val="00E038E9"/>
    <w:rsid w:val="00E07BA3"/>
    <w:rsid w:val="00E1004B"/>
    <w:rsid w:val="00E11B88"/>
    <w:rsid w:val="00E12B59"/>
    <w:rsid w:val="00E15CC7"/>
    <w:rsid w:val="00E17B80"/>
    <w:rsid w:val="00E223A0"/>
    <w:rsid w:val="00E245B7"/>
    <w:rsid w:val="00E24E02"/>
    <w:rsid w:val="00E27F54"/>
    <w:rsid w:val="00E30228"/>
    <w:rsid w:val="00E32FD1"/>
    <w:rsid w:val="00E34E23"/>
    <w:rsid w:val="00E3618F"/>
    <w:rsid w:val="00E41F38"/>
    <w:rsid w:val="00E420D3"/>
    <w:rsid w:val="00E43F6B"/>
    <w:rsid w:val="00E45F94"/>
    <w:rsid w:val="00E45FE4"/>
    <w:rsid w:val="00E506D2"/>
    <w:rsid w:val="00E5637B"/>
    <w:rsid w:val="00E5690D"/>
    <w:rsid w:val="00E56BDF"/>
    <w:rsid w:val="00E578D0"/>
    <w:rsid w:val="00E60842"/>
    <w:rsid w:val="00E630E9"/>
    <w:rsid w:val="00E63B56"/>
    <w:rsid w:val="00E64805"/>
    <w:rsid w:val="00E66CC9"/>
    <w:rsid w:val="00E67355"/>
    <w:rsid w:val="00E7052E"/>
    <w:rsid w:val="00E73478"/>
    <w:rsid w:val="00E75249"/>
    <w:rsid w:val="00E75A30"/>
    <w:rsid w:val="00E75F4F"/>
    <w:rsid w:val="00E760D6"/>
    <w:rsid w:val="00E7710A"/>
    <w:rsid w:val="00E82D3C"/>
    <w:rsid w:val="00E8380C"/>
    <w:rsid w:val="00E87462"/>
    <w:rsid w:val="00E91680"/>
    <w:rsid w:val="00E94D26"/>
    <w:rsid w:val="00E9592E"/>
    <w:rsid w:val="00EA050D"/>
    <w:rsid w:val="00EA0CEF"/>
    <w:rsid w:val="00EA7D4F"/>
    <w:rsid w:val="00EB16F7"/>
    <w:rsid w:val="00EB4CE5"/>
    <w:rsid w:val="00EB630C"/>
    <w:rsid w:val="00EB6E7E"/>
    <w:rsid w:val="00EB7510"/>
    <w:rsid w:val="00EC0250"/>
    <w:rsid w:val="00EC504C"/>
    <w:rsid w:val="00EC5A6F"/>
    <w:rsid w:val="00EC700C"/>
    <w:rsid w:val="00EC7D2A"/>
    <w:rsid w:val="00ED1F9D"/>
    <w:rsid w:val="00ED38D6"/>
    <w:rsid w:val="00ED42A8"/>
    <w:rsid w:val="00ED5B28"/>
    <w:rsid w:val="00EE3906"/>
    <w:rsid w:val="00EE4F2A"/>
    <w:rsid w:val="00EE563D"/>
    <w:rsid w:val="00EE7A32"/>
    <w:rsid w:val="00EF1183"/>
    <w:rsid w:val="00EF1FC0"/>
    <w:rsid w:val="00EF2391"/>
    <w:rsid w:val="00EF4790"/>
    <w:rsid w:val="00EF5763"/>
    <w:rsid w:val="00EF57C4"/>
    <w:rsid w:val="00EF6153"/>
    <w:rsid w:val="00F057FB"/>
    <w:rsid w:val="00F060F0"/>
    <w:rsid w:val="00F1154D"/>
    <w:rsid w:val="00F13DD8"/>
    <w:rsid w:val="00F13ECC"/>
    <w:rsid w:val="00F16A29"/>
    <w:rsid w:val="00F21C74"/>
    <w:rsid w:val="00F24A9C"/>
    <w:rsid w:val="00F25602"/>
    <w:rsid w:val="00F26119"/>
    <w:rsid w:val="00F314F2"/>
    <w:rsid w:val="00F32ED9"/>
    <w:rsid w:val="00F347E0"/>
    <w:rsid w:val="00F40510"/>
    <w:rsid w:val="00F408F3"/>
    <w:rsid w:val="00F46B0E"/>
    <w:rsid w:val="00F51522"/>
    <w:rsid w:val="00F54ACB"/>
    <w:rsid w:val="00F5637D"/>
    <w:rsid w:val="00F61CBA"/>
    <w:rsid w:val="00F70169"/>
    <w:rsid w:val="00F75E4C"/>
    <w:rsid w:val="00F76DC0"/>
    <w:rsid w:val="00F778D4"/>
    <w:rsid w:val="00F802EF"/>
    <w:rsid w:val="00F814C5"/>
    <w:rsid w:val="00F839B3"/>
    <w:rsid w:val="00F92721"/>
    <w:rsid w:val="00F932A4"/>
    <w:rsid w:val="00F97606"/>
    <w:rsid w:val="00F9769F"/>
    <w:rsid w:val="00FA6A74"/>
    <w:rsid w:val="00FA6E93"/>
    <w:rsid w:val="00FA7613"/>
    <w:rsid w:val="00FB1DF9"/>
    <w:rsid w:val="00FB3E56"/>
    <w:rsid w:val="00FB6E97"/>
    <w:rsid w:val="00FC1F9D"/>
    <w:rsid w:val="00FC1FCE"/>
    <w:rsid w:val="00FC2674"/>
    <w:rsid w:val="00FC73BB"/>
    <w:rsid w:val="00FD059B"/>
    <w:rsid w:val="00FD2FD5"/>
    <w:rsid w:val="00FD4D0C"/>
    <w:rsid w:val="00FD5AD8"/>
    <w:rsid w:val="00FD6F32"/>
    <w:rsid w:val="00FD7BA7"/>
    <w:rsid w:val="00FE3007"/>
    <w:rsid w:val="00FE4BD6"/>
    <w:rsid w:val="00FE6531"/>
    <w:rsid w:val="00FF277C"/>
    <w:rsid w:val="00FF32F8"/>
    <w:rsid w:val="00FF43DB"/>
    <w:rsid w:val="00FF6FD0"/>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CF12"/>
  <w15:chartTrackingRefBased/>
  <w15:docId w15:val="{9B4C51BF-DF62-45AD-8569-70B6F44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37A0"/>
    <w:rPr>
      <w:sz w:val="16"/>
      <w:szCs w:val="16"/>
    </w:rPr>
  </w:style>
  <w:style w:type="paragraph" w:styleId="CommentText">
    <w:name w:val="annotation text"/>
    <w:basedOn w:val="Normal"/>
    <w:link w:val="CommentTextChar"/>
    <w:uiPriority w:val="99"/>
    <w:semiHidden/>
    <w:unhideWhenUsed/>
    <w:rsid w:val="003B37A0"/>
    <w:rPr>
      <w:sz w:val="20"/>
      <w:szCs w:val="20"/>
    </w:rPr>
  </w:style>
  <w:style w:type="character" w:customStyle="1" w:styleId="CommentTextChar">
    <w:name w:val="Comment Text Char"/>
    <w:basedOn w:val="DefaultParagraphFont"/>
    <w:link w:val="CommentText"/>
    <w:uiPriority w:val="99"/>
    <w:semiHidden/>
    <w:rsid w:val="003B37A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37A0"/>
    <w:rPr>
      <w:b/>
      <w:bCs/>
    </w:rPr>
  </w:style>
  <w:style w:type="character" w:customStyle="1" w:styleId="CommentSubjectChar">
    <w:name w:val="Comment Subject Char"/>
    <w:basedOn w:val="CommentTextChar"/>
    <w:link w:val="CommentSubject"/>
    <w:uiPriority w:val="99"/>
    <w:semiHidden/>
    <w:rsid w:val="003B37A0"/>
    <w:rPr>
      <w:rFonts w:ascii="Arial" w:eastAsia="Times New Roman" w:hAnsi="Arial" w:cs="Times New Roman"/>
      <w:b/>
      <w:bCs/>
      <w:sz w:val="20"/>
      <w:szCs w:val="20"/>
    </w:rPr>
  </w:style>
  <w:style w:type="character" w:styleId="Emphasis">
    <w:name w:val="Emphasis"/>
    <w:basedOn w:val="DefaultParagraphFont"/>
    <w:uiPriority w:val="20"/>
    <w:qFormat/>
    <w:rsid w:val="00722AFA"/>
    <w:rPr>
      <w:i/>
      <w:iCs/>
    </w:rPr>
  </w:style>
  <w:style w:type="paragraph" w:styleId="Revision">
    <w:name w:val="Revision"/>
    <w:hidden/>
    <w:uiPriority w:val="99"/>
    <w:semiHidden/>
    <w:rsid w:val="00496759"/>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B74290"/>
    <w:rPr>
      <w:color w:val="605E5C"/>
      <w:shd w:val="clear" w:color="auto" w:fill="E1DFDD"/>
    </w:rPr>
  </w:style>
  <w:style w:type="paragraph" w:styleId="FootnoteText">
    <w:name w:val="footnote text"/>
    <w:basedOn w:val="Normal"/>
    <w:link w:val="FootnoteTextChar"/>
    <w:uiPriority w:val="99"/>
    <w:semiHidden/>
    <w:unhideWhenUsed/>
    <w:rsid w:val="006E7481"/>
    <w:rPr>
      <w:sz w:val="20"/>
      <w:szCs w:val="20"/>
    </w:rPr>
  </w:style>
  <w:style w:type="character" w:customStyle="1" w:styleId="FootnoteTextChar">
    <w:name w:val="Footnote Text Char"/>
    <w:basedOn w:val="DefaultParagraphFont"/>
    <w:link w:val="FootnoteText"/>
    <w:uiPriority w:val="99"/>
    <w:semiHidden/>
    <w:rsid w:val="006E748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E7481"/>
    <w:rPr>
      <w:vertAlign w:val="superscript"/>
    </w:rPr>
  </w:style>
  <w:style w:type="character" w:styleId="FollowedHyperlink">
    <w:name w:val="FollowedHyperlink"/>
    <w:basedOn w:val="DefaultParagraphFont"/>
    <w:uiPriority w:val="99"/>
    <w:semiHidden/>
    <w:unhideWhenUsed/>
    <w:rsid w:val="00482D01"/>
    <w:rPr>
      <w:color w:val="954F72" w:themeColor="followedHyperlink"/>
      <w:u w:val="single"/>
    </w:rPr>
  </w:style>
  <w:style w:type="paragraph" w:styleId="NormalWeb">
    <w:name w:val="Normal (Web)"/>
    <w:basedOn w:val="Normal"/>
    <w:uiPriority w:val="99"/>
    <w:unhideWhenUsed/>
    <w:rsid w:val="00D75664"/>
    <w:rPr>
      <w:rFonts w:ascii="Times New Roman" w:eastAsiaTheme="minorHAnsi" w:hAnsi="Times New Roman"/>
    </w:rPr>
  </w:style>
  <w:style w:type="paragraph" w:customStyle="1" w:styleId="TableCategoryText">
    <w:name w:val="Table Category Text"/>
    <w:basedOn w:val="Normal"/>
    <w:uiPriority w:val="99"/>
    <w:rsid w:val="00157690"/>
    <w:pPr>
      <w:spacing w:line="270" w:lineRule="atLeast"/>
    </w:pPr>
    <w:rPr>
      <w:rFonts w:eastAsiaTheme="minorHAnsi" w:cs="Arial"/>
      <w:b/>
      <w:bCs/>
      <w:color w:val="394C57"/>
      <w:spacing w:val="-2"/>
    </w:rPr>
  </w:style>
  <w:style w:type="paragraph" w:customStyle="1" w:styleId="TableBodyText">
    <w:name w:val="Table Body Text"/>
    <w:basedOn w:val="Normal"/>
    <w:uiPriority w:val="99"/>
    <w:rsid w:val="00157690"/>
    <w:pPr>
      <w:spacing w:after="80" w:line="270" w:lineRule="atLeast"/>
    </w:pPr>
    <w:rPr>
      <w:rFonts w:eastAsiaTheme="minorHAnsi" w:cs="Arial"/>
      <w:color w:val="0071AE"/>
    </w:rPr>
  </w:style>
  <w:style w:type="paragraph" w:customStyle="1" w:styleId="TableHeaderRow">
    <w:name w:val="Table Header Row"/>
    <w:basedOn w:val="Normal"/>
    <w:uiPriority w:val="99"/>
    <w:rsid w:val="00157690"/>
    <w:pPr>
      <w:spacing w:line="270" w:lineRule="atLeast"/>
    </w:pPr>
    <w:rPr>
      <w:rFonts w:ascii="Arial Bold" w:eastAsiaTheme="minorHAnsi" w:hAnsi="Arial Bold" w:cs="Calibri"/>
      <w:b/>
      <w:bCs/>
      <w:color w:val="FFFFFF"/>
      <w:spacing w:val="-8"/>
    </w:rPr>
  </w:style>
  <w:style w:type="character" w:customStyle="1" w:styleId="UnresolvedMention2">
    <w:name w:val="Unresolved Mention2"/>
    <w:basedOn w:val="DefaultParagraphFont"/>
    <w:uiPriority w:val="99"/>
    <w:semiHidden/>
    <w:unhideWhenUsed/>
    <w:rsid w:val="00137F11"/>
    <w:rPr>
      <w:color w:val="605E5C"/>
      <w:shd w:val="clear" w:color="auto" w:fill="E1DFDD"/>
    </w:rPr>
  </w:style>
  <w:style w:type="table" w:styleId="GridTable1Light">
    <w:name w:val="Grid Table 1 Light"/>
    <w:basedOn w:val="TableNormal"/>
    <w:uiPriority w:val="46"/>
    <w:rsid w:val="003E7E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801A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3">
    <w:name w:val="Unresolved Mention3"/>
    <w:basedOn w:val="DefaultParagraphFont"/>
    <w:uiPriority w:val="99"/>
    <w:semiHidden/>
    <w:unhideWhenUsed/>
    <w:rsid w:val="00AB0F76"/>
    <w:rPr>
      <w:color w:val="605E5C"/>
      <w:shd w:val="clear" w:color="auto" w:fill="E1DFDD"/>
    </w:rPr>
  </w:style>
  <w:style w:type="table" w:styleId="TableGrid">
    <w:name w:val="Table Grid"/>
    <w:basedOn w:val="TableNormal"/>
    <w:uiPriority w:val="39"/>
    <w:rsid w:val="00B7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3271">
      <w:bodyDiv w:val="1"/>
      <w:marLeft w:val="0"/>
      <w:marRight w:val="0"/>
      <w:marTop w:val="0"/>
      <w:marBottom w:val="0"/>
      <w:divBdr>
        <w:top w:val="none" w:sz="0" w:space="0" w:color="auto"/>
        <w:left w:val="none" w:sz="0" w:space="0" w:color="auto"/>
        <w:bottom w:val="none" w:sz="0" w:space="0" w:color="auto"/>
        <w:right w:val="none" w:sz="0" w:space="0" w:color="auto"/>
      </w:divBdr>
    </w:div>
    <w:div w:id="315570889">
      <w:bodyDiv w:val="1"/>
      <w:marLeft w:val="0"/>
      <w:marRight w:val="0"/>
      <w:marTop w:val="0"/>
      <w:marBottom w:val="0"/>
      <w:divBdr>
        <w:top w:val="single" w:sz="12" w:space="0" w:color="767575"/>
        <w:left w:val="none" w:sz="0" w:space="0" w:color="auto"/>
        <w:bottom w:val="none" w:sz="0" w:space="0" w:color="auto"/>
        <w:right w:val="none" w:sz="0" w:space="0" w:color="auto"/>
      </w:divBdr>
      <w:divsChild>
        <w:div w:id="104202370">
          <w:marLeft w:val="0"/>
          <w:marRight w:val="0"/>
          <w:marTop w:val="0"/>
          <w:marBottom w:val="0"/>
          <w:divBdr>
            <w:top w:val="none" w:sz="0" w:space="0" w:color="auto"/>
            <w:left w:val="none" w:sz="0" w:space="0" w:color="auto"/>
            <w:bottom w:val="none" w:sz="0" w:space="0" w:color="auto"/>
            <w:right w:val="none" w:sz="0" w:space="0" w:color="auto"/>
          </w:divBdr>
          <w:divsChild>
            <w:div w:id="1246038951">
              <w:marLeft w:val="0"/>
              <w:marRight w:val="0"/>
              <w:marTop w:val="0"/>
              <w:marBottom w:val="0"/>
              <w:divBdr>
                <w:top w:val="none" w:sz="0" w:space="0" w:color="auto"/>
                <w:left w:val="none" w:sz="0" w:space="0" w:color="auto"/>
                <w:bottom w:val="none" w:sz="0" w:space="0" w:color="auto"/>
                <w:right w:val="none" w:sz="0" w:space="0" w:color="auto"/>
              </w:divBdr>
              <w:divsChild>
                <w:div w:id="1759281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575459">
                      <w:marLeft w:val="300"/>
                      <w:marRight w:val="0"/>
                      <w:marTop w:val="0"/>
                      <w:marBottom w:val="0"/>
                      <w:divBdr>
                        <w:top w:val="none" w:sz="0" w:space="0" w:color="auto"/>
                        <w:left w:val="none" w:sz="0" w:space="0" w:color="auto"/>
                        <w:bottom w:val="none" w:sz="0" w:space="0" w:color="auto"/>
                        <w:right w:val="none" w:sz="0" w:space="0" w:color="auto"/>
                      </w:divBdr>
                      <w:divsChild>
                        <w:div w:id="767315837">
                          <w:marLeft w:val="0"/>
                          <w:marRight w:val="0"/>
                          <w:marTop w:val="0"/>
                          <w:marBottom w:val="0"/>
                          <w:divBdr>
                            <w:top w:val="none" w:sz="0" w:space="0" w:color="auto"/>
                            <w:left w:val="none" w:sz="0" w:space="0" w:color="auto"/>
                            <w:bottom w:val="none" w:sz="0" w:space="0" w:color="auto"/>
                            <w:right w:val="none" w:sz="0" w:space="0" w:color="auto"/>
                          </w:divBdr>
                          <w:divsChild>
                            <w:div w:id="1500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7074">
      <w:bodyDiv w:val="1"/>
      <w:marLeft w:val="0"/>
      <w:marRight w:val="0"/>
      <w:marTop w:val="0"/>
      <w:marBottom w:val="0"/>
      <w:divBdr>
        <w:top w:val="none" w:sz="0" w:space="0" w:color="auto"/>
        <w:left w:val="none" w:sz="0" w:space="0" w:color="auto"/>
        <w:bottom w:val="none" w:sz="0" w:space="0" w:color="auto"/>
        <w:right w:val="none" w:sz="0" w:space="0" w:color="auto"/>
      </w:divBdr>
    </w:div>
    <w:div w:id="362947170">
      <w:bodyDiv w:val="1"/>
      <w:marLeft w:val="0"/>
      <w:marRight w:val="0"/>
      <w:marTop w:val="0"/>
      <w:marBottom w:val="0"/>
      <w:divBdr>
        <w:top w:val="none" w:sz="0" w:space="0" w:color="auto"/>
        <w:left w:val="none" w:sz="0" w:space="0" w:color="auto"/>
        <w:bottom w:val="none" w:sz="0" w:space="0" w:color="auto"/>
        <w:right w:val="none" w:sz="0" w:space="0" w:color="auto"/>
      </w:divBdr>
    </w:div>
    <w:div w:id="403920958">
      <w:bodyDiv w:val="1"/>
      <w:marLeft w:val="0"/>
      <w:marRight w:val="0"/>
      <w:marTop w:val="0"/>
      <w:marBottom w:val="0"/>
      <w:divBdr>
        <w:top w:val="none" w:sz="0" w:space="0" w:color="auto"/>
        <w:left w:val="none" w:sz="0" w:space="0" w:color="auto"/>
        <w:bottom w:val="none" w:sz="0" w:space="0" w:color="auto"/>
        <w:right w:val="none" w:sz="0" w:space="0" w:color="auto"/>
      </w:divBdr>
      <w:divsChild>
        <w:div w:id="618224156">
          <w:marLeft w:val="0"/>
          <w:marRight w:val="0"/>
          <w:marTop w:val="0"/>
          <w:marBottom w:val="0"/>
          <w:divBdr>
            <w:top w:val="none" w:sz="0" w:space="0" w:color="auto"/>
            <w:left w:val="none" w:sz="0" w:space="0" w:color="auto"/>
            <w:bottom w:val="none" w:sz="0" w:space="0" w:color="auto"/>
            <w:right w:val="none" w:sz="0" w:space="0" w:color="auto"/>
          </w:divBdr>
          <w:divsChild>
            <w:div w:id="406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7793">
      <w:bodyDiv w:val="1"/>
      <w:marLeft w:val="0"/>
      <w:marRight w:val="0"/>
      <w:marTop w:val="0"/>
      <w:marBottom w:val="0"/>
      <w:divBdr>
        <w:top w:val="none" w:sz="0" w:space="0" w:color="auto"/>
        <w:left w:val="none" w:sz="0" w:space="0" w:color="auto"/>
        <w:bottom w:val="none" w:sz="0" w:space="0" w:color="auto"/>
        <w:right w:val="none" w:sz="0" w:space="0" w:color="auto"/>
      </w:divBdr>
    </w:div>
    <w:div w:id="603073369">
      <w:bodyDiv w:val="1"/>
      <w:marLeft w:val="0"/>
      <w:marRight w:val="0"/>
      <w:marTop w:val="0"/>
      <w:marBottom w:val="0"/>
      <w:divBdr>
        <w:top w:val="none" w:sz="0" w:space="0" w:color="auto"/>
        <w:left w:val="none" w:sz="0" w:space="0" w:color="auto"/>
        <w:bottom w:val="none" w:sz="0" w:space="0" w:color="auto"/>
        <w:right w:val="none" w:sz="0" w:space="0" w:color="auto"/>
      </w:divBdr>
    </w:div>
    <w:div w:id="813763497">
      <w:bodyDiv w:val="1"/>
      <w:marLeft w:val="0"/>
      <w:marRight w:val="0"/>
      <w:marTop w:val="0"/>
      <w:marBottom w:val="0"/>
      <w:divBdr>
        <w:top w:val="none" w:sz="0" w:space="0" w:color="auto"/>
        <w:left w:val="none" w:sz="0" w:space="0" w:color="auto"/>
        <w:bottom w:val="none" w:sz="0" w:space="0" w:color="auto"/>
        <w:right w:val="none" w:sz="0" w:space="0" w:color="auto"/>
      </w:divBdr>
    </w:div>
    <w:div w:id="914630192">
      <w:bodyDiv w:val="1"/>
      <w:marLeft w:val="0"/>
      <w:marRight w:val="0"/>
      <w:marTop w:val="0"/>
      <w:marBottom w:val="0"/>
      <w:divBdr>
        <w:top w:val="none" w:sz="0" w:space="0" w:color="auto"/>
        <w:left w:val="none" w:sz="0" w:space="0" w:color="auto"/>
        <w:bottom w:val="none" w:sz="0" w:space="0" w:color="auto"/>
        <w:right w:val="none" w:sz="0" w:space="0" w:color="auto"/>
      </w:divBdr>
    </w:div>
    <w:div w:id="1025255568">
      <w:bodyDiv w:val="1"/>
      <w:marLeft w:val="0"/>
      <w:marRight w:val="0"/>
      <w:marTop w:val="0"/>
      <w:marBottom w:val="0"/>
      <w:divBdr>
        <w:top w:val="none" w:sz="0" w:space="0" w:color="auto"/>
        <w:left w:val="none" w:sz="0" w:space="0" w:color="auto"/>
        <w:bottom w:val="none" w:sz="0" w:space="0" w:color="auto"/>
        <w:right w:val="none" w:sz="0" w:space="0" w:color="auto"/>
      </w:divBdr>
    </w:div>
    <w:div w:id="1030691444">
      <w:bodyDiv w:val="1"/>
      <w:marLeft w:val="0"/>
      <w:marRight w:val="0"/>
      <w:marTop w:val="0"/>
      <w:marBottom w:val="0"/>
      <w:divBdr>
        <w:top w:val="none" w:sz="0" w:space="0" w:color="auto"/>
        <w:left w:val="none" w:sz="0" w:space="0" w:color="auto"/>
        <w:bottom w:val="none" w:sz="0" w:space="0" w:color="auto"/>
        <w:right w:val="none" w:sz="0" w:space="0" w:color="auto"/>
      </w:divBdr>
    </w:div>
    <w:div w:id="1267811103">
      <w:bodyDiv w:val="1"/>
      <w:marLeft w:val="0"/>
      <w:marRight w:val="0"/>
      <w:marTop w:val="0"/>
      <w:marBottom w:val="0"/>
      <w:divBdr>
        <w:top w:val="none" w:sz="0" w:space="0" w:color="auto"/>
        <w:left w:val="none" w:sz="0" w:space="0" w:color="auto"/>
        <w:bottom w:val="none" w:sz="0" w:space="0" w:color="auto"/>
        <w:right w:val="none" w:sz="0" w:space="0" w:color="auto"/>
      </w:divBdr>
      <w:divsChild>
        <w:div w:id="926352887">
          <w:marLeft w:val="547"/>
          <w:marRight w:val="0"/>
          <w:marTop w:val="125"/>
          <w:marBottom w:val="0"/>
          <w:divBdr>
            <w:top w:val="none" w:sz="0" w:space="0" w:color="auto"/>
            <w:left w:val="none" w:sz="0" w:space="0" w:color="auto"/>
            <w:bottom w:val="none" w:sz="0" w:space="0" w:color="auto"/>
            <w:right w:val="none" w:sz="0" w:space="0" w:color="auto"/>
          </w:divBdr>
        </w:div>
        <w:div w:id="1841655910">
          <w:marLeft w:val="547"/>
          <w:marRight w:val="0"/>
          <w:marTop w:val="125"/>
          <w:marBottom w:val="0"/>
          <w:divBdr>
            <w:top w:val="none" w:sz="0" w:space="0" w:color="auto"/>
            <w:left w:val="none" w:sz="0" w:space="0" w:color="auto"/>
            <w:bottom w:val="none" w:sz="0" w:space="0" w:color="auto"/>
            <w:right w:val="none" w:sz="0" w:space="0" w:color="auto"/>
          </w:divBdr>
        </w:div>
        <w:div w:id="70011247">
          <w:marLeft w:val="547"/>
          <w:marRight w:val="0"/>
          <w:marTop w:val="125"/>
          <w:marBottom w:val="0"/>
          <w:divBdr>
            <w:top w:val="none" w:sz="0" w:space="0" w:color="auto"/>
            <w:left w:val="none" w:sz="0" w:space="0" w:color="auto"/>
            <w:bottom w:val="none" w:sz="0" w:space="0" w:color="auto"/>
            <w:right w:val="none" w:sz="0" w:space="0" w:color="auto"/>
          </w:divBdr>
        </w:div>
      </w:divsChild>
    </w:div>
    <w:div w:id="1378967403">
      <w:bodyDiv w:val="1"/>
      <w:marLeft w:val="0"/>
      <w:marRight w:val="0"/>
      <w:marTop w:val="0"/>
      <w:marBottom w:val="0"/>
      <w:divBdr>
        <w:top w:val="none" w:sz="0" w:space="0" w:color="auto"/>
        <w:left w:val="none" w:sz="0" w:space="0" w:color="auto"/>
        <w:bottom w:val="none" w:sz="0" w:space="0" w:color="auto"/>
        <w:right w:val="none" w:sz="0" w:space="0" w:color="auto"/>
      </w:divBdr>
    </w:div>
    <w:div w:id="1380667899">
      <w:bodyDiv w:val="1"/>
      <w:marLeft w:val="0"/>
      <w:marRight w:val="0"/>
      <w:marTop w:val="0"/>
      <w:marBottom w:val="0"/>
      <w:divBdr>
        <w:top w:val="none" w:sz="0" w:space="0" w:color="auto"/>
        <w:left w:val="none" w:sz="0" w:space="0" w:color="auto"/>
        <w:bottom w:val="none" w:sz="0" w:space="0" w:color="auto"/>
        <w:right w:val="none" w:sz="0" w:space="0" w:color="auto"/>
      </w:divBdr>
    </w:div>
    <w:div w:id="1546984207">
      <w:bodyDiv w:val="1"/>
      <w:marLeft w:val="0"/>
      <w:marRight w:val="0"/>
      <w:marTop w:val="0"/>
      <w:marBottom w:val="0"/>
      <w:divBdr>
        <w:top w:val="none" w:sz="0" w:space="0" w:color="auto"/>
        <w:left w:val="none" w:sz="0" w:space="0" w:color="auto"/>
        <w:bottom w:val="none" w:sz="0" w:space="0" w:color="auto"/>
        <w:right w:val="none" w:sz="0" w:space="0" w:color="auto"/>
      </w:divBdr>
    </w:div>
    <w:div w:id="1564220452">
      <w:bodyDiv w:val="1"/>
      <w:marLeft w:val="0"/>
      <w:marRight w:val="0"/>
      <w:marTop w:val="0"/>
      <w:marBottom w:val="0"/>
      <w:divBdr>
        <w:top w:val="none" w:sz="0" w:space="0" w:color="auto"/>
        <w:left w:val="none" w:sz="0" w:space="0" w:color="auto"/>
        <w:bottom w:val="none" w:sz="0" w:space="0" w:color="auto"/>
        <w:right w:val="none" w:sz="0" w:space="0" w:color="auto"/>
      </w:divBdr>
    </w:div>
    <w:div w:id="1704623783">
      <w:bodyDiv w:val="1"/>
      <w:marLeft w:val="0"/>
      <w:marRight w:val="0"/>
      <w:marTop w:val="0"/>
      <w:marBottom w:val="0"/>
      <w:divBdr>
        <w:top w:val="none" w:sz="0" w:space="0" w:color="auto"/>
        <w:left w:val="none" w:sz="0" w:space="0" w:color="auto"/>
        <w:bottom w:val="none" w:sz="0" w:space="0" w:color="auto"/>
        <w:right w:val="none" w:sz="0" w:space="0" w:color="auto"/>
      </w:divBdr>
    </w:div>
    <w:div w:id="1942256904">
      <w:bodyDiv w:val="1"/>
      <w:marLeft w:val="0"/>
      <w:marRight w:val="0"/>
      <w:marTop w:val="0"/>
      <w:marBottom w:val="0"/>
      <w:divBdr>
        <w:top w:val="none" w:sz="0" w:space="0" w:color="auto"/>
        <w:left w:val="none" w:sz="0" w:space="0" w:color="auto"/>
        <w:bottom w:val="none" w:sz="0" w:space="0" w:color="auto"/>
        <w:right w:val="none" w:sz="0" w:space="0" w:color="auto"/>
      </w:divBdr>
    </w:div>
    <w:div w:id="1967926292">
      <w:bodyDiv w:val="1"/>
      <w:marLeft w:val="0"/>
      <w:marRight w:val="0"/>
      <w:marTop w:val="0"/>
      <w:marBottom w:val="0"/>
      <w:divBdr>
        <w:top w:val="none" w:sz="0" w:space="0" w:color="auto"/>
        <w:left w:val="none" w:sz="0" w:space="0" w:color="auto"/>
        <w:bottom w:val="none" w:sz="0" w:space="0" w:color="auto"/>
        <w:right w:val="none" w:sz="0" w:space="0" w:color="auto"/>
      </w:divBdr>
    </w:div>
    <w:div w:id="1973554406">
      <w:bodyDiv w:val="1"/>
      <w:marLeft w:val="0"/>
      <w:marRight w:val="0"/>
      <w:marTop w:val="0"/>
      <w:marBottom w:val="0"/>
      <w:divBdr>
        <w:top w:val="none" w:sz="0" w:space="0" w:color="auto"/>
        <w:left w:val="none" w:sz="0" w:space="0" w:color="auto"/>
        <w:bottom w:val="none" w:sz="0" w:space="0" w:color="auto"/>
        <w:right w:val="none" w:sz="0" w:space="0" w:color="auto"/>
      </w:divBdr>
    </w:div>
    <w:div w:id="1978222101">
      <w:bodyDiv w:val="1"/>
      <w:marLeft w:val="0"/>
      <w:marRight w:val="0"/>
      <w:marTop w:val="0"/>
      <w:marBottom w:val="0"/>
      <w:divBdr>
        <w:top w:val="none" w:sz="0" w:space="0" w:color="auto"/>
        <w:left w:val="none" w:sz="0" w:space="0" w:color="auto"/>
        <w:bottom w:val="none" w:sz="0" w:space="0" w:color="auto"/>
        <w:right w:val="none" w:sz="0" w:space="0" w:color="auto"/>
      </w:divBdr>
    </w:div>
    <w:div w:id="20510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8BB4149DB56643A7524376D43BE555" ma:contentTypeVersion="13" ma:contentTypeDescription="Create a new document." ma:contentTypeScope="" ma:versionID="1323a51a7bcda1d807ed8fd8bf54e375">
  <xsd:schema xmlns:xsd="http://www.w3.org/2001/XMLSchema" xmlns:xs="http://www.w3.org/2001/XMLSchema" xmlns:p="http://schemas.microsoft.com/office/2006/metadata/properties" xmlns:ns3="0bb52a69-017d-4317-9dde-86eefc68c425" xmlns:ns4="85277ba7-f4ce-4090-a5ae-2690180b07da" targetNamespace="http://schemas.microsoft.com/office/2006/metadata/properties" ma:root="true" ma:fieldsID="a2212a2245d0073e2c5d3d7dffe082ed" ns3:_="" ns4:_="">
    <xsd:import namespace="0bb52a69-017d-4317-9dde-86eefc68c425"/>
    <xsd:import namespace="85277ba7-f4ce-4090-a5ae-2690180b07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2a69-017d-4317-9dde-86eefc68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7ba7-f4ce-4090-a5ae-2690180b07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244BB-83D5-43C9-AA91-6DBDB2198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6150-F14B-422D-BA01-61BABEB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2a69-017d-4317-9dde-86eefc68c425"/>
    <ds:schemaRef ds:uri="85277ba7-f4ce-4090-a5ae-2690180b0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10528-0ED2-430E-ACEC-CA424EEE0B10}">
  <ds:schemaRefs>
    <ds:schemaRef ds:uri="http://schemas.openxmlformats.org/officeDocument/2006/bibliography"/>
  </ds:schemaRefs>
</ds:datastoreItem>
</file>

<file path=customXml/itemProps4.xml><?xml version="1.0" encoding="utf-8"?>
<ds:datastoreItem xmlns:ds="http://schemas.openxmlformats.org/officeDocument/2006/customXml" ds:itemID="{258D531D-DC11-4D1E-96AB-DF7B9A72D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CWPJAC November 2022 Agenda Item 03 - General Information (CA Dept of Education)</vt:lpstr>
    </vt:vector>
  </TitlesOfParts>
  <Company>CA Department of Education</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2022 Agenda Item 03 - General Information (CA Dept of Education)</dc:title>
  <dc:subject>The Career Technical Education Incentive Grant (CTEIG): Update on the 2022–23 CTEIG Application Process and Timeline.</dc:subject>
  <dc:creator>Rachel Moran</dc:creator>
  <cp:keywords/>
  <dc:description/>
  <cp:lastModifiedBy>Marc Shaffer</cp:lastModifiedBy>
  <cp:revision>2</cp:revision>
  <cp:lastPrinted>2019-01-30T17:24:00Z</cp:lastPrinted>
  <dcterms:created xsi:type="dcterms:W3CDTF">2022-11-23T16:28:00Z</dcterms:created>
  <dcterms:modified xsi:type="dcterms:W3CDTF">2022-11-23T16:28:00Z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0x010100068BB4149DB56643A7524376D43BE555</vt:lpwstr>
  </property>
</Properties>
</file>