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5AE4" w14:textId="77777777" w:rsidR="003A0CCA" w:rsidRPr="001A0F50" w:rsidRDefault="003A0CCA" w:rsidP="003A0CCA">
      <w:r w:rsidRPr="001A0F50">
        <w:rPr>
          <w:rFonts w:ascii="Times New Roman" w:hAnsi="Times New Roman"/>
          <w:noProof/>
        </w:rPr>
        <w:drawing>
          <wp:inline distT="0" distB="0" distL="0" distR="0" wp14:anchorId="5964B7D5" wp14:editId="07ED4BFC">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3588C1B6" wp14:editId="5A7C41AD">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6BF06C87" wp14:editId="0180595A">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346AA9B5" w14:textId="2C8DE50A" w:rsidR="003A0CCA" w:rsidRDefault="003A0CCA" w:rsidP="003A0CCA">
      <w:pPr>
        <w:pStyle w:val="Heading1"/>
        <w:spacing w:before="480" w:after="240"/>
        <w:jc w:val="center"/>
        <w:rPr>
          <w:sz w:val="40"/>
          <w:szCs w:val="40"/>
        </w:rPr>
      </w:pPr>
      <w:r>
        <w:rPr>
          <w:sz w:val="40"/>
          <w:szCs w:val="40"/>
        </w:rPr>
        <w:t>California Workforce Pathways</w:t>
      </w:r>
      <w:r>
        <w:rPr>
          <w:sz w:val="40"/>
          <w:szCs w:val="40"/>
        </w:rPr>
        <w:br/>
        <w:t xml:space="preserve">Joint </w:t>
      </w:r>
      <w:r w:rsidRPr="009332EA">
        <w:rPr>
          <w:sz w:val="40"/>
          <w:szCs w:val="40"/>
        </w:rPr>
        <w:t>Advisory Committee</w:t>
      </w:r>
      <w:r w:rsidRPr="009332EA">
        <w:rPr>
          <w:sz w:val="40"/>
          <w:szCs w:val="40"/>
        </w:rPr>
        <w:br/>
      </w:r>
      <w:r w:rsidR="00827F39">
        <w:rPr>
          <w:sz w:val="40"/>
          <w:szCs w:val="40"/>
        </w:rPr>
        <w:t>July</w:t>
      </w:r>
      <w:r w:rsidRPr="009332EA">
        <w:rPr>
          <w:sz w:val="40"/>
          <w:szCs w:val="40"/>
        </w:rPr>
        <w:t xml:space="preserve"> </w:t>
      </w:r>
      <w:r w:rsidR="00AF0408">
        <w:rPr>
          <w:sz w:val="40"/>
          <w:szCs w:val="40"/>
        </w:rPr>
        <w:t xml:space="preserve">10, </w:t>
      </w:r>
      <w:r w:rsidRPr="009332EA">
        <w:rPr>
          <w:sz w:val="40"/>
          <w:szCs w:val="40"/>
        </w:rPr>
        <w:t>20</w:t>
      </w:r>
      <w:r>
        <w:rPr>
          <w:sz w:val="40"/>
          <w:szCs w:val="40"/>
        </w:rPr>
        <w:t>20</w:t>
      </w:r>
      <w:r>
        <w:rPr>
          <w:sz w:val="40"/>
          <w:szCs w:val="40"/>
        </w:rPr>
        <w:br/>
      </w:r>
      <w:r w:rsidRPr="009332EA">
        <w:rPr>
          <w:sz w:val="40"/>
          <w:szCs w:val="40"/>
        </w:rPr>
        <w:t xml:space="preserve">Agenda Item </w:t>
      </w:r>
      <w:r w:rsidR="00DA7A99">
        <w:rPr>
          <w:sz w:val="40"/>
          <w:szCs w:val="40"/>
        </w:rPr>
        <w:t>02</w:t>
      </w:r>
    </w:p>
    <w:p w14:paraId="7AFD462A" w14:textId="72376B91" w:rsidR="003A0CCA" w:rsidRPr="002E7FA3" w:rsidRDefault="003A0CCA" w:rsidP="003A0CCA">
      <w:pPr>
        <w:jc w:val="center"/>
      </w:pPr>
      <w:r>
        <w:t>Posted by the California Department of Education</w:t>
      </w:r>
    </w:p>
    <w:p w14:paraId="135731DD" w14:textId="3D667C9F" w:rsidR="00144DF4" w:rsidRDefault="00FC1FCE" w:rsidP="00D370A0">
      <w:pPr>
        <w:pStyle w:val="Heading2"/>
        <w:spacing w:before="480" w:after="240"/>
        <w:rPr>
          <w:sz w:val="36"/>
          <w:szCs w:val="36"/>
        </w:rPr>
      </w:pPr>
      <w:r w:rsidRPr="001B3958">
        <w:rPr>
          <w:sz w:val="36"/>
          <w:szCs w:val="36"/>
        </w:rPr>
        <w:t>Subject</w:t>
      </w:r>
    </w:p>
    <w:p w14:paraId="47688192" w14:textId="7A4581CF" w:rsidR="00F25602" w:rsidRPr="009332EA" w:rsidRDefault="000D35C8" w:rsidP="0079698A">
      <w:r>
        <w:t xml:space="preserve">The </w:t>
      </w:r>
      <w:r w:rsidRPr="009332EA">
        <w:t>C</w:t>
      </w:r>
      <w:r>
        <w:t xml:space="preserve">areer Technical </w:t>
      </w:r>
      <w:r w:rsidRPr="009332EA">
        <w:t>E</w:t>
      </w:r>
      <w:r>
        <w:t>ducation Incentive Grant and the Kindergarten through Grade Twelve Strong Workforce Program Applications</w:t>
      </w:r>
      <w:r w:rsidRPr="002C68E1">
        <w:t xml:space="preserve">: </w:t>
      </w:r>
      <w:r w:rsidR="00510FED" w:rsidRPr="002C68E1">
        <w:t xml:space="preserve">Update on the </w:t>
      </w:r>
      <w:r w:rsidR="00EA050D">
        <w:t>I</w:t>
      </w:r>
      <w:r w:rsidR="00510FED" w:rsidRPr="002C68E1">
        <w:t>ntegration of</w:t>
      </w:r>
      <w:r w:rsidRPr="002C68E1">
        <w:t xml:space="preserve"> the</w:t>
      </w:r>
      <w:r>
        <w:t xml:space="preserve"> </w:t>
      </w:r>
      <w:r w:rsidR="009933A3" w:rsidRPr="00736694">
        <w:rPr>
          <w:i/>
        </w:rPr>
        <w:t>Guiding Policy Principles to Support Student-Centered K</w:t>
      </w:r>
      <w:r w:rsidR="00D370A0" w:rsidRPr="00736694">
        <w:rPr>
          <w:i/>
        </w:rPr>
        <w:t>–</w:t>
      </w:r>
      <w:r w:rsidR="009933A3" w:rsidRPr="00736694">
        <w:rPr>
          <w:i/>
        </w:rPr>
        <w:t>14+ Pathways</w:t>
      </w:r>
      <w:r w:rsidR="009933A3">
        <w:t xml:space="preserve"> </w:t>
      </w:r>
      <w:r w:rsidR="00F25602">
        <w:t>and the 12 Essential Elements of High-Quality College and Career Pathway</w:t>
      </w:r>
      <w:r>
        <w:t>.</w:t>
      </w:r>
    </w:p>
    <w:p w14:paraId="1320B278" w14:textId="77777777" w:rsidR="00FC1FCE" w:rsidRPr="00144DF4" w:rsidRDefault="00FC1FCE" w:rsidP="003A0CCA">
      <w:pPr>
        <w:pStyle w:val="Heading2"/>
        <w:spacing w:before="480" w:after="240"/>
        <w:rPr>
          <w:sz w:val="36"/>
          <w:szCs w:val="36"/>
        </w:rPr>
      </w:pPr>
      <w:r w:rsidRPr="00144DF4">
        <w:rPr>
          <w:sz w:val="36"/>
          <w:szCs w:val="36"/>
        </w:rPr>
        <w:t>Type of Action</w:t>
      </w:r>
    </w:p>
    <w:p w14:paraId="686B6E7F" w14:textId="6547D79B" w:rsidR="00D61502" w:rsidRDefault="00144DF4" w:rsidP="00D61502">
      <w:pPr>
        <w:spacing w:after="240"/>
      </w:pPr>
      <w:r w:rsidRPr="00144DF4">
        <w:rPr>
          <w:noProof/>
        </w:rPr>
        <w:t>Information</w:t>
      </w:r>
    </w:p>
    <w:p w14:paraId="7C7AF438" w14:textId="77777777" w:rsidR="00FC1FCE" w:rsidRPr="001B3958" w:rsidRDefault="00FC1FCE" w:rsidP="003A0CCA">
      <w:pPr>
        <w:pStyle w:val="Heading2"/>
        <w:spacing w:before="480" w:after="240"/>
        <w:rPr>
          <w:sz w:val="36"/>
          <w:szCs w:val="36"/>
        </w:rPr>
      </w:pPr>
      <w:r w:rsidRPr="001B3958">
        <w:rPr>
          <w:sz w:val="36"/>
          <w:szCs w:val="36"/>
        </w:rPr>
        <w:t>Summary of the Issue(s)</w:t>
      </w:r>
    </w:p>
    <w:p w14:paraId="439609A4" w14:textId="002CE99C" w:rsidR="00496759" w:rsidRPr="00CA60A5" w:rsidRDefault="00496759" w:rsidP="00496759">
      <w:pPr>
        <w:shd w:val="clear" w:color="auto" w:fill="FFFFFF"/>
        <w:spacing w:after="240"/>
        <w:rPr>
          <w:rFonts w:cs="Arial"/>
          <w:i/>
          <w:color w:val="000000"/>
        </w:rPr>
      </w:pPr>
      <w:r w:rsidRPr="00CA60A5">
        <w:rPr>
          <w:rFonts w:cs="Arial"/>
          <w:color w:val="000000"/>
        </w:rPr>
        <w:t xml:space="preserve">The goal of the California Workforce Pathways Joint Advisory Committee (CWPJAC) is to build connected, equitable, accessible, and high-quality K–14+ college and career pathways for all students by: (1) signaling the infrastructure needs, (2) promoting regional and local efforts for alignment, and (3) reinforcing student supports during critical transitions leading into high school, community college, and beyond. As such, the CWPJAC developed </w:t>
      </w:r>
      <w:r w:rsidR="00FD7BA7" w:rsidRPr="002C68E1">
        <w:rPr>
          <w:rFonts w:cs="Arial"/>
          <w:color w:val="000000"/>
        </w:rPr>
        <w:t xml:space="preserve">and adopted, in November 2019, </w:t>
      </w:r>
      <w:r w:rsidR="00793FD2" w:rsidRPr="002C68E1">
        <w:rPr>
          <w:rFonts w:cs="Arial"/>
          <w:color w:val="000000"/>
        </w:rPr>
        <w:t xml:space="preserve">the </w:t>
      </w:r>
      <w:r w:rsidR="00793FD2" w:rsidRPr="002C68E1">
        <w:rPr>
          <w:rFonts w:cs="Arial"/>
          <w:i/>
          <w:iCs/>
          <w:color w:val="000000"/>
          <w:shd w:val="clear" w:color="auto" w:fill="FFFFFF"/>
        </w:rPr>
        <w:t>Guiding Policy Principles to Support Student-Centered K–14+ Pathways (Guiding Policy Principles)</w:t>
      </w:r>
      <w:r w:rsidR="00793FD2" w:rsidRPr="002C68E1">
        <w:rPr>
          <w:rFonts w:cs="Arial"/>
          <w:color w:val="000000"/>
          <w:shd w:val="clear" w:color="auto" w:fill="FFFFFF"/>
        </w:rPr>
        <w:t> </w:t>
      </w:r>
      <w:r w:rsidRPr="002C68E1">
        <w:rPr>
          <w:rFonts w:cs="Arial"/>
          <w:color w:val="000000"/>
        </w:rPr>
        <w:t xml:space="preserve">which are inclusive of </w:t>
      </w:r>
      <w:r w:rsidR="00793FD2" w:rsidRPr="002C68E1">
        <w:rPr>
          <w:rFonts w:cs="Arial"/>
          <w:color w:val="000000"/>
        </w:rPr>
        <w:t xml:space="preserve">the </w:t>
      </w:r>
      <w:r w:rsidRPr="002C68E1">
        <w:rPr>
          <w:rFonts w:cs="Arial"/>
          <w:color w:val="000000"/>
        </w:rPr>
        <w:t>12</w:t>
      </w:r>
      <w:r w:rsidRPr="002C68E1">
        <w:rPr>
          <w:rFonts w:cs="Arial"/>
          <w:i/>
          <w:color w:val="000000"/>
        </w:rPr>
        <w:t xml:space="preserve"> </w:t>
      </w:r>
      <w:r w:rsidR="00CA60A5" w:rsidRPr="002C68E1">
        <w:rPr>
          <w:rFonts w:cs="Arial"/>
          <w:color w:val="000000"/>
        </w:rPr>
        <w:t xml:space="preserve">Essential </w:t>
      </w:r>
      <w:r w:rsidRPr="002C68E1">
        <w:rPr>
          <w:rFonts w:cs="Arial"/>
          <w:color w:val="000000"/>
        </w:rPr>
        <w:t xml:space="preserve">Elements of </w:t>
      </w:r>
      <w:r w:rsidR="00CA60A5" w:rsidRPr="002C68E1">
        <w:rPr>
          <w:rFonts w:cs="Arial"/>
          <w:color w:val="000000"/>
        </w:rPr>
        <w:t xml:space="preserve">a </w:t>
      </w:r>
      <w:r w:rsidRPr="002C68E1">
        <w:rPr>
          <w:rFonts w:cs="Arial"/>
          <w:color w:val="000000"/>
        </w:rPr>
        <w:t xml:space="preserve">High-Quality </w:t>
      </w:r>
      <w:r w:rsidR="00CA60A5" w:rsidRPr="002C68E1">
        <w:rPr>
          <w:rFonts w:cs="Arial"/>
          <w:color w:val="000000"/>
        </w:rPr>
        <w:t xml:space="preserve">College and </w:t>
      </w:r>
      <w:r w:rsidRPr="002C68E1">
        <w:rPr>
          <w:rFonts w:cs="Arial"/>
          <w:color w:val="000000"/>
        </w:rPr>
        <w:t>Career Pathway</w:t>
      </w:r>
      <w:r w:rsidR="00FD7BA7" w:rsidRPr="002C68E1">
        <w:rPr>
          <w:rFonts w:cs="Arial"/>
          <w:color w:val="000000"/>
        </w:rPr>
        <w:t xml:space="preserve">, which can be accessed at: </w:t>
      </w:r>
      <w:hyperlink r:id="rId14" w:tooltip="Link to the 12 Essential elements of a high-quality college and career pathway" w:history="1">
        <w:r w:rsidR="00CA60A5" w:rsidRPr="002C68E1">
          <w:rPr>
            <w:rStyle w:val="Hyperlink"/>
            <w:rFonts w:cs="Arial"/>
          </w:rPr>
          <w:t>https://www.cde.ca.gov/ci/ct/gi/guidingpps.asp</w:t>
        </w:r>
      </w:hyperlink>
      <w:r w:rsidRPr="00CA60A5">
        <w:rPr>
          <w:rFonts w:cs="Arial"/>
          <w:i/>
          <w:color w:val="000000"/>
        </w:rPr>
        <w:t>.</w:t>
      </w:r>
    </w:p>
    <w:p w14:paraId="21DDC55F" w14:textId="560AB241" w:rsidR="00496759" w:rsidRDefault="00496759" w:rsidP="00496759">
      <w:pPr>
        <w:spacing w:after="240"/>
        <w:rPr>
          <w:rFonts w:ascii="Helvetica" w:hAnsi="Helvetica" w:cs="Helvetica"/>
          <w:color w:val="000000"/>
          <w:shd w:val="clear" w:color="auto" w:fill="FFFFFF"/>
        </w:rPr>
      </w:pPr>
      <w:r w:rsidRPr="00496759">
        <w:rPr>
          <w:rFonts w:ascii="Helvetica" w:hAnsi="Helvetica" w:cs="Helvetica"/>
          <w:color w:val="000000"/>
          <w:shd w:val="clear" w:color="auto" w:fill="FFFFFF"/>
        </w:rPr>
        <w:lastRenderedPageBreak/>
        <w:t>The </w:t>
      </w:r>
      <w:r w:rsidRPr="00496759">
        <w:rPr>
          <w:rFonts w:ascii="Helvetica" w:hAnsi="Helvetica" w:cs="Helvetica"/>
          <w:i/>
          <w:iCs/>
          <w:color w:val="000000"/>
          <w:shd w:val="clear" w:color="auto" w:fill="FFFFFF"/>
        </w:rPr>
        <w:t xml:space="preserve">Guiding Policy Principles </w:t>
      </w:r>
      <w:r w:rsidRPr="00496759">
        <w:rPr>
          <w:rFonts w:ascii="Helvetica" w:hAnsi="Helvetica" w:cs="Helvetica"/>
          <w:color w:val="000000"/>
          <w:shd w:val="clear" w:color="auto" w:fill="FFFFFF"/>
        </w:rPr>
        <w:t>are focused on all students and ensuring the best possible opportunities for students. The </w:t>
      </w:r>
      <w:r w:rsidRPr="00496759">
        <w:rPr>
          <w:rFonts w:ascii="Helvetica" w:hAnsi="Helvetica" w:cs="Helvetica"/>
          <w:i/>
          <w:iCs/>
          <w:color w:val="000000"/>
          <w:shd w:val="clear" w:color="auto" w:fill="FFFFFF"/>
        </w:rPr>
        <w:t>Guiding Policy Principles </w:t>
      </w:r>
      <w:r w:rsidRPr="00496759">
        <w:rPr>
          <w:rFonts w:ascii="Helvetica" w:hAnsi="Helvetica" w:cs="Helvetica"/>
          <w:color w:val="000000"/>
          <w:shd w:val="clear" w:color="auto" w:fill="FFFFFF"/>
        </w:rPr>
        <w:t xml:space="preserve">highlight salient points raised to the CWPJAC members </w:t>
      </w:r>
      <w:r w:rsidR="00FD7BA7" w:rsidRPr="002C68E1">
        <w:rPr>
          <w:rFonts w:ascii="Helvetica" w:hAnsi="Helvetica" w:cs="Helvetica"/>
          <w:color w:val="000000"/>
          <w:shd w:val="clear" w:color="auto" w:fill="FFFFFF"/>
        </w:rPr>
        <w:t xml:space="preserve">beginning in March </w:t>
      </w:r>
      <w:r w:rsidRPr="002C68E1">
        <w:rPr>
          <w:rFonts w:ascii="Helvetica" w:hAnsi="Helvetica" w:cs="Helvetica"/>
          <w:color w:val="000000"/>
          <w:shd w:val="clear" w:color="auto" w:fill="FFFFFF"/>
        </w:rPr>
        <w:t>2017, build upon existing practices across systems, and focus on key pressure points for</w:t>
      </w:r>
      <w:r w:rsidRPr="00496759">
        <w:rPr>
          <w:rFonts w:ascii="Helvetica" w:hAnsi="Helvetica" w:cs="Helvetica"/>
          <w:color w:val="000000"/>
          <w:shd w:val="clear" w:color="auto" w:fill="FFFFFF"/>
        </w:rPr>
        <w:t xml:space="preserve"> supporting cross-system collaboration. They are intentionally designed to be inter-related</w:t>
      </w:r>
      <w:r w:rsidR="0082774A">
        <w:rPr>
          <w:rFonts w:ascii="Helvetica" w:hAnsi="Helvetica" w:cs="Helvetica"/>
          <w:color w:val="000000"/>
          <w:shd w:val="clear" w:color="auto" w:fill="FFFFFF"/>
        </w:rPr>
        <w:t xml:space="preserve"> and complimentary to encourage</w:t>
      </w:r>
      <w:r w:rsidRPr="00496759">
        <w:rPr>
          <w:rFonts w:ascii="Helvetica" w:hAnsi="Helvetica" w:cs="Helvetica"/>
          <w:color w:val="000000"/>
          <w:shd w:val="clear" w:color="auto" w:fill="FFFFFF"/>
        </w:rPr>
        <w:t xml:space="preserve"> seamless cross-system collaboration. The CWPJAC embraces the principle of continuous improvement, thereby acknowledging that the </w:t>
      </w:r>
      <w:r w:rsidRPr="00E01464">
        <w:rPr>
          <w:rFonts w:ascii="Helvetica" w:hAnsi="Helvetica" w:cs="Helvetica"/>
          <w:i/>
          <w:color w:val="000000"/>
          <w:shd w:val="clear" w:color="auto" w:fill="FFFFFF"/>
        </w:rPr>
        <w:t>Guiding Policy Principles</w:t>
      </w:r>
      <w:r>
        <w:rPr>
          <w:rFonts w:ascii="Helvetica" w:hAnsi="Helvetica" w:cs="Helvetica"/>
          <w:color w:val="000000"/>
          <w:shd w:val="clear" w:color="auto" w:fill="FFFFFF"/>
        </w:rPr>
        <w:t xml:space="preserve"> and</w:t>
      </w:r>
      <w:r w:rsidRPr="00496759">
        <w:rPr>
          <w:rFonts w:ascii="Helvetica" w:hAnsi="Helvetica" w:cs="Helvetica"/>
          <w:color w:val="000000"/>
          <w:shd w:val="clear" w:color="auto" w:fill="FFFFFF"/>
        </w:rPr>
        <w:t xml:space="preserve"> Essential Elements are dynamic and will continue to evolve and adjust over time, as necessary.</w:t>
      </w:r>
    </w:p>
    <w:p w14:paraId="114D0555" w14:textId="0031EA72" w:rsidR="007051E8" w:rsidRDefault="00886D61" w:rsidP="00696B59">
      <w:pPr>
        <w:spacing w:after="240"/>
      </w:pPr>
      <w:r w:rsidRPr="009933A3">
        <w:t>The C</w:t>
      </w:r>
      <w:r w:rsidR="00736694">
        <w:t xml:space="preserve">areer </w:t>
      </w:r>
      <w:r w:rsidRPr="009933A3">
        <w:t>T</w:t>
      </w:r>
      <w:r w:rsidR="00736694">
        <w:t xml:space="preserve">echnical </w:t>
      </w:r>
      <w:r w:rsidRPr="009933A3">
        <w:t>E</w:t>
      </w:r>
      <w:r w:rsidR="00736694">
        <w:t xml:space="preserve">ducation </w:t>
      </w:r>
      <w:r w:rsidRPr="009933A3">
        <w:t>I</w:t>
      </w:r>
      <w:r w:rsidR="00736694">
        <w:t xml:space="preserve">ncentive </w:t>
      </w:r>
      <w:r w:rsidR="00D370A0">
        <w:t>G</w:t>
      </w:r>
      <w:r w:rsidR="00736694">
        <w:t>rant (CTEIG)</w:t>
      </w:r>
      <w:r w:rsidRPr="009933A3">
        <w:t xml:space="preserve"> and the</w:t>
      </w:r>
      <w:r w:rsidR="009933A3" w:rsidRPr="009933A3">
        <w:t xml:space="preserve"> </w:t>
      </w:r>
      <w:r w:rsidR="00736694">
        <w:t>Kindergarten through Grade Twelve Strong Workforce Program</w:t>
      </w:r>
      <w:r w:rsidR="00736694" w:rsidRPr="009933A3">
        <w:t xml:space="preserve"> </w:t>
      </w:r>
      <w:r w:rsidR="00736694">
        <w:t>(</w:t>
      </w:r>
      <w:r w:rsidR="009933A3" w:rsidRPr="009933A3">
        <w:t>K–12 SWP</w:t>
      </w:r>
      <w:r w:rsidR="00736694">
        <w:t>)</w:t>
      </w:r>
      <w:r w:rsidRPr="009933A3">
        <w:t xml:space="preserve"> companion </w:t>
      </w:r>
      <w:r w:rsidR="008946E7" w:rsidRPr="009933A3">
        <w:t xml:space="preserve">state </w:t>
      </w:r>
      <w:r w:rsidRPr="009933A3">
        <w:t xml:space="preserve">programs </w:t>
      </w:r>
      <w:r w:rsidR="00C338C7" w:rsidRPr="009933A3">
        <w:t xml:space="preserve">were </w:t>
      </w:r>
      <w:r w:rsidRPr="009933A3">
        <w:t>enacted by the 2018 Budget Act.</w:t>
      </w:r>
      <w:r w:rsidR="000027EE">
        <w:rPr>
          <w:rStyle w:val="FootnoteReference"/>
        </w:rPr>
        <w:footnoteReference w:id="1"/>
      </w:r>
      <w:r w:rsidRPr="009933A3">
        <w:t xml:space="preserve"> T</w:t>
      </w:r>
      <w:r w:rsidR="005531EC" w:rsidRPr="009933A3">
        <w:t xml:space="preserve">he </w:t>
      </w:r>
      <w:r w:rsidR="000F3DCA" w:rsidRPr="009933A3">
        <w:t xml:space="preserve">CTEIG and </w:t>
      </w:r>
      <w:r w:rsidR="0041680C" w:rsidRPr="009933A3">
        <w:t xml:space="preserve">the </w:t>
      </w:r>
      <w:r w:rsidR="000F3DCA" w:rsidRPr="009933A3">
        <w:t xml:space="preserve">K–12 </w:t>
      </w:r>
      <w:r w:rsidR="009933A3" w:rsidRPr="009933A3">
        <w:t xml:space="preserve">SWP </w:t>
      </w:r>
      <w:r w:rsidR="000F3DCA" w:rsidRPr="009933A3">
        <w:t xml:space="preserve">are administered by the </w:t>
      </w:r>
      <w:r w:rsidR="005531EC" w:rsidRPr="009933A3">
        <w:t>California Department of Education (CDE) and the California Community College</w:t>
      </w:r>
      <w:r w:rsidR="009533BA" w:rsidRPr="009933A3">
        <w:t>’s</w:t>
      </w:r>
      <w:r w:rsidR="005531EC" w:rsidRPr="009933A3">
        <w:t xml:space="preserve"> Chancellor</w:t>
      </w:r>
      <w:r w:rsidR="000F3DCA" w:rsidRPr="009933A3">
        <w:t>’s</w:t>
      </w:r>
      <w:r w:rsidR="005531EC" w:rsidRPr="009933A3">
        <w:t xml:space="preserve"> Office</w:t>
      </w:r>
      <w:r w:rsidR="000F3DCA" w:rsidRPr="009933A3">
        <w:t xml:space="preserve"> </w:t>
      </w:r>
      <w:r w:rsidR="0041680C" w:rsidRPr="009933A3">
        <w:t>(CCCCO)</w:t>
      </w:r>
      <w:r w:rsidR="00C338C7" w:rsidRPr="009933A3">
        <w:t>,</w:t>
      </w:r>
      <w:r w:rsidR="0041680C" w:rsidRPr="009933A3">
        <w:t xml:space="preserve"> </w:t>
      </w:r>
      <w:r w:rsidR="000F3DCA" w:rsidRPr="009933A3">
        <w:t>respectively.</w:t>
      </w:r>
    </w:p>
    <w:p w14:paraId="78485C43" w14:textId="6CBFD52D" w:rsidR="007051E8" w:rsidRPr="002C68E1" w:rsidRDefault="007051E8" w:rsidP="007051E8">
      <w:pPr>
        <w:tabs>
          <w:tab w:val="left" w:pos="1755"/>
        </w:tabs>
        <w:spacing w:after="240"/>
        <w:rPr>
          <w:b/>
          <w:color w:val="000000" w:themeColor="text1"/>
        </w:rPr>
      </w:pPr>
      <w:r w:rsidRPr="002C68E1">
        <w:t xml:space="preserve">The </w:t>
      </w:r>
      <w:r w:rsidR="007E0E9B" w:rsidRPr="002C68E1">
        <w:rPr>
          <w:color w:val="000000" w:themeColor="text1"/>
        </w:rPr>
        <w:t xml:space="preserve">CDE is currently in the process of drafting a 12 Essential Elements of a High-Quality College and Career Pathway Framework document (Attachment 1). The intent of this document is to provide guidance to </w:t>
      </w:r>
      <w:r w:rsidR="00482D01" w:rsidRPr="002C68E1">
        <w:rPr>
          <w:color w:val="000000" w:themeColor="text1"/>
        </w:rPr>
        <w:t>l</w:t>
      </w:r>
      <w:r w:rsidR="007E0E9B" w:rsidRPr="002C68E1">
        <w:rPr>
          <w:color w:val="000000" w:themeColor="text1"/>
        </w:rPr>
        <w:t xml:space="preserve">ocal </w:t>
      </w:r>
      <w:r w:rsidR="00482D01" w:rsidRPr="002C68E1">
        <w:rPr>
          <w:color w:val="000000" w:themeColor="text1"/>
        </w:rPr>
        <w:t>e</w:t>
      </w:r>
      <w:r w:rsidR="007E0E9B" w:rsidRPr="002C68E1">
        <w:rPr>
          <w:color w:val="000000" w:themeColor="text1"/>
        </w:rPr>
        <w:t>ducation</w:t>
      </w:r>
      <w:r w:rsidR="00482D01" w:rsidRPr="002C68E1">
        <w:rPr>
          <w:color w:val="000000" w:themeColor="text1"/>
        </w:rPr>
        <w:t>al</w:t>
      </w:r>
      <w:r w:rsidR="007E0E9B" w:rsidRPr="002C68E1">
        <w:rPr>
          <w:color w:val="000000" w:themeColor="text1"/>
        </w:rPr>
        <w:t xml:space="preserve"> </w:t>
      </w:r>
      <w:r w:rsidR="00482D01" w:rsidRPr="002C68E1">
        <w:rPr>
          <w:color w:val="000000" w:themeColor="text1"/>
        </w:rPr>
        <w:t>a</w:t>
      </w:r>
      <w:r w:rsidR="007E0E9B" w:rsidRPr="002C68E1">
        <w:rPr>
          <w:color w:val="000000" w:themeColor="text1"/>
        </w:rPr>
        <w:t xml:space="preserve">gencies (LEAs) on how to implement these new </w:t>
      </w:r>
      <w:r w:rsidR="007E0E9B" w:rsidRPr="002C68E1">
        <w:rPr>
          <w:i/>
          <w:color w:val="000000" w:themeColor="text1"/>
        </w:rPr>
        <w:t>Guiding Policy Principles</w:t>
      </w:r>
      <w:r w:rsidR="007E0E9B" w:rsidRPr="002C68E1">
        <w:rPr>
          <w:color w:val="000000" w:themeColor="text1"/>
        </w:rPr>
        <w:t xml:space="preserve"> and</w:t>
      </w:r>
      <w:r w:rsidR="00E01464">
        <w:rPr>
          <w:color w:val="000000" w:themeColor="text1"/>
        </w:rPr>
        <w:t xml:space="preserve"> </w:t>
      </w:r>
      <w:r w:rsidR="007E0E9B" w:rsidRPr="002C68E1">
        <w:rPr>
          <w:color w:val="000000" w:themeColor="text1"/>
        </w:rPr>
        <w:t>12 Essential Elements into their programs and classrooms at the local level. Once the draft is completed, the CDE would like to have CTE practi</w:t>
      </w:r>
      <w:r w:rsidR="00C95142" w:rsidRPr="002C68E1">
        <w:rPr>
          <w:color w:val="000000" w:themeColor="text1"/>
        </w:rPr>
        <w:t>ti</w:t>
      </w:r>
      <w:r w:rsidR="007E0E9B" w:rsidRPr="002C68E1">
        <w:rPr>
          <w:color w:val="000000" w:themeColor="text1"/>
        </w:rPr>
        <w:t>oners from the field review this document and provide feedback</w:t>
      </w:r>
      <w:r w:rsidR="00C95142" w:rsidRPr="002C68E1">
        <w:rPr>
          <w:color w:val="000000" w:themeColor="text1"/>
        </w:rPr>
        <w:t>,</w:t>
      </w:r>
      <w:r w:rsidR="007E0E9B" w:rsidRPr="002C68E1">
        <w:rPr>
          <w:color w:val="000000" w:themeColor="text1"/>
        </w:rPr>
        <w:t xml:space="preserve"> especially in light of the current situation with COVID-19. </w:t>
      </w:r>
      <w:r w:rsidR="00C95142" w:rsidRPr="002C68E1">
        <w:rPr>
          <w:color w:val="000000" w:themeColor="text1"/>
        </w:rPr>
        <w:t xml:space="preserve">Once LEAs have provided input and the document is complete, the CDE </w:t>
      </w:r>
      <w:r w:rsidR="0059735B">
        <w:rPr>
          <w:color w:val="000000" w:themeColor="text1"/>
        </w:rPr>
        <w:t xml:space="preserve">will </w:t>
      </w:r>
      <w:r w:rsidR="00C95142" w:rsidRPr="002C68E1">
        <w:rPr>
          <w:color w:val="000000" w:themeColor="text1"/>
        </w:rPr>
        <w:t xml:space="preserve">provide professional development to LEAs regarding the use of the document. </w:t>
      </w:r>
      <w:r w:rsidR="007E0E9B" w:rsidRPr="002C68E1">
        <w:rPr>
          <w:color w:val="000000" w:themeColor="text1"/>
        </w:rPr>
        <w:t xml:space="preserve">The </w:t>
      </w:r>
      <w:r w:rsidR="00C95142" w:rsidRPr="002C68E1">
        <w:rPr>
          <w:color w:val="000000" w:themeColor="text1"/>
        </w:rPr>
        <w:t>document</w:t>
      </w:r>
      <w:r w:rsidR="007E0E9B" w:rsidRPr="002C68E1">
        <w:rPr>
          <w:color w:val="000000" w:themeColor="text1"/>
        </w:rPr>
        <w:t xml:space="preserve"> will be used for training the </w:t>
      </w:r>
      <w:r w:rsidR="00DB20E9" w:rsidRPr="002C68E1">
        <w:rPr>
          <w:color w:val="000000" w:themeColor="text1"/>
        </w:rPr>
        <w:t xml:space="preserve">kindergarten through grade fourteen </w:t>
      </w:r>
      <w:r w:rsidR="00DB20E9">
        <w:rPr>
          <w:color w:val="000000" w:themeColor="text1"/>
        </w:rPr>
        <w:t>(</w:t>
      </w:r>
      <w:r w:rsidR="007E0E9B" w:rsidRPr="009D652E">
        <w:t>K</w:t>
      </w:r>
      <w:r w:rsidR="00482D01" w:rsidRPr="009D652E">
        <w:t>–</w:t>
      </w:r>
      <w:r w:rsidR="007E0E9B" w:rsidRPr="009D652E">
        <w:t>14</w:t>
      </w:r>
      <w:r w:rsidR="00DB20E9">
        <w:t>)</w:t>
      </w:r>
      <w:r w:rsidR="007E0E9B" w:rsidRPr="009D652E">
        <w:t xml:space="preserve"> Technical </w:t>
      </w:r>
      <w:r w:rsidR="007E0E9B" w:rsidRPr="002C68E1">
        <w:rPr>
          <w:color w:val="000000" w:themeColor="text1"/>
        </w:rPr>
        <w:t>Assistance Providers and California Workforce Coordinators</w:t>
      </w:r>
      <w:r w:rsidR="0059735B">
        <w:rPr>
          <w:color w:val="000000" w:themeColor="text1"/>
        </w:rPr>
        <w:t>,</w:t>
      </w:r>
      <w:r w:rsidR="007E0E9B" w:rsidRPr="002C68E1">
        <w:rPr>
          <w:color w:val="000000" w:themeColor="text1"/>
        </w:rPr>
        <w:t xml:space="preserve"> and assist the CDE in building capacity of local and regional pathway programs to align with the </w:t>
      </w:r>
      <w:r w:rsidR="007E0E9B" w:rsidRPr="00DB20E9">
        <w:rPr>
          <w:i/>
          <w:color w:val="000000" w:themeColor="text1"/>
        </w:rPr>
        <w:t>Guiding Policy Principles</w:t>
      </w:r>
      <w:r w:rsidR="007E0E9B" w:rsidRPr="002C68E1">
        <w:rPr>
          <w:color w:val="000000" w:themeColor="text1"/>
        </w:rPr>
        <w:t xml:space="preserve"> and 12 Essential Elements.</w:t>
      </w:r>
    </w:p>
    <w:p w14:paraId="07727E73" w14:textId="191BB0AE" w:rsidR="00097B08" w:rsidRPr="002C68E1" w:rsidRDefault="000D35C8" w:rsidP="00F9769F">
      <w:pPr>
        <w:tabs>
          <w:tab w:val="left" w:pos="1770"/>
        </w:tabs>
        <w:spacing w:after="240"/>
        <w:rPr>
          <w:b/>
          <w:color w:val="000000" w:themeColor="text1"/>
        </w:rPr>
      </w:pPr>
      <w:r w:rsidRPr="002C68E1">
        <w:rPr>
          <w:color w:val="000000" w:themeColor="text1"/>
        </w:rPr>
        <w:t xml:space="preserve">The CDE </w:t>
      </w:r>
      <w:r w:rsidR="00115A04" w:rsidRPr="002C68E1">
        <w:rPr>
          <w:color w:val="000000" w:themeColor="text1"/>
        </w:rPr>
        <w:t xml:space="preserve">will </w:t>
      </w:r>
      <w:r w:rsidR="00C95142" w:rsidRPr="002C68E1">
        <w:rPr>
          <w:color w:val="000000" w:themeColor="text1"/>
        </w:rPr>
        <w:t>then in</w:t>
      </w:r>
      <w:r w:rsidR="00510FED" w:rsidRPr="002C68E1">
        <w:rPr>
          <w:color w:val="000000" w:themeColor="text1"/>
        </w:rPr>
        <w:t>clude</w:t>
      </w:r>
      <w:r w:rsidRPr="002C68E1">
        <w:rPr>
          <w:color w:val="000000" w:themeColor="text1"/>
        </w:rPr>
        <w:t xml:space="preserve"> the </w:t>
      </w:r>
      <w:r w:rsidRPr="002C68E1">
        <w:rPr>
          <w:i/>
          <w:color w:val="000000" w:themeColor="text1"/>
        </w:rPr>
        <w:t>Guiding Policy Principles</w:t>
      </w:r>
      <w:r w:rsidRPr="002C68E1">
        <w:rPr>
          <w:color w:val="000000" w:themeColor="text1"/>
        </w:rPr>
        <w:t xml:space="preserve"> </w:t>
      </w:r>
      <w:r w:rsidR="00FD7BA7" w:rsidRPr="002C68E1">
        <w:rPr>
          <w:color w:val="000000" w:themeColor="text1"/>
        </w:rPr>
        <w:t>and</w:t>
      </w:r>
      <w:r w:rsidRPr="002C68E1">
        <w:rPr>
          <w:color w:val="000000" w:themeColor="text1"/>
        </w:rPr>
        <w:t xml:space="preserve"> the 12 Essential Elements into the CTEIG application</w:t>
      </w:r>
      <w:r w:rsidR="00FD7BA7" w:rsidRPr="002C68E1">
        <w:rPr>
          <w:color w:val="000000" w:themeColor="text1"/>
        </w:rPr>
        <w:t xml:space="preserve"> as a way to fully integrate them into practice</w:t>
      </w:r>
      <w:r w:rsidRPr="002C68E1">
        <w:rPr>
          <w:color w:val="000000" w:themeColor="text1"/>
        </w:rPr>
        <w:t>.</w:t>
      </w:r>
      <w:r w:rsidR="00D928A5" w:rsidRPr="002C68E1">
        <w:rPr>
          <w:color w:val="000000" w:themeColor="text1"/>
        </w:rPr>
        <w:t xml:space="preserve"> </w:t>
      </w:r>
      <w:r w:rsidR="0059735B">
        <w:rPr>
          <w:color w:val="000000" w:themeColor="text1"/>
        </w:rPr>
        <w:t xml:space="preserve">California </w:t>
      </w:r>
      <w:r w:rsidR="00932AEE" w:rsidRPr="002C68E1">
        <w:rPr>
          <w:i/>
          <w:color w:val="000000" w:themeColor="text1"/>
        </w:rPr>
        <w:t>Education Code</w:t>
      </w:r>
      <w:r w:rsidR="00932AEE" w:rsidRPr="002C68E1">
        <w:rPr>
          <w:color w:val="000000" w:themeColor="text1"/>
        </w:rPr>
        <w:t xml:space="preserve"> </w:t>
      </w:r>
      <w:r w:rsidR="00DB20E9">
        <w:rPr>
          <w:color w:val="000000" w:themeColor="text1"/>
        </w:rPr>
        <w:t>(</w:t>
      </w:r>
      <w:r w:rsidR="00DB20E9" w:rsidRPr="00DB20E9">
        <w:rPr>
          <w:i/>
          <w:color w:val="000000" w:themeColor="text1"/>
        </w:rPr>
        <w:t>EC</w:t>
      </w:r>
      <w:r w:rsidR="00DB20E9">
        <w:rPr>
          <w:color w:val="000000" w:themeColor="text1"/>
        </w:rPr>
        <w:t xml:space="preserve">) </w:t>
      </w:r>
      <w:r w:rsidR="00141C23" w:rsidRPr="002C68E1">
        <w:rPr>
          <w:color w:val="000000" w:themeColor="text1"/>
        </w:rPr>
        <w:t xml:space="preserve">53071(c) requires applicants of the CTEIG program to demonstrate alignment with the Essential Elements that California used under the </w:t>
      </w:r>
      <w:r w:rsidR="0059735B">
        <w:rPr>
          <w:color w:val="000000" w:themeColor="text1"/>
        </w:rPr>
        <w:t>F</w:t>
      </w:r>
      <w:r w:rsidR="00141C23" w:rsidRPr="002C68E1">
        <w:rPr>
          <w:color w:val="000000" w:themeColor="text1"/>
        </w:rPr>
        <w:t xml:space="preserve">ederal </w:t>
      </w:r>
      <w:r w:rsidR="00141C23" w:rsidRPr="002C68E1">
        <w:rPr>
          <w:i/>
          <w:color w:val="000000" w:themeColor="text1"/>
        </w:rPr>
        <w:t>Carl D. Perkins Career and Technical Education Act of 2006</w:t>
      </w:r>
      <w:r w:rsidR="00141C23" w:rsidRPr="002C68E1">
        <w:rPr>
          <w:color w:val="000000" w:themeColor="text1"/>
        </w:rPr>
        <w:t xml:space="preserve">, referred to as Perkins IV. In order to </w:t>
      </w:r>
      <w:r w:rsidR="004752B9" w:rsidRPr="002C68E1">
        <w:rPr>
          <w:color w:val="000000" w:themeColor="text1"/>
        </w:rPr>
        <w:t>update the existing language to reference</w:t>
      </w:r>
      <w:r w:rsidR="00141C23" w:rsidRPr="002C68E1">
        <w:rPr>
          <w:color w:val="000000" w:themeColor="text1"/>
        </w:rPr>
        <w:t xml:space="preserve"> the 12 Essential Elements, as adopted by the CWPJAC</w:t>
      </w:r>
      <w:r w:rsidR="004752B9" w:rsidRPr="002C68E1">
        <w:rPr>
          <w:color w:val="000000" w:themeColor="text1"/>
        </w:rPr>
        <w:t xml:space="preserve"> and incorporated into the Federal Perkins V State Plan</w:t>
      </w:r>
      <w:r w:rsidR="00141C23" w:rsidRPr="002C68E1">
        <w:rPr>
          <w:color w:val="000000" w:themeColor="text1"/>
        </w:rPr>
        <w:t>, legislative change is required</w:t>
      </w:r>
      <w:r w:rsidR="00115A04" w:rsidRPr="002C68E1">
        <w:rPr>
          <w:color w:val="000000" w:themeColor="text1"/>
        </w:rPr>
        <w:t xml:space="preserve">. </w:t>
      </w:r>
      <w:r w:rsidR="00121964" w:rsidRPr="002C68E1">
        <w:rPr>
          <w:color w:val="000000" w:themeColor="text1"/>
        </w:rPr>
        <w:t>In the meantime</w:t>
      </w:r>
      <w:r w:rsidR="002D7DA4" w:rsidRPr="002C68E1">
        <w:rPr>
          <w:color w:val="000000" w:themeColor="text1"/>
        </w:rPr>
        <w:t>, t</w:t>
      </w:r>
      <w:r w:rsidR="00115A04" w:rsidRPr="002C68E1">
        <w:rPr>
          <w:color w:val="000000" w:themeColor="text1"/>
        </w:rPr>
        <w:t xml:space="preserve">he CDE will start to draft </w:t>
      </w:r>
      <w:r w:rsidR="00E07BA3" w:rsidRPr="002C68E1">
        <w:rPr>
          <w:color w:val="000000" w:themeColor="text1"/>
        </w:rPr>
        <w:t>a new CTE</w:t>
      </w:r>
      <w:r w:rsidR="002D7DA4" w:rsidRPr="002C68E1">
        <w:rPr>
          <w:color w:val="000000" w:themeColor="text1"/>
        </w:rPr>
        <w:t xml:space="preserve"> </w:t>
      </w:r>
      <w:r w:rsidR="00E07BA3" w:rsidRPr="002C68E1">
        <w:rPr>
          <w:color w:val="000000" w:themeColor="text1"/>
        </w:rPr>
        <w:t xml:space="preserve">Program Self-Evaluation for the CTEIG application based on </w:t>
      </w:r>
      <w:r w:rsidR="00115A04" w:rsidRPr="002C68E1">
        <w:rPr>
          <w:color w:val="000000" w:themeColor="text1"/>
        </w:rPr>
        <w:t xml:space="preserve">the </w:t>
      </w:r>
      <w:r w:rsidR="00115A04" w:rsidRPr="002C68E1">
        <w:rPr>
          <w:i/>
          <w:color w:val="000000" w:themeColor="text1"/>
        </w:rPr>
        <w:t>Guiding Policy Principles</w:t>
      </w:r>
      <w:r w:rsidR="00115A04" w:rsidRPr="002C68E1">
        <w:rPr>
          <w:color w:val="000000" w:themeColor="text1"/>
        </w:rPr>
        <w:t xml:space="preserve"> and the 12 Essential Elements</w:t>
      </w:r>
      <w:r w:rsidR="00E07BA3" w:rsidRPr="002C68E1">
        <w:rPr>
          <w:color w:val="000000" w:themeColor="text1"/>
        </w:rPr>
        <w:t>.</w:t>
      </w:r>
      <w:r w:rsidR="00115A04" w:rsidRPr="002C68E1">
        <w:rPr>
          <w:color w:val="000000" w:themeColor="text1"/>
        </w:rPr>
        <w:t xml:space="preserve"> </w:t>
      </w:r>
      <w:r w:rsidR="007E0E9B" w:rsidRPr="002C68E1">
        <w:rPr>
          <w:color w:val="000000" w:themeColor="text1"/>
        </w:rPr>
        <w:t xml:space="preserve">The new CTEIG CTE Program Self-Evaluation will be derived from </w:t>
      </w:r>
      <w:r w:rsidR="002D7DA4" w:rsidRPr="002C68E1">
        <w:rPr>
          <w:color w:val="000000" w:themeColor="text1"/>
        </w:rPr>
        <w:t>the aforementioned Framework document.</w:t>
      </w:r>
    </w:p>
    <w:p w14:paraId="6A035F72" w14:textId="76603228" w:rsidR="008D6B3D" w:rsidRPr="002C68E1" w:rsidRDefault="00F778D4" w:rsidP="00F9769F">
      <w:pPr>
        <w:spacing w:after="240"/>
        <w:rPr>
          <w:b/>
        </w:rPr>
      </w:pPr>
      <w:r w:rsidRPr="002C68E1">
        <w:lastRenderedPageBreak/>
        <w:t xml:space="preserve">The </w:t>
      </w:r>
      <w:r w:rsidR="008D6B3D" w:rsidRPr="002C68E1">
        <w:t xml:space="preserve">CCCCO will present how the </w:t>
      </w:r>
      <w:r w:rsidR="008D6B3D" w:rsidRPr="002C68E1">
        <w:rPr>
          <w:i/>
        </w:rPr>
        <w:t xml:space="preserve">Guiding Policy Principles </w:t>
      </w:r>
      <w:r w:rsidR="00867693" w:rsidRPr="002C68E1">
        <w:t>have been intentionally incorporated into</w:t>
      </w:r>
      <w:r w:rsidR="008D6B3D" w:rsidRPr="002C68E1">
        <w:t xml:space="preserve"> the K</w:t>
      </w:r>
      <w:r w:rsidR="009933A3" w:rsidRPr="002C68E1">
        <w:t>–</w:t>
      </w:r>
      <w:r w:rsidR="008D6B3D" w:rsidRPr="002C68E1">
        <w:t>12 SWP application</w:t>
      </w:r>
      <w:r w:rsidR="00867693" w:rsidRPr="002C68E1">
        <w:t>,</w:t>
      </w:r>
      <w:r w:rsidR="008D6B3D" w:rsidRPr="002C68E1">
        <w:t xml:space="preserve"> </w:t>
      </w:r>
      <w:r w:rsidR="00867693" w:rsidRPr="002C68E1">
        <w:t xml:space="preserve">as well as </w:t>
      </w:r>
      <w:r w:rsidR="008D6B3D" w:rsidRPr="002C68E1">
        <w:t>provide a summary of the training that occurred on June 2</w:t>
      </w:r>
      <w:r w:rsidR="00D370A0" w:rsidRPr="002C68E1">
        <w:t>–</w:t>
      </w:r>
      <w:r w:rsidR="008D6B3D" w:rsidRPr="002C68E1">
        <w:t>4, 2020</w:t>
      </w:r>
      <w:r w:rsidR="00D370A0" w:rsidRPr="002C68E1">
        <w:t>,</w:t>
      </w:r>
      <w:r w:rsidR="008D6B3D" w:rsidRPr="002C68E1">
        <w:t xml:space="preserve"> </w:t>
      </w:r>
      <w:r w:rsidR="00867693" w:rsidRPr="002C68E1">
        <w:t xml:space="preserve">which also includes the </w:t>
      </w:r>
      <w:r w:rsidR="00867693" w:rsidRPr="002C68E1">
        <w:rPr>
          <w:i/>
        </w:rPr>
        <w:t xml:space="preserve">Guiding Policy Principles, </w:t>
      </w:r>
      <w:r w:rsidR="008D6B3D" w:rsidRPr="002C68E1">
        <w:t>for the onboarding of the</w:t>
      </w:r>
      <w:r w:rsidR="00DB20E9">
        <w:t xml:space="preserve"> </w:t>
      </w:r>
      <w:r w:rsidR="008D6B3D" w:rsidRPr="002C68E1">
        <w:t>K</w:t>
      </w:r>
      <w:r w:rsidR="009933A3" w:rsidRPr="002C68E1">
        <w:t>–</w:t>
      </w:r>
      <w:r w:rsidR="008D6B3D" w:rsidRPr="002C68E1">
        <w:t xml:space="preserve">14 Technical Assistance Providers and the </w:t>
      </w:r>
      <w:r w:rsidR="00121964" w:rsidRPr="002C68E1">
        <w:t xml:space="preserve">Workforce </w:t>
      </w:r>
      <w:r w:rsidR="008D6B3D" w:rsidRPr="002C68E1">
        <w:t>Pathway Coordinators.</w:t>
      </w:r>
    </w:p>
    <w:p w14:paraId="5225F5D4" w14:textId="77777777" w:rsidR="003E4DF7" w:rsidRPr="002C68E1" w:rsidRDefault="003E4DF7" w:rsidP="003A0CCA">
      <w:pPr>
        <w:pStyle w:val="Heading2"/>
        <w:spacing w:before="480" w:after="240"/>
        <w:rPr>
          <w:sz w:val="36"/>
          <w:szCs w:val="36"/>
        </w:rPr>
      </w:pPr>
      <w:r w:rsidRPr="002C68E1">
        <w:rPr>
          <w:sz w:val="36"/>
          <w:szCs w:val="36"/>
        </w:rPr>
        <w:t>Recommendation</w:t>
      </w:r>
    </w:p>
    <w:p w14:paraId="5B7868C0" w14:textId="19E675FD" w:rsidR="00346E58" w:rsidRDefault="0059735B" w:rsidP="00696B59">
      <w:pPr>
        <w:spacing w:after="240"/>
      </w:pPr>
      <w:r>
        <w:t xml:space="preserve">This </w:t>
      </w:r>
      <w:r w:rsidR="00F778D4" w:rsidRPr="002C68E1">
        <w:t>item as it is presented for information only</w:t>
      </w:r>
      <w:r w:rsidR="00722AFA" w:rsidRPr="002C68E1">
        <w:t>.</w:t>
      </w:r>
    </w:p>
    <w:p w14:paraId="6D5405E6" w14:textId="77777777" w:rsidR="00E45F94" w:rsidRDefault="003E4DF7" w:rsidP="00E45F94">
      <w:pPr>
        <w:pStyle w:val="Heading2"/>
        <w:spacing w:before="480" w:after="240"/>
        <w:rPr>
          <w:sz w:val="36"/>
          <w:szCs w:val="36"/>
        </w:rPr>
      </w:pPr>
      <w:r>
        <w:rPr>
          <w:sz w:val="36"/>
          <w:szCs w:val="36"/>
        </w:rPr>
        <w:t>Brief History of Key Issues</w:t>
      </w:r>
    </w:p>
    <w:p w14:paraId="054C7F20" w14:textId="3949189E" w:rsidR="00722AFA" w:rsidRPr="00EC7D2A" w:rsidRDefault="00722AFA" w:rsidP="00696B59">
      <w:pPr>
        <w:spacing w:after="240"/>
        <w:rPr>
          <w:rFonts w:cs="Arial"/>
        </w:rPr>
      </w:pPr>
      <w:r w:rsidRPr="00EC7D2A">
        <w:rPr>
          <w:rFonts w:ascii="Helvetica" w:hAnsi="Helvetica"/>
          <w:color w:val="000000"/>
          <w:shd w:val="clear" w:color="auto" w:fill="FFFFFF"/>
        </w:rPr>
        <w:t>The </w:t>
      </w:r>
      <w:r w:rsidRPr="00CB211C">
        <w:rPr>
          <w:rStyle w:val="Emphasis"/>
          <w:rFonts w:ascii="Helvetica" w:eastAsiaTheme="majorEastAsia" w:hAnsi="Helvetica"/>
          <w:color w:val="000000"/>
          <w:shd w:val="clear" w:color="auto" w:fill="FFFFFF"/>
        </w:rPr>
        <w:t>Guiding Policy Principles</w:t>
      </w:r>
      <w:r w:rsidRPr="00EC7D2A">
        <w:rPr>
          <w:rFonts w:ascii="Helvetica" w:hAnsi="Helvetica"/>
          <w:color w:val="000000"/>
          <w:shd w:val="clear" w:color="auto" w:fill="FFFFFF"/>
        </w:rPr>
        <w:t> are focused on all students and ensuring the best possible opportunities for students. The </w:t>
      </w:r>
      <w:r w:rsidRPr="00CB211C">
        <w:rPr>
          <w:rStyle w:val="Emphasis"/>
          <w:rFonts w:ascii="Helvetica" w:eastAsiaTheme="majorEastAsia" w:hAnsi="Helvetica"/>
          <w:color w:val="000000"/>
          <w:shd w:val="clear" w:color="auto" w:fill="FFFFFF"/>
        </w:rPr>
        <w:t>Guiding Policy Principles</w:t>
      </w:r>
      <w:r w:rsidRPr="00E3618F">
        <w:rPr>
          <w:rStyle w:val="Emphasis"/>
          <w:rFonts w:ascii="Helvetica" w:eastAsiaTheme="majorEastAsia" w:hAnsi="Helvetica"/>
          <w:i w:val="0"/>
          <w:color w:val="000000"/>
          <w:shd w:val="clear" w:color="auto" w:fill="FFFFFF"/>
        </w:rPr>
        <w:t> </w:t>
      </w:r>
      <w:r w:rsidRPr="00EC7D2A">
        <w:rPr>
          <w:rFonts w:ascii="Helvetica" w:hAnsi="Helvetica"/>
          <w:color w:val="000000"/>
          <w:shd w:val="clear" w:color="auto" w:fill="FFFFFF"/>
        </w:rPr>
        <w:t>highlight salient points raised to the CWPJAC members since 2017, build upon existing practices across systems, and focus on key pressure points for supporting cross-system collaboration. </w:t>
      </w:r>
      <w:r w:rsidR="008D6B3D">
        <w:rPr>
          <w:rFonts w:ascii="Helvetica" w:hAnsi="Helvetica"/>
          <w:color w:val="000000"/>
          <w:shd w:val="clear" w:color="auto" w:fill="FFFFFF"/>
        </w:rPr>
        <w:t xml:space="preserve"> </w:t>
      </w:r>
    </w:p>
    <w:p w14:paraId="00B11F9D" w14:textId="77777777" w:rsidR="003E4DF7" w:rsidRDefault="003E4DF7" w:rsidP="003A0CCA">
      <w:pPr>
        <w:pStyle w:val="Heading2"/>
        <w:spacing w:before="480" w:after="240"/>
        <w:rPr>
          <w:sz w:val="36"/>
          <w:szCs w:val="36"/>
        </w:rPr>
      </w:pPr>
      <w:r>
        <w:rPr>
          <w:sz w:val="36"/>
          <w:szCs w:val="36"/>
        </w:rPr>
        <w:t xml:space="preserve">Summary of Previous </w:t>
      </w:r>
      <w:r w:rsidR="00677419">
        <w:rPr>
          <w:sz w:val="36"/>
          <w:szCs w:val="36"/>
        </w:rPr>
        <w:t>California Workforce Pathways Joint Advisory Committee</w:t>
      </w:r>
      <w:r>
        <w:rPr>
          <w:sz w:val="36"/>
          <w:szCs w:val="36"/>
        </w:rPr>
        <w:t xml:space="preserve"> Discussion</w:t>
      </w:r>
      <w:r w:rsidR="00677419">
        <w:rPr>
          <w:sz w:val="36"/>
          <w:szCs w:val="36"/>
        </w:rPr>
        <w:t>(s)</w:t>
      </w:r>
      <w:r>
        <w:rPr>
          <w:sz w:val="36"/>
          <w:szCs w:val="36"/>
        </w:rPr>
        <w:t xml:space="preserve"> and Action</w:t>
      </w:r>
      <w:r w:rsidR="00677419">
        <w:rPr>
          <w:sz w:val="36"/>
          <w:szCs w:val="36"/>
        </w:rPr>
        <w:t>(s)</w:t>
      </w:r>
    </w:p>
    <w:p w14:paraId="473A51E0" w14:textId="44423798" w:rsidR="008D6B3D" w:rsidRDefault="008D6B3D" w:rsidP="008D6B3D">
      <w:pPr>
        <w:spacing w:after="240"/>
      </w:pPr>
      <w:r>
        <w:t xml:space="preserve">The CWPJAC, per </w:t>
      </w:r>
      <w:r w:rsidRPr="00052DBA">
        <w:rPr>
          <w:i/>
        </w:rPr>
        <w:t>E</w:t>
      </w:r>
      <w:r w:rsidR="00121964">
        <w:rPr>
          <w:i/>
        </w:rPr>
        <w:t xml:space="preserve">C </w:t>
      </w:r>
      <w:r>
        <w:t>sections 53071 and 88828, has the annual responsibility for making recommendations regarding the use of metrics for the CTEIG and the K–12 SWP.</w:t>
      </w:r>
    </w:p>
    <w:p w14:paraId="2363E1CF" w14:textId="712A2A6D" w:rsidR="008D6B3D" w:rsidRPr="002C68E1" w:rsidRDefault="008D6B3D" w:rsidP="008D6B3D">
      <w:pPr>
        <w:spacing w:after="240"/>
      </w:pPr>
      <w:r>
        <w:rPr>
          <w:b/>
        </w:rPr>
        <w:t xml:space="preserve">January 31, 2020: </w:t>
      </w:r>
      <w:r>
        <w:t>The CW</w:t>
      </w:r>
      <w:r w:rsidR="00D370A0">
        <w:t>P</w:t>
      </w:r>
      <w:r>
        <w:t xml:space="preserve">JAC </w:t>
      </w:r>
      <w:r w:rsidR="00BB15CF" w:rsidRPr="002C68E1">
        <w:t>reviewed an</w:t>
      </w:r>
      <w:r w:rsidRPr="002C68E1">
        <w:t xml:space="preserve"> updated Matrix of Metrics, an overview of both the CTEIG and K</w:t>
      </w:r>
      <w:r w:rsidR="00D82C7B" w:rsidRPr="002C68E1">
        <w:t>–</w:t>
      </w:r>
      <w:r w:rsidRPr="002C68E1">
        <w:t>12 SWP fiscal year</w:t>
      </w:r>
      <w:r w:rsidR="00D82C7B" w:rsidRPr="002C68E1">
        <w:t xml:space="preserve"> (FY)</w:t>
      </w:r>
      <w:r w:rsidRPr="002C68E1">
        <w:t xml:space="preserve"> 2019</w:t>
      </w:r>
      <w:r w:rsidR="00D82C7B" w:rsidRPr="002C68E1">
        <w:t>–</w:t>
      </w:r>
      <w:r w:rsidRPr="002C68E1">
        <w:t>20 grant processes, and the 2018–19 Career Technical Education (CTE) Postsecondary Status of CTE Completers Survey Template.</w:t>
      </w:r>
    </w:p>
    <w:p w14:paraId="49DA8290" w14:textId="45FD0BEC" w:rsidR="008D6B3D" w:rsidRPr="002C68E1" w:rsidRDefault="008D6B3D" w:rsidP="008D6B3D">
      <w:pPr>
        <w:spacing w:after="240"/>
      </w:pPr>
      <w:r w:rsidRPr="002C68E1">
        <w:rPr>
          <w:b/>
        </w:rPr>
        <w:t xml:space="preserve">November 7, 2019: </w:t>
      </w:r>
      <w:r w:rsidRPr="002C68E1">
        <w:t>The CWPJAC approved the Matrix of Metrics</w:t>
      </w:r>
      <w:r w:rsidR="00BB15CF" w:rsidRPr="002C68E1">
        <w:t xml:space="preserve"> revisions</w:t>
      </w:r>
      <w:r w:rsidRPr="002C68E1">
        <w:t xml:space="preserve">, </w:t>
      </w:r>
      <w:r w:rsidR="00BB15CF" w:rsidRPr="002C68E1">
        <w:t xml:space="preserve">which incorporated </w:t>
      </w:r>
      <w:r w:rsidRPr="002C68E1">
        <w:t xml:space="preserve">the </w:t>
      </w:r>
      <w:r w:rsidR="00121964" w:rsidRPr="002C68E1">
        <w:t xml:space="preserve">requirements of </w:t>
      </w:r>
      <w:r w:rsidRPr="002C68E1">
        <w:t>Perkins V language</w:t>
      </w:r>
      <w:r w:rsidR="00121964" w:rsidRPr="002C68E1">
        <w:t>, known as</w:t>
      </w:r>
      <w:r w:rsidRPr="002C68E1">
        <w:t xml:space="preserve"> the </w:t>
      </w:r>
      <w:r w:rsidR="0059735B">
        <w:t>F</w:t>
      </w:r>
      <w:r w:rsidR="00121964" w:rsidRPr="002C68E1">
        <w:t xml:space="preserve">ederal </w:t>
      </w:r>
      <w:r w:rsidRPr="002C68E1">
        <w:t>Strengthening Career and Technical Education for the 21</w:t>
      </w:r>
      <w:r w:rsidRPr="002C68E1">
        <w:rPr>
          <w:vertAlign w:val="superscript"/>
        </w:rPr>
        <w:t>st</w:t>
      </w:r>
      <w:r w:rsidRPr="002C68E1">
        <w:t xml:space="preserve"> Century Act.</w:t>
      </w:r>
    </w:p>
    <w:p w14:paraId="5ECFA946" w14:textId="60244A40" w:rsidR="008D6B3D" w:rsidRPr="002C68E1" w:rsidRDefault="008D6B3D" w:rsidP="008D6B3D">
      <w:pPr>
        <w:spacing w:after="240"/>
      </w:pPr>
      <w:r w:rsidRPr="002C68E1">
        <w:rPr>
          <w:b/>
        </w:rPr>
        <w:t xml:space="preserve">October 11, 2019: </w:t>
      </w:r>
      <w:r w:rsidRPr="002C68E1">
        <w:t xml:space="preserve">The CWPJAC </w:t>
      </w:r>
      <w:r w:rsidR="00BB15CF" w:rsidRPr="002C68E1">
        <w:t>received</w:t>
      </w:r>
      <w:r w:rsidRPr="002C68E1">
        <w:t xml:space="preserve"> an overview of the K–12 SWP metrics and the sources of information including an introduction to </w:t>
      </w:r>
      <w:r w:rsidR="00CA60A5" w:rsidRPr="002C68E1">
        <w:t>the new K–12 SWP</w:t>
      </w:r>
      <w:r w:rsidRPr="002C68E1">
        <w:t xml:space="preserve"> Dashboard</w:t>
      </w:r>
      <w:r w:rsidR="008C73C6" w:rsidRPr="002C68E1">
        <w:t xml:space="preserve"> within the CCCCO</w:t>
      </w:r>
      <w:r w:rsidR="00121964" w:rsidRPr="002C68E1">
        <w:t>’</w:t>
      </w:r>
      <w:r w:rsidR="008C73C6" w:rsidRPr="002C68E1">
        <w:t xml:space="preserve">s </w:t>
      </w:r>
      <w:proofErr w:type="spellStart"/>
      <w:r w:rsidR="008C73C6" w:rsidRPr="002C68E1">
        <w:t>Launchboard</w:t>
      </w:r>
      <w:proofErr w:type="spellEnd"/>
      <w:r w:rsidRPr="002C68E1">
        <w:t xml:space="preserve">. A memo </w:t>
      </w:r>
      <w:r w:rsidR="0059735B">
        <w:t xml:space="preserve">was </w:t>
      </w:r>
      <w:r w:rsidRPr="002C68E1">
        <w:t>sent to the CWPJAC updating the source and methodology of data to be collected for the CTEIG.</w:t>
      </w:r>
    </w:p>
    <w:p w14:paraId="5F9DCFE6" w14:textId="45DD0806" w:rsidR="008D6B3D" w:rsidRPr="00271267" w:rsidRDefault="008D6B3D" w:rsidP="008D6B3D">
      <w:pPr>
        <w:spacing w:after="240"/>
      </w:pPr>
      <w:r w:rsidRPr="002C68E1">
        <w:rPr>
          <w:b/>
        </w:rPr>
        <w:t xml:space="preserve">September 13, 2019: </w:t>
      </w:r>
      <w:r w:rsidRPr="002C68E1">
        <w:t xml:space="preserve">The CWPJAC </w:t>
      </w:r>
      <w:r w:rsidR="00BB15CF" w:rsidRPr="002C68E1">
        <w:t>reviewed</w:t>
      </w:r>
      <w:r w:rsidRPr="002C68E1">
        <w:t xml:space="preserve"> the changes that were made to the </w:t>
      </w:r>
      <w:r w:rsidR="00D82C7B" w:rsidRPr="002C68E1">
        <w:t xml:space="preserve">FY </w:t>
      </w:r>
      <w:r w:rsidRPr="002C68E1">
        <w:t>2019–20 CTEIG application and an overview of</w:t>
      </w:r>
      <w:r>
        <w:t xml:space="preserve"> the K–12 SWP and its objectives.</w:t>
      </w:r>
    </w:p>
    <w:p w14:paraId="443D92DB" w14:textId="24CB743E" w:rsidR="008D6B3D" w:rsidRPr="002C68E1" w:rsidRDefault="008D6B3D" w:rsidP="008D6B3D">
      <w:pPr>
        <w:spacing w:after="240"/>
      </w:pPr>
      <w:r>
        <w:rPr>
          <w:b/>
        </w:rPr>
        <w:lastRenderedPageBreak/>
        <w:t xml:space="preserve">July 12, 2019: </w:t>
      </w:r>
      <w:r>
        <w:t xml:space="preserve">The CWPJAC received information regarding the common planning, and objectives from the CTEIG and K–12 SWP </w:t>
      </w:r>
      <w:r w:rsidRPr="002C68E1">
        <w:t>teams</w:t>
      </w:r>
      <w:r w:rsidR="00BB15CF" w:rsidRPr="002C68E1">
        <w:t>, including t</w:t>
      </w:r>
      <w:r w:rsidRPr="002C68E1">
        <w:t>he first full set of data from the FY 2017–18 CTEIG</w:t>
      </w:r>
      <w:r w:rsidR="00BB15CF" w:rsidRPr="002C68E1">
        <w:t>, and reviewed b</w:t>
      </w:r>
      <w:r w:rsidRPr="002C68E1">
        <w:t>oth the CTEIG and K–12 SWP metrics.</w:t>
      </w:r>
    </w:p>
    <w:p w14:paraId="0937AF68" w14:textId="4761A4E1" w:rsidR="008D6B3D" w:rsidRDefault="008D6B3D" w:rsidP="008D6B3D">
      <w:pPr>
        <w:spacing w:after="240"/>
      </w:pPr>
      <w:r w:rsidRPr="002C68E1">
        <w:rPr>
          <w:b/>
        </w:rPr>
        <w:t>May 29, 2019</w:t>
      </w:r>
      <w:r w:rsidRPr="002C68E1">
        <w:t>: The CWPJAC received an update</w:t>
      </w:r>
      <w:r>
        <w:t xml:space="preserve"> on the CTEIG and the K–12 SWP activities.</w:t>
      </w:r>
    </w:p>
    <w:p w14:paraId="3850E613" w14:textId="77777777" w:rsidR="008D6B3D" w:rsidRDefault="008D6B3D" w:rsidP="008D6B3D">
      <w:pPr>
        <w:spacing w:after="240"/>
      </w:pPr>
      <w:r>
        <w:rPr>
          <w:b/>
        </w:rPr>
        <w:t>February 19</w:t>
      </w:r>
      <w:r w:rsidRPr="008D253A">
        <w:rPr>
          <w:b/>
        </w:rPr>
        <w:t>, 2019</w:t>
      </w:r>
      <w:r>
        <w:t xml:space="preserve">: The CWPJAC received an update on the CTEIG and the K–12 SWP, including </w:t>
      </w:r>
      <w:r w:rsidRPr="00776E9F">
        <w:t xml:space="preserve">a brief demonstration </w:t>
      </w:r>
      <w:r>
        <w:t>of the NOVA platform.</w:t>
      </w:r>
    </w:p>
    <w:p w14:paraId="129730B6" w14:textId="256FF5BA" w:rsidR="008D6B3D" w:rsidRDefault="008D6B3D" w:rsidP="008D6B3D">
      <w:pPr>
        <w:spacing w:after="240"/>
      </w:pPr>
      <w:r w:rsidRPr="008D253A">
        <w:rPr>
          <w:b/>
        </w:rPr>
        <w:t>January 11, 2019</w:t>
      </w:r>
      <w:r>
        <w:t>: The CWPJAC received an update on the CTEIG and the K–12 SWP, including information on the December 19, 2018 release of the CTEIG</w:t>
      </w:r>
      <w:r w:rsidR="00D82C7B">
        <w:t xml:space="preserve"> </w:t>
      </w:r>
      <w:r>
        <w:t>R</w:t>
      </w:r>
      <w:r w:rsidR="00736694">
        <w:t xml:space="preserve">equest for </w:t>
      </w:r>
      <w:r>
        <w:t>A</w:t>
      </w:r>
      <w:r w:rsidR="00736694">
        <w:t>pplications (RFA)</w:t>
      </w:r>
      <w:r>
        <w:t xml:space="preserve">, the development of the RFA for the K–12 SWP, and the regional information meetings held around the </w:t>
      </w:r>
      <w:r w:rsidR="00D82C7B">
        <w:t>s</w:t>
      </w:r>
      <w:r>
        <w:t>tate.</w:t>
      </w:r>
    </w:p>
    <w:p w14:paraId="4D34665F" w14:textId="77777777" w:rsidR="008D6B3D" w:rsidRDefault="008D6B3D" w:rsidP="008D6B3D">
      <w:pPr>
        <w:spacing w:after="240"/>
      </w:pPr>
      <w:r>
        <w:rPr>
          <w:b/>
        </w:rPr>
        <w:t xml:space="preserve">December 14, 2018: </w:t>
      </w:r>
      <w:r>
        <w:t>Final review and approval of the metric recommendations for both the CTEIG and the K–12 SWP was unanimously approved by the CWPJAC. Final recommendations were submitted to the Department of Finance for consideration and were reflected in the January 2019 budget proposal language.</w:t>
      </w:r>
    </w:p>
    <w:p w14:paraId="6E482373" w14:textId="29C928DE" w:rsidR="008D6B3D" w:rsidRDefault="008D6B3D" w:rsidP="008D6B3D">
      <w:pPr>
        <w:spacing w:after="240"/>
      </w:pPr>
      <w:r w:rsidRPr="008D253A">
        <w:rPr>
          <w:b/>
        </w:rPr>
        <w:t>November 26, 2018</w:t>
      </w:r>
      <w:r>
        <w:rPr>
          <w:b/>
        </w:rPr>
        <w:t>:</w:t>
      </w:r>
      <w:r>
        <w:t xml:space="preserve"> The CDE and CCCCO staff provided an in-depth review of proposed metrics, and their alignment to the CWPJAC</w:t>
      </w:r>
      <w:r w:rsidR="00AF0408">
        <w:t xml:space="preserve">’s </w:t>
      </w:r>
      <w:r w:rsidR="00AF0408" w:rsidRPr="00CB211C">
        <w:rPr>
          <w:i/>
        </w:rPr>
        <w:t>Guiding Policy Principles</w:t>
      </w:r>
      <w:r w:rsidR="00AF0408">
        <w:t xml:space="preserve"> </w:t>
      </w:r>
      <w:r>
        <w:t>document. Based on direction from the CWPJAC, the CDE and CCCCO staff revised the proposed metrics to operationalize the data, as well as provide information on the source of data collection.</w:t>
      </w:r>
    </w:p>
    <w:p w14:paraId="7029CDD3" w14:textId="445383F8" w:rsidR="00AF0408" w:rsidRDefault="008D6B3D" w:rsidP="00F9769F">
      <w:pPr>
        <w:rPr>
          <w:b/>
        </w:rPr>
      </w:pPr>
      <w:r w:rsidRPr="00F9769F">
        <w:rPr>
          <w:b/>
        </w:rPr>
        <w:t>September 28, 2018:</w:t>
      </w:r>
      <w:r>
        <w:t xml:space="preserve"> </w:t>
      </w:r>
      <w:r w:rsidRPr="00AF0408">
        <w:t>The CDE and CCCCO staff jointly presented an initial overview of the CTEIG and the K–12 SWP metrics and received feedback, guidance and direction on appropriate metrics for measuring CTE program quality, and student achievement in K–14 CTE programs.</w:t>
      </w:r>
    </w:p>
    <w:p w14:paraId="7DAF0409" w14:textId="395AEC58" w:rsidR="003E4DF7" w:rsidRDefault="003E4DF7" w:rsidP="003A0CCA">
      <w:pPr>
        <w:pStyle w:val="Heading2"/>
        <w:spacing w:before="480" w:after="240"/>
        <w:rPr>
          <w:sz w:val="36"/>
          <w:szCs w:val="36"/>
        </w:rPr>
      </w:pPr>
      <w:r>
        <w:rPr>
          <w:sz w:val="36"/>
          <w:szCs w:val="36"/>
        </w:rPr>
        <w:t>Fiscal Analysis (as appropriate)</w:t>
      </w:r>
    </w:p>
    <w:p w14:paraId="3E3ABD40" w14:textId="7B09EA1C" w:rsidR="00C72AD1" w:rsidRPr="003E4DF7" w:rsidRDefault="00C72AD1" w:rsidP="00C72AD1">
      <w:pPr>
        <w:spacing w:after="240"/>
        <w:rPr>
          <w:b/>
        </w:rPr>
      </w:pPr>
      <w:r>
        <w:t xml:space="preserve">Funding available to eligible recipients under the CTEIG </w:t>
      </w:r>
      <w:r w:rsidR="00AF0408">
        <w:t>wa</w:t>
      </w:r>
      <w:r>
        <w:t xml:space="preserve">s $150 million </w:t>
      </w:r>
      <w:r w:rsidR="00AF0408">
        <w:t>for the program year (PY) 2019–20</w:t>
      </w:r>
      <w:r>
        <w:t>, and</w:t>
      </w:r>
      <w:r w:rsidR="00586F79">
        <w:t xml:space="preserve"> </w:t>
      </w:r>
      <w:r w:rsidR="00D25FCD">
        <w:t>f</w:t>
      </w:r>
      <w:r>
        <w:t xml:space="preserve">unding available under the K–12 SWP </w:t>
      </w:r>
      <w:r w:rsidR="00AF0408">
        <w:t>wa</w:t>
      </w:r>
      <w:r>
        <w:t xml:space="preserve">s </w:t>
      </w:r>
      <w:r w:rsidRPr="000F225D">
        <w:t xml:space="preserve">$150 million </w:t>
      </w:r>
      <w:r w:rsidR="00AF0408">
        <w:t>for PY 2019–20</w:t>
      </w:r>
      <w:r w:rsidR="00D25FCD" w:rsidRPr="000F225D">
        <w:t xml:space="preserve"> for</w:t>
      </w:r>
      <w:r w:rsidRPr="000F225D">
        <w:t xml:space="preserve"> eligible recipients. </w:t>
      </w:r>
      <w:r w:rsidR="001C3DC0" w:rsidRPr="000F225D">
        <w:t>In addition,</w:t>
      </w:r>
      <w:r w:rsidRPr="000F225D">
        <w:t xml:space="preserve"> $1</w:t>
      </w:r>
      <w:r w:rsidR="00AD489B">
        <w:t>3.5</w:t>
      </w:r>
      <w:r w:rsidRPr="000F225D">
        <w:t xml:space="preserve"> million</w:t>
      </w:r>
      <w:r w:rsidR="00A14CA6" w:rsidRPr="000F225D">
        <w:t xml:space="preserve"> </w:t>
      </w:r>
      <w:r w:rsidR="00AF0408" w:rsidRPr="002C68E1">
        <w:t>was</w:t>
      </w:r>
      <w:r w:rsidRPr="002C68E1">
        <w:t xml:space="preserve"> </w:t>
      </w:r>
      <w:r w:rsidR="00EA0CEF" w:rsidRPr="002C68E1">
        <w:t xml:space="preserve">provided </w:t>
      </w:r>
      <w:r w:rsidR="00B40246" w:rsidRPr="002C68E1">
        <w:t xml:space="preserve">to support </w:t>
      </w:r>
      <w:r w:rsidR="002D7DA4" w:rsidRPr="002C68E1">
        <w:t xml:space="preserve">eight </w:t>
      </w:r>
      <w:r w:rsidRPr="002C68E1">
        <w:t xml:space="preserve">K–14 </w:t>
      </w:r>
      <w:r w:rsidR="00D82C7B" w:rsidRPr="002C68E1">
        <w:t>Technical Assistance Providers</w:t>
      </w:r>
      <w:r w:rsidR="00B40246" w:rsidRPr="002C68E1">
        <w:t xml:space="preserve"> and </w:t>
      </w:r>
      <w:r w:rsidR="002D7DA4" w:rsidRPr="002C68E1">
        <w:t xml:space="preserve">72 </w:t>
      </w:r>
      <w:r w:rsidR="00B40246" w:rsidRPr="002C68E1">
        <w:t xml:space="preserve">workforce </w:t>
      </w:r>
      <w:r w:rsidR="00121964" w:rsidRPr="002C68E1">
        <w:t xml:space="preserve">pathway </w:t>
      </w:r>
      <w:r w:rsidR="00B40246" w:rsidRPr="002C68E1">
        <w:t>coordinators</w:t>
      </w:r>
      <w:r w:rsidRPr="002C68E1">
        <w:t xml:space="preserve"> </w:t>
      </w:r>
      <w:r w:rsidR="00B40246" w:rsidRPr="002C68E1">
        <w:t>for</w:t>
      </w:r>
      <w:r w:rsidRPr="002C68E1">
        <w:t xml:space="preserve"> both CTEIG and K–12 SWP initiatives.</w:t>
      </w:r>
    </w:p>
    <w:p w14:paraId="6E7B18BD" w14:textId="77777777" w:rsidR="00406F50" w:rsidRPr="001B3958" w:rsidRDefault="00406F50" w:rsidP="003A0CCA">
      <w:pPr>
        <w:pStyle w:val="Heading2"/>
        <w:spacing w:before="480" w:after="240"/>
        <w:rPr>
          <w:sz w:val="36"/>
          <w:szCs w:val="36"/>
        </w:rPr>
      </w:pPr>
      <w:r w:rsidRPr="001B3958">
        <w:rPr>
          <w:sz w:val="36"/>
          <w:szCs w:val="36"/>
        </w:rPr>
        <w:t>Attachment(s)</w:t>
      </w:r>
    </w:p>
    <w:p w14:paraId="048E1267" w14:textId="2563C0FB" w:rsidR="0064744D" w:rsidRPr="00AF0408" w:rsidRDefault="00D742D3" w:rsidP="00AF0408">
      <w:pPr>
        <w:spacing w:after="240"/>
      </w:pPr>
      <w:r w:rsidRPr="00AF0408">
        <w:rPr>
          <w:b/>
        </w:rPr>
        <w:t>Attachment 1:</w:t>
      </w:r>
      <w:r w:rsidRPr="00AF0408">
        <w:t xml:space="preserve"> Draft 12 Essential Elements </w:t>
      </w:r>
      <w:r w:rsidR="00406DAD">
        <w:t>For</w:t>
      </w:r>
      <w:r w:rsidRPr="00AF0408">
        <w:t xml:space="preserve"> </w:t>
      </w:r>
      <w:r w:rsidR="00AF0408">
        <w:t xml:space="preserve">a </w:t>
      </w:r>
      <w:r w:rsidRPr="00AF0408">
        <w:t xml:space="preserve">High-Quality </w:t>
      </w:r>
      <w:r w:rsidR="00AF0408">
        <w:t xml:space="preserve">College and </w:t>
      </w:r>
      <w:r w:rsidR="003B6254" w:rsidRPr="00AF0408">
        <w:t>Career Pathway</w:t>
      </w:r>
      <w:r w:rsidRPr="00AF0408">
        <w:t xml:space="preserve"> Framework</w:t>
      </w:r>
      <w:r w:rsidR="00AF0408">
        <w:t xml:space="preserve"> (</w:t>
      </w:r>
      <w:r w:rsidR="00341CE3" w:rsidRPr="002C68E1">
        <w:t>22</w:t>
      </w:r>
      <w:r w:rsidR="00AF0408">
        <w:t xml:space="preserve"> pages)</w:t>
      </w:r>
      <w:r w:rsidR="00F76DC0">
        <w:t>.</w:t>
      </w:r>
    </w:p>
    <w:sectPr w:rsidR="0064744D" w:rsidRPr="00AF0408" w:rsidSect="003A0CCA">
      <w:headerReference w:type="default" r:id="rId15"/>
      <w:headerReference w:type="first" r:id="rId16"/>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D9D1" w14:textId="77777777" w:rsidR="008D7ECB" w:rsidRDefault="008D7ECB" w:rsidP="000E09DC">
      <w:r>
        <w:separator/>
      </w:r>
    </w:p>
  </w:endnote>
  <w:endnote w:type="continuationSeparator" w:id="0">
    <w:p w14:paraId="32235533" w14:textId="77777777" w:rsidR="008D7ECB" w:rsidRDefault="008D7EC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C57D" w14:textId="77777777" w:rsidR="008D7ECB" w:rsidRDefault="008D7ECB" w:rsidP="000E09DC">
      <w:r>
        <w:separator/>
      </w:r>
    </w:p>
  </w:footnote>
  <w:footnote w:type="continuationSeparator" w:id="0">
    <w:p w14:paraId="0783FAFE" w14:textId="77777777" w:rsidR="008D7ECB" w:rsidRDefault="008D7ECB" w:rsidP="000E09DC">
      <w:r>
        <w:continuationSeparator/>
      </w:r>
    </w:p>
  </w:footnote>
  <w:footnote w:id="1">
    <w:p w14:paraId="694EC643" w14:textId="45DA0F04" w:rsidR="000027EE" w:rsidRDefault="000027EE" w:rsidP="00F9769F">
      <w:r>
        <w:rPr>
          <w:rStyle w:val="FootnoteReference"/>
        </w:rPr>
        <w:footnoteRef/>
      </w:r>
      <w:r>
        <w:t xml:space="preserve"> </w:t>
      </w:r>
      <w:r w:rsidR="00115A04" w:rsidRPr="000705EA">
        <w:t xml:space="preserve">The CTEIG </w:t>
      </w:r>
      <w:r w:rsidR="0002235C">
        <w:t xml:space="preserve">was </w:t>
      </w:r>
      <w:r w:rsidR="00115A04" w:rsidRPr="000705EA">
        <w:t xml:space="preserve">originally established by the Budget Act of 2015 with a one-time investment of $900 million to cover a 3-year span and as a bridge for LEAs until the </w:t>
      </w:r>
      <w:r w:rsidR="00DB20E9" w:rsidRPr="000705EA">
        <w:t>local control funding formula</w:t>
      </w:r>
      <w:r w:rsidR="00115A04" w:rsidRPr="000705EA">
        <w:t xml:space="preserve"> was fully </w:t>
      </w:r>
      <w:r w:rsidR="00121964" w:rsidRPr="000705EA">
        <w:t>funded</w:t>
      </w:r>
      <w:r w:rsidR="00115A04" w:rsidRPr="000705E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41B9" w14:textId="7D962FC1" w:rsidR="0041680C" w:rsidRDefault="009347A8" w:rsidP="0041680C">
    <w:pPr>
      <w:pStyle w:val="Header"/>
      <w:jc w:val="right"/>
      <w:rPr>
        <w:rFonts w:cs="Arial"/>
      </w:rPr>
    </w:pPr>
    <w:r>
      <w:rPr>
        <w:rFonts w:cs="Arial"/>
      </w:rPr>
      <w:t>cwpjac-</w:t>
    </w:r>
    <w:r w:rsidR="008D6B3D">
      <w:rPr>
        <w:rFonts w:cs="Arial"/>
      </w:rPr>
      <w:t>jul20item0</w:t>
    </w:r>
    <w:r w:rsidR="009933A3">
      <w:rPr>
        <w:rFonts w:cs="Arial"/>
      </w:rPr>
      <w:t>2</w:t>
    </w:r>
  </w:p>
  <w:p w14:paraId="1A29E953" w14:textId="412A68CA" w:rsidR="00AF0408" w:rsidRDefault="00AF0408" w:rsidP="00AF0408">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867693">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867693">
      <w:rPr>
        <w:rFonts w:cs="Arial"/>
        <w:bCs/>
        <w:noProof/>
      </w:rPr>
      <w:t>4</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9A79" w14:textId="77777777" w:rsidR="003A0CCA" w:rsidRDefault="003A0CCA" w:rsidP="003A0CCA">
    <w:pPr>
      <w:pStyle w:val="Header"/>
      <w:jc w:val="right"/>
      <w:rPr>
        <w:rFonts w:cs="Arial"/>
      </w:rPr>
    </w:pPr>
    <w:r>
      <w:rPr>
        <w:rFonts w:cs="Arial"/>
      </w:rPr>
      <w:t>California Workforce Pathways Joint Advisory Committee</w:t>
    </w:r>
  </w:p>
  <w:p w14:paraId="013ADB5E" w14:textId="2D91B805" w:rsidR="003A0CCA" w:rsidRPr="00AA6EC1" w:rsidRDefault="009347A8" w:rsidP="003A0CCA">
    <w:pPr>
      <w:pStyle w:val="Header"/>
      <w:jc w:val="right"/>
      <w:rPr>
        <w:rFonts w:cs="Arial"/>
      </w:rPr>
    </w:pPr>
    <w:r>
      <w:rPr>
        <w:rFonts w:cs="Arial"/>
      </w:rPr>
      <w:t>cwpjac-</w:t>
    </w:r>
    <w:r w:rsidR="00827F39">
      <w:rPr>
        <w:rFonts w:cs="Arial"/>
      </w:rPr>
      <w:t>jul</w:t>
    </w:r>
    <w:r w:rsidR="00FD4D0C">
      <w:rPr>
        <w:rFonts w:cs="Arial"/>
      </w:rPr>
      <w:t>20</w:t>
    </w:r>
    <w:r w:rsidR="003A0CCA">
      <w:rPr>
        <w:rFonts w:cs="Arial"/>
      </w:rPr>
      <w:t>item0</w:t>
    </w:r>
    <w:r w:rsidR="009933A3">
      <w:rPr>
        <w:rFonts w:cs="Arial"/>
      </w:rPr>
      <w:t>2</w:t>
    </w:r>
  </w:p>
  <w:p w14:paraId="49FE5C98" w14:textId="435CDFDE" w:rsidR="003A0CCA" w:rsidRDefault="003A0CCA" w:rsidP="003A0CC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AD1E5E">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AD1E5E">
      <w:rPr>
        <w:rFonts w:cs="Arial"/>
        <w:bCs/>
        <w:noProof/>
      </w:rPr>
      <w:t>4</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719857">
    <w:abstractNumId w:val="4"/>
  </w:num>
  <w:num w:numId="2" w16cid:durableId="884176081">
    <w:abstractNumId w:val="7"/>
  </w:num>
  <w:num w:numId="3" w16cid:durableId="950937535">
    <w:abstractNumId w:val="2"/>
  </w:num>
  <w:num w:numId="4" w16cid:durableId="443504441">
    <w:abstractNumId w:val="5"/>
  </w:num>
  <w:num w:numId="5" w16cid:durableId="1153715307">
    <w:abstractNumId w:val="6"/>
  </w:num>
  <w:num w:numId="6" w16cid:durableId="331567445">
    <w:abstractNumId w:val="0"/>
  </w:num>
  <w:num w:numId="7" w16cid:durableId="1565723403">
    <w:abstractNumId w:val="3"/>
  </w:num>
  <w:num w:numId="8" w16cid:durableId="425730219">
    <w:abstractNumId w:val="1"/>
  </w:num>
  <w:num w:numId="9" w16cid:durableId="1905337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2235C"/>
    <w:rsid w:val="000324AD"/>
    <w:rsid w:val="000334CD"/>
    <w:rsid w:val="000401C9"/>
    <w:rsid w:val="000621AF"/>
    <w:rsid w:val="00062765"/>
    <w:rsid w:val="000705EA"/>
    <w:rsid w:val="00073372"/>
    <w:rsid w:val="00097B08"/>
    <w:rsid w:val="000A746C"/>
    <w:rsid w:val="000B1226"/>
    <w:rsid w:val="000C1D49"/>
    <w:rsid w:val="000C6E48"/>
    <w:rsid w:val="000D35C8"/>
    <w:rsid w:val="000E09DC"/>
    <w:rsid w:val="000F225D"/>
    <w:rsid w:val="000F3DCA"/>
    <w:rsid w:val="001048F3"/>
    <w:rsid w:val="00115A04"/>
    <w:rsid w:val="00121964"/>
    <w:rsid w:val="00130059"/>
    <w:rsid w:val="00141C23"/>
    <w:rsid w:val="00144DF4"/>
    <w:rsid w:val="0018148D"/>
    <w:rsid w:val="001814FC"/>
    <w:rsid w:val="00194D47"/>
    <w:rsid w:val="001A0CA5"/>
    <w:rsid w:val="001A12B0"/>
    <w:rsid w:val="001B3958"/>
    <w:rsid w:val="001C3DC0"/>
    <w:rsid w:val="001C6415"/>
    <w:rsid w:val="001E1929"/>
    <w:rsid w:val="00217419"/>
    <w:rsid w:val="00223112"/>
    <w:rsid w:val="00240B26"/>
    <w:rsid w:val="00267499"/>
    <w:rsid w:val="00285BBA"/>
    <w:rsid w:val="00290E57"/>
    <w:rsid w:val="00293EAB"/>
    <w:rsid w:val="00294379"/>
    <w:rsid w:val="002A7086"/>
    <w:rsid w:val="002B4B14"/>
    <w:rsid w:val="002C68E1"/>
    <w:rsid w:val="002D13AD"/>
    <w:rsid w:val="002D1A82"/>
    <w:rsid w:val="002D7DA4"/>
    <w:rsid w:val="002E4CB5"/>
    <w:rsid w:val="002E6FCA"/>
    <w:rsid w:val="002F1DAE"/>
    <w:rsid w:val="002F279B"/>
    <w:rsid w:val="00315131"/>
    <w:rsid w:val="00341CE3"/>
    <w:rsid w:val="00346E58"/>
    <w:rsid w:val="00363520"/>
    <w:rsid w:val="003705FC"/>
    <w:rsid w:val="00384ACF"/>
    <w:rsid w:val="00396705"/>
    <w:rsid w:val="003A0CCA"/>
    <w:rsid w:val="003A6A84"/>
    <w:rsid w:val="003A74FC"/>
    <w:rsid w:val="003B37A0"/>
    <w:rsid w:val="003B6254"/>
    <w:rsid w:val="003D1ECD"/>
    <w:rsid w:val="003E1E8D"/>
    <w:rsid w:val="003E4DF7"/>
    <w:rsid w:val="003F7CD4"/>
    <w:rsid w:val="0040468B"/>
    <w:rsid w:val="00406DAD"/>
    <w:rsid w:val="00406F50"/>
    <w:rsid w:val="00407E9B"/>
    <w:rsid w:val="0041680C"/>
    <w:rsid w:val="004203BC"/>
    <w:rsid w:val="00430B32"/>
    <w:rsid w:val="00434ED0"/>
    <w:rsid w:val="00444B95"/>
    <w:rsid w:val="0044670C"/>
    <w:rsid w:val="004752B9"/>
    <w:rsid w:val="0047534A"/>
    <w:rsid w:val="00476DBD"/>
    <w:rsid w:val="0048041C"/>
    <w:rsid w:val="00480F96"/>
    <w:rsid w:val="00482D01"/>
    <w:rsid w:val="00485CD3"/>
    <w:rsid w:val="00496759"/>
    <w:rsid w:val="004C57F7"/>
    <w:rsid w:val="004D2954"/>
    <w:rsid w:val="004E029B"/>
    <w:rsid w:val="00501703"/>
    <w:rsid w:val="00510FED"/>
    <w:rsid w:val="00517C00"/>
    <w:rsid w:val="00527B0E"/>
    <w:rsid w:val="005466A4"/>
    <w:rsid w:val="005531EC"/>
    <w:rsid w:val="00555CC5"/>
    <w:rsid w:val="00586F79"/>
    <w:rsid w:val="0059735B"/>
    <w:rsid w:val="005D2A3B"/>
    <w:rsid w:val="0062025C"/>
    <w:rsid w:val="0063446F"/>
    <w:rsid w:val="0064744D"/>
    <w:rsid w:val="006560B3"/>
    <w:rsid w:val="00657100"/>
    <w:rsid w:val="00677419"/>
    <w:rsid w:val="0068567F"/>
    <w:rsid w:val="00692300"/>
    <w:rsid w:val="00693951"/>
    <w:rsid w:val="00696B59"/>
    <w:rsid w:val="006A4E4D"/>
    <w:rsid w:val="006B2111"/>
    <w:rsid w:val="006D0223"/>
    <w:rsid w:val="006E06C6"/>
    <w:rsid w:val="006E0F99"/>
    <w:rsid w:val="006E3F2A"/>
    <w:rsid w:val="006E7481"/>
    <w:rsid w:val="006F1B7F"/>
    <w:rsid w:val="007051E8"/>
    <w:rsid w:val="00716F41"/>
    <w:rsid w:val="00722AFA"/>
    <w:rsid w:val="00726EDA"/>
    <w:rsid w:val="007313A3"/>
    <w:rsid w:val="00736694"/>
    <w:rsid w:val="007428B8"/>
    <w:rsid w:val="00746164"/>
    <w:rsid w:val="00760937"/>
    <w:rsid w:val="00780BB6"/>
    <w:rsid w:val="00780D78"/>
    <w:rsid w:val="00793FD2"/>
    <w:rsid w:val="0079698A"/>
    <w:rsid w:val="007C3AA1"/>
    <w:rsid w:val="007C5697"/>
    <w:rsid w:val="007C6663"/>
    <w:rsid w:val="007D6A8F"/>
    <w:rsid w:val="007E0E9B"/>
    <w:rsid w:val="007F390B"/>
    <w:rsid w:val="0081409D"/>
    <w:rsid w:val="0082774A"/>
    <w:rsid w:val="00827F39"/>
    <w:rsid w:val="008418C7"/>
    <w:rsid w:val="00867693"/>
    <w:rsid w:val="00886D61"/>
    <w:rsid w:val="008909EE"/>
    <w:rsid w:val="008946E7"/>
    <w:rsid w:val="008A069A"/>
    <w:rsid w:val="008C73C6"/>
    <w:rsid w:val="008D6B3D"/>
    <w:rsid w:val="008D7ECB"/>
    <w:rsid w:val="008E71B8"/>
    <w:rsid w:val="00904EA8"/>
    <w:rsid w:val="0091117B"/>
    <w:rsid w:val="00932AEE"/>
    <w:rsid w:val="009347A8"/>
    <w:rsid w:val="009533BA"/>
    <w:rsid w:val="00966F4D"/>
    <w:rsid w:val="00980EB5"/>
    <w:rsid w:val="00992087"/>
    <w:rsid w:val="009933A3"/>
    <w:rsid w:val="009A30B4"/>
    <w:rsid w:val="009B04E1"/>
    <w:rsid w:val="009D5028"/>
    <w:rsid w:val="009D59D9"/>
    <w:rsid w:val="009D652E"/>
    <w:rsid w:val="00A07F42"/>
    <w:rsid w:val="00A148D8"/>
    <w:rsid w:val="00A14CA6"/>
    <w:rsid w:val="00A16315"/>
    <w:rsid w:val="00A30B3C"/>
    <w:rsid w:val="00A80D3C"/>
    <w:rsid w:val="00A83645"/>
    <w:rsid w:val="00A95AC7"/>
    <w:rsid w:val="00AC1C8D"/>
    <w:rsid w:val="00AD1E5E"/>
    <w:rsid w:val="00AD489B"/>
    <w:rsid w:val="00AE58A9"/>
    <w:rsid w:val="00AE5D9B"/>
    <w:rsid w:val="00AF0408"/>
    <w:rsid w:val="00B00D73"/>
    <w:rsid w:val="00B04EFD"/>
    <w:rsid w:val="00B21CD1"/>
    <w:rsid w:val="00B3179B"/>
    <w:rsid w:val="00B40246"/>
    <w:rsid w:val="00B43AE4"/>
    <w:rsid w:val="00B723BE"/>
    <w:rsid w:val="00B74290"/>
    <w:rsid w:val="00B8031B"/>
    <w:rsid w:val="00B82705"/>
    <w:rsid w:val="00B97F42"/>
    <w:rsid w:val="00BB15CF"/>
    <w:rsid w:val="00BB56E7"/>
    <w:rsid w:val="00BC55DA"/>
    <w:rsid w:val="00C27D57"/>
    <w:rsid w:val="00C338C7"/>
    <w:rsid w:val="00C359CA"/>
    <w:rsid w:val="00C458D7"/>
    <w:rsid w:val="00C54D0A"/>
    <w:rsid w:val="00C72AD1"/>
    <w:rsid w:val="00C75201"/>
    <w:rsid w:val="00C82CBA"/>
    <w:rsid w:val="00C930FE"/>
    <w:rsid w:val="00C95142"/>
    <w:rsid w:val="00C96415"/>
    <w:rsid w:val="00CA60A5"/>
    <w:rsid w:val="00CB0B8A"/>
    <w:rsid w:val="00CB211C"/>
    <w:rsid w:val="00CE1C84"/>
    <w:rsid w:val="00CF2DD0"/>
    <w:rsid w:val="00D25FCD"/>
    <w:rsid w:val="00D370A0"/>
    <w:rsid w:val="00D43921"/>
    <w:rsid w:val="00D47DAB"/>
    <w:rsid w:val="00D5115F"/>
    <w:rsid w:val="00D61502"/>
    <w:rsid w:val="00D7184F"/>
    <w:rsid w:val="00D742D3"/>
    <w:rsid w:val="00D81928"/>
    <w:rsid w:val="00D82C7B"/>
    <w:rsid w:val="00D8667C"/>
    <w:rsid w:val="00D86AB9"/>
    <w:rsid w:val="00D928A5"/>
    <w:rsid w:val="00D92BA9"/>
    <w:rsid w:val="00DA7A99"/>
    <w:rsid w:val="00DB20E9"/>
    <w:rsid w:val="00DB4A4C"/>
    <w:rsid w:val="00DD3C49"/>
    <w:rsid w:val="00DE4AD3"/>
    <w:rsid w:val="00E01464"/>
    <w:rsid w:val="00E038E9"/>
    <w:rsid w:val="00E07BA3"/>
    <w:rsid w:val="00E15CC7"/>
    <w:rsid w:val="00E245B7"/>
    <w:rsid w:val="00E3618F"/>
    <w:rsid w:val="00E45F94"/>
    <w:rsid w:val="00E82D3C"/>
    <w:rsid w:val="00E94D26"/>
    <w:rsid w:val="00E9592E"/>
    <w:rsid w:val="00EA050D"/>
    <w:rsid w:val="00EA0CEF"/>
    <w:rsid w:val="00EA7D4F"/>
    <w:rsid w:val="00EB16F7"/>
    <w:rsid w:val="00EB4CE5"/>
    <w:rsid w:val="00EB6E7E"/>
    <w:rsid w:val="00EC504C"/>
    <w:rsid w:val="00EC7D2A"/>
    <w:rsid w:val="00F16A29"/>
    <w:rsid w:val="00F25602"/>
    <w:rsid w:val="00F32ED9"/>
    <w:rsid w:val="00F40510"/>
    <w:rsid w:val="00F46B0E"/>
    <w:rsid w:val="00F76DC0"/>
    <w:rsid w:val="00F778D4"/>
    <w:rsid w:val="00F802EF"/>
    <w:rsid w:val="00F932A4"/>
    <w:rsid w:val="00F9769F"/>
    <w:rsid w:val="00FC1FCE"/>
    <w:rsid w:val="00FD4D0C"/>
    <w:rsid w:val="00FD7BA7"/>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5FE3"/>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ct/gi/guidingpp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2" ma:contentTypeDescription="Create a new document." ma:contentTypeScope="" ma:versionID="7847f4ce8a281d6086e93a77f01afd0d">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6e905ea39b29c6191712b3bd01fb6772"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D531D-DC11-4D1E-96AB-DF7B9A72D65D}">
  <ds:schemaRefs>
    <ds:schemaRef ds:uri="http://schemas.microsoft.com/sharepoint/v3/contenttype/forms"/>
  </ds:schemaRefs>
</ds:datastoreItem>
</file>

<file path=customXml/itemProps2.xml><?xml version="1.0" encoding="utf-8"?>
<ds:datastoreItem xmlns:ds="http://schemas.openxmlformats.org/officeDocument/2006/customXml" ds:itemID="{221BFFF8-972D-443F-B111-35F6726E1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C6DA5-DF53-4F40-8941-85E838A3F146}">
  <ds:schemaRefs>
    <ds:schemaRef ds:uri="http://schemas.openxmlformats.org/officeDocument/2006/bibliography"/>
  </ds:schemaRefs>
</ds:datastoreItem>
</file>

<file path=customXml/itemProps4.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CWPJAC July 2020 Agenda Item 02 - Career Technical Education (CA Dept of Education)</vt:lpstr>
    </vt:vector>
  </TitlesOfParts>
  <Company>CA Department of Education</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July 2020 Agenda Item 02 - General Information (CA Dept of Education)</dc:title>
  <dc:subject>California Worforce Pathways Joint Advisory Committee (CWPJAC) Career Technical Education (CTE) Initiatives: Update on CTE Incentive Grant and K-12 Strong Workforce Program and integration of the Guiding Policy Principles.</dc:subject>
  <dc:creator>Michelle McIntosh</dc:creator>
  <cp:keywords/>
  <dc:description/>
  <cp:lastModifiedBy>Marc Shaffer</cp:lastModifiedBy>
  <cp:revision>7</cp:revision>
  <cp:lastPrinted>2019-01-30T17:24:00Z</cp:lastPrinted>
  <dcterms:created xsi:type="dcterms:W3CDTF">2020-06-26T19:42:00Z</dcterms:created>
  <dcterms:modified xsi:type="dcterms:W3CDTF">2023-10-03T23:06:00Z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0x0101009AE4BCF4D8983C40A36124FC3310ACB6</vt:lpwstr>
  </property>
</Properties>
</file>