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3D4CDE6B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cwpjac-</w:t>
      </w:r>
      <w:r w:rsidR="00774A36">
        <w:rPr>
          <w:rFonts w:cs="Arial"/>
        </w:rPr>
        <w:t>sep</w:t>
      </w:r>
      <w:r w:rsidRPr="005D7730">
        <w:rPr>
          <w:rFonts w:cs="Arial"/>
        </w:rPr>
        <w:t>20item01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5789FA13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D2DD4B2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FFBD8A1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headerReference w:type="default" r:id="rId11"/>
          <w:headerReference w:type="first" r:id="rId12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6B946C16" w:rsidR="00B305A0" w:rsidRDefault="00B305A0" w:rsidP="00B305A0">
      <w:pPr>
        <w:pStyle w:val="Heading1"/>
        <w:spacing w:before="48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774A36">
        <w:rPr>
          <w:sz w:val="40"/>
          <w:szCs w:val="40"/>
        </w:rPr>
        <w:t>September 25</w:t>
      </w:r>
      <w:r>
        <w:rPr>
          <w:sz w:val="40"/>
          <w:szCs w:val="40"/>
        </w:rPr>
        <w:t>, 2020</w:t>
      </w:r>
      <w:r>
        <w:rPr>
          <w:sz w:val="40"/>
          <w:szCs w:val="40"/>
        </w:rPr>
        <w:br/>
        <w:t>Agenda Item 01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Subject</w:t>
      </w:r>
    </w:p>
    <w:p w14:paraId="3F4F16EC" w14:textId="1DE105A0" w:rsidR="00B305A0" w:rsidRDefault="00B305A0" w:rsidP="00B305A0">
      <w:r>
        <w:t xml:space="preserve">Approval of the California Workforce Pathways Joint Advisory Committee’s </w:t>
      </w:r>
      <w:r w:rsidR="00774A36">
        <w:t>July 10</w:t>
      </w:r>
      <w:r>
        <w:t>, 2020 Preliminary Report of Action.</w:t>
      </w:r>
    </w:p>
    <w:p w14:paraId="582F2A5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Type of Action</w:t>
      </w:r>
    </w:p>
    <w:p w14:paraId="2477ED7A" w14:textId="77777777" w:rsidR="00B305A0" w:rsidRDefault="00B305A0" w:rsidP="00B305A0">
      <w:r>
        <w:t>Information, Action</w:t>
      </w:r>
    </w:p>
    <w:p w14:paraId="27DE18B2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the Issue(s)</w:t>
      </w:r>
    </w:p>
    <w:p w14:paraId="0E66210F" w14:textId="4DE0C42B" w:rsidR="00B305A0" w:rsidRDefault="00B305A0" w:rsidP="00B305A0">
      <w:r>
        <w:t xml:space="preserve">The California Workforce Pathways Joint Advisory Committee (CWPJAC) </w:t>
      </w:r>
      <w:r w:rsidR="00774A36">
        <w:t>typically</w:t>
      </w:r>
      <w:r>
        <w:t xml:space="preserve"> holds a public meeting every other month. After the meeting has concluded, staff compile a Preliminary Report of Action</w:t>
      </w:r>
      <w:r w:rsidR="00815871">
        <w:t xml:space="preserve"> (meeting minutes)</w:t>
      </w:r>
      <w:r>
        <w:t xml:space="preserve"> to document the meeting’s main activities. A recording of the meeting is posted within a few days of the meeting and </w:t>
      </w:r>
      <w:r w:rsidR="00815871">
        <w:t>can be found</w:t>
      </w:r>
      <w:r>
        <w:t xml:space="preserve"> on the CWPJAC’s web</w:t>
      </w:r>
      <w:r w:rsidR="00815871">
        <w:t xml:space="preserve"> </w:t>
      </w:r>
      <w:r>
        <w:t xml:space="preserve">page at </w:t>
      </w:r>
      <w:hyperlink r:id="rId13" w:tooltip="CWPJAC's webpage" w:history="1">
        <w:r>
          <w:rPr>
            <w:rStyle w:val="Hyperlink"/>
            <w:rFonts w:eastAsiaTheme="majorEastAsia"/>
          </w:rPr>
          <w:t>https://www.cde.ca.gov/ci/ct/gi/workpathjac.asp</w:t>
        </w:r>
      </w:hyperlink>
      <w:r>
        <w:t xml:space="preserve">. The </w:t>
      </w:r>
      <w:r w:rsidR="00815871">
        <w:t xml:space="preserve">final </w:t>
      </w:r>
      <w:r>
        <w:t xml:space="preserve">Report of Action is posted following </w:t>
      </w:r>
      <w:r w:rsidR="00815871">
        <w:t xml:space="preserve">the </w:t>
      </w:r>
      <w:r>
        <w:t>CWPJAC</w:t>
      </w:r>
      <w:r w:rsidR="00815871">
        <w:t>’s</w:t>
      </w:r>
      <w:r>
        <w:t xml:space="preserve"> approval at the</w:t>
      </w:r>
      <w:r w:rsidR="00815871">
        <w:t>ir</w:t>
      </w:r>
      <w:r>
        <w:t xml:space="preserve"> subsequent scheduled meeting.</w:t>
      </w:r>
      <w:r>
        <w:br w:type="page"/>
      </w:r>
    </w:p>
    <w:p w14:paraId="7F0EFF5B" w14:textId="77777777" w:rsidR="00B305A0" w:rsidRPr="0016787F" w:rsidRDefault="00B305A0" w:rsidP="0016787F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lastRenderedPageBreak/>
        <w:t>Recommendation</w:t>
      </w:r>
    </w:p>
    <w:p w14:paraId="7D674E20" w14:textId="2E12D7D3" w:rsidR="00B305A0" w:rsidRDefault="00B305A0" w:rsidP="00B305A0">
      <w:r>
        <w:t xml:space="preserve">The State Board of Education, the California Department of Education, and the California Community Colleges Chancellor’s Office staff jointly recommend that the CWPJAC review and approve the </w:t>
      </w:r>
      <w:r w:rsidR="00774A36">
        <w:t>July 10</w:t>
      </w:r>
      <w:r>
        <w:t>, 2020</w:t>
      </w:r>
      <w:r w:rsidR="00C671D7">
        <w:t xml:space="preserve"> </w:t>
      </w:r>
      <w:r w:rsidR="00815871">
        <w:t xml:space="preserve">Preliminary </w:t>
      </w:r>
      <w:r>
        <w:t>Report of Action</w:t>
      </w:r>
      <w:r w:rsidR="00C671D7">
        <w:t xml:space="preserve"> (Attachment 1)</w:t>
      </w:r>
      <w:r>
        <w:t>.</w:t>
      </w:r>
    </w:p>
    <w:p w14:paraId="7F2D1C6E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Brief History of Key Issues</w:t>
      </w:r>
    </w:p>
    <w:p w14:paraId="00A89D14" w14:textId="0FA07CD9" w:rsidR="00B305A0" w:rsidRDefault="00B305A0" w:rsidP="00B305A0">
      <w:pPr>
        <w:spacing w:line="256" w:lineRule="auto"/>
        <w:rPr>
          <w:rFonts w:cs="Arial"/>
          <w:color w:val="000000"/>
        </w:rPr>
      </w:pPr>
      <w:bookmarkStart w:id="0" w:name="_Hlk38912440"/>
      <w:r>
        <w:rPr>
          <w:rFonts w:cs="Arial"/>
        </w:rPr>
        <w:t>The CWPJAC addresses systems alignment policies specific to career pathways within the context of state and federal investments</w:t>
      </w:r>
      <w:r w:rsidR="00C671D7">
        <w:rPr>
          <w:rFonts w:cs="Arial"/>
        </w:rPr>
        <w:t>,</w:t>
      </w:r>
      <w:r>
        <w:rPr>
          <w:rFonts w:cs="Arial"/>
        </w:rPr>
        <w:t xml:space="preserve"> furthering California’s policy objectives regarding workforce pathways in the state’s regional economies.</w:t>
      </w:r>
    </w:p>
    <w:bookmarkEnd w:id="0"/>
    <w:p w14:paraId="5F9EB82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Previous California Workforce Pathways Joint Advisory Committee Discussion(s) and Action(s)</w:t>
      </w:r>
    </w:p>
    <w:p w14:paraId="7E2CC93D" w14:textId="630A62D2" w:rsidR="00CC3C0E" w:rsidRPr="000814E4" w:rsidRDefault="00CC3C0E" w:rsidP="00CC3C0E">
      <w:pPr>
        <w:rPr>
          <w:rFonts w:cs="Arial"/>
          <w:szCs w:val="20"/>
        </w:rPr>
      </w:pPr>
      <w:r w:rsidRPr="00CC3C0E">
        <w:rPr>
          <w:rFonts w:cs="Arial"/>
        </w:rPr>
        <w:t>This</w:t>
      </w:r>
      <w:r>
        <w:rPr>
          <w:rFonts w:cs="Arial"/>
        </w:rPr>
        <w:t xml:space="preserve"> is a standing Agenda Item which allows </w:t>
      </w:r>
      <w:r w:rsidR="00815871">
        <w:rPr>
          <w:rFonts w:cs="Arial"/>
        </w:rPr>
        <w:t xml:space="preserve">the </w:t>
      </w:r>
      <w:r>
        <w:rPr>
          <w:rFonts w:cs="Arial"/>
        </w:rPr>
        <w:t>CWPJAC members to review and approve the Preliminary Report of Action for the previous CWPJAC meeting.</w:t>
      </w:r>
    </w:p>
    <w:p w14:paraId="5E2711CD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Attachment(s)</w:t>
      </w:r>
    </w:p>
    <w:p w14:paraId="6925E27B" w14:textId="178A741E" w:rsidR="002776A1" w:rsidRPr="00EC5C83" w:rsidRDefault="00B305A0" w:rsidP="00CB2B58">
      <w:pPr>
        <w:rPr>
          <w:rFonts w:cs="Arial"/>
          <w:color w:val="000000"/>
        </w:rPr>
      </w:pPr>
      <w:r>
        <w:rPr>
          <w:b/>
        </w:rPr>
        <w:t xml:space="preserve">Attachment 1: </w:t>
      </w:r>
      <w:r>
        <w:t>Preliminary Report of Action (</w:t>
      </w:r>
      <w:r w:rsidR="00293DAA" w:rsidRPr="00293DAA">
        <w:t>6</w:t>
      </w:r>
      <w:r>
        <w:t xml:space="preserve"> pages)</w:t>
      </w:r>
    </w:p>
    <w:sectPr w:rsidR="002776A1" w:rsidRPr="00EC5C83" w:rsidSect="005A5AD3">
      <w:headerReference w:type="default" r:id="rId14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27224" w14:textId="77777777" w:rsidR="002B7C94" w:rsidRDefault="002B7C94" w:rsidP="000E09DC">
      <w:r>
        <w:separator/>
      </w:r>
    </w:p>
  </w:endnote>
  <w:endnote w:type="continuationSeparator" w:id="0">
    <w:p w14:paraId="2BEAC97D" w14:textId="77777777" w:rsidR="002B7C94" w:rsidRDefault="002B7C94" w:rsidP="000E09DC">
      <w:r>
        <w:continuationSeparator/>
      </w:r>
    </w:p>
  </w:endnote>
  <w:endnote w:type="continuationNotice" w:id="1">
    <w:p w14:paraId="6A56E9DD" w14:textId="77777777" w:rsidR="002B7C94" w:rsidRDefault="002B7C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EDAE0" w14:textId="77777777" w:rsidR="002B7C94" w:rsidRDefault="002B7C94" w:rsidP="000E09DC">
      <w:r>
        <w:separator/>
      </w:r>
    </w:p>
  </w:footnote>
  <w:footnote w:type="continuationSeparator" w:id="0">
    <w:p w14:paraId="0C5E621D" w14:textId="77777777" w:rsidR="002B7C94" w:rsidRDefault="002B7C94" w:rsidP="000E09DC">
      <w:r>
        <w:continuationSeparator/>
      </w:r>
    </w:p>
  </w:footnote>
  <w:footnote w:type="continuationNotice" w:id="1">
    <w:p w14:paraId="7A815280" w14:textId="77777777" w:rsidR="002B7C94" w:rsidRDefault="002B7C9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959C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C0CA" w14:textId="33CC419E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</w:t>
    </w:r>
    <w:r w:rsidR="00774A36">
      <w:rPr>
        <w:rFonts w:cs="Arial"/>
      </w:rPr>
      <w:t>sep</w:t>
    </w:r>
    <w:r>
      <w:rPr>
        <w:rFonts w:cs="Arial"/>
      </w:rPr>
      <w:t>20item01</w:t>
    </w:r>
  </w:p>
  <w:p w14:paraId="33F5C4FF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5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0497455">
    <w:abstractNumId w:val="8"/>
  </w:num>
  <w:num w:numId="2" w16cid:durableId="1373647945">
    <w:abstractNumId w:val="15"/>
  </w:num>
  <w:num w:numId="3" w16cid:durableId="1830443757">
    <w:abstractNumId w:val="5"/>
  </w:num>
  <w:num w:numId="4" w16cid:durableId="1891068870">
    <w:abstractNumId w:val="12"/>
  </w:num>
  <w:num w:numId="5" w16cid:durableId="1241255581">
    <w:abstractNumId w:val="13"/>
  </w:num>
  <w:num w:numId="6" w16cid:durableId="1129670530">
    <w:abstractNumId w:val="2"/>
  </w:num>
  <w:num w:numId="7" w16cid:durableId="2442922">
    <w:abstractNumId w:val="7"/>
  </w:num>
  <w:num w:numId="8" w16cid:durableId="446896585">
    <w:abstractNumId w:val="21"/>
  </w:num>
  <w:num w:numId="9" w16cid:durableId="2145416793">
    <w:abstractNumId w:val="6"/>
  </w:num>
  <w:num w:numId="10" w16cid:durableId="1053430754">
    <w:abstractNumId w:val="18"/>
  </w:num>
  <w:num w:numId="11" w16cid:durableId="988368481">
    <w:abstractNumId w:val="14"/>
  </w:num>
  <w:num w:numId="12" w16cid:durableId="1030450655">
    <w:abstractNumId w:val="20"/>
  </w:num>
  <w:num w:numId="13" w16cid:durableId="405226945">
    <w:abstractNumId w:val="16"/>
  </w:num>
  <w:num w:numId="14" w16cid:durableId="1310476809">
    <w:abstractNumId w:val="9"/>
  </w:num>
  <w:num w:numId="15" w16cid:durableId="634599576">
    <w:abstractNumId w:val="3"/>
  </w:num>
  <w:num w:numId="16" w16cid:durableId="599332676">
    <w:abstractNumId w:val="11"/>
  </w:num>
  <w:num w:numId="17" w16cid:durableId="2030402987">
    <w:abstractNumId w:val="0"/>
  </w:num>
  <w:num w:numId="18" w16cid:durableId="464204713">
    <w:abstractNumId w:val="17"/>
  </w:num>
  <w:num w:numId="19" w16cid:durableId="1689404769">
    <w:abstractNumId w:val="19"/>
  </w:num>
  <w:num w:numId="20" w16cid:durableId="1293632142">
    <w:abstractNumId w:val="1"/>
  </w:num>
  <w:num w:numId="21" w16cid:durableId="1361007160">
    <w:abstractNumId w:val="4"/>
  </w:num>
  <w:num w:numId="22" w16cid:durableId="260526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17401"/>
    <w:rsid w:val="00021D5A"/>
    <w:rsid w:val="00023FDB"/>
    <w:rsid w:val="00024B4F"/>
    <w:rsid w:val="00025CF0"/>
    <w:rsid w:val="000324AD"/>
    <w:rsid w:val="00035519"/>
    <w:rsid w:val="00045B36"/>
    <w:rsid w:val="00077CF8"/>
    <w:rsid w:val="00086178"/>
    <w:rsid w:val="00087927"/>
    <w:rsid w:val="000B497E"/>
    <w:rsid w:val="000C0A28"/>
    <w:rsid w:val="000C596F"/>
    <w:rsid w:val="000C5B93"/>
    <w:rsid w:val="000D1A5D"/>
    <w:rsid w:val="000D7D31"/>
    <w:rsid w:val="000E09DC"/>
    <w:rsid w:val="000E667C"/>
    <w:rsid w:val="001048F3"/>
    <w:rsid w:val="001079AC"/>
    <w:rsid w:val="0011528A"/>
    <w:rsid w:val="001163E3"/>
    <w:rsid w:val="00124F80"/>
    <w:rsid w:val="00130059"/>
    <w:rsid w:val="00133B2D"/>
    <w:rsid w:val="00133C69"/>
    <w:rsid w:val="00142B5F"/>
    <w:rsid w:val="00147FAD"/>
    <w:rsid w:val="0015101D"/>
    <w:rsid w:val="00156995"/>
    <w:rsid w:val="001609A0"/>
    <w:rsid w:val="00162228"/>
    <w:rsid w:val="0016787F"/>
    <w:rsid w:val="00172541"/>
    <w:rsid w:val="00175382"/>
    <w:rsid w:val="0018148D"/>
    <w:rsid w:val="00181B37"/>
    <w:rsid w:val="00184705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4AD7"/>
    <w:rsid w:val="001D533E"/>
    <w:rsid w:val="001D78A1"/>
    <w:rsid w:val="001E1929"/>
    <w:rsid w:val="001E3C25"/>
    <w:rsid w:val="001E5709"/>
    <w:rsid w:val="00200B53"/>
    <w:rsid w:val="00206BA1"/>
    <w:rsid w:val="00216951"/>
    <w:rsid w:val="00223112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D3"/>
    <w:rsid w:val="00284091"/>
    <w:rsid w:val="0028647F"/>
    <w:rsid w:val="00291F9F"/>
    <w:rsid w:val="00293DAA"/>
    <w:rsid w:val="00295B88"/>
    <w:rsid w:val="002A4047"/>
    <w:rsid w:val="002A7F5D"/>
    <w:rsid w:val="002B4B14"/>
    <w:rsid w:val="002B7C9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2BE5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ECD"/>
    <w:rsid w:val="003D3C7E"/>
    <w:rsid w:val="003E1E8D"/>
    <w:rsid w:val="003E4DF7"/>
    <w:rsid w:val="003F4243"/>
    <w:rsid w:val="00406F50"/>
    <w:rsid w:val="00407E9B"/>
    <w:rsid w:val="004203BC"/>
    <w:rsid w:val="00421B35"/>
    <w:rsid w:val="00425736"/>
    <w:rsid w:val="00430474"/>
    <w:rsid w:val="004416D0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6F90"/>
    <w:rsid w:val="00487650"/>
    <w:rsid w:val="00487784"/>
    <w:rsid w:val="00490C61"/>
    <w:rsid w:val="0049137B"/>
    <w:rsid w:val="004925A0"/>
    <w:rsid w:val="00494E1D"/>
    <w:rsid w:val="004A3226"/>
    <w:rsid w:val="004A64F5"/>
    <w:rsid w:val="004C7697"/>
    <w:rsid w:val="004D10DB"/>
    <w:rsid w:val="004D28FD"/>
    <w:rsid w:val="004D4737"/>
    <w:rsid w:val="004D55DD"/>
    <w:rsid w:val="004D7487"/>
    <w:rsid w:val="004E029B"/>
    <w:rsid w:val="004E70AB"/>
    <w:rsid w:val="004F525E"/>
    <w:rsid w:val="0050182F"/>
    <w:rsid w:val="00513246"/>
    <w:rsid w:val="0051361E"/>
    <w:rsid w:val="00513DC9"/>
    <w:rsid w:val="00516A9C"/>
    <w:rsid w:val="00517C00"/>
    <w:rsid w:val="00525AD8"/>
    <w:rsid w:val="00527B0E"/>
    <w:rsid w:val="00533114"/>
    <w:rsid w:val="00545730"/>
    <w:rsid w:val="0054645B"/>
    <w:rsid w:val="00551A21"/>
    <w:rsid w:val="00553F0D"/>
    <w:rsid w:val="005727A3"/>
    <w:rsid w:val="0058196D"/>
    <w:rsid w:val="00585B3E"/>
    <w:rsid w:val="00596159"/>
    <w:rsid w:val="0059705D"/>
    <w:rsid w:val="005A0448"/>
    <w:rsid w:val="005A5AD3"/>
    <w:rsid w:val="005A68BD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106E9"/>
    <w:rsid w:val="00612C3F"/>
    <w:rsid w:val="0062704E"/>
    <w:rsid w:val="00644A4E"/>
    <w:rsid w:val="00654C28"/>
    <w:rsid w:val="00656FB0"/>
    <w:rsid w:val="00670F88"/>
    <w:rsid w:val="00672DE1"/>
    <w:rsid w:val="00677419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2111"/>
    <w:rsid w:val="006B2E43"/>
    <w:rsid w:val="006B7B01"/>
    <w:rsid w:val="006C2853"/>
    <w:rsid w:val="006C4B07"/>
    <w:rsid w:val="006C6989"/>
    <w:rsid w:val="006D0223"/>
    <w:rsid w:val="006E06C6"/>
    <w:rsid w:val="006E1827"/>
    <w:rsid w:val="006E47CC"/>
    <w:rsid w:val="006E738F"/>
    <w:rsid w:val="006F3BAB"/>
    <w:rsid w:val="006F4539"/>
    <w:rsid w:val="006F7839"/>
    <w:rsid w:val="00706971"/>
    <w:rsid w:val="007111E8"/>
    <w:rsid w:val="007138C7"/>
    <w:rsid w:val="00715E7C"/>
    <w:rsid w:val="0071714D"/>
    <w:rsid w:val="00720DF9"/>
    <w:rsid w:val="00725135"/>
    <w:rsid w:val="00725E01"/>
    <w:rsid w:val="00726EDA"/>
    <w:rsid w:val="007313A3"/>
    <w:rsid w:val="007352D8"/>
    <w:rsid w:val="007428B8"/>
    <w:rsid w:val="00746164"/>
    <w:rsid w:val="007525B9"/>
    <w:rsid w:val="00757445"/>
    <w:rsid w:val="00761962"/>
    <w:rsid w:val="00762A9E"/>
    <w:rsid w:val="0076434E"/>
    <w:rsid w:val="007656AC"/>
    <w:rsid w:val="007728E6"/>
    <w:rsid w:val="00774A36"/>
    <w:rsid w:val="00776EAB"/>
    <w:rsid w:val="00780BB6"/>
    <w:rsid w:val="00786F7E"/>
    <w:rsid w:val="00790FAC"/>
    <w:rsid w:val="007915AF"/>
    <w:rsid w:val="007A609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21A8"/>
    <w:rsid w:val="0080281F"/>
    <w:rsid w:val="00811610"/>
    <w:rsid w:val="00815871"/>
    <w:rsid w:val="00821BA0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61A6"/>
    <w:rsid w:val="008833D0"/>
    <w:rsid w:val="00883D34"/>
    <w:rsid w:val="00884F7C"/>
    <w:rsid w:val="008909EE"/>
    <w:rsid w:val="00892D9D"/>
    <w:rsid w:val="008A310E"/>
    <w:rsid w:val="008B37FA"/>
    <w:rsid w:val="008C73C5"/>
    <w:rsid w:val="008D0BBA"/>
    <w:rsid w:val="008E1A98"/>
    <w:rsid w:val="008E59BD"/>
    <w:rsid w:val="008F0041"/>
    <w:rsid w:val="0091117B"/>
    <w:rsid w:val="0091201D"/>
    <w:rsid w:val="009124D2"/>
    <w:rsid w:val="00917FE2"/>
    <w:rsid w:val="009267D1"/>
    <w:rsid w:val="009350D9"/>
    <w:rsid w:val="0093592C"/>
    <w:rsid w:val="0094516B"/>
    <w:rsid w:val="0094795C"/>
    <w:rsid w:val="00966988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7F42"/>
    <w:rsid w:val="00A16315"/>
    <w:rsid w:val="00A2134B"/>
    <w:rsid w:val="00A30B3C"/>
    <w:rsid w:val="00A315EE"/>
    <w:rsid w:val="00A34CFF"/>
    <w:rsid w:val="00A36194"/>
    <w:rsid w:val="00A3667A"/>
    <w:rsid w:val="00A52FE0"/>
    <w:rsid w:val="00A61D8D"/>
    <w:rsid w:val="00A64034"/>
    <w:rsid w:val="00A6423D"/>
    <w:rsid w:val="00A65382"/>
    <w:rsid w:val="00A70856"/>
    <w:rsid w:val="00A73461"/>
    <w:rsid w:val="00A73D7C"/>
    <w:rsid w:val="00A84A4D"/>
    <w:rsid w:val="00A86E26"/>
    <w:rsid w:val="00AA3814"/>
    <w:rsid w:val="00AB28C3"/>
    <w:rsid w:val="00AC478D"/>
    <w:rsid w:val="00AC56C9"/>
    <w:rsid w:val="00AD0390"/>
    <w:rsid w:val="00AD24B2"/>
    <w:rsid w:val="00AE0DCA"/>
    <w:rsid w:val="00AE18F0"/>
    <w:rsid w:val="00AE5D9B"/>
    <w:rsid w:val="00AE6543"/>
    <w:rsid w:val="00AF15FF"/>
    <w:rsid w:val="00AF58B9"/>
    <w:rsid w:val="00AF5E77"/>
    <w:rsid w:val="00AF7685"/>
    <w:rsid w:val="00B00BBF"/>
    <w:rsid w:val="00B00D73"/>
    <w:rsid w:val="00B07622"/>
    <w:rsid w:val="00B1655A"/>
    <w:rsid w:val="00B25B65"/>
    <w:rsid w:val="00B305A0"/>
    <w:rsid w:val="00B3276C"/>
    <w:rsid w:val="00B36280"/>
    <w:rsid w:val="00B52B3B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4089"/>
    <w:rsid w:val="00C144BC"/>
    <w:rsid w:val="00C24F70"/>
    <w:rsid w:val="00C257E7"/>
    <w:rsid w:val="00C26DC3"/>
    <w:rsid w:val="00C27D57"/>
    <w:rsid w:val="00C32055"/>
    <w:rsid w:val="00C41F8E"/>
    <w:rsid w:val="00C54D0A"/>
    <w:rsid w:val="00C562B4"/>
    <w:rsid w:val="00C645F1"/>
    <w:rsid w:val="00C65078"/>
    <w:rsid w:val="00C671D7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7A75"/>
    <w:rsid w:val="00DB38DB"/>
    <w:rsid w:val="00DB4D69"/>
    <w:rsid w:val="00DC22E1"/>
    <w:rsid w:val="00DC7144"/>
    <w:rsid w:val="00DD3B75"/>
    <w:rsid w:val="00DE28E5"/>
    <w:rsid w:val="00DF2082"/>
    <w:rsid w:val="00DF320C"/>
    <w:rsid w:val="00E001AE"/>
    <w:rsid w:val="00E00317"/>
    <w:rsid w:val="00E00F26"/>
    <w:rsid w:val="00E038E9"/>
    <w:rsid w:val="00E06A3A"/>
    <w:rsid w:val="00E208D7"/>
    <w:rsid w:val="00E318C6"/>
    <w:rsid w:val="00E33BF7"/>
    <w:rsid w:val="00E3414A"/>
    <w:rsid w:val="00E347C7"/>
    <w:rsid w:val="00E403C5"/>
    <w:rsid w:val="00E43725"/>
    <w:rsid w:val="00E64BF3"/>
    <w:rsid w:val="00E65B8E"/>
    <w:rsid w:val="00E71982"/>
    <w:rsid w:val="00E74282"/>
    <w:rsid w:val="00E74E66"/>
    <w:rsid w:val="00E907B7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139DB"/>
    <w:rsid w:val="00F23962"/>
    <w:rsid w:val="00F40510"/>
    <w:rsid w:val="00F410A0"/>
    <w:rsid w:val="00F665AC"/>
    <w:rsid w:val="00F70F31"/>
    <w:rsid w:val="00F74607"/>
    <w:rsid w:val="00F74A61"/>
    <w:rsid w:val="00F75455"/>
    <w:rsid w:val="00F777F2"/>
    <w:rsid w:val="00F80392"/>
    <w:rsid w:val="00F90BB6"/>
    <w:rsid w:val="00F93B62"/>
    <w:rsid w:val="00FA24BE"/>
    <w:rsid w:val="00FC1FCE"/>
    <w:rsid w:val="00FC2BA9"/>
    <w:rsid w:val="00FC5100"/>
    <w:rsid w:val="00FC5A4B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cde.ca.gov/ci/ct/gi/workpathjac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5FC1F-FA81-4BCB-91BD-C478A74B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September 2020 Agenda Item 01 - Career Technical Education (CA Dept of Education)</vt:lpstr>
    </vt:vector>
  </TitlesOfParts>
  <Company>California Department of Education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September 2020 Agenda Item 01 - General Information (CA Dept of Education)</dc:title>
  <dc:subject>California Workforce Pathways Joint Advisory Committee (CWPJAC) Approval of the July 10, 2020 Preliminary Report of Action/Meeting Minutes.</dc:subject>
  <dc:creator>Lisa Reimers</dc:creator>
  <cp:keywords/>
  <dc:description/>
  <cp:lastModifiedBy>Marc Shaffer</cp:lastModifiedBy>
  <cp:revision>3</cp:revision>
  <cp:lastPrinted>2019-05-17T18:57:00Z</cp:lastPrinted>
  <dcterms:created xsi:type="dcterms:W3CDTF">2020-09-14T19:29:00Z</dcterms:created>
  <dcterms:modified xsi:type="dcterms:W3CDTF">2024-11-27T17:49:00Z</dcterms:modified>
  <cp:category/>
</cp:coreProperties>
</file>