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5398D" w14:textId="77777777" w:rsidR="00992087" w:rsidRDefault="00992087" w:rsidP="00992087">
      <w:r>
        <w:rPr>
          <w:rFonts w:ascii="Times New Roman" w:hAnsi="Times New Roman"/>
          <w:noProof/>
        </w:rPr>
        <w:drawing>
          <wp:inline distT="0" distB="0" distL="0" distR="0" wp14:anchorId="579380EA" wp14:editId="50C580A6">
            <wp:extent cx="1232535" cy="1228725"/>
            <wp:effectExtent l="0" t="0" r="5715" b="9525"/>
            <wp:docPr id="3" name="Picture 3" descr="This is an image of the 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tab/>
      </w:r>
      <w:r>
        <w:tab/>
      </w:r>
      <w:r>
        <w:tab/>
      </w:r>
      <w:r>
        <w:rPr>
          <w:rFonts w:ascii="Times New Roman" w:hAnsi="Times New Roman"/>
          <w:noProof/>
        </w:rPr>
        <w:drawing>
          <wp:inline distT="0" distB="0" distL="0" distR="0" wp14:anchorId="43E552DF" wp14:editId="4FA9046F">
            <wp:extent cx="1169670" cy="1169670"/>
            <wp:effectExtent l="0" t="0" r="0" b="0"/>
            <wp:docPr id="4" name="Picture 4" descr="This is an image of the 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tab/>
      </w:r>
      <w:r>
        <w:tab/>
      </w:r>
      <w:r>
        <w:tab/>
      </w:r>
      <w:r>
        <w:rPr>
          <w:rFonts w:ascii="Times New Roman" w:hAnsi="Times New Roman"/>
          <w:noProof/>
        </w:rPr>
        <w:drawing>
          <wp:inline distT="0" distB="0" distL="0" distR="0" wp14:anchorId="221C04D8" wp14:editId="27F2A93D">
            <wp:extent cx="1169670" cy="1169670"/>
            <wp:effectExtent l="0" t="0" r="0" b="0"/>
            <wp:docPr id="5" name="Picture 5" descr="This is an image of the 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14AD7911" w14:textId="77777777" w:rsidR="00992087" w:rsidRDefault="00992087" w:rsidP="00B723BE"/>
    <w:p w14:paraId="5E0A4669" w14:textId="77777777" w:rsidR="006E06C6" w:rsidRDefault="006E06C6" w:rsidP="00FC1FCE">
      <w:pPr>
        <w:pStyle w:val="Heading1"/>
        <w:jc w:val="center"/>
        <w:rPr>
          <w:sz w:val="40"/>
          <w:szCs w:val="40"/>
        </w:rPr>
        <w:sectPr w:rsidR="006E06C6" w:rsidSect="0011282E">
          <w:headerReference w:type="default" r:id="rId11"/>
          <w:type w:val="continuous"/>
          <w:pgSz w:w="12240" w:h="15840"/>
          <w:pgMar w:top="720" w:right="1440" w:bottom="1440" w:left="1440" w:header="720" w:footer="720" w:gutter="0"/>
          <w:cols w:space="720"/>
          <w:docGrid w:linePitch="360"/>
        </w:sectPr>
      </w:pPr>
    </w:p>
    <w:p w14:paraId="4B3C14B1" w14:textId="77777777" w:rsidR="00FC1FCE" w:rsidRDefault="00B00D73" w:rsidP="00977132">
      <w:pPr>
        <w:pStyle w:val="Heading1"/>
        <w:spacing w:before="480" w:after="0"/>
        <w:jc w:val="center"/>
        <w:rPr>
          <w:sz w:val="40"/>
          <w:szCs w:val="40"/>
        </w:rPr>
      </w:pPr>
      <w:r>
        <w:rPr>
          <w:sz w:val="40"/>
          <w:szCs w:val="40"/>
        </w:rPr>
        <w:t>California Workforce Pathways</w:t>
      </w:r>
      <w:r w:rsidR="00977132">
        <w:rPr>
          <w:sz w:val="40"/>
          <w:szCs w:val="40"/>
        </w:rPr>
        <w:br/>
      </w:r>
      <w:r>
        <w:rPr>
          <w:sz w:val="40"/>
          <w:szCs w:val="40"/>
        </w:rPr>
        <w:t xml:space="preserve">Joint </w:t>
      </w:r>
      <w:r w:rsidRPr="009332EA">
        <w:rPr>
          <w:sz w:val="40"/>
          <w:szCs w:val="40"/>
        </w:rPr>
        <w:t>Advisory Committee</w:t>
      </w:r>
      <w:r w:rsidR="00693951" w:rsidRPr="009332EA">
        <w:rPr>
          <w:sz w:val="40"/>
          <w:szCs w:val="40"/>
        </w:rPr>
        <w:br/>
      </w:r>
      <w:r w:rsidR="00E55C96">
        <w:rPr>
          <w:sz w:val="40"/>
          <w:szCs w:val="40"/>
        </w:rPr>
        <w:t>September</w:t>
      </w:r>
      <w:r w:rsidR="0089501C" w:rsidRPr="009332EA">
        <w:rPr>
          <w:sz w:val="40"/>
          <w:szCs w:val="40"/>
        </w:rPr>
        <w:t xml:space="preserve"> 2019</w:t>
      </w:r>
      <w:r w:rsidR="00977132">
        <w:rPr>
          <w:sz w:val="40"/>
          <w:szCs w:val="40"/>
        </w:rPr>
        <w:br/>
      </w:r>
      <w:r w:rsidR="0091117B" w:rsidRPr="009332EA">
        <w:rPr>
          <w:sz w:val="40"/>
          <w:szCs w:val="40"/>
        </w:rPr>
        <w:t>Agenda</w:t>
      </w:r>
      <w:r w:rsidR="00677419" w:rsidRPr="009332EA">
        <w:rPr>
          <w:sz w:val="40"/>
          <w:szCs w:val="40"/>
        </w:rPr>
        <w:t xml:space="preserve"> </w:t>
      </w:r>
      <w:r w:rsidR="00FC1FCE" w:rsidRPr="009332EA">
        <w:rPr>
          <w:sz w:val="40"/>
          <w:szCs w:val="40"/>
        </w:rPr>
        <w:t>Item</w:t>
      </w:r>
      <w:r w:rsidR="00692300" w:rsidRPr="009332EA">
        <w:rPr>
          <w:sz w:val="40"/>
          <w:szCs w:val="40"/>
        </w:rPr>
        <w:t xml:space="preserve"> </w:t>
      </w:r>
      <w:r w:rsidR="00A35A56">
        <w:rPr>
          <w:sz w:val="40"/>
          <w:szCs w:val="40"/>
        </w:rPr>
        <w:t>01</w:t>
      </w:r>
    </w:p>
    <w:p w14:paraId="5AF2AF61" w14:textId="77777777" w:rsidR="007C2D2E" w:rsidRPr="007C2D2E" w:rsidRDefault="007C2D2E" w:rsidP="007C2D2E">
      <w:pPr>
        <w:jc w:val="center"/>
      </w:pPr>
      <w:r>
        <w:t xml:space="preserve">Posted by </w:t>
      </w:r>
      <w:r w:rsidR="00DA64C0">
        <w:t xml:space="preserve">the </w:t>
      </w:r>
      <w:r>
        <w:t>California Department of Education</w:t>
      </w:r>
    </w:p>
    <w:p w14:paraId="2B3EF75A" w14:textId="77777777" w:rsidR="00FC1FCE" w:rsidRPr="001B3958" w:rsidRDefault="00FC1FCE" w:rsidP="002B4B14">
      <w:pPr>
        <w:pStyle w:val="Heading2"/>
        <w:spacing w:before="240" w:after="240"/>
        <w:rPr>
          <w:sz w:val="36"/>
          <w:szCs w:val="36"/>
        </w:rPr>
      </w:pPr>
      <w:r w:rsidRPr="001B3958">
        <w:rPr>
          <w:sz w:val="36"/>
          <w:szCs w:val="36"/>
        </w:rPr>
        <w:t>Subject</w:t>
      </w:r>
    </w:p>
    <w:p w14:paraId="29A40CBE" w14:textId="77777777" w:rsidR="0066358D" w:rsidRPr="009332EA" w:rsidRDefault="0066358D" w:rsidP="0066358D">
      <w:pPr>
        <w:spacing w:after="240"/>
      </w:pPr>
      <w:r w:rsidRPr="009332EA">
        <w:t>California C</w:t>
      </w:r>
      <w:r>
        <w:t xml:space="preserve">areer </w:t>
      </w:r>
      <w:r w:rsidRPr="009332EA">
        <w:t>T</w:t>
      </w:r>
      <w:r>
        <w:t xml:space="preserve">echnical </w:t>
      </w:r>
      <w:r w:rsidRPr="009332EA">
        <w:t>E</w:t>
      </w:r>
      <w:r>
        <w:t>ducation (CTE) Initiatives</w:t>
      </w:r>
      <w:r w:rsidRPr="009332EA">
        <w:t xml:space="preserve">: </w:t>
      </w:r>
      <w:r w:rsidR="00524B33">
        <w:t xml:space="preserve">An update on the work of implementing the </w:t>
      </w:r>
      <w:r w:rsidR="00524B33" w:rsidRPr="009332EA">
        <w:t>Career Technical Education Incentive Grant (CTEIG)</w:t>
      </w:r>
      <w:r w:rsidR="00524B33">
        <w:t xml:space="preserve"> </w:t>
      </w:r>
      <w:r w:rsidR="00524B33" w:rsidRPr="009332EA">
        <w:t xml:space="preserve">and </w:t>
      </w:r>
      <w:r w:rsidR="00524B33">
        <w:t xml:space="preserve">the </w:t>
      </w:r>
      <w:r w:rsidR="00524B33" w:rsidRPr="009332EA">
        <w:t>K</w:t>
      </w:r>
      <w:r w:rsidR="00524B33">
        <w:t>–</w:t>
      </w:r>
      <w:r w:rsidR="00524B33" w:rsidRPr="009332EA">
        <w:t>12 Strong Workforce Program (K</w:t>
      </w:r>
      <w:r w:rsidR="00524B33">
        <w:t>–</w:t>
      </w:r>
      <w:r w:rsidR="00524B33" w:rsidRPr="009332EA">
        <w:t>12SWP</w:t>
      </w:r>
      <w:r w:rsidR="00524B33">
        <w:t>) State CTE funding legislation.</w:t>
      </w:r>
    </w:p>
    <w:p w14:paraId="15898EB9" w14:textId="77777777" w:rsidR="00FC1FCE" w:rsidRPr="001B3958" w:rsidRDefault="00FC1FCE" w:rsidP="002B4B14">
      <w:pPr>
        <w:pStyle w:val="Heading2"/>
        <w:spacing w:before="240" w:after="240"/>
        <w:rPr>
          <w:sz w:val="36"/>
          <w:szCs w:val="36"/>
        </w:rPr>
      </w:pPr>
      <w:r w:rsidRPr="001B3958">
        <w:rPr>
          <w:sz w:val="36"/>
          <w:szCs w:val="36"/>
        </w:rPr>
        <w:t>Type of Action</w:t>
      </w:r>
    </w:p>
    <w:p w14:paraId="5934FD70" w14:textId="77777777" w:rsidR="0091117B" w:rsidRPr="009332EA" w:rsidRDefault="00571989" w:rsidP="002F1A45">
      <w:pPr>
        <w:spacing w:after="240"/>
      </w:pPr>
      <w:r>
        <w:t xml:space="preserve">Action, </w:t>
      </w:r>
      <w:r w:rsidR="008909EE" w:rsidRPr="009332EA">
        <w:t>Inform</w:t>
      </w:r>
      <w:r w:rsidR="009332EA">
        <w:t>ation</w:t>
      </w:r>
    </w:p>
    <w:p w14:paraId="60EB8E4C" w14:textId="77777777" w:rsidR="00FC1FCE" w:rsidRPr="001B3958" w:rsidRDefault="00FC1FCE" w:rsidP="002B4B14">
      <w:pPr>
        <w:pStyle w:val="Heading2"/>
        <w:spacing w:before="240" w:after="240"/>
        <w:rPr>
          <w:sz w:val="36"/>
          <w:szCs w:val="36"/>
        </w:rPr>
      </w:pPr>
      <w:r w:rsidRPr="001B3958">
        <w:rPr>
          <w:sz w:val="36"/>
          <w:szCs w:val="36"/>
        </w:rPr>
        <w:t>Summary of the Issue(s)</w:t>
      </w:r>
    </w:p>
    <w:p w14:paraId="47BEE6EE" w14:textId="77777777" w:rsidR="000324AD" w:rsidRPr="009332EA" w:rsidRDefault="00524B33" w:rsidP="002F1A45">
      <w:pPr>
        <w:spacing w:after="240"/>
      </w:pPr>
      <w:r>
        <w:t>An update on common planning and objectives</w:t>
      </w:r>
      <w:r w:rsidR="001459AC">
        <w:t xml:space="preserve"> between CTEIG and </w:t>
      </w:r>
      <w:r w:rsidR="001459AC" w:rsidRPr="009332EA">
        <w:t>K</w:t>
      </w:r>
      <w:r w:rsidR="001459AC">
        <w:t>–12SWP programs</w:t>
      </w:r>
      <w:r>
        <w:t xml:space="preserve">, the CTEIG </w:t>
      </w:r>
      <w:r w:rsidR="001459AC">
        <w:t>Fiscal Year 2019</w:t>
      </w:r>
      <w:r w:rsidR="00E01E44">
        <w:t>–</w:t>
      </w:r>
      <w:r w:rsidR="001459AC">
        <w:t>20</w:t>
      </w:r>
      <w:r w:rsidR="001459AC" w:rsidRPr="009332EA">
        <w:t xml:space="preserve"> </w:t>
      </w:r>
      <w:r w:rsidR="001459AC">
        <w:t xml:space="preserve">application, the </w:t>
      </w:r>
      <w:r>
        <w:t>2017-18 data collection, and an update on the Metrics.</w:t>
      </w:r>
      <w:r w:rsidR="001459AC">
        <w:t xml:space="preserve"> </w:t>
      </w:r>
      <w:r w:rsidR="00E01E44">
        <w:t xml:space="preserve">The </w:t>
      </w:r>
      <w:r w:rsidR="00E01E44" w:rsidRPr="009332EA">
        <w:t>C</w:t>
      </w:r>
      <w:r w:rsidR="00E01E44">
        <w:t xml:space="preserve">alifornia </w:t>
      </w:r>
      <w:r w:rsidR="00E01E44" w:rsidRPr="009332EA">
        <w:t>D</w:t>
      </w:r>
      <w:r w:rsidR="00E01E44">
        <w:t xml:space="preserve">epartment of </w:t>
      </w:r>
      <w:r w:rsidR="00E01E44" w:rsidRPr="009332EA">
        <w:t>E</w:t>
      </w:r>
      <w:r w:rsidR="00E01E44">
        <w:t>ducation (CDE)</w:t>
      </w:r>
      <w:r w:rsidR="00E01E44" w:rsidRPr="009332EA">
        <w:t xml:space="preserve"> and </w:t>
      </w:r>
      <w:r w:rsidR="00E01E44">
        <w:t>the California Community Colleges Chancellor’s Office (</w:t>
      </w:r>
      <w:r w:rsidR="00E01E44" w:rsidRPr="009332EA">
        <w:t>CCCCO</w:t>
      </w:r>
      <w:r w:rsidR="00E01E44">
        <w:t>)</w:t>
      </w:r>
      <w:r w:rsidR="00E01E44" w:rsidRPr="009332EA">
        <w:t xml:space="preserve"> </w:t>
      </w:r>
      <w:r w:rsidR="0011180F">
        <w:t>staff will highlight the intersegmental collaboration through policy, program, and metrics alignment.</w:t>
      </w:r>
    </w:p>
    <w:p w14:paraId="01AE12D4" w14:textId="77777777" w:rsidR="003E4DF7" w:rsidRPr="00F40510" w:rsidRDefault="003E4DF7" w:rsidP="002B4B14">
      <w:pPr>
        <w:pStyle w:val="Heading2"/>
        <w:spacing w:before="240" w:after="240"/>
        <w:rPr>
          <w:sz w:val="36"/>
          <w:szCs w:val="36"/>
        </w:rPr>
      </w:pPr>
      <w:r>
        <w:rPr>
          <w:sz w:val="36"/>
          <w:szCs w:val="36"/>
        </w:rPr>
        <w:t>Recommendation</w:t>
      </w:r>
    </w:p>
    <w:p w14:paraId="0E1504BE" w14:textId="77777777" w:rsidR="0011180F" w:rsidRDefault="00ED142B" w:rsidP="0011180F">
      <w:pPr>
        <w:spacing w:after="240"/>
      </w:pPr>
      <w:r w:rsidRPr="009332EA">
        <w:t xml:space="preserve">Staff from the </w:t>
      </w:r>
      <w:r w:rsidR="009332EA">
        <w:t>CDE</w:t>
      </w:r>
      <w:r w:rsidRPr="009332EA">
        <w:t xml:space="preserve"> and </w:t>
      </w:r>
      <w:r w:rsidR="00E01E44">
        <w:t xml:space="preserve">the </w:t>
      </w:r>
      <w:r w:rsidRPr="009332EA">
        <w:t>CCCCO recommend that the C</w:t>
      </w:r>
      <w:r w:rsidR="002D7A61">
        <w:t xml:space="preserve">alifornia </w:t>
      </w:r>
      <w:r w:rsidRPr="009332EA">
        <w:t>W</w:t>
      </w:r>
      <w:r w:rsidR="002D7A61">
        <w:t xml:space="preserve">orkforce </w:t>
      </w:r>
      <w:r w:rsidRPr="009332EA">
        <w:t>P</w:t>
      </w:r>
      <w:r w:rsidR="002D7A61">
        <w:t xml:space="preserve">athways </w:t>
      </w:r>
      <w:r w:rsidRPr="009332EA">
        <w:t>J</w:t>
      </w:r>
      <w:r w:rsidR="002D7A61">
        <w:t xml:space="preserve">oint </w:t>
      </w:r>
      <w:r w:rsidRPr="009332EA">
        <w:t>A</w:t>
      </w:r>
      <w:r w:rsidR="002D7A61">
        <w:t>dvisory Committee (CWPJAC) receive an</w:t>
      </w:r>
      <w:r w:rsidR="00571989">
        <w:t xml:space="preserve"> update </w:t>
      </w:r>
      <w:r w:rsidR="001C42BA">
        <w:t>on</w:t>
      </w:r>
      <w:r w:rsidR="0011180F">
        <w:t xml:space="preserve"> t</w:t>
      </w:r>
      <w:r w:rsidR="000E2761">
        <w:t>he CTEIG program, including a discussion on the FY2019-2020 application template</w:t>
      </w:r>
      <w:r w:rsidR="00F900B3">
        <w:t xml:space="preserve">,  </w:t>
      </w:r>
      <w:r w:rsidR="002D281D">
        <w:t xml:space="preserve">and, </w:t>
      </w:r>
      <w:r w:rsidR="000E2761">
        <w:t xml:space="preserve">a review of </w:t>
      </w:r>
      <w:r w:rsidR="002D281D">
        <w:t>FY17</w:t>
      </w:r>
      <w:r w:rsidR="00E01E44">
        <w:t>–</w:t>
      </w:r>
      <w:r w:rsidR="002D281D">
        <w:t>18 data collection</w:t>
      </w:r>
      <w:r w:rsidR="0011180F">
        <w:t>; a</w:t>
      </w:r>
      <w:r w:rsidR="00EC3527">
        <w:t xml:space="preserve">n overview of </w:t>
      </w:r>
      <w:r w:rsidR="006B133A">
        <w:t xml:space="preserve">the </w:t>
      </w:r>
      <w:r w:rsidR="006B133A" w:rsidRPr="009332EA">
        <w:t>K</w:t>
      </w:r>
      <w:r w:rsidR="006B133A">
        <w:t xml:space="preserve">–12SWP, including objectives, intersegmental collaboration, specifically is complementarity </w:t>
      </w:r>
      <w:r w:rsidR="008162F4">
        <w:t>to CTEIG</w:t>
      </w:r>
      <w:r w:rsidR="001D5E6A">
        <w:t xml:space="preserve">, and a </w:t>
      </w:r>
      <w:r w:rsidR="001D5E6A">
        <w:lastRenderedPageBreak/>
        <w:t>description of success indicators</w:t>
      </w:r>
      <w:r w:rsidR="0011180F">
        <w:t>,</w:t>
      </w:r>
      <w:r w:rsidR="001D5E6A">
        <w:t xml:space="preserve"> and it alignment to the CWPJAC guiding principles</w:t>
      </w:r>
      <w:r w:rsidR="0011180F">
        <w:t>; and, a</w:t>
      </w:r>
      <w:r w:rsidR="002D569F">
        <w:t xml:space="preserve">n update on the review of matrix of </w:t>
      </w:r>
      <w:r w:rsidR="00B43BFD">
        <w:t xml:space="preserve">outcome </w:t>
      </w:r>
      <w:r w:rsidR="002D569F">
        <w:t>metrics</w:t>
      </w:r>
      <w:r w:rsidR="0011180F">
        <w:t>.</w:t>
      </w:r>
    </w:p>
    <w:p w14:paraId="5763A991" w14:textId="77777777" w:rsidR="00F40510" w:rsidRPr="00F40510" w:rsidRDefault="003E4DF7" w:rsidP="002B4B14">
      <w:pPr>
        <w:pStyle w:val="Heading2"/>
        <w:spacing w:before="240" w:after="240"/>
        <w:rPr>
          <w:sz w:val="36"/>
          <w:szCs w:val="36"/>
        </w:rPr>
      </w:pPr>
      <w:r>
        <w:rPr>
          <w:sz w:val="36"/>
          <w:szCs w:val="36"/>
        </w:rPr>
        <w:t>Brief History of Key Issues</w:t>
      </w:r>
    </w:p>
    <w:p w14:paraId="256D0787" w14:textId="77777777" w:rsidR="0066358D" w:rsidRPr="00D256A0" w:rsidRDefault="0066358D" w:rsidP="008762B4">
      <w:pPr>
        <w:rPr>
          <w:b/>
        </w:rPr>
      </w:pPr>
      <w:r>
        <w:t>After the first year of impl</w:t>
      </w:r>
      <w:r w:rsidR="00052F1C">
        <w:t>ementing the CTEIG and the K</w:t>
      </w:r>
      <w:r w:rsidR="00E01E44">
        <w:t>–</w:t>
      </w:r>
      <w:r w:rsidR="00052F1C">
        <w:t>12</w:t>
      </w:r>
      <w:r>
        <w:t xml:space="preserve">SWP as complimentary programs to one another, </w:t>
      </w:r>
      <w:r w:rsidR="00052F1C">
        <w:t xml:space="preserve">the </w:t>
      </w:r>
      <w:r>
        <w:t xml:space="preserve">CDE and </w:t>
      </w:r>
      <w:r w:rsidR="00052F1C">
        <w:t xml:space="preserve">the </w:t>
      </w:r>
      <w:r>
        <w:t xml:space="preserve">CCCCO staff came together to do common planning for both programs and determine key objectives for moving forward. During the December 2018, CWPJAC meeting, metrics </w:t>
      </w:r>
      <w:r w:rsidR="00052F1C">
        <w:t>for both the CTEIG and the K</w:t>
      </w:r>
      <w:r w:rsidR="00E01E44">
        <w:t>–</w:t>
      </w:r>
      <w:r w:rsidR="00052F1C">
        <w:t>12</w:t>
      </w:r>
      <w:r>
        <w:t xml:space="preserve">SWP were reviewed by the CWPJAC. The CWPJAC recommended to keep all metrics with the exception of metric (i) High School Cohort Graduation Rate. The CWPJAC recommended to change this metric in the CTEIG language to be consistent with the language in the same K-12SWP metric and rename the metric as the following: (i) High School Graduation Rate. </w:t>
      </w:r>
    </w:p>
    <w:p w14:paraId="62C69670" w14:textId="77777777" w:rsidR="003E4DF7" w:rsidRDefault="003E4DF7" w:rsidP="002B4B14">
      <w:pPr>
        <w:pStyle w:val="Heading2"/>
        <w:spacing w:before="240" w:after="240"/>
        <w:rPr>
          <w:sz w:val="36"/>
          <w:szCs w:val="36"/>
        </w:rPr>
      </w:pPr>
      <w:r>
        <w:rPr>
          <w:sz w:val="36"/>
          <w:szCs w:val="36"/>
        </w:rPr>
        <w:t xml:space="preserve">Summary of Previous </w:t>
      </w:r>
      <w:r w:rsidR="00677419">
        <w:rPr>
          <w:sz w:val="36"/>
          <w:szCs w:val="36"/>
        </w:rPr>
        <w:t>California Workforce Pathways Joint Advisory Committee</w:t>
      </w:r>
      <w:r>
        <w:rPr>
          <w:sz w:val="36"/>
          <w:szCs w:val="36"/>
        </w:rPr>
        <w:t xml:space="preserve"> Discussion</w:t>
      </w:r>
      <w:r w:rsidR="00677419">
        <w:rPr>
          <w:sz w:val="36"/>
          <w:szCs w:val="36"/>
        </w:rPr>
        <w:t>(s)</w:t>
      </w:r>
      <w:r>
        <w:rPr>
          <w:sz w:val="36"/>
          <w:szCs w:val="36"/>
        </w:rPr>
        <w:t xml:space="preserve"> and Action</w:t>
      </w:r>
      <w:r w:rsidR="00677419">
        <w:rPr>
          <w:sz w:val="36"/>
          <w:szCs w:val="36"/>
        </w:rPr>
        <w:t>(s)</w:t>
      </w:r>
    </w:p>
    <w:p w14:paraId="77864311" w14:textId="77777777" w:rsidR="0066358D" w:rsidRDefault="0066358D" w:rsidP="0066358D">
      <w:pPr>
        <w:spacing w:after="240"/>
      </w:pPr>
      <w:r>
        <w:t xml:space="preserve">The CWPJAC, per </w:t>
      </w:r>
      <w:r>
        <w:rPr>
          <w:i/>
        </w:rPr>
        <w:t xml:space="preserve">Education Code </w:t>
      </w:r>
      <w:r>
        <w:t>sections 53071 and 88828, has the annual responsibility for making recommendations regarding the use of met</w:t>
      </w:r>
      <w:r w:rsidR="00052F1C">
        <w:t>rics for the CTEIG and the K–12</w:t>
      </w:r>
      <w:r>
        <w:t>SWP.</w:t>
      </w:r>
    </w:p>
    <w:p w14:paraId="74C7D118" w14:textId="77777777" w:rsidR="002458BE" w:rsidRPr="002458BE" w:rsidRDefault="002458BE" w:rsidP="0066358D">
      <w:pPr>
        <w:spacing w:after="240"/>
      </w:pPr>
      <w:r>
        <w:rPr>
          <w:b/>
        </w:rPr>
        <w:t xml:space="preserve">July 12, 2019: </w:t>
      </w:r>
      <w:r>
        <w:t>The CWPJAC received information regarding the common planning, and obj</w:t>
      </w:r>
      <w:r w:rsidR="00052F1C">
        <w:t>ectives from the CTEIG and K</w:t>
      </w:r>
      <w:r w:rsidR="00E01E44">
        <w:t>–</w:t>
      </w:r>
      <w:r w:rsidR="00052F1C">
        <w:t xml:space="preserve">12SWP </w:t>
      </w:r>
      <w:r>
        <w:t>teams. The first full set of data from the 2017</w:t>
      </w:r>
      <w:r w:rsidR="00E01E44">
        <w:t>–</w:t>
      </w:r>
      <w:r>
        <w:t xml:space="preserve">18 CTEIG was presented to the </w:t>
      </w:r>
      <w:r w:rsidR="00052F1C">
        <w:t>CWPJAC. Both the CTEIG and K</w:t>
      </w:r>
      <w:r w:rsidR="00E01E44">
        <w:t>–</w:t>
      </w:r>
      <w:r w:rsidR="00052F1C">
        <w:t xml:space="preserve">12SWP </w:t>
      </w:r>
      <w:r>
        <w:t>metrics were reviewed.</w:t>
      </w:r>
    </w:p>
    <w:p w14:paraId="30AD718B" w14:textId="77777777" w:rsidR="0066358D" w:rsidRDefault="0066358D" w:rsidP="0066358D">
      <w:pPr>
        <w:spacing w:after="240"/>
      </w:pPr>
      <w:r>
        <w:rPr>
          <w:b/>
        </w:rPr>
        <w:t>May 29, 2019</w:t>
      </w:r>
      <w:r>
        <w:t xml:space="preserve">: The CWPJAC received an update on the CTEIG and the K–12SWP activities. </w:t>
      </w:r>
    </w:p>
    <w:p w14:paraId="08E9A3A9" w14:textId="77777777" w:rsidR="0066358D" w:rsidRDefault="0066358D" w:rsidP="0066358D">
      <w:pPr>
        <w:spacing w:after="240"/>
      </w:pPr>
      <w:r>
        <w:rPr>
          <w:b/>
        </w:rPr>
        <w:t>February 19</w:t>
      </w:r>
      <w:r w:rsidRPr="008D253A">
        <w:rPr>
          <w:b/>
        </w:rPr>
        <w:t>, 2019</w:t>
      </w:r>
      <w:r>
        <w:t xml:space="preserve">: The CWPJAC received an update on the CTEIG and the K–12SWP, including </w:t>
      </w:r>
      <w:r w:rsidRPr="00776E9F">
        <w:t xml:space="preserve">a brief demonstration </w:t>
      </w:r>
      <w:r>
        <w:t>of the NOVA platform.</w:t>
      </w:r>
    </w:p>
    <w:p w14:paraId="06384CC9" w14:textId="77777777" w:rsidR="0066358D" w:rsidRDefault="0066358D" w:rsidP="0066358D">
      <w:pPr>
        <w:spacing w:after="240"/>
      </w:pPr>
      <w:r w:rsidRPr="008D253A">
        <w:rPr>
          <w:b/>
        </w:rPr>
        <w:t>January 11, 2019</w:t>
      </w:r>
      <w:r>
        <w:t>: The CWPJAC received an update on CTEIG and the K–12SWP, including information on the December 19, 2018 release of the CTEIG Request for Applications (RFA), the development of the RFA for the K–12SWP, and the regional information meetings held around the State.</w:t>
      </w:r>
    </w:p>
    <w:p w14:paraId="38E66BF3" w14:textId="77777777" w:rsidR="0066358D" w:rsidRDefault="0066358D" w:rsidP="0066358D">
      <w:pPr>
        <w:spacing w:after="240"/>
      </w:pPr>
      <w:r>
        <w:rPr>
          <w:b/>
        </w:rPr>
        <w:t xml:space="preserve">December 14, 2018: </w:t>
      </w:r>
      <w:r>
        <w:t>Final review and approval of the metric recommendations for both the CTEIG and the K–12SWP was unanimously approved by the CWPJAC. Final recommendations were submitted to the Department of Finance for consideration and were reflected in the January budget proposal language.</w:t>
      </w:r>
    </w:p>
    <w:p w14:paraId="7AC81434" w14:textId="77777777" w:rsidR="0066358D" w:rsidRDefault="0066358D" w:rsidP="0066358D">
      <w:pPr>
        <w:spacing w:after="240"/>
      </w:pPr>
      <w:r w:rsidRPr="008D253A">
        <w:rPr>
          <w:b/>
        </w:rPr>
        <w:t>November 26, 2018</w:t>
      </w:r>
      <w:r>
        <w:rPr>
          <w:b/>
        </w:rPr>
        <w:t>:</w:t>
      </w:r>
      <w:r>
        <w:t xml:space="preserve"> The CDE and CCCCO staff provided an in-depth review of proposed metrics, and their alignment to the CWPJAC </w:t>
      </w:r>
      <w:r w:rsidRPr="00135216">
        <w:rPr>
          <w:i/>
        </w:rPr>
        <w:t xml:space="preserve">Guiding Policy Principles </w:t>
      </w:r>
      <w:r>
        <w:rPr>
          <w:i/>
        </w:rPr>
        <w:t xml:space="preserve">to </w:t>
      </w:r>
      <w:r>
        <w:rPr>
          <w:i/>
        </w:rPr>
        <w:lastRenderedPageBreak/>
        <w:t>support K–14+</w:t>
      </w:r>
      <w:r w:rsidRPr="00135216">
        <w:rPr>
          <w:i/>
        </w:rPr>
        <w:t xml:space="preserve"> Pathways</w:t>
      </w:r>
      <w:r>
        <w:t xml:space="preserve"> document. Based on direction from CWPJAC, the CDE and CCCCO staff revised the proposed metrics to operationalize the data, as well as provide information on the source of data collection.</w:t>
      </w:r>
    </w:p>
    <w:p w14:paraId="68BC014E" w14:textId="77777777" w:rsidR="0066358D" w:rsidRDefault="0066358D" w:rsidP="0066358D">
      <w:pPr>
        <w:spacing w:after="240"/>
      </w:pPr>
      <w:r>
        <w:rPr>
          <w:b/>
        </w:rPr>
        <w:t>September 28, 2018:</w:t>
      </w:r>
      <w:r>
        <w:t xml:space="preserve"> The CDE and CCCCO staff jointly presented an initial overview of the CTEIG and the K–12 SWP metrics and received feedback, guidance and direction on appropriate metrics for measuring CTE program quality, and student achievement in kindergarten through grades fourteen (K–14) CTE programs. </w:t>
      </w:r>
    </w:p>
    <w:p w14:paraId="0F8AF544" w14:textId="77777777" w:rsidR="003E4DF7" w:rsidRDefault="003E4DF7" w:rsidP="002B4B14">
      <w:pPr>
        <w:pStyle w:val="Heading2"/>
        <w:spacing w:before="240" w:after="240"/>
        <w:rPr>
          <w:sz w:val="36"/>
          <w:szCs w:val="36"/>
        </w:rPr>
      </w:pPr>
      <w:r>
        <w:rPr>
          <w:sz w:val="36"/>
          <w:szCs w:val="36"/>
        </w:rPr>
        <w:t>Fiscal Analysis (as appropriate)</w:t>
      </w:r>
    </w:p>
    <w:p w14:paraId="60EFE2B4" w14:textId="77777777" w:rsidR="0066358D" w:rsidRPr="003E4DF7" w:rsidRDefault="0066358D" w:rsidP="0066358D">
      <w:pPr>
        <w:spacing w:after="240"/>
        <w:rPr>
          <w:b/>
        </w:rPr>
      </w:pPr>
      <w:r>
        <w:t>Funding available to eligible recipients under the CTEIG is $150 million annually, and on-going. Funding available under the K–12SWP is $164 million, of which $150 million is available to eligible recipients. The remaining $14 million is for K–14 Technical Assistance Providers in support of both CTEIG and K</w:t>
      </w:r>
      <w:r w:rsidR="00E01E44">
        <w:t>–</w:t>
      </w:r>
      <w:r>
        <w:t>12SWP initiatives.</w:t>
      </w:r>
    </w:p>
    <w:p w14:paraId="6DD90BA6" w14:textId="77777777" w:rsidR="00CB33BC" w:rsidRPr="00CB33BC" w:rsidRDefault="00406F50" w:rsidP="00CB33BC">
      <w:pPr>
        <w:pStyle w:val="Heading2"/>
        <w:spacing w:before="240" w:after="240"/>
        <w:rPr>
          <w:sz w:val="36"/>
          <w:szCs w:val="36"/>
        </w:rPr>
      </w:pPr>
      <w:r w:rsidRPr="001B3958">
        <w:rPr>
          <w:sz w:val="36"/>
          <w:szCs w:val="36"/>
        </w:rPr>
        <w:t>Attachment(s)</w:t>
      </w:r>
    </w:p>
    <w:p w14:paraId="3AA0CD9A" w14:textId="77777777" w:rsidR="00CB33BC" w:rsidRDefault="00CB33BC" w:rsidP="00CB33BC">
      <w:r>
        <w:rPr>
          <w:b/>
        </w:rPr>
        <w:t xml:space="preserve">Attachment 1: </w:t>
      </w:r>
      <w:r>
        <w:t xml:space="preserve"> An O</w:t>
      </w:r>
      <w:r w:rsidRPr="00CB33BC">
        <w:t>verview</w:t>
      </w:r>
      <w:r w:rsidR="00E01E44">
        <w:t xml:space="preserve"> of the </w:t>
      </w:r>
      <w:r w:rsidRPr="00CB33BC">
        <w:t>K</w:t>
      </w:r>
      <w:r w:rsidR="00E01E44">
        <w:t>–</w:t>
      </w:r>
      <w:r w:rsidRPr="00CB33BC">
        <w:t>12</w:t>
      </w:r>
      <w:r w:rsidR="00E01E44">
        <w:t xml:space="preserve"> </w:t>
      </w:r>
      <w:r w:rsidRPr="00CB33BC">
        <w:t>Strong</w:t>
      </w:r>
      <w:r w:rsidR="00E01E44">
        <w:t xml:space="preserve"> </w:t>
      </w:r>
      <w:r w:rsidRPr="00CB33BC">
        <w:t>Workforce</w:t>
      </w:r>
      <w:r w:rsidR="00E01E44">
        <w:t xml:space="preserve"> </w:t>
      </w:r>
      <w:r w:rsidRPr="00CB33BC">
        <w:t>Program</w:t>
      </w:r>
    </w:p>
    <w:p w14:paraId="45FC4ECF" w14:textId="77777777" w:rsidR="00CB33BC" w:rsidRPr="002E4C95" w:rsidRDefault="00CB33BC" w:rsidP="0066358D"/>
    <w:p w14:paraId="7B682813" w14:textId="77777777" w:rsidR="00CB33BC" w:rsidRDefault="00CB33BC" w:rsidP="00CB33BC">
      <w:r>
        <w:rPr>
          <w:b/>
        </w:rPr>
        <w:t xml:space="preserve">Attachment 2: </w:t>
      </w:r>
      <w:r w:rsidRPr="002E4C95">
        <w:t xml:space="preserve">California Workforce </w:t>
      </w:r>
      <w:r>
        <w:t>P</w:t>
      </w:r>
      <w:r w:rsidRPr="002E4C95">
        <w:t xml:space="preserve">athways Joint Advisory Committee </w:t>
      </w:r>
      <w:r w:rsidR="00380332">
        <w:t xml:space="preserve">Outcome </w:t>
      </w:r>
      <w:r w:rsidRPr="002E4C95">
        <w:t>Metric Recommendations</w:t>
      </w:r>
    </w:p>
    <w:p w14:paraId="65D648AD" w14:textId="77777777" w:rsidR="0066358D" w:rsidRDefault="0066358D" w:rsidP="004D46F2">
      <w:pPr>
        <w:rPr>
          <w:b/>
        </w:rPr>
      </w:pPr>
    </w:p>
    <w:p w14:paraId="68AF04B7" w14:textId="77777777" w:rsidR="004D46F2" w:rsidRPr="00E755F1" w:rsidRDefault="004D46F2" w:rsidP="004D46F2">
      <w:r>
        <w:rPr>
          <w:b/>
        </w:rPr>
        <w:t>Slides</w:t>
      </w:r>
      <w:r w:rsidRPr="001A0F50">
        <w:rPr>
          <w:b/>
        </w:rPr>
        <w:t xml:space="preserve"> 1:</w:t>
      </w:r>
      <w:r>
        <w:t xml:space="preserve"> </w:t>
      </w:r>
      <w:r w:rsidR="008E367E" w:rsidRPr="008E367E">
        <w:t>Career Technical Education Incentive Grant and K</w:t>
      </w:r>
      <w:r w:rsidR="00E01E44">
        <w:t>–</w:t>
      </w:r>
      <w:r w:rsidR="008E367E" w:rsidRPr="008E367E">
        <w:t>12 Strong Workforce</w:t>
      </w:r>
    </w:p>
    <w:p w14:paraId="1D54C197" w14:textId="77777777" w:rsidR="002A71A6" w:rsidRPr="002A71A6" w:rsidRDefault="002A71A6" w:rsidP="004D46F2"/>
    <w:sectPr w:rsidR="002A71A6" w:rsidRPr="002A71A6" w:rsidSect="0011282E">
      <w:headerReference w:type="default" r:id="rId12"/>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CA27D" w14:textId="77777777" w:rsidR="0011282E" w:rsidRDefault="0011282E" w:rsidP="000E09DC">
      <w:r>
        <w:separator/>
      </w:r>
    </w:p>
  </w:endnote>
  <w:endnote w:type="continuationSeparator" w:id="0">
    <w:p w14:paraId="480B82CB" w14:textId="77777777" w:rsidR="0011282E" w:rsidRDefault="0011282E"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097F2" w14:textId="77777777" w:rsidR="0011282E" w:rsidRDefault="0011282E" w:rsidP="000E09DC">
      <w:r>
        <w:separator/>
      </w:r>
    </w:p>
  </w:footnote>
  <w:footnote w:type="continuationSeparator" w:id="0">
    <w:p w14:paraId="39293B3C" w14:textId="77777777" w:rsidR="0011282E" w:rsidRDefault="0011282E"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17F34" w14:textId="77777777" w:rsidR="00257611" w:rsidRDefault="00257611" w:rsidP="007C3AA1">
    <w:pPr>
      <w:pStyle w:val="Header"/>
      <w:jc w:val="right"/>
      <w:rPr>
        <w:rFonts w:cs="Arial"/>
      </w:rPr>
    </w:pPr>
    <w:r>
      <w:rPr>
        <w:rFonts w:cs="Arial"/>
      </w:rPr>
      <w:t>California Workforce Pathways Joint Advisory Committee</w:t>
    </w:r>
  </w:p>
  <w:p w14:paraId="6F19AB08" w14:textId="77777777" w:rsidR="00257611" w:rsidRDefault="009332EA" w:rsidP="007C3AA1">
    <w:pPr>
      <w:pStyle w:val="Header"/>
      <w:jc w:val="right"/>
      <w:rPr>
        <w:rFonts w:cs="Arial"/>
      </w:rPr>
    </w:pPr>
    <w:r>
      <w:rPr>
        <w:rFonts w:cs="Arial"/>
      </w:rPr>
      <w:t>cwpjac-</w:t>
    </w:r>
    <w:r w:rsidR="00052F1C">
      <w:rPr>
        <w:rFonts w:cs="Arial"/>
      </w:rPr>
      <w:t>sep</w:t>
    </w:r>
    <w:r w:rsidR="00853917">
      <w:rPr>
        <w:rFonts w:cs="Arial"/>
      </w:rPr>
      <w:t>19</w:t>
    </w:r>
    <w:r w:rsidR="00A35A56">
      <w:rPr>
        <w:rFonts w:cs="Arial"/>
      </w:rPr>
      <w:t>item01</w:t>
    </w:r>
  </w:p>
  <w:p w14:paraId="46C33423" w14:textId="77777777" w:rsidR="00257611" w:rsidRDefault="00257611" w:rsidP="000E09DC">
    <w:pPr>
      <w:pStyle w:val="Header"/>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sidR="00DA64C0">
      <w:rPr>
        <w:rFonts w:cs="Arial"/>
        <w:noProof/>
      </w:rPr>
      <w:t>1</w:t>
    </w:r>
    <w:r w:rsidRPr="000E09DC">
      <w:rPr>
        <w:rFonts w:cs="Arial"/>
        <w:noProof/>
      </w:rPr>
      <w:fldChar w:fldCharType="end"/>
    </w:r>
    <w:r w:rsidRPr="000E09DC">
      <w:rPr>
        <w:rFonts w:cs="Arial"/>
      </w:rPr>
      <w:t xml:space="preserve"> of </w:t>
    </w:r>
    <w:r>
      <w:rPr>
        <w:rFonts w:cs="Arial"/>
      </w:rPr>
      <w:t>3</w:t>
    </w:r>
  </w:p>
  <w:p w14:paraId="49B401A6" w14:textId="77777777" w:rsidR="00257611" w:rsidRPr="00527B0E" w:rsidRDefault="00257611" w:rsidP="000E09DC">
    <w:pPr>
      <w:pStyle w:val="Header"/>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0CEEF" w14:textId="77777777" w:rsidR="00052F1C" w:rsidRDefault="00052F1C" w:rsidP="00052F1C">
    <w:pPr>
      <w:pStyle w:val="Header"/>
      <w:jc w:val="right"/>
      <w:rPr>
        <w:rFonts w:cs="Arial"/>
      </w:rPr>
    </w:pPr>
    <w:r>
      <w:rPr>
        <w:rFonts w:cs="Arial"/>
      </w:rPr>
      <w:t>California Workforce Pathways Joint Advisory Committee</w:t>
    </w:r>
  </w:p>
  <w:p w14:paraId="154F682A" w14:textId="77777777" w:rsidR="00052F1C" w:rsidRDefault="00052F1C" w:rsidP="00052F1C">
    <w:pPr>
      <w:pStyle w:val="Header"/>
      <w:jc w:val="right"/>
      <w:rPr>
        <w:rFonts w:cs="Arial"/>
      </w:rPr>
    </w:pPr>
    <w:r>
      <w:rPr>
        <w:rFonts w:cs="Arial"/>
      </w:rPr>
      <w:t>cwpjac-sep19item01</w:t>
    </w:r>
  </w:p>
  <w:p w14:paraId="225BD5B9" w14:textId="77777777" w:rsidR="00257611" w:rsidRDefault="00257611" w:rsidP="00C54D0A">
    <w:pPr>
      <w:pStyle w:val="Header"/>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sidR="00DA64C0">
      <w:rPr>
        <w:rFonts w:cs="Arial"/>
        <w:noProof/>
      </w:rPr>
      <w:t>2</w:t>
    </w:r>
    <w:r w:rsidRPr="000E09DC">
      <w:rPr>
        <w:rFonts w:cs="Arial"/>
        <w:noProof/>
      </w:rPr>
      <w:fldChar w:fldCharType="end"/>
    </w:r>
    <w:r w:rsidRPr="000E09DC">
      <w:rPr>
        <w:rFonts w:cs="Arial"/>
      </w:rPr>
      <w:t xml:space="preserve"> of </w:t>
    </w:r>
    <w:r>
      <w:rPr>
        <w:rFonts w:cs="Arial"/>
      </w:rPr>
      <w:t>3</w:t>
    </w:r>
  </w:p>
  <w:p w14:paraId="3822D21B" w14:textId="77777777" w:rsidR="00257611" w:rsidRPr="00527B0E" w:rsidRDefault="00257611" w:rsidP="000E09DC">
    <w:pPr>
      <w:pStyle w:val="Header"/>
      <w:jc w:val="righ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71F2F"/>
    <w:multiLevelType w:val="hybridMultilevel"/>
    <w:tmpl w:val="2EB8D80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49663415">
    <w:abstractNumId w:val="4"/>
  </w:num>
  <w:num w:numId="2" w16cid:durableId="933364478">
    <w:abstractNumId w:val="7"/>
  </w:num>
  <w:num w:numId="3" w16cid:durableId="1873417777">
    <w:abstractNumId w:val="1"/>
  </w:num>
  <w:num w:numId="4" w16cid:durableId="380592495">
    <w:abstractNumId w:val="5"/>
  </w:num>
  <w:num w:numId="5" w16cid:durableId="803503827">
    <w:abstractNumId w:val="6"/>
  </w:num>
  <w:num w:numId="6" w16cid:durableId="1703288434">
    <w:abstractNumId w:val="0"/>
  </w:num>
  <w:num w:numId="7" w16cid:durableId="211697743">
    <w:abstractNumId w:val="2"/>
  </w:num>
  <w:num w:numId="8" w16cid:durableId="2015759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40D5"/>
    <w:rsid w:val="000324AD"/>
    <w:rsid w:val="000377E2"/>
    <w:rsid w:val="000510BD"/>
    <w:rsid w:val="00052684"/>
    <w:rsid w:val="00052F1C"/>
    <w:rsid w:val="000E09DC"/>
    <w:rsid w:val="000E2761"/>
    <w:rsid w:val="001048F3"/>
    <w:rsid w:val="0011180F"/>
    <w:rsid w:val="0011282E"/>
    <w:rsid w:val="00130059"/>
    <w:rsid w:val="00135216"/>
    <w:rsid w:val="001459AC"/>
    <w:rsid w:val="0018148D"/>
    <w:rsid w:val="00194D47"/>
    <w:rsid w:val="001A0CA5"/>
    <w:rsid w:val="001B073F"/>
    <w:rsid w:val="001B3958"/>
    <w:rsid w:val="001B772F"/>
    <w:rsid w:val="001C42BA"/>
    <w:rsid w:val="001D5E6A"/>
    <w:rsid w:val="001E1929"/>
    <w:rsid w:val="00215608"/>
    <w:rsid w:val="00223112"/>
    <w:rsid w:val="00240B26"/>
    <w:rsid w:val="002458BE"/>
    <w:rsid w:val="00257611"/>
    <w:rsid w:val="00277F89"/>
    <w:rsid w:val="002A71A6"/>
    <w:rsid w:val="002B4B14"/>
    <w:rsid w:val="002D1A82"/>
    <w:rsid w:val="002D281D"/>
    <w:rsid w:val="002D569F"/>
    <w:rsid w:val="002D7A61"/>
    <w:rsid w:val="002E4CB5"/>
    <w:rsid w:val="002E6FCA"/>
    <w:rsid w:val="002F1A45"/>
    <w:rsid w:val="002F279B"/>
    <w:rsid w:val="00315131"/>
    <w:rsid w:val="00335D20"/>
    <w:rsid w:val="00363520"/>
    <w:rsid w:val="003705FC"/>
    <w:rsid w:val="00380332"/>
    <w:rsid w:val="00384ACF"/>
    <w:rsid w:val="003D1ECD"/>
    <w:rsid w:val="003E1E8D"/>
    <w:rsid w:val="003E4DF7"/>
    <w:rsid w:val="00406F50"/>
    <w:rsid w:val="00407E9B"/>
    <w:rsid w:val="0041209F"/>
    <w:rsid w:val="004203BC"/>
    <w:rsid w:val="004258EE"/>
    <w:rsid w:val="0044670C"/>
    <w:rsid w:val="0045372F"/>
    <w:rsid w:val="0047534A"/>
    <w:rsid w:val="004D46F2"/>
    <w:rsid w:val="004E029B"/>
    <w:rsid w:val="004E5934"/>
    <w:rsid w:val="00517C00"/>
    <w:rsid w:val="00524B33"/>
    <w:rsid w:val="00527B0E"/>
    <w:rsid w:val="00571989"/>
    <w:rsid w:val="00583831"/>
    <w:rsid w:val="00597C6C"/>
    <w:rsid w:val="005C3021"/>
    <w:rsid w:val="005E2740"/>
    <w:rsid w:val="00634025"/>
    <w:rsid w:val="00662E16"/>
    <w:rsid w:val="0066358D"/>
    <w:rsid w:val="00677419"/>
    <w:rsid w:val="00692300"/>
    <w:rsid w:val="00693951"/>
    <w:rsid w:val="00697E22"/>
    <w:rsid w:val="006B133A"/>
    <w:rsid w:val="006B2111"/>
    <w:rsid w:val="006D0223"/>
    <w:rsid w:val="006E06C6"/>
    <w:rsid w:val="007111E8"/>
    <w:rsid w:val="00726EDA"/>
    <w:rsid w:val="007313A3"/>
    <w:rsid w:val="007428B8"/>
    <w:rsid w:val="00746164"/>
    <w:rsid w:val="00753795"/>
    <w:rsid w:val="00776E9F"/>
    <w:rsid w:val="00780BB6"/>
    <w:rsid w:val="00784534"/>
    <w:rsid w:val="007C2D2E"/>
    <w:rsid w:val="007C3AA1"/>
    <w:rsid w:val="007C5697"/>
    <w:rsid w:val="007D6A8F"/>
    <w:rsid w:val="008162F4"/>
    <w:rsid w:val="00853917"/>
    <w:rsid w:val="00866BEB"/>
    <w:rsid w:val="008762B4"/>
    <w:rsid w:val="00884F7C"/>
    <w:rsid w:val="008909EE"/>
    <w:rsid w:val="0089501C"/>
    <w:rsid w:val="008D253A"/>
    <w:rsid w:val="008E367E"/>
    <w:rsid w:val="008E5852"/>
    <w:rsid w:val="008F1038"/>
    <w:rsid w:val="0091117B"/>
    <w:rsid w:val="009332EA"/>
    <w:rsid w:val="00977132"/>
    <w:rsid w:val="00982A03"/>
    <w:rsid w:val="00992087"/>
    <w:rsid w:val="009B04E1"/>
    <w:rsid w:val="009D5028"/>
    <w:rsid w:val="009F0A30"/>
    <w:rsid w:val="00A01B20"/>
    <w:rsid w:val="00A064AA"/>
    <w:rsid w:val="00A07F42"/>
    <w:rsid w:val="00A16315"/>
    <w:rsid w:val="00A263FE"/>
    <w:rsid w:val="00A30B3C"/>
    <w:rsid w:val="00A35A56"/>
    <w:rsid w:val="00A54E99"/>
    <w:rsid w:val="00AE5D9B"/>
    <w:rsid w:val="00B00D73"/>
    <w:rsid w:val="00B43BFD"/>
    <w:rsid w:val="00B723BE"/>
    <w:rsid w:val="00B82705"/>
    <w:rsid w:val="00BE048E"/>
    <w:rsid w:val="00C21950"/>
    <w:rsid w:val="00C27D57"/>
    <w:rsid w:val="00C50176"/>
    <w:rsid w:val="00C54D0A"/>
    <w:rsid w:val="00C7123A"/>
    <w:rsid w:val="00C773FA"/>
    <w:rsid w:val="00C82CBA"/>
    <w:rsid w:val="00C94E2D"/>
    <w:rsid w:val="00CB33BC"/>
    <w:rsid w:val="00CC03F1"/>
    <w:rsid w:val="00CE1C84"/>
    <w:rsid w:val="00D33B99"/>
    <w:rsid w:val="00D405EE"/>
    <w:rsid w:val="00D47DAB"/>
    <w:rsid w:val="00D5115F"/>
    <w:rsid w:val="00D70FFB"/>
    <w:rsid w:val="00D8667C"/>
    <w:rsid w:val="00D86AB9"/>
    <w:rsid w:val="00DA64C0"/>
    <w:rsid w:val="00DB0F84"/>
    <w:rsid w:val="00E00A56"/>
    <w:rsid w:val="00E01E44"/>
    <w:rsid w:val="00E038E9"/>
    <w:rsid w:val="00E2626E"/>
    <w:rsid w:val="00E55C96"/>
    <w:rsid w:val="00E8487F"/>
    <w:rsid w:val="00EA7D4F"/>
    <w:rsid w:val="00EB16F7"/>
    <w:rsid w:val="00EC3527"/>
    <w:rsid w:val="00EC504C"/>
    <w:rsid w:val="00ED142B"/>
    <w:rsid w:val="00F10448"/>
    <w:rsid w:val="00F23ABF"/>
    <w:rsid w:val="00F40510"/>
    <w:rsid w:val="00F76B90"/>
    <w:rsid w:val="00F900B3"/>
    <w:rsid w:val="00FC1692"/>
    <w:rsid w:val="00FC1FCE"/>
    <w:rsid w:val="00FE3007"/>
    <w:rsid w:val="00FE4BD6"/>
    <w:rsid w:val="00FF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146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15608"/>
    <w:rPr>
      <w:sz w:val="16"/>
      <w:szCs w:val="16"/>
    </w:rPr>
  </w:style>
  <w:style w:type="paragraph" w:styleId="CommentText">
    <w:name w:val="annotation text"/>
    <w:basedOn w:val="Normal"/>
    <w:link w:val="CommentTextChar"/>
    <w:uiPriority w:val="99"/>
    <w:semiHidden/>
    <w:unhideWhenUsed/>
    <w:rsid w:val="00215608"/>
    <w:rPr>
      <w:sz w:val="20"/>
      <w:szCs w:val="20"/>
    </w:rPr>
  </w:style>
  <w:style w:type="character" w:customStyle="1" w:styleId="CommentTextChar">
    <w:name w:val="Comment Text Char"/>
    <w:basedOn w:val="DefaultParagraphFont"/>
    <w:link w:val="CommentText"/>
    <w:uiPriority w:val="99"/>
    <w:semiHidden/>
    <w:rsid w:val="0021560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15608"/>
    <w:rPr>
      <w:b/>
      <w:bCs/>
    </w:rPr>
  </w:style>
  <w:style w:type="character" w:customStyle="1" w:styleId="CommentSubjectChar">
    <w:name w:val="Comment Subject Char"/>
    <w:basedOn w:val="CommentTextChar"/>
    <w:link w:val="CommentSubject"/>
    <w:uiPriority w:val="99"/>
    <w:semiHidden/>
    <w:rsid w:val="00215608"/>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F23A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18BF1-887A-470C-9B5C-F3C5D563B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4002</Characters>
  <Application>Microsoft Office Word</Application>
  <DocSecurity>0</DocSecurity>
  <Lines>33</Lines>
  <Paragraphs>9</Paragraphs>
  <ScaleCrop>false</ScaleCrop>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July 2019 Agenda Item 01 - General Information (CA Dept of Education)</dc:title>
  <dc:subject>California Workforce Pathways Joint Advisory Committee (CWPJAC) Agenda Item 01 provides an update on the work of implementing the Career Technical Education Incentive Grant (CTEIG).</dc:subject>
  <dc:creator/>
  <cp:keywords/>
  <dc:description/>
  <cp:lastModifiedBy/>
  <cp:revision>1</cp:revision>
  <dcterms:created xsi:type="dcterms:W3CDTF">2024-04-10T17:32:00Z</dcterms:created>
  <dcterms:modified xsi:type="dcterms:W3CDTF">2024-04-10T17:33:00Z</dcterms:modified>
  <cp:category/>
</cp:coreProperties>
</file>