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53CA7" w14:textId="14D486BF" w:rsidR="00E908E5" w:rsidRDefault="00E908E5" w:rsidP="004E3461">
      <w:pPr>
        <w:rPr>
          <w:rFonts w:ascii="Arial" w:hAnsi="Arial" w:cs="Arial"/>
          <w:color w:val="538135" w:themeColor="accent6" w:themeShade="BF"/>
          <w:sz w:val="32"/>
          <w:szCs w:val="24"/>
        </w:rPr>
      </w:pPr>
      <w:r>
        <w:rPr>
          <w:rFonts w:ascii="Arial" w:hAnsi="Arial" w:cs="Arial"/>
          <w:noProof/>
          <w:sz w:val="32"/>
          <w:szCs w:val="32"/>
        </w:rPr>
        <w:drawing>
          <wp:inline distT="0" distB="0" distL="0" distR="0" wp14:anchorId="38420A14" wp14:editId="13BFD602">
            <wp:extent cx="7172325" cy="954298"/>
            <wp:effectExtent l="0" t="0" r="0" b="0"/>
            <wp:docPr id="1" name="Picture 1" descr="Header which says California Equity Tools with 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equitylogo (002).png"/>
                    <pic:cNvPicPr/>
                  </pic:nvPicPr>
                  <pic:blipFill>
                    <a:blip r:embed="rId10">
                      <a:extLst>
                        <a:ext uri="{28A0092B-C50C-407E-A947-70E740481C1C}">
                          <a14:useLocalDpi xmlns:a14="http://schemas.microsoft.com/office/drawing/2010/main" val="0"/>
                        </a:ext>
                      </a:extLst>
                    </a:blip>
                    <a:stretch>
                      <a:fillRect/>
                    </a:stretch>
                  </pic:blipFill>
                  <pic:spPr>
                    <a:xfrm>
                      <a:off x="0" y="0"/>
                      <a:ext cx="7216437" cy="960167"/>
                    </a:xfrm>
                    <a:prstGeom prst="rect">
                      <a:avLst/>
                    </a:prstGeom>
                  </pic:spPr>
                </pic:pic>
              </a:graphicData>
            </a:graphic>
          </wp:inline>
        </w:drawing>
      </w:r>
    </w:p>
    <w:p w14:paraId="1E72BD0E" w14:textId="255CD5B3" w:rsidR="005E45D6" w:rsidRPr="00F01DF6" w:rsidRDefault="0061467F" w:rsidP="0001441A">
      <w:pPr>
        <w:pStyle w:val="Heading1"/>
        <w:rPr>
          <w:rFonts w:ascii="Arial" w:hAnsi="Arial" w:cs="Arial"/>
          <w:color w:val="385623" w:themeColor="accent6" w:themeShade="80"/>
          <w:sz w:val="36"/>
          <w:szCs w:val="36"/>
        </w:rPr>
      </w:pPr>
      <w:r w:rsidRPr="00F01DF6">
        <w:rPr>
          <w:rFonts w:ascii="Arial" w:hAnsi="Arial" w:cs="Arial"/>
          <w:color w:val="385623" w:themeColor="accent6" w:themeShade="80"/>
          <w:sz w:val="36"/>
          <w:szCs w:val="36"/>
        </w:rPr>
        <w:t>California Department of Education</w:t>
      </w:r>
      <w:r w:rsidR="0001441A" w:rsidRPr="00F01DF6">
        <w:rPr>
          <w:rFonts w:ascii="Arial" w:hAnsi="Arial" w:cs="Arial"/>
          <w:color w:val="385623" w:themeColor="accent6" w:themeShade="80"/>
          <w:sz w:val="36"/>
          <w:szCs w:val="36"/>
        </w:rPr>
        <w:br/>
      </w:r>
      <w:r w:rsidR="006B203A" w:rsidRPr="00F01DF6">
        <w:rPr>
          <w:rFonts w:ascii="Arial" w:hAnsi="Arial" w:cs="Arial"/>
          <w:color w:val="385623" w:themeColor="accent6" w:themeShade="80"/>
          <w:sz w:val="36"/>
          <w:szCs w:val="36"/>
        </w:rPr>
        <w:t>E</w:t>
      </w:r>
      <w:r w:rsidRPr="00F01DF6">
        <w:rPr>
          <w:rFonts w:ascii="Arial" w:hAnsi="Arial" w:cs="Arial"/>
          <w:color w:val="385623" w:themeColor="accent6" w:themeShade="80"/>
          <w:sz w:val="36"/>
          <w:szCs w:val="36"/>
        </w:rPr>
        <w:t>ngaging Equity Stakeholders</w:t>
      </w:r>
    </w:p>
    <w:p w14:paraId="44698FF7" w14:textId="5428617A" w:rsidR="005E45D6" w:rsidRDefault="005E45D6" w:rsidP="004E3461">
      <w:pPr>
        <w:spacing w:after="240"/>
        <w:rPr>
          <w:rFonts w:ascii="Arial" w:hAnsi="Arial" w:cs="Arial"/>
          <w:sz w:val="24"/>
          <w:szCs w:val="24"/>
        </w:rPr>
      </w:pPr>
      <w:r w:rsidRPr="005E45D6">
        <w:rPr>
          <w:rFonts w:ascii="Arial" w:hAnsi="Arial" w:cs="Arial"/>
          <w:sz w:val="24"/>
          <w:szCs w:val="24"/>
        </w:rPr>
        <w:t>Engaging diverse groups of stakeholders as partners in this work has many benefits. By collaboratively reviewing data and ident</w:t>
      </w:r>
      <w:r w:rsidR="00711257">
        <w:rPr>
          <w:rFonts w:ascii="Arial" w:hAnsi="Arial" w:cs="Arial"/>
          <w:sz w:val="24"/>
          <w:szCs w:val="24"/>
        </w:rPr>
        <w:t xml:space="preserve">ifying the root causes behind </w:t>
      </w:r>
      <w:r w:rsidRPr="005E45D6">
        <w:rPr>
          <w:rFonts w:ascii="Arial" w:hAnsi="Arial" w:cs="Arial"/>
          <w:sz w:val="24"/>
          <w:szCs w:val="24"/>
        </w:rPr>
        <w:t>equitable access</w:t>
      </w:r>
      <w:r w:rsidR="00711257">
        <w:rPr>
          <w:rFonts w:ascii="Arial" w:hAnsi="Arial" w:cs="Arial"/>
          <w:sz w:val="24"/>
          <w:szCs w:val="24"/>
        </w:rPr>
        <w:t xml:space="preserve"> issues</w:t>
      </w:r>
      <w:r w:rsidRPr="005E45D6">
        <w:rPr>
          <w:rFonts w:ascii="Arial" w:hAnsi="Arial" w:cs="Arial"/>
          <w:sz w:val="24"/>
          <w:szCs w:val="24"/>
        </w:rPr>
        <w:t>,</w:t>
      </w:r>
      <w:r w:rsidR="00DF7132">
        <w:rPr>
          <w:rFonts w:ascii="Arial" w:hAnsi="Arial" w:cs="Arial"/>
          <w:sz w:val="24"/>
          <w:szCs w:val="24"/>
        </w:rPr>
        <w:t xml:space="preserve"> local educational agencies</w:t>
      </w:r>
      <w:r w:rsidRPr="005E45D6">
        <w:rPr>
          <w:rFonts w:ascii="Arial" w:hAnsi="Arial" w:cs="Arial"/>
          <w:sz w:val="24"/>
          <w:szCs w:val="24"/>
        </w:rPr>
        <w:t xml:space="preserve"> </w:t>
      </w:r>
      <w:r w:rsidR="00DF7132">
        <w:rPr>
          <w:rFonts w:ascii="Arial" w:hAnsi="Arial" w:cs="Arial"/>
          <w:sz w:val="24"/>
          <w:szCs w:val="24"/>
        </w:rPr>
        <w:t>(</w:t>
      </w:r>
      <w:r w:rsidR="007318B7">
        <w:rPr>
          <w:rFonts w:ascii="Arial" w:hAnsi="Arial" w:cs="Arial"/>
          <w:sz w:val="24"/>
          <w:szCs w:val="24"/>
        </w:rPr>
        <w:t>LEAs</w:t>
      </w:r>
      <w:r w:rsidR="00DF7132">
        <w:rPr>
          <w:rFonts w:ascii="Arial" w:hAnsi="Arial" w:cs="Arial"/>
          <w:sz w:val="24"/>
          <w:szCs w:val="24"/>
        </w:rPr>
        <w:t>)</w:t>
      </w:r>
      <w:r w:rsidRPr="005E45D6">
        <w:rPr>
          <w:rFonts w:ascii="Arial" w:hAnsi="Arial" w:cs="Arial"/>
          <w:sz w:val="24"/>
          <w:szCs w:val="24"/>
        </w:rPr>
        <w:t xml:space="preserve"> can forge and strengthen critical partnerships while developing a strong plan that benefits all students.</w:t>
      </w:r>
    </w:p>
    <w:p w14:paraId="59741ECD" w14:textId="7692A09A" w:rsidR="005E45D6" w:rsidRPr="00E908E5" w:rsidRDefault="005E45D6" w:rsidP="004E3461">
      <w:pPr>
        <w:spacing w:after="160"/>
        <w:rPr>
          <w:rFonts w:ascii="Arial" w:hAnsi="Arial" w:cs="Arial"/>
          <w:sz w:val="24"/>
        </w:rPr>
      </w:pPr>
      <w:r w:rsidRPr="005E45D6">
        <w:rPr>
          <w:rFonts w:ascii="Arial" w:hAnsi="Arial" w:cs="Arial"/>
          <w:sz w:val="24"/>
          <w:szCs w:val="24"/>
        </w:rPr>
        <w:t xml:space="preserve">To lead the way on equitable access to </w:t>
      </w:r>
      <w:r w:rsidR="00DF7132">
        <w:rPr>
          <w:rFonts w:ascii="Arial" w:hAnsi="Arial" w:cs="Arial"/>
          <w:sz w:val="24"/>
          <w:szCs w:val="24"/>
        </w:rPr>
        <w:t>effective teaching in your LEA</w:t>
      </w:r>
      <w:r w:rsidRPr="005E45D6">
        <w:rPr>
          <w:rFonts w:ascii="Arial" w:hAnsi="Arial" w:cs="Arial"/>
          <w:sz w:val="24"/>
          <w:szCs w:val="24"/>
        </w:rPr>
        <w:t>, sparking discussions with all key stakeholders must be at the center of your planning</w:t>
      </w:r>
      <w:r w:rsidR="00BD6718">
        <w:rPr>
          <w:rFonts w:ascii="Arial" w:hAnsi="Arial" w:cs="Arial"/>
          <w:sz w:val="24"/>
          <w:szCs w:val="24"/>
        </w:rPr>
        <w:t>.</w:t>
      </w:r>
      <w:r w:rsidR="004E3461">
        <w:rPr>
          <w:rFonts w:ascii="Arial" w:hAnsi="Arial" w:cs="Arial"/>
          <w:sz w:val="24"/>
          <w:szCs w:val="24"/>
        </w:rPr>
        <w:t xml:space="preserve"> </w:t>
      </w:r>
      <w:r w:rsidR="00711257">
        <w:rPr>
          <w:rFonts w:ascii="Arial" w:hAnsi="Arial" w:cs="Arial"/>
          <w:sz w:val="24"/>
        </w:rPr>
        <w:t>S</w:t>
      </w:r>
      <w:r w:rsidR="00505C0D" w:rsidRPr="00505C0D">
        <w:rPr>
          <w:rFonts w:ascii="Arial" w:hAnsi="Arial" w:cs="Arial"/>
          <w:sz w:val="24"/>
        </w:rPr>
        <w:t xml:space="preserve">takeholder engagement </w:t>
      </w:r>
      <w:r w:rsidR="00711257">
        <w:rPr>
          <w:rFonts w:ascii="Arial" w:hAnsi="Arial" w:cs="Arial"/>
          <w:sz w:val="24"/>
        </w:rPr>
        <w:t>will</w:t>
      </w:r>
      <w:r w:rsidR="00505C0D" w:rsidRPr="00505C0D">
        <w:rPr>
          <w:rFonts w:ascii="Arial" w:hAnsi="Arial" w:cs="Arial"/>
          <w:sz w:val="24"/>
        </w:rPr>
        <w:t xml:space="preserve"> look different in each </w:t>
      </w:r>
      <w:r w:rsidR="00711257">
        <w:rPr>
          <w:rFonts w:ascii="Arial" w:hAnsi="Arial" w:cs="Arial"/>
          <w:sz w:val="24"/>
        </w:rPr>
        <w:t>LEA. In addition, LEAs</w:t>
      </w:r>
      <w:r w:rsidR="00505C0D" w:rsidRPr="00505C0D">
        <w:rPr>
          <w:rFonts w:ascii="Arial" w:hAnsi="Arial" w:cs="Arial"/>
          <w:sz w:val="24"/>
        </w:rPr>
        <w:t xml:space="preserve"> may already have </w:t>
      </w:r>
      <w:r w:rsidR="00711257">
        <w:rPr>
          <w:rFonts w:ascii="Arial" w:hAnsi="Arial" w:cs="Arial"/>
          <w:sz w:val="24"/>
        </w:rPr>
        <w:t xml:space="preserve">very successful </w:t>
      </w:r>
      <w:r w:rsidR="00505C0D" w:rsidRPr="00505C0D">
        <w:rPr>
          <w:rFonts w:ascii="Arial" w:hAnsi="Arial" w:cs="Arial"/>
          <w:sz w:val="24"/>
        </w:rPr>
        <w:t>systems and processes in place for stakeholder engagement</w:t>
      </w:r>
      <w:r w:rsidR="00711257">
        <w:rPr>
          <w:rFonts w:ascii="Arial" w:hAnsi="Arial" w:cs="Arial"/>
          <w:sz w:val="24"/>
        </w:rPr>
        <w:t xml:space="preserve">. The guidance provided in this document is a tool that LEAs may wish to utilize </w:t>
      </w:r>
      <w:r w:rsidR="00505C0D" w:rsidRPr="00505C0D">
        <w:rPr>
          <w:rFonts w:ascii="Arial" w:hAnsi="Arial" w:cs="Arial"/>
          <w:sz w:val="24"/>
        </w:rPr>
        <w:t>to build upon</w:t>
      </w:r>
      <w:r w:rsidR="00711257">
        <w:rPr>
          <w:rFonts w:ascii="Arial" w:hAnsi="Arial" w:cs="Arial"/>
          <w:sz w:val="24"/>
        </w:rPr>
        <w:t xml:space="preserve"> or modify their current stakeholder engagement processes. It can be adapted to meet</w:t>
      </w:r>
      <w:r w:rsidR="00505C0D" w:rsidRPr="00505C0D">
        <w:rPr>
          <w:rFonts w:ascii="Arial" w:hAnsi="Arial" w:cs="Arial"/>
          <w:sz w:val="24"/>
        </w:rPr>
        <w:t xml:space="preserve"> your local context and needs. </w:t>
      </w:r>
    </w:p>
    <w:p w14:paraId="4AD8FC00" w14:textId="14B4D6E8" w:rsidR="005E45D6" w:rsidRPr="00F01DF6" w:rsidRDefault="00E908E5" w:rsidP="00F01DF6">
      <w:pPr>
        <w:pStyle w:val="Heading2"/>
      </w:pPr>
      <w:r w:rsidRPr="00F01DF6">
        <w:t>Step</w:t>
      </w:r>
      <w:r w:rsidR="006B203A" w:rsidRPr="00F01DF6">
        <w:t>1: Build your Equity Team</w:t>
      </w:r>
    </w:p>
    <w:p w14:paraId="51E215FE" w14:textId="53A0E5D8" w:rsidR="00AF1364" w:rsidRPr="00E908E5" w:rsidRDefault="00472234" w:rsidP="004E3461">
      <w:pPr>
        <w:spacing w:after="160"/>
        <w:rPr>
          <w:rFonts w:ascii="Arial" w:hAnsi="Arial" w:cs="Arial"/>
          <w:sz w:val="24"/>
        </w:rPr>
      </w:pPr>
      <w:r>
        <w:rPr>
          <w:rFonts w:ascii="Arial" w:hAnsi="Arial" w:cs="Arial"/>
          <w:sz w:val="24"/>
          <w:szCs w:val="24"/>
        </w:rPr>
        <w:t xml:space="preserve">Equity teams should bring together </w:t>
      </w:r>
      <w:r w:rsidR="00E8405A">
        <w:rPr>
          <w:rFonts w:ascii="Arial" w:hAnsi="Arial" w:cs="Arial"/>
          <w:sz w:val="24"/>
          <w:szCs w:val="24"/>
        </w:rPr>
        <w:t>a diverse group of both internal (LEA employees) and external stakeholders. Internal stakeholders should work with a variety of different students in your LEA including but not limited to: special education, early education and English learner students.</w:t>
      </w:r>
      <w:r w:rsidR="00B310D5">
        <w:rPr>
          <w:rFonts w:ascii="Arial" w:hAnsi="Arial" w:cs="Arial"/>
          <w:sz w:val="24"/>
          <w:szCs w:val="24"/>
        </w:rPr>
        <w:t xml:space="preserve"> I</w:t>
      </w:r>
      <w:r w:rsidR="00E8405A">
        <w:rPr>
          <w:rFonts w:ascii="Arial" w:hAnsi="Arial" w:cs="Arial"/>
          <w:sz w:val="24"/>
          <w:szCs w:val="24"/>
        </w:rPr>
        <w:t xml:space="preserve">nternal stakeholders should </w:t>
      </w:r>
      <w:r w:rsidR="00B310D5">
        <w:rPr>
          <w:rFonts w:ascii="Arial" w:hAnsi="Arial" w:cs="Arial"/>
          <w:sz w:val="24"/>
          <w:szCs w:val="24"/>
        </w:rPr>
        <w:t xml:space="preserve">also </w:t>
      </w:r>
      <w:r w:rsidR="00E8405A">
        <w:rPr>
          <w:rFonts w:ascii="Arial" w:hAnsi="Arial" w:cs="Arial"/>
          <w:sz w:val="24"/>
          <w:szCs w:val="24"/>
        </w:rPr>
        <w:t xml:space="preserve">represent the broad spectrum of </w:t>
      </w:r>
      <w:r w:rsidR="00B310D5">
        <w:rPr>
          <w:rFonts w:ascii="Arial" w:hAnsi="Arial" w:cs="Arial"/>
          <w:sz w:val="24"/>
          <w:szCs w:val="24"/>
        </w:rPr>
        <w:t xml:space="preserve">departments within the LEA, different </w:t>
      </w:r>
      <w:r w:rsidR="00E8405A">
        <w:rPr>
          <w:rFonts w:ascii="Arial" w:hAnsi="Arial" w:cs="Arial"/>
          <w:sz w:val="24"/>
          <w:szCs w:val="24"/>
        </w:rPr>
        <w:t>types of schools served in the LEA</w:t>
      </w:r>
      <w:r w:rsidR="008116B1">
        <w:rPr>
          <w:rFonts w:ascii="Arial" w:hAnsi="Arial" w:cs="Arial"/>
          <w:sz w:val="24"/>
          <w:szCs w:val="24"/>
        </w:rPr>
        <w:t>,</w:t>
      </w:r>
      <w:r w:rsidR="00E8405A">
        <w:rPr>
          <w:rFonts w:ascii="Arial" w:hAnsi="Arial" w:cs="Arial"/>
          <w:sz w:val="24"/>
          <w:szCs w:val="24"/>
        </w:rPr>
        <w:t xml:space="preserve"> as well as </w:t>
      </w:r>
      <w:r w:rsidR="00B310D5">
        <w:rPr>
          <w:rFonts w:ascii="Arial" w:hAnsi="Arial" w:cs="Arial"/>
          <w:sz w:val="24"/>
          <w:szCs w:val="24"/>
        </w:rPr>
        <w:t xml:space="preserve">different </w:t>
      </w:r>
      <w:r w:rsidR="00E8405A">
        <w:rPr>
          <w:rFonts w:ascii="Arial" w:hAnsi="Arial" w:cs="Arial"/>
          <w:sz w:val="24"/>
          <w:szCs w:val="24"/>
        </w:rPr>
        <w:t>grade levels</w:t>
      </w:r>
      <w:r w:rsidR="00B310D5">
        <w:rPr>
          <w:rFonts w:ascii="Arial" w:hAnsi="Arial" w:cs="Arial"/>
          <w:sz w:val="24"/>
          <w:szCs w:val="24"/>
        </w:rPr>
        <w:t xml:space="preserve"> within the LEA</w:t>
      </w:r>
      <w:r w:rsidR="00E8405A">
        <w:rPr>
          <w:rFonts w:ascii="Arial" w:hAnsi="Arial" w:cs="Arial"/>
          <w:sz w:val="24"/>
          <w:szCs w:val="24"/>
        </w:rPr>
        <w:t xml:space="preserve">. </w:t>
      </w:r>
      <w:r w:rsidR="00AF1364" w:rsidRPr="00455556">
        <w:rPr>
          <w:rFonts w:ascii="Arial" w:hAnsi="Arial" w:cs="Arial"/>
          <w:sz w:val="24"/>
        </w:rPr>
        <w:t>An effort should be made to encourage diversity in stakeholder representati</w:t>
      </w:r>
      <w:r w:rsidR="00CC7654">
        <w:rPr>
          <w:rFonts w:ascii="Arial" w:hAnsi="Arial" w:cs="Arial"/>
          <w:sz w:val="24"/>
        </w:rPr>
        <w:t>on, including age, race</w:t>
      </w:r>
      <w:r w:rsidR="009F698A">
        <w:rPr>
          <w:rFonts w:ascii="Arial" w:hAnsi="Arial" w:cs="Arial"/>
          <w:sz w:val="24"/>
        </w:rPr>
        <w:t>,</w:t>
      </w:r>
      <w:r w:rsidR="00E8405A">
        <w:rPr>
          <w:rFonts w:ascii="Arial" w:hAnsi="Arial" w:cs="Arial"/>
          <w:sz w:val="24"/>
        </w:rPr>
        <w:t xml:space="preserve"> </w:t>
      </w:r>
      <w:r w:rsidR="00B310D5">
        <w:rPr>
          <w:rFonts w:ascii="Arial" w:hAnsi="Arial" w:cs="Arial"/>
          <w:sz w:val="24"/>
        </w:rPr>
        <w:t xml:space="preserve">and </w:t>
      </w:r>
      <w:r w:rsidR="00E8405A">
        <w:rPr>
          <w:rFonts w:ascii="Arial" w:hAnsi="Arial" w:cs="Arial"/>
          <w:sz w:val="24"/>
        </w:rPr>
        <w:t>gender.</w:t>
      </w:r>
    </w:p>
    <w:p w14:paraId="662B15DB" w14:textId="17E656D3" w:rsidR="000F7646" w:rsidRPr="005E45D6" w:rsidRDefault="00DF7132" w:rsidP="00173CB2">
      <w:pPr>
        <w:spacing w:after="240"/>
        <w:rPr>
          <w:rFonts w:ascii="Arial" w:hAnsi="Arial" w:cs="Arial"/>
          <w:sz w:val="24"/>
          <w:szCs w:val="24"/>
        </w:rPr>
      </w:pPr>
      <w:r>
        <w:rPr>
          <w:rFonts w:ascii="Arial" w:hAnsi="Arial" w:cs="Arial"/>
          <w:sz w:val="24"/>
          <w:szCs w:val="24"/>
        </w:rPr>
        <w:t>In building your internal LEA</w:t>
      </w:r>
      <w:r w:rsidR="005E45D6" w:rsidRPr="005E45D6">
        <w:rPr>
          <w:rFonts w:ascii="Arial" w:hAnsi="Arial" w:cs="Arial"/>
          <w:sz w:val="24"/>
          <w:szCs w:val="24"/>
        </w:rPr>
        <w:t xml:space="preserve"> team, consider and select </w:t>
      </w:r>
      <w:r w:rsidR="000F7646">
        <w:rPr>
          <w:rFonts w:ascii="Arial" w:hAnsi="Arial" w:cs="Arial"/>
          <w:sz w:val="24"/>
          <w:szCs w:val="24"/>
        </w:rPr>
        <w:t>leaders from the following LEA</w:t>
      </w:r>
      <w:r w:rsidR="005E45D6" w:rsidRPr="005E45D6">
        <w:rPr>
          <w:rFonts w:ascii="Arial" w:hAnsi="Arial" w:cs="Arial"/>
          <w:sz w:val="24"/>
          <w:szCs w:val="24"/>
        </w:rPr>
        <w:t xml:space="preserve"> departments: </w:t>
      </w:r>
    </w:p>
    <w:p w14:paraId="1DF25EFB" w14:textId="77777777" w:rsidR="00DF7132" w:rsidRDefault="00DF7132" w:rsidP="00173CB2">
      <w:pPr>
        <w:pStyle w:val="ListParagraph"/>
        <w:numPr>
          <w:ilvl w:val="0"/>
          <w:numId w:val="2"/>
        </w:numPr>
        <w:spacing w:after="160"/>
        <w:contextualSpacing w:val="0"/>
        <w:rPr>
          <w:rFonts w:ascii="Arial" w:hAnsi="Arial" w:cs="Arial"/>
          <w:sz w:val="24"/>
          <w:szCs w:val="24"/>
        </w:rPr>
      </w:pPr>
      <w:r>
        <w:rPr>
          <w:rFonts w:ascii="Arial" w:hAnsi="Arial" w:cs="Arial"/>
          <w:sz w:val="24"/>
          <w:szCs w:val="24"/>
        </w:rPr>
        <w:t>Human Resources</w:t>
      </w:r>
    </w:p>
    <w:p w14:paraId="763296A7" w14:textId="77777777" w:rsidR="000F7646" w:rsidRPr="00DF7132" w:rsidRDefault="005E45D6" w:rsidP="00173CB2">
      <w:pPr>
        <w:pStyle w:val="ListParagraph"/>
        <w:numPr>
          <w:ilvl w:val="0"/>
          <w:numId w:val="2"/>
        </w:numPr>
        <w:spacing w:after="160"/>
        <w:contextualSpacing w:val="0"/>
        <w:rPr>
          <w:rFonts w:ascii="Arial" w:hAnsi="Arial" w:cs="Arial"/>
          <w:sz w:val="24"/>
          <w:szCs w:val="24"/>
        </w:rPr>
      </w:pPr>
      <w:r w:rsidRPr="00DF7132">
        <w:rPr>
          <w:rFonts w:ascii="Arial" w:hAnsi="Arial" w:cs="Arial"/>
          <w:sz w:val="24"/>
          <w:szCs w:val="24"/>
        </w:rPr>
        <w:t xml:space="preserve">Curriculum and Instruction  </w:t>
      </w:r>
    </w:p>
    <w:p w14:paraId="0DCA6BD9" w14:textId="77777777" w:rsidR="000F7646" w:rsidRDefault="005E45D6" w:rsidP="00173CB2">
      <w:pPr>
        <w:pStyle w:val="ListParagraph"/>
        <w:numPr>
          <w:ilvl w:val="0"/>
          <w:numId w:val="2"/>
        </w:numPr>
        <w:spacing w:after="160"/>
        <w:contextualSpacing w:val="0"/>
        <w:rPr>
          <w:rFonts w:ascii="Arial" w:hAnsi="Arial" w:cs="Arial"/>
          <w:sz w:val="24"/>
          <w:szCs w:val="24"/>
        </w:rPr>
      </w:pPr>
      <w:r w:rsidRPr="00DF7132">
        <w:rPr>
          <w:rFonts w:ascii="Arial" w:hAnsi="Arial" w:cs="Arial"/>
          <w:sz w:val="24"/>
          <w:szCs w:val="24"/>
        </w:rPr>
        <w:t xml:space="preserve">Professional Development </w:t>
      </w:r>
    </w:p>
    <w:p w14:paraId="29981BF4" w14:textId="77777777" w:rsidR="00DF7132" w:rsidRDefault="00DF7132" w:rsidP="00173CB2">
      <w:pPr>
        <w:pStyle w:val="ListParagraph"/>
        <w:numPr>
          <w:ilvl w:val="0"/>
          <w:numId w:val="2"/>
        </w:numPr>
        <w:spacing w:after="160"/>
        <w:contextualSpacing w:val="0"/>
        <w:rPr>
          <w:rFonts w:ascii="Arial" w:hAnsi="Arial" w:cs="Arial"/>
          <w:sz w:val="24"/>
          <w:szCs w:val="24"/>
        </w:rPr>
      </w:pPr>
      <w:r>
        <w:rPr>
          <w:rFonts w:ascii="Arial" w:hAnsi="Arial" w:cs="Arial"/>
          <w:sz w:val="24"/>
          <w:szCs w:val="24"/>
        </w:rPr>
        <w:t>Cabinet Level Decision Makers</w:t>
      </w:r>
    </w:p>
    <w:p w14:paraId="4B753B5A" w14:textId="77777777" w:rsidR="00DF7132" w:rsidRPr="00DF7132" w:rsidRDefault="00DF7132" w:rsidP="00173CB2">
      <w:pPr>
        <w:pStyle w:val="ListParagraph"/>
        <w:numPr>
          <w:ilvl w:val="0"/>
          <w:numId w:val="2"/>
        </w:numPr>
        <w:spacing w:after="160"/>
        <w:contextualSpacing w:val="0"/>
        <w:rPr>
          <w:rFonts w:ascii="Arial" w:hAnsi="Arial" w:cs="Arial"/>
          <w:sz w:val="24"/>
          <w:szCs w:val="24"/>
        </w:rPr>
      </w:pPr>
      <w:r>
        <w:rPr>
          <w:rFonts w:ascii="Arial" w:hAnsi="Arial" w:cs="Arial"/>
          <w:sz w:val="24"/>
          <w:szCs w:val="24"/>
        </w:rPr>
        <w:t>Site-Level Representatives</w:t>
      </w:r>
      <w:r w:rsidR="00AF1364">
        <w:rPr>
          <w:rFonts w:ascii="Arial" w:hAnsi="Arial" w:cs="Arial"/>
          <w:sz w:val="24"/>
          <w:szCs w:val="24"/>
        </w:rPr>
        <w:t xml:space="preserve"> (Teachers, Counselors, P</w:t>
      </w:r>
      <w:r w:rsidR="00BE46A7">
        <w:rPr>
          <w:rFonts w:ascii="Arial" w:hAnsi="Arial" w:cs="Arial"/>
          <w:sz w:val="24"/>
          <w:szCs w:val="24"/>
        </w:rPr>
        <w:t>rincipals</w:t>
      </w:r>
      <w:r w:rsidR="00455556">
        <w:rPr>
          <w:rFonts w:ascii="Arial" w:hAnsi="Arial" w:cs="Arial"/>
          <w:sz w:val="24"/>
          <w:szCs w:val="24"/>
        </w:rPr>
        <w:t xml:space="preserve">, </w:t>
      </w:r>
      <w:r w:rsidR="00AF1364">
        <w:rPr>
          <w:rFonts w:ascii="Arial" w:hAnsi="Arial" w:cs="Arial"/>
          <w:sz w:val="24"/>
          <w:szCs w:val="24"/>
        </w:rPr>
        <w:t>etc.</w:t>
      </w:r>
      <w:r w:rsidR="00BE46A7">
        <w:rPr>
          <w:rFonts w:ascii="Arial" w:hAnsi="Arial" w:cs="Arial"/>
          <w:sz w:val="24"/>
          <w:szCs w:val="24"/>
        </w:rPr>
        <w:t>)</w:t>
      </w:r>
    </w:p>
    <w:p w14:paraId="6B72D21F" w14:textId="77777777" w:rsidR="00DF7132" w:rsidRDefault="00B91B9A" w:rsidP="00173CB2">
      <w:pPr>
        <w:pStyle w:val="ListParagraph"/>
        <w:numPr>
          <w:ilvl w:val="0"/>
          <w:numId w:val="2"/>
        </w:numPr>
        <w:spacing w:after="160"/>
        <w:contextualSpacing w:val="0"/>
        <w:rPr>
          <w:rFonts w:ascii="Arial" w:hAnsi="Arial" w:cs="Arial"/>
          <w:sz w:val="24"/>
          <w:szCs w:val="24"/>
        </w:rPr>
      </w:pPr>
      <w:r>
        <w:rPr>
          <w:rFonts w:ascii="Arial" w:hAnsi="Arial" w:cs="Arial"/>
          <w:sz w:val="24"/>
          <w:szCs w:val="24"/>
        </w:rPr>
        <w:t>Collective Bargaining Union</w:t>
      </w:r>
      <w:r w:rsidR="00DF7132">
        <w:rPr>
          <w:rFonts w:ascii="Arial" w:hAnsi="Arial" w:cs="Arial"/>
          <w:sz w:val="24"/>
          <w:szCs w:val="24"/>
        </w:rPr>
        <w:t xml:space="preserve"> Members</w:t>
      </w:r>
    </w:p>
    <w:p w14:paraId="758B3FCB" w14:textId="53AC286C" w:rsidR="004E3461" w:rsidRDefault="000F7646" w:rsidP="00FF7FAA">
      <w:pPr>
        <w:pStyle w:val="ListParagraph"/>
        <w:numPr>
          <w:ilvl w:val="0"/>
          <w:numId w:val="2"/>
        </w:numPr>
        <w:spacing w:after="480"/>
        <w:ind w:left="274" w:firstLine="86"/>
        <w:contextualSpacing w:val="0"/>
        <w:rPr>
          <w:rFonts w:ascii="Arial" w:hAnsi="Arial" w:cs="Arial"/>
          <w:sz w:val="24"/>
          <w:szCs w:val="24"/>
        </w:rPr>
      </w:pPr>
      <w:r w:rsidRPr="009F698A">
        <w:rPr>
          <w:rFonts w:ascii="Arial" w:hAnsi="Arial" w:cs="Arial"/>
          <w:sz w:val="24"/>
          <w:szCs w:val="24"/>
        </w:rPr>
        <w:t>State and Federal Programs</w:t>
      </w:r>
    </w:p>
    <w:p w14:paraId="684EEFF1" w14:textId="77777777" w:rsidR="00FF7FAA" w:rsidRDefault="00FF7FAA" w:rsidP="00FF7FAA">
      <w:pPr>
        <w:pStyle w:val="FootnoteText"/>
        <w:spacing w:after="240"/>
        <w:rPr>
          <w:rFonts w:ascii="Arial" w:hAnsi="Arial" w:cs="Arial"/>
          <w:color w:val="auto"/>
          <w:sz w:val="24"/>
          <w:szCs w:val="24"/>
        </w:rPr>
      </w:pPr>
      <w:r>
        <w:rPr>
          <w:rFonts w:ascii="Arial" w:hAnsi="Arial" w:cs="Arial"/>
          <w:color w:val="auto"/>
          <w:sz w:val="24"/>
          <w:szCs w:val="24"/>
        </w:rPr>
        <w:t>Please note: This document was a</w:t>
      </w:r>
      <w:r w:rsidRPr="00114F2F">
        <w:rPr>
          <w:rFonts w:ascii="Arial" w:hAnsi="Arial" w:cs="Arial"/>
          <w:color w:val="auto"/>
          <w:sz w:val="24"/>
          <w:szCs w:val="24"/>
        </w:rPr>
        <w:t xml:space="preserve">dapted from: </w:t>
      </w:r>
      <w:r>
        <w:rPr>
          <w:rFonts w:ascii="Arial" w:hAnsi="Arial" w:cs="Arial"/>
          <w:i/>
          <w:color w:val="auto"/>
          <w:sz w:val="24"/>
          <w:szCs w:val="24"/>
        </w:rPr>
        <w:t>Stakeholder Engagement Guide</w:t>
      </w:r>
      <w:r>
        <w:rPr>
          <w:rFonts w:ascii="Arial" w:hAnsi="Arial" w:cs="Arial"/>
          <w:color w:val="auto"/>
          <w:sz w:val="24"/>
          <w:szCs w:val="24"/>
        </w:rPr>
        <w:t xml:space="preserve">, Center on Great Teachers &amp; Leaders at the American Institutes for Research, </w:t>
      </w:r>
      <w:hyperlink r:id="rId11" w:tooltip="Stakeholder Engagement Guide" w:history="1">
        <w:r w:rsidRPr="00822B53">
          <w:rPr>
            <w:rStyle w:val="Hyperlink"/>
            <w:rFonts w:ascii="Arial" w:hAnsi="Arial" w:cs="Arial"/>
            <w:color w:val="0000FF"/>
            <w:sz w:val="24"/>
          </w:rPr>
          <w:t>https://gtlcenter.org/learning-hub/equitable-access-toolkit/stakeholder-engagement-guide</w:t>
        </w:r>
      </w:hyperlink>
      <w:r>
        <w:rPr>
          <w:rFonts w:ascii="Arial" w:hAnsi="Arial" w:cs="Arial"/>
          <w:color w:val="auto"/>
          <w:sz w:val="24"/>
          <w:szCs w:val="24"/>
        </w:rPr>
        <w:t>, accessed January 31, 2019.</w:t>
      </w:r>
    </w:p>
    <w:p w14:paraId="69554E83" w14:textId="0E800A4F" w:rsidR="00E908E5" w:rsidRPr="004E3461" w:rsidRDefault="009F698A" w:rsidP="000058A3">
      <w:pPr>
        <w:spacing w:after="240"/>
        <w:ind w:left="360" w:hanging="360"/>
        <w:rPr>
          <w:rFonts w:ascii="Arial" w:hAnsi="Arial" w:cs="Arial"/>
          <w:sz w:val="24"/>
          <w:szCs w:val="24"/>
        </w:rPr>
      </w:pPr>
      <w:r>
        <w:rPr>
          <w:noProof/>
        </w:rPr>
        <w:drawing>
          <wp:inline distT="0" distB="0" distL="0" distR="0" wp14:anchorId="4D003DCA" wp14:editId="02123E2D">
            <wp:extent cx="7166346" cy="664845"/>
            <wp:effectExtent l="0" t="0" r="0" b="1905"/>
            <wp:docPr id="2" name="Picture 2" descr="Border image created with colored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 equity logo bottom border.png"/>
                    <pic:cNvPicPr/>
                  </pic:nvPicPr>
                  <pic:blipFill>
                    <a:blip r:embed="rId12">
                      <a:extLst>
                        <a:ext uri="{28A0092B-C50C-407E-A947-70E740481C1C}">
                          <a14:useLocalDpi xmlns:a14="http://schemas.microsoft.com/office/drawing/2010/main" val="0"/>
                        </a:ext>
                      </a:extLst>
                    </a:blip>
                    <a:stretch>
                      <a:fillRect/>
                    </a:stretch>
                  </pic:blipFill>
                  <pic:spPr>
                    <a:xfrm>
                      <a:off x="0" y="0"/>
                      <a:ext cx="7166346" cy="664845"/>
                    </a:xfrm>
                    <a:prstGeom prst="rect">
                      <a:avLst/>
                    </a:prstGeom>
                  </pic:spPr>
                </pic:pic>
              </a:graphicData>
            </a:graphic>
          </wp:inline>
        </w:drawing>
      </w:r>
    </w:p>
    <w:p w14:paraId="28212A8E" w14:textId="6C4184A5" w:rsidR="00173CB2" w:rsidRPr="00DF7132" w:rsidRDefault="00173CB2" w:rsidP="00173CB2">
      <w:pPr>
        <w:pStyle w:val="ListParagraph"/>
        <w:numPr>
          <w:ilvl w:val="0"/>
          <w:numId w:val="2"/>
        </w:numPr>
        <w:spacing w:after="160"/>
        <w:contextualSpacing w:val="0"/>
        <w:rPr>
          <w:rFonts w:ascii="Arial" w:hAnsi="Arial" w:cs="Arial"/>
          <w:sz w:val="24"/>
          <w:szCs w:val="24"/>
        </w:rPr>
      </w:pPr>
      <w:r w:rsidRPr="00DF7132">
        <w:rPr>
          <w:rFonts w:ascii="Arial" w:hAnsi="Arial" w:cs="Arial"/>
          <w:sz w:val="24"/>
          <w:szCs w:val="24"/>
        </w:rPr>
        <w:lastRenderedPageBreak/>
        <w:t>California Basic Educational Data System (CBEDS)/California Longitudinal Pupil Achievement Data System (CALPADS)</w:t>
      </w:r>
    </w:p>
    <w:p w14:paraId="02F74868" w14:textId="1B6A5F15" w:rsidR="00BD6718" w:rsidRDefault="00173CB2" w:rsidP="00173CB2">
      <w:pPr>
        <w:pStyle w:val="ListParagraph"/>
        <w:numPr>
          <w:ilvl w:val="0"/>
          <w:numId w:val="2"/>
        </w:numPr>
        <w:spacing w:after="160"/>
        <w:contextualSpacing w:val="0"/>
        <w:rPr>
          <w:rFonts w:ascii="Arial" w:hAnsi="Arial" w:cs="Arial"/>
          <w:sz w:val="24"/>
          <w:szCs w:val="24"/>
        </w:rPr>
      </w:pPr>
      <w:r w:rsidRPr="00DF7132">
        <w:rPr>
          <w:rFonts w:ascii="Arial" w:hAnsi="Arial" w:cs="Arial"/>
          <w:sz w:val="24"/>
          <w:szCs w:val="24"/>
        </w:rPr>
        <w:t xml:space="preserve">Assessment  </w:t>
      </w:r>
      <w:r w:rsidR="005E45D6" w:rsidRPr="00BD6718">
        <w:rPr>
          <w:rFonts w:ascii="Arial" w:hAnsi="Arial" w:cs="Arial"/>
          <w:sz w:val="24"/>
          <w:szCs w:val="24"/>
        </w:rPr>
        <w:t>Special Education</w:t>
      </w:r>
    </w:p>
    <w:p w14:paraId="357FF99A" w14:textId="77777777" w:rsidR="005E45D6" w:rsidRDefault="00DF7132" w:rsidP="00173CB2">
      <w:pPr>
        <w:pStyle w:val="ListParagraph"/>
        <w:numPr>
          <w:ilvl w:val="0"/>
          <w:numId w:val="2"/>
        </w:numPr>
        <w:spacing w:after="160"/>
        <w:contextualSpacing w:val="0"/>
        <w:rPr>
          <w:rFonts w:ascii="Arial" w:hAnsi="Arial" w:cs="Arial"/>
          <w:sz w:val="24"/>
          <w:szCs w:val="24"/>
        </w:rPr>
      </w:pPr>
      <w:r w:rsidRPr="00DF7132">
        <w:rPr>
          <w:rFonts w:ascii="Arial" w:hAnsi="Arial" w:cs="Arial"/>
          <w:sz w:val="24"/>
          <w:szCs w:val="24"/>
        </w:rPr>
        <w:t>Beginning Teacher Support</w:t>
      </w:r>
    </w:p>
    <w:p w14:paraId="09974B30" w14:textId="77777777" w:rsidR="00AF1364" w:rsidRDefault="00AF1364" w:rsidP="00173CB2">
      <w:pPr>
        <w:pStyle w:val="ListParagraph"/>
        <w:numPr>
          <w:ilvl w:val="0"/>
          <w:numId w:val="2"/>
        </w:numPr>
        <w:spacing w:after="160"/>
        <w:contextualSpacing w:val="0"/>
        <w:rPr>
          <w:rFonts w:ascii="Arial" w:hAnsi="Arial" w:cs="Arial"/>
          <w:sz w:val="24"/>
          <w:szCs w:val="24"/>
        </w:rPr>
      </w:pPr>
      <w:r>
        <w:rPr>
          <w:rFonts w:ascii="Arial" w:hAnsi="Arial" w:cs="Arial"/>
          <w:sz w:val="24"/>
          <w:szCs w:val="24"/>
        </w:rPr>
        <w:t>English Learner</w:t>
      </w:r>
    </w:p>
    <w:p w14:paraId="4080CE0F" w14:textId="46770AF8" w:rsidR="00E908E5" w:rsidRPr="00601647" w:rsidRDefault="00AF1364" w:rsidP="00173CB2">
      <w:pPr>
        <w:pStyle w:val="ListParagraph"/>
        <w:numPr>
          <w:ilvl w:val="0"/>
          <w:numId w:val="2"/>
        </w:numPr>
        <w:spacing w:before="240" w:after="160"/>
        <w:contextualSpacing w:val="0"/>
        <w:rPr>
          <w:rFonts w:ascii="Arial" w:hAnsi="Arial" w:cs="Arial"/>
          <w:sz w:val="24"/>
          <w:szCs w:val="24"/>
        </w:rPr>
      </w:pPr>
      <w:r>
        <w:rPr>
          <w:rFonts w:ascii="Arial" w:hAnsi="Arial" w:cs="Arial"/>
          <w:sz w:val="24"/>
          <w:szCs w:val="24"/>
        </w:rPr>
        <w:t>Early Education</w:t>
      </w:r>
    </w:p>
    <w:p w14:paraId="4B61D290" w14:textId="48782C13" w:rsidR="00AF1364" w:rsidRDefault="002D0F94" w:rsidP="00173CB2">
      <w:pPr>
        <w:spacing w:after="160"/>
        <w:rPr>
          <w:rFonts w:ascii="Arial" w:hAnsi="Arial" w:cs="Arial"/>
          <w:sz w:val="24"/>
          <w:szCs w:val="24"/>
        </w:rPr>
      </w:pPr>
      <w:r>
        <w:rPr>
          <w:rFonts w:ascii="Arial" w:hAnsi="Arial" w:cs="Arial"/>
          <w:sz w:val="24"/>
          <w:szCs w:val="24"/>
        </w:rPr>
        <w:t>External t</w:t>
      </w:r>
      <w:r w:rsidR="00AF1364">
        <w:rPr>
          <w:rFonts w:ascii="Arial" w:hAnsi="Arial" w:cs="Arial"/>
          <w:sz w:val="24"/>
          <w:szCs w:val="24"/>
        </w:rPr>
        <w:t>eam members may include:</w:t>
      </w:r>
    </w:p>
    <w:p w14:paraId="02D7B190" w14:textId="77777777" w:rsidR="00472234" w:rsidRDefault="00472234" w:rsidP="00173CB2">
      <w:pPr>
        <w:pStyle w:val="ListParagraph"/>
        <w:numPr>
          <w:ilvl w:val="0"/>
          <w:numId w:val="6"/>
        </w:numPr>
        <w:spacing w:after="160"/>
        <w:contextualSpacing w:val="0"/>
        <w:rPr>
          <w:rFonts w:ascii="Arial" w:hAnsi="Arial" w:cs="Arial"/>
          <w:sz w:val="24"/>
          <w:szCs w:val="24"/>
        </w:rPr>
      </w:pPr>
      <w:r>
        <w:rPr>
          <w:rFonts w:ascii="Arial" w:hAnsi="Arial" w:cs="Arial"/>
          <w:sz w:val="24"/>
          <w:szCs w:val="24"/>
        </w:rPr>
        <w:t>Parents</w:t>
      </w:r>
    </w:p>
    <w:p w14:paraId="149CA6D3" w14:textId="58B8BC26" w:rsidR="002D60F0" w:rsidRDefault="002D60F0" w:rsidP="00173CB2">
      <w:pPr>
        <w:pStyle w:val="ListParagraph"/>
        <w:numPr>
          <w:ilvl w:val="0"/>
          <w:numId w:val="6"/>
        </w:numPr>
        <w:spacing w:after="160"/>
        <w:contextualSpacing w:val="0"/>
        <w:rPr>
          <w:rFonts w:ascii="Arial" w:hAnsi="Arial" w:cs="Arial"/>
          <w:sz w:val="24"/>
          <w:szCs w:val="24"/>
        </w:rPr>
      </w:pPr>
      <w:r>
        <w:rPr>
          <w:rFonts w:ascii="Arial" w:hAnsi="Arial" w:cs="Arial"/>
          <w:sz w:val="24"/>
          <w:szCs w:val="24"/>
        </w:rPr>
        <w:t>Students</w:t>
      </w:r>
    </w:p>
    <w:p w14:paraId="27C38D39" w14:textId="77777777" w:rsidR="00BE46A7" w:rsidRPr="00AF1364" w:rsidRDefault="00BE46A7" w:rsidP="00173CB2">
      <w:pPr>
        <w:pStyle w:val="ListParagraph"/>
        <w:numPr>
          <w:ilvl w:val="0"/>
          <w:numId w:val="6"/>
        </w:numPr>
        <w:spacing w:after="160"/>
        <w:contextualSpacing w:val="0"/>
        <w:rPr>
          <w:rFonts w:ascii="Arial" w:hAnsi="Arial" w:cs="Arial"/>
          <w:sz w:val="24"/>
          <w:szCs w:val="24"/>
        </w:rPr>
      </w:pPr>
      <w:r w:rsidRPr="00AF1364">
        <w:rPr>
          <w:rFonts w:ascii="Arial" w:hAnsi="Arial" w:cs="Arial"/>
          <w:sz w:val="24"/>
          <w:szCs w:val="24"/>
        </w:rPr>
        <w:t>Community Leaders</w:t>
      </w:r>
    </w:p>
    <w:p w14:paraId="140D881F" w14:textId="77777777" w:rsidR="00DF7132" w:rsidRDefault="00BE46A7" w:rsidP="00173CB2">
      <w:pPr>
        <w:pStyle w:val="ListParagraph"/>
        <w:numPr>
          <w:ilvl w:val="0"/>
          <w:numId w:val="6"/>
        </w:numPr>
        <w:spacing w:after="160"/>
        <w:contextualSpacing w:val="0"/>
        <w:rPr>
          <w:rFonts w:ascii="Arial" w:hAnsi="Arial" w:cs="Arial"/>
          <w:sz w:val="24"/>
          <w:szCs w:val="24"/>
        </w:rPr>
      </w:pPr>
      <w:r w:rsidRPr="00AF1364">
        <w:rPr>
          <w:rFonts w:ascii="Arial" w:hAnsi="Arial" w:cs="Arial"/>
          <w:sz w:val="24"/>
          <w:szCs w:val="24"/>
        </w:rPr>
        <w:t>Local Advocacy Groups</w:t>
      </w:r>
      <w:r w:rsidR="00DF7132" w:rsidRPr="00AF1364">
        <w:rPr>
          <w:rFonts w:ascii="Arial" w:hAnsi="Arial" w:cs="Arial"/>
          <w:sz w:val="24"/>
          <w:szCs w:val="24"/>
        </w:rPr>
        <w:t xml:space="preserve">  </w:t>
      </w:r>
    </w:p>
    <w:p w14:paraId="0A5E7819" w14:textId="761616DE" w:rsidR="0044279D" w:rsidRPr="00E908E5" w:rsidRDefault="002D60F0" w:rsidP="00173CB2">
      <w:pPr>
        <w:pStyle w:val="ListParagraph"/>
        <w:numPr>
          <w:ilvl w:val="0"/>
          <w:numId w:val="6"/>
        </w:numPr>
        <w:spacing w:after="160"/>
        <w:contextualSpacing w:val="0"/>
        <w:rPr>
          <w:rFonts w:ascii="Arial" w:hAnsi="Arial" w:cs="Arial"/>
          <w:sz w:val="24"/>
          <w:szCs w:val="24"/>
        </w:rPr>
      </w:pPr>
      <w:r>
        <w:rPr>
          <w:rFonts w:ascii="Arial" w:hAnsi="Arial" w:cs="Arial"/>
          <w:sz w:val="24"/>
          <w:szCs w:val="24"/>
        </w:rPr>
        <w:t>Representatives from Institutions of Higher Education</w:t>
      </w:r>
    </w:p>
    <w:p w14:paraId="1E28D4B7" w14:textId="541395D7" w:rsidR="00711257" w:rsidRPr="00822B53" w:rsidRDefault="0090049D" w:rsidP="00F01DF6">
      <w:pPr>
        <w:pStyle w:val="Heading2"/>
      </w:pPr>
      <w:r w:rsidRPr="00822B53">
        <w:t xml:space="preserve">Step 2: </w:t>
      </w:r>
      <w:r w:rsidR="00711257" w:rsidRPr="00822B53">
        <w:t>Connect with Stakeholders</w:t>
      </w:r>
      <w:r w:rsidR="00B91B9A" w:rsidRPr="00822B53">
        <w:t>/ Provide</w:t>
      </w:r>
      <w:r w:rsidR="008768BB" w:rsidRPr="00822B53">
        <w:t xml:space="preserve"> Clear Communication</w:t>
      </w:r>
    </w:p>
    <w:p w14:paraId="6C58BB05" w14:textId="29699F5E" w:rsidR="00B310D5" w:rsidRDefault="002D0F94" w:rsidP="004E3461">
      <w:pPr>
        <w:spacing w:after="160"/>
        <w:rPr>
          <w:rFonts w:ascii="Arial" w:hAnsi="Arial" w:cs="Arial"/>
          <w:sz w:val="24"/>
          <w:szCs w:val="24"/>
        </w:rPr>
      </w:pPr>
      <w:r>
        <w:rPr>
          <w:rFonts w:ascii="Arial" w:hAnsi="Arial" w:cs="Arial"/>
          <w:sz w:val="24"/>
          <w:szCs w:val="24"/>
        </w:rPr>
        <w:t xml:space="preserve">It is crucial that the first contact with equity team members is clear and concise about the </w:t>
      </w:r>
      <w:r w:rsidR="00A76A64">
        <w:rPr>
          <w:rFonts w:ascii="Arial" w:hAnsi="Arial" w:cs="Arial"/>
          <w:sz w:val="24"/>
          <w:szCs w:val="24"/>
        </w:rPr>
        <w:t>goals of the equity team</w:t>
      </w:r>
      <w:r>
        <w:rPr>
          <w:rFonts w:ascii="Arial" w:hAnsi="Arial" w:cs="Arial"/>
          <w:sz w:val="24"/>
          <w:szCs w:val="24"/>
        </w:rPr>
        <w:t xml:space="preserve">. </w:t>
      </w:r>
      <w:r w:rsidR="000A1CA3">
        <w:rPr>
          <w:rFonts w:ascii="Arial" w:hAnsi="Arial" w:cs="Arial"/>
          <w:sz w:val="24"/>
          <w:szCs w:val="24"/>
        </w:rPr>
        <w:t xml:space="preserve">Your stakeholders </w:t>
      </w:r>
      <w:r w:rsidR="00393F5F">
        <w:rPr>
          <w:rFonts w:ascii="Arial" w:hAnsi="Arial" w:cs="Arial"/>
          <w:sz w:val="24"/>
          <w:szCs w:val="24"/>
        </w:rPr>
        <w:t>have</w:t>
      </w:r>
      <w:r w:rsidR="000A1CA3">
        <w:rPr>
          <w:rFonts w:ascii="Arial" w:hAnsi="Arial" w:cs="Arial"/>
          <w:sz w:val="24"/>
          <w:szCs w:val="24"/>
        </w:rPr>
        <w:t xml:space="preserve"> various other time commitments and making stakeholder meetings purposeful and concise will be important. </w:t>
      </w:r>
    </w:p>
    <w:p w14:paraId="778EAA6C" w14:textId="43C90C0C" w:rsidR="0016585C" w:rsidRDefault="0016585C" w:rsidP="00173CB2">
      <w:pPr>
        <w:spacing w:after="160"/>
        <w:rPr>
          <w:rFonts w:ascii="Arial" w:hAnsi="Arial" w:cs="Arial"/>
          <w:sz w:val="24"/>
          <w:szCs w:val="24"/>
        </w:rPr>
      </w:pPr>
      <w:r>
        <w:rPr>
          <w:rFonts w:ascii="Arial" w:hAnsi="Arial" w:cs="Arial"/>
          <w:sz w:val="24"/>
          <w:szCs w:val="24"/>
        </w:rPr>
        <w:t>In your first communication with potential stakeholder members, ensure that you:</w:t>
      </w:r>
    </w:p>
    <w:p w14:paraId="502F65DF" w14:textId="77777777" w:rsidR="00711257" w:rsidRPr="002D0F94" w:rsidRDefault="00D450FE" w:rsidP="00173CB2">
      <w:pPr>
        <w:pStyle w:val="ListParagraph"/>
        <w:numPr>
          <w:ilvl w:val="0"/>
          <w:numId w:val="8"/>
        </w:numPr>
        <w:spacing w:after="160"/>
        <w:contextualSpacing w:val="0"/>
        <w:rPr>
          <w:rFonts w:ascii="Arial" w:hAnsi="Arial" w:cs="Arial"/>
          <w:sz w:val="24"/>
          <w:szCs w:val="24"/>
        </w:rPr>
      </w:pPr>
      <w:r w:rsidRPr="002D0F94">
        <w:rPr>
          <w:rFonts w:ascii="Arial" w:hAnsi="Arial" w:cs="Arial"/>
          <w:sz w:val="24"/>
          <w:szCs w:val="24"/>
        </w:rPr>
        <w:t>Clearly define the tasks and the time commitment</w:t>
      </w:r>
    </w:p>
    <w:p w14:paraId="4563FD58" w14:textId="6FCAB2E9" w:rsidR="00B310D5" w:rsidRPr="002D0F94" w:rsidRDefault="004E3461" w:rsidP="00173CB2">
      <w:pPr>
        <w:pStyle w:val="ListParagraph"/>
        <w:numPr>
          <w:ilvl w:val="0"/>
          <w:numId w:val="8"/>
        </w:numPr>
        <w:spacing w:after="160"/>
        <w:contextualSpacing w:val="0"/>
        <w:rPr>
          <w:rFonts w:ascii="Arial" w:hAnsi="Arial" w:cs="Arial"/>
          <w:sz w:val="24"/>
          <w:szCs w:val="24"/>
        </w:rPr>
      </w:pPr>
      <w:r>
        <w:rPr>
          <w:rFonts w:ascii="Arial" w:hAnsi="Arial" w:cs="Arial"/>
          <w:sz w:val="24"/>
          <w:szCs w:val="24"/>
        </w:rPr>
        <w:t>Provide c</w:t>
      </w:r>
      <w:r w:rsidR="00B310D5" w:rsidRPr="002D0F94">
        <w:rPr>
          <w:rFonts w:ascii="Arial" w:hAnsi="Arial" w:cs="Arial"/>
          <w:sz w:val="24"/>
          <w:szCs w:val="24"/>
        </w:rPr>
        <w:t xml:space="preserve">lear and consistent </w:t>
      </w:r>
      <w:r w:rsidR="002D0F94">
        <w:rPr>
          <w:rFonts w:ascii="Arial" w:hAnsi="Arial" w:cs="Arial"/>
          <w:sz w:val="24"/>
          <w:szCs w:val="24"/>
        </w:rPr>
        <w:t>c</w:t>
      </w:r>
      <w:r w:rsidR="00B310D5" w:rsidRPr="002D0F94">
        <w:rPr>
          <w:rFonts w:ascii="Arial" w:hAnsi="Arial" w:cs="Arial"/>
          <w:sz w:val="24"/>
          <w:szCs w:val="24"/>
        </w:rPr>
        <w:t>ommunication regarding meetings</w:t>
      </w:r>
    </w:p>
    <w:p w14:paraId="27FAF0F0" w14:textId="77777777" w:rsidR="00B310D5" w:rsidRPr="002D0F94" w:rsidRDefault="00B310D5" w:rsidP="00173CB2">
      <w:pPr>
        <w:pStyle w:val="ListParagraph"/>
        <w:numPr>
          <w:ilvl w:val="0"/>
          <w:numId w:val="8"/>
        </w:numPr>
        <w:spacing w:after="160"/>
        <w:contextualSpacing w:val="0"/>
        <w:rPr>
          <w:rFonts w:ascii="Arial" w:hAnsi="Arial" w:cs="Arial"/>
          <w:sz w:val="24"/>
          <w:szCs w:val="24"/>
        </w:rPr>
      </w:pPr>
      <w:r w:rsidRPr="002D0F94">
        <w:rPr>
          <w:rFonts w:ascii="Arial" w:hAnsi="Arial" w:cs="Arial"/>
          <w:sz w:val="24"/>
          <w:szCs w:val="24"/>
        </w:rPr>
        <w:t>Explain why their participation is vital to the team and process</w:t>
      </w:r>
    </w:p>
    <w:p w14:paraId="2DEEDC93" w14:textId="5A98EAD6" w:rsidR="007724CB" w:rsidRPr="00E908E5" w:rsidRDefault="002D0F94" w:rsidP="00173CB2">
      <w:pPr>
        <w:pStyle w:val="ListParagraph"/>
        <w:numPr>
          <w:ilvl w:val="0"/>
          <w:numId w:val="8"/>
        </w:numPr>
        <w:spacing w:after="160"/>
        <w:contextualSpacing w:val="0"/>
        <w:rPr>
          <w:rFonts w:ascii="Arial" w:hAnsi="Arial" w:cs="Arial"/>
          <w:sz w:val="24"/>
          <w:szCs w:val="24"/>
        </w:rPr>
      </w:pPr>
      <w:r>
        <w:rPr>
          <w:rFonts w:ascii="Arial" w:hAnsi="Arial" w:cs="Arial"/>
          <w:sz w:val="24"/>
          <w:szCs w:val="24"/>
        </w:rPr>
        <w:t>Provide a contact person for questions or concerns</w:t>
      </w:r>
    </w:p>
    <w:p w14:paraId="7B67947D" w14:textId="1A8503E4" w:rsidR="00B310D5" w:rsidRPr="00B910E9" w:rsidRDefault="0090049D" w:rsidP="00F01DF6">
      <w:pPr>
        <w:pStyle w:val="Heading2"/>
      </w:pPr>
      <w:r w:rsidRPr="00B910E9">
        <w:t>Step 3: Create a Common Starting Point</w:t>
      </w:r>
    </w:p>
    <w:p w14:paraId="7AD8E42F" w14:textId="0341D8AB" w:rsidR="004E3461" w:rsidRDefault="000A1CA3" w:rsidP="00FF7FAA">
      <w:pPr>
        <w:spacing w:after="1200"/>
        <w:rPr>
          <w:rFonts w:ascii="Arial" w:hAnsi="Arial" w:cs="Arial"/>
          <w:sz w:val="24"/>
          <w:szCs w:val="24"/>
        </w:rPr>
      </w:pPr>
      <w:r w:rsidRPr="00867718">
        <w:rPr>
          <w:rFonts w:ascii="Arial" w:hAnsi="Arial" w:cs="Arial"/>
          <w:sz w:val="24"/>
          <w:szCs w:val="24"/>
        </w:rPr>
        <w:t>In order to set the stage for the stakeholder meetings, all members should be provided with reading materials and data that will pertain to their meeting tasks.</w:t>
      </w:r>
      <w:r w:rsidR="00393F5F">
        <w:rPr>
          <w:rFonts w:ascii="Arial" w:hAnsi="Arial" w:cs="Arial"/>
          <w:sz w:val="24"/>
          <w:szCs w:val="24"/>
        </w:rPr>
        <w:t xml:space="preserve"> Sending these documents a week or two before the scheduled stakeholder meeting will allow all members time to review them and come to the meeting prepared to discus</w:t>
      </w:r>
      <w:r w:rsidR="00B56AEE">
        <w:rPr>
          <w:rFonts w:ascii="Arial" w:hAnsi="Arial" w:cs="Arial"/>
          <w:sz w:val="24"/>
          <w:szCs w:val="24"/>
        </w:rPr>
        <w:t xml:space="preserve">s any questions or </w:t>
      </w:r>
      <w:proofErr w:type="gramStart"/>
      <w:r w:rsidR="00B56AEE">
        <w:rPr>
          <w:rFonts w:ascii="Arial" w:hAnsi="Arial" w:cs="Arial"/>
          <w:sz w:val="24"/>
          <w:szCs w:val="24"/>
        </w:rPr>
        <w:t>concerns</w:t>
      </w:r>
      <w:proofErr w:type="gramEnd"/>
      <w:r w:rsidR="00B56AEE">
        <w:rPr>
          <w:rFonts w:ascii="Arial" w:hAnsi="Arial" w:cs="Arial"/>
          <w:sz w:val="24"/>
          <w:szCs w:val="24"/>
        </w:rPr>
        <w:t xml:space="preserve"> </w:t>
      </w:r>
      <w:r w:rsidR="00393F5F">
        <w:rPr>
          <w:rFonts w:ascii="Arial" w:hAnsi="Arial" w:cs="Arial"/>
          <w:sz w:val="24"/>
          <w:szCs w:val="24"/>
        </w:rPr>
        <w:t>they may have.</w:t>
      </w:r>
    </w:p>
    <w:p w14:paraId="7AEF2685" w14:textId="77777777" w:rsidR="00FF7FAA" w:rsidRDefault="00FF7FAA" w:rsidP="00FF7FAA">
      <w:pPr>
        <w:pStyle w:val="FootnoteText"/>
        <w:spacing w:after="240"/>
        <w:rPr>
          <w:rFonts w:ascii="Arial" w:hAnsi="Arial" w:cs="Arial"/>
          <w:color w:val="auto"/>
          <w:sz w:val="24"/>
          <w:szCs w:val="24"/>
        </w:rPr>
      </w:pPr>
      <w:r>
        <w:rPr>
          <w:rFonts w:ascii="Arial" w:hAnsi="Arial" w:cs="Arial"/>
          <w:color w:val="auto"/>
          <w:sz w:val="24"/>
          <w:szCs w:val="24"/>
        </w:rPr>
        <w:t>Please note: This document was a</w:t>
      </w:r>
      <w:r w:rsidRPr="00114F2F">
        <w:rPr>
          <w:rFonts w:ascii="Arial" w:hAnsi="Arial" w:cs="Arial"/>
          <w:color w:val="auto"/>
          <w:sz w:val="24"/>
          <w:szCs w:val="24"/>
        </w:rPr>
        <w:t xml:space="preserve">dapted from: </w:t>
      </w:r>
      <w:r>
        <w:rPr>
          <w:rFonts w:ascii="Arial" w:hAnsi="Arial" w:cs="Arial"/>
          <w:i/>
          <w:color w:val="auto"/>
          <w:sz w:val="24"/>
          <w:szCs w:val="24"/>
        </w:rPr>
        <w:t>Stakeholder Engagement Guide</w:t>
      </w:r>
      <w:r>
        <w:rPr>
          <w:rFonts w:ascii="Arial" w:hAnsi="Arial" w:cs="Arial"/>
          <w:color w:val="auto"/>
          <w:sz w:val="24"/>
          <w:szCs w:val="24"/>
        </w:rPr>
        <w:t xml:space="preserve">, Center on Great Teachers &amp; Leaders at the American Institutes for Research, </w:t>
      </w:r>
      <w:hyperlink r:id="rId13" w:tooltip="Stakeholder Engagement Guide" w:history="1">
        <w:r w:rsidRPr="00822B53">
          <w:rPr>
            <w:rStyle w:val="Hyperlink"/>
            <w:rFonts w:ascii="Arial" w:hAnsi="Arial" w:cs="Arial"/>
            <w:color w:val="0000FF"/>
            <w:sz w:val="24"/>
          </w:rPr>
          <w:t>https://gtlcenter.org/learning-hub/equitable-access-toolkit/stakeholder-engagement-guide</w:t>
        </w:r>
      </w:hyperlink>
      <w:r>
        <w:rPr>
          <w:rFonts w:ascii="Arial" w:hAnsi="Arial" w:cs="Arial"/>
          <w:color w:val="auto"/>
          <w:sz w:val="24"/>
          <w:szCs w:val="24"/>
        </w:rPr>
        <w:t>, accessed January 31, 2019.</w:t>
      </w:r>
    </w:p>
    <w:p w14:paraId="3B893B3E" w14:textId="13101F0F" w:rsidR="0090049D" w:rsidRPr="009F698A" w:rsidRDefault="009F698A" w:rsidP="004E3461">
      <w:pPr>
        <w:pStyle w:val="ListParagraph"/>
        <w:spacing w:after="360"/>
        <w:ind w:hanging="720"/>
        <w:rPr>
          <w:rFonts w:ascii="Arial" w:hAnsi="Arial" w:cs="Arial"/>
          <w:sz w:val="24"/>
          <w:szCs w:val="24"/>
        </w:rPr>
      </w:pPr>
      <w:r>
        <w:rPr>
          <w:rFonts w:eastAsiaTheme="majorEastAsia"/>
          <w:noProof/>
          <w:color w:val="2F5496" w:themeColor="accent5" w:themeShade="BF"/>
          <w:sz w:val="28"/>
          <w:szCs w:val="28"/>
        </w:rPr>
        <w:drawing>
          <wp:inline distT="0" distB="0" distL="0" distR="0" wp14:anchorId="154DCBD3" wp14:editId="10E7E47F">
            <wp:extent cx="7191375" cy="668532"/>
            <wp:effectExtent l="0" t="0" r="0" b="0"/>
            <wp:docPr id="6" name="Picture 6" descr="Border image created with colored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 equity logo bottom border.png"/>
                    <pic:cNvPicPr/>
                  </pic:nvPicPr>
                  <pic:blipFill>
                    <a:blip r:embed="rId12">
                      <a:extLst>
                        <a:ext uri="{28A0092B-C50C-407E-A947-70E740481C1C}">
                          <a14:useLocalDpi xmlns:a14="http://schemas.microsoft.com/office/drawing/2010/main" val="0"/>
                        </a:ext>
                      </a:extLst>
                    </a:blip>
                    <a:stretch>
                      <a:fillRect/>
                    </a:stretch>
                  </pic:blipFill>
                  <pic:spPr>
                    <a:xfrm>
                      <a:off x="0" y="0"/>
                      <a:ext cx="7268152" cy="675669"/>
                    </a:xfrm>
                    <a:prstGeom prst="rect">
                      <a:avLst/>
                    </a:prstGeom>
                  </pic:spPr>
                </pic:pic>
              </a:graphicData>
            </a:graphic>
          </wp:inline>
        </w:drawing>
      </w:r>
    </w:p>
    <w:p w14:paraId="217E9CAE" w14:textId="77777777" w:rsidR="00173CB2" w:rsidRPr="005E45D6" w:rsidRDefault="00173CB2" w:rsidP="00173CB2">
      <w:pPr>
        <w:spacing w:after="160"/>
        <w:rPr>
          <w:rFonts w:ascii="Arial" w:hAnsi="Arial" w:cs="Arial"/>
          <w:sz w:val="24"/>
          <w:szCs w:val="24"/>
        </w:rPr>
      </w:pPr>
      <w:r>
        <w:rPr>
          <w:rFonts w:ascii="Arial" w:hAnsi="Arial" w:cs="Arial"/>
          <w:sz w:val="24"/>
          <w:szCs w:val="24"/>
        </w:rPr>
        <w:lastRenderedPageBreak/>
        <w:t>Consider providing</w:t>
      </w:r>
      <w:r w:rsidRPr="005E45D6">
        <w:rPr>
          <w:rFonts w:ascii="Arial" w:hAnsi="Arial" w:cs="Arial"/>
          <w:sz w:val="24"/>
          <w:szCs w:val="24"/>
        </w:rPr>
        <w:t xml:space="preserve"> stakeholders with pre</w:t>
      </w:r>
      <w:r>
        <w:rPr>
          <w:rFonts w:ascii="Arial" w:hAnsi="Arial" w:cs="Arial"/>
          <w:sz w:val="24"/>
          <w:szCs w:val="24"/>
        </w:rPr>
        <w:t>-</w:t>
      </w:r>
      <w:r w:rsidRPr="005E45D6">
        <w:rPr>
          <w:rFonts w:ascii="Arial" w:hAnsi="Arial" w:cs="Arial"/>
          <w:sz w:val="24"/>
          <w:szCs w:val="24"/>
        </w:rPr>
        <w:t xml:space="preserve">reading on the following topics: </w:t>
      </w:r>
    </w:p>
    <w:p w14:paraId="114D79E2" w14:textId="77777777" w:rsidR="00173CB2" w:rsidRPr="00247F12" w:rsidRDefault="00173CB2" w:rsidP="00247F12">
      <w:pPr>
        <w:pStyle w:val="ListParagraph"/>
        <w:numPr>
          <w:ilvl w:val="0"/>
          <w:numId w:val="19"/>
        </w:numPr>
        <w:spacing w:after="160"/>
        <w:ind w:left="720"/>
        <w:contextualSpacing w:val="0"/>
        <w:rPr>
          <w:rFonts w:ascii="Arial" w:hAnsi="Arial" w:cs="Arial"/>
          <w:color w:val="000000" w:themeColor="text1"/>
          <w:sz w:val="24"/>
          <w:szCs w:val="24"/>
        </w:rPr>
      </w:pPr>
      <w:r w:rsidRPr="00247F12">
        <w:rPr>
          <w:rFonts w:ascii="Arial" w:hAnsi="Arial" w:cs="Arial"/>
          <w:color w:val="000000" w:themeColor="text1"/>
          <w:sz w:val="24"/>
          <w:szCs w:val="24"/>
        </w:rPr>
        <w:t xml:space="preserve">Journal articles about the importance of equitable access for students </w:t>
      </w:r>
    </w:p>
    <w:p w14:paraId="64498F31" w14:textId="77777777" w:rsidR="00173CB2" w:rsidRPr="00247F12" w:rsidRDefault="00173CB2" w:rsidP="00247F12">
      <w:pPr>
        <w:pStyle w:val="ListParagraph"/>
        <w:numPr>
          <w:ilvl w:val="0"/>
          <w:numId w:val="19"/>
        </w:numPr>
        <w:spacing w:after="160"/>
        <w:ind w:left="720"/>
        <w:contextualSpacing w:val="0"/>
        <w:rPr>
          <w:rFonts w:ascii="Arial" w:hAnsi="Arial" w:cs="Arial"/>
          <w:color w:val="000000" w:themeColor="text1"/>
          <w:sz w:val="24"/>
          <w:szCs w:val="24"/>
        </w:rPr>
      </w:pPr>
      <w:r w:rsidRPr="00247F12">
        <w:rPr>
          <w:rFonts w:ascii="Arial" w:hAnsi="Arial" w:cs="Arial"/>
          <w:color w:val="000000" w:themeColor="text1"/>
          <w:sz w:val="24"/>
          <w:szCs w:val="24"/>
        </w:rPr>
        <w:t>California’s Every Students Succeeds Act (ESSA) Plan language regarding disproportionate rates of access to educators.</w:t>
      </w:r>
      <w:r w:rsidRPr="00247F12">
        <w:rPr>
          <w:rFonts w:ascii="Arial" w:eastAsiaTheme="majorEastAsia" w:hAnsi="Arial" w:cs="Arial"/>
          <w:noProof/>
          <w:color w:val="000000" w:themeColor="text1"/>
          <w:sz w:val="28"/>
          <w:szCs w:val="28"/>
        </w:rPr>
        <w:t xml:space="preserve"> </w:t>
      </w:r>
    </w:p>
    <w:p w14:paraId="75073E90" w14:textId="7F7F9EC1" w:rsidR="00173CB2" w:rsidRPr="00247F12" w:rsidRDefault="008116B1" w:rsidP="00247F12">
      <w:pPr>
        <w:pStyle w:val="ListParagraph"/>
        <w:numPr>
          <w:ilvl w:val="0"/>
          <w:numId w:val="19"/>
        </w:numPr>
        <w:spacing w:after="160"/>
        <w:ind w:left="720"/>
        <w:contextualSpacing w:val="0"/>
        <w:rPr>
          <w:rFonts w:ascii="Arial" w:hAnsi="Arial" w:cs="Arial"/>
          <w:color w:val="000000" w:themeColor="text1"/>
          <w:sz w:val="24"/>
          <w:szCs w:val="24"/>
        </w:rPr>
      </w:pPr>
      <w:r>
        <w:rPr>
          <w:rFonts w:ascii="Arial" w:hAnsi="Arial" w:cs="Arial"/>
          <w:color w:val="000000" w:themeColor="text1"/>
          <w:sz w:val="24"/>
          <w:szCs w:val="24"/>
        </w:rPr>
        <w:t>The i</w:t>
      </w:r>
      <w:r w:rsidR="00173CB2" w:rsidRPr="00247F12">
        <w:rPr>
          <w:rFonts w:ascii="Arial" w:hAnsi="Arial" w:cs="Arial"/>
          <w:color w:val="000000" w:themeColor="text1"/>
          <w:sz w:val="24"/>
          <w:szCs w:val="24"/>
        </w:rPr>
        <w:t xml:space="preserve">mportance and purpose of your LEA’s equitable access plan </w:t>
      </w:r>
    </w:p>
    <w:p w14:paraId="31F80C81" w14:textId="7C466647" w:rsidR="00173CB2" w:rsidRPr="00247F12" w:rsidRDefault="00173CB2" w:rsidP="00247F12">
      <w:pPr>
        <w:pStyle w:val="ListParagraph"/>
        <w:numPr>
          <w:ilvl w:val="0"/>
          <w:numId w:val="19"/>
        </w:numPr>
        <w:spacing w:after="160"/>
        <w:ind w:left="720"/>
        <w:contextualSpacing w:val="0"/>
        <w:rPr>
          <w:rFonts w:ascii="Arial" w:hAnsi="Arial" w:cs="Arial"/>
          <w:color w:val="000000" w:themeColor="text1"/>
          <w:sz w:val="24"/>
          <w:szCs w:val="24"/>
        </w:rPr>
      </w:pPr>
      <w:r w:rsidRPr="00247F12">
        <w:rPr>
          <w:rFonts w:ascii="Arial" w:hAnsi="Arial" w:cs="Arial"/>
          <w:color w:val="000000" w:themeColor="text1"/>
          <w:sz w:val="24"/>
          <w:szCs w:val="24"/>
        </w:rPr>
        <w:t>Past efforts that your LEA has taken to address equity issues</w:t>
      </w:r>
      <w:r w:rsidR="00095C42">
        <w:rPr>
          <w:rFonts w:ascii="Arial" w:hAnsi="Arial" w:cs="Arial"/>
          <w:color w:val="000000" w:themeColor="text1"/>
          <w:sz w:val="24"/>
          <w:szCs w:val="24"/>
        </w:rPr>
        <w:t xml:space="preserve"> and</w:t>
      </w:r>
      <w:r w:rsidRPr="00247F12">
        <w:rPr>
          <w:rFonts w:ascii="Arial" w:hAnsi="Arial" w:cs="Arial"/>
          <w:color w:val="000000" w:themeColor="text1"/>
          <w:sz w:val="24"/>
          <w:szCs w:val="24"/>
        </w:rPr>
        <w:t xml:space="preserve"> lessons learned </w:t>
      </w:r>
    </w:p>
    <w:p w14:paraId="140483D0" w14:textId="77777777" w:rsidR="00173CB2" w:rsidRPr="00247F12" w:rsidRDefault="00173CB2" w:rsidP="00247F12">
      <w:pPr>
        <w:pStyle w:val="ListParagraph"/>
        <w:numPr>
          <w:ilvl w:val="0"/>
          <w:numId w:val="19"/>
        </w:numPr>
        <w:spacing w:after="160"/>
        <w:ind w:left="720"/>
        <w:contextualSpacing w:val="0"/>
        <w:rPr>
          <w:rFonts w:ascii="Arial" w:hAnsi="Arial" w:cs="Arial"/>
          <w:color w:val="000000" w:themeColor="text1"/>
          <w:sz w:val="24"/>
          <w:szCs w:val="24"/>
        </w:rPr>
      </w:pPr>
      <w:r w:rsidRPr="00247F12">
        <w:rPr>
          <w:rFonts w:ascii="Arial" w:hAnsi="Arial" w:cs="Arial"/>
          <w:color w:val="000000" w:themeColor="text1"/>
          <w:sz w:val="24"/>
          <w:szCs w:val="24"/>
        </w:rPr>
        <w:t>Definitions and clarifications regarding any technical terminology</w:t>
      </w:r>
    </w:p>
    <w:p w14:paraId="0C116920" w14:textId="7EFD9664" w:rsidR="006B203A" w:rsidRPr="00C66FA2" w:rsidRDefault="00711257" w:rsidP="00F01DF6">
      <w:pPr>
        <w:pStyle w:val="Heading2"/>
      </w:pPr>
      <w:r w:rsidRPr="00C66FA2">
        <w:t>Step 4</w:t>
      </w:r>
      <w:r w:rsidR="006B203A" w:rsidRPr="00C66FA2">
        <w:t xml:space="preserve">: </w:t>
      </w:r>
      <w:r w:rsidR="005E45D6" w:rsidRPr="00C66FA2">
        <w:t xml:space="preserve">Ensure </w:t>
      </w:r>
      <w:r w:rsidR="002F100D" w:rsidRPr="00C66FA2">
        <w:t>Successful</w:t>
      </w:r>
      <w:r w:rsidR="005E45D6" w:rsidRPr="00C66FA2">
        <w:t xml:space="preserve"> Engagement</w:t>
      </w:r>
    </w:p>
    <w:p w14:paraId="446CA7BD" w14:textId="0DC5F967" w:rsidR="00393F5F" w:rsidRDefault="0044279D" w:rsidP="004E3461">
      <w:pPr>
        <w:rPr>
          <w:rFonts w:ascii="Arial" w:hAnsi="Arial" w:cs="Arial"/>
          <w:sz w:val="24"/>
          <w:szCs w:val="24"/>
        </w:rPr>
      </w:pPr>
      <w:r>
        <w:rPr>
          <w:rFonts w:ascii="Arial" w:hAnsi="Arial" w:cs="Arial"/>
          <w:sz w:val="24"/>
          <w:szCs w:val="24"/>
        </w:rPr>
        <w:t>E</w:t>
      </w:r>
      <w:r w:rsidR="00393F5F">
        <w:rPr>
          <w:rFonts w:ascii="Arial" w:hAnsi="Arial" w:cs="Arial"/>
          <w:sz w:val="24"/>
          <w:szCs w:val="24"/>
        </w:rPr>
        <w:t>quity team</w:t>
      </w:r>
      <w:r>
        <w:rPr>
          <w:rFonts w:ascii="Arial" w:hAnsi="Arial" w:cs="Arial"/>
          <w:sz w:val="24"/>
          <w:szCs w:val="24"/>
        </w:rPr>
        <w:t>s</w:t>
      </w:r>
      <w:r w:rsidR="00393F5F">
        <w:rPr>
          <w:rFonts w:ascii="Arial" w:hAnsi="Arial" w:cs="Arial"/>
          <w:sz w:val="24"/>
          <w:szCs w:val="24"/>
        </w:rPr>
        <w:t xml:space="preserve"> will be large and filled with individuals that come to the table with different </w:t>
      </w:r>
      <w:r>
        <w:rPr>
          <w:rFonts w:ascii="Arial" w:hAnsi="Arial" w:cs="Arial"/>
          <w:sz w:val="24"/>
          <w:szCs w:val="24"/>
        </w:rPr>
        <w:t xml:space="preserve">experiences and </w:t>
      </w:r>
      <w:r w:rsidR="00393F5F">
        <w:rPr>
          <w:rFonts w:ascii="Arial" w:hAnsi="Arial" w:cs="Arial"/>
          <w:sz w:val="24"/>
          <w:szCs w:val="24"/>
        </w:rPr>
        <w:t xml:space="preserve">perspectives. It is essential to provide guidelines that will lead to constructive and respectful conversations. </w:t>
      </w:r>
    </w:p>
    <w:p w14:paraId="4B41CE10" w14:textId="0742121F" w:rsidR="00E908E5" w:rsidRDefault="005E45D6" w:rsidP="00247F12">
      <w:pPr>
        <w:spacing w:after="160"/>
        <w:rPr>
          <w:rFonts w:ascii="Arial" w:hAnsi="Arial" w:cs="Arial"/>
          <w:sz w:val="24"/>
          <w:szCs w:val="24"/>
        </w:rPr>
      </w:pPr>
      <w:r w:rsidRPr="00BE46A7">
        <w:rPr>
          <w:rFonts w:ascii="Arial" w:hAnsi="Arial" w:cs="Arial"/>
          <w:sz w:val="24"/>
          <w:szCs w:val="24"/>
        </w:rPr>
        <w:t xml:space="preserve">Consider the following strategies for ensuring that stakeholder communication </w:t>
      </w:r>
      <w:r w:rsidR="00E908E5">
        <w:rPr>
          <w:rFonts w:ascii="Arial" w:hAnsi="Arial" w:cs="Arial"/>
          <w:sz w:val="24"/>
          <w:szCs w:val="24"/>
        </w:rPr>
        <w:t>becomes stakeholder engagement:</w:t>
      </w:r>
    </w:p>
    <w:p w14:paraId="3633D713" w14:textId="6FEA07FD" w:rsidR="005E45D6" w:rsidRPr="00BE46A7" w:rsidRDefault="0044279D" w:rsidP="00247F12">
      <w:pPr>
        <w:pStyle w:val="ListParagraph"/>
        <w:numPr>
          <w:ilvl w:val="0"/>
          <w:numId w:val="5"/>
        </w:numPr>
        <w:spacing w:after="160"/>
        <w:ind w:left="720"/>
        <w:contextualSpacing w:val="0"/>
        <w:rPr>
          <w:rFonts w:ascii="Arial" w:hAnsi="Arial" w:cs="Arial"/>
          <w:sz w:val="24"/>
          <w:szCs w:val="24"/>
        </w:rPr>
      </w:pPr>
      <w:r>
        <w:rPr>
          <w:rFonts w:ascii="Arial" w:hAnsi="Arial" w:cs="Arial"/>
          <w:sz w:val="24"/>
          <w:szCs w:val="24"/>
        </w:rPr>
        <w:t>Set Expectations Up Front:</w:t>
      </w:r>
      <w:r w:rsidR="005E45D6" w:rsidRPr="00BE46A7">
        <w:rPr>
          <w:rFonts w:ascii="Arial" w:hAnsi="Arial" w:cs="Arial"/>
          <w:sz w:val="24"/>
          <w:szCs w:val="24"/>
        </w:rPr>
        <w:t xml:space="preserve"> Let stakeholders know how their input will be used—such as a presentation or a set of recommendations. </w:t>
      </w:r>
    </w:p>
    <w:p w14:paraId="7DE94F89" w14:textId="69EECE96" w:rsidR="005E45D6" w:rsidRPr="00BE46A7" w:rsidRDefault="0044279D" w:rsidP="00247F12">
      <w:pPr>
        <w:pStyle w:val="ListParagraph"/>
        <w:numPr>
          <w:ilvl w:val="0"/>
          <w:numId w:val="5"/>
        </w:numPr>
        <w:spacing w:after="160"/>
        <w:ind w:left="720"/>
        <w:contextualSpacing w:val="0"/>
        <w:rPr>
          <w:rFonts w:ascii="Arial" w:hAnsi="Arial" w:cs="Arial"/>
          <w:sz w:val="24"/>
          <w:szCs w:val="24"/>
        </w:rPr>
      </w:pPr>
      <w:r>
        <w:rPr>
          <w:rFonts w:ascii="Arial" w:hAnsi="Arial" w:cs="Arial"/>
          <w:sz w:val="24"/>
          <w:szCs w:val="24"/>
        </w:rPr>
        <w:t xml:space="preserve">Build Trust: </w:t>
      </w:r>
      <w:r w:rsidR="005E45D6" w:rsidRPr="00BE46A7">
        <w:rPr>
          <w:rFonts w:ascii="Arial" w:hAnsi="Arial" w:cs="Arial"/>
          <w:sz w:val="24"/>
          <w:szCs w:val="24"/>
        </w:rPr>
        <w:t xml:space="preserve">Create an environment that allows stakeholders to provide meaningful, productive feedback and also keeps them engaged in the process moving forward. </w:t>
      </w:r>
    </w:p>
    <w:p w14:paraId="79825B84" w14:textId="47E2D3A6" w:rsidR="005E45D6" w:rsidRPr="000A1CA3" w:rsidRDefault="00BE46A7" w:rsidP="00247F12">
      <w:pPr>
        <w:pStyle w:val="ListParagraph"/>
        <w:numPr>
          <w:ilvl w:val="0"/>
          <w:numId w:val="5"/>
        </w:numPr>
        <w:spacing w:after="160"/>
        <w:ind w:left="720"/>
        <w:contextualSpacing w:val="0"/>
        <w:rPr>
          <w:rFonts w:ascii="Arial" w:hAnsi="Arial" w:cs="Arial"/>
          <w:sz w:val="24"/>
          <w:szCs w:val="24"/>
        </w:rPr>
      </w:pPr>
      <w:r w:rsidRPr="00BE46A7">
        <w:rPr>
          <w:rFonts w:ascii="Arial" w:hAnsi="Arial" w:cs="Arial"/>
          <w:sz w:val="24"/>
          <w:szCs w:val="24"/>
        </w:rPr>
        <w:t>E</w:t>
      </w:r>
      <w:r w:rsidR="0044279D">
        <w:rPr>
          <w:rFonts w:ascii="Arial" w:hAnsi="Arial" w:cs="Arial"/>
          <w:sz w:val="24"/>
          <w:szCs w:val="24"/>
        </w:rPr>
        <w:t>ncourage Participation:</w:t>
      </w:r>
      <w:r w:rsidR="005E45D6" w:rsidRPr="00BE46A7">
        <w:rPr>
          <w:rFonts w:ascii="Arial" w:hAnsi="Arial" w:cs="Arial"/>
          <w:sz w:val="24"/>
          <w:szCs w:val="24"/>
        </w:rPr>
        <w:t xml:space="preserve"> Encourage stakeholders to share their perspectives, suggestions and feedback. Ensure that all participants have an opportunity to speak.</w:t>
      </w:r>
    </w:p>
    <w:p w14:paraId="5740AF38" w14:textId="117B077B" w:rsidR="0044279D" w:rsidRPr="00E908E5" w:rsidRDefault="0044279D" w:rsidP="00247F12">
      <w:pPr>
        <w:pStyle w:val="ListParagraph"/>
        <w:numPr>
          <w:ilvl w:val="0"/>
          <w:numId w:val="5"/>
        </w:numPr>
        <w:spacing w:after="160"/>
        <w:ind w:left="720"/>
        <w:contextualSpacing w:val="0"/>
        <w:rPr>
          <w:rFonts w:ascii="Arial" w:hAnsi="Arial" w:cs="Arial"/>
          <w:sz w:val="24"/>
          <w:szCs w:val="24"/>
        </w:rPr>
      </w:pPr>
      <w:r>
        <w:rPr>
          <w:rFonts w:ascii="Arial" w:hAnsi="Arial" w:cs="Arial"/>
          <w:sz w:val="24"/>
          <w:szCs w:val="24"/>
        </w:rPr>
        <w:t>Assign a Note Taker:</w:t>
      </w:r>
      <w:r w:rsidR="005E45D6" w:rsidRPr="00BE46A7">
        <w:rPr>
          <w:rFonts w:ascii="Arial" w:hAnsi="Arial" w:cs="Arial"/>
          <w:sz w:val="24"/>
          <w:szCs w:val="24"/>
        </w:rPr>
        <w:t xml:space="preserve"> Communicate that the discussion is important and will be revisited at different stages in the planning process.</w:t>
      </w:r>
    </w:p>
    <w:p w14:paraId="0826F0F0" w14:textId="5A06DD04" w:rsidR="006B203A" w:rsidRPr="00C66FA2" w:rsidRDefault="006B203A" w:rsidP="00F01DF6">
      <w:pPr>
        <w:pStyle w:val="Heading2"/>
      </w:pPr>
      <w:r w:rsidRPr="00C66FA2">
        <w:t>S</w:t>
      </w:r>
      <w:r w:rsidR="0096016A" w:rsidRPr="00C66FA2">
        <w:t>tep 5</w:t>
      </w:r>
      <w:r w:rsidRPr="00C66FA2">
        <w:t>:</w:t>
      </w:r>
      <w:r w:rsidR="0090049D" w:rsidRPr="00C66FA2">
        <w:t xml:space="preserve"> Review Equity </w:t>
      </w:r>
      <w:r w:rsidRPr="00C66FA2">
        <w:t>Data</w:t>
      </w:r>
    </w:p>
    <w:p w14:paraId="6B5DE728" w14:textId="2F41471A" w:rsidR="005E45D6" w:rsidRDefault="006B203A" w:rsidP="004E3461">
      <w:pPr>
        <w:spacing w:after="240"/>
        <w:rPr>
          <w:rFonts w:ascii="Arial" w:hAnsi="Arial" w:cs="Arial"/>
          <w:sz w:val="24"/>
          <w:szCs w:val="24"/>
        </w:rPr>
      </w:pPr>
      <w:r w:rsidRPr="005E45D6">
        <w:rPr>
          <w:rFonts w:ascii="Arial" w:hAnsi="Arial" w:cs="Arial"/>
          <w:sz w:val="24"/>
          <w:szCs w:val="24"/>
        </w:rPr>
        <w:t>A key ingredient for eff</w:t>
      </w:r>
      <w:r w:rsidR="000E0EF2">
        <w:rPr>
          <w:rFonts w:ascii="Arial" w:hAnsi="Arial" w:cs="Arial"/>
          <w:sz w:val="24"/>
          <w:szCs w:val="24"/>
        </w:rPr>
        <w:t>ective stakeholder engagement about</w:t>
      </w:r>
      <w:r w:rsidR="00095C42">
        <w:rPr>
          <w:rFonts w:ascii="Arial" w:hAnsi="Arial" w:cs="Arial"/>
          <w:sz w:val="24"/>
          <w:szCs w:val="24"/>
        </w:rPr>
        <w:t xml:space="preserve"> equitable access is discussion</w:t>
      </w:r>
      <w:r w:rsidRPr="005E45D6">
        <w:rPr>
          <w:rFonts w:ascii="Arial" w:hAnsi="Arial" w:cs="Arial"/>
          <w:sz w:val="24"/>
          <w:szCs w:val="24"/>
        </w:rPr>
        <w:t xml:space="preserve"> centered on data and evidence—data on the scope of the equitable access challenge, data on interventions and their impact, and data on progress toward achieving equitable access goals. </w:t>
      </w:r>
      <w:r w:rsidR="004E3461" w:rsidRPr="00BE46A7">
        <w:rPr>
          <w:rFonts w:ascii="Arial" w:hAnsi="Arial" w:cs="Arial"/>
          <w:sz w:val="24"/>
          <w:szCs w:val="24"/>
        </w:rPr>
        <w:t xml:space="preserve">Consider the following strategies for ensuring that stakeholder communication </w:t>
      </w:r>
      <w:r w:rsidR="004E3461">
        <w:rPr>
          <w:rFonts w:ascii="Arial" w:hAnsi="Arial" w:cs="Arial"/>
          <w:sz w:val="24"/>
          <w:szCs w:val="24"/>
        </w:rPr>
        <w:t>becomes stakeholder engagement</w:t>
      </w:r>
      <w:r w:rsidR="00367328">
        <w:rPr>
          <w:rFonts w:ascii="Arial" w:hAnsi="Arial" w:cs="Arial"/>
          <w:sz w:val="24"/>
          <w:szCs w:val="24"/>
        </w:rPr>
        <w:t>:</w:t>
      </w:r>
    </w:p>
    <w:p w14:paraId="341EAD8A" w14:textId="765188EF" w:rsidR="0096016A" w:rsidRDefault="0096016A" w:rsidP="00247F12">
      <w:pPr>
        <w:pStyle w:val="ListParagraph"/>
        <w:numPr>
          <w:ilvl w:val="0"/>
          <w:numId w:val="9"/>
        </w:numPr>
        <w:spacing w:after="160"/>
        <w:contextualSpacing w:val="0"/>
        <w:rPr>
          <w:rFonts w:ascii="Arial" w:hAnsi="Arial" w:cs="Arial"/>
          <w:sz w:val="24"/>
          <w:szCs w:val="24"/>
        </w:rPr>
      </w:pPr>
      <w:r>
        <w:rPr>
          <w:rFonts w:ascii="Arial" w:hAnsi="Arial" w:cs="Arial"/>
          <w:sz w:val="24"/>
          <w:szCs w:val="24"/>
        </w:rPr>
        <w:t>Provide all stakeholder</w:t>
      </w:r>
      <w:r w:rsidR="00B56AEE">
        <w:rPr>
          <w:rFonts w:ascii="Arial" w:hAnsi="Arial" w:cs="Arial"/>
          <w:sz w:val="24"/>
          <w:szCs w:val="24"/>
        </w:rPr>
        <w:t>s</w:t>
      </w:r>
      <w:r>
        <w:rPr>
          <w:rFonts w:ascii="Arial" w:hAnsi="Arial" w:cs="Arial"/>
          <w:sz w:val="24"/>
          <w:szCs w:val="24"/>
        </w:rPr>
        <w:t xml:space="preserve"> </w:t>
      </w:r>
      <w:r w:rsidR="000E0EF2">
        <w:rPr>
          <w:rFonts w:ascii="Arial" w:hAnsi="Arial" w:cs="Arial"/>
          <w:sz w:val="24"/>
          <w:szCs w:val="24"/>
        </w:rPr>
        <w:t>with the ESSA definitions</w:t>
      </w:r>
      <w:r w:rsidR="00393F5F">
        <w:rPr>
          <w:rFonts w:ascii="Arial" w:hAnsi="Arial" w:cs="Arial"/>
          <w:sz w:val="24"/>
          <w:szCs w:val="24"/>
        </w:rPr>
        <w:t xml:space="preserve"> (out-of-</w:t>
      </w:r>
      <w:r>
        <w:rPr>
          <w:rFonts w:ascii="Arial" w:hAnsi="Arial" w:cs="Arial"/>
          <w:sz w:val="24"/>
          <w:szCs w:val="24"/>
        </w:rPr>
        <w:t>field, ineffective</w:t>
      </w:r>
      <w:r w:rsidR="00393F5F">
        <w:rPr>
          <w:rFonts w:ascii="Arial" w:hAnsi="Arial" w:cs="Arial"/>
          <w:sz w:val="24"/>
          <w:szCs w:val="24"/>
        </w:rPr>
        <w:t>, inexperienced</w:t>
      </w:r>
      <w:r w:rsidR="00367328">
        <w:rPr>
          <w:rFonts w:ascii="Arial" w:hAnsi="Arial" w:cs="Arial"/>
          <w:sz w:val="24"/>
          <w:szCs w:val="24"/>
        </w:rPr>
        <w:t>,</w:t>
      </w:r>
      <w:r>
        <w:rPr>
          <w:rFonts w:ascii="Arial" w:hAnsi="Arial" w:cs="Arial"/>
          <w:sz w:val="24"/>
          <w:szCs w:val="24"/>
        </w:rPr>
        <w:t xml:space="preserve"> etc.) that were used to pull data</w:t>
      </w:r>
    </w:p>
    <w:p w14:paraId="7BFF4351" w14:textId="775E15BC" w:rsidR="0096016A" w:rsidRDefault="0096016A" w:rsidP="00C66FA2">
      <w:pPr>
        <w:pStyle w:val="ListParagraph"/>
        <w:numPr>
          <w:ilvl w:val="0"/>
          <w:numId w:val="9"/>
        </w:numPr>
        <w:spacing w:after="720"/>
        <w:contextualSpacing w:val="0"/>
        <w:rPr>
          <w:rFonts w:ascii="Arial" w:hAnsi="Arial" w:cs="Arial"/>
          <w:sz w:val="24"/>
          <w:szCs w:val="24"/>
        </w:rPr>
      </w:pPr>
      <w:r>
        <w:rPr>
          <w:rFonts w:ascii="Arial" w:hAnsi="Arial" w:cs="Arial"/>
          <w:sz w:val="24"/>
          <w:szCs w:val="24"/>
        </w:rPr>
        <w:t xml:space="preserve">Think about how best to share </w:t>
      </w:r>
      <w:r w:rsidR="00095C42">
        <w:rPr>
          <w:rFonts w:ascii="Arial" w:hAnsi="Arial" w:cs="Arial"/>
          <w:sz w:val="24"/>
          <w:szCs w:val="24"/>
        </w:rPr>
        <w:t>the data with your stakeholders. F</w:t>
      </w:r>
      <w:r>
        <w:rPr>
          <w:rFonts w:ascii="Arial" w:hAnsi="Arial" w:cs="Arial"/>
          <w:sz w:val="24"/>
          <w:szCs w:val="24"/>
        </w:rPr>
        <w:t>or example</w:t>
      </w:r>
      <w:r w:rsidR="00B56AEE">
        <w:rPr>
          <w:rFonts w:ascii="Arial" w:hAnsi="Arial" w:cs="Arial"/>
          <w:sz w:val="24"/>
          <w:szCs w:val="24"/>
        </w:rPr>
        <w:t>,</w:t>
      </w:r>
      <w:r>
        <w:rPr>
          <w:rFonts w:ascii="Arial" w:hAnsi="Arial" w:cs="Arial"/>
          <w:sz w:val="24"/>
          <w:szCs w:val="24"/>
        </w:rPr>
        <w:t xml:space="preserve"> </w:t>
      </w:r>
      <w:r w:rsidR="00095C42">
        <w:rPr>
          <w:rFonts w:ascii="Arial" w:hAnsi="Arial" w:cs="Arial"/>
          <w:sz w:val="24"/>
          <w:szCs w:val="24"/>
        </w:rPr>
        <w:t xml:space="preserve">consider dividing team members into </w:t>
      </w:r>
      <w:r>
        <w:rPr>
          <w:rFonts w:ascii="Arial" w:hAnsi="Arial" w:cs="Arial"/>
          <w:sz w:val="24"/>
          <w:szCs w:val="24"/>
        </w:rPr>
        <w:t>small groups divided by grade levels (elementary, middle, high), or group</w:t>
      </w:r>
      <w:r w:rsidR="00B56AEE">
        <w:rPr>
          <w:rFonts w:ascii="Arial" w:hAnsi="Arial" w:cs="Arial"/>
          <w:sz w:val="24"/>
          <w:szCs w:val="24"/>
        </w:rPr>
        <w:t>s</w:t>
      </w:r>
      <w:r>
        <w:rPr>
          <w:rFonts w:ascii="Arial" w:hAnsi="Arial" w:cs="Arial"/>
          <w:sz w:val="24"/>
          <w:szCs w:val="24"/>
        </w:rPr>
        <w:t xml:space="preserve"> divided by ESSA defi</w:t>
      </w:r>
      <w:r w:rsidR="00867718">
        <w:rPr>
          <w:rFonts w:ascii="Arial" w:hAnsi="Arial" w:cs="Arial"/>
          <w:sz w:val="24"/>
          <w:szCs w:val="24"/>
        </w:rPr>
        <w:t>ni</w:t>
      </w:r>
      <w:r>
        <w:rPr>
          <w:rFonts w:ascii="Arial" w:hAnsi="Arial" w:cs="Arial"/>
          <w:sz w:val="24"/>
          <w:szCs w:val="24"/>
        </w:rPr>
        <w:t>tions (inexperienced, out-of-field, ineffective</w:t>
      </w:r>
      <w:r w:rsidR="00367328">
        <w:rPr>
          <w:rFonts w:ascii="Arial" w:hAnsi="Arial" w:cs="Arial"/>
          <w:sz w:val="24"/>
          <w:szCs w:val="24"/>
        </w:rPr>
        <w:t>,</w:t>
      </w:r>
      <w:r>
        <w:rPr>
          <w:rFonts w:ascii="Arial" w:hAnsi="Arial" w:cs="Arial"/>
          <w:sz w:val="24"/>
          <w:szCs w:val="24"/>
        </w:rPr>
        <w:t xml:space="preserve"> etc.)</w:t>
      </w:r>
    </w:p>
    <w:p w14:paraId="6E727F74" w14:textId="77777777" w:rsidR="00FF7FAA" w:rsidRDefault="00FF7FAA" w:rsidP="00FF7FAA">
      <w:pPr>
        <w:pStyle w:val="FootnoteText"/>
        <w:spacing w:after="240"/>
        <w:rPr>
          <w:rFonts w:ascii="Arial" w:hAnsi="Arial" w:cs="Arial"/>
          <w:color w:val="auto"/>
          <w:sz w:val="24"/>
          <w:szCs w:val="24"/>
        </w:rPr>
      </w:pPr>
      <w:r>
        <w:rPr>
          <w:rFonts w:ascii="Arial" w:hAnsi="Arial" w:cs="Arial"/>
          <w:color w:val="auto"/>
          <w:sz w:val="24"/>
          <w:szCs w:val="24"/>
        </w:rPr>
        <w:t>Please note: This document was a</w:t>
      </w:r>
      <w:r w:rsidRPr="00114F2F">
        <w:rPr>
          <w:rFonts w:ascii="Arial" w:hAnsi="Arial" w:cs="Arial"/>
          <w:color w:val="auto"/>
          <w:sz w:val="24"/>
          <w:szCs w:val="24"/>
        </w:rPr>
        <w:t xml:space="preserve">dapted from: </w:t>
      </w:r>
      <w:r>
        <w:rPr>
          <w:rFonts w:ascii="Arial" w:hAnsi="Arial" w:cs="Arial"/>
          <w:i/>
          <w:color w:val="auto"/>
          <w:sz w:val="24"/>
          <w:szCs w:val="24"/>
        </w:rPr>
        <w:t>Stakeholder Engagement Guide</w:t>
      </w:r>
      <w:r>
        <w:rPr>
          <w:rFonts w:ascii="Arial" w:hAnsi="Arial" w:cs="Arial"/>
          <w:color w:val="auto"/>
          <w:sz w:val="24"/>
          <w:szCs w:val="24"/>
        </w:rPr>
        <w:t xml:space="preserve">, Center on Great Teachers &amp; Leaders at the American Institutes for Research, </w:t>
      </w:r>
      <w:hyperlink r:id="rId14" w:tooltip="Stakeholder Engagement Guide" w:history="1">
        <w:r w:rsidRPr="00822B53">
          <w:rPr>
            <w:rStyle w:val="Hyperlink"/>
            <w:rFonts w:ascii="Arial" w:hAnsi="Arial" w:cs="Arial"/>
            <w:color w:val="0000FF"/>
            <w:sz w:val="24"/>
          </w:rPr>
          <w:t>https://gtlcenter.org/learning-hub/equitable-access-toolkit/stakeholder-engagement-guide</w:t>
        </w:r>
      </w:hyperlink>
      <w:r>
        <w:rPr>
          <w:rFonts w:ascii="Arial" w:hAnsi="Arial" w:cs="Arial"/>
          <w:color w:val="auto"/>
          <w:sz w:val="24"/>
          <w:szCs w:val="24"/>
        </w:rPr>
        <w:t>, accessed January 31, 2019.</w:t>
      </w:r>
    </w:p>
    <w:p w14:paraId="7E7D1C68" w14:textId="19BC54AF" w:rsidR="009F698A" w:rsidRDefault="009F698A" w:rsidP="004E3461">
      <w:pPr>
        <w:rPr>
          <w:rFonts w:ascii="Arial" w:eastAsiaTheme="majorEastAsia" w:hAnsi="Arial" w:cs="Arial"/>
          <w:color w:val="2E74B5" w:themeColor="accent1" w:themeShade="BF"/>
          <w:sz w:val="32"/>
          <w:szCs w:val="32"/>
        </w:rPr>
      </w:pPr>
      <w:r>
        <w:rPr>
          <w:rFonts w:ascii="Arial" w:eastAsiaTheme="majorEastAsia" w:hAnsi="Arial" w:cs="Arial"/>
          <w:noProof/>
          <w:color w:val="2F5496" w:themeColor="accent5" w:themeShade="BF"/>
          <w:sz w:val="28"/>
          <w:szCs w:val="28"/>
        </w:rPr>
        <w:drawing>
          <wp:inline distT="0" distB="0" distL="0" distR="0" wp14:anchorId="69097D90" wp14:editId="2B358CB2">
            <wp:extent cx="7172211" cy="666750"/>
            <wp:effectExtent l="0" t="0" r="0" b="0"/>
            <wp:docPr id="7" name="Picture 7" descr="Border image created with colored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 equity logo bottom border.png"/>
                    <pic:cNvPicPr/>
                  </pic:nvPicPr>
                  <pic:blipFill>
                    <a:blip r:embed="rId12">
                      <a:extLst>
                        <a:ext uri="{28A0092B-C50C-407E-A947-70E740481C1C}">
                          <a14:useLocalDpi xmlns:a14="http://schemas.microsoft.com/office/drawing/2010/main" val="0"/>
                        </a:ext>
                      </a:extLst>
                    </a:blip>
                    <a:stretch>
                      <a:fillRect/>
                    </a:stretch>
                  </pic:blipFill>
                  <pic:spPr>
                    <a:xfrm>
                      <a:off x="0" y="0"/>
                      <a:ext cx="7223106" cy="671481"/>
                    </a:xfrm>
                    <a:prstGeom prst="rect">
                      <a:avLst/>
                    </a:prstGeom>
                  </pic:spPr>
                </pic:pic>
              </a:graphicData>
            </a:graphic>
          </wp:inline>
        </w:drawing>
      </w:r>
      <w:r>
        <w:rPr>
          <w:rFonts w:ascii="Arial" w:hAnsi="Arial" w:cs="Arial"/>
        </w:rPr>
        <w:br w:type="page"/>
      </w:r>
    </w:p>
    <w:p w14:paraId="1C37A6F6" w14:textId="04243355" w:rsidR="00247F12" w:rsidRPr="00247F12" w:rsidRDefault="00247F12" w:rsidP="00247F12">
      <w:pPr>
        <w:pStyle w:val="ListParagraph"/>
        <w:numPr>
          <w:ilvl w:val="0"/>
          <w:numId w:val="9"/>
        </w:numPr>
        <w:spacing w:after="240"/>
        <w:contextualSpacing w:val="0"/>
        <w:rPr>
          <w:rFonts w:ascii="Arial" w:hAnsi="Arial" w:cs="Arial"/>
          <w:sz w:val="24"/>
          <w:szCs w:val="24"/>
        </w:rPr>
      </w:pPr>
      <w:r>
        <w:rPr>
          <w:rFonts w:ascii="Arial" w:hAnsi="Arial" w:cs="Arial"/>
          <w:sz w:val="24"/>
          <w:szCs w:val="24"/>
        </w:rPr>
        <w:lastRenderedPageBreak/>
        <w:t>Some stakeholders may be inexperienced with reviewing data. Be sure to pair them with internal personnel and provide time for activities and reflection.</w:t>
      </w:r>
    </w:p>
    <w:p w14:paraId="64AAE53B" w14:textId="3F356554" w:rsidR="00AF1364" w:rsidRPr="00C66FA2" w:rsidRDefault="0090049D" w:rsidP="00F01DF6">
      <w:pPr>
        <w:pStyle w:val="Heading2"/>
      </w:pPr>
      <w:r w:rsidRPr="00C66FA2">
        <w:t xml:space="preserve">Step </w:t>
      </w:r>
      <w:r w:rsidR="00187B44" w:rsidRPr="00C66FA2">
        <w:t>6</w:t>
      </w:r>
      <w:r w:rsidRPr="00C66FA2">
        <w:t>: Review Root Cause Analysis</w:t>
      </w:r>
    </w:p>
    <w:p w14:paraId="27478B38" w14:textId="5B4B31B1" w:rsidR="0096016A" w:rsidRDefault="0054355E" w:rsidP="0001441A">
      <w:pPr>
        <w:spacing w:after="240"/>
        <w:rPr>
          <w:rFonts w:ascii="Arial" w:hAnsi="Arial" w:cs="Arial"/>
          <w:sz w:val="24"/>
          <w:szCs w:val="24"/>
        </w:rPr>
      </w:pPr>
      <w:r>
        <w:rPr>
          <w:rFonts w:ascii="Arial" w:hAnsi="Arial" w:cs="Arial"/>
          <w:sz w:val="24"/>
          <w:szCs w:val="24"/>
        </w:rPr>
        <w:t xml:space="preserve">LEAs may decide to develop a root cause analysis before they meet with their equity stakeholder team and others may do their analysis for the first time with a team. The benefit of performing the analysis before the stakeholder meeting is that LEAs may be able to anticipate and research various stakeholder team member questions before the meeting and provide meaningful feedback. </w:t>
      </w:r>
    </w:p>
    <w:p w14:paraId="018E835E" w14:textId="2E3091BE" w:rsidR="009F698A" w:rsidRDefault="00867718" w:rsidP="0001441A">
      <w:pPr>
        <w:spacing w:after="240"/>
        <w:rPr>
          <w:rFonts w:ascii="Arial" w:hAnsi="Arial" w:cs="Arial"/>
          <w:sz w:val="24"/>
          <w:szCs w:val="24"/>
        </w:rPr>
      </w:pPr>
      <w:r>
        <w:rPr>
          <w:rFonts w:ascii="Arial" w:hAnsi="Arial" w:cs="Arial"/>
          <w:sz w:val="24"/>
          <w:szCs w:val="24"/>
        </w:rPr>
        <w:t>If an LEA develops a root cause an</w:t>
      </w:r>
      <w:r w:rsidR="00095C42">
        <w:rPr>
          <w:rFonts w:ascii="Arial" w:hAnsi="Arial" w:cs="Arial"/>
          <w:sz w:val="24"/>
          <w:szCs w:val="24"/>
        </w:rPr>
        <w:t>alysis before meeting with the</w:t>
      </w:r>
      <w:r>
        <w:rPr>
          <w:rFonts w:ascii="Arial" w:hAnsi="Arial" w:cs="Arial"/>
          <w:sz w:val="24"/>
          <w:szCs w:val="24"/>
        </w:rPr>
        <w:t xml:space="preserve"> equity stakeholder team, they will nee</w:t>
      </w:r>
      <w:r w:rsidR="00095C42">
        <w:rPr>
          <w:rFonts w:ascii="Arial" w:hAnsi="Arial" w:cs="Arial"/>
          <w:sz w:val="24"/>
          <w:szCs w:val="24"/>
        </w:rPr>
        <w:t>d to walk the team through the</w:t>
      </w:r>
      <w:r>
        <w:rPr>
          <w:rFonts w:ascii="Arial" w:hAnsi="Arial" w:cs="Arial"/>
          <w:sz w:val="24"/>
          <w:szCs w:val="24"/>
        </w:rPr>
        <w:t xml:space="preserve"> process for developing the root cause analysis. The equity team should be able to add additional root causes to the initial list if the team agrees it is warranted.</w:t>
      </w:r>
      <w:r w:rsidR="00BD6718">
        <w:rPr>
          <w:rFonts w:ascii="Arial" w:hAnsi="Arial" w:cs="Arial"/>
          <w:sz w:val="24"/>
          <w:szCs w:val="24"/>
        </w:rPr>
        <w:t xml:space="preserve"> </w:t>
      </w:r>
    </w:p>
    <w:p w14:paraId="2FC00125" w14:textId="70E99BA2" w:rsidR="000E0EF2" w:rsidRPr="00A53E11" w:rsidRDefault="00867718" w:rsidP="00173CB2">
      <w:pPr>
        <w:spacing w:after="160"/>
        <w:rPr>
          <w:rFonts w:ascii="Arial" w:hAnsi="Arial" w:cs="Arial"/>
          <w:sz w:val="24"/>
          <w:szCs w:val="24"/>
        </w:rPr>
      </w:pPr>
      <w:r w:rsidRPr="00867718">
        <w:rPr>
          <w:rFonts w:ascii="Arial" w:hAnsi="Arial" w:cs="Arial"/>
          <w:sz w:val="24"/>
          <w:szCs w:val="24"/>
        </w:rPr>
        <w:t>In addition, the LEA should anticipate questions that external team members may have out the recruitment and retention practices already in place at the LEA.</w:t>
      </w:r>
    </w:p>
    <w:p w14:paraId="25D5EAA2" w14:textId="1171C8C5" w:rsidR="00455556" w:rsidRPr="00E908E5" w:rsidRDefault="000E0EF2" w:rsidP="00173CB2">
      <w:pPr>
        <w:spacing w:after="160"/>
        <w:rPr>
          <w:rFonts w:ascii="Arial" w:hAnsi="Arial" w:cs="Arial"/>
          <w:sz w:val="24"/>
        </w:rPr>
      </w:pPr>
      <w:r>
        <w:rPr>
          <w:rFonts w:ascii="Arial" w:hAnsi="Arial" w:cs="Arial"/>
          <w:sz w:val="24"/>
        </w:rPr>
        <w:t>Some questions that s</w:t>
      </w:r>
      <w:r w:rsidR="007724CB" w:rsidRPr="000E0EF2">
        <w:rPr>
          <w:rFonts w:ascii="Arial" w:hAnsi="Arial" w:cs="Arial"/>
          <w:sz w:val="24"/>
        </w:rPr>
        <w:t>takeholder</w:t>
      </w:r>
      <w:r>
        <w:rPr>
          <w:rFonts w:ascii="Arial" w:hAnsi="Arial" w:cs="Arial"/>
          <w:sz w:val="24"/>
        </w:rPr>
        <w:t>s</w:t>
      </w:r>
      <w:r w:rsidR="007724CB" w:rsidRPr="000E0EF2">
        <w:rPr>
          <w:rFonts w:ascii="Arial" w:hAnsi="Arial" w:cs="Arial"/>
          <w:sz w:val="24"/>
        </w:rPr>
        <w:t xml:space="preserve"> </w:t>
      </w:r>
      <w:r>
        <w:rPr>
          <w:rFonts w:ascii="Arial" w:hAnsi="Arial" w:cs="Arial"/>
          <w:sz w:val="24"/>
        </w:rPr>
        <w:t>may have are</w:t>
      </w:r>
      <w:r w:rsidR="007724CB" w:rsidRPr="000E0EF2">
        <w:rPr>
          <w:rFonts w:ascii="Arial" w:hAnsi="Arial" w:cs="Arial"/>
          <w:sz w:val="24"/>
        </w:rPr>
        <w:t>:</w:t>
      </w:r>
    </w:p>
    <w:p w14:paraId="1A970B77" w14:textId="77777777" w:rsidR="00126A31" w:rsidRPr="00247F12" w:rsidRDefault="00126A31" w:rsidP="00095C42">
      <w:pPr>
        <w:pStyle w:val="ListParagraph"/>
        <w:numPr>
          <w:ilvl w:val="0"/>
          <w:numId w:val="20"/>
        </w:numPr>
        <w:spacing w:after="160"/>
        <w:contextualSpacing w:val="0"/>
        <w:rPr>
          <w:rFonts w:ascii="Arial" w:eastAsia="FangSong" w:hAnsi="Arial" w:cs="Arial"/>
          <w:sz w:val="24"/>
        </w:rPr>
      </w:pPr>
      <w:r w:rsidRPr="00247F12">
        <w:rPr>
          <w:rFonts w:ascii="Arial" w:eastAsia="FangSong" w:hAnsi="Arial" w:cs="Arial"/>
          <w:sz w:val="24"/>
        </w:rPr>
        <w:t>What teacher recruitment practices are in place?</w:t>
      </w:r>
    </w:p>
    <w:p w14:paraId="2F9F9A11" w14:textId="77777777" w:rsidR="00126A31" w:rsidRPr="00247F12" w:rsidRDefault="00126A31" w:rsidP="00095C42">
      <w:pPr>
        <w:pStyle w:val="ListParagraph"/>
        <w:numPr>
          <w:ilvl w:val="0"/>
          <w:numId w:val="20"/>
        </w:numPr>
        <w:spacing w:after="160"/>
        <w:contextualSpacing w:val="0"/>
        <w:rPr>
          <w:rFonts w:ascii="Arial" w:eastAsia="FangSong" w:hAnsi="Arial" w:cs="Arial"/>
          <w:sz w:val="24"/>
        </w:rPr>
      </w:pPr>
      <w:r w:rsidRPr="00247F12">
        <w:rPr>
          <w:rFonts w:ascii="Arial" w:eastAsia="FangSong" w:hAnsi="Arial" w:cs="Arial"/>
          <w:sz w:val="24"/>
        </w:rPr>
        <w:t>What time of year does teacher recruitment start?</w:t>
      </w:r>
    </w:p>
    <w:p w14:paraId="18E63CBE" w14:textId="77777777" w:rsidR="00126A31" w:rsidRPr="00247F12" w:rsidRDefault="00C15AD0" w:rsidP="00095C42">
      <w:pPr>
        <w:pStyle w:val="ListParagraph"/>
        <w:numPr>
          <w:ilvl w:val="0"/>
          <w:numId w:val="20"/>
        </w:numPr>
        <w:spacing w:after="160"/>
        <w:contextualSpacing w:val="0"/>
        <w:rPr>
          <w:rFonts w:ascii="Arial" w:eastAsia="FangSong" w:hAnsi="Arial" w:cs="Arial"/>
          <w:sz w:val="24"/>
        </w:rPr>
      </w:pPr>
      <w:r w:rsidRPr="00247F12">
        <w:rPr>
          <w:rFonts w:ascii="Arial" w:eastAsia="FangSong" w:hAnsi="Arial" w:cs="Arial"/>
          <w:sz w:val="24"/>
        </w:rPr>
        <w:t>What are the priorities for</w:t>
      </w:r>
      <w:r w:rsidR="00126A31" w:rsidRPr="00247F12">
        <w:rPr>
          <w:rFonts w:ascii="Arial" w:eastAsia="FangSong" w:hAnsi="Arial" w:cs="Arial"/>
          <w:sz w:val="24"/>
        </w:rPr>
        <w:t xml:space="preserve"> hiring new teachers?</w:t>
      </w:r>
    </w:p>
    <w:p w14:paraId="53B51233" w14:textId="77777777" w:rsidR="00126A31" w:rsidRPr="00247F12" w:rsidRDefault="00126A31" w:rsidP="00095C42">
      <w:pPr>
        <w:pStyle w:val="ListParagraph"/>
        <w:numPr>
          <w:ilvl w:val="0"/>
          <w:numId w:val="20"/>
        </w:numPr>
        <w:spacing w:after="160"/>
        <w:contextualSpacing w:val="0"/>
        <w:rPr>
          <w:rFonts w:ascii="Arial" w:eastAsia="FangSong" w:hAnsi="Arial" w:cs="Arial"/>
          <w:sz w:val="24"/>
        </w:rPr>
      </w:pPr>
      <w:r w:rsidRPr="00247F12">
        <w:rPr>
          <w:rFonts w:ascii="Arial" w:eastAsia="FangSong" w:hAnsi="Arial" w:cs="Arial"/>
          <w:sz w:val="24"/>
        </w:rPr>
        <w:t>What is the teacher turnover rate?</w:t>
      </w:r>
    </w:p>
    <w:p w14:paraId="64880BD0" w14:textId="77777777" w:rsidR="00126A31" w:rsidRPr="00247F12" w:rsidRDefault="00126A31" w:rsidP="00095C42">
      <w:pPr>
        <w:pStyle w:val="ListParagraph"/>
        <w:numPr>
          <w:ilvl w:val="0"/>
          <w:numId w:val="20"/>
        </w:numPr>
        <w:spacing w:after="160"/>
        <w:contextualSpacing w:val="0"/>
        <w:rPr>
          <w:rFonts w:ascii="Arial" w:eastAsia="FangSong" w:hAnsi="Arial" w:cs="Arial"/>
          <w:sz w:val="24"/>
        </w:rPr>
      </w:pPr>
      <w:r w:rsidRPr="00247F12">
        <w:rPr>
          <w:rFonts w:ascii="Arial" w:eastAsia="FangSong" w:hAnsi="Arial" w:cs="Arial"/>
          <w:sz w:val="24"/>
        </w:rPr>
        <w:t>What supports are in place for new teachers?</w:t>
      </w:r>
    </w:p>
    <w:p w14:paraId="27AEB0D4" w14:textId="34A83E9B" w:rsidR="00E908E5" w:rsidRPr="00247F12" w:rsidRDefault="00AF1364" w:rsidP="00095C42">
      <w:pPr>
        <w:pStyle w:val="ListParagraph"/>
        <w:numPr>
          <w:ilvl w:val="0"/>
          <w:numId w:val="20"/>
        </w:numPr>
        <w:spacing w:after="160"/>
        <w:contextualSpacing w:val="0"/>
        <w:rPr>
          <w:rFonts w:ascii="Arial" w:eastAsia="FangSong" w:hAnsi="Arial" w:cs="Arial"/>
          <w:sz w:val="24"/>
        </w:rPr>
      </w:pPr>
      <w:r w:rsidRPr="00247F12">
        <w:rPr>
          <w:rFonts w:ascii="Arial" w:eastAsia="FangSong" w:hAnsi="Arial" w:cs="Arial"/>
          <w:sz w:val="24"/>
        </w:rPr>
        <w:t>How are students assigned to teachers each year?</w:t>
      </w:r>
      <w:r w:rsidR="00126A31" w:rsidRPr="00247F12">
        <w:rPr>
          <w:rFonts w:ascii="Arial" w:eastAsia="FangSong" w:hAnsi="Arial" w:cs="Arial"/>
          <w:sz w:val="24"/>
        </w:rPr>
        <w:t xml:space="preserve"> Does this vary by school?</w:t>
      </w:r>
    </w:p>
    <w:p w14:paraId="7BA0364C" w14:textId="3AD80126" w:rsidR="00187B44" w:rsidRPr="00C66FA2" w:rsidRDefault="00187B44" w:rsidP="00F01DF6">
      <w:pPr>
        <w:pStyle w:val="Heading2"/>
      </w:pPr>
      <w:r w:rsidRPr="00C66FA2">
        <w:t>Step 7</w:t>
      </w:r>
      <w:r w:rsidR="005E1CCC" w:rsidRPr="00C66FA2">
        <w:t xml:space="preserve">: </w:t>
      </w:r>
      <w:r w:rsidRPr="00C66FA2">
        <w:t>Developing a Plan to Address Inequities</w:t>
      </w:r>
    </w:p>
    <w:p w14:paraId="194E591B" w14:textId="38BBA297" w:rsidR="00187B44" w:rsidRDefault="00867718" w:rsidP="00095C42">
      <w:pPr>
        <w:spacing w:after="160"/>
        <w:rPr>
          <w:rFonts w:ascii="Arial" w:hAnsi="Arial" w:cs="Arial"/>
          <w:color w:val="000000"/>
          <w:sz w:val="24"/>
          <w:szCs w:val="24"/>
          <w:lang w:val="en"/>
        </w:rPr>
      </w:pPr>
      <w:r>
        <w:rPr>
          <w:rFonts w:ascii="Arial" w:hAnsi="Arial" w:cs="Arial"/>
          <w:sz w:val="24"/>
          <w:szCs w:val="24"/>
        </w:rPr>
        <w:t xml:space="preserve">The Local Control and </w:t>
      </w:r>
      <w:r w:rsidR="00B56AEE">
        <w:rPr>
          <w:rFonts w:ascii="Arial" w:hAnsi="Arial" w:cs="Arial"/>
          <w:sz w:val="24"/>
          <w:szCs w:val="24"/>
        </w:rPr>
        <w:t xml:space="preserve">Accountability Plan </w:t>
      </w:r>
      <w:r>
        <w:rPr>
          <w:rFonts w:ascii="Arial" w:hAnsi="Arial" w:cs="Arial"/>
          <w:sz w:val="24"/>
          <w:szCs w:val="24"/>
        </w:rPr>
        <w:t>Federal Addendum requires LEAs to</w:t>
      </w:r>
      <w:r w:rsidR="0044279D">
        <w:rPr>
          <w:rFonts w:ascii="Arial" w:hAnsi="Arial" w:cs="Arial"/>
          <w:sz w:val="24"/>
          <w:szCs w:val="24"/>
        </w:rPr>
        <w:t xml:space="preserve"> </w:t>
      </w:r>
      <w:r w:rsidR="00187B44" w:rsidRPr="00187B44">
        <w:rPr>
          <w:rFonts w:ascii="Arial" w:hAnsi="Arial" w:cs="Arial"/>
          <w:color w:val="000000"/>
          <w:sz w:val="24"/>
          <w:szCs w:val="24"/>
          <w:lang w:val="en"/>
        </w:rPr>
        <w:t xml:space="preserve">describe actions it will take to address any disparities discovered during the data analysis process. </w:t>
      </w:r>
      <w:r w:rsidR="00095C42">
        <w:rPr>
          <w:rFonts w:ascii="Arial" w:hAnsi="Arial" w:cs="Arial"/>
          <w:color w:val="000000"/>
          <w:sz w:val="24"/>
          <w:szCs w:val="24"/>
          <w:lang w:val="en"/>
        </w:rPr>
        <w:t>When developing a narrative describing the plan, LEAs should consider the following</w:t>
      </w:r>
      <w:r w:rsidR="00173CB2">
        <w:rPr>
          <w:rFonts w:ascii="Arial" w:hAnsi="Arial" w:cs="Arial"/>
          <w:color w:val="000000"/>
          <w:sz w:val="24"/>
          <w:szCs w:val="24"/>
          <w:lang w:val="en"/>
        </w:rPr>
        <w:t>:</w:t>
      </w:r>
    </w:p>
    <w:p w14:paraId="6DBD218B" w14:textId="23F54B23" w:rsidR="00187B44" w:rsidRPr="00247F12" w:rsidRDefault="0044279D" w:rsidP="00095C42">
      <w:pPr>
        <w:pStyle w:val="ListParagraph"/>
        <w:numPr>
          <w:ilvl w:val="0"/>
          <w:numId w:val="21"/>
        </w:numPr>
        <w:spacing w:after="160"/>
        <w:contextualSpacing w:val="0"/>
        <w:rPr>
          <w:rFonts w:ascii="Arial" w:hAnsi="Arial" w:cs="Arial"/>
          <w:sz w:val="24"/>
          <w:szCs w:val="24"/>
        </w:rPr>
      </w:pPr>
      <w:r w:rsidRPr="00247F12">
        <w:rPr>
          <w:rFonts w:ascii="Arial" w:hAnsi="Arial" w:cs="Arial"/>
          <w:sz w:val="24"/>
          <w:szCs w:val="24"/>
        </w:rPr>
        <w:t>Review research-</w:t>
      </w:r>
      <w:r w:rsidR="00187B44" w:rsidRPr="00247F12">
        <w:rPr>
          <w:rFonts w:ascii="Arial" w:hAnsi="Arial" w:cs="Arial"/>
          <w:sz w:val="24"/>
          <w:szCs w:val="24"/>
        </w:rPr>
        <w:t>based recruitment and retention strategies</w:t>
      </w:r>
    </w:p>
    <w:p w14:paraId="0BBCCF4E" w14:textId="53F68F7F" w:rsidR="00187B44" w:rsidRPr="00247F12" w:rsidRDefault="00187B44" w:rsidP="00095C42">
      <w:pPr>
        <w:pStyle w:val="ListParagraph"/>
        <w:numPr>
          <w:ilvl w:val="0"/>
          <w:numId w:val="21"/>
        </w:numPr>
        <w:spacing w:after="160"/>
        <w:contextualSpacing w:val="0"/>
        <w:rPr>
          <w:rFonts w:ascii="Arial" w:hAnsi="Arial" w:cs="Arial"/>
          <w:sz w:val="24"/>
          <w:szCs w:val="24"/>
        </w:rPr>
      </w:pPr>
      <w:r w:rsidRPr="00247F12">
        <w:rPr>
          <w:rFonts w:ascii="Arial" w:hAnsi="Arial" w:cs="Arial"/>
          <w:sz w:val="24"/>
          <w:szCs w:val="24"/>
        </w:rPr>
        <w:t>Determine which strategies align to your root causes</w:t>
      </w:r>
    </w:p>
    <w:p w14:paraId="59AC0615" w14:textId="680B4281" w:rsidR="00187B44" w:rsidRPr="00247F12" w:rsidRDefault="00187B44" w:rsidP="00095C42">
      <w:pPr>
        <w:pStyle w:val="ListParagraph"/>
        <w:numPr>
          <w:ilvl w:val="0"/>
          <w:numId w:val="21"/>
        </w:numPr>
        <w:spacing w:after="160"/>
        <w:contextualSpacing w:val="0"/>
        <w:rPr>
          <w:rFonts w:ascii="Arial" w:hAnsi="Arial" w:cs="Arial"/>
          <w:sz w:val="24"/>
          <w:szCs w:val="24"/>
        </w:rPr>
      </w:pPr>
      <w:r w:rsidRPr="00247F12">
        <w:rPr>
          <w:rFonts w:ascii="Arial" w:hAnsi="Arial" w:cs="Arial"/>
          <w:sz w:val="24"/>
          <w:szCs w:val="24"/>
        </w:rPr>
        <w:t>Identify strategies that best fit your district</w:t>
      </w:r>
      <w:r w:rsidR="0044279D" w:rsidRPr="00247F12">
        <w:rPr>
          <w:rFonts w:ascii="Arial" w:hAnsi="Arial" w:cs="Arial"/>
          <w:sz w:val="24"/>
          <w:szCs w:val="24"/>
        </w:rPr>
        <w:t>’</w:t>
      </w:r>
      <w:r w:rsidRPr="00247F12">
        <w:rPr>
          <w:rFonts w:ascii="Arial" w:hAnsi="Arial" w:cs="Arial"/>
          <w:sz w:val="24"/>
          <w:szCs w:val="24"/>
        </w:rPr>
        <w:t>s context and needs</w:t>
      </w:r>
    </w:p>
    <w:p w14:paraId="1EA8FCCA" w14:textId="34EBEB3B" w:rsidR="00187B44" w:rsidRPr="00247F12" w:rsidRDefault="00187B44" w:rsidP="00095C42">
      <w:pPr>
        <w:pStyle w:val="ListParagraph"/>
        <w:numPr>
          <w:ilvl w:val="0"/>
          <w:numId w:val="21"/>
        </w:numPr>
        <w:spacing w:after="160"/>
        <w:contextualSpacing w:val="0"/>
        <w:rPr>
          <w:rFonts w:ascii="Arial" w:hAnsi="Arial" w:cs="Arial"/>
          <w:sz w:val="24"/>
          <w:szCs w:val="24"/>
        </w:rPr>
      </w:pPr>
      <w:r w:rsidRPr="00247F12">
        <w:rPr>
          <w:rFonts w:ascii="Arial" w:hAnsi="Arial" w:cs="Arial"/>
          <w:sz w:val="24"/>
          <w:szCs w:val="24"/>
        </w:rPr>
        <w:t>Consider which steps you would take to implement the strategies</w:t>
      </w:r>
    </w:p>
    <w:p w14:paraId="38022D57" w14:textId="72E60A66" w:rsidR="009F698A" w:rsidRDefault="0044279D" w:rsidP="00FF7FAA">
      <w:pPr>
        <w:pStyle w:val="ListParagraph"/>
        <w:numPr>
          <w:ilvl w:val="0"/>
          <w:numId w:val="21"/>
        </w:numPr>
        <w:spacing w:after="480"/>
        <w:contextualSpacing w:val="0"/>
        <w:rPr>
          <w:rFonts w:ascii="Arial" w:hAnsi="Arial" w:cs="Arial"/>
          <w:sz w:val="24"/>
          <w:szCs w:val="24"/>
        </w:rPr>
      </w:pPr>
      <w:r w:rsidRPr="00247F12">
        <w:rPr>
          <w:rFonts w:ascii="Arial" w:hAnsi="Arial" w:cs="Arial"/>
          <w:sz w:val="24"/>
          <w:szCs w:val="24"/>
        </w:rPr>
        <w:t>Consider m</w:t>
      </w:r>
      <w:r w:rsidR="00187B44" w:rsidRPr="00247F12">
        <w:rPr>
          <w:rFonts w:ascii="Arial" w:hAnsi="Arial" w:cs="Arial"/>
          <w:sz w:val="24"/>
          <w:szCs w:val="24"/>
        </w:rPr>
        <w:t>ethods for monitoring the effectivenes</w:t>
      </w:r>
      <w:r w:rsidR="00BD6718" w:rsidRPr="00247F12">
        <w:rPr>
          <w:rFonts w:ascii="Arial" w:hAnsi="Arial" w:cs="Arial"/>
          <w:sz w:val="24"/>
          <w:szCs w:val="24"/>
        </w:rPr>
        <w:t>s of the implemented strategies</w:t>
      </w:r>
    </w:p>
    <w:p w14:paraId="7BC1BEAC" w14:textId="77777777" w:rsidR="00FF7FAA" w:rsidRDefault="00FF7FAA" w:rsidP="00FF7FAA">
      <w:pPr>
        <w:pStyle w:val="FootnoteText"/>
        <w:spacing w:after="240"/>
        <w:rPr>
          <w:rFonts w:ascii="Arial" w:hAnsi="Arial" w:cs="Arial"/>
          <w:color w:val="auto"/>
          <w:sz w:val="24"/>
          <w:szCs w:val="24"/>
        </w:rPr>
      </w:pPr>
      <w:r>
        <w:rPr>
          <w:rFonts w:ascii="Arial" w:hAnsi="Arial" w:cs="Arial"/>
          <w:color w:val="auto"/>
          <w:sz w:val="24"/>
          <w:szCs w:val="24"/>
        </w:rPr>
        <w:t>Please note: This document was a</w:t>
      </w:r>
      <w:r w:rsidRPr="00114F2F">
        <w:rPr>
          <w:rFonts w:ascii="Arial" w:hAnsi="Arial" w:cs="Arial"/>
          <w:color w:val="auto"/>
          <w:sz w:val="24"/>
          <w:szCs w:val="24"/>
        </w:rPr>
        <w:t xml:space="preserve">dapted from: </w:t>
      </w:r>
      <w:r>
        <w:rPr>
          <w:rFonts w:ascii="Arial" w:hAnsi="Arial" w:cs="Arial"/>
          <w:i/>
          <w:color w:val="auto"/>
          <w:sz w:val="24"/>
          <w:szCs w:val="24"/>
        </w:rPr>
        <w:t>Stakeholder Engagement Guide</w:t>
      </w:r>
      <w:r>
        <w:rPr>
          <w:rFonts w:ascii="Arial" w:hAnsi="Arial" w:cs="Arial"/>
          <w:color w:val="auto"/>
          <w:sz w:val="24"/>
          <w:szCs w:val="24"/>
        </w:rPr>
        <w:t xml:space="preserve">, Center on Great Teachers &amp; Leaders at the American Institutes for Research, </w:t>
      </w:r>
      <w:hyperlink r:id="rId15" w:tooltip="Stakeholder Engagement Guide" w:history="1">
        <w:r w:rsidRPr="00822B53">
          <w:rPr>
            <w:rStyle w:val="Hyperlink"/>
            <w:rFonts w:ascii="Arial" w:hAnsi="Arial" w:cs="Arial"/>
            <w:color w:val="0000FF"/>
            <w:sz w:val="24"/>
          </w:rPr>
          <w:t>https://gtlcenter.org/learning-hub/equitable-access-toolkit/stakeholder-engagement-guide</w:t>
        </w:r>
      </w:hyperlink>
      <w:r>
        <w:rPr>
          <w:rFonts w:ascii="Arial" w:hAnsi="Arial" w:cs="Arial"/>
          <w:color w:val="auto"/>
          <w:sz w:val="24"/>
          <w:szCs w:val="24"/>
        </w:rPr>
        <w:t>, accessed January 31, 2019.</w:t>
      </w:r>
    </w:p>
    <w:p w14:paraId="592AEB0F" w14:textId="418BB2F2" w:rsidR="00C66FA2" w:rsidRPr="00C66FA2" w:rsidRDefault="00C66FA2" w:rsidP="00FF7FAA">
      <w:pPr>
        <w:tabs>
          <w:tab w:val="left" w:pos="3935"/>
        </w:tabs>
        <w:rPr>
          <w:rFonts w:ascii="Arial" w:hAnsi="Arial" w:cs="Arial"/>
          <w:sz w:val="24"/>
          <w:szCs w:val="24"/>
        </w:rPr>
      </w:pPr>
      <w:r>
        <w:rPr>
          <w:rFonts w:ascii="Arial" w:hAnsi="Arial" w:cs="Arial"/>
          <w:sz w:val="24"/>
          <w:szCs w:val="24"/>
        </w:rPr>
        <w:t>Posted on 02/13/2019</w:t>
      </w:r>
    </w:p>
    <w:p w14:paraId="5DE92876" w14:textId="46923806" w:rsidR="00E908E5" w:rsidRPr="009F698A" w:rsidRDefault="009F698A" w:rsidP="004E3461">
      <w:pPr>
        <w:spacing w:after="240"/>
        <w:rPr>
          <w:rFonts w:ascii="Arial" w:hAnsi="Arial" w:cs="Arial"/>
          <w:sz w:val="24"/>
          <w:szCs w:val="24"/>
        </w:rPr>
      </w:pPr>
      <w:r>
        <w:rPr>
          <w:rFonts w:eastAsiaTheme="majorEastAsia"/>
          <w:noProof/>
          <w:color w:val="2F5496" w:themeColor="accent5" w:themeShade="BF"/>
          <w:sz w:val="28"/>
          <w:szCs w:val="28"/>
        </w:rPr>
        <w:drawing>
          <wp:inline distT="0" distB="0" distL="0" distR="0" wp14:anchorId="674FC218" wp14:editId="406347C1">
            <wp:extent cx="7172211" cy="666750"/>
            <wp:effectExtent l="0" t="0" r="0" b="0"/>
            <wp:docPr id="8" name="Picture 8" descr="Border image created with colored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 equity logo bottom border.png"/>
                    <pic:cNvPicPr/>
                  </pic:nvPicPr>
                  <pic:blipFill>
                    <a:blip r:embed="rId12">
                      <a:extLst>
                        <a:ext uri="{28A0092B-C50C-407E-A947-70E740481C1C}">
                          <a14:useLocalDpi xmlns:a14="http://schemas.microsoft.com/office/drawing/2010/main" val="0"/>
                        </a:ext>
                      </a:extLst>
                    </a:blip>
                    <a:stretch>
                      <a:fillRect/>
                    </a:stretch>
                  </pic:blipFill>
                  <pic:spPr>
                    <a:xfrm>
                      <a:off x="0" y="0"/>
                      <a:ext cx="7276456" cy="676441"/>
                    </a:xfrm>
                    <a:prstGeom prst="rect">
                      <a:avLst/>
                    </a:prstGeom>
                  </pic:spPr>
                </pic:pic>
              </a:graphicData>
            </a:graphic>
          </wp:inline>
        </w:drawing>
      </w:r>
    </w:p>
    <w:sectPr w:rsidR="00E908E5" w:rsidRPr="009F698A" w:rsidSect="00E908E5">
      <w:footerReference w:type="default" r:id="rId16"/>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E4DA2" w14:textId="77777777" w:rsidR="00594EF5" w:rsidRDefault="00594EF5" w:rsidP="00711257">
      <w:r>
        <w:separator/>
      </w:r>
    </w:p>
  </w:endnote>
  <w:endnote w:type="continuationSeparator" w:id="0">
    <w:p w14:paraId="62BB7743" w14:textId="77777777" w:rsidR="00594EF5" w:rsidRDefault="00594EF5" w:rsidP="0071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1856773429"/>
      <w:docPartObj>
        <w:docPartGallery w:val="Page Numbers (Bottom of Page)"/>
        <w:docPartUnique/>
      </w:docPartObj>
    </w:sdtPr>
    <w:sdtContent>
      <w:sdt>
        <w:sdtPr>
          <w:rPr>
            <w:rFonts w:ascii="Arial" w:hAnsi="Arial" w:cs="Arial"/>
            <w:sz w:val="24"/>
            <w:szCs w:val="24"/>
          </w:rPr>
          <w:id w:val="-1769616900"/>
          <w:docPartObj>
            <w:docPartGallery w:val="Page Numbers (Top of Page)"/>
            <w:docPartUnique/>
          </w:docPartObj>
        </w:sdtPr>
        <w:sdtContent>
          <w:p w14:paraId="346D310D" w14:textId="0470FDD4" w:rsidR="00DC65E5" w:rsidRPr="00DC65E5" w:rsidRDefault="00DC65E5">
            <w:pPr>
              <w:pStyle w:val="Footer"/>
              <w:jc w:val="right"/>
              <w:rPr>
                <w:rFonts w:ascii="Arial" w:hAnsi="Arial" w:cs="Arial"/>
                <w:sz w:val="24"/>
                <w:szCs w:val="24"/>
              </w:rPr>
            </w:pPr>
            <w:r w:rsidRPr="00DC65E5">
              <w:rPr>
                <w:rFonts w:ascii="Arial" w:hAnsi="Arial" w:cs="Arial"/>
                <w:sz w:val="24"/>
                <w:szCs w:val="24"/>
              </w:rPr>
              <w:t xml:space="preserve">Page </w:t>
            </w:r>
            <w:r w:rsidRPr="00DC65E5">
              <w:rPr>
                <w:rFonts w:ascii="Arial" w:hAnsi="Arial" w:cs="Arial"/>
                <w:b/>
                <w:bCs/>
                <w:sz w:val="24"/>
                <w:szCs w:val="24"/>
              </w:rPr>
              <w:fldChar w:fldCharType="begin"/>
            </w:r>
            <w:r w:rsidRPr="00DC65E5">
              <w:rPr>
                <w:rFonts w:ascii="Arial" w:hAnsi="Arial" w:cs="Arial"/>
                <w:b/>
                <w:bCs/>
                <w:sz w:val="24"/>
                <w:szCs w:val="24"/>
              </w:rPr>
              <w:instrText xml:space="preserve"> PAGE </w:instrText>
            </w:r>
            <w:r w:rsidRPr="00DC65E5">
              <w:rPr>
                <w:rFonts w:ascii="Arial" w:hAnsi="Arial" w:cs="Arial"/>
                <w:b/>
                <w:bCs/>
                <w:sz w:val="24"/>
                <w:szCs w:val="24"/>
              </w:rPr>
              <w:fldChar w:fldCharType="separate"/>
            </w:r>
            <w:r w:rsidR="00745164">
              <w:rPr>
                <w:rFonts w:ascii="Arial" w:hAnsi="Arial" w:cs="Arial"/>
                <w:b/>
                <w:bCs/>
                <w:noProof/>
                <w:sz w:val="24"/>
                <w:szCs w:val="24"/>
              </w:rPr>
              <w:t>4</w:t>
            </w:r>
            <w:r w:rsidRPr="00DC65E5">
              <w:rPr>
                <w:rFonts w:ascii="Arial" w:hAnsi="Arial" w:cs="Arial"/>
                <w:b/>
                <w:bCs/>
                <w:sz w:val="24"/>
                <w:szCs w:val="24"/>
              </w:rPr>
              <w:fldChar w:fldCharType="end"/>
            </w:r>
            <w:r w:rsidRPr="00DC65E5">
              <w:rPr>
                <w:rFonts w:ascii="Arial" w:hAnsi="Arial" w:cs="Arial"/>
                <w:sz w:val="24"/>
                <w:szCs w:val="24"/>
              </w:rPr>
              <w:t xml:space="preserve"> of </w:t>
            </w:r>
            <w:r w:rsidRPr="00DC65E5">
              <w:rPr>
                <w:rFonts w:ascii="Arial" w:hAnsi="Arial" w:cs="Arial"/>
                <w:b/>
                <w:bCs/>
                <w:sz w:val="24"/>
                <w:szCs w:val="24"/>
              </w:rPr>
              <w:fldChar w:fldCharType="begin"/>
            </w:r>
            <w:r w:rsidRPr="00DC65E5">
              <w:rPr>
                <w:rFonts w:ascii="Arial" w:hAnsi="Arial" w:cs="Arial"/>
                <w:b/>
                <w:bCs/>
                <w:sz w:val="24"/>
                <w:szCs w:val="24"/>
              </w:rPr>
              <w:instrText xml:space="preserve"> NUMPAGES  </w:instrText>
            </w:r>
            <w:r w:rsidRPr="00DC65E5">
              <w:rPr>
                <w:rFonts w:ascii="Arial" w:hAnsi="Arial" w:cs="Arial"/>
                <w:b/>
                <w:bCs/>
                <w:sz w:val="24"/>
                <w:szCs w:val="24"/>
              </w:rPr>
              <w:fldChar w:fldCharType="separate"/>
            </w:r>
            <w:r w:rsidR="00745164">
              <w:rPr>
                <w:rFonts w:ascii="Arial" w:hAnsi="Arial" w:cs="Arial"/>
                <w:b/>
                <w:bCs/>
                <w:noProof/>
                <w:sz w:val="24"/>
                <w:szCs w:val="24"/>
              </w:rPr>
              <w:t>4</w:t>
            </w:r>
            <w:r w:rsidRPr="00DC65E5">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87F3A" w14:textId="77777777" w:rsidR="00594EF5" w:rsidRDefault="00594EF5" w:rsidP="00711257">
      <w:r>
        <w:separator/>
      </w:r>
    </w:p>
  </w:footnote>
  <w:footnote w:type="continuationSeparator" w:id="0">
    <w:p w14:paraId="4DBFE841" w14:textId="77777777" w:rsidR="00594EF5" w:rsidRDefault="00594EF5" w:rsidP="00711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7E5A"/>
    <w:multiLevelType w:val="hybridMultilevel"/>
    <w:tmpl w:val="CD8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E6B9A"/>
    <w:multiLevelType w:val="hybridMultilevel"/>
    <w:tmpl w:val="71704B1A"/>
    <w:lvl w:ilvl="0" w:tplc="04090001">
      <w:start w:val="1"/>
      <w:numFmt w:val="bullet"/>
      <w:lvlText w:val=""/>
      <w:lvlJc w:val="left"/>
      <w:pPr>
        <w:ind w:left="720" w:hanging="360"/>
      </w:pPr>
      <w:rPr>
        <w:rFonts w:ascii="Symbol" w:hAnsi="Symbol" w:hint="default"/>
        <w:color w:val="8496B0" w:themeColor="text2" w:themeTint="9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302F0F"/>
    <w:multiLevelType w:val="hybridMultilevel"/>
    <w:tmpl w:val="82D463E6"/>
    <w:lvl w:ilvl="0" w:tplc="68DEAC22">
      <w:start w:val="1"/>
      <w:numFmt w:val="bullet"/>
      <w:lvlText w:val="▪"/>
      <w:lvlJc w:val="left"/>
      <w:pPr>
        <w:ind w:left="720" w:hanging="360"/>
      </w:pPr>
      <w:rPr>
        <w:rFonts w:ascii="Courier New" w:hAnsi="Courier New" w:hint="default"/>
        <w:color w:val="8496B0" w:themeColor="text2" w:themeTint="9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4A0257"/>
    <w:multiLevelType w:val="hybridMultilevel"/>
    <w:tmpl w:val="DDF0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D276D"/>
    <w:multiLevelType w:val="hybridMultilevel"/>
    <w:tmpl w:val="8DFE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64FBA"/>
    <w:multiLevelType w:val="hybridMultilevel"/>
    <w:tmpl w:val="A288DBBA"/>
    <w:lvl w:ilvl="0" w:tplc="04090001">
      <w:start w:val="1"/>
      <w:numFmt w:val="bullet"/>
      <w:lvlText w:val=""/>
      <w:lvlJc w:val="left"/>
      <w:pPr>
        <w:ind w:left="720" w:hanging="360"/>
      </w:pPr>
      <w:rPr>
        <w:rFonts w:ascii="Symbol" w:hAnsi="Symbol" w:hint="default"/>
        <w:color w:val="8496B0" w:themeColor="text2" w:themeTint="9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404CC2"/>
    <w:multiLevelType w:val="hybridMultilevel"/>
    <w:tmpl w:val="CC322BDC"/>
    <w:lvl w:ilvl="0" w:tplc="04090001">
      <w:start w:val="1"/>
      <w:numFmt w:val="bullet"/>
      <w:lvlText w:val=""/>
      <w:lvlJc w:val="left"/>
      <w:pPr>
        <w:ind w:left="720" w:hanging="360"/>
      </w:pPr>
      <w:rPr>
        <w:rFonts w:ascii="Symbol" w:hAnsi="Symbol" w:hint="default"/>
        <w:color w:val="8496B0" w:themeColor="text2" w:themeTint="9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66026A"/>
    <w:multiLevelType w:val="hybridMultilevel"/>
    <w:tmpl w:val="9D54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50554"/>
    <w:multiLevelType w:val="hybridMultilevel"/>
    <w:tmpl w:val="2D5A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C1328"/>
    <w:multiLevelType w:val="hybridMultilevel"/>
    <w:tmpl w:val="7B0279A0"/>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0" w15:restartNumberingAfterBreak="0">
    <w:nsid w:val="36A40166"/>
    <w:multiLevelType w:val="hybridMultilevel"/>
    <w:tmpl w:val="9714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13989"/>
    <w:multiLevelType w:val="hybridMultilevel"/>
    <w:tmpl w:val="13169EC0"/>
    <w:lvl w:ilvl="0" w:tplc="68DEAC22">
      <w:start w:val="1"/>
      <w:numFmt w:val="bullet"/>
      <w:lvlText w:val="▪"/>
      <w:lvlJc w:val="left"/>
      <w:pPr>
        <w:ind w:left="360" w:hanging="360"/>
      </w:pPr>
      <w:rPr>
        <w:rFonts w:ascii="Courier New" w:hAnsi="Courier New" w:hint="default"/>
        <w:color w:val="8496B0"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80C86"/>
    <w:multiLevelType w:val="hybridMultilevel"/>
    <w:tmpl w:val="23F6F8CE"/>
    <w:lvl w:ilvl="0" w:tplc="68DEAC22">
      <w:start w:val="1"/>
      <w:numFmt w:val="bullet"/>
      <w:lvlText w:val="▪"/>
      <w:lvlJc w:val="left"/>
      <w:pPr>
        <w:ind w:left="360" w:hanging="360"/>
      </w:pPr>
      <w:rPr>
        <w:rFonts w:ascii="Courier New" w:hAnsi="Courier New" w:hint="default"/>
        <w:color w:val="8496B0" w:themeColor="text2" w:themeTint="99"/>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1872D6"/>
    <w:multiLevelType w:val="hybridMultilevel"/>
    <w:tmpl w:val="98BC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511ACC"/>
    <w:multiLevelType w:val="hybridMultilevel"/>
    <w:tmpl w:val="6826F99C"/>
    <w:lvl w:ilvl="0" w:tplc="68DEAC22">
      <w:start w:val="1"/>
      <w:numFmt w:val="bullet"/>
      <w:lvlText w:val="▪"/>
      <w:lvlJc w:val="left"/>
      <w:pPr>
        <w:ind w:left="360" w:hanging="360"/>
      </w:pPr>
      <w:rPr>
        <w:rFonts w:ascii="Courier New" w:hAnsi="Courier New" w:hint="default"/>
        <w:color w:val="8496B0"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C849EB"/>
    <w:multiLevelType w:val="hybridMultilevel"/>
    <w:tmpl w:val="02363A6E"/>
    <w:lvl w:ilvl="0" w:tplc="68DEAC22">
      <w:start w:val="1"/>
      <w:numFmt w:val="bullet"/>
      <w:lvlText w:val="▪"/>
      <w:lvlJc w:val="left"/>
      <w:pPr>
        <w:ind w:left="360" w:hanging="360"/>
      </w:pPr>
      <w:rPr>
        <w:rFonts w:ascii="Courier New" w:hAnsi="Courier New" w:hint="default"/>
        <w:color w:val="8496B0"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C1175"/>
    <w:multiLevelType w:val="hybridMultilevel"/>
    <w:tmpl w:val="E3C8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C3568"/>
    <w:multiLevelType w:val="hybridMultilevel"/>
    <w:tmpl w:val="25E4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C9704E"/>
    <w:multiLevelType w:val="hybridMultilevel"/>
    <w:tmpl w:val="3DB83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DC60F85"/>
    <w:multiLevelType w:val="hybridMultilevel"/>
    <w:tmpl w:val="33CCA914"/>
    <w:lvl w:ilvl="0" w:tplc="68DEAC22">
      <w:start w:val="1"/>
      <w:numFmt w:val="bullet"/>
      <w:lvlText w:val="▪"/>
      <w:lvlJc w:val="left"/>
      <w:pPr>
        <w:ind w:left="360" w:hanging="360"/>
      </w:pPr>
      <w:rPr>
        <w:rFonts w:ascii="Courier New" w:hAnsi="Courier New" w:hint="default"/>
        <w:color w:val="8496B0"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6646A6"/>
    <w:multiLevelType w:val="hybridMultilevel"/>
    <w:tmpl w:val="E4F63C32"/>
    <w:lvl w:ilvl="0" w:tplc="68DEAC22">
      <w:start w:val="1"/>
      <w:numFmt w:val="bullet"/>
      <w:lvlText w:val="▪"/>
      <w:lvlJc w:val="left"/>
      <w:pPr>
        <w:ind w:left="360" w:hanging="360"/>
      </w:pPr>
      <w:rPr>
        <w:rFonts w:ascii="Courier New" w:hAnsi="Courier New" w:hint="default"/>
        <w:color w:val="8496B0"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939551">
    <w:abstractNumId w:val="7"/>
  </w:num>
  <w:num w:numId="2" w16cid:durableId="1201627593">
    <w:abstractNumId w:val="16"/>
  </w:num>
  <w:num w:numId="3" w16cid:durableId="1607346818">
    <w:abstractNumId w:val="0"/>
  </w:num>
  <w:num w:numId="4" w16cid:durableId="1588345258">
    <w:abstractNumId w:val="3"/>
  </w:num>
  <w:num w:numId="5" w16cid:durableId="1088192386">
    <w:abstractNumId w:val="9"/>
  </w:num>
  <w:num w:numId="6" w16cid:durableId="1326784093">
    <w:abstractNumId w:val="8"/>
  </w:num>
  <w:num w:numId="7" w16cid:durableId="814644913">
    <w:abstractNumId w:val="12"/>
  </w:num>
  <w:num w:numId="8" w16cid:durableId="1810976004">
    <w:abstractNumId w:val="13"/>
  </w:num>
  <w:num w:numId="9" w16cid:durableId="931622362">
    <w:abstractNumId w:val="4"/>
  </w:num>
  <w:num w:numId="10" w16cid:durableId="1077821269">
    <w:abstractNumId w:val="14"/>
  </w:num>
  <w:num w:numId="11" w16cid:durableId="1758751811">
    <w:abstractNumId w:val="15"/>
  </w:num>
  <w:num w:numId="12" w16cid:durableId="2070957947">
    <w:abstractNumId w:val="11"/>
  </w:num>
  <w:num w:numId="13" w16cid:durableId="790592618">
    <w:abstractNumId w:val="19"/>
  </w:num>
  <w:num w:numId="14" w16cid:durableId="756243626">
    <w:abstractNumId w:val="20"/>
  </w:num>
  <w:num w:numId="15" w16cid:durableId="1797291901">
    <w:abstractNumId w:val="2"/>
  </w:num>
  <w:num w:numId="16" w16cid:durableId="1450928036">
    <w:abstractNumId w:val="6"/>
  </w:num>
  <w:num w:numId="17" w16cid:durableId="31656571">
    <w:abstractNumId w:val="5"/>
  </w:num>
  <w:num w:numId="18" w16cid:durableId="501891812">
    <w:abstractNumId w:val="1"/>
  </w:num>
  <w:num w:numId="19" w16cid:durableId="297344110">
    <w:abstractNumId w:val="18"/>
  </w:num>
  <w:num w:numId="20" w16cid:durableId="65885561">
    <w:abstractNumId w:val="17"/>
  </w:num>
  <w:num w:numId="21" w16cid:durableId="1963536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5D6"/>
    <w:rsid w:val="000058A3"/>
    <w:rsid w:val="0001441A"/>
    <w:rsid w:val="00017F0F"/>
    <w:rsid w:val="00041130"/>
    <w:rsid w:val="00076E7A"/>
    <w:rsid w:val="00095C42"/>
    <w:rsid w:val="000A1CA3"/>
    <w:rsid w:val="000E0EF2"/>
    <w:rsid w:val="000E5FDE"/>
    <w:rsid w:val="000F7646"/>
    <w:rsid w:val="001070F2"/>
    <w:rsid w:val="00126A31"/>
    <w:rsid w:val="0016585C"/>
    <w:rsid w:val="00173CB2"/>
    <w:rsid w:val="00187B44"/>
    <w:rsid w:val="001920A8"/>
    <w:rsid w:val="001E1C05"/>
    <w:rsid w:val="00207CA3"/>
    <w:rsid w:val="00247F12"/>
    <w:rsid w:val="002D0F94"/>
    <w:rsid w:val="002D60F0"/>
    <w:rsid w:val="002F100D"/>
    <w:rsid w:val="00367328"/>
    <w:rsid w:val="00393F5F"/>
    <w:rsid w:val="00416D30"/>
    <w:rsid w:val="0044279D"/>
    <w:rsid w:val="00455556"/>
    <w:rsid w:val="00472234"/>
    <w:rsid w:val="004E3461"/>
    <w:rsid w:val="00505C0D"/>
    <w:rsid w:val="0054355E"/>
    <w:rsid w:val="00570D91"/>
    <w:rsid w:val="005721D3"/>
    <w:rsid w:val="00594EF5"/>
    <w:rsid w:val="005E1CCC"/>
    <w:rsid w:val="005E45D6"/>
    <w:rsid w:val="005E6BF7"/>
    <w:rsid w:val="00601647"/>
    <w:rsid w:val="0061467F"/>
    <w:rsid w:val="006A403E"/>
    <w:rsid w:val="006B203A"/>
    <w:rsid w:val="006D1840"/>
    <w:rsid w:val="007023B7"/>
    <w:rsid w:val="00703CE0"/>
    <w:rsid w:val="00711257"/>
    <w:rsid w:val="007218BE"/>
    <w:rsid w:val="0072463B"/>
    <w:rsid w:val="007318B7"/>
    <w:rsid w:val="00745164"/>
    <w:rsid w:val="00765C42"/>
    <w:rsid w:val="007724CB"/>
    <w:rsid w:val="00795411"/>
    <w:rsid w:val="007D7AD0"/>
    <w:rsid w:val="00801493"/>
    <w:rsid w:val="008104A6"/>
    <w:rsid w:val="008116B1"/>
    <w:rsid w:val="00822B53"/>
    <w:rsid w:val="00825500"/>
    <w:rsid w:val="00867718"/>
    <w:rsid w:val="008768BB"/>
    <w:rsid w:val="0090049D"/>
    <w:rsid w:val="009253A2"/>
    <w:rsid w:val="0096016A"/>
    <w:rsid w:val="00984363"/>
    <w:rsid w:val="009B46B2"/>
    <w:rsid w:val="009F698A"/>
    <w:rsid w:val="00A53E11"/>
    <w:rsid w:val="00A76A64"/>
    <w:rsid w:val="00A84438"/>
    <w:rsid w:val="00AA2830"/>
    <w:rsid w:val="00AF1364"/>
    <w:rsid w:val="00B3003B"/>
    <w:rsid w:val="00B310D5"/>
    <w:rsid w:val="00B56AEE"/>
    <w:rsid w:val="00B910E9"/>
    <w:rsid w:val="00B91B9A"/>
    <w:rsid w:val="00BD6718"/>
    <w:rsid w:val="00BE46A7"/>
    <w:rsid w:val="00C15AD0"/>
    <w:rsid w:val="00C17D81"/>
    <w:rsid w:val="00C645B6"/>
    <w:rsid w:val="00C66FA2"/>
    <w:rsid w:val="00C76C3D"/>
    <w:rsid w:val="00CC7654"/>
    <w:rsid w:val="00CD14F8"/>
    <w:rsid w:val="00CD6F5B"/>
    <w:rsid w:val="00CE2956"/>
    <w:rsid w:val="00D30D3A"/>
    <w:rsid w:val="00D43243"/>
    <w:rsid w:val="00D450FE"/>
    <w:rsid w:val="00D72DA8"/>
    <w:rsid w:val="00DB174A"/>
    <w:rsid w:val="00DC65E5"/>
    <w:rsid w:val="00DE499F"/>
    <w:rsid w:val="00DF7132"/>
    <w:rsid w:val="00E26AF9"/>
    <w:rsid w:val="00E56BD4"/>
    <w:rsid w:val="00E8405A"/>
    <w:rsid w:val="00E908E5"/>
    <w:rsid w:val="00E94B9C"/>
    <w:rsid w:val="00F01DF6"/>
    <w:rsid w:val="00F816C8"/>
    <w:rsid w:val="00F84131"/>
    <w:rsid w:val="00FF7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E7F72"/>
  <w15:chartTrackingRefBased/>
  <w15:docId w15:val="{4D021A7B-D3A8-45BC-BC8A-11CD62EB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E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3"/>
    <w:next w:val="Normal"/>
    <w:link w:val="Heading2Char"/>
    <w:uiPriority w:val="9"/>
    <w:unhideWhenUsed/>
    <w:qFormat/>
    <w:rsid w:val="00F01DF6"/>
    <w:pPr>
      <w:spacing w:before="240" w:after="240"/>
      <w:outlineLvl w:val="1"/>
    </w:pPr>
    <w:rPr>
      <w:rFonts w:cs="Arial"/>
      <w:sz w:val="32"/>
    </w:rPr>
  </w:style>
  <w:style w:type="paragraph" w:styleId="Heading3">
    <w:name w:val="heading 3"/>
    <w:basedOn w:val="Normal"/>
    <w:next w:val="Normal"/>
    <w:link w:val="Heading3Char"/>
    <w:uiPriority w:val="9"/>
    <w:unhideWhenUsed/>
    <w:qFormat/>
    <w:rsid w:val="00C66FA2"/>
    <w:pPr>
      <w:keepNext/>
      <w:keepLines/>
      <w:spacing w:before="160" w:after="120"/>
      <w:outlineLvl w:val="2"/>
    </w:pPr>
    <w:rPr>
      <w:rFonts w:ascii="Arial" w:eastAsiaTheme="majorEastAsia" w:hAnsi="Arial" w:cstheme="majorBidi"/>
      <w:color w:val="1F4D78" w:themeColor="accent1" w:themeShade="7F"/>
      <w:sz w:val="28"/>
      <w:szCs w:val="24"/>
    </w:rPr>
  </w:style>
  <w:style w:type="paragraph" w:styleId="Heading4">
    <w:name w:val="heading 4"/>
    <w:basedOn w:val="Normal"/>
    <w:next w:val="Normal"/>
    <w:link w:val="Heading4Char"/>
    <w:uiPriority w:val="9"/>
    <w:unhideWhenUsed/>
    <w:qFormat/>
    <w:rsid w:val="00C66FA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132"/>
    <w:pPr>
      <w:ind w:left="720"/>
      <w:contextualSpacing/>
    </w:pPr>
  </w:style>
  <w:style w:type="paragraph" w:customStyle="1" w:styleId="BodyTextposthead">
    <w:name w:val="Body Text post head"/>
    <w:basedOn w:val="BodyText"/>
    <w:link w:val="BodyTextpostheadChar"/>
    <w:qFormat/>
    <w:rsid w:val="00AF1364"/>
    <w:pPr>
      <w:spacing w:before="120" w:after="0" w:line="259" w:lineRule="auto"/>
    </w:pPr>
    <w:rPr>
      <w:rFonts w:eastAsia="Times New Roman"/>
    </w:rPr>
  </w:style>
  <w:style w:type="character" w:customStyle="1" w:styleId="BodyTextpostheadChar">
    <w:name w:val="Body Text post head Char"/>
    <w:basedOn w:val="BodyTextChar"/>
    <w:link w:val="BodyTextposthead"/>
    <w:rsid w:val="00AF1364"/>
    <w:rPr>
      <w:rFonts w:eastAsia="Times New Roman"/>
    </w:rPr>
  </w:style>
  <w:style w:type="paragraph" w:styleId="BodyText">
    <w:name w:val="Body Text"/>
    <w:basedOn w:val="Normal"/>
    <w:link w:val="BodyTextChar"/>
    <w:uiPriority w:val="99"/>
    <w:unhideWhenUsed/>
    <w:rsid w:val="00AF1364"/>
    <w:pPr>
      <w:spacing w:after="120"/>
    </w:pPr>
  </w:style>
  <w:style w:type="character" w:customStyle="1" w:styleId="BodyTextChar">
    <w:name w:val="Body Text Char"/>
    <w:basedOn w:val="DefaultParagraphFont"/>
    <w:link w:val="BodyText"/>
    <w:uiPriority w:val="99"/>
    <w:rsid w:val="00AF1364"/>
  </w:style>
  <w:style w:type="paragraph" w:styleId="Header">
    <w:name w:val="header"/>
    <w:basedOn w:val="Normal"/>
    <w:link w:val="HeaderChar"/>
    <w:uiPriority w:val="99"/>
    <w:unhideWhenUsed/>
    <w:rsid w:val="00711257"/>
    <w:pPr>
      <w:tabs>
        <w:tab w:val="center" w:pos="4680"/>
        <w:tab w:val="right" w:pos="9360"/>
      </w:tabs>
    </w:pPr>
  </w:style>
  <w:style w:type="character" w:customStyle="1" w:styleId="HeaderChar">
    <w:name w:val="Header Char"/>
    <w:basedOn w:val="DefaultParagraphFont"/>
    <w:link w:val="Header"/>
    <w:uiPriority w:val="99"/>
    <w:rsid w:val="00711257"/>
  </w:style>
  <w:style w:type="paragraph" w:styleId="Footer">
    <w:name w:val="footer"/>
    <w:basedOn w:val="Normal"/>
    <w:link w:val="FooterChar"/>
    <w:uiPriority w:val="99"/>
    <w:unhideWhenUsed/>
    <w:rsid w:val="00711257"/>
    <w:pPr>
      <w:tabs>
        <w:tab w:val="center" w:pos="4680"/>
        <w:tab w:val="right" w:pos="9360"/>
      </w:tabs>
    </w:pPr>
  </w:style>
  <w:style w:type="character" w:customStyle="1" w:styleId="FooterChar">
    <w:name w:val="Footer Char"/>
    <w:basedOn w:val="DefaultParagraphFont"/>
    <w:link w:val="Footer"/>
    <w:uiPriority w:val="99"/>
    <w:rsid w:val="00711257"/>
  </w:style>
  <w:style w:type="character" w:styleId="Hyperlink">
    <w:name w:val="Hyperlink"/>
    <w:basedOn w:val="DefaultParagraphFont"/>
    <w:uiPriority w:val="99"/>
    <w:unhideWhenUsed/>
    <w:rsid w:val="00711257"/>
    <w:rPr>
      <w:color w:val="0563C1" w:themeColor="hyperlink"/>
      <w:u w:val="single"/>
    </w:rPr>
  </w:style>
  <w:style w:type="character" w:styleId="CommentReference">
    <w:name w:val="annotation reference"/>
    <w:basedOn w:val="DefaultParagraphFont"/>
    <w:uiPriority w:val="99"/>
    <w:semiHidden/>
    <w:unhideWhenUsed/>
    <w:rsid w:val="005E6BF7"/>
    <w:rPr>
      <w:sz w:val="16"/>
      <w:szCs w:val="16"/>
    </w:rPr>
  </w:style>
  <w:style w:type="paragraph" w:styleId="CommentText">
    <w:name w:val="annotation text"/>
    <w:basedOn w:val="Normal"/>
    <w:link w:val="CommentTextChar"/>
    <w:uiPriority w:val="99"/>
    <w:semiHidden/>
    <w:unhideWhenUsed/>
    <w:rsid w:val="005E6BF7"/>
    <w:rPr>
      <w:sz w:val="20"/>
      <w:szCs w:val="20"/>
    </w:rPr>
  </w:style>
  <w:style w:type="character" w:customStyle="1" w:styleId="CommentTextChar">
    <w:name w:val="Comment Text Char"/>
    <w:basedOn w:val="DefaultParagraphFont"/>
    <w:link w:val="CommentText"/>
    <w:uiPriority w:val="99"/>
    <w:semiHidden/>
    <w:rsid w:val="005E6BF7"/>
    <w:rPr>
      <w:sz w:val="20"/>
      <w:szCs w:val="20"/>
    </w:rPr>
  </w:style>
  <w:style w:type="paragraph" w:styleId="CommentSubject">
    <w:name w:val="annotation subject"/>
    <w:basedOn w:val="CommentText"/>
    <w:next w:val="CommentText"/>
    <w:link w:val="CommentSubjectChar"/>
    <w:uiPriority w:val="99"/>
    <w:semiHidden/>
    <w:unhideWhenUsed/>
    <w:rsid w:val="005E6BF7"/>
    <w:rPr>
      <w:b/>
      <w:bCs/>
    </w:rPr>
  </w:style>
  <w:style w:type="character" w:customStyle="1" w:styleId="CommentSubjectChar">
    <w:name w:val="Comment Subject Char"/>
    <w:basedOn w:val="CommentTextChar"/>
    <w:link w:val="CommentSubject"/>
    <w:uiPriority w:val="99"/>
    <w:semiHidden/>
    <w:rsid w:val="005E6BF7"/>
    <w:rPr>
      <w:b/>
      <w:bCs/>
      <w:sz w:val="20"/>
      <w:szCs w:val="20"/>
    </w:rPr>
  </w:style>
  <w:style w:type="paragraph" w:styleId="BalloonText">
    <w:name w:val="Balloon Text"/>
    <w:basedOn w:val="Normal"/>
    <w:link w:val="BalloonTextChar"/>
    <w:uiPriority w:val="99"/>
    <w:semiHidden/>
    <w:unhideWhenUsed/>
    <w:rsid w:val="005E6B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BF7"/>
    <w:rPr>
      <w:rFonts w:ascii="Segoe UI" w:hAnsi="Segoe UI" w:cs="Segoe UI"/>
      <w:sz w:val="18"/>
      <w:szCs w:val="18"/>
    </w:rPr>
  </w:style>
  <w:style w:type="paragraph" w:styleId="Title">
    <w:name w:val="Title"/>
    <w:basedOn w:val="Normal"/>
    <w:next w:val="Normal"/>
    <w:link w:val="TitleChar"/>
    <w:uiPriority w:val="10"/>
    <w:qFormat/>
    <w:rsid w:val="00A53E1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E1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53E1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01DF6"/>
    <w:rPr>
      <w:rFonts w:ascii="Arial" w:eastAsiaTheme="majorEastAsia" w:hAnsi="Arial" w:cs="Arial"/>
      <w:color w:val="1F4D78" w:themeColor="accent1" w:themeShade="7F"/>
      <w:sz w:val="32"/>
      <w:szCs w:val="24"/>
    </w:rPr>
  </w:style>
  <w:style w:type="paragraph" w:styleId="FootnoteText">
    <w:name w:val="footnote text"/>
    <w:basedOn w:val="Normal"/>
    <w:link w:val="FootnoteTextChar"/>
    <w:uiPriority w:val="99"/>
    <w:unhideWhenUsed/>
    <w:rsid w:val="009F698A"/>
    <w:rPr>
      <w:color w:val="595959" w:themeColor="text1" w:themeTint="A6"/>
      <w:kern w:val="20"/>
      <w:sz w:val="20"/>
      <w:szCs w:val="20"/>
      <w:lang w:eastAsia="ja-JP"/>
    </w:rPr>
  </w:style>
  <w:style w:type="character" w:customStyle="1" w:styleId="FootnoteTextChar">
    <w:name w:val="Footnote Text Char"/>
    <w:basedOn w:val="DefaultParagraphFont"/>
    <w:link w:val="FootnoteText"/>
    <w:uiPriority w:val="99"/>
    <w:rsid w:val="009F698A"/>
    <w:rPr>
      <w:color w:val="595959" w:themeColor="text1" w:themeTint="A6"/>
      <w:kern w:val="20"/>
      <w:sz w:val="20"/>
      <w:szCs w:val="20"/>
      <w:lang w:eastAsia="ja-JP"/>
    </w:rPr>
  </w:style>
  <w:style w:type="character" w:customStyle="1" w:styleId="Heading3Char">
    <w:name w:val="Heading 3 Char"/>
    <w:basedOn w:val="DefaultParagraphFont"/>
    <w:link w:val="Heading3"/>
    <w:uiPriority w:val="9"/>
    <w:rsid w:val="00C66FA2"/>
    <w:rPr>
      <w:rFonts w:ascii="Arial" w:eastAsiaTheme="majorEastAsia" w:hAnsi="Arial" w:cstheme="majorBidi"/>
      <w:color w:val="1F4D78" w:themeColor="accent1" w:themeShade="7F"/>
      <w:sz w:val="28"/>
      <w:szCs w:val="24"/>
    </w:rPr>
  </w:style>
  <w:style w:type="character" w:customStyle="1" w:styleId="Heading4Char">
    <w:name w:val="Heading 4 Char"/>
    <w:basedOn w:val="DefaultParagraphFont"/>
    <w:link w:val="Heading4"/>
    <w:uiPriority w:val="9"/>
    <w:rsid w:val="00C66FA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tlcenter.org/learning-hub/equitable-access-toolkit/stakeholder-engagement-gui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tlcenter.org/learning-hub/equitable-access-toolkit/stakeholder-engagement-guide" TargetMode="External"/><Relationship Id="rId5" Type="http://schemas.openxmlformats.org/officeDocument/2006/relationships/styles" Target="styles.xml"/><Relationship Id="rId15" Type="http://schemas.openxmlformats.org/officeDocument/2006/relationships/hyperlink" Target="https://gtlcenter.org/learning-hub/equitable-access-toolkit/stakeholder-engagement-guid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tlcenter.org/learning-hub/equitable-access-toolkit/stakeholder-engagement-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pened_x0020_By xmlns="f89dec18-d0c2-45d2-8a15-31051f2519f8">
      <UserInfo>
        <DisplayName/>
        <AccountId xsi:nil="true"/>
        <AccountType/>
      </UserInfo>
    </Opened_x0020_By>
    <FileLocation xmlns="f89dec18-d0c2-45d2-8a15-31051f2519f8" xsi:nil="true"/>
    <Link xmlns="f89dec18-d0c2-45d2-8a15-31051f2519f8">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21" ma:contentTypeDescription="Create a new document." ma:contentTypeScope="" ma:versionID="6fc427f5c922f9502c9ffdb0dba67eef">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3c742a44c26068e37985995f3e80103e"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FileLocation" minOccurs="0"/>
                <xsd:element ref="ns2:b84728bc-ac87-4a88-8ddb-0599abd5569eCountryOrRegion" minOccurs="0"/>
                <xsd:element ref="ns2:b84728bc-ac87-4a88-8ddb-0599abd5569eState" minOccurs="0"/>
                <xsd:element ref="ns2:b84728bc-ac87-4a88-8ddb-0599abd5569eCity" minOccurs="0"/>
                <xsd:element ref="ns2:b84728bc-ac87-4a88-8ddb-0599abd5569ePostalCode" minOccurs="0"/>
                <xsd:element ref="ns2:b84728bc-ac87-4a88-8ddb-0599abd5569eStreet" minOccurs="0"/>
                <xsd:element ref="ns2:b84728bc-ac87-4a88-8ddb-0599abd5569eGeoLoc" minOccurs="0"/>
                <xsd:element ref="ns2:b84728bc-ac87-4a88-8ddb-0599abd5569eDispName" minOccurs="0"/>
                <xsd:element ref="ns2:Link" minOccurs="0"/>
                <xsd:element ref="ns2:Open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FileLocation" ma:index="19" nillable="true" ma:displayName="File Location" ma:format="Dropdown" ma:internalName="FileLocation">
      <xsd:simpleType>
        <xsd:restriction base="dms:Unknown"/>
      </xsd:simpleType>
    </xsd:element>
    <xsd:element name="b84728bc-ac87-4a88-8ddb-0599abd5569eCountryOrRegion" ma:index="20" nillable="true" ma:displayName="File Location: Country/Region" ma:internalName="CountryOrRegion" ma:readOnly="true">
      <xsd:simpleType>
        <xsd:restriction base="dms:Text"/>
      </xsd:simpleType>
    </xsd:element>
    <xsd:element name="b84728bc-ac87-4a88-8ddb-0599abd5569eState" ma:index="21" nillable="true" ma:displayName="File Location: State" ma:internalName="State" ma:readOnly="true">
      <xsd:simpleType>
        <xsd:restriction base="dms:Text"/>
      </xsd:simpleType>
    </xsd:element>
    <xsd:element name="b84728bc-ac87-4a88-8ddb-0599abd5569eCity" ma:index="22" nillable="true" ma:displayName="File Location: City" ma:internalName="City" ma:readOnly="true">
      <xsd:simpleType>
        <xsd:restriction base="dms:Text"/>
      </xsd:simpleType>
    </xsd:element>
    <xsd:element name="b84728bc-ac87-4a88-8ddb-0599abd5569ePostalCode" ma:index="23" nillable="true" ma:displayName="File Location: Postal Code" ma:internalName="PostalCode" ma:readOnly="true">
      <xsd:simpleType>
        <xsd:restriction base="dms:Text"/>
      </xsd:simpleType>
    </xsd:element>
    <xsd:element name="b84728bc-ac87-4a88-8ddb-0599abd5569eStreet" ma:index="24" nillable="true" ma:displayName="File Location: Street" ma:internalName="Street" ma:readOnly="true">
      <xsd:simpleType>
        <xsd:restriction base="dms:Text"/>
      </xsd:simpleType>
    </xsd:element>
    <xsd:element name="b84728bc-ac87-4a88-8ddb-0599abd5569eGeoLoc" ma:index="25" nillable="true" ma:displayName="File Location: Coordinates" ma:internalName="GeoLoc" ma:readOnly="true">
      <xsd:simpleType>
        <xsd:restriction base="dms:Unknown"/>
      </xsd:simpleType>
    </xsd:element>
    <xsd:element name="b84728bc-ac87-4a88-8ddb-0599abd5569eDispName" ma:index="26" nillable="true" ma:displayName="File Location: Name" ma:internalName="DispName"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Opened_x0020_By" ma:index="28" nillable="true" ma:displayName="Opened By" ma:description="Opened By" ma:list="UserInfo" ma:SharePointGroup="0" ma:internalName="Ope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07EE7-59C6-4075-97FD-59CACE58E063}">
  <ds:schemaRefs>
    <ds:schemaRef ds:uri="http://schemas.microsoft.com/office/2006/metadata/properties"/>
    <ds:schemaRef ds:uri="http://schemas.microsoft.com/office/infopath/2007/PartnerControls"/>
    <ds:schemaRef ds:uri="f89dec18-d0c2-45d2-8a15-31051f2519f8"/>
  </ds:schemaRefs>
</ds:datastoreItem>
</file>

<file path=customXml/itemProps2.xml><?xml version="1.0" encoding="utf-8"?>
<ds:datastoreItem xmlns:ds="http://schemas.openxmlformats.org/officeDocument/2006/customXml" ds:itemID="{94EBA68B-D59C-4348-AB46-146AFD3B0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ABB94-D6E7-4BFA-BACD-444954657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Engaging Equity Stakeholders - Professional Learning (CA Dept of Education)</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Engaging Equity Stakeholders - Professional Learning (CA Dept of Education)</dc:title>
  <dc:subject>Instructions and tips for LEAs to conduct equity stakeholders meetings to plan for creating equitable access to effective, in-field, and experienced teachers.</dc:subject>
  <dc:creator/>
  <cp:keywords/>
  <dc:description/>
  <cp:lastModifiedBy>Christopher Slaven</cp:lastModifiedBy>
  <cp:revision>6</cp:revision>
  <cp:lastPrinted>2019-02-07T00:17:00Z</cp:lastPrinted>
  <dcterms:created xsi:type="dcterms:W3CDTF">2022-01-09T21:51:00Z</dcterms:created>
  <dcterms:modified xsi:type="dcterms:W3CDTF">2024-06-06T17:48:00Z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