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2DD70" w14:textId="77777777" w:rsidR="001D322F" w:rsidRDefault="001D322F" w:rsidP="001D322F">
      <w:pPr>
        <w:tabs>
          <w:tab w:val="left" w:pos="2493"/>
          <w:tab w:val="left" w:pos="3396"/>
        </w:tabs>
        <w:rPr>
          <w:rFonts w:ascii="Arial" w:hAnsi="Arial" w:cs="Arial"/>
          <w:b/>
          <w:color w:val="538135" w:themeColor="accent6" w:themeShade="BF"/>
          <w:sz w:val="32"/>
        </w:rPr>
      </w:pPr>
      <w:r>
        <w:rPr>
          <w:rFonts w:ascii="Arial" w:hAnsi="Arial" w:cs="Arial"/>
          <w:noProof/>
          <w:sz w:val="32"/>
          <w:szCs w:val="32"/>
        </w:rPr>
        <w:drawing>
          <wp:inline distT="0" distB="0" distL="0" distR="0" wp14:anchorId="018627BD" wp14:editId="12AF1D95">
            <wp:extent cx="7200900" cy="986274"/>
            <wp:effectExtent l="0" t="0" r="0" b="4445"/>
            <wp:docPr id="3" name="Picture 3" descr="The header includes the seal of the California Department of Education and the label, California Equity T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equitylogo (002).png"/>
                    <pic:cNvPicPr/>
                  </pic:nvPicPr>
                  <pic:blipFill>
                    <a:blip r:embed="rId7">
                      <a:extLst>
                        <a:ext uri="{28A0092B-C50C-407E-A947-70E740481C1C}">
                          <a14:useLocalDpi xmlns:a14="http://schemas.microsoft.com/office/drawing/2010/main" val="0"/>
                        </a:ext>
                      </a:extLst>
                    </a:blip>
                    <a:stretch>
                      <a:fillRect/>
                    </a:stretch>
                  </pic:blipFill>
                  <pic:spPr>
                    <a:xfrm>
                      <a:off x="0" y="0"/>
                      <a:ext cx="7308028" cy="1000947"/>
                    </a:xfrm>
                    <a:prstGeom prst="rect">
                      <a:avLst/>
                    </a:prstGeom>
                  </pic:spPr>
                </pic:pic>
              </a:graphicData>
            </a:graphic>
          </wp:inline>
        </w:drawing>
      </w:r>
    </w:p>
    <w:p w14:paraId="5D95D45F" w14:textId="77777777" w:rsidR="00D57CCC" w:rsidRPr="00620142" w:rsidRDefault="00620142" w:rsidP="00620142">
      <w:pPr>
        <w:pStyle w:val="Heading1"/>
        <w:spacing w:after="240"/>
        <w:rPr>
          <w:rFonts w:ascii="Arial" w:hAnsi="Arial" w:cs="Arial"/>
          <w:color w:val="385623" w:themeColor="accent6" w:themeShade="80"/>
        </w:rPr>
      </w:pPr>
      <w:r w:rsidRPr="00620142">
        <w:rPr>
          <w:rFonts w:ascii="Arial" w:hAnsi="Arial" w:cs="Arial"/>
          <w:color w:val="385623" w:themeColor="accent6" w:themeShade="80"/>
        </w:rPr>
        <w:t>California Department of Education</w:t>
      </w:r>
      <w:r>
        <w:rPr>
          <w:rFonts w:ascii="Arial" w:hAnsi="Arial" w:cs="Arial"/>
          <w:color w:val="385623" w:themeColor="accent6" w:themeShade="80"/>
        </w:rPr>
        <w:br/>
      </w:r>
      <w:r w:rsidRPr="00620142">
        <w:rPr>
          <w:rFonts w:ascii="Arial" w:hAnsi="Arial" w:cs="Arial"/>
          <w:color w:val="385623" w:themeColor="accent6" w:themeShade="80"/>
        </w:rPr>
        <w:t>Teacher Retention Strategies</w:t>
      </w:r>
    </w:p>
    <w:p w14:paraId="580133AD" w14:textId="77777777" w:rsidR="00924EBE" w:rsidRPr="001C4D3F" w:rsidRDefault="002D12C3" w:rsidP="00924EBE">
      <w:pPr>
        <w:rPr>
          <w:rFonts w:ascii="Arial" w:hAnsi="Arial" w:cs="Arial"/>
          <w:color w:val="1F3864" w:themeColor="accent5" w:themeShade="80"/>
          <w:sz w:val="24"/>
          <w:szCs w:val="24"/>
        </w:rPr>
      </w:pPr>
      <w:r w:rsidRPr="001C4D3F">
        <w:rPr>
          <w:rFonts w:ascii="Arial" w:hAnsi="Arial" w:cs="Arial"/>
          <w:color w:val="1F3864" w:themeColor="accent5" w:themeShade="80"/>
          <w:sz w:val="24"/>
          <w:szCs w:val="24"/>
        </w:rPr>
        <w:t>L</w:t>
      </w:r>
      <w:r w:rsidR="00924EBE" w:rsidRPr="001C4D3F">
        <w:rPr>
          <w:rFonts w:ascii="Arial" w:hAnsi="Arial" w:cs="Arial"/>
          <w:color w:val="1F3864" w:themeColor="accent5" w:themeShade="80"/>
          <w:sz w:val="24"/>
          <w:szCs w:val="24"/>
        </w:rPr>
        <w:t>ocal educational agenc</w:t>
      </w:r>
      <w:r w:rsidRPr="001C4D3F">
        <w:rPr>
          <w:rFonts w:ascii="Arial" w:hAnsi="Arial" w:cs="Arial"/>
          <w:color w:val="1F3864" w:themeColor="accent5" w:themeShade="80"/>
          <w:sz w:val="24"/>
          <w:szCs w:val="24"/>
        </w:rPr>
        <w:t xml:space="preserve">ies </w:t>
      </w:r>
      <w:r w:rsidR="00CD05DD" w:rsidRPr="001C4D3F">
        <w:rPr>
          <w:rFonts w:ascii="Arial" w:hAnsi="Arial" w:cs="Arial"/>
          <w:color w:val="1F3864" w:themeColor="accent5" w:themeShade="80"/>
          <w:sz w:val="24"/>
          <w:szCs w:val="24"/>
        </w:rPr>
        <w:t>(</w:t>
      </w:r>
      <w:r w:rsidR="00D20496" w:rsidRPr="001C4D3F">
        <w:rPr>
          <w:rFonts w:ascii="Arial" w:hAnsi="Arial" w:cs="Arial"/>
          <w:color w:val="1F3864" w:themeColor="accent5" w:themeShade="80"/>
          <w:sz w:val="24"/>
          <w:szCs w:val="24"/>
        </w:rPr>
        <w:t>LEAs</w:t>
      </w:r>
      <w:r w:rsidR="00CD05DD" w:rsidRPr="001C4D3F">
        <w:rPr>
          <w:rFonts w:ascii="Arial" w:hAnsi="Arial" w:cs="Arial"/>
          <w:color w:val="1F3864" w:themeColor="accent5" w:themeShade="80"/>
          <w:sz w:val="24"/>
          <w:szCs w:val="24"/>
        </w:rPr>
        <w:t>)</w:t>
      </w:r>
      <w:r w:rsidR="00D20496" w:rsidRPr="001C4D3F">
        <w:rPr>
          <w:rFonts w:ascii="Arial" w:hAnsi="Arial" w:cs="Arial"/>
          <w:color w:val="1F3864" w:themeColor="accent5" w:themeShade="80"/>
          <w:sz w:val="24"/>
          <w:szCs w:val="24"/>
        </w:rPr>
        <w:t xml:space="preserve"> </w:t>
      </w:r>
      <w:r w:rsidRPr="001C4D3F">
        <w:rPr>
          <w:rFonts w:ascii="Arial" w:hAnsi="Arial" w:cs="Arial"/>
          <w:color w:val="1F3864" w:themeColor="accent5" w:themeShade="80"/>
          <w:sz w:val="24"/>
          <w:szCs w:val="24"/>
        </w:rPr>
        <w:t>may</w:t>
      </w:r>
      <w:r w:rsidR="00924EBE" w:rsidRPr="001C4D3F">
        <w:rPr>
          <w:rFonts w:ascii="Arial" w:hAnsi="Arial" w:cs="Arial"/>
          <w:color w:val="1F3864" w:themeColor="accent5" w:themeShade="80"/>
          <w:sz w:val="24"/>
          <w:szCs w:val="24"/>
        </w:rPr>
        <w:t xml:space="preserve"> find that one of the root causes of disproportionate access to excellent tea</w:t>
      </w:r>
      <w:r w:rsidRPr="001C4D3F">
        <w:rPr>
          <w:rFonts w:ascii="Arial" w:hAnsi="Arial" w:cs="Arial"/>
          <w:color w:val="1F3864" w:themeColor="accent5" w:themeShade="80"/>
          <w:sz w:val="24"/>
          <w:szCs w:val="24"/>
        </w:rPr>
        <w:t>chers is poor teacher retention. LEAs can</w:t>
      </w:r>
      <w:r w:rsidR="00924EBE" w:rsidRPr="001C4D3F">
        <w:rPr>
          <w:rFonts w:ascii="Arial" w:hAnsi="Arial" w:cs="Arial"/>
          <w:color w:val="1F3864" w:themeColor="accent5" w:themeShade="80"/>
          <w:sz w:val="24"/>
          <w:szCs w:val="24"/>
        </w:rPr>
        <w:t xml:space="preserve"> consider one or more of the followin</w:t>
      </w:r>
      <w:r w:rsidRPr="001C4D3F">
        <w:rPr>
          <w:rFonts w:ascii="Arial" w:hAnsi="Arial" w:cs="Arial"/>
          <w:color w:val="1F3864" w:themeColor="accent5" w:themeShade="80"/>
          <w:sz w:val="24"/>
          <w:szCs w:val="24"/>
        </w:rPr>
        <w:t>g teacher retention strategies as part of their equity plan.</w:t>
      </w:r>
    </w:p>
    <w:p w14:paraId="412854A8" w14:textId="77777777" w:rsidR="00D57CCC" w:rsidRPr="00620142" w:rsidRDefault="00D57CCC" w:rsidP="00620142">
      <w:pPr>
        <w:pStyle w:val="Heading2"/>
        <w:spacing w:before="240" w:after="240"/>
        <w:rPr>
          <w:rFonts w:ascii="Arial" w:hAnsi="Arial" w:cs="Arial"/>
          <w:color w:val="385623" w:themeColor="accent6" w:themeShade="80"/>
          <w:sz w:val="28"/>
        </w:rPr>
      </w:pPr>
      <w:r w:rsidRPr="00620142">
        <w:rPr>
          <w:rFonts w:ascii="Arial" w:hAnsi="Arial" w:cs="Arial"/>
          <w:color w:val="385623" w:themeColor="accent6" w:themeShade="80"/>
          <w:sz w:val="28"/>
        </w:rPr>
        <w:t>Teacher and Leadership Career Pathways</w:t>
      </w:r>
    </w:p>
    <w:p w14:paraId="43447E95" w14:textId="77777777" w:rsidR="001D1A05" w:rsidRDefault="00D57CCC" w:rsidP="00101A1B">
      <w:pPr>
        <w:tabs>
          <w:tab w:val="left" w:pos="2493"/>
        </w:tabs>
        <w:spacing w:after="240"/>
        <w:rPr>
          <w:rFonts w:ascii="Arial" w:hAnsi="Arial" w:cs="Arial"/>
          <w:sz w:val="24"/>
        </w:rPr>
      </w:pPr>
      <w:r w:rsidRPr="00DC2565">
        <w:rPr>
          <w:rFonts w:ascii="Arial" w:hAnsi="Arial" w:cs="Arial"/>
          <w:sz w:val="24"/>
        </w:rPr>
        <w:t xml:space="preserve">Oftentimes, the only way for teachers to advance on the pay scale </w:t>
      </w:r>
      <w:r>
        <w:rPr>
          <w:rFonts w:ascii="Arial" w:hAnsi="Arial" w:cs="Arial"/>
          <w:sz w:val="24"/>
        </w:rPr>
        <w:t xml:space="preserve">is by leaving the classroom to </w:t>
      </w:r>
      <w:r w:rsidRPr="00DC2565">
        <w:rPr>
          <w:rFonts w:ascii="Arial" w:hAnsi="Arial" w:cs="Arial"/>
          <w:sz w:val="24"/>
        </w:rPr>
        <w:t>becom</w:t>
      </w:r>
      <w:r>
        <w:rPr>
          <w:rFonts w:ascii="Arial" w:hAnsi="Arial" w:cs="Arial"/>
          <w:sz w:val="24"/>
        </w:rPr>
        <w:t>e</w:t>
      </w:r>
      <w:r w:rsidRPr="00DC2565">
        <w:rPr>
          <w:rFonts w:ascii="Arial" w:hAnsi="Arial" w:cs="Arial"/>
          <w:sz w:val="24"/>
        </w:rPr>
        <w:t xml:space="preserve"> an administrator.</w:t>
      </w:r>
      <w:r>
        <w:rPr>
          <w:rFonts w:ascii="Arial" w:hAnsi="Arial" w:cs="Arial"/>
          <w:sz w:val="24"/>
        </w:rPr>
        <w:t xml:space="preserve"> Some districts have develop</w:t>
      </w:r>
      <w:r w:rsidR="00A6155D">
        <w:rPr>
          <w:rFonts w:ascii="Arial" w:hAnsi="Arial" w:cs="Arial"/>
          <w:sz w:val="24"/>
        </w:rPr>
        <w:t>ed</w:t>
      </w:r>
      <w:r>
        <w:rPr>
          <w:rFonts w:ascii="Arial" w:hAnsi="Arial" w:cs="Arial"/>
          <w:sz w:val="24"/>
        </w:rPr>
        <w:t xml:space="preserve"> career advancement opportunities for teachers that offer increased compensation</w:t>
      </w:r>
      <w:r w:rsidR="00A6155D">
        <w:rPr>
          <w:rFonts w:ascii="Arial" w:hAnsi="Arial" w:cs="Arial"/>
          <w:sz w:val="24"/>
        </w:rPr>
        <w:t xml:space="preserve"> without having to leave the classroom</w:t>
      </w:r>
      <w:r>
        <w:rPr>
          <w:rFonts w:ascii="Arial" w:hAnsi="Arial" w:cs="Arial"/>
          <w:sz w:val="24"/>
        </w:rPr>
        <w:t xml:space="preserve">. </w:t>
      </w:r>
      <w:r w:rsidR="00A6155D">
        <w:rPr>
          <w:rFonts w:ascii="Arial" w:hAnsi="Arial" w:cs="Arial"/>
          <w:sz w:val="24"/>
        </w:rPr>
        <w:t xml:space="preserve">This may include mentoring new teachers, providing staff professional development, or coaching other teachers on campus. </w:t>
      </w:r>
      <w:r>
        <w:rPr>
          <w:rFonts w:ascii="Arial" w:hAnsi="Arial" w:cs="Arial"/>
          <w:sz w:val="24"/>
        </w:rPr>
        <w:t>School administrators can increase the reach and capacity of effective teachers on their school site and offer them additional compensation for these increased responsibilities. This assists high-need schools in attracting and retaining better teacher candidates.</w:t>
      </w:r>
      <w:r w:rsidR="002D12C3">
        <w:rPr>
          <w:rFonts w:ascii="Arial" w:hAnsi="Arial" w:cs="Arial"/>
          <w:sz w:val="24"/>
        </w:rPr>
        <w:t xml:space="preserve"> </w:t>
      </w:r>
      <w:r w:rsidR="001D1A05">
        <w:rPr>
          <w:rFonts w:ascii="Arial" w:hAnsi="Arial" w:cs="Arial"/>
          <w:sz w:val="24"/>
        </w:rPr>
        <w:t>For additional information about developing teacher leadership opportunities, see the following:</w:t>
      </w:r>
    </w:p>
    <w:p w14:paraId="35B8F3E5" w14:textId="77777777" w:rsidR="00D20496" w:rsidRDefault="00D20496" w:rsidP="001D1A05">
      <w:pPr>
        <w:tabs>
          <w:tab w:val="left" w:pos="2493"/>
        </w:tabs>
        <w:rPr>
          <w:rFonts w:ascii="Arial" w:hAnsi="Arial" w:cs="Arial"/>
          <w:sz w:val="24"/>
        </w:rPr>
      </w:pPr>
      <w:r>
        <w:rPr>
          <w:rFonts w:ascii="Arial" w:hAnsi="Arial" w:cs="Arial"/>
          <w:sz w:val="24"/>
        </w:rPr>
        <w:t>How to Retain Effective Teachers through Teacher Leadership</w:t>
      </w:r>
    </w:p>
    <w:p w14:paraId="137162E6" w14:textId="77777777" w:rsidR="001D1A05" w:rsidRPr="00B57722" w:rsidRDefault="001D1A05" w:rsidP="00101A1B">
      <w:pPr>
        <w:tabs>
          <w:tab w:val="left" w:pos="2493"/>
        </w:tabs>
        <w:spacing w:after="240"/>
        <w:rPr>
          <w:rStyle w:val="Hyperlink"/>
          <w:rFonts w:ascii="Arial" w:hAnsi="Arial" w:cs="Arial"/>
          <w:sz w:val="24"/>
        </w:rPr>
      </w:pPr>
      <w:r>
        <w:rPr>
          <w:rFonts w:ascii="Arial" w:hAnsi="Arial" w:cs="Arial"/>
          <w:sz w:val="24"/>
        </w:rPr>
        <w:fldChar w:fldCharType="begin"/>
      </w:r>
      <w:r>
        <w:rPr>
          <w:rFonts w:ascii="Arial" w:hAnsi="Arial" w:cs="Arial"/>
          <w:sz w:val="24"/>
        </w:rPr>
        <w:instrText xml:space="preserve"> HYPERLINK "http://teachplus.org/sites/default/files/publication/pdf/decade-plus_final.pdf" \o "Teacher Leadership Opportunities" </w:instrText>
      </w:r>
      <w:r>
        <w:rPr>
          <w:rFonts w:ascii="Arial" w:hAnsi="Arial" w:cs="Arial"/>
          <w:sz w:val="24"/>
        </w:rPr>
      </w:r>
      <w:r>
        <w:rPr>
          <w:rFonts w:ascii="Arial" w:hAnsi="Arial" w:cs="Arial"/>
          <w:sz w:val="24"/>
        </w:rPr>
        <w:fldChar w:fldCharType="separate"/>
      </w:r>
      <w:r w:rsidRPr="00620142">
        <w:rPr>
          <w:rStyle w:val="Hyperlink"/>
          <w:rFonts w:ascii="Arial" w:hAnsi="Arial" w:cs="Arial"/>
          <w:color w:val="0000FF"/>
          <w:sz w:val="24"/>
        </w:rPr>
        <w:t>http://teachplus.org/sites/default/files/publication/pdf/decade-plus_final.pdf</w:t>
      </w:r>
    </w:p>
    <w:p w14:paraId="7FEBC8B3" w14:textId="77777777" w:rsidR="00D20496" w:rsidRDefault="001D1A05" w:rsidP="00C26FE8">
      <w:pPr>
        <w:tabs>
          <w:tab w:val="left" w:pos="2493"/>
        </w:tabs>
        <w:rPr>
          <w:rFonts w:ascii="Arial" w:hAnsi="Arial" w:cs="Arial"/>
          <w:sz w:val="24"/>
        </w:rPr>
      </w:pPr>
      <w:r>
        <w:rPr>
          <w:rFonts w:ascii="Arial" w:hAnsi="Arial" w:cs="Arial"/>
          <w:sz w:val="24"/>
        </w:rPr>
        <w:fldChar w:fldCharType="end"/>
      </w:r>
      <w:r w:rsidR="00D20496">
        <w:rPr>
          <w:rFonts w:ascii="Arial" w:hAnsi="Arial" w:cs="Arial"/>
          <w:sz w:val="24"/>
        </w:rPr>
        <w:t>Understanding the Opportunity Culture Principles</w:t>
      </w:r>
    </w:p>
    <w:p w14:paraId="137F6F3F" w14:textId="77777777" w:rsidR="001D1A05" w:rsidRPr="00620142" w:rsidRDefault="001D1A05" w:rsidP="00101A1B">
      <w:pPr>
        <w:tabs>
          <w:tab w:val="left" w:pos="2493"/>
        </w:tabs>
        <w:spacing w:after="240"/>
        <w:rPr>
          <w:rStyle w:val="Hyperlink"/>
          <w:rFonts w:ascii="Arial" w:hAnsi="Arial" w:cs="Arial"/>
          <w:color w:val="0000FF"/>
          <w:sz w:val="24"/>
        </w:rPr>
      </w:pPr>
      <w:r w:rsidRPr="00620142">
        <w:rPr>
          <w:rFonts w:ascii="Arial" w:hAnsi="Arial" w:cs="Arial"/>
          <w:color w:val="0000FF"/>
          <w:sz w:val="24"/>
        </w:rPr>
        <w:fldChar w:fldCharType="begin"/>
      </w:r>
      <w:r w:rsidRPr="00620142">
        <w:rPr>
          <w:rFonts w:ascii="Arial" w:hAnsi="Arial" w:cs="Arial"/>
          <w:color w:val="0000FF"/>
          <w:sz w:val="24"/>
        </w:rPr>
        <w:instrText xml:space="preserve"> HYPERLINK "http://opportunityculture.org/wp-content/uploads/2016/07/Understanding_the_Opportunity_Culture_Principles-Public_Impact.pdf" \o "Opportunity Culture for Principles" </w:instrText>
      </w:r>
      <w:r w:rsidRPr="00620142">
        <w:rPr>
          <w:rFonts w:ascii="Arial" w:hAnsi="Arial" w:cs="Arial"/>
          <w:color w:val="0000FF"/>
          <w:sz w:val="24"/>
        </w:rPr>
      </w:r>
      <w:r w:rsidRPr="00620142">
        <w:rPr>
          <w:rFonts w:ascii="Arial" w:hAnsi="Arial" w:cs="Arial"/>
          <w:color w:val="0000FF"/>
          <w:sz w:val="24"/>
        </w:rPr>
        <w:fldChar w:fldCharType="separate"/>
      </w:r>
      <w:r w:rsidRPr="00620142">
        <w:rPr>
          <w:rStyle w:val="Hyperlink"/>
          <w:rFonts w:ascii="Arial" w:hAnsi="Arial" w:cs="Arial"/>
          <w:color w:val="0000FF"/>
          <w:sz w:val="24"/>
        </w:rPr>
        <w:t>http://opportunityculture.org/wp-content/uploads/2016/07/Understanding_the_Opportunity_Culture_Principles-Public_Impact.pdf</w:t>
      </w:r>
    </w:p>
    <w:p w14:paraId="1ADB6CE0" w14:textId="77777777" w:rsidR="001D1A05" w:rsidRDefault="001D1A05" w:rsidP="001D1A05">
      <w:pPr>
        <w:tabs>
          <w:tab w:val="left" w:pos="2493"/>
        </w:tabs>
        <w:rPr>
          <w:rFonts w:ascii="Arial" w:hAnsi="Arial" w:cs="Arial"/>
          <w:sz w:val="24"/>
        </w:rPr>
      </w:pPr>
      <w:r w:rsidRPr="00620142">
        <w:rPr>
          <w:rFonts w:ascii="Arial" w:hAnsi="Arial" w:cs="Arial"/>
          <w:color w:val="0000FF"/>
          <w:sz w:val="24"/>
        </w:rPr>
        <w:fldChar w:fldCharType="end"/>
      </w:r>
      <w:r w:rsidR="00D20496">
        <w:rPr>
          <w:rFonts w:ascii="Arial" w:hAnsi="Arial" w:cs="Arial"/>
          <w:sz w:val="24"/>
        </w:rPr>
        <w:t xml:space="preserve">Tools for Principals in Opportunity Cultures Schools </w:t>
      </w:r>
    </w:p>
    <w:p w14:paraId="6EEC8E8F" w14:textId="77777777" w:rsidR="001D1A05" w:rsidRPr="00620142" w:rsidRDefault="001D1A05" w:rsidP="001D1A05">
      <w:pPr>
        <w:tabs>
          <w:tab w:val="left" w:pos="2493"/>
        </w:tabs>
        <w:rPr>
          <w:rStyle w:val="Hyperlink"/>
          <w:rFonts w:ascii="Arial" w:hAnsi="Arial" w:cs="Arial"/>
          <w:color w:val="0000FF"/>
          <w:sz w:val="24"/>
        </w:rPr>
      </w:pPr>
      <w:r w:rsidRPr="00620142">
        <w:rPr>
          <w:rFonts w:ascii="Arial" w:hAnsi="Arial" w:cs="Arial"/>
          <w:color w:val="0000FF"/>
          <w:sz w:val="24"/>
        </w:rPr>
        <w:fldChar w:fldCharType="begin"/>
      </w:r>
      <w:r w:rsidRPr="00620142">
        <w:rPr>
          <w:rFonts w:ascii="Arial" w:hAnsi="Arial" w:cs="Arial"/>
          <w:color w:val="0000FF"/>
          <w:sz w:val="24"/>
        </w:rPr>
        <w:instrText xml:space="preserve"> HYPERLINK "http://opportunityculture.org/tools-for-principals-in-opportunity-culture-schools/" \o "Oppportunity Culture for Principals" </w:instrText>
      </w:r>
      <w:r w:rsidRPr="00620142">
        <w:rPr>
          <w:rFonts w:ascii="Arial" w:hAnsi="Arial" w:cs="Arial"/>
          <w:color w:val="0000FF"/>
          <w:sz w:val="24"/>
        </w:rPr>
      </w:r>
      <w:r w:rsidRPr="00620142">
        <w:rPr>
          <w:rFonts w:ascii="Arial" w:hAnsi="Arial" w:cs="Arial"/>
          <w:color w:val="0000FF"/>
          <w:sz w:val="24"/>
        </w:rPr>
        <w:fldChar w:fldCharType="separate"/>
      </w:r>
      <w:r w:rsidRPr="00620142">
        <w:rPr>
          <w:rStyle w:val="Hyperlink"/>
          <w:rFonts w:ascii="Arial" w:hAnsi="Arial" w:cs="Arial"/>
          <w:color w:val="0000FF"/>
          <w:sz w:val="24"/>
        </w:rPr>
        <w:t>http://opportunityculture.org/tools-for-principals-in-opportunity-culture-schools/</w:t>
      </w:r>
    </w:p>
    <w:p w14:paraId="04260534" w14:textId="77777777" w:rsidR="00D57CCC" w:rsidRPr="004D7363" w:rsidRDefault="001D1A05" w:rsidP="004D7363">
      <w:pPr>
        <w:pStyle w:val="Heading2"/>
        <w:spacing w:before="240" w:after="240"/>
        <w:rPr>
          <w:rFonts w:ascii="Arial" w:hAnsi="Arial" w:cs="Arial"/>
          <w:color w:val="385623" w:themeColor="accent6" w:themeShade="80"/>
          <w:sz w:val="28"/>
        </w:rPr>
      </w:pPr>
      <w:r w:rsidRPr="00620142">
        <w:rPr>
          <w:color w:val="0000FF"/>
          <w:sz w:val="24"/>
        </w:rPr>
        <w:fldChar w:fldCharType="end"/>
      </w:r>
      <w:r w:rsidR="00D57CCC" w:rsidRPr="004D7363">
        <w:rPr>
          <w:rFonts w:ascii="Arial" w:hAnsi="Arial" w:cs="Arial"/>
          <w:color w:val="385623" w:themeColor="accent6" w:themeShade="80"/>
          <w:sz w:val="28"/>
        </w:rPr>
        <w:t>Mentoring and Induction</w:t>
      </w:r>
    </w:p>
    <w:p w14:paraId="41A25C1B" w14:textId="77777777" w:rsidR="00C92F00" w:rsidRDefault="00D57CCC" w:rsidP="00101A1B">
      <w:pPr>
        <w:tabs>
          <w:tab w:val="left" w:pos="2493"/>
        </w:tabs>
        <w:spacing w:after="240"/>
        <w:rPr>
          <w:rFonts w:ascii="Arial" w:hAnsi="Arial" w:cs="Arial"/>
          <w:sz w:val="24"/>
        </w:rPr>
      </w:pPr>
      <w:r>
        <w:rPr>
          <w:rFonts w:ascii="Arial" w:hAnsi="Arial" w:cs="Arial"/>
          <w:sz w:val="24"/>
        </w:rPr>
        <w:t>Mentoring and induction progr</w:t>
      </w:r>
      <w:r w:rsidR="00A6155D">
        <w:rPr>
          <w:rFonts w:ascii="Arial" w:hAnsi="Arial" w:cs="Arial"/>
          <w:sz w:val="24"/>
        </w:rPr>
        <w:t>ams for new teachers have shown</w:t>
      </w:r>
      <w:r>
        <w:rPr>
          <w:rFonts w:ascii="Arial" w:hAnsi="Arial" w:cs="Arial"/>
          <w:sz w:val="24"/>
        </w:rPr>
        <w:t xml:space="preserve"> to improve teacher effectiveness and retention. Pairing a new teacher with a more experienced teacher assists in orienting the new teacher to the school and community and provides them with ongoing guidance and support. The most effective programs have a rigorous process for selecting mentors, ongoing professional development for new teachers and mentors, time dedicated for mentors and new teachers to meet, and provide multiple years of mentoring and support.  </w:t>
      </w:r>
      <w:r w:rsidR="00C92F00">
        <w:rPr>
          <w:rFonts w:ascii="Arial" w:hAnsi="Arial" w:cs="Arial"/>
          <w:sz w:val="24"/>
        </w:rPr>
        <w:t>Additional resources about mentoring and induction are available at:</w:t>
      </w:r>
    </w:p>
    <w:p w14:paraId="0CB444D7" w14:textId="77777777" w:rsidR="00D20496" w:rsidRDefault="00D20496" w:rsidP="00D57CCC">
      <w:pPr>
        <w:tabs>
          <w:tab w:val="left" w:pos="2493"/>
        </w:tabs>
        <w:rPr>
          <w:rFonts w:ascii="Arial" w:hAnsi="Arial" w:cs="Arial"/>
          <w:sz w:val="24"/>
        </w:rPr>
      </w:pPr>
      <w:r>
        <w:rPr>
          <w:rFonts w:ascii="Arial" w:hAnsi="Arial" w:cs="Arial"/>
          <w:sz w:val="24"/>
        </w:rPr>
        <w:t>Great Teachers and Leaders</w:t>
      </w:r>
      <w:r w:rsidR="00CD05DD">
        <w:rPr>
          <w:rFonts w:ascii="Arial" w:hAnsi="Arial" w:cs="Arial"/>
          <w:sz w:val="24"/>
        </w:rPr>
        <w:t>:</w:t>
      </w:r>
      <w:r>
        <w:rPr>
          <w:rFonts w:ascii="Arial" w:hAnsi="Arial" w:cs="Arial"/>
          <w:sz w:val="24"/>
        </w:rPr>
        <w:t xml:space="preserve"> Mentoring and Induction Toolkit</w:t>
      </w:r>
    </w:p>
    <w:p w14:paraId="7AC19517" w14:textId="77777777" w:rsidR="0026426F" w:rsidRPr="004766BB" w:rsidRDefault="004766BB" w:rsidP="00DC37D1">
      <w:pPr>
        <w:tabs>
          <w:tab w:val="left" w:pos="2493"/>
        </w:tabs>
        <w:spacing w:after="840"/>
        <w:rPr>
          <w:rStyle w:val="Hyperlink"/>
          <w:rFonts w:ascii="Arial" w:hAnsi="Arial" w:cs="Arial"/>
          <w:color w:val="0000FF"/>
          <w:sz w:val="24"/>
        </w:rPr>
      </w:pPr>
      <w:r w:rsidRPr="004766BB">
        <w:rPr>
          <w:rFonts w:ascii="Arial" w:hAnsi="Arial" w:cs="Arial"/>
          <w:color w:val="0000FF"/>
          <w:sz w:val="24"/>
        </w:rPr>
        <w:fldChar w:fldCharType="begin"/>
      </w:r>
      <w:r>
        <w:rPr>
          <w:rFonts w:ascii="Arial" w:hAnsi="Arial" w:cs="Arial"/>
          <w:color w:val="0000FF"/>
          <w:sz w:val="24"/>
        </w:rPr>
        <w:instrText>HYPERLINK "https://gtlcenter.org/technical-assistance/toolkits/mi-toolkit" \o "Mentoring and Induction Toolkit"</w:instrText>
      </w:r>
      <w:r w:rsidRPr="004766BB">
        <w:rPr>
          <w:rFonts w:ascii="Arial" w:hAnsi="Arial" w:cs="Arial"/>
          <w:color w:val="0000FF"/>
          <w:sz w:val="24"/>
        </w:rPr>
      </w:r>
      <w:r w:rsidRPr="004766BB">
        <w:rPr>
          <w:rFonts w:ascii="Arial" w:hAnsi="Arial" w:cs="Arial"/>
          <w:color w:val="0000FF"/>
          <w:sz w:val="24"/>
        </w:rPr>
        <w:fldChar w:fldCharType="separate"/>
      </w:r>
      <w:r w:rsidRPr="004766BB">
        <w:rPr>
          <w:rStyle w:val="Hyperlink"/>
          <w:rFonts w:ascii="Arial" w:hAnsi="Arial" w:cs="Arial"/>
          <w:color w:val="0000FF"/>
          <w:sz w:val="24"/>
        </w:rPr>
        <w:t>https://gtlcenter.org/technical-assistance/toolkits/mi-toolkit</w:t>
      </w:r>
    </w:p>
    <w:p w14:paraId="6F817AE7" w14:textId="77777777" w:rsidR="00C92F00" w:rsidRPr="004D7363" w:rsidRDefault="004766BB" w:rsidP="00F87E75">
      <w:pPr>
        <w:tabs>
          <w:tab w:val="left" w:pos="2493"/>
        </w:tabs>
        <w:rPr>
          <w:rFonts w:ascii="Arial" w:hAnsi="Arial" w:cs="Arial"/>
          <w:color w:val="0000FF"/>
          <w:sz w:val="24"/>
        </w:rPr>
      </w:pPr>
      <w:r w:rsidRPr="004766BB">
        <w:rPr>
          <w:rFonts w:ascii="Arial" w:hAnsi="Arial" w:cs="Arial"/>
          <w:color w:val="0000FF"/>
          <w:sz w:val="24"/>
        </w:rPr>
        <w:fldChar w:fldCharType="end"/>
      </w:r>
      <w:r w:rsidR="00F87E75" w:rsidRPr="004D7363">
        <w:rPr>
          <w:rFonts w:ascii="Arial" w:hAnsi="Arial" w:cs="Arial"/>
          <w:color w:val="0000FF"/>
          <w:sz w:val="24"/>
        </w:rPr>
        <w:t xml:space="preserve"> </w:t>
      </w:r>
    </w:p>
    <w:p w14:paraId="5554F151" w14:textId="77777777" w:rsidR="00C92F00" w:rsidRPr="00A82DB6" w:rsidRDefault="0026426F" w:rsidP="00D57CCC">
      <w:pPr>
        <w:tabs>
          <w:tab w:val="left" w:pos="2493"/>
        </w:tabs>
        <w:rPr>
          <w:rFonts w:ascii="Arial" w:hAnsi="Arial" w:cs="Arial"/>
          <w:sz w:val="24"/>
        </w:rPr>
      </w:pPr>
      <w:r>
        <w:rPr>
          <w:rFonts w:ascii="Arial" w:eastAsiaTheme="majorEastAsia" w:hAnsi="Arial" w:cs="Arial"/>
          <w:noProof/>
          <w:color w:val="2F5496" w:themeColor="accent5" w:themeShade="BF"/>
          <w:sz w:val="28"/>
          <w:szCs w:val="28"/>
        </w:rPr>
        <w:drawing>
          <wp:inline distT="0" distB="0" distL="0" distR="0" wp14:anchorId="630E9F24" wp14:editId="42FC0E65">
            <wp:extent cx="7220310" cy="671222"/>
            <wp:effectExtent l="0" t="0" r="0" b="0"/>
            <wp:docPr id="4" name="Picture 4" descr="This is a decorative footer on thi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 equity logo bottom border.png"/>
                    <pic:cNvPicPr/>
                  </pic:nvPicPr>
                  <pic:blipFill>
                    <a:blip r:embed="rId8">
                      <a:extLst>
                        <a:ext uri="{28A0092B-C50C-407E-A947-70E740481C1C}">
                          <a14:useLocalDpi xmlns:a14="http://schemas.microsoft.com/office/drawing/2010/main" val="0"/>
                        </a:ext>
                      </a:extLst>
                    </a:blip>
                    <a:stretch>
                      <a:fillRect/>
                    </a:stretch>
                  </pic:blipFill>
                  <pic:spPr>
                    <a:xfrm>
                      <a:off x="0" y="0"/>
                      <a:ext cx="7348253" cy="683116"/>
                    </a:xfrm>
                    <a:prstGeom prst="rect">
                      <a:avLst/>
                    </a:prstGeom>
                  </pic:spPr>
                </pic:pic>
              </a:graphicData>
            </a:graphic>
          </wp:inline>
        </w:drawing>
      </w:r>
    </w:p>
    <w:p w14:paraId="36BAA4F1" w14:textId="77777777" w:rsidR="00D57CCC" w:rsidRPr="00942E15" w:rsidRDefault="00D57CCC" w:rsidP="00942E15">
      <w:pPr>
        <w:pStyle w:val="Heading2"/>
        <w:spacing w:before="240" w:after="240"/>
        <w:rPr>
          <w:rFonts w:ascii="Arial" w:hAnsi="Arial" w:cs="Arial"/>
          <w:color w:val="385623" w:themeColor="accent6" w:themeShade="80"/>
          <w:sz w:val="28"/>
        </w:rPr>
      </w:pPr>
      <w:r w:rsidRPr="00942E15">
        <w:rPr>
          <w:rFonts w:ascii="Arial" w:hAnsi="Arial" w:cs="Arial"/>
          <w:color w:val="385623" w:themeColor="accent6" w:themeShade="80"/>
          <w:sz w:val="28"/>
        </w:rPr>
        <w:lastRenderedPageBreak/>
        <w:t>Promoting Teacher Collaboration</w:t>
      </w:r>
    </w:p>
    <w:p w14:paraId="31567656" w14:textId="77777777" w:rsidR="00D57CCC" w:rsidRDefault="00D57CCC" w:rsidP="00101A1B">
      <w:pPr>
        <w:tabs>
          <w:tab w:val="left" w:pos="2493"/>
        </w:tabs>
        <w:spacing w:after="240"/>
        <w:rPr>
          <w:rFonts w:ascii="Arial" w:hAnsi="Arial" w:cs="Arial"/>
          <w:sz w:val="24"/>
          <w:szCs w:val="24"/>
        </w:rPr>
      </w:pPr>
      <w:r>
        <w:rPr>
          <w:rFonts w:ascii="Arial" w:hAnsi="Arial" w:cs="Arial"/>
          <w:sz w:val="24"/>
          <w:szCs w:val="24"/>
        </w:rPr>
        <w:t>Teaching can be a very isolating profession if teacher collaboration time is not prioritized in schools and districts. Collaborative cultures ensure that teachers feel supported by their colleagues and can play a large role in retaining teachers. Districts and schools should use creative and innovative solutions to set aside time for teachers to plan and collaborate throughout the school year. This time can be focused around examining data, collaborative lesson planning, or discussing challenges and providing constructive feedback.</w:t>
      </w:r>
      <w:r w:rsidR="00AD1B3A">
        <w:rPr>
          <w:rFonts w:ascii="Arial" w:hAnsi="Arial" w:cs="Arial"/>
          <w:sz w:val="24"/>
          <w:szCs w:val="24"/>
        </w:rPr>
        <w:t xml:space="preserve"> </w:t>
      </w:r>
    </w:p>
    <w:p w14:paraId="5D069157" w14:textId="77777777" w:rsidR="00FD1A7F" w:rsidRPr="00E214AA" w:rsidRDefault="00FD1A7F" w:rsidP="00FD1A7F">
      <w:pPr>
        <w:pStyle w:val="Heading2"/>
        <w:spacing w:before="240" w:after="240"/>
        <w:rPr>
          <w:rFonts w:ascii="Arial" w:hAnsi="Arial" w:cs="Arial"/>
          <w:color w:val="385623" w:themeColor="accent6" w:themeShade="80"/>
          <w:sz w:val="28"/>
        </w:rPr>
      </w:pPr>
      <w:r>
        <w:rPr>
          <w:rFonts w:ascii="Arial" w:hAnsi="Arial" w:cs="Arial"/>
          <w:color w:val="385623" w:themeColor="accent6" w:themeShade="80"/>
          <w:sz w:val="28"/>
        </w:rPr>
        <w:t>Teacher Climate Surveys</w:t>
      </w:r>
    </w:p>
    <w:p w14:paraId="6002971D" w14:textId="77777777" w:rsidR="00FD1A7F" w:rsidRDefault="00FD1A7F" w:rsidP="00FD1A7F">
      <w:pPr>
        <w:tabs>
          <w:tab w:val="left" w:pos="2493"/>
        </w:tabs>
        <w:spacing w:after="240"/>
        <w:rPr>
          <w:rFonts w:ascii="Arial" w:hAnsi="Arial" w:cs="Arial"/>
          <w:sz w:val="24"/>
        </w:rPr>
      </w:pPr>
      <w:r>
        <w:rPr>
          <w:rFonts w:ascii="Arial" w:hAnsi="Arial" w:cs="Arial"/>
          <w:sz w:val="24"/>
        </w:rPr>
        <w:t>Studies have shown that teacher surveys that assess working conditions and school climate can predict retention rates and identify the reasons for teacher attrition. Districts can utilize teacher climate surveys to address the major reasons for teacher attrition and retain effective teachers.</w:t>
      </w:r>
    </w:p>
    <w:p w14:paraId="5E6C0B93" w14:textId="77777777" w:rsidR="00FD1A7F" w:rsidRPr="00F862D5" w:rsidRDefault="002E3EC6" w:rsidP="00FD1A7F">
      <w:pPr>
        <w:tabs>
          <w:tab w:val="left" w:pos="2493"/>
        </w:tabs>
        <w:rPr>
          <w:rFonts w:ascii="Arial" w:hAnsi="Arial" w:cs="Arial"/>
          <w:sz w:val="24"/>
          <w:szCs w:val="24"/>
        </w:rPr>
      </w:pPr>
      <w:r>
        <w:rPr>
          <w:rFonts w:ascii="Arial" w:hAnsi="Arial" w:cs="Arial"/>
          <w:sz w:val="24"/>
        </w:rPr>
        <w:t>California School Climate, Health, and Learning Survey System (</w:t>
      </w:r>
      <w:proofErr w:type="spellStart"/>
      <w:r>
        <w:rPr>
          <w:rFonts w:ascii="Arial" w:hAnsi="Arial" w:cs="Arial"/>
          <w:sz w:val="24"/>
        </w:rPr>
        <w:t>CalSCHLS</w:t>
      </w:r>
      <w:proofErr w:type="spellEnd"/>
      <w:r>
        <w:rPr>
          <w:rFonts w:ascii="Arial" w:hAnsi="Arial" w:cs="Arial"/>
          <w:sz w:val="24"/>
        </w:rPr>
        <w:t>)</w:t>
      </w:r>
      <w:r w:rsidR="00FD1A7F">
        <w:rPr>
          <w:rFonts w:ascii="Arial" w:hAnsi="Arial" w:cs="Arial"/>
          <w:sz w:val="24"/>
        </w:rPr>
        <w:t xml:space="preserve">: A system of surveys </w:t>
      </w:r>
      <w:r w:rsidR="00FD1A7F" w:rsidRPr="00C4381C">
        <w:rPr>
          <w:rFonts w:ascii="Arial" w:hAnsi="Arial" w:cs="Arial"/>
          <w:sz w:val="24"/>
        </w:rPr>
        <w:t xml:space="preserve">developed </w:t>
      </w:r>
      <w:r w:rsidR="00FD1A7F">
        <w:rPr>
          <w:rFonts w:ascii="Arial" w:hAnsi="Arial" w:cs="Arial"/>
          <w:sz w:val="24"/>
        </w:rPr>
        <w:t>by the</w:t>
      </w:r>
      <w:r w:rsidR="00FD1A7F" w:rsidRPr="00F862D5">
        <w:rPr>
          <w:rFonts w:ascii="Arial" w:hAnsi="Arial" w:cs="Arial"/>
          <w:sz w:val="24"/>
          <w:szCs w:val="24"/>
        </w:rPr>
        <w:t xml:space="preserve"> </w:t>
      </w:r>
      <w:r w:rsidRPr="00F862D5">
        <w:rPr>
          <w:rFonts w:ascii="Arial" w:hAnsi="Arial" w:cs="Arial"/>
          <w:sz w:val="24"/>
          <w:szCs w:val="24"/>
        </w:rPr>
        <w:t>California Department of Education</w:t>
      </w:r>
      <w:r w:rsidR="00FD1A7F" w:rsidRPr="00F862D5">
        <w:rPr>
          <w:rFonts w:ascii="Arial" w:hAnsi="Arial" w:cs="Arial"/>
          <w:sz w:val="24"/>
          <w:szCs w:val="24"/>
        </w:rPr>
        <w:t xml:space="preserve"> with the assistance of Expert Advisory Committees, is a research-based assessment of all the major domains of school climate as it affects students, staff, and parents.</w:t>
      </w:r>
    </w:p>
    <w:p w14:paraId="5C02AF69" w14:textId="583AB498" w:rsidR="00F862D5" w:rsidRPr="00F862D5" w:rsidRDefault="00000000" w:rsidP="00F862D5">
      <w:pPr>
        <w:tabs>
          <w:tab w:val="left" w:pos="2493"/>
        </w:tabs>
        <w:spacing w:after="240"/>
        <w:rPr>
          <w:rFonts w:ascii="Arial" w:hAnsi="Arial" w:cs="Arial"/>
          <w:color w:val="0000FF"/>
          <w:sz w:val="24"/>
          <w:szCs w:val="24"/>
        </w:rPr>
      </w:pPr>
      <w:hyperlink r:id="rId9" w:tooltip="Resources on the California School Climate, Health, and Learning Survey System " w:history="1">
        <w:r w:rsidR="00F862D5" w:rsidRPr="00F862D5">
          <w:rPr>
            <w:rStyle w:val="Hyperlink"/>
            <w:rFonts w:ascii="Arial" w:hAnsi="Arial" w:cs="Arial"/>
            <w:color w:val="0000FF"/>
            <w:sz w:val="24"/>
            <w:szCs w:val="24"/>
          </w:rPr>
          <w:t>https://calschls.org/resources/</w:t>
        </w:r>
      </w:hyperlink>
    </w:p>
    <w:p w14:paraId="4FB4F9AF" w14:textId="03282A34" w:rsidR="00FD1A7F" w:rsidRDefault="00FD1A7F" w:rsidP="00FD1A7F">
      <w:pPr>
        <w:tabs>
          <w:tab w:val="left" w:pos="2493"/>
        </w:tabs>
        <w:rPr>
          <w:rFonts w:ascii="Arial" w:hAnsi="Arial" w:cs="Arial"/>
          <w:sz w:val="24"/>
        </w:rPr>
      </w:pPr>
      <w:r>
        <w:rPr>
          <w:rFonts w:ascii="Arial" w:hAnsi="Arial" w:cs="Arial"/>
          <w:sz w:val="24"/>
        </w:rPr>
        <w:t>Solving the Teacher Shortage: How to Attract and Retain Excellent Educators</w:t>
      </w:r>
    </w:p>
    <w:p w14:paraId="6CDB8916" w14:textId="77777777" w:rsidR="00FD1A7F" w:rsidRPr="00FD1A7F" w:rsidRDefault="00FD1A7F" w:rsidP="00FD1A7F">
      <w:pPr>
        <w:tabs>
          <w:tab w:val="left" w:pos="2493"/>
        </w:tabs>
        <w:spacing w:after="240"/>
        <w:rPr>
          <w:rStyle w:val="Hyperlink"/>
          <w:rFonts w:ascii="Arial" w:hAnsi="Arial" w:cs="Arial"/>
          <w:color w:val="0000FF"/>
          <w:sz w:val="24"/>
        </w:rPr>
      </w:pPr>
      <w:r w:rsidRPr="00FD1A7F">
        <w:rPr>
          <w:rFonts w:ascii="Arial" w:hAnsi="Arial" w:cs="Arial"/>
          <w:color w:val="0000FF"/>
          <w:sz w:val="24"/>
        </w:rPr>
        <w:fldChar w:fldCharType="begin"/>
      </w:r>
      <w:r w:rsidRPr="00FD1A7F">
        <w:rPr>
          <w:rFonts w:ascii="Arial" w:hAnsi="Arial" w:cs="Arial"/>
          <w:color w:val="0000FF"/>
          <w:sz w:val="24"/>
        </w:rPr>
        <w:instrText xml:space="preserve"> HYPERLINK "https://learningpolicyinstitute.org/sites/default/files/product-files/Solving_Teacher_Shortage_Attract_Retain_Educators_REPORT.pdf" \o "Solving the Teacher Shortage: How to Attract and Retain Excellent Educators" </w:instrText>
      </w:r>
      <w:r w:rsidRPr="00FD1A7F">
        <w:rPr>
          <w:rFonts w:ascii="Arial" w:hAnsi="Arial" w:cs="Arial"/>
          <w:color w:val="0000FF"/>
          <w:sz w:val="24"/>
        </w:rPr>
      </w:r>
      <w:r w:rsidRPr="00FD1A7F">
        <w:rPr>
          <w:rFonts w:ascii="Arial" w:hAnsi="Arial" w:cs="Arial"/>
          <w:color w:val="0000FF"/>
          <w:sz w:val="24"/>
        </w:rPr>
        <w:fldChar w:fldCharType="separate"/>
      </w:r>
      <w:r w:rsidRPr="00FD1A7F">
        <w:rPr>
          <w:rStyle w:val="Hyperlink"/>
          <w:rFonts w:ascii="Arial" w:hAnsi="Arial" w:cs="Arial"/>
          <w:color w:val="0000FF"/>
          <w:sz w:val="24"/>
        </w:rPr>
        <w:t>https://learningpolicyinstitute.org/sites/default/files/product-files/Solving_Teacher_Shortage_Attract_Retain_Educators_REPORT.pdf</w:t>
      </w:r>
    </w:p>
    <w:p w14:paraId="3D26FB04" w14:textId="77777777" w:rsidR="00FD1A7F" w:rsidRDefault="00FD1A7F" w:rsidP="00FD1A7F">
      <w:pPr>
        <w:tabs>
          <w:tab w:val="left" w:pos="2493"/>
        </w:tabs>
        <w:rPr>
          <w:rFonts w:ascii="Arial" w:hAnsi="Arial" w:cs="Arial"/>
          <w:sz w:val="24"/>
        </w:rPr>
      </w:pPr>
      <w:r w:rsidRPr="00FD1A7F">
        <w:rPr>
          <w:rFonts w:ascii="Arial" w:hAnsi="Arial" w:cs="Arial"/>
          <w:color w:val="0000FF"/>
          <w:sz w:val="24"/>
        </w:rPr>
        <w:fldChar w:fldCharType="end"/>
      </w:r>
      <w:r>
        <w:rPr>
          <w:rFonts w:ascii="Arial" w:hAnsi="Arial" w:cs="Arial"/>
          <w:sz w:val="24"/>
        </w:rPr>
        <w:t>Teaching, Empowering, Leading, and Learning (TELL) survey</w:t>
      </w:r>
    </w:p>
    <w:p w14:paraId="1B78A332" w14:textId="77777777" w:rsidR="00FD1A7F" w:rsidRPr="00FD1A7F" w:rsidRDefault="00FD1A7F" w:rsidP="00FD1A7F">
      <w:pPr>
        <w:tabs>
          <w:tab w:val="left" w:pos="2493"/>
        </w:tabs>
        <w:spacing w:after="240"/>
        <w:rPr>
          <w:rStyle w:val="Hyperlink"/>
          <w:rFonts w:ascii="Arial" w:hAnsi="Arial" w:cs="Arial"/>
          <w:color w:val="0000FF"/>
          <w:sz w:val="24"/>
        </w:rPr>
      </w:pPr>
      <w:r w:rsidRPr="00FD1A7F">
        <w:rPr>
          <w:rFonts w:ascii="Arial" w:hAnsi="Arial" w:cs="Arial"/>
          <w:color w:val="0000FF"/>
          <w:sz w:val="24"/>
        </w:rPr>
        <w:fldChar w:fldCharType="begin"/>
      </w:r>
      <w:r w:rsidRPr="00FD1A7F">
        <w:rPr>
          <w:rFonts w:ascii="Arial" w:hAnsi="Arial" w:cs="Arial"/>
          <w:color w:val="0000FF"/>
          <w:sz w:val="24"/>
        </w:rPr>
        <w:instrText xml:space="preserve"> HYPERLINK "https://newteachercenter.org/approach-old/teaching-empowering-leading-and-learning-tell/" \o "Teaching, Empowering, Leading, and Learning (TELL) survey" </w:instrText>
      </w:r>
      <w:r w:rsidRPr="00FD1A7F">
        <w:rPr>
          <w:rFonts w:ascii="Arial" w:hAnsi="Arial" w:cs="Arial"/>
          <w:color w:val="0000FF"/>
          <w:sz w:val="24"/>
        </w:rPr>
      </w:r>
      <w:r w:rsidRPr="00FD1A7F">
        <w:rPr>
          <w:rFonts w:ascii="Arial" w:hAnsi="Arial" w:cs="Arial"/>
          <w:color w:val="0000FF"/>
          <w:sz w:val="24"/>
        </w:rPr>
        <w:fldChar w:fldCharType="separate"/>
      </w:r>
      <w:r w:rsidRPr="00FD1A7F">
        <w:rPr>
          <w:rStyle w:val="Hyperlink"/>
          <w:rFonts w:ascii="Arial" w:hAnsi="Arial" w:cs="Arial"/>
          <w:color w:val="0000FF"/>
          <w:sz w:val="24"/>
        </w:rPr>
        <w:t>https://newteachercenter.org/approach-old/teaching-empowering-leading-and-learning-tell/</w:t>
      </w:r>
    </w:p>
    <w:p w14:paraId="7E19675D" w14:textId="77777777" w:rsidR="00FD1A7F" w:rsidRDefault="00FD1A7F" w:rsidP="00FD1A7F">
      <w:pPr>
        <w:tabs>
          <w:tab w:val="left" w:pos="2493"/>
        </w:tabs>
        <w:rPr>
          <w:rFonts w:ascii="Arial" w:hAnsi="Arial" w:cs="Arial"/>
          <w:sz w:val="24"/>
        </w:rPr>
      </w:pPr>
      <w:r w:rsidRPr="00FD1A7F">
        <w:rPr>
          <w:rFonts w:ascii="Arial" w:hAnsi="Arial" w:cs="Arial"/>
          <w:color w:val="0000FF"/>
          <w:sz w:val="24"/>
        </w:rPr>
        <w:fldChar w:fldCharType="end"/>
      </w:r>
      <w:r>
        <w:rPr>
          <w:rFonts w:ascii="Arial" w:hAnsi="Arial" w:cs="Arial"/>
          <w:sz w:val="24"/>
        </w:rPr>
        <w:t>School Leadership Counts</w:t>
      </w:r>
      <w:r w:rsidR="0088329D">
        <w:rPr>
          <w:rFonts w:ascii="Arial" w:hAnsi="Arial" w:cs="Arial"/>
          <w:sz w:val="24"/>
        </w:rPr>
        <w:t xml:space="preserve"> </w:t>
      </w:r>
    </w:p>
    <w:p w14:paraId="2F9F4F73" w14:textId="77777777" w:rsidR="0088329D" w:rsidRPr="00DC37D1" w:rsidRDefault="00000000" w:rsidP="00FD1A7F">
      <w:pPr>
        <w:tabs>
          <w:tab w:val="left" w:pos="2493"/>
        </w:tabs>
        <w:rPr>
          <w:rFonts w:ascii="Arial" w:hAnsi="Arial" w:cs="Arial"/>
          <w:color w:val="0000FF"/>
          <w:sz w:val="24"/>
        </w:rPr>
      </w:pPr>
      <w:hyperlink r:id="rId10" w:tooltip="New Teacher School Leadership" w:history="1">
        <w:r w:rsidR="0088329D" w:rsidRPr="00DC37D1">
          <w:rPr>
            <w:rStyle w:val="Hyperlink"/>
            <w:rFonts w:ascii="Arial" w:hAnsi="Arial" w:cs="Arial"/>
            <w:color w:val="0000FF"/>
            <w:sz w:val="24"/>
          </w:rPr>
          <w:t>https://newteachercenter.org/our-impact/school-leadership/</w:t>
        </w:r>
      </w:hyperlink>
    </w:p>
    <w:p w14:paraId="0DB7C194" w14:textId="77777777" w:rsidR="00FD1A7F" w:rsidRPr="00FD1A7F" w:rsidRDefault="00FD1A7F" w:rsidP="001F6C1A">
      <w:pPr>
        <w:spacing w:before="5520"/>
      </w:pPr>
      <w:r>
        <w:rPr>
          <w:rFonts w:ascii="Arial" w:eastAsiaTheme="majorEastAsia" w:hAnsi="Arial" w:cs="Arial"/>
          <w:noProof/>
          <w:color w:val="2F5496" w:themeColor="accent5" w:themeShade="BF"/>
          <w:sz w:val="28"/>
          <w:szCs w:val="28"/>
        </w:rPr>
        <w:drawing>
          <wp:inline distT="0" distB="0" distL="0" distR="0" wp14:anchorId="5AC10079" wp14:editId="393BFC3F">
            <wp:extent cx="7220310" cy="671222"/>
            <wp:effectExtent l="0" t="0" r="0" b="0"/>
            <wp:docPr id="1" name="Picture 1" descr="This is a decorative footer on thi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 equity logo bottom border.png"/>
                    <pic:cNvPicPr/>
                  </pic:nvPicPr>
                  <pic:blipFill>
                    <a:blip r:embed="rId8">
                      <a:extLst>
                        <a:ext uri="{28A0092B-C50C-407E-A947-70E740481C1C}">
                          <a14:useLocalDpi xmlns:a14="http://schemas.microsoft.com/office/drawing/2010/main" val="0"/>
                        </a:ext>
                      </a:extLst>
                    </a:blip>
                    <a:stretch>
                      <a:fillRect/>
                    </a:stretch>
                  </pic:blipFill>
                  <pic:spPr>
                    <a:xfrm>
                      <a:off x="0" y="0"/>
                      <a:ext cx="7353017" cy="683559"/>
                    </a:xfrm>
                    <a:prstGeom prst="rect">
                      <a:avLst/>
                    </a:prstGeom>
                  </pic:spPr>
                </pic:pic>
              </a:graphicData>
            </a:graphic>
          </wp:inline>
        </w:drawing>
      </w:r>
    </w:p>
    <w:p w14:paraId="5D89F33A" w14:textId="77777777" w:rsidR="00FD1A7F" w:rsidRPr="00FD1A7F" w:rsidRDefault="00FD1A7F" w:rsidP="00FD1A7F">
      <w:pPr>
        <w:sectPr w:rsidR="00FD1A7F" w:rsidRPr="00FD1A7F" w:rsidSect="001D322F">
          <w:headerReference w:type="even" r:id="rId11"/>
          <w:headerReference w:type="default" r:id="rId12"/>
          <w:footerReference w:type="even" r:id="rId13"/>
          <w:footerReference w:type="default" r:id="rId14"/>
          <w:headerReference w:type="first" r:id="rId15"/>
          <w:footerReference w:type="first" r:id="rId16"/>
          <w:pgSz w:w="12240" w:h="15840"/>
          <w:pgMar w:top="432" w:right="432" w:bottom="432" w:left="432" w:header="0" w:footer="0" w:gutter="0"/>
          <w:cols w:space="720"/>
          <w:docGrid w:linePitch="360"/>
        </w:sectPr>
      </w:pPr>
    </w:p>
    <w:p w14:paraId="1044D536" w14:textId="77777777" w:rsidR="00D57CCC" w:rsidRPr="00E214AA" w:rsidRDefault="00D57CCC" w:rsidP="00E214AA">
      <w:pPr>
        <w:pStyle w:val="Heading2"/>
        <w:spacing w:before="240" w:after="240"/>
        <w:rPr>
          <w:rFonts w:ascii="Arial" w:hAnsi="Arial" w:cs="Arial"/>
          <w:color w:val="385623" w:themeColor="accent6" w:themeShade="80"/>
          <w:sz w:val="28"/>
        </w:rPr>
      </w:pPr>
      <w:r w:rsidRPr="00E214AA">
        <w:rPr>
          <w:rFonts w:ascii="Arial" w:hAnsi="Arial" w:cs="Arial"/>
          <w:color w:val="385623" w:themeColor="accent6" w:themeShade="80"/>
          <w:sz w:val="28"/>
        </w:rPr>
        <w:lastRenderedPageBreak/>
        <w:t>Improving School Leadership</w:t>
      </w:r>
    </w:p>
    <w:p w14:paraId="3BB423A0" w14:textId="77777777" w:rsidR="00D57CCC" w:rsidRDefault="00D57CCC" w:rsidP="00101A1B">
      <w:pPr>
        <w:tabs>
          <w:tab w:val="left" w:pos="1245"/>
        </w:tabs>
        <w:spacing w:after="240"/>
        <w:rPr>
          <w:rFonts w:ascii="Arial" w:hAnsi="Arial" w:cs="Arial"/>
          <w:sz w:val="24"/>
          <w:szCs w:val="24"/>
        </w:rPr>
      </w:pPr>
      <w:r w:rsidRPr="008E2E80">
        <w:rPr>
          <w:rFonts w:ascii="Arial" w:hAnsi="Arial" w:cs="Arial"/>
          <w:sz w:val="24"/>
          <w:szCs w:val="24"/>
        </w:rPr>
        <w:t>Studies have shown that school leadership is one of the most important factors in attr</w:t>
      </w:r>
      <w:r w:rsidR="003A1233">
        <w:rPr>
          <w:rFonts w:ascii="Arial" w:hAnsi="Arial" w:cs="Arial"/>
          <w:sz w:val="24"/>
          <w:szCs w:val="24"/>
        </w:rPr>
        <w:t xml:space="preserve">acting and retaining teachers. </w:t>
      </w:r>
      <w:r>
        <w:rPr>
          <w:rFonts w:ascii="Arial" w:hAnsi="Arial" w:cs="Arial"/>
          <w:sz w:val="24"/>
          <w:szCs w:val="24"/>
        </w:rPr>
        <w:t>Often, teachers point to poor leadership as a major reason for leaving a particular site. Conversely, many teachers point to excellent school leadership as a reason for</w:t>
      </w:r>
      <w:r w:rsidR="001D322F">
        <w:rPr>
          <w:rFonts w:ascii="Arial" w:hAnsi="Arial" w:cs="Arial"/>
          <w:sz w:val="24"/>
          <w:szCs w:val="24"/>
        </w:rPr>
        <w:t xml:space="preserve"> staying at a high-need school.</w:t>
      </w:r>
      <w:r w:rsidR="00C92F00">
        <w:rPr>
          <w:rFonts w:ascii="Arial" w:hAnsi="Arial" w:cs="Arial"/>
          <w:sz w:val="24"/>
          <w:szCs w:val="24"/>
        </w:rPr>
        <w:t xml:space="preserve"> For additional information about improving school leadership see:</w:t>
      </w:r>
    </w:p>
    <w:p w14:paraId="08C79502" w14:textId="77777777" w:rsidR="00D20496" w:rsidRDefault="00D20496" w:rsidP="001D322F">
      <w:pPr>
        <w:tabs>
          <w:tab w:val="left" w:pos="1245"/>
        </w:tabs>
        <w:rPr>
          <w:rFonts w:ascii="Arial" w:hAnsi="Arial" w:cs="Arial"/>
          <w:sz w:val="24"/>
          <w:szCs w:val="24"/>
        </w:rPr>
      </w:pPr>
      <w:r>
        <w:rPr>
          <w:rFonts w:ascii="Arial" w:hAnsi="Arial" w:cs="Arial"/>
          <w:sz w:val="24"/>
          <w:szCs w:val="24"/>
        </w:rPr>
        <w:t>Quality School Leadership: Hiring Quality School Leaders</w:t>
      </w:r>
      <w:r w:rsidR="004F25B6">
        <w:rPr>
          <w:rFonts w:ascii="Arial" w:hAnsi="Arial" w:cs="Arial"/>
          <w:sz w:val="24"/>
          <w:szCs w:val="24"/>
        </w:rPr>
        <w:t>: Challenges and Emerging Practices</w:t>
      </w:r>
    </w:p>
    <w:p w14:paraId="6BAC2612" w14:textId="77777777" w:rsidR="00C92F00" w:rsidRPr="00F5747F" w:rsidRDefault="00000000" w:rsidP="00101A1B">
      <w:pPr>
        <w:tabs>
          <w:tab w:val="left" w:pos="1245"/>
        </w:tabs>
        <w:spacing w:after="240"/>
        <w:rPr>
          <w:rFonts w:ascii="Arial" w:hAnsi="Arial" w:cs="Arial"/>
          <w:color w:val="0000FF"/>
          <w:sz w:val="24"/>
          <w:szCs w:val="24"/>
        </w:rPr>
      </w:pPr>
      <w:hyperlink r:id="rId17" w:history="1">
        <w:r w:rsidR="0088329D" w:rsidRPr="00F5747F">
          <w:rPr>
            <w:rStyle w:val="Hyperlink"/>
            <w:rFonts w:ascii="Arial" w:hAnsi="Arial" w:cs="Arial"/>
            <w:color w:val="0000FF"/>
            <w:sz w:val="24"/>
            <w:szCs w:val="24"/>
          </w:rPr>
          <w:t>https://www.air.org/sites/default/files/downloads/report/Hiring_Quality_School_Leaders_0.pdf</w:t>
        </w:r>
      </w:hyperlink>
    </w:p>
    <w:p w14:paraId="463D7128" w14:textId="77777777" w:rsidR="00D20496" w:rsidRDefault="00D20496" w:rsidP="001D322F">
      <w:pPr>
        <w:tabs>
          <w:tab w:val="left" w:pos="1245"/>
        </w:tabs>
        <w:rPr>
          <w:rFonts w:ascii="Arial" w:hAnsi="Arial" w:cs="Arial"/>
          <w:sz w:val="24"/>
          <w:szCs w:val="24"/>
        </w:rPr>
      </w:pPr>
      <w:r>
        <w:rPr>
          <w:rFonts w:ascii="Arial" w:hAnsi="Arial" w:cs="Arial"/>
          <w:sz w:val="24"/>
          <w:szCs w:val="24"/>
        </w:rPr>
        <w:t>The Wallace Foundation: Districts Matter: Cultivating the Principals Urban Schools Need</w:t>
      </w:r>
    </w:p>
    <w:p w14:paraId="3E2AE5AC" w14:textId="77777777" w:rsidR="00C92F00" w:rsidRDefault="00000000" w:rsidP="000C14E3">
      <w:pPr>
        <w:tabs>
          <w:tab w:val="left" w:pos="1245"/>
        </w:tabs>
        <w:spacing w:after="9360"/>
        <w:rPr>
          <w:rStyle w:val="Hyperlink"/>
          <w:rFonts w:ascii="Arial" w:hAnsi="Arial" w:cs="Arial"/>
          <w:color w:val="0000FF"/>
          <w:sz w:val="24"/>
          <w:szCs w:val="24"/>
        </w:rPr>
      </w:pPr>
      <w:hyperlink r:id="rId18" w:tooltip="Cultivating Urban School Principals" w:history="1">
        <w:r w:rsidR="00C92F00" w:rsidRPr="00E214AA">
          <w:rPr>
            <w:rStyle w:val="Hyperlink"/>
            <w:rFonts w:ascii="Arial" w:hAnsi="Arial" w:cs="Arial"/>
            <w:color w:val="0000FF"/>
            <w:sz w:val="24"/>
            <w:szCs w:val="24"/>
          </w:rPr>
          <w:t>https://www.wallacefoundation.org/knowledge-center/Documents/Districts-Matter-Cultivating-the-Principals-Urban-Schools-Need.pdf</w:t>
        </w:r>
      </w:hyperlink>
    </w:p>
    <w:p w14:paraId="0EB9BEAB" w14:textId="77777777" w:rsidR="00BD5CE0" w:rsidRPr="00101A1B" w:rsidRDefault="00BD5CE0" w:rsidP="00BD5CE0">
      <w:pPr>
        <w:tabs>
          <w:tab w:val="left" w:pos="1245"/>
        </w:tabs>
        <w:rPr>
          <w:rFonts w:ascii="Arial" w:hAnsi="Arial" w:cs="Arial"/>
          <w:sz w:val="24"/>
          <w:szCs w:val="24"/>
        </w:rPr>
      </w:pPr>
      <w:r w:rsidRPr="00101A1B">
        <w:rPr>
          <w:rFonts w:ascii="Arial" w:hAnsi="Arial" w:cs="Arial"/>
          <w:sz w:val="24"/>
          <w:szCs w:val="24"/>
        </w:rPr>
        <w:t>Posted on 02/13/2019</w:t>
      </w:r>
    </w:p>
    <w:p w14:paraId="06D46F08" w14:textId="77777777" w:rsidR="00C92F00" w:rsidRDefault="00C92F00" w:rsidP="001D322F">
      <w:pPr>
        <w:tabs>
          <w:tab w:val="left" w:pos="1245"/>
        </w:tabs>
        <w:rPr>
          <w:rFonts w:ascii="Arial" w:hAnsi="Arial" w:cs="Arial"/>
          <w:sz w:val="24"/>
          <w:szCs w:val="24"/>
        </w:rPr>
      </w:pPr>
    </w:p>
    <w:p w14:paraId="1EB42F45" w14:textId="77777777" w:rsidR="00981D01" w:rsidRPr="00D57CCC" w:rsidRDefault="00981D01" w:rsidP="001D322F">
      <w:pPr>
        <w:tabs>
          <w:tab w:val="left" w:pos="1245"/>
        </w:tabs>
      </w:pPr>
      <w:r>
        <w:rPr>
          <w:rFonts w:ascii="Arial" w:eastAsiaTheme="majorEastAsia" w:hAnsi="Arial" w:cs="Arial"/>
          <w:noProof/>
          <w:color w:val="2F5496" w:themeColor="accent5" w:themeShade="BF"/>
          <w:sz w:val="28"/>
          <w:szCs w:val="28"/>
        </w:rPr>
        <w:drawing>
          <wp:inline distT="0" distB="0" distL="0" distR="0" wp14:anchorId="4D48D201" wp14:editId="7DAD5763">
            <wp:extent cx="7220310" cy="671222"/>
            <wp:effectExtent l="0" t="0" r="0" b="0"/>
            <wp:docPr id="2" name="Picture 2" descr="This is a decorative footer on thi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 equity logo bottom border.png"/>
                    <pic:cNvPicPr/>
                  </pic:nvPicPr>
                  <pic:blipFill>
                    <a:blip r:embed="rId8">
                      <a:extLst>
                        <a:ext uri="{28A0092B-C50C-407E-A947-70E740481C1C}">
                          <a14:useLocalDpi xmlns:a14="http://schemas.microsoft.com/office/drawing/2010/main" val="0"/>
                        </a:ext>
                      </a:extLst>
                    </a:blip>
                    <a:stretch>
                      <a:fillRect/>
                    </a:stretch>
                  </pic:blipFill>
                  <pic:spPr>
                    <a:xfrm>
                      <a:off x="0" y="0"/>
                      <a:ext cx="7353017" cy="683559"/>
                    </a:xfrm>
                    <a:prstGeom prst="rect">
                      <a:avLst/>
                    </a:prstGeom>
                  </pic:spPr>
                </pic:pic>
              </a:graphicData>
            </a:graphic>
          </wp:inline>
        </w:drawing>
      </w:r>
    </w:p>
    <w:sectPr w:rsidR="00981D01" w:rsidRPr="00D57CCC" w:rsidSect="001D322F">
      <w:pgSz w:w="12240" w:h="15840"/>
      <w:pgMar w:top="432" w:right="432" w:bottom="432" w:left="43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498CE" w14:textId="77777777" w:rsidR="00817771" w:rsidRDefault="00817771" w:rsidP="00D57CCC">
      <w:r>
        <w:separator/>
      </w:r>
    </w:p>
  </w:endnote>
  <w:endnote w:type="continuationSeparator" w:id="0">
    <w:p w14:paraId="35AF80D5" w14:textId="77777777" w:rsidR="00817771" w:rsidRDefault="00817771" w:rsidP="00D57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BB99A" w14:textId="77777777" w:rsidR="003F367D" w:rsidRDefault="003F3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4"/>
        <w:szCs w:val="24"/>
      </w:rPr>
      <w:id w:val="548722057"/>
      <w:docPartObj>
        <w:docPartGallery w:val="Page Numbers (Bottom of Page)"/>
        <w:docPartUnique/>
      </w:docPartObj>
    </w:sdtPr>
    <w:sdtContent>
      <w:sdt>
        <w:sdtPr>
          <w:rPr>
            <w:rFonts w:ascii="Arial" w:hAnsi="Arial" w:cs="Arial"/>
            <w:sz w:val="24"/>
            <w:szCs w:val="24"/>
          </w:rPr>
          <w:id w:val="-1769616900"/>
          <w:docPartObj>
            <w:docPartGallery w:val="Page Numbers (Top of Page)"/>
            <w:docPartUnique/>
          </w:docPartObj>
        </w:sdtPr>
        <w:sdtContent>
          <w:p w14:paraId="1C8D3966" w14:textId="77777777" w:rsidR="00981D01" w:rsidRPr="00981D01" w:rsidRDefault="00BD5CE0">
            <w:pPr>
              <w:pStyle w:val="Footer"/>
              <w:jc w:val="right"/>
              <w:rPr>
                <w:rFonts w:ascii="Arial" w:hAnsi="Arial" w:cs="Arial"/>
                <w:sz w:val="24"/>
                <w:szCs w:val="24"/>
              </w:rPr>
            </w:pPr>
            <w:r>
              <w:rPr>
                <w:rFonts w:ascii="Arial" w:hAnsi="Arial" w:cs="Arial"/>
                <w:sz w:val="24"/>
                <w:szCs w:val="24"/>
              </w:rPr>
              <w:t>California Depa</w:t>
            </w:r>
            <w:r w:rsidR="00FD1A7F">
              <w:rPr>
                <w:rFonts w:ascii="Arial" w:hAnsi="Arial" w:cs="Arial"/>
                <w:sz w:val="24"/>
                <w:szCs w:val="24"/>
              </w:rPr>
              <w:t>rtment of Education Posted on 05</w:t>
            </w:r>
            <w:r>
              <w:rPr>
                <w:rFonts w:ascii="Arial" w:hAnsi="Arial" w:cs="Arial"/>
                <w:sz w:val="24"/>
                <w:szCs w:val="24"/>
              </w:rPr>
              <w:t>/</w:t>
            </w:r>
            <w:r w:rsidR="00FD1A7F">
              <w:rPr>
                <w:rFonts w:ascii="Arial" w:hAnsi="Arial" w:cs="Arial"/>
                <w:sz w:val="24"/>
                <w:szCs w:val="24"/>
              </w:rPr>
              <w:t>7</w:t>
            </w:r>
            <w:r>
              <w:rPr>
                <w:rFonts w:ascii="Arial" w:hAnsi="Arial" w:cs="Arial"/>
                <w:sz w:val="24"/>
                <w:szCs w:val="24"/>
              </w:rPr>
              <w:t xml:space="preserve">/2019 </w:t>
            </w:r>
            <w:r w:rsidR="00981D01" w:rsidRPr="00981D01">
              <w:rPr>
                <w:rFonts w:ascii="Arial" w:hAnsi="Arial" w:cs="Arial"/>
                <w:sz w:val="24"/>
                <w:szCs w:val="24"/>
              </w:rPr>
              <w:t xml:space="preserve">Page </w:t>
            </w:r>
            <w:r w:rsidR="00981D01" w:rsidRPr="00981D01">
              <w:rPr>
                <w:rFonts w:ascii="Arial" w:hAnsi="Arial" w:cs="Arial"/>
                <w:b/>
                <w:bCs/>
                <w:sz w:val="24"/>
                <w:szCs w:val="24"/>
              </w:rPr>
              <w:fldChar w:fldCharType="begin"/>
            </w:r>
            <w:r w:rsidR="00981D01" w:rsidRPr="00981D01">
              <w:rPr>
                <w:rFonts w:ascii="Arial" w:hAnsi="Arial" w:cs="Arial"/>
                <w:b/>
                <w:bCs/>
                <w:sz w:val="24"/>
                <w:szCs w:val="24"/>
              </w:rPr>
              <w:instrText xml:space="preserve"> PAGE </w:instrText>
            </w:r>
            <w:r w:rsidR="00981D01" w:rsidRPr="00981D01">
              <w:rPr>
                <w:rFonts w:ascii="Arial" w:hAnsi="Arial" w:cs="Arial"/>
                <w:b/>
                <w:bCs/>
                <w:sz w:val="24"/>
                <w:szCs w:val="24"/>
              </w:rPr>
              <w:fldChar w:fldCharType="separate"/>
            </w:r>
            <w:r w:rsidR="00FD1A7F">
              <w:rPr>
                <w:rFonts w:ascii="Arial" w:hAnsi="Arial" w:cs="Arial"/>
                <w:b/>
                <w:bCs/>
                <w:noProof/>
                <w:sz w:val="24"/>
                <w:szCs w:val="24"/>
              </w:rPr>
              <w:t>3</w:t>
            </w:r>
            <w:r w:rsidR="00981D01" w:rsidRPr="00981D01">
              <w:rPr>
                <w:rFonts w:ascii="Arial" w:hAnsi="Arial" w:cs="Arial"/>
                <w:b/>
                <w:bCs/>
                <w:sz w:val="24"/>
                <w:szCs w:val="24"/>
              </w:rPr>
              <w:fldChar w:fldCharType="end"/>
            </w:r>
            <w:r w:rsidR="00981D01" w:rsidRPr="00981D01">
              <w:rPr>
                <w:rFonts w:ascii="Arial" w:hAnsi="Arial" w:cs="Arial"/>
                <w:sz w:val="24"/>
                <w:szCs w:val="24"/>
              </w:rPr>
              <w:t xml:space="preserve"> of </w:t>
            </w:r>
            <w:r w:rsidR="00981D01" w:rsidRPr="00981D01">
              <w:rPr>
                <w:rFonts w:ascii="Arial" w:hAnsi="Arial" w:cs="Arial"/>
                <w:b/>
                <w:bCs/>
                <w:sz w:val="24"/>
                <w:szCs w:val="24"/>
              </w:rPr>
              <w:fldChar w:fldCharType="begin"/>
            </w:r>
            <w:r w:rsidR="00981D01" w:rsidRPr="00981D01">
              <w:rPr>
                <w:rFonts w:ascii="Arial" w:hAnsi="Arial" w:cs="Arial"/>
                <w:b/>
                <w:bCs/>
                <w:sz w:val="24"/>
                <w:szCs w:val="24"/>
              </w:rPr>
              <w:instrText xml:space="preserve"> NUMPAGES  </w:instrText>
            </w:r>
            <w:r w:rsidR="00981D01" w:rsidRPr="00981D01">
              <w:rPr>
                <w:rFonts w:ascii="Arial" w:hAnsi="Arial" w:cs="Arial"/>
                <w:b/>
                <w:bCs/>
                <w:sz w:val="24"/>
                <w:szCs w:val="24"/>
              </w:rPr>
              <w:fldChar w:fldCharType="separate"/>
            </w:r>
            <w:r w:rsidR="00FD1A7F">
              <w:rPr>
                <w:rFonts w:ascii="Arial" w:hAnsi="Arial" w:cs="Arial"/>
                <w:b/>
                <w:bCs/>
                <w:noProof/>
                <w:sz w:val="24"/>
                <w:szCs w:val="24"/>
              </w:rPr>
              <w:t>3</w:t>
            </w:r>
            <w:r w:rsidR="00981D01" w:rsidRPr="00981D01">
              <w:rPr>
                <w:rFonts w:ascii="Arial" w:hAnsi="Arial" w:cs="Arial"/>
                <w:b/>
                <w:bCs/>
                <w:sz w:val="24"/>
                <w:szCs w:val="24"/>
              </w:rPr>
              <w:fldChar w:fldCharType="end"/>
            </w:r>
          </w:p>
        </w:sdtContent>
      </w:sdt>
    </w:sdtContent>
  </w:sdt>
  <w:p w14:paraId="70DFB2E0" w14:textId="77777777" w:rsidR="00981D01" w:rsidRPr="00981D01" w:rsidRDefault="00981D01">
    <w:pPr>
      <w:pStyle w:val="Footer"/>
      <w:rPr>
        <w:rFonts w:ascii="Arial" w:hAnsi="Arial" w:cs="Arial"/>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4A70E" w14:textId="77777777" w:rsidR="003F367D" w:rsidRDefault="003F3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BAD89" w14:textId="77777777" w:rsidR="00817771" w:rsidRDefault="00817771" w:rsidP="00D57CCC">
      <w:r>
        <w:separator/>
      </w:r>
    </w:p>
  </w:footnote>
  <w:footnote w:type="continuationSeparator" w:id="0">
    <w:p w14:paraId="2613D280" w14:textId="77777777" w:rsidR="00817771" w:rsidRDefault="00817771" w:rsidP="00D57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4246E" w14:textId="77777777" w:rsidR="003F367D" w:rsidRDefault="003F3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CBFC5" w14:textId="77777777" w:rsidR="00D57CCC" w:rsidRDefault="00D57CCC" w:rsidP="00D57CCC">
    <w:pPr>
      <w:pStyle w:val="Header"/>
      <w:tabs>
        <w:tab w:val="clear" w:pos="9360"/>
        <w:tab w:val="right" w:pos="909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6288C" w14:textId="77777777" w:rsidR="003F367D" w:rsidRDefault="003F36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CCC"/>
    <w:rsid w:val="000317A9"/>
    <w:rsid w:val="00094269"/>
    <w:rsid w:val="000C14E3"/>
    <w:rsid w:val="000E432C"/>
    <w:rsid w:val="00101A1B"/>
    <w:rsid w:val="001A1DFD"/>
    <w:rsid w:val="001C4D3F"/>
    <w:rsid w:val="001D1A05"/>
    <w:rsid w:val="001D322F"/>
    <w:rsid w:val="001F6C1A"/>
    <w:rsid w:val="0026426F"/>
    <w:rsid w:val="0027355A"/>
    <w:rsid w:val="002D12C3"/>
    <w:rsid w:val="002E3EC6"/>
    <w:rsid w:val="003A1233"/>
    <w:rsid w:val="003F367D"/>
    <w:rsid w:val="004766BB"/>
    <w:rsid w:val="00484830"/>
    <w:rsid w:val="0049241B"/>
    <w:rsid w:val="004D7363"/>
    <w:rsid w:val="004F25B6"/>
    <w:rsid w:val="00564ACF"/>
    <w:rsid w:val="005878E1"/>
    <w:rsid w:val="00620142"/>
    <w:rsid w:val="00664D3A"/>
    <w:rsid w:val="006674C9"/>
    <w:rsid w:val="00672F72"/>
    <w:rsid w:val="00675C74"/>
    <w:rsid w:val="0068098C"/>
    <w:rsid w:val="00685D4F"/>
    <w:rsid w:val="00733609"/>
    <w:rsid w:val="007525DE"/>
    <w:rsid w:val="007639F4"/>
    <w:rsid w:val="007E2722"/>
    <w:rsid w:val="007E3D12"/>
    <w:rsid w:val="00817771"/>
    <w:rsid w:val="00831F4E"/>
    <w:rsid w:val="0088329D"/>
    <w:rsid w:val="008914CB"/>
    <w:rsid w:val="00905FA1"/>
    <w:rsid w:val="00924EBE"/>
    <w:rsid w:val="00942E15"/>
    <w:rsid w:val="00981D01"/>
    <w:rsid w:val="009F5300"/>
    <w:rsid w:val="00A6155D"/>
    <w:rsid w:val="00AD1B3A"/>
    <w:rsid w:val="00B2357C"/>
    <w:rsid w:val="00BD5CE0"/>
    <w:rsid w:val="00C26FE8"/>
    <w:rsid w:val="00C92F00"/>
    <w:rsid w:val="00CD05DD"/>
    <w:rsid w:val="00CD4406"/>
    <w:rsid w:val="00D07007"/>
    <w:rsid w:val="00D20496"/>
    <w:rsid w:val="00D57CCC"/>
    <w:rsid w:val="00DC37D1"/>
    <w:rsid w:val="00DC542B"/>
    <w:rsid w:val="00DF16CD"/>
    <w:rsid w:val="00E0513B"/>
    <w:rsid w:val="00E214AA"/>
    <w:rsid w:val="00E420B3"/>
    <w:rsid w:val="00F30E42"/>
    <w:rsid w:val="00F31CA2"/>
    <w:rsid w:val="00F5747F"/>
    <w:rsid w:val="00F657C2"/>
    <w:rsid w:val="00F862D5"/>
    <w:rsid w:val="00F87E75"/>
    <w:rsid w:val="00FD1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11B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CCC"/>
    <w:pPr>
      <w:spacing w:after="0" w:line="240" w:lineRule="auto"/>
    </w:pPr>
  </w:style>
  <w:style w:type="paragraph" w:styleId="Heading1">
    <w:name w:val="heading 1"/>
    <w:basedOn w:val="Normal"/>
    <w:next w:val="Normal"/>
    <w:link w:val="Heading1Char"/>
    <w:uiPriority w:val="9"/>
    <w:qFormat/>
    <w:rsid w:val="001D322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2014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7CCC"/>
    <w:pPr>
      <w:tabs>
        <w:tab w:val="center" w:pos="4680"/>
        <w:tab w:val="right" w:pos="9360"/>
      </w:tabs>
    </w:pPr>
  </w:style>
  <w:style w:type="character" w:customStyle="1" w:styleId="HeaderChar">
    <w:name w:val="Header Char"/>
    <w:basedOn w:val="DefaultParagraphFont"/>
    <w:link w:val="Header"/>
    <w:uiPriority w:val="99"/>
    <w:rsid w:val="00D57CCC"/>
  </w:style>
  <w:style w:type="paragraph" w:styleId="Footer">
    <w:name w:val="footer"/>
    <w:basedOn w:val="Normal"/>
    <w:link w:val="FooterChar"/>
    <w:uiPriority w:val="99"/>
    <w:unhideWhenUsed/>
    <w:rsid w:val="00D57CCC"/>
    <w:pPr>
      <w:tabs>
        <w:tab w:val="center" w:pos="4680"/>
        <w:tab w:val="right" w:pos="9360"/>
      </w:tabs>
    </w:pPr>
  </w:style>
  <w:style w:type="character" w:customStyle="1" w:styleId="FooterChar">
    <w:name w:val="Footer Char"/>
    <w:basedOn w:val="DefaultParagraphFont"/>
    <w:link w:val="Footer"/>
    <w:uiPriority w:val="99"/>
    <w:rsid w:val="00D57CCC"/>
  </w:style>
  <w:style w:type="paragraph" w:styleId="Title">
    <w:name w:val="Title"/>
    <w:basedOn w:val="Normal"/>
    <w:next w:val="Normal"/>
    <w:link w:val="TitleChar"/>
    <w:uiPriority w:val="10"/>
    <w:qFormat/>
    <w:rsid w:val="001D322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322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D322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3A12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233"/>
    <w:rPr>
      <w:rFonts w:ascii="Segoe UI" w:hAnsi="Segoe UI" w:cs="Segoe UI"/>
      <w:sz w:val="18"/>
      <w:szCs w:val="18"/>
    </w:rPr>
  </w:style>
  <w:style w:type="character" w:styleId="Hyperlink">
    <w:name w:val="Hyperlink"/>
    <w:basedOn w:val="DefaultParagraphFont"/>
    <w:uiPriority w:val="99"/>
    <w:unhideWhenUsed/>
    <w:rsid w:val="001D1A05"/>
    <w:rPr>
      <w:color w:val="0563C1" w:themeColor="hyperlink"/>
      <w:u w:val="single"/>
    </w:rPr>
  </w:style>
  <w:style w:type="character" w:styleId="FollowedHyperlink">
    <w:name w:val="FollowedHyperlink"/>
    <w:basedOn w:val="DefaultParagraphFont"/>
    <w:uiPriority w:val="99"/>
    <w:semiHidden/>
    <w:unhideWhenUsed/>
    <w:rsid w:val="00AD1B3A"/>
    <w:rPr>
      <w:color w:val="954F72" w:themeColor="followedHyperlink"/>
      <w:u w:val="single"/>
    </w:rPr>
  </w:style>
  <w:style w:type="character" w:customStyle="1" w:styleId="Heading2Char">
    <w:name w:val="Heading 2 Char"/>
    <w:basedOn w:val="DefaultParagraphFont"/>
    <w:link w:val="Heading2"/>
    <w:uiPriority w:val="9"/>
    <w:rsid w:val="00620142"/>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8832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yperlink" Target="https://www.wallacefoundation.org/knowledge-center/Documents/Districts-Matter-Cultivating-the-Principals-Urban-Schools-Need.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https://www.air.org/sites/default/files/downloads/report/Hiring_Quality_School_Leaders_0.pdf"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newteachercenter.org/our-impact/school-leadershi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lschls.org/resourc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E3F42F60-7D17-4F60-BCB4-438A12F1C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Teacher Retention Strategies - Professional Learning (CA Dept of Education)</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Retention Strategies - Professional Learning (CA Dept of Education)</dc:title>
  <dc:subject>Local educational agencies (LEAs) may find that one of the root causes of disproportionate access to excellent teachers is poor teacher retention. LEAs can consider one or more of the following teacher retention strategies as part of their equity plan.</dc:subject>
  <dc:creator/>
  <cp:keywords/>
  <dc:description/>
  <cp:lastModifiedBy/>
  <cp:revision>1</cp:revision>
  <dcterms:created xsi:type="dcterms:W3CDTF">2023-12-27T19:05:00Z</dcterms:created>
  <dcterms:modified xsi:type="dcterms:W3CDTF">2024-06-06T21:47:00Z</dcterms:modified>
</cp:coreProperties>
</file>