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99D63" w14:textId="55D8EF73" w:rsidR="00AB18F2" w:rsidRPr="003575F4" w:rsidRDefault="00FB33A1" w:rsidP="00A111E8">
      <w:pPr>
        <w:pStyle w:val="Heading1"/>
        <w:spacing w:before="0" w:after="240" w:line="240" w:lineRule="auto"/>
        <w:jc w:val="center"/>
        <w:rPr>
          <w:sz w:val="28"/>
          <w:szCs w:val="28"/>
        </w:rPr>
      </w:pPr>
      <w:bookmarkStart w:id="0" w:name="_Hlk43890129"/>
      <w:bookmarkEnd w:id="0"/>
      <w:r>
        <w:rPr>
          <w:sz w:val="28"/>
          <w:szCs w:val="28"/>
        </w:rPr>
        <w:t xml:space="preserve">2020 </w:t>
      </w:r>
      <w:r w:rsidR="00AB18F2" w:rsidRPr="003575F4">
        <w:rPr>
          <w:sz w:val="28"/>
          <w:szCs w:val="28"/>
        </w:rPr>
        <w:t xml:space="preserve">Professional Learning Needs Assessment Survey for </w:t>
      </w:r>
      <w:r w:rsidR="00A111E8">
        <w:rPr>
          <w:sz w:val="28"/>
          <w:szCs w:val="28"/>
        </w:rPr>
        <w:br/>
      </w:r>
      <w:r w:rsidR="00AB18F2" w:rsidRPr="003575F4">
        <w:rPr>
          <w:sz w:val="28"/>
          <w:szCs w:val="28"/>
        </w:rPr>
        <w:t>World Languages Educators</w:t>
      </w:r>
      <w:r w:rsidR="00A111E8">
        <w:rPr>
          <w:sz w:val="28"/>
          <w:szCs w:val="28"/>
        </w:rPr>
        <w:br/>
      </w:r>
      <w:r w:rsidR="00AB18F2" w:rsidRPr="003575F4">
        <w:rPr>
          <w:sz w:val="28"/>
          <w:szCs w:val="28"/>
        </w:rPr>
        <w:t>Executive Summary</w:t>
      </w:r>
    </w:p>
    <w:p w14:paraId="7C97C288" w14:textId="77777777" w:rsidR="005275CF" w:rsidRDefault="00A70F3F" w:rsidP="005275CF">
      <w:pPr>
        <w:spacing w:after="0" w:line="240" w:lineRule="auto"/>
        <w:rPr>
          <w:szCs w:val="24"/>
        </w:rPr>
      </w:pPr>
      <w:r w:rsidRPr="00A64501">
        <w:rPr>
          <w:rFonts w:cs="Arial"/>
          <w:szCs w:val="24"/>
        </w:rPr>
        <w:t xml:space="preserve">On January 22, 2020, the California Department of Education (CDE) launched the first needs assessment specifically addressing the professional learning priorities of world languages </w:t>
      </w:r>
      <w:r w:rsidR="001641EA">
        <w:rPr>
          <w:rFonts w:cs="Arial"/>
          <w:szCs w:val="24"/>
        </w:rPr>
        <w:t xml:space="preserve">(WL) </w:t>
      </w:r>
      <w:r w:rsidRPr="00A64501">
        <w:rPr>
          <w:rFonts w:cs="Arial"/>
          <w:szCs w:val="24"/>
        </w:rPr>
        <w:t xml:space="preserve">educators. </w:t>
      </w:r>
      <w:r w:rsidRPr="00A64501">
        <w:rPr>
          <w:szCs w:val="24"/>
        </w:rPr>
        <w:t xml:space="preserve">The online survey was accessible to the field through </w:t>
      </w:r>
    </w:p>
    <w:p w14:paraId="0277BA4E" w14:textId="18CF56CF" w:rsidR="00A70F3F" w:rsidRPr="00A64501" w:rsidRDefault="00A70F3F" w:rsidP="003D3CF8">
      <w:pPr>
        <w:spacing w:after="480" w:line="240" w:lineRule="auto"/>
        <w:rPr>
          <w:szCs w:val="24"/>
        </w:rPr>
      </w:pPr>
      <w:r w:rsidRPr="00A64501">
        <w:rPr>
          <w:szCs w:val="24"/>
        </w:rPr>
        <w:t>March 6, 2020. Within that time, 867 completed surveys were submitted. This report summarizes the data from the completed surveys</w:t>
      </w:r>
      <w:r w:rsidR="00230796">
        <w:rPr>
          <w:szCs w:val="24"/>
        </w:rPr>
        <w:t>.</w:t>
      </w:r>
    </w:p>
    <w:p w14:paraId="463305EC" w14:textId="77777777" w:rsidR="00663271" w:rsidRPr="00A64501" w:rsidRDefault="00663271" w:rsidP="00A6145F">
      <w:pPr>
        <w:pStyle w:val="Heading2"/>
      </w:pPr>
      <w:r w:rsidRPr="00A64501">
        <w:t>Survey Respondents: Where Respondents Work and the Jobs They Do</w:t>
      </w:r>
    </w:p>
    <w:p w14:paraId="2E77026F" w14:textId="77777777" w:rsidR="00663271" w:rsidRPr="00663271" w:rsidRDefault="003D0AC2" w:rsidP="003D3CF8">
      <w:pPr>
        <w:spacing w:after="480" w:line="240" w:lineRule="auto"/>
        <w:rPr>
          <w:szCs w:val="24"/>
        </w:rPr>
      </w:pPr>
      <w:r>
        <w:rPr>
          <w:szCs w:val="24"/>
        </w:rPr>
        <w:t>Ninety percent</w:t>
      </w:r>
      <w:r w:rsidR="00663271" w:rsidRPr="00A64501">
        <w:rPr>
          <w:szCs w:val="24"/>
        </w:rPr>
        <w:t xml:space="preserve"> of survey respondents work at school sites. Classroom teachers comprised </w:t>
      </w:r>
      <w:r w:rsidR="001641EA">
        <w:rPr>
          <w:szCs w:val="24"/>
        </w:rPr>
        <w:t>87</w:t>
      </w:r>
      <w:r w:rsidR="00663271" w:rsidRPr="00A64501">
        <w:rPr>
          <w:szCs w:val="24"/>
        </w:rPr>
        <w:t xml:space="preserve"> percent of respondents</w:t>
      </w:r>
      <w:r>
        <w:rPr>
          <w:szCs w:val="24"/>
        </w:rPr>
        <w:t>. T</w:t>
      </w:r>
      <w:r w:rsidR="00663271" w:rsidRPr="00A64501">
        <w:rPr>
          <w:szCs w:val="24"/>
        </w:rPr>
        <w:t>hirteen percent of respondents in total (112), were grouped together as serving in administrative roles</w:t>
      </w:r>
      <w:r>
        <w:rPr>
          <w:szCs w:val="24"/>
        </w:rPr>
        <w:t xml:space="preserve"> including</w:t>
      </w:r>
      <w:r w:rsidR="00663271" w:rsidRPr="00A64501">
        <w:rPr>
          <w:szCs w:val="24"/>
        </w:rPr>
        <w:t xml:space="preserve"> administrators</w:t>
      </w:r>
      <w:r>
        <w:rPr>
          <w:szCs w:val="24"/>
        </w:rPr>
        <w:t>,</w:t>
      </w:r>
      <w:r w:rsidR="00663271" w:rsidRPr="00A64501">
        <w:rPr>
          <w:szCs w:val="24"/>
        </w:rPr>
        <w:t xml:space="preserve"> program specialists</w:t>
      </w:r>
      <w:r>
        <w:rPr>
          <w:szCs w:val="24"/>
        </w:rPr>
        <w:t>, teachers on special assignment (TOSAs)</w:t>
      </w:r>
      <w:r w:rsidR="00663271" w:rsidRPr="00A64501">
        <w:rPr>
          <w:szCs w:val="24"/>
        </w:rPr>
        <w:t>, and program leads or coordinators.</w:t>
      </w:r>
    </w:p>
    <w:p w14:paraId="26A522AF" w14:textId="77777777" w:rsidR="00663271" w:rsidRPr="00A64501" w:rsidRDefault="00663271" w:rsidP="00A6145F">
      <w:pPr>
        <w:pStyle w:val="Heading2"/>
      </w:pPr>
      <w:r w:rsidRPr="00A64501">
        <w:t xml:space="preserve">Administrators: </w:t>
      </w:r>
      <w:r w:rsidR="003D0AC2">
        <w:t xml:space="preserve">Years of </w:t>
      </w:r>
      <w:r w:rsidRPr="00A64501">
        <w:t xml:space="preserve">Experience </w:t>
      </w:r>
    </w:p>
    <w:p w14:paraId="28305C8E" w14:textId="3AEC9A38" w:rsidR="003D0AC2" w:rsidRDefault="00663271" w:rsidP="003D3CF8">
      <w:pPr>
        <w:spacing w:after="480" w:line="240" w:lineRule="auto"/>
        <w:rPr>
          <w:szCs w:val="24"/>
        </w:rPr>
      </w:pPr>
      <w:r w:rsidRPr="00A64501">
        <w:rPr>
          <w:szCs w:val="24"/>
        </w:rPr>
        <w:t xml:space="preserve">Close to equal numbers of respondents self-identify as either new administrators with two or fewer years of experience (29) or veteran administrators with more than </w:t>
      </w:r>
      <w:r w:rsidR="001641EA">
        <w:rPr>
          <w:szCs w:val="24"/>
        </w:rPr>
        <w:t>10</w:t>
      </w:r>
      <w:r w:rsidRPr="00A64501">
        <w:rPr>
          <w:szCs w:val="24"/>
        </w:rPr>
        <w:t xml:space="preserve"> years of experience (27), and a slightly larger group (31) stated they had 3</w:t>
      </w:r>
      <w:r w:rsidR="001641EA">
        <w:rPr>
          <w:szCs w:val="24"/>
        </w:rPr>
        <w:t>–</w:t>
      </w:r>
      <w:r w:rsidRPr="00A64501">
        <w:rPr>
          <w:szCs w:val="24"/>
        </w:rPr>
        <w:t>5 years of experience. The smallest number of respondents (11) affirmed 6</w:t>
      </w:r>
      <w:r w:rsidR="001641EA">
        <w:rPr>
          <w:szCs w:val="24"/>
        </w:rPr>
        <w:t>–</w:t>
      </w:r>
      <w:r w:rsidRPr="00A64501">
        <w:rPr>
          <w:szCs w:val="24"/>
        </w:rPr>
        <w:t>10 years of experience</w:t>
      </w:r>
      <w:r w:rsidR="003D0AC2">
        <w:rPr>
          <w:szCs w:val="24"/>
        </w:rPr>
        <w:t>.</w:t>
      </w:r>
    </w:p>
    <w:p w14:paraId="625B8A47" w14:textId="77777777" w:rsidR="003D0AC2" w:rsidRPr="00A64501" w:rsidRDefault="003D0AC2" w:rsidP="00A6145F">
      <w:pPr>
        <w:pStyle w:val="Heading2"/>
      </w:pPr>
      <w:r w:rsidRPr="00A64501">
        <w:t>Administrators: Languages Taught, Language Program Types, Grade Levels, Plans for Expansion</w:t>
      </w:r>
    </w:p>
    <w:p w14:paraId="6CD4A5B3" w14:textId="77777777" w:rsidR="003D0AC2" w:rsidRPr="00A64501" w:rsidRDefault="003D0AC2" w:rsidP="003D3CF8">
      <w:pPr>
        <w:spacing w:after="240" w:line="240" w:lineRule="auto"/>
        <w:ind w:right="784"/>
        <w:rPr>
          <w:szCs w:val="24"/>
        </w:rPr>
      </w:pPr>
      <w:r w:rsidRPr="00A64501">
        <w:rPr>
          <w:szCs w:val="24"/>
        </w:rPr>
        <w:t xml:space="preserve">Administrators’ responses indicate, as expected, that Spanish, cited by 97 administrators, is taught in a far greater number of programs than any other world language. In order of their prevalence, the </w:t>
      </w:r>
      <w:r w:rsidR="001641EA">
        <w:rPr>
          <w:szCs w:val="24"/>
        </w:rPr>
        <w:t>10</w:t>
      </w:r>
      <w:r w:rsidRPr="00A64501">
        <w:rPr>
          <w:szCs w:val="24"/>
        </w:rPr>
        <w:t xml:space="preserve"> most commonly taught languages, according to our survey respondents, are:</w:t>
      </w:r>
    </w:p>
    <w:p w14:paraId="34E5B10D" w14:textId="77777777" w:rsidR="003D0AC2" w:rsidRPr="00A64501" w:rsidRDefault="003D0AC2" w:rsidP="001641EA">
      <w:pPr>
        <w:pStyle w:val="ListParagraph"/>
        <w:numPr>
          <w:ilvl w:val="0"/>
          <w:numId w:val="1"/>
        </w:numPr>
        <w:spacing w:before="0"/>
        <w:ind w:left="720" w:right="784"/>
        <w:rPr>
          <w:sz w:val="24"/>
          <w:szCs w:val="24"/>
        </w:rPr>
      </w:pPr>
      <w:r w:rsidRPr="00A64501">
        <w:rPr>
          <w:sz w:val="24"/>
          <w:szCs w:val="24"/>
        </w:rPr>
        <w:t>Spanish (97)</w:t>
      </w:r>
    </w:p>
    <w:p w14:paraId="6AC5FE49" w14:textId="77777777" w:rsidR="003D0AC2" w:rsidRPr="00A64501" w:rsidRDefault="003D0AC2" w:rsidP="001641EA">
      <w:pPr>
        <w:pStyle w:val="ListParagraph"/>
        <w:numPr>
          <w:ilvl w:val="0"/>
          <w:numId w:val="1"/>
        </w:numPr>
        <w:spacing w:before="0"/>
        <w:ind w:left="720" w:right="784"/>
        <w:rPr>
          <w:sz w:val="24"/>
          <w:szCs w:val="24"/>
        </w:rPr>
      </w:pPr>
      <w:r w:rsidRPr="00A64501">
        <w:rPr>
          <w:sz w:val="24"/>
          <w:szCs w:val="24"/>
        </w:rPr>
        <w:t>French (33)</w:t>
      </w:r>
    </w:p>
    <w:p w14:paraId="48B92A0F" w14:textId="77777777" w:rsidR="003D0AC2" w:rsidRPr="00A64501" w:rsidRDefault="003D0AC2" w:rsidP="001641EA">
      <w:pPr>
        <w:pStyle w:val="ListParagraph"/>
        <w:numPr>
          <w:ilvl w:val="0"/>
          <w:numId w:val="1"/>
        </w:numPr>
        <w:spacing w:before="0"/>
        <w:ind w:left="720" w:right="784"/>
        <w:rPr>
          <w:sz w:val="24"/>
          <w:szCs w:val="24"/>
        </w:rPr>
      </w:pPr>
      <w:r w:rsidRPr="00A64501">
        <w:rPr>
          <w:sz w:val="24"/>
          <w:szCs w:val="24"/>
        </w:rPr>
        <w:t>Chinese (Mandarin) (24)</w:t>
      </w:r>
    </w:p>
    <w:p w14:paraId="028F5EE4" w14:textId="77777777" w:rsidR="003D0AC2" w:rsidRPr="00A64501" w:rsidRDefault="003D0AC2" w:rsidP="001641EA">
      <w:pPr>
        <w:pStyle w:val="ListParagraph"/>
        <w:numPr>
          <w:ilvl w:val="0"/>
          <w:numId w:val="1"/>
        </w:numPr>
        <w:spacing w:before="0"/>
        <w:ind w:left="720" w:right="784"/>
        <w:rPr>
          <w:sz w:val="24"/>
          <w:szCs w:val="24"/>
        </w:rPr>
      </w:pPr>
      <w:r w:rsidRPr="00A64501">
        <w:rPr>
          <w:sz w:val="24"/>
          <w:szCs w:val="24"/>
        </w:rPr>
        <w:t>German (15)</w:t>
      </w:r>
    </w:p>
    <w:p w14:paraId="5137F159" w14:textId="77777777" w:rsidR="003D0AC2" w:rsidRPr="00A64501" w:rsidRDefault="003D0AC2" w:rsidP="001641EA">
      <w:pPr>
        <w:pStyle w:val="ListParagraph"/>
        <w:numPr>
          <w:ilvl w:val="0"/>
          <w:numId w:val="1"/>
        </w:numPr>
        <w:spacing w:before="0"/>
        <w:ind w:left="720" w:right="784"/>
        <w:rPr>
          <w:sz w:val="24"/>
          <w:szCs w:val="24"/>
        </w:rPr>
      </w:pPr>
      <w:r w:rsidRPr="00A64501">
        <w:rPr>
          <w:sz w:val="24"/>
          <w:szCs w:val="24"/>
        </w:rPr>
        <w:t>American Sign Language (ASL) (15)</w:t>
      </w:r>
    </w:p>
    <w:p w14:paraId="6A32B6BA" w14:textId="77777777" w:rsidR="003D0AC2" w:rsidRPr="00A64501" w:rsidRDefault="003D0AC2" w:rsidP="001641EA">
      <w:pPr>
        <w:pStyle w:val="ListParagraph"/>
        <w:numPr>
          <w:ilvl w:val="0"/>
          <w:numId w:val="1"/>
        </w:numPr>
        <w:spacing w:before="0"/>
        <w:ind w:left="720" w:right="778"/>
        <w:rPr>
          <w:sz w:val="24"/>
          <w:szCs w:val="24"/>
        </w:rPr>
      </w:pPr>
      <w:r w:rsidRPr="00A64501">
        <w:rPr>
          <w:sz w:val="24"/>
          <w:szCs w:val="24"/>
        </w:rPr>
        <w:t>Korean (11)</w:t>
      </w:r>
    </w:p>
    <w:p w14:paraId="3698F4C8" w14:textId="77777777" w:rsidR="003D0AC2" w:rsidRPr="00A64501" w:rsidRDefault="003D0AC2" w:rsidP="001641EA">
      <w:pPr>
        <w:pStyle w:val="ListParagraph"/>
        <w:numPr>
          <w:ilvl w:val="0"/>
          <w:numId w:val="1"/>
        </w:numPr>
        <w:spacing w:before="0"/>
        <w:ind w:left="720" w:right="784"/>
        <w:rPr>
          <w:sz w:val="24"/>
          <w:szCs w:val="24"/>
        </w:rPr>
      </w:pPr>
      <w:r w:rsidRPr="00A64501">
        <w:rPr>
          <w:sz w:val="24"/>
          <w:szCs w:val="24"/>
        </w:rPr>
        <w:t>Italian (8)</w:t>
      </w:r>
    </w:p>
    <w:p w14:paraId="24F3761F" w14:textId="77777777" w:rsidR="003D0AC2" w:rsidRPr="00A64501" w:rsidRDefault="003D0AC2" w:rsidP="001641EA">
      <w:pPr>
        <w:pStyle w:val="ListParagraph"/>
        <w:numPr>
          <w:ilvl w:val="0"/>
          <w:numId w:val="1"/>
        </w:numPr>
        <w:spacing w:before="0"/>
        <w:ind w:left="720" w:right="784"/>
        <w:rPr>
          <w:sz w:val="24"/>
          <w:szCs w:val="24"/>
        </w:rPr>
      </w:pPr>
      <w:r w:rsidRPr="00A64501">
        <w:rPr>
          <w:sz w:val="24"/>
          <w:szCs w:val="24"/>
        </w:rPr>
        <w:t>Latin (7)</w:t>
      </w:r>
    </w:p>
    <w:p w14:paraId="2B075875" w14:textId="77777777" w:rsidR="003D0AC2" w:rsidRPr="00A64501" w:rsidRDefault="003D0AC2" w:rsidP="001641EA">
      <w:pPr>
        <w:pStyle w:val="ListParagraph"/>
        <w:numPr>
          <w:ilvl w:val="0"/>
          <w:numId w:val="1"/>
        </w:numPr>
        <w:spacing w:before="0"/>
        <w:ind w:left="720" w:right="784"/>
        <w:rPr>
          <w:sz w:val="24"/>
          <w:szCs w:val="24"/>
        </w:rPr>
      </w:pPr>
      <w:r w:rsidRPr="00A64501">
        <w:rPr>
          <w:sz w:val="24"/>
          <w:szCs w:val="24"/>
        </w:rPr>
        <w:t>Arabic (6)</w:t>
      </w:r>
    </w:p>
    <w:p w14:paraId="53D94822" w14:textId="77777777" w:rsidR="003D0AC2" w:rsidRPr="00A64501" w:rsidRDefault="003D0AC2" w:rsidP="001641EA">
      <w:pPr>
        <w:pStyle w:val="ListParagraph"/>
        <w:numPr>
          <w:ilvl w:val="0"/>
          <w:numId w:val="1"/>
        </w:numPr>
        <w:spacing w:before="0" w:after="240"/>
        <w:ind w:left="720" w:right="778"/>
        <w:rPr>
          <w:sz w:val="24"/>
          <w:szCs w:val="24"/>
        </w:rPr>
      </w:pPr>
      <w:r w:rsidRPr="00A64501">
        <w:rPr>
          <w:sz w:val="24"/>
          <w:szCs w:val="24"/>
        </w:rPr>
        <w:t>Japanese (6)</w:t>
      </w:r>
    </w:p>
    <w:p w14:paraId="51B13311" w14:textId="77777777" w:rsidR="003D0AC2" w:rsidRPr="00A64501" w:rsidRDefault="003D0AC2" w:rsidP="003D3CF8">
      <w:pPr>
        <w:spacing w:after="240" w:line="240" w:lineRule="auto"/>
        <w:ind w:right="784"/>
        <w:rPr>
          <w:szCs w:val="24"/>
        </w:rPr>
      </w:pPr>
      <w:r w:rsidRPr="00A64501">
        <w:rPr>
          <w:szCs w:val="24"/>
        </w:rPr>
        <w:lastRenderedPageBreak/>
        <w:t xml:space="preserve">When asked about plans to offer additional languages within their programs, </w:t>
      </w:r>
      <w:r w:rsidR="001641EA">
        <w:rPr>
          <w:szCs w:val="24"/>
        </w:rPr>
        <w:t xml:space="preserve">43 </w:t>
      </w:r>
      <w:r w:rsidR="006969DE">
        <w:rPr>
          <w:szCs w:val="24"/>
        </w:rPr>
        <w:t>percent</w:t>
      </w:r>
      <w:r w:rsidRPr="00A64501">
        <w:rPr>
          <w:szCs w:val="24"/>
        </w:rPr>
        <w:t xml:space="preserve"> of respondents indicated that they had no plans to add any </w:t>
      </w:r>
      <w:r w:rsidR="001641EA">
        <w:rPr>
          <w:szCs w:val="24"/>
        </w:rPr>
        <w:t>WL</w:t>
      </w:r>
      <w:r w:rsidRPr="00A64501">
        <w:rPr>
          <w:szCs w:val="24"/>
        </w:rPr>
        <w:t xml:space="preserve"> to their current offerings. </w:t>
      </w:r>
    </w:p>
    <w:p w14:paraId="1600F08A" w14:textId="77777777" w:rsidR="003D0AC2" w:rsidRPr="00A64501" w:rsidRDefault="003D0AC2" w:rsidP="003D3CF8">
      <w:pPr>
        <w:pStyle w:val="BodyText"/>
        <w:spacing w:after="240"/>
        <w:rPr>
          <w:i w:val="0"/>
        </w:rPr>
      </w:pPr>
      <w:r w:rsidRPr="00A64501">
        <w:rPr>
          <w:i w:val="0"/>
        </w:rPr>
        <w:t>Administrators also provided information about the different types of programs offered at their school sites. The largest percentage of administrators responding to this question (</w:t>
      </w:r>
      <w:r w:rsidR="001641EA">
        <w:rPr>
          <w:i w:val="0"/>
        </w:rPr>
        <w:t>45</w:t>
      </w:r>
      <w:r w:rsidR="006969DE">
        <w:rPr>
          <w:i w:val="0"/>
        </w:rPr>
        <w:t xml:space="preserve"> percent</w:t>
      </w:r>
      <w:r w:rsidRPr="00A64501">
        <w:rPr>
          <w:i w:val="0"/>
        </w:rPr>
        <w:t xml:space="preserve">) reported that they operated traditional four-year high school </w:t>
      </w:r>
      <w:r w:rsidR="001641EA">
        <w:rPr>
          <w:i w:val="0"/>
        </w:rPr>
        <w:t>WL</w:t>
      </w:r>
      <w:r w:rsidRPr="00A64501">
        <w:rPr>
          <w:i w:val="0"/>
        </w:rPr>
        <w:t xml:space="preserve"> programs. </w:t>
      </w:r>
    </w:p>
    <w:p w14:paraId="3D189E0C" w14:textId="77777777" w:rsidR="002B27AD" w:rsidRPr="00A64501" w:rsidRDefault="002B27AD" w:rsidP="003D3CF8">
      <w:pPr>
        <w:spacing w:after="480" w:line="240" w:lineRule="auto"/>
        <w:rPr>
          <w:szCs w:val="24"/>
        </w:rPr>
      </w:pPr>
      <w:r w:rsidRPr="00A64501">
        <w:rPr>
          <w:szCs w:val="24"/>
        </w:rPr>
        <w:t xml:space="preserve">When asked about possible expansion of their </w:t>
      </w:r>
      <w:r w:rsidR="001641EA">
        <w:rPr>
          <w:szCs w:val="24"/>
        </w:rPr>
        <w:t>WL</w:t>
      </w:r>
      <w:r w:rsidRPr="00A64501">
        <w:rPr>
          <w:szCs w:val="24"/>
        </w:rPr>
        <w:t xml:space="preserve"> programs, almost half of respondents (</w:t>
      </w:r>
      <w:r w:rsidR="001641EA">
        <w:rPr>
          <w:szCs w:val="24"/>
        </w:rPr>
        <w:t>47</w:t>
      </w:r>
      <w:r w:rsidR="006969DE">
        <w:rPr>
          <w:szCs w:val="24"/>
        </w:rPr>
        <w:t xml:space="preserve"> percent</w:t>
      </w:r>
      <w:r w:rsidRPr="00A64501">
        <w:rPr>
          <w:szCs w:val="24"/>
        </w:rPr>
        <w:t>) indicated that they had no plans to expand their offerings within the next two years. Immersion programs were the most frequently cited program type (</w:t>
      </w:r>
      <w:r w:rsidR="001641EA">
        <w:rPr>
          <w:szCs w:val="24"/>
        </w:rPr>
        <w:t>20</w:t>
      </w:r>
      <w:r w:rsidR="006969DE">
        <w:rPr>
          <w:szCs w:val="24"/>
        </w:rPr>
        <w:t xml:space="preserve"> percent</w:t>
      </w:r>
      <w:r w:rsidRPr="00A64501">
        <w:rPr>
          <w:szCs w:val="24"/>
        </w:rPr>
        <w:t>) among administrators who do plan to add to their programs.</w:t>
      </w:r>
    </w:p>
    <w:p w14:paraId="747409DF" w14:textId="77777777" w:rsidR="00041E19" w:rsidRPr="00A64501" w:rsidRDefault="00041E19" w:rsidP="00A6145F">
      <w:pPr>
        <w:pStyle w:val="Heading2"/>
      </w:pPr>
      <w:r w:rsidRPr="00A64501">
        <w:t>Teachers: Experience</w:t>
      </w:r>
    </w:p>
    <w:p w14:paraId="22ABB636" w14:textId="3415108C" w:rsidR="00041E19" w:rsidRDefault="00041E19" w:rsidP="003D3CF8">
      <w:pPr>
        <w:spacing w:after="480" w:line="240" w:lineRule="auto"/>
        <w:ind w:right="720"/>
        <w:rPr>
          <w:szCs w:val="24"/>
        </w:rPr>
      </w:pPr>
      <w:r>
        <w:rPr>
          <w:szCs w:val="24"/>
        </w:rPr>
        <w:t>R</w:t>
      </w:r>
      <w:r w:rsidRPr="00A64501">
        <w:rPr>
          <w:szCs w:val="24"/>
        </w:rPr>
        <w:t>esponses to this question highlight the fact that we have a veteran workforce instructing our WL students. Of the 755 responses received, 472 (</w:t>
      </w:r>
      <w:r w:rsidR="001641EA">
        <w:rPr>
          <w:szCs w:val="24"/>
        </w:rPr>
        <w:t>75</w:t>
      </w:r>
      <w:r w:rsidR="006969DE">
        <w:rPr>
          <w:szCs w:val="24"/>
        </w:rPr>
        <w:t xml:space="preserve"> percent</w:t>
      </w:r>
      <w:r w:rsidRPr="00A64501">
        <w:rPr>
          <w:szCs w:val="24"/>
        </w:rPr>
        <w:t xml:space="preserve">) reported having over </w:t>
      </w:r>
      <w:r w:rsidR="001641EA">
        <w:rPr>
          <w:szCs w:val="24"/>
        </w:rPr>
        <w:t>10</w:t>
      </w:r>
      <w:r w:rsidRPr="00A64501">
        <w:rPr>
          <w:szCs w:val="24"/>
        </w:rPr>
        <w:t xml:space="preserve"> years of classroom teaching experience. </w:t>
      </w:r>
      <w:r w:rsidR="001A3557">
        <w:rPr>
          <w:szCs w:val="24"/>
        </w:rPr>
        <w:t xml:space="preserve">Fifty-five </w:t>
      </w:r>
      <w:r w:rsidRPr="00A64501">
        <w:rPr>
          <w:szCs w:val="24"/>
        </w:rPr>
        <w:t>(</w:t>
      </w:r>
      <w:r w:rsidR="001641EA">
        <w:rPr>
          <w:szCs w:val="24"/>
        </w:rPr>
        <w:t>7</w:t>
      </w:r>
      <w:r w:rsidR="006969DE">
        <w:rPr>
          <w:szCs w:val="24"/>
        </w:rPr>
        <w:t xml:space="preserve"> percent</w:t>
      </w:r>
      <w:r w:rsidRPr="00A64501">
        <w:rPr>
          <w:szCs w:val="24"/>
        </w:rPr>
        <w:t xml:space="preserve">) identified as new teachers with experience of two years or less. </w:t>
      </w:r>
    </w:p>
    <w:p w14:paraId="3079F562" w14:textId="77777777" w:rsidR="00146AE0" w:rsidRDefault="00146AE0" w:rsidP="00A6145F">
      <w:pPr>
        <w:pStyle w:val="Heading2"/>
      </w:pPr>
      <w:r w:rsidRPr="00146AE0">
        <w:t>Teachers: Languages and Program Types</w:t>
      </w:r>
    </w:p>
    <w:p w14:paraId="51C77A2E" w14:textId="29A84311" w:rsidR="00146AE0" w:rsidRPr="00A64501" w:rsidRDefault="00146AE0" w:rsidP="003D3CF8">
      <w:pPr>
        <w:spacing w:after="240" w:line="240" w:lineRule="auto"/>
        <w:rPr>
          <w:szCs w:val="24"/>
        </w:rPr>
      </w:pPr>
      <w:r>
        <w:rPr>
          <w:szCs w:val="24"/>
        </w:rPr>
        <w:t xml:space="preserve">The top five languages taught, according to teachers’ responses, are Spanish, French, Mandarin Chinese, American Sign Language (ASL) and German. </w:t>
      </w:r>
      <w:r w:rsidRPr="00A64501">
        <w:rPr>
          <w:szCs w:val="24"/>
        </w:rPr>
        <w:t xml:space="preserve">An additional </w:t>
      </w:r>
      <w:r w:rsidR="001641EA">
        <w:rPr>
          <w:szCs w:val="24"/>
        </w:rPr>
        <w:t>39</w:t>
      </w:r>
      <w:r w:rsidRPr="00A64501">
        <w:rPr>
          <w:szCs w:val="24"/>
        </w:rPr>
        <w:t xml:space="preserve"> languages were cited</w:t>
      </w:r>
    </w:p>
    <w:p w14:paraId="6CA71EC9" w14:textId="77777777" w:rsidR="00146AE0" w:rsidRPr="00A64501" w:rsidRDefault="00146AE0" w:rsidP="003D3CF8">
      <w:pPr>
        <w:spacing w:after="480" w:line="240" w:lineRule="auto"/>
        <w:rPr>
          <w:szCs w:val="24"/>
        </w:rPr>
      </w:pPr>
      <w:r w:rsidRPr="00A64501">
        <w:rPr>
          <w:szCs w:val="24"/>
        </w:rPr>
        <w:t xml:space="preserve">When asked to identify the type(s) of language program(s) in which they teach, </w:t>
      </w:r>
      <w:r w:rsidR="005A52A6">
        <w:rPr>
          <w:szCs w:val="24"/>
        </w:rPr>
        <w:t>91</w:t>
      </w:r>
      <w:r w:rsidR="003575F4">
        <w:rPr>
          <w:szCs w:val="24"/>
        </w:rPr>
        <w:t xml:space="preserve"> </w:t>
      </w:r>
      <w:r w:rsidR="006969DE">
        <w:rPr>
          <w:szCs w:val="24"/>
        </w:rPr>
        <w:t>percent</w:t>
      </w:r>
      <w:r w:rsidRPr="00A64501">
        <w:rPr>
          <w:szCs w:val="24"/>
        </w:rPr>
        <w:t xml:space="preserve"> of respondents named one of five program types. The greatest number of teachers responding to the survey (</w:t>
      </w:r>
      <w:r w:rsidR="005A52A6">
        <w:rPr>
          <w:szCs w:val="24"/>
        </w:rPr>
        <w:t>45</w:t>
      </w:r>
      <w:r w:rsidR="006969DE">
        <w:rPr>
          <w:szCs w:val="24"/>
        </w:rPr>
        <w:t xml:space="preserve"> percent</w:t>
      </w:r>
      <w:r w:rsidRPr="00A64501">
        <w:rPr>
          <w:szCs w:val="24"/>
        </w:rPr>
        <w:t>) cited a traditional four</w:t>
      </w:r>
      <w:r w:rsidR="00AF7DBF">
        <w:rPr>
          <w:szCs w:val="24"/>
        </w:rPr>
        <w:t>-</w:t>
      </w:r>
      <w:r w:rsidRPr="00A64501">
        <w:rPr>
          <w:szCs w:val="24"/>
        </w:rPr>
        <w:t>year high school sequence as the type of program in which they taught. In descending order, the other most frequently identified program types were Advanced Placement Program</w:t>
      </w:r>
      <w:r w:rsidR="003575F4">
        <w:rPr>
          <w:szCs w:val="24"/>
        </w:rPr>
        <w:t>s</w:t>
      </w:r>
      <w:r w:rsidRPr="00A64501">
        <w:rPr>
          <w:szCs w:val="24"/>
        </w:rPr>
        <w:t>, Heritage Speaker Program</w:t>
      </w:r>
      <w:r w:rsidR="003575F4">
        <w:rPr>
          <w:szCs w:val="24"/>
        </w:rPr>
        <w:t>s</w:t>
      </w:r>
      <w:r w:rsidRPr="00A64501">
        <w:rPr>
          <w:szCs w:val="24"/>
        </w:rPr>
        <w:t>, Immersion Program</w:t>
      </w:r>
      <w:r w:rsidR="003575F4">
        <w:rPr>
          <w:szCs w:val="24"/>
        </w:rPr>
        <w:t>s</w:t>
      </w:r>
      <w:r w:rsidRPr="00A64501">
        <w:rPr>
          <w:szCs w:val="24"/>
        </w:rPr>
        <w:t>, and International Baccalaureate Program</w:t>
      </w:r>
      <w:r w:rsidR="003575F4">
        <w:rPr>
          <w:szCs w:val="24"/>
        </w:rPr>
        <w:t>s.</w:t>
      </w:r>
    </w:p>
    <w:p w14:paraId="6254EA52" w14:textId="6F3EEF10" w:rsidR="00032651" w:rsidRPr="00032651" w:rsidRDefault="00032651" w:rsidP="00032651">
      <w:pPr>
        <w:spacing w:after="240" w:line="276" w:lineRule="auto"/>
        <w:rPr>
          <w:rFonts w:cs="Arial"/>
          <w:b/>
          <w:szCs w:val="24"/>
        </w:rPr>
      </w:pPr>
      <w:r w:rsidRPr="00032651">
        <w:rPr>
          <w:rFonts w:cs="Arial"/>
          <w:b/>
          <w:szCs w:val="24"/>
        </w:rPr>
        <w:t xml:space="preserve">Conclusion </w:t>
      </w:r>
    </w:p>
    <w:p w14:paraId="5EB1FC83" w14:textId="77777777" w:rsidR="00581C55" w:rsidRDefault="00581C55" w:rsidP="00581C55">
      <w:pPr>
        <w:spacing w:after="240" w:line="240" w:lineRule="auto"/>
        <w:rPr>
          <w:szCs w:val="24"/>
        </w:rPr>
      </w:pPr>
      <w:r>
        <w:rPr>
          <w:szCs w:val="24"/>
        </w:rPr>
        <w:t xml:space="preserve">The </w:t>
      </w:r>
      <w:r w:rsidRPr="005A63CB">
        <w:rPr>
          <w:i/>
          <w:szCs w:val="24"/>
        </w:rPr>
        <w:t>WL Standards</w:t>
      </w:r>
      <w:r>
        <w:rPr>
          <w:szCs w:val="24"/>
        </w:rPr>
        <w:t xml:space="preserve"> provide the infrastructure to update language teaching strategies and to welcome all students to the WL classroom. The </w:t>
      </w:r>
      <w:r w:rsidRPr="000120BE">
        <w:rPr>
          <w:i/>
          <w:szCs w:val="24"/>
        </w:rPr>
        <w:t>WL Framework</w:t>
      </w:r>
      <w:r>
        <w:rPr>
          <w:szCs w:val="24"/>
        </w:rPr>
        <w:t xml:space="preserve"> provides deeper explanation, examples, and explicit guidance for the evidence-based methodologies that fully implement the </w:t>
      </w:r>
      <w:r w:rsidRPr="000120BE">
        <w:rPr>
          <w:i/>
          <w:szCs w:val="24"/>
        </w:rPr>
        <w:t>WL Standards</w:t>
      </w:r>
      <w:r>
        <w:rPr>
          <w:i/>
          <w:szCs w:val="24"/>
        </w:rPr>
        <w:t xml:space="preserve"> </w:t>
      </w:r>
      <w:r w:rsidRPr="00CA0F82">
        <w:rPr>
          <w:szCs w:val="24"/>
        </w:rPr>
        <w:t xml:space="preserve">in </w:t>
      </w:r>
      <w:r>
        <w:rPr>
          <w:szCs w:val="24"/>
        </w:rPr>
        <w:t>WL</w:t>
      </w:r>
      <w:r w:rsidRPr="00CA0F82">
        <w:rPr>
          <w:szCs w:val="24"/>
        </w:rPr>
        <w:t xml:space="preserve"> instruction</w:t>
      </w:r>
      <w:r>
        <w:rPr>
          <w:szCs w:val="24"/>
        </w:rPr>
        <w:t xml:space="preserve">. It also incorporates the </w:t>
      </w:r>
      <w:r w:rsidRPr="00CA0F82">
        <w:rPr>
          <w:szCs w:val="24"/>
        </w:rPr>
        <w:t xml:space="preserve">policies and practices </w:t>
      </w:r>
      <w:r>
        <w:rPr>
          <w:szCs w:val="24"/>
        </w:rPr>
        <w:t xml:space="preserve">critical to access and equity for all student groups across all content areas. </w:t>
      </w:r>
    </w:p>
    <w:p w14:paraId="79B5C21D" w14:textId="77777777" w:rsidR="00A111E8" w:rsidRDefault="001B7AE2" w:rsidP="001B7AE2">
      <w:pPr>
        <w:spacing w:after="240" w:line="240" w:lineRule="auto"/>
        <w:rPr>
          <w:szCs w:val="24"/>
        </w:rPr>
        <w:sectPr w:rsidR="00A111E8" w:rsidSect="00C82E22">
          <w:footerReference w:type="default" r:id="rId11"/>
          <w:pgSz w:w="12240" w:h="15840"/>
          <w:pgMar w:top="1440" w:right="1440" w:bottom="1152" w:left="1440" w:header="720" w:footer="720" w:gutter="0"/>
          <w:cols w:space="720"/>
          <w:docGrid w:linePitch="360"/>
        </w:sectPr>
      </w:pPr>
      <w:r>
        <w:rPr>
          <w:szCs w:val="24"/>
        </w:rPr>
        <w:t xml:space="preserve">Analysis of the robust response of the WL education community to the survey will assist the CDE, working with its internal and external partners, to identify significant </w:t>
      </w:r>
    </w:p>
    <w:p w14:paraId="43427CF1" w14:textId="2BB5D4E9" w:rsidR="001B7AE2" w:rsidRDefault="001B7AE2" w:rsidP="001B7AE2">
      <w:pPr>
        <w:spacing w:after="240" w:line="240" w:lineRule="auto"/>
        <w:rPr>
          <w:szCs w:val="24"/>
        </w:rPr>
      </w:pPr>
      <w:r>
        <w:rPr>
          <w:szCs w:val="24"/>
        </w:rPr>
        <w:lastRenderedPageBreak/>
        <w:t xml:space="preserve">opportunities to support the effectiveness of California’s existing WL programs, as well as to guide their expansion. </w:t>
      </w:r>
    </w:p>
    <w:p w14:paraId="210FF927" w14:textId="22D5108D" w:rsidR="00A111E8" w:rsidRDefault="001B7AE2" w:rsidP="00A111E8">
      <w:pPr>
        <w:spacing w:after="240" w:line="240" w:lineRule="auto"/>
        <w:rPr>
          <w:szCs w:val="24"/>
        </w:rPr>
      </w:pPr>
      <w:r>
        <w:rPr>
          <w:szCs w:val="24"/>
        </w:rPr>
        <w:t xml:space="preserve">Recommendations made on the basis of the data in this report will </w:t>
      </w:r>
      <w:r w:rsidR="00581C55">
        <w:rPr>
          <w:szCs w:val="24"/>
        </w:rPr>
        <w:t xml:space="preserve">take shape </w:t>
      </w:r>
      <w:r w:rsidR="004D5DEE">
        <w:rPr>
          <w:szCs w:val="24"/>
        </w:rPr>
        <w:t>as</w:t>
      </w:r>
      <w:r>
        <w:rPr>
          <w:szCs w:val="24"/>
        </w:rPr>
        <w:t xml:space="preserve"> California educators </w:t>
      </w:r>
      <w:r w:rsidR="004D5DEE">
        <w:rPr>
          <w:szCs w:val="24"/>
        </w:rPr>
        <w:t xml:space="preserve">analyze, </w:t>
      </w:r>
      <w:r>
        <w:rPr>
          <w:szCs w:val="24"/>
        </w:rPr>
        <w:t>reflect</w:t>
      </w:r>
      <w:r w:rsidR="004D5DEE">
        <w:rPr>
          <w:szCs w:val="24"/>
        </w:rPr>
        <w:t>, plan,</w:t>
      </w:r>
      <w:r>
        <w:rPr>
          <w:szCs w:val="24"/>
        </w:rPr>
        <w:t xml:space="preserve"> and collaborate</w:t>
      </w:r>
      <w:r w:rsidR="00581C55">
        <w:rPr>
          <w:szCs w:val="24"/>
        </w:rPr>
        <w:t xml:space="preserve">. Actions resulting from those recommendations will ensure the generation and continuous improvement of </w:t>
      </w:r>
      <w:r>
        <w:rPr>
          <w:szCs w:val="24"/>
        </w:rPr>
        <w:t>WL programs that leverage the assets of diversity, lived experience, and language skills of California students, and enable them to attain the linguistic and cultural competence so necessary to their leadership as global citizens.</w:t>
      </w:r>
    </w:p>
    <w:sdt>
      <w:sdtPr>
        <w:rPr>
          <w:szCs w:val="24"/>
        </w:rPr>
        <w:id w:val="1756015390"/>
        <w:docPartObj>
          <w:docPartGallery w:val="Page Numbers (Bottom of Page)"/>
          <w:docPartUnique/>
        </w:docPartObj>
      </w:sdtPr>
      <w:sdtContent>
        <w:p w14:paraId="3F3C3428" w14:textId="154FC07C" w:rsidR="00A111E8" w:rsidRPr="00A111E8" w:rsidRDefault="00A111E8" w:rsidP="00A111E8">
          <w:pPr>
            <w:tabs>
              <w:tab w:val="left" w:pos="1635"/>
              <w:tab w:val="left" w:pos="9180"/>
            </w:tabs>
            <w:spacing w:before="10000" w:after="0"/>
            <w:rPr>
              <w:szCs w:val="24"/>
            </w:rPr>
          </w:pPr>
          <w:r w:rsidRPr="00A111E8">
            <w:rPr>
              <w:szCs w:val="24"/>
            </w:rPr>
            <w:t>Cali</w:t>
          </w:r>
          <w:r>
            <w:rPr>
              <w:szCs w:val="24"/>
            </w:rPr>
            <w:t xml:space="preserve">fornia Department of Education </w:t>
          </w:r>
          <w:r>
            <w:rPr>
              <w:szCs w:val="24"/>
            </w:rPr>
            <w:tab/>
          </w:r>
          <w:r w:rsidRPr="00A111E8">
            <w:rPr>
              <w:szCs w:val="24"/>
            </w:rPr>
            <w:fldChar w:fldCharType="begin"/>
          </w:r>
          <w:r w:rsidRPr="00A111E8">
            <w:rPr>
              <w:szCs w:val="24"/>
            </w:rPr>
            <w:instrText xml:space="preserve"> PAGE   \* MERGEFORMAT </w:instrText>
          </w:r>
          <w:r w:rsidRPr="00A111E8">
            <w:rPr>
              <w:szCs w:val="24"/>
            </w:rPr>
            <w:fldChar w:fldCharType="separate"/>
          </w:r>
          <w:r w:rsidRPr="00A111E8">
            <w:rPr>
              <w:szCs w:val="24"/>
            </w:rPr>
            <w:t>3</w:t>
          </w:r>
          <w:r w:rsidRPr="00A111E8">
            <w:rPr>
              <w:szCs w:val="24"/>
            </w:rPr>
            <w:fldChar w:fldCharType="end"/>
          </w:r>
        </w:p>
        <w:p w14:paraId="02986B8B" w14:textId="19AC06D7" w:rsidR="007428B8" w:rsidRPr="00A111E8" w:rsidRDefault="00A111E8" w:rsidP="00A111E8">
          <w:pPr>
            <w:tabs>
              <w:tab w:val="left" w:pos="1635"/>
            </w:tabs>
            <w:rPr>
              <w:szCs w:val="24"/>
            </w:rPr>
          </w:pPr>
          <w:r w:rsidRPr="00A111E8">
            <w:rPr>
              <w:szCs w:val="24"/>
            </w:rPr>
            <w:t>November 2020</w:t>
          </w:r>
        </w:p>
      </w:sdtContent>
    </w:sdt>
    <w:sectPr w:rsidR="007428B8" w:rsidRPr="00A111E8" w:rsidSect="00C82E22">
      <w:footerReference w:type="defaul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864E5" w14:textId="77777777" w:rsidR="00B55637" w:rsidRDefault="00B55637" w:rsidP="0088706C">
      <w:pPr>
        <w:spacing w:after="0" w:line="240" w:lineRule="auto"/>
      </w:pPr>
      <w:r>
        <w:separator/>
      </w:r>
    </w:p>
  </w:endnote>
  <w:endnote w:type="continuationSeparator" w:id="0">
    <w:p w14:paraId="74F933FE" w14:textId="77777777" w:rsidR="00B55637" w:rsidRDefault="00B55637" w:rsidP="0088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831902"/>
      <w:docPartObj>
        <w:docPartGallery w:val="Page Numbers (Bottom of Page)"/>
        <w:docPartUnique/>
      </w:docPartObj>
    </w:sdtPr>
    <w:sdtEndPr>
      <w:rPr>
        <w:noProof/>
      </w:rPr>
    </w:sdtEndPr>
    <w:sdtContent>
      <w:p w14:paraId="7FEEE9DA" w14:textId="77777777" w:rsidR="00A111E8" w:rsidRDefault="00A111E8" w:rsidP="00A111E8">
        <w:pPr>
          <w:pStyle w:val="Footer"/>
          <w:rPr>
            <w:noProof/>
          </w:rPr>
        </w:pPr>
        <w:r>
          <w:t xml:space="preserve">California Department of Education </w:t>
        </w:r>
        <w:r>
          <w:tab/>
        </w:r>
        <w:r w:rsidR="00C82E22">
          <w:tab/>
        </w:r>
        <w:r w:rsidR="00C82E22">
          <w:fldChar w:fldCharType="begin"/>
        </w:r>
        <w:r w:rsidR="00C82E22">
          <w:instrText xml:space="preserve"> PAGE   \* MERGEFORMAT </w:instrText>
        </w:r>
        <w:r w:rsidR="00C82E22">
          <w:fldChar w:fldCharType="separate"/>
        </w:r>
        <w:r w:rsidR="00A6145F">
          <w:rPr>
            <w:noProof/>
          </w:rPr>
          <w:t>1</w:t>
        </w:r>
        <w:r w:rsidR="00C82E22">
          <w:rPr>
            <w:noProof/>
          </w:rPr>
          <w:fldChar w:fldCharType="end"/>
        </w:r>
      </w:p>
      <w:p w14:paraId="3CF1EEFA" w14:textId="6C591A1D" w:rsidR="00C82E22" w:rsidRDefault="00A111E8" w:rsidP="00A111E8">
        <w:pPr>
          <w:pStyle w:val="Footer"/>
          <w:rPr>
            <w:noProof/>
          </w:rPr>
        </w:pPr>
        <w:r>
          <w:rPr>
            <w:noProof/>
          </w:rPr>
          <w:t>November 2020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B0B1" w14:textId="544D5103" w:rsidR="00A111E8" w:rsidRPr="00A111E8" w:rsidRDefault="00A111E8" w:rsidP="00A1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1252F" w14:textId="77777777" w:rsidR="00B55637" w:rsidRDefault="00B55637" w:rsidP="0088706C">
      <w:pPr>
        <w:spacing w:after="0" w:line="240" w:lineRule="auto"/>
      </w:pPr>
      <w:r>
        <w:separator/>
      </w:r>
    </w:p>
  </w:footnote>
  <w:footnote w:type="continuationSeparator" w:id="0">
    <w:p w14:paraId="0929509E" w14:textId="77777777" w:rsidR="00B55637" w:rsidRDefault="00B55637" w:rsidP="00887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51BAE"/>
    <w:multiLevelType w:val="hybridMultilevel"/>
    <w:tmpl w:val="39A4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072A4"/>
    <w:multiLevelType w:val="hybridMultilevel"/>
    <w:tmpl w:val="A58C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D3370"/>
    <w:multiLevelType w:val="hybridMultilevel"/>
    <w:tmpl w:val="2DF80258"/>
    <w:lvl w:ilvl="0" w:tplc="04090001">
      <w:start w:val="1"/>
      <w:numFmt w:val="bullet"/>
      <w:lvlText w:val=""/>
      <w:lvlJc w:val="left"/>
      <w:pPr>
        <w:ind w:left="2132" w:hanging="360"/>
      </w:pPr>
      <w:rPr>
        <w:rFonts w:ascii="Symbol" w:hAnsi="Symbol" w:hint="default"/>
      </w:rPr>
    </w:lvl>
    <w:lvl w:ilvl="1" w:tplc="04090003" w:tentative="1">
      <w:start w:val="1"/>
      <w:numFmt w:val="bullet"/>
      <w:lvlText w:val="o"/>
      <w:lvlJc w:val="left"/>
      <w:pPr>
        <w:ind w:left="2852" w:hanging="360"/>
      </w:pPr>
      <w:rPr>
        <w:rFonts w:ascii="Courier New" w:hAnsi="Courier New" w:cs="Courier New" w:hint="default"/>
      </w:rPr>
    </w:lvl>
    <w:lvl w:ilvl="2" w:tplc="04090005" w:tentative="1">
      <w:start w:val="1"/>
      <w:numFmt w:val="bullet"/>
      <w:lvlText w:val=""/>
      <w:lvlJc w:val="left"/>
      <w:pPr>
        <w:ind w:left="3572" w:hanging="360"/>
      </w:pPr>
      <w:rPr>
        <w:rFonts w:ascii="Wingdings" w:hAnsi="Wingdings" w:hint="default"/>
      </w:rPr>
    </w:lvl>
    <w:lvl w:ilvl="3" w:tplc="04090001" w:tentative="1">
      <w:start w:val="1"/>
      <w:numFmt w:val="bullet"/>
      <w:lvlText w:val=""/>
      <w:lvlJc w:val="left"/>
      <w:pPr>
        <w:ind w:left="4292" w:hanging="360"/>
      </w:pPr>
      <w:rPr>
        <w:rFonts w:ascii="Symbol" w:hAnsi="Symbol" w:hint="default"/>
      </w:rPr>
    </w:lvl>
    <w:lvl w:ilvl="4" w:tplc="04090003" w:tentative="1">
      <w:start w:val="1"/>
      <w:numFmt w:val="bullet"/>
      <w:lvlText w:val="o"/>
      <w:lvlJc w:val="left"/>
      <w:pPr>
        <w:ind w:left="5012" w:hanging="360"/>
      </w:pPr>
      <w:rPr>
        <w:rFonts w:ascii="Courier New" w:hAnsi="Courier New" w:cs="Courier New" w:hint="default"/>
      </w:rPr>
    </w:lvl>
    <w:lvl w:ilvl="5" w:tplc="04090005" w:tentative="1">
      <w:start w:val="1"/>
      <w:numFmt w:val="bullet"/>
      <w:lvlText w:val=""/>
      <w:lvlJc w:val="left"/>
      <w:pPr>
        <w:ind w:left="5732" w:hanging="360"/>
      </w:pPr>
      <w:rPr>
        <w:rFonts w:ascii="Wingdings" w:hAnsi="Wingdings" w:hint="default"/>
      </w:rPr>
    </w:lvl>
    <w:lvl w:ilvl="6" w:tplc="04090001" w:tentative="1">
      <w:start w:val="1"/>
      <w:numFmt w:val="bullet"/>
      <w:lvlText w:val=""/>
      <w:lvlJc w:val="left"/>
      <w:pPr>
        <w:ind w:left="6452" w:hanging="360"/>
      </w:pPr>
      <w:rPr>
        <w:rFonts w:ascii="Symbol" w:hAnsi="Symbol" w:hint="default"/>
      </w:rPr>
    </w:lvl>
    <w:lvl w:ilvl="7" w:tplc="04090003" w:tentative="1">
      <w:start w:val="1"/>
      <w:numFmt w:val="bullet"/>
      <w:lvlText w:val="o"/>
      <w:lvlJc w:val="left"/>
      <w:pPr>
        <w:ind w:left="7172" w:hanging="360"/>
      </w:pPr>
      <w:rPr>
        <w:rFonts w:ascii="Courier New" w:hAnsi="Courier New" w:cs="Courier New" w:hint="default"/>
      </w:rPr>
    </w:lvl>
    <w:lvl w:ilvl="8" w:tplc="04090005" w:tentative="1">
      <w:start w:val="1"/>
      <w:numFmt w:val="bullet"/>
      <w:lvlText w:val=""/>
      <w:lvlJc w:val="left"/>
      <w:pPr>
        <w:ind w:left="7892" w:hanging="360"/>
      </w:pPr>
      <w:rPr>
        <w:rFonts w:ascii="Wingdings" w:hAnsi="Wingdings" w:hint="default"/>
      </w:rPr>
    </w:lvl>
  </w:abstractNum>
  <w:abstractNum w:abstractNumId="3" w15:restartNumberingAfterBreak="0">
    <w:nsid w:val="3A5F1A88"/>
    <w:multiLevelType w:val="hybridMultilevel"/>
    <w:tmpl w:val="1146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7127D"/>
    <w:multiLevelType w:val="hybridMultilevel"/>
    <w:tmpl w:val="D21E66E2"/>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5" w15:restartNumberingAfterBreak="0">
    <w:nsid w:val="56CA551B"/>
    <w:multiLevelType w:val="hybridMultilevel"/>
    <w:tmpl w:val="5840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47419"/>
    <w:multiLevelType w:val="hybridMultilevel"/>
    <w:tmpl w:val="85B4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35E0B"/>
    <w:multiLevelType w:val="hybridMultilevel"/>
    <w:tmpl w:val="0A6C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060BA"/>
    <w:multiLevelType w:val="hybridMultilevel"/>
    <w:tmpl w:val="2C869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B836D5"/>
    <w:multiLevelType w:val="multilevel"/>
    <w:tmpl w:val="8184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91506"/>
    <w:multiLevelType w:val="hybridMultilevel"/>
    <w:tmpl w:val="CD3AC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90288"/>
    <w:multiLevelType w:val="hybridMultilevel"/>
    <w:tmpl w:val="AD60B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530903">
    <w:abstractNumId w:val="4"/>
  </w:num>
  <w:num w:numId="2" w16cid:durableId="1244728690">
    <w:abstractNumId w:val="8"/>
  </w:num>
  <w:num w:numId="3" w16cid:durableId="1221868483">
    <w:abstractNumId w:val="9"/>
  </w:num>
  <w:num w:numId="4" w16cid:durableId="1905987066">
    <w:abstractNumId w:val="1"/>
  </w:num>
  <w:num w:numId="5" w16cid:durableId="1830561242">
    <w:abstractNumId w:val="2"/>
  </w:num>
  <w:num w:numId="6" w16cid:durableId="1829520707">
    <w:abstractNumId w:val="3"/>
  </w:num>
  <w:num w:numId="7" w16cid:durableId="787940826">
    <w:abstractNumId w:val="6"/>
  </w:num>
  <w:num w:numId="8" w16cid:durableId="106703949">
    <w:abstractNumId w:val="10"/>
  </w:num>
  <w:num w:numId="9" w16cid:durableId="649484320">
    <w:abstractNumId w:val="0"/>
  </w:num>
  <w:num w:numId="10" w16cid:durableId="1574117991">
    <w:abstractNumId w:val="5"/>
  </w:num>
  <w:num w:numId="11" w16cid:durableId="1423647254">
    <w:abstractNumId w:val="7"/>
  </w:num>
  <w:num w:numId="12" w16cid:durableId="18740286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F2"/>
    <w:rsid w:val="00004DF5"/>
    <w:rsid w:val="00032651"/>
    <w:rsid w:val="00041E19"/>
    <w:rsid w:val="00070AD2"/>
    <w:rsid w:val="00090070"/>
    <w:rsid w:val="000B1655"/>
    <w:rsid w:val="000D5173"/>
    <w:rsid w:val="001153FB"/>
    <w:rsid w:val="00130C46"/>
    <w:rsid w:val="00141503"/>
    <w:rsid w:val="00146AE0"/>
    <w:rsid w:val="00155D3F"/>
    <w:rsid w:val="0016062D"/>
    <w:rsid w:val="001641EA"/>
    <w:rsid w:val="001A0CA5"/>
    <w:rsid w:val="001A3557"/>
    <w:rsid w:val="001B407B"/>
    <w:rsid w:val="001B7AE2"/>
    <w:rsid w:val="001D09B5"/>
    <w:rsid w:val="00204C73"/>
    <w:rsid w:val="00230796"/>
    <w:rsid w:val="0026698F"/>
    <w:rsid w:val="002932D2"/>
    <w:rsid w:val="002B27AD"/>
    <w:rsid w:val="002B4195"/>
    <w:rsid w:val="002E4CB5"/>
    <w:rsid w:val="003044BD"/>
    <w:rsid w:val="003575F4"/>
    <w:rsid w:val="00395117"/>
    <w:rsid w:val="003D0AC2"/>
    <w:rsid w:val="003D3CF8"/>
    <w:rsid w:val="003E520B"/>
    <w:rsid w:val="00404F8B"/>
    <w:rsid w:val="004066E6"/>
    <w:rsid w:val="0043117F"/>
    <w:rsid w:val="004708DB"/>
    <w:rsid w:val="004A645E"/>
    <w:rsid w:val="004D5DEE"/>
    <w:rsid w:val="004F7F15"/>
    <w:rsid w:val="005070F9"/>
    <w:rsid w:val="005275CF"/>
    <w:rsid w:val="00534945"/>
    <w:rsid w:val="005350B2"/>
    <w:rsid w:val="00581C55"/>
    <w:rsid w:val="005820FF"/>
    <w:rsid w:val="0059191A"/>
    <w:rsid w:val="005A52A6"/>
    <w:rsid w:val="00663271"/>
    <w:rsid w:val="006969DE"/>
    <w:rsid w:val="006B2603"/>
    <w:rsid w:val="007053B5"/>
    <w:rsid w:val="007428B8"/>
    <w:rsid w:val="007D0FE7"/>
    <w:rsid w:val="007E0DA3"/>
    <w:rsid w:val="0088706C"/>
    <w:rsid w:val="008E23FA"/>
    <w:rsid w:val="008E4B5A"/>
    <w:rsid w:val="008E79CA"/>
    <w:rsid w:val="00930C6C"/>
    <w:rsid w:val="009625D4"/>
    <w:rsid w:val="009850E9"/>
    <w:rsid w:val="00996DF0"/>
    <w:rsid w:val="009F4D1E"/>
    <w:rsid w:val="00A0337E"/>
    <w:rsid w:val="00A111E8"/>
    <w:rsid w:val="00A600FA"/>
    <w:rsid w:val="00A6145F"/>
    <w:rsid w:val="00A70F3F"/>
    <w:rsid w:val="00A94CF4"/>
    <w:rsid w:val="00AB18F2"/>
    <w:rsid w:val="00AC49AF"/>
    <w:rsid w:val="00AF7DBF"/>
    <w:rsid w:val="00B205D6"/>
    <w:rsid w:val="00B24C29"/>
    <w:rsid w:val="00B55637"/>
    <w:rsid w:val="00BA0B5C"/>
    <w:rsid w:val="00BD4ED2"/>
    <w:rsid w:val="00C1205E"/>
    <w:rsid w:val="00C261AA"/>
    <w:rsid w:val="00C530F3"/>
    <w:rsid w:val="00C6740F"/>
    <w:rsid w:val="00C773CD"/>
    <w:rsid w:val="00C82E22"/>
    <w:rsid w:val="00CD0B0F"/>
    <w:rsid w:val="00CD5197"/>
    <w:rsid w:val="00D47DAB"/>
    <w:rsid w:val="00D71C57"/>
    <w:rsid w:val="00D8556E"/>
    <w:rsid w:val="00DA7460"/>
    <w:rsid w:val="00DC4488"/>
    <w:rsid w:val="00E14894"/>
    <w:rsid w:val="00E16BFE"/>
    <w:rsid w:val="00E34355"/>
    <w:rsid w:val="00E3461F"/>
    <w:rsid w:val="00E75E60"/>
    <w:rsid w:val="00EA4279"/>
    <w:rsid w:val="00F22558"/>
    <w:rsid w:val="00F510B0"/>
    <w:rsid w:val="00F84BAF"/>
    <w:rsid w:val="00FB33A1"/>
    <w:rsid w:val="00FE04D4"/>
    <w:rsid w:val="00FE3007"/>
    <w:rsid w:val="0B181A7B"/>
    <w:rsid w:val="0D9033D0"/>
    <w:rsid w:val="0E91872E"/>
    <w:rsid w:val="0FAFFD90"/>
    <w:rsid w:val="121A8C43"/>
    <w:rsid w:val="15705765"/>
    <w:rsid w:val="15865123"/>
    <w:rsid w:val="1860E65D"/>
    <w:rsid w:val="1CEC59FB"/>
    <w:rsid w:val="2467E5C9"/>
    <w:rsid w:val="26163FA8"/>
    <w:rsid w:val="2C1CD080"/>
    <w:rsid w:val="2F7EE78A"/>
    <w:rsid w:val="300521B7"/>
    <w:rsid w:val="37BBC83E"/>
    <w:rsid w:val="38074CB1"/>
    <w:rsid w:val="3BA2CE3B"/>
    <w:rsid w:val="3BCF3AC0"/>
    <w:rsid w:val="3D9A6683"/>
    <w:rsid w:val="3DC52560"/>
    <w:rsid w:val="3E9B6DEB"/>
    <w:rsid w:val="4282AAC0"/>
    <w:rsid w:val="45CC1973"/>
    <w:rsid w:val="45EE0ECA"/>
    <w:rsid w:val="474B79FD"/>
    <w:rsid w:val="4B01A1FE"/>
    <w:rsid w:val="4E1B0C78"/>
    <w:rsid w:val="4F7309D4"/>
    <w:rsid w:val="5051A677"/>
    <w:rsid w:val="50D63182"/>
    <w:rsid w:val="5322B258"/>
    <w:rsid w:val="549F98C1"/>
    <w:rsid w:val="55EEE152"/>
    <w:rsid w:val="564BBBAB"/>
    <w:rsid w:val="5B5CF766"/>
    <w:rsid w:val="6346553B"/>
    <w:rsid w:val="65DBDBB3"/>
    <w:rsid w:val="66440E7C"/>
    <w:rsid w:val="6BFDBA09"/>
    <w:rsid w:val="6FB097D2"/>
    <w:rsid w:val="7054C5D7"/>
    <w:rsid w:val="70564030"/>
    <w:rsid w:val="719F8F4A"/>
    <w:rsid w:val="7713C41F"/>
    <w:rsid w:val="77B322FA"/>
    <w:rsid w:val="77FF2954"/>
    <w:rsid w:val="7C61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6429"/>
  <w15:chartTrackingRefBased/>
  <w15:docId w15:val="{C7682B35-C4BB-41BA-9DB4-4B9AE3C0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ListParagraph">
    <w:name w:val="List Paragraph"/>
    <w:basedOn w:val="Normal"/>
    <w:uiPriority w:val="1"/>
    <w:qFormat/>
    <w:rsid w:val="003D0AC2"/>
    <w:pPr>
      <w:widowControl w:val="0"/>
      <w:autoSpaceDE w:val="0"/>
      <w:autoSpaceDN w:val="0"/>
      <w:spacing w:before="117" w:after="0" w:line="240" w:lineRule="auto"/>
      <w:ind w:left="1853" w:hanging="336"/>
    </w:pPr>
    <w:rPr>
      <w:rFonts w:eastAsia="Arial" w:cs="Arial"/>
      <w:sz w:val="22"/>
    </w:rPr>
  </w:style>
  <w:style w:type="paragraph" w:styleId="BodyText">
    <w:name w:val="Body Text"/>
    <w:basedOn w:val="Normal"/>
    <w:link w:val="BodyTextChar"/>
    <w:uiPriority w:val="1"/>
    <w:qFormat/>
    <w:rsid w:val="003D0AC2"/>
    <w:pPr>
      <w:widowControl w:val="0"/>
      <w:autoSpaceDE w:val="0"/>
      <w:autoSpaceDN w:val="0"/>
      <w:spacing w:after="0" w:line="240" w:lineRule="auto"/>
    </w:pPr>
    <w:rPr>
      <w:rFonts w:eastAsia="Arial" w:cs="Arial"/>
      <w:i/>
      <w:szCs w:val="24"/>
    </w:rPr>
  </w:style>
  <w:style w:type="character" w:customStyle="1" w:styleId="BodyTextChar">
    <w:name w:val="Body Text Char"/>
    <w:basedOn w:val="DefaultParagraphFont"/>
    <w:link w:val="BodyText"/>
    <w:uiPriority w:val="1"/>
    <w:rsid w:val="003D0AC2"/>
    <w:rPr>
      <w:rFonts w:ascii="Arial" w:eastAsia="Arial" w:hAnsi="Arial" w:cs="Arial"/>
      <w:i/>
      <w:sz w:val="24"/>
      <w:szCs w:val="24"/>
    </w:rPr>
  </w:style>
  <w:style w:type="character" w:styleId="Strong">
    <w:name w:val="Strong"/>
    <w:basedOn w:val="DefaultParagraphFont"/>
    <w:uiPriority w:val="22"/>
    <w:qFormat/>
    <w:rsid w:val="0088706C"/>
    <w:rPr>
      <w:b/>
      <w:bCs/>
    </w:rPr>
  </w:style>
  <w:style w:type="paragraph" w:styleId="Header">
    <w:name w:val="header"/>
    <w:basedOn w:val="Normal"/>
    <w:link w:val="HeaderChar"/>
    <w:uiPriority w:val="99"/>
    <w:unhideWhenUsed/>
    <w:rsid w:val="00887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06C"/>
    <w:rPr>
      <w:rFonts w:ascii="Arial" w:hAnsi="Arial"/>
      <w:sz w:val="24"/>
    </w:rPr>
  </w:style>
  <w:style w:type="paragraph" w:styleId="Footer">
    <w:name w:val="footer"/>
    <w:basedOn w:val="Normal"/>
    <w:link w:val="FooterChar"/>
    <w:uiPriority w:val="99"/>
    <w:unhideWhenUsed/>
    <w:rsid w:val="00887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06C"/>
    <w:rPr>
      <w:rFonts w:ascii="Arial" w:hAnsi="Arial"/>
      <w:sz w:val="24"/>
    </w:rPr>
  </w:style>
  <w:style w:type="paragraph" w:styleId="NormalWeb">
    <w:name w:val="Normal (Web)"/>
    <w:basedOn w:val="Normal"/>
    <w:uiPriority w:val="99"/>
    <w:unhideWhenUsed/>
    <w:rsid w:val="000D5173"/>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070AD2"/>
    <w:rPr>
      <w:sz w:val="16"/>
      <w:szCs w:val="16"/>
    </w:rPr>
  </w:style>
  <w:style w:type="paragraph" w:styleId="CommentText">
    <w:name w:val="annotation text"/>
    <w:basedOn w:val="Normal"/>
    <w:link w:val="CommentTextChar"/>
    <w:uiPriority w:val="99"/>
    <w:semiHidden/>
    <w:unhideWhenUsed/>
    <w:rsid w:val="00070AD2"/>
    <w:pPr>
      <w:spacing w:line="240" w:lineRule="auto"/>
    </w:pPr>
    <w:rPr>
      <w:sz w:val="20"/>
      <w:szCs w:val="20"/>
    </w:rPr>
  </w:style>
  <w:style w:type="character" w:customStyle="1" w:styleId="CommentTextChar">
    <w:name w:val="Comment Text Char"/>
    <w:basedOn w:val="DefaultParagraphFont"/>
    <w:link w:val="CommentText"/>
    <w:uiPriority w:val="99"/>
    <w:semiHidden/>
    <w:rsid w:val="00070A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70AD2"/>
    <w:rPr>
      <w:b/>
      <w:bCs/>
    </w:rPr>
  </w:style>
  <w:style w:type="character" w:customStyle="1" w:styleId="CommentSubjectChar">
    <w:name w:val="Comment Subject Char"/>
    <w:basedOn w:val="CommentTextChar"/>
    <w:link w:val="CommentSubject"/>
    <w:uiPriority w:val="99"/>
    <w:semiHidden/>
    <w:rsid w:val="00070AD2"/>
    <w:rPr>
      <w:rFonts w:ascii="Arial" w:hAnsi="Arial"/>
      <w:b/>
      <w:bCs/>
      <w:sz w:val="20"/>
      <w:szCs w:val="20"/>
    </w:rPr>
  </w:style>
  <w:style w:type="paragraph" w:styleId="BalloonText">
    <w:name w:val="Balloon Text"/>
    <w:basedOn w:val="Normal"/>
    <w:link w:val="BalloonTextChar"/>
    <w:uiPriority w:val="99"/>
    <w:semiHidden/>
    <w:unhideWhenUsed/>
    <w:rsid w:val="00070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AD2"/>
    <w:rPr>
      <w:rFonts w:ascii="Segoe UI" w:hAnsi="Segoe UI" w:cs="Segoe UI"/>
      <w:sz w:val="18"/>
      <w:szCs w:val="18"/>
    </w:rPr>
  </w:style>
  <w:style w:type="paragraph" w:styleId="Revision">
    <w:name w:val="Revision"/>
    <w:hidden/>
    <w:uiPriority w:val="99"/>
    <w:semiHidden/>
    <w:rsid w:val="00AC49A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FC4517C0FBCD44A1B5C3159F7733F9" ma:contentTypeVersion="" ma:contentTypeDescription="Create a new document." ma:contentTypeScope="" ma:versionID="bf217317800f6b93ba1592e4b62e058a">
  <xsd:schema xmlns:xsd="http://www.w3.org/2001/XMLSchema" xmlns:xs="http://www.w3.org/2001/XMLSchema" xmlns:p="http://schemas.microsoft.com/office/2006/metadata/properties" xmlns:ns2="c3386e28-563d-44a5-9f12-c097f3198ff0" targetNamespace="http://schemas.microsoft.com/office/2006/metadata/properties" ma:root="true" ma:fieldsID="564532dfa7bb2f09b691f85e5e1c05ac" ns2:_="">
    <xsd:import namespace="c3386e28-563d-44a5-9f12-c097f3198f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86e28-563d-44a5-9f12-c097f3198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E5CE6-5E1F-4063-9F22-84902E5CD25C}">
  <ds:schemaRefs>
    <ds:schemaRef ds:uri="http://schemas.openxmlformats.org/officeDocument/2006/bibliography"/>
  </ds:schemaRefs>
</ds:datastoreItem>
</file>

<file path=customXml/itemProps2.xml><?xml version="1.0" encoding="utf-8"?>
<ds:datastoreItem xmlns:ds="http://schemas.openxmlformats.org/officeDocument/2006/customXml" ds:itemID="{75B3FA6A-DBE0-4FCF-BD11-7DC7D1942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86e28-563d-44a5-9f12-c097f3198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8B461-522F-434C-BEC1-0532105A0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E0C923-15C4-4E37-9B3E-98425C2B2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WL Survey Report Executive Summary - Professional Learning (CA Dept of Education)</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 Survey Report Executive Summary - Professional Learning (CA Dept of Education)</dc:title>
  <dc:subject>An abbreviated summary of the 2020 world languages needs assessment report.</dc:subject>
  <dc:creator/>
  <cp:keywords/>
  <dc:description/>
  <cp:lastModifiedBy>Christopher Slaven</cp:lastModifiedBy>
  <cp:revision>3</cp:revision>
  <dcterms:created xsi:type="dcterms:W3CDTF">2020-11-06T00:27:00Z</dcterms:created>
  <dcterms:modified xsi:type="dcterms:W3CDTF">2024-06-06T16:32:00Z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0x010100D4FC4517C0FBCD44A1B5C3159F7733F9</vt:lpwstr>
  </property>
</Properties>
</file>