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7112B" w14:textId="28A2A8E3" w:rsidR="00FA13FA" w:rsidRPr="00054732" w:rsidRDefault="00EF2E8E" w:rsidP="00054732">
      <w:pPr>
        <w:pBdr>
          <w:bottom w:val="single" w:sz="4" w:space="1" w:color="auto"/>
        </w:pBdr>
        <w:spacing w:before="93" w:after="8" w:line="266" w:lineRule="auto"/>
        <w:jc w:val="center"/>
        <w:rPr>
          <w:rFonts w:ascii="Arial" w:hAnsi="Arial" w:cs="Arial"/>
          <w:sz w:val="48"/>
        </w:rPr>
      </w:pPr>
      <w:r w:rsidRPr="00054732">
        <w:rPr>
          <w:rFonts w:ascii="Arial" w:hAnsi="Arial" w:cs="Arial"/>
          <w:w w:val="105"/>
          <w:sz w:val="48"/>
        </w:rPr>
        <w:t>2020</w:t>
      </w:r>
      <w:r w:rsidR="00054732" w:rsidRPr="00054732">
        <w:rPr>
          <w:rFonts w:ascii="Arial" w:hAnsi="Arial" w:cs="Arial"/>
          <w:w w:val="105"/>
          <w:sz w:val="48"/>
        </w:rPr>
        <w:t>–</w:t>
      </w:r>
      <w:r w:rsidRPr="00054732">
        <w:rPr>
          <w:rFonts w:ascii="Arial" w:hAnsi="Arial" w:cs="Arial"/>
          <w:w w:val="105"/>
          <w:sz w:val="48"/>
        </w:rPr>
        <w:t>21 Postsecondary Perkins V Local Application</w:t>
      </w:r>
    </w:p>
    <w:p w14:paraId="28CA70BF" w14:textId="4C4D9172" w:rsidR="00FA13FA" w:rsidRPr="00054732" w:rsidRDefault="00FA13FA">
      <w:pPr>
        <w:pStyle w:val="BodyText"/>
        <w:spacing w:before="0" w:line="20" w:lineRule="exact"/>
        <w:ind w:left="101" w:firstLine="0"/>
        <w:rPr>
          <w:rFonts w:ascii="Arial" w:hAnsi="Arial" w:cs="Arial"/>
          <w:sz w:val="2"/>
        </w:rPr>
      </w:pPr>
    </w:p>
    <w:p w14:paraId="795405DB" w14:textId="77777777" w:rsidR="00FA13FA" w:rsidRPr="00054732" w:rsidRDefault="00FA13FA">
      <w:pPr>
        <w:pStyle w:val="BodyText"/>
        <w:spacing w:before="10"/>
        <w:ind w:left="0" w:firstLine="0"/>
        <w:rPr>
          <w:rFonts w:ascii="Arial" w:hAnsi="Arial" w:cs="Arial"/>
          <w:sz w:val="11"/>
        </w:rPr>
      </w:pPr>
    </w:p>
    <w:p w14:paraId="4DCB812B" w14:textId="731FC756" w:rsidR="00FA13FA" w:rsidRPr="00054732" w:rsidRDefault="00EF2E8E" w:rsidP="00054732">
      <w:pPr>
        <w:pStyle w:val="BodyText"/>
        <w:spacing w:before="104"/>
        <w:ind w:left="0" w:right="10" w:firstLine="0"/>
        <w:rPr>
          <w:rFonts w:ascii="Arial" w:hAnsi="Arial" w:cs="Arial"/>
        </w:rPr>
      </w:pPr>
      <w:r w:rsidRPr="00054732">
        <w:rPr>
          <w:rFonts w:ascii="Arial" w:hAnsi="Arial" w:cs="Arial"/>
          <w:w w:val="105"/>
        </w:rPr>
        <w:t>SEC. 134. [20 U.S.C. 2354] LOCAL APPLICATION FOR CAREER AND TECHNICAL EDUCATION</w:t>
      </w:r>
      <w:r w:rsidR="00054732">
        <w:rPr>
          <w:rFonts w:ascii="Arial" w:hAnsi="Arial" w:cs="Arial"/>
          <w:w w:val="105"/>
        </w:rPr>
        <w:t xml:space="preserve"> </w:t>
      </w:r>
      <w:r w:rsidRPr="00054732">
        <w:rPr>
          <w:rFonts w:ascii="Arial" w:hAnsi="Arial" w:cs="Arial"/>
          <w:w w:val="105"/>
        </w:rPr>
        <w:t xml:space="preserve">PROGRAMS. Any eligible recipient desiring financial assistance under </w:t>
      </w:r>
      <w:r w:rsidR="00054732">
        <w:rPr>
          <w:rFonts w:ascii="Arial" w:hAnsi="Arial" w:cs="Arial"/>
          <w:w w:val="105"/>
        </w:rPr>
        <w:t>the Strengthening Career and Technical Education for the 21</w:t>
      </w:r>
      <w:r w:rsidR="00054732" w:rsidRPr="00054732">
        <w:rPr>
          <w:rFonts w:ascii="Arial" w:hAnsi="Arial" w:cs="Arial"/>
          <w:w w:val="105"/>
          <w:vertAlign w:val="superscript"/>
        </w:rPr>
        <w:t>st</w:t>
      </w:r>
      <w:r w:rsidR="00054732">
        <w:rPr>
          <w:rFonts w:ascii="Arial" w:hAnsi="Arial" w:cs="Arial"/>
          <w:w w:val="105"/>
        </w:rPr>
        <w:t xml:space="preserve"> Century Act (</w:t>
      </w:r>
      <w:r w:rsidRPr="00054732">
        <w:rPr>
          <w:rFonts w:ascii="Arial" w:hAnsi="Arial" w:cs="Arial"/>
          <w:w w:val="105"/>
        </w:rPr>
        <w:t>Perkins V</w:t>
      </w:r>
      <w:r w:rsidR="00054732">
        <w:rPr>
          <w:rFonts w:ascii="Arial" w:hAnsi="Arial" w:cs="Arial"/>
          <w:w w:val="105"/>
        </w:rPr>
        <w:t>)</w:t>
      </w:r>
      <w:r w:rsidRPr="00054732">
        <w:rPr>
          <w:rFonts w:ascii="Arial" w:hAnsi="Arial" w:cs="Arial"/>
          <w:w w:val="105"/>
        </w:rPr>
        <w:t xml:space="preserve"> shall, in accordance</w:t>
      </w:r>
      <w:r w:rsidRPr="00054732">
        <w:rPr>
          <w:rFonts w:ascii="Arial" w:hAnsi="Arial" w:cs="Arial"/>
          <w:spacing w:val="-19"/>
          <w:w w:val="105"/>
        </w:rPr>
        <w:t xml:space="preserve"> </w:t>
      </w:r>
      <w:r w:rsidRPr="00054732">
        <w:rPr>
          <w:rFonts w:ascii="Arial" w:hAnsi="Arial" w:cs="Arial"/>
          <w:w w:val="105"/>
        </w:rPr>
        <w:t>with</w:t>
      </w:r>
      <w:r w:rsidRPr="00054732">
        <w:rPr>
          <w:rFonts w:ascii="Arial" w:hAnsi="Arial" w:cs="Arial"/>
          <w:spacing w:val="-20"/>
          <w:w w:val="105"/>
        </w:rPr>
        <w:t xml:space="preserve"> </w:t>
      </w:r>
      <w:r w:rsidRPr="00054732">
        <w:rPr>
          <w:rFonts w:ascii="Arial" w:hAnsi="Arial" w:cs="Arial"/>
          <w:w w:val="105"/>
        </w:rPr>
        <w:t>requirements</w:t>
      </w:r>
      <w:r w:rsidRPr="00054732">
        <w:rPr>
          <w:rFonts w:ascii="Arial" w:hAnsi="Arial" w:cs="Arial"/>
          <w:spacing w:val="-19"/>
          <w:w w:val="105"/>
        </w:rPr>
        <w:t xml:space="preserve"> </w:t>
      </w:r>
      <w:r w:rsidRPr="00054732">
        <w:rPr>
          <w:rFonts w:ascii="Arial" w:hAnsi="Arial" w:cs="Arial"/>
          <w:w w:val="105"/>
        </w:rPr>
        <w:t>established</w:t>
      </w:r>
      <w:r w:rsidRPr="00054732">
        <w:rPr>
          <w:rFonts w:ascii="Arial" w:hAnsi="Arial" w:cs="Arial"/>
          <w:spacing w:val="-18"/>
          <w:w w:val="105"/>
        </w:rPr>
        <w:t xml:space="preserve"> </w:t>
      </w:r>
      <w:r w:rsidRPr="00054732">
        <w:rPr>
          <w:rFonts w:ascii="Arial" w:hAnsi="Arial" w:cs="Arial"/>
          <w:w w:val="105"/>
        </w:rPr>
        <w:t>by</w:t>
      </w:r>
      <w:r w:rsidRPr="00054732">
        <w:rPr>
          <w:rFonts w:ascii="Arial" w:hAnsi="Arial" w:cs="Arial"/>
          <w:spacing w:val="-18"/>
          <w:w w:val="105"/>
        </w:rPr>
        <w:t xml:space="preserve"> </w:t>
      </w:r>
      <w:r w:rsidRPr="00054732">
        <w:rPr>
          <w:rFonts w:ascii="Arial" w:hAnsi="Arial" w:cs="Arial"/>
          <w:w w:val="105"/>
        </w:rPr>
        <w:t>the</w:t>
      </w:r>
      <w:r w:rsidRPr="00054732">
        <w:rPr>
          <w:rFonts w:ascii="Arial" w:hAnsi="Arial" w:cs="Arial"/>
          <w:spacing w:val="-18"/>
          <w:w w:val="105"/>
        </w:rPr>
        <w:t xml:space="preserve"> </w:t>
      </w:r>
      <w:r w:rsidRPr="00054732">
        <w:rPr>
          <w:rFonts w:ascii="Arial" w:hAnsi="Arial" w:cs="Arial"/>
          <w:w w:val="105"/>
        </w:rPr>
        <w:t>state</w:t>
      </w:r>
      <w:r w:rsidRPr="00054732">
        <w:rPr>
          <w:rFonts w:ascii="Arial" w:hAnsi="Arial" w:cs="Arial"/>
          <w:spacing w:val="-18"/>
          <w:w w:val="105"/>
        </w:rPr>
        <w:t xml:space="preserve"> </w:t>
      </w:r>
      <w:r w:rsidRPr="00054732">
        <w:rPr>
          <w:rFonts w:ascii="Arial" w:hAnsi="Arial" w:cs="Arial"/>
          <w:w w:val="105"/>
        </w:rPr>
        <w:t>agency</w:t>
      </w:r>
      <w:r w:rsidRPr="00054732">
        <w:rPr>
          <w:rFonts w:ascii="Arial" w:hAnsi="Arial" w:cs="Arial"/>
          <w:spacing w:val="-20"/>
          <w:w w:val="105"/>
        </w:rPr>
        <w:t xml:space="preserve"> </w:t>
      </w:r>
      <w:r w:rsidRPr="00054732">
        <w:rPr>
          <w:rFonts w:ascii="Arial" w:hAnsi="Arial" w:cs="Arial"/>
          <w:w w:val="105"/>
        </w:rPr>
        <w:t>submit</w:t>
      </w:r>
      <w:r w:rsidRPr="00054732">
        <w:rPr>
          <w:rFonts w:ascii="Arial" w:hAnsi="Arial" w:cs="Arial"/>
          <w:spacing w:val="-19"/>
          <w:w w:val="105"/>
        </w:rPr>
        <w:t xml:space="preserve"> </w:t>
      </w:r>
      <w:r w:rsidRPr="00054732">
        <w:rPr>
          <w:rFonts w:ascii="Arial" w:hAnsi="Arial" w:cs="Arial"/>
          <w:w w:val="105"/>
        </w:rPr>
        <w:t>a</w:t>
      </w:r>
      <w:r w:rsidRPr="00054732">
        <w:rPr>
          <w:rFonts w:ascii="Arial" w:hAnsi="Arial" w:cs="Arial"/>
          <w:spacing w:val="-19"/>
          <w:w w:val="105"/>
        </w:rPr>
        <w:t xml:space="preserve"> </w:t>
      </w:r>
      <w:r w:rsidRPr="00054732">
        <w:rPr>
          <w:rFonts w:ascii="Arial" w:hAnsi="Arial" w:cs="Arial"/>
          <w:w w:val="105"/>
        </w:rPr>
        <w:t>local</w:t>
      </w:r>
      <w:r w:rsidRPr="00054732">
        <w:rPr>
          <w:rFonts w:ascii="Arial" w:hAnsi="Arial" w:cs="Arial"/>
          <w:spacing w:val="-19"/>
          <w:w w:val="105"/>
        </w:rPr>
        <w:t xml:space="preserve"> </w:t>
      </w:r>
      <w:r w:rsidRPr="00054732">
        <w:rPr>
          <w:rFonts w:ascii="Arial" w:hAnsi="Arial" w:cs="Arial"/>
          <w:w w:val="105"/>
        </w:rPr>
        <w:t>application. Describe how your district, as recipient of funding, will address each of the following elements.</w:t>
      </w:r>
      <w:r w:rsidRPr="00054732">
        <w:rPr>
          <w:rFonts w:ascii="Arial" w:hAnsi="Arial" w:cs="Arial"/>
          <w:spacing w:val="-15"/>
          <w:w w:val="105"/>
        </w:rPr>
        <w:t xml:space="preserve"> </w:t>
      </w:r>
      <w:r w:rsidRPr="00054732">
        <w:rPr>
          <w:rFonts w:ascii="Arial" w:hAnsi="Arial" w:cs="Arial"/>
          <w:w w:val="105"/>
        </w:rPr>
        <w:t>(You</w:t>
      </w:r>
      <w:r w:rsidRPr="00054732">
        <w:rPr>
          <w:rFonts w:ascii="Arial" w:hAnsi="Arial" w:cs="Arial"/>
          <w:spacing w:val="-16"/>
          <w:w w:val="105"/>
        </w:rPr>
        <w:t xml:space="preserve"> </w:t>
      </w:r>
      <w:r w:rsidRPr="00054732">
        <w:rPr>
          <w:rFonts w:ascii="Arial" w:hAnsi="Arial" w:cs="Arial"/>
          <w:w w:val="105"/>
        </w:rPr>
        <w:t>may</w:t>
      </w:r>
      <w:r w:rsidRPr="00054732">
        <w:rPr>
          <w:rFonts w:ascii="Arial" w:hAnsi="Arial" w:cs="Arial"/>
          <w:spacing w:val="-14"/>
          <w:w w:val="105"/>
        </w:rPr>
        <w:t xml:space="preserve"> </w:t>
      </w:r>
      <w:r w:rsidRPr="00054732">
        <w:rPr>
          <w:rFonts w:ascii="Arial" w:hAnsi="Arial" w:cs="Arial"/>
          <w:w w:val="105"/>
        </w:rPr>
        <w:t>include</w:t>
      </w:r>
      <w:r w:rsidRPr="00054732">
        <w:rPr>
          <w:rFonts w:ascii="Arial" w:hAnsi="Arial" w:cs="Arial"/>
          <w:spacing w:val="-13"/>
          <w:w w:val="105"/>
        </w:rPr>
        <w:t xml:space="preserve"> </w:t>
      </w:r>
      <w:r w:rsidRPr="00054732">
        <w:rPr>
          <w:rFonts w:ascii="Arial" w:hAnsi="Arial" w:cs="Arial"/>
          <w:w w:val="105"/>
        </w:rPr>
        <w:t>your</w:t>
      </w:r>
      <w:r w:rsidRPr="00054732">
        <w:rPr>
          <w:rFonts w:ascii="Arial" w:hAnsi="Arial" w:cs="Arial"/>
          <w:spacing w:val="-14"/>
          <w:w w:val="105"/>
        </w:rPr>
        <w:t xml:space="preserve"> </w:t>
      </w:r>
      <w:r w:rsidRPr="00054732">
        <w:rPr>
          <w:rFonts w:ascii="Arial" w:hAnsi="Arial" w:cs="Arial"/>
          <w:w w:val="105"/>
        </w:rPr>
        <w:t>responses</w:t>
      </w:r>
      <w:r w:rsidRPr="00054732">
        <w:rPr>
          <w:rFonts w:ascii="Arial" w:hAnsi="Arial" w:cs="Arial"/>
          <w:spacing w:val="-15"/>
          <w:w w:val="105"/>
        </w:rPr>
        <w:t xml:space="preserve"> </w:t>
      </w:r>
      <w:r w:rsidRPr="00054732">
        <w:rPr>
          <w:rFonts w:ascii="Arial" w:hAnsi="Arial" w:cs="Arial"/>
          <w:w w:val="105"/>
        </w:rPr>
        <w:t>for</w:t>
      </w:r>
      <w:r w:rsidRPr="00054732">
        <w:rPr>
          <w:rFonts w:ascii="Arial" w:hAnsi="Arial" w:cs="Arial"/>
          <w:spacing w:val="-16"/>
          <w:w w:val="105"/>
        </w:rPr>
        <w:t xml:space="preserve"> </w:t>
      </w:r>
      <w:r w:rsidRPr="00054732">
        <w:rPr>
          <w:rFonts w:ascii="Arial" w:hAnsi="Arial" w:cs="Arial"/>
          <w:w w:val="105"/>
        </w:rPr>
        <w:t>each</w:t>
      </w:r>
      <w:r w:rsidRPr="00054732">
        <w:rPr>
          <w:rFonts w:ascii="Arial" w:hAnsi="Arial" w:cs="Arial"/>
          <w:spacing w:val="-15"/>
          <w:w w:val="105"/>
        </w:rPr>
        <w:t xml:space="preserve"> </w:t>
      </w:r>
      <w:r w:rsidRPr="00054732">
        <w:rPr>
          <w:rFonts w:ascii="Arial" w:hAnsi="Arial" w:cs="Arial"/>
          <w:w w:val="105"/>
        </w:rPr>
        <w:t>college</w:t>
      </w:r>
      <w:r w:rsidRPr="00054732">
        <w:rPr>
          <w:rFonts w:ascii="Arial" w:hAnsi="Arial" w:cs="Arial"/>
          <w:spacing w:val="-14"/>
          <w:w w:val="105"/>
        </w:rPr>
        <w:t xml:space="preserve"> </w:t>
      </w:r>
      <w:r w:rsidRPr="00054732">
        <w:rPr>
          <w:rFonts w:ascii="Arial" w:hAnsi="Arial" w:cs="Arial"/>
          <w:w w:val="105"/>
        </w:rPr>
        <w:t>within</w:t>
      </w:r>
      <w:r w:rsidRPr="00054732">
        <w:rPr>
          <w:rFonts w:ascii="Arial" w:hAnsi="Arial" w:cs="Arial"/>
          <w:spacing w:val="-16"/>
          <w:w w:val="105"/>
        </w:rPr>
        <w:t xml:space="preserve"> </w:t>
      </w:r>
      <w:r w:rsidRPr="00054732">
        <w:rPr>
          <w:rFonts w:ascii="Arial" w:hAnsi="Arial" w:cs="Arial"/>
          <w:w w:val="105"/>
        </w:rPr>
        <w:t>your</w:t>
      </w:r>
      <w:r w:rsidRPr="00054732">
        <w:rPr>
          <w:rFonts w:ascii="Arial" w:hAnsi="Arial" w:cs="Arial"/>
          <w:spacing w:val="-13"/>
          <w:w w:val="105"/>
        </w:rPr>
        <w:t xml:space="preserve"> </w:t>
      </w:r>
      <w:r w:rsidRPr="00054732">
        <w:rPr>
          <w:rFonts w:ascii="Arial" w:hAnsi="Arial" w:cs="Arial"/>
          <w:w w:val="105"/>
        </w:rPr>
        <w:t>district).</w:t>
      </w:r>
    </w:p>
    <w:p w14:paraId="132739C6" w14:textId="7BD1DF2E"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the information on the </w:t>
      </w:r>
      <w:r w:rsidR="00054732" w:rsidRPr="00EF2E8E">
        <w:rPr>
          <w:rFonts w:ascii="Arial" w:hAnsi="Arial" w:cs="Arial"/>
          <w:sz w:val="24"/>
          <w:szCs w:val="24"/>
        </w:rPr>
        <w:t>career technical education (</w:t>
      </w:r>
      <w:r w:rsidRPr="00EF2E8E">
        <w:rPr>
          <w:rFonts w:ascii="Arial" w:hAnsi="Arial" w:cs="Arial"/>
          <w:sz w:val="24"/>
          <w:szCs w:val="24"/>
        </w:rPr>
        <w:t>CTE</w:t>
      </w:r>
      <w:r w:rsidR="00054732" w:rsidRPr="00EF2E8E">
        <w:rPr>
          <w:rFonts w:ascii="Arial" w:hAnsi="Arial" w:cs="Arial"/>
          <w:sz w:val="24"/>
          <w:szCs w:val="24"/>
        </w:rPr>
        <w:t>)</w:t>
      </w:r>
      <w:r w:rsidRPr="00EF2E8E">
        <w:rPr>
          <w:rFonts w:ascii="Arial" w:hAnsi="Arial" w:cs="Arial"/>
          <w:sz w:val="24"/>
          <w:szCs w:val="24"/>
        </w:rPr>
        <w:t xml:space="preserve"> course offerings and activities that the eligible recipient will provide with funds under this part, which shall include not less than one program of study, including how the results of the comprehensive needs assessment informed the selection of the specific CTE programs and activities selected to be funded.</w:t>
      </w:r>
    </w:p>
    <w:p w14:paraId="62E00AAA"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any new programs of study the eligible recipient will develop and submit to the state for approval.</w:t>
      </w:r>
    </w:p>
    <w:p w14:paraId="4805FC44"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students, including students who are members of special populations, will learn about CTE course offerings and if a course is part of a CTE program of study</w:t>
      </w:r>
    </w:p>
    <w:p w14:paraId="28AB94BF" w14:textId="74E347BA"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in collaboration with local workforce development boards and other local workforce agencies, one-stop delivery systems described in section 121(e)(2) of the Workforce Innovation and Opportunity Act (29 U.S.C. 3151 </w:t>
      </w:r>
      <w:r w:rsidR="00054732" w:rsidRPr="00EF2E8E">
        <w:rPr>
          <w:rFonts w:ascii="Arial" w:hAnsi="Arial" w:cs="Arial"/>
          <w:sz w:val="24"/>
          <w:szCs w:val="24"/>
        </w:rPr>
        <w:t>[</w:t>
      </w:r>
      <w:r w:rsidRPr="00EF2E8E">
        <w:rPr>
          <w:rFonts w:ascii="Arial" w:hAnsi="Arial" w:cs="Arial"/>
          <w:sz w:val="24"/>
          <w:szCs w:val="24"/>
        </w:rPr>
        <w:t>e</w:t>
      </w:r>
      <w:r w:rsidR="00054732" w:rsidRPr="00EF2E8E">
        <w:rPr>
          <w:rFonts w:ascii="Arial" w:hAnsi="Arial" w:cs="Arial"/>
          <w:sz w:val="24"/>
          <w:szCs w:val="24"/>
        </w:rPr>
        <w:t>][</w:t>
      </w:r>
      <w:r w:rsidRPr="00EF2E8E">
        <w:rPr>
          <w:rFonts w:ascii="Arial" w:hAnsi="Arial" w:cs="Arial"/>
          <w:sz w:val="24"/>
          <w:szCs w:val="24"/>
        </w:rPr>
        <w:t>2</w:t>
      </w:r>
      <w:r w:rsidR="00054732" w:rsidRPr="00EF2E8E">
        <w:rPr>
          <w:rFonts w:ascii="Arial" w:hAnsi="Arial" w:cs="Arial"/>
          <w:sz w:val="24"/>
          <w:szCs w:val="24"/>
        </w:rPr>
        <w:t>]</w:t>
      </w:r>
      <w:r w:rsidRPr="00EF2E8E">
        <w:rPr>
          <w:rFonts w:ascii="Arial" w:hAnsi="Arial" w:cs="Arial"/>
          <w:sz w:val="24"/>
          <w:szCs w:val="24"/>
        </w:rPr>
        <w:t>), and other partners, will provide career exploration and career development coursework, activities, or services.</w:t>
      </w:r>
    </w:p>
    <w:p w14:paraId="59762745" w14:textId="526BECF0"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in collaboration with local workforce development boards and other local workforce agencies, one-stop delivery systems described in section 121(e)(2) of the Workforce Innovation and Opportunity Act (29 U.S.C. 3151 </w:t>
      </w:r>
      <w:r w:rsidR="00054732" w:rsidRPr="00EF2E8E">
        <w:rPr>
          <w:rFonts w:ascii="Arial" w:hAnsi="Arial" w:cs="Arial"/>
          <w:sz w:val="24"/>
          <w:szCs w:val="24"/>
        </w:rPr>
        <w:t>[</w:t>
      </w:r>
      <w:r w:rsidRPr="00EF2E8E">
        <w:rPr>
          <w:rFonts w:ascii="Arial" w:hAnsi="Arial" w:cs="Arial"/>
          <w:sz w:val="24"/>
          <w:szCs w:val="24"/>
        </w:rPr>
        <w:t>e</w:t>
      </w:r>
      <w:r w:rsidR="00054732" w:rsidRPr="00EF2E8E">
        <w:rPr>
          <w:rFonts w:ascii="Arial" w:hAnsi="Arial" w:cs="Arial"/>
          <w:sz w:val="24"/>
          <w:szCs w:val="24"/>
        </w:rPr>
        <w:t>][</w:t>
      </w:r>
      <w:r w:rsidRPr="00EF2E8E">
        <w:rPr>
          <w:rFonts w:ascii="Arial" w:hAnsi="Arial" w:cs="Arial"/>
          <w:sz w:val="24"/>
          <w:szCs w:val="24"/>
        </w:rPr>
        <w:t>2</w:t>
      </w:r>
      <w:r w:rsidR="00054732" w:rsidRPr="00EF2E8E">
        <w:rPr>
          <w:rFonts w:ascii="Arial" w:hAnsi="Arial" w:cs="Arial"/>
          <w:sz w:val="24"/>
          <w:szCs w:val="24"/>
        </w:rPr>
        <w:t>]</w:t>
      </w:r>
      <w:r w:rsidRPr="00EF2E8E">
        <w:rPr>
          <w:rFonts w:ascii="Arial" w:hAnsi="Arial" w:cs="Arial"/>
          <w:sz w:val="24"/>
          <w:szCs w:val="24"/>
        </w:rPr>
        <w:t>), and other partners, will provide career information on employment opportunities that incorporate the most up-to-date information on high-skill, high-wage, or in-demand industry sectors or occupations, as determined by the comprehensive needs assessment.</w:t>
      </w:r>
    </w:p>
    <w:p w14:paraId="688AEA60" w14:textId="6F6994D1"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in collaboration with local workforce development boards and other local workforce agencies, one-stop delivery systems described in section 121(e)(2) of the Workforce Innovation and Opportunity Act (29 U.S.C. 3151 </w:t>
      </w:r>
      <w:r w:rsidR="00054732" w:rsidRPr="00EF2E8E">
        <w:rPr>
          <w:rFonts w:ascii="Arial" w:hAnsi="Arial" w:cs="Arial"/>
          <w:sz w:val="24"/>
          <w:szCs w:val="24"/>
        </w:rPr>
        <w:t>[</w:t>
      </w:r>
      <w:r w:rsidRPr="00EF2E8E">
        <w:rPr>
          <w:rFonts w:ascii="Arial" w:hAnsi="Arial" w:cs="Arial"/>
          <w:sz w:val="24"/>
          <w:szCs w:val="24"/>
        </w:rPr>
        <w:t>e</w:t>
      </w:r>
      <w:r w:rsidR="00054732" w:rsidRPr="00EF2E8E">
        <w:rPr>
          <w:rFonts w:ascii="Arial" w:hAnsi="Arial" w:cs="Arial"/>
          <w:sz w:val="24"/>
          <w:szCs w:val="24"/>
        </w:rPr>
        <w:t>][</w:t>
      </w:r>
      <w:r w:rsidRPr="00EF2E8E">
        <w:rPr>
          <w:rFonts w:ascii="Arial" w:hAnsi="Arial" w:cs="Arial"/>
          <w:sz w:val="24"/>
          <w:szCs w:val="24"/>
        </w:rPr>
        <w:t>2</w:t>
      </w:r>
      <w:r w:rsidR="00054732" w:rsidRPr="00EF2E8E">
        <w:rPr>
          <w:rFonts w:ascii="Arial" w:hAnsi="Arial" w:cs="Arial"/>
          <w:sz w:val="24"/>
          <w:szCs w:val="24"/>
        </w:rPr>
        <w:t>]</w:t>
      </w:r>
      <w:r w:rsidRPr="00EF2E8E">
        <w:rPr>
          <w:rFonts w:ascii="Arial" w:hAnsi="Arial" w:cs="Arial"/>
          <w:sz w:val="24"/>
          <w:szCs w:val="24"/>
        </w:rPr>
        <w:t>), and other partners, will provide an organized system of career guidance and</w:t>
      </w:r>
      <w:r w:rsidR="00054732" w:rsidRPr="00EF2E8E">
        <w:rPr>
          <w:rFonts w:ascii="Arial" w:hAnsi="Arial" w:cs="Arial"/>
          <w:sz w:val="24"/>
          <w:szCs w:val="24"/>
        </w:rPr>
        <w:t xml:space="preserve"> </w:t>
      </w:r>
      <w:r w:rsidRPr="00EF2E8E">
        <w:rPr>
          <w:rFonts w:ascii="Arial" w:hAnsi="Arial" w:cs="Arial"/>
          <w:sz w:val="24"/>
          <w:szCs w:val="24"/>
        </w:rPr>
        <w:t>academic counseling to students before enrolling and while participating in a CTE program.</w:t>
      </w:r>
    </w:p>
    <w:p w14:paraId="344E4F80"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Provide a description of how the eligible recipient will improve the academic and </w:t>
      </w:r>
      <w:r w:rsidRPr="00EF2E8E">
        <w:rPr>
          <w:rFonts w:ascii="Arial" w:hAnsi="Arial" w:cs="Arial"/>
          <w:sz w:val="24"/>
          <w:szCs w:val="24"/>
        </w:rPr>
        <w:lastRenderedPageBreak/>
        <w:t>technical skills of students participating in CTE programs by strengthening the academic and CTE components of such programs through the integration of coherent and rigorous content aligned with challenging academic standards and relevant CTE programs to ensure learning in the subjects that constitute a well-rounded education (as defined in section 8101 of the Elementary and Secondary Education Act of 1965).</w:t>
      </w:r>
    </w:p>
    <w:p w14:paraId="3B4CA72F"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provide activities to prepare special populations for high-skill, high-wage, or in-demand industry sectors or occupations that will lead to self-sufficiency.</w:t>
      </w:r>
    </w:p>
    <w:p w14:paraId="06B68D12"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eligible recipient will prepare CTE participants for non-traditional fields.</w:t>
      </w:r>
    </w:p>
    <w:p w14:paraId="244E9A99"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eligible recipient will provide equal access for special populations to CTE courses, programs, and programs of study.</w:t>
      </w:r>
    </w:p>
    <w:p w14:paraId="768D95C1"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eligible recipient will ensure that members of special populations will not be discriminated against on the basis of their status as members of special populations.</w:t>
      </w:r>
    </w:p>
    <w:p w14:paraId="30B6F377"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the work-based learning opportunities that the eligible recipient will provide to students participating in CTE programs.</w:t>
      </w:r>
    </w:p>
    <w:p w14:paraId="75A6FADD"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Describe how the recipient will work with representatives from employers to develop or expand work-based learning opportunities for CTE students, as applicable.</w:t>
      </w:r>
    </w:p>
    <w:p w14:paraId="21F2D9F0"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provide students participating in CTE programs with the opportunity to gain postsecondary credit while still attending high school, such as through dual or concurrent enrollment programs or early college high school, as practicable.</w:t>
      </w:r>
    </w:p>
    <w:p w14:paraId="5AA71CF0" w14:textId="1CA57552"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coordinate with the eligible agency and institutions of higher education to support the recruitment, preparation, retention, and training, including professional development, of teachers, faculty, administrators, and specialized instructional support personnel and paraprofessionals who meet applicable State certification and licensure requirements (including any requirements</w:t>
      </w:r>
      <w:r w:rsidR="00054732" w:rsidRPr="00EF2E8E">
        <w:rPr>
          <w:rFonts w:ascii="Arial" w:hAnsi="Arial" w:cs="Arial"/>
          <w:sz w:val="24"/>
          <w:szCs w:val="24"/>
        </w:rPr>
        <w:t xml:space="preserve"> </w:t>
      </w:r>
      <w:r w:rsidRPr="00EF2E8E">
        <w:rPr>
          <w:rFonts w:ascii="Arial" w:hAnsi="Arial" w:cs="Arial"/>
          <w:sz w:val="24"/>
          <w:szCs w:val="24"/>
        </w:rPr>
        <w:t>met through alternative routes to certification), including individuals from groups underrepresented in the teaching profession.</w:t>
      </w:r>
    </w:p>
    <w:p w14:paraId="580E15D4" w14:textId="77777777" w:rsidR="00FA13FA" w:rsidRPr="00EF2E8E" w:rsidRDefault="00EF2E8E" w:rsidP="00EF2E8E">
      <w:pPr>
        <w:pStyle w:val="ListParagraph"/>
        <w:numPr>
          <w:ilvl w:val="0"/>
          <w:numId w:val="2"/>
        </w:numPr>
        <w:ind w:hanging="450"/>
        <w:rPr>
          <w:rFonts w:ascii="Arial" w:hAnsi="Arial" w:cs="Arial"/>
          <w:sz w:val="24"/>
          <w:szCs w:val="24"/>
        </w:rPr>
      </w:pPr>
      <w:r w:rsidRPr="00EF2E8E">
        <w:rPr>
          <w:rFonts w:ascii="Arial" w:hAnsi="Arial" w:cs="Arial"/>
          <w:sz w:val="24"/>
          <w:szCs w:val="24"/>
        </w:rPr>
        <w:t>Provide a description of how the eligible recipient will address disparities or gaps in performance as described in section 113(b)(3)(C)(ii)(II) in each of the plan years.</w:t>
      </w:r>
    </w:p>
    <w:p w14:paraId="2858A8AE" w14:textId="461F5F30" w:rsidR="00FF5181" w:rsidRPr="00FF5181" w:rsidRDefault="00EF2E8E" w:rsidP="00FF5181">
      <w:pPr>
        <w:pStyle w:val="ListParagraph"/>
        <w:numPr>
          <w:ilvl w:val="0"/>
          <w:numId w:val="2"/>
        </w:numPr>
        <w:ind w:hanging="450"/>
        <w:rPr>
          <w:rFonts w:ascii="Arial" w:hAnsi="Arial" w:cs="Arial"/>
          <w:sz w:val="24"/>
          <w:szCs w:val="24"/>
        </w:rPr>
      </w:pPr>
      <w:r w:rsidRPr="00EF2E8E">
        <w:rPr>
          <w:rFonts w:ascii="Arial" w:hAnsi="Arial" w:cs="Arial"/>
          <w:sz w:val="24"/>
          <w:szCs w:val="24"/>
        </w:rPr>
        <w:t xml:space="preserve">Describe the additional actions the eligible recipient will take to eliminate disparities or gaps if no meaningful progress has been achieved prior to the third </w:t>
      </w:r>
      <w:r w:rsidRPr="00FF5181">
        <w:rPr>
          <w:rFonts w:ascii="Arial" w:hAnsi="Arial" w:cs="Arial"/>
          <w:sz w:val="24"/>
          <w:szCs w:val="24"/>
        </w:rPr>
        <w:t>program year.</w:t>
      </w:r>
      <w:bookmarkStart w:id="0" w:name="_GoBack"/>
      <w:bookmarkEnd w:id="0"/>
    </w:p>
    <w:p w14:paraId="23354900" w14:textId="5C579E16" w:rsidR="00FF5181" w:rsidRPr="00FF5181" w:rsidRDefault="00FF5181" w:rsidP="00FF5181">
      <w:pPr>
        <w:spacing w:after="240" w:line="276" w:lineRule="auto"/>
        <w:rPr>
          <w:rFonts w:ascii="Arial" w:eastAsiaTheme="minorHAnsi" w:hAnsi="Arial" w:cs="Arial"/>
          <w:b/>
          <w:sz w:val="24"/>
          <w:szCs w:val="24"/>
          <w:lang w:bidi="ar-SA"/>
        </w:rPr>
      </w:pPr>
      <w:r w:rsidRPr="00FF5181">
        <w:rPr>
          <w:rFonts w:ascii="Arial" w:eastAsia="Times New Roman" w:hAnsi="Arial" w:cs="Arial"/>
          <w:sz w:val="24"/>
          <w:szCs w:val="24"/>
        </w:rPr>
        <w:t>California Department of Education, Posted May 2020</w:t>
      </w:r>
    </w:p>
    <w:sectPr w:rsidR="00FF5181" w:rsidRPr="00FF5181" w:rsidSect="00664D31">
      <w:headerReference w:type="default" r:id="rId7"/>
      <w:footerReference w:type="default" r:id="rId8"/>
      <w:headerReference w:type="first" r:id="rId9"/>
      <w:pgSz w:w="12240" w:h="15840"/>
      <w:pgMar w:top="1000" w:right="1300" w:bottom="1140" w:left="1300" w:header="720" w:footer="94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904F3" w14:textId="77777777" w:rsidR="00911204" w:rsidRDefault="00911204">
      <w:r>
        <w:separator/>
      </w:r>
    </w:p>
  </w:endnote>
  <w:endnote w:type="continuationSeparator" w:id="0">
    <w:p w14:paraId="2F9B17E8" w14:textId="77777777" w:rsidR="00911204" w:rsidRDefault="0091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4D72D" w14:textId="42938729" w:rsidR="00054732" w:rsidRDefault="00054732" w:rsidP="00054732">
    <w:pPr>
      <w:pStyle w:val="Footer"/>
      <w:pBdr>
        <w:top w:val="single" w:sz="4" w:space="1" w:color="auto"/>
      </w:pBdr>
      <w:tabs>
        <w:tab w:val="clear" w:pos="4680"/>
        <w:tab w:val="clear" w:pos="9360"/>
        <w:tab w:val="left" w:pos="9450"/>
      </w:tabs>
      <w:ind w:right="10"/>
    </w:pPr>
    <w:r w:rsidRPr="00054732">
      <w:rPr>
        <w:rFonts w:ascii="Arial" w:hAnsi="Arial" w:cs="Arial"/>
        <w:sz w:val="24"/>
        <w:szCs w:val="24"/>
      </w:rPr>
      <w:t>2020-2021 Perkins V Local Application March 3, 2020</w:t>
    </w:r>
    <w:r>
      <w:tab/>
    </w:r>
    <w:r w:rsidRPr="00054732">
      <w:rPr>
        <w:rFonts w:ascii="Arial" w:hAnsi="Arial" w:cs="Arial"/>
        <w:sz w:val="24"/>
        <w:szCs w:val="24"/>
      </w:rPr>
      <w:fldChar w:fldCharType="begin"/>
    </w:r>
    <w:r w:rsidRPr="00054732">
      <w:rPr>
        <w:rFonts w:ascii="Arial" w:hAnsi="Arial" w:cs="Arial"/>
        <w:sz w:val="24"/>
        <w:szCs w:val="24"/>
      </w:rPr>
      <w:instrText xml:space="preserve"> PAGE   \* MERGEFORMAT </w:instrText>
    </w:r>
    <w:r w:rsidRPr="00054732">
      <w:rPr>
        <w:rFonts w:ascii="Arial" w:hAnsi="Arial" w:cs="Arial"/>
        <w:sz w:val="24"/>
        <w:szCs w:val="24"/>
      </w:rPr>
      <w:fldChar w:fldCharType="separate"/>
    </w:r>
    <w:r w:rsidR="00FF5181">
      <w:rPr>
        <w:rFonts w:ascii="Arial" w:hAnsi="Arial" w:cs="Arial"/>
        <w:noProof/>
        <w:sz w:val="24"/>
        <w:szCs w:val="24"/>
      </w:rPr>
      <w:t>2</w:t>
    </w:r>
    <w:r w:rsidRPr="00054732">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5760C" w14:textId="77777777" w:rsidR="00911204" w:rsidRDefault="00911204">
      <w:r>
        <w:separator/>
      </w:r>
    </w:p>
  </w:footnote>
  <w:footnote w:type="continuationSeparator" w:id="0">
    <w:p w14:paraId="68FEAC86" w14:textId="77777777" w:rsidR="00911204" w:rsidRDefault="00911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214C3"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cwpjac-may20item02</w:t>
    </w:r>
  </w:p>
  <w:p w14:paraId="22233484" w14:textId="40C15DEF"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Attachment 4</w:t>
    </w:r>
  </w:p>
  <w:p w14:paraId="3BA25DDB" w14:textId="77777777" w:rsidR="00664D31" w:rsidRPr="00664D31" w:rsidRDefault="00664D31" w:rsidP="00664D31">
    <w:pPr>
      <w:widowControl/>
      <w:tabs>
        <w:tab w:val="center" w:pos="4680"/>
        <w:tab w:val="right" w:pos="9360"/>
      </w:tabs>
      <w:autoSpaceDE/>
      <w:spacing w:after="120"/>
      <w:jc w:val="right"/>
      <w:rPr>
        <w:rFonts w:ascii="Arial" w:eastAsia="Times New Roman" w:hAnsi="Arial" w:cs="Arial"/>
        <w:sz w:val="24"/>
        <w:szCs w:val="24"/>
        <w:lang w:bidi="ar-SA"/>
      </w:rPr>
    </w:pPr>
    <w:r w:rsidRPr="00664D31">
      <w:rPr>
        <w:rFonts w:ascii="Arial" w:eastAsia="Times New Roman" w:hAnsi="Arial" w:cs="Arial"/>
        <w:sz w:val="24"/>
        <w:szCs w:val="24"/>
        <w:lang w:bidi="ar-SA"/>
      </w:rPr>
      <w:t xml:space="preserve">Page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PAGE  \* Arabic  \* MERGEFORMAT </w:instrText>
    </w:r>
    <w:r w:rsidRPr="00664D31">
      <w:rPr>
        <w:rFonts w:ascii="Arial" w:eastAsia="Times New Roman" w:hAnsi="Arial" w:cs="Arial"/>
        <w:bCs/>
        <w:sz w:val="24"/>
        <w:szCs w:val="24"/>
        <w:lang w:bidi="ar-SA"/>
      </w:rPr>
      <w:fldChar w:fldCharType="separate"/>
    </w:r>
    <w:r w:rsidR="00FF5181" w:rsidRPr="00FF5181">
      <w:rPr>
        <w:rFonts w:ascii="Arial" w:hAnsi="Arial" w:cs="Arial"/>
        <w:bCs/>
        <w:noProof/>
        <w:sz w:val="24"/>
        <w:szCs w:val="24"/>
      </w:rPr>
      <w:t>2</w:t>
    </w:r>
    <w:r w:rsidRPr="00664D31">
      <w:rPr>
        <w:rFonts w:ascii="Arial" w:eastAsia="Times New Roman" w:hAnsi="Arial" w:cs="Arial"/>
        <w:bCs/>
        <w:sz w:val="24"/>
        <w:szCs w:val="24"/>
        <w:lang w:bidi="ar-SA"/>
      </w:rPr>
      <w:fldChar w:fldCharType="end"/>
    </w:r>
    <w:r w:rsidRPr="00664D31">
      <w:rPr>
        <w:rFonts w:ascii="Arial" w:eastAsia="Times New Roman" w:hAnsi="Arial" w:cs="Arial"/>
        <w:sz w:val="24"/>
        <w:szCs w:val="24"/>
        <w:lang w:bidi="ar-SA"/>
      </w:rPr>
      <w:t xml:space="preserve"> of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NUMPAGES  \* Arabic  \* MERGEFORMAT </w:instrText>
    </w:r>
    <w:r w:rsidRPr="00664D31">
      <w:rPr>
        <w:rFonts w:ascii="Arial" w:eastAsia="Times New Roman" w:hAnsi="Arial" w:cs="Arial"/>
        <w:bCs/>
        <w:sz w:val="24"/>
        <w:szCs w:val="24"/>
        <w:lang w:bidi="ar-SA"/>
      </w:rPr>
      <w:fldChar w:fldCharType="separate"/>
    </w:r>
    <w:r w:rsidR="00FF5181" w:rsidRPr="00FF5181">
      <w:rPr>
        <w:rFonts w:ascii="Arial" w:hAnsi="Arial" w:cs="Arial"/>
        <w:bCs/>
        <w:noProof/>
        <w:sz w:val="24"/>
        <w:szCs w:val="24"/>
      </w:rPr>
      <w:t>2</w:t>
    </w:r>
    <w:r w:rsidRPr="00664D31">
      <w:rPr>
        <w:rFonts w:ascii="Arial" w:eastAsia="Times New Roman" w:hAnsi="Arial" w:cs="Arial"/>
        <w:bCs/>
        <w:sz w:val="24"/>
        <w:szCs w:val="24"/>
        <w:lang w:bidi="ar-S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35653"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California Workforce Pathways Joint Advisory Committee</w:t>
    </w:r>
  </w:p>
  <w:p w14:paraId="630372C9"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cwpjac-may20item02</w:t>
    </w:r>
  </w:p>
  <w:p w14:paraId="1657718C" w14:textId="77777777" w:rsidR="00664D31" w:rsidRDefault="00664D31" w:rsidP="00664D31">
    <w:pPr>
      <w:widowControl/>
      <w:tabs>
        <w:tab w:val="center" w:pos="4680"/>
        <w:tab w:val="right" w:pos="9360"/>
      </w:tabs>
      <w:autoSpaceDE/>
      <w:jc w:val="right"/>
      <w:rPr>
        <w:rFonts w:ascii="Arial" w:eastAsia="Times New Roman" w:hAnsi="Arial" w:cs="Arial"/>
        <w:sz w:val="24"/>
        <w:lang w:bidi="ar-SA"/>
      </w:rPr>
    </w:pPr>
    <w:r>
      <w:rPr>
        <w:rFonts w:ascii="Arial" w:eastAsia="Times New Roman" w:hAnsi="Arial" w:cs="Arial"/>
        <w:sz w:val="24"/>
        <w:lang w:bidi="ar-SA"/>
      </w:rPr>
      <w:t>Attachment 4</w:t>
    </w:r>
  </w:p>
  <w:p w14:paraId="33ABCA3F" w14:textId="77777777" w:rsidR="00664D31" w:rsidRPr="00664D31" w:rsidRDefault="00664D31" w:rsidP="00664D31">
    <w:pPr>
      <w:widowControl/>
      <w:tabs>
        <w:tab w:val="center" w:pos="4680"/>
        <w:tab w:val="right" w:pos="9360"/>
      </w:tabs>
      <w:autoSpaceDE/>
      <w:spacing w:after="120"/>
      <w:jc w:val="right"/>
      <w:rPr>
        <w:rFonts w:ascii="Arial" w:eastAsia="Times New Roman" w:hAnsi="Arial" w:cs="Arial"/>
        <w:sz w:val="24"/>
        <w:szCs w:val="24"/>
        <w:lang w:bidi="ar-SA"/>
      </w:rPr>
    </w:pPr>
    <w:r w:rsidRPr="00664D31">
      <w:rPr>
        <w:rFonts w:ascii="Arial" w:eastAsia="Times New Roman" w:hAnsi="Arial" w:cs="Arial"/>
        <w:sz w:val="24"/>
        <w:szCs w:val="24"/>
        <w:lang w:bidi="ar-SA"/>
      </w:rPr>
      <w:t xml:space="preserve">Page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PAGE  \* Arabic  \* MERGEFORMAT </w:instrText>
    </w:r>
    <w:r w:rsidRPr="00664D31">
      <w:rPr>
        <w:rFonts w:ascii="Arial" w:eastAsia="Times New Roman" w:hAnsi="Arial" w:cs="Arial"/>
        <w:bCs/>
        <w:sz w:val="24"/>
        <w:szCs w:val="24"/>
        <w:lang w:bidi="ar-SA"/>
      </w:rPr>
      <w:fldChar w:fldCharType="separate"/>
    </w:r>
    <w:r w:rsidR="00FF5181">
      <w:rPr>
        <w:rFonts w:ascii="Arial" w:eastAsia="Times New Roman" w:hAnsi="Arial" w:cs="Arial"/>
        <w:bCs/>
        <w:noProof/>
        <w:sz w:val="24"/>
        <w:szCs w:val="24"/>
        <w:lang w:bidi="ar-SA"/>
      </w:rPr>
      <w:t>1</w:t>
    </w:r>
    <w:r w:rsidRPr="00664D31">
      <w:rPr>
        <w:rFonts w:ascii="Arial" w:eastAsia="Times New Roman" w:hAnsi="Arial" w:cs="Arial"/>
        <w:bCs/>
        <w:sz w:val="24"/>
        <w:szCs w:val="24"/>
        <w:lang w:bidi="ar-SA"/>
      </w:rPr>
      <w:fldChar w:fldCharType="end"/>
    </w:r>
    <w:r w:rsidRPr="00664D31">
      <w:rPr>
        <w:rFonts w:ascii="Arial" w:eastAsia="Times New Roman" w:hAnsi="Arial" w:cs="Arial"/>
        <w:sz w:val="24"/>
        <w:szCs w:val="24"/>
        <w:lang w:bidi="ar-SA"/>
      </w:rPr>
      <w:t xml:space="preserve"> of </w:t>
    </w:r>
    <w:r w:rsidRPr="00664D31">
      <w:rPr>
        <w:rFonts w:ascii="Arial" w:eastAsia="Times New Roman" w:hAnsi="Arial" w:cs="Arial"/>
        <w:bCs/>
        <w:sz w:val="24"/>
        <w:szCs w:val="24"/>
        <w:lang w:bidi="ar-SA"/>
      </w:rPr>
      <w:fldChar w:fldCharType="begin"/>
    </w:r>
    <w:r w:rsidRPr="00664D31">
      <w:rPr>
        <w:rFonts w:ascii="Arial" w:eastAsia="Times New Roman" w:hAnsi="Arial" w:cs="Arial"/>
        <w:bCs/>
        <w:sz w:val="24"/>
        <w:szCs w:val="24"/>
        <w:lang w:bidi="ar-SA"/>
      </w:rPr>
      <w:instrText xml:space="preserve"> NUMPAGES  \* Arabic  \* MERGEFORMAT </w:instrText>
    </w:r>
    <w:r w:rsidRPr="00664D31">
      <w:rPr>
        <w:rFonts w:ascii="Arial" w:eastAsia="Times New Roman" w:hAnsi="Arial" w:cs="Arial"/>
        <w:bCs/>
        <w:sz w:val="24"/>
        <w:szCs w:val="24"/>
        <w:lang w:bidi="ar-SA"/>
      </w:rPr>
      <w:fldChar w:fldCharType="separate"/>
    </w:r>
    <w:r w:rsidR="00FF5181">
      <w:rPr>
        <w:rFonts w:ascii="Arial" w:eastAsia="Times New Roman" w:hAnsi="Arial" w:cs="Arial"/>
        <w:bCs/>
        <w:noProof/>
        <w:sz w:val="24"/>
        <w:szCs w:val="24"/>
        <w:lang w:bidi="ar-SA"/>
      </w:rPr>
      <w:t>2</w:t>
    </w:r>
    <w:r w:rsidRPr="00664D31">
      <w:rPr>
        <w:rFonts w:ascii="Arial" w:eastAsia="Times New Roman" w:hAnsi="Arial" w:cs="Arial"/>
        <w:bCs/>
        <w:sz w:val="24"/>
        <w:szCs w:val="24"/>
        <w:lang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C5184C"/>
    <w:multiLevelType w:val="hybridMultilevel"/>
    <w:tmpl w:val="3B9653FC"/>
    <w:lvl w:ilvl="0" w:tplc="5336A0E4">
      <w:start w:val="1"/>
      <w:numFmt w:val="decimal"/>
      <w:lvlText w:val="%1."/>
      <w:lvlJc w:val="left"/>
      <w:pPr>
        <w:ind w:left="500" w:hanging="360"/>
        <w:jc w:val="left"/>
      </w:pPr>
      <w:rPr>
        <w:rFonts w:ascii="Arial" w:eastAsia="Arial" w:hAnsi="Arial" w:cs="Arial" w:hint="default"/>
        <w:b w:val="0"/>
        <w:bCs w:val="0"/>
        <w:color w:val="auto"/>
        <w:w w:val="99"/>
        <w:sz w:val="24"/>
        <w:szCs w:val="24"/>
        <w:lang w:val="en-US" w:eastAsia="en-US" w:bidi="en-US"/>
      </w:rPr>
    </w:lvl>
    <w:lvl w:ilvl="1" w:tplc="CE0C5168">
      <w:numFmt w:val="bullet"/>
      <w:lvlText w:val="•"/>
      <w:lvlJc w:val="left"/>
      <w:pPr>
        <w:ind w:left="1414" w:hanging="360"/>
      </w:pPr>
      <w:rPr>
        <w:rFonts w:hint="default"/>
        <w:lang w:val="en-US" w:eastAsia="en-US" w:bidi="en-US"/>
      </w:rPr>
    </w:lvl>
    <w:lvl w:ilvl="2" w:tplc="87322644">
      <w:numFmt w:val="bullet"/>
      <w:lvlText w:val="•"/>
      <w:lvlJc w:val="left"/>
      <w:pPr>
        <w:ind w:left="2328" w:hanging="360"/>
      </w:pPr>
      <w:rPr>
        <w:rFonts w:hint="default"/>
        <w:lang w:val="en-US" w:eastAsia="en-US" w:bidi="en-US"/>
      </w:rPr>
    </w:lvl>
    <w:lvl w:ilvl="3" w:tplc="681A482A">
      <w:numFmt w:val="bullet"/>
      <w:lvlText w:val="•"/>
      <w:lvlJc w:val="left"/>
      <w:pPr>
        <w:ind w:left="3242" w:hanging="360"/>
      </w:pPr>
      <w:rPr>
        <w:rFonts w:hint="default"/>
        <w:lang w:val="en-US" w:eastAsia="en-US" w:bidi="en-US"/>
      </w:rPr>
    </w:lvl>
    <w:lvl w:ilvl="4" w:tplc="F352121A">
      <w:numFmt w:val="bullet"/>
      <w:lvlText w:val="•"/>
      <w:lvlJc w:val="left"/>
      <w:pPr>
        <w:ind w:left="4156" w:hanging="360"/>
      </w:pPr>
      <w:rPr>
        <w:rFonts w:hint="default"/>
        <w:lang w:val="en-US" w:eastAsia="en-US" w:bidi="en-US"/>
      </w:rPr>
    </w:lvl>
    <w:lvl w:ilvl="5" w:tplc="B2D64102">
      <w:numFmt w:val="bullet"/>
      <w:lvlText w:val="•"/>
      <w:lvlJc w:val="left"/>
      <w:pPr>
        <w:ind w:left="5070" w:hanging="360"/>
      </w:pPr>
      <w:rPr>
        <w:rFonts w:hint="default"/>
        <w:lang w:val="en-US" w:eastAsia="en-US" w:bidi="en-US"/>
      </w:rPr>
    </w:lvl>
    <w:lvl w:ilvl="6" w:tplc="65F03686">
      <w:numFmt w:val="bullet"/>
      <w:lvlText w:val="•"/>
      <w:lvlJc w:val="left"/>
      <w:pPr>
        <w:ind w:left="5984" w:hanging="360"/>
      </w:pPr>
      <w:rPr>
        <w:rFonts w:hint="default"/>
        <w:lang w:val="en-US" w:eastAsia="en-US" w:bidi="en-US"/>
      </w:rPr>
    </w:lvl>
    <w:lvl w:ilvl="7" w:tplc="FF7CC174">
      <w:numFmt w:val="bullet"/>
      <w:lvlText w:val="•"/>
      <w:lvlJc w:val="left"/>
      <w:pPr>
        <w:ind w:left="6898" w:hanging="360"/>
      </w:pPr>
      <w:rPr>
        <w:rFonts w:hint="default"/>
        <w:lang w:val="en-US" w:eastAsia="en-US" w:bidi="en-US"/>
      </w:rPr>
    </w:lvl>
    <w:lvl w:ilvl="8" w:tplc="280A8050">
      <w:numFmt w:val="bullet"/>
      <w:lvlText w:val="•"/>
      <w:lvlJc w:val="left"/>
      <w:pPr>
        <w:ind w:left="7812" w:hanging="360"/>
      </w:pPr>
      <w:rPr>
        <w:rFonts w:hint="default"/>
        <w:lang w:val="en-US" w:eastAsia="en-US" w:bidi="en-US"/>
      </w:rPr>
    </w:lvl>
  </w:abstractNum>
  <w:abstractNum w:abstractNumId="1" w15:restartNumberingAfterBreak="0">
    <w:nsid w:val="5FD07177"/>
    <w:multiLevelType w:val="hybridMultilevel"/>
    <w:tmpl w:val="8B107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FA"/>
    <w:rsid w:val="00000B32"/>
    <w:rsid w:val="00054732"/>
    <w:rsid w:val="002D7F9E"/>
    <w:rsid w:val="00493E45"/>
    <w:rsid w:val="00664D31"/>
    <w:rsid w:val="00707960"/>
    <w:rsid w:val="008975BA"/>
    <w:rsid w:val="00911204"/>
    <w:rsid w:val="00EF2E8E"/>
    <w:rsid w:val="00F63A50"/>
    <w:rsid w:val="00FA13FA"/>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18F75"/>
  <w15:docId w15:val="{34F59253-0E31-4096-9F27-A4468934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500" w:hanging="360"/>
    </w:pPr>
    <w:rPr>
      <w:sz w:val="24"/>
      <w:szCs w:val="24"/>
    </w:rPr>
  </w:style>
  <w:style w:type="paragraph" w:styleId="ListParagraph">
    <w:name w:val="List Paragraph"/>
    <w:basedOn w:val="Normal"/>
    <w:uiPriority w:val="1"/>
    <w:qFormat/>
    <w:pPr>
      <w:spacing w:before="161"/>
      <w:ind w:left="500" w:right="25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4732"/>
    <w:pPr>
      <w:tabs>
        <w:tab w:val="center" w:pos="4680"/>
        <w:tab w:val="right" w:pos="9360"/>
      </w:tabs>
    </w:pPr>
  </w:style>
  <w:style w:type="character" w:customStyle="1" w:styleId="HeaderChar">
    <w:name w:val="Header Char"/>
    <w:basedOn w:val="DefaultParagraphFont"/>
    <w:link w:val="Header"/>
    <w:uiPriority w:val="99"/>
    <w:rsid w:val="00054732"/>
    <w:rPr>
      <w:rFonts w:ascii="Calibri" w:eastAsia="Calibri" w:hAnsi="Calibri" w:cs="Calibri"/>
      <w:lang w:bidi="en-US"/>
    </w:rPr>
  </w:style>
  <w:style w:type="paragraph" w:styleId="Footer">
    <w:name w:val="footer"/>
    <w:basedOn w:val="Normal"/>
    <w:link w:val="FooterChar"/>
    <w:uiPriority w:val="99"/>
    <w:unhideWhenUsed/>
    <w:rsid w:val="00054732"/>
    <w:pPr>
      <w:tabs>
        <w:tab w:val="center" w:pos="4680"/>
        <w:tab w:val="right" w:pos="9360"/>
      </w:tabs>
    </w:pPr>
  </w:style>
  <w:style w:type="character" w:customStyle="1" w:styleId="FooterChar">
    <w:name w:val="Footer Char"/>
    <w:basedOn w:val="DefaultParagraphFont"/>
    <w:link w:val="Footer"/>
    <w:uiPriority w:val="99"/>
    <w:rsid w:val="00054732"/>
    <w:rPr>
      <w:rFonts w:ascii="Calibri" w:eastAsia="Calibri" w:hAnsi="Calibri" w:cs="Calibri"/>
      <w:lang w:bidi="en-US"/>
    </w:rPr>
  </w:style>
  <w:style w:type="character" w:customStyle="1" w:styleId="st">
    <w:name w:val="st"/>
    <w:basedOn w:val="DefaultParagraphFont"/>
    <w:rsid w:val="0005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919860">
      <w:bodyDiv w:val="1"/>
      <w:marLeft w:val="0"/>
      <w:marRight w:val="0"/>
      <w:marTop w:val="0"/>
      <w:marBottom w:val="0"/>
      <w:divBdr>
        <w:top w:val="none" w:sz="0" w:space="0" w:color="auto"/>
        <w:left w:val="none" w:sz="0" w:space="0" w:color="auto"/>
        <w:bottom w:val="none" w:sz="0" w:space="0" w:color="auto"/>
        <w:right w:val="none" w:sz="0" w:space="0" w:color="auto"/>
      </w:divBdr>
    </w:div>
    <w:div w:id="1726637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Postsecondary Perkins V Local Application (CA Dept of Education)</vt:lpstr>
    </vt:vector>
  </TitlesOfParts>
  <Company/>
  <LinksUpToDate>false</LinksUpToDate>
  <CharactersWithSpaces>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Perkins V Local Application (CA Dept of Education)</dc:title>
  <dc:subject>Postsecondary Perkins V Local Application.</dc:subject>
  <dc:creator>Lisa Reimers</dc:creator>
  <cp:lastModifiedBy>Andrea Guenthart</cp:lastModifiedBy>
  <cp:revision>4</cp:revision>
  <dcterms:created xsi:type="dcterms:W3CDTF">2020-05-05T19:26:00Z</dcterms:created>
  <dcterms:modified xsi:type="dcterms:W3CDTF">2020-05-06T18:49:00Z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Acrobat PDFMaker 20 for Word</vt:lpwstr>
  </property>
  <property fmtid="{D5CDD505-2E9C-101B-9397-08002B2CF9AE}" pid="4" name="LastSaved">
    <vt:filetime>2020-04-23T00:00:00Z</vt:filetime>
  </property>
</Properties>
</file>