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63185" w14:textId="0CCAEC1C" w:rsidR="006118B7" w:rsidRDefault="006118B7" w:rsidP="006118B7">
      <w:pPr>
        <w:rPr>
          <w:rFonts w:ascii="Arial" w:hAnsi="Arial" w:cs="Arial"/>
        </w:rPr>
      </w:pPr>
      <w:r>
        <w:rPr>
          <w:rFonts w:ascii="Arial" w:hAnsi="Arial" w:cs="Arial"/>
        </w:rPr>
        <w:t>California Department of Education</w:t>
      </w:r>
    </w:p>
    <w:p w14:paraId="6177533E" w14:textId="61A50950" w:rsidR="006118B7" w:rsidRPr="006118B7" w:rsidRDefault="006118B7" w:rsidP="006118B7">
      <w:pPr>
        <w:rPr>
          <w:rFonts w:ascii="Arial" w:hAnsi="Arial" w:cs="Arial"/>
        </w:rPr>
      </w:pPr>
      <w:r>
        <w:rPr>
          <w:rFonts w:ascii="Arial" w:hAnsi="Arial" w:cs="Arial"/>
        </w:rPr>
        <w:t>March 2025</w:t>
      </w:r>
    </w:p>
    <w:p w14:paraId="2C078E63" w14:textId="7B896860" w:rsidR="00EE03B2" w:rsidRPr="009C75A3" w:rsidRDefault="2E04C24C" w:rsidP="009C75A3">
      <w:pPr>
        <w:pStyle w:val="Heading1"/>
        <w:rPr>
          <w:rFonts w:ascii="Arial" w:hAnsi="Arial" w:cs="Arial"/>
          <w:b/>
          <w:bCs/>
          <w:color w:val="auto"/>
        </w:rPr>
      </w:pPr>
      <w:r w:rsidRPr="009C75A3">
        <w:rPr>
          <w:rFonts w:ascii="Arial" w:hAnsi="Arial" w:cs="Arial"/>
          <w:b/>
          <w:bCs/>
          <w:color w:val="auto"/>
        </w:rPr>
        <w:t>UPK Planning &amp; Implementation Grant</w:t>
      </w:r>
    </w:p>
    <w:p w14:paraId="2E4A0625" w14:textId="6CB3754E" w:rsidR="3CF46599" w:rsidRPr="009C75A3" w:rsidRDefault="2E04C24C" w:rsidP="009C75A3">
      <w:pPr>
        <w:pStyle w:val="Heading2"/>
        <w:rPr>
          <w:rFonts w:ascii="Arial" w:hAnsi="Arial" w:cs="Arial"/>
          <w:b/>
          <w:bCs/>
          <w:color w:val="auto"/>
        </w:rPr>
      </w:pPr>
      <w:r w:rsidRPr="009C75A3">
        <w:rPr>
          <w:rFonts w:ascii="Arial" w:hAnsi="Arial" w:cs="Arial"/>
          <w:b/>
          <w:bCs/>
          <w:color w:val="auto"/>
        </w:rPr>
        <w:t>Allowable Expenses</w:t>
      </w:r>
    </w:p>
    <w:p w14:paraId="0321EDA5" w14:textId="675B0C77" w:rsidR="00AB191A" w:rsidRDefault="1FD4773A" w:rsidP="403C597D">
      <w:pPr>
        <w:spacing w:after="240" w:line="257" w:lineRule="auto"/>
        <w:rPr>
          <w:rFonts w:ascii="Arial" w:eastAsia="Arial" w:hAnsi="Arial" w:cs="Arial"/>
          <w:color w:val="000000" w:themeColor="text1"/>
        </w:rPr>
      </w:pPr>
      <w:r w:rsidRPr="403C597D">
        <w:rPr>
          <w:rFonts w:ascii="Arial" w:eastAsia="Arial" w:hAnsi="Arial" w:cs="Arial"/>
          <w:color w:val="000000" w:themeColor="text1"/>
        </w:rPr>
        <w:t xml:space="preserve">Under the provisions of California </w:t>
      </w:r>
      <w:hyperlink r:id="rId7">
        <w:r w:rsidRPr="403C597D">
          <w:rPr>
            <w:rStyle w:val="Hyperlink"/>
            <w:rFonts w:ascii="Arial" w:eastAsia="Arial" w:hAnsi="Arial" w:cs="Arial"/>
            <w:i/>
            <w:iCs/>
          </w:rPr>
          <w:t xml:space="preserve">Education Code </w:t>
        </w:r>
        <w:r w:rsidRPr="403C597D">
          <w:rPr>
            <w:rStyle w:val="Hyperlink"/>
            <w:rFonts w:ascii="Arial" w:eastAsia="Arial" w:hAnsi="Arial" w:cs="Arial"/>
          </w:rPr>
          <w:t>(</w:t>
        </w:r>
        <w:r w:rsidRPr="403C597D">
          <w:rPr>
            <w:rStyle w:val="Hyperlink"/>
            <w:rFonts w:ascii="Arial" w:eastAsia="Arial" w:hAnsi="Arial" w:cs="Arial"/>
            <w:i/>
            <w:iCs/>
          </w:rPr>
          <w:t>EC</w:t>
        </w:r>
        <w:r w:rsidRPr="403C597D">
          <w:rPr>
            <w:rStyle w:val="Hyperlink"/>
            <w:rFonts w:ascii="Arial" w:eastAsia="Arial" w:hAnsi="Arial" w:cs="Arial"/>
          </w:rPr>
          <w:t>) Section 8281.5</w:t>
        </w:r>
      </w:hyperlink>
      <w:r w:rsidRPr="403C597D">
        <w:rPr>
          <w:rFonts w:ascii="Arial" w:eastAsia="Arial" w:hAnsi="Arial" w:cs="Arial"/>
          <w:color w:val="000000" w:themeColor="text1"/>
        </w:rPr>
        <w:t>, Universal PreKindergarten Planning and Implementation (UPK P&amp;I) grant funds may be used for costs associated with creating or expanding California State Preschool Programs (CSPP) or Transitional Kindergarten (TK) programs, or to establish or strengthen partnerships with other providers of prekindergarten education within the local educational agency (LEA), including Head Start programs, to ensure high-quality options for prekindergarten education are available for four-year-old children. Allowable costs include, but are not limited to: classroom operating costs, planning costs, hiring and recruitment costs, staff training and professional development, classroom materials, and supplies.</w:t>
      </w:r>
    </w:p>
    <w:p w14:paraId="3AE5707F" w14:textId="4DDF02F0" w:rsidR="03746A3E" w:rsidRDefault="2E04C24C" w:rsidP="403C597D">
      <w:pPr>
        <w:spacing w:after="240" w:line="278" w:lineRule="auto"/>
        <w:rPr>
          <w:rFonts w:ascii="Arial" w:eastAsia="Arial" w:hAnsi="Arial" w:cs="Arial"/>
        </w:rPr>
      </w:pPr>
      <w:r w:rsidRPr="403C597D">
        <w:rPr>
          <w:rFonts w:ascii="Arial" w:eastAsia="Arial" w:hAnsi="Arial" w:cs="Arial"/>
        </w:rPr>
        <w:t xml:space="preserve">If you are looking for a specific expense that you do not see listed </w:t>
      </w:r>
      <w:r w:rsidR="5CB34285" w:rsidRPr="403C597D">
        <w:rPr>
          <w:rFonts w:ascii="Arial" w:eastAsia="Arial" w:hAnsi="Arial" w:cs="Arial"/>
        </w:rPr>
        <w:t>below</w:t>
      </w:r>
      <w:r w:rsidRPr="403C597D">
        <w:rPr>
          <w:rFonts w:ascii="Arial" w:eastAsia="Arial" w:hAnsi="Arial" w:cs="Arial"/>
        </w:rPr>
        <w:t xml:space="preserve">, please email </w:t>
      </w:r>
      <w:hyperlink r:id="rId8">
        <w:r w:rsidRPr="403C597D">
          <w:rPr>
            <w:rStyle w:val="Hyperlink"/>
            <w:rFonts w:ascii="Arial" w:eastAsia="Arial" w:hAnsi="Arial" w:cs="Arial"/>
          </w:rPr>
          <w:t>UPKPlanningGrant@cde.ca.gov</w:t>
        </w:r>
      </w:hyperlink>
      <w:r w:rsidRPr="403C597D">
        <w:rPr>
          <w:rFonts w:ascii="Arial" w:eastAsia="Arial" w:hAnsi="Arial" w:cs="Arial"/>
        </w:rPr>
        <w:t xml:space="preserve"> and we can research your request.</w:t>
      </w:r>
    </w:p>
    <w:p w14:paraId="069094E8" w14:textId="3DAF2DB7" w:rsidR="051390F5" w:rsidRDefault="3B341567" w:rsidP="403C597D">
      <w:pPr>
        <w:spacing w:after="240" w:line="278" w:lineRule="auto"/>
        <w:rPr>
          <w:rFonts w:ascii="Arial" w:eastAsia="Arial" w:hAnsi="Arial" w:cs="Arial"/>
        </w:rPr>
      </w:pPr>
      <w:r w:rsidRPr="403C597D">
        <w:rPr>
          <w:rFonts w:ascii="Arial" w:eastAsia="Arial" w:hAnsi="Arial" w:cs="Arial"/>
        </w:rPr>
        <w:t xml:space="preserve">Please </w:t>
      </w:r>
      <w:r w:rsidR="29621342" w:rsidRPr="403C597D">
        <w:rPr>
          <w:rFonts w:ascii="Arial" w:eastAsia="Arial" w:hAnsi="Arial" w:cs="Arial"/>
        </w:rPr>
        <w:t xml:space="preserve">also </w:t>
      </w:r>
      <w:r w:rsidRPr="403C597D">
        <w:rPr>
          <w:rFonts w:ascii="Arial" w:eastAsia="Arial" w:hAnsi="Arial" w:cs="Arial"/>
        </w:rPr>
        <w:t xml:space="preserve">see the </w:t>
      </w:r>
      <w:hyperlink r:id="rId9" w:history="1">
        <w:r w:rsidRPr="007039C7">
          <w:rPr>
            <w:rStyle w:val="Hyperlink"/>
            <w:rFonts w:ascii="Arial" w:eastAsia="Arial" w:hAnsi="Arial" w:cs="Arial"/>
          </w:rPr>
          <w:t>California School Accounting Manual</w:t>
        </w:r>
      </w:hyperlink>
      <w:r w:rsidRPr="403C597D">
        <w:rPr>
          <w:rFonts w:ascii="Arial" w:eastAsia="Arial" w:hAnsi="Arial" w:cs="Arial"/>
          <w:color w:val="000000" w:themeColor="text1"/>
        </w:rPr>
        <w:t xml:space="preserve"> (CSAM) for more details.</w:t>
      </w:r>
    </w:p>
    <w:p w14:paraId="6703B585" w14:textId="240466F2" w:rsidR="4F460121" w:rsidRDefault="4F460121" w:rsidP="403C597D">
      <w:pPr>
        <w:spacing w:after="240" w:line="278" w:lineRule="auto"/>
        <w:rPr>
          <w:rFonts w:ascii="Arial" w:eastAsia="Arial" w:hAnsi="Arial" w:cs="Arial"/>
          <w:color w:val="000000" w:themeColor="text1"/>
        </w:rPr>
      </w:pPr>
      <w:r w:rsidRPr="403C597D">
        <w:rPr>
          <w:rFonts w:ascii="Arial" w:eastAsia="Arial" w:hAnsi="Arial" w:cs="Arial"/>
          <w:color w:val="000000" w:themeColor="text1"/>
        </w:rPr>
        <w:t>The table below is for informational purposes only. No information should be added to this table.</w:t>
      </w:r>
    </w:p>
    <w:p w14:paraId="0452D61C" w14:textId="1179CDCB" w:rsidR="3B341567" w:rsidRPr="009C75A3" w:rsidRDefault="3B341567" w:rsidP="009C75A3">
      <w:pPr>
        <w:pStyle w:val="Heading3"/>
        <w:rPr>
          <w:rFonts w:ascii="Arial" w:hAnsi="Arial" w:cs="Arial"/>
          <w:b/>
          <w:bCs/>
          <w:color w:val="auto"/>
        </w:rPr>
      </w:pPr>
      <w:r w:rsidRPr="009C75A3">
        <w:rPr>
          <w:rFonts w:ascii="Arial" w:hAnsi="Arial" w:cs="Arial"/>
          <w:b/>
          <w:bCs/>
          <w:color w:val="auto"/>
        </w:rPr>
        <w:t>Allowable</w:t>
      </w:r>
      <w:r w:rsidR="71CE9C84" w:rsidRPr="009C75A3">
        <w:rPr>
          <w:rFonts w:ascii="Arial" w:hAnsi="Arial" w:cs="Arial"/>
          <w:b/>
          <w:bCs/>
          <w:color w:val="auto"/>
        </w:rPr>
        <w:t xml:space="preserve"> Expenses</w:t>
      </w:r>
    </w:p>
    <w:tbl>
      <w:tblPr>
        <w:tblStyle w:val="GridTable4"/>
        <w:tblW w:w="9437" w:type="dxa"/>
        <w:tblLayout w:type="fixed"/>
        <w:tblLook w:val="04A0" w:firstRow="1" w:lastRow="0" w:firstColumn="1" w:lastColumn="0" w:noHBand="0" w:noVBand="1"/>
        <w:tblCaption w:val="Allowable Expenses"/>
        <w:tblDescription w:val="This table includes line items for each allowable expense line item."/>
      </w:tblPr>
      <w:tblGrid>
        <w:gridCol w:w="4710"/>
        <w:gridCol w:w="4727"/>
      </w:tblGrid>
      <w:tr w:rsidR="403C597D" w14:paraId="46044749" w14:textId="77777777" w:rsidTr="00270C82">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4710" w:type="dxa"/>
          </w:tcPr>
          <w:p w14:paraId="1C5C6BAF" w14:textId="6C108729" w:rsidR="4EEDFA48" w:rsidRDefault="4EEDFA48" w:rsidP="00AD4342">
            <w:pPr>
              <w:jc w:val="center"/>
              <w:rPr>
                <w:rFonts w:ascii="Arial" w:eastAsia="Arial" w:hAnsi="Arial" w:cs="Arial"/>
                <w:b w:val="0"/>
                <w:bCs w:val="0"/>
              </w:rPr>
            </w:pPr>
            <w:r w:rsidRPr="403C597D">
              <w:rPr>
                <w:rFonts w:ascii="Arial" w:eastAsia="Arial" w:hAnsi="Arial" w:cs="Arial"/>
              </w:rPr>
              <w:t>Object Code</w:t>
            </w:r>
          </w:p>
          <w:p w14:paraId="5CE8F49D" w14:textId="649DFCB3" w:rsidR="403C597D" w:rsidRDefault="403C597D" w:rsidP="00AD4342">
            <w:pPr>
              <w:jc w:val="center"/>
              <w:rPr>
                <w:rFonts w:ascii="Arial" w:eastAsia="Arial" w:hAnsi="Arial" w:cs="Arial"/>
                <w:b w:val="0"/>
                <w:bCs w:val="0"/>
              </w:rPr>
            </w:pPr>
          </w:p>
        </w:tc>
        <w:tc>
          <w:tcPr>
            <w:tcW w:w="4727" w:type="dxa"/>
          </w:tcPr>
          <w:p w14:paraId="73872F35" w14:textId="671E6193" w:rsidR="4EEDFA48" w:rsidRDefault="4EEDFA48" w:rsidP="00AD4342">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rPr>
            </w:pPr>
            <w:r w:rsidRPr="403C597D">
              <w:rPr>
                <w:rFonts w:ascii="Arial" w:eastAsia="Arial" w:hAnsi="Arial" w:cs="Arial"/>
              </w:rPr>
              <w:t>Item</w:t>
            </w:r>
          </w:p>
        </w:tc>
      </w:tr>
      <w:tr w:rsidR="403C597D" w14:paraId="70463E11" w14:textId="77777777" w:rsidTr="000261B7">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710" w:type="dxa"/>
          </w:tcPr>
          <w:p w14:paraId="5448B7F1" w14:textId="2A997A8A" w:rsidR="4EEDFA48" w:rsidRDefault="4EEDFA48" w:rsidP="403C597D">
            <w:pPr>
              <w:rPr>
                <w:rFonts w:ascii="Arial" w:eastAsia="Arial" w:hAnsi="Arial" w:cs="Arial"/>
              </w:rPr>
            </w:pPr>
            <w:r w:rsidRPr="403C597D">
              <w:rPr>
                <w:rFonts w:ascii="Arial" w:eastAsia="Arial" w:hAnsi="Arial" w:cs="Arial"/>
              </w:rPr>
              <w:t xml:space="preserve">1000 - </w:t>
            </w:r>
            <w:r w:rsidRPr="00FA1440">
              <w:rPr>
                <w:rFonts w:ascii="Arial" w:eastAsia="Arial" w:hAnsi="Arial" w:cs="Arial"/>
                <w:b w:val="0"/>
                <w:bCs w:val="0"/>
              </w:rPr>
              <w:t>C</w:t>
            </w:r>
            <w:r w:rsidRPr="00FA1440">
              <w:rPr>
                <w:rFonts w:ascii="Arial" w:eastAsia="Arial" w:hAnsi="Arial" w:cs="Arial"/>
                <w:b w:val="0"/>
                <w:bCs w:val="0"/>
                <w:color w:val="000000" w:themeColor="text1"/>
              </w:rPr>
              <w:t>ertificated salaries are salaries for positions that require a credential or permit issued by the Commission on Teacher Credentialing (CTC).</w:t>
            </w:r>
          </w:p>
          <w:p w14:paraId="067A00D7" w14:textId="59E1EF33" w:rsidR="403C597D" w:rsidRDefault="403C597D" w:rsidP="403C597D">
            <w:pPr>
              <w:rPr>
                <w:rFonts w:ascii="Arial" w:eastAsia="Arial" w:hAnsi="Arial" w:cs="Arial"/>
                <w:b w:val="0"/>
                <w:bCs w:val="0"/>
              </w:rPr>
            </w:pPr>
          </w:p>
        </w:tc>
        <w:tc>
          <w:tcPr>
            <w:tcW w:w="4727" w:type="dxa"/>
          </w:tcPr>
          <w:p w14:paraId="68F1C5C9" w14:textId="44EED144" w:rsidR="009C75A3" w:rsidRPr="00CE1BDD" w:rsidRDefault="4EEDFA48" w:rsidP="009C75A3">
            <w:pPr>
              <w:pStyle w:val="ListParagraph"/>
              <w:numPr>
                <w:ilvl w:val="0"/>
                <w:numId w:val="5"/>
              </w:numPr>
              <w:spacing w:after="240"/>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CE1BDD">
              <w:rPr>
                <w:rFonts w:ascii="Arial" w:eastAsia="Arial" w:hAnsi="Arial" w:cs="Arial"/>
              </w:rPr>
              <w:t>Raises</w:t>
            </w:r>
          </w:p>
          <w:p w14:paraId="36494CE4" w14:textId="1E3DA2BD" w:rsidR="4EEDFA48" w:rsidRPr="00CE1BDD" w:rsidRDefault="4EEDFA48" w:rsidP="009C75A3">
            <w:pPr>
              <w:pStyle w:val="ListParagraph"/>
              <w:numPr>
                <w:ilvl w:val="0"/>
                <w:numId w:val="5"/>
              </w:numPr>
              <w:spacing w:after="2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CE1BDD">
              <w:rPr>
                <w:rFonts w:ascii="Arial" w:hAnsi="Arial" w:cs="Arial"/>
              </w:rPr>
              <w:t>Hiring bonuses</w:t>
            </w:r>
          </w:p>
          <w:p w14:paraId="3D1446DC" w14:textId="3D98E3A8" w:rsidR="4EEDFA48" w:rsidRPr="00CE1BDD" w:rsidRDefault="4EEDFA48" w:rsidP="009C75A3">
            <w:pPr>
              <w:pStyle w:val="ListParagraph"/>
              <w:numPr>
                <w:ilvl w:val="0"/>
                <w:numId w:val="5"/>
              </w:numPr>
              <w:spacing w:after="2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CE1BDD">
              <w:rPr>
                <w:rFonts w:ascii="Arial" w:hAnsi="Arial" w:cs="Arial"/>
              </w:rPr>
              <w:t>Stipends</w:t>
            </w:r>
          </w:p>
          <w:p w14:paraId="3F2CA2AA" w14:textId="18DF0362" w:rsidR="4EEDFA48" w:rsidRPr="00CE1BDD" w:rsidRDefault="4EEDFA48" w:rsidP="009C75A3">
            <w:pPr>
              <w:pStyle w:val="ListParagraph"/>
              <w:numPr>
                <w:ilvl w:val="0"/>
                <w:numId w:val="5"/>
              </w:numPr>
              <w:spacing w:after="2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CE1BDD">
              <w:rPr>
                <w:rFonts w:ascii="Arial" w:hAnsi="Arial" w:cs="Arial"/>
              </w:rPr>
              <w:t>Substitutes for hiring events/committees</w:t>
            </w:r>
          </w:p>
          <w:p w14:paraId="6ACB3723" w14:textId="70D0E2BC" w:rsidR="4EEDFA48" w:rsidRDefault="4EEDFA48" w:rsidP="009C75A3">
            <w:pPr>
              <w:pStyle w:val="ListParagraph"/>
              <w:numPr>
                <w:ilvl w:val="0"/>
                <w:numId w:val="5"/>
              </w:numPr>
              <w:spacing w:after="240"/>
              <w:contextualSpacing w:val="0"/>
              <w:cnfStyle w:val="000000100000" w:firstRow="0" w:lastRow="0" w:firstColumn="0" w:lastColumn="0" w:oddVBand="0" w:evenVBand="0" w:oddHBand="1" w:evenHBand="0" w:firstRowFirstColumn="0" w:firstRowLastColumn="0" w:lastRowFirstColumn="0" w:lastRowLastColumn="0"/>
            </w:pPr>
            <w:r w:rsidRPr="00CE1BDD">
              <w:rPr>
                <w:rFonts w:ascii="Arial" w:hAnsi="Arial" w:cs="Arial"/>
              </w:rPr>
              <w:t>Salarie</w:t>
            </w:r>
            <w:r w:rsidR="009C75A3" w:rsidRPr="00CE1BDD">
              <w:rPr>
                <w:rFonts w:ascii="Arial" w:hAnsi="Arial" w:cs="Arial"/>
              </w:rPr>
              <w:t>s</w:t>
            </w:r>
          </w:p>
        </w:tc>
      </w:tr>
      <w:tr w:rsidR="403C597D" w14:paraId="1D4CBE35" w14:textId="77777777" w:rsidTr="000261B7">
        <w:trPr>
          <w:cantSplit/>
          <w:trHeight w:val="300"/>
        </w:trPr>
        <w:tc>
          <w:tcPr>
            <w:cnfStyle w:val="001000000000" w:firstRow="0" w:lastRow="0" w:firstColumn="1" w:lastColumn="0" w:oddVBand="0" w:evenVBand="0" w:oddHBand="0" w:evenHBand="0" w:firstRowFirstColumn="0" w:firstRowLastColumn="0" w:lastRowFirstColumn="0" w:lastRowLastColumn="0"/>
            <w:tcW w:w="4710" w:type="dxa"/>
          </w:tcPr>
          <w:p w14:paraId="32792C7A" w14:textId="544FDD4F" w:rsidR="4EEDFA48" w:rsidRDefault="4EEDFA48" w:rsidP="403C597D">
            <w:pPr>
              <w:rPr>
                <w:rFonts w:ascii="Arial" w:eastAsia="Arial" w:hAnsi="Arial" w:cs="Arial"/>
              </w:rPr>
            </w:pPr>
            <w:r w:rsidRPr="403C597D">
              <w:rPr>
                <w:rFonts w:ascii="Arial" w:eastAsia="Arial" w:hAnsi="Arial" w:cs="Arial"/>
              </w:rPr>
              <w:lastRenderedPageBreak/>
              <w:t xml:space="preserve">2000 - </w:t>
            </w:r>
            <w:r w:rsidRPr="00FA1440">
              <w:rPr>
                <w:rFonts w:ascii="Arial" w:eastAsia="Arial" w:hAnsi="Arial" w:cs="Arial"/>
                <w:b w:val="0"/>
                <w:bCs w:val="0"/>
              </w:rPr>
              <w:t>C</w:t>
            </w:r>
            <w:r w:rsidRPr="00FA1440">
              <w:rPr>
                <w:rFonts w:ascii="Arial" w:eastAsia="Arial" w:hAnsi="Arial" w:cs="Arial"/>
                <w:b w:val="0"/>
                <w:bCs w:val="0"/>
                <w:color w:val="000000" w:themeColor="text1"/>
              </w:rPr>
              <w:t>lassified salaries are salaries for positions that do not require a credential or permit issued by the CTC.</w:t>
            </w:r>
          </w:p>
        </w:tc>
        <w:tc>
          <w:tcPr>
            <w:tcW w:w="4727" w:type="dxa"/>
          </w:tcPr>
          <w:p w14:paraId="1FE7BE30" w14:textId="7128608B" w:rsidR="4EEDFA48" w:rsidRPr="00CE1BDD" w:rsidRDefault="4EEDFA48" w:rsidP="403C597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CE1BDD">
              <w:rPr>
                <w:rFonts w:ascii="Arial" w:eastAsia="Arial" w:hAnsi="Arial" w:cs="Arial"/>
              </w:rPr>
              <w:t xml:space="preserve">Raises </w:t>
            </w:r>
          </w:p>
          <w:p w14:paraId="1192D7D4" w14:textId="08076FE2" w:rsidR="4EEDFA48" w:rsidRPr="00CE1BDD" w:rsidRDefault="4EEDFA48" w:rsidP="403C597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E1BDD">
              <w:rPr>
                <w:rFonts w:ascii="Arial" w:hAnsi="Arial" w:cs="Arial"/>
              </w:rPr>
              <w:t xml:space="preserve">Hiring bonuses </w:t>
            </w:r>
          </w:p>
          <w:p w14:paraId="1A2226EF" w14:textId="09C93BD2" w:rsidR="4EEDFA48" w:rsidRPr="00CE1BDD" w:rsidRDefault="4EEDFA48" w:rsidP="403C597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E1BDD">
              <w:rPr>
                <w:rFonts w:ascii="Arial" w:hAnsi="Arial" w:cs="Arial"/>
              </w:rPr>
              <w:t xml:space="preserve">Stipends </w:t>
            </w:r>
          </w:p>
          <w:p w14:paraId="55195797" w14:textId="6204D080" w:rsidR="4EEDFA48" w:rsidRPr="00CE1BDD" w:rsidRDefault="4EEDFA48" w:rsidP="403C597D">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CE1BDD">
              <w:rPr>
                <w:rFonts w:ascii="Arial" w:hAnsi="Arial" w:cs="Arial"/>
              </w:rPr>
              <w:t xml:space="preserve">Substitutes for hiring events/committees </w:t>
            </w:r>
          </w:p>
          <w:p w14:paraId="0B7D8593" w14:textId="786FB876" w:rsidR="4EEDFA48" w:rsidRDefault="4EEDFA48" w:rsidP="403C597D">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CE1BDD">
              <w:rPr>
                <w:rFonts w:ascii="Arial" w:hAnsi="Arial" w:cs="Arial"/>
              </w:rPr>
              <w:t>Salaries (including Instructional Coaches for CSPP/TK)</w:t>
            </w:r>
          </w:p>
        </w:tc>
      </w:tr>
      <w:tr w:rsidR="403C597D" w14:paraId="65C3FAA1" w14:textId="77777777" w:rsidTr="000261B7">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710" w:type="dxa"/>
          </w:tcPr>
          <w:p w14:paraId="71DB4DE9" w14:textId="4BEAEA3B" w:rsidR="4EEDFA48" w:rsidRDefault="4EEDFA48" w:rsidP="403C597D">
            <w:pPr>
              <w:rPr>
                <w:rFonts w:ascii="Arial" w:eastAsia="Arial" w:hAnsi="Arial" w:cs="Arial"/>
              </w:rPr>
            </w:pPr>
            <w:r w:rsidRPr="403C597D">
              <w:rPr>
                <w:rFonts w:ascii="Arial" w:eastAsia="Arial" w:hAnsi="Arial" w:cs="Arial"/>
              </w:rPr>
              <w:t xml:space="preserve">3000 </w:t>
            </w:r>
            <w:r w:rsidRPr="00FA1440">
              <w:rPr>
                <w:rFonts w:ascii="Arial" w:eastAsia="Arial" w:hAnsi="Arial" w:cs="Arial"/>
                <w:b w:val="0"/>
                <w:bCs w:val="0"/>
              </w:rPr>
              <w:t>- E</w:t>
            </w:r>
            <w:r w:rsidRPr="00FA1440">
              <w:rPr>
                <w:rFonts w:ascii="Arial" w:eastAsia="Arial" w:hAnsi="Arial" w:cs="Arial"/>
                <w:b w:val="0"/>
                <w:bCs w:val="0"/>
                <w:color w:val="000000" w:themeColor="text1"/>
              </w:rPr>
              <w:t>mployee benefits are the employers’ contributions to retirement plans and health and welfare benefits, including cash in lieu of benefits, for employees, their dependents, retired employees, and board members.</w:t>
            </w:r>
          </w:p>
        </w:tc>
        <w:tc>
          <w:tcPr>
            <w:tcW w:w="4727" w:type="dxa"/>
          </w:tcPr>
          <w:p w14:paraId="05C3E5FD" w14:textId="7D012CE2" w:rsidR="4EEDFA48" w:rsidRDefault="4EEDFA48" w:rsidP="403C597D">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403C597D">
              <w:rPr>
                <w:rFonts w:ascii="Arial" w:eastAsia="Arial" w:hAnsi="Arial" w:cs="Arial"/>
              </w:rPr>
              <w:t xml:space="preserve">Staff Benefits  </w:t>
            </w:r>
          </w:p>
        </w:tc>
      </w:tr>
      <w:tr w:rsidR="403C597D" w14:paraId="62FCDF70" w14:textId="77777777" w:rsidTr="000261B7">
        <w:trPr>
          <w:cantSplit/>
          <w:trHeight w:val="300"/>
        </w:trPr>
        <w:tc>
          <w:tcPr>
            <w:cnfStyle w:val="001000000000" w:firstRow="0" w:lastRow="0" w:firstColumn="1" w:lastColumn="0" w:oddVBand="0" w:evenVBand="0" w:oddHBand="0" w:evenHBand="0" w:firstRowFirstColumn="0" w:firstRowLastColumn="0" w:lastRowFirstColumn="0" w:lastRowLastColumn="0"/>
            <w:tcW w:w="4710" w:type="dxa"/>
          </w:tcPr>
          <w:p w14:paraId="678F199D" w14:textId="0D703073" w:rsidR="4EEDFA48" w:rsidRDefault="4EEDFA48" w:rsidP="403C597D">
            <w:pPr>
              <w:rPr>
                <w:rFonts w:ascii="Arial" w:eastAsia="Arial" w:hAnsi="Arial" w:cs="Arial"/>
              </w:rPr>
            </w:pPr>
            <w:r w:rsidRPr="403C597D">
              <w:rPr>
                <w:rFonts w:ascii="Arial" w:eastAsia="Arial" w:hAnsi="Arial" w:cs="Arial"/>
              </w:rPr>
              <w:lastRenderedPageBreak/>
              <w:t xml:space="preserve">4000 - </w:t>
            </w:r>
            <w:r w:rsidRPr="00FA1440">
              <w:rPr>
                <w:rFonts w:ascii="Arial" w:eastAsia="Arial" w:hAnsi="Arial" w:cs="Arial"/>
                <w:b w:val="0"/>
                <w:bCs w:val="0"/>
              </w:rPr>
              <w:t>Books and supplies are books and supplies, including any associated sales tax or use tax and freight and handling charges.</w:t>
            </w:r>
          </w:p>
        </w:tc>
        <w:tc>
          <w:tcPr>
            <w:tcW w:w="4727" w:type="dxa"/>
          </w:tcPr>
          <w:p w14:paraId="5222B68A" w14:textId="64F6D092"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9C75A3">
              <w:rPr>
                <w:rFonts w:ascii="Arial" w:eastAsia="Arial" w:hAnsi="Arial" w:cs="Arial"/>
              </w:rPr>
              <w:t>Training Materials (topics may include, but are not limited to: effective adult-child interactions, preschool literacy, math, science, social-emotional development, mindfulness: meditation, yoga, Implicit bias and culturally and linguistically-responsive practice, adverse childhood experiences (ACEs), trauma and healing informed practice, equity, diversity, and restorative justice, curriculum selection and implementation, assessments and screenings, Desired Results Developmental Profile (DRDP)/ Early Childhood Environment Rating Scale (ECERS)/ Classroom Assessment Scoring System (CLASS), dual-language learner (DLL) support, serving children with disabilities, engaging families, teaching pyramid, and play based learning)</w:t>
            </w:r>
          </w:p>
          <w:p w14:paraId="18B2AE27" w14:textId="6BAC670C"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Size-appropriate furniture (i.e., chairs, tables, etc.)</w:t>
            </w:r>
          </w:p>
          <w:p w14:paraId="369201B4" w14:textId="4FFA3AC8"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Inclusion, accommodations, and adaptations (for students with disabilities for inclusion in general education settings)</w:t>
            </w:r>
          </w:p>
          <w:p w14:paraId="6056356B" w14:textId="4DADFB93"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Open-ended materials designed to promote discovery and creativity</w:t>
            </w:r>
          </w:p>
          <w:p w14:paraId="3C83A8C5" w14:textId="04D8C9F1"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Close-ended materials with a specific purpose and outcome</w:t>
            </w:r>
          </w:p>
          <w:p w14:paraId="1732E512" w14:textId="269905FA"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Culturally relevant materials in languages reflective of the students and families served by the LEA</w:t>
            </w:r>
          </w:p>
          <w:p w14:paraId="2CB6C642" w14:textId="57871DE9"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Materials that support developing and facilitating practices to engage families and involve them in the program</w:t>
            </w:r>
          </w:p>
          <w:p w14:paraId="0C0DC508" w14:textId="33F44FD0"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lastRenderedPageBreak/>
              <w:t>Facilities upgrades (i.e., toilets; heating, ventilation, and air conditioning; doors; etc.)</w:t>
            </w:r>
          </w:p>
          <w:p w14:paraId="68825648" w14:textId="3EA6A06D"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Sleeping mats &amp; Storage</w:t>
            </w:r>
          </w:p>
          <w:p w14:paraId="258C0564" w14:textId="1965427A"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Storage for outdoor play equipment</w:t>
            </w:r>
          </w:p>
          <w:p w14:paraId="0DED7D59" w14:textId="5CB403BB"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Interior doorway/entrance construction for TK classroom</w:t>
            </w:r>
          </w:p>
          <w:p w14:paraId="5D70ACA5" w14:textId="01000CBB"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Installation of an outdoor drinking fountain</w:t>
            </w:r>
          </w:p>
          <w:p w14:paraId="353C17E9" w14:textId="79F515B5"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Bathroom interior doorway/entrance construction</w:t>
            </w:r>
          </w:p>
          <w:p w14:paraId="201E6D24" w14:textId="4A4EAE4D"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Cabinet installation</w:t>
            </w:r>
          </w:p>
          <w:p w14:paraId="3C51B41C" w14:textId="2D204808"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Height appropriate handwashing sink</w:t>
            </w:r>
          </w:p>
          <w:p w14:paraId="53FD657F" w14:textId="4A781786"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Curriculum</w:t>
            </w:r>
          </w:p>
          <w:p w14:paraId="40ADA258" w14:textId="7C2B477E"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Screening or assessment tools</w:t>
            </w:r>
          </w:p>
          <w:p w14:paraId="69912362" w14:textId="2362A87B"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Language and literacy</w:t>
            </w:r>
          </w:p>
          <w:p w14:paraId="76270B73" w14:textId="1AE64C54"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Computers and technology (i.e., laptops, tablets, subscriptions, etc.)</w:t>
            </w:r>
          </w:p>
          <w:p w14:paraId="12A8EE1E" w14:textId="100AFD99"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Science and discovery</w:t>
            </w:r>
          </w:p>
          <w:p w14:paraId="44E42E19" w14:textId="10AF8A36"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Math and manipulatives</w:t>
            </w:r>
          </w:p>
          <w:p w14:paraId="2A848B96" w14:textId="3955F2DD"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 xml:space="preserve">Outdoor materials (i.e., trikes, bikes, play equipment, </w:t>
            </w:r>
            <w:proofErr w:type="gramStart"/>
            <w:r w:rsidRPr="009C75A3">
              <w:rPr>
                <w:rFonts w:ascii="Arial" w:hAnsi="Arial" w:cs="Arial"/>
              </w:rPr>
              <w:t>sandbox</w:t>
            </w:r>
            <w:proofErr w:type="gramEnd"/>
            <w:r w:rsidRPr="009C75A3">
              <w:rPr>
                <w:rFonts w:ascii="Arial" w:hAnsi="Arial" w:cs="Arial"/>
              </w:rPr>
              <w:t>, etc.)</w:t>
            </w:r>
          </w:p>
          <w:p w14:paraId="14BA0C10" w14:textId="3152D96F"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Sensory and dramatic play (i.e., kitchen, theatre, etc.)</w:t>
            </w:r>
          </w:p>
          <w:p w14:paraId="2A215052" w14:textId="526C464C"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 xml:space="preserve">Stationary supplies (paper, envelopes, </w:t>
            </w:r>
            <w:proofErr w:type="gramStart"/>
            <w:r w:rsidRPr="009C75A3">
              <w:rPr>
                <w:rFonts w:ascii="Arial" w:hAnsi="Arial" w:cs="Arial"/>
              </w:rPr>
              <w:t>cardstock</w:t>
            </w:r>
            <w:proofErr w:type="gramEnd"/>
            <w:r w:rsidRPr="009C75A3">
              <w:rPr>
                <w:rFonts w:ascii="Arial" w:hAnsi="Arial" w:cs="Arial"/>
              </w:rPr>
              <w:t>, etc.)</w:t>
            </w:r>
          </w:p>
          <w:p w14:paraId="661DA144" w14:textId="1ED1BCAF"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Consumables (play dough, sand, paper, markers, crayons, etc.)</w:t>
            </w:r>
          </w:p>
          <w:p w14:paraId="7DE42617" w14:textId="2167E9AA" w:rsidR="01D77985" w:rsidRPr="009C75A3" w:rsidRDefault="01D77985"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lastRenderedPageBreak/>
              <w:t>Food/snacks for CSPP students</w:t>
            </w:r>
          </w:p>
        </w:tc>
      </w:tr>
      <w:tr w:rsidR="403C597D" w14:paraId="5098D3F3" w14:textId="77777777" w:rsidTr="000261B7">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710" w:type="dxa"/>
          </w:tcPr>
          <w:p w14:paraId="697814D2" w14:textId="22C77DAB" w:rsidR="4EEDFA48" w:rsidRDefault="4EEDFA48" w:rsidP="403C597D">
            <w:pPr>
              <w:rPr>
                <w:rFonts w:ascii="Arial" w:eastAsia="Arial" w:hAnsi="Arial" w:cs="Arial"/>
              </w:rPr>
            </w:pPr>
            <w:r w:rsidRPr="403C597D">
              <w:rPr>
                <w:rFonts w:ascii="Arial" w:eastAsia="Arial" w:hAnsi="Arial" w:cs="Arial"/>
                <w:color w:val="000000" w:themeColor="text1"/>
              </w:rPr>
              <w:lastRenderedPageBreak/>
              <w:t>5000, 5100, 5200</w:t>
            </w:r>
            <w:r w:rsidRPr="403C597D">
              <w:rPr>
                <w:rFonts w:ascii="Arial" w:eastAsia="Arial" w:hAnsi="Arial" w:cs="Arial"/>
                <w:b w:val="0"/>
                <w:bCs w:val="0"/>
                <w:color w:val="000000" w:themeColor="text1"/>
              </w:rPr>
              <w:t xml:space="preserve"> - Services and other operating expenditures are for services, rentals, leases, maintenance contracts, dues, travel, insurance, utilities, and legal and other operating expenditures. Expenditures may be authorized by contracts, agreements, purchase orders, and so forth. This also includes actual and necessary expenditures incurred by and/or for employees and other representatives of the LEA for</w:t>
            </w:r>
            <w:r w:rsidRPr="403C597D">
              <w:rPr>
                <w:rFonts w:ascii="Calibri" w:eastAsia="Calibri" w:hAnsi="Calibri" w:cs="Calibri"/>
                <w:b w:val="0"/>
                <w:bCs w:val="0"/>
                <w:color w:val="000000" w:themeColor="text1"/>
                <w:sz w:val="22"/>
                <w:szCs w:val="22"/>
              </w:rPr>
              <w:t xml:space="preserve"> </w:t>
            </w:r>
            <w:r w:rsidRPr="403C597D">
              <w:rPr>
                <w:rFonts w:ascii="Arial" w:eastAsia="Arial" w:hAnsi="Arial" w:cs="Arial"/>
                <w:b w:val="0"/>
                <w:bCs w:val="0"/>
                <w:color w:val="000000" w:themeColor="text1"/>
              </w:rPr>
              <w:t>travel and conferences (</w:t>
            </w:r>
            <w:r w:rsidRPr="403C597D">
              <w:rPr>
                <w:rFonts w:ascii="Arial" w:eastAsia="Arial" w:hAnsi="Arial" w:cs="Arial"/>
                <w:b w:val="0"/>
                <w:bCs w:val="0"/>
                <w:i/>
                <w:iCs/>
                <w:color w:val="000000" w:themeColor="text1"/>
              </w:rPr>
              <w:t>EC</w:t>
            </w:r>
            <w:r w:rsidRPr="403C597D">
              <w:rPr>
                <w:rFonts w:ascii="Arial" w:eastAsia="Arial" w:hAnsi="Arial" w:cs="Arial"/>
                <w:b w:val="0"/>
                <w:bCs w:val="0"/>
                <w:color w:val="000000" w:themeColor="text1"/>
              </w:rPr>
              <w:t xml:space="preserve"> sections 35044 and 44032) and fees paid for those individuals to attend conferences or training classes.</w:t>
            </w:r>
          </w:p>
        </w:tc>
        <w:tc>
          <w:tcPr>
            <w:tcW w:w="4727" w:type="dxa"/>
          </w:tcPr>
          <w:p w14:paraId="0DC83B4F" w14:textId="472A353F" w:rsidR="4EEDFA48" w:rsidRPr="009C75A3" w:rsidRDefault="4EEDFA48" w:rsidP="009C75A3">
            <w:pPr>
              <w:pStyle w:val="ListParagraph"/>
              <w:numPr>
                <w:ilvl w:val="0"/>
                <w:numId w:val="2"/>
              </w:numPr>
              <w:spacing w:after="240"/>
              <w:contextualSpacing w:val="0"/>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9C75A3">
              <w:rPr>
                <w:rFonts w:ascii="Arial" w:hAnsi="Arial" w:cs="Arial"/>
                <w:b/>
                <w:bCs/>
              </w:rPr>
              <w:t>Recruitment of UPK Students</w:t>
            </w:r>
            <w:r w:rsidRPr="009C75A3">
              <w:rPr>
                <w:rFonts w:ascii="Arial" w:hAnsi="Arial" w:cs="Arial"/>
              </w:rPr>
              <w:t>: Recruitment Fees, Advertisement/promotional content (i.e., billboards, radio ads, web advertisements, flyers, etc.)</w:t>
            </w:r>
          </w:p>
          <w:p w14:paraId="438EEC42" w14:textId="39498210" w:rsidR="4EEDFA48" w:rsidRPr="009C75A3" w:rsidRDefault="4EEDFA48" w:rsidP="009C75A3">
            <w:pPr>
              <w:pStyle w:val="ListParagraph"/>
              <w:numPr>
                <w:ilvl w:val="0"/>
                <w:numId w:val="2"/>
              </w:numPr>
              <w:spacing w:after="2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9C75A3">
              <w:rPr>
                <w:rFonts w:ascii="Arial" w:hAnsi="Arial" w:cs="Arial"/>
                <w:b/>
                <w:bCs/>
              </w:rPr>
              <w:t>Contracts</w:t>
            </w:r>
            <w:r w:rsidRPr="009C75A3">
              <w:rPr>
                <w:rFonts w:ascii="Arial" w:hAnsi="Arial" w:cs="Arial"/>
              </w:rPr>
              <w:t>: Consulting (</w:t>
            </w:r>
            <w:proofErr w:type="gramStart"/>
            <w:r w:rsidRPr="009C75A3">
              <w:rPr>
                <w:rFonts w:ascii="Arial" w:hAnsi="Arial" w:cs="Arial"/>
              </w:rPr>
              <w:t>includes</w:t>
            </w:r>
            <w:proofErr w:type="gramEnd"/>
            <w:r w:rsidRPr="009C75A3">
              <w:rPr>
                <w:rFonts w:ascii="Arial" w:hAnsi="Arial" w:cs="Arial"/>
              </w:rPr>
              <w:t xml:space="preserve"> professional development contracts), Membership (includes professional memberships), Deliverables (includes produced informational material or websites)</w:t>
            </w:r>
          </w:p>
          <w:p w14:paraId="10D39EE4" w14:textId="540F60ED" w:rsidR="4EEDFA48" w:rsidRPr="009C75A3" w:rsidRDefault="4EEDFA48" w:rsidP="009C75A3">
            <w:pPr>
              <w:pStyle w:val="ListParagraph"/>
              <w:numPr>
                <w:ilvl w:val="0"/>
                <w:numId w:val="2"/>
              </w:numPr>
              <w:spacing w:after="2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9C75A3">
              <w:rPr>
                <w:rFonts w:ascii="Arial" w:hAnsi="Arial" w:cs="Arial"/>
                <w:b/>
                <w:bCs/>
              </w:rPr>
              <w:t>Travel</w:t>
            </w:r>
            <w:r w:rsidRPr="009C75A3">
              <w:rPr>
                <w:rFonts w:ascii="Arial" w:hAnsi="Arial" w:cs="Arial"/>
              </w:rPr>
              <w:t>: Conferences (including food and mileage), Meetings, Trainings</w:t>
            </w:r>
          </w:p>
          <w:p w14:paraId="1CF1A43D" w14:textId="6D063804" w:rsidR="4EEDFA48" w:rsidRPr="009C75A3" w:rsidRDefault="4EEDFA48" w:rsidP="009C75A3">
            <w:pPr>
              <w:pStyle w:val="ListParagraph"/>
              <w:numPr>
                <w:ilvl w:val="0"/>
                <w:numId w:val="2"/>
              </w:numPr>
              <w:spacing w:after="240"/>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9C75A3">
              <w:rPr>
                <w:rFonts w:ascii="Arial" w:hAnsi="Arial" w:cs="Arial"/>
              </w:rPr>
              <w:t>Rental/Leases for buildings</w:t>
            </w:r>
          </w:p>
          <w:p w14:paraId="6663551B" w14:textId="5B70CD98" w:rsidR="4EEDFA48" w:rsidRDefault="4EEDFA48" w:rsidP="009C75A3">
            <w:pPr>
              <w:pStyle w:val="ListParagraph"/>
              <w:numPr>
                <w:ilvl w:val="0"/>
                <w:numId w:val="2"/>
              </w:numPr>
              <w:spacing w:after="240"/>
              <w:contextualSpacing w:val="0"/>
              <w:cnfStyle w:val="000000100000" w:firstRow="0" w:lastRow="0" w:firstColumn="0" w:lastColumn="0" w:oddVBand="0" w:evenVBand="0" w:oddHBand="1" w:evenHBand="0" w:firstRowFirstColumn="0" w:firstRowLastColumn="0" w:lastRowFirstColumn="0" w:lastRowLastColumn="0"/>
            </w:pPr>
            <w:r w:rsidRPr="009C75A3">
              <w:rPr>
                <w:rFonts w:ascii="Arial" w:hAnsi="Arial" w:cs="Arial"/>
                <w:b/>
                <w:bCs/>
              </w:rPr>
              <w:t>Training</w:t>
            </w:r>
            <w:r w:rsidRPr="009C75A3">
              <w:rPr>
                <w:rFonts w:ascii="Arial" w:hAnsi="Arial" w:cs="Arial"/>
              </w:rPr>
              <w:t>: TK-12 Administrators, Early Education Administrators, Teachers, Trainers/Contractors, Instructional Aids, and Support Staff.</w:t>
            </w:r>
          </w:p>
        </w:tc>
      </w:tr>
      <w:tr w:rsidR="403C597D" w14:paraId="332CBFFF" w14:textId="77777777" w:rsidTr="000261B7">
        <w:trPr>
          <w:cantSplit/>
          <w:trHeight w:val="300"/>
        </w:trPr>
        <w:tc>
          <w:tcPr>
            <w:cnfStyle w:val="001000000000" w:firstRow="0" w:lastRow="0" w:firstColumn="1" w:lastColumn="0" w:oddVBand="0" w:evenVBand="0" w:oddHBand="0" w:evenHBand="0" w:firstRowFirstColumn="0" w:firstRowLastColumn="0" w:lastRowFirstColumn="0" w:lastRowLastColumn="0"/>
            <w:tcW w:w="4710" w:type="dxa"/>
          </w:tcPr>
          <w:p w14:paraId="3ACCA759" w14:textId="1BBDF733" w:rsidR="4EEDFA48" w:rsidRDefault="4EEDFA48" w:rsidP="403C597D">
            <w:pPr>
              <w:rPr>
                <w:rFonts w:ascii="Arial" w:eastAsia="Arial" w:hAnsi="Arial" w:cs="Arial"/>
              </w:rPr>
            </w:pPr>
            <w:r w:rsidRPr="403C597D">
              <w:rPr>
                <w:rFonts w:ascii="Arial" w:eastAsia="Arial" w:hAnsi="Arial" w:cs="Arial"/>
                <w:color w:val="000000" w:themeColor="text1"/>
              </w:rPr>
              <w:lastRenderedPageBreak/>
              <w:t>5800</w:t>
            </w:r>
            <w:r w:rsidRPr="403C597D">
              <w:rPr>
                <w:rFonts w:ascii="Arial" w:eastAsia="Arial" w:hAnsi="Arial" w:cs="Arial"/>
                <w:b w:val="0"/>
                <w:bCs w:val="0"/>
                <w:color w:val="000000" w:themeColor="text1"/>
              </w:rPr>
              <w:t xml:space="preserve"> - Expenditures for college tuition paid on behalf of employees, expenditures for personal services rendered by personnel who are not on the payroll of the LEA, expenditures for services such as printing performed by an outside agency, expenditures for all advertising, including advertising for items such as personnel vacancies.</w:t>
            </w:r>
          </w:p>
        </w:tc>
        <w:tc>
          <w:tcPr>
            <w:tcW w:w="4727" w:type="dxa"/>
          </w:tcPr>
          <w:p w14:paraId="03F84AFA" w14:textId="69225058" w:rsidR="4EEDFA48" w:rsidRPr="009C75A3" w:rsidRDefault="4EEDFA48"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9C75A3">
              <w:rPr>
                <w:rFonts w:ascii="Arial" w:eastAsia="Arial" w:hAnsi="Arial" w:cs="Arial"/>
              </w:rPr>
              <w:t>Staff Recruitment (Certified and Classified)</w:t>
            </w:r>
          </w:p>
          <w:p w14:paraId="48847EEB" w14:textId="64713920" w:rsidR="4EEDFA48" w:rsidRPr="009C75A3" w:rsidRDefault="4EEDFA48"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College tuition</w:t>
            </w:r>
          </w:p>
          <w:p w14:paraId="27BFD452" w14:textId="66A975D0" w:rsidR="4EEDFA48" w:rsidRPr="009C75A3" w:rsidRDefault="4EEDFA48"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Personnel services</w:t>
            </w:r>
          </w:p>
          <w:p w14:paraId="1DAE6F71" w14:textId="0E1989B4" w:rsidR="4EEDFA48" w:rsidRPr="009C75A3" w:rsidRDefault="4EEDFA48"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Printing</w:t>
            </w:r>
          </w:p>
          <w:p w14:paraId="46228DA6" w14:textId="04C46967" w:rsidR="4EEDFA48" w:rsidRPr="009C75A3" w:rsidRDefault="4EEDFA48"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Recruiter fees</w:t>
            </w:r>
          </w:p>
          <w:p w14:paraId="35BFC46E" w14:textId="7E0C51EE" w:rsidR="4EEDFA48" w:rsidRPr="009C75A3" w:rsidRDefault="4EEDFA48"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Advertisements</w:t>
            </w:r>
          </w:p>
          <w:p w14:paraId="43D3FF16" w14:textId="39B01C89" w:rsidR="4EEDFA48" w:rsidRPr="009C75A3" w:rsidRDefault="4EEDFA48"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Promotional content (i.e., billboards, radio ads, web advertisements, flyers, etc.)</w:t>
            </w:r>
          </w:p>
          <w:p w14:paraId="3830B5D0" w14:textId="34437E06" w:rsidR="4EEDFA48" w:rsidRPr="009C75A3" w:rsidRDefault="4EEDFA48"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Substitutes for hiring events/committees</w:t>
            </w:r>
          </w:p>
          <w:p w14:paraId="3C1D44FE" w14:textId="1C46863F" w:rsidR="4EEDFA48" w:rsidRPr="009C75A3" w:rsidRDefault="4EEDFA48"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9C75A3">
              <w:rPr>
                <w:rFonts w:ascii="Arial" w:hAnsi="Arial" w:cs="Arial"/>
              </w:rPr>
              <w:t>Consultants (i.e., strategic planning, professional development, etc.)</w:t>
            </w:r>
          </w:p>
          <w:p w14:paraId="4FFB80C8" w14:textId="7D37576B" w:rsidR="4EEDFA48" w:rsidRDefault="4EEDFA48" w:rsidP="009C75A3">
            <w:pPr>
              <w:pStyle w:val="ListParagraph"/>
              <w:numPr>
                <w:ilvl w:val="0"/>
                <w:numId w:val="2"/>
              </w:numPr>
              <w:spacing w:after="240"/>
              <w:contextualSpacing w:val="0"/>
              <w:cnfStyle w:val="000000000000" w:firstRow="0" w:lastRow="0" w:firstColumn="0" w:lastColumn="0" w:oddVBand="0" w:evenVBand="0" w:oddHBand="0" w:evenHBand="0" w:firstRowFirstColumn="0" w:firstRowLastColumn="0" w:lastRowFirstColumn="0" w:lastRowLastColumn="0"/>
            </w:pPr>
            <w:r w:rsidRPr="009C75A3">
              <w:rPr>
                <w:rFonts w:ascii="Arial" w:hAnsi="Arial" w:cs="Arial"/>
              </w:rPr>
              <w:t>Food &amp; Beverages for meetings/trainings</w:t>
            </w:r>
          </w:p>
        </w:tc>
      </w:tr>
      <w:tr w:rsidR="403C597D" w14:paraId="6035D3E2" w14:textId="77777777" w:rsidTr="000261B7">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710" w:type="dxa"/>
          </w:tcPr>
          <w:p w14:paraId="0C255D02" w14:textId="76274527" w:rsidR="4EEDFA48" w:rsidRDefault="4EEDFA48" w:rsidP="403C597D">
            <w:pPr>
              <w:rPr>
                <w:rFonts w:ascii="Arial" w:eastAsia="Arial" w:hAnsi="Arial" w:cs="Arial"/>
              </w:rPr>
            </w:pPr>
            <w:r w:rsidRPr="403C597D">
              <w:rPr>
                <w:rFonts w:ascii="Arial" w:eastAsia="Arial" w:hAnsi="Arial" w:cs="Arial"/>
                <w:color w:val="000000" w:themeColor="text1"/>
              </w:rPr>
              <w:t xml:space="preserve">6400 </w:t>
            </w:r>
            <w:r w:rsidRPr="403C597D">
              <w:rPr>
                <w:rFonts w:ascii="Arial" w:eastAsia="Arial" w:hAnsi="Arial" w:cs="Arial"/>
                <w:b w:val="0"/>
                <w:bCs w:val="0"/>
                <w:color w:val="000000" w:themeColor="text1"/>
              </w:rPr>
              <w:t>- Expenditures for movable personal property, including equipment such as playground equipment, acquisition cost includes tax, freight or other types of delivery charges, and installation costs including labor.</w:t>
            </w:r>
          </w:p>
        </w:tc>
        <w:tc>
          <w:tcPr>
            <w:tcW w:w="4727" w:type="dxa"/>
          </w:tcPr>
          <w:p w14:paraId="060DEE7C" w14:textId="071B5835" w:rsidR="4EEDFA48" w:rsidRDefault="4EEDFA48" w:rsidP="403C597D">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403C597D">
              <w:rPr>
                <w:rFonts w:ascii="Arial" w:eastAsia="Arial" w:hAnsi="Arial" w:cs="Arial"/>
              </w:rPr>
              <w:t xml:space="preserve">New play structure  </w:t>
            </w:r>
          </w:p>
        </w:tc>
      </w:tr>
      <w:tr w:rsidR="403C597D" w:rsidRPr="006E4E17" w14:paraId="04E134AA" w14:textId="77777777" w:rsidTr="000261B7">
        <w:trPr>
          <w:cantSplit/>
          <w:trHeight w:val="300"/>
        </w:trPr>
        <w:tc>
          <w:tcPr>
            <w:cnfStyle w:val="001000000000" w:firstRow="0" w:lastRow="0" w:firstColumn="1" w:lastColumn="0" w:oddVBand="0" w:evenVBand="0" w:oddHBand="0" w:evenHBand="0" w:firstRowFirstColumn="0" w:firstRowLastColumn="0" w:lastRowFirstColumn="0" w:lastRowLastColumn="0"/>
            <w:tcW w:w="4710" w:type="dxa"/>
          </w:tcPr>
          <w:p w14:paraId="24DEF81D" w14:textId="6E97BF31" w:rsidR="4EEDFA48" w:rsidRDefault="4EEDFA48" w:rsidP="403C597D">
            <w:pPr>
              <w:rPr>
                <w:rFonts w:ascii="Arial" w:eastAsia="Arial" w:hAnsi="Arial" w:cs="Arial"/>
              </w:rPr>
            </w:pPr>
            <w:r w:rsidRPr="403C597D">
              <w:rPr>
                <w:rFonts w:ascii="Arial" w:eastAsia="Arial" w:hAnsi="Arial" w:cs="Arial"/>
                <w:color w:val="000000" w:themeColor="text1"/>
              </w:rPr>
              <w:t xml:space="preserve">6500 </w:t>
            </w:r>
            <w:r w:rsidRPr="403C597D">
              <w:rPr>
                <w:rFonts w:ascii="Arial" w:eastAsia="Arial" w:hAnsi="Arial" w:cs="Arial"/>
                <w:b w:val="0"/>
                <w:bCs w:val="0"/>
                <w:color w:val="000000" w:themeColor="text1"/>
              </w:rPr>
              <w:t>- Expenditures for equipment replaced on a piece-for-piece basis.</w:t>
            </w:r>
          </w:p>
        </w:tc>
        <w:tc>
          <w:tcPr>
            <w:tcW w:w="4727" w:type="dxa"/>
          </w:tcPr>
          <w:p w14:paraId="44B98AC3" w14:textId="6F404EB4" w:rsidR="4EEDFA48" w:rsidRPr="006E4E17" w:rsidRDefault="4EEDFA48" w:rsidP="403C597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6E4E17">
              <w:rPr>
                <w:rFonts w:ascii="Arial" w:eastAsia="Arial" w:hAnsi="Arial" w:cs="Arial"/>
              </w:rPr>
              <w:t>Modernized play structure</w:t>
            </w:r>
          </w:p>
          <w:p w14:paraId="1C7951C5" w14:textId="2D485A3E" w:rsidR="4EEDFA48" w:rsidRPr="006E4E17" w:rsidRDefault="4EEDFA48" w:rsidP="403C597D">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6E4E17">
              <w:rPr>
                <w:rFonts w:ascii="Arial" w:hAnsi="Arial" w:cs="Arial"/>
              </w:rPr>
              <w:t>Replacing bark/padding in play area</w:t>
            </w:r>
          </w:p>
        </w:tc>
      </w:tr>
      <w:tr w:rsidR="403C597D" w14:paraId="092A5F43" w14:textId="77777777" w:rsidTr="000261B7">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710" w:type="dxa"/>
          </w:tcPr>
          <w:p w14:paraId="2AAFF773" w14:textId="4B423B1F" w:rsidR="4EEDFA48" w:rsidRDefault="4EEDFA48" w:rsidP="403C597D">
            <w:pPr>
              <w:rPr>
                <w:rFonts w:ascii="Arial" w:eastAsia="Arial" w:hAnsi="Arial" w:cs="Arial"/>
              </w:rPr>
            </w:pPr>
            <w:r w:rsidRPr="403C597D">
              <w:rPr>
                <w:rFonts w:ascii="Arial" w:eastAsia="Arial" w:hAnsi="Arial" w:cs="Arial"/>
                <w:color w:val="000000" w:themeColor="text1"/>
              </w:rPr>
              <w:t xml:space="preserve">7000 </w:t>
            </w:r>
            <w:r w:rsidRPr="403C597D">
              <w:rPr>
                <w:rFonts w:ascii="Arial" w:eastAsia="Arial" w:hAnsi="Arial" w:cs="Arial"/>
                <w:b w:val="0"/>
                <w:bCs w:val="0"/>
                <w:color w:val="000000" w:themeColor="text1"/>
              </w:rPr>
              <w:t xml:space="preserve">- Indirect costs may not exceed the LEA’s approved indirect cost rate (ICR). For approved LEA ICRs, please visit the </w:t>
            </w:r>
            <w:hyperlink r:id="rId10" w:history="1">
              <w:r w:rsidRPr="000F46EA">
                <w:rPr>
                  <w:rStyle w:val="Hyperlink"/>
                  <w:rFonts w:ascii="Arial" w:eastAsia="Arial" w:hAnsi="Arial" w:cs="Arial"/>
                  <w:b w:val="0"/>
                  <w:bCs w:val="0"/>
                </w:rPr>
                <w:t>CD</w:t>
              </w:r>
              <w:r w:rsidRPr="000F46EA">
                <w:rPr>
                  <w:rStyle w:val="Hyperlink"/>
                  <w:rFonts w:ascii="Arial" w:eastAsia="Arial" w:hAnsi="Arial" w:cs="Arial"/>
                  <w:b w:val="0"/>
                  <w:bCs w:val="0"/>
                </w:rPr>
                <w:t>E</w:t>
              </w:r>
              <w:r w:rsidRPr="000F46EA">
                <w:rPr>
                  <w:rStyle w:val="Hyperlink"/>
                  <w:rFonts w:ascii="Arial" w:eastAsia="Arial" w:hAnsi="Arial" w:cs="Arial"/>
                  <w:b w:val="0"/>
                  <w:bCs w:val="0"/>
                </w:rPr>
                <w:t xml:space="preserve"> ICR web page</w:t>
              </w:r>
            </w:hyperlink>
            <w:r w:rsidR="000F46EA">
              <w:rPr>
                <w:rFonts w:ascii="Arial" w:eastAsia="Arial" w:hAnsi="Arial" w:cs="Arial"/>
                <w:b w:val="0"/>
                <w:bCs w:val="0"/>
                <w:color w:val="000000" w:themeColor="text1"/>
              </w:rPr>
              <w:t>.</w:t>
            </w:r>
          </w:p>
        </w:tc>
        <w:tc>
          <w:tcPr>
            <w:tcW w:w="4727" w:type="dxa"/>
          </w:tcPr>
          <w:p w14:paraId="76DF732B" w14:textId="2558BE3A" w:rsidR="4EEDFA48" w:rsidRDefault="4EEDFA48" w:rsidP="403C597D">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403C597D">
              <w:rPr>
                <w:rFonts w:ascii="Arial" w:eastAsia="Arial" w:hAnsi="Arial" w:cs="Arial"/>
              </w:rPr>
              <w:t>Indirect costs</w:t>
            </w:r>
          </w:p>
        </w:tc>
      </w:tr>
    </w:tbl>
    <w:p w14:paraId="618E9E25" w14:textId="5C218204" w:rsidR="1B25A091" w:rsidRDefault="1B25A091" w:rsidP="00EB202E">
      <w:pPr>
        <w:rPr>
          <w:rFonts w:ascii="Arial" w:eastAsia="Arial" w:hAnsi="Arial" w:cs="Arial"/>
        </w:rPr>
      </w:pPr>
    </w:p>
    <w:sectPr w:rsidR="1B25A0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B02BC" w14:textId="77777777" w:rsidR="008508E7" w:rsidRDefault="008508E7">
      <w:pPr>
        <w:spacing w:after="0" w:line="240" w:lineRule="auto"/>
      </w:pPr>
      <w:r>
        <w:separator/>
      </w:r>
    </w:p>
  </w:endnote>
  <w:endnote w:type="continuationSeparator" w:id="0">
    <w:p w14:paraId="42A8E61D" w14:textId="77777777" w:rsidR="008508E7" w:rsidRDefault="008508E7">
      <w:pPr>
        <w:spacing w:after="0" w:line="240" w:lineRule="auto"/>
      </w:pPr>
      <w:r>
        <w:continuationSeparator/>
      </w:r>
    </w:p>
  </w:endnote>
  <w:endnote w:type="continuationNotice" w:id="1">
    <w:p w14:paraId="2064B239" w14:textId="77777777" w:rsidR="008508E7" w:rsidRDefault="008508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588EB" w14:textId="77777777" w:rsidR="008508E7" w:rsidRDefault="008508E7">
      <w:pPr>
        <w:spacing w:after="0" w:line="240" w:lineRule="auto"/>
      </w:pPr>
      <w:r>
        <w:separator/>
      </w:r>
    </w:p>
  </w:footnote>
  <w:footnote w:type="continuationSeparator" w:id="0">
    <w:p w14:paraId="0DA1E79B" w14:textId="77777777" w:rsidR="008508E7" w:rsidRDefault="008508E7">
      <w:pPr>
        <w:spacing w:after="0" w:line="240" w:lineRule="auto"/>
      </w:pPr>
      <w:r>
        <w:continuationSeparator/>
      </w:r>
    </w:p>
  </w:footnote>
  <w:footnote w:type="continuationNotice" w:id="1">
    <w:p w14:paraId="5F773B0E" w14:textId="77777777" w:rsidR="008508E7" w:rsidRDefault="008508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13E2"/>
    <w:multiLevelType w:val="hybridMultilevel"/>
    <w:tmpl w:val="5FB2A61C"/>
    <w:lvl w:ilvl="0" w:tplc="2EBC33AE">
      <w:start w:val="1"/>
      <w:numFmt w:val="bullet"/>
      <w:lvlText w:val=""/>
      <w:lvlJc w:val="left"/>
      <w:pPr>
        <w:ind w:left="720" w:hanging="360"/>
      </w:pPr>
      <w:rPr>
        <w:rFonts w:ascii="Symbol" w:hAnsi="Symbol" w:hint="default"/>
      </w:rPr>
    </w:lvl>
    <w:lvl w:ilvl="1" w:tplc="E3AA9A12">
      <w:start w:val="1"/>
      <w:numFmt w:val="bullet"/>
      <w:lvlText w:val="o"/>
      <w:lvlJc w:val="left"/>
      <w:pPr>
        <w:ind w:left="1440" w:hanging="360"/>
      </w:pPr>
      <w:rPr>
        <w:rFonts w:ascii="Courier New" w:hAnsi="Courier New" w:hint="default"/>
      </w:rPr>
    </w:lvl>
    <w:lvl w:ilvl="2" w:tplc="1C4A8338">
      <w:start w:val="1"/>
      <w:numFmt w:val="bullet"/>
      <w:lvlText w:val=""/>
      <w:lvlJc w:val="left"/>
      <w:pPr>
        <w:ind w:left="2160" w:hanging="360"/>
      </w:pPr>
      <w:rPr>
        <w:rFonts w:ascii="Wingdings" w:hAnsi="Wingdings" w:hint="default"/>
      </w:rPr>
    </w:lvl>
    <w:lvl w:ilvl="3" w:tplc="5F024B90">
      <w:start w:val="1"/>
      <w:numFmt w:val="bullet"/>
      <w:lvlText w:val=""/>
      <w:lvlJc w:val="left"/>
      <w:pPr>
        <w:ind w:left="2880" w:hanging="360"/>
      </w:pPr>
      <w:rPr>
        <w:rFonts w:ascii="Symbol" w:hAnsi="Symbol" w:hint="default"/>
      </w:rPr>
    </w:lvl>
    <w:lvl w:ilvl="4" w:tplc="32CC1E26">
      <w:start w:val="1"/>
      <w:numFmt w:val="bullet"/>
      <w:lvlText w:val="o"/>
      <w:lvlJc w:val="left"/>
      <w:pPr>
        <w:ind w:left="3600" w:hanging="360"/>
      </w:pPr>
      <w:rPr>
        <w:rFonts w:ascii="Courier New" w:hAnsi="Courier New" w:hint="default"/>
      </w:rPr>
    </w:lvl>
    <w:lvl w:ilvl="5" w:tplc="E32C92B4">
      <w:start w:val="1"/>
      <w:numFmt w:val="bullet"/>
      <w:lvlText w:val=""/>
      <w:lvlJc w:val="left"/>
      <w:pPr>
        <w:ind w:left="4320" w:hanging="360"/>
      </w:pPr>
      <w:rPr>
        <w:rFonts w:ascii="Wingdings" w:hAnsi="Wingdings" w:hint="default"/>
      </w:rPr>
    </w:lvl>
    <w:lvl w:ilvl="6" w:tplc="6FC44882">
      <w:start w:val="1"/>
      <w:numFmt w:val="bullet"/>
      <w:lvlText w:val=""/>
      <w:lvlJc w:val="left"/>
      <w:pPr>
        <w:ind w:left="5040" w:hanging="360"/>
      </w:pPr>
      <w:rPr>
        <w:rFonts w:ascii="Symbol" w:hAnsi="Symbol" w:hint="default"/>
      </w:rPr>
    </w:lvl>
    <w:lvl w:ilvl="7" w:tplc="FC8E5966">
      <w:start w:val="1"/>
      <w:numFmt w:val="bullet"/>
      <w:lvlText w:val="o"/>
      <w:lvlJc w:val="left"/>
      <w:pPr>
        <w:ind w:left="5760" w:hanging="360"/>
      </w:pPr>
      <w:rPr>
        <w:rFonts w:ascii="Courier New" w:hAnsi="Courier New" w:hint="default"/>
      </w:rPr>
    </w:lvl>
    <w:lvl w:ilvl="8" w:tplc="FEDE1C90">
      <w:start w:val="1"/>
      <w:numFmt w:val="bullet"/>
      <w:lvlText w:val=""/>
      <w:lvlJc w:val="left"/>
      <w:pPr>
        <w:ind w:left="6480" w:hanging="360"/>
      </w:pPr>
      <w:rPr>
        <w:rFonts w:ascii="Wingdings" w:hAnsi="Wingdings" w:hint="default"/>
      </w:rPr>
    </w:lvl>
  </w:abstractNum>
  <w:abstractNum w:abstractNumId="1" w15:restartNumberingAfterBreak="0">
    <w:nsid w:val="218D688E"/>
    <w:multiLevelType w:val="hybridMultilevel"/>
    <w:tmpl w:val="457622E2"/>
    <w:lvl w:ilvl="0" w:tplc="A156E068">
      <w:start w:val="1"/>
      <w:numFmt w:val="bullet"/>
      <w:lvlText w:val=""/>
      <w:lvlJc w:val="left"/>
      <w:pPr>
        <w:ind w:left="720" w:hanging="360"/>
      </w:pPr>
      <w:rPr>
        <w:rFonts w:ascii="Symbol" w:hAnsi="Symbol" w:hint="default"/>
      </w:rPr>
    </w:lvl>
    <w:lvl w:ilvl="1" w:tplc="8696B5CC">
      <w:start w:val="1"/>
      <w:numFmt w:val="bullet"/>
      <w:lvlText w:val="o"/>
      <w:lvlJc w:val="left"/>
      <w:pPr>
        <w:ind w:left="1440" w:hanging="360"/>
      </w:pPr>
      <w:rPr>
        <w:rFonts w:ascii="Courier New" w:hAnsi="Courier New" w:hint="default"/>
      </w:rPr>
    </w:lvl>
    <w:lvl w:ilvl="2" w:tplc="FA10BBBC">
      <w:start w:val="1"/>
      <w:numFmt w:val="bullet"/>
      <w:lvlText w:val=""/>
      <w:lvlJc w:val="left"/>
      <w:pPr>
        <w:ind w:left="2160" w:hanging="360"/>
      </w:pPr>
      <w:rPr>
        <w:rFonts w:ascii="Wingdings" w:hAnsi="Wingdings" w:hint="default"/>
      </w:rPr>
    </w:lvl>
    <w:lvl w:ilvl="3" w:tplc="9CF29AF2">
      <w:start w:val="1"/>
      <w:numFmt w:val="bullet"/>
      <w:lvlText w:val=""/>
      <w:lvlJc w:val="left"/>
      <w:pPr>
        <w:ind w:left="2880" w:hanging="360"/>
      </w:pPr>
      <w:rPr>
        <w:rFonts w:ascii="Symbol" w:hAnsi="Symbol" w:hint="default"/>
      </w:rPr>
    </w:lvl>
    <w:lvl w:ilvl="4" w:tplc="D42A05B4">
      <w:start w:val="1"/>
      <w:numFmt w:val="bullet"/>
      <w:lvlText w:val="o"/>
      <w:lvlJc w:val="left"/>
      <w:pPr>
        <w:ind w:left="3600" w:hanging="360"/>
      </w:pPr>
      <w:rPr>
        <w:rFonts w:ascii="Courier New" w:hAnsi="Courier New" w:hint="default"/>
      </w:rPr>
    </w:lvl>
    <w:lvl w:ilvl="5" w:tplc="4BD6A4E8">
      <w:start w:val="1"/>
      <w:numFmt w:val="bullet"/>
      <w:lvlText w:val=""/>
      <w:lvlJc w:val="left"/>
      <w:pPr>
        <w:ind w:left="4320" w:hanging="360"/>
      </w:pPr>
      <w:rPr>
        <w:rFonts w:ascii="Wingdings" w:hAnsi="Wingdings" w:hint="default"/>
      </w:rPr>
    </w:lvl>
    <w:lvl w:ilvl="6" w:tplc="C322AC8C">
      <w:start w:val="1"/>
      <w:numFmt w:val="bullet"/>
      <w:lvlText w:val=""/>
      <w:lvlJc w:val="left"/>
      <w:pPr>
        <w:ind w:left="5040" w:hanging="360"/>
      </w:pPr>
      <w:rPr>
        <w:rFonts w:ascii="Symbol" w:hAnsi="Symbol" w:hint="default"/>
      </w:rPr>
    </w:lvl>
    <w:lvl w:ilvl="7" w:tplc="0F0A3B92">
      <w:start w:val="1"/>
      <w:numFmt w:val="bullet"/>
      <w:lvlText w:val="o"/>
      <w:lvlJc w:val="left"/>
      <w:pPr>
        <w:ind w:left="5760" w:hanging="360"/>
      </w:pPr>
      <w:rPr>
        <w:rFonts w:ascii="Courier New" w:hAnsi="Courier New" w:hint="default"/>
      </w:rPr>
    </w:lvl>
    <w:lvl w:ilvl="8" w:tplc="A6464F6A">
      <w:start w:val="1"/>
      <w:numFmt w:val="bullet"/>
      <w:lvlText w:val=""/>
      <w:lvlJc w:val="left"/>
      <w:pPr>
        <w:ind w:left="6480" w:hanging="360"/>
      </w:pPr>
      <w:rPr>
        <w:rFonts w:ascii="Wingdings" w:hAnsi="Wingdings" w:hint="default"/>
      </w:rPr>
    </w:lvl>
  </w:abstractNum>
  <w:abstractNum w:abstractNumId="2" w15:restartNumberingAfterBreak="0">
    <w:nsid w:val="239C81AD"/>
    <w:multiLevelType w:val="hybridMultilevel"/>
    <w:tmpl w:val="FD345258"/>
    <w:lvl w:ilvl="0" w:tplc="8BE8D3BA">
      <w:start w:val="1"/>
      <w:numFmt w:val="bullet"/>
      <w:lvlText w:val=""/>
      <w:lvlJc w:val="left"/>
      <w:pPr>
        <w:ind w:left="720" w:hanging="360"/>
      </w:pPr>
      <w:rPr>
        <w:rFonts w:ascii="Symbol" w:hAnsi="Symbol" w:hint="default"/>
      </w:rPr>
    </w:lvl>
    <w:lvl w:ilvl="1" w:tplc="43580D82">
      <w:start w:val="1"/>
      <w:numFmt w:val="bullet"/>
      <w:lvlText w:val="o"/>
      <w:lvlJc w:val="left"/>
      <w:pPr>
        <w:ind w:left="1440" w:hanging="360"/>
      </w:pPr>
      <w:rPr>
        <w:rFonts w:ascii="Courier New" w:hAnsi="Courier New" w:hint="default"/>
      </w:rPr>
    </w:lvl>
    <w:lvl w:ilvl="2" w:tplc="71B24DB0">
      <w:start w:val="1"/>
      <w:numFmt w:val="bullet"/>
      <w:lvlText w:val=""/>
      <w:lvlJc w:val="left"/>
      <w:pPr>
        <w:ind w:left="2160" w:hanging="360"/>
      </w:pPr>
      <w:rPr>
        <w:rFonts w:ascii="Wingdings" w:hAnsi="Wingdings" w:hint="default"/>
      </w:rPr>
    </w:lvl>
    <w:lvl w:ilvl="3" w:tplc="BFDCDBBA">
      <w:start w:val="1"/>
      <w:numFmt w:val="bullet"/>
      <w:lvlText w:val=""/>
      <w:lvlJc w:val="left"/>
      <w:pPr>
        <w:ind w:left="2880" w:hanging="360"/>
      </w:pPr>
      <w:rPr>
        <w:rFonts w:ascii="Symbol" w:hAnsi="Symbol" w:hint="default"/>
      </w:rPr>
    </w:lvl>
    <w:lvl w:ilvl="4" w:tplc="26225E4C">
      <w:start w:val="1"/>
      <w:numFmt w:val="bullet"/>
      <w:lvlText w:val="o"/>
      <w:lvlJc w:val="left"/>
      <w:pPr>
        <w:ind w:left="3600" w:hanging="360"/>
      </w:pPr>
      <w:rPr>
        <w:rFonts w:ascii="Courier New" w:hAnsi="Courier New" w:hint="default"/>
      </w:rPr>
    </w:lvl>
    <w:lvl w:ilvl="5" w:tplc="05CCA0B4">
      <w:start w:val="1"/>
      <w:numFmt w:val="bullet"/>
      <w:lvlText w:val=""/>
      <w:lvlJc w:val="left"/>
      <w:pPr>
        <w:ind w:left="4320" w:hanging="360"/>
      </w:pPr>
      <w:rPr>
        <w:rFonts w:ascii="Wingdings" w:hAnsi="Wingdings" w:hint="default"/>
      </w:rPr>
    </w:lvl>
    <w:lvl w:ilvl="6" w:tplc="95B4B484">
      <w:start w:val="1"/>
      <w:numFmt w:val="bullet"/>
      <w:lvlText w:val=""/>
      <w:lvlJc w:val="left"/>
      <w:pPr>
        <w:ind w:left="5040" w:hanging="360"/>
      </w:pPr>
      <w:rPr>
        <w:rFonts w:ascii="Symbol" w:hAnsi="Symbol" w:hint="default"/>
      </w:rPr>
    </w:lvl>
    <w:lvl w:ilvl="7" w:tplc="B332F460">
      <w:start w:val="1"/>
      <w:numFmt w:val="bullet"/>
      <w:lvlText w:val="o"/>
      <w:lvlJc w:val="left"/>
      <w:pPr>
        <w:ind w:left="5760" w:hanging="360"/>
      </w:pPr>
      <w:rPr>
        <w:rFonts w:ascii="Courier New" w:hAnsi="Courier New" w:hint="default"/>
      </w:rPr>
    </w:lvl>
    <w:lvl w:ilvl="8" w:tplc="947CEE8A">
      <w:start w:val="1"/>
      <w:numFmt w:val="bullet"/>
      <w:lvlText w:val=""/>
      <w:lvlJc w:val="left"/>
      <w:pPr>
        <w:ind w:left="6480" w:hanging="360"/>
      </w:pPr>
      <w:rPr>
        <w:rFonts w:ascii="Wingdings" w:hAnsi="Wingdings" w:hint="default"/>
      </w:rPr>
    </w:lvl>
  </w:abstractNum>
  <w:abstractNum w:abstractNumId="3" w15:restartNumberingAfterBreak="0">
    <w:nsid w:val="54D8DDA2"/>
    <w:multiLevelType w:val="hybridMultilevel"/>
    <w:tmpl w:val="F4F288F2"/>
    <w:lvl w:ilvl="0" w:tplc="11462B84">
      <w:start w:val="1"/>
      <w:numFmt w:val="bullet"/>
      <w:lvlText w:val=""/>
      <w:lvlJc w:val="left"/>
      <w:pPr>
        <w:ind w:left="720" w:hanging="360"/>
      </w:pPr>
      <w:rPr>
        <w:rFonts w:ascii="Symbol" w:hAnsi="Symbol" w:hint="default"/>
      </w:rPr>
    </w:lvl>
    <w:lvl w:ilvl="1" w:tplc="BA3AEA98">
      <w:start w:val="1"/>
      <w:numFmt w:val="bullet"/>
      <w:lvlText w:val="o"/>
      <w:lvlJc w:val="left"/>
      <w:pPr>
        <w:ind w:left="1440" w:hanging="360"/>
      </w:pPr>
      <w:rPr>
        <w:rFonts w:ascii="Courier New" w:hAnsi="Courier New" w:hint="default"/>
      </w:rPr>
    </w:lvl>
    <w:lvl w:ilvl="2" w:tplc="47CEFB56">
      <w:start w:val="1"/>
      <w:numFmt w:val="bullet"/>
      <w:lvlText w:val=""/>
      <w:lvlJc w:val="left"/>
      <w:pPr>
        <w:ind w:left="2160" w:hanging="360"/>
      </w:pPr>
      <w:rPr>
        <w:rFonts w:ascii="Wingdings" w:hAnsi="Wingdings" w:hint="default"/>
      </w:rPr>
    </w:lvl>
    <w:lvl w:ilvl="3" w:tplc="CBB0CF36">
      <w:start w:val="1"/>
      <w:numFmt w:val="bullet"/>
      <w:lvlText w:val=""/>
      <w:lvlJc w:val="left"/>
      <w:pPr>
        <w:ind w:left="2880" w:hanging="360"/>
      </w:pPr>
      <w:rPr>
        <w:rFonts w:ascii="Symbol" w:hAnsi="Symbol" w:hint="default"/>
      </w:rPr>
    </w:lvl>
    <w:lvl w:ilvl="4" w:tplc="D1CAC292">
      <w:start w:val="1"/>
      <w:numFmt w:val="bullet"/>
      <w:lvlText w:val="o"/>
      <w:lvlJc w:val="left"/>
      <w:pPr>
        <w:ind w:left="3600" w:hanging="360"/>
      </w:pPr>
      <w:rPr>
        <w:rFonts w:ascii="Courier New" w:hAnsi="Courier New" w:hint="default"/>
      </w:rPr>
    </w:lvl>
    <w:lvl w:ilvl="5" w:tplc="E24AE098">
      <w:start w:val="1"/>
      <w:numFmt w:val="bullet"/>
      <w:lvlText w:val=""/>
      <w:lvlJc w:val="left"/>
      <w:pPr>
        <w:ind w:left="4320" w:hanging="360"/>
      </w:pPr>
      <w:rPr>
        <w:rFonts w:ascii="Wingdings" w:hAnsi="Wingdings" w:hint="default"/>
      </w:rPr>
    </w:lvl>
    <w:lvl w:ilvl="6" w:tplc="EA60157C">
      <w:start w:val="1"/>
      <w:numFmt w:val="bullet"/>
      <w:lvlText w:val=""/>
      <w:lvlJc w:val="left"/>
      <w:pPr>
        <w:ind w:left="5040" w:hanging="360"/>
      </w:pPr>
      <w:rPr>
        <w:rFonts w:ascii="Symbol" w:hAnsi="Symbol" w:hint="default"/>
      </w:rPr>
    </w:lvl>
    <w:lvl w:ilvl="7" w:tplc="93689E14">
      <w:start w:val="1"/>
      <w:numFmt w:val="bullet"/>
      <w:lvlText w:val="o"/>
      <w:lvlJc w:val="left"/>
      <w:pPr>
        <w:ind w:left="5760" w:hanging="360"/>
      </w:pPr>
      <w:rPr>
        <w:rFonts w:ascii="Courier New" w:hAnsi="Courier New" w:hint="default"/>
      </w:rPr>
    </w:lvl>
    <w:lvl w:ilvl="8" w:tplc="1430DC7E">
      <w:start w:val="1"/>
      <w:numFmt w:val="bullet"/>
      <w:lvlText w:val=""/>
      <w:lvlJc w:val="left"/>
      <w:pPr>
        <w:ind w:left="6480" w:hanging="360"/>
      </w:pPr>
      <w:rPr>
        <w:rFonts w:ascii="Wingdings" w:hAnsi="Wingdings" w:hint="default"/>
      </w:rPr>
    </w:lvl>
  </w:abstractNum>
  <w:abstractNum w:abstractNumId="4" w15:restartNumberingAfterBreak="0">
    <w:nsid w:val="722901FB"/>
    <w:multiLevelType w:val="hybridMultilevel"/>
    <w:tmpl w:val="080032F8"/>
    <w:lvl w:ilvl="0" w:tplc="D7BCC8F6">
      <w:start w:val="1"/>
      <w:numFmt w:val="bullet"/>
      <w:lvlText w:val=""/>
      <w:lvlJc w:val="left"/>
      <w:pPr>
        <w:ind w:left="720" w:hanging="360"/>
      </w:pPr>
      <w:rPr>
        <w:rFonts w:ascii="Symbol" w:hAnsi="Symbol" w:hint="default"/>
      </w:rPr>
    </w:lvl>
    <w:lvl w:ilvl="1" w:tplc="1E029488">
      <w:start w:val="1"/>
      <w:numFmt w:val="bullet"/>
      <w:lvlText w:val="o"/>
      <w:lvlJc w:val="left"/>
      <w:pPr>
        <w:ind w:left="1440" w:hanging="360"/>
      </w:pPr>
      <w:rPr>
        <w:rFonts w:ascii="Courier New" w:hAnsi="Courier New" w:hint="default"/>
      </w:rPr>
    </w:lvl>
    <w:lvl w:ilvl="2" w:tplc="B3C8AB74">
      <w:start w:val="1"/>
      <w:numFmt w:val="bullet"/>
      <w:lvlText w:val=""/>
      <w:lvlJc w:val="left"/>
      <w:pPr>
        <w:ind w:left="2160" w:hanging="360"/>
      </w:pPr>
      <w:rPr>
        <w:rFonts w:ascii="Wingdings" w:hAnsi="Wingdings" w:hint="default"/>
      </w:rPr>
    </w:lvl>
    <w:lvl w:ilvl="3" w:tplc="12DA82E4">
      <w:start w:val="1"/>
      <w:numFmt w:val="bullet"/>
      <w:lvlText w:val=""/>
      <w:lvlJc w:val="left"/>
      <w:pPr>
        <w:ind w:left="2880" w:hanging="360"/>
      </w:pPr>
      <w:rPr>
        <w:rFonts w:ascii="Symbol" w:hAnsi="Symbol" w:hint="default"/>
      </w:rPr>
    </w:lvl>
    <w:lvl w:ilvl="4" w:tplc="EC508102">
      <w:start w:val="1"/>
      <w:numFmt w:val="bullet"/>
      <w:lvlText w:val="o"/>
      <w:lvlJc w:val="left"/>
      <w:pPr>
        <w:ind w:left="3600" w:hanging="360"/>
      </w:pPr>
      <w:rPr>
        <w:rFonts w:ascii="Courier New" w:hAnsi="Courier New" w:hint="default"/>
      </w:rPr>
    </w:lvl>
    <w:lvl w:ilvl="5" w:tplc="CA5CE4C2">
      <w:start w:val="1"/>
      <w:numFmt w:val="bullet"/>
      <w:lvlText w:val=""/>
      <w:lvlJc w:val="left"/>
      <w:pPr>
        <w:ind w:left="4320" w:hanging="360"/>
      </w:pPr>
      <w:rPr>
        <w:rFonts w:ascii="Wingdings" w:hAnsi="Wingdings" w:hint="default"/>
      </w:rPr>
    </w:lvl>
    <w:lvl w:ilvl="6" w:tplc="8EC47054">
      <w:start w:val="1"/>
      <w:numFmt w:val="bullet"/>
      <w:lvlText w:val=""/>
      <w:lvlJc w:val="left"/>
      <w:pPr>
        <w:ind w:left="5040" w:hanging="360"/>
      </w:pPr>
      <w:rPr>
        <w:rFonts w:ascii="Symbol" w:hAnsi="Symbol" w:hint="default"/>
      </w:rPr>
    </w:lvl>
    <w:lvl w:ilvl="7" w:tplc="D5D26A7E">
      <w:start w:val="1"/>
      <w:numFmt w:val="bullet"/>
      <w:lvlText w:val="o"/>
      <w:lvlJc w:val="left"/>
      <w:pPr>
        <w:ind w:left="5760" w:hanging="360"/>
      </w:pPr>
      <w:rPr>
        <w:rFonts w:ascii="Courier New" w:hAnsi="Courier New" w:hint="default"/>
      </w:rPr>
    </w:lvl>
    <w:lvl w:ilvl="8" w:tplc="C2107F9A">
      <w:start w:val="1"/>
      <w:numFmt w:val="bullet"/>
      <w:lvlText w:val=""/>
      <w:lvlJc w:val="left"/>
      <w:pPr>
        <w:ind w:left="6480" w:hanging="360"/>
      </w:pPr>
      <w:rPr>
        <w:rFonts w:ascii="Wingdings" w:hAnsi="Wingdings" w:hint="default"/>
      </w:rPr>
    </w:lvl>
  </w:abstractNum>
  <w:num w:numId="1" w16cid:durableId="1107114407">
    <w:abstractNumId w:val="4"/>
  </w:num>
  <w:num w:numId="2" w16cid:durableId="407264963">
    <w:abstractNumId w:val="3"/>
  </w:num>
  <w:num w:numId="3" w16cid:durableId="382605936">
    <w:abstractNumId w:val="1"/>
  </w:num>
  <w:num w:numId="4" w16cid:durableId="1088959708">
    <w:abstractNumId w:val="2"/>
  </w:num>
  <w:num w:numId="5" w16cid:durableId="161397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19BFE5"/>
    <w:rsid w:val="00002257"/>
    <w:rsid w:val="000261B7"/>
    <w:rsid w:val="00032D4E"/>
    <w:rsid w:val="000808FB"/>
    <w:rsid w:val="0009164A"/>
    <w:rsid w:val="000F08C1"/>
    <w:rsid w:val="000F46EA"/>
    <w:rsid w:val="00151A1D"/>
    <w:rsid w:val="00177F0E"/>
    <w:rsid w:val="00270C82"/>
    <w:rsid w:val="00351E35"/>
    <w:rsid w:val="003559FF"/>
    <w:rsid w:val="003A2AD9"/>
    <w:rsid w:val="00422C98"/>
    <w:rsid w:val="00435EEB"/>
    <w:rsid w:val="004517A1"/>
    <w:rsid w:val="00452A28"/>
    <w:rsid w:val="0045463D"/>
    <w:rsid w:val="004555C3"/>
    <w:rsid w:val="0047033D"/>
    <w:rsid w:val="00483C87"/>
    <w:rsid w:val="004958B0"/>
    <w:rsid w:val="004A20D3"/>
    <w:rsid w:val="0051458B"/>
    <w:rsid w:val="00565CAB"/>
    <w:rsid w:val="00566D65"/>
    <w:rsid w:val="005F3E5C"/>
    <w:rsid w:val="006118B7"/>
    <w:rsid w:val="00635479"/>
    <w:rsid w:val="0066402E"/>
    <w:rsid w:val="00675B75"/>
    <w:rsid w:val="00696F1E"/>
    <w:rsid w:val="006A33DD"/>
    <w:rsid w:val="006B588E"/>
    <w:rsid w:val="006C2DDE"/>
    <w:rsid w:val="006E4E17"/>
    <w:rsid w:val="006E7E45"/>
    <w:rsid w:val="006F2B4A"/>
    <w:rsid w:val="006F3DCC"/>
    <w:rsid w:val="007039C7"/>
    <w:rsid w:val="0070E77B"/>
    <w:rsid w:val="007370C7"/>
    <w:rsid w:val="00765C31"/>
    <w:rsid w:val="007721EF"/>
    <w:rsid w:val="007B0681"/>
    <w:rsid w:val="00814486"/>
    <w:rsid w:val="008149D2"/>
    <w:rsid w:val="008508E7"/>
    <w:rsid w:val="00855802"/>
    <w:rsid w:val="00890288"/>
    <w:rsid w:val="00895D3D"/>
    <w:rsid w:val="008C2BC4"/>
    <w:rsid w:val="008D5222"/>
    <w:rsid w:val="008E5DD8"/>
    <w:rsid w:val="008F1F2A"/>
    <w:rsid w:val="0097575E"/>
    <w:rsid w:val="009B3509"/>
    <w:rsid w:val="009C75A3"/>
    <w:rsid w:val="009E69FF"/>
    <w:rsid w:val="009F0334"/>
    <w:rsid w:val="00A045FD"/>
    <w:rsid w:val="00A17C64"/>
    <w:rsid w:val="00AB191A"/>
    <w:rsid w:val="00AD4342"/>
    <w:rsid w:val="00AE1BCE"/>
    <w:rsid w:val="00B357B0"/>
    <w:rsid w:val="00B91D46"/>
    <w:rsid w:val="00C00B25"/>
    <w:rsid w:val="00C01701"/>
    <w:rsid w:val="00C62EA9"/>
    <w:rsid w:val="00C76EC3"/>
    <w:rsid w:val="00CC0D0F"/>
    <w:rsid w:val="00CE1BDD"/>
    <w:rsid w:val="00D41BC8"/>
    <w:rsid w:val="00D57C62"/>
    <w:rsid w:val="00E16E69"/>
    <w:rsid w:val="00E32D0C"/>
    <w:rsid w:val="00E65A63"/>
    <w:rsid w:val="00E9757E"/>
    <w:rsid w:val="00EB202E"/>
    <w:rsid w:val="00EE03B2"/>
    <w:rsid w:val="00EE594B"/>
    <w:rsid w:val="00EE5E09"/>
    <w:rsid w:val="00F57BAA"/>
    <w:rsid w:val="00F91234"/>
    <w:rsid w:val="00FA1440"/>
    <w:rsid w:val="00FB67F8"/>
    <w:rsid w:val="01D77985"/>
    <w:rsid w:val="029473B7"/>
    <w:rsid w:val="02B016A1"/>
    <w:rsid w:val="030F4483"/>
    <w:rsid w:val="035E9BB3"/>
    <w:rsid w:val="03746A3E"/>
    <w:rsid w:val="03B04AA9"/>
    <w:rsid w:val="047A8703"/>
    <w:rsid w:val="048394CC"/>
    <w:rsid w:val="04988DFA"/>
    <w:rsid w:val="051390F5"/>
    <w:rsid w:val="052EC01C"/>
    <w:rsid w:val="056133BC"/>
    <w:rsid w:val="0574B51E"/>
    <w:rsid w:val="058AD313"/>
    <w:rsid w:val="07FE80DB"/>
    <w:rsid w:val="0819BFE5"/>
    <w:rsid w:val="0834AFF2"/>
    <w:rsid w:val="096A60E6"/>
    <w:rsid w:val="09C9093B"/>
    <w:rsid w:val="09E1E24D"/>
    <w:rsid w:val="0BC0BE52"/>
    <w:rsid w:val="0CE3F336"/>
    <w:rsid w:val="0D2E7B51"/>
    <w:rsid w:val="0E53B649"/>
    <w:rsid w:val="0F9F4987"/>
    <w:rsid w:val="10B192DE"/>
    <w:rsid w:val="10BFDB5D"/>
    <w:rsid w:val="10C7F9B6"/>
    <w:rsid w:val="119379CD"/>
    <w:rsid w:val="11CC892A"/>
    <w:rsid w:val="11F135C0"/>
    <w:rsid w:val="1234DB18"/>
    <w:rsid w:val="1273699F"/>
    <w:rsid w:val="129FE437"/>
    <w:rsid w:val="1454C754"/>
    <w:rsid w:val="1486DB8C"/>
    <w:rsid w:val="148AE433"/>
    <w:rsid w:val="14B07F16"/>
    <w:rsid w:val="14FA6E31"/>
    <w:rsid w:val="1618D04D"/>
    <w:rsid w:val="1683EF4D"/>
    <w:rsid w:val="16A9E396"/>
    <w:rsid w:val="16E7814D"/>
    <w:rsid w:val="170E857A"/>
    <w:rsid w:val="179DC2B4"/>
    <w:rsid w:val="17E985E3"/>
    <w:rsid w:val="17EDB762"/>
    <w:rsid w:val="182706C5"/>
    <w:rsid w:val="19EF37A3"/>
    <w:rsid w:val="1B25A091"/>
    <w:rsid w:val="1B4BEAA6"/>
    <w:rsid w:val="1C1AEB91"/>
    <w:rsid w:val="1D391AC3"/>
    <w:rsid w:val="1E8CCBDD"/>
    <w:rsid w:val="1F818837"/>
    <w:rsid w:val="1FD4773A"/>
    <w:rsid w:val="1FE6A905"/>
    <w:rsid w:val="20ED4AF4"/>
    <w:rsid w:val="210DC568"/>
    <w:rsid w:val="2170CE75"/>
    <w:rsid w:val="218A981A"/>
    <w:rsid w:val="21BBC52A"/>
    <w:rsid w:val="21C3ECD0"/>
    <w:rsid w:val="2209BC8A"/>
    <w:rsid w:val="22DA1F01"/>
    <w:rsid w:val="2343E001"/>
    <w:rsid w:val="23A555F7"/>
    <w:rsid w:val="23D51398"/>
    <w:rsid w:val="240A2554"/>
    <w:rsid w:val="241594D6"/>
    <w:rsid w:val="242CBD79"/>
    <w:rsid w:val="244612A6"/>
    <w:rsid w:val="24ABE509"/>
    <w:rsid w:val="259C9B05"/>
    <w:rsid w:val="25CD348B"/>
    <w:rsid w:val="2756D04F"/>
    <w:rsid w:val="2773BC81"/>
    <w:rsid w:val="27ED33DF"/>
    <w:rsid w:val="28168752"/>
    <w:rsid w:val="2895BFF1"/>
    <w:rsid w:val="29621342"/>
    <w:rsid w:val="2A0514D4"/>
    <w:rsid w:val="2C9A611A"/>
    <w:rsid w:val="2D3CAFE8"/>
    <w:rsid w:val="2D9CAA28"/>
    <w:rsid w:val="2E04C24C"/>
    <w:rsid w:val="2E9CE3C9"/>
    <w:rsid w:val="2EE845B5"/>
    <w:rsid w:val="2F49739E"/>
    <w:rsid w:val="2F663800"/>
    <w:rsid w:val="2FCB2C93"/>
    <w:rsid w:val="305EA2E5"/>
    <w:rsid w:val="3068A4B6"/>
    <w:rsid w:val="3103E97A"/>
    <w:rsid w:val="31CC9BD3"/>
    <w:rsid w:val="31DC4872"/>
    <w:rsid w:val="33EE6E9F"/>
    <w:rsid w:val="34C622A4"/>
    <w:rsid w:val="34EE37E3"/>
    <w:rsid w:val="35268972"/>
    <w:rsid w:val="35568728"/>
    <w:rsid w:val="367A66E0"/>
    <w:rsid w:val="382EED03"/>
    <w:rsid w:val="39A09AB8"/>
    <w:rsid w:val="3A9E85AD"/>
    <w:rsid w:val="3AA9C09C"/>
    <w:rsid w:val="3B17A730"/>
    <w:rsid w:val="3B332F89"/>
    <w:rsid w:val="3B341567"/>
    <w:rsid w:val="3B3B0461"/>
    <w:rsid w:val="3BA42C16"/>
    <w:rsid w:val="3C7E96C8"/>
    <w:rsid w:val="3CC39FC2"/>
    <w:rsid w:val="3CF46599"/>
    <w:rsid w:val="3D061950"/>
    <w:rsid w:val="3D1F4D24"/>
    <w:rsid w:val="3DA6BEA9"/>
    <w:rsid w:val="3E04398C"/>
    <w:rsid w:val="3E1EC625"/>
    <w:rsid w:val="3EB903CF"/>
    <w:rsid w:val="3EC7669F"/>
    <w:rsid w:val="3EC7B9BD"/>
    <w:rsid w:val="3FFB0F6D"/>
    <w:rsid w:val="403C597D"/>
    <w:rsid w:val="407BDC5D"/>
    <w:rsid w:val="40D6AAF6"/>
    <w:rsid w:val="410A596B"/>
    <w:rsid w:val="424F2C2B"/>
    <w:rsid w:val="43A1ED18"/>
    <w:rsid w:val="443B00B0"/>
    <w:rsid w:val="44BAC3A2"/>
    <w:rsid w:val="44EDDA5B"/>
    <w:rsid w:val="45B5FF20"/>
    <w:rsid w:val="469FBAE2"/>
    <w:rsid w:val="47283944"/>
    <w:rsid w:val="482BAB2D"/>
    <w:rsid w:val="492BFAF6"/>
    <w:rsid w:val="49A0D4FF"/>
    <w:rsid w:val="49DEB4D1"/>
    <w:rsid w:val="4A2F4F2A"/>
    <w:rsid w:val="4AE11C4D"/>
    <w:rsid w:val="4AED1445"/>
    <w:rsid w:val="4AF67153"/>
    <w:rsid w:val="4AFAEED3"/>
    <w:rsid w:val="4B7428C1"/>
    <w:rsid w:val="4C9B610A"/>
    <w:rsid w:val="4D2A8FBB"/>
    <w:rsid w:val="4D2D68D6"/>
    <w:rsid w:val="4D738EB4"/>
    <w:rsid w:val="4E4F4C4D"/>
    <w:rsid w:val="4EEDFA48"/>
    <w:rsid w:val="4EF87EBF"/>
    <w:rsid w:val="4F460121"/>
    <w:rsid w:val="4FC0C2A9"/>
    <w:rsid w:val="50181E83"/>
    <w:rsid w:val="50381E58"/>
    <w:rsid w:val="512A62FE"/>
    <w:rsid w:val="5140BC7E"/>
    <w:rsid w:val="516B7900"/>
    <w:rsid w:val="51C1D70A"/>
    <w:rsid w:val="524E502C"/>
    <w:rsid w:val="5251C93A"/>
    <w:rsid w:val="52619662"/>
    <w:rsid w:val="530048C8"/>
    <w:rsid w:val="53F7F247"/>
    <w:rsid w:val="546D1BE9"/>
    <w:rsid w:val="54FA9956"/>
    <w:rsid w:val="56857E12"/>
    <w:rsid w:val="56A09B34"/>
    <w:rsid w:val="573F3673"/>
    <w:rsid w:val="579ACC58"/>
    <w:rsid w:val="5804A901"/>
    <w:rsid w:val="5942401A"/>
    <w:rsid w:val="59CE622E"/>
    <w:rsid w:val="59E4B310"/>
    <w:rsid w:val="5BD6251B"/>
    <w:rsid w:val="5C3AFB69"/>
    <w:rsid w:val="5C6714FF"/>
    <w:rsid w:val="5CB34285"/>
    <w:rsid w:val="5DEDB077"/>
    <w:rsid w:val="5E330F07"/>
    <w:rsid w:val="5E87B3B8"/>
    <w:rsid w:val="5F39A4E5"/>
    <w:rsid w:val="607A3847"/>
    <w:rsid w:val="6153E8A8"/>
    <w:rsid w:val="618ACF93"/>
    <w:rsid w:val="618E4A47"/>
    <w:rsid w:val="6280650B"/>
    <w:rsid w:val="6314D6FA"/>
    <w:rsid w:val="63A24FF1"/>
    <w:rsid w:val="64A6B7DB"/>
    <w:rsid w:val="64CF9387"/>
    <w:rsid w:val="64ECD8D8"/>
    <w:rsid w:val="65772D61"/>
    <w:rsid w:val="65A7EA38"/>
    <w:rsid w:val="66484FB9"/>
    <w:rsid w:val="66AA53FF"/>
    <w:rsid w:val="66AAC1DF"/>
    <w:rsid w:val="66D68D4B"/>
    <w:rsid w:val="67654D56"/>
    <w:rsid w:val="67DE2450"/>
    <w:rsid w:val="67EE9AFC"/>
    <w:rsid w:val="681D09E1"/>
    <w:rsid w:val="683A4875"/>
    <w:rsid w:val="684FF0C7"/>
    <w:rsid w:val="687E03CF"/>
    <w:rsid w:val="6A0465AF"/>
    <w:rsid w:val="6A0CF593"/>
    <w:rsid w:val="6A54FD5A"/>
    <w:rsid w:val="6A9B8AE1"/>
    <w:rsid w:val="6AAB1DEA"/>
    <w:rsid w:val="6BAD2DD7"/>
    <w:rsid w:val="6C5898E1"/>
    <w:rsid w:val="6CC0AC7D"/>
    <w:rsid w:val="6DFAC92C"/>
    <w:rsid w:val="6EB8F09F"/>
    <w:rsid w:val="6FDAAF68"/>
    <w:rsid w:val="704B98A0"/>
    <w:rsid w:val="70763983"/>
    <w:rsid w:val="71CE9C84"/>
    <w:rsid w:val="71D167BD"/>
    <w:rsid w:val="7208E8D3"/>
    <w:rsid w:val="73883FAE"/>
    <w:rsid w:val="73AABD9A"/>
    <w:rsid w:val="744A0DE9"/>
    <w:rsid w:val="74CD43DB"/>
    <w:rsid w:val="75B1EF23"/>
    <w:rsid w:val="75F9C389"/>
    <w:rsid w:val="760ACA60"/>
    <w:rsid w:val="7704C086"/>
    <w:rsid w:val="775CB10B"/>
    <w:rsid w:val="7779384F"/>
    <w:rsid w:val="77E899C5"/>
    <w:rsid w:val="787BD9D6"/>
    <w:rsid w:val="798E1C0A"/>
    <w:rsid w:val="79BB3941"/>
    <w:rsid w:val="7A9E2220"/>
    <w:rsid w:val="7B1FCFAF"/>
    <w:rsid w:val="7C98C0F5"/>
    <w:rsid w:val="7D29A50D"/>
    <w:rsid w:val="7DA27CA8"/>
    <w:rsid w:val="7DDE2D37"/>
    <w:rsid w:val="7EA6CAC3"/>
    <w:rsid w:val="7EEC9700"/>
    <w:rsid w:val="7F0210B9"/>
    <w:rsid w:val="7F4C5B70"/>
    <w:rsid w:val="7F88CF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9BF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normaltextrun">
    <w:name w:val="normaltextrun"/>
    <w:basedOn w:val="DefaultParagraphFont"/>
    <w:uiPriority w:val="1"/>
    <w:rsid w:val="1B25A091"/>
    <w:rPr>
      <w:rFonts w:asciiTheme="minorHAnsi" w:eastAsiaTheme="minorEastAsia" w:hAnsiTheme="minorHAnsi" w:cstheme="minorBidi"/>
      <w:sz w:val="22"/>
      <w:szCs w:val="22"/>
    </w:rPr>
  </w:style>
  <w:style w:type="paragraph" w:customStyle="1" w:styleId="Default">
    <w:name w:val="Default"/>
    <w:basedOn w:val="Normal"/>
    <w:uiPriority w:val="1"/>
    <w:rsid w:val="1B25A091"/>
    <w:pPr>
      <w:spacing w:after="0"/>
    </w:pPr>
    <w:rPr>
      <w:color w:val="000000" w:themeColor="text1"/>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7C64"/>
    <w:pPr>
      <w:spacing w:after="0" w:line="240" w:lineRule="auto"/>
    </w:pPr>
  </w:style>
  <w:style w:type="table" w:styleId="GridTable1Light">
    <w:name w:val="Grid Table 1 Light"/>
    <w:basedOn w:val="TableNormal"/>
    <w:uiPriority w:val="46"/>
    <w:rsid w:val="008558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55802"/>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55802"/>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403C597D"/>
    <w:pPr>
      <w:ind w:left="720"/>
      <w:contextualSpacing/>
    </w:pPr>
  </w:style>
  <w:style w:type="table" w:styleId="GridTable2">
    <w:name w:val="Grid Table 2"/>
    <w:basedOn w:val="TableNormal"/>
    <w:uiPriority w:val="47"/>
    <w:rsid w:val="00FA144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FA144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A14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FA144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7039C7"/>
    <w:rPr>
      <w:color w:val="605E5C"/>
      <w:shd w:val="clear" w:color="auto" w:fill="E1DFDD"/>
    </w:rPr>
  </w:style>
  <w:style w:type="character" w:styleId="FollowedHyperlink">
    <w:name w:val="FollowedHyperlink"/>
    <w:basedOn w:val="DefaultParagraphFont"/>
    <w:uiPriority w:val="99"/>
    <w:semiHidden/>
    <w:unhideWhenUsed/>
    <w:rsid w:val="00422C9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KPlanningGrant@cde.ca.gov" TargetMode="External"/><Relationship Id="rId3" Type="http://schemas.openxmlformats.org/officeDocument/2006/relationships/settings" Target="settings.xml"/><Relationship Id="rId7" Type="http://schemas.openxmlformats.org/officeDocument/2006/relationships/hyperlink" Target="https://leginfo.legislature.ca.gov/faces/codes_displayText.xhtml?lawCode=EDC&amp;division=1.&amp;title=1.&amp;part=6.&amp;chapter=2.&amp;article=1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de.ca.gov/fg/ac/ic/" TargetMode="External"/><Relationship Id="rId4" Type="http://schemas.openxmlformats.org/officeDocument/2006/relationships/webSettings" Target="webSettings.xml"/><Relationship Id="rId9" Type="http://schemas.openxmlformats.org/officeDocument/2006/relationships/hyperlink" Target="https://www.cde.ca.gov/fg/ac/sa/documents/csam2019comple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UPK P&amp;I Allowable Expenses - Elementary (CA Dept of Education)</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UPK P&amp;I Allowable Expenses - Elementary (CA Dept of Education)</dc:title>
  <dc:subject>Universal Prekindergarten Planning and Implementation Allowable Expenses.</dc:subject>
  <dc:creator/>
  <cp:keywords/>
  <dc:description/>
  <cp:lastModifiedBy/>
  <cp:revision>1</cp:revision>
  <dcterms:created xsi:type="dcterms:W3CDTF">2025-03-10T22:14:00Z</dcterms:created>
  <dcterms:modified xsi:type="dcterms:W3CDTF">2025-03-12T20:29:00Z</dcterms:modified>
</cp:coreProperties>
</file>