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4EE9" w14:textId="77777777" w:rsidR="00023BF4" w:rsidRDefault="00023BF4" w:rsidP="00513ACC">
      <w:pPr>
        <w:pBdr>
          <w:top w:val="single" w:sz="18" w:space="1" w:color="auto"/>
          <w:left w:val="single" w:sz="18" w:space="4" w:color="auto"/>
          <w:bottom w:val="single" w:sz="18" w:space="1" w:color="auto"/>
          <w:right w:val="single" w:sz="18" w:space="4" w:color="auto"/>
        </w:pBdr>
        <w:spacing w:after="640"/>
        <w:rPr>
          <w:rFonts w:ascii="Arial" w:hAnsi="Arial" w:cs="Arial"/>
          <w:b/>
          <w:bCs/>
          <w:sz w:val="28"/>
          <w:szCs w:val="28"/>
        </w:rPr>
      </w:pPr>
    </w:p>
    <w:p w14:paraId="7B6C5A54" w14:textId="62A818F5" w:rsidR="00A70529" w:rsidRPr="00A54325" w:rsidRDefault="00A70529" w:rsidP="00513ACC">
      <w:pPr>
        <w:pBdr>
          <w:top w:val="single" w:sz="18" w:space="1" w:color="auto"/>
          <w:left w:val="single" w:sz="18" w:space="4" w:color="auto"/>
          <w:bottom w:val="single" w:sz="18" w:space="1" w:color="auto"/>
          <w:right w:val="single" w:sz="18" w:space="4" w:color="auto"/>
        </w:pBdr>
        <w:spacing w:after="480"/>
        <w:jc w:val="center"/>
        <w:rPr>
          <w:rFonts w:ascii="Arial" w:hAnsi="Arial" w:cs="Arial"/>
          <w:b/>
          <w:bCs/>
          <w:sz w:val="28"/>
          <w:szCs w:val="28"/>
        </w:rPr>
      </w:pPr>
      <w:r w:rsidRPr="00A54325">
        <w:rPr>
          <w:rFonts w:ascii="Arial" w:hAnsi="Arial" w:cs="Arial"/>
          <w:b/>
          <w:bCs/>
          <w:sz w:val="28"/>
          <w:szCs w:val="28"/>
        </w:rPr>
        <w:t>California Department of Education</w:t>
      </w:r>
    </w:p>
    <w:p w14:paraId="0638730B" w14:textId="6DA4C98A" w:rsidR="00EB4CD9" w:rsidRPr="00023BF4" w:rsidRDefault="00A70529" w:rsidP="00513ACC">
      <w:pPr>
        <w:pStyle w:val="Heading1"/>
        <w:pBdr>
          <w:top w:val="single" w:sz="18" w:space="1" w:color="auto"/>
          <w:left w:val="single" w:sz="18" w:space="4" w:color="auto"/>
          <w:bottom w:val="single" w:sz="18" w:space="1" w:color="auto"/>
          <w:right w:val="single" w:sz="18" w:space="4" w:color="auto"/>
        </w:pBdr>
      </w:pPr>
      <w:bookmarkStart w:id="0" w:name="_Toc148514278"/>
      <w:r w:rsidRPr="00023BF4">
        <w:t>Report to the</w:t>
      </w:r>
      <w:r w:rsidR="00892278" w:rsidRPr="00023BF4">
        <w:t xml:space="preserve"> </w:t>
      </w:r>
      <w:r w:rsidRPr="00023BF4">
        <w:t>Legislature</w:t>
      </w:r>
      <w:r w:rsidR="00564EAE" w:rsidRPr="00023BF4">
        <w:t xml:space="preserve"> and the Department of Finance</w:t>
      </w:r>
      <w:r w:rsidRPr="00023BF4">
        <w:t>:</w:t>
      </w:r>
      <w:r w:rsidR="00147218" w:rsidRPr="00023BF4">
        <w:t xml:space="preserve"> The Educator Effectiveness Funds Block Grant</w:t>
      </w:r>
      <w:bookmarkEnd w:id="0"/>
    </w:p>
    <w:p w14:paraId="3125C115" w14:textId="1AAD1BFB" w:rsidR="00A70529" w:rsidRDefault="00EE3BB5" w:rsidP="00513ACC">
      <w:pPr>
        <w:pBdr>
          <w:top w:val="single" w:sz="18" w:space="1" w:color="auto"/>
          <w:left w:val="single" w:sz="18" w:space="4" w:color="auto"/>
          <w:bottom w:val="single" w:sz="18" w:space="1" w:color="auto"/>
          <w:right w:val="single" w:sz="18" w:space="4" w:color="auto"/>
        </w:pBdr>
        <w:jc w:val="center"/>
        <w:rPr>
          <w:rFonts w:ascii="Arial" w:hAnsi="Arial" w:cs="Arial"/>
          <w:b/>
          <w:bCs/>
        </w:rPr>
      </w:pPr>
      <w:r>
        <w:rPr>
          <w:rFonts w:ascii="Arial" w:hAnsi="Arial"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55pt;height:179.55pt" o:ole="">
            <v:imagedata r:id="rId11" o:title=""/>
          </v:shape>
          <o:OLEObject Type="Embed" ProgID="MSPhotoEd.3" ShapeID="_x0000_i1025" DrawAspect="Content" ObjectID="_1779175173" r:id="rId12"/>
        </w:object>
      </w:r>
    </w:p>
    <w:p w14:paraId="50E3CF71" w14:textId="77777777" w:rsidR="00A70529" w:rsidRDefault="00A70529" w:rsidP="00513ACC">
      <w:pPr>
        <w:pBdr>
          <w:top w:val="single" w:sz="18" w:space="1" w:color="auto"/>
          <w:left w:val="single" w:sz="18" w:space="4" w:color="auto"/>
          <w:bottom w:val="single" w:sz="18" w:space="1" w:color="auto"/>
          <w:right w:val="single" w:sz="18" w:space="4" w:color="auto"/>
        </w:pBdr>
        <w:spacing w:before="720" w:after="240"/>
        <w:jc w:val="center"/>
        <w:rPr>
          <w:rFonts w:ascii="Arial" w:hAnsi="Arial" w:cs="Arial"/>
          <w:b/>
          <w:bCs/>
          <w:iCs/>
        </w:rPr>
      </w:pPr>
      <w:r>
        <w:rPr>
          <w:rFonts w:ascii="Arial" w:hAnsi="Arial" w:cs="Arial"/>
          <w:b/>
          <w:bCs/>
          <w:iCs/>
        </w:rPr>
        <w:t>Prepared by:</w:t>
      </w:r>
    </w:p>
    <w:p w14:paraId="07F62240" w14:textId="52CEEF41" w:rsidR="00A70529" w:rsidRPr="006528A8" w:rsidRDefault="00660A45" w:rsidP="00513ACC">
      <w:pPr>
        <w:pBdr>
          <w:top w:val="single" w:sz="18" w:space="1" w:color="auto"/>
          <w:left w:val="single" w:sz="18" w:space="4" w:color="auto"/>
          <w:bottom w:val="single" w:sz="18" w:space="1" w:color="auto"/>
          <w:right w:val="single" w:sz="18" w:space="4" w:color="auto"/>
        </w:pBdr>
        <w:spacing w:after="240"/>
        <w:jc w:val="center"/>
        <w:rPr>
          <w:rFonts w:ascii="Arial" w:hAnsi="Arial" w:cs="Arial"/>
          <w:b/>
          <w:bCs/>
          <w:sz w:val="28"/>
          <w:szCs w:val="28"/>
        </w:rPr>
      </w:pPr>
      <w:r>
        <w:rPr>
          <w:rFonts w:ascii="Arial" w:hAnsi="Arial" w:cs="Arial"/>
          <w:b/>
          <w:bCs/>
          <w:sz w:val="28"/>
          <w:szCs w:val="28"/>
        </w:rPr>
        <w:t>Professional Learning Support</w:t>
      </w:r>
      <w:r w:rsidR="00A70529" w:rsidRPr="006528A8">
        <w:rPr>
          <w:rFonts w:ascii="Arial" w:hAnsi="Arial" w:cs="Arial"/>
          <w:b/>
          <w:bCs/>
          <w:sz w:val="28"/>
          <w:szCs w:val="28"/>
        </w:rPr>
        <w:t xml:space="preserve"> Division</w:t>
      </w:r>
    </w:p>
    <w:p w14:paraId="088C9A04" w14:textId="6A773E50" w:rsidR="00A70529" w:rsidRPr="006528A8" w:rsidRDefault="006528A8" w:rsidP="00513ACC">
      <w:pPr>
        <w:pBdr>
          <w:top w:val="single" w:sz="18" w:space="1" w:color="auto"/>
          <w:left w:val="single" w:sz="18" w:space="4" w:color="auto"/>
          <w:bottom w:val="single" w:sz="18" w:space="1" w:color="auto"/>
          <w:right w:val="single" w:sz="18" w:space="4" w:color="auto"/>
        </w:pBdr>
        <w:spacing w:after="240"/>
        <w:jc w:val="center"/>
        <w:rPr>
          <w:rFonts w:ascii="Arial" w:hAnsi="Arial" w:cs="Arial"/>
          <w:b/>
          <w:bCs/>
          <w:sz w:val="28"/>
          <w:szCs w:val="28"/>
        </w:rPr>
      </w:pPr>
      <w:r w:rsidRPr="006528A8">
        <w:rPr>
          <w:rFonts w:ascii="Arial" w:hAnsi="Arial" w:cs="Arial"/>
          <w:b/>
          <w:bCs/>
          <w:sz w:val="28"/>
          <w:szCs w:val="28"/>
        </w:rPr>
        <w:t>Instruction, Measurement, and Administration</w:t>
      </w:r>
      <w:r w:rsidR="00A70529" w:rsidRPr="006528A8">
        <w:rPr>
          <w:rFonts w:ascii="Arial" w:hAnsi="Arial" w:cs="Arial"/>
          <w:b/>
          <w:bCs/>
          <w:sz w:val="28"/>
          <w:szCs w:val="28"/>
        </w:rPr>
        <w:t xml:space="preserve"> Branch</w:t>
      </w:r>
    </w:p>
    <w:p w14:paraId="51500E8C" w14:textId="51A2B7EF" w:rsidR="00A70529" w:rsidRPr="006528A8" w:rsidRDefault="006528A8" w:rsidP="00513ACC">
      <w:pPr>
        <w:pBdr>
          <w:top w:val="single" w:sz="18" w:space="1" w:color="auto"/>
          <w:left w:val="single" w:sz="18" w:space="4" w:color="auto"/>
          <w:bottom w:val="single" w:sz="18" w:space="1" w:color="auto"/>
          <w:right w:val="single" w:sz="18" w:space="4" w:color="auto"/>
        </w:pBdr>
        <w:spacing w:after="240"/>
        <w:jc w:val="center"/>
        <w:rPr>
          <w:rFonts w:ascii="Arial" w:hAnsi="Arial" w:cs="Arial"/>
          <w:iCs/>
        </w:rPr>
      </w:pPr>
      <w:r w:rsidRPr="006528A8">
        <w:rPr>
          <w:rFonts w:ascii="Arial" w:hAnsi="Arial" w:cs="Arial"/>
          <w:iCs/>
        </w:rPr>
        <w:t>November 2023</w:t>
      </w:r>
    </w:p>
    <w:p w14:paraId="4FD5AD94" w14:textId="4981737F" w:rsidR="00A70529" w:rsidRPr="001F4B6C" w:rsidRDefault="00A70529" w:rsidP="00513ACC">
      <w:pPr>
        <w:pBdr>
          <w:top w:val="single" w:sz="18" w:space="1" w:color="auto"/>
          <w:left w:val="single" w:sz="18" w:space="4" w:color="auto"/>
          <w:bottom w:val="single" w:sz="18" w:space="1" w:color="auto"/>
          <w:right w:val="single" w:sz="18" w:space="4" w:color="auto"/>
        </w:pBdr>
        <w:spacing w:after="240"/>
        <w:jc w:val="both"/>
        <w:rPr>
          <w:rFonts w:ascii="Arial" w:hAnsi="Arial" w:cs="Arial"/>
          <w:color w:val="000000" w:themeColor="text1"/>
          <w:lang w:bidi="en-US"/>
        </w:rPr>
      </w:pPr>
      <w:r w:rsidRPr="006528A8">
        <w:rPr>
          <w:rFonts w:ascii="Arial" w:hAnsi="Arial" w:cs="Arial"/>
          <w:i/>
          <w:lang w:bidi="en-US"/>
        </w:rPr>
        <w:t>Description</w:t>
      </w:r>
      <w:r w:rsidRPr="006528A8">
        <w:rPr>
          <w:rFonts w:ascii="Arial" w:hAnsi="Arial" w:cs="Arial"/>
          <w:lang w:bidi="en-US"/>
        </w:rPr>
        <w:t xml:space="preserve">: </w:t>
      </w:r>
      <w:r w:rsidR="006528A8" w:rsidRPr="006528A8">
        <w:rPr>
          <w:rFonts w:ascii="Arial" w:hAnsi="Arial" w:cs="Arial"/>
          <w:lang w:bidi="en-US"/>
        </w:rPr>
        <w:t xml:space="preserve">Report of </w:t>
      </w:r>
      <w:r w:rsidR="001E7BFE">
        <w:rPr>
          <w:rFonts w:ascii="Arial" w:hAnsi="Arial" w:cs="Arial"/>
          <w:lang w:bidi="en-US"/>
        </w:rPr>
        <w:t xml:space="preserve">the </w:t>
      </w:r>
      <w:r w:rsidR="006528A8" w:rsidRPr="006528A8">
        <w:rPr>
          <w:rFonts w:ascii="Arial" w:hAnsi="Arial" w:cs="Arial"/>
          <w:lang w:bidi="en-US"/>
        </w:rPr>
        <w:t>California Educator Effectiv</w:t>
      </w:r>
      <w:r w:rsidR="006528A8" w:rsidRPr="001F4B6C">
        <w:rPr>
          <w:rFonts w:ascii="Arial" w:hAnsi="Arial" w:cs="Arial"/>
          <w:color w:val="000000" w:themeColor="text1"/>
          <w:lang w:bidi="en-US"/>
        </w:rPr>
        <w:t>eness Funds Block Grant</w:t>
      </w:r>
    </w:p>
    <w:p w14:paraId="2D8D7EA9" w14:textId="760C63B6" w:rsidR="00A70529" w:rsidRPr="001F4B6C" w:rsidRDefault="00A70529" w:rsidP="00513ACC">
      <w:pPr>
        <w:pBdr>
          <w:top w:val="single" w:sz="18" w:space="1" w:color="auto"/>
          <w:left w:val="single" w:sz="18" w:space="4" w:color="auto"/>
          <w:bottom w:val="single" w:sz="18" w:space="1" w:color="auto"/>
          <w:right w:val="single" w:sz="18" w:space="4" w:color="auto"/>
        </w:pBdr>
        <w:spacing w:after="240"/>
        <w:jc w:val="both"/>
        <w:rPr>
          <w:rFonts w:ascii="Arial" w:hAnsi="Arial" w:cs="Arial"/>
          <w:color w:val="000000" w:themeColor="text1"/>
          <w:lang w:bidi="en-US"/>
        </w:rPr>
      </w:pPr>
      <w:r w:rsidRPr="001F4B6C">
        <w:rPr>
          <w:rFonts w:ascii="Arial" w:hAnsi="Arial" w:cs="Arial"/>
          <w:i/>
          <w:color w:val="000000" w:themeColor="text1"/>
          <w:lang w:bidi="en-US"/>
        </w:rPr>
        <w:t>Authority</w:t>
      </w:r>
      <w:r w:rsidRPr="001F4B6C">
        <w:rPr>
          <w:rFonts w:ascii="Arial" w:hAnsi="Arial" w:cs="Arial"/>
          <w:color w:val="000000" w:themeColor="text1"/>
          <w:lang w:bidi="en-US"/>
        </w:rPr>
        <w:t xml:space="preserve">: </w:t>
      </w:r>
      <w:r w:rsidR="00B37532" w:rsidRPr="001F4B6C">
        <w:rPr>
          <w:rFonts w:ascii="Arial" w:hAnsi="Arial" w:cs="Arial"/>
          <w:color w:val="000000" w:themeColor="text1"/>
          <w:lang w:bidi="en-US"/>
        </w:rPr>
        <w:t xml:space="preserve">California </w:t>
      </w:r>
      <w:r w:rsidR="00E03597" w:rsidRPr="001F4B6C">
        <w:rPr>
          <w:rFonts w:ascii="Arial" w:hAnsi="Arial" w:cs="Arial"/>
          <w:i/>
          <w:color w:val="000000" w:themeColor="text1"/>
          <w:lang w:bidi="en-US"/>
        </w:rPr>
        <w:t>E</w:t>
      </w:r>
      <w:r w:rsidR="00913664" w:rsidRPr="001F4B6C">
        <w:rPr>
          <w:rFonts w:ascii="Arial" w:hAnsi="Arial" w:cs="Arial"/>
          <w:i/>
          <w:color w:val="000000" w:themeColor="text1"/>
          <w:lang w:bidi="en-US"/>
        </w:rPr>
        <w:t>ducation Code</w:t>
      </w:r>
      <w:r w:rsidR="00913664" w:rsidRPr="001F4B6C">
        <w:rPr>
          <w:rFonts w:ascii="Arial" w:hAnsi="Arial" w:cs="Arial"/>
          <w:color w:val="000000" w:themeColor="text1"/>
          <w:lang w:bidi="en-US"/>
        </w:rPr>
        <w:t xml:space="preserve"> </w:t>
      </w:r>
      <w:r w:rsidR="00B37532" w:rsidRPr="001F4B6C">
        <w:rPr>
          <w:rFonts w:ascii="Arial" w:hAnsi="Arial" w:cs="Arial"/>
          <w:color w:val="000000" w:themeColor="text1"/>
          <w:lang w:bidi="en-US"/>
        </w:rPr>
        <w:t>Section</w:t>
      </w:r>
      <w:r w:rsidR="00E03597" w:rsidRPr="001F4B6C">
        <w:rPr>
          <w:rFonts w:ascii="Arial" w:hAnsi="Arial" w:cs="Arial"/>
          <w:color w:val="000000" w:themeColor="text1"/>
          <w:lang w:bidi="en-US"/>
        </w:rPr>
        <w:t xml:space="preserve"> 41480</w:t>
      </w:r>
    </w:p>
    <w:p w14:paraId="5E4FFB83" w14:textId="36344456" w:rsidR="00A70529" w:rsidRPr="001F4B6C" w:rsidRDefault="00A70529" w:rsidP="00513ACC">
      <w:pPr>
        <w:pBdr>
          <w:top w:val="single" w:sz="18" w:space="1" w:color="auto"/>
          <w:left w:val="single" w:sz="18" w:space="4" w:color="auto"/>
          <w:bottom w:val="single" w:sz="18" w:space="1" w:color="auto"/>
          <w:right w:val="single" w:sz="18" w:space="4" w:color="auto"/>
        </w:pBdr>
        <w:spacing w:after="240"/>
        <w:jc w:val="both"/>
        <w:rPr>
          <w:rFonts w:ascii="Arial" w:hAnsi="Arial" w:cs="Arial"/>
          <w:color w:val="000000" w:themeColor="text1"/>
          <w:lang w:bidi="en-US"/>
        </w:rPr>
      </w:pPr>
      <w:r w:rsidRPr="001F4B6C">
        <w:rPr>
          <w:rFonts w:ascii="Arial" w:hAnsi="Arial" w:cs="Arial"/>
          <w:i/>
          <w:color w:val="000000" w:themeColor="text1"/>
          <w:lang w:bidi="en-US"/>
        </w:rPr>
        <w:t>Recipient</w:t>
      </w:r>
      <w:r w:rsidRPr="001F4B6C">
        <w:rPr>
          <w:rFonts w:ascii="Arial" w:hAnsi="Arial" w:cs="Arial"/>
          <w:color w:val="000000" w:themeColor="text1"/>
          <w:lang w:bidi="en-US"/>
        </w:rPr>
        <w:t xml:space="preserve">: </w:t>
      </w:r>
      <w:r w:rsidR="006528A8" w:rsidRPr="001F4B6C">
        <w:rPr>
          <w:rFonts w:ascii="Arial" w:hAnsi="Arial" w:cs="Arial"/>
          <w:color w:val="000000" w:themeColor="text1"/>
          <w:lang w:bidi="en-US"/>
        </w:rPr>
        <w:t>The Legislature</w:t>
      </w:r>
      <w:r w:rsidR="008019EA" w:rsidRPr="001F4B6C">
        <w:rPr>
          <w:rFonts w:ascii="Arial" w:hAnsi="Arial" w:cs="Arial"/>
          <w:color w:val="000000" w:themeColor="text1"/>
          <w:lang w:bidi="en-US"/>
        </w:rPr>
        <w:t xml:space="preserve"> and the Department of Finance</w:t>
      </w:r>
    </w:p>
    <w:p w14:paraId="274CA3DE" w14:textId="07841793" w:rsidR="00A70529" w:rsidRDefault="00A70529" w:rsidP="00513ACC">
      <w:pPr>
        <w:pBdr>
          <w:top w:val="single" w:sz="18" w:space="1" w:color="auto"/>
          <w:left w:val="single" w:sz="18" w:space="4" w:color="auto"/>
          <w:bottom w:val="single" w:sz="18" w:space="1" w:color="auto"/>
          <w:right w:val="single" w:sz="18" w:space="4" w:color="auto"/>
        </w:pBdr>
        <w:spacing w:after="240"/>
        <w:jc w:val="both"/>
        <w:rPr>
          <w:rFonts w:ascii="Arial" w:hAnsi="Arial" w:cs="Arial"/>
          <w:color w:val="000000" w:themeColor="text1"/>
          <w:lang w:bidi="en-US"/>
        </w:rPr>
      </w:pPr>
      <w:r w:rsidRPr="001F4B6C">
        <w:rPr>
          <w:rFonts w:ascii="Arial" w:hAnsi="Arial" w:cs="Arial"/>
          <w:i/>
          <w:color w:val="000000" w:themeColor="text1"/>
          <w:lang w:bidi="en-US"/>
        </w:rPr>
        <w:t>Due Date</w:t>
      </w:r>
      <w:r w:rsidRPr="001F4B6C">
        <w:rPr>
          <w:rFonts w:ascii="Arial" w:hAnsi="Arial" w:cs="Arial"/>
          <w:color w:val="000000" w:themeColor="text1"/>
          <w:lang w:bidi="en-US"/>
        </w:rPr>
        <w:t xml:space="preserve">: </w:t>
      </w:r>
      <w:r w:rsidR="00200C85" w:rsidRPr="001F4B6C">
        <w:rPr>
          <w:rFonts w:ascii="Arial" w:hAnsi="Arial" w:cs="Arial"/>
          <w:color w:val="000000" w:themeColor="text1"/>
          <w:lang w:bidi="en-US"/>
        </w:rPr>
        <w:t>January 1, 2024</w:t>
      </w:r>
    </w:p>
    <w:p w14:paraId="718918A6" w14:textId="77777777" w:rsidR="004D11D1" w:rsidRDefault="004D11D1" w:rsidP="00513ACC">
      <w:pPr>
        <w:pBdr>
          <w:top w:val="single" w:sz="18" w:space="1" w:color="auto"/>
          <w:left w:val="single" w:sz="18" w:space="4" w:color="auto"/>
          <w:bottom w:val="single" w:sz="18" w:space="1" w:color="auto"/>
          <w:right w:val="single" w:sz="18" w:space="4" w:color="auto"/>
        </w:pBdr>
        <w:spacing w:after="240"/>
        <w:jc w:val="both"/>
        <w:rPr>
          <w:rFonts w:ascii="Arial" w:hAnsi="Arial" w:cs="Arial"/>
          <w:color w:val="000000" w:themeColor="text1"/>
          <w:lang w:bidi="en-US"/>
        </w:rPr>
      </w:pPr>
    </w:p>
    <w:p w14:paraId="5B510233" w14:textId="77777777" w:rsidR="00F614E3" w:rsidRDefault="00F614E3" w:rsidP="00A70529"/>
    <w:p w14:paraId="4DCE4315" w14:textId="77777777" w:rsidR="00315109" w:rsidRPr="002B7FBD" w:rsidRDefault="00315109" w:rsidP="00A70529">
      <w:pPr>
        <w:rPr>
          <w:rFonts w:ascii="Arial" w:hAnsi="Arial" w:cs="Arial"/>
        </w:rPr>
        <w:sectPr w:rsidR="00315109" w:rsidRPr="002B7FBD" w:rsidSect="00A66186">
          <w:footerReference w:type="default" r:id="rId13"/>
          <w:pgSz w:w="12240" w:h="15840"/>
          <w:pgMar w:top="1440" w:right="1440" w:bottom="1440" w:left="1440" w:header="720" w:footer="720" w:gutter="0"/>
          <w:pgNumType w:start="1"/>
          <w:cols w:space="720"/>
          <w:titlePg/>
          <w:docGrid w:linePitch="360"/>
        </w:sectPr>
      </w:pPr>
    </w:p>
    <w:p w14:paraId="7EDF5C43" w14:textId="77777777" w:rsidR="00941F84" w:rsidRPr="002B7FBD" w:rsidRDefault="00941F84" w:rsidP="00FA1782">
      <w:pPr>
        <w:tabs>
          <w:tab w:val="decimal" w:leader="dot" w:pos="8820"/>
        </w:tabs>
        <w:spacing w:after="240"/>
        <w:ind w:right="-180"/>
        <w:jc w:val="center"/>
        <w:rPr>
          <w:rFonts w:ascii="Arial" w:hAnsi="Arial" w:cs="Arial"/>
          <w:b/>
          <w:bCs/>
          <w:color w:val="000000" w:themeColor="text1"/>
        </w:rPr>
      </w:pPr>
      <w:r w:rsidRPr="002B7FBD">
        <w:rPr>
          <w:rFonts w:ascii="Arial" w:hAnsi="Arial" w:cs="Arial"/>
          <w:b/>
          <w:bCs/>
        </w:rPr>
        <w:lastRenderedPageBreak/>
        <w:t>California Departmen</w:t>
      </w:r>
      <w:r w:rsidRPr="002B7FBD">
        <w:rPr>
          <w:rFonts w:ascii="Arial" w:hAnsi="Arial" w:cs="Arial"/>
          <w:b/>
          <w:bCs/>
          <w:color w:val="000000" w:themeColor="text1"/>
        </w:rPr>
        <w:t>t of Education</w:t>
      </w:r>
    </w:p>
    <w:p w14:paraId="0541EFF1" w14:textId="024DB494" w:rsidR="00941F84" w:rsidRPr="002B7FBD" w:rsidRDefault="00941F84" w:rsidP="00B3765E">
      <w:pPr>
        <w:spacing w:after="240"/>
        <w:jc w:val="center"/>
        <w:rPr>
          <w:rFonts w:ascii="Arial" w:hAnsi="Arial" w:cs="Arial"/>
          <w:b/>
          <w:color w:val="000000" w:themeColor="text1"/>
        </w:rPr>
      </w:pPr>
      <w:r w:rsidRPr="002B7FBD">
        <w:rPr>
          <w:rFonts w:ascii="Arial" w:hAnsi="Arial" w:cs="Arial"/>
          <w:b/>
          <w:color w:val="000000" w:themeColor="text1"/>
        </w:rPr>
        <w:t>Report to the Legislature</w:t>
      </w:r>
      <w:r w:rsidR="00564EAE" w:rsidRPr="002B7FBD">
        <w:rPr>
          <w:rFonts w:ascii="Arial" w:hAnsi="Arial" w:cs="Arial"/>
          <w:b/>
          <w:color w:val="000000" w:themeColor="text1"/>
        </w:rPr>
        <w:t xml:space="preserve"> and the Department of Finance</w:t>
      </w:r>
      <w:r w:rsidRPr="002B7FBD">
        <w:rPr>
          <w:rFonts w:ascii="Arial" w:hAnsi="Arial" w:cs="Arial"/>
          <w:b/>
          <w:color w:val="000000" w:themeColor="text1"/>
        </w:rPr>
        <w:t>:</w:t>
      </w:r>
      <w:r w:rsidR="00EE3608" w:rsidRPr="002B7FBD">
        <w:rPr>
          <w:rFonts w:ascii="Arial" w:hAnsi="Arial" w:cs="Arial"/>
          <w:b/>
          <w:color w:val="000000" w:themeColor="text1"/>
        </w:rPr>
        <w:t xml:space="preserve"> The Educator Effectiveness Funds Block Grant</w:t>
      </w:r>
    </w:p>
    <w:sdt>
      <w:sdtPr>
        <w:rPr>
          <w:rFonts w:ascii="Times New Roman" w:eastAsia="Times New Roman" w:hAnsi="Times New Roman" w:cs="Times New Roman"/>
          <w:color w:val="auto"/>
          <w:sz w:val="24"/>
          <w:szCs w:val="24"/>
        </w:rPr>
        <w:id w:val="547035571"/>
        <w:docPartObj>
          <w:docPartGallery w:val="Table of Contents"/>
          <w:docPartUnique/>
        </w:docPartObj>
      </w:sdtPr>
      <w:sdtEndPr>
        <w:rPr>
          <w:b/>
          <w:bCs/>
          <w:noProof/>
        </w:rPr>
      </w:sdtEndPr>
      <w:sdtContent>
        <w:p w14:paraId="0DA3A390" w14:textId="0B4E671F" w:rsidR="00267A3C" w:rsidRPr="0074353C" w:rsidRDefault="00267A3C" w:rsidP="00761E73">
          <w:pPr>
            <w:pStyle w:val="TOCHeading"/>
            <w:spacing w:before="0" w:after="240" w:line="240" w:lineRule="auto"/>
            <w:jc w:val="center"/>
            <w:rPr>
              <w:rFonts w:ascii="Arial" w:hAnsi="Arial" w:cs="Arial"/>
              <w:b/>
              <w:color w:val="auto"/>
              <w:sz w:val="28"/>
              <w:szCs w:val="28"/>
            </w:rPr>
          </w:pPr>
          <w:r w:rsidRPr="0074353C">
            <w:rPr>
              <w:rFonts w:ascii="Arial" w:hAnsi="Arial" w:cs="Arial"/>
              <w:b/>
              <w:color w:val="auto"/>
              <w:sz w:val="28"/>
              <w:szCs w:val="28"/>
            </w:rPr>
            <w:t>Table of Contents</w:t>
          </w:r>
        </w:p>
        <w:p w14:paraId="4136BE61" w14:textId="1257B1F1" w:rsidR="0074353C" w:rsidRPr="00E17614" w:rsidRDefault="00267A3C" w:rsidP="006227AC">
          <w:pPr>
            <w:pStyle w:val="TOC1"/>
            <w:rPr>
              <w:rFonts w:eastAsiaTheme="minorEastAsia"/>
              <w:kern w:val="2"/>
              <w:sz w:val="22"/>
              <w:szCs w:val="22"/>
              <w14:ligatures w14:val="standardContextual"/>
            </w:rPr>
          </w:pPr>
          <w:r w:rsidRPr="00E17614">
            <w:fldChar w:fldCharType="begin"/>
          </w:r>
          <w:r w:rsidRPr="00E17614">
            <w:instrText xml:space="preserve"> TOC \o "1-3" \h \z \u </w:instrText>
          </w:r>
          <w:r w:rsidRPr="00E17614">
            <w:fldChar w:fldCharType="separate"/>
          </w:r>
          <w:hyperlink w:anchor="_Toc148959806" w:history="1">
            <w:r w:rsidR="0074353C" w:rsidRPr="00E17614">
              <w:rPr>
                <w:rStyle w:val="Hyperlink"/>
              </w:rPr>
              <w:t>Executive Summary</w:t>
            </w:r>
            <w:r w:rsidR="0074353C" w:rsidRPr="00E17614">
              <w:rPr>
                <w:webHidden/>
              </w:rPr>
              <w:tab/>
            </w:r>
            <w:r w:rsidR="0074353C" w:rsidRPr="00E17614">
              <w:rPr>
                <w:webHidden/>
              </w:rPr>
              <w:fldChar w:fldCharType="begin"/>
            </w:r>
            <w:r w:rsidR="0074353C" w:rsidRPr="00E17614">
              <w:rPr>
                <w:webHidden/>
              </w:rPr>
              <w:instrText xml:space="preserve"> PAGEREF _Toc148959806 \h </w:instrText>
            </w:r>
            <w:r w:rsidR="0074353C" w:rsidRPr="00E17614">
              <w:rPr>
                <w:webHidden/>
              </w:rPr>
            </w:r>
            <w:r w:rsidR="0074353C" w:rsidRPr="00E17614">
              <w:rPr>
                <w:webHidden/>
              </w:rPr>
              <w:fldChar w:fldCharType="separate"/>
            </w:r>
            <w:r w:rsidR="00014E54">
              <w:rPr>
                <w:webHidden/>
              </w:rPr>
              <w:t>3</w:t>
            </w:r>
            <w:r w:rsidR="0074353C" w:rsidRPr="00E17614">
              <w:rPr>
                <w:webHidden/>
              </w:rPr>
              <w:fldChar w:fldCharType="end"/>
            </w:r>
          </w:hyperlink>
        </w:p>
        <w:p w14:paraId="6C326C26" w14:textId="6FACD4D3" w:rsidR="0074353C" w:rsidRPr="00E17614" w:rsidRDefault="00000000" w:rsidP="00761E73">
          <w:pPr>
            <w:pStyle w:val="TOC2"/>
            <w:spacing w:after="240"/>
            <w:rPr>
              <w:rFonts w:ascii="Arial" w:eastAsiaTheme="minorEastAsia" w:hAnsi="Arial" w:cs="Arial"/>
              <w:noProof/>
              <w:kern w:val="2"/>
              <w:sz w:val="22"/>
              <w:szCs w:val="22"/>
              <w14:ligatures w14:val="standardContextual"/>
            </w:rPr>
          </w:pPr>
          <w:hyperlink w:anchor="_Toc148959807" w:history="1">
            <w:r w:rsidR="0074353C" w:rsidRPr="00E17614">
              <w:rPr>
                <w:rStyle w:val="Hyperlink"/>
                <w:rFonts w:ascii="Arial" w:hAnsi="Arial" w:cs="Arial"/>
                <w:noProof/>
              </w:rPr>
              <w:t>Assembly Bills 130 and 181 and Legislative Reporting Requirements</w:t>
            </w:r>
            <w:r w:rsidR="0074353C" w:rsidRPr="00E17614">
              <w:rPr>
                <w:rFonts w:ascii="Arial" w:hAnsi="Arial" w:cs="Arial"/>
                <w:noProof/>
                <w:webHidden/>
              </w:rPr>
              <w:tab/>
            </w:r>
            <w:r w:rsidR="0074353C" w:rsidRPr="00E17614">
              <w:rPr>
                <w:rFonts w:ascii="Arial" w:hAnsi="Arial" w:cs="Arial"/>
                <w:noProof/>
                <w:webHidden/>
              </w:rPr>
              <w:fldChar w:fldCharType="begin"/>
            </w:r>
            <w:r w:rsidR="0074353C" w:rsidRPr="00E17614">
              <w:rPr>
                <w:rFonts w:ascii="Arial" w:hAnsi="Arial" w:cs="Arial"/>
                <w:noProof/>
                <w:webHidden/>
              </w:rPr>
              <w:instrText xml:space="preserve"> PAGEREF _Toc148959807 \h </w:instrText>
            </w:r>
            <w:r w:rsidR="0074353C" w:rsidRPr="00E17614">
              <w:rPr>
                <w:rFonts w:ascii="Arial" w:hAnsi="Arial" w:cs="Arial"/>
                <w:noProof/>
                <w:webHidden/>
              </w:rPr>
            </w:r>
            <w:r w:rsidR="0074353C" w:rsidRPr="00E17614">
              <w:rPr>
                <w:rFonts w:ascii="Arial" w:hAnsi="Arial" w:cs="Arial"/>
                <w:noProof/>
                <w:webHidden/>
              </w:rPr>
              <w:fldChar w:fldCharType="separate"/>
            </w:r>
            <w:r w:rsidR="00014E54">
              <w:rPr>
                <w:rFonts w:ascii="Arial" w:hAnsi="Arial" w:cs="Arial"/>
                <w:noProof/>
                <w:webHidden/>
              </w:rPr>
              <w:t>4</w:t>
            </w:r>
            <w:r w:rsidR="0074353C" w:rsidRPr="00E17614">
              <w:rPr>
                <w:rFonts w:ascii="Arial" w:hAnsi="Arial" w:cs="Arial"/>
                <w:noProof/>
                <w:webHidden/>
              </w:rPr>
              <w:fldChar w:fldCharType="end"/>
            </w:r>
          </w:hyperlink>
        </w:p>
        <w:p w14:paraId="742FC72B" w14:textId="087B91DF" w:rsidR="0074353C" w:rsidRPr="00E17614" w:rsidRDefault="00EA0B5B" w:rsidP="00761E73">
          <w:pPr>
            <w:pStyle w:val="TOC2"/>
            <w:spacing w:after="240"/>
            <w:rPr>
              <w:rFonts w:ascii="Arial" w:eastAsiaTheme="minorEastAsia" w:hAnsi="Arial" w:cs="Arial"/>
              <w:noProof/>
              <w:kern w:val="2"/>
              <w:sz w:val="22"/>
              <w:szCs w:val="22"/>
              <w14:ligatures w14:val="standardContextual"/>
            </w:rPr>
          </w:pPr>
          <w:r w:rsidRPr="00E17614">
            <w:rPr>
              <w:rFonts w:ascii="Arial" w:hAnsi="Arial" w:cs="Arial"/>
              <w:noProof/>
            </w:rPr>
            <w:t xml:space="preserve">Introduction and </w:t>
          </w:r>
          <w:hyperlink w:anchor="_Toc148959809" w:history="1">
            <w:r w:rsidR="0074353C" w:rsidRPr="00E17614">
              <w:rPr>
                <w:rStyle w:val="Hyperlink"/>
                <w:rFonts w:ascii="Arial" w:hAnsi="Arial" w:cs="Arial"/>
                <w:noProof/>
              </w:rPr>
              <w:t>Monitoring Tool: Educator Effectiveness Funds Annual Report Database</w:t>
            </w:r>
            <w:r w:rsidR="0074353C" w:rsidRPr="00E17614">
              <w:rPr>
                <w:rFonts w:ascii="Arial" w:hAnsi="Arial" w:cs="Arial"/>
                <w:noProof/>
                <w:webHidden/>
              </w:rPr>
              <w:tab/>
            </w:r>
            <w:r w:rsidR="0074353C" w:rsidRPr="00E17614">
              <w:rPr>
                <w:rFonts w:ascii="Arial" w:hAnsi="Arial" w:cs="Arial"/>
                <w:noProof/>
                <w:webHidden/>
              </w:rPr>
              <w:fldChar w:fldCharType="begin"/>
            </w:r>
            <w:r w:rsidR="0074353C" w:rsidRPr="00E17614">
              <w:rPr>
                <w:rFonts w:ascii="Arial" w:hAnsi="Arial" w:cs="Arial"/>
                <w:noProof/>
                <w:webHidden/>
              </w:rPr>
              <w:instrText xml:space="preserve"> PAGEREF _Toc148959809 \h </w:instrText>
            </w:r>
            <w:r w:rsidR="0074353C" w:rsidRPr="00E17614">
              <w:rPr>
                <w:rFonts w:ascii="Arial" w:hAnsi="Arial" w:cs="Arial"/>
                <w:noProof/>
                <w:webHidden/>
              </w:rPr>
            </w:r>
            <w:r w:rsidR="0074353C" w:rsidRPr="00E17614">
              <w:rPr>
                <w:rFonts w:ascii="Arial" w:hAnsi="Arial" w:cs="Arial"/>
                <w:noProof/>
                <w:webHidden/>
              </w:rPr>
              <w:fldChar w:fldCharType="separate"/>
            </w:r>
            <w:r w:rsidR="00014E54">
              <w:rPr>
                <w:rFonts w:ascii="Arial" w:hAnsi="Arial" w:cs="Arial"/>
                <w:noProof/>
                <w:webHidden/>
              </w:rPr>
              <w:t>6</w:t>
            </w:r>
            <w:r w:rsidR="0074353C" w:rsidRPr="00E17614">
              <w:rPr>
                <w:rFonts w:ascii="Arial" w:hAnsi="Arial" w:cs="Arial"/>
                <w:noProof/>
                <w:webHidden/>
              </w:rPr>
              <w:fldChar w:fldCharType="end"/>
            </w:r>
          </w:hyperlink>
        </w:p>
        <w:p w14:paraId="67F8A12C" w14:textId="63B9FF5A" w:rsidR="0074353C" w:rsidRPr="00E17614" w:rsidRDefault="00000000" w:rsidP="00761E73">
          <w:pPr>
            <w:pStyle w:val="TOC2"/>
            <w:spacing w:after="240"/>
            <w:rPr>
              <w:rFonts w:ascii="Arial" w:eastAsiaTheme="minorEastAsia" w:hAnsi="Arial" w:cs="Arial"/>
              <w:noProof/>
              <w:kern w:val="2"/>
              <w:sz w:val="22"/>
              <w:szCs w:val="22"/>
              <w14:ligatures w14:val="standardContextual"/>
            </w:rPr>
          </w:pPr>
          <w:hyperlink w:anchor="_Toc148959810" w:history="1">
            <w:r w:rsidR="0074353C" w:rsidRPr="00E17614">
              <w:rPr>
                <w:rStyle w:val="Hyperlink"/>
                <w:rFonts w:ascii="Arial" w:hAnsi="Arial" w:cs="Arial"/>
                <w:noProof/>
                <w:shd w:val="clear" w:color="auto" w:fill="FFFFFF"/>
              </w:rPr>
              <w:t>2021–22 and 2022–23 Educator Effectiveness Funds Data</w:t>
            </w:r>
            <w:r w:rsidR="0074353C" w:rsidRPr="00E17614">
              <w:rPr>
                <w:rFonts w:ascii="Arial" w:hAnsi="Arial" w:cs="Arial"/>
                <w:noProof/>
                <w:webHidden/>
              </w:rPr>
              <w:tab/>
            </w:r>
            <w:r w:rsidR="0074353C" w:rsidRPr="00E17614">
              <w:rPr>
                <w:rFonts w:ascii="Arial" w:hAnsi="Arial" w:cs="Arial"/>
                <w:noProof/>
                <w:webHidden/>
              </w:rPr>
              <w:fldChar w:fldCharType="begin"/>
            </w:r>
            <w:r w:rsidR="0074353C" w:rsidRPr="00E17614">
              <w:rPr>
                <w:rFonts w:ascii="Arial" w:hAnsi="Arial" w:cs="Arial"/>
                <w:noProof/>
                <w:webHidden/>
              </w:rPr>
              <w:instrText xml:space="preserve"> PAGEREF _Toc148959810 \h </w:instrText>
            </w:r>
            <w:r w:rsidR="0074353C" w:rsidRPr="00E17614">
              <w:rPr>
                <w:rFonts w:ascii="Arial" w:hAnsi="Arial" w:cs="Arial"/>
                <w:noProof/>
                <w:webHidden/>
              </w:rPr>
            </w:r>
            <w:r w:rsidR="0074353C" w:rsidRPr="00E17614">
              <w:rPr>
                <w:rFonts w:ascii="Arial" w:hAnsi="Arial" w:cs="Arial"/>
                <w:noProof/>
                <w:webHidden/>
              </w:rPr>
              <w:fldChar w:fldCharType="separate"/>
            </w:r>
            <w:r w:rsidR="00014E54">
              <w:rPr>
                <w:rFonts w:ascii="Arial" w:hAnsi="Arial" w:cs="Arial"/>
                <w:noProof/>
                <w:webHidden/>
              </w:rPr>
              <w:t>8</w:t>
            </w:r>
            <w:r w:rsidR="0074353C" w:rsidRPr="00E17614">
              <w:rPr>
                <w:rFonts w:ascii="Arial" w:hAnsi="Arial" w:cs="Arial"/>
                <w:noProof/>
                <w:webHidden/>
              </w:rPr>
              <w:fldChar w:fldCharType="end"/>
            </w:r>
          </w:hyperlink>
        </w:p>
        <w:p w14:paraId="59C69411" w14:textId="287CB3A1" w:rsidR="00267A3C" w:rsidRDefault="00267A3C" w:rsidP="00761E73">
          <w:pPr>
            <w:spacing w:after="240"/>
          </w:pPr>
          <w:r w:rsidRPr="00E17614">
            <w:rPr>
              <w:rFonts w:ascii="Arial" w:hAnsi="Arial" w:cs="Arial"/>
              <w:b/>
              <w:bCs/>
              <w:noProof/>
            </w:rPr>
            <w:fldChar w:fldCharType="end"/>
          </w:r>
        </w:p>
      </w:sdtContent>
    </w:sdt>
    <w:p w14:paraId="620BE7B6" w14:textId="317E0281" w:rsidR="00941F84" w:rsidRDefault="00941F84" w:rsidP="00F048B2">
      <w:pPr>
        <w:tabs>
          <w:tab w:val="decimal" w:leader="dot" w:pos="8820"/>
        </w:tabs>
        <w:ind w:right="-180"/>
        <w:jc w:val="center"/>
        <w:rPr>
          <w:rFonts w:ascii="Arial" w:hAnsi="Arial" w:cs="Arial"/>
        </w:rPr>
      </w:pPr>
      <w:r>
        <w:rPr>
          <w:rFonts w:ascii="Arial" w:hAnsi="Arial" w:cs="Arial"/>
        </w:rPr>
        <w:br w:type="page"/>
      </w:r>
    </w:p>
    <w:p w14:paraId="224A731D" w14:textId="2CBE1993" w:rsidR="00906E4B" w:rsidRPr="00DC10F2" w:rsidRDefault="00906E4B" w:rsidP="004C1D7D">
      <w:pPr>
        <w:tabs>
          <w:tab w:val="decimal" w:leader="dot" w:pos="8820"/>
        </w:tabs>
        <w:spacing w:after="240"/>
        <w:ind w:right="-180"/>
        <w:jc w:val="center"/>
        <w:rPr>
          <w:rFonts w:ascii="Arial" w:hAnsi="Arial" w:cs="Arial"/>
          <w:b/>
          <w:bCs/>
        </w:rPr>
      </w:pPr>
      <w:r w:rsidRPr="00DC10F2">
        <w:rPr>
          <w:rFonts w:ascii="Arial" w:hAnsi="Arial" w:cs="Arial"/>
          <w:b/>
          <w:bCs/>
        </w:rPr>
        <w:lastRenderedPageBreak/>
        <w:t>California Department of Education</w:t>
      </w:r>
    </w:p>
    <w:p w14:paraId="20D4CBC9" w14:textId="50FCC81D" w:rsidR="00906E4B" w:rsidRPr="00364BBC" w:rsidRDefault="00906E4B" w:rsidP="004C1D7D">
      <w:pPr>
        <w:spacing w:after="240"/>
        <w:jc w:val="center"/>
        <w:rPr>
          <w:rFonts w:ascii="Arial" w:hAnsi="Arial" w:cs="Arial"/>
          <w:b/>
          <w:bCs/>
          <w:color w:val="000000" w:themeColor="text1"/>
        </w:rPr>
      </w:pPr>
      <w:r>
        <w:rPr>
          <w:rFonts w:ascii="Arial" w:hAnsi="Arial" w:cs="Arial"/>
          <w:b/>
        </w:rPr>
        <w:t xml:space="preserve">Report to the </w:t>
      </w:r>
      <w:r w:rsidR="006C590A" w:rsidRPr="00EE3608">
        <w:rPr>
          <w:rFonts w:ascii="Arial" w:hAnsi="Arial" w:cs="Arial"/>
          <w:b/>
        </w:rPr>
        <w:t>Legislature</w:t>
      </w:r>
      <w:r w:rsidR="0079391F">
        <w:rPr>
          <w:rFonts w:ascii="Arial" w:hAnsi="Arial" w:cs="Arial"/>
          <w:b/>
        </w:rPr>
        <w:t xml:space="preserve"> and the Department of Finance</w:t>
      </w:r>
      <w:r w:rsidR="006C590A" w:rsidRPr="00EE3608">
        <w:rPr>
          <w:rFonts w:ascii="Arial" w:hAnsi="Arial" w:cs="Arial"/>
          <w:b/>
        </w:rPr>
        <w:t>: The Educator Effectiveness Funds Blo</w:t>
      </w:r>
      <w:r w:rsidR="006C590A" w:rsidRPr="00364BBC">
        <w:rPr>
          <w:rFonts w:ascii="Arial" w:hAnsi="Arial" w:cs="Arial"/>
          <w:b/>
          <w:color w:val="000000" w:themeColor="text1"/>
        </w:rPr>
        <w:t>ck Grant</w:t>
      </w:r>
    </w:p>
    <w:p w14:paraId="1E9AA4C1" w14:textId="77777777" w:rsidR="00906E4B" w:rsidRPr="0045628B" w:rsidRDefault="00906E4B" w:rsidP="00513ACC">
      <w:pPr>
        <w:pStyle w:val="Heading2"/>
        <w:spacing w:before="480"/>
        <w:jc w:val="center"/>
      </w:pPr>
      <w:bookmarkStart w:id="1" w:name="_Toc148514279"/>
      <w:bookmarkStart w:id="2" w:name="_Toc148959806"/>
      <w:r w:rsidRPr="0045628B">
        <w:t>Executive Summary</w:t>
      </w:r>
      <w:bookmarkEnd w:id="1"/>
      <w:bookmarkEnd w:id="2"/>
    </w:p>
    <w:p w14:paraId="380CDA7D" w14:textId="2EDD426C" w:rsidR="00906E4B" w:rsidRPr="00E17614" w:rsidRDefault="00906E4B" w:rsidP="00C4150D">
      <w:pPr>
        <w:tabs>
          <w:tab w:val="right" w:pos="9360"/>
        </w:tabs>
        <w:autoSpaceDE w:val="0"/>
        <w:autoSpaceDN w:val="0"/>
        <w:adjustRightInd w:val="0"/>
        <w:spacing w:after="240"/>
        <w:rPr>
          <w:rFonts w:ascii="Arial" w:hAnsi="Arial" w:cs="Arial"/>
          <w:color w:val="000000" w:themeColor="text1"/>
        </w:rPr>
      </w:pPr>
      <w:r w:rsidRPr="00E17614">
        <w:rPr>
          <w:rFonts w:ascii="Arial" w:hAnsi="Arial" w:cs="Arial"/>
        </w:rPr>
        <w:t>This report is required by</w:t>
      </w:r>
      <w:r w:rsidR="00C36BB3" w:rsidRPr="00E17614">
        <w:rPr>
          <w:rFonts w:ascii="Arial" w:hAnsi="Arial" w:cs="Arial"/>
        </w:rPr>
        <w:t xml:space="preserve"> California</w:t>
      </w:r>
      <w:r w:rsidR="007219A9" w:rsidRPr="00E17614">
        <w:rPr>
          <w:rFonts w:ascii="Arial" w:hAnsi="Arial" w:cs="Arial"/>
          <w:lang w:bidi="en-US"/>
        </w:rPr>
        <w:t xml:space="preserve"> </w:t>
      </w:r>
      <w:r w:rsidR="007219A9" w:rsidRPr="00E17614">
        <w:rPr>
          <w:rFonts w:ascii="Arial" w:hAnsi="Arial" w:cs="Arial"/>
          <w:i/>
          <w:iCs/>
          <w:lang w:bidi="en-US"/>
        </w:rPr>
        <w:t>E</w:t>
      </w:r>
      <w:r w:rsidR="00CF4283" w:rsidRPr="00E17614">
        <w:rPr>
          <w:rFonts w:ascii="Arial" w:hAnsi="Arial" w:cs="Arial"/>
          <w:i/>
          <w:iCs/>
          <w:lang w:bidi="en-US"/>
        </w:rPr>
        <w:t xml:space="preserve">ducation </w:t>
      </w:r>
      <w:r w:rsidR="007219A9" w:rsidRPr="00E17614">
        <w:rPr>
          <w:rFonts w:ascii="Arial" w:hAnsi="Arial" w:cs="Arial"/>
          <w:i/>
          <w:iCs/>
          <w:lang w:bidi="en-US"/>
        </w:rPr>
        <w:t>C</w:t>
      </w:r>
      <w:r w:rsidR="00CF4283" w:rsidRPr="00E17614">
        <w:rPr>
          <w:rFonts w:ascii="Arial" w:hAnsi="Arial" w:cs="Arial"/>
          <w:i/>
          <w:iCs/>
          <w:lang w:bidi="en-US"/>
        </w:rPr>
        <w:t xml:space="preserve">ode </w:t>
      </w:r>
      <w:r w:rsidR="00324F0F" w:rsidRPr="00E17614">
        <w:rPr>
          <w:rFonts w:ascii="Arial" w:hAnsi="Arial" w:cs="Arial"/>
          <w:i/>
          <w:iCs/>
          <w:lang w:bidi="en-US"/>
        </w:rPr>
        <w:t>(</w:t>
      </w:r>
      <w:r w:rsidR="00CF4283" w:rsidRPr="00E17614">
        <w:rPr>
          <w:rFonts w:ascii="Arial" w:hAnsi="Arial" w:cs="Arial"/>
          <w:i/>
          <w:iCs/>
          <w:lang w:bidi="en-US"/>
        </w:rPr>
        <w:t>EC</w:t>
      </w:r>
      <w:r w:rsidR="00324F0F" w:rsidRPr="00E17614">
        <w:rPr>
          <w:rFonts w:ascii="Arial" w:hAnsi="Arial" w:cs="Arial"/>
          <w:i/>
          <w:iCs/>
          <w:lang w:bidi="en-US"/>
        </w:rPr>
        <w:t>)</w:t>
      </w:r>
      <w:r w:rsidR="007219A9" w:rsidRPr="00E17614">
        <w:rPr>
          <w:rFonts w:ascii="Arial" w:hAnsi="Arial" w:cs="Arial"/>
          <w:i/>
          <w:iCs/>
          <w:lang w:bidi="en-US"/>
        </w:rPr>
        <w:t xml:space="preserve"> </w:t>
      </w:r>
      <w:r w:rsidR="00EF70E8" w:rsidRPr="00E17614">
        <w:rPr>
          <w:rFonts w:ascii="Arial" w:hAnsi="Arial" w:cs="Arial"/>
          <w:iCs/>
          <w:lang w:bidi="en-US"/>
        </w:rPr>
        <w:t>Section</w:t>
      </w:r>
      <w:r w:rsidR="00EF70E8" w:rsidRPr="00E17614">
        <w:rPr>
          <w:rFonts w:ascii="Arial" w:hAnsi="Arial" w:cs="Arial"/>
          <w:i/>
          <w:iCs/>
          <w:lang w:bidi="en-US"/>
        </w:rPr>
        <w:t xml:space="preserve"> </w:t>
      </w:r>
      <w:r w:rsidR="007219A9" w:rsidRPr="00E17614">
        <w:rPr>
          <w:rFonts w:ascii="Arial" w:hAnsi="Arial" w:cs="Arial"/>
          <w:lang w:bidi="en-US"/>
        </w:rPr>
        <w:t>41480</w:t>
      </w:r>
      <w:r w:rsidR="00EE3BB5" w:rsidRPr="00E17614">
        <w:rPr>
          <w:rFonts w:ascii="Arial" w:hAnsi="Arial" w:cs="Arial"/>
          <w:color w:val="000000" w:themeColor="text1"/>
        </w:rPr>
        <w:t>.</w:t>
      </w:r>
      <w:r w:rsidRPr="00E17614">
        <w:rPr>
          <w:rFonts w:ascii="Arial" w:hAnsi="Arial" w:cs="Arial"/>
          <w:color w:val="000000" w:themeColor="text1"/>
        </w:rPr>
        <w:t xml:space="preserve"> </w:t>
      </w:r>
      <w:r w:rsidR="00CF1C02" w:rsidRPr="00E17614">
        <w:rPr>
          <w:rFonts w:ascii="Arial" w:hAnsi="Arial" w:cs="Arial"/>
          <w:color w:val="000000" w:themeColor="text1"/>
        </w:rPr>
        <w:t xml:space="preserve">The Educator Effectiveness Funds (EEF) Block Grant provides funding to county offices of education, school districts, charter schools, and state special schools to provide professional learning and to promote educator equity, quality, and effectiveness. </w:t>
      </w:r>
      <w:r w:rsidR="0026707F" w:rsidRPr="00E17614">
        <w:rPr>
          <w:rFonts w:ascii="Arial" w:hAnsi="Arial" w:cs="Arial"/>
          <w:color w:val="000000"/>
          <w:shd w:val="clear" w:color="auto" w:fill="FFFFFF"/>
        </w:rPr>
        <w:t xml:space="preserve">Local educational agencies (LEAs) </w:t>
      </w:r>
      <w:r w:rsidR="00CF1C02" w:rsidRPr="00E17614">
        <w:rPr>
          <w:rFonts w:ascii="Arial" w:hAnsi="Arial" w:cs="Arial"/>
          <w:color w:val="000000"/>
          <w:shd w:val="clear" w:color="auto" w:fill="FFFFFF"/>
        </w:rPr>
        <w:t>shall expend</w:t>
      </w:r>
      <w:r w:rsidR="00F3476C" w:rsidRPr="00E17614">
        <w:rPr>
          <w:rFonts w:ascii="Arial" w:hAnsi="Arial" w:cs="Arial"/>
          <w:color w:val="000000"/>
          <w:shd w:val="clear" w:color="auto" w:fill="FFFFFF"/>
        </w:rPr>
        <w:t xml:space="preserve"> the</w:t>
      </w:r>
      <w:r w:rsidR="00CF1C02" w:rsidRPr="00E17614">
        <w:rPr>
          <w:rFonts w:ascii="Arial" w:hAnsi="Arial" w:cs="Arial"/>
          <w:color w:val="000000"/>
          <w:shd w:val="clear" w:color="auto" w:fill="FFFFFF"/>
        </w:rPr>
        <w:t xml:space="preserve"> EEF to provide professional learning for teachers, administrators, paraprofessionals who work with pupils, and classified staff </w:t>
      </w:r>
      <w:r w:rsidR="00E06742" w:rsidRPr="00E17614">
        <w:rPr>
          <w:rFonts w:ascii="Arial" w:hAnsi="Arial" w:cs="Arial"/>
          <w:color w:val="000000"/>
          <w:shd w:val="clear" w:color="auto" w:fill="FFFFFF"/>
        </w:rPr>
        <w:t xml:space="preserve">who </w:t>
      </w:r>
      <w:r w:rsidR="00CF1C02" w:rsidRPr="00E17614">
        <w:rPr>
          <w:rFonts w:ascii="Arial" w:hAnsi="Arial" w:cs="Arial"/>
          <w:color w:val="000000"/>
          <w:shd w:val="clear" w:color="auto" w:fill="FFFFFF"/>
        </w:rPr>
        <w:t xml:space="preserve">interact with pupils, with a focus on any of the 11 allowable use categories. </w:t>
      </w:r>
      <w:r w:rsidR="00BA3758" w:rsidRPr="00E17614">
        <w:rPr>
          <w:rFonts w:ascii="Arial" w:hAnsi="Arial" w:cs="Arial"/>
          <w:i/>
          <w:iCs/>
          <w:color w:val="000000" w:themeColor="text1"/>
        </w:rPr>
        <w:t>EC</w:t>
      </w:r>
      <w:r w:rsidR="00BA3758" w:rsidRPr="00E17614">
        <w:rPr>
          <w:rFonts w:ascii="Arial" w:hAnsi="Arial" w:cs="Arial"/>
          <w:color w:val="000000" w:themeColor="text1"/>
        </w:rPr>
        <w:t xml:space="preserve"> Section 41480</w:t>
      </w:r>
      <w:r w:rsidR="00E066DB" w:rsidRPr="00E17614">
        <w:rPr>
          <w:rFonts w:ascii="Arial" w:hAnsi="Arial" w:cs="Arial"/>
          <w:color w:val="000000" w:themeColor="text1"/>
        </w:rPr>
        <w:t xml:space="preserve"> specifies that the California Department of Education (CDE) shall summarize the reported information and submit the summary to the appropriate budget subcommittees and policy committees of the Legislature and the Department of Finance on or before January 1, 2024, and again on or before November 30, 2026.</w:t>
      </w:r>
      <w:r w:rsidR="00CF1C02" w:rsidRPr="00E17614">
        <w:rPr>
          <w:rFonts w:ascii="Arial" w:hAnsi="Arial" w:cs="Arial"/>
          <w:color w:val="000000" w:themeColor="text1"/>
        </w:rPr>
        <w:t xml:space="preserve"> </w:t>
      </w:r>
      <w:r w:rsidR="00E066DB" w:rsidRPr="00E17614">
        <w:rPr>
          <w:rFonts w:ascii="Arial" w:hAnsi="Arial" w:cs="Arial"/>
          <w:color w:val="000000" w:themeColor="text1"/>
        </w:rPr>
        <w:t>This report summarizes</w:t>
      </w:r>
      <w:r w:rsidR="00CF1C02" w:rsidRPr="00E17614">
        <w:rPr>
          <w:rFonts w:ascii="Arial" w:hAnsi="Arial" w:cs="Arial"/>
          <w:color w:val="000000" w:themeColor="text1"/>
        </w:rPr>
        <w:t xml:space="preserve"> LEAs</w:t>
      </w:r>
      <w:r w:rsidR="008250B6" w:rsidRPr="00E17614">
        <w:rPr>
          <w:rFonts w:ascii="Arial" w:hAnsi="Arial" w:cs="Arial"/>
          <w:color w:val="000000" w:themeColor="text1"/>
        </w:rPr>
        <w:t>’</w:t>
      </w:r>
      <w:r w:rsidR="00E066DB" w:rsidRPr="00E17614">
        <w:rPr>
          <w:rFonts w:ascii="Arial" w:hAnsi="Arial" w:cs="Arial"/>
          <w:color w:val="000000" w:themeColor="text1"/>
        </w:rPr>
        <w:t xml:space="preserve"> </w:t>
      </w:r>
      <w:r w:rsidR="00D87719" w:rsidRPr="00E17614">
        <w:rPr>
          <w:rFonts w:ascii="Arial" w:hAnsi="Arial" w:cs="Arial"/>
          <w:color w:val="000000" w:themeColor="text1"/>
        </w:rPr>
        <w:t>EEF</w:t>
      </w:r>
      <w:r w:rsidR="00E066DB" w:rsidRPr="00E17614">
        <w:rPr>
          <w:rFonts w:ascii="Arial" w:hAnsi="Arial" w:cs="Arial"/>
          <w:color w:val="000000" w:themeColor="text1"/>
        </w:rPr>
        <w:t xml:space="preserve"> spending</w:t>
      </w:r>
      <w:r w:rsidR="00CF1C02" w:rsidRPr="00E17614">
        <w:rPr>
          <w:rFonts w:ascii="Arial" w:hAnsi="Arial" w:cs="Arial"/>
          <w:color w:val="000000" w:themeColor="text1"/>
        </w:rPr>
        <w:t xml:space="preserve"> for </w:t>
      </w:r>
      <w:r w:rsidR="00FF43F6" w:rsidRPr="00E17614">
        <w:rPr>
          <w:rFonts w:ascii="Arial" w:hAnsi="Arial" w:cs="Arial"/>
          <w:color w:val="000000" w:themeColor="text1"/>
        </w:rPr>
        <w:t>fiscal years (FYs)</w:t>
      </w:r>
      <w:r w:rsidR="00CF1C02" w:rsidRPr="00E17614">
        <w:rPr>
          <w:rFonts w:ascii="Arial" w:hAnsi="Arial" w:cs="Arial"/>
          <w:color w:val="000000" w:themeColor="text1"/>
        </w:rPr>
        <w:t xml:space="preserve"> 2021–22</w:t>
      </w:r>
      <w:r w:rsidR="005934AD" w:rsidRPr="00E17614">
        <w:rPr>
          <w:rFonts w:ascii="Arial" w:hAnsi="Arial" w:cs="Arial"/>
          <w:color w:val="000000" w:themeColor="text1"/>
        </w:rPr>
        <w:t xml:space="preserve"> and</w:t>
      </w:r>
      <w:r w:rsidR="00CF1C02" w:rsidRPr="00E17614">
        <w:rPr>
          <w:rFonts w:ascii="Arial" w:hAnsi="Arial" w:cs="Arial"/>
          <w:color w:val="000000" w:themeColor="text1"/>
        </w:rPr>
        <w:t xml:space="preserve"> 2022–23</w:t>
      </w:r>
      <w:r w:rsidR="00FF43F6" w:rsidRPr="00E17614">
        <w:rPr>
          <w:rFonts w:ascii="Arial" w:hAnsi="Arial" w:cs="Arial"/>
          <w:color w:val="000000" w:themeColor="text1"/>
        </w:rPr>
        <w:t>.</w:t>
      </w:r>
    </w:p>
    <w:p w14:paraId="62008BB8" w14:textId="420824C7" w:rsidR="0003014D" w:rsidRPr="00E17614" w:rsidRDefault="00581B6E" w:rsidP="00C4150D">
      <w:pPr>
        <w:spacing w:after="240"/>
        <w:rPr>
          <w:rFonts w:ascii="Arial" w:hAnsi="Arial" w:cs="Arial"/>
          <w:b/>
        </w:rPr>
      </w:pPr>
      <w:r w:rsidRPr="00E17614">
        <w:rPr>
          <w:rFonts w:ascii="Arial" w:hAnsi="Arial" w:cs="Arial"/>
          <w:iCs/>
          <w:color w:val="000000"/>
        </w:rPr>
        <w:t>For FY</w:t>
      </w:r>
      <w:r w:rsidR="00957B76" w:rsidRPr="00E17614">
        <w:rPr>
          <w:rFonts w:ascii="Arial" w:hAnsi="Arial" w:cs="Arial"/>
          <w:iCs/>
          <w:color w:val="000000"/>
        </w:rPr>
        <w:t>s</w:t>
      </w:r>
      <w:r w:rsidRPr="00E17614">
        <w:rPr>
          <w:rFonts w:ascii="Arial" w:hAnsi="Arial" w:cs="Arial"/>
          <w:iCs/>
          <w:color w:val="000000"/>
        </w:rPr>
        <w:t xml:space="preserve"> </w:t>
      </w:r>
      <w:r w:rsidRPr="00E17614">
        <w:rPr>
          <w:rFonts w:ascii="Arial" w:hAnsi="Arial" w:cs="Arial"/>
          <w:color w:val="000000" w:themeColor="text1"/>
        </w:rPr>
        <w:t>2021–22 and 2022–23</w:t>
      </w:r>
      <w:r w:rsidR="00F22605" w:rsidRPr="00E17614">
        <w:rPr>
          <w:rFonts w:ascii="Arial" w:hAnsi="Arial" w:cs="Arial"/>
          <w:color w:val="000000" w:themeColor="text1"/>
        </w:rPr>
        <w:t>,</w:t>
      </w:r>
      <w:r w:rsidRPr="00E17614">
        <w:rPr>
          <w:rFonts w:ascii="Arial" w:hAnsi="Arial" w:cs="Arial"/>
          <w:color w:val="000000" w:themeColor="text1"/>
        </w:rPr>
        <w:t xml:space="preserve"> a total of </w:t>
      </w:r>
      <w:r w:rsidR="00455E19" w:rsidRPr="00E17614">
        <w:rPr>
          <w:rFonts w:ascii="Arial" w:hAnsi="Arial" w:cs="Arial"/>
        </w:rPr>
        <w:t>$3</w:t>
      </w:r>
      <w:r w:rsidR="001C57CB" w:rsidRPr="00E17614">
        <w:rPr>
          <w:rFonts w:ascii="Arial" w:hAnsi="Arial" w:cs="Arial"/>
        </w:rPr>
        <w:t>16</w:t>
      </w:r>
      <w:r w:rsidR="00455E19" w:rsidRPr="00E17614">
        <w:rPr>
          <w:rFonts w:ascii="Arial" w:hAnsi="Arial" w:cs="Arial"/>
        </w:rPr>
        <w:t>,</w:t>
      </w:r>
      <w:r w:rsidR="001C57CB" w:rsidRPr="00E17614">
        <w:rPr>
          <w:rFonts w:ascii="Arial" w:hAnsi="Arial" w:cs="Arial"/>
        </w:rPr>
        <w:t>886,484.42</w:t>
      </w:r>
      <w:r w:rsidR="00D31672" w:rsidRPr="00E17614">
        <w:rPr>
          <w:rFonts w:ascii="Arial" w:hAnsi="Arial" w:cs="Arial"/>
          <w:color w:val="000000" w:themeColor="text1"/>
        </w:rPr>
        <w:t xml:space="preserve"> </w:t>
      </w:r>
      <w:r w:rsidRPr="00E17614">
        <w:rPr>
          <w:rFonts w:ascii="Arial" w:hAnsi="Arial" w:cs="Arial"/>
          <w:color w:val="000000" w:themeColor="text1"/>
        </w:rPr>
        <w:t>was spent by LEAs using the EEF</w:t>
      </w:r>
      <w:r w:rsidR="00E06742" w:rsidRPr="00E17614">
        <w:rPr>
          <w:rFonts w:ascii="Arial" w:hAnsi="Arial" w:cs="Arial"/>
          <w:color w:val="000000" w:themeColor="text1"/>
        </w:rPr>
        <w:t>,</w:t>
      </w:r>
      <w:r w:rsidR="009A5C46" w:rsidRPr="00E17614">
        <w:rPr>
          <w:rFonts w:ascii="Arial" w:hAnsi="Arial" w:cs="Arial"/>
          <w:iCs/>
          <w:color w:val="000000"/>
        </w:rPr>
        <w:t xml:space="preserve"> with a</w:t>
      </w:r>
      <w:r w:rsidRPr="00E17614">
        <w:rPr>
          <w:rFonts w:ascii="Arial" w:hAnsi="Arial" w:cs="Arial"/>
          <w:iCs/>
          <w:color w:val="000000"/>
        </w:rPr>
        <w:t xml:space="preserve"> total of</w:t>
      </w:r>
      <w:r w:rsidR="00D31672" w:rsidRPr="00E17614">
        <w:rPr>
          <w:rFonts w:ascii="Arial" w:hAnsi="Arial" w:cs="Arial"/>
          <w:iCs/>
          <w:color w:val="000000"/>
        </w:rPr>
        <w:t xml:space="preserve"> </w:t>
      </w:r>
      <w:r w:rsidR="00926AD1" w:rsidRPr="00E17614">
        <w:rPr>
          <w:rFonts w:ascii="Arial" w:hAnsi="Arial" w:cs="Arial"/>
          <w:color w:val="000000"/>
        </w:rPr>
        <w:t>347,076</w:t>
      </w:r>
      <w:r w:rsidRPr="00E17614">
        <w:rPr>
          <w:rFonts w:ascii="Arial" w:hAnsi="Arial" w:cs="Arial"/>
          <w:iCs/>
          <w:color w:val="000000"/>
        </w:rPr>
        <w:t xml:space="preserve"> teachers</w:t>
      </w:r>
      <w:r w:rsidR="00E06742" w:rsidRPr="00E17614">
        <w:rPr>
          <w:rFonts w:ascii="Arial" w:hAnsi="Arial" w:cs="Arial"/>
          <w:iCs/>
          <w:color w:val="000000"/>
        </w:rPr>
        <w:t>;</w:t>
      </w:r>
      <w:r w:rsidRPr="00E17614">
        <w:rPr>
          <w:rFonts w:ascii="Arial" w:hAnsi="Arial" w:cs="Arial"/>
          <w:iCs/>
          <w:color w:val="000000"/>
        </w:rPr>
        <w:t xml:space="preserve"> </w:t>
      </w:r>
      <w:r w:rsidR="00926AD1" w:rsidRPr="00E17614">
        <w:rPr>
          <w:rFonts w:ascii="Arial" w:hAnsi="Arial" w:cs="Arial"/>
          <w:color w:val="000000"/>
        </w:rPr>
        <w:t>36,714</w:t>
      </w:r>
      <w:r w:rsidR="00D31672" w:rsidRPr="00E17614">
        <w:rPr>
          <w:rFonts w:ascii="Arial" w:hAnsi="Arial" w:cs="Arial"/>
          <w:iCs/>
          <w:color w:val="000000"/>
        </w:rPr>
        <w:t xml:space="preserve"> </w:t>
      </w:r>
      <w:r w:rsidRPr="00E17614">
        <w:rPr>
          <w:rFonts w:ascii="Arial" w:hAnsi="Arial" w:cs="Arial"/>
          <w:iCs/>
          <w:color w:val="000000"/>
        </w:rPr>
        <w:t>administrators</w:t>
      </w:r>
      <w:r w:rsidR="00E06742" w:rsidRPr="00E17614">
        <w:rPr>
          <w:rFonts w:ascii="Arial" w:hAnsi="Arial" w:cs="Arial"/>
          <w:iCs/>
          <w:color w:val="000000"/>
        </w:rPr>
        <w:t>;</w:t>
      </w:r>
      <w:r w:rsidRPr="00E17614">
        <w:rPr>
          <w:rFonts w:ascii="Arial" w:hAnsi="Arial" w:cs="Arial"/>
          <w:iCs/>
          <w:color w:val="000000"/>
        </w:rPr>
        <w:t xml:space="preserve"> </w:t>
      </w:r>
      <w:r w:rsidR="00926AD1" w:rsidRPr="00E17614">
        <w:rPr>
          <w:rFonts w:ascii="Arial" w:hAnsi="Arial" w:cs="Arial"/>
          <w:color w:val="000000"/>
        </w:rPr>
        <w:t>34,820</w:t>
      </w:r>
      <w:r w:rsidR="00926AD1" w:rsidRPr="00E17614">
        <w:rPr>
          <w:rFonts w:ascii="Arial" w:hAnsi="Arial" w:cs="Arial"/>
          <w:iCs/>
          <w:color w:val="000000"/>
        </w:rPr>
        <w:t xml:space="preserve"> </w:t>
      </w:r>
      <w:r w:rsidRPr="00E17614">
        <w:rPr>
          <w:rFonts w:ascii="Arial" w:hAnsi="Arial" w:cs="Arial"/>
          <w:iCs/>
          <w:color w:val="000000"/>
        </w:rPr>
        <w:t>paraprofessionals</w:t>
      </w:r>
      <w:r w:rsidR="00E06742" w:rsidRPr="00E17614">
        <w:rPr>
          <w:rFonts w:ascii="Arial" w:hAnsi="Arial" w:cs="Arial"/>
          <w:iCs/>
          <w:color w:val="000000"/>
        </w:rPr>
        <w:t>;</w:t>
      </w:r>
      <w:r w:rsidRPr="00E17614">
        <w:rPr>
          <w:rFonts w:ascii="Arial" w:hAnsi="Arial" w:cs="Arial"/>
          <w:iCs/>
          <w:color w:val="000000"/>
        </w:rPr>
        <w:t xml:space="preserve"> and </w:t>
      </w:r>
      <w:r w:rsidR="00926AD1" w:rsidRPr="00E17614">
        <w:rPr>
          <w:rFonts w:ascii="Arial" w:hAnsi="Arial" w:cs="Arial"/>
          <w:color w:val="000000"/>
        </w:rPr>
        <w:t>26,833</w:t>
      </w:r>
      <w:r w:rsidRPr="00E17614">
        <w:rPr>
          <w:rFonts w:ascii="Arial" w:hAnsi="Arial" w:cs="Arial"/>
          <w:iCs/>
          <w:color w:val="000000"/>
        </w:rPr>
        <w:t xml:space="preserve"> classified staff</w:t>
      </w:r>
      <w:r w:rsidR="009A5C46" w:rsidRPr="00E17614">
        <w:rPr>
          <w:rFonts w:ascii="Arial" w:hAnsi="Arial" w:cs="Arial"/>
          <w:iCs/>
          <w:color w:val="000000"/>
        </w:rPr>
        <w:t xml:space="preserve"> served.</w:t>
      </w:r>
      <w:r w:rsidR="00926AD1" w:rsidRPr="00E17614">
        <w:rPr>
          <w:rFonts w:ascii="Arial" w:hAnsi="Arial" w:cs="Arial"/>
          <w:iCs/>
          <w:color w:val="000000"/>
        </w:rPr>
        <w:t xml:space="preserve"> </w:t>
      </w:r>
      <w:r w:rsidR="0003014D" w:rsidRPr="00E17614">
        <w:rPr>
          <w:rFonts w:ascii="Arial" w:hAnsi="Arial" w:cs="Arial"/>
        </w:rPr>
        <w:t xml:space="preserve">LEAs </w:t>
      </w:r>
      <w:r w:rsidR="009A5C46" w:rsidRPr="00E17614">
        <w:rPr>
          <w:rFonts w:ascii="Arial" w:hAnsi="Arial" w:cs="Arial"/>
        </w:rPr>
        <w:t xml:space="preserve">expenditures as reported are the following: </w:t>
      </w:r>
      <w:r w:rsidR="0003014D" w:rsidRPr="00E17614">
        <w:rPr>
          <w:rFonts w:ascii="Arial" w:hAnsi="Arial" w:cs="Arial"/>
        </w:rPr>
        <w:t>$1</w:t>
      </w:r>
      <w:r w:rsidR="00AB3ACA" w:rsidRPr="00E17614">
        <w:rPr>
          <w:rFonts w:ascii="Arial" w:hAnsi="Arial" w:cs="Arial"/>
        </w:rPr>
        <w:t>8,977,689.33</w:t>
      </w:r>
      <w:r w:rsidR="0003014D" w:rsidRPr="00E17614">
        <w:rPr>
          <w:rFonts w:ascii="Arial" w:hAnsi="Arial" w:cs="Arial"/>
        </w:rPr>
        <w:t xml:space="preserve"> </w:t>
      </w:r>
      <w:r w:rsidR="009A5C46" w:rsidRPr="00E17614">
        <w:rPr>
          <w:rFonts w:ascii="Arial" w:hAnsi="Arial" w:cs="Arial"/>
        </w:rPr>
        <w:t>for</w:t>
      </w:r>
      <w:r w:rsidR="0003014D" w:rsidRPr="00E17614">
        <w:rPr>
          <w:rFonts w:ascii="Arial" w:hAnsi="Arial" w:cs="Arial"/>
        </w:rPr>
        <w:t xml:space="preserve"> books and materials</w:t>
      </w:r>
      <w:r w:rsidR="00BD03B9" w:rsidRPr="00E17614">
        <w:rPr>
          <w:rFonts w:ascii="Arial" w:hAnsi="Arial" w:cs="Arial"/>
        </w:rPr>
        <w:t>;</w:t>
      </w:r>
      <w:r w:rsidR="0003014D" w:rsidRPr="00E17614">
        <w:rPr>
          <w:rFonts w:ascii="Arial" w:hAnsi="Arial" w:cs="Arial"/>
        </w:rPr>
        <w:t xml:space="preserve"> $8</w:t>
      </w:r>
      <w:r w:rsidR="00AA3D4D" w:rsidRPr="00E17614">
        <w:rPr>
          <w:rFonts w:ascii="Arial" w:hAnsi="Arial" w:cs="Arial"/>
        </w:rPr>
        <w:t>9,520,357.10</w:t>
      </w:r>
      <w:r w:rsidR="0003014D" w:rsidRPr="00E17614">
        <w:rPr>
          <w:rFonts w:ascii="Arial" w:hAnsi="Arial" w:cs="Arial"/>
        </w:rPr>
        <w:t xml:space="preserve"> </w:t>
      </w:r>
      <w:r w:rsidR="009A5C46" w:rsidRPr="00E17614">
        <w:rPr>
          <w:rFonts w:ascii="Arial" w:hAnsi="Arial" w:cs="Arial"/>
        </w:rPr>
        <w:t xml:space="preserve">for </w:t>
      </w:r>
      <w:r w:rsidR="0003014D" w:rsidRPr="00E17614">
        <w:rPr>
          <w:rFonts w:ascii="Arial" w:hAnsi="Arial" w:cs="Arial"/>
        </w:rPr>
        <w:t>staffing and benefits, travel and per diem, stipends, substitutes, and indirect costs</w:t>
      </w:r>
      <w:r w:rsidR="00BD03B9" w:rsidRPr="00E17614">
        <w:rPr>
          <w:rFonts w:ascii="Arial" w:hAnsi="Arial" w:cs="Arial"/>
        </w:rPr>
        <w:t>;</w:t>
      </w:r>
      <w:r w:rsidR="00AA0436" w:rsidRPr="00E17614">
        <w:rPr>
          <w:rFonts w:ascii="Arial" w:hAnsi="Arial" w:cs="Arial"/>
        </w:rPr>
        <w:t xml:space="preserve"> </w:t>
      </w:r>
      <w:r w:rsidR="00BD03B9" w:rsidRPr="00E17614">
        <w:rPr>
          <w:rFonts w:ascii="Arial" w:hAnsi="Arial" w:cs="Arial"/>
        </w:rPr>
        <w:t xml:space="preserve">and </w:t>
      </w:r>
      <w:r w:rsidR="00AA3D4D" w:rsidRPr="00E17614">
        <w:rPr>
          <w:rFonts w:ascii="Arial" w:hAnsi="Arial" w:cs="Arial"/>
        </w:rPr>
        <w:t>$108,498,046.43</w:t>
      </w:r>
      <w:r w:rsidR="00AA0436" w:rsidRPr="00E17614">
        <w:rPr>
          <w:rFonts w:ascii="Arial" w:hAnsi="Arial" w:cs="Arial"/>
        </w:rPr>
        <w:t xml:space="preserve"> </w:t>
      </w:r>
      <w:r w:rsidR="00BD03B9" w:rsidRPr="00E17614">
        <w:rPr>
          <w:rFonts w:ascii="Arial" w:hAnsi="Arial" w:cs="Arial"/>
        </w:rPr>
        <w:t>for</w:t>
      </w:r>
      <w:r w:rsidR="00A646C1" w:rsidRPr="00E17614">
        <w:rPr>
          <w:rFonts w:ascii="Arial" w:hAnsi="Arial" w:cs="Arial"/>
        </w:rPr>
        <w:t xml:space="preserve"> </w:t>
      </w:r>
      <w:r w:rsidR="00BD03B9" w:rsidRPr="00E17614">
        <w:rPr>
          <w:rFonts w:ascii="Arial" w:hAnsi="Arial" w:cs="Arial"/>
        </w:rPr>
        <w:t>s</w:t>
      </w:r>
      <w:r w:rsidR="00A646C1" w:rsidRPr="00E17614">
        <w:rPr>
          <w:rFonts w:ascii="Arial" w:hAnsi="Arial" w:cs="Arial"/>
        </w:rPr>
        <w:t>ervices</w:t>
      </w:r>
      <w:r w:rsidR="0003014D" w:rsidRPr="00E17614">
        <w:rPr>
          <w:rFonts w:ascii="Arial" w:hAnsi="Arial" w:cs="Arial"/>
        </w:rPr>
        <w:t xml:space="preserve"> and </w:t>
      </w:r>
      <w:r w:rsidR="00BD03B9" w:rsidRPr="00E17614">
        <w:rPr>
          <w:rFonts w:ascii="Arial" w:hAnsi="Arial" w:cs="Arial"/>
        </w:rPr>
        <w:t>p</w:t>
      </w:r>
      <w:r w:rsidR="0003014D" w:rsidRPr="00E17614">
        <w:rPr>
          <w:rFonts w:ascii="Arial" w:hAnsi="Arial" w:cs="Arial"/>
        </w:rPr>
        <w:t>urchases</w:t>
      </w:r>
      <w:r w:rsidR="00E50815" w:rsidRPr="00E17614">
        <w:rPr>
          <w:rFonts w:ascii="Arial" w:hAnsi="Arial" w:cs="Arial"/>
        </w:rPr>
        <w:t xml:space="preserve">. </w:t>
      </w:r>
      <w:r w:rsidR="00AA0436" w:rsidRPr="00E17614">
        <w:rPr>
          <w:rFonts w:ascii="Arial" w:hAnsi="Arial" w:cs="Arial"/>
        </w:rPr>
        <w:t xml:space="preserve">LEAs reported </w:t>
      </w:r>
      <w:r w:rsidR="00E50815" w:rsidRPr="00E17614">
        <w:rPr>
          <w:rFonts w:ascii="Arial" w:hAnsi="Arial" w:cs="Arial"/>
        </w:rPr>
        <w:t xml:space="preserve">purchasing basic materials and supplies related to professional learning, travel costs for staff to attend conferences, stipends for teacher mentors, </w:t>
      </w:r>
      <w:r w:rsidR="00E06742" w:rsidRPr="00E17614">
        <w:rPr>
          <w:rFonts w:ascii="Arial" w:hAnsi="Arial" w:cs="Arial"/>
        </w:rPr>
        <w:t>and</w:t>
      </w:r>
      <w:r w:rsidR="00E50815" w:rsidRPr="00E17614">
        <w:rPr>
          <w:rFonts w:ascii="Arial" w:hAnsi="Arial" w:cs="Arial"/>
        </w:rPr>
        <w:t xml:space="preserve"> staffing costs to cover positions that directly facilitate professional learning.</w:t>
      </w:r>
    </w:p>
    <w:p w14:paraId="22BA8A83" w14:textId="7E805603" w:rsidR="009410F9" w:rsidRPr="00E17614" w:rsidRDefault="00A646C1" w:rsidP="00C4150D">
      <w:pPr>
        <w:tabs>
          <w:tab w:val="right" w:pos="9360"/>
        </w:tabs>
        <w:autoSpaceDE w:val="0"/>
        <w:autoSpaceDN w:val="0"/>
        <w:adjustRightInd w:val="0"/>
        <w:spacing w:after="240"/>
        <w:rPr>
          <w:rFonts w:ascii="Arial" w:hAnsi="Arial" w:cs="Arial"/>
          <w:iCs/>
          <w:color w:val="000000"/>
        </w:rPr>
      </w:pPr>
      <w:r w:rsidRPr="00E17614">
        <w:rPr>
          <w:rFonts w:ascii="Arial" w:hAnsi="Arial" w:cs="Arial"/>
          <w:i/>
          <w:color w:val="000000"/>
        </w:rPr>
        <w:t>EC</w:t>
      </w:r>
      <w:r w:rsidRPr="00E17614">
        <w:rPr>
          <w:rFonts w:ascii="Arial" w:hAnsi="Arial" w:cs="Arial"/>
          <w:iCs/>
          <w:color w:val="000000"/>
        </w:rPr>
        <w:t xml:space="preserve"> </w:t>
      </w:r>
      <w:r w:rsidR="00FA28D0" w:rsidRPr="00E17614">
        <w:rPr>
          <w:rFonts w:ascii="Arial" w:hAnsi="Arial" w:cs="Arial"/>
          <w:iCs/>
          <w:color w:val="000000"/>
        </w:rPr>
        <w:t xml:space="preserve">Section </w:t>
      </w:r>
      <w:r w:rsidRPr="00E17614">
        <w:rPr>
          <w:rFonts w:ascii="Arial" w:hAnsi="Arial" w:cs="Arial"/>
          <w:iCs/>
          <w:color w:val="000000"/>
        </w:rPr>
        <w:t>41480</w:t>
      </w:r>
      <w:r w:rsidR="0003014D" w:rsidRPr="00E17614">
        <w:rPr>
          <w:rFonts w:ascii="Arial" w:hAnsi="Arial" w:cs="Arial"/>
          <w:iCs/>
          <w:color w:val="000000"/>
        </w:rPr>
        <w:t xml:space="preserve"> </w:t>
      </w:r>
      <w:r w:rsidR="003448CC" w:rsidRPr="00E17614">
        <w:rPr>
          <w:rFonts w:ascii="Arial" w:hAnsi="Arial" w:cs="Arial"/>
          <w:iCs/>
          <w:color w:val="000000"/>
        </w:rPr>
        <w:t>identifies</w:t>
      </w:r>
      <w:r w:rsidR="0003014D" w:rsidRPr="00E17614">
        <w:rPr>
          <w:rFonts w:ascii="Arial" w:hAnsi="Arial" w:cs="Arial"/>
          <w:iCs/>
          <w:color w:val="000000"/>
        </w:rPr>
        <w:t xml:space="preserve"> 11 allowable use</w:t>
      </w:r>
      <w:r w:rsidR="003448CC" w:rsidRPr="00E17614">
        <w:rPr>
          <w:rFonts w:ascii="Arial" w:hAnsi="Arial" w:cs="Arial"/>
          <w:iCs/>
          <w:color w:val="000000"/>
        </w:rPr>
        <w:t>s</w:t>
      </w:r>
      <w:r w:rsidR="0003014D" w:rsidRPr="00E17614">
        <w:rPr>
          <w:rFonts w:ascii="Arial" w:hAnsi="Arial" w:cs="Arial"/>
          <w:iCs/>
          <w:color w:val="000000"/>
        </w:rPr>
        <w:t xml:space="preserve"> </w:t>
      </w:r>
      <w:r w:rsidR="003448CC" w:rsidRPr="00E17614">
        <w:rPr>
          <w:rFonts w:ascii="Arial" w:hAnsi="Arial" w:cs="Arial"/>
          <w:iCs/>
          <w:color w:val="000000"/>
        </w:rPr>
        <w:t xml:space="preserve">for EEF LEA expenditures. </w:t>
      </w:r>
      <w:r w:rsidR="006D5893" w:rsidRPr="00E17614">
        <w:rPr>
          <w:rFonts w:ascii="Arial" w:hAnsi="Arial" w:cs="Arial"/>
          <w:iCs/>
          <w:color w:val="000000"/>
        </w:rPr>
        <w:t>Between</w:t>
      </w:r>
      <w:r w:rsidR="003568C3" w:rsidRPr="00E17614">
        <w:rPr>
          <w:rFonts w:ascii="Arial" w:hAnsi="Arial" w:cs="Arial"/>
          <w:iCs/>
          <w:color w:val="000000"/>
        </w:rPr>
        <w:t xml:space="preserve"> FY</w:t>
      </w:r>
      <w:r w:rsidR="00957B76" w:rsidRPr="00E17614">
        <w:rPr>
          <w:rFonts w:ascii="Arial" w:hAnsi="Arial" w:cs="Arial"/>
          <w:iCs/>
          <w:color w:val="000000"/>
        </w:rPr>
        <w:t>s</w:t>
      </w:r>
      <w:r w:rsidR="006D5893" w:rsidRPr="00E17614">
        <w:rPr>
          <w:rFonts w:ascii="Arial" w:hAnsi="Arial" w:cs="Arial"/>
          <w:iCs/>
          <w:color w:val="000000"/>
        </w:rPr>
        <w:t xml:space="preserve"> 2021</w:t>
      </w:r>
      <w:r w:rsidR="006D5893" w:rsidRPr="00E17614">
        <w:rPr>
          <w:rFonts w:ascii="Arial" w:hAnsi="Arial" w:cs="Arial"/>
          <w:color w:val="000000" w:themeColor="text1"/>
        </w:rPr>
        <w:t xml:space="preserve">–23, LEAs </w:t>
      </w:r>
      <w:r w:rsidRPr="00E17614">
        <w:rPr>
          <w:rFonts w:ascii="Arial" w:hAnsi="Arial" w:cs="Arial"/>
          <w:color w:val="000000" w:themeColor="text1"/>
        </w:rPr>
        <w:t>expended the greatest amount</w:t>
      </w:r>
      <w:r w:rsidR="00CF03D4" w:rsidRPr="00E17614">
        <w:rPr>
          <w:rFonts w:ascii="Arial" w:hAnsi="Arial" w:cs="Arial"/>
          <w:color w:val="000000" w:themeColor="text1"/>
        </w:rPr>
        <w:t>s</w:t>
      </w:r>
      <w:r w:rsidRPr="00E17614">
        <w:rPr>
          <w:rFonts w:ascii="Arial" w:hAnsi="Arial" w:cs="Arial"/>
          <w:color w:val="000000" w:themeColor="text1"/>
        </w:rPr>
        <w:t xml:space="preserve"> </w:t>
      </w:r>
      <w:r w:rsidR="006D5893" w:rsidRPr="00E17614">
        <w:rPr>
          <w:rFonts w:ascii="Arial" w:hAnsi="Arial" w:cs="Arial"/>
          <w:color w:val="000000" w:themeColor="text1"/>
        </w:rPr>
        <w:t>on</w:t>
      </w:r>
      <w:r w:rsidR="000C3E8B" w:rsidRPr="00E17614">
        <w:rPr>
          <w:rFonts w:ascii="Arial" w:hAnsi="Arial" w:cs="Arial"/>
          <w:color w:val="000000" w:themeColor="text1"/>
        </w:rPr>
        <w:t xml:space="preserve"> the following allowable use categories:</w:t>
      </w:r>
      <w:r w:rsidR="006D5893" w:rsidRPr="00E17614">
        <w:rPr>
          <w:rFonts w:ascii="Arial" w:hAnsi="Arial" w:cs="Arial"/>
          <w:color w:val="000000" w:themeColor="text1"/>
        </w:rPr>
        <w:t xml:space="preserve"> Coaching and Mentoring</w:t>
      </w:r>
      <w:r w:rsidRPr="00E17614">
        <w:rPr>
          <w:rFonts w:ascii="Arial" w:hAnsi="Arial" w:cs="Arial"/>
          <w:color w:val="000000" w:themeColor="text1"/>
        </w:rPr>
        <w:t xml:space="preserve"> at </w:t>
      </w:r>
      <w:r w:rsidRPr="00E17614">
        <w:rPr>
          <w:rFonts w:ascii="Arial" w:hAnsi="Arial" w:cs="Arial"/>
          <w:bCs/>
        </w:rPr>
        <w:t>$93,289,754.76</w:t>
      </w:r>
      <w:r w:rsidR="00E06742" w:rsidRPr="00E17614">
        <w:rPr>
          <w:rFonts w:ascii="Arial" w:hAnsi="Arial" w:cs="Arial"/>
          <w:color w:val="000000" w:themeColor="text1"/>
        </w:rPr>
        <w:t>;</w:t>
      </w:r>
      <w:r w:rsidR="006D5893" w:rsidRPr="00E17614">
        <w:rPr>
          <w:rFonts w:ascii="Arial" w:hAnsi="Arial" w:cs="Arial"/>
          <w:color w:val="000000" w:themeColor="text1"/>
        </w:rPr>
        <w:t xml:space="preserve"> Standards-Aligned Instruction</w:t>
      </w:r>
      <w:r w:rsidRPr="00E17614">
        <w:rPr>
          <w:rFonts w:ascii="Arial" w:hAnsi="Arial" w:cs="Arial"/>
          <w:color w:val="000000" w:themeColor="text1"/>
        </w:rPr>
        <w:t xml:space="preserve"> at $53,653,511.45</w:t>
      </w:r>
      <w:r w:rsidR="00E06742" w:rsidRPr="00E17614">
        <w:rPr>
          <w:rFonts w:ascii="Arial" w:hAnsi="Arial" w:cs="Arial"/>
          <w:color w:val="000000" w:themeColor="text1"/>
        </w:rPr>
        <w:t>;</w:t>
      </w:r>
      <w:r w:rsidR="006D5893" w:rsidRPr="00E17614">
        <w:rPr>
          <w:rFonts w:ascii="Arial" w:hAnsi="Arial" w:cs="Arial"/>
          <w:color w:val="000000" w:themeColor="text1"/>
        </w:rPr>
        <w:t xml:space="preserve"> and </w:t>
      </w:r>
      <w:r w:rsidR="002201DF" w:rsidRPr="00E17614">
        <w:rPr>
          <w:rFonts w:ascii="Arial" w:hAnsi="Arial" w:cs="Arial"/>
          <w:color w:val="000000" w:themeColor="text1"/>
        </w:rPr>
        <w:t>Practices to Promote a</w:t>
      </w:r>
      <w:r w:rsidR="006D5893" w:rsidRPr="00E17614">
        <w:rPr>
          <w:rFonts w:ascii="Arial" w:hAnsi="Arial" w:cs="Arial"/>
          <w:color w:val="000000" w:themeColor="text1"/>
        </w:rPr>
        <w:t xml:space="preserve"> Positive School Climate</w:t>
      </w:r>
      <w:r w:rsidRPr="00E17614">
        <w:rPr>
          <w:rFonts w:ascii="Arial" w:hAnsi="Arial" w:cs="Arial"/>
          <w:color w:val="000000" w:themeColor="text1"/>
        </w:rPr>
        <w:t xml:space="preserve"> at </w:t>
      </w:r>
      <w:r w:rsidRPr="00E17614">
        <w:rPr>
          <w:rFonts w:ascii="Arial" w:hAnsi="Arial" w:cs="Arial"/>
          <w:bCs/>
        </w:rPr>
        <w:t>$17,855,532.25.</w:t>
      </w:r>
      <w:r w:rsidR="006D5893" w:rsidRPr="00E17614">
        <w:rPr>
          <w:rFonts w:ascii="Arial" w:hAnsi="Arial" w:cs="Arial"/>
          <w:color w:val="000000" w:themeColor="text1"/>
        </w:rPr>
        <w:t xml:space="preserve"> </w:t>
      </w:r>
      <w:r w:rsidR="003448CC" w:rsidRPr="00E17614">
        <w:rPr>
          <w:rFonts w:ascii="Arial" w:hAnsi="Arial" w:cs="Arial"/>
          <w:iCs/>
          <w:color w:val="000000"/>
        </w:rPr>
        <w:t>A</w:t>
      </w:r>
      <w:r w:rsidR="003568C3" w:rsidRPr="00E17614">
        <w:rPr>
          <w:rFonts w:ascii="Arial" w:hAnsi="Arial" w:cs="Arial"/>
          <w:iCs/>
          <w:color w:val="000000"/>
        </w:rPr>
        <w:t>llowable use</w:t>
      </w:r>
      <w:r w:rsidR="003448CC" w:rsidRPr="00E17614">
        <w:rPr>
          <w:rFonts w:ascii="Arial" w:hAnsi="Arial" w:cs="Arial"/>
          <w:iCs/>
          <w:color w:val="000000"/>
        </w:rPr>
        <w:t>s</w:t>
      </w:r>
      <w:r w:rsidR="003568C3" w:rsidRPr="00E17614">
        <w:rPr>
          <w:rFonts w:ascii="Arial" w:hAnsi="Arial" w:cs="Arial"/>
          <w:iCs/>
          <w:color w:val="000000"/>
        </w:rPr>
        <w:t xml:space="preserve"> </w:t>
      </w:r>
      <w:r w:rsidR="00581B6E" w:rsidRPr="00E17614">
        <w:rPr>
          <w:rFonts w:ascii="Arial" w:hAnsi="Arial" w:cs="Arial"/>
          <w:iCs/>
          <w:color w:val="000000"/>
        </w:rPr>
        <w:t>in which the least amount</w:t>
      </w:r>
      <w:r w:rsidR="00CA20C3" w:rsidRPr="00E17614">
        <w:rPr>
          <w:rFonts w:ascii="Arial" w:hAnsi="Arial" w:cs="Arial"/>
          <w:iCs/>
          <w:color w:val="000000"/>
        </w:rPr>
        <w:t>s</w:t>
      </w:r>
      <w:r w:rsidR="00581B6E" w:rsidRPr="00E17614">
        <w:rPr>
          <w:rFonts w:ascii="Arial" w:hAnsi="Arial" w:cs="Arial"/>
          <w:iCs/>
          <w:color w:val="000000"/>
        </w:rPr>
        <w:t xml:space="preserve"> of EEF </w:t>
      </w:r>
      <w:r w:rsidR="001E3FE5" w:rsidRPr="00E17614">
        <w:rPr>
          <w:rFonts w:ascii="Arial" w:hAnsi="Arial" w:cs="Arial"/>
          <w:iCs/>
          <w:color w:val="000000"/>
        </w:rPr>
        <w:t>have</w:t>
      </w:r>
      <w:r w:rsidR="00581B6E" w:rsidRPr="00E17614">
        <w:rPr>
          <w:rFonts w:ascii="Arial" w:hAnsi="Arial" w:cs="Arial"/>
          <w:iCs/>
          <w:color w:val="000000"/>
        </w:rPr>
        <w:t xml:space="preserve"> been </w:t>
      </w:r>
      <w:r w:rsidR="00091A2A" w:rsidRPr="00E17614">
        <w:rPr>
          <w:rFonts w:ascii="Arial" w:hAnsi="Arial" w:cs="Arial"/>
          <w:iCs/>
          <w:color w:val="000000"/>
        </w:rPr>
        <w:t>expended</w:t>
      </w:r>
      <w:r w:rsidR="00581B6E" w:rsidRPr="00E17614">
        <w:rPr>
          <w:rFonts w:ascii="Arial" w:hAnsi="Arial" w:cs="Arial"/>
          <w:iCs/>
          <w:color w:val="000000"/>
        </w:rPr>
        <w:t xml:space="preserve"> include</w:t>
      </w:r>
      <w:r w:rsidR="00236F1E" w:rsidRPr="00E17614">
        <w:rPr>
          <w:rFonts w:ascii="Arial" w:hAnsi="Arial" w:cs="Arial"/>
          <w:iCs/>
          <w:color w:val="000000"/>
        </w:rPr>
        <w:t>d</w:t>
      </w:r>
      <w:r w:rsidR="00581B6E" w:rsidRPr="00E17614">
        <w:rPr>
          <w:rFonts w:ascii="Arial" w:hAnsi="Arial" w:cs="Arial"/>
          <w:iCs/>
          <w:color w:val="000000"/>
        </w:rPr>
        <w:t xml:space="preserve"> Ethnic Studies</w:t>
      </w:r>
      <w:r w:rsidR="00F8580E" w:rsidRPr="00E17614">
        <w:rPr>
          <w:rFonts w:ascii="Arial" w:hAnsi="Arial" w:cs="Arial"/>
          <w:iCs/>
          <w:color w:val="000000"/>
        </w:rPr>
        <w:t xml:space="preserve"> Curricula</w:t>
      </w:r>
      <w:r w:rsidRPr="00E17614">
        <w:rPr>
          <w:rFonts w:ascii="Arial" w:hAnsi="Arial" w:cs="Arial"/>
          <w:iCs/>
          <w:color w:val="000000"/>
        </w:rPr>
        <w:t xml:space="preserve"> at </w:t>
      </w:r>
      <w:r w:rsidRPr="00E17614">
        <w:rPr>
          <w:rFonts w:ascii="Arial" w:hAnsi="Arial" w:cs="Arial"/>
          <w:color w:val="000000" w:themeColor="text1"/>
        </w:rPr>
        <w:t>$1,592,080.22</w:t>
      </w:r>
      <w:r w:rsidR="006D5893" w:rsidRPr="00E17614">
        <w:rPr>
          <w:rFonts w:ascii="Arial" w:hAnsi="Arial" w:cs="Arial"/>
          <w:iCs/>
          <w:color w:val="000000"/>
        </w:rPr>
        <w:t xml:space="preserve"> and Early Childhood</w:t>
      </w:r>
      <w:r w:rsidRPr="00E17614">
        <w:rPr>
          <w:rFonts w:ascii="Arial" w:hAnsi="Arial" w:cs="Arial"/>
          <w:iCs/>
          <w:color w:val="000000"/>
        </w:rPr>
        <w:t xml:space="preserve"> at $1,871,425.92</w:t>
      </w:r>
      <w:r w:rsidR="00581B6E" w:rsidRPr="00E17614">
        <w:rPr>
          <w:rFonts w:ascii="Arial" w:hAnsi="Arial" w:cs="Arial"/>
          <w:iCs/>
          <w:color w:val="000000"/>
        </w:rPr>
        <w:t xml:space="preserve">. </w:t>
      </w:r>
    </w:p>
    <w:p w14:paraId="7B23457D" w14:textId="16DDD440" w:rsidR="00807902" w:rsidRPr="00E17614" w:rsidRDefault="00807902" w:rsidP="00472BEF">
      <w:pPr>
        <w:tabs>
          <w:tab w:val="right" w:pos="9360"/>
        </w:tabs>
        <w:autoSpaceDE w:val="0"/>
        <w:autoSpaceDN w:val="0"/>
        <w:adjustRightInd w:val="0"/>
        <w:rPr>
          <w:rFonts w:ascii="Arial" w:hAnsi="Arial" w:cs="Arial"/>
          <w:bCs/>
        </w:rPr>
      </w:pPr>
      <w:r w:rsidRPr="00E17614">
        <w:rPr>
          <w:rFonts w:ascii="Arial" w:hAnsi="Arial" w:cs="Arial"/>
          <w:bCs/>
        </w:rPr>
        <w:t xml:space="preserve">You </w:t>
      </w:r>
      <w:r w:rsidR="00E06742" w:rsidRPr="00E17614">
        <w:rPr>
          <w:rFonts w:ascii="Arial" w:hAnsi="Arial" w:cs="Arial"/>
          <w:bCs/>
        </w:rPr>
        <w:t>will</w:t>
      </w:r>
      <w:r w:rsidRPr="00E17614">
        <w:rPr>
          <w:rFonts w:ascii="Arial" w:hAnsi="Arial" w:cs="Arial"/>
          <w:bCs/>
        </w:rPr>
        <w:t xml:space="preserve"> find this report </w:t>
      </w:r>
      <w:r w:rsidR="005C0074" w:rsidRPr="00E17614">
        <w:rPr>
          <w:rFonts w:ascii="Arial" w:hAnsi="Arial" w:cs="Arial"/>
          <w:bCs/>
        </w:rPr>
        <w:t>on</w:t>
      </w:r>
      <w:r w:rsidRPr="00E17614">
        <w:rPr>
          <w:rFonts w:ascii="Arial" w:hAnsi="Arial" w:cs="Arial"/>
          <w:bCs/>
        </w:rPr>
        <w:t xml:space="preserve"> the </w:t>
      </w:r>
      <w:r w:rsidR="00E06742" w:rsidRPr="00E17614">
        <w:rPr>
          <w:rFonts w:ascii="Arial" w:hAnsi="Arial" w:cs="Arial"/>
          <w:bCs/>
        </w:rPr>
        <w:t>CDE</w:t>
      </w:r>
      <w:r w:rsidR="00472BEF" w:rsidRPr="00E17614">
        <w:rPr>
          <w:rFonts w:ascii="Arial" w:hAnsi="Arial" w:cs="Arial"/>
          <w:bCs/>
        </w:rPr>
        <w:t xml:space="preserve"> </w:t>
      </w:r>
      <w:r w:rsidR="000768F4" w:rsidRPr="00E17614">
        <w:rPr>
          <w:rFonts w:ascii="Arial" w:hAnsi="Arial" w:cs="Arial"/>
        </w:rPr>
        <w:t>E</w:t>
      </w:r>
      <w:r w:rsidR="00472BEF" w:rsidRPr="00E17614">
        <w:rPr>
          <w:rFonts w:ascii="Arial" w:hAnsi="Arial" w:cs="Arial"/>
        </w:rPr>
        <w:t xml:space="preserve">ducator </w:t>
      </w:r>
      <w:r w:rsidR="000768F4" w:rsidRPr="00E17614">
        <w:rPr>
          <w:rFonts w:ascii="Arial" w:hAnsi="Arial" w:cs="Arial"/>
        </w:rPr>
        <w:t>E</w:t>
      </w:r>
      <w:r w:rsidR="00472BEF" w:rsidRPr="00E17614">
        <w:rPr>
          <w:rFonts w:ascii="Arial" w:hAnsi="Arial" w:cs="Arial"/>
        </w:rPr>
        <w:t xml:space="preserve">ffectiveness </w:t>
      </w:r>
      <w:r w:rsidR="00E06742" w:rsidRPr="00E17614">
        <w:rPr>
          <w:rFonts w:ascii="Arial" w:hAnsi="Arial" w:cs="Arial"/>
        </w:rPr>
        <w:t xml:space="preserve">2021–26 </w:t>
      </w:r>
      <w:r w:rsidR="000768F4" w:rsidRPr="00E17614">
        <w:rPr>
          <w:rFonts w:ascii="Arial" w:hAnsi="Arial" w:cs="Arial"/>
        </w:rPr>
        <w:t>web page</w:t>
      </w:r>
      <w:r w:rsidR="00B46DF2" w:rsidRPr="00E17614">
        <w:rPr>
          <w:rStyle w:val="Hyperlink"/>
          <w:rFonts w:ascii="Arial" w:hAnsi="Arial" w:cs="Arial"/>
          <w:color w:val="auto"/>
          <w:u w:val="none"/>
        </w:rPr>
        <w:t xml:space="preserve"> at</w:t>
      </w:r>
      <w:r w:rsidR="00004A5E" w:rsidRPr="00E17614">
        <w:rPr>
          <w:rStyle w:val="Hyperlink"/>
          <w:rFonts w:ascii="Arial" w:hAnsi="Arial" w:cs="Arial"/>
          <w:bCs/>
          <w:color w:val="auto"/>
          <w:u w:val="none"/>
        </w:rPr>
        <w:t xml:space="preserve"> </w:t>
      </w:r>
      <w:hyperlink r:id="rId14" w:tooltip="California Department of Education Educator Effectiveness Funds web page " w:history="1">
        <w:r w:rsidR="00CE2FC4">
          <w:rPr>
            <w:rStyle w:val="Hyperlink"/>
            <w:rFonts w:ascii="Arial" w:hAnsi="Arial" w:cs="Arial"/>
            <w:bCs/>
          </w:rPr>
          <w:t>https://www.cde.ca.gov/ci/pl/eef2021.asp</w:t>
        </w:r>
      </w:hyperlink>
      <w:r w:rsidRPr="00E17614">
        <w:rPr>
          <w:rFonts w:ascii="Arial" w:hAnsi="Arial" w:cs="Arial"/>
          <w:bCs/>
        </w:rPr>
        <w:t>.</w:t>
      </w:r>
      <w:r w:rsidR="00AB0D1C" w:rsidRPr="00E17614">
        <w:rPr>
          <w:rFonts w:ascii="Arial" w:hAnsi="Arial" w:cs="Arial"/>
          <w:bCs/>
        </w:rPr>
        <w:t xml:space="preserve"> </w:t>
      </w:r>
      <w:r w:rsidRPr="00E17614">
        <w:rPr>
          <w:rFonts w:ascii="Arial" w:hAnsi="Arial" w:cs="Arial"/>
          <w:bCs/>
        </w:rPr>
        <w:t xml:space="preserve">If you have questions or need a copy of this report, please contact </w:t>
      </w:r>
      <w:r w:rsidRPr="00E17614">
        <w:rPr>
          <w:rFonts w:ascii="Arial" w:hAnsi="Arial" w:cs="Arial"/>
          <w:bCs/>
          <w:color w:val="000000" w:themeColor="text1"/>
        </w:rPr>
        <w:t>Alexis Clift, Education Programs Consultant</w:t>
      </w:r>
      <w:r w:rsidR="00E06742" w:rsidRPr="00E17614">
        <w:rPr>
          <w:rFonts w:ascii="Arial" w:hAnsi="Arial" w:cs="Arial"/>
          <w:bCs/>
          <w:color w:val="000000" w:themeColor="text1"/>
        </w:rPr>
        <w:t>,</w:t>
      </w:r>
      <w:r w:rsidRPr="00E17614">
        <w:rPr>
          <w:rFonts w:ascii="Arial" w:hAnsi="Arial" w:cs="Arial"/>
          <w:bCs/>
          <w:color w:val="000000" w:themeColor="text1"/>
        </w:rPr>
        <w:t xml:space="preserve"> Teacher and Leader Policy Office</w:t>
      </w:r>
      <w:r w:rsidR="00E06742" w:rsidRPr="00E17614">
        <w:rPr>
          <w:rFonts w:ascii="Arial" w:hAnsi="Arial" w:cs="Arial"/>
          <w:bCs/>
          <w:color w:val="000000" w:themeColor="text1"/>
        </w:rPr>
        <w:t>,</w:t>
      </w:r>
      <w:r w:rsidRPr="00E17614">
        <w:rPr>
          <w:rFonts w:ascii="Arial" w:hAnsi="Arial" w:cs="Arial"/>
          <w:bCs/>
        </w:rPr>
        <w:t xml:space="preserve"> at 916-319-0452</w:t>
      </w:r>
      <w:r w:rsidRPr="00E17614">
        <w:rPr>
          <w:rFonts w:ascii="Arial" w:hAnsi="Arial" w:cs="Arial"/>
          <w:bCs/>
          <w:color w:val="C00000"/>
        </w:rPr>
        <w:t xml:space="preserve"> </w:t>
      </w:r>
      <w:r w:rsidRPr="00E17614">
        <w:rPr>
          <w:rFonts w:ascii="Arial" w:hAnsi="Arial" w:cs="Arial"/>
          <w:bCs/>
        </w:rPr>
        <w:t xml:space="preserve">or </w:t>
      </w:r>
      <w:hyperlink r:id="rId15" w:history="1">
        <w:r w:rsidRPr="00E17614">
          <w:rPr>
            <w:rFonts w:ascii="Arial" w:hAnsi="Arial" w:cs="Arial"/>
            <w:iCs/>
            <w:color w:val="0000FF"/>
            <w:u w:val="single"/>
          </w:rPr>
          <w:t>aclift@cde.ca.gov</w:t>
        </w:r>
      </w:hyperlink>
      <w:r w:rsidRPr="00E17614">
        <w:rPr>
          <w:rFonts w:ascii="Arial" w:hAnsi="Arial" w:cs="Arial"/>
          <w:iCs/>
          <w:color w:val="000000"/>
        </w:rPr>
        <w:t>.</w:t>
      </w:r>
    </w:p>
    <w:p w14:paraId="1E546C12" w14:textId="5BD62404" w:rsidR="00873A57" w:rsidRPr="009757E9" w:rsidRDefault="00873A57" w:rsidP="009757E9">
      <w:pPr>
        <w:pStyle w:val="Heading3"/>
        <w:rPr>
          <w:sz w:val="28"/>
          <w:szCs w:val="28"/>
        </w:rPr>
      </w:pPr>
      <w:r w:rsidRPr="009757E9">
        <w:rPr>
          <w:sz w:val="28"/>
          <w:szCs w:val="28"/>
        </w:rPr>
        <w:br w:type="page"/>
      </w:r>
      <w:bookmarkStart w:id="3" w:name="_Toc148514280"/>
      <w:bookmarkStart w:id="4" w:name="_Toc148959807"/>
      <w:r w:rsidR="00A437D4" w:rsidRPr="009757E9">
        <w:rPr>
          <w:sz w:val="28"/>
          <w:szCs w:val="28"/>
        </w:rPr>
        <w:lastRenderedPageBreak/>
        <w:t>Assembly Bill</w:t>
      </w:r>
      <w:r w:rsidR="00DC2E62" w:rsidRPr="009757E9">
        <w:rPr>
          <w:sz w:val="28"/>
          <w:szCs w:val="28"/>
        </w:rPr>
        <w:t>s</w:t>
      </w:r>
      <w:r w:rsidR="00A437D4" w:rsidRPr="009757E9">
        <w:rPr>
          <w:sz w:val="28"/>
          <w:szCs w:val="28"/>
        </w:rPr>
        <w:t xml:space="preserve"> 130 and 181 and Legislative Reporting Require</w:t>
      </w:r>
      <w:r w:rsidR="00A437D4" w:rsidRPr="009757E9">
        <w:rPr>
          <w:color w:val="000000" w:themeColor="text1"/>
          <w:sz w:val="28"/>
          <w:szCs w:val="28"/>
        </w:rPr>
        <w:t>ments</w:t>
      </w:r>
      <w:bookmarkEnd w:id="3"/>
      <w:bookmarkEnd w:id="4"/>
    </w:p>
    <w:p w14:paraId="50A4FF17" w14:textId="443FC2E1" w:rsidR="00A437D4" w:rsidRPr="00E17614" w:rsidRDefault="00A437D4" w:rsidP="00E544E8">
      <w:pPr>
        <w:spacing w:after="240"/>
        <w:rPr>
          <w:rFonts w:ascii="Arial" w:hAnsi="Arial" w:cs="Arial"/>
        </w:rPr>
      </w:pPr>
      <w:r w:rsidRPr="00E17614">
        <w:rPr>
          <w:rFonts w:ascii="Arial" w:hAnsi="Arial" w:cs="Arial"/>
          <w:color w:val="000000" w:themeColor="text1"/>
        </w:rPr>
        <w:t>The</w:t>
      </w:r>
      <w:r w:rsidR="0059407F" w:rsidRPr="00E17614">
        <w:rPr>
          <w:rFonts w:ascii="Arial" w:hAnsi="Arial" w:cs="Arial"/>
          <w:color w:val="000000" w:themeColor="text1"/>
        </w:rPr>
        <w:t xml:space="preserve"> </w:t>
      </w:r>
      <w:r w:rsidR="002277FD" w:rsidRPr="00E17614">
        <w:rPr>
          <w:rFonts w:ascii="Arial" w:hAnsi="Arial" w:cs="Arial"/>
          <w:color w:val="000000" w:themeColor="text1"/>
        </w:rPr>
        <w:t>EEF</w:t>
      </w:r>
      <w:r w:rsidRPr="00E17614">
        <w:rPr>
          <w:rFonts w:ascii="Arial" w:hAnsi="Arial" w:cs="Arial"/>
          <w:color w:val="000000" w:themeColor="text1"/>
        </w:rPr>
        <w:t xml:space="preserve"> Block Grant </w:t>
      </w:r>
      <w:r w:rsidR="00DA6775" w:rsidRPr="00E17614">
        <w:rPr>
          <w:rFonts w:ascii="Arial" w:hAnsi="Arial" w:cs="Arial"/>
          <w:color w:val="000000" w:themeColor="text1"/>
        </w:rPr>
        <w:t>p</w:t>
      </w:r>
      <w:r w:rsidRPr="00E17614">
        <w:rPr>
          <w:rFonts w:ascii="Arial" w:hAnsi="Arial" w:cs="Arial"/>
          <w:color w:val="000000" w:themeColor="text1"/>
        </w:rPr>
        <w:t>rogram</w:t>
      </w:r>
      <w:r w:rsidR="0059407F" w:rsidRPr="00E17614">
        <w:rPr>
          <w:rFonts w:ascii="Arial" w:hAnsi="Arial" w:cs="Arial"/>
          <w:color w:val="000000" w:themeColor="text1"/>
        </w:rPr>
        <w:t xml:space="preserve"> </w:t>
      </w:r>
      <w:r w:rsidRPr="00E17614">
        <w:rPr>
          <w:rFonts w:ascii="Arial" w:hAnsi="Arial" w:cs="Arial"/>
          <w:color w:val="000000" w:themeColor="text1"/>
        </w:rPr>
        <w:t>was established by A</w:t>
      </w:r>
      <w:r w:rsidR="00952F7F" w:rsidRPr="00E17614">
        <w:rPr>
          <w:rFonts w:ascii="Arial" w:hAnsi="Arial" w:cs="Arial"/>
          <w:color w:val="000000" w:themeColor="text1"/>
        </w:rPr>
        <w:t xml:space="preserve">ssembly </w:t>
      </w:r>
      <w:r w:rsidRPr="00E17614">
        <w:rPr>
          <w:rFonts w:ascii="Arial" w:hAnsi="Arial" w:cs="Arial"/>
          <w:color w:val="000000" w:themeColor="text1"/>
        </w:rPr>
        <w:t>B</w:t>
      </w:r>
      <w:r w:rsidR="00952F7F" w:rsidRPr="00E17614">
        <w:rPr>
          <w:rFonts w:ascii="Arial" w:hAnsi="Arial" w:cs="Arial"/>
          <w:color w:val="000000" w:themeColor="text1"/>
        </w:rPr>
        <w:t>ill</w:t>
      </w:r>
      <w:r w:rsidR="00686E8F" w:rsidRPr="00E17614">
        <w:rPr>
          <w:rFonts w:ascii="Arial" w:hAnsi="Arial" w:cs="Arial"/>
          <w:color w:val="000000" w:themeColor="text1"/>
        </w:rPr>
        <w:t xml:space="preserve"> (AB)</w:t>
      </w:r>
      <w:r w:rsidRPr="00E17614">
        <w:rPr>
          <w:rFonts w:ascii="Arial" w:hAnsi="Arial" w:cs="Arial"/>
          <w:color w:val="000000" w:themeColor="text1"/>
        </w:rPr>
        <w:t xml:space="preserve"> 130</w:t>
      </w:r>
      <w:r w:rsidR="00A0461D" w:rsidRPr="00E17614">
        <w:rPr>
          <w:rFonts w:ascii="Arial" w:hAnsi="Arial" w:cs="Arial"/>
          <w:color w:val="000000" w:themeColor="text1"/>
        </w:rPr>
        <w:t xml:space="preserve"> (Chapter 44, Statutes of 2021)</w:t>
      </w:r>
      <w:r w:rsidRPr="00E17614">
        <w:rPr>
          <w:rFonts w:ascii="Arial" w:hAnsi="Arial" w:cs="Arial"/>
          <w:color w:val="000000" w:themeColor="text1"/>
        </w:rPr>
        <w:t xml:space="preserve">, Section 22 </w:t>
      </w:r>
      <w:r w:rsidR="00482ADC" w:rsidRPr="00E17614">
        <w:rPr>
          <w:rFonts w:ascii="Arial" w:hAnsi="Arial" w:cs="Arial"/>
          <w:color w:val="000000" w:themeColor="text1"/>
        </w:rPr>
        <w:t xml:space="preserve">and </w:t>
      </w:r>
      <w:r w:rsidR="36F7630B" w:rsidRPr="00E17614">
        <w:rPr>
          <w:rFonts w:ascii="Arial" w:hAnsi="Arial" w:cs="Arial"/>
          <w:color w:val="000000" w:themeColor="text1"/>
        </w:rPr>
        <w:t>codified</w:t>
      </w:r>
      <w:r w:rsidR="4D1882EA" w:rsidRPr="00E17614">
        <w:rPr>
          <w:rFonts w:ascii="Arial" w:hAnsi="Arial" w:cs="Arial"/>
          <w:color w:val="000000" w:themeColor="text1"/>
        </w:rPr>
        <w:t xml:space="preserve"> in</w:t>
      </w:r>
      <w:r w:rsidR="36F7630B" w:rsidRPr="00E17614">
        <w:rPr>
          <w:rFonts w:ascii="Arial" w:hAnsi="Arial" w:cs="Arial"/>
          <w:color w:val="000000" w:themeColor="text1"/>
        </w:rPr>
        <w:t xml:space="preserve"> </w:t>
      </w:r>
      <w:r w:rsidR="00482ADC" w:rsidRPr="00E17614">
        <w:rPr>
          <w:rFonts w:ascii="Arial" w:hAnsi="Arial" w:cs="Arial"/>
          <w:i/>
          <w:iCs/>
        </w:rPr>
        <w:t xml:space="preserve">EC </w:t>
      </w:r>
      <w:r w:rsidR="00482ADC" w:rsidRPr="00E17614">
        <w:rPr>
          <w:rFonts w:ascii="Arial" w:hAnsi="Arial" w:cs="Arial"/>
        </w:rPr>
        <w:t>Section</w:t>
      </w:r>
      <w:r w:rsidR="00482ADC" w:rsidRPr="00E17614">
        <w:rPr>
          <w:rFonts w:ascii="Arial" w:hAnsi="Arial" w:cs="Arial"/>
          <w:i/>
          <w:iCs/>
        </w:rPr>
        <w:t xml:space="preserve"> </w:t>
      </w:r>
      <w:r w:rsidR="00482ADC" w:rsidRPr="00E17614">
        <w:rPr>
          <w:rFonts w:ascii="Arial" w:hAnsi="Arial" w:cs="Arial"/>
        </w:rPr>
        <w:t>41480</w:t>
      </w:r>
      <w:r w:rsidRPr="00E17614">
        <w:rPr>
          <w:rFonts w:ascii="Arial" w:hAnsi="Arial" w:cs="Arial"/>
          <w:color w:val="000000" w:themeColor="text1"/>
        </w:rPr>
        <w:t>. The law specified that</w:t>
      </w:r>
      <w:r w:rsidR="00390CD9" w:rsidRPr="00E17614">
        <w:rPr>
          <w:rFonts w:ascii="Arial" w:hAnsi="Arial" w:cs="Arial"/>
          <w:color w:val="000000" w:themeColor="text1"/>
        </w:rPr>
        <w:t xml:space="preserve"> the</w:t>
      </w:r>
      <w:r w:rsidRPr="00E17614">
        <w:rPr>
          <w:rFonts w:ascii="Arial" w:hAnsi="Arial" w:cs="Arial"/>
          <w:color w:val="000000" w:themeColor="text1"/>
        </w:rPr>
        <w:t xml:space="preserve"> EEF may be used to support professional learning for certificated teachers, administrators, paraprofessional educators, and</w:t>
      </w:r>
      <w:r w:rsidRPr="00E17614">
        <w:rPr>
          <w:rFonts w:ascii="Arial" w:hAnsi="Arial" w:cs="Arial"/>
        </w:rPr>
        <w:t xml:space="preserve"> </w:t>
      </w:r>
      <w:r w:rsidR="00432BE3" w:rsidRPr="00E17614">
        <w:rPr>
          <w:rFonts w:ascii="Arial" w:hAnsi="Arial" w:cs="Arial"/>
        </w:rPr>
        <w:t>classified</w:t>
      </w:r>
      <w:r w:rsidRPr="00E17614">
        <w:rPr>
          <w:rFonts w:ascii="Arial" w:hAnsi="Arial" w:cs="Arial"/>
        </w:rPr>
        <w:t xml:space="preserve"> staff. </w:t>
      </w:r>
      <w:r w:rsidR="00FB197F" w:rsidRPr="00E17614">
        <w:rPr>
          <w:rFonts w:ascii="Arial" w:hAnsi="Arial" w:cs="Arial"/>
        </w:rPr>
        <w:t xml:space="preserve">The statute was </w:t>
      </w:r>
      <w:r w:rsidR="00AC33BD" w:rsidRPr="00E17614">
        <w:rPr>
          <w:rFonts w:ascii="Arial" w:hAnsi="Arial" w:cs="Arial"/>
        </w:rPr>
        <w:t>also</w:t>
      </w:r>
      <w:r w:rsidR="00482ADC" w:rsidRPr="00E17614">
        <w:rPr>
          <w:rFonts w:ascii="Arial" w:hAnsi="Arial" w:cs="Arial"/>
        </w:rPr>
        <w:t xml:space="preserve"> </w:t>
      </w:r>
      <w:r w:rsidR="00FB197F" w:rsidRPr="00E17614">
        <w:rPr>
          <w:rFonts w:ascii="Arial" w:hAnsi="Arial" w:cs="Arial"/>
        </w:rPr>
        <w:t>amended in</w:t>
      </w:r>
      <w:r w:rsidR="00482ADC" w:rsidRPr="00E17614">
        <w:rPr>
          <w:rFonts w:ascii="Arial" w:hAnsi="Arial" w:cs="Arial"/>
        </w:rPr>
        <w:t xml:space="preserve"> </w:t>
      </w:r>
      <w:r w:rsidR="00FB197F" w:rsidRPr="00E17614">
        <w:rPr>
          <w:rFonts w:ascii="Arial" w:hAnsi="Arial" w:cs="Arial"/>
        </w:rPr>
        <w:t xml:space="preserve">2022 through </w:t>
      </w:r>
      <w:r w:rsidRPr="00E17614">
        <w:rPr>
          <w:rFonts w:ascii="Arial" w:hAnsi="Arial" w:cs="Arial"/>
        </w:rPr>
        <w:t>AB 181</w:t>
      </w:r>
      <w:r w:rsidR="00A0461D" w:rsidRPr="00E17614">
        <w:rPr>
          <w:rFonts w:ascii="Arial" w:hAnsi="Arial" w:cs="Arial"/>
        </w:rPr>
        <w:t xml:space="preserve"> (Ch. 52, Stats. 2022)</w:t>
      </w:r>
      <w:r w:rsidRPr="00E17614">
        <w:rPr>
          <w:rFonts w:ascii="Arial" w:hAnsi="Arial" w:cs="Arial"/>
        </w:rPr>
        <w:t>, Section 18</w:t>
      </w:r>
      <w:r w:rsidR="00482ADC" w:rsidRPr="00E17614">
        <w:rPr>
          <w:rFonts w:ascii="Arial" w:hAnsi="Arial" w:cs="Arial"/>
        </w:rPr>
        <w:t xml:space="preserve"> to include</w:t>
      </w:r>
      <w:r w:rsidR="00A21F48" w:rsidRPr="00E17614">
        <w:rPr>
          <w:rFonts w:ascii="Arial" w:hAnsi="Arial" w:cs="Arial"/>
        </w:rPr>
        <w:t xml:space="preserve"> an additional allowable use category for teacher retention and induction, </w:t>
      </w:r>
      <w:r w:rsidR="00AC33BD" w:rsidRPr="00E17614">
        <w:rPr>
          <w:rFonts w:ascii="Arial" w:hAnsi="Arial" w:cs="Arial"/>
        </w:rPr>
        <w:t xml:space="preserve">add </w:t>
      </w:r>
      <w:r w:rsidR="00482ADC" w:rsidRPr="00E17614">
        <w:rPr>
          <w:rFonts w:ascii="Arial" w:hAnsi="Arial" w:cs="Arial"/>
        </w:rPr>
        <w:t>preschool learning foundations</w:t>
      </w:r>
      <w:r w:rsidR="00A21F48" w:rsidRPr="00E17614">
        <w:rPr>
          <w:rFonts w:ascii="Arial" w:hAnsi="Arial" w:cs="Arial"/>
        </w:rPr>
        <w:t xml:space="preserve"> as a subject area</w:t>
      </w:r>
      <w:r w:rsidR="00E06742" w:rsidRPr="00E17614">
        <w:rPr>
          <w:rFonts w:ascii="Arial" w:hAnsi="Arial" w:cs="Arial"/>
        </w:rPr>
        <w:t>,</w:t>
      </w:r>
      <w:r w:rsidR="00BD2ED4" w:rsidRPr="00E17614">
        <w:rPr>
          <w:rFonts w:ascii="Arial" w:hAnsi="Arial" w:cs="Arial"/>
        </w:rPr>
        <w:t xml:space="preserve"> expand the allowable uses to include coursework for credentialing</w:t>
      </w:r>
      <w:r w:rsidR="00E06742" w:rsidRPr="00E17614">
        <w:rPr>
          <w:rFonts w:ascii="Arial" w:hAnsi="Arial" w:cs="Arial"/>
        </w:rPr>
        <w:t>,</w:t>
      </w:r>
      <w:r w:rsidR="00BD2ED4" w:rsidRPr="00E17614">
        <w:rPr>
          <w:rFonts w:ascii="Arial" w:hAnsi="Arial" w:cs="Arial"/>
        </w:rPr>
        <w:t xml:space="preserve"> extend the date required for</w:t>
      </w:r>
      <w:r w:rsidR="00DB2A01" w:rsidRPr="00E17614">
        <w:rPr>
          <w:rFonts w:ascii="Arial" w:hAnsi="Arial" w:cs="Arial"/>
        </w:rPr>
        <w:t xml:space="preserve"> </w:t>
      </w:r>
      <w:r w:rsidR="00AC33BD" w:rsidRPr="00E17614">
        <w:rPr>
          <w:rFonts w:ascii="Arial" w:hAnsi="Arial" w:cs="Arial"/>
        </w:rPr>
        <w:t xml:space="preserve">LEA EEF </w:t>
      </w:r>
      <w:r w:rsidR="00BD2ED4" w:rsidRPr="00E17614">
        <w:rPr>
          <w:rFonts w:ascii="Arial" w:hAnsi="Arial" w:cs="Arial"/>
        </w:rPr>
        <w:t>plan review and subsequent meeting approval by local board</w:t>
      </w:r>
      <w:r w:rsidR="00E06742" w:rsidRPr="00E17614">
        <w:rPr>
          <w:rFonts w:ascii="Arial" w:hAnsi="Arial" w:cs="Arial"/>
        </w:rPr>
        <w:t>,</w:t>
      </w:r>
      <w:r w:rsidR="00BD2ED4" w:rsidRPr="00E17614">
        <w:rPr>
          <w:rFonts w:ascii="Arial" w:hAnsi="Arial" w:cs="Arial"/>
        </w:rPr>
        <w:t xml:space="preserve"> and add a condition of apportionment to ensure that none of </w:t>
      </w:r>
      <w:r w:rsidR="00AC33BD" w:rsidRPr="00E17614">
        <w:rPr>
          <w:rFonts w:ascii="Arial" w:hAnsi="Arial" w:cs="Arial"/>
        </w:rPr>
        <w:t xml:space="preserve">the </w:t>
      </w:r>
      <w:r w:rsidR="00BD2ED4" w:rsidRPr="00E17614">
        <w:rPr>
          <w:rFonts w:ascii="Arial" w:hAnsi="Arial" w:cs="Arial"/>
        </w:rPr>
        <w:t xml:space="preserve">LEA employees are charged a fee for services in </w:t>
      </w:r>
      <w:r w:rsidR="00AC33BD" w:rsidRPr="00E17614">
        <w:rPr>
          <w:rFonts w:ascii="Arial" w:hAnsi="Arial" w:cs="Arial"/>
        </w:rPr>
        <w:t>EEF</w:t>
      </w:r>
      <w:r w:rsidR="00BD2ED4" w:rsidRPr="00E17614">
        <w:rPr>
          <w:rFonts w:ascii="Arial" w:hAnsi="Arial" w:cs="Arial"/>
        </w:rPr>
        <w:t xml:space="preserve"> allowable uses</w:t>
      </w:r>
      <w:r w:rsidR="006A33CD" w:rsidRPr="00E17614">
        <w:rPr>
          <w:rFonts w:ascii="Arial" w:hAnsi="Arial" w:cs="Arial"/>
        </w:rPr>
        <w:t>.</w:t>
      </w:r>
      <w:r w:rsidRPr="00E17614">
        <w:rPr>
          <w:rFonts w:ascii="Arial" w:hAnsi="Arial" w:cs="Arial"/>
        </w:rPr>
        <w:t xml:space="preserve"> </w:t>
      </w:r>
    </w:p>
    <w:p w14:paraId="3309C3B5" w14:textId="1D4251EC" w:rsidR="00756659" w:rsidRPr="00E17614" w:rsidRDefault="00D40505" w:rsidP="00E544E8">
      <w:pPr>
        <w:spacing w:after="240"/>
        <w:rPr>
          <w:rFonts w:ascii="Arial" w:hAnsi="Arial" w:cs="Arial"/>
        </w:rPr>
      </w:pPr>
      <w:r w:rsidRPr="00E17614">
        <w:rPr>
          <w:rFonts w:ascii="Arial" w:hAnsi="Arial" w:cs="Arial"/>
        </w:rPr>
        <w:t>The EEF represents an unprecedented investment in California’s educator workforce.</w:t>
      </w:r>
      <w:r w:rsidR="0011546D" w:rsidRPr="00E17614">
        <w:rPr>
          <w:rFonts w:ascii="Arial" w:hAnsi="Arial" w:cs="Arial"/>
        </w:rPr>
        <w:t xml:space="preserve"> </w:t>
      </w:r>
      <w:r w:rsidRPr="00E17614">
        <w:rPr>
          <w:rFonts w:ascii="Arial" w:hAnsi="Arial" w:cs="Arial"/>
        </w:rPr>
        <w:t>This program provides $1</w:t>
      </w:r>
      <w:r w:rsidR="005919C9" w:rsidRPr="00E17614">
        <w:rPr>
          <w:rFonts w:ascii="Arial" w:hAnsi="Arial" w:cs="Arial"/>
        </w:rPr>
        <w:t>.5 billion</w:t>
      </w:r>
      <w:r w:rsidRPr="00E17614">
        <w:rPr>
          <w:rFonts w:ascii="Arial" w:hAnsi="Arial" w:cs="Arial"/>
        </w:rPr>
        <w:t xml:space="preserve"> for </w:t>
      </w:r>
      <w:r w:rsidR="00425161" w:rsidRPr="00E17614">
        <w:rPr>
          <w:rFonts w:ascii="Arial" w:hAnsi="Arial" w:cs="Arial"/>
        </w:rPr>
        <w:t>county offices of education (</w:t>
      </w:r>
      <w:r w:rsidR="00B107FD" w:rsidRPr="00E17614">
        <w:rPr>
          <w:rFonts w:ascii="Arial" w:hAnsi="Arial" w:cs="Arial"/>
        </w:rPr>
        <w:t>COEs</w:t>
      </w:r>
      <w:r w:rsidR="00425161" w:rsidRPr="00E17614">
        <w:rPr>
          <w:rFonts w:ascii="Arial" w:hAnsi="Arial" w:cs="Arial"/>
        </w:rPr>
        <w:t>)</w:t>
      </w:r>
      <w:r w:rsidRPr="00E17614">
        <w:rPr>
          <w:rFonts w:ascii="Arial" w:hAnsi="Arial" w:cs="Arial"/>
        </w:rPr>
        <w:t>, school districts, charter schools, and state special schools to provide professional learning in order to promote educator equity, quality, and effectiveness.</w:t>
      </w:r>
    </w:p>
    <w:p w14:paraId="590914B9" w14:textId="58CDC6F0" w:rsidR="00912358" w:rsidRPr="00E17614" w:rsidRDefault="00D40505" w:rsidP="009E6BB2">
      <w:pPr>
        <w:pStyle w:val="NormalWeb"/>
        <w:shd w:val="clear" w:color="auto" w:fill="FFFFFF"/>
        <w:spacing w:before="0" w:beforeAutospacing="0" w:after="240" w:afterAutospacing="0"/>
        <w:rPr>
          <w:rFonts w:ascii="Arial" w:hAnsi="Arial" w:cs="Arial"/>
          <w:color w:val="000000"/>
        </w:rPr>
      </w:pPr>
      <w:r w:rsidRPr="00E17614">
        <w:rPr>
          <w:rFonts w:ascii="Arial" w:hAnsi="Arial" w:cs="Arial"/>
        </w:rPr>
        <w:t>There are 11 allowable uses of these funds</w:t>
      </w:r>
      <w:r w:rsidR="0011546D" w:rsidRPr="00E17614">
        <w:rPr>
          <w:rFonts w:ascii="Arial" w:hAnsi="Arial" w:cs="Arial"/>
        </w:rPr>
        <w:t xml:space="preserve">. </w:t>
      </w:r>
      <w:r w:rsidR="00912358" w:rsidRPr="00E17614">
        <w:rPr>
          <w:rFonts w:ascii="Arial" w:hAnsi="Arial" w:cs="Arial"/>
          <w:color w:val="000000"/>
        </w:rPr>
        <w:t xml:space="preserve">A school district, </w:t>
      </w:r>
      <w:r w:rsidR="00B107FD" w:rsidRPr="00E17614">
        <w:rPr>
          <w:rFonts w:ascii="Arial" w:hAnsi="Arial" w:cs="Arial"/>
          <w:color w:val="000000"/>
        </w:rPr>
        <w:t>COE</w:t>
      </w:r>
      <w:r w:rsidR="00912358" w:rsidRPr="00E17614">
        <w:rPr>
          <w:rFonts w:ascii="Arial" w:hAnsi="Arial" w:cs="Arial"/>
          <w:color w:val="000000"/>
        </w:rPr>
        <w:t>, charter school, or state special school shall expend</w:t>
      </w:r>
      <w:r w:rsidR="00A6739E" w:rsidRPr="00E17614">
        <w:rPr>
          <w:rFonts w:ascii="Arial" w:hAnsi="Arial" w:cs="Arial"/>
          <w:color w:val="000000"/>
        </w:rPr>
        <w:t xml:space="preserve"> the</w:t>
      </w:r>
      <w:r w:rsidR="00912358" w:rsidRPr="00E17614">
        <w:rPr>
          <w:rFonts w:ascii="Arial" w:hAnsi="Arial" w:cs="Arial"/>
          <w:color w:val="000000"/>
        </w:rPr>
        <w:t xml:space="preserve"> EEF to provide professional learning for teachers, administrators, paraprofessionals who work with pupils, and classified staff </w:t>
      </w:r>
      <w:r w:rsidR="006504C1" w:rsidRPr="00E17614">
        <w:rPr>
          <w:rFonts w:ascii="Arial" w:hAnsi="Arial" w:cs="Arial"/>
          <w:color w:val="000000"/>
        </w:rPr>
        <w:t>who</w:t>
      </w:r>
      <w:r w:rsidR="00912358" w:rsidRPr="00E17614">
        <w:rPr>
          <w:rFonts w:ascii="Arial" w:hAnsi="Arial" w:cs="Arial"/>
          <w:color w:val="000000"/>
        </w:rPr>
        <w:t xml:space="preserve"> interact with pupils, with a focus on any of the following areas:</w:t>
      </w:r>
    </w:p>
    <w:p w14:paraId="4C6CE0F0" w14:textId="716A21B7"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 xml:space="preserve">Coaching and mentoring of staff serving in an instructional setting and beginning teacher or administrator induction, including </w:t>
      </w:r>
      <w:r w:rsidR="006504C1" w:rsidRPr="00E17614">
        <w:rPr>
          <w:rFonts w:ascii="Arial" w:hAnsi="Arial" w:cs="Arial"/>
          <w:color w:val="000000"/>
        </w:rPr>
        <w:t>(</w:t>
      </w:r>
      <w:r w:rsidRPr="00E17614">
        <w:rPr>
          <w:rFonts w:ascii="Arial" w:hAnsi="Arial" w:cs="Arial"/>
          <w:color w:val="000000"/>
        </w:rPr>
        <w:t>but not limited to</w:t>
      </w:r>
      <w:r w:rsidR="006504C1" w:rsidRPr="00E17614">
        <w:rPr>
          <w:rFonts w:ascii="Arial" w:hAnsi="Arial" w:cs="Arial"/>
          <w:color w:val="000000"/>
        </w:rPr>
        <w:t>)</w:t>
      </w:r>
      <w:r w:rsidRPr="00E17614">
        <w:rPr>
          <w:rFonts w:ascii="Arial" w:hAnsi="Arial" w:cs="Arial"/>
          <w:color w:val="000000"/>
        </w:rPr>
        <w:t xml:space="preserve"> coaching and mentoring solutions that address a local need for teachers</w:t>
      </w:r>
      <w:r w:rsidR="006504C1" w:rsidRPr="00E17614">
        <w:rPr>
          <w:rFonts w:ascii="Arial" w:hAnsi="Arial" w:cs="Arial"/>
          <w:color w:val="000000"/>
        </w:rPr>
        <w:t xml:space="preserve"> who</w:t>
      </w:r>
      <w:r w:rsidRPr="00E17614">
        <w:rPr>
          <w:rFonts w:ascii="Arial" w:hAnsi="Arial" w:cs="Arial"/>
          <w:color w:val="000000"/>
        </w:rPr>
        <w:t xml:space="preserve"> can serve all pupil populations</w:t>
      </w:r>
      <w:r w:rsidR="006504C1" w:rsidRPr="00E17614">
        <w:rPr>
          <w:rFonts w:ascii="Arial" w:hAnsi="Arial" w:cs="Arial"/>
          <w:color w:val="000000"/>
        </w:rPr>
        <w:t>,</w:t>
      </w:r>
      <w:r w:rsidRPr="00E17614">
        <w:rPr>
          <w:rFonts w:ascii="Arial" w:hAnsi="Arial" w:cs="Arial"/>
          <w:color w:val="000000"/>
        </w:rPr>
        <w:t xml:space="preserve"> with a focus on retaining teachers and offering structured feedback and coaching systems organized around social</w:t>
      </w:r>
      <w:r w:rsidR="006504C1" w:rsidRPr="00E17614">
        <w:rPr>
          <w:rFonts w:ascii="Arial" w:hAnsi="Arial" w:cs="Arial"/>
          <w:color w:val="000000"/>
        </w:rPr>
        <w:t>–</w:t>
      </w:r>
      <w:r w:rsidRPr="00E17614">
        <w:rPr>
          <w:rFonts w:ascii="Arial" w:hAnsi="Arial" w:cs="Arial"/>
          <w:color w:val="000000"/>
        </w:rPr>
        <w:t xml:space="preserve">emotional learning, </w:t>
      </w:r>
      <w:r w:rsidR="006504C1" w:rsidRPr="00E17614">
        <w:rPr>
          <w:rFonts w:ascii="Arial" w:hAnsi="Arial" w:cs="Arial"/>
          <w:color w:val="000000"/>
        </w:rPr>
        <w:t>which includes</w:t>
      </w:r>
      <w:r w:rsidRPr="00E17614">
        <w:rPr>
          <w:rFonts w:ascii="Arial" w:hAnsi="Arial" w:cs="Arial"/>
          <w:color w:val="000000"/>
        </w:rPr>
        <w:t xml:space="preserve"> </w:t>
      </w:r>
      <w:r w:rsidR="006504C1" w:rsidRPr="00E17614">
        <w:rPr>
          <w:rFonts w:ascii="Arial" w:hAnsi="Arial" w:cs="Arial"/>
          <w:color w:val="000000"/>
        </w:rPr>
        <w:t>(</w:t>
      </w:r>
      <w:r w:rsidRPr="00E17614">
        <w:rPr>
          <w:rFonts w:ascii="Arial" w:hAnsi="Arial" w:cs="Arial"/>
          <w:color w:val="000000"/>
        </w:rPr>
        <w:t>but</w:t>
      </w:r>
      <w:r w:rsidR="006504C1" w:rsidRPr="00E17614">
        <w:rPr>
          <w:rFonts w:ascii="Arial" w:hAnsi="Arial" w:cs="Arial"/>
          <w:color w:val="000000"/>
        </w:rPr>
        <w:t xml:space="preserve"> is</w:t>
      </w:r>
      <w:r w:rsidRPr="00E17614">
        <w:rPr>
          <w:rFonts w:ascii="Arial" w:hAnsi="Arial" w:cs="Arial"/>
          <w:color w:val="000000"/>
        </w:rPr>
        <w:t xml:space="preserve"> not limited to</w:t>
      </w:r>
      <w:r w:rsidR="006504C1" w:rsidRPr="00E17614">
        <w:rPr>
          <w:rFonts w:ascii="Arial" w:hAnsi="Arial" w:cs="Arial"/>
          <w:color w:val="000000"/>
        </w:rPr>
        <w:t>)</w:t>
      </w:r>
      <w:r w:rsidRPr="00E17614">
        <w:rPr>
          <w:rFonts w:ascii="Arial" w:hAnsi="Arial" w:cs="Arial"/>
          <w:color w:val="000000"/>
        </w:rPr>
        <w:t xml:space="preserve"> promoting teacher self-awareness, self-management, social awareness, relationships, and responsible </w:t>
      </w:r>
      <w:r w:rsidR="001E3FE5" w:rsidRPr="00E17614">
        <w:rPr>
          <w:rFonts w:ascii="Arial" w:hAnsi="Arial" w:cs="Arial"/>
          <w:color w:val="000000"/>
        </w:rPr>
        <w:t>decision-making</w:t>
      </w:r>
      <w:r w:rsidRPr="00E17614">
        <w:rPr>
          <w:rFonts w:ascii="Arial" w:hAnsi="Arial" w:cs="Arial"/>
          <w:color w:val="000000"/>
        </w:rPr>
        <w:t xml:space="preserve"> skills</w:t>
      </w:r>
      <w:r w:rsidR="006504C1" w:rsidRPr="00E17614">
        <w:rPr>
          <w:rFonts w:ascii="Arial" w:hAnsi="Arial" w:cs="Arial"/>
          <w:color w:val="000000"/>
        </w:rPr>
        <w:t>;</w:t>
      </w:r>
      <w:r w:rsidRPr="00E17614">
        <w:rPr>
          <w:rFonts w:ascii="Arial" w:hAnsi="Arial" w:cs="Arial"/>
          <w:color w:val="000000"/>
        </w:rPr>
        <w:t xml:space="preserve"> improving teacher attitudes and beliefs about oneself and others</w:t>
      </w:r>
      <w:r w:rsidR="006504C1" w:rsidRPr="00E17614">
        <w:rPr>
          <w:rFonts w:ascii="Arial" w:hAnsi="Arial" w:cs="Arial"/>
          <w:color w:val="000000"/>
        </w:rPr>
        <w:t>;</w:t>
      </w:r>
      <w:r w:rsidRPr="00E17614">
        <w:rPr>
          <w:rFonts w:ascii="Arial" w:hAnsi="Arial" w:cs="Arial"/>
          <w:color w:val="000000"/>
        </w:rPr>
        <w:t xml:space="preserve"> and supporting learning communities for educators to engage in a meaningful classroom teaching experience.</w:t>
      </w:r>
    </w:p>
    <w:p w14:paraId="07FE27F7" w14:textId="237300A0"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 xml:space="preserve">Programs that lead to effective, standards-aligned instruction and improve instruction in literacy across all subject areas, including English </w:t>
      </w:r>
      <w:r w:rsidR="008B2693" w:rsidRPr="00E17614">
        <w:rPr>
          <w:rFonts w:ascii="Arial" w:hAnsi="Arial" w:cs="Arial"/>
          <w:color w:val="000000"/>
        </w:rPr>
        <w:t>L</w:t>
      </w:r>
      <w:r w:rsidRPr="00E17614">
        <w:rPr>
          <w:rFonts w:ascii="Arial" w:hAnsi="Arial" w:cs="Arial"/>
          <w:color w:val="000000"/>
        </w:rPr>
        <w:t xml:space="preserve">anguage </w:t>
      </w:r>
      <w:r w:rsidR="008B2693" w:rsidRPr="00E17614">
        <w:rPr>
          <w:rFonts w:ascii="Arial" w:hAnsi="Arial" w:cs="Arial"/>
          <w:color w:val="000000"/>
        </w:rPr>
        <w:t>A</w:t>
      </w:r>
      <w:r w:rsidRPr="00E17614">
        <w:rPr>
          <w:rFonts w:ascii="Arial" w:hAnsi="Arial" w:cs="Arial"/>
          <w:color w:val="000000"/>
        </w:rPr>
        <w:t>rts</w:t>
      </w:r>
      <w:r w:rsidR="00BD539E" w:rsidRPr="00E17614">
        <w:rPr>
          <w:rFonts w:ascii="Arial" w:hAnsi="Arial" w:cs="Arial"/>
          <w:color w:val="000000"/>
        </w:rPr>
        <w:t xml:space="preserve"> (ELA)</w:t>
      </w:r>
      <w:r w:rsidRPr="00E17614">
        <w:rPr>
          <w:rFonts w:ascii="Arial" w:hAnsi="Arial" w:cs="Arial"/>
          <w:color w:val="000000"/>
        </w:rPr>
        <w:t>, history</w:t>
      </w:r>
      <w:r w:rsidR="00BA4D96" w:rsidRPr="00E17614">
        <w:rPr>
          <w:rFonts w:ascii="Arial" w:hAnsi="Arial" w:cs="Arial"/>
          <w:color w:val="000000"/>
        </w:rPr>
        <w:t>–</w:t>
      </w:r>
      <w:r w:rsidRPr="00E17614">
        <w:rPr>
          <w:rFonts w:ascii="Arial" w:hAnsi="Arial" w:cs="Arial"/>
          <w:color w:val="000000"/>
        </w:rPr>
        <w:t>social science, science, technology, engineering, mathematics, and computer science.</w:t>
      </w:r>
    </w:p>
    <w:p w14:paraId="3C4FDADD" w14:textId="6F6B9BB8" w:rsidR="00912358" w:rsidRPr="00E17614" w:rsidRDefault="00912358" w:rsidP="00AE50FB">
      <w:pPr>
        <w:pStyle w:val="ListParagraph"/>
        <w:numPr>
          <w:ilvl w:val="0"/>
          <w:numId w:val="14"/>
        </w:numPr>
        <w:shd w:val="clear" w:color="auto" w:fill="FFFFFF"/>
        <w:spacing w:after="240"/>
        <w:ind w:left="1440"/>
        <w:rPr>
          <w:rFonts w:ascii="Arial" w:hAnsi="Arial" w:cs="Arial"/>
          <w:color w:val="000000"/>
        </w:rPr>
      </w:pPr>
      <w:r w:rsidRPr="00E17614">
        <w:rPr>
          <w:rFonts w:ascii="Arial" w:hAnsi="Arial" w:cs="Arial"/>
          <w:color w:val="000000"/>
        </w:rPr>
        <w:t>A</w:t>
      </w:r>
      <w:r w:rsidR="002D6C77" w:rsidRPr="00E17614">
        <w:rPr>
          <w:rFonts w:ascii="Arial" w:hAnsi="Arial" w:cs="Arial"/>
          <w:color w:val="000000"/>
        </w:rPr>
        <w:t>B</w:t>
      </w:r>
      <w:r w:rsidRPr="00E17614">
        <w:rPr>
          <w:rFonts w:ascii="Arial" w:hAnsi="Arial" w:cs="Arial"/>
          <w:color w:val="000000"/>
        </w:rPr>
        <w:t xml:space="preserve"> 181 (</w:t>
      </w:r>
      <w:r w:rsidR="00E90C34" w:rsidRPr="00E17614">
        <w:rPr>
          <w:rFonts w:ascii="Arial" w:hAnsi="Arial" w:cs="Arial"/>
          <w:color w:val="000000"/>
        </w:rPr>
        <w:t xml:space="preserve">Ch. 52, </w:t>
      </w:r>
      <w:r w:rsidR="00EC6F6A" w:rsidRPr="00E17614">
        <w:rPr>
          <w:rFonts w:ascii="Arial" w:hAnsi="Arial" w:cs="Arial"/>
          <w:color w:val="000000"/>
        </w:rPr>
        <w:t>Stats</w:t>
      </w:r>
      <w:r w:rsidR="00E90C34" w:rsidRPr="00E17614">
        <w:rPr>
          <w:rFonts w:ascii="Arial" w:hAnsi="Arial" w:cs="Arial"/>
          <w:color w:val="000000"/>
        </w:rPr>
        <w:t>.</w:t>
      </w:r>
      <w:r w:rsidR="00EC6F6A" w:rsidRPr="00E17614">
        <w:rPr>
          <w:rFonts w:ascii="Arial" w:hAnsi="Arial" w:cs="Arial"/>
          <w:color w:val="000000"/>
        </w:rPr>
        <w:t xml:space="preserve"> </w:t>
      </w:r>
      <w:r w:rsidRPr="00E17614">
        <w:rPr>
          <w:rFonts w:ascii="Arial" w:hAnsi="Arial" w:cs="Arial"/>
          <w:color w:val="000000"/>
        </w:rPr>
        <w:t xml:space="preserve">2022) added the </w:t>
      </w:r>
      <w:r w:rsidR="006504C1" w:rsidRPr="00E17614">
        <w:rPr>
          <w:rFonts w:ascii="Arial" w:hAnsi="Arial" w:cs="Arial"/>
          <w:color w:val="000000"/>
        </w:rPr>
        <w:t>P</w:t>
      </w:r>
      <w:r w:rsidRPr="00E17614">
        <w:rPr>
          <w:rFonts w:ascii="Arial" w:hAnsi="Arial" w:cs="Arial"/>
          <w:color w:val="000000"/>
        </w:rPr>
        <w:t xml:space="preserve">reschool </w:t>
      </w:r>
      <w:r w:rsidR="006504C1" w:rsidRPr="00E17614">
        <w:rPr>
          <w:rFonts w:ascii="Arial" w:hAnsi="Arial" w:cs="Arial"/>
          <w:color w:val="000000"/>
        </w:rPr>
        <w:t>L</w:t>
      </w:r>
      <w:r w:rsidRPr="00E17614">
        <w:rPr>
          <w:rFonts w:ascii="Arial" w:hAnsi="Arial" w:cs="Arial"/>
          <w:color w:val="000000"/>
        </w:rPr>
        <w:t xml:space="preserve">earning </w:t>
      </w:r>
      <w:r w:rsidR="006504C1" w:rsidRPr="00E17614">
        <w:rPr>
          <w:rFonts w:ascii="Arial" w:hAnsi="Arial" w:cs="Arial"/>
          <w:color w:val="000000"/>
        </w:rPr>
        <w:t>F</w:t>
      </w:r>
      <w:r w:rsidRPr="00E17614">
        <w:rPr>
          <w:rFonts w:ascii="Arial" w:hAnsi="Arial" w:cs="Arial"/>
          <w:color w:val="000000"/>
        </w:rPr>
        <w:t xml:space="preserve">oundations to the list of subject areas. Additionally, AB 181 added language that allowed the EEF to be utilized for coursework that would allow existing staff to become credentialed, fully credentialed for their assignment, or meet the requirements of subdivision (g) of </w:t>
      </w:r>
      <w:r w:rsidR="00BE5B55" w:rsidRPr="00E17614">
        <w:rPr>
          <w:rFonts w:ascii="Arial" w:hAnsi="Arial" w:cs="Arial"/>
          <w:i/>
          <w:color w:val="000000"/>
        </w:rPr>
        <w:t>EC</w:t>
      </w:r>
      <w:r w:rsidR="00BE5B55" w:rsidRPr="00E17614">
        <w:rPr>
          <w:rFonts w:ascii="Arial" w:hAnsi="Arial" w:cs="Arial"/>
          <w:color w:val="000000"/>
        </w:rPr>
        <w:t xml:space="preserve"> </w:t>
      </w:r>
      <w:r w:rsidRPr="00E17614">
        <w:rPr>
          <w:rFonts w:ascii="Arial" w:hAnsi="Arial" w:cs="Arial"/>
          <w:color w:val="000000"/>
        </w:rPr>
        <w:t>Section 48000.</w:t>
      </w:r>
    </w:p>
    <w:p w14:paraId="5E8C2999" w14:textId="77777777"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Practices and strategies that reengage pupils and lead to accelerated learning.</w:t>
      </w:r>
    </w:p>
    <w:p w14:paraId="4224C034" w14:textId="5790781E"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lastRenderedPageBreak/>
        <w:t>Strategies to implement social</w:t>
      </w:r>
      <w:r w:rsidR="006504C1" w:rsidRPr="00E17614">
        <w:rPr>
          <w:rFonts w:ascii="Arial" w:hAnsi="Arial" w:cs="Arial"/>
          <w:color w:val="000000"/>
        </w:rPr>
        <w:t>–</w:t>
      </w:r>
      <w:r w:rsidRPr="00E17614">
        <w:rPr>
          <w:rFonts w:ascii="Arial" w:hAnsi="Arial" w:cs="Arial"/>
          <w:color w:val="000000"/>
        </w:rPr>
        <w:t>emotional learning, trauma-informed practices, suicide prevention, access to mental health services, and other approaches that improve pupil well</w:t>
      </w:r>
      <w:r w:rsidR="006504C1" w:rsidRPr="00E17614">
        <w:rPr>
          <w:rFonts w:ascii="Arial" w:hAnsi="Arial" w:cs="Arial"/>
          <w:color w:val="000000"/>
        </w:rPr>
        <w:t>-</w:t>
      </w:r>
      <w:r w:rsidRPr="00E17614">
        <w:rPr>
          <w:rFonts w:ascii="Arial" w:hAnsi="Arial" w:cs="Arial"/>
          <w:color w:val="000000"/>
        </w:rPr>
        <w:t>being.</w:t>
      </w:r>
    </w:p>
    <w:p w14:paraId="16EE5AC4" w14:textId="6851D74F"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Practices to create a positive school climate, including</w:t>
      </w:r>
      <w:r w:rsidR="006504C1" w:rsidRPr="00E17614">
        <w:rPr>
          <w:rFonts w:ascii="Arial" w:hAnsi="Arial" w:cs="Arial"/>
          <w:color w:val="000000"/>
        </w:rPr>
        <w:t xml:space="preserve"> (</w:t>
      </w:r>
      <w:r w:rsidRPr="00E17614">
        <w:rPr>
          <w:rFonts w:ascii="Arial" w:hAnsi="Arial" w:cs="Arial"/>
          <w:color w:val="000000"/>
        </w:rPr>
        <w:t>but not limited to</w:t>
      </w:r>
      <w:r w:rsidR="006504C1" w:rsidRPr="00E17614">
        <w:rPr>
          <w:rFonts w:ascii="Arial" w:hAnsi="Arial" w:cs="Arial"/>
          <w:color w:val="000000"/>
        </w:rPr>
        <w:t>)</w:t>
      </w:r>
      <w:r w:rsidRPr="00E17614">
        <w:rPr>
          <w:rFonts w:ascii="Arial" w:hAnsi="Arial" w:cs="Arial"/>
          <w:color w:val="000000"/>
        </w:rPr>
        <w:t xml:space="preserve"> restorative justice</w:t>
      </w:r>
      <w:r w:rsidR="007D5356" w:rsidRPr="00E17614">
        <w:rPr>
          <w:rFonts w:ascii="Arial" w:hAnsi="Arial" w:cs="Arial"/>
          <w:color w:val="000000"/>
        </w:rPr>
        <w:t>;</w:t>
      </w:r>
      <w:r w:rsidRPr="00E17614">
        <w:rPr>
          <w:rFonts w:ascii="Arial" w:hAnsi="Arial" w:cs="Arial"/>
          <w:color w:val="000000"/>
        </w:rPr>
        <w:t xml:space="preserve"> training </w:t>
      </w:r>
      <w:r w:rsidR="006504C1" w:rsidRPr="00E17614">
        <w:rPr>
          <w:rFonts w:ascii="Arial" w:hAnsi="Arial" w:cs="Arial"/>
          <w:color w:val="000000"/>
        </w:rPr>
        <w:t>on</w:t>
      </w:r>
      <w:r w:rsidRPr="00E17614">
        <w:rPr>
          <w:rFonts w:ascii="Arial" w:hAnsi="Arial" w:cs="Arial"/>
          <w:color w:val="000000"/>
        </w:rPr>
        <w:t xml:space="preserve"> implicit bias</w:t>
      </w:r>
      <w:r w:rsidR="007D5356" w:rsidRPr="00E17614">
        <w:rPr>
          <w:rFonts w:ascii="Arial" w:hAnsi="Arial" w:cs="Arial"/>
          <w:color w:val="000000"/>
        </w:rPr>
        <w:t>;</w:t>
      </w:r>
      <w:r w:rsidRPr="00E17614">
        <w:rPr>
          <w:rFonts w:ascii="Arial" w:hAnsi="Arial" w:cs="Arial"/>
          <w:color w:val="000000"/>
        </w:rPr>
        <w:t xml:space="preserve"> providing positive behavioral supports</w:t>
      </w:r>
      <w:r w:rsidR="007D5356" w:rsidRPr="00E17614">
        <w:rPr>
          <w:rFonts w:ascii="Arial" w:hAnsi="Arial" w:cs="Arial"/>
          <w:color w:val="000000"/>
        </w:rPr>
        <w:t>;</w:t>
      </w:r>
      <w:r w:rsidRPr="00E17614">
        <w:rPr>
          <w:rFonts w:ascii="Arial" w:hAnsi="Arial" w:cs="Arial"/>
          <w:color w:val="000000"/>
        </w:rPr>
        <w:t xml:space="preserve"> </w:t>
      </w:r>
      <w:r w:rsidR="001E3FE5" w:rsidRPr="00E17614">
        <w:rPr>
          <w:rFonts w:ascii="Arial" w:hAnsi="Arial" w:cs="Arial"/>
          <w:color w:val="000000"/>
        </w:rPr>
        <w:t xml:space="preserve">multi-tiered </w:t>
      </w:r>
      <w:r w:rsidRPr="00E17614">
        <w:rPr>
          <w:rFonts w:ascii="Arial" w:hAnsi="Arial" w:cs="Arial"/>
          <w:color w:val="000000"/>
        </w:rPr>
        <w:t>systems of support</w:t>
      </w:r>
      <w:r w:rsidR="00161CA2" w:rsidRPr="00E17614">
        <w:rPr>
          <w:rFonts w:ascii="Arial" w:hAnsi="Arial" w:cs="Arial"/>
          <w:color w:val="000000"/>
        </w:rPr>
        <w:t xml:space="preserve"> (MTSS)</w:t>
      </w:r>
      <w:r w:rsidR="007D5356" w:rsidRPr="00E17614">
        <w:rPr>
          <w:rFonts w:ascii="Arial" w:hAnsi="Arial" w:cs="Arial"/>
          <w:color w:val="000000"/>
        </w:rPr>
        <w:t>;</w:t>
      </w:r>
      <w:r w:rsidRPr="00E17614">
        <w:rPr>
          <w:rFonts w:ascii="Arial" w:hAnsi="Arial" w:cs="Arial"/>
          <w:color w:val="000000"/>
        </w:rPr>
        <w:t xml:space="preserve"> transforming a school</w:t>
      </w:r>
      <w:r w:rsidR="002D6B72" w:rsidRPr="00E17614">
        <w:rPr>
          <w:rFonts w:ascii="Arial" w:hAnsi="Arial" w:cs="Arial"/>
          <w:color w:val="000000"/>
        </w:rPr>
        <w:t xml:space="preserve"> </w:t>
      </w:r>
      <w:r w:rsidRPr="00E17614">
        <w:rPr>
          <w:rFonts w:ascii="Arial" w:hAnsi="Arial" w:cs="Arial"/>
          <w:color w:val="000000"/>
        </w:rPr>
        <w:t>site’s culture to one that values diverse cultural and ethnic backgrounds</w:t>
      </w:r>
      <w:r w:rsidR="007D5356" w:rsidRPr="00E17614">
        <w:rPr>
          <w:rFonts w:ascii="Arial" w:hAnsi="Arial" w:cs="Arial"/>
          <w:color w:val="000000"/>
        </w:rPr>
        <w:t>;</w:t>
      </w:r>
      <w:r w:rsidRPr="00E17614">
        <w:rPr>
          <w:rFonts w:ascii="Arial" w:hAnsi="Arial" w:cs="Arial"/>
          <w:color w:val="000000"/>
        </w:rPr>
        <w:t xml:space="preserve"> and preventing discrimination, harassment, bullying, and intimidation based on actual or perceived characteristics, </w:t>
      </w:r>
      <w:r w:rsidR="007D5356" w:rsidRPr="00E17614">
        <w:rPr>
          <w:rFonts w:ascii="Arial" w:hAnsi="Arial" w:cs="Arial"/>
          <w:color w:val="000000"/>
        </w:rPr>
        <w:t xml:space="preserve">which include </w:t>
      </w:r>
      <w:r w:rsidRPr="00E17614">
        <w:rPr>
          <w:rFonts w:ascii="Arial" w:hAnsi="Arial" w:cs="Arial"/>
          <w:color w:val="000000"/>
        </w:rPr>
        <w:t xml:space="preserve">disability, gender, gender identity, gender expression, language, nationality, race or ethnicity, religion, </w:t>
      </w:r>
      <w:r w:rsidR="007D5356" w:rsidRPr="00E17614">
        <w:rPr>
          <w:rFonts w:ascii="Arial" w:hAnsi="Arial" w:cs="Arial"/>
          <w:color w:val="000000"/>
        </w:rPr>
        <w:t>and</w:t>
      </w:r>
      <w:r w:rsidRPr="00E17614">
        <w:rPr>
          <w:rFonts w:ascii="Arial" w:hAnsi="Arial" w:cs="Arial"/>
          <w:color w:val="000000"/>
        </w:rPr>
        <w:t xml:space="preserve"> sexual orientation.</w:t>
      </w:r>
    </w:p>
    <w:p w14:paraId="511CDCCE" w14:textId="10A6378C"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Strategies to improve inclusive practices, including</w:t>
      </w:r>
      <w:r w:rsidR="00D86A09" w:rsidRPr="00E17614">
        <w:rPr>
          <w:rFonts w:ascii="Arial" w:hAnsi="Arial" w:cs="Arial"/>
          <w:color w:val="000000"/>
        </w:rPr>
        <w:t xml:space="preserve"> (</w:t>
      </w:r>
      <w:r w:rsidRPr="00E17614">
        <w:rPr>
          <w:rFonts w:ascii="Arial" w:hAnsi="Arial" w:cs="Arial"/>
          <w:color w:val="000000"/>
        </w:rPr>
        <w:t>but not limited to</w:t>
      </w:r>
      <w:r w:rsidR="00D86A09" w:rsidRPr="00E17614">
        <w:rPr>
          <w:rFonts w:ascii="Arial" w:hAnsi="Arial" w:cs="Arial"/>
          <w:color w:val="000000"/>
        </w:rPr>
        <w:t>)</w:t>
      </w:r>
      <w:r w:rsidRPr="00E17614">
        <w:rPr>
          <w:rFonts w:ascii="Arial" w:hAnsi="Arial" w:cs="Arial"/>
          <w:color w:val="000000"/>
        </w:rPr>
        <w:t xml:space="preserve"> universal design for learning</w:t>
      </w:r>
      <w:r w:rsidR="00B165A9" w:rsidRPr="00E17614">
        <w:rPr>
          <w:rFonts w:ascii="Arial" w:hAnsi="Arial" w:cs="Arial"/>
          <w:color w:val="000000"/>
        </w:rPr>
        <w:t xml:space="preserve"> (UDL)</w:t>
      </w:r>
      <w:r w:rsidRPr="00E17614">
        <w:rPr>
          <w:rFonts w:ascii="Arial" w:hAnsi="Arial" w:cs="Arial"/>
          <w:color w:val="000000"/>
        </w:rPr>
        <w:t>, best practices for early identification, and development of individualized education programs for individuals with exceptional needs.</w:t>
      </w:r>
    </w:p>
    <w:p w14:paraId="5B4FAF3D" w14:textId="53ADBB2B"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Instruction and education to support implementing effective language acquisition programs for English learners, which may include integrated language development within and across content areas and building and strengthening capacity to increase bilingual and biliterate proficiency.</w:t>
      </w:r>
    </w:p>
    <w:p w14:paraId="1B02A04A" w14:textId="4AF23B22"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New professional learning networks for educators not already engaged in an education-related professional learning network to support the requirements of</w:t>
      </w:r>
      <w:r w:rsidR="000C35F2" w:rsidRPr="00E17614">
        <w:rPr>
          <w:rFonts w:ascii="Arial" w:hAnsi="Arial" w:cs="Arial"/>
          <w:color w:val="000000"/>
        </w:rPr>
        <w:t xml:space="preserve"> </w:t>
      </w:r>
      <w:r w:rsidR="000C35F2" w:rsidRPr="00E17614">
        <w:rPr>
          <w:rStyle w:val="Emphasis"/>
          <w:rFonts w:ascii="Arial" w:hAnsi="Arial" w:cs="Arial"/>
          <w:color w:val="000000"/>
        </w:rPr>
        <w:t>EC</w:t>
      </w:r>
      <w:r w:rsidR="000C35F2" w:rsidRPr="00E17614">
        <w:rPr>
          <w:rFonts w:ascii="Arial" w:hAnsi="Arial" w:cs="Arial"/>
          <w:color w:val="000000"/>
        </w:rPr>
        <w:t xml:space="preserve"> Section 41480</w:t>
      </w:r>
      <w:r w:rsidRPr="00E17614">
        <w:rPr>
          <w:rFonts w:ascii="Arial" w:hAnsi="Arial" w:cs="Arial"/>
          <w:color w:val="000000"/>
        </w:rPr>
        <w:t xml:space="preserve"> subdivision(c).</w:t>
      </w:r>
    </w:p>
    <w:p w14:paraId="4ECBE44A" w14:textId="12FC98A0"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 xml:space="preserve">Instruction, education, and strategies to incorporate </w:t>
      </w:r>
      <w:r w:rsidR="00CC3779" w:rsidRPr="00E17614">
        <w:rPr>
          <w:rFonts w:ascii="Arial" w:hAnsi="Arial" w:cs="Arial"/>
          <w:color w:val="000000"/>
        </w:rPr>
        <w:t>e</w:t>
      </w:r>
      <w:r w:rsidR="007B3C65" w:rsidRPr="00E17614">
        <w:rPr>
          <w:rFonts w:ascii="Arial" w:hAnsi="Arial" w:cs="Arial"/>
          <w:color w:val="000000"/>
        </w:rPr>
        <w:t>t</w:t>
      </w:r>
      <w:r w:rsidRPr="00E17614">
        <w:rPr>
          <w:rFonts w:ascii="Arial" w:hAnsi="Arial" w:cs="Arial"/>
          <w:color w:val="000000"/>
        </w:rPr>
        <w:t xml:space="preserve">hnic </w:t>
      </w:r>
      <w:r w:rsidR="00CC3779" w:rsidRPr="00E17614">
        <w:rPr>
          <w:rFonts w:ascii="Arial" w:hAnsi="Arial" w:cs="Arial"/>
          <w:color w:val="000000"/>
        </w:rPr>
        <w:t>s</w:t>
      </w:r>
      <w:r w:rsidRPr="00E17614">
        <w:rPr>
          <w:rFonts w:ascii="Arial" w:hAnsi="Arial" w:cs="Arial"/>
          <w:color w:val="000000"/>
        </w:rPr>
        <w:t>tudies curricula adopted pursuant to</w:t>
      </w:r>
      <w:r w:rsidR="009B7BD6" w:rsidRPr="00E17614">
        <w:rPr>
          <w:rFonts w:ascii="Arial" w:hAnsi="Arial" w:cs="Arial"/>
          <w:color w:val="000000"/>
        </w:rPr>
        <w:t xml:space="preserve"> </w:t>
      </w:r>
      <w:r w:rsidRPr="00E17614">
        <w:rPr>
          <w:rStyle w:val="Emphasis"/>
          <w:rFonts w:ascii="Arial" w:hAnsi="Arial" w:cs="Arial"/>
          <w:color w:val="000000"/>
        </w:rPr>
        <w:t>EC</w:t>
      </w:r>
      <w:r w:rsidR="009B7BD6" w:rsidRPr="00E17614">
        <w:rPr>
          <w:rFonts w:ascii="Arial" w:hAnsi="Arial" w:cs="Arial"/>
          <w:color w:val="000000"/>
        </w:rPr>
        <w:t xml:space="preserve"> </w:t>
      </w:r>
      <w:r w:rsidRPr="00E17614">
        <w:rPr>
          <w:rFonts w:ascii="Arial" w:hAnsi="Arial" w:cs="Arial"/>
          <w:color w:val="000000"/>
        </w:rPr>
        <w:t xml:space="preserve">Section 51226.7 into pupil instruction for grades </w:t>
      </w:r>
      <w:r w:rsidR="008F4470" w:rsidRPr="00E17614">
        <w:rPr>
          <w:rFonts w:ascii="Arial" w:hAnsi="Arial" w:cs="Arial"/>
          <w:color w:val="000000"/>
        </w:rPr>
        <w:t>seven</w:t>
      </w:r>
      <w:r w:rsidRPr="00E17614">
        <w:rPr>
          <w:rFonts w:ascii="Arial" w:hAnsi="Arial" w:cs="Arial"/>
          <w:color w:val="000000"/>
        </w:rPr>
        <w:t xml:space="preserve"> to </w:t>
      </w:r>
      <w:r w:rsidR="008F4470" w:rsidRPr="00E17614">
        <w:rPr>
          <w:rFonts w:ascii="Arial" w:hAnsi="Arial" w:cs="Arial"/>
          <w:color w:val="000000"/>
        </w:rPr>
        <w:t>twelve</w:t>
      </w:r>
      <w:r w:rsidRPr="00E17614">
        <w:rPr>
          <w:rFonts w:ascii="Arial" w:hAnsi="Arial" w:cs="Arial"/>
          <w:color w:val="000000"/>
        </w:rPr>
        <w:t>, inclusive.</w:t>
      </w:r>
    </w:p>
    <w:p w14:paraId="7F01C791" w14:textId="49D37160"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Instruction, education, and strategies for certificated and classified educators in early childhood education or childhood development.</w:t>
      </w:r>
    </w:p>
    <w:p w14:paraId="0251F9F8" w14:textId="2F2BCCCA" w:rsidR="00912358" w:rsidRPr="00E17614" w:rsidRDefault="00912358" w:rsidP="009E6BB2">
      <w:pPr>
        <w:numPr>
          <w:ilvl w:val="0"/>
          <w:numId w:val="5"/>
        </w:numPr>
        <w:shd w:val="clear" w:color="auto" w:fill="FFFFFF"/>
        <w:spacing w:after="240"/>
        <w:rPr>
          <w:rFonts w:ascii="Arial" w:hAnsi="Arial" w:cs="Arial"/>
          <w:color w:val="000000"/>
        </w:rPr>
      </w:pPr>
      <w:r w:rsidRPr="00E17614">
        <w:rPr>
          <w:rFonts w:ascii="Arial" w:hAnsi="Arial" w:cs="Arial"/>
          <w:color w:val="000000"/>
        </w:rPr>
        <w:t>Strategies to improve beginning teacher retention and support through teacher induction programs,</w:t>
      </w:r>
      <w:r w:rsidR="00D86A09" w:rsidRPr="00E17614">
        <w:rPr>
          <w:rFonts w:ascii="Arial" w:hAnsi="Arial" w:cs="Arial"/>
          <w:color w:val="000000"/>
        </w:rPr>
        <w:t xml:space="preserve"> which may include</w:t>
      </w:r>
      <w:r w:rsidRPr="00E17614">
        <w:rPr>
          <w:rFonts w:ascii="Arial" w:hAnsi="Arial" w:cs="Arial"/>
          <w:color w:val="000000"/>
        </w:rPr>
        <w:t xml:space="preserve"> mentor training, stipends for mentor teachers, beginning teacher induction program costs following initial preparation, the examination or assessment fee for one administration of the reading instruction competence assessment or a teaching performance assessment, training mentors to support candidates in completing a performance assessment or reading instruction competence assessment, or contracting with</w:t>
      </w:r>
      <w:r w:rsidR="00691056" w:rsidRPr="00E17614">
        <w:rPr>
          <w:rFonts w:ascii="Arial" w:hAnsi="Arial" w:cs="Arial"/>
          <w:color w:val="000000"/>
        </w:rPr>
        <w:t xml:space="preserve"> the</w:t>
      </w:r>
      <w:r w:rsidRPr="00E17614">
        <w:rPr>
          <w:rFonts w:ascii="Arial" w:hAnsi="Arial" w:cs="Arial"/>
          <w:color w:val="000000"/>
        </w:rPr>
        <w:t xml:space="preserve"> </w:t>
      </w:r>
      <w:r w:rsidR="00691056" w:rsidRPr="00E17614">
        <w:rPr>
          <w:rFonts w:ascii="Arial" w:hAnsi="Arial" w:cs="Arial"/>
          <w:color w:val="000000"/>
        </w:rPr>
        <w:t>California C</w:t>
      </w:r>
      <w:r w:rsidRPr="00E17614">
        <w:rPr>
          <w:rFonts w:ascii="Arial" w:hAnsi="Arial" w:cs="Arial"/>
          <w:color w:val="000000"/>
        </w:rPr>
        <w:t>ommission</w:t>
      </w:r>
      <w:r w:rsidR="00691056" w:rsidRPr="00E17614">
        <w:rPr>
          <w:rFonts w:ascii="Arial" w:hAnsi="Arial" w:cs="Arial"/>
          <w:color w:val="000000"/>
        </w:rPr>
        <w:t xml:space="preserve"> on Teacher Credentialing</w:t>
      </w:r>
      <w:r w:rsidRPr="00E17614">
        <w:rPr>
          <w:rFonts w:ascii="Arial" w:hAnsi="Arial" w:cs="Arial"/>
          <w:color w:val="000000"/>
        </w:rPr>
        <w:t>-approved preliminary teacher preparation programs to provide mentoring support for the completion of required assessments.</w:t>
      </w:r>
    </w:p>
    <w:p w14:paraId="6DDACB81" w14:textId="1EB11D88" w:rsidR="00AB1DB6" w:rsidRPr="00E17614" w:rsidRDefault="0079210A" w:rsidP="009E6BB2">
      <w:pPr>
        <w:spacing w:after="240"/>
        <w:contextualSpacing/>
        <w:rPr>
          <w:rFonts w:ascii="Arial" w:hAnsi="Arial" w:cs="Arial"/>
        </w:rPr>
      </w:pPr>
      <w:r w:rsidRPr="00E17614">
        <w:rPr>
          <w:rFonts w:ascii="Arial" w:hAnsi="Arial" w:cs="Arial"/>
        </w:rPr>
        <w:t>One significant change</w:t>
      </w:r>
      <w:r w:rsidR="00D40505" w:rsidRPr="00E17614">
        <w:rPr>
          <w:rFonts w:ascii="Arial" w:hAnsi="Arial" w:cs="Arial"/>
        </w:rPr>
        <w:t xml:space="preserve"> to the EEF statute</w:t>
      </w:r>
      <w:r w:rsidRPr="00E17614">
        <w:rPr>
          <w:rFonts w:ascii="Arial" w:hAnsi="Arial" w:cs="Arial"/>
        </w:rPr>
        <w:t xml:space="preserve"> </w:t>
      </w:r>
      <w:r w:rsidR="00D86A09" w:rsidRPr="00E17614">
        <w:rPr>
          <w:rFonts w:ascii="Arial" w:hAnsi="Arial" w:cs="Arial"/>
        </w:rPr>
        <w:t>is</w:t>
      </w:r>
      <w:r w:rsidRPr="00E17614">
        <w:rPr>
          <w:rFonts w:ascii="Arial" w:hAnsi="Arial" w:cs="Arial"/>
        </w:rPr>
        <w:t xml:space="preserve"> the deadline to present and approve a plan</w:t>
      </w:r>
      <w:r w:rsidR="00C9059F" w:rsidRPr="00E17614">
        <w:rPr>
          <w:rFonts w:ascii="Arial" w:hAnsi="Arial" w:cs="Arial"/>
        </w:rPr>
        <w:t>, which</w:t>
      </w:r>
      <w:r w:rsidRPr="00E17614">
        <w:rPr>
          <w:rFonts w:ascii="Arial" w:hAnsi="Arial" w:cs="Arial"/>
        </w:rPr>
        <w:t xml:space="preserve"> changed from December 30, </w:t>
      </w:r>
      <w:r w:rsidR="00B107FD" w:rsidRPr="00E17614">
        <w:rPr>
          <w:rFonts w:ascii="Arial" w:hAnsi="Arial" w:cs="Arial"/>
        </w:rPr>
        <w:t>2021,</w:t>
      </w:r>
      <w:r w:rsidRPr="00E17614">
        <w:rPr>
          <w:rFonts w:ascii="Arial" w:hAnsi="Arial" w:cs="Arial"/>
        </w:rPr>
        <w:t xml:space="preserve"> to March 31, 2023.</w:t>
      </w:r>
      <w:r w:rsidR="008D3269" w:rsidRPr="00E17614">
        <w:rPr>
          <w:rFonts w:ascii="Arial" w:hAnsi="Arial" w:cs="Arial"/>
        </w:rPr>
        <w:t xml:space="preserve"> Per </w:t>
      </w:r>
      <w:r w:rsidRPr="00E17614">
        <w:rPr>
          <w:rFonts w:ascii="Arial" w:hAnsi="Arial" w:cs="Arial"/>
          <w:i/>
          <w:iCs/>
        </w:rPr>
        <w:t>EC</w:t>
      </w:r>
      <w:r w:rsidR="00AB1DB6" w:rsidRPr="00E17614">
        <w:rPr>
          <w:rFonts w:ascii="Arial" w:hAnsi="Arial" w:cs="Arial"/>
        </w:rPr>
        <w:t xml:space="preserve"> </w:t>
      </w:r>
      <w:r w:rsidR="00F70D54" w:rsidRPr="00E17614">
        <w:rPr>
          <w:rFonts w:ascii="Arial" w:hAnsi="Arial" w:cs="Arial"/>
        </w:rPr>
        <w:t xml:space="preserve">Section </w:t>
      </w:r>
      <w:r w:rsidRPr="00E17614">
        <w:rPr>
          <w:rFonts w:ascii="Arial" w:hAnsi="Arial" w:cs="Arial"/>
        </w:rPr>
        <w:t>41480(d)(1)</w:t>
      </w:r>
      <w:r w:rsidR="008D3269" w:rsidRPr="00E17614">
        <w:rPr>
          <w:rFonts w:ascii="Arial" w:hAnsi="Arial" w:cs="Arial"/>
        </w:rPr>
        <w:t>,</w:t>
      </w:r>
      <w:r w:rsidRPr="00E17614">
        <w:rPr>
          <w:rFonts w:ascii="Arial" w:hAnsi="Arial" w:cs="Arial"/>
        </w:rPr>
        <w:t xml:space="preserve"> </w:t>
      </w:r>
      <w:r w:rsidR="008D3269" w:rsidRPr="00E17614">
        <w:rPr>
          <w:rFonts w:ascii="Arial" w:hAnsi="Arial" w:cs="Arial"/>
        </w:rPr>
        <w:t>t</w:t>
      </w:r>
      <w:r w:rsidRPr="00E17614">
        <w:rPr>
          <w:rFonts w:ascii="Arial" w:hAnsi="Arial" w:cs="Arial"/>
        </w:rPr>
        <w:t>he</w:t>
      </w:r>
      <w:r w:rsidR="00627475" w:rsidRPr="00E17614">
        <w:rPr>
          <w:rFonts w:ascii="Arial" w:hAnsi="Arial" w:cs="Arial"/>
        </w:rPr>
        <w:t xml:space="preserve"> </w:t>
      </w:r>
      <w:r w:rsidRPr="00E17614">
        <w:rPr>
          <w:rFonts w:ascii="Arial" w:hAnsi="Arial" w:cs="Arial"/>
        </w:rPr>
        <w:t xml:space="preserve">local plan for </w:t>
      </w:r>
      <w:r w:rsidR="008D3269" w:rsidRPr="00E17614">
        <w:rPr>
          <w:rFonts w:ascii="Arial" w:hAnsi="Arial" w:cs="Arial"/>
        </w:rPr>
        <w:t xml:space="preserve">the </w:t>
      </w:r>
      <w:r w:rsidRPr="00E17614">
        <w:rPr>
          <w:rFonts w:ascii="Arial" w:hAnsi="Arial" w:cs="Arial"/>
        </w:rPr>
        <w:t xml:space="preserve">EEF needs to be heard in a public meeting of the governing board of the school district, the county board of education, or </w:t>
      </w:r>
      <w:r w:rsidR="006A2D4C" w:rsidRPr="00E17614">
        <w:rPr>
          <w:rFonts w:ascii="Arial" w:hAnsi="Arial" w:cs="Arial"/>
        </w:rPr>
        <w:t xml:space="preserve">the </w:t>
      </w:r>
      <w:r w:rsidRPr="00E17614">
        <w:rPr>
          <w:rFonts w:ascii="Arial" w:hAnsi="Arial" w:cs="Arial"/>
        </w:rPr>
        <w:t xml:space="preserve">governing </w:t>
      </w:r>
      <w:r w:rsidRPr="00E17614">
        <w:rPr>
          <w:rFonts w:ascii="Arial" w:hAnsi="Arial" w:cs="Arial"/>
        </w:rPr>
        <w:lastRenderedPageBreak/>
        <w:t xml:space="preserve">body of the charter school before its adoption in a subsequent public meeting. This must take place on or before March 31, 2023. </w:t>
      </w:r>
      <w:r w:rsidR="00F97BDA" w:rsidRPr="00E17614">
        <w:rPr>
          <w:rFonts w:ascii="Arial" w:hAnsi="Arial" w:cs="Arial"/>
        </w:rPr>
        <w:t>LEAs</w:t>
      </w:r>
      <w:r w:rsidRPr="00E17614">
        <w:rPr>
          <w:rFonts w:ascii="Arial" w:hAnsi="Arial" w:cs="Arial"/>
        </w:rPr>
        <w:t xml:space="preserve"> that do not meet these requirements will have to return the funds. </w:t>
      </w:r>
      <w:r w:rsidR="008D3269" w:rsidRPr="00E17614">
        <w:rPr>
          <w:rFonts w:ascii="Arial" w:hAnsi="Arial" w:cs="Arial"/>
        </w:rPr>
        <w:t xml:space="preserve">Per </w:t>
      </w:r>
      <w:r w:rsidR="00AB1DB6" w:rsidRPr="00E17614">
        <w:rPr>
          <w:rFonts w:ascii="Arial" w:hAnsi="Arial" w:cs="Arial"/>
          <w:i/>
          <w:iCs/>
        </w:rPr>
        <w:t>EC</w:t>
      </w:r>
      <w:r w:rsidR="00AB1DB6" w:rsidRPr="00E17614">
        <w:rPr>
          <w:rFonts w:ascii="Arial" w:hAnsi="Arial" w:cs="Arial"/>
        </w:rPr>
        <w:t xml:space="preserve"> </w:t>
      </w:r>
      <w:r w:rsidR="00F70D54" w:rsidRPr="00E17614">
        <w:rPr>
          <w:rFonts w:ascii="Arial" w:hAnsi="Arial" w:cs="Arial"/>
        </w:rPr>
        <w:t xml:space="preserve">Section </w:t>
      </w:r>
      <w:r w:rsidR="00AB1DB6" w:rsidRPr="00E17614">
        <w:rPr>
          <w:rFonts w:ascii="Arial" w:hAnsi="Arial" w:cs="Arial"/>
        </w:rPr>
        <w:t>41480(d)(2)</w:t>
      </w:r>
      <w:r w:rsidR="008D3269" w:rsidRPr="00E17614">
        <w:rPr>
          <w:rFonts w:ascii="Arial" w:hAnsi="Arial" w:cs="Arial"/>
        </w:rPr>
        <w:t>,</w:t>
      </w:r>
      <w:r w:rsidR="00AB1DB6" w:rsidRPr="00E17614">
        <w:rPr>
          <w:rFonts w:ascii="Arial" w:hAnsi="Arial" w:cs="Arial"/>
        </w:rPr>
        <w:t xml:space="preserve"> </w:t>
      </w:r>
      <w:r w:rsidR="00781593" w:rsidRPr="00E17614">
        <w:rPr>
          <w:rFonts w:ascii="Arial" w:hAnsi="Arial" w:cs="Arial"/>
        </w:rPr>
        <w:t xml:space="preserve">the </w:t>
      </w:r>
      <w:r w:rsidR="000C4221" w:rsidRPr="00E17614">
        <w:rPr>
          <w:rFonts w:ascii="Arial" w:hAnsi="Arial" w:cs="Arial"/>
        </w:rPr>
        <w:t>CDE</w:t>
      </w:r>
      <w:r w:rsidR="00781593" w:rsidRPr="00E17614">
        <w:rPr>
          <w:rFonts w:ascii="Arial" w:hAnsi="Arial" w:cs="Arial"/>
        </w:rPr>
        <w:t xml:space="preserve"> shall summarize the information reported and shall submit the summary to the</w:t>
      </w:r>
      <w:r w:rsidR="00D7586B" w:rsidRPr="00E17614">
        <w:rPr>
          <w:rFonts w:ascii="Arial" w:hAnsi="Arial" w:cs="Arial"/>
        </w:rPr>
        <w:t xml:space="preserve"> Legislature and the </w:t>
      </w:r>
      <w:r w:rsidR="00C56238" w:rsidRPr="00E17614">
        <w:rPr>
          <w:rFonts w:ascii="Arial" w:hAnsi="Arial" w:cs="Arial"/>
        </w:rPr>
        <w:t>D</w:t>
      </w:r>
      <w:r w:rsidR="00A075C8" w:rsidRPr="00E17614">
        <w:rPr>
          <w:rFonts w:ascii="Arial" w:hAnsi="Arial" w:cs="Arial"/>
        </w:rPr>
        <w:t xml:space="preserve">epartment of Finance </w:t>
      </w:r>
      <w:r w:rsidR="00D7586B" w:rsidRPr="00E17614">
        <w:rPr>
          <w:rFonts w:ascii="Arial" w:hAnsi="Arial" w:cs="Arial"/>
        </w:rPr>
        <w:t>on or before January 1, 2024, and again on or before</w:t>
      </w:r>
      <w:r w:rsidR="00F70D54" w:rsidRPr="00E17614">
        <w:rPr>
          <w:rFonts w:ascii="Arial" w:hAnsi="Arial" w:cs="Arial"/>
        </w:rPr>
        <w:t xml:space="preserve"> November 30, 2026</w:t>
      </w:r>
      <w:r w:rsidR="00AB1DB6" w:rsidRPr="00E17614">
        <w:rPr>
          <w:rFonts w:ascii="Arial" w:hAnsi="Arial" w:cs="Arial"/>
        </w:rPr>
        <w:t>.</w:t>
      </w:r>
      <w:r w:rsidR="006A33CD" w:rsidRPr="00E17614">
        <w:rPr>
          <w:rFonts w:ascii="Arial" w:hAnsi="Arial" w:cs="Arial"/>
        </w:rPr>
        <w:t xml:space="preserve"> Finally, </w:t>
      </w:r>
      <w:r w:rsidR="00A50685" w:rsidRPr="00E17614">
        <w:rPr>
          <w:rFonts w:ascii="Arial" w:hAnsi="Arial" w:cs="Arial"/>
        </w:rPr>
        <w:t xml:space="preserve">per </w:t>
      </w:r>
      <w:r w:rsidR="006A33CD" w:rsidRPr="00E17614">
        <w:rPr>
          <w:rFonts w:ascii="Arial" w:hAnsi="Arial" w:cs="Arial"/>
          <w:i/>
          <w:iCs/>
        </w:rPr>
        <w:t>EC</w:t>
      </w:r>
      <w:r w:rsidR="006A33CD" w:rsidRPr="00E17614">
        <w:rPr>
          <w:rFonts w:ascii="Arial" w:hAnsi="Arial" w:cs="Arial"/>
        </w:rPr>
        <w:t xml:space="preserve"> Section 41480(d)(3)</w:t>
      </w:r>
      <w:r w:rsidR="00A50685" w:rsidRPr="00E17614">
        <w:rPr>
          <w:rFonts w:ascii="Arial" w:hAnsi="Arial" w:cs="Arial"/>
        </w:rPr>
        <w:t>,</w:t>
      </w:r>
      <w:r w:rsidR="006A33CD" w:rsidRPr="00E17614">
        <w:rPr>
          <w:rFonts w:ascii="Arial" w:hAnsi="Arial" w:cs="Arial"/>
        </w:rPr>
        <w:t xml:space="preserve"> LEAs must ensure that none of their employees are charged a fee for services allowable under this section, including </w:t>
      </w:r>
      <w:r w:rsidR="004A156C" w:rsidRPr="00E17614">
        <w:rPr>
          <w:rFonts w:ascii="Arial" w:hAnsi="Arial" w:cs="Arial"/>
        </w:rPr>
        <w:t>(</w:t>
      </w:r>
      <w:r w:rsidR="006A33CD" w:rsidRPr="00E17614">
        <w:rPr>
          <w:rFonts w:ascii="Arial" w:hAnsi="Arial" w:cs="Arial"/>
        </w:rPr>
        <w:t>but not limited to</w:t>
      </w:r>
      <w:r w:rsidR="004A156C" w:rsidRPr="00E17614">
        <w:rPr>
          <w:rFonts w:ascii="Arial" w:hAnsi="Arial" w:cs="Arial"/>
        </w:rPr>
        <w:t>)</w:t>
      </w:r>
      <w:r w:rsidR="006A33CD" w:rsidRPr="00E17614">
        <w:rPr>
          <w:rFonts w:ascii="Arial" w:hAnsi="Arial" w:cs="Arial"/>
        </w:rPr>
        <w:t xml:space="preserve"> beginning teacher induction program costs.</w:t>
      </w:r>
      <w:r w:rsidR="00AB1DB6" w:rsidRPr="00E17614">
        <w:rPr>
          <w:rFonts w:ascii="Arial" w:hAnsi="Arial" w:cs="Arial"/>
        </w:rPr>
        <w:t xml:space="preserve"> Funds may be expended during</w:t>
      </w:r>
      <w:r w:rsidR="00A6459E" w:rsidRPr="00E17614">
        <w:rPr>
          <w:rFonts w:ascii="Arial" w:hAnsi="Arial" w:cs="Arial"/>
        </w:rPr>
        <w:t xml:space="preserve"> </w:t>
      </w:r>
      <w:r w:rsidR="003E115A" w:rsidRPr="00E17614">
        <w:rPr>
          <w:rFonts w:ascii="Arial" w:hAnsi="Arial" w:cs="Arial"/>
        </w:rPr>
        <w:t>FYs</w:t>
      </w:r>
      <w:r w:rsidR="00AB1DB6" w:rsidRPr="00E17614">
        <w:rPr>
          <w:rFonts w:ascii="Arial" w:hAnsi="Arial" w:cs="Arial"/>
        </w:rPr>
        <w:t xml:space="preserve"> 2021–22, 2022–23, 2023–24, 2024–25</w:t>
      </w:r>
      <w:r w:rsidR="0093704F" w:rsidRPr="00E17614">
        <w:rPr>
          <w:rFonts w:ascii="Arial" w:hAnsi="Arial" w:cs="Arial"/>
        </w:rPr>
        <w:t>,</w:t>
      </w:r>
      <w:r w:rsidR="00AB1DB6" w:rsidRPr="00E17614">
        <w:rPr>
          <w:rFonts w:ascii="Arial" w:hAnsi="Arial" w:cs="Arial"/>
        </w:rPr>
        <w:t xml:space="preserve"> and 2025–26. All funds must be returned to the </w:t>
      </w:r>
      <w:r w:rsidR="00EA287A" w:rsidRPr="00E17614">
        <w:rPr>
          <w:rFonts w:ascii="Arial" w:hAnsi="Arial" w:cs="Arial"/>
        </w:rPr>
        <w:t>CDE</w:t>
      </w:r>
      <w:r w:rsidR="009C2468" w:rsidRPr="00E17614">
        <w:rPr>
          <w:rFonts w:ascii="Arial" w:hAnsi="Arial" w:cs="Arial"/>
        </w:rPr>
        <w:t xml:space="preserve"> </w:t>
      </w:r>
      <w:r w:rsidR="00AB1DB6" w:rsidRPr="00E17614">
        <w:rPr>
          <w:rFonts w:ascii="Arial" w:hAnsi="Arial" w:cs="Arial"/>
        </w:rPr>
        <w:t>if LEAs do not meet the conditions of apportionment.</w:t>
      </w:r>
    </w:p>
    <w:p w14:paraId="70AECC3F" w14:textId="753123D8" w:rsidR="00911DC0" w:rsidRPr="009757E9" w:rsidRDefault="00EA0B5B" w:rsidP="009757E9">
      <w:pPr>
        <w:pStyle w:val="Heading3"/>
        <w:rPr>
          <w:sz w:val="28"/>
          <w:szCs w:val="28"/>
        </w:rPr>
      </w:pPr>
      <w:bookmarkStart w:id="5" w:name="_Toc148514282"/>
      <w:bookmarkStart w:id="6" w:name="_Toc148959809"/>
      <w:r w:rsidRPr="009757E9">
        <w:rPr>
          <w:sz w:val="28"/>
          <w:szCs w:val="28"/>
        </w:rPr>
        <w:t xml:space="preserve">Introduction and </w:t>
      </w:r>
      <w:r w:rsidR="00911DC0" w:rsidRPr="009757E9">
        <w:rPr>
          <w:sz w:val="28"/>
          <w:szCs w:val="28"/>
        </w:rPr>
        <w:t>Monitoring Tool: Educator Effectiveness Funds Annual Report Database</w:t>
      </w:r>
      <w:bookmarkEnd w:id="5"/>
      <w:bookmarkEnd w:id="6"/>
    </w:p>
    <w:p w14:paraId="1B71D6B8" w14:textId="7FC3ABEA" w:rsidR="00EA0B5B" w:rsidRPr="00E17614" w:rsidRDefault="00EA0B5B" w:rsidP="00C45357">
      <w:pPr>
        <w:spacing w:after="240"/>
        <w:rPr>
          <w:rFonts w:ascii="Arial" w:hAnsi="Arial" w:cs="Arial"/>
        </w:rPr>
      </w:pPr>
      <w:r w:rsidRPr="00E17614">
        <w:rPr>
          <w:rFonts w:ascii="Arial" w:hAnsi="Arial" w:cs="Arial"/>
          <w:color w:val="000000"/>
        </w:rPr>
        <w:t xml:space="preserve">The 2021–26 EEF program provides funds to LEAs to provide professional learning and to promote educator equity, quality, and effectiveness. Funds were allocated on the basis of an equal amount per certificated and classified full-time equivalency as reported in the California Longitudinal Pupil Achievement Data System and the California Basic Educational Data System for FY 2020–21. </w:t>
      </w:r>
      <w:r w:rsidRPr="00E17614">
        <w:rPr>
          <w:rFonts w:ascii="Arial" w:hAnsi="Arial" w:cs="Arial"/>
          <w:lang w:val="en"/>
        </w:rPr>
        <w:t xml:space="preserve">The calculated funding rate and timeline for funding </w:t>
      </w:r>
      <w:r w:rsidR="004A156C" w:rsidRPr="00E17614">
        <w:rPr>
          <w:rFonts w:ascii="Arial" w:hAnsi="Arial" w:cs="Arial"/>
          <w:lang w:val="en"/>
        </w:rPr>
        <w:t>are</w:t>
      </w:r>
      <w:r w:rsidRPr="00E17614">
        <w:rPr>
          <w:rFonts w:ascii="Arial" w:hAnsi="Arial" w:cs="Arial"/>
          <w:lang w:val="en"/>
        </w:rPr>
        <w:t xml:space="preserve"> available on the CDE</w:t>
      </w:r>
      <w:r w:rsidR="004A156C" w:rsidRPr="00E17614">
        <w:rPr>
          <w:rFonts w:ascii="Arial" w:hAnsi="Arial" w:cs="Arial"/>
          <w:lang w:val="en"/>
        </w:rPr>
        <w:t xml:space="preserve"> Educator Effectiveness Block Grant</w:t>
      </w:r>
      <w:r w:rsidRPr="00E17614">
        <w:rPr>
          <w:rFonts w:ascii="Arial" w:hAnsi="Arial" w:cs="Arial"/>
          <w:lang w:val="en"/>
        </w:rPr>
        <w:t xml:space="preserve"> web page at </w:t>
      </w:r>
      <w:hyperlink r:id="rId16" w:tooltip="Educator Effectiveness Funds Categorical Programs web page" w:history="1">
        <w:r w:rsidRPr="00E17614">
          <w:rPr>
            <w:rStyle w:val="Hyperlink"/>
            <w:rFonts w:ascii="Arial" w:hAnsi="Arial" w:cs="Arial"/>
            <w:lang w:val="en"/>
          </w:rPr>
          <w:t>https://www.cde.ca.gov/fg/aa/ca/educatoreffectiveness.asp</w:t>
        </w:r>
      </w:hyperlink>
      <w:r w:rsidRPr="00E17614">
        <w:rPr>
          <w:rFonts w:ascii="Arial" w:hAnsi="Arial" w:cs="Arial"/>
        </w:rPr>
        <w:t>.</w:t>
      </w:r>
    </w:p>
    <w:p w14:paraId="11CBF81A" w14:textId="79390496" w:rsidR="00A935D6" w:rsidRPr="00E17614" w:rsidRDefault="00CC08D3" w:rsidP="00C45357">
      <w:pPr>
        <w:spacing w:after="240"/>
        <w:rPr>
          <w:rStyle w:val="xcontentpasted0"/>
          <w:rFonts w:ascii="Arial" w:hAnsi="Arial" w:cs="Arial"/>
          <w:bdr w:val="none" w:sz="0" w:space="0" w:color="auto" w:frame="1"/>
        </w:rPr>
      </w:pPr>
      <w:r w:rsidRPr="00E17614">
        <w:rPr>
          <w:rFonts w:ascii="Arial" w:hAnsi="Arial" w:cs="Arial"/>
          <w:color w:val="000000"/>
          <w:shd w:val="clear" w:color="auto" w:fill="FFFFFF"/>
        </w:rPr>
        <w:t>As a condition of receiving</w:t>
      </w:r>
      <w:r w:rsidR="006B6AEF" w:rsidRPr="00E17614">
        <w:rPr>
          <w:rFonts w:ascii="Arial" w:hAnsi="Arial" w:cs="Arial"/>
          <w:color w:val="000000"/>
          <w:shd w:val="clear" w:color="auto" w:fill="FFFFFF"/>
        </w:rPr>
        <w:t xml:space="preserve"> the</w:t>
      </w:r>
      <w:r w:rsidRPr="00E17614">
        <w:rPr>
          <w:rFonts w:ascii="Arial" w:hAnsi="Arial" w:cs="Arial"/>
          <w:color w:val="000000"/>
          <w:shd w:val="clear" w:color="auto" w:fill="FFFFFF"/>
        </w:rPr>
        <w:t xml:space="preserve"> </w:t>
      </w:r>
      <w:r w:rsidR="00C45357" w:rsidRPr="00E17614">
        <w:rPr>
          <w:rFonts w:ascii="Arial" w:hAnsi="Arial" w:cs="Arial"/>
          <w:color w:val="000000"/>
          <w:shd w:val="clear" w:color="auto" w:fill="FFFFFF"/>
        </w:rPr>
        <w:t>EEF</w:t>
      </w:r>
      <w:r w:rsidRPr="00E17614">
        <w:rPr>
          <w:rFonts w:ascii="Arial" w:hAnsi="Arial" w:cs="Arial"/>
          <w:color w:val="000000"/>
          <w:shd w:val="clear" w:color="auto" w:fill="FFFFFF"/>
        </w:rPr>
        <w:t xml:space="preserve">, school districts, </w:t>
      </w:r>
      <w:r w:rsidR="002F6876" w:rsidRPr="00E17614">
        <w:rPr>
          <w:rFonts w:ascii="Arial" w:hAnsi="Arial" w:cs="Arial"/>
          <w:color w:val="000000"/>
          <w:shd w:val="clear" w:color="auto" w:fill="FFFFFF"/>
        </w:rPr>
        <w:t>COEs</w:t>
      </w:r>
      <w:r w:rsidRPr="00E17614">
        <w:rPr>
          <w:rFonts w:ascii="Arial" w:hAnsi="Arial" w:cs="Arial"/>
          <w:color w:val="000000"/>
          <w:shd w:val="clear" w:color="auto" w:fill="FFFFFF"/>
        </w:rPr>
        <w:t>, charter schools, and state special schools are asked to report detailed data and expenditure information</w:t>
      </w:r>
      <w:r w:rsidR="00C85E8E" w:rsidRPr="00E17614">
        <w:rPr>
          <w:rFonts w:ascii="Arial" w:hAnsi="Arial" w:cs="Arial"/>
          <w:color w:val="000000"/>
          <w:shd w:val="clear" w:color="auto" w:fill="FFFFFF"/>
        </w:rPr>
        <w:t xml:space="preserve"> </w:t>
      </w:r>
      <w:r w:rsidR="00C85E8E" w:rsidRPr="00E17614">
        <w:rPr>
          <w:rStyle w:val="xcontentpasted0"/>
          <w:rFonts w:ascii="Arial" w:hAnsi="Arial" w:cs="Arial"/>
          <w:bdr w:val="none" w:sz="0" w:space="0" w:color="auto" w:frame="1"/>
        </w:rPr>
        <w:t xml:space="preserve">on or before September 30, 2023, and on or before September 30, 2026. </w:t>
      </w:r>
      <w:r w:rsidR="000B5461" w:rsidRPr="00E17614">
        <w:rPr>
          <w:rStyle w:val="xcontentpasted0"/>
          <w:rFonts w:ascii="Arial" w:hAnsi="Arial" w:cs="Arial"/>
          <w:i/>
          <w:iCs/>
          <w:bdr w:val="none" w:sz="0" w:space="0" w:color="auto" w:frame="1"/>
        </w:rPr>
        <w:t>EC</w:t>
      </w:r>
      <w:r w:rsidR="0007076D" w:rsidRPr="00E17614">
        <w:rPr>
          <w:rStyle w:val="xcontentpasted0"/>
          <w:rFonts w:ascii="Arial" w:hAnsi="Arial" w:cs="Arial"/>
          <w:i/>
          <w:iCs/>
          <w:bdr w:val="none" w:sz="0" w:space="0" w:color="auto" w:frame="1"/>
        </w:rPr>
        <w:t xml:space="preserve"> </w:t>
      </w:r>
      <w:r w:rsidR="005C5A13" w:rsidRPr="00E17614">
        <w:rPr>
          <w:rStyle w:val="xcontentpasted0"/>
          <w:rFonts w:ascii="Arial" w:hAnsi="Arial" w:cs="Arial"/>
          <w:iCs/>
          <w:bdr w:val="none" w:sz="0" w:space="0" w:color="auto" w:frame="1"/>
        </w:rPr>
        <w:t xml:space="preserve">Section </w:t>
      </w:r>
      <w:r w:rsidR="00C85E8E" w:rsidRPr="00E17614">
        <w:rPr>
          <w:rStyle w:val="xcontentpasted0"/>
          <w:rFonts w:ascii="Arial" w:hAnsi="Arial" w:cs="Arial"/>
          <w:bdr w:val="none" w:sz="0" w:space="0" w:color="auto" w:frame="1"/>
        </w:rPr>
        <w:t xml:space="preserve">41480(d)(2) states: </w:t>
      </w:r>
    </w:p>
    <w:p w14:paraId="433BFBBD" w14:textId="2958821B" w:rsidR="00C85E8E" w:rsidRPr="00E17614" w:rsidRDefault="00C85E8E" w:rsidP="00A935D6">
      <w:pPr>
        <w:spacing w:after="240"/>
        <w:ind w:left="720" w:right="720"/>
        <w:rPr>
          <w:rFonts w:ascii="Arial" w:hAnsi="Arial" w:cs="Arial"/>
          <w:shd w:val="clear" w:color="auto" w:fill="FFFFFF"/>
        </w:rPr>
      </w:pPr>
      <w:r w:rsidRPr="00E17614">
        <w:rPr>
          <w:rStyle w:val="xcontentpasted0"/>
          <w:rFonts w:ascii="Arial" w:hAnsi="Arial" w:cs="Arial"/>
          <w:bdr w:val="none" w:sz="0" w:space="0" w:color="auto" w:frame="1"/>
        </w:rPr>
        <w:t xml:space="preserve">On or before September 30, 2023, and again on or before September 30, 2026, report detailed expenditure information to the </w:t>
      </w:r>
      <w:r w:rsidR="00C56906" w:rsidRPr="00E17614">
        <w:rPr>
          <w:rStyle w:val="xcontentpasted0"/>
          <w:rFonts w:ascii="Arial" w:hAnsi="Arial" w:cs="Arial"/>
          <w:bdr w:val="none" w:sz="0" w:space="0" w:color="auto" w:frame="1"/>
        </w:rPr>
        <w:t>D</w:t>
      </w:r>
      <w:r w:rsidRPr="00E17614">
        <w:rPr>
          <w:rStyle w:val="xcontentpasted0"/>
          <w:rFonts w:ascii="Arial" w:hAnsi="Arial" w:cs="Arial"/>
          <w:bdr w:val="none" w:sz="0" w:space="0" w:color="auto" w:frame="1"/>
        </w:rPr>
        <w:t xml:space="preserve">epartment, including, but not limited to, specific purchases made and the number of teachers, administrators, paraprofessional educators, or classified staff that received professional development. The </w:t>
      </w:r>
      <w:r w:rsidR="00C56906" w:rsidRPr="00E17614">
        <w:rPr>
          <w:rStyle w:val="xcontentpasted0"/>
          <w:rFonts w:ascii="Arial" w:hAnsi="Arial" w:cs="Arial"/>
          <w:bdr w:val="none" w:sz="0" w:space="0" w:color="auto" w:frame="1"/>
        </w:rPr>
        <w:t>D</w:t>
      </w:r>
      <w:r w:rsidRPr="00E17614">
        <w:rPr>
          <w:rStyle w:val="xcontentpasted0"/>
          <w:rFonts w:ascii="Arial" w:hAnsi="Arial" w:cs="Arial"/>
          <w:bdr w:val="none" w:sz="0" w:space="0" w:color="auto" w:frame="1"/>
        </w:rPr>
        <w:t>epartment shall determine the format for this report.</w:t>
      </w:r>
    </w:p>
    <w:p w14:paraId="4A409FF4" w14:textId="4F2F7BF0" w:rsidR="00883504" w:rsidRPr="00E17614" w:rsidRDefault="00CF6E4A" w:rsidP="00C45357">
      <w:pPr>
        <w:spacing w:after="240"/>
        <w:rPr>
          <w:rFonts w:ascii="Arial" w:hAnsi="Arial" w:cs="Arial"/>
          <w:color w:val="000000"/>
          <w:shd w:val="clear" w:color="auto" w:fill="FFFFFF"/>
        </w:rPr>
      </w:pPr>
      <w:r w:rsidRPr="00E17614">
        <w:rPr>
          <w:rFonts w:ascii="Arial" w:hAnsi="Arial" w:cs="Arial"/>
          <w:color w:val="000000"/>
          <w:shd w:val="clear" w:color="auto" w:fill="FFFFFF"/>
        </w:rPr>
        <w:t>While</w:t>
      </w:r>
      <w:r w:rsidRPr="00E17614">
        <w:rPr>
          <w:rFonts w:ascii="Arial" w:hAnsi="Arial" w:cs="Arial"/>
          <w:i/>
          <w:iCs/>
          <w:color w:val="000000"/>
          <w:shd w:val="clear" w:color="auto" w:fill="FFFFFF"/>
        </w:rPr>
        <w:t xml:space="preserve"> EC</w:t>
      </w:r>
      <w:r w:rsidRPr="00E17614">
        <w:rPr>
          <w:rFonts w:ascii="Arial" w:hAnsi="Arial" w:cs="Arial"/>
          <w:color w:val="000000"/>
          <w:shd w:val="clear" w:color="auto" w:fill="FFFFFF"/>
        </w:rPr>
        <w:t xml:space="preserve"> </w:t>
      </w:r>
      <w:r w:rsidR="0061587F" w:rsidRPr="00E17614">
        <w:rPr>
          <w:rFonts w:ascii="Arial" w:hAnsi="Arial" w:cs="Arial"/>
          <w:color w:val="000000"/>
          <w:shd w:val="clear" w:color="auto" w:fill="FFFFFF"/>
        </w:rPr>
        <w:t xml:space="preserve">Section </w:t>
      </w:r>
      <w:r w:rsidRPr="00E17614">
        <w:rPr>
          <w:rStyle w:val="xcontentpasted0"/>
          <w:rFonts w:ascii="Arial" w:hAnsi="Arial" w:cs="Arial"/>
          <w:bdr w:val="none" w:sz="0" w:space="0" w:color="auto" w:frame="1"/>
        </w:rPr>
        <w:t xml:space="preserve">41480(d)(2) </w:t>
      </w:r>
      <w:r w:rsidR="00CD3C79" w:rsidRPr="00E17614">
        <w:rPr>
          <w:rStyle w:val="xcontentpasted0"/>
          <w:rFonts w:ascii="Arial" w:hAnsi="Arial" w:cs="Arial"/>
          <w:bdr w:val="none" w:sz="0" w:space="0" w:color="auto" w:frame="1"/>
        </w:rPr>
        <w:t xml:space="preserve">mandates that reporting </w:t>
      </w:r>
      <w:r w:rsidR="004F0EF4" w:rsidRPr="00E17614">
        <w:rPr>
          <w:rStyle w:val="xcontentpasted0"/>
          <w:rFonts w:ascii="Arial" w:hAnsi="Arial" w:cs="Arial"/>
          <w:bdr w:val="none" w:sz="0" w:space="0" w:color="auto" w:frame="1"/>
        </w:rPr>
        <w:t>occurs</w:t>
      </w:r>
      <w:r w:rsidR="00CD3C79" w:rsidRPr="00E17614">
        <w:rPr>
          <w:rStyle w:val="xcontentpasted0"/>
          <w:rFonts w:ascii="Arial" w:hAnsi="Arial" w:cs="Arial"/>
          <w:bdr w:val="none" w:sz="0" w:space="0" w:color="auto" w:frame="1"/>
        </w:rPr>
        <w:t xml:space="preserve"> in 2023 and again in 2026,</w:t>
      </w:r>
      <w:r w:rsidR="00CD3C79" w:rsidRPr="00E17614">
        <w:rPr>
          <w:rStyle w:val="xcontentpasted0"/>
          <w:rFonts w:ascii="Arial" w:hAnsi="Arial" w:cs="Arial"/>
          <w:color w:val="242424"/>
          <w:bdr w:val="none" w:sz="0" w:space="0" w:color="auto" w:frame="1"/>
        </w:rPr>
        <w:t xml:space="preserve"> </w:t>
      </w:r>
      <w:r w:rsidR="00CD3C79" w:rsidRPr="00E17614">
        <w:rPr>
          <w:rFonts w:ascii="Arial" w:hAnsi="Arial" w:cs="Arial"/>
          <w:color w:val="000000"/>
          <w:shd w:val="clear" w:color="auto" w:fill="FFFFFF"/>
        </w:rPr>
        <w:t>t</w:t>
      </w:r>
      <w:r w:rsidR="00CC08D3" w:rsidRPr="00E17614">
        <w:rPr>
          <w:rFonts w:ascii="Arial" w:hAnsi="Arial" w:cs="Arial"/>
          <w:color w:val="000000"/>
          <w:shd w:val="clear" w:color="auto" w:fill="FFFFFF"/>
        </w:rPr>
        <w:t xml:space="preserve">he </w:t>
      </w:r>
      <w:r w:rsidR="00CD3C79" w:rsidRPr="00E17614">
        <w:rPr>
          <w:rFonts w:ascii="Arial" w:hAnsi="Arial" w:cs="Arial"/>
          <w:color w:val="000000"/>
          <w:shd w:val="clear" w:color="auto" w:fill="FFFFFF"/>
        </w:rPr>
        <w:t>CDE requests that LEAs report annually. The EEF</w:t>
      </w:r>
      <w:r w:rsidR="00CC08D3" w:rsidRPr="00E17614">
        <w:rPr>
          <w:rFonts w:ascii="Arial" w:hAnsi="Arial" w:cs="Arial"/>
          <w:color w:val="000000"/>
          <w:shd w:val="clear" w:color="auto" w:fill="FFFFFF"/>
        </w:rPr>
        <w:t xml:space="preserve"> necessitates annual reporting</w:t>
      </w:r>
      <w:r w:rsidR="00CD3C79" w:rsidRPr="00E17614">
        <w:rPr>
          <w:rFonts w:ascii="Arial" w:hAnsi="Arial" w:cs="Arial"/>
          <w:color w:val="000000"/>
          <w:shd w:val="clear" w:color="auto" w:fill="FFFFFF"/>
        </w:rPr>
        <w:t xml:space="preserve"> </w:t>
      </w:r>
      <w:r w:rsidR="009531F9" w:rsidRPr="00E17614">
        <w:rPr>
          <w:rFonts w:ascii="Arial" w:hAnsi="Arial" w:cs="Arial"/>
          <w:color w:val="000000"/>
          <w:shd w:val="clear" w:color="auto" w:fill="FFFFFF"/>
        </w:rPr>
        <w:t>to</w:t>
      </w:r>
      <w:r w:rsidR="00CC08D3" w:rsidRPr="00E17614">
        <w:rPr>
          <w:rFonts w:ascii="Arial" w:hAnsi="Arial" w:cs="Arial"/>
          <w:color w:val="000000"/>
          <w:shd w:val="clear" w:color="auto" w:fill="FFFFFF"/>
        </w:rPr>
        <w:t xml:space="preserve"> collect timely, accurate, and detailed information </w:t>
      </w:r>
      <w:r w:rsidR="00DD1913" w:rsidRPr="00E17614">
        <w:rPr>
          <w:rFonts w:ascii="Arial" w:hAnsi="Arial" w:cs="Arial"/>
          <w:color w:val="000000"/>
          <w:shd w:val="clear" w:color="auto" w:fill="FFFFFF"/>
        </w:rPr>
        <w:t>involving</w:t>
      </w:r>
      <w:r w:rsidR="00CC08D3" w:rsidRPr="00E17614">
        <w:rPr>
          <w:rFonts w:ascii="Arial" w:hAnsi="Arial" w:cs="Arial"/>
          <w:color w:val="000000"/>
          <w:shd w:val="clear" w:color="auto" w:fill="FFFFFF"/>
        </w:rPr>
        <w:t xml:space="preserve"> the use of funds</w:t>
      </w:r>
      <w:r w:rsidR="00AA195F" w:rsidRPr="00E17614">
        <w:rPr>
          <w:rFonts w:ascii="Arial" w:hAnsi="Arial" w:cs="Arial"/>
          <w:color w:val="000000"/>
          <w:shd w:val="clear" w:color="auto" w:fill="FFFFFF"/>
        </w:rPr>
        <w:t>,</w:t>
      </w:r>
      <w:r w:rsidR="00CC08D3" w:rsidRPr="00E17614">
        <w:rPr>
          <w:rFonts w:ascii="Arial" w:hAnsi="Arial" w:cs="Arial"/>
          <w:color w:val="000000"/>
          <w:shd w:val="clear" w:color="auto" w:fill="FFFFFF"/>
        </w:rPr>
        <w:t xml:space="preserve"> including specific information regarding the allowable uses and to confirm funding is being appropriately used and tracked at the local level. </w:t>
      </w:r>
      <w:r w:rsidR="001502A6" w:rsidRPr="00E17614">
        <w:rPr>
          <w:rFonts w:ascii="Arial" w:hAnsi="Arial" w:cs="Arial"/>
          <w:color w:val="000000"/>
          <w:shd w:val="clear" w:color="auto" w:fill="FFFFFF"/>
        </w:rPr>
        <w:t>All funds must be returned to the CDE if LEAs do not meet the conditions of a</w:t>
      </w:r>
      <w:r w:rsidR="001502A6" w:rsidRPr="00E17614">
        <w:rPr>
          <w:rFonts w:ascii="Arial" w:hAnsi="Arial" w:cs="Arial"/>
          <w:color w:val="000000" w:themeColor="text1"/>
          <w:shd w:val="clear" w:color="auto" w:fill="FFFFFF"/>
        </w:rPr>
        <w:t>pportionment</w:t>
      </w:r>
      <w:r w:rsidR="00D803FB" w:rsidRPr="00E17614">
        <w:rPr>
          <w:rFonts w:ascii="Arial" w:hAnsi="Arial" w:cs="Arial"/>
          <w:color w:val="000000" w:themeColor="text1"/>
          <w:shd w:val="clear" w:color="auto" w:fill="FFFFFF"/>
        </w:rPr>
        <w:t>.</w:t>
      </w:r>
    </w:p>
    <w:p w14:paraId="099D1EC2" w14:textId="27FE419B" w:rsidR="00872A86" w:rsidRPr="00E17614" w:rsidRDefault="006300DB" w:rsidP="00872A86">
      <w:pPr>
        <w:spacing w:after="240"/>
        <w:rPr>
          <w:rFonts w:ascii="Arial" w:hAnsi="Arial" w:cs="Arial"/>
          <w:color w:val="000000"/>
          <w:shd w:val="clear" w:color="auto" w:fill="FFFFFF"/>
        </w:rPr>
      </w:pPr>
      <w:r w:rsidRPr="00E17614">
        <w:rPr>
          <w:rFonts w:ascii="Arial" w:hAnsi="Arial" w:cs="Arial"/>
          <w:color w:val="000000"/>
          <w:shd w:val="clear" w:color="auto" w:fill="FFFFFF"/>
        </w:rPr>
        <w:t>LEAs completed the first requested</w:t>
      </w:r>
      <w:r w:rsidR="00F13083" w:rsidRPr="00E17614">
        <w:rPr>
          <w:rFonts w:ascii="Arial" w:hAnsi="Arial" w:cs="Arial"/>
          <w:color w:val="000000"/>
          <w:shd w:val="clear" w:color="auto" w:fill="FFFFFF"/>
        </w:rPr>
        <w:t xml:space="preserve"> EEF annual report on September 30, </w:t>
      </w:r>
      <w:r w:rsidR="002F6876" w:rsidRPr="00E17614">
        <w:rPr>
          <w:rFonts w:ascii="Arial" w:hAnsi="Arial" w:cs="Arial"/>
          <w:color w:val="000000"/>
          <w:shd w:val="clear" w:color="auto" w:fill="FFFFFF"/>
        </w:rPr>
        <w:t>2022,</w:t>
      </w:r>
      <w:r w:rsidR="00C4229E" w:rsidRPr="00E17614">
        <w:rPr>
          <w:rFonts w:ascii="Arial" w:hAnsi="Arial" w:cs="Arial"/>
          <w:color w:val="000000"/>
          <w:shd w:val="clear" w:color="auto" w:fill="FFFFFF"/>
        </w:rPr>
        <w:t xml:space="preserve"> for </w:t>
      </w:r>
      <w:r w:rsidR="00AA3F53" w:rsidRPr="00E17614">
        <w:rPr>
          <w:rFonts w:ascii="Arial" w:hAnsi="Arial" w:cs="Arial"/>
          <w:color w:val="000000"/>
          <w:shd w:val="clear" w:color="auto" w:fill="FFFFFF"/>
        </w:rPr>
        <w:t>FY</w:t>
      </w:r>
      <w:r w:rsidR="001E08B3" w:rsidRPr="00E17614">
        <w:rPr>
          <w:rFonts w:ascii="Arial" w:hAnsi="Arial" w:cs="Arial"/>
          <w:color w:val="000000"/>
          <w:shd w:val="clear" w:color="auto" w:fill="FFFFFF"/>
        </w:rPr>
        <w:t xml:space="preserve"> </w:t>
      </w:r>
      <w:r w:rsidR="00C4229E" w:rsidRPr="00E17614">
        <w:rPr>
          <w:rFonts w:ascii="Arial" w:hAnsi="Arial" w:cs="Arial"/>
          <w:color w:val="000000"/>
          <w:lang w:val="en"/>
        </w:rPr>
        <w:t>2021–22</w:t>
      </w:r>
      <w:r w:rsidR="00F13083" w:rsidRPr="00E17614">
        <w:rPr>
          <w:rFonts w:ascii="Arial" w:hAnsi="Arial" w:cs="Arial"/>
          <w:color w:val="000000"/>
          <w:shd w:val="clear" w:color="auto" w:fill="FFFFFF"/>
        </w:rPr>
        <w:t xml:space="preserve">. </w:t>
      </w:r>
      <w:r w:rsidRPr="00E17614">
        <w:rPr>
          <w:rFonts w:ascii="Arial" w:hAnsi="Arial" w:cs="Arial"/>
          <w:color w:val="000000"/>
          <w:shd w:val="clear" w:color="auto" w:fill="FFFFFF"/>
        </w:rPr>
        <w:t>LEAs completed t</w:t>
      </w:r>
      <w:r w:rsidR="00F13083" w:rsidRPr="00E17614">
        <w:rPr>
          <w:rFonts w:ascii="Arial" w:hAnsi="Arial" w:cs="Arial"/>
          <w:color w:val="000000"/>
          <w:shd w:val="clear" w:color="auto" w:fill="FFFFFF"/>
        </w:rPr>
        <w:t>he second EEF annual report on</w:t>
      </w:r>
      <w:r w:rsidRPr="00E17614">
        <w:rPr>
          <w:rFonts w:ascii="Arial" w:hAnsi="Arial" w:cs="Arial"/>
          <w:color w:val="000000"/>
          <w:shd w:val="clear" w:color="auto" w:fill="FFFFFF"/>
        </w:rPr>
        <w:t xml:space="preserve"> or before</w:t>
      </w:r>
      <w:r w:rsidR="00F13083" w:rsidRPr="00E17614">
        <w:rPr>
          <w:rFonts w:ascii="Arial" w:hAnsi="Arial" w:cs="Arial"/>
          <w:color w:val="000000"/>
          <w:shd w:val="clear" w:color="auto" w:fill="FFFFFF"/>
        </w:rPr>
        <w:t xml:space="preserve"> September 30, </w:t>
      </w:r>
      <w:r w:rsidR="002F6876" w:rsidRPr="00E17614">
        <w:rPr>
          <w:rFonts w:ascii="Arial" w:hAnsi="Arial" w:cs="Arial"/>
          <w:color w:val="000000"/>
          <w:shd w:val="clear" w:color="auto" w:fill="FFFFFF"/>
        </w:rPr>
        <w:t>2023,</w:t>
      </w:r>
      <w:r w:rsidR="00C4229E" w:rsidRPr="00E17614">
        <w:rPr>
          <w:rFonts w:ascii="Arial" w:hAnsi="Arial" w:cs="Arial"/>
          <w:color w:val="000000"/>
          <w:shd w:val="clear" w:color="auto" w:fill="FFFFFF"/>
        </w:rPr>
        <w:t xml:space="preserve"> for </w:t>
      </w:r>
      <w:r w:rsidR="001E08B3" w:rsidRPr="00E17614">
        <w:rPr>
          <w:rFonts w:ascii="Arial" w:hAnsi="Arial" w:cs="Arial"/>
          <w:color w:val="000000"/>
          <w:shd w:val="clear" w:color="auto" w:fill="FFFFFF"/>
        </w:rPr>
        <w:t>FY</w:t>
      </w:r>
      <w:r w:rsidR="00C4229E" w:rsidRPr="00E17614">
        <w:rPr>
          <w:rFonts w:ascii="Arial" w:hAnsi="Arial" w:cs="Arial"/>
          <w:color w:val="000000"/>
          <w:shd w:val="clear" w:color="auto" w:fill="FFFFFF"/>
        </w:rPr>
        <w:t xml:space="preserve"> </w:t>
      </w:r>
      <w:r w:rsidR="00C4229E" w:rsidRPr="00E17614">
        <w:rPr>
          <w:rFonts w:ascii="Arial" w:hAnsi="Arial" w:cs="Arial"/>
          <w:color w:val="000000"/>
          <w:lang w:val="en"/>
        </w:rPr>
        <w:t>2022–23</w:t>
      </w:r>
      <w:r w:rsidR="00F13083" w:rsidRPr="00E17614">
        <w:rPr>
          <w:rFonts w:ascii="Arial" w:hAnsi="Arial" w:cs="Arial"/>
          <w:color w:val="000000"/>
          <w:shd w:val="clear" w:color="auto" w:fill="FFFFFF"/>
        </w:rPr>
        <w:t xml:space="preserve">. The annual reporting template and online database link is available </w:t>
      </w:r>
      <w:r w:rsidR="00FE279A" w:rsidRPr="00E17614">
        <w:rPr>
          <w:rFonts w:ascii="Arial" w:hAnsi="Arial" w:cs="Arial"/>
          <w:color w:val="000000"/>
          <w:shd w:val="clear" w:color="auto" w:fill="FFFFFF"/>
        </w:rPr>
        <w:t>on the</w:t>
      </w:r>
      <w:r w:rsidR="00D34119" w:rsidRPr="00E17614">
        <w:rPr>
          <w:rFonts w:ascii="Arial" w:hAnsi="Arial" w:cs="Arial"/>
          <w:bCs/>
        </w:rPr>
        <w:t xml:space="preserve"> CDE </w:t>
      </w:r>
      <w:r w:rsidR="004F0EF4" w:rsidRPr="00E17614">
        <w:rPr>
          <w:rFonts w:ascii="Arial" w:hAnsi="Arial" w:cs="Arial"/>
        </w:rPr>
        <w:t>Educator Effectiveness 2021–26</w:t>
      </w:r>
      <w:r w:rsidR="005069C3" w:rsidRPr="00E17614">
        <w:rPr>
          <w:rFonts w:ascii="Arial" w:hAnsi="Arial" w:cs="Arial"/>
        </w:rPr>
        <w:t xml:space="preserve"> web page</w:t>
      </w:r>
      <w:r w:rsidR="00D34119" w:rsidRPr="00E17614">
        <w:rPr>
          <w:rStyle w:val="Hyperlink"/>
          <w:rFonts w:ascii="Arial" w:hAnsi="Arial" w:cs="Arial"/>
          <w:color w:val="auto"/>
          <w:u w:val="none"/>
        </w:rPr>
        <w:t xml:space="preserve"> at</w:t>
      </w:r>
      <w:r w:rsidR="00D34119" w:rsidRPr="00E17614">
        <w:rPr>
          <w:rStyle w:val="Hyperlink"/>
          <w:rFonts w:ascii="Arial" w:hAnsi="Arial" w:cs="Arial"/>
          <w:bCs/>
          <w:color w:val="auto"/>
          <w:u w:val="none"/>
        </w:rPr>
        <w:t xml:space="preserve"> </w:t>
      </w:r>
      <w:hyperlink r:id="rId17" w:tooltip="CDE EEF web page " w:history="1">
        <w:r w:rsidR="00CE2FC4">
          <w:rPr>
            <w:rStyle w:val="Hyperlink"/>
            <w:rFonts w:ascii="Arial" w:hAnsi="Arial" w:cs="Arial"/>
            <w:bCs/>
          </w:rPr>
          <w:t>https://www.cde.ca.gov/ci/pl/eef2021.asp</w:t>
        </w:r>
      </w:hyperlink>
      <w:r w:rsidR="00D34119" w:rsidRPr="00E17614">
        <w:rPr>
          <w:rFonts w:ascii="Arial" w:hAnsi="Arial" w:cs="Arial"/>
          <w:color w:val="000000"/>
          <w:shd w:val="clear" w:color="auto" w:fill="FFFFFF"/>
        </w:rPr>
        <w:t xml:space="preserve"> a</w:t>
      </w:r>
      <w:r w:rsidR="00FE279A" w:rsidRPr="00E17614">
        <w:rPr>
          <w:rFonts w:ascii="Arial" w:hAnsi="Arial" w:cs="Arial"/>
          <w:color w:val="000000"/>
          <w:shd w:val="clear" w:color="auto" w:fill="FFFFFF"/>
        </w:rPr>
        <w:t>nd/or the</w:t>
      </w:r>
      <w:r w:rsidR="008C3808" w:rsidRPr="00E17614">
        <w:rPr>
          <w:rFonts w:ascii="Arial" w:hAnsi="Arial" w:cs="Arial"/>
          <w:color w:val="000000"/>
          <w:shd w:val="clear" w:color="auto" w:fill="FFFFFF"/>
        </w:rPr>
        <w:t xml:space="preserve"> CDE</w:t>
      </w:r>
      <w:r w:rsidR="00FE279A" w:rsidRPr="00E17614">
        <w:rPr>
          <w:rFonts w:ascii="Arial" w:hAnsi="Arial" w:cs="Arial"/>
          <w:shd w:val="clear" w:color="auto" w:fill="FFFFFF"/>
        </w:rPr>
        <w:t xml:space="preserve"> </w:t>
      </w:r>
      <w:r w:rsidR="00A72DA3" w:rsidRPr="00E17614">
        <w:rPr>
          <w:rFonts w:ascii="Arial" w:hAnsi="Arial" w:cs="Arial"/>
          <w:shd w:val="clear" w:color="auto" w:fill="FFFFFF"/>
        </w:rPr>
        <w:t xml:space="preserve">2022–23 </w:t>
      </w:r>
      <w:r w:rsidR="00A72DA3" w:rsidRPr="00E17614">
        <w:rPr>
          <w:rStyle w:val="Hyperlink"/>
          <w:rFonts w:ascii="Arial" w:hAnsi="Arial" w:cs="Arial"/>
          <w:color w:val="auto"/>
          <w:u w:val="none"/>
          <w:shd w:val="clear" w:color="auto" w:fill="FFFFFF"/>
        </w:rPr>
        <w:t xml:space="preserve">EEF Report </w:t>
      </w:r>
      <w:r w:rsidR="0059144F" w:rsidRPr="00E17614">
        <w:rPr>
          <w:rStyle w:val="Hyperlink"/>
          <w:rFonts w:ascii="Arial" w:hAnsi="Arial" w:cs="Arial"/>
          <w:color w:val="auto"/>
          <w:u w:val="none"/>
          <w:shd w:val="clear" w:color="auto" w:fill="FFFFFF"/>
        </w:rPr>
        <w:t>database</w:t>
      </w:r>
      <w:r w:rsidR="008C3808" w:rsidRPr="00E17614">
        <w:rPr>
          <w:rStyle w:val="Hyperlink"/>
          <w:rFonts w:ascii="Arial" w:hAnsi="Arial" w:cs="Arial"/>
          <w:color w:val="auto"/>
          <w:u w:val="none"/>
          <w:shd w:val="clear" w:color="auto" w:fill="FFFFFF"/>
        </w:rPr>
        <w:t xml:space="preserve"> at </w:t>
      </w:r>
      <w:hyperlink r:id="rId18" w:tooltip="EEF Annual Report Database" w:history="1">
        <w:r w:rsidR="000B1DF0" w:rsidRPr="00E17614">
          <w:rPr>
            <w:rStyle w:val="Hyperlink"/>
            <w:rFonts w:ascii="Arial" w:hAnsi="Arial" w:cs="Arial"/>
            <w:shd w:val="clear" w:color="auto" w:fill="FFFFFF"/>
          </w:rPr>
          <w:t>https://www2.cde.ca.gov/eefannual/</w:t>
        </w:r>
      </w:hyperlink>
      <w:r w:rsidR="00872A86" w:rsidRPr="00E17614">
        <w:rPr>
          <w:rStyle w:val="Hyperlink"/>
          <w:rFonts w:ascii="Arial" w:hAnsi="Arial" w:cs="Arial"/>
          <w:color w:val="auto"/>
          <w:u w:val="none"/>
          <w:shd w:val="clear" w:color="auto" w:fill="FFFFFF"/>
        </w:rPr>
        <w:t>.</w:t>
      </w:r>
    </w:p>
    <w:p w14:paraId="54C230B3" w14:textId="326C6066" w:rsidR="00BD0F59" w:rsidRPr="00E17614" w:rsidRDefault="00BD0F59" w:rsidP="00872A86">
      <w:pPr>
        <w:spacing w:after="240"/>
        <w:rPr>
          <w:rFonts w:ascii="Arial" w:hAnsi="Arial" w:cs="Arial"/>
          <w:color w:val="000000"/>
          <w:shd w:val="clear" w:color="auto" w:fill="FFFFFF"/>
        </w:rPr>
      </w:pPr>
      <w:r w:rsidRPr="00E17614">
        <w:rPr>
          <w:rFonts w:ascii="Arial" w:hAnsi="Arial" w:cs="Arial"/>
          <w:color w:val="000000"/>
          <w:shd w:val="clear" w:color="auto" w:fill="FFFFFF"/>
        </w:rPr>
        <w:t xml:space="preserve">The </w:t>
      </w:r>
      <w:r w:rsidR="0059144F" w:rsidRPr="00E17614">
        <w:rPr>
          <w:rFonts w:ascii="Arial" w:hAnsi="Arial" w:cs="Arial"/>
          <w:color w:val="000000"/>
          <w:shd w:val="clear" w:color="auto" w:fill="FFFFFF"/>
        </w:rPr>
        <w:t>CDE</w:t>
      </w:r>
      <w:r w:rsidRPr="00E17614">
        <w:rPr>
          <w:rFonts w:ascii="Arial" w:hAnsi="Arial" w:cs="Arial"/>
          <w:color w:val="000000"/>
          <w:shd w:val="clear" w:color="auto" w:fill="FFFFFF"/>
        </w:rPr>
        <w:t xml:space="preserve"> </w:t>
      </w:r>
      <w:r w:rsidR="0059144F" w:rsidRPr="00E17614">
        <w:rPr>
          <w:rFonts w:ascii="Arial" w:hAnsi="Arial" w:cs="Arial"/>
          <w:shd w:val="clear" w:color="auto" w:fill="FFFFFF"/>
        </w:rPr>
        <w:t xml:space="preserve">2022–23 </w:t>
      </w:r>
      <w:r w:rsidR="0059144F" w:rsidRPr="00E17614">
        <w:rPr>
          <w:rStyle w:val="Hyperlink"/>
          <w:rFonts w:ascii="Arial" w:hAnsi="Arial" w:cs="Arial"/>
          <w:color w:val="auto"/>
          <w:u w:val="none"/>
          <w:shd w:val="clear" w:color="auto" w:fill="FFFFFF"/>
        </w:rPr>
        <w:t>EEF Report</w:t>
      </w:r>
      <w:r w:rsidRPr="00E17614">
        <w:rPr>
          <w:rFonts w:ascii="Arial" w:hAnsi="Arial" w:cs="Arial"/>
          <w:color w:val="000000"/>
          <w:shd w:val="clear" w:color="auto" w:fill="FFFFFF"/>
        </w:rPr>
        <w:t xml:space="preserve"> database includes several sections and subsections. The initial sections </w:t>
      </w:r>
      <w:r w:rsidR="0059144F" w:rsidRPr="00E17614">
        <w:rPr>
          <w:rFonts w:ascii="Arial" w:hAnsi="Arial" w:cs="Arial"/>
          <w:color w:val="000000"/>
          <w:shd w:val="clear" w:color="auto" w:fill="FFFFFF"/>
        </w:rPr>
        <w:t>are</w:t>
      </w:r>
      <w:r w:rsidRPr="00E17614">
        <w:rPr>
          <w:rFonts w:ascii="Arial" w:hAnsi="Arial" w:cs="Arial"/>
          <w:color w:val="000000"/>
          <w:shd w:val="clear" w:color="auto" w:fill="FFFFFF"/>
        </w:rPr>
        <w:t>:</w:t>
      </w:r>
    </w:p>
    <w:p w14:paraId="38D316B9" w14:textId="06F79BB0" w:rsidR="007F7F60" w:rsidRPr="00E17614" w:rsidRDefault="00C0172F" w:rsidP="00EC2DD0">
      <w:pPr>
        <w:numPr>
          <w:ilvl w:val="1"/>
          <w:numId w:val="8"/>
        </w:numPr>
        <w:ind w:left="720"/>
        <w:rPr>
          <w:rFonts w:ascii="Arial" w:hAnsi="Arial" w:cs="Arial"/>
          <w:color w:val="000000"/>
          <w:shd w:val="clear" w:color="auto" w:fill="FFFFFF"/>
        </w:rPr>
      </w:pPr>
      <w:r w:rsidRPr="00E17614">
        <w:rPr>
          <w:rFonts w:ascii="Arial" w:hAnsi="Arial" w:cs="Arial"/>
          <w:color w:val="000000"/>
          <w:shd w:val="clear" w:color="auto" w:fill="FFFFFF"/>
        </w:rPr>
        <w:t>Logon page and Instructions</w:t>
      </w:r>
    </w:p>
    <w:p w14:paraId="151B8CEE" w14:textId="77777777" w:rsidR="007F7F60" w:rsidRPr="00E17614" w:rsidRDefault="00C0172F" w:rsidP="00EC2DD0">
      <w:pPr>
        <w:numPr>
          <w:ilvl w:val="1"/>
          <w:numId w:val="8"/>
        </w:numPr>
        <w:ind w:left="720"/>
        <w:rPr>
          <w:rFonts w:ascii="Arial" w:hAnsi="Arial" w:cs="Arial"/>
          <w:color w:val="000000"/>
          <w:shd w:val="clear" w:color="auto" w:fill="FFFFFF"/>
        </w:rPr>
      </w:pPr>
      <w:r w:rsidRPr="00E17614">
        <w:rPr>
          <w:rFonts w:ascii="Arial" w:hAnsi="Arial" w:cs="Arial"/>
          <w:color w:val="000000"/>
          <w:shd w:val="clear" w:color="auto" w:fill="FFFFFF"/>
        </w:rPr>
        <w:t>Overview and Contact Information</w:t>
      </w:r>
    </w:p>
    <w:p w14:paraId="5CFA3225" w14:textId="24559415" w:rsidR="007F7F60" w:rsidRPr="00E17614" w:rsidRDefault="00C0172F" w:rsidP="00EC2DD0">
      <w:pPr>
        <w:numPr>
          <w:ilvl w:val="1"/>
          <w:numId w:val="8"/>
        </w:numPr>
        <w:spacing w:after="240"/>
        <w:ind w:left="720"/>
        <w:rPr>
          <w:rFonts w:ascii="Arial" w:hAnsi="Arial" w:cs="Arial"/>
          <w:color w:val="000000"/>
          <w:shd w:val="clear" w:color="auto" w:fill="FFFFFF"/>
        </w:rPr>
      </w:pPr>
      <w:r w:rsidRPr="00E17614">
        <w:rPr>
          <w:rFonts w:ascii="Arial" w:hAnsi="Arial" w:cs="Arial"/>
          <w:color w:val="000000"/>
          <w:shd w:val="clear" w:color="auto" w:fill="FFFFFF"/>
        </w:rPr>
        <w:t>EEF Services and Purchases</w:t>
      </w:r>
      <w:r w:rsidR="00F27481" w:rsidRPr="00E17614">
        <w:rPr>
          <w:rFonts w:ascii="Arial" w:hAnsi="Arial" w:cs="Arial"/>
          <w:color w:val="000000"/>
          <w:shd w:val="clear" w:color="auto" w:fill="FFFFFF"/>
        </w:rPr>
        <w:t xml:space="preserve"> </w:t>
      </w:r>
      <w:r w:rsidR="00353FE7" w:rsidRPr="00E17614">
        <w:rPr>
          <w:rFonts w:ascii="Arial" w:hAnsi="Arial" w:cs="Arial"/>
          <w:color w:val="000000"/>
          <w:shd w:val="clear" w:color="auto" w:fill="FFFFFF"/>
        </w:rPr>
        <w:t xml:space="preserve"> </w:t>
      </w:r>
    </w:p>
    <w:p w14:paraId="05628B50" w14:textId="04276A47" w:rsidR="00BD0F59" w:rsidRPr="00E17614" w:rsidRDefault="00BD0F59" w:rsidP="00C45357">
      <w:pPr>
        <w:spacing w:after="240"/>
        <w:rPr>
          <w:rFonts w:ascii="Arial" w:hAnsi="Arial" w:cs="Arial"/>
          <w:color w:val="000000"/>
          <w:shd w:val="clear" w:color="auto" w:fill="FFFFFF"/>
        </w:rPr>
      </w:pPr>
      <w:r w:rsidRPr="00E17614">
        <w:rPr>
          <w:rFonts w:ascii="Arial" w:hAnsi="Arial" w:cs="Arial"/>
          <w:color w:val="000000"/>
          <w:shd w:val="clear" w:color="auto" w:fill="FFFFFF"/>
        </w:rPr>
        <w:t>The subsections, which are based directly on the EEF statute’s 11 allowable uses, include:</w:t>
      </w:r>
    </w:p>
    <w:p w14:paraId="308735AF"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Coaching and Mentoring</w:t>
      </w:r>
    </w:p>
    <w:p w14:paraId="4E234833"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Standards-Aligned Instruction</w:t>
      </w:r>
    </w:p>
    <w:p w14:paraId="3A95AD43" w14:textId="2EC6744D"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 xml:space="preserve">Pupil Reengagement </w:t>
      </w:r>
      <w:r w:rsidR="00253DDC" w:rsidRPr="00E17614">
        <w:rPr>
          <w:rFonts w:ascii="Arial" w:hAnsi="Arial" w:cs="Arial"/>
          <w:color w:val="000000"/>
          <w:shd w:val="clear" w:color="auto" w:fill="FFFFFF"/>
        </w:rPr>
        <w:t>and</w:t>
      </w:r>
      <w:r w:rsidRPr="00E17614">
        <w:rPr>
          <w:rFonts w:ascii="Arial" w:hAnsi="Arial" w:cs="Arial"/>
          <w:color w:val="000000"/>
          <w:shd w:val="clear" w:color="auto" w:fill="FFFFFF"/>
        </w:rPr>
        <w:t xml:space="preserve"> Accelerated Learning</w:t>
      </w:r>
    </w:p>
    <w:p w14:paraId="1B24A9ED" w14:textId="480FA741"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Strategies to Improve Well</w:t>
      </w:r>
      <w:r w:rsidR="00E17614">
        <w:rPr>
          <w:rFonts w:ascii="Arial" w:hAnsi="Arial" w:cs="Arial"/>
          <w:color w:val="000000"/>
          <w:shd w:val="clear" w:color="auto" w:fill="FFFFFF"/>
        </w:rPr>
        <w:t>-</w:t>
      </w:r>
      <w:r w:rsidRPr="00E17614">
        <w:rPr>
          <w:rFonts w:ascii="Arial" w:hAnsi="Arial" w:cs="Arial"/>
          <w:color w:val="000000"/>
          <w:shd w:val="clear" w:color="auto" w:fill="FFFFFF"/>
        </w:rPr>
        <w:t>being</w:t>
      </w:r>
    </w:p>
    <w:p w14:paraId="6897A09E"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Practices to Promote Positive School Climate</w:t>
      </w:r>
    </w:p>
    <w:p w14:paraId="1BF9BE18" w14:textId="08FA6D40"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Inclusive Practices</w:t>
      </w:r>
      <w:r w:rsidR="009E34F6" w:rsidRPr="00E17614">
        <w:rPr>
          <w:rFonts w:ascii="Arial" w:hAnsi="Arial" w:cs="Arial"/>
          <w:color w:val="000000"/>
          <w:shd w:val="clear" w:color="auto" w:fill="FFFFFF"/>
        </w:rPr>
        <w:t xml:space="preserve"> and</w:t>
      </w:r>
      <w:r w:rsidRPr="00E17614">
        <w:rPr>
          <w:rFonts w:ascii="Arial" w:hAnsi="Arial" w:cs="Arial"/>
          <w:color w:val="000000"/>
          <w:shd w:val="clear" w:color="auto" w:fill="FFFFFF"/>
        </w:rPr>
        <w:t xml:space="preserve"> Strategies</w:t>
      </w:r>
    </w:p>
    <w:p w14:paraId="56FE5963"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English Learner Programs</w:t>
      </w:r>
    </w:p>
    <w:p w14:paraId="76B80D6B"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New Professional Learning Networks</w:t>
      </w:r>
    </w:p>
    <w:p w14:paraId="0DE7B5A4" w14:textId="77777777"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Ethnic Studies Curricula</w:t>
      </w:r>
    </w:p>
    <w:p w14:paraId="0D2FFA1F" w14:textId="013700E5" w:rsidR="007F7F60" w:rsidRPr="00E17614" w:rsidRDefault="00C0172F" w:rsidP="00813829">
      <w:pPr>
        <w:numPr>
          <w:ilvl w:val="1"/>
          <w:numId w:val="12"/>
        </w:numPr>
        <w:spacing w:after="240"/>
        <w:ind w:left="720"/>
        <w:contextualSpacing/>
        <w:rPr>
          <w:rFonts w:ascii="Arial" w:hAnsi="Arial" w:cs="Arial"/>
          <w:color w:val="000000"/>
          <w:shd w:val="clear" w:color="auto" w:fill="FFFFFF"/>
        </w:rPr>
      </w:pPr>
      <w:r w:rsidRPr="00E17614">
        <w:rPr>
          <w:rFonts w:ascii="Arial" w:hAnsi="Arial" w:cs="Arial"/>
          <w:color w:val="000000"/>
          <w:shd w:val="clear" w:color="auto" w:fill="FFFFFF"/>
        </w:rPr>
        <w:t>Early Childhood or Child Development</w:t>
      </w:r>
    </w:p>
    <w:p w14:paraId="3629FB27" w14:textId="24987DAD" w:rsidR="00BD0F59" w:rsidRPr="00E17614" w:rsidRDefault="00BD0F59" w:rsidP="00813829">
      <w:pPr>
        <w:numPr>
          <w:ilvl w:val="1"/>
          <w:numId w:val="12"/>
        </w:numPr>
        <w:spacing w:after="240"/>
        <w:ind w:left="720"/>
        <w:rPr>
          <w:rFonts w:ascii="Arial" w:hAnsi="Arial" w:cs="Arial"/>
          <w:color w:val="000000"/>
          <w:shd w:val="clear" w:color="auto" w:fill="FFFFFF"/>
        </w:rPr>
      </w:pPr>
      <w:r w:rsidRPr="00E17614">
        <w:rPr>
          <w:rFonts w:ascii="Arial" w:hAnsi="Arial" w:cs="Arial"/>
          <w:color w:val="000000"/>
          <w:shd w:val="clear" w:color="auto" w:fill="FFFFFF"/>
        </w:rPr>
        <w:t>Strategies to Improve Beginning Teacher Retention and Support</w:t>
      </w:r>
    </w:p>
    <w:p w14:paraId="7B4DB093" w14:textId="01329756" w:rsidR="00D7675E" w:rsidRPr="009757E9" w:rsidRDefault="005D7B62" w:rsidP="009757E9">
      <w:pPr>
        <w:pStyle w:val="Heading3"/>
        <w:spacing w:before="0"/>
        <w:rPr>
          <w:sz w:val="28"/>
          <w:szCs w:val="28"/>
          <w:shd w:val="clear" w:color="auto" w:fill="FFFFFF"/>
        </w:rPr>
      </w:pPr>
      <w:r w:rsidRPr="009757E9">
        <w:rPr>
          <w:rFonts w:cs="Arial"/>
          <w:color w:val="000000" w:themeColor="text1"/>
          <w:sz w:val="28"/>
          <w:szCs w:val="28"/>
        </w:rPr>
        <w:br w:type="page"/>
      </w:r>
      <w:bookmarkStart w:id="7" w:name="_Toc148514283"/>
      <w:bookmarkStart w:id="8" w:name="_Toc148959810"/>
      <w:bookmarkStart w:id="9" w:name="_Hlk133395501"/>
      <w:r w:rsidR="00D7675E" w:rsidRPr="009757E9">
        <w:rPr>
          <w:sz w:val="28"/>
          <w:szCs w:val="28"/>
          <w:shd w:val="clear" w:color="auto" w:fill="FFFFFF"/>
        </w:rPr>
        <w:lastRenderedPageBreak/>
        <w:t xml:space="preserve">2021–22 and </w:t>
      </w:r>
      <w:bookmarkStart w:id="10" w:name="_Hlk138926660"/>
      <w:r w:rsidR="00D7675E" w:rsidRPr="009757E9">
        <w:rPr>
          <w:sz w:val="28"/>
          <w:szCs w:val="28"/>
          <w:shd w:val="clear" w:color="auto" w:fill="FFFFFF"/>
        </w:rPr>
        <w:t xml:space="preserve">2022–23 </w:t>
      </w:r>
      <w:bookmarkEnd w:id="10"/>
      <w:r w:rsidR="00D7675E" w:rsidRPr="009757E9">
        <w:rPr>
          <w:sz w:val="28"/>
          <w:szCs w:val="28"/>
          <w:shd w:val="clear" w:color="auto" w:fill="FFFFFF"/>
        </w:rPr>
        <w:t>Educator Effectiveness Funds Data</w:t>
      </w:r>
      <w:bookmarkEnd w:id="7"/>
      <w:bookmarkEnd w:id="8"/>
    </w:p>
    <w:p w14:paraId="085D693A" w14:textId="6986AD4B" w:rsidR="00C0172F" w:rsidRPr="00E17614" w:rsidRDefault="00C0172F" w:rsidP="00B154A9">
      <w:pPr>
        <w:spacing w:before="480" w:after="240"/>
        <w:jc w:val="center"/>
        <w:rPr>
          <w:rFonts w:ascii="Arial" w:hAnsi="Arial" w:cs="Arial"/>
          <w:b/>
          <w:bCs/>
        </w:rPr>
      </w:pPr>
      <w:bookmarkStart w:id="11" w:name="_Toc148514284"/>
      <w:bookmarkStart w:id="12" w:name="_Toc148516359"/>
      <w:r w:rsidRPr="00E17614">
        <w:rPr>
          <w:rFonts w:ascii="Arial" w:hAnsi="Arial" w:cs="Arial"/>
          <w:b/>
          <w:bCs/>
        </w:rPr>
        <w:t>Total Number of Staff Served through the Educator Effectiveness Funds</w:t>
      </w:r>
      <w:bookmarkEnd w:id="11"/>
      <w:bookmarkEnd w:id="12"/>
    </w:p>
    <w:p w14:paraId="6EB2F7A6" w14:textId="669E330A" w:rsidR="00EA1D6F" w:rsidRPr="00E17614" w:rsidRDefault="00EA1D6F" w:rsidP="00867012">
      <w:pPr>
        <w:spacing w:after="240"/>
        <w:rPr>
          <w:rFonts w:ascii="Arial" w:hAnsi="Arial" w:cs="Arial"/>
          <w:b/>
          <w:bCs/>
        </w:rPr>
      </w:pPr>
      <w:r w:rsidRPr="00E17614">
        <w:rPr>
          <w:rFonts w:ascii="Arial" w:hAnsi="Arial" w:cs="Arial"/>
          <w:b/>
          <w:bCs/>
        </w:rPr>
        <w:t>Table 1</w:t>
      </w:r>
      <w:r w:rsidR="007621EC" w:rsidRPr="00E17614">
        <w:rPr>
          <w:rFonts w:ascii="Arial" w:hAnsi="Arial" w:cs="Arial"/>
          <w:b/>
          <w:bCs/>
        </w:rPr>
        <w:t xml:space="preserve">. </w:t>
      </w:r>
      <w:r w:rsidRPr="00E17614">
        <w:rPr>
          <w:rFonts w:ascii="Arial" w:hAnsi="Arial" w:cs="Arial"/>
          <w:b/>
          <w:bCs/>
        </w:rPr>
        <w:t xml:space="preserve">Total </w:t>
      </w:r>
      <w:r w:rsidR="007A0DC5" w:rsidRPr="00E17614">
        <w:rPr>
          <w:rFonts w:ascii="Arial" w:hAnsi="Arial" w:cs="Arial"/>
          <w:b/>
          <w:bCs/>
        </w:rPr>
        <w:t>N</w:t>
      </w:r>
      <w:r w:rsidRPr="00E17614">
        <w:rPr>
          <w:rFonts w:ascii="Arial" w:hAnsi="Arial" w:cs="Arial"/>
          <w:b/>
          <w:bCs/>
        </w:rPr>
        <w:t xml:space="preserve">umber of </w:t>
      </w:r>
      <w:r w:rsidR="007A0DC5" w:rsidRPr="00E17614">
        <w:rPr>
          <w:rFonts w:ascii="Arial" w:hAnsi="Arial" w:cs="Arial"/>
          <w:b/>
          <w:bCs/>
        </w:rPr>
        <w:t>S</w:t>
      </w:r>
      <w:r w:rsidRPr="00E17614">
        <w:rPr>
          <w:rFonts w:ascii="Arial" w:hAnsi="Arial" w:cs="Arial"/>
          <w:b/>
          <w:bCs/>
        </w:rPr>
        <w:t xml:space="preserve">taff </w:t>
      </w:r>
      <w:r w:rsidR="007A0DC5" w:rsidRPr="00E17614">
        <w:rPr>
          <w:rFonts w:ascii="Arial" w:hAnsi="Arial" w:cs="Arial"/>
          <w:b/>
          <w:bCs/>
        </w:rPr>
        <w:t>S</w:t>
      </w:r>
      <w:r w:rsidRPr="00E17614">
        <w:rPr>
          <w:rFonts w:ascii="Arial" w:hAnsi="Arial" w:cs="Arial"/>
          <w:b/>
          <w:bCs/>
        </w:rPr>
        <w:t xml:space="preserve">erved in </w:t>
      </w:r>
      <w:r w:rsidR="007A0DC5" w:rsidRPr="00E17614">
        <w:rPr>
          <w:rFonts w:ascii="Arial" w:hAnsi="Arial" w:cs="Arial"/>
          <w:b/>
          <w:bCs/>
        </w:rPr>
        <w:t>F</w:t>
      </w:r>
      <w:r w:rsidRPr="00E17614">
        <w:rPr>
          <w:rFonts w:ascii="Arial" w:hAnsi="Arial" w:cs="Arial"/>
          <w:b/>
          <w:bCs/>
        </w:rPr>
        <w:t xml:space="preserve">iscal </w:t>
      </w:r>
      <w:r w:rsidR="007A0DC5" w:rsidRPr="00E17614">
        <w:rPr>
          <w:rFonts w:ascii="Arial" w:hAnsi="Arial" w:cs="Arial"/>
          <w:b/>
          <w:bCs/>
        </w:rPr>
        <w:t>Y</w:t>
      </w:r>
      <w:r w:rsidRPr="00E17614">
        <w:rPr>
          <w:rFonts w:ascii="Arial" w:hAnsi="Arial" w:cs="Arial"/>
          <w:b/>
          <w:bCs/>
        </w:rPr>
        <w:t>ears 2021–22 and 2022–23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Total Number of Staff Served through the Educator Effectiveness Funds"/>
        <w:tblDescription w:val="Total Number of Staff Served through the Educator Effectiveness Funds in 2021-22 and 2021-23."/>
      </w:tblPr>
      <w:tblGrid>
        <w:gridCol w:w="2237"/>
        <w:gridCol w:w="2712"/>
        <w:gridCol w:w="2540"/>
        <w:gridCol w:w="1863"/>
      </w:tblGrid>
      <w:tr w:rsidR="00A05F79" w:rsidRPr="00E17614" w14:paraId="3420C108" w14:textId="77777777" w:rsidTr="00A05F79">
        <w:trPr>
          <w:trHeight w:val="940"/>
        </w:trPr>
        <w:tc>
          <w:tcPr>
            <w:tcW w:w="1196" w:type="pct"/>
            <w:shd w:val="clear" w:color="000000" w:fill="BDD6EE"/>
            <w:vAlign w:val="center"/>
            <w:hideMark/>
          </w:tcPr>
          <w:p w14:paraId="35272599" w14:textId="77777777" w:rsidR="00A05F79" w:rsidRPr="00E17614" w:rsidRDefault="00A05F79" w:rsidP="00A05F79">
            <w:pPr>
              <w:jc w:val="center"/>
              <w:rPr>
                <w:rFonts w:ascii="Arial" w:hAnsi="Arial" w:cs="Arial"/>
                <w:b/>
                <w:bCs/>
                <w:color w:val="000000"/>
              </w:rPr>
            </w:pPr>
            <w:r w:rsidRPr="00E17614">
              <w:rPr>
                <w:rFonts w:ascii="Arial" w:hAnsi="Arial" w:cs="Arial"/>
                <w:b/>
                <w:bCs/>
                <w:color w:val="000000"/>
              </w:rPr>
              <w:t>Type of Staff</w:t>
            </w:r>
          </w:p>
        </w:tc>
        <w:tc>
          <w:tcPr>
            <w:tcW w:w="1450" w:type="pct"/>
            <w:shd w:val="clear" w:color="000000" w:fill="BDD6EE"/>
            <w:vAlign w:val="center"/>
            <w:hideMark/>
          </w:tcPr>
          <w:p w14:paraId="639EFD95" w14:textId="77777777" w:rsidR="00A05F79" w:rsidRPr="00E17614" w:rsidRDefault="00A05F79" w:rsidP="00A05F79">
            <w:pPr>
              <w:jc w:val="center"/>
              <w:rPr>
                <w:rFonts w:ascii="Arial" w:hAnsi="Arial" w:cs="Arial"/>
                <w:b/>
                <w:bCs/>
                <w:color w:val="000000"/>
              </w:rPr>
            </w:pPr>
            <w:r w:rsidRPr="00E17614">
              <w:rPr>
                <w:rFonts w:ascii="Arial" w:hAnsi="Arial" w:cs="Arial"/>
                <w:b/>
                <w:bCs/>
                <w:color w:val="000000"/>
              </w:rPr>
              <w:t xml:space="preserve">Number of Total Staff Served </w:t>
            </w:r>
          </w:p>
          <w:p w14:paraId="39DA30C7" w14:textId="747FBDBD" w:rsidR="00A05F79" w:rsidRPr="00E17614" w:rsidRDefault="00A05F79" w:rsidP="00A05F79">
            <w:pPr>
              <w:jc w:val="center"/>
              <w:rPr>
                <w:rFonts w:ascii="Arial" w:hAnsi="Arial" w:cs="Arial"/>
                <w:b/>
                <w:bCs/>
                <w:color w:val="000000"/>
              </w:rPr>
            </w:pPr>
            <w:r w:rsidRPr="00E17614">
              <w:rPr>
                <w:rFonts w:ascii="Arial" w:hAnsi="Arial" w:cs="Arial"/>
                <w:b/>
                <w:bCs/>
                <w:color w:val="000000"/>
              </w:rPr>
              <w:t>Fiscal Year 2021–22</w:t>
            </w:r>
          </w:p>
        </w:tc>
        <w:tc>
          <w:tcPr>
            <w:tcW w:w="1358" w:type="pct"/>
            <w:shd w:val="clear" w:color="000000" w:fill="BDD6EE"/>
            <w:vAlign w:val="center"/>
          </w:tcPr>
          <w:p w14:paraId="4F503394" w14:textId="77777777" w:rsidR="00A05F79" w:rsidRPr="00E17614" w:rsidRDefault="00A05F79" w:rsidP="00A05F79">
            <w:pPr>
              <w:jc w:val="center"/>
              <w:rPr>
                <w:rFonts w:ascii="Arial" w:hAnsi="Arial" w:cs="Arial"/>
                <w:b/>
                <w:bCs/>
                <w:color w:val="000000"/>
              </w:rPr>
            </w:pPr>
            <w:r w:rsidRPr="00E17614">
              <w:rPr>
                <w:rFonts w:ascii="Arial" w:hAnsi="Arial" w:cs="Arial"/>
                <w:b/>
                <w:bCs/>
                <w:color w:val="000000"/>
              </w:rPr>
              <w:t xml:space="preserve">Number of Total Staff Served </w:t>
            </w:r>
          </w:p>
          <w:p w14:paraId="1168F4F3" w14:textId="04A55799" w:rsidR="00A05F79" w:rsidRPr="00E17614" w:rsidRDefault="00A05F79" w:rsidP="00A05F79">
            <w:pPr>
              <w:jc w:val="center"/>
              <w:rPr>
                <w:rFonts w:ascii="Arial" w:hAnsi="Arial" w:cs="Arial"/>
                <w:b/>
                <w:bCs/>
                <w:color w:val="000000"/>
              </w:rPr>
            </w:pPr>
            <w:r w:rsidRPr="00E17614">
              <w:rPr>
                <w:rFonts w:ascii="Arial" w:hAnsi="Arial" w:cs="Arial"/>
                <w:b/>
                <w:bCs/>
                <w:color w:val="000000"/>
              </w:rPr>
              <w:t>Fiscal Year 2022–23</w:t>
            </w:r>
          </w:p>
        </w:tc>
        <w:tc>
          <w:tcPr>
            <w:tcW w:w="996" w:type="pct"/>
            <w:shd w:val="clear" w:color="000000" w:fill="BDD6EE"/>
            <w:vAlign w:val="center"/>
            <w:hideMark/>
          </w:tcPr>
          <w:p w14:paraId="225864D3" w14:textId="77777777" w:rsidR="00A05F79" w:rsidRPr="00E17614" w:rsidRDefault="00A05F79" w:rsidP="00A05F79">
            <w:pPr>
              <w:jc w:val="center"/>
              <w:rPr>
                <w:rFonts w:ascii="Arial" w:hAnsi="Arial" w:cs="Arial"/>
                <w:b/>
                <w:bCs/>
                <w:color w:val="000000"/>
              </w:rPr>
            </w:pPr>
            <w:r w:rsidRPr="00E17614">
              <w:rPr>
                <w:rFonts w:ascii="Arial" w:hAnsi="Arial" w:cs="Arial"/>
                <w:b/>
                <w:bCs/>
                <w:color w:val="000000"/>
              </w:rPr>
              <w:t xml:space="preserve">Total </w:t>
            </w:r>
          </w:p>
        </w:tc>
      </w:tr>
      <w:tr w:rsidR="00A05F79" w:rsidRPr="00E17614" w14:paraId="5F4E173F" w14:textId="77777777" w:rsidTr="00A05F79">
        <w:trPr>
          <w:trHeight w:val="630"/>
        </w:trPr>
        <w:tc>
          <w:tcPr>
            <w:tcW w:w="1196" w:type="pct"/>
            <w:shd w:val="clear" w:color="auto" w:fill="auto"/>
            <w:vAlign w:val="center"/>
            <w:hideMark/>
          </w:tcPr>
          <w:p w14:paraId="679A1A3C" w14:textId="5897EC74" w:rsidR="00A05F79" w:rsidRPr="00E17614" w:rsidRDefault="00A05F79" w:rsidP="00A05F79">
            <w:pPr>
              <w:rPr>
                <w:rFonts w:ascii="Arial" w:hAnsi="Arial" w:cs="Arial"/>
                <w:color w:val="000000"/>
              </w:rPr>
            </w:pPr>
            <w:r w:rsidRPr="00E17614">
              <w:rPr>
                <w:rFonts w:ascii="Arial" w:hAnsi="Arial" w:cs="Arial"/>
                <w:color w:val="000000"/>
              </w:rPr>
              <w:t xml:space="preserve">Teachers </w:t>
            </w:r>
          </w:p>
        </w:tc>
        <w:tc>
          <w:tcPr>
            <w:tcW w:w="1450" w:type="pct"/>
            <w:shd w:val="clear" w:color="auto" w:fill="auto"/>
            <w:vAlign w:val="center"/>
            <w:hideMark/>
          </w:tcPr>
          <w:p w14:paraId="1DED50D5" w14:textId="0EBA261A" w:rsidR="00A05F79" w:rsidRPr="00E17614" w:rsidRDefault="00A05F79" w:rsidP="00A05F79">
            <w:pPr>
              <w:rPr>
                <w:rFonts w:ascii="Arial" w:hAnsi="Arial" w:cs="Arial"/>
                <w:color w:val="000000"/>
              </w:rPr>
            </w:pPr>
            <w:r w:rsidRPr="00E17614">
              <w:rPr>
                <w:rFonts w:ascii="Arial" w:hAnsi="Arial" w:cs="Arial"/>
                <w:color w:val="000000"/>
              </w:rPr>
              <w:t xml:space="preserve">                                         77,165</w:t>
            </w:r>
          </w:p>
        </w:tc>
        <w:tc>
          <w:tcPr>
            <w:tcW w:w="1358" w:type="pct"/>
            <w:vAlign w:val="center"/>
          </w:tcPr>
          <w:p w14:paraId="7CF43716" w14:textId="546DAA6A" w:rsidR="00A05F79" w:rsidRPr="00E17614" w:rsidRDefault="00A05F79" w:rsidP="00A05F79">
            <w:pPr>
              <w:spacing w:line="276" w:lineRule="auto"/>
              <w:rPr>
                <w:rFonts w:ascii="Arial" w:hAnsi="Arial" w:cs="Arial"/>
                <w:color w:val="000000"/>
              </w:rPr>
            </w:pPr>
            <w:r w:rsidRPr="00E17614">
              <w:rPr>
                <w:rFonts w:ascii="Arial" w:hAnsi="Arial" w:cs="Arial"/>
                <w:color w:val="000000"/>
              </w:rPr>
              <w:t xml:space="preserve">                                         269,911</w:t>
            </w:r>
          </w:p>
        </w:tc>
        <w:tc>
          <w:tcPr>
            <w:tcW w:w="996" w:type="pct"/>
            <w:shd w:val="clear" w:color="auto" w:fill="auto"/>
            <w:vAlign w:val="center"/>
            <w:hideMark/>
          </w:tcPr>
          <w:p w14:paraId="7E856A5B" w14:textId="40472ECC" w:rsidR="00A05F79" w:rsidRPr="00E17614" w:rsidRDefault="00A05F79" w:rsidP="00A05F79">
            <w:pPr>
              <w:rPr>
                <w:rFonts w:ascii="Arial" w:hAnsi="Arial" w:cs="Arial"/>
                <w:color w:val="000000"/>
              </w:rPr>
            </w:pPr>
            <w:r w:rsidRPr="00E17614">
              <w:rPr>
                <w:rFonts w:ascii="Arial" w:hAnsi="Arial" w:cs="Arial"/>
                <w:color w:val="000000"/>
              </w:rPr>
              <w:t xml:space="preserve">               347,076</w:t>
            </w:r>
          </w:p>
        </w:tc>
      </w:tr>
      <w:tr w:rsidR="00A05F79" w:rsidRPr="00E17614" w14:paraId="6FE8C886" w14:textId="77777777" w:rsidTr="00A05F79">
        <w:trPr>
          <w:trHeight w:val="630"/>
        </w:trPr>
        <w:tc>
          <w:tcPr>
            <w:tcW w:w="1196" w:type="pct"/>
            <w:shd w:val="clear" w:color="auto" w:fill="auto"/>
            <w:vAlign w:val="center"/>
            <w:hideMark/>
          </w:tcPr>
          <w:p w14:paraId="51DEC532" w14:textId="776AB3CD" w:rsidR="00A05F79" w:rsidRPr="00E17614" w:rsidRDefault="00A05F79" w:rsidP="00A05F79">
            <w:pPr>
              <w:rPr>
                <w:rFonts w:ascii="Arial" w:hAnsi="Arial" w:cs="Arial"/>
                <w:color w:val="000000"/>
              </w:rPr>
            </w:pPr>
            <w:r w:rsidRPr="00E17614">
              <w:rPr>
                <w:rFonts w:ascii="Arial" w:hAnsi="Arial" w:cs="Arial"/>
                <w:color w:val="000000"/>
              </w:rPr>
              <w:t>Administrators</w:t>
            </w:r>
          </w:p>
        </w:tc>
        <w:tc>
          <w:tcPr>
            <w:tcW w:w="1450" w:type="pct"/>
            <w:shd w:val="clear" w:color="auto" w:fill="auto"/>
            <w:vAlign w:val="center"/>
            <w:hideMark/>
          </w:tcPr>
          <w:p w14:paraId="6A3FEBEC" w14:textId="3A0CBA86" w:rsidR="00A05F79" w:rsidRPr="00E17614" w:rsidRDefault="00A05F79" w:rsidP="00A05F79">
            <w:pPr>
              <w:rPr>
                <w:rFonts w:ascii="Arial" w:hAnsi="Arial" w:cs="Arial"/>
                <w:color w:val="000000"/>
              </w:rPr>
            </w:pPr>
            <w:r w:rsidRPr="00E17614">
              <w:rPr>
                <w:rFonts w:ascii="Arial" w:hAnsi="Arial" w:cs="Arial"/>
                <w:color w:val="000000"/>
              </w:rPr>
              <w:t xml:space="preserve">                                           9,051</w:t>
            </w:r>
          </w:p>
        </w:tc>
        <w:tc>
          <w:tcPr>
            <w:tcW w:w="1358" w:type="pct"/>
            <w:vAlign w:val="center"/>
          </w:tcPr>
          <w:p w14:paraId="4E965B56" w14:textId="0B81968C" w:rsidR="00A05F79" w:rsidRPr="00E17614" w:rsidRDefault="00A05F79" w:rsidP="00A05F79">
            <w:pPr>
              <w:spacing w:line="276" w:lineRule="auto"/>
              <w:rPr>
                <w:rFonts w:ascii="Arial" w:hAnsi="Arial" w:cs="Arial"/>
                <w:color w:val="000000"/>
              </w:rPr>
            </w:pPr>
            <w:r w:rsidRPr="00E17614">
              <w:rPr>
                <w:rFonts w:ascii="Arial" w:hAnsi="Arial" w:cs="Arial"/>
                <w:color w:val="000000"/>
              </w:rPr>
              <w:t xml:space="preserve">                                           27,663</w:t>
            </w:r>
          </w:p>
        </w:tc>
        <w:tc>
          <w:tcPr>
            <w:tcW w:w="996" w:type="pct"/>
            <w:shd w:val="clear" w:color="auto" w:fill="auto"/>
            <w:vAlign w:val="center"/>
            <w:hideMark/>
          </w:tcPr>
          <w:p w14:paraId="1A815D66" w14:textId="1C85276E" w:rsidR="00A05F79" w:rsidRPr="00E17614" w:rsidRDefault="00A05F79" w:rsidP="00A05F79">
            <w:pPr>
              <w:rPr>
                <w:rFonts w:ascii="Arial" w:hAnsi="Arial" w:cs="Arial"/>
                <w:color w:val="000000"/>
              </w:rPr>
            </w:pPr>
            <w:r w:rsidRPr="00E17614">
              <w:rPr>
                <w:rFonts w:ascii="Arial" w:hAnsi="Arial" w:cs="Arial"/>
                <w:color w:val="000000"/>
              </w:rPr>
              <w:t xml:space="preserve">                36,714</w:t>
            </w:r>
          </w:p>
        </w:tc>
      </w:tr>
      <w:tr w:rsidR="00A05F79" w:rsidRPr="00E17614" w14:paraId="09EDC894" w14:textId="77777777" w:rsidTr="00A05F79">
        <w:trPr>
          <w:trHeight w:val="940"/>
        </w:trPr>
        <w:tc>
          <w:tcPr>
            <w:tcW w:w="1196" w:type="pct"/>
            <w:shd w:val="clear" w:color="auto" w:fill="auto"/>
            <w:vAlign w:val="center"/>
            <w:hideMark/>
          </w:tcPr>
          <w:p w14:paraId="5061BEE8" w14:textId="7089F436" w:rsidR="00A05F79" w:rsidRPr="00E17614" w:rsidRDefault="00A05F79" w:rsidP="00A05F79">
            <w:pPr>
              <w:rPr>
                <w:rFonts w:ascii="Arial" w:hAnsi="Arial" w:cs="Arial"/>
                <w:color w:val="000000"/>
              </w:rPr>
            </w:pPr>
            <w:r w:rsidRPr="00E17614">
              <w:rPr>
                <w:rFonts w:ascii="Arial" w:hAnsi="Arial" w:cs="Arial"/>
                <w:color w:val="000000"/>
              </w:rPr>
              <w:t>Paraprofessionals</w:t>
            </w:r>
          </w:p>
        </w:tc>
        <w:tc>
          <w:tcPr>
            <w:tcW w:w="1450" w:type="pct"/>
            <w:shd w:val="clear" w:color="auto" w:fill="auto"/>
            <w:vAlign w:val="center"/>
            <w:hideMark/>
          </w:tcPr>
          <w:p w14:paraId="50E5986E" w14:textId="7E6A4242" w:rsidR="00A05F79" w:rsidRPr="00E17614" w:rsidRDefault="00A05F79" w:rsidP="00A05F79">
            <w:pPr>
              <w:rPr>
                <w:rFonts w:ascii="Arial" w:hAnsi="Arial" w:cs="Arial"/>
                <w:color w:val="000000"/>
              </w:rPr>
            </w:pPr>
            <w:r w:rsidRPr="00E17614">
              <w:rPr>
                <w:rFonts w:ascii="Arial" w:hAnsi="Arial" w:cs="Arial"/>
                <w:color w:val="000000"/>
              </w:rPr>
              <w:t xml:space="preserve">                                           8,883 </w:t>
            </w:r>
          </w:p>
        </w:tc>
        <w:tc>
          <w:tcPr>
            <w:tcW w:w="1358" w:type="pct"/>
            <w:vAlign w:val="center"/>
          </w:tcPr>
          <w:p w14:paraId="600D2F4A" w14:textId="425F6D51" w:rsidR="00A05F79" w:rsidRPr="00E17614" w:rsidRDefault="00A05F79" w:rsidP="00A05F79">
            <w:pPr>
              <w:spacing w:line="276" w:lineRule="auto"/>
              <w:rPr>
                <w:rFonts w:ascii="Arial" w:hAnsi="Arial" w:cs="Arial"/>
                <w:color w:val="000000"/>
              </w:rPr>
            </w:pPr>
            <w:r w:rsidRPr="00E17614">
              <w:rPr>
                <w:rFonts w:ascii="Arial" w:hAnsi="Arial" w:cs="Arial"/>
                <w:color w:val="000000"/>
              </w:rPr>
              <w:t xml:space="preserve">                                           25,937</w:t>
            </w:r>
          </w:p>
        </w:tc>
        <w:tc>
          <w:tcPr>
            <w:tcW w:w="996" w:type="pct"/>
            <w:shd w:val="clear" w:color="auto" w:fill="auto"/>
            <w:vAlign w:val="center"/>
            <w:hideMark/>
          </w:tcPr>
          <w:p w14:paraId="3F85C545" w14:textId="0470A2B9" w:rsidR="00A05F79" w:rsidRPr="00E17614" w:rsidRDefault="00A05F79" w:rsidP="00A05F79">
            <w:pPr>
              <w:rPr>
                <w:rFonts w:ascii="Arial" w:hAnsi="Arial" w:cs="Arial"/>
                <w:color w:val="000000"/>
              </w:rPr>
            </w:pPr>
            <w:r w:rsidRPr="00E17614">
              <w:rPr>
                <w:rFonts w:ascii="Arial" w:hAnsi="Arial" w:cs="Arial"/>
                <w:color w:val="000000"/>
              </w:rPr>
              <w:t xml:space="preserve">                34,820</w:t>
            </w:r>
          </w:p>
        </w:tc>
      </w:tr>
      <w:tr w:rsidR="00A05F79" w:rsidRPr="00E17614" w14:paraId="0B8E93C2" w14:textId="77777777" w:rsidTr="00A05F79">
        <w:trPr>
          <w:trHeight w:val="630"/>
        </w:trPr>
        <w:tc>
          <w:tcPr>
            <w:tcW w:w="1196" w:type="pct"/>
            <w:shd w:val="clear" w:color="auto" w:fill="auto"/>
            <w:vAlign w:val="center"/>
            <w:hideMark/>
          </w:tcPr>
          <w:p w14:paraId="02348772" w14:textId="533250E0" w:rsidR="00A05F79" w:rsidRPr="00E17614" w:rsidRDefault="00A05F79" w:rsidP="00A05F79">
            <w:pPr>
              <w:rPr>
                <w:rFonts w:ascii="Arial" w:hAnsi="Arial" w:cs="Arial"/>
                <w:color w:val="000000"/>
              </w:rPr>
            </w:pPr>
            <w:r w:rsidRPr="00E17614">
              <w:rPr>
                <w:rFonts w:ascii="Arial" w:hAnsi="Arial" w:cs="Arial"/>
                <w:color w:val="000000"/>
              </w:rPr>
              <w:t>Other Classified Staff</w:t>
            </w:r>
          </w:p>
        </w:tc>
        <w:tc>
          <w:tcPr>
            <w:tcW w:w="1450" w:type="pct"/>
            <w:shd w:val="clear" w:color="auto" w:fill="auto"/>
            <w:vAlign w:val="center"/>
            <w:hideMark/>
          </w:tcPr>
          <w:p w14:paraId="343CE44D" w14:textId="5617E277" w:rsidR="00A05F79" w:rsidRPr="00E17614" w:rsidRDefault="00A05F79" w:rsidP="00A05F79">
            <w:pPr>
              <w:rPr>
                <w:rFonts w:ascii="Arial" w:hAnsi="Arial" w:cs="Arial"/>
                <w:color w:val="000000"/>
              </w:rPr>
            </w:pPr>
            <w:r w:rsidRPr="00E17614">
              <w:rPr>
                <w:rFonts w:ascii="Arial" w:hAnsi="Arial" w:cs="Arial"/>
                <w:color w:val="000000"/>
              </w:rPr>
              <w:t xml:space="preserve">                                           6,407</w:t>
            </w:r>
          </w:p>
        </w:tc>
        <w:tc>
          <w:tcPr>
            <w:tcW w:w="1358" w:type="pct"/>
            <w:vAlign w:val="center"/>
          </w:tcPr>
          <w:p w14:paraId="3B53362B" w14:textId="7DAED1E3" w:rsidR="00A05F79" w:rsidRPr="00E17614" w:rsidRDefault="00A05F79" w:rsidP="00A05F79">
            <w:pPr>
              <w:spacing w:line="276" w:lineRule="auto"/>
              <w:rPr>
                <w:rFonts w:ascii="Arial" w:hAnsi="Arial" w:cs="Arial"/>
                <w:color w:val="000000"/>
              </w:rPr>
            </w:pPr>
            <w:r w:rsidRPr="00E17614">
              <w:rPr>
                <w:rFonts w:ascii="Arial" w:hAnsi="Arial" w:cs="Arial"/>
                <w:color w:val="000000"/>
              </w:rPr>
              <w:t xml:space="preserve">                                           20,426</w:t>
            </w:r>
          </w:p>
        </w:tc>
        <w:tc>
          <w:tcPr>
            <w:tcW w:w="996" w:type="pct"/>
            <w:shd w:val="clear" w:color="auto" w:fill="auto"/>
            <w:vAlign w:val="center"/>
            <w:hideMark/>
          </w:tcPr>
          <w:p w14:paraId="235EEBF3" w14:textId="00AC4E18" w:rsidR="00A05F79" w:rsidRPr="00E17614" w:rsidRDefault="00A05F79" w:rsidP="00A05F79">
            <w:pPr>
              <w:rPr>
                <w:rFonts w:ascii="Arial" w:hAnsi="Arial" w:cs="Arial"/>
                <w:color w:val="000000"/>
              </w:rPr>
            </w:pPr>
            <w:r w:rsidRPr="00E17614">
              <w:rPr>
                <w:rFonts w:ascii="Arial" w:hAnsi="Arial" w:cs="Arial"/>
                <w:color w:val="000000"/>
              </w:rPr>
              <w:t xml:space="preserve">                26,833</w:t>
            </w:r>
          </w:p>
        </w:tc>
      </w:tr>
      <w:tr w:rsidR="00A05F79" w:rsidRPr="00E17614" w14:paraId="52B36BF5" w14:textId="77777777" w:rsidTr="00A05F79">
        <w:trPr>
          <w:trHeight w:val="630"/>
        </w:trPr>
        <w:tc>
          <w:tcPr>
            <w:tcW w:w="1196" w:type="pct"/>
            <w:shd w:val="clear" w:color="auto" w:fill="auto"/>
            <w:vAlign w:val="center"/>
            <w:hideMark/>
          </w:tcPr>
          <w:p w14:paraId="77C74214" w14:textId="77777777" w:rsidR="00A05F79" w:rsidRPr="00E17614" w:rsidRDefault="00A05F79" w:rsidP="00A05F79">
            <w:pPr>
              <w:rPr>
                <w:rFonts w:ascii="Arial" w:hAnsi="Arial" w:cs="Arial"/>
                <w:b/>
                <w:bCs/>
                <w:color w:val="000000"/>
              </w:rPr>
            </w:pPr>
            <w:r w:rsidRPr="00E17614">
              <w:rPr>
                <w:rFonts w:ascii="Arial" w:hAnsi="Arial" w:cs="Arial"/>
                <w:b/>
                <w:bCs/>
                <w:color w:val="000000"/>
              </w:rPr>
              <w:t>Total Number of All Staff Served</w:t>
            </w:r>
          </w:p>
        </w:tc>
        <w:tc>
          <w:tcPr>
            <w:tcW w:w="1450" w:type="pct"/>
            <w:shd w:val="clear" w:color="auto" w:fill="auto"/>
            <w:vAlign w:val="center"/>
            <w:hideMark/>
          </w:tcPr>
          <w:p w14:paraId="323EF9D8" w14:textId="6A6DDDAB" w:rsidR="00A05F79" w:rsidRPr="00E17614" w:rsidRDefault="00A05F79" w:rsidP="00A05F79">
            <w:pPr>
              <w:rPr>
                <w:rFonts w:ascii="Arial" w:hAnsi="Arial" w:cs="Arial"/>
                <w:b/>
                <w:bCs/>
                <w:color w:val="000000"/>
              </w:rPr>
            </w:pPr>
            <w:r w:rsidRPr="00E17614">
              <w:rPr>
                <w:rFonts w:ascii="Arial" w:hAnsi="Arial" w:cs="Arial"/>
                <w:b/>
                <w:bCs/>
                <w:color w:val="000000"/>
              </w:rPr>
              <w:t xml:space="preserve">                                       101,506</w:t>
            </w:r>
          </w:p>
        </w:tc>
        <w:tc>
          <w:tcPr>
            <w:tcW w:w="1358" w:type="pct"/>
            <w:vAlign w:val="center"/>
          </w:tcPr>
          <w:p w14:paraId="199EBAC0" w14:textId="31D84B2B" w:rsidR="00A05F79" w:rsidRPr="00E17614" w:rsidRDefault="00A05F79" w:rsidP="00A05F79">
            <w:pPr>
              <w:spacing w:line="276" w:lineRule="auto"/>
              <w:rPr>
                <w:rFonts w:ascii="Arial" w:hAnsi="Arial" w:cs="Arial"/>
                <w:b/>
                <w:bCs/>
                <w:color w:val="000000"/>
              </w:rPr>
            </w:pPr>
            <w:r w:rsidRPr="00E17614">
              <w:rPr>
                <w:rFonts w:ascii="Arial" w:hAnsi="Arial" w:cs="Arial"/>
                <w:b/>
                <w:bCs/>
                <w:color w:val="000000"/>
              </w:rPr>
              <w:t xml:space="preserve">                                       343,937</w:t>
            </w:r>
          </w:p>
        </w:tc>
        <w:tc>
          <w:tcPr>
            <w:tcW w:w="996" w:type="pct"/>
            <w:shd w:val="clear" w:color="auto" w:fill="auto"/>
            <w:vAlign w:val="center"/>
            <w:hideMark/>
          </w:tcPr>
          <w:p w14:paraId="675C158B" w14:textId="17A076DE" w:rsidR="00A05F79" w:rsidRPr="00E17614" w:rsidRDefault="00A05F79" w:rsidP="00A05F79">
            <w:pPr>
              <w:rPr>
                <w:rFonts w:ascii="Arial" w:hAnsi="Arial" w:cs="Arial"/>
                <w:b/>
                <w:bCs/>
                <w:color w:val="000000"/>
              </w:rPr>
            </w:pPr>
            <w:r w:rsidRPr="00E17614">
              <w:rPr>
                <w:rFonts w:ascii="Arial" w:hAnsi="Arial" w:cs="Arial"/>
                <w:b/>
                <w:bCs/>
                <w:color w:val="000000"/>
              </w:rPr>
              <w:t xml:space="preserve">               445,443</w:t>
            </w:r>
          </w:p>
        </w:tc>
      </w:tr>
    </w:tbl>
    <w:p w14:paraId="5D23FA1C" w14:textId="1CE6C749" w:rsidR="003C708D" w:rsidRPr="00E17614" w:rsidRDefault="00482BA3" w:rsidP="00871B73">
      <w:pPr>
        <w:spacing w:before="240" w:after="240"/>
        <w:rPr>
          <w:rFonts w:ascii="Arial" w:hAnsi="Arial" w:cs="Arial"/>
        </w:rPr>
      </w:pPr>
      <w:r w:rsidRPr="00E17614">
        <w:rPr>
          <w:rFonts w:ascii="Arial" w:hAnsi="Arial" w:cs="Arial"/>
        </w:rPr>
        <w:t xml:space="preserve">In Year </w:t>
      </w:r>
      <w:r w:rsidR="009E40C9" w:rsidRPr="00E17614">
        <w:rPr>
          <w:rFonts w:ascii="Arial" w:hAnsi="Arial" w:cs="Arial"/>
        </w:rPr>
        <w:t>One</w:t>
      </w:r>
      <w:r w:rsidRPr="00E17614">
        <w:rPr>
          <w:rFonts w:ascii="Arial" w:hAnsi="Arial" w:cs="Arial"/>
        </w:rPr>
        <w:t xml:space="preserve">, LEAs reported </w:t>
      </w:r>
      <w:r w:rsidR="00B36FC6" w:rsidRPr="00E17614">
        <w:rPr>
          <w:rFonts w:ascii="Arial" w:hAnsi="Arial" w:cs="Arial"/>
        </w:rPr>
        <w:t>101,506</w:t>
      </w:r>
      <w:r w:rsidRPr="00E17614">
        <w:rPr>
          <w:rFonts w:ascii="Arial" w:hAnsi="Arial" w:cs="Arial"/>
        </w:rPr>
        <w:t xml:space="preserve"> staff were served through the EEF. </w:t>
      </w:r>
      <w:r w:rsidR="0031639F" w:rsidRPr="00E17614">
        <w:rPr>
          <w:rFonts w:ascii="Arial" w:hAnsi="Arial" w:cs="Arial"/>
        </w:rPr>
        <w:t xml:space="preserve">In </w:t>
      </w:r>
      <w:r w:rsidRPr="00E17614">
        <w:rPr>
          <w:rFonts w:ascii="Arial" w:hAnsi="Arial" w:cs="Arial"/>
        </w:rPr>
        <w:t xml:space="preserve">Year </w:t>
      </w:r>
      <w:r w:rsidR="00CA271A" w:rsidRPr="00E17614">
        <w:rPr>
          <w:rFonts w:ascii="Arial" w:hAnsi="Arial" w:cs="Arial"/>
        </w:rPr>
        <w:t>Two</w:t>
      </w:r>
      <w:r w:rsidRPr="00E17614">
        <w:rPr>
          <w:rFonts w:ascii="Arial" w:hAnsi="Arial" w:cs="Arial"/>
        </w:rPr>
        <w:t xml:space="preserve">, the data illustrate a large increase in staff served </w:t>
      </w:r>
      <w:r w:rsidR="0005627D" w:rsidRPr="00E17614">
        <w:rPr>
          <w:rFonts w:ascii="Arial" w:hAnsi="Arial" w:cs="Arial"/>
        </w:rPr>
        <w:t>(</w:t>
      </w:r>
      <w:r w:rsidRPr="00E17614">
        <w:rPr>
          <w:rFonts w:ascii="Arial" w:hAnsi="Arial" w:cs="Arial"/>
        </w:rPr>
        <w:t xml:space="preserve">from </w:t>
      </w:r>
      <w:r w:rsidR="00230139" w:rsidRPr="00E17614">
        <w:rPr>
          <w:rFonts w:ascii="Arial" w:hAnsi="Arial" w:cs="Arial"/>
        </w:rPr>
        <w:t>101,506</w:t>
      </w:r>
      <w:r w:rsidRPr="00E17614">
        <w:rPr>
          <w:rFonts w:ascii="Arial" w:hAnsi="Arial" w:cs="Arial"/>
        </w:rPr>
        <w:t xml:space="preserve"> in Year </w:t>
      </w:r>
      <w:r w:rsidR="003A5F27" w:rsidRPr="00E17614">
        <w:rPr>
          <w:rFonts w:ascii="Arial" w:hAnsi="Arial" w:cs="Arial"/>
        </w:rPr>
        <w:t>One</w:t>
      </w:r>
      <w:r w:rsidRPr="00E17614">
        <w:rPr>
          <w:rFonts w:ascii="Arial" w:hAnsi="Arial" w:cs="Arial"/>
        </w:rPr>
        <w:t xml:space="preserve"> to 3</w:t>
      </w:r>
      <w:r w:rsidR="00CE32EB" w:rsidRPr="00E17614">
        <w:rPr>
          <w:rFonts w:ascii="Arial" w:hAnsi="Arial" w:cs="Arial"/>
        </w:rPr>
        <w:t>43,937</w:t>
      </w:r>
      <w:r w:rsidRPr="00E17614">
        <w:rPr>
          <w:rFonts w:ascii="Arial" w:hAnsi="Arial" w:cs="Arial"/>
        </w:rPr>
        <w:t xml:space="preserve"> staff served in Year </w:t>
      </w:r>
      <w:r w:rsidR="00C60C67" w:rsidRPr="00E17614">
        <w:rPr>
          <w:rFonts w:ascii="Arial" w:hAnsi="Arial" w:cs="Arial"/>
        </w:rPr>
        <w:t>Two</w:t>
      </w:r>
      <w:r w:rsidR="0005627D" w:rsidRPr="00E17614">
        <w:rPr>
          <w:rFonts w:ascii="Arial" w:hAnsi="Arial" w:cs="Arial"/>
        </w:rPr>
        <w:t>)</w:t>
      </w:r>
      <w:r w:rsidRPr="00E17614">
        <w:rPr>
          <w:rFonts w:ascii="Arial" w:hAnsi="Arial" w:cs="Arial"/>
        </w:rPr>
        <w:t>. Overall, for FY</w:t>
      </w:r>
      <w:r w:rsidR="00EE51A0" w:rsidRPr="00E17614">
        <w:rPr>
          <w:rFonts w:ascii="Arial" w:hAnsi="Arial" w:cs="Arial"/>
        </w:rPr>
        <w:t>s</w:t>
      </w:r>
      <w:r w:rsidRPr="00E17614">
        <w:rPr>
          <w:rFonts w:ascii="Arial" w:hAnsi="Arial" w:cs="Arial"/>
        </w:rPr>
        <w:t xml:space="preserve"> 2021–23, </w:t>
      </w:r>
      <w:r w:rsidR="00CE32EB" w:rsidRPr="00E17614">
        <w:rPr>
          <w:rFonts w:ascii="Arial" w:hAnsi="Arial" w:cs="Arial"/>
        </w:rPr>
        <w:t>445,443</w:t>
      </w:r>
      <w:r w:rsidRPr="00E17614">
        <w:rPr>
          <w:rFonts w:ascii="Arial" w:hAnsi="Arial" w:cs="Arial"/>
        </w:rPr>
        <w:t xml:space="preserve"> total staff were served utilizing the</w:t>
      </w:r>
      <w:r w:rsidR="00A271AA" w:rsidRPr="00E17614">
        <w:rPr>
          <w:rFonts w:ascii="Arial" w:hAnsi="Arial" w:cs="Arial"/>
        </w:rPr>
        <w:t xml:space="preserve"> </w:t>
      </w:r>
      <w:r w:rsidR="00912367" w:rsidRPr="00E17614">
        <w:rPr>
          <w:rFonts w:ascii="Arial" w:hAnsi="Arial" w:cs="Arial"/>
        </w:rPr>
        <w:t>EEF</w:t>
      </w:r>
      <w:r w:rsidRPr="00E17614">
        <w:rPr>
          <w:rFonts w:ascii="Arial" w:hAnsi="Arial" w:cs="Arial"/>
        </w:rPr>
        <w:t>.</w:t>
      </w:r>
    </w:p>
    <w:p w14:paraId="22855CE1" w14:textId="195F7E3C" w:rsidR="0005627D" w:rsidRPr="00E17614" w:rsidRDefault="00C22BCA" w:rsidP="00871B73">
      <w:pPr>
        <w:spacing w:before="240" w:after="240"/>
        <w:rPr>
          <w:rFonts w:ascii="Arial" w:hAnsi="Arial" w:cs="Arial"/>
        </w:rPr>
      </w:pPr>
      <w:r w:rsidRPr="00E17614">
        <w:rPr>
          <w:rFonts w:ascii="Arial" w:hAnsi="Arial" w:cs="Arial"/>
          <w:b/>
          <w:bCs/>
        </w:rPr>
        <w:t>Note:</w:t>
      </w:r>
      <w:r w:rsidRPr="00E17614">
        <w:rPr>
          <w:rFonts w:ascii="Arial" w:hAnsi="Arial" w:cs="Arial"/>
        </w:rPr>
        <w:t xml:space="preserve"> This legislative report includes EEF data from FY 2021–22, with 100 percent of LEAs reporting. For FY 2022–23, this legislative report reflects 98.8 percent of LEAs reporting.</w:t>
      </w:r>
    </w:p>
    <w:p w14:paraId="7F7A7207" w14:textId="77777777" w:rsidR="0005627D" w:rsidRPr="00E17614" w:rsidRDefault="0005627D">
      <w:pPr>
        <w:rPr>
          <w:rFonts w:ascii="Arial" w:hAnsi="Arial" w:cs="Arial"/>
        </w:rPr>
      </w:pPr>
      <w:r w:rsidRPr="00E17614">
        <w:rPr>
          <w:rFonts w:ascii="Arial" w:hAnsi="Arial" w:cs="Arial"/>
        </w:rPr>
        <w:br w:type="page"/>
      </w:r>
    </w:p>
    <w:p w14:paraId="4DF10A3A" w14:textId="77777777" w:rsidR="007A0DC5" w:rsidRPr="00E17614" w:rsidRDefault="0032688C" w:rsidP="00F448AE">
      <w:pPr>
        <w:spacing w:before="480" w:after="240"/>
        <w:jc w:val="center"/>
        <w:rPr>
          <w:rFonts w:ascii="Arial" w:hAnsi="Arial" w:cs="Arial"/>
          <w:b/>
          <w:bCs/>
          <w:shd w:val="clear" w:color="auto" w:fill="FFFFFF"/>
        </w:rPr>
      </w:pPr>
      <w:bookmarkStart w:id="13" w:name="_Toc148514285"/>
      <w:bookmarkStart w:id="14" w:name="_Toc148516360"/>
      <w:r w:rsidRPr="00E17614">
        <w:rPr>
          <w:rFonts w:ascii="Arial" w:hAnsi="Arial" w:cs="Arial"/>
          <w:b/>
          <w:bCs/>
          <w:shd w:val="clear" w:color="auto" w:fill="FFFFFF"/>
        </w:rPr>
        <w:lastRenderedPageBreak/>
        <w:t>E</w:t>
      </w:r>
      <w:r w:rsidR="0039671D" w:rsidRPr="00E17614">
        <w:rPr>
          <w:rFonts w:ascii="Arial" w:hAnsi="Arial" w:cs="Arial"/>
          <w:b/>
          <w:bCs/>
          <w:shd w:val="clear" w:color="auto" w:fill="FFFFFF"/>
        </w:rPr>
        <w:t xml:space="preserve">ducator </w:t>
      </w:r>
      <w:r w:rsidRPr="00E17614">
        <w:rPr>
          <w:rFonts w:ascii="Arial" w:hAnsi="Arial" w:cs="Arial"/>
          <w:b/>
          <w:bCs/>
          <w:shd w:val="clear" w:color="auto" w:fill="FFFFFF"/>
        </w:rPr>
        <w:t>E</w:t>
      </w:r>
      <w:r w:rsidR="0039671D" w:rsidRPr="00E17614">
        <w:rPr>
          <w:rFonts w:ascii="Arial" w:hAnsi="Arial" w:cs="Arial"/>
          <w:b/>
          <w:bCs/>
          <w:shd w:val="clear" w:color="auto" w:fill="FFFFFF"/>
        </w:rPr>
        <w:t>ffectiveness Funds</w:t>
      </w:r>
      <w:r w:rsidRPr="00E17614">
        <w:rPr>
          <w:rFonts w:ascii="Arial" w:hAnsi="Arial" w:cs="Arial"/>
          <w:b/>
          <w:bCs/>
          <w:shd w:val="clear" w:color="auto" w:fill="FFFFFF"/>
        </w:rPr>
        <w:t xml:space="preserve"> Services and </w:t>
      </w:r>
      <w:r w:rsidR="005A4C4A" w:rsidRPr="00E17614">
        <w:rPr>
          <w:rFonts w:ascii="Arial" w:hAnsi="Arial" w:cs="Arial"/>
          <w:b/>
          <w:bCs/>
          <w:shd w:val="clear" w:color="auto" w:fill="FFFFFF"/>
        </w:rPr>
        <w:t>Purchases</w:t>
      </w:r>
      <w:r w:rsidRPr="00E17614">
        <w:rPr>
          <w:rFonts w:ascii="Arial" w:hAnsi="Arial" w:cs="Arial"/>
          <w:b/>
          <w:bCs/>
          <w:shd w:val="clear" w:color="auto" w:fill="FFFFFF"/>
        </w:rPr>
        <w:t xml:space="preserve"> </w:t>
      </w:r>
      <w:r w:rsidR="0087077E" w:rsidRPr="00E17614">
        <w:rPr>
          <w:rFonts w:ascii="Arial" w:hAnsi="Arial" w:cs="Arial"/>
          <w:b/>
          <w:bCs/>
          <w:shd w:val="clear" w:color="auto" w:fill="FFFFFF"/>
        </w:rPr>
        <w:t>Overview</w:t>
      </w:r>
      <w:bookmarkEnd w:id="13"/>
      <w:bookmarkEnd w:id="14"/>
    </w:p>
    <w:p w14:paraId="30D2059F" w14:textId="27530C43" w:rsidR="002F07FF" w:rsidRPr="00E17614" w:rsidRDefault="007A0DC5" w:rsidP="00B154A9">
      <w:pPr>
        <w:spacing w:before="240" w:after="240"/>
        <w:jc w:val="center"/>
        <w:rPr>
          <w:rFonts w:ascii="Arial" w:hAnsi="Arial" w:cs="Arial"/>
          <w:b/>
          <w:bCs/>
          <w:shd w:val="clear" w:color="auto" w:fill="FFFFFF"/>
        </w:rPr>
      </w:pPr>
      <w:r w:rsidRPr="00E17614">
        <w:rPr>
          <w:rFonts w:ascii="Arial" w:hAnsi="Arial" w:cs="Arial"/>
          <w:b/>
          <w:bCs/>
        </w:rPr>
        <w:t xml:space="preserve">Table 2. </w:t>
      </w:r>
      <w:r w:rsidRPr="00E17614">
        <w:rPr>
          <w:rFonts w:ascii="Arial" w:hAnsi="Arial" w:cs="Arial"/>
          <w:b/>
          <w:bCs/>
          <w:color w:val="000000"/>
        </w:rPr>
        <w:t xml:space="preserve">Services and Purchases Totals for </w:t>
      </w:r>
      <w:r w:rsidRPr="00E17614">
        <w:rPr>
          <w:rFonts w:ascii="Arial" w:hAnsi="Arial" w:cs="Arial"/>
          <w:b/>
          <w:bCs/>
        </w:rPr>
        <w:t>Fiscal Years 2021–22 and 2022–23</w:t>
      </w:r>
    </w:p>
    <w:tbl>
      <w:tblPr>
        <w:tblStyle w:val="TableGrid"/>
        <w:tblW w:w="5000" w:type="pct"/>
        <w:tblLook w:val="04A0" w:firstRow="1" w:lastRow="0" w:firstColumn="1" w:lastColumn="0" w:noHBand="0" w:noVBand="1"/>
        <w:tblCaption w:val="Table 2. 2021–23 Educator Effectiveness Funds Professional Learning Overview"/>
        <w:tblDescription w:val="This table provides the 2021–23 total for the Educator Effectiveness Funds Professional Learning Overview. This includes totals for the Services and Purchases sections."/>
      </w:tblPr>
      <w:tblGrid>
        <w:gridCol w:w="1526"/>
        <w:gridCol w:w="13"/>
        <w:gridCol w:w="2023"/>
        <w:gridCol w:w="1885"/>
        <w:gridCol w:w="1885"/>
        <w:gridCol w:w="2018"/>
      </w:tblGrid>
      <w:tr w:rsidR="00F57CD4" w:rsidRPr="00E17614" w14:paraId="7803302B" w14:textId="77777777" w:rsidTr="00AF08C8">
        <w:trPr>
          <w:trHeight w:val="320"/>
          <w:tblHeader/>
        </w:trPr>
        <w:tc>
          <w:tcPr>
            <w:tcW w:w="822" w:type="pct"/>
            <w:gridSpan w:val="2"/>
            <w:shd w:val="clear" w:color="auto" w:fill="BDD6EE" w:themeFill="accent5" w:themeFillTint="66"/>
            <w:hideMark/>
          </w:tcPr>
          <w:p w14:paraId="504EFBA2" w14:textId="77777777" w:rsidR="00706D6C" w:rsidRPr="00E17614" w:rsidRDefault="00706D6C" w:rsidP="00566BE6">
            <w:pPr>
              <w:jc w:val="center"/>
              <w:rPr>
                <w:rFonts w:ascii="Arial" w:hAnsi="Arial" w:cs="Arial"/>
                <w:b/>
                <w:bCs/>
                <w:color w:val="000000"/>
              </w:rPr>
            </w:pPr>
            <w:r w:rsidRPr="00E17614">
              <w:rPr>
                <w:rFonts w:ascii="Arial" w:hAnsi="Arial" w:cs="Arial"/>
                <w:b/>
                <w:bCs/>
                <w:color w:val="000000"/>
              </w:rPr>
              <w:t>Report Field</w:t>
            </w:r>
          </w:p>
        </w:tc>
        <w:tc>
          <w:tcPr>
            <w:tcW w:w="1083" w:type="pct"/>
            <w:shd w:val="clear" w:color="auto" w:fill="BDD6EE" w:themeFill="accent5" w:themeFillTint="66"/>
            <w:hideMark/>
          </w:tcPr>
          <w:p w14:paraId="01186799" w14:textId="77777777" w:rsidR="00706D6C" w:rsidRPr="00E17614" w:rsidRDefault="00706D6C" w:rsidP="00566BE6">
            <w:pPr>
              <w:jc w:val="center"/>
              <w:rPr>
                <w:rFonts w:ascii="Arial" w:hAnsi="Arial" w:cs="Arial"/>
                <w:b/>
                <w:bCs/>
                <w:color w:val="000000"/>
              </w:rPr>
            </w:pPr>
            <w:r w:rsidRPr="00E17614">
              <w:rPr>
                <w:rFonts w:ascii="Arial" w:hAnsi="Arial" w:cs="Arial"/>
                <w:b/>
                <w:bCs/>
                <w:color w:val="000000"/>
              </w:rPr>
              <w:t>Subsection</w:t>
            </w:r>
          </w:p>
        </w:tc>
        <w:tc>
          <w:tcPr>
            <w:tcW w:w="1008" w:type="pct"/>
            <w:shd w:val="clear" w:color="auto" w:fill="BDD6EE" w:themeFill="accent5" w:themeFillTint="66"/>
            <w:hideMark/>
          </w:tcPr>
          <w:p w14:paraId="204B01B8" w14:textId="25E11DDC" w:rsidR="00706D6C" w:rsidRPr="00E17614" w:rsidRDefault="00706D6C" w:rsidP="00566BE6">
            <w:pPr>
              <w:jc w:val="center"/>
              <w:rPr>
                <w:rFonts w:ascii="Arial" w:hAnsi="Arial" w:cs="Arial"/>
                <w:b/>
                <w:bCs/>
                <w:color w:val="000000"/>
              </w:rPr>
            </w:pPr>
            <w:r w:rsidRPr="00E17614">
              <w:rPr>
                <w:rFonts w:ascii="Arial" w:hAnsi="Arial" w:cs="Arial"/>
                <w:b/>
                <w:bCs/>
                <w:color w:val="000000"/>
              </w:rPr>
              <w:t>Fiscal Year 2021</w:t>
            </w:r>
            <w:r w:rsidR="000233FD" w:rsidRPr="00E17614">
              <w:rPr>
                <w:rFonts w:ascii="Arial" w:hAnsi="Arial" w:cs="Arial"/>
                <w:b/>
                <w:bCs/>
                <w:color w:val="000000"/>
              </w:rPr>
              <w:t>–</w:t>
            </w:r>
            <w:r w:rsidRPr="00E17614">
              <w:rPr>
                <w:rFonts w:ascii="Arial" w:hAnsi="Arial" w:cs="Arial"/>
                <w:b/>
                <w:bCs/>
                <w:color w:val="000000"/>
              </w:rPr>
              <w:t>22</w:t>
            </w:r>
          </w:p>
        </w:tc>
        <w:tc>
          <w:tcPr>
            <w:tcW w:w="1008" w:type="pct"/>
            <w:shd w:val="clear" w:color="auto" w:fill="BDD6EE" w:themeFill="accent5" w:themeFillTint="66"/>
            <w:hideMark/>
          </w:tcPr>
          <w:p w14:paraId="788DBEF7" w14:textId="55CDB842" w:rsidR="00706D6C" w:rsidRPr="00E17614" w:rsidRDefault="00706D6C" w:rsidP="00566BE6">
            <w:pPr>
              <w:jc w:val="center"/>
              <w:rPr>
                <w:rFonts w:ascii="Arial" w:hAnsi="Arial" w:cs="Arial"/>
                <w:b/>
                <w:bCs/>
                <w:color w:val="000000"/>
              </w:rPr>
            </w:pPr>
            <w:r w:rsidRPr="00E17614">
              <w:rPr>
                <w:rFonts w:ascii="Arial" w:hAnsi="Arial" w:cs="Arial"/>
                <w:b/>
                <w:bCs/>
                <w:color w:val="000000"/>
              </w:rPr>
              <w:t>Fiscal Year 2022</w:t>
            </w:r>
            <w:r w:rsidR="000233FD" w:rsidRPr="00E17614">
              <w:rPr>
                <w:rFonts w:ascii="Arial" w:hAnsi="Arial" w:cs="Arial"/>
                <w:b/>
                <w:bCs/>
                <w:color w:val="000000"/>
              </w:rPr>
              <w:t>–</w:t>
            </w:r>
            <w:r w:rsidRPr="00E17614">
              <w:rPr>
                <w:rFonts w:ascii="Arial" w:hAnsi="Arial" w:cs="Arial"/>
                <w:b/>
                <w:bCs/>
                <w:color w:val="000000"/>
              </w:rPr>
              <w:t>23</w:t>
            </w:r>
          </w:p>
        </w:tc>
        <w:tc>
          <w:tcPr>
            <w:tcW w:w="1079" w:type="pct"/>
            <w:shd w:val="clear" w:color="auto" w:fill="BDD6EE" w:themeFill="accent5" w:themeFillTint="66"/>
            <w:hideMark/>
          </w:tcPr>
          <w:p w14:paraId="70E40E3D" w14:textId="77777777" w:rsidR="00706D6C" w:rsidRPr="00E17614" w:rsidRDefault="00706D6C" w:rsidP="00566BE6">
            <w:pPr>
              <w:jc w:val="center"/>
              <w:rPr>
                <w:rFonts w:ascii="Arial" w:hAnsi="Arial" w:cs="Arial"/>
                <w:b/>
                <w:bCs/>
                <w:color w:val="000000"/>
              </w:rPr>
            </w:pPr>
            <w:r w:rsidRPr="00E17614">
              <w:rPr>
                <w:rFonts w:ascii="Arial" w:hAnsi="Arial" w:cs="Arial"/>
                <w:b/>
                <w:bCs/>
                <w:color w:val="000000"/>
              </w:rPr>
              <w:t xml:space="preserve">Total </w:t>
            </w:r>
          </w:p>
        </w:tc>
      </w:tr>
      <w:tr w:rsidR="00706D6C" w:rsidRPr="00E17614" w14:paraId="5DE15098" w14:textId="77777777" w:rsidTr="00AF08C8">
        <w:trPr>
          <w:trHeight w:val="1250"/>
        </w:trPr>
        <w:tc>
          <w:tcPr>
            <w:tcW w:w="822" w:type="pct"/>
            <w:gridSpan w:val="2"/>
            <w:hideMark/>
          </w:tcPr>
          <w:p w14:paraId="2D5BE51F" w14:textId="77777777" w:rsidR="00706D6C" w:rsidRPr="00E17614" w:rsidRDefault="00706D6C" w:rsidP="002B6A2C">
            <w:pPr>
              <w:rPr>
                <w:rFonts w:ascii="Arial" w:hAnsi="Arial" w:cs="Arial"/>
                <w:color w:val="000000"/>
              </w:rPr>
            </w:pPr>
            <w:r w:rsidRPr="00E17614">
              <w:rPr>
                <w:rFonts w:ascii="Arial" w:hAnsi="Arial" w:cs="Arial"/>
                <w:color w:val="000000"/>
              </w:rPr>
              <w:t>Costs Related to Specific Purchases</w:t>
            </w:r>
          </w:p>
        </w:tc>
        <w:tc>
          <w:tcPr>
            <w:tcW w:w="1083" w:type="pct"/>
            <w:hideMark/>
          </w:tcPr>
          <w:p w14:paraId="3971A7B6" w14:textId="77777777" w:rsidR="00706D6C" w:rsidRPr="00E17614" w:rsidRDefault="00706D6C" w:rsidP="002B6A2C">
            <w:pPr>
              <w:rPr>
                <w:rFonts w:ascii="Arial" w:hAnsi="Arial" w:cs="Arial"/>
                <w:color w:val="000000"/>
              </w:rPr>
            </w:pPr>
            <w:r w:rsidRPr="00E17614">
              <w:rPr>
                <w:rFonts w:ascii="Arial" w:hAnsi="Arial" w:cs="Arial"/>
                <w:color w:val="000000"/>
              </w:rPr>
              <w:t>Total for Specific Purchases (Books and Materials)</w:t>
            </w:r>
          </w:p>
        </w:tc>
        <w:tc>
          <w:tcPr>
            <w:tcW w:w="1008" w:type="pct"/>
            <w:hideMark/>
          </w:tcPr>
          <w:p w14:paraId="583BB59A" w14:textId="77777777" w:rsidR="00706D6C" w:rsidRPr="00E17614" w:rsidRDefault="00706D6C" w:rsidP="002B6A2C">
            <w:pPr>
              <w:rPr>
                <w:rFonts w:ascii="Arial" w:hAnsi="Arial" w:cs="Arial"/>
                <w:color w:val="000000"/>
              </w:rPr>
            </w:pPr>
            <w:r w:rsidRPr="00E17614">
              <w:rPr>
                <w:rFonts w:ascii="Arial" w:hAnsi="Arial" w:cs="Arial"/>
                <w:color w:val="000000"/>
              </w:rPr>
              <w:t xml:space="preserve">$2,775,734.22 </w:t>
            </w:r>
          </w:p>
        </w:tc>
        <w:tc>
          <w:tcPr>
            <w:tcW w:w="1008" w:type="pct"/>
            <w:hideMark/>
          </w:tcPr>
          <w:p w14:paraId="05B2AF8A" w14:textId="77777777" w:rsidR="00706D6C" w:rsidRPr="00E17614" w:rsidRDefault="00706D6C" w:rsidP="002B6A2C">
            <w:pPr>
              <w:rPr>
                <w:rFonts w:ascii="Arial" w:hAnsi="Arial" w:cs="Arial"/>
                <w:color w:val="000000"/>
              </w:rPr>
            </w:pPr>
            <w:r w:rsidRPr="00E17614">
              <w:rPr>
                <w:rFonts w:ascii="Arial" w:hAnsi="Arial" w:cs="Arial"/>
                <w:color w:val="000000"/>
              </w:rPr>
              <w:t xml:space="preserve">$16,201,955.11 </w:t>
            </w:r>
          </w:p>
        </w:tc>
        <w:tc>
          <w:tcPr>
            <w:tcW w:w="1079" w:type="pct"/>
            <w:hideMark/>
          </w:tcPr>
          <w:p w14:paraId="3304E566" w14:textId="77777777" w:rsidR="00706D6C" w:rsidRPr="00E17614" w:rsidRDefault="00706D6C" w:rsidP="002B6A2C">
            <w:pPr>
              <w:rPr>
                <w:rFonts w:ascii="Arial" w:hAnsi="Arial" w:cs="Arial"/>
                <w:color w:val="000000"/>
              </w:rPr>
            </w:pPr>
            <w:r w:rsidRPr="00E17614">
              <w:rPr>
                <w:rFonts w:ascii="Arial" w:hAnsi="Arial" w:cs="Arial"/>
                <w:color w:val="000000"/>
              </w:rPr>
              <w:t xml:space="preserve">$18,977,689.33 </w:t>
            </w:r>
          </w:p>
        </w:tc>
      </w:tr>
      <w:tr w:rsidR="00706D6C" w:rsidRPr="00E17614" w14:paraId="556642D0" w14:textId="77777777" w:rsidTr="00AF08C8">
        <w:trPr>
          <w:trHeight w:val="1560"/>
        </w:trPr>
        <w:tc>
          <w:tcPr>
            <w:tcW w:w="822" w:type="pct"/>
            <w:gridSpan w:val="2"/>
            <w:hideMark/>
          </w:tcPr>
          <w:p w14:paraId="27DDCF8E" w14:textId="77777777" w:rsidR="00706D6C" w:rsidRPr="00E17614" w:rsidRDefault="00706D6C" w:rsidP="000458EE">
            <w:pPr>
              <w:rPr>
                <w:rFonts w:ascii="Arial" w:hAnsi="Arial" w:cs="Arial"/>
                <w:color w:val="000000"/>
              </w:rPr>
            </w:pPr>
            <w:r w:rsidRPr="00E17614">
              <w:rPr>
                <w:rFonts w:ascii="Arial" w:hAnsi="Arial" w:cs="Arial"/>
                <w:color w:val="000000"/>
              </w:rPr>
              <w:t>Costs Related to Professional Learning</w:t>
            </w:r>
          </w:p>
        </w:tc>
        <w:tc>
          <w:tcPr>
            <w:tcW w:w="1083" w:type="pct"/>
            <w:hideMark/>
          </w:tcPr>
          <w:p w14:paraId="0370497D" w14:textId="49CE3251" w:rsidR="00706D6C" w:rsidRPr="00E17614" w:rsidRDefault="00706D6C" w:rsidP="000458EE">
            <w:pPr>
              <w:rPr>
                <w:rFonts w:ascii="Arial" w:hAnsi="Arial" w:cs="Arial"/>
                <w:color w:val="000000"/>
              </w:rPr>
            </w:pPr>
            <w:r w:rsidRPr="00E17614">
              <w:rPr>
                <w:rFonts w:ascii="Arial" w:hAnsi="Arial" w:cs="Arial"/>
                <w:color w:val="000000"/>
              </w:rPr>
              <w:t>Total for Staffing Costs Related to Professional Learning</w:t>
            </w:r>
            <w:r w:rsidRPr="00E17614">
              <w:rPr>
                <w:rFonts w:ascii="Arial" w:hAnsi="Arial" w:cs="Arial"/>
                <w:color w:val="000000"/>
              </w:rPr>
              <w:br/>
              <w:t>(Salary, Benefits, Travel, Stipends, Substitutes, and Indirect Costs)</w:t>
            </w:r>
          </w:p>
        </w:tc>
        <w:tc>
          <w:tcPr>
            <w:tcW w:w="1008" w:type="pct"/>
            <w:hideMark/>
          </w:tcPr>
          <w:p w14:paraId="05BFFE28" w14:textId="77777777" w:rsidR="00706D6C" w:rsidRPr="00E17614" w:rsidRDefault="00706D6C" w:rsidP="000458EE">
            <w:pPr>
              <w:rPr>
                <w:rFonts w:ascii="Arial" w:hAnsi="Arial" w:cs="Arial"/>
                <w:color w:val="000000"/>
              </w:rPr>
            </w:pPr>
            <w:r w:rsidRPr="00E17614">
              <w:rPr>
                <w:rFonts w:ascii="Arial" w:hAnsi="Arial" w:cs="Arial"/>
                <w:color w:val="000000"/>
              </w:rPr>
              <w:t xml:space="preserve">$10,108,741.42 </w:t>
            </w:r>
          </w:p>
        </w:tc>
        <w:tc>
          <w:tcPr>
            <w:tcW w:w="1008" w:type="pct"/>
            <w:hideMark/>
          </w:tcPr>
          <w:p w14:paraId="3185EB6C" w14:textId="77777777" w:rsidR="00706D6C" w:rsidRPr="00E17614" w:rsidRDefault="00706D6C" w:rsidP="000458EE">
            <w:pPr>
              <w:rPr>
                <w:rFonts w:ascii="Arial" w:hAnsi="Arial" w:cs="Arial"/>
                <w:color w:val="000000"/>
              </w:rPr>
            </w:pPr>
            <w:r w:rsidRPr="00E17614">
              <w:rPr>
                <w:rFonts w:ascii="Arial" w:hAnsi="Arial" w:cs="Arial"/>
                <w:color w:val="000000"/>
              </w:rPr>
              <w:t xml:space="preserve">$79,411,615.68 </w:t>
            </w:r>
          </w:p>
        </w:tc>
        <w:tc>
          <w:tcPr>
            <w:tcW w:w="1079" w:type="pct"/>
            <w:hideMark/>
          </w:tcPr>
          <w:p w14:paraId="79A54C1F" w14:textId="77777777" w:rsidR="00706D6C" w:rsidRPr="00E17614" w:rsidRDefault="00706D6C" w:rsidP="000458EE">
            <w:pPr>
              <w:rPr>
                <w:rFonts w:ascii="Arial" w:hAnsi="Arial" w:cs="Arial"/>
                <w:color w:val="000000"/>
              </w:rPr>
            </w:pPr>
            <w:r w:rsidRPr="00E17614">
              <w:rPr>
                <w:rFonts w:ascii="Arial" w:hAnsi="Arial" w:cs="Arial"/>
                <w:color w:val="000000"/>
              </w:rPr>
              <w:t xml:space="preserve">$89,520,357.10 </w:t>
            </w:r>
          </w:p>
        </w:tc>
      </w:tr>
      <w:tr w:rsidR="00AF08C8" w:rsidRPr="00E17614" w14:paraId="58CD7FDB" w14:textId="77777777" w:rsidTr="00AF08C8">
        <w:trPr>
          <w:trHeight w:val="320"/>
        </w:trPr>
        <w:tc>
          <w:tcPr>
            <w:tcW w:w="816" w:type="pct"/>
            <w:hideMark/>
          </w:tcPr>
          <w:p w14:paraId="265ED86F" w14:textId="4414601B" w:rsidR="00AF08C8" w:rsidRPr="00E17614" w:rsidRDefault="00AF08C8" w:rsidP="00FA3D27">
            <w:pPr>
              <w:rPr>
                <w:rFonts w:ascii="Arial" w:hAnsi="Arial" w:cs="Arial"/>
                <w:b/>
                <w:bCs/>
                <w:color w:val="000000"/>
              </w:rPr>
            </w:pPr>
            <w:r w:rsidRPr="00E17614">
              <w:rPr>
                <w:rFonts w:ascii="Arial" w:hAnsi="Arial" w:cs="Arial"/>
                <w:b/>
                <w:bCs/>
                <w:color w:val="000000"/>
              </w:rPr>
              <w:t>Total</w:t>
            </w:r>
          </w:p>
        </w:tc>
        <w:tc>
          <w:tcPr>
            <w:tcW w:w="1089" w:type="pct"/>
            <w:gridSpan w:val="2"/>
          </w:tcPr>
          <w:p w14:paraId="4F1E01A6" w14:textId="7C183AB0" w:rsidR="00AF08C8" w:rsidRPr="00E17614" w:rsidRDefault="00AF08C8" w:rsidP="00FA3D27">
            <w:pPr>
              <w:rPr>
                <w:rFonts w:ascii="Arial" w:hAnsi="Arial" w:cs="Arial"/>
                <w:b/>
                <w:bCs/>
                <w:color w:val="000000"/>
              </w:rPr>
            </w:pPr>
            <w:r w:rsidRPr="00E17614">
              <w:rPr>
                <w:rFonts w:ascii="Arial" w:hAnsi="Arial" w:cs="Arial"/>
                <w:b/>
                <w:bCs/>
                <w:color w:val="000000"/>
              </w:rPr>
              <w:t>Specific Purchases and Costs</w:t>
            </w:r>
            <w:r w:rsidR="00FA3D27" w:rsidRPr="00E17614">
              <w:rPr>
                <w:rFonts w:ascii="Arial" w:hAnsi="Arial" w:cs="Arial"/>
                <w:b/>
                <w:bCs/>
                <w:color w:val="000000"/>
              </w:rPr>
              <w:t xml:space="preserve"> </w:t>
            </w:r>
            <w:r w:rsidRPr="00E17614">
              <w:rPr>
                <w:rFonts w:ascii="Arial" w:hAnsi="Arial" w:cs="Arial"/>
                <w:b/>
                <w:bCs/>
                <w:color w:val="000000"/>
              </w:rPr>
              <w:t>Related to Professional Learning</w:t>
            </w:r>
          </w:p>
        </w:tc>
        <w:tc>
          <w:tcPr>
            <w:tcW w:w="1008" w:type="pct"/>
            <w:hideMark/>
          </w:tcPr>
          <w:p w14:paraId="4D322036" w14:textId="77777777" w:rsidR="00AF08C8" w:rsidRPr="00E17614" w:rsidRDefault="00AF08C8" w:rsidP="00FA3D27">
            <w:pPr>
              <w:rPr>
                <w:rFonts w:ascii="Arial" w:hAnsi="Arial" w:cs="Arial"/>
                <w:b/>
                <w:bCs/>
                <w:color w:val="000000"/>
              </w:rPr>
            </w:pPr>
            <w:r w:rsidRPr="00E17614">
              <w:rPr>
                <w:rFonts w:ascii="Arial" w:hAnsi="Arial" w:cs="Arial"/>
                <w:b/>
                <w:bCs/>
                <w:color w:val="000000"/>
              </w:rPr>
              <w:t xml:space="preserve">$12,884,475.64 </w:t>
            </w:r>
          </w:p>
        </w:tc>
        <w:tc>
          <w:tcPr>
            <w:tcW w:w="1008" w:type="pct"/>
            <w:hideMark/>
          </w:tcPr>
          <w:p w14:paraId="170A8878" w14:textId="77777777" w:rsidR="00AF08C8" w:rsidRPr="00E17614" w:rsidRDefault="00AF08C8" w:rsidP="00FA3D27">
            <w:pPr>
              <w:rPr>
                <w:rFonts w:ascii="Arial" w:hAnsi="Arial" w:cs="Arial"/>
                <w:b/>
                <w:bCs/>
                <w:color w:val="000000"/>
              </w:rPr>
            </w:pPr>
            <w:r w:rsidRPr="00E17614">
              <w:rPr>
                <w:rFonts w:ascii="Arial" w:hAnsi="Arial" w:cs="Arial"/>
                <w:b/>
                <w:bCs/>
                <w:color w:val="000000"/>
              </w:rPr>
              <w:t xml:space="preserve">$95,613,570.79 </w:t>
            </w:r>
          </w:p>
        </w:tc>
        <w:tc>
          <w:tcPr>
            <w:tcW w:w="1079" w:type="pct"/>
            <w:hideMark/>
          </w:tcPr>
          <w:p w14:paraId="0A2216B3" w14:textId="77777777" w:rsidR="00AF08C8" w:rsidRPr="00E17614" w:rsidRDefault="00AF08C8" w:rsidP="00FA3D27">
            <w:pPr>
              <w:rPr>
                <w:rFonts w:ascii="Arial" w:hAnsi="Arial" w:cs="Arial"/>
                <w:b/>
                <w:bCs/>
                <w:color w:val="000000"/>
              </w:rPr>
            </w:pPr>
            <w:r w:rsidRPr="00E17614">
              <w:rPr>
                <w:rFonts w:ascii="Arial" w:hAnsi="Arial" w:cs="Arial"/>
                <w:b/>
                <w:bCs/>
                <w:color w:val="000000"/>
              </w:rPr>
              <w:t xml:space="preserve">$108,498,046.43 </w:t>
            </w:r>
          </w:p>
        </w:tc>
      </w:tr>
    </w:tbl>
    <w:p w14:paraId="37CC08C8" w14:textId="77777777" w:rsidR="0005627D" w:rsidRPr="00E17614" w:rsidRDefault="000D7056" w:rsidP="001E1DA2">
      <w:pPr>
        <w:spacing w:before="240" w:after="240"/>
        <w:rPr>
          <w:rFonts w:ascii="Arial" w:hAnsi="Arial" w:cs="Arial"/>
        </w:rPr>
      </w:pPr>
      <w:r w:rsidRPr="00E17614">
        <w:rPr>
          <w:rFonts w:ascii="Arial" w:hAnsi="Arial" w:cs="Arial"/>
        </w:rPr>
        <w:t>The EEF allows LEAs to expend funds on book</w:t>
      </w:r>
      <w:r w:rsidR="00835B14" w:rsidRPr="00E17614">
        <w:rPr>
          <w:rFonts w:ascii="Arial" w:hAnsi="Arial" w:cs="Arial"/>
        </w:rPr>
        <w:t xml:space="preserve">s, </w:t>
      </w:r>
      <w:r w:rsidRPr="00E17614">
        <w:rPr>
          <w:rFonts w:ascii="Arial" w:hAnsi="Arial" w:cs="Arial"/>
        </w:rPr>
        <w:t>materials</w:t>
      </w:r>
      <w:r w:rsidR="00835B14" w:rsidRPr="00E17614">
        <w:rPr>
          <w:rFonts w:ascii="Arial" w:hAnsi="Arial" w:cs="Arial"/>
        </w:rPr>
        <w:t>,</w:t>
      </w:r>
      <w:r w:rsidR="00DD4284" w:rsidRPr="00E17614">
        <w:rPr>
          <w:rFonts w:ascii="Arial" w:hAnsi="Arial" w:cs="Arial"/>
        </w:rPr>
        <w:t xml:space="preserve"> and staffing costs</w:t>
      </w:r>
      <w:r w:rsidRPr="00E17614">
        <w:rPr>
          <w:rFonts w:ascii="Arial" w:hAnsi="Arial" w:cs="Arial"/>
        </w:rPr>
        <w:t xml:space="preserve"> related to professional learning.</w:t>
      </w:r>
      <w:r w:rsidR="00E728E2" w:rsidRPr="00E17614">
        <w:rPr>
          <w:rFonts w:ascii="Arial" w:hAnsi="Arial" w:cs="Arial"/>
        </w:rPr>
        <w:t xml:space="preserve"> </w:t>
      </w:r>
      <w:r w:rsidR="00BE09FA" w:rsidRPr="00E17614">
        <w:rPr>
          <w:rFonts w:ascii="Arial" w:hAnsi="Arial" w:cs="Arial"/>
        </w:rPr>
        <w:t xml:space="preserve">The EEF Services and Purchases section on the EEF database asks LEAs to identify purchases made with </w:t>
      </w:r>
      <w:r w:rsidR="00204E7E" w:rsidRPr="00E17614">
        <w:rPr>
          <w:rFonts w:ascii="Arial" w:hAnsi="Arial" w:cs="Arial"/>
        </w:rPr>
        <w:t xml:space="preserve">the </w:t>
      </w:r>
      <w:r w:rsidR="00BE09FA" w:rsidRPr="00E17614">
        <w:rPr>
          <w:rFonts w:ascii="Arial" w:hAnsi="Arial" w:cs="Arial"/>
        </w:rPr>
        <w:t>EEF that supported professional learning offerings. LEAs</w:t>
      </w:r>
      <w:r w:rsidR="003F2C7D" w:rsidRPr="00E17614">
        <w:rPr>
          <w:rFonts w:ascii="Arial" w:hAnsi="Arial" w:cs="Arial"/>
        </w:rPr>
        <w:t xml:space="preserve"> are asked</w:t>
      </w:r>
      <w:r w:rsidR="00BE09FA" w:rsidRPr="00E17614">
        <w:rPr>
          <w:rFonts w:ascii="Arial" w:hAnsi="Arial" w:cs="Arial"/>
        </w:rPr>
        <w:t xml:space="preserve"> to provide information about the</w:t>
      </w:r>
      <w:r w:rsidR="00835B14" w:rsidRPr="00E17614">
        <w:rPr>
          <w:rFonts w:ascii="Arial" w:hAnsi="Arial" w:cs="Arial"/>
        </w:rPr>
        <w:t xml:space="preserve"> specific</w:t>
      </w:r>
      <w:r w:rsidR="00BE09FA" w:rsidRPr="00E17614">
        <w:rPr>
          <w:rFonts w:ascii="Arial" w:hAnsi="Arial" w:cs="Arial"/>
        </w:rPr>
        <w:t xml:space="preserve"> materials purchased. </w:t>
      </w:r>
      <w:r w:rsidR="00B94620" w:rsidRPr="00E17614">
        <w:rPr>
          <w:rFonts w:ascii="Arial" w:hAnsi="Arial" w:cs="Arial"/>
        </w:rPr>
        <w:t xml:space="preserve">LEAs spent </w:t>
      </w:r>
      <w:r w:rsidR="005B6143" w:rsidRPr="00E17614">
        <w:rPr>
          <w:rFonts w:ascii="Arial" w:hAnsi="Arial" w:cs="Arial"/>
        </w:rPr>
        <w:t>$18,977,689.33</w:t>
      </w:r>
      <w:r w:rsidR="00B94620" w:rsidRPr="00E17614">
        <w:rPr>
          <w:rFonts w:ascii="Arial" w:hAnsi="Arial" w:cs="Arial"/>
        </w:rPr>
        <w:t xml:space="preserve"> of </w:t>
      </w:r>
      <w:r w:rsidR="00672BB3" w:rsidRPr="00E17614">
        <w:rPr>
          <w:rFonts w:ascii="Arial" w:hAnsi="Arial" w:cs="Arial"/>
        </w:rPr>
        <w:t xml:space="preserve">the </w:t>
      </w:r>
      <w:r w:rsidR="00B94620" w:rsidRPr="00E17614">
        <w:rPr>
          <w:rFonts w:ascii="Arial" w:hAnsi="Arial" w:cs="Arial"/>
        </w:rPr>
        <w:t>EEF on books and materials associated with professional learning for FY</w:t>
      </w:r>
      <w:r w:rsidR="00204E7E" w:rsidRPr="00E17614">
        <w:rPr>
          <w:rFonts w:ascii="Arial" w:hAnsi="Arial" w:cs="Arial"/>
        </w:rPr>
        <w:t>s</w:t>
      </w:r>
      <w:r w:rsidR="00B94620" w:rsidRPr="00E17614">
        <w:rPr>
          <w:rFonts w:ascii="Arial" w:hAnsi="Arial" w:cs="Arial"/>
        </w:rPr>
        <w:t xml:space="preserve"> 2021–22 and 2022–23.</w:t>
      </w:r>
      <w:r w:rsidR="003F2C7D" w:rsidRPr="00E17614">
        <w:rPr>
          <w:rFonts w:ascii="Arial" w:hAnsi="Arial" w:cs="Arial"/>
        </w:rPr>
        <w:t xml:space="preserve"> These purchases include basic supplies for facilitating professional development</w:t>
      </w:r>
      <w:r w:rsidR="0005627D" w:rsidRPr="00E17614">
        <w:rPr>
          <w:rFonts w:ascii="Arial" w:hAnsi="Arial" w:cs="Arial"/>
        </w:rPr>
        <w:t>,</w:t>
      </w:r>
      <w:r w:rsidR="003F2C7D" w:rsidRPr="00E17614">
        <w:rPr>
          <w:rFonts w:ascii="Arial" w:hAnsi="Arial" w:cs="Arial"/>
        </w:rPr>
        <w:t xml:space="preserve"> such as paper, poster paper, pencils, pens, markers, journals, and books.</w:t>
      </w:r>
      <w:r w:rsidR="00B94620" w:rsidRPr="00E17614">
        <w:rPr>
          <w:rFonts w:ascii="Arial" w:hAnsi="Arial" w:cs="Arial"/>
        </w:rPr>
        <w:t xml:space="preserve"> </w:t>
      </w:r>
    </w:p>
    <w:p w14:paraId="69504908" w14:textId="77777777" w:rsidR="0005627D" w:rsidRPr="00E17614" w:rsidRDefault="00B94620" w:rsidP="001E1DA2">
      <w:pPr>
        <w:spacing w:before="240" w:after="240"/>
        <w:rPr>
          <w:rFonts w:ascii="Arial" w:hAnsi="Arial" w:cs="Arial"/>
        </w:rPr>
      </w:pPr>
      <w:r w:rsidRPr="00E17614">
        <w:rPr>
          <w:rFonts w:ascii="Arial" w:hAnsi="Arial" w:cs="Arial"/>
        </w:rPr>
        <w:t xml:space="preserve">Moreover, LEAs spent </w:t>
      </w:r>
      <w:r w:rsidR="005B6143" w:rsidRPr="00E17614">
        <w:rPr>
          <w:rFonts w:ascii="Arial" w:hAnsi="Arial" w:cs="Arial"/>
        </w:rPr>
        <w:t>$89,520,357.10</w:t>
      </w:r>
      <w:r w:rsidRPr="00E17614">
        <w:rPr>
          <w:rFonts w:ascii="Arial" w:hAnsi="Arial" w:cs="Arial"/>
        </w:rPr>
        <w:t xml:space="preserve"> of </w:t>
      </w:r>
      <w:r w:rsidR="00672BB3" w:rsidRPr="00E17614">
        <w:rPr>
          <w:rFonts w:ascii="Arial" w:hAnsi="Arial" w:cs="Arial"/>
        </w:rPr>
        <w:t xml:space="preserve">the </w:t>
      </w:r>
      <w:r w:rsidRPr="00E17614">
        <w:rPr>
          <w:rFonts w:ascii="Arial" w:hAnsi="Arial" w:cs="Arial"/>
        </w:rPr>
        <w:t xml:space="preserve">EEF on </w:t>
      </w:r>
      <w:r w:rsidR="005543CF" w:rsidRPr="00E17614">
        <w:rPr>
          <w:rFonts w:ascii="Arial" w:hAnsi="Arial" w:cs="Arial"/>
        </w:rPr>
        <w:t xml:space="preserve">staffing and benefits, travel and per diem, stipends, </w:t>
      </w:r>
      <w:r w:rsidR="00BF1CA8" w:rsidRPr="00E17614">
        <w:rPr>
          <w:rFonts w:ascii="Arial" w:hAnsi="Arial" w:cs="Arial"/>
        </w:rPr>
        <w:t>substitutes, and indirect costs</w:t>
      </w:r>
      <w:r w:rsidRPr="00E17614">
        <w:rPr>
          <w:rFonts w:ascii="Arial" w:hAnsi="Arial" w:cs="Arial"/>
        </w:rPr>
        <w:t xml:space="preserve"> associated with professional learning.</w:t>
      </w:r>
      <w:r w:rsidR="000D459C" w:rsidRPr="00E17614">
        <w:rPr>
          <w:rFonts w:ascii="Arial" w:hAnsi="Arial" w:cs="Arial"/>
        </w:rPr>
        <w:t xml:space="preserve"> LEAs specifically reported spending funds on travel costs for staff to attend conferences, substitute teachers so teachers could participate in professional learning during normal work hours, stipends for teacher mentors, </w:t>
      </w:r>
      <w:r w:rsidR="0005627D" w:rsidRPr="00E17614">
        <w:rPr>
          <w:rFonts w:ascii="Arial" w:hAnsi="Arial" w:cs="Arial"/>
        </w:rPr>
        <w:t xml:space="preserve">and </w:t>
      </w:r>
      <w:r w:rsidR="000D459C" w:rsidRPr="00E17614">
        <w:rPr>
          <w:rFonts w:ascii="Arial" w:hAnsi="Arial" w:cs="Arial"/>
        </w:rPr>
        <w:t>staffing costs to cover positions that directly facilitate professional learning.</w:t>
      </w:r>
      <w:r w:rsidR="000D459C" w:rsidRPr="00E17614">
        <w:rPr>
          <w:rFonts w:ascii="Arial" w:hAnsi="Arial" w:cs="Arial"/>
          <w:b/>
        </w:rPr>
        <w:t xml:space="preserve"> </w:t>
      </w:r>
      <w:r w:rsidR="000D7056" w:rsidRPr="00E17614">
        <w:rPr>
          <w:rFonts w:ascii="Arial" w:hAnsi="Arial" w:cs="Arial"/>
        </w:rPr>
        <w:t>Altogether,</w:t>
      </w:r>
      <w:r w:rsidRPr="00E17614">
        <w:rPr>
          <w:rFonts w:ascii="Arial" w:hAnsi="Arial" w:cs="Arial"/>
        </w:rPr>
        <w:t xml:space="preserve"> LEAs spent</w:t>
      </w:r>
      <w:r w:rsidR="000D7056" w:rsidRPr="00E17614">
        <w:rPr>
          <w:rFonts w:ascii="Arial" w:hAnsi="Arial" w:cs="Arial"/>
        </w:rPr>
        <w:t xml:space="preserve"> </w:t>
      </w:r>
      <w:r w:rsidR="005B6143" w:rsidRPr="00E17614">
        <w:rPr>
          <w:rFonts w:ascii="Arial" w:hAnsi="Arial" w:cs="Arial"/>
        </w:rPr>
        <w:t>$108,498,046.43</w:t>
      </w:r>
      <w:r w:rsidR="00DD4284" w:rsidRPr="00E17614">
        <w:rPr>
          <w:rFonts w:ascii="Arial" w:hAnsi="Arial" w:cs="Arial"/>
        </w:rPr>
        <w:t xml:space="preserve"> on EEF Services and Purchases</w:t>
      </w:r>
      <w:r w:rsidR="008A2B16" w:rsidRPr="00E17614">
        <w:rPr>
          <w:rFonts w:ascii="Arial" w:hAnsi="Arial" w:cs="Arial"/>
        </w:rPr>
        <w:t xml:space="preserve"> costs</w:t>
      </w:r>
      <w:r w:rsidR="000D459C" w:rsidRPr="00E17614">
        <w:rPr>
          <w:rFonts w:ascii="Arial" w:hAnsi="Arial" w:cs="Arial"/>
        </w:rPr>
        <w:t xml:space="preserve"> for FYs 2021–22 and 2022–23</w:t>
      </w:r>
      <w:r w:rsidR="00DD4284" w:rsidRPr="00E17614">
        <w:rPr>
          <w:rFonts w:ascii="Arial" w:hAnsi="Arial" w:cs="Arial"/>
        </w:rPr>
        <w:t>.</w:t>
      </w:r>
    </w:p>
    <w:p w14:paraId="74A07F89" w14:textId="77777777" w:rsidR="0005627D" w:rsidRPr="00E17614" w:rsidRDefault="0005627D">
      <w:pPr>
        <w:rPr>
          <w:rFonts w:ascii="Arial" w:hAnsi="Arial" w:cs="Arial"/>
        </w:rPr>
      </w:pPr>
      <w:r w:rsidRPr="00E17614">
        <w:rPr>
          <w:rFonts w:ascii="Arial" w:hAnsi="Arial" w:cs="Arial"/>
        </w:rPr>
        <w:br w:type="page"/>
      </w:r>
    </w:p>
    <w:p w14:paraId="354383E1" w14:textId="0E7FD664" w:rsidR="00C0172F" w:rsidRPr="00E17614" w:rsidRDefault="00C0172F" w:rsidP="00AC1662">
      <w:pPr>
        <w:spacing w:before="480" w:after="240"/>
        <w:jc w:val="center"/>
        <w:rPr>
          <w:rFonts w:ascii="Arial" w:hAnsi="Arial" w:cs="Arial"/>
          <w:b/>
          <w:bCs/>
        </w:rPr>
      </w:pPr>
      <w:bookmarkStart w:id="15" w:name="_Toc148514286"/>
      <w:bookmarkStart w:id="16" w:name="_Toc148516361"/>
      <w:r w:rsidRPr="00E17614">
        <w:rPr>
          <w:rFonts w:ascii="Arial" w:hAnsi="Arial" w:cs="Arial"/>
          <w:b/>
          <w:bCs/>
        </w:rPr>
        <w:lastRenderedPageBreak/>
        <w:t>Coaching and Mentoring Total Expenditures</w:t>
      </w:r>
      <w:bookmarkEnd w:id="15"/>
      <w:bookmarkEnd w:id="16"/>
    </w:p>
    <w:p w14:paraId="55CDEFDC" w14:textId="23CEA153" w:rsidR="00B154A9" w:rsidRPr="00E17614" w:rsidRDefault="00B154A9" w:rsidP="001E1DA2">
      <w:pPr>
        <w:spacing w:after="240"/>
        <w:rPr>
          <w:rFonts w:ascii="Arial" w:hAnsi="Arial" w:cs="Arial"/>
          <w:b/>
          <w:bCs/>
        </w:rPr>
      </w:pPr>
      <w:r w:rsidRPr="00E17614">
        <w:rPr>
          <w:rFonts w:ascii="Arial" w:hAnsi="Arial" w:cs="Arial"/>
          <w:b/>
          <w:bCs/>
        </w:rPr>
        <w:t xml:space="preserve">Table </w:t>
      </w:r>
      <w:r w:rsidR="003C472C" w:rsidRPr="00E17614">
        <w:rPr>
          <w:rFonts w:ascii="Arial" w:hAnsi="Arial" w:cs="Arial"/>
          <w:b/>
          <w:bCs/>
        </w:rPr>
        <w:t>3</w:t>
      </w:r>
      <w:r w:rsidRPr="00E17614">
        <w:rPr>
          <w:rFonts w:ascii="Arial" w:hAnsi="Arial" w:cs="Arial"/>
          <w:b/>
          <w:bCs/>
        </w:rPr>
        <w:t>. Coaching and Mentoring Total</w:t>
      </w:r>
      <w:r w:rsidR="008C06AE" w:rsidRPr="00E17614">
        <w:rPr>
          <w:rFonts w:ascii="Arial" w:hAnsi="Arial" w:cs="Arial"/>
          <w:b/>
          <w:bCs/>
        </w:rPr>
        <w:t xml:space="preserve"> Expenditures</w:t>
      </w:r>
      <w:r w:rsidRPr="00E17614">
        <w:rPr>
          <w:rFonts w:ascii="Arial" w:hAnsi="Arial" w:cs="Arial"/>
          <w:b/>
          <w:bCs/>
        </w:rPr>
        <w:t xml:space="preserve">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2021–23 Total for the Coaching and Mentoring Total Expenditures"/>
        <w:tblDescription w:val="This table provides the 2021–23 total for the Coaching and Mentoring allowable use category."/>
      </w:tblPr>
      <w:tblGrid>
        <w:gridCol w:w="2229"/>
        <w:gridCol w:w="2627"/>
        <w:gridCol w:w="2609"/>
        <w:gridCol w:w="1885"/>
      </w:tblGrid>
      <w:tr w:rsidR="006D3E6B" w:rsidRPr="00E17614" w14:paraId="64440084" w14:textId="77777777" w:rsidTr="008634C6">
        <w:trPr>
          <w:trHeight w:val="320"/>
        </w:trPr>
        <w:tc>
          <w:tcPr>
            <w:tcW w:w="1192" w:type="pct"/>
            <w:shd w:val="clear" w:color="000000" w:fill="BDD6EE"/>
            <w:vAlign w:val="center"/>
            <w:hideMark/>
          </w:tcPr>
          <w:p w14:paraId="04E87A9F" w14:textId="77777777" w:rsidR="006D3E6B" w:rsidRPr="00E17614" w:rsidRDefault="006D3E6B" w:rsidP="00566BE6">
            <w:pPr>
              <w:jc w:val="center"/>
              <w:rPr>
                <w:rFonts w:ascii="Arial" w:hAnsi="Arial" w:cs="Arial"/>
                <w:b/>
                <w:bCs/>
                <w:color w:val="000000"/>
              </w:rPr>
            </w:pPr>
            <w:r w:rsidRPr="00E17614">
              <w:rPr>
                <w:rFonts w:ascii="Arial" w:hAnsi="Arial" w:cs="Arial"/>
                <w:b/>
                <w:bCs/>
                <w:color w:val="000000"/>
              </w:rPr>
              <w:t>Report Field</w:t>
            </w:r>
          </w:p>
        </w:tc>
        <w:tc>
          <w:tcPr>
            <w:tcW w:w="1405" w:type="pct"/>
            <w:shd w:val="clear" w:color="000000" w:fill="BDD6EE"/>
            <w:vAlign w:val="center"/>
            <w:hideMark/>
          </w:tcPr>
          <w:p w14:paraId="65B4C707" w14:textId="1E2B86CA" w:rsidR="006D3E6B" w:rsidRPr="00E17614" w:rsidRDefault="006D3E6B" w:rsidP="00566BE6">
            <w:pPr>
              <w:jc w:val="center"/>
              <w:rPr>
                <w:rFonts w:ascii="Arial" w:hAnsi="Arial" w:cs="Arial"/>
                <w:b/>
                <w:bCs/>
                <w:color w:val="000000"/>
              </w:rPr>
            </w:pPr>
            <w:r w:rsidRPr="00E17614">
              <w:rPr>
                <w:rFonts w:ascii="Arial" w:hAnsi="Arial" w:cs="Arial"/>
                <w:b/>
                <w:bCs/>
                <w:color w:val="000000"/>
              </w:rPr>
              <w:t>Fiscal Year 2021</w:t>
            </w:r>
            <w:r w:rsidR="009319A7" w:rsidRPr="00E17614">
              <w:rPr>
                <w:rFonts w:ascii="Arial" w:hAnsi="Arial" w:cs="Arial"/>
                <w:b/>
                <w:bCs/>
                <w:color w:val="000000"/>
              </w:rPr>
              <w:t>–</w:t>
            </w:r>
            <w:r w:rsidRPr="00E17614">
              <w:rPr>
                <w:rFonts w:ascii="Arial" w:hAnsi="Arial" w:cs="Arial"/>
                <w:b/>
                <w:bCs/>
                <w:color w:val="000000"/>
              </w:rPr>
              <w:t>22</w:t>
            </w:r>
          </w:p>
        </w:tc>
        <w:tc>
          <w:tcPr>
            <w:tcW w:w="1395" w:type="pct"/>
            <w:shd w:val="clear" w:color="000000" w:fill="BDD6EE"/>
            <w:vAlign w:val="center"/>
            <w:hideMark/>
          </w:tcPr>
          <w:p w14:paraId="63444A42" w14:textId="3C557D2B" w:rsidR="006D3E6B" w:rsidRPr="00E17614" w:rsidRDefault="006D3E6B" w:rsidP="00566BE6">
            <w:pPr>
              <w:jc w:val="center"/>
              <w:rPr>
                <w:rFonts w:ascii="Arial" w:hAnsi="Arial" w:cs="Arial"/>
                <w:b/>
                <w:bCs/>
                <w:color w:val="000000"/>
              </w:rPr>
            </w:pPr>
            <w:r w:rsidRPr="00E17614">
              <w:rPr>
                <w:rFonts w:ascii="Arial" w:hAnsi="Arial" w:cs="Arial"/>
                <w:b/>
                <w:bCs/>
                <w:color w:val="000000"/>
              </w:rPr>
              <w:t>Fiscal Year 2022</w:t>
            </w:r>
            <w:r w:rsidR="00B40D22" w:rsidRPr="00E17614">
              <w:rPr>
                <w:rFonts w:ascii="Arial" w:hAnsi="Arial" w:cs="Arial"/>
                <w:b/>
                <w:bCs/>
                <w:color w:val="000000"/>
              </w:rPr>
              <w:t>–</w:t>
            </w:r>
            <w:r w:rsidRPr="00E17614">
              <w:rPr>
                <w:rFonts w:ascii="Arial" w:hAnsi="Arial" w:cs="Arial"/>
                <w:b/>
                <w:bCs/>
                <w:color w:val="000000"/>
              </w:rPr>
              <w:t>23</w:t>
            </w:r>
          </w:p>
        </w:tc>
        <w:tc>
          <w:tcPr>
            <w:tcW w:w="1009" w:type="pct"/>
            <w:shd w:val="clear" w:color="000000" w:fill="BDD6EE"/>
            <w:vAlign w:val="center"/>
            <w:hideMark/>
          </w:tcPr>
          <w:p w14:paraId="4DE1A356" w14:textId="77777777" w:rsidR="006D3E6B" w:rsidRPr="00E17614" w:rsidRDefault="006D3E6B" w:rsidP="00566BE6">
            <w:pPr>
              <w:jc w:val="center"/>
              <w:rPr>
                <w:rFonts w:ascii="Arial" w:hAnsi="Arial" w:cs="Arial"/>
                <w:b/>
                <w:bCs/>
                <w:color w:val="000000"/>
              </w:rPr>
            </w:pPr>
            <w:r w:rsidRPr="00E17614">
              <w:rPr>
                <w:rFonts w:ascii="Arial" w:hAnsi="Arial" w:cs="Arial"/>
                <w:b/>
                <w:bCs/>
                <w:color w:val="000000"/>
              </w:rPr>
              <w:t xml:space="preserve">Total </w:t>
            </w:r>
          </w:p>
        </w:tc>
      </w:tr>
      <w:tr w:rsidR="006D3E6B" w:rsidRPr="00E17614" w14:paraId="4519BAEA" w14:textId="77777777" w:rsidTr="008634C6">
        <w:trPr>
          <w:trHeight w:val="570"/>
        </w:trPr>
        <w:tc>
          <w:tcPr>
            <w:tcW w:w="1192" w:type="pct"/>
            <w:shd w:val="clear" w:color="auto" w:fill="auto"/>
            <w:vAlign w:val="center"/>
            <w:hideMark/>
          </w:tcPr>
          <w:p w14:paraId="1FD4C5D6" w14:textId="77777777" w:rsidR="006D3E6B" w:rsidRPr="00E17614" w:rsidRDefault="006D3E6B" w:rsidP="009319A7">
            <w:pPr>
              <w:rPr>
                <w:rFonts w:ascii="Arial" w:hAnsi="Arial" w:cs="Arial"/>
                <w:color w:val="000000"/>
              </w:rPr>
            </w:pPr>
            <w:r w:rsidRPr="00E17614">
              <w:rPr>
                <w:rFonts w:ascii="Arial" w:hAnsi="Arial" w:cs="Arial"/>
                <w:color w:val="000000"/>
              </w:rPr>
              <w:t>Coaching and Mentoring</w:t>
            </w:r>
          </w:p>
        </w:tc>
        <w:tc>
          <w:tcPr>
            <w:tcW w:w="1405" w:type="pct"/>
            <w:shd w:val="clear" w:color="auto" w:fill="auto"/>
            <w:vAlign w:val="center"/>
            <w:hideMark/>
          </w:tcPr>
          <w:p w14:paraId="40B65C36" w14:textId="3BF9168F" w:rsidR="006D3E6B" w:rsidRPr="00E17614" w:rsidRDefault="006D3E6B" w:rsidP="009319A7">
            <w:pPr>
              <w:rPr>
                <w:rFonts w:ascii="Arial" w:hAnsi="Arial" w:cs="Arial"/>
                <w:color w:val="000000"/>
              </w:rPr>
            </w:pPr>
            <w:r w:rsidRPr="00E17614">
              <w:rPr>
                <w:rFonts w:ascii="Arial" w:hAnsi="Arial" w:cs="Arial"/>
                <w:color w:val="000000"/>
              </w:rPr>
              <w:t>$21,600,400.93</w:t>
            </w:r>
          </w:p>
        </w:tc>
        <w:tc>
          <w:tcPr>
            <w:tcW w:w="1395" w:type="pct"/>
            <w:shd w:val="clear" w:color="auto" w:fill="auto"/>
            <w:vAlign w:val="center"/>
            <w:hideMark/>
          </w:tcPr>
          <w:p w14:paraId="2EFC69AC" w14:textId="77777777" w:rsidR="006D3E6B" w:rsidRPr="00E17614" w:rsidRDefault="006D3E6B" w:rsidP="009319A7">
            <w:pPr>
              <w:rPr>
                <w:rFonts w:ascii="Arial" w:hAnsi="Arial" w:cs="Arial"/>
                <w:color w:val="000000"/>
              </w:rPr>
            </w:pPr>
            <w:r w:rsidRPr="00E17614">
              <w:rPr>
                <w:rFonts w:ascii="Arial" w:hAnsi="Arial" w:cs="Arial"/>
                <w:color w:val="000000"/>
              </w:rPr>
              <w:t xml:space="preserve">$71,689,353.83 </w:t>
            </w:r>
          </w:p>
        </w:tc>
        <w:tc>
          <w:tcPr>
            <w:tcW w:w="1009" w:type="pct"/>
            <w:shd w:val="clear" w:color="auto" w:fill="auto"/>
            <w:vAlign w:val="center"/>
            <w:hideMark/>
          </w:tcPr>
          <w:p w14:paraId="246EAE19" w14:textId="77777777" w:rsidR="006D3E6B" w:rsidRPr="00E17614" w:rsidRDefault="006D3E6B" w:rsidP="009319A7">
            <w:pPr>
              <w:rPr>
                <w:rFonts w:ascii="Arial" w:hAnsi="Arial" w:cs="Arial"/>
                <w:color w:val="000000"/>
              </w:rPr>
            </w:pPr>
            <w:r w:rsidRPr="00E17614">
              <w:rPr>
                <w:rFonts w:ascii="Arial" w:hAnsi="Arial" w:cs="Arial"/>
                <w:color w:val="000000"/>
              </w:rPr>
              <w:t xml:space="preserve">$93,289,754.76 </w:t>
            </w:r>
          </w:p>
        </w:tc>
      </w:tr>
    </w:tbl>
    <w:p w14:paraId="2AD141A4" w14:textId="3F57BCF8" w:rsidR="008C267E" w:rsidRPr="00E17614" w:rsidRDefault="000D7056" w:rsidP="00257F79">
      <w:pPr>
        <w:spacing w:before="240" w:after="240"/>
        <w:rPr>
          <w:rFonts w:ascii="Arial" w:hAnsi="Arial" w:cs="Arial"/>
        </w:rPr>
      </w:pPr>
      <w:r w:rsidRPr="00E17614">
        <w:rPr>
          <w:rFonts w:ascii="Arial" w:hAnsi="Arial" w:cs="Arial"/>
        </w:rPr>
        <w:t>Overall,</w:t>
      </w:r>
      <w:r w:rsidR="00835B14" w:rsidRPr="00E17614">
        <w:rPr>
          <w:rFonts w:ascii="Arial" w:hAnsi="Arial" w:cs="Arial"/>
        </w:rPr>
        <w:t xml:space="preserve"> </w:t>
      </w:r>
      <w:r w:rsidR="00A86EE9" w:rsidRPr="00E17614">
        <w:rPr>
          <w:rFonts w:ascii="Arial" w:hAnsi="Arial" w:cs="Arial"/>
          <w:bCs/>
        </w:rPr>
        <w:t>$93,289,754.76</w:t>
      </w:r>
      <w:r w:rsidR="00A86EE9" w:rsidRPr="00E17614">
        <w:rPr>
          <w:rFonts w:ascii="Arial" w:hAnsi="Arial" w:cs="Arial"/>
          <w:color w:val="000000" w:themeColor="text1"/>
        </w:rPr>
        <w:t xml:space="preserve"> </w:t>
      </w:r>
      <w:r w:rsidRPr="00E17614">
        <w:rPr>
          <w:rFonts w:ascii="Arial" w:hAnsi="Arial" w:cs="Arial"/>
        </w:rPr>
        <w:t>w</w:t>
      </w:r>
      <w:r w:rsidR="00737316" w:rsidRPr="00E17614">
        <w:rPr>
          <w:rFonts w:ascii="Arial" w:hAnsi="Arial" w:cs="Arial"/>
        </w:rPr>
        <w:t>ere</w:t>
      </w:r>
      <w:r w:rsidRPr="00E17614">
        <w:rPr>
          <w:rFonts w:ascii="Arial" w:hAnsi="Arial" w:cs="Arial"/>
        </w:rPr>
        <w:t xml:space="preserve"> spent </w:t>
      </w:r>
      <w:r w:rsidR="00BE2437" w:rsidRPr="00E17614">
        <w:rPr>
          <w:rFonts w:ascii="Arial" w:hAnsi="Arial" w:cs="Arial"/>
        </w:rPr>
        <w:t>on the first allowable use category,</w:t>
      </w:r>
      <w:r w:rsidRPr="00E17614">
        <w:rPr>
          <w:rFonts w:ascii="Arial" w:hAnsi="Arial" w:cs="Arial"/>
        </w:rPr>
        <w:t xml:space="preserve"> Coaching and Mentoring</w:t>
      </w:r>
      <w:r w:rsidR="00BE2437" w:rsidRPr="00E17614">
        <w:rPr>
          <w:rFonts w:ascii="Arial" w:hAnsi="Arial" w:cs="Arial"/>
        </w:rPr>
        <w:t>,</w:t>
      </w:r>
      <w:r w:rsidRPr="00E17614">
        <w:rPr>
          <w:rFonts w:ascii="Arial" w:hAnsi="Arial" w:cs="Arial"/>
        </w:rPr>
        <w:t xml:space="preserve"> </w:t>
      </w:r>
      <w:r w:rsidR="00835B14" w:rsidRPr="00E17614">
        <w:rPr>
          <w:rFonts w:ascii="Arial" w:hAnsi="Arial" w:cs="Arial"/>
        </w:rPr>
        <w:t>through</w:t>
      </w:r>
      <w:r w:rsidRPr="00E17614">
        <w:rPr>
          <w:rFonts w:ascii="Arial" w:hAnsi="Arial" w:cs="Arial"/>
        </w:rPr>
        <w:t xml:space="preserve"> </w:t>
      </w:r>
      <w:r w:rsidR="00237005" w:rsidRPr="00E17614">
        <w:rPr>
          <w:rFonts w:ascii="Arial" w:hAnsi="Arial" w:cs="Arial"/>
        </w:rPr>
        <w:t xml:space="preserve">the </w:t>
      </w:r>
      <w:r w:rsidRPr="00E17614">
        <w:rPr>
          <w:rFonts w:ascii="Arial" w:hAnsi="Arial" w:cs="Arial"/>
        </w:rPr>
        <w:t xml:space="preserve">EEF. </w:t>
      </w:r>
      <w:r w:rsidR="008C267E" w:rsidRPr="00E17614">
        <w:rPr>
          <w:rFonts w:ascii="Arial" w:hAnsi="Arial" w:cs="Arial"/>
        </w:rPr>
        <w:t>M</w:t>
      </w:r>
      <w:r w:rsidRPr="00E17614">
        <w:rPr>
          <w:rFonts w:ascii="Arial" w:hAnsi="Arial" w:cs="Arial"/>
        </w:rPr>
        <w:t>any LEAs spent funds on</w:t>
      </w:r>
      <w:r w:rsidR="00257F79" w:rsidRPr="00E17614">
        <w:rPr>
          <w:rFonts w:ascii="Arial" w:hAnsi="Arial" w:cs="Arial"/>
        </w:rPr>
        <w:t xml:space="preserve"> induction through th</w:t>
      </w:r>
      <w:r w:rsidR="008C267E" w:rsidRPr="00E17614">
        <w:rPr>
          <w:rFonts w:ascii="Arial" w:hAnsi="Arial" w:cs="Arial"/>
        </w:rPr>
        <w:t xml:space="preserve">e Coaching and Mentoring </w:t>
      </w:r>
      <w:r w:rsidR="00257F79" w:rsidRPr="00E17614">
        <w:rPr>
          <w:rFonts w:ascii="Arial" w:hAnsi="Arial" w:cs="Arial"/>
        </w:rPr>
        <w:t>category for FY 2021–22</w:t>
      </w:r>
      <w:r w:rsidRPr="00E17614">
        <w:rPr>
          <w:rFonts w:ascii="Arial" w:hAnsi="Arial" w:cs="Arial"/>
        </w:rPr>
        <w:t xml:space="preserve">. </w:t>
      </w:r>
      <w:r w:rsidR="008C267E" w:rsidRPr="00E17614">
        <w:rPr>
          <w:rFonts w:ascii="Arial" w:hAnsi="Arial" w:cs="Arial"/>
        </w:rPr>
        <w:t>It is important to note that AB 181 (</w:t>
      </w:r>
      <w:r w:rsidR="00F87953" w:rsidRPr="00E17614">
        <w:rPr>
          <w:rFonts w:ascii="Arial" w:hAnsi="Arial" w:cs="Arial"/>
        </w:rPr>
        <w:t xml:space="preserve">Ch. 52, </w:t>
      </w:r>
      <w:r w:rsidR="008C267E" w:rsidRPr="00E17614">
        <w:rPr>
          <w:rFonts w:ascii="Arial" w:hAnsi="Arial" w:cs="Arial"/>
        </w:rPr>
        <w:t>Stats</w:t>
      </w:r>
      <w:r w:rsidR="00F87953" w:rsidRPr="00E17614">
        <w:rPr>
          <w:rFonts w:ascii="Arial" w:hAnsi="Arial" w:cs="Arial"/>
        </w:rPr>
        <w:t>.</w:t>
      </w:r>
      <w:r w:rsidR="00C73233" w:rsidRPr="00E17614">
        <w:rPr>
          <w:rFonts w:ascii="Arial" w:hAnsi="Arial" w:cs="Arial"/>
        </w:rPr>
        <w:t xml:space="preserve"> </w:t>
      </w:r>
      <w:r w:rsidR="008C267E" w:rsidRPr="00E17614">
        <w:rPr>
          <w:rFonts w:ascii="Arial" w:hAnsi="Arial" w:cs="Arial"/>
        </w:rPr>
        <w:t xml:space="preserve">2022) </w:t>
      </w:r>
      <w:r w:rsidR="00B36D69" w:rsidRPr="00E17614">
        <w:rPr>
          <w:rFonts w:ascii="Arial" w:hAnsi="Arial" w:cs="Arial"/>
        </w:rPr>
        <w:t xml:space="preserve">added an extra allowable use category to </w:t>
      </w:r>
      <w:r w:rsidR="00237005" w:rsidRPr="00E17614">
        <w:rPr>
          <w:rFonts w:ascii="Arial" w:hAnsi="Arial" w:cs="Arial"/>
        </w:rPr>
        <w:t xml:space="preserve">the </w:t>
      </w:r>
      <w:r w:rsidR="00B36D69" w:rsidRPr="00E17614">
        <w:rPr>
          <w:rFonts w:ascii="Arial" w:hAnsi="Arial" w:cs="Arial"/>
        </w:rPr>
        <w:t xml:space="preserve">EEF for teacher retention and induction, </w:t>
      </w:r>
      <w:r w:rsidR="0005627D" w:rsidRPr="00E17614">
        <w:rPr>
          <w:rFonts w:ascii="Arial" w:hAnsi="Arial" w:cs="Arial"/>
        </w:rPr>
        <w:t>which resulted in</w:t>
      </w:r>
      <w:r w:rsidR="00B36D69" w:rsidRPr="00E17614">
        <w:rPr>
          <w:rFonts w:ascii="Arial" w:hAnsi="Arial" w:cs="Arial"/>
        </w:rPr>
        <w:t xml:space="preserve"> 11 allowable uses under the EE</w:t>
      </w:r>
      <w:r w:rsidR="00485CCA" w:rsidRPr="00E17614">
        <w:rPr>
          <w:rFonts w:ascii="Arial" w:hAnsi="Arial" w:cs="Arial"/>
        </w:rPr>
        <w:t>F</w:t>
      </w:r>
      <w:r w:rsidR="008C267E" w:rsidRPr="00E17614">
        <w:rPr>
          <w:rFonts w:ascii="Arial" w:hAnsi="Arial" w:cs="Arial"/>
          <w:color w:val="000000"/>
          <w:shd w:val="clear" w:color="auto" w:fill="FFFFFF"/>
        </w:rPr>
        <w:t>.</w:t>
      </w:r>
      <w:r w:rsidR="008C267E" w:rsidRPr="00E17614">
        <w:rPr>
          <w:rFonts w:ascii="Arial" w:hAnsi="Arial" w:cs="Arial"/>
        </w:rPr>
        <w:t xml:space="preserve"> However, for FY 2021–22, there were only 10 allowable uses</w:t>
      </w:r>
      <w:r w:rsidR="00237005" w:rsidRPr="00E17614">
        <w:rPr>
          <w:rFonts w:ascii="Arial" w:hAnsi="Arial" w:cs="Arial"/>
        </w:rPr>
        <w:t>;</w:t>
      </w:r>
      <w:r w:rsidR="008C267E" w:rsidRPr="00E17614">
        <w:rPr>
          <w:rFonts w:ascii="Arial" w:hAnsi="Arial" w:cs="Arial"/>
        </w:rPr>
        <w:t xml:space="preserve"> therefore</w:t>
      </w:r>
      <w:r w:rsidR="00237005" w:rsidRPr="00E17614">
        <w:rPr>
          <w:rFonts w:ascii="Arial" w:hAnsi="Arial" w:cs="Arial"/>
        </w:rPr>
        <w:t>,</w:t>
      </w:r>
      <w:r w:rsidR="008C267E" w:rsidRPr="00E17614">
        <w:rPr>
          <w:rFonts w:ascii="Arial" w:hAnsi="Arial" w:cs="Arial"/>
        </w:rPr>
        <w:t xml:space="preserve"> many LEAs spent</w:t>
      </w:r>
      <w:r w:rsidR="00257CE9" w:rsidRPr="00E17614">
        <w:rPr>
          <w:rFonts w:ascii="Arial" w:hAnsi="Arial" w:cs="Arial"/>
        </w:rPr>
        <w:t xml:space="preserve"> the</w:t>
      </w:r>
      <w:r w:rsidR="008C267E" w:rsidRPr="00E17614">
        <w:rPr>
          <w:rFonts w:ascii="Arial" w:hAnsi="Arial" w:cs="Arial"/>
        </w:rPr>
        <w:t xml:space="preserve"> EEF on beginning teacher induction, beginning administrator induction, and teacher retention through the Coaching and Mentoring category in FY 2021–22. In total, for FY 2021–22, LEAs spent $</w:t>
      </w:r>
      <w:r w:rsidR="00080FA9" w:rsidRPr="00E17614">
        <w:rPr>
          <w:rFonts w:ascii="Arial" w:hAnsi="Arial" w:cs="Arial"/>
        </w:rPr>
        <w:t>9,006,032</w:t>
      </w:r>
      <w:r w:rsidR="00420ED2" w:rsidRPr="00E17614">
        <w:rPr>
          <w:rFonts w:ascii="Arial" w:hAnsi="Arial" w:cs="Arial"/>
        </w:rPr>
        <w:t>.04</w:t>
      </w:r>
      <w:r w:rsidR="008C267E" w:rsidRPr="00E17614">
        <w:rPr>
          <w:rFonts w:ascii="Arial" w:hAnsi="Arial" w:cs="Arial"/>
        </w:rPr>
        <w:t xml:space="preserve"> on induction and retention.</w:t>
      </w:r>
      <w:r w:rsidR="00BE734E" w:rsidRPr="00E17614">
        <w:rPr>
          <w:rFonts w:ascii="Arial" w:hAnsi="Arial" w:cs="Arial"/>
        </w:rPr>
        <w:t xml:space="preserve"> Please note that from FY 2022–23 on</w:t>
      </w:r>
      <w:r w:rsidR="00230AA6" w:rsidRPr="00E17614">
        <w:rPr>
          <w:rFonts w:ascii="Arial" w:hAnsi="Arial" w:cs="Arial"/>
        </w:rPr>
        <w:t>,</w:t>
      </w:r>
      <w:r w:rsidR="00BE734E" w:rsidRPr="00E17614">
        <w:rPr>
          <w:rFonts w:ascii="Arial" w:hAnsi="Arial" w:cs="Arial"/>
        </w:rPr>
        <w:t xml:space="preserve"> all induction</w:t>
      </w:r>
      <w:r w:rsidR="0005627D" w:rsidRPr="00E17614">
        <w:rPr>
          <w:rFonts w:ascii="Arial" w:hAnsi="Arial" w:cs="Arial"/>
        </w:rPr>
        <w:t>-</w:t>
      </w:r>
      <w:r w:rsidR="00BE734E" w:rsidRPr="00E17614">
        <w:rPr>
          <w:rFonts w:ascii="Arial" w:hAnsi="Arial" w:cs="Arial"/>
        </w:rPr>
        <w:t xml:space="preserve">related costs </w:t>
      </w:r>
      <w:r w:rsidR="00230AA6" w:rsidRPr="00E17614">
        <w:rPr>
          <w:rFonts w:ascii="Arial" w:hAnsi="Arial" w:cs="Arial"/>
        </w:rPr>
        <w:t>should be</w:t>
      </w:r>
      <w:r w:rsidR="00BE734E" w:rsidRPr="00E17614">
        <w:rPr>
          <w:rFonts w:ascii="Arial" w:hAnsi="Arial" w:cs="Arial"/>
        </w:rPr>
        <w:t xml:space="preserve"> associated with</w:t>
      </w:r>
      <w:r w:rsidR="00230AA6" w:rsidRPr="00E17614">
        <w:rPr>
          <w:rFonts w:ascii="Arial" w:hAnsi="Arial" w:cs="Arial"/>
        </w:rPr>
        <w:t xml:space="preserve"> </w:t>
      </w:r>
      <w:r w:rsidR="0033441C" w:rsidRPr="00E17614">
        <w:rPr>
          <w:rFonts w:ascii="Arial" w:hAnsi="Arial" w:cs="Arial"/>
        </w:rPr>
        <w:t xml:space="preserve">the </w:t>
      </w:r>
      <w:r w:rsidR="00230AA6" w:rsidRPr="00E17614">
        <w:rPr>
          <w:rFonts w:ascii="Arial" w:hAnsi="Arial" w:cs="Arial"/>
        </w:rPr>
        <w:t>EEF</w:t>
      </w:r>
      <w:r w:rsidR="00BE734E" w:rsidRPr="00E17614">
        <w:rPr>
          <w:rFonts w:ascii="Arial" w:hAnsi="Arial" w:cs="Arial"/>
        </w:rPr>
        <w:t xml:space="preserve"> allowable use number 11</w:t>
      </w:r>
      <w:r w:rsidR="00D51F63" w:rsidRPr="00E17614">
        <w:rPr>
          <w:rFonts w:ascii="Arial" w:hAnsi="Arial" w:cs="Arial"/>
        </w:rPr>
        <w:t>, “Teacher</w:t>
      </w:r>
      <w:r w:rsidR="00A07731" w:rsidRPr="00E17614">
        <w:rPr>
          <w:rFonts w:ascii="Arial" w:hAnsi="Arial" w:cs="Arial"/>
        </w:rPr>
        <w:t xml:space="preserve"> Retention Strategies,”</w:t>
      </w:r>
      <w:r w:rsidR="00BE734E" w:rsidRPr="00E17614">
        <w:rPr>
          <w:rFonts w:ascii="Arial" w:hAnsi="Arial" w:cs="Arial"/>
        </w:rPr>
        <w:t xml:space="preserve"> per AB 181.</w:t>
      </w:r>
    </w:p>
    <w:p w14:paraId="6A1FBB6B" w14:textId="0F3B3E3F" w:rsidR="000D7056" w:rsidRPr="00E17614" w:rsidRDefault="00D51F63" w:rsidP="00EB4CD9">
      <w:pPr>
        <w:spacing w:after="240"/>
        <w:rPr>
          <w:rFonts w:ascii="Arial" w:hAnsi="Arial" w:cs="Arial"/>
        </w:rPr>
      </w:pPr>
      <w:r w:rsidRPr="00E17614">
        <w:rPr>
          <w:rFonts w:ascii="Arial" w:hAnsi="Arial" w:cs="Arial"/>
        </w:rPr>
        <w:t xml:space="preserve">In </w:t>
      </w:r>
      <w:r w:rsidR="007E22F5" w:rsidRPr="00E17614">
        <w:rPr>
          <w:rFonts w:ascii="Arial" w:hAnsi="Arial" w:cs="Arial"/>
        </w:rPr>
        <w:t xml:space="preserve">total for </w:t>
      </w:r>
      <w:r w:rsidRPr="00E17614">
        <w:rPr>
          <w:rFonts w:ascii="Arial" w:hAnsi="Arial" w:cs="Arial"/>
        </w:rPr>
        <w:t>FY</w:t>
      </w:r>
      <w:r w:rsidR="00257CE9" w:rsidRPr="00E17614">
        <w:rPr>
          <w:rFonts w:ascii="Arial" w:hAnsi="Arial" w:cs="Arial"/>
        </w:rPr>
        <w:t>s</w:t>
      </w:r>
      <w:r w:rsidRPr="00E17614">
        <w:rPr>
          <w:rFonts w:ascii="Arial" w:hAnsi="Arial" w:cs="Arial"/>
        </w:rPr>
        <w:t xml:space="preserve"> 2021–22 and 2022–23</w:t>
      </w:r>
      <w:r w:rsidR="005205F6" w:rsidRPr="00E17614">
        <w:rPr>
          <w:rFonts w:ascii="Arial" w:hAnsi="Arial" w:cs="Arial"/>
        </w:rPr>
        <w:t>,</w:t>
      </w:r>
      <w:r w:rsidR="007E22F5" w:rsidRPr="00E17614">
        <w:rPr>
          <w:rFonts w:ascii="Arial" w:hAnsi="Arial" w:cs="Arial"/>
        </w:rPr>
        <w:t xml:space="preserve"> LEAs reported spending </w:t>
      </w:r>
      <w:r w:rsidR="00257CE9" w:rsidRPr="00E17614">
        <w:rPr>
          <w:rFonts w:ascii="Arial" w:hAnsi="Arial" w:cs="Arial"/>
        </w:rPr>
        <w:t xml:space="preserve">the </w:t>
      </w:r>
      <w:r w:rsidR="005205F6" w:rsidRPr="00E17614">
        <w:rPr>
          <w:rFonts w:ascii="Arial" w:hAnsi="Arial" w:cs="Arial"/>
        </w:rPr>
        <w:t xml:space="preserve">EEF on a variety of items in the Coaching and Mentoring category. </w:t>
      </w:r>
      <w:r w:rsidR="002B4381" w:rsidRPr="00E17614">
        <w:rPr>
          <w:rFonts w:ascii="Arial" w:hAnsi="Arial" w:cs="Arial"/>
        </w:rPr>
        <w:t xml:space="preserve">Aside from induction, </w:t>
      </w:r>
      <w:r w:rsidR="005205F6" w:rsidRPr="00E17614">
        <w:rPr>
          <w:rFonts w:ascii="Arial" w:hAnsi="Arial" w:cs="Arial"/>
        </w:rPr>
        <w:t>LEAs mentioned</w:t>
      </w:r>
      <w:r w:rsidR="002B4381" w:rsidRPr="00E17614">
        <w:rPr>
          <w:rFonts w:ascii="Arial" w:hAnsi="Arial" w:cs="Arial"/>
        </w:rPr>
        <w:t xml:space="preserve"> utilizing outside vendors for mentoring, coaching train-the-trainer programs, instructional leadership</w:t>
      </w:r>
      <w:r w:rsidR="007C342D" w:rsidRPr="00E17614">
        <w:rPr>
          <w:rFonts w:ascii="Arial" w:hAnsi="Arial" w:cs="Arial"/>
        </w:rPr>
        <w:t xml:space="preserve">, </w:t>
      </w:r>
      <w:r w:rsidR="002B4381" w:rsidRPr="00E17614">
        <w:rPr>
          <w:rFonts w:ascii="Arial" w:hAnsi="Arial" w:cs="Arial"/>
        </w:rPr>
        <w:t>and literacy coaching.</w:t>
      </w:r>
      <w:r w:rsidR="00281651" w:rsidRPr="00E17614">
        <w:rPr>
          <w:rFonts w:ascii="Arial" w:hAnsi="Arial" w:cs="Arial"/>
        </w:rPr>
        <w:t xml:space="preserve"> </w:t>
      </w:r>
      <w:r w:rsidR="00552829" w:rsidRPr="00E17614">
        <w:rPr>
          <w:rFonts w:ascii="Arial" w:hAnsi="Arial" w:cs="Arial"/>
        </w:rPr>
        <w:t>It is significant to note that $427,868.89 w</w:t>
      </w:r>
      <w:r w:rsidR="0005627D" w:rsidRPr="00E17614">
        <w:rPr>
          <w:rFonts w:ascii="Arial" w:hAnsi="Arial" w:cs="Arial"/>
        </w:rPr>
        <w:t>ere</w:t>
      </w:r>
      <w:r w:rsidR="00552829" w:rsidRPr="00E17614">
        <w:rPr>
          <w:rFonts w:ascii="Arial" w:hAnsi="Arial" w:cs="Arial"/>
        </w:rPr>
        <w:t xml:space="preserve"> spent on efforts to diversify the workforce through the EEF Coaching and Mentoring use. LEAs reported providing coaching and assistance utilizing targeted recruitment activities in an effort to recruit and retain educators of color.</w:t>
      </w:r>
      <w:r w:rsidR="007366FA" w:rsidRPr="00E17614">
        <w:rPr>
          <w:rFonts w:ascii="Arial" w:hAnsi="Arial" w:cs="Arial"/>
        </w:rPr>
        <w:t xml:space="preserve"> Moreover, LEAs reported providing coaching and professional learning topics centered on diverse populations such as dual</w:t>
      </w:r>
      <w:r w:rsidR="0005627D" w:rsidRPr="00E17614">
        <w:rPr>
          <w:rFonts w:ascii="Arial" w:hAnsi="Arial" w:cs="Arial"/>
        </w:rPr>
        <w:t>-</w:t>
      </w:r>
      <w:r w:rsidR="007366FA" w:rsidRPr="00E17614">
        <w:rPr>
          <w:rFonts w:ascii="Arial" w:hAnsi="Arial" w:cs="Arial"/>
        </w:rPr>
        <w:t>immersion and bilingual education.</w:t>
      </w:r>
    </w:p>
    <w:p w14:paraId="0CD58DBF" w14:textId="1BFBCD37" w:rsidR="00C0172F" w:rsidRPr="00E17614" w:rsidRDefault="00C0172F" w:rsidP="00685EE0">
      <w:pPr>
        <w:spacing w:before="480" w:after="240"/>
        <w:jc w:val="center"/>
        <w:rPr>
          <w:rFonts w:ascii="Arial" w:hAnsi="Arial" w:cs="Arial"/>
          <w:b/>
          <w:bCs/>
        </w:rPr>
      </w:pPr>
      <w:bookmarkStart w:id="17" w:name="_Toc148514287"/>
      <w:bookmarkStart w:id="18" w:name="_Toc148516362"/>
      <w:r w:rsidRPr="00E17614">
        <w:rPr>
          <w:rFonts w:ascii="Arial" w:hAnsi="Arial" w:cs="Arial"/>
          <w:b/>
          <w:bCs/>
        </w:rPr>
        <w:t>Standards-</w:t>
      </w:r>
      <w:r w:rsidR="0041603C" w:rsidRPr="00E17614">
        <w:rPr>
          <w:rFonts w:ascii="Arial" w:hAnsi="Arial" w:cs="Arial"/>
          <w:b/>
          <w:bCs/>
        </w:rPr>
        <w:t>A</w:t>
      </w:r>
      <w:r w:rsidRPr="00E17614">
        <w:rPr>
          <w:rFonts w:ascii="Arial" w:hAnsi="Arial" w:cs="Arial"/>
          <w:b/>
          <w:bCs/>
        </w:rPr>
        <w:t xml:space="preserve">ligned </w:t>
      </w:r>
      <w:r w:rsidR="00B63DAE" w:rsidRPr="00E17614">
        <w:rPr>
          <w:rFonts w:ascii="Arial" w:hAnsi="Arial" w:cs="Arial"/>
          <w:b/>
          <w:bCs/>
        </w:rPr>
        <w:t>Instruction</w:t>
      </w:r>
      <w:r w:rsidRPr="00E17614">
        <w:rPr>
          <w:rFonts w:ascii="Arial" w:hAnsi="Arial" w:cs="Arial"/>
          <w:b/>
          <w:bCs/>
        </w:rPr>
        <w:t xml:space="preserve"> Total Expenditures</w:t>
      </w:r>
      <w:bookmarkEnd w:id="17"/>
      <w:bookmarkEnd w:id="18"/>
    </w:p>
    <w:p w14:paraId="1F69B9D2" w14:textId="7CBF368A" w:rsidR="008C06AE" w:rsidRPr="00E17614" w:rsidRDefault="008C06AE" w:rsidP="00CC0E8F">
      <w:pPr>
        <w:spacing w:after="240"/>
        <w:rPr>
          <w:rFonts w:ascii="Arial" w:hAnsi="Arial" w:cs="Arial"/>
          <w:b/>
          <w:bCs/>
        </w:rPr>
      </w:pPr>
      <w:r w:rsidRPr="00E17614">
        <w:rPr>
          <w:rFonts w:ascii="Arial" w:hAnsi="Arial" w:cs="Arial"/>
          <w:b/>
          <w:bCs/>
        </w:rPr>
        <w:t xml:space="preserve">Table </w:t>
      </w:r>
      <w:r w:rsidR="003C472C" w:rsidRPr="00E17614">
        <w:rPr>
          <w:rFonts w:ascii="Arial" w:hAnsi="Arial" w:cs="Arial"/>
          <w:b/>
          <w:bCs/>
        </w:rPr>
        <w:t>4</w:t>
      </w:r>
      <w:r w:rsidRPr="00E17614">
        <w:rPr>
          <w:rFonts w:ascii="Arial" w:hAnsi="Arial" w:cs="Arial"/>
          <w:b/>
          <w:bCs/>
        </w:rPr>
        <w:t>. Standards-Aligned Instruction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2021–23 Standards-Aligned Instruction Total Expenditures"/>
        <w:tblDescription w:val="This table provides the 2021–23 total for the Standards-Aligned Instruction  allowable use category."/>
      </w:tblPr>
      <w:tblGrid>
        <w:gridCol w:w="2229"/>
        <w:gridCol w:w="2717"/>
        <w:gridCol w:w="2517"/>
        <w:gridCol w:w="1887"/>
      </w:tblGrid>
      <w:tr w:rsidR="009B5818" w:rsidRPr="00E17614" w14:paraId="5E66252C" w14:textId="77777777" w:rsidTr="008634C6">
        <w:trPr>
          <w:trHeight w:val="320"/>
        </w:trPr>
        <w:tc>
          <w:tcPr>
            <w:tcW w:w="1192" w:type="pct"/>
            <w:shd w:val="clear" w:color="000000" w:fill="BDD6EE"/>
            <w:vAlign w:val="center"/>
            <w:hideMark/>
          </w:tcPr>
          <w:p w14:paraId="6A9BEBBC" w14:textId="77777777" w:rsidR="009B5818" w:rsidRPr="00E17614" w:rsidRDefault="009B5818" w:rsidP="00566BE6">
            <w:pPr>
              <w:jc w:val="center"/>
              <w:rPr>
                <w:rFonts w:ascii="Arial" w:hAnsi="Arial" w:cs="Arial"/>
                <w:b/>
                <w:bCs/>
                <w:color w:val="000000"/>
              </w:rPr>
            </w:pPr>
            <w:r w:rsidRPr="00E17614">
              <w:rPr>
                <w:rFonts w:ascii="Arial" w:hAnsi="Arial" w:cs="Arial"/>
                <w:b/>
                <w:bCs/>
                <w:color w:val="000000"/>
              </w:rPr>
              <w:t>Report Field</w:t>
            </w:r>
          </w:p>
        </w:tc>
        <w:tc>
          <w:tcPr>
            <w:tcW w:w="1453" w:type="pct"/>
            <w:shd w:val="clear" w:color="000000" w:fill="BDD6EE"/>
            <w:vAlign w:val="center"/>
            <w:hideMark/>
          </w:tcPr>
          <w:p w14:paraId="7AAF8B92" w14:textId="0AAD8718" w:rsidR="009B5818" w:rsidRPr="00E17614" w:rsidRDefault="009B5818" w:rsidP="00566BE6">
            <w:pPr>
              <w:jc w:val="center"/>
              <w:rPr>
                <w:rFonts w:ascii="Arial" w:hAnsi="Arial" w:cs="Arial"/>
                <w:b/>
                <w:bCs/>
                <w:color w:val="000000"/>
              </w:rPr>
            </w:pPr>
            <w:r w:rsidRPr="00E17614">
              <w:rPr>
                <w:rFonts w:ascii="Arial" w:hAnsi="Arial" w:cs="Arial"/>
                <w:b/>
                <w:bCs/>
                <w:color w:val="000000"/>
              </w:rPr>
              <w:t>Fiscal Year 2021</w:t>
            </w:r>
            <w:r w:rsidR="009D3E79" w:rsidRPr="00E17614">
              <w:rPr>
                <w:rFonts w:ascii="Arial" w:hAnsi="Arial" w:cs="Arial"/>
                <w:b/>
                <w:bCs/>
                <w:color w:val="000000"/>
              </w:rPr>
              <w:t>–</w:t>
            </w:r>
            <w:r w:rsidRPr="00E17614">
              <w:rPr>
                <w:rFonts w:ascii="Arial" w:hAnsi="Arial" w:cs="Arial"/>
                <w:b/>
                <w:bCs/>
                <w:color w:val="000000"/>
              </w:rPr>
              <w:t>22</w:t>
            </w:r>
          </w:p>
        </w:tc>
        <w:tc>
          <w:tcPr>
            <w:tcW w:w="1346" w:type="pct"/>
            <w:shd w:val="clear" w:color="000000" w:fill="BDD6EE"/>
            <w:vAlign w:val="center"/>
            <w:hideMark/>
          </w:tcPr>
          <w:p w14:paraId="3B8A5F0B" w14:textId="1EF12F31" w:rsidR="009B5818" w:rsidRPr="00E17614" w:rsidRDefault="009B5818" w:rsidP="00566BE6">
            <w:pPr>
              <w:jc w:val="center"/>
              <w:rPr>
                <w:rFonts w:ascii="Arial" w:hAnsi="Arial" w:cs="Arial"/>
                <w:b/>
                <w:bCs/>
                <w:color w:val="000000"/>
              </w:rPr>
            </w:pPr>
            <w:r w:rsidRPr="00E17614">
              <w:rPr>
                <w:rFonts w:ascii="Arial" w:hAnsi="Arial" w:cs="Arial"/>
                <w:b/>
                <w:bCs/>
                <w:color w:val="000000"/>
              </w:rPr>
              <w:t>Fiscal Year 2022</w:t>
            </w:r>
            <w:r w:rsidR="00096EC8" w:rsidRPr="00E17614">
              <w:rPr>
                <w:rFonts w:ascii="Arial" w:hAnsi="Arial" w:cs="Arial"/>
                <w:b/>
                <w:bCs/>
                <w:color w:val="000000"/>
              </w:rPr>
              <w:t>–</w:t>
            </w:r>
            <w:r w:rsidRPr="00E17614">
              <w:rPr>
                <w:rFonts w:ascii="Arial" w:hAnsi="Arial" w:cs="Arial"/>
                <w:b/>
                <w:bCs/>
                <w:color w:val="000000"/>
              </w:rPr>
              <w:t>23</w:t>
            </w:r>
          </w:p>
        </w:tc>
        <w:tc>
          <w:tcPr>
            <w:tcW w:w="1009" w:type="pct"/>
            <w:shd w:val="clear" w:color="000000" w:fill="BDD6EE"/>
            <w:vAlign w:val="center"/>
            <w:hideMark/>
          </w:tcPr>
          <w:p w14:paraId="466CFE57" w14:textId="77777777" w:rsidR="009B5818" w:rsidRPr="00E17614" w:rsidRDefault="009B5818" w:rsidP="00566BE6">
            <w:pPr>
              <w:jc w:val="center"/>
              <w:rPr>
                <w:rFonts w:ascii="Arial" w:hAnsi="Arial" w:cs="Arial"/>
                <w:b/>
                <w:bCs/>
                <w:color w:val="000000"/>
              </w:rPr>
            </w:pPr>
            <w:r w:rsidRPr="00E17614">
              <w:rPr>
                <w:rFonts w:ascii="Arial" w:hAnsi="Arial" w:cs="Arial"/>
                <w:b/>
                <w:bCs/>
                <w:color w:val="000000"/>
              </w:rPr>
              <w:t xml:space="preserve">Total </w:t>
            </w:r>
          </w:p>
        </w:tc>
      </w:tr>
      <w:tr w:rsidR="009B5818" w:rsidRPr="00E17614" w14:paraId="471A05BF" w14:textId="77777777" w:rsidTr="008634C6">
        <w:trPr>
          <w:trHeight w:val="630"/>
        </w:trPr>
        <w:tc>
          <w:tcPr>
            <w:tcW w:w="1192" w:type="pct"/>
            <w:shd w:val="clear" w:color="auto" w:fill="auto"/>
            <w:vAlign w:val="center"/>
            <w:hideMark/>
          </w:tcPr>
          <w:p w14:paraId="0FACF376" w14:textId="77777777" w:rsidR="009B5818" w:rsidRPr="00E17614" w:rsidRDefault="009B5818" w:rsidP="00F221CC">
            <w:pPr>
              <w:rPr>
                <w:rFonts w:ascii="Arial" w:hAnsi="Arial" w:cs="Arial"/>
                <w:color w:val="000000"/>
              </w:rPr>
            </w:pPr>
            <w:r w:rsidRPr="00E17614">
              <w:rPr>
                <w:rFonts w:ascii="Arial" w:hAnsi="Arial" w:cs="Arial"/>
                <w:color w:val="000000"/>
              </w:rPr>
              <w:t>Standards-Aligned Instruction</w:t>
            </w:r>
          </w:p>
        </w:tc>
        <w:tc>
          <w:tcPr>
            <w:tcW w:w="1453" w:type="pct"/>
            <w:shd w:val="clear" w:color="auto" w:fill="auto"/>
            <w:vAlign w:val="center"/>
            <w:hideMark/>
          </w:tcPr>
          <w:p w14:paraId="7904AD9C" w14:textId="77777777" w:rsidR="009B5818" w:rsidRPr="00E17614" w:rsidRDefault="009B5818" w:rsidP="00F221CC">
            <w:pPr>
              <w:rPr>
                <w:rFonts w:ascii="Arial" w:hAnsi="Arial" w:cs="Arial"/>
                <w:color w:val="000000"/>
              </w:rPr>
            </w:pPr>
            <w:r w:rsidRPr="00E17614">
              <w:rPr>
                <w:rFonts w:ascii="Arial" w:hAnsi="Arial" w:cs="Arial"/>
                <w:color w:val="000000"/>
              </w:rPr>
              <w:t xml:space="preserve">$6,686,765.82 </w:t>
            </w:r>
          </w:p>
        </w:tc>
        <w:tc>
          <w:tcPr>
            <w:tcW w:w="1346" w:type="pct"/>
            <w:shd w:val="clear" w:color="auto" w:fill="auto"/>
            <w:vAlign w:val="center"/>
            <w:hideMark/>
          </w:tcPr>
          <w:p w14:paraId="43853F45" w14:textId="77777777" w:rsidR="009B5818" w:rsidRPr="00E17614" w:rsidRDefault="009B5818" w:rsidP="00F221CC">
            <w:pPr>
              <w:rPr>
                <w:rFonts w:ascii="Arial" w:hAnsi="Arial" w:cs="Arial"/>
                <w:color w:val="000000"/>
              </w:rPr>
            </w:pPr>
            <w:r w:rsidRPr="00E17614">
              <w:rPr>
                <w:rFonts w:ascii="Arial" w:hAnsi="Arial" w:cs="Arial"/>
                <w:color w:val="000000"/>
              </w:rPr>
              <w:t xml:space="preserve">$46,966,745.63 </w:t>
            </w:r>
          </w:p>
        </w:tc>
        <w:tc>
          <w:tcPr>
            <w:tcW w:w="1009" w:type="pct"/>
            <w:shd w:val="clear" w:color="auto" w:fill="auto"/>
            <w:vAlign w:val="center"/>
            <w:hideMark/>
          </w:tcPr>
          <w:p w14:paraId="69D90ECF" w14:textId="77777777" w:rsidR="009B5818" w:rsidRPr="00E17614" w:rsidRDefault="009B5818" w:rsidP="00F221CC">
            <w:pPr>
              <w:rPr>
                <w:rFonts w:ascii="Arial" w:hAnsi="Arial" w:cs="Arial"/>
                <w:color w:val="000000"/>
              </w:rPr>
            </w:pPr>
            <w:r w:rsidRPr="00E17614">
              <w:rPr>
                <w:rFonts w:ascii="Arial" w:hAnsi="Arial" w:cs="Arial"/>
                <w:color w:val="000000"/>
              </w:rPr>
              <w:t xml:space="preserve">$53,653,511.45 </w:t>
            </w:r>
          </w:p>
        </w:tc>
      </w:tr>
    </w:tbl>
    <w:p w14:paraId="75287E3E" w14:textId="77777777" w:rsidR="00C63D30" w:rsidRDefault="00095E92" w:rsidP="00C63D30">
      <w:pPr>
        <w:spacing w:before="240" w:after="480"/>
        <w:rPr>
          <w:rFonts w:ascii="Arial" w:hAnsi="Arial" w:cs="Arial"/>
        </w:rPr>
      </w:pPr>
      <w:r w:rsidRPr="00E17614">
        <w:rPr>
          <w:rFonts w:ascii="Arial" w:hAnsi="Arial" w:cs="Arial"/>
        </w:rPr>
        <w:t>In total</w:t>
      </w:r>
      <w:r w:rsidR="00EE2C13" w:rsidRPr="00E17614">
        <w:rPr>
          <w:rFonts w:ascii="Arial" w:hAnsi="Arial" w:cs="Arial"/>
        </w:rPr>
        <w:t xml:space="preserve">, </w:t>
      </w:r>
      <w:r w:rsidR="00306D00" w:rsidRPr="00E17614">
        <w:rPr>
          <w:rFonts w:ascii="Arial" w:hAnsi="Arial" w:cs="Arial"/>
          <w:color w:val="000000" w:themeColor="text1"/>
        </w:rPr>
        <w:t xml:space="preserve">$53,653,511.45 </w:t>
      </w:r>
      <w:r w:rsidR="00EE2C13" w:rsidRPr="00E17614">
        <w:rPr>
          <w:rFonts w:ascii="Arial" w:hAnsi="Arial" w:cs="Arial"/>
        </w:rPr>
        <w:t>w</w:t>
      </w:r>
      <w:r w:rsidR="00737316" w:rsidRPr="00E17614">
        <w:rPr>
          <w:rFonts w:ascii="Arial" w:hAnsi="Arial" w:cs="Arial"/>
        </w:rPr>
        <w:t>ere</w:t>
      </w:r>
      <w:r w:rsidR="00EE2C13" w:rsidRPr="00E17614">
        <w:rPr>
          <w:rFonts w:ascii="Arial" w:hAnsi="Arial" w:cs="Arial"/>
        </w:rPr>
        <w:t xml:space="preserve"> spent </w:t>
      </w:r>
      <w:r w:rsidR="00E12761" w:rsidRPr="00E17614">
        <w:rPr>
          <w:rFonts w:ascii="Arial" w:hAnsi="Arial" w:cs="Arial"/>
        </w:rPr>
        <w:t xml:space="preserve">in </w:t>
      </w:r>
      <w:r w:rsidR="009C6793" w:rsidRPr="00E17614">
        <w:rPr>
          <w:rFonts w:ascii="Arial" w:hAnsi="Arial" w:cs="Arial"/>
        </w:rPr>
        <w:t>the</w:t>
      </w:r>
      <w:r w:rsidR="00B75CE2" w:rsidRPr="00E17614">
        <w:rPr>
          <w:rFonts w:ascii="Arial" w:hAnsi="Arial" w:cs="Arial"/>
        </w:rPr>
        <w:t xml:space="preserve"> Standards-</w:t>
      </w:r>
      <w:r w:rsidR="007C76EB" w:rsidRPr="00E17614">
        <w:rPr>
          <w:rFonts w:ascii="Arial" w:hAnsi="Arial" w:cs="Arial"/>
        </w:rPr>
        <w:t>A</w:t>
      </w:r>
      <w:r w:rsidR="00B75CE2" w:rsidRPr="00E17614">
        <w:rPr>
          <w:rFonts w:ascii="Arial" w:hAnsi="Arial" w:cs="Arial"/>
        </w:rPr>
        <w:t>ligned Instruction category during</w:t>
      </w:r>
      <w:r w:rsidR="00BB06BC" w:rsidRPr="00E17614">
        <w:rPr>
          <w:rFonts w:ascii="Arial" w:hAnsi="Arial" w:cs="Arial"/>
        </w:rPr>
        <w:t xml:space="preserve"> the</w:t>
      </w:r>
      <w:r w:rsidR="009C6793" w:rsidRPr="00E17614">
        <w:rPr>
          <w:rFonts w:ascii="Arial" w:hAnsi="Arial" w:cs="Arial"/>
        </w:rPr>
        <w:t xml:space="preserve"> first two years of </w:t>
      </w:r>
      <w:r w:rsidR="00E12761" w:rsidRPr="00E17614">
        <w:rPr>
          <w:rFonts w:ascii="Arial" w:hAnsi="Arial" w:cs="Arial"/>
        </w:rPr>
        <w:t xml:space="preserve">the </w:t>
      </w:r>
      <w:r w:rsidR="009C6793" w:rsidRPr="00E17614">
        <w:rPr>
          <w:rFonts w:ascii="Arial" w:hAnsi="Arial" w:cs="Arial"/>
        </w:rPr>
        <w:t>EEF</w:t>
      </w:r>
      <w:r w:rsidR="00EE2C13" w:rsidRPr="00E17614">
        <w:rPr>
          <w:rFonts w:ascii="Arial" w:hAnsi="Arial" w:cs="Arial"/>
        </w:rPr>
        <w:t>. A variety of LEAs spent funds on</w:t>
      </w:r>
      <w:r w:rsidR="009F7ACD" w:rsidRPr="00E17614">
        <w:rPr>
          <w:rFonts w:ascii="Arial" w:hAnsi="Arial" w:cs="Arial"/>
        </w:rPr>
        <w:t xml:space="preserve"> training for new curriculums and programs</w:t>
      </w:r>
      <w:r w:rsidR="00D33CF8" w:rsidRPr="00E17614">
        <w:rPr>
          <w:rFonts w:ascii="Arial" w:hAnsi="Arial" w:cs="Arial"/>
        </w:rPr>
        <w:t xml:space="preserve">, which </w:t>
      </w:r>
      <w:r w:rsidR="005C53EB" w:rsidRPr="00E17614">
        <w:rPr>
          <w:rFonts w:ascii="Arial" w:hAnsi="Arial" w:cs="Arial"/>
        </w:rPr>
        <w:t xml:space="preserve">ranks second in terms of overall spending across allowable use categories. </w:t>
      </w:r>
      <w:r w:rsidR="009F7ACD" w:rsidRPr="00E17614">
        <w:rPr>
          <w:rFonts w:ascii="Arial" w:hAnsi="Arial" w:cs="Arial"/>
        </w:rPr>
        <w:t xml:space="preserve">Many LEAs spent </w:t>
      </w:r>
      <w:r w:rsidR="00043046" w:rsidRPr="00E17614">
        <w:rPr>
          <w:rFonts w:ascii="Arial" w:hAnsi="Arial" w:cs="Arial"/>
        </w:rPr>
        <w:t xml:space="preserve">the </w:t>
      </w:r>
      <w:r w:rsidR="009F7ACD" w:rsidRPr="00E17614">
        <w:rPr>
          <w:rFonts w:ascii="Arial" w:hAnsi="Arial" w:cs="Arial"/>
        </w:rPr>
        <w:t xml:space="preserve">EEF on </w:t>
      </w:r>
      <w:r w:rsidR="007B126E" w:rsidRPr="00E17614">
        <w:rPr>
          <w:rFonts w:ascii="Arial" w:hAnsi="Arial" w:cs="Arial"/>
        </w:rPr>
        <w:t>S</w:t>
      </w:r>
      <w:r w:rsidR="009F7ACD" w:rsidRPr="00E17614">
        <w:rPr>
          <w:rFonts w:ascii="Arial" w:hAnsi="Arial" w:cs="Arial"/>
        </w:rPr>
        <w:t>tandards</w:t>
      </w:r>
      <w:r w:rsidR="002C1856" w:rsidRPr="00E17614">
        <w:rPr>
          <w:rFonts w:ascii="Arial" w:hAnsi="Arial" w:cs="Arial"/>
        </w:rPr>
        <w:t>-</w:t>
      </w:r>
      <w:r w:rsidR="007B126E" w:rsidRPr="00E17614">
        <w:rPr>
          <w:rFonts w:ascii="Arial" w:hAnsi="Arial" w:cs="Arial"/>
        </w:rPr>
        <w:t>A</w:t>
      </w:r>
      <w:r w:rsidR="009F7ACD" w:rsidRPr="00E17614">
        <w:rPr>
          <w:rFonts w:ascii="Arial" w:hAnsi="Arial" w:cs="Arial"/>
        </w:rPr>
        <w:t xml:space="preserve">ligned </w:t>
      </w:r>
      <w:r w:rsidR="00C107D5" w:rsidRPr="00E17614">
        <w:rPr>
          <w:rFonts w:ascii="Arial" w:hAnsi="Arial" w:cs="Arial"/>
        </w:rPr>
        <w:t>p</w:t>
      </w:r>
      <w:r w:rsidR="009F7ACD" w:rsidRPr="00E17614">
        <w:rPr>
          <w:rFonts w:ascii="Arial" w:hAnsi="Arial" w:cs="Arial"/>
        </w:rPr>
        <w:t xml:space="preserve">rofessional </w:t>
      </w:r>
      <w:r w:rsidR="00C107D5" w:rsidRPr="00E17614">
        <w:rPr>
          <w:rFonts w:ascii="Arial" w:hAnsi="Arial" w:cs="Arial"/>
        </w:rPr>
        <w:t>d</w:t>
      </w:r>
      <w:r w:rsidR="009F7ACD" w:rsidRPr="00E17614">
        <w:rPr>
          <w:rFonts w:ascii="Arial" w:hAnsi="Arial" w:cs="Arial"/>
        </w:rPr>
        <w:t>evelopment which include</w:t>
      </w:r>
      <w:r w:rsidR="00D814C4" w:rsidRPr="00E17614">
        <w:rPr>
          <w:rFonts w:ascii="Arial" w:hAnsi="Arial" w:cs="Arial"/>
        </w:rPr>
        <w:t>d</w:t>
      </w:r>
      <w:r w:rsidR="009F7ACD" w:rsidRPr="00E17614">
        <w:rPr>
          <w:rFonts w:ascii="Arial" w:hAnsi="Arial" w:cs="Arial"/>
        </w:rPr>
        <w:t xml:space="preserve"> literacy instruction,</w:t>
      </w:r>
      <w:r w:rsidR="00144E84" w:rsidRPr="00E17614">
        <w:rPr>
          <w:rFonts w:ascii="Arial" w:hAnsi="Arial" w:cs="Arial"/>
        </w:rPr>
        <w:t xml:space="preserve"> writing instruction, mathematics instruction,</w:t>
      </w:r>
      <w:r w:rsidR="009F7ACD" w:rsidRPr="00E17614">
        <w:rPr>
          <w:rFonts w:ascii="Arial" w:hAnsi="Arial" w:cs="Arial"/>
        </w:rPr>
        <w:t xml:space="preserve"> implementing the Visual and Performing Arts standards, Advanced </w:t>
      </w:r>
      <w:r w:rsidR="009F7ACD" w:rsidRPr="00E17614">
        <w:rPr>
          <w:rFonts w:ascii="Arial" w:hAnsi="Arial" w:cs="Arial"/>
        </w:rPr>
        <w:lastRenderedPageBreak/>
        <w:t xml:space="preserve">Placement best practices, </w:t>
      </w:r>
      <w:r w:rsidR="00AB3771" w:rsidRPr="00E17614">
        <w:rPr>
          <w:rFonts w:ascii="Arial" w:hAnsi="Arial" w:cs="Arial"/>
        </w:rPr>
        <w:t>ELA</w:t>
      </w:r>
      <w:r w:rsidR="009F7ACD" w:rsidRPr="00E17614">
        <w:rPr>
          <w:rFonts w:ascii="Arial" w:hAnsi="Arial" w:cs="Arial"/>
        </w:rPr>
        <w:t xml:space="preserve"> standards training, Next Generation Science Standards, and Curricular Mapping</w:t>
      </w:r>
      <w:r w:rsidR="00BB71C8" w:rsidRPr="00E17614">
        <w:rPr>
          <w:rFonts w:ascii="Arial" w:hAnsi="Arial" w:cs="Arial"/>
        </w:rPr>
        <w:t xml:space="preserve">. In addition, </w:t>
      </w:r>
      <w:r w:rsidR="001A45FA" w:rsidRPr="00E17614">
        <w:rPr>
          <w:rFonts w:ascii="Arial" w:hAnsi="Arial" w:cs="Arial"/>
        </w:rPr>
        <w:t>it is important to note</w:t>
      </w:r>
      <w:r w:rsidR="00EE2C13" w:rsidRPr="00E17614">
        <w:rPr>
          <w:rFonts w:ascii="Arial" w:hAnsi="Arial" w:cs="Arial"/>
        </w:rPr>
        <w:t xml:space="preserve"> </w:t>
      </w:r>
      <w:r w:rsidR="001A45FA" w:rsidRPr="00E17614">
        <w:rPr>
          <w:rFonts w:ascii="Arial" w:hAnsi="Arial" w:cs="Arial"/>
        </w:rPr>
        <w:t xml:space="preserve">that </w:t>
      </w:r>
      <w:r w:rsidR="00F24206" w:rsidRPr="00E17614">
        <w:rPr>
          <w:rFonts w:ascii="Arial" w:hAnsi="Arial" w:cs="Arial"/>
        </w:rPr>
        <w:t>AB 181 (</w:t>
      </w:r>
      <w:r w:rsidR="00F87953" w:rsidRPr="00E17614">
        <w:rPr>
          <w:rFonts w:ascii="Arial" w:hAnsi="Arial" w:cs="Arial"/>
        </w:rPr>
        <w:t xml:space="preserve">Ch. 52, </w:t>
      </w:r>
      <w:r w:rsidR="00F24206" w:rsidRPr="00E17614">
        <w:rPr>
          <w:rFonts w:ascii="Arial" w:hAnsi="Arial" w:cs="Arial"/>
        </w:rPr>
        <w:t>Stats</w:t>
      </w:r>
      <w:r w:rsidR="00F87953" w:rsidRPr="00E17614">
        <w:rPr>
          <w:rFonts w:ascii="Arial" w:hAnsi="Arial" w:cs="Arial"/>
        </w:rPr>
        <w:t>.</w:t>
      </w:r>
      <w:r w:rsidR="00FB31E8" w:rsidRPr="00E17614">
        <w:rPr>
          <w:rFonts w:ascii="Arial" w:hAnsi="Arial" w:cs="Arial"/>
        </w:rPr>
        <w:t xml:space="preserve"> </w:t>
      </w:r>
      <w:r w:rsidR="00F24206" w:rsidRPr="00E17614">
        <w:rPr>
          <w:rFonts w:ascii="Arial" w:hAnsi="Arial" w:cs="Arial"/>
        </w:rPr>
        <w:t>2022) added the preschool learning foundations to the list of subject areas associated with Standards</w:t>
      </w:r>
      <w:r w:rsidR="001F1A2D" w:rsidRPr="00E17614">
        <w:rPr>
          <w:rFonts w:ascii="Arial" w:hAnsi="Arial" w:cs="Arial"/>
        </w:rPr>
        <w:t>-</w:t>
      </w:r>
      <w:r w:rsidR="004A1373" w:rsidRPr="00E17614">
        <w:rPr>
          <w:rFonts w:ascii="Arial" w:hAnsi="Arial" w:cs="Arial"/>
        </w:rPr>
        <w:t>A</w:t>
      </w:r>
      <w:r w:rsidR="00F24206" w:rsidRPr="00E17614">
        <w:rPr>
          <w:rFonts w:ascii="Arial" w:hAnsi="Arial" w:cs="Arial"/>
        </w:rPr>
        <w:t>ligned Instruction.</w:t>
      </w:r>
      <w:r w:rsidR="00D814C4" w:rsidRPr="00E17614">
        <w:rPr>
          <w:rFonts w:ascii="Arial" w:hAnsi="Arial" w:cs="Arial"/>
        </w:rPr>
        <w:t xml:space="preserve"> </w:t>
      </w:r>
      <w:r w:rsidR="00C260D7" w:rsidRPr="00E17614">
        <w:rPr>
          <w:rFonts w:ascii="Arial" w:hAnsi="Arial" w:cs="Arial"/>
        </w:rPr>
        <w:t xml:space="preserve">Numerous </w:t>
      </w:r>
      <w:r w:rsidR="00D814C4" w:rsidRPr="00E17614">
        <w:rPr>
          <w:rFonts w:ascii="Arial" w:hAnsi="Arial" w:cs="Arial"/>
        </w:rPr>
        <w:t xml:space="preserve">LEAs </w:t>
      </w:r>
      <w:r w:rsidR="0087346E" w:rsidRPr="00E17614">
        <w:rPr>
          <w:rFonts w:ascii="Arial" w:hAnsi="Arial" w:cs="Arial"/>
        </w:rPr>
        <w:t>used the EEF to pay for early education professional learning for staff.</w:t>
      </w:r>
      <w:r w:rsidR="00F24206" w:rsidRPr="00E17614">
        <w:rPr>
          <w:rFonts w:ascii="Arial" w:hAnsi="Arial" w:cs="Arial"/>
        </w:rPr>
        <w:t xml:space="preserve"> Additionally, AB 181 added language that allows the EEF to be used for coursework that would allow existing staff to become credentialed, or fully credentialed for their assignment</w:t>
      </w:r>
      <w:r w:rsidR="001A45FA" w:rsidRPr="00E17614">
        <w:rPr>
          <w:rFonts w:ascii="Arial" w:hAnsi="Arial" w:cs="Arial"/>
        </w:rPr>
        <w:t>. Many LEAs noted utilizing the EEF for existing staff credentialing</w:t>
      </w:r>
      <w:r w:rsidR="0087346E" w:rsidRPr="00E17614">
        <w:rPr>
          <w:rFonts w:ascii="Arial" w:hAnsi="Arial" w:cs="Arial"/>
        </w:rPr>
        <w:t xml:space="preserve"> which</w:t>
      </w:r>
      <w:r w:rsidR="001A45FA" w:rsidRPr="00E17614">
        <w:rPr>
          <w:rFonts w:ascii="Arial" w:hAnsi="Arial" w:cs="Arial"/>
        </w:rPr>
        <w:t xml:space="preserve"> includ</w:t>
      </w:r>
      <w:r w:rsidR="0087346E" w:rsidRPr="00E17614">
        <w:rPr>
          <w:rFonts w:ascii="Arial" w:hAnsi="Arial" w:cs="Arial"/>
        </w:rPr>
        <w:t>ed</w:t>
      </w:r>
      <w:r w:rsidR="001A45FA" w:rsidRPr="00E17614">
        <w:rPr>
          <w:rFonts w:ascii="Arial" w:hAnsi="Arial" w:cs="Arial"/>
        </w:rPr>
        <w:t xml:space="preserve"> </w:t>
      </w:r>
      <w:r w:rsidR="007B002F" w:rsidRPr="00E17614">
        <w:rPr>
          <w:rFonts w:ascii="Arial" w:hAnsi="Arial" w:cs="Arial"/>
        </w:rPr>
        <w:t>paying for beginning administration courses and work to clear credentials, new teacher support,</w:t>
      </w:r>
      <w:r w:rsidR="001228E8" w:rsidRPr="00E17614">
        <w:rPr>
          <w:rFonts w:ascii="Arial" w:hAnsi="Arial" w:cs="Arial"/>
        </w:rPr>
        <w:t xml:space="preserve"> as well as</w:t>
      </w:r>
      <w:r w:rsidR="007B002F" w:rsidRPr="00E17614">
        <w:rPr>
          <w:rFonts w:ascii="Arial" w:hAnsi="Arial" w:cs="Arial"/>
        </w:rPr>
        <w:t xml:space="preserve"> teacher and paraprofessional coursewor</w:t>
      </w:r>
      <w:r w:rsidR="00685EE0" w:rsidRPr="00E17614">
        <w:rPr>
          <w:rFonts w:ascii="Arial" w:hAnsi="Arial" w:cs="Arial"/>
        </w:rPr>
        <w:t>k.</w:t>
      </w:r>
      <w:bookmarkStart w:id="19" w:name="_Toc148514288"/>
      <w:bookmarkStart w:id="20" w:name="_Toc148516363"/>
    </w:p>
    <w:p w14:paraId="006EFEC0" w14:textId="5F12F406" w:rsidR="00C0172F" w:rsidRPr="00E17614" w:rsidRDefault="00C0172F" w:rsidP="00C63D30">
      <w:pPr>
        <w:spacing w:after="240"/>
        <w:jc w:val="center"/>
        <w:rPr>
          <w:rFonts w:ascii="Arial" w:hAnsi="Arial" w:cs="Arial"/>
          <w:b/>
          <w:bCs/>
        </w:rPr>
      </w:pPr>
      <w:r w:rsidRPr="00E17614">
        <w:rPr>
          <w:rFonts w:ascii="Arial" w:hAnsi="Arial" w:cs="Arial"/>
          <w:b/>
          <w:bCs/>
        </w:rPr>
        <w:t>Pupil Reengagement and Accelerated Learning Total Expenditures</w:t>
      </w:r>
      <w:bookmarkEnd w:id="19"/>
      <w:bookmarkEnd w:id="20"/>
    </w:p>
    <w:p w14:paraId="1859B163" w14:textId="241F1E86" w:rsidR="008C06AE" w:rsidRPr="00E17614" w:rsidRDefault="008C06AE" w:rsidP="001007C0">
      <w:pPr>
        <w:spacing w:after="240"/>
        <w:rPr>
          <w:rFonts w:ascii="Arial" w:hAnsi="Arial" w:cs="Arial"/>
          <w:b/>
          <w:bCs/>
        </w:rPr>
      </w:pPr>
      <w:r w:rsidRPr="00E17614">
        <w:rPr>
          <w:rFonts w:ascii="Arial" w:hAnsi="Arial" w:cs="Arial"/>
          <w:b/>
          <w:bCs/>
        </w:rPr>
        <w:t xml:space="preserve">Table </w:t>
      </w:r>
      <w:r w:rsidR="006E2F33" w:rsidRPr="00E17614">
        <w:rPr>
          <w:rFonts w:ascii="Arial" w:hAnsi="Arial" w:cs="Arial"/>
          <w:b/>
          <w:bCs/>
        </w:rPr>
        <w:t>5</w:t>
      </w:r>
      <w:r w:rsidRPr="00E17614">
        <w:rPr>
          <w:rFonts w:ascii="Arial" w:hAnsi="Arial" w:cs="Arial"/>
          <w:b/>
          <w:bCs/>
        </w:rPr>
        <w:t>. Pupil Reengagement and Accelerated Learning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2021–23 Pupil Reengagement and Accelerated Learning Total Expenditures"/>
        <w:tblDescription w:val="This table provides the 2021–23 total for the Pupil Reengagement and Accelerated Leanring allowable use category."/>
      </w:tblPr>
      <w:tblGrid>
        <w:gridCol w:w="2237"/>
        <w:gridCol w:w="2618"/>
        <w:gridCol w:w="2631"/>
        <w:gridCol w:w="1864"/>
      </w:tblGrid>
      <w:tr w:rsidR="0013103B" w:rsidRPr="00E17614" w14:paraId="7C80950B" w14:textId="77777777" w:rsidTr="008634C6">
        <w:trPr>
          <w:trHeight w:val="367"/>
        </w:trPr>
        <w:tc>
          <w:tcPr>
            <w:tcW w:w="1196" w:type="pct"/>
            <w:shd w:val="clear" w:color="000000" w:fill="BDD6EE"/>
            <w:vAlign w:val="center"/>
            <w:hideMark/>
          </w:tcPr>
          <w:p w14:paraId="0FFF362E"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4CCE2E3E" w14:textId="4CEE66E0"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2021</w:t>
            </w:r>
            <w:r w:rsidR="0018143D"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1CD0EED2" w14:textId="60BA8B60"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2022</w:t>
            </w:r>
            <w:r w:rsidR="0018143D"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1666B027"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 xml:space="preserve">Total </w:t>
            </w:r>
          </w:p>
        </w:tc>
      </w:tr>
      <w:tr w:rsidR="0013103B" w:rsidRPr="00E17614" w14:paraId="3B41CC02" w14:textId="77777777" w:rsidTr="008634C6">
        <w:trPr>
          <w:trHeight w:val="940"/>
        </w:trPr>
        <w:tc>
          <w:tcPr>
            <w:tcW w:w="1196" w:type="pct"/>
            <w:shd w:val="clear" w:color="auto" w:fill="auto"/>
            <w:vAlign w:val="center"/>
            <w:hideMark/>
          </w:tcPr>
          <w:p w14:paraId="6BE2AEC5" w14:textId="77777777" w:rsidR="0013103B" w:rsidRPr="00E17614" w:rsidRDefault="0013103B" w:rsidP="003F1FD6">
            <w:pPr>
              <w:rPr>
                <w:rFonts w:ascii="Arial" w:hAnsi="Arial" w:cs="Arial"/>
                <w:color w:val="000000"/>
              </w:rPr>
            </w:pPr>
            <w:r w:rsidRPr="00E17614">
              <w:rPr>
                <w:rFonts w:ascii="Arial" w:hAnsi="Arial" w:cs="Arial"/>
                <w:color w:val="000000"/>
              </w:rPr>
              <w:t>Pupil Reengagement and Accelerated Learning</w:t>
            </w:r>
          </w:p>
        </w:tc>
        <w:tc>
          <w:tcPr>
            <w:tcW w:w="1400" w:type="pct"/>
            <w:shd w:val="clear" w:color="auto" w:fill="auto"/>
            <w:vAlign w:val="center"/>
            <w:hideMark/>
          </w:tcPr>
          <w:p w14:paraId="7257AB6E" w14:textId="77777777" w:rsidR="0013103B" w:rsidRPr="00E17614" w:rsidRDefault="0013103B" w:rsidP="003F1FD6">
            <w:pPr>
              <w:rPr>
                <w:rFonts w:ascii="Arial" w:hAnsi="Arial" w:cs="Arial"/>
                <w:color w:val="000000"/>
              </w:rPr>
            </w:pPr>
            <w:r w:rsidRPr="00E17614">
              <w:rPr>
                <w:rFonts w:ascii="Arial" w:hAnsi="Arial" w:cs="Arial"/>
                <w:color w:val="000000"/>
              </w:rPr>
              <w:t xml:space="preserve">$1,666,348.48 </w:t>
            </w:r>
          </w:p>
        </w:tc>
        <w:tc>
          <w:tcPr>
            <w:tcW w:w="1407" w:type="pct"/>
            <w:shd w:val="clear" w:color="auto" w:fill="auto"/>
            <w:vAlign w:val="center"/>
            <w:hideMark/>
          </w:tcPr>
          <w:p w14:paraId="2858A282" w14:textId="77777777" w:rsidR="0013103B" w:rsidRPr="00E17614" w:rsidRDefault="0013103B" w:rsidP="003F1FD6">
            <w:pPr>
              <w:rPr>
                <w:rFonts w:ascii="Arial" w:hAnsi="Arial" w:cs="Arial"/>
                <w:color w:val="000000"/>
              </w:rPr>
            </w:pPr>
            <w:r w:rsidRPr="00E17614">
              <w:rPr>
                <w:rFonts w:ascii="Arial" w:hAnsi="Arial" w:cs="Arial"/>
                <w:color w:val="000000"/>
              </w:rPr>
              <w:t xml:space="preserve">$7,760,053.29 </w:t>
            </w:r>
          </w:p>
        </w:tc>
        <w:tc>
          <w:tcPr>
            <w:tcW w:w="997" w:type="pct"/>
            <w:shd w:val="clear" w:color="auto" w:fill="auto"/>
            <w:vAlign w:val="center"/>
            <w:hideMark/>
          </w:tcPr>
          <w:p w14:paraId="6B5F1F54" w14:textId="77777777" w:rsidR="0013103B" w:rsidRPr="00E17614" w:rsidRDefault="0013103B" w:rsidP="003F1FD6">
            <w:pPr>
              <w:rPr>
                <w:rFonts w:ascii="Arial" w:hAnsi="Arial" w:cs="Arial"/>
                <w:color w:val="000000"/>
              </w:rPr>
            </w:pPr>
            <w:r w:rsidRPr="00E17614">
              <w:rPr>
                <w:rFonts w:ascii="Arial" w:hAnsi="Arial" w:cs="Arial"/>
                <w:color w:val="000000"/>
              </w:rPr>
              <w:t xml:space="preserve">$9,426,401.77 </w:t>
            </w:r>
          </w:p>
        </w:tc>
      </w:tr>
    </w:tbl>
    <w:p w14:paraId="389D8DB7" w14:textId="0069040F" w:rsidR="00C63D30" w:rsidRDefault="002F13E9" w:rsidP="00B7249E">
      <w:pPr>
        <w:spacing w:before="240" w:after="240"/>
        <w:rPr>
          <w:rFonts w:ascii="Arial" w:hAnsi="Arial" w:cs="Arial"/>
        </w:rPr>
      </w:pPr>
      <w:r w:rsidRPr="00E17614">
        <w:rPr>
          <w:rFonts w:ascii="Arial" w:hAnsi="Arial" w:cs="Arial"/>
        </w:rPr>
        <w:t xml:space="preserve">In summary, </w:t>
      </w:r>
      <w:r w:rsidR="004F42D0" w:rsidRPr="00E17614">
        <w:rPr>
          <w:rFonts w:ascii="Arial" w:hAnsi="Arial" w:cs="Arial"/>
          <w:bCs/>
        </w:rPr>
        <w:t>$9,426,401.77</w:t>
      </w:r>
      <w:r w:rsidRPr="00E17614">
        <w:rPr>
          <w:rFonts w:ascii="Arial" w:hAnsi="Arial" w:cs="Arial"/>
        </w:rPr>
        <w:t xml:space="preserve"> w</w:t>
      </w:r>
      <w:r w:rsidR="00737316" w:rsidRPr="00E17614">
        <w:rPr>
          <w:rFonts w:ascii="Arial" w:hAnsi="Arial" w:cs="Arial"/>
        </w:rPr>
        <w:t>ere</w:t>
      </w:r>
      <w:r w:rsidRPr="00E17614">
        <w:rPr>
          <w:rFonts w:ascii="Arial" w:hAnsi="Arial" w:cs="Arial"/>
        </w:rPr>
        <w:t xml:space="preserve"> spent in the Pupil Reengagement and Accelerated Learning category of the EEF. </w:t>
      </w:r>
      <w:r w:rsidR="00AD645A" w:rsidRPr="00E17614">
        <w:rPr>
          <w:rFonts w:ascii="Arial" w:hAnsi="Arial" w:cs="Arial"/>
        </w:rPr>
        <w:t>For this allowable use</w:t>
      </w:r>
      <w:r w:rsidR="00D75D5B" w:rsidRPr="00E17614">
        <w:rPr>
          <w:rFonts w:ascii="Arial" w:hAnsi="Arial" w:cs="Arial"/>
        </w:rPr>
        <w:t>,</w:t>
      </w:r>
      <w:r w:rsidR="00AD645A" w:rsidRPr="00E17614">
        <w:rPr>
          <w:rFonts w:ascii="Arial" w:hAnsi="Arial" w:cs="Arial"/>
        </w:rPr>
        <w:t xml:space="preserve"> </w:t>
      </w:r>
      <w:r w:rsidRPr="00E17614">
        <w:rPr>
          <w:rFonts w:ascii="Arial" w:hAnsi="Arial" w:cs="Arial"/>
        </w:rPr>
        <w:t xml:space="preserve">many </w:t>
      </w:r>
      <w:r w:rsidR="00333A3C" w:rsidRPr="00E17614">
        <w:rPr>
          <w:rFonts w:ascii="Arial" w:hAnsi="Arial" w:cs="Arial"/>
        </w:rPr>
        <w:t>LEAs</w:t>
      </w:r>
      <w:r w:rsidRPr="00E17614">
        <w:rPr>
          <w:rFonts w:ascii="Arial" w:hAnsi="Arial" w:cs="Arial"/>
        </w:rPr>
        <w:t xml:space="preserve"> reported focusing on</w:t>
      </w:r>
      <w:r w:rsidR="00AC77E6" w:rsidRPr="00E17614">
        <w:rPr>
          <w:rFonts w:ascii="Arial" w:hAnsi="Arial" w:cs="Arial"/>
        </w:rPr>
        <w:t xml:space="preserve"> pupil reengagement and accelerated learning. </w:t>
      </w:r>
      <w:r w:rsidR="007B7863" w:rsidRPr="00E17614">
        <w:rPr>
          <w:rFonts w:ascii="Arial" w:hAnsi="Arial" w:cs="Arial"/>
        </w:rPr>
        <w:t xml:space="preserve">Specifically, </w:t>
      </w:r>
      <w:r w:rsidR="00292E13" w:rsidRPr="00E17614">
        <w:rPr>
          <w:rFonts w:ascii="Arial" w:hAnsi="Arial" w:cs="Arial"/>
        </w:rPr>
        <w:t xml:space="preserve">a variety of </w:t>
      </w:r>
      <w:r w:rsidR="00333A3C" w:rsidRPr="00E17614">
        <w:rPr>
          <w:rFonts w:ascii="Arial" w:hAnsi="Arial" w:cs="Arial"/>
        </w:rPr>
        <w:t>LEAs utilized third-party organizations to provide intensive professional learning</w:t>
      </w:r>
      <w:r w:rsidR="00AD645A" w:rsidRPr="00E17614">
        <w:rPr>
          <w:rFonts w:ascii="Arial" w:hAnsi="Arial" w:cs="Arial"/>
        </w:rPr>
        <w:t>,</w:t>
      </w:r>
      <w:r w:rsidR="00333A3C" w:rsidRPr="00E17614">
        <w:rPr>
          <w:rFonts w:ascii="Arial" w:hAnsi="Arial" w:cs="Arial"/>
        </w:rPr>
        <w:t xml:space="preserve"> which included site walk-throughs as well as follow-up in</w:t>
      </w:r>
      <w:r w:rsidR="00783E40" w:rsidRPr="00E17614">
        <w:rPr>
          <w:rFonts w:ascii="Arial" w:hAnsi="Arial" w:cs="Arial"/>
        </w:rPr>
        <w:t>-</w:t>
      </w:r>
      <w:r w:rsidR="00333A3C" w:rsidRPr="00E17614">
        <w:rPr>
          <w:rFonts w:ascii="Arial" w:hAnsi="Arial" w:cs="Arial"/>
        </w:rPr>
        <w:t xml:space="preserve">person and hybrid professional development sessions. Some LEAs used </w:t>
      </w:r>
      <w:r w:rsidR="002E7F6F" w:rsidRPr="00E17614">
        <w:rPr>
          <w:rFonts w:ascii="Arial" w:hAnsi="Arial" w:cs="Arial"/>
        </w:rPr>
        <w:t xml:space="preserve">the </w:t>
      </w:r>
      <w:r w:rsidR="00333A3C" w:rsidRPr="00E17614">
        <w:rPr>
          <w:rFonts w:ascii="Arial" w:hAnsi="Arial" w:cs="Arial"/>
        </w:rPr>
        <w:t>EEF for specific</w:t>
      </w:r>
      <w:r w:rsidR="00292E13" w:rsidRPr="00E17614">
        <w:rPr>
          <w:rFonts w:ascii="Arial" w:hAnsi="Arial" w:cs="Arial"/>
        </w:rPr>
        <w:t xml:space="preserve"> trainings associated with</w:t>
      </w:r>
      <w:r w:rsidR="00333A3C" w:rsidRPr="00E17614">
        <w:rPr>
          <w:rFonts w:ascii="Arial" w:hAnsi="Arial" w:cs="Arial"/>
        </w:rPr>
        <w:t xml:space="preserve"> student interventions including reading intervention, social</w:t>
      </w:r>
      <w:r w:rsidR="00D75D5B" w:rsidRPr="00E17614">
        <w:rPr>
          <w:rFonts w:ascii="Arial" w:hAnsi="Arial" w:cs="Arial"/>
        </w:rPr>
        <w:t>–</w:t>
      </w:r>
      <w:r w:rsidR="00333A3C" w:rsidRPr="00E17614">
        <w:rPr>
          <w:rFonts w:ascii="Arial" w:hAnsi="Arial" w:cs="Arial"/>
        </w:rPr>
        <w:t>emotional learning, and mental health awareness. Moreover, numerous LEAs mentioned utilizing</w:t>
      </w:r>
      <w:r w:rsidR="002E7F6F" w:rsidRPr="00E17614">
        <w:rPr>
          <w:rFonts w:ascii="Arial" w:hAnsi="Arial" w:cs="Arial"/>
        </w:rPr>
        <w:t xml:space="preserve"> the</w:t>
      </w:r>
      <w:r w:rsidR="00333A3C" w:rsidRPr="00E17614">
        <w:rPr>
          <w:rFonts w:ascii="Arial" w:hAnsi="Arial" w:cs="Arial"/>
        </w:rPr>
        <w:t xml:space="preserve"> EEF to provide professional learning retreats</w:t>
      </w:r>
      <w:r w:rsidR="00B7249E" w:rsidRPr="00E17614">
        <w:rPr>
          <w:rFonts w:ascii="Arial" w:hAnsi="Arial" w:cs="Arial"/>
        </w:rPr>
        <w:t xml:space="preserve"> and conferences</w:t>
      </w:r>
      <w:r w:rsidR="00333A3C" w:rsidRPr="00E17614">
        <w:rPr>
          <w:rFonts w:ascii="Arial" w:hAnsi="Arial" w:cs="Arial"/>
        </w:rPr>
        <w:t xml:space="preserve"> focused</w:t>
      </w:r>
      <w:r w:rsidR="000B150E" w:rsidRPr="00E17614">
        <w:rPr>
          <w:rFonts w:ascii="Arial" w:hAnsi="Arial" w:cs="Arial"/>
        </w:rPr>
        <w:t xml:space="preserve"> specifically</w:t>
      </w:r>
      <w:r w:rsidR="00333A3C" w:rsidRPr="00E17614">
        <w:rPr>
          <w:rFonts w:ascii="Arial" w:hAnsi="Arial" w:cs="Arial"/>
        </w:rPr>
        <w:t xml:space="preserve"> on pupil reengagement. Retreat</w:t>
      </w:r>
      <w:r w:rsidR="00B7249E" w:rsidRPr="00E17614">
        <w:rPr>
          <w:rFonts w:ascii="Arial" w:hAnsi="Arial" w:cs="Arial"/>
        </w:rPr>
        <w:t xml:space="preserve"> and conference</w:t>
      </w:r>
      <w:r w:rsidR="00333A3C" w:rsidRPr="00E17614">
        <w:rPr>
          <w:rFonts w:ascii="Arial" w:hAnsi="Arial" w:cs="Arial"/>
        </w:rPr>
        <w:t xml:space="preserve"> topics included student engagement, accelerated learning, </w:t>
      </w:r>
      <w:r w:rsidR="00365748" w:rsidRPr="00E17614">
        <w:rPr>
          <w:rFonts w:ascii="Arial" w:hAnsi="Arial" w:cs="Arial"/>
        </w:rPr>
        <w:t xml:space="preserve">Advancement Via Individual Determination </w:t>
      </w:r>
      <w:r w:rsidR="00333A3C" w:rsidRPr="00E17614">
        <w:rPr>
          <w:rFonts w:ascii="Arial" w:hAnsi="Arial" w:cs="Arial"/>
        </w:rPr>
        <w:t>training, and instructional coaching sessions</w:t>
      </w:r>
      <w:r w:rsidR="000B150E" w:rsidRPr="00E17614">
        <w:rPr>
          <w:rFonts w:ascii="Arial" w:hAnsi="Arial" w:cs="Arial"/>
        </w:rPr>
        <w:t xml:space="preserve">. In addition, </w:t>
      </w:r>
      <w:r w:rsidR="00B7249E" w:rsidRPr="00E17614">
        <w:rPr>
          <w:rFonts w:ascii="Arial" w:hAnsi="Arial" w:cs="Arial"/>
        </w:rPr>
        <w:t xml:space="preserve">some LEAs stated that </w:t>
      </w:r>
      <w:r w:rsidR="002E7F6F" w:rsidRPr="00E17614">
        <w:rPr>
          <w:rFonts w:ascii="Arial" w:hAnsi="Arial" w:cs="Arial"/>
        </w:rPr>
        <w:t xml:space="preserve">the </w:t>
      </w:r>
      <w:r w:rsidR="00B7249E" w:rsidRPr="00E17614">
        <w:rPr>
          <w:rFonts w:ascii="Arial" w:hAnsi="Arial" w:cs="Arial"/>
        </w:rPr>
        <w:t xml:space="preserve">EEF was used to examine student data and identify </w:t>
      </w:r>
      <w:r w:rsidR="00333A3C" w:rsidRPr="00E17614">
        <w:rPr>
          <w:rFonts w:ascii="Arial" w:hAnsi="Arial" w:cs="Arial"/>
        </w:rPr>
        <w:t xml:space="preserve">gaps in </w:t>
      </w:r>
      <w:r w:rsidR="0012103F" w:rsidRPr="00E17614">
        <w:rPr>
          <w:rFonts w:ascii="Arial" w:hAnsi="Arial" w:cs="Arial"/>
        </w:rPr>
        <w:t xml:space="preserve">academic </w:t>
      </w:r>
      <w:r w:rsidR="00333A3C" w:rsidRPr="00E17614">
        <w:rPr>
          <w:rFonts w:ascii="Arial" w:hAnsi="Arial" w:cs="Arial"/>
        </w:rPr>
        <w:t>frameworks</w:t>
      </w:r>
      <w:r w:rsidR="00B7249E" w:rsidRPr="00E17614">
        <w:rPr>
          <w:rFonts w:ascii="Arial" w:hAnsi="Arial" w:cs="Arial"/>
        </w:rPr>
        <w:t>, curriculum</w:t>
      </w:r>
      <w:r w:rsidR="00743EC3" w:rsidRPr="00E17614">
        <w:rPr>
          <w:rFonts w:ascii="Arial" w:hAnsi="Arial" w:cs="Arial"/>
        </w:rPr>
        <w:t>,</w:t>
      </w:r>
      <w:r w:rsidR="00B7249E" w:rsidRPr="00E17614">
        <w:rPr>
          <w:rFonts w:ascii="Arial" w:hAnsi="Arial" w:cs="Arial"/>
        </w:rPr>
        <w:t xml:space="preserve"> and assessments.</w:t>
      </w:r>
    </w:p>
    <w:p w14:paraId="57CD6C2B" w14:textId="77777777" w:rsidR="00C63D30" w:rsidRDefault="00C63D30">
      <w:pPr>
        <w:rPr>
          <w:rFonts w:ascii="Arial" w:hAnsi="Arial" w:cs="Arial"/>
        </w:rPr>
      </w:pPr>
      <w:r>
        <w:rPr>
          <w:rFonts w:ascii="Arial" w:hAnsi="Arial" w:cs="Arial"/>
        </w:rPr>
        <w:br w:type="page"/>
      </w:r>
    </w:p>
    <w:p w14:paraId="3338A4A9" w14:textId="5848BBE2" w:rsidR="00C0172F" w:rsidRPr="00E17614" w:rsidRDefault="00C0172F" w:rsidP="00685EE0">
      <w:pPr>
        <w:spacing w:before="480" w:after="240"/>
        <w:jc w:val="center"/>
        <w:rPr>
          <w:rFonts w:ascii="Arial" w:hAnsi="Arial" w:cs="Arial"/>
          <w:b/>
          <w:bCs/>
        </w:rPr>
      </w:pPr>
      <w:bookmarkStart w:id="21" w:name="_Toc148514289"/>
      <w:bookmarkStart w:id="22" w:name="_Toc148516364"/>
      <w:r w:rsidRPr="00E17614">
        <w:rPr>
          <w:rFonts w:ascii="Arial" w:hAnsi="Arial" w:cs="Arial"/>
          <w:b/>
          <w:bCs/>
        </w:rPr>
        <w:lastRenderedPageBreak/>
        <w:t>Strategies to Improve Pupil Well</w:t>
      </w:r>
      <w:r w:rsidR="00D61B02" w:rsidRPr="00E17614">
        <w:rPr>
          <w:rFonts w:ascii="Arial" w:hAnsi="Arial" w:cs="Arial"/>
          <w:b/>
          <w:bCs/>
        </w:rPr>
        <w:t>-</w:t>
      </w:r>
      <w:r w:rsidRPr="00E17614">
        <w:rPr>
          <w:rFonts w:ascii="Arial" w:hAnsi="Arial" w:cs="Arial"/>
          <w:b/>
          <w:bCs/>
        </w:rPr>
        <w:t>being Total Expenditures</w:t>
      </w:r>
      <w:bookmarkEnd w:id="21"/>
      <w:bookmarkEnd w:id="22"/>
    </w:p>
    <w:p w14:paraId="0D25D05A" w14:textId="795CBBFE" w:rsidR="006E2F33" w:rsidRPr="00E17614" w:rsidRDefault="006E2F33" w:rsidP="002154BA">
      <w:pPr>
        <w:spacing w:after="240"/>
        <w:rPr>
          <w:rFonts w:ascii="Arial" w:hAnsi="Arial" w:cs="Arial"/>
          <w:b/>
          <w:bCs/>
        </w:rPr>
      </w:pPr>
      <w:r w:rsidRPr="00E17614">
        <w:rPr>
          <w:rFonts w:ascii="Arial" w:hAnsi="Arial" w:cs="Arial"/>
          <w:b/>
          <w:bCs/>
        </w:rPr>
        <w:t>Table 6. Strategies to Improve Pupil Well</w:t>
      </w:r>
      <w:r w:rsidR="00D61B02" w:rsidRPr="00E17614">
        <w:rPr>
          <w:rFonts w:ascii="Arial" w:hAnsi="Arial" w:cs="Arial"/>
          <w:b/>
          <w:bCs/>
        </w:rPr>
        <w:t>-</w:t>
      </w:r>
      <w:r w:rsidRPr="00E17614">
        <w:rPr>
          <w:rFonts w:ascii="Arial" w:hAnsi="Arial" w:cs="Arial"/>
          <w:b/>
          <w:bCs/>
        </w:rPr>
        <w:t>being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2021–23 Strategies to Improve Pupil Wellbeing Total Expenditures"/>
        <w:tblDescription w:val="This table provides the 2021–23 total for the Strategies to Improve Pupil Wellbeing allowable use category."/>
      </w:tblPr>
      <w:tblGrid>
        <w:gridCol w:w="2237"/>
        <w:gridCol w:w="2618"/>
        <w:gridCol w:w="2631"/>
        <w:gridCol w:w="1864"/>
      </w:tblGrid>
      <w:tr w:rsidR="0013103B" w:rsidRPr="00E17614" w14:paraId="53F98F4F" w14:textId="77777777" w:rsidTr="007451F1">
        <w:trPr>
          <w:trHeight w:val="320"/>
        </w:trPr>
        <w:tc>
          <w:tcPr>
            <w:tcW w:w="1196" w:type="pct"/>
            <w:shd w:val="clear" w:color="000000" w:fill="BDD6EE"/>
            <w:vAlign w:val="center"/>
            <w:hideMark/>
          </w:tcPr>
          <w:p w14:paraId="0B849BB8"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795692C5" w14:textId="2F60A64A"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2021</w:t>
            </w:r>
            <w:r w:rsidR="00C26271"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094980DD" w14:textId="67051B39"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2022</w:t>
            </w:r>
            <w:r w:rsidR="00C26271"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63E143F9"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 xml:space="preserve">Total </w:t>
            </w:r>
          </w:p>
        </w:tc>
      </w:tr>
      <w:tr w:rsidR="0013103B" w:rsidRPr="00E17614" w14:paraId="66AA37D0" w14:textId="77777777" w:rsidTr="007451F1">
        <w:trPr>
          <w:trHeight w:val="630"/>
        </w:trPr>
        <w:tc>
          <w:tcPr>
            <w:tcW w:w="1196" w:type="pct"/>
            <w:shd w:val="clear" w:color="auto" w:fill="auto"/>
            <w:vAlign w:val="center"/>
            <w:hideMark/>
          </w:tcPr>
          <w:p w14:paraId="27FB9A19" w14:textId="75A4F8E1" w:rsidR="0013103B" w:rsidRPr="00E17614" w:rsidRDefault="0013103B" w:rsidP="007950E2">
            <w:pPr>
              <w:rPr>
                <w:rFonts w:ascii="Arial" w:hAnsi="Arial" w:cs="Arial"/>
                <w:color w:val="000000"/>
              </w:rPr>
            </w:pPr>
            <w:r w:rsidRPr="00E17614">
              <w:rPr>
                <w:rFonts w:ascii="Arial" w:hAnsi="Arial" w:cs="Arial"/>
                <w:color w:val="000000"/>
              </w:rPr>
              <w:t>Strategies to Improve Pupil Well</w:t>
            </w:r>
            <w:r w:rsidR="00D61B02" w:rsidRPr="00E17614">
              <w:rPr>
                <w:rFonts w:ascii="Arial" w:hAnsi="Arial" w:cs="Arial"/>
                <w:color w:val="000000"/>
              </w:rPr>
              <w:t>-</w:t>
            </w:r>
            <w:r w:rsidRPr="00E17614">
              <w:rPr>
                <w:rFonts w:ascii="Arial" w:hAnsi="Arial" w:cs="Arial"/>
                <w:color w:val="000000"/>
              </w:rPr>
              <w:t>being</w:t>
            </w:r>
          </w:p>
        </w:tc>
        <w:tc>
          <w:tcPr>
            <w:tcW w:w="1400" w:type="pct"/>
            <w:shd w:val="clear" w:color="auto" w:fill="auto"/>
            <w:vAlign w:val="center"/>
            <w:hideMark/>
          </w:tcPr>
          <w:p w14:paraId="7A538719" w14:textId="77777777" w:rsidR="0013103B" w:rsidRPr="00E17614" w:rsidRDefault="0013103B" w:rsidP="007950E2">
            <w:pPr>
              <w:rPr>
                <w:rFonts w:ascii="Arial" w:hAnsi="Arial" w:cs="Arial"/>
                <w:color w:val="000000"/>
              </w:rPr>
            </w:pPr>
            <w:r w:rsidRPr="00E17614">
              <w:rPr>
                <w:rFonts w:ascii="Arial" w:hAnsi="Arial" w:cs="Arial"/>
                <w:color w:val="000000"/>
              </w:rPr>
              <w:t xml:space="preserve">$1,455,198.29 </w:t>
            </w:r>
          </w:p>
        </w:tc>
        <w:tc>
          <w:tcPr>
            <w:tcW w:w="1407" w:type="pct"/>
            <w:shd w:val="clear" w:color="auto" w:fill="auto"/>
            <w:vAlign w:val="center"/>
            <w:hideMark/>
          </w:tcPr>
          <w:p w14:paraId="7172B800" w14:textId="77777777" w:rsidR="0013103B" w:rsidRPr="00E17614" w:rsidRDefault="0013103B" w:rsidP="007950E2">
            <w:pPr>
              <w:rPr>
                <w:rFonts w:ascii="Arial" w:hAnsi="Arial" w:cs="Arial"/>
                <w:color w:val="000000"/>
              </w:rPr>
            </w:pPr>
            <w:r w:rsidRPr="00E17614">
              <w:rPr>
                <w:rFonts w:ascii="Arial" w:hAnsi="Arial" w:cs="Arial"/>
                <w:color w:val="000000"/>
              </w:rPr>
              <w:t xml:space="preserve">$7,135,119.42 </w:t>
            </w:r>
          </w:p>
        </w:tc>
        <w:tc>
          <w:tcPr>
            <w:tcW w:w="997" w:type="pct"/>
            <w:shd w:val="clear" w:color="auto" w:fill="auto"/>
            <w:vAlign w:val="center"/>
            <w:hideMark/>
          </w:tcPr>
          <w:p w14:paraId="5909C3D2" w14:textId="77777777" w:rsidR="0013103B" w:rsidRPr="00E17614" w:rsidRDefault="0013103B" w:rsidP="007950E2">
            <w:pPr>
              <w:rPr>
                <w:rFonts w:ascii="Arial" w:hAnsi="Arial" w:cs="Arial"/>
                <w:color w:val="000000"/>
              </w:rPr>
            </w:pPr>
            <w:r w:rsidRPr="00E17614">
              <w:rPr>
                <w:rFonts w:ascii="Arial" w:hAnsi="Arial" w:cs="Arial"/>
                <w:color w:val="000000"/>
              </w:rPr>
              <w:t xml:space="preserve">$8,590,317.71 </w:t>
            </w:r>
          </w:p>
        </w:tc>
      </w:tr>
    </w:tbl>
    <w:p w14:paraId="2504B930" w14:textId="386C38C1" w:rsidR="004F6C45" w:rsidRPr="00E17614" w:rsidRDefault="00DB14C0" w:rsidP="004F6C45">
      <w:pPr>
        <w:spacing w:before="240" w:after="240"/>
        <w:rPr>
          <w:rFonts w:ascii="Arial" w:hAnsi="Arial" w:cs="Arial"/>
          <w:color w:val="000000"/>
        </w:rPr>
      </w:pPr>
      <w:r w:rsidRPr="00E17614">
        <w:rPr>
          <w:rFonts w:ascii="Arial" w:hAnsi="Arial" w:cs="Arial"/>
        </w:rPr>
        <w:t xml:space="preserve">Overall, </w:t>
      </w:r>
      <w:r w:rsidR="008B0F3B" w:rsidRPr="00E17614">
        <w:rPr>
          <w:rFonts w:ascii="Arial" w:hAnsi="Arial" w:cs="Arial"/>
          <w:bCs/>
        </w:rPr>
        <w:t>$8,590,317.71</w:t>
      </w:r>
      <w:r w:rsidRPr="00E17614">
        <w:rPr>
          <w:rFonts w:ascii="Arial" w:hAnsi="Arial" w:cs="Arial"/>
        </w:rPr>
        <w:t xml:space="preserve"> w</w:t>
      </w:r>
      <w:r w:rsidR="00737316" w:rsidRPr="00E17614">
        <w:rPr>
          <w:rFonts w:ascii="Arial" w:hAnsi="Arial" w:cs="Arial"/>
        </w:rPr>
        <w:t>ere</w:t>
      </w:r>
      <w:r w:rsidRPr="00E17614">
        <w:rPr>
          <w:rFonts w:ascii="Arial" w:hAnsi="Arial" w:cs="Arial"/>
        </w:rPr>
        <w:t xml:space="preserve"> spent </w:t>
      </w:r>
      <w:r w:rsidR="00F0760F" w:rsidRPr="00E17614">
        <w:rPr>
          <w:rFonts w:ascii="Arial" w:hAnsi="Arial" w:cs="Arial"/>
        </w:rPr>
        <w:t>on</w:t>
      </w:r>
      <w:r w:rsidRPr="00E17614">
        <w:rPr>
          <w:rFonts w:ascii="Arial" w:hAnsi="Arial" w:cs="Arial"/>
        </w:rPr>
        <w:t xml:space="preserve"> Strategies to Improve Pupil Well</w:t>
      </w:r>
      <w:r w:rsidR="00D61B02" w:rsidRPr="00E17614">
        <w:rPr>
          <w:rFonts w:ascii="Arial" w:hAnsi="Arial" w:cs="Arial"/>
        </w:rPr>
        <w:t>-</w:t>
      </w:r>
      <w:r w:rsidRPr="00E17614">
        <w:rPr>
          <w:rFonts w:ascii="Arial" w:hAnsi="Arial" w:cs="Arial"/>
        </w:rPr>
        <w:t xml:space="preserve">being. A </w:t>
      </w:r>
      <w:r w:rsidR="0051338E" w:rsidRPr="00E17614">
        <w:rPr>
          <w:rFonts w:ascii="Arial" w:hAnsi="Arial" w:cs="Arial"/>
        </w:rPr>
        <w:t>multitude of</w:t>
      </w:r>
      <w:r w:rsidRPr="00E17614">
        <w:rPr>
          <w:rFonts w:ascii="Arial" w:hAnsi="Arial" w:cs="Arial"/>
        </w:rPr>
        <w:t xml:space="preserve"> LEAs have expressed the genuine need to employ various strategies to improve pupil well</w:t>
      </w:r>
      <w:r w:rsidR="00D61B02" w:rsidRPr="00E17614">
        <w:rPr>
          <w:rFonts w:ascii="Arial" w:hAnsi="Arial" w:cs="Arial"/>
        </w:rPr>
        <w:t>-</w:t>
      </w:r>
      <w:r w:rsidRPr="00E17614">
        <w:rPr>
          <w:rFonts w:ascii="Arial" w:hAnsi="Arial" w:cs="Arial"/>
        </w:rPr>
        <w:t>being in this challenging post</w:t>
      </w:r>
      <w:r w:rsidR="00765C68" w:rsidRPr="00E17614">
        <w:rPr>
          <w:rFonts w:ascii="Arial" w:hAnsi="Arial" w:cs="Arial"/>
        </w:rPr>
        <w:t>-</w:t>
      </w:r>
      <w:r w:rsidRPr="00E17614">
        <w:rPr>
          <w:rFonts w:ascii="Arial" w:hAnsi="Arial" w:cs="Arial"/>
        </w:rPr>
        <w:t xml:space="preserve">pandemic era. Specifically, many </w:t>
      </w:r>
      <w:r w:rsidR="00E70EA2" w:rsidRPr="00E17614">
        <w:rPr>
          <w:rFonts w:ascii="Arial" w:hAnsi="Arial" w:cs="Arial"/>
          <w:color w:val="000000"/>
        </w:rPr>
        <w:t>LEAs utilized third-party organizations to provide extensive professional learning related to social</w:t>
      </w:r>
      <w:r w:rsidR="00D61B02" w:rsidRPr="00E17614">
        <w:rPr>
          <w:rFonts w:ascii="Arial" w:hAnsi="Arial" w:cs="Arial"/>
          <w:color w:val="000000"/>
        </w:rPr>
        <w:t>–</w:t>
      </w:r>
      <w:r w:rsidR="00E70EA2" w:rsidRPr="00E17614">
        <w:rPr>
          <w:rFonts w:ascii="Arial" w:hAnsi="Arial" w:cs="Arial"/>
          <w:color w:val="000000"/>
        </w:rPr>
        <w:t>emotional learning. Various vendors and subtopics included trauma-informed practices, mental health awareness, family and community support, and suicide awareness. Further, numerous LEAs reported spending</w:t>
      </w:r>
      <w:r w:rsidR="002B1EC3" w:rsidRPr="00E17614">
        <w:rPr>
          <w:rFonts w:ascii="Arial" w:hAnsi="Arial" w:cs="Arial"/>
          <w:color w:val="000000"/>
        </w:rPr>
        <w:t xml:space="preserve"> the</w:t>
      </w:r>
      <w:r w:rsidR="00E70EA2" w:rsidRPr="00E17614">
        <w:rPr>
          <w:rFonts w:ascii="Arial" w:hAnsi="Arial" w:cs="Arial"/>
          <w:color w:val="000000"/>
        </w:rPr>
        <w:t xml:space="preserve"> EEF on trainings from county offices</w:t>
      </w:r>
      <w:r w:rsidR="00AD645A" w:rsidRPr="00E17614">
        <w:rPr>
          <w:rFonts w:ascii="Arial" w:hAnsi="Arial" w:cs="Arial"/>
          <w:color w:val="000000"/>
        </w:rPr>
        <w:t>, such as Solano COE and Trinity COE,</w:t>
      </w:r>
      <w:r w:rsidR="00E70EA2" w:rsidRPr="00E17614">
        <w:rPr>
          <w:rFonts w:ascii="Arial" w:hAnsi="Arial" w:cs="Arial"/>
          <w:color w:val="000000"/>
        </w:rPr>
        <w:t xml:space="preserve"> on student support and emotional well</w:t>
      </w:r>
      <w:r w:rsidR="00D61B02" w:rsidRPr="00E17614">
        <w:rPr>
          <w:rFonts w:ascii="Arial" w:hAnsi="Arial" w:cs="Arial"/>
          <w:color w:val="000000"/>
        </w:rPr>
        <w:t>-</w:t>
      </w:r>
      <w:r w:rsidR="00E70EA2" w:rsidRPr="00E17614">
        <w:rPr>
          <w:rFonts w:ascii="Arial" w:hAnsi="Arial" w:cs="Arial"/>
          <w:color w:val="000000"/>
        </w:rPr>
        <w:t xml:space="preserve">being. Some LEAs spent </w:t>
      </w:r>
      <w:r w:rsidR="002B1EC3" w:rsidRPr="00E17614">
        <w:rPr>
          <w:rFonts w:ascii="Arial" w:hAnsi="Arial" w:cs="Arial"/>
          <w:color w:val="000000"/>
        </w:rPr>
        <w:t xml:space="preserve">the </w:t>
      </w:r>
      <w:r w:rsidR="00E70EA2" w:rsidRPr="00E17614">
        <w:rPr>
          <w:rFonts w:ascii="Arial" w:hAnsi="Arial" w:cs="Arial"/>
          <w:color w:val="000000"/>
        </w:rPr>
        <w:t>EEF on intensive train</w:t>
      </w:r>
      <w:r w:rsidR="00541F7A" w:rsidRPr="00E17614">
        <w:rPr>
          <w:rFonts w:ascii="Arial" w:hAnsi="Arial" w:cs="Arial"/>
          <w:color w:val="000000"/>
        </w:rPr>
        <w:t>-</w:t>
      </w:r>
      <w:r w:rsidR="00E70EA2" w:rsidRPr="00E17614">
        <w:rPr>
          <w:rFonts w:ascii="Arial" w:hAnsi="Arial" w:cs="Arial"/>
          <w:color w:val="000000"/>
        </w:rPr>
        <w:t>the</w:t>
      </w:r>
      <w:r w:rsidR="00541F7A" w:rsidRPr="00E17614">
        <w:rPr>
          <w:rFonts w:ascii="Arial" w:hAnsi="Arial" w:cs="Arial"/>
          <w:color w:val="000000"/>
        </w:rPr>
        <w:t>-</w:t>
      </w:r>
      <w:r w:rsidR="00E70EA2" w:rsidRPr="00E17614">
        <w:rPr>
          <w:rFonts w:ascii="Arial" w:hAnsi="Arial" w:cs="Arial"/>
          <w:color w:val="000000"/>
        </w:rPr>
        <w:t xml:space="preserve">trainer programs for student emotional support and </w:t>
      </w:r>
      <w:r w:rsidR="0012103F" w:rsidRPr="00E17614">
        <w:rPr>
          <w:rFonts w:ascii="Arial" w:hAnsi="Arial" w:cs="Arial"/>
          <w:color w:val="000000"/>
        </w:rPr>
        <w:t>well-being</w:t>
      </w:r>
      <w:r w:rsidR="00E70EA2" w:rsidRPr="00E17614">
        <w:rPr>
          <w:rFonts w:ascii="Arial" w:hAnsi="Arial" w:cs="Arial"/>
          <w:color w:val="000000"/>
        </w:rPr>
        <w:t xml:space="preserve">. Various LEAs stated it was useful to train a small number of staff and have them come back and train the rest of the site in order to implement new policies and mindsets across campuses. </w:t>
      </w:r>
      <w:r w:rsidR="00AF7E02" w:rsidRPr="00E17614">
        <w:rPr>
          <w:rFonts w:ascii="Arial" w:hAnsi="Arial" w:cs="Arial"/>
          <w:color w:val="000000"/>
        </w:rPr>
        <w:t>Furthermore, some LEAs reported spending</w:t>
      </w:r>
      <w:r w:rsidR="00224988" w:rsidRPr="00E17614">
        <w:rPr>
          <w:rFonts w:ascii="Arial" w:hAnsi="Arial" w:cs="Arial"/>
          <w:color w:val="000000"/>
        </w:rPr>
        <w:t xml:space="preserve"> the</w:t>
      </w:r>
      <w:r w:rsidR="00AF7E02" w:rsidRPr="00E17614">
        <w:rPr>
          <w:rFonts w:ascii="Arial" w:hAnsi="Arial" w:cs="Arial"/>
          <w:color w:val="000000"/>
        </w:rPr>
        <w:t xml:space="preserve"> EEF on s</w:t>
      </w:r>
      <w:r w:rsidR="00E70EA2" w:rsidRPr="00E17614">
        <w:rPr>
          <w:rFonts w:ascii="Arial" w:hAnsi="Arial" w:cs="Arial"/>
          <w:color w:val="000000"/>
        </w:rPr>
        <w:t>taff wellness programs such as yoga and mindfulness training</w:t>
      </w:r>
      <w:r w:rsidR="00AF7E02" w:rsidRPr="00E17614">
        <w:rPr>
          <w:rFonts w:ascii="Arial" w:hAnsi="Arial" w:cs="Arial"/>
          <w:color w:val="000000"/>
        </w:rPr>
        <w:t>.</w:t>
      </w:r>
      <w:bookmarkStart w:id="23" w:name="_Toc148514290"/>
      <w:bookmarkStart w:id="24" w:name="_Toc148516365"/>
    </w:p>
    <w:p w14:paraId="0E1FF0A4" w14:textId="3113363D" w:rsidR="00C0172F" w:rsidRPr="00E17614" w:rsidRDefault="00C0172F" w:rsidP="004F6C45">
      <w:pPr>
        <w:spacing w:before="480" w:after="240"/>
        <w:jc w:val="center"/>
        <w:rPr>
          <w:rFonts w:ascii="Arial" w:hAnsi="Arial" w:cs="Arial"/>
          <w:b/>
          <w:bCs/>
        </w:rPr>
      </w:pPr>
      <w:r w:rsidRPr="00E17614">
        <w:rPr>
          <w:rFonts w:ascii="Arial" w:hAnsi="Arial" w:cs="Arial"/>
          <w:b/>
          <w:bCs/>
        </w:rPr>
        <w:t>Practices to Promote Positive School Climate Total Expenditures</w:t>
      </w:r>
      <w:bookmarkEnd w:id="23"/>
      <w:bookmarkEnd w:id="24"/>
    </w:p>
    <w:p w14:paraId="2B177C13" w14:textId="58A01CCA" w:rsidR="00D10763" w:rsidRPr="00E17614" w:rsidRDefault="00D10763" w:rsidP="00136B42">
      <w:pPr>
        <w:spacing w:after="240"/>
        <w:rPr>
          <w:rFonts w:ascii="Arial" w:hAnsi="Arial" w:cs="Arial"/>
          <w:b/>
          <w:bCs/>
        </w:rPr>
      </w:pPr>
      <w:r w:rsidRPr="00E17614">
        <w:rPr>
          <w:rFonts w:ascii="Arial" w:hAnsi="Arial" w:cs="Arial"/>
          <w:b/>
          <w:bCs/>
        </w:rPr>
        <w:t xml:space="preserve">Table 7. </w:t>
      </w:r>
      <w:r w:rsidR="004F6C45" w:rsidRPr="00E17614">
        <w:rPr>
          <w:rFonts w:ascii="Arial" w:hAnsi="Arial" w:cs="Arial"/>
          <w:b/>
          <w:bCs/>
        </w:rPr>
        <w:t>Practices to Promote Positive School Climate</w:t>
      </w:r>
      <w:r w:rsidRPr="00E17614">
        <w:rPr>
          <w:rFonts w:ascii="Arial" w:hAnsi="Arial" w:cs="Arial"/>
          <w:b/>
          <w:bCs/>
        </w:rPr>
        <w:t xml:space="preserve">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2021–23 Practices to Promote Positive School Climate Total Expenditures"/>
        <w:tblDescription w:val="This table provides the 2021–23 total for the Practices to Promote Positive School Climate allowable use category."/>
      </w:tblPr>
      <w:tblGrid>
        <w:gridCol w:w="2229"/>
        <w:gridCol w:w="2627"/>
        <w:gridCol w:w="2609"/>
        <w:gridCol w:w="1885"/>
      </w:tblGrid>
      <w:tr w:rsidR="0013103B" w:rsidRPr="00E17614" w14:paraId="2E1A9F8A" w14:textId="77777777" w:rsidTr="008634C6">
        <w:trPr>
          <w:trHeight w:val="320"/>
        </w:trPr>
        <w:tc>
          <w:tcPr>
            <w:tcW w:w="1192" w:type="pct"/>
            <w:shd w:val="clear" w:color="000000" w:fill="BDD6EE"/>
            <w:vAlign w:val="center"/>
            <w:hideMark/>
          </w:tcPr>
          <w:p w14:paraId="6775AEE1"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Report Field</w:t>
            </w:r>
          </w:p>
        </w:tc>
        <w:tc>
          <w:tcPr>
            <w:tcW w:w="1405" w:type="pct"/>
            <w:shd w:val="clear" w:color="000000" w:fill="BDD6EE"/>
            <w:vAlign w:val="center"/>
            <w:hideMark/>
          </w:tcPr>
          <w:p w14:paraId="28C2DE82" w14:textId="1E263082"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2021</w:t>
            </w:r>
            <w:r w:rsidR="00DB6ACA" w:rsidRPr="00E17614">
              <w:rPr>
                <w:rFonts w:ascii="Arial" w:hAnsi="Arial" w:cs="Arial"/>
                <w:b/>
                <w:bCs/>
                <w:color w:val="000000"/>
              </w:rPr>
              <w:t>–</w:t>
            </w:r>
            <w:r w:rsidRPr="00E17614">
              <w:rPr>
                <w:rFonts w:ascii="Arial" w:hAnsi="Arial" w:cs="Arial"/>
                <w:b/>
                <w:bCs/>
                <w:color w:val="000000"/>
              </w:rPr>
              <w:t>22</w:t>
            </w:r>
          </w:p>
        </w:tc>
        <w:tc>
          <w:tcPr>
            <w:tcW w:w="1395" w:type="pct"/>
            <w:shd w:val="clear" w:color="000000" w:fill="BDD6EE"/>
            <w:vAlign w:val="center"/>
            <w:hideMark/>
          </w:tcPr>
          <w:p w14:paraId="56DEE2DD" w14:textId="6D5CAB6D" w:rsidR="0013103B" w:rsidRPr="00E17614" w:rsidRDefault="0013103B" w:rsidP="00566BE6">
            <w:pPr>
              <w:jc w:val="center"/>
              <w:rPr>
                <w:rFonts w:ascii="Arial" w:hAnsi="Arial" w:cs="Arial"/>
                <w:b/>
                <w:bCs/>
                <w:color w:val="000000"/>
              </w:rPr>
            </w:pPr>
            <w:r w:rsidRPr="00E17614">
              <w:rPr>
                <w:rFonts w:ascii="Arial" w:hAnsi="Arial" w:cs="Arial"/>
                <w:b/>
                <w:bCs/>
                <w:color w:val="000000"/>
              </w:rPr>
              <w:t>Fiscal Year 2022</w:t>
            </w:r>
            <w:r w:rsidR="00DB6ACA" w:rsidRPr="00E17614">
              <w:rPr>
                <w:rFonts w:ascii="Arial" w:hAnsi="Arial" w:cs="Arial"/>
                <w:b/>
                <w:bCs/>
                <w:color w:val="000000"/>
              </w:rPr>
              <w:t>–</w:t>
            </w:r>
            <w:r w:rsidRPr="00E17614">
              <w:rPr>
                <w:rFonts w:ascii="Arial" w:hAnsi="Arial" w:cs="Arial"/>
                <w:b/>
                <w:bCs/>
                <w:color w:val="000000"/>
              </w:rPr>
              <w:t>23</w:t>
            </w:r>
          </w:p>
        </w:tc>
        <w:tc>
          <w:tcPr>
            <w:tcW w:w="1009" w:type="pct"/>
            <w:shd w:val="clear" w:color="000000" w:fill="BDD6EE"/>
            <w:vAlign w:val="center"/>
            <w:hideMark/>
          </w:tcPr>
          <w:p w14:paraId="3FB2169F" w14:textId="77777777" w:rsidR="0013103B" w:rsidRPr="00E17614" w:rsidRDefault="0013103B" w:rsidP="00566BE6">
            <w:pPr>
              <w:jc w:val="center"/>
              <w:rPr>
                <w:rFonts w:ascii="Arial" w:hAnsi="Arial" w:cs="Arial"/>
                <w:b/>
                <w:bCs/>
                <w:color w:val="000000"/>
              </w:rPr>
            </w:pPr>
            <w:r w:rsidRPr="00E17614">
              <w:rPr>
                <w:rFonts w:ascii="Arial" w:hAnsi="Arial" w:cs="Arial"/>
                <w:b/>
                <w:bCs/>
                <w:color w:val="000000"/>
              </w:rPr>
              <w:t xml:space="preserve">Total </w:t>
            </w:r>
          </w:p>
        </w:tc>
      </w:tr>
      <w:tr w:rsidR="0013103B" w:rsidRPr="00E17614" w14:paraId="566DD6A3" w14:textId="77777777" w:rsidTr="008634C6">
        <w:trPr>
          <w:trHeight w:val="630"/>
        </w:trPr>
        <w:tc>
          <w:tcPr>
            <w:tcW w:w="1192" w:type="pct"/>
            <w:shd w:val="clear" w:color="auto" w:fill="auto"/>
            <w:vAlign w:val="center"/>
            <w:hideMark/>
          </w:tcPr>
          <w:p w14:paraId="4E673970" w14:textId="77777777" w:rsidR="0013103B" w:rsidRPr="00E17614" w:rsidRDefault="0013103B" w:rsidP="00DB6ACA">
            <w:pPr>
              <w:rPr>
                <w:rFonts w:ascii="Arial" w:hAnsi="Arial" w:cs="Arial"/>
                <w:color w:val="000000"/>
              </w:rPr>
            </w:pPr>
            <w:r w:rsidRPr="00E17614">
              <w:rPr>
                <w:rFonts w:ascii="Arial" w:hAnsi="Arial" w:cs="Arial"/>
                <w:color w:val="000000"/>
              </w:rPr>
              <w:t>Practices to Promote Positive School Climate</w:t>
            </w:r>
          </w:p>
        </w:tc>
        <w:tc>
          <w:tcPr>
            <w:tcW w:w="1405" w:type="pct"/>
            <w:shd w:val="clear" w:color="auto" w:fill="auto"/>
            <w:vAlign w:val="center"/>
            <w:hideMark/>
          </w:tcPr>
          <w:p w14:paraId="69136264" w14:textId="77777777" w:rsidR="0013103B" w:rsidRPr="00E17614" w:rsidRDefault="0013103B" w:rsidP="00DB6ACA">
            <w:pPr>
              <w:rPr>
                <w:rFonts w:ascii="Arial" w:hAnsi="Arial" w:cs="Arial"/>
                <w:color w:val="000000"/>
              </w:rPr>
            </w:pPr>
            <w:r w:rsidRPr="00E17614">
              <w:rPr>
                <w:rFonts w:ascii="Arial" w:hAnsi="Arial" w:cs="Arial"/>
                <w:color w:val="000000"/>
              </w:rPr>
              <w:t xml:space="preserve">$3,250,256.38 </w:t>
            </w:r>
          </w:p>
        </w:tc>
        <w:tc>
          <w:tcPr>
            <w:tcW w:w="1395" w:type="pct"/>
            <w:shd w:val="clear" w:color="auto" w:fill="auto"/>
            <w:vAlign w:val="center"/>
            <w:hideMark/>
          </w:tcPr>
          <w:p w14:paraId="27B274F7" w14:textId="77777777" w:rsidR="0013103B" w:rsidRPr="00E17614" w:rsidRDefault="0013103B" w:rsidP="00DB6ACA">
            <w:pPr>
              <w:rPr>
                <w:rFonts w:ascii="Arial" w:hAnsi="Arial" w:cs="Arial"/>
                <w:color w:val="000000"/>
              </w:rPr>
            </w:pPr>
            <w:r w:rsidRPr="00E17614">
              <w:rPr>
                <w:rFonts w:ascii="Arial" w:hAnsi="Arial" w:cs="Arial"/>
                <w:color w:val="000000"/>
              </w:rPr>
              <w:t xml:space="preserve">$14,605,275.87 </w:t>
            </w:r>
          </w:p>
        </w:tc>
        <w:tc>
          <w:tcPr>
            <w:tcW w:w="1009" w:type="pct"/>
            <w:shd w:val="clear" w:color="auto" w:fill="auto"/>
            <w:vAlign w:val="center"/>
            <w:hideMark/>
          </w:tcPr>
          <w:p w14:paraId="043DEB05" w14:textId="77777777" w:rsidR="0013103B" w:rsidRPr="00E17614" w:rsidRDefault="0013103B" w:rsidP="00DB6ACA">
            <w:pPr>
              <w:rPr>
                <w:rFonts w:ascii="Arial" w:hAnsi="Arial" w:cs="Arial"/>
                <w:color w:val="000000"/>
              </w:rPr>
            </w:pPr>
            <w:r w:rsidRPr="00E17614">
              <w:rPr>
                <w:rFonts w:ascii="Arial" w:hAnsi="Arial" w:cs="Arial"/>
                <w:color w:val="000000"/>
              </w:rPr>
              <w:t xml:space="preserve">$17,855,532.25 </w:t>
            </w:r>
          </w:p>
        </w:tc>
      </w:tr>
    </w:tbl>
    <w:p w14:paraId="4B3A47BF" w14:textId="46ABFBD2" w:rsidR="00C0172F" w:rsidRPr="00E17614" w:rsidRDefault="004E09B0" w:rsidP="00C83CE8">
      <w:pPr>
        <w:shd w:val="clear" w:color="auto" w:fill="FFFFFF"/>
        <w:spacing w:before="240" w:after="240"/>
        <w:rPr>
          <w:rFonts w:ascii="Arial" w:hAnsi="Arial" w:cs="Arial"/>
          <w:color w:val="000000"/>
        </w:rPr>
      </w:pPr>
      <w:r w:rsidRPr="00E17614">
        <w:rPr>
          <w:rFonts w:ascii="Arial" w:hAnsi="Arial" w:cs="Arial"/>
        </w:rPr>
        <w:t>In total</w:t>
      </w:r>
      <w:r w:rsidR="00E341D7" w:rsidRPr="00E17614">
        <w:rPr>
          <w:rFonts w:ascii="Arial" w:hAnsi="Arial" w:cs="Arial"/>
        </w:rPr>
        <w:t xml:space="preserve">, </w:t>
      </w:r>
      <w:r w:rsidR="00AF2054" w:rsidRPr="00E17614">
        <w:rPr>
          <w:rFonts w:ascii="Arial" w:hAnsi="Arial" w:cs="Arial"/>
          <w:bCs/>
        </w:rPr>
        <w:t>$</w:t>
      </w:r>
      <w:r w:rsidR="0012085C" w:rsidRPr="00E17614">
        <w:rPr>
          <w:rFonts w:ascii="Arial" w:hAnsi="Arial" w:cs="Arial"/>
          <w:bCs/>
        </w:rPr>
        <w:t>17,855,532.25</w:t>
      </w:r>
      <w:r w:rsidR="00B67A8C" w:rsidRPr="00E17614">
        <w:rPr>
          <w:rFonts w:ascii="Arial" w:hAnsi="Arial" w:cs="Arial"/>
          <w:bCs/>
        </w:rPr>
        <w:t xml:space="preserve"> of the EEF</w:t>
      </w:r>
      <w:r w:rsidR="00E341D7" w:rsidRPr="00E17614">
        <w:rPr>
          <w:rFonts w:ascii="Arial" w:hAnsi="Arial" w:cs="Arial"/>
        </w:rPr>
        <w:t xml:space="preserve"> w</w:t>
      </w:r>
      <w:r w:rsidR="00D61B02" w:rsidRPr="00E17614">
        <w:rPr>
          <w:rFonts w:ascii="Arial" w:hAnsi="Arial" w:cs="Arial"/>
        </w:rPr>
        <w:t>ere</w:t>
      </w:r>
      <w:r w:rsidR="00E341D7" w:rsidRPr="00E17614">
        <w:rPr>
          <w:rFonts w:ascii="Arial" w:hAnsi="Arial" w:cs="Arial"/>
        </w:rPr>
        <w:t xml:space="preserve"> spent on Practices to Promote Positive School Climate.</w:t>
      </w:r>
      <w:r w:rsidR="007F43B1" w:rsidRPr="00E17614">
        <w:rPr>
          <w:rFonts w:ascii="Arial" w:hAnsi="Arial" w:cs="Arial"/>
        </w:rPr>
        <w:t xml:space="preserve"> This allowable use category is popular among LEAs</w:t>
      </w:r>
      <w:r w:rsidR="00D61B02" w:rsidRPr="00E17614">
        <w:rPr>
          <w:rFonts w:ascii="Arial" w:hAnsi="Arial" w:cs="Arial"/>
        </w:rPr>
        <w:t>;</w:t>
      </w:r>
      <w:r w:rsidR="00CD2178" w:rsidRPr="00E17614">
        <w:rPr>
          <w:rFonts w:ascii="Arial" w:hAnsi="Arial" w:cs="Arial"/>
        </w:rPr>
        <w:t xml:space="preserve"> many report</w:t>
      </w:r>
      <w:r w:rsidR="00863D99" w:rsidRPr="00E17614">
        <w:rPr>
          <w:rFonts w:ascii="Arial" w:hAnsi="Arial" w:cs="Arial"/>
        </w:rPr>
        <w:t xml:space="preserve">ed </w:t>
      </w:r>
      <w:r w:rsidR="00CD2178" w:rsidRPr="00E17614">
        <w:rPr>
          <w:rFonts w:ascii="Arial" w:hAnsi="Arial" w:cs="Arial"/>
        </w:rPr>
        <w:t>spending in this category. It is also important to note that this allowable use category ranks third in terms of overall spending</w:t>
      </w:r>
      <w:r w:rsidR="007F5EAD" w:rsidRPr="00E17614">
        <w:rPr>
          <w:rFonts w:ascii="Arial" w:hAnsi="Arial" w:cs="Arial"/>
        </w:rPr>
        <w:t xml:space="preserve"> within the EEF allowable use areas</w:t>
      </w:r>
      <w:r w:rsidR="00CD2178" w:rsidRPr="00E17614">
        <w:rPr>
          <w:rFonts w:ascii="Arial" w:hAnsi="Arial" w:cs="Arial"/>
        </w:rPr>
        <w:t>.</w:t>
      </w:r>
      <w:r w:rsidR="00E341D7" w:rsidRPr="00E17614">
        <w:rPr>
          <w:rFonts w:ascii="Arial" w:hAnsi="Arial" w:cs="Arial"/>
        </w:rPr>
        <w:t xml:space="preserve"> LEAs </w:t>
      </w:r>
      <w:r w:rsidR="00CD2178" w:rsidRPr="00E17614">
        <w:rPr>
          <w:rFonts w:ascii="Arial" w:hAnsi="Arial" w:cs="Arial"/>
        </w:rPr>
        <w:t xml:space="preserve">reported </w:t>
      </w:r>
      <w:r w:rsidR="00E341D7" w:rsidRPr="00E17614">
        <w:rPr>
          <w:rFonts w:ascii="Arial" w:hAnsi="Arial" w:cs="Arial"/>
        </w:rPr>
        <w:t>spen</w:t>
      </w:r>
      <w:r w:rsidR="00CD2178" w:rsidRPr="00E17614">
        <w:rPr>
          <w:rFonts w:ascii="Arial" w:hAnsi="Arial" w:cs="Arial"/>
        </w:rPr>
        <w:t>ding</w:t>
      </w:r>
      <w:r w:rsidR="00E341D7" w:rsidRPr="00E17614">
        <w:rPr>
          <w:rFonts w:ascii="Arial" w:hAnsi="Arial" w:cs="Arial"/>
        </w:rPr>
        <w:t xml:space="preserve"> funds on </w:t>
      </w:r>
      <w:r w:rsidR="007F5EAD" w:rsidRPr="00E17614">
        <w:rPr>
          <w:rFonts w:ascii="Arial" w:hAnsi="Arial" w:cs="Arial"/>
          <w:color w:val="000000"/>
        </w:rPr>
        <w:t>c</w:t>
      </w:r>
      <w:r w:rsidR="00ED2927" w:rsidRPr="00E17614">
        <w:rPr>
          <w:rFonts w:ascii="Arial" w:hAnsi="Arial" w:cs="Arial"/>
          <w:color w:val="000000"/>
        </w:rPr>
        <w:t xml:space="preserve">omprehensive data analysis on school climate as well as MTSS or Positive Behavior Interventions and Supports training. Additionally, </w:t>
      </w:r>
      <w:r w:rsidR="007F43B1" w:rsidRPr="00E17614">
        <w:rPr>
          <w:rFonts w:ascii="Arial" w:hAnsi="Arial" w:cs="Arial"/>
          <w:color w:val="000000"/>
        </w:rPr>
        <w:t>n</w:t>
      </w:r>
      <w:r w:rsidR="00ED2927" w:rsidRPr="00E17614">
        <w:rPr>
          <w:rFonts w:ascii="Arial" w:hAnsi="Arial" w:cs="Arial"/>
          <w:color w:val="000000"/>
        </w:rPr>
        <w:t>umerous LEAs reported using</w:t>
      </w:r>
      <w:r w:rsidR="001F46CA" w:rsidRPr="00E17614">
        <w:rPr>
          <w:rFonts w:ascii="Arial" w:hAnsi="Arial" w:cs="Arial"/>
          <w:color w:val="000000"/>
        </w:rPr>
        <w:t xml:space="preserve"> the</w:t>
      </w:r>
      <w:r w:rsidR="00ED2927" w:rsidRPr="00E17614">
        <w:rPr>
          <w:rFonts w:ascii="Arial" w:hAnsi="Arial" w:cs="Arial"/>
          <w:color w:val="000000"/>
        </w:rPr>
        <w:t xml:space="preserve"> EEF for positive school climate trainings provided by their local county offices</w:t>
      </w:r>
      <w:r w:rsidR="00D61B02" w:rsidRPr="00E17614">
        <w:rPr>
          <w:rFonts w:ascii="Arial" w:hAnsi="Arial" w:cs="Arial"/>
          <w:color w:val="000000"/>
        </w:rPr>
        <w:t>;</w:t>
      </w:r>
      <w:r w:rsidR="00AD645A" w:rsidRPr="00E17614">
        <w:rPr>
          <w:rFonts w:ascii="Arial" w:hAnsi="Arial" w:cs="Arial"/>
          <w:color w:val="000000"/>
        </w:rPr>
        <w:t xml:space="preserve"> </w:t>
      </w:r>
      <w:r w:rsidR="00ED2927" w:rsidRPr="00E17614">
        <w:rPr>
          <w:rFonts w:ascii="Arial" w:hAnsi="Arial" w:cs="Arial"/>
          <w:color w:val="000000"/>
        </w:rPr>
        <w:t>Mendocino</w:t>
      </w:r>
      <w:r w:rsidR="00AD645A" w:rsidRPr="00E17614">
        <w:rPr>
          <w:rFonts w:ascii="Arial" w:hAnsi="Arial" w:cs="Arial"/>
          <w:color w:val="000000"/>
        </w:rPr>
        <w:t xml:space="preserve"> COE</w:t>
      </w:r>
      <w:r w:rsidR="00ED2927" w:rsidRPr="00E17614">
        <w:rPr>
          <w:rFonts w:ascii="Arial" w:hAnsi="Arial" w:cs="Arial"/>
          <w:color w:val="000000"/>
        </w:rPr>
        <w:t>, Santa Clara</w:t>
      </w:r>
      <w:r w:rsidR="00AD645A" w:rsidRPr="00E17614">
        <w:rPr>
          <w:rFonts w:ascii="Arial" w:hAnsi="Arial" w:cs="Arial"/>
          <w:color w:val="000000"/>
        </w:rPr>
        <w:t xml:space="preserve"> COE</w:t>
      </w:r>
      <w:r w:rsidR="00ED2927" w:rsidRPr="00E17614">
        <w:rPr>
          <w:rFonts w:ascii="Arial" w:hAnsi="Arial" w:cs="Arial"/>
          <w:color w:val="000000"/>
        </w:rPr>
        <w:t xml:space="preserve">, </w:t>
      </w:r>
      <w:r w:rsidR="00382CAC" w:rsidRPr="00E17614">
        <w:rPr>
          <w:rFonts w:ascii="Arial" w:hAnsi="Arial" w:cs="Arial"/>
          <w:color w:val="000000"/>
        </w:rPr>
        <w:t xml:space="preserve">and </w:t>
      </w:r>
      <w:r w:rsidR="00ED2927" w:rsidRPr="00E17614">
        <w:rPr>
          <w:rFonts w:ascii="Arial" w:hAnsi="Arial" w:cs="Arial"/>
          <w:color w:val="000000"/>
        </w:rPr>
        <w:t>San Diego</w:t>
      </w:r>
      <w:r w:rsidR="00AD645A" w:rsidRPr="00E17614">
        <w:rPr>
          <w:rFonts w:ascii="Arial" w:hAnsi="Arial" w:cs="Arial"/>
          <w:color w:val="000000"/>
        </w:rPr>
        <w:t xml:space="preserve"> COE</w:t>
      </w:r>
      <w:r w:rsidR="00D61B02" w:rsidRPr="00E17614">
        <w:rPr>
          <w:rFonts w:ascii="Arial" w:hAnsi="Arial" w:cs="Arial"/>
          <w:color w:val="000000"/>
        </w:rPr>
        <w:t xml:space="preserve"> were specifically mentioned</w:t>
      </w:r>
      <w:r w:rsidR="00ED2927" w:rsidRPr="00E17614">
        <w:rPr>
          <w:rFonts w:ascii="Arial" w:hAnsi="Arial" w:cs="Arial"/>
          <w:color w:val="000000"/>
        </w:rPr>
        <w:t xml:space="preserve">. </w:t>
      </w:r>
      <w:r w:rsidR="007F43B1" w:rsidRPr="00E17614">
        <w:rPr>
          <w:rFonts w:ascii="Arial" w:hAnsi="Arial" w:cs="Arial"/>
          <w:color w:val="000000"/>
        </w:rPr>
        <w:t>Some LEAs mentioned using</w:t>
      </w:r>
      <w:r w:rsidR="001F46CA" w:rsidRPr="00E17614">
        <w:rPr>
          <w:rFonts w:ascii="Arial" w:hAnsi="Arial" w:cs="Arial"/>
          <w:color w:val="000000"/>
        </w:rPr>
        <w:t xml:space="preserve"> the</w:t>
      </w:r>
      <w:r w:rsidR="007F43B1" w:rsidRPr="00E17614">
        <w:rPr>
          <w:rFonts w:ascii="Arial" w:hAnsi="Arial" w:cs="Arial"/>
          <w:color w:val="000000"/>
        </w:rPr>
        <w:t xml:space="preserve"> EEF to conduct extensive site visits and reflection. Finally, some LEAs reported using the EEF to administer surveys and conduct data analysis linked to both LEAs and</w:t>
      </w:r>
      <w:r w:rsidR="007F5EAD" w:rsidRPr="00E17614">
        <w:rPr>
          <w:rFonts w:ascii="Arial" w:hAnsi="Arial" w:cs="Arial"/>
          <w:color w:val="000000"/>
        </w:rPr>
        <w:t xml:space="preserve"> their</w:t>
      </w:r>
      <w:r w:rsidR="007F43B1" w:rsidRPr="00E17614">
        <w:rPr>
          <w:rFonts w:ascii="Arial" w:hAnsi="Arial" w:cs="Arial"/>
          <w:color w:val="000000"/>
        </w:rPr>
        <w:t xml:space="preserve"> sites</w:t>
      </w:r>
      <w:r w:rsidR="00C65B47" w:rsidRPr="00E17614">
        <w:rPr>
          <w:rFonts w:ascii="Arial" w:hAnsi="Arial" w:cs="Arial"/>
          <w:color w:val="000000"/>
        </w:rPr>
        <w:t>.</w:t>
      </w:r>
    </w:p>
    <w:p w14:paraId="15DF492D" w14:textId="77746201" w:rsidR="00C0172F" w:rsidRPr="00E17614" w:rsidRDefault="00C0172F" w:rsidP="00C03A70">
      <w:pPr>
        <w:spacing w:before="480" w:after="240"/>
        <w:jc w:val="center"/>
        <w:rPr>
          <w:rFonts w:ascii="Arial" w:hAnsi="Arial" w:cs="Arial"/>
          <w:b/>
          <w:bCs/>
        </w:rPr>
      </w:pPr>
      <w:bookmarkStart w:id="25" w:name="_Toc148514291"/>
      <w:bookmarkStart w:id="26" w:name="_Toc148516366"/>
      <w:r w:rsidRPr="00E17614">
        <w:rPr>
          <w:rFonts w:ascii="Arial" w:hAnsi="Arial" w:cs="Arial"/>
          <w:b/>
          <w:bCs/>
        </w:rPr>
        <w:lastRenderedPageBreak/>
        <w:t>Inclusive Practices</w:t>
      </w:r>
      <w:r w:rsidR="007E5CB5" w:rsidRPr="00E17614">
        <w:rPr>
          <w:rFonts w:ascii="Arial" w:hAnsi="Arial" w:cs="Arial"/>
          <w:b/>
          <w:bCs/>
        </w:rPr>
        <w:t xml:space="preserve"> and</w:t>
      </w:r>
      <w:r w:rsidRPr="00E17614">
        <w:rPr>
          <w:rFonts w:ascii="Arial" w:hAnsi="Arial" w:cs="Arial"/>
          <w:b/>
          <w:bCs/>
        </w:rPr>
        <w:t xml:space="preserve"> Strategies Total Expenditures</w:t>
      </w:r>
      <w:bookmarkEnd w:id="25"/>
      <w:bookmarkEnd w:id="26"/>
    </w:p>
    <w:p w14:paraId="0F42B54E" w14:textId="7683ABB4" w:rsidR="004F6C45" w:rsidRPr="00E17614" w:rsidRDefault="004F6C45" w:rsidP="009B3B82">
      <w:pPr>
        <w:spacing w:after="240"/>
        <w:rPr>
          <w:rFonts w:ascii="Arial" w:hAnsi="Arial" w:cs="Arial"/>
          <w:b/>
          <w:bCs/>
        </w:rPr>
      </w:pPr>
      <w:r w:rsidRPr="00E17614">
        <w:rPr>
          <w:rFonts w:ascii="Arial" w:hAnsi="Arial" w:cs="Arial"/>
          <w:b/>
          <w:bCs/>
        </w:rPr>
        <w:t>Table 8. Inclusive Practices and Strategies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2021–23 Inclusive Practices and Strategies Expenditure Total"/>
        <w:tblDescription w:val="This table provides the 2021–23 total for the Inclusive Practices and Strategies  allowable use category."/>
      </w:tblPr>
      <w:tblGrid>
        <w:gridCol w:w="2237"/>
        <w:gridCol w:w="2618"/>
        <w:gridCol w:w="2631"/>
        <w:gridCol w:w="1864"/>
      </w:tblGrid>
      <w:tr w:rsidR="00D77445" w:rsidRPr="00E17614" w14:paraId="580DFBF7" w14:textId="77777777" w:rsidTr="008634C6">
        <w:trPr>
          <w:trHeight w:val="320"/>
        </w:trPr>
        <w:tc>
          <w:tcPr>
            <w:tcW w:w="1196" w:type="pct"/>
            <w:shd w:val="clear" w:color="000000" w:fill="BDD6EE"/>
            <w:vAlign w:val="center"/>
            <w:hideMark/>
          </w:tcPr>
          <w:p w14:paraId="6FBC7384" w14:textId="77777777" w:rsidR="00D77445" w:rsidRPr="00E17614" w:rsidRDefault="00D77445"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2BA8930E" w14:textId="1737D451" w:rsidR="00D77445" w:rsidRPr="00E17614" w:rsidRDefault="00D77445" w:rsidP="00566BE6">
            <w:pPr>
              <w:jc w:val="center"/>
              <w:rPr>
                <w:rFonts w:ascii="Arial" w:hAnsi="Arial" w:cs="Arial"/>
                <w:b/>
                <w:bCs/>
                <w:color w:val="000000"/>
              </w:rPr>
            </w:pPr>
            <w:r w:rsidRPr="00E17614">
              <w:rPr>
                <w:rFonts w:ascii="Arial" w:hAnsi="Arial" w:cs="Arial"/>
                <w:b/>
                <w:bCs/>
                <w:color w:val="000000"/>
              </w:rPr>
              <w:t>Fiscal Year 2021</w:t>
            </w:r>
            <w:r w:rsidR="00EC4353"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7D1E3C8D" w14:textId="43BF85A8" w:rsidR="00D77445" w:rsidRPr="00E17614" w:rsidRDefault="00D77445" w:rsidP="00566BE6">
            <w:pPr>
              <w:jc w:val="center"/>
              <w:rPr>
                <w:rFonts w:ascii="Arial" w:hAnsi="Arial" w:cs="Arial"/>
                <w:b/>
                <w:bCs/>
                <w:color w:val="000000"/>
              </w:rPr>
            </w:pPr>
            <w:r w:rsidRPr="00E17614">
              <w:rPr>
                <w:rFonts w:ascii="Arial" w:hAnsi="Arial" w:cs="Arial"/>
                <w:b/>
                <w:bCs/>
                <w:color w:val="000000"/>
              </w:rPr>
              <w:t>Fiscal Year 2022</w:t>
            </w:r>
            <w:r w:rsidR="00EC4353"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0C05DD78" w14:textId="77777777" w:rsidR="00D77445" w:rsidRPr="00E17614" w:rsidRDefault="00D77445" w:rsidP="00566BE6">
            <w:pPr>
              <w:jc w:val="center"/>
              <w:rPr>
                <w:rFonts w:ascii="Arial" w:hAnsi="Arial" w:cs="Arial"/>
                <w:b/>
                <w:bCs/>
                <w:color w:val="000000"/>
              </w:rPr>
            </w:pPr>
            <w:r w:rsidRPr="00E17614">
              <w:rPr>
                <w:rFonts w:ascii="Arial" w:hAnsi="Arial" w:cs="Arial"/>
                <w:b/>
                <w:bCs/>
                <w:color w:val="000000"/>
              </w:rPr>
              <w:t xml:space="preserve">Total </w:t>
            </w:r>
          </w:p>
        </w:tc>
      </w:tr>
      <w:tr w:rsidR="00D77445" w:rsidRPr="00E17614" w14:paraId="07796CE2" w14:textId="77777777" w:rsidTr="008634C6">
        <w:trPr>
          <w:trHeight w:val="630"/>
        </w:trPr>
        <w:tc>
          <w:tcPr>
            <w:tcW w:w="1196" w:type="pct"/>
            <w:shd w:val="clear" w:color="auto" w:fill="auto"/>
            <w:vAlign w:val="center"/>
            <w:hideMark/>
          </w:tcPr>
          <w:p w14:paraId="2B88157D" w14:textId="77777777" w:rsidR="00D77445" w:rsidRPr="00E17614" w:rsidRDefault="00D77445" w:rsidP="00EC4353">
            <w:pPr>
              <w:rPr>
                <w:rFonts w:ascii="Arial" w:hAnsi="Arial" w:cs="Arial"/>
                <w:color w:val="000000"/>
              </w:rPr>
            </w:pPr>
            <w:r w:rsidRPr="00E17614">
              <w:rPr>
                <w:rFonts w:ascii="Arial" w:hAnsi="Arial" w:cs="Arial"/>
                <w:color w:val="000000"/>
              </w:rPr>
              <w:t>Inclusive Practices and Strategies</w:t>
            </w:r>
          </w:p>
        </w:tc>
        <w:tc>
          <w:tcPr>
            <w:tcW w:w="1400" w:type="pct"/>
            <w:shd w:val="clear" w:color="auto" w:fill="auto"/>
            <w:vAlign w:val="center"/>
            <w:hideMark/>
          </w:tcPr>
          <w:p w14:paraId="1EAD1F53" w14:textId="77777777" w:rsidR="00D77445" w:rsidRPr="00E17614" w:rsidRDefault="00D77445" w:rsidP="00EC4353">
            <w:pPr>
              <w:rPr>
                <w:rFonts w:ascii="Arial" w:hAnsi="Arial" w:cs="Arial"/>
                <w:color w:val="000000"/>
              </w:rPr>
            </w:pPr>
            <w:r w:rsidRPr="00E17614">
              <w:rPr>
                <w:rFonts w:ascii="Arial" w:hAnsi="Arial" w:cs="Arial"/>
                <w:color w:val="000000"/>
              </w:rPr>
              <w:t xml:space="preserve">$453,597.14 </w:t>
            </w:r>
          </w:p>
        </w:tc>
        <w:tc>
          <w:tcPr>
            <w:tcW w:w="1407" w:type="pct"/>
            <w:shd w:val="clear" w:color="auto" w:fill="auto"/>
            <w:vAlign w:val="center"/>
            <w:hideMark/>
          </w:tcPr>
          <w:p w14:paraId="72976E7E" w14:textId="77777777" w:rsidR="00D77445" w:rsidRPr="00E17614" w:rsidRDefault="00D77445" w:rsidP="00EC4353">
            <w:pPr>
              <w:rPr>
                <w:rFonts w:ascii="Arial" w:hAnsi="Arial" w:cs="Arial"/>
                <w:color w:val="000000"/>
              </w:rPr>
            </w:pPr>
            <w:r w:rsidRPr="00E17614">
              <w:rPr>
                <w:rFonts w:ascii="Arial" w:hAnsi="Arial" w:cs="Arial"/>
                <w:color w:val="000000"/>
              </w:rPr>
              <w:t xml:space="preserve">$4,293,476.81 </w:t>
            </w:r>
          </w:p>
        </w:tc>
        <w:tc>
          <w:tcPr>
            <w:tcW w:w="997" w:type="pct"/>
            <w:shd w:val="clear" w:color="auto" w:fill="auto"/>
            <w:vAlign w:val="center"/>
            <w:hideMark/>
          </w:tcPr>
          <w:p w14:paraId="3676D295" w14:textId="77777777" w:rsidR="00D77445" w:rsidRPr="00E17614" w:rsidRDefault="00D77445" w:rsidP="00EC4353">
            <w:pPr>
              <w:rPr>
                <w:rFonts w:ascii="Arial" w:hAnsi="Arial" w:cs="Arial"/>
                <w:color w:val="000000"/>
              </w:rPr>
            </w:pPr>
            <w:r w:rsidRPr="00E17614">
              <w:rPr>
                <w:rFonts w:ascii="Arial" w:hAnsi="Arial" w:cs="Arial"/>
                <w:color w:val="000000"/>
              </w:rPr>
              <w:t xml:space="preserve">$4,747,073.95 </w:t>
            </w:r>
          </w:p>
        </w:tc>
      </w:tr>
    </w:tbl>
    <w:p w14:paraId="01C566F3" w14:textId="543BE89E" w:rsidR="009634CE" w:rsidRPr="00E17614" w:rsidRDefault="009634CE" w:rsidP="005B7A3C">
      <w:pPr>
        <w:spacing w:before="240" w:after="480"/>
        <w:rPr>
          <w:rFonts w:ascii="Arial" w:hAnsi="Arial" w:cs="Arial"/>
        </w:rPr>
      </w:pPr>
      <w:r w:rsidRPr="00E17614">
        <w:rPr>
          <w:rFonts w:ascii="Arial" w:hAnsi="Arial" w:cs="Arial"/>
        </w:rPr>
        <w:t xml:space="preserve">In summary, </w:t>
      </w:r>
      <w:r w:rsidR="00F607E4" w:rsidRPr="00E17614">
        <w:rPr>
          <w:rFonts w:ascii="Arial" w:hAnsi="Arial" w:cs="Arial"/>
          <w:bCs/>
        </w:rPr>
        <w:t>$4,747,073.95</w:t>
      </w:r>
      <w:r w:rsidR="002F4124" w:rsidRPr="00E17614">
        <w:rPr>
          <w:rFonts w:ascii="Arial" w:hAnsi="Arial" w:cs="Arial"/>
          <w:bCs/>
        </w:rPr>
        <w:t xml:space="preserve"> </w:t>
      </w:r>
      <w:r w:rsidRPr="00E17614">
        <w:rPr>
          <w:rFonts w:ascii="Arial" w:hAnsi="Arial" w:cs="Arial"/>
        </w:rPr>
        <w:t>w</w:t>
      </w:r>
      <w:r w:rsidR="00D61B02" w:rsidRPr="00E17614">
        <w:rPr>
          <w:rFonts w:ascii="Arial" w:hAnsi="Arial" w:cs="Arial"/>
        </w:rPr>
        <w:t>ere</w:t>
      </w:r>
      <w:r w:rsidRPr="00E17614">
        <w:rPr>
          <w:rFonts w:ascii="Arial" w:hAnsi="Arial" w:cs="Arial"/>
        </w:rPr>
        <w:t xml:space="preserve"> spent in the Inclusive Practices and Strategies section of the EEF. Many LEAs spent funds on</w:t>
      </w:r>
      <w:r w:rsidR="00793DA6" w:rsidRPr="00E17614">
        <w:rPr>
          <w:rFonts w:ascii="Arial" w:hAnsi="Arial" w:cs="Arial"/>
        </w:rPr>
        <w:t xml:space="preserve"> a variety of professional learning </w:t>
      </w:r>
      <w:r w:rsidR="00562F88" w:rsidRPr="00E17614">
        <w:rPr>
          <w:rFonts w:ascii="Arial" w:hAnsi="Arial" w:cs="Arial"/>
        </w:rPr>
        <w:t xml:space="preserve">opportunities. These trainings included topics such as inclusion, differentiated supports for all students, </w:t>
      </w:r>
      <w:r w:rsidR="00FF2687" w:rsidRPr="00E17614">
        <w:rPr>
          <w:rFonts w:ascii="Arial" w:hAnsi="Arial" w:cs="Arial"/>
        </w:rPr>
        <w:t>early identification, cultural sensitivity, MTSS,</w:t>
      </w:r>
      <w:r w:rsidR="00747536" w:rsidRPr="00E17614">
        <w:rPr>
          <w:rFonts w:ascii="Arial" w:hAnsi="Arial" w:cs="Arial"/>
        </w:rPr>
        <w:t xml:space="preserve"> mindsets, </w:t>
      </w:r>
      <w:r w:rsidR="00674132" w:rsidRPr="00E17614">
        <w:rPr>
          <w:rFonts w:ascii="Arial" w:hAnsi="Arial" w:cs="Arial"/>
        </w:rPr>
        <w:t xml:space="preserve">pre-school strategies, </w:t>
      </w:r>
      <w:r w:rsidR="00747536" w:rsidRPr="00E17614">
        <w:rPr>
          <w:rFonts w:ascii="Arial" w:hAnsi="Arial" w:cs="Arial"/>
        </w:rPr>
        <w:t>and</w:t>
      </w:r>
      <w:r w:rsidR="00FF2687" w:rsidRPr="00E17614">
        <w:rPr>
          <w:rFonts w:ascii="Arial" w:hAnsi="Arial" w:cs="Arial"/>
        </w:rPr>
        <w:t xml:space="preserve"> integrating </w:t>
      </w:r>
      <w:r w:rsidR="00B64CC4" w:rsidRPr="00E17614">
        <w:rPr>
          <w:rFonts w:ascii="Arial" w:hAnsi="Arial" w:cs="Arial"/>
        </w:rPr>
        <w:t>s</w:t>
      </w:r>
      <w:r w:rsidR="00FF2687" w:rsidRPr="00E17614">
        <w:rPr>
          <w:rFonts w:ascii="Arial" w:hAnsi="Arial" w:cs="Arial"/>
        </w:rPr>
        <w:t xml:space="preserve">pecial </w:t>
      </w:r>
      <w:r w:rsidR="00B64CC4" w:rsidRPr="00E17614">
        <w:rPr>
          <w:rFonts w:ascii="Arial" w:hAnsi="Arial" w:cs="Arial"/>
        </w:rPr>
        <w:t>e</w:t>
      </w:r>
      <w:r w:rsidR="00FF2687" w:rsidRPr="00E17614">
        <w:rPr>
          <w:rFonts w:ascii="Arial" w:hAnsi="Arial" w:cs="Arial"/>
        </w:rPr>
        <w:t xml:space="preserve">ducation students into the </w:t>
      </w:r>
      <w:r w:rsidR="00B64CC4" w:rsidRPr="00E17614">
        <w:rPr>
          <w:rFonts w:ascii="Arial" w:hAnsi="Arial" w:cs="Arial"/>
        </w:rPr>
        <w:t>g</w:t>
      </w:r>
      <w:r w:rsidR="00FF2687" w:rsidRPr="00E17614">
        <w:rPr>
          <w:rFonts w:ascii="Arial" w:hAnsi="Arial" w:cs="Arial"/>
        </w:rPr>
        <w:t xml:space="preserve">eneral </w:t>
      </w:r>
      <w:r w:rsidR="00B64CC4" w:rsidRPr="00E17614">
        <w:rPr>
          <w:rFonts w:ascii="Arial" w:hAnsi="Arial" w:cs="Arial"/>
        </w:rPr>
        <w:t>e</w:t>
      </w:r>
      <w:r w:rsidR="00FF2687" w:rsidRPr="00E17614">
        <w:rPr>
          <w:rFonts w:ascii="Arial" w:hAnsi="Arial" w:cs="Arial"/>
        </w:rPr>
        <w:t>ducation setting</w:t>
      </w:r>
      <w:r w:rsidRPr="00E17614">
        <w:rPr>
          <w:rFonts w:ascii="Arial" w:hAnsi="Arial" w:cs="Arial"/>
        </w:rPr>
        <w:t xml:space="preserve">. </w:t>
      </w:r>
      <w:r w:rsidR="00FF2687" w:rsidRPr="00E17614">
        <w:rPr>
          <w:rFonts w:ascii="Arial" w:hAnsi="Arial" w:cs="Arial"/>
        </w:rPr>
        <w:t>Within the EEF Inclusive Practices and Strategies section</w:t>
      </w:r>
      <w:r w:rsidR="00BC4D1B" w:rsidRPr="00E17614">
        <w:rPr>
          <w:rFonts w:ascii="Arial" w:hAnsi="Arial" w:cs="Arial"/>
        </w:rPr>
        <w:t>,</w:t>
      </w:r>
      <w:r w:rsidR="00FF2687" w:rsidRPr="00E17614">
        <w:rPr>
          <w:rFonts w:ascii="Arial" w:hAnsi="Arial" w:cs="Arial"/>
        </w:rPr>
        <w:t xml:space="preserve"> other uses of funds included </w:t>
      </w:r>
      <w:r w:rsidR="00747536" w:rsidRPr="00E17614">
        <w:rPr>
          <w:rFonts w:ascii="Arial" w:hAnsi="Arial" w:cs="Arial"/>
        </w:rPr>
        <w:t xml:space="preserve">the </w:t>
      </w:r>
      <w:r w:rsidR="00FF2687" w:rsidRPr="00E17614">
        <w:rPr>
          <w:rFonts w:ascii="Arial" w:hAnsi="Arial" w:cs="Arial"/>
        </w:rPr>
        <w:t>creation of inclusive practices frameworks and networks.</w:t>
      </w:r>
      <w:r w:rsidR="00674132" w:rsidRPr="00E17614">
        <w:rPr>
          <w:rFonts w:ascii="Arial" w:hAnsi="Arial" w:cs="Arial"/>
        </w:rPr>
        <w:t xml:space="preserve"> LEAs reported providing UDL trainings. Overall, for FYs 2021–23, $</w:t>
      </w:r>
      <w:r w:rsidR="009C23BE" w:rsidRPr="00E17614">
        <w:rPr>
          <w:rFonts w:ascii="Arial" w:hAnsi="Arial" w:cs="Arial"/>
        </w:rPr>
        <w:t>2,435,102.21</w:t>
      </w:r>
      <w:r w:rsidR="00674132" w:rsidRPr="00E17614">
        <w:rPr>
          <w:rFonts w:ascii="Arial" w:hAnsi="Arial" w:cs="Arial"/>
        </w:rPr>
        <w:t xml:space="preserve"> w</w:t>
      </w:r>
      <w:r w:rsidR="000D11D1" w:rsidRPr="00E17614">
        <w:rPr>
          <w:rFonts w:ascii="Arial" w:hAnsi="Arial" w:cs="Arial"/>
        </w:rPr>
        <w:t>ere</w:t>
      </w:r>
      <w:r w:rsidR="00674132" w:rsidRPr="00E17614">
        <w:rPr>
          <w:rFonts w:ascii="Arial" w:hAnsi="Arial" w:cs="Arial"/>
        </w:rPr>
        <w:t xml:space="preserve"> spent specifically on UDL within the Inclusive Practices and Strategies section of the EEF</w:t>
      </w:r>
      <w:r w:rsidR="004D4D5F" w:rsidRPr="00E17614">
        <w:rPr>
          <w:rFonts w:ascii="Arial" w:hAnsi="Arial" w:cs="Arial"/>
        </w:rPr>
        <w:t>,</w:t>
      </w:r>
      <w:r w:rsidR="009C23BE" w:rsidRPr="00E17614">
        <w:rPr>
          <w:rFonts w:ascii="Arial" w:hAnsi="Arial" w:cs="Arial"/>
        </w:rPr>
        <w:t xml:space="preserve"> which represents more than half of the total spending in this allowable use category</w:t>
      </w:r>
      <w:r w:rsidR="00674132" w:rsidRPr="00E17614">
        <w:rPr>
          <w:rFonts w:ascii="Arial" w:hAnsi="Arial" w:cs="Arial"/>
        </w:rPr>
        <w:t>.</w:t>
      </w:r>
    </w:p>
    <w:p w14:paraId="28F7E2BA" w14:textId="124A8BD7" w:rsidR="00C0172F" w:rsidRPr="00E17614" w:rsidRDefault="00C0172F" w:rsidP="00C03A70">
      <w:pPr>
        <w:spacing w:before="480" w:after="240"/>
        <w:jc w:val="center"/>
        <w:rPr>
          <w:rFonts w:ascii="Arial" w:hAnsi="Arial" w:cs="Arial"/>
          <w:b/>
          <w:bCs/>
        </w:rPr>
      </w:pPr>
      <w:bookmarkStart w:id="27" w:name="_Toc148514292"/>
      <w:bookmarkStart w:id="28" w:name="_Toc148516367"/>
      <w:r w:rsidRPr="00E17614">
        <w:rPr>
          <w:rFonts w:ascii="Arial" w:hAnsi="Arial" w:cs="Arial"/>
          <w:b/>
          <w:bCs/>
        </w:rPr>
        <w:t>English Learner Programs Total Expenditures</w:t>
      </w:r>
      <w:bookmarkEnd w:id="27"/>
      <w:bookmarkEnd w:id="28"/>
    </w:p>
    <w:p w14:paraId="44C1C9B2" w14:textId="7B01A2F9" w:rsidR="00774A94" w:rsidRPr="00E17614" w:rsidRDefault="00774A94" w:rsidP="00D51360">
      <w:pPr>
        <w:spacing w:after="240"/>
        <w:rPr>
          <w:rFonts w:ascii="Arial" w:hAnsi="Arial" w:cs="Arial"/>
          <w:b/>
          <w:bCs/>
        </w:rPr>
      </w:pPr>
      <w:r w:rsidRPr="00E17614">
        <w:rPr>
          <w:rFonts w:ascii="Arial" w:hAnsi="Arial" w:cs="Arial"/>
          <w:b/>
          <w:bCs/>
        </w:rPr>
        <w:t>Table 9. English Learner Programs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2021–23 English Learner Programs Total Expenditures"/>
        <w:tblDescription w:val="This table provides the 2021–23 total for the English Learner Programs allowable use category."/>
      </w:tblPr>
      <w:tblGrid>
        <w:gridCol w:w="2237"/>
        <w:gridCol w:w="2618"/>
        <w:gridCol w:w="2631"/>
        <w:gridCol w:w="1864"/>
      </w:tblGrid>
      <w:tr w:rsidR="00653289" w:rsidRPr="00E17614" w14:paraId="6B595CB3" w14:textId="77777777" w:rsidTr="008634C6">
        <w:trPr>
          <w:trHeight w:val="320"/>
        </w:trPr>
        <w:tc>
          <w:tcPr>
            <w:tcW w:w="1196" w:type="pct"/>
            <w:shd w:val="clear" w:color="000000" w:fill="BDD6EE"/>
            <w:vAlign w:val="center"/>
            <w:hideMark/>
          </w:tcPr>
          <w:p w14:paraId="14884C9B" w14:textId="77777777" w:rsidR="00653289" w:rsidRPr="00E17614" w:rsidRDefault="00653289"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4BEF8836" w14:textId="349203CF" w:rsidR="00653289" w:rsidRPr="00E17614" w:rsidRDefault="00653289" w:rsidP="00566BE6">
            <w:pPr>
              <w:jc w:val="center"/>
              <w:rPr>
                <w:rFonts w:ascii="Arial" w:hAnsi="Arial" w:cs="Arial"/>
                <w:b/>
                <w:bCs/>
                <w:color w:val="000000"/>
              </w:rPr>
            </w:pPr>
            <w:r w:rsidRPr="00E17614">
              <w:rPr>
                <w:rFonts w:ascii="Arial" w:hAnsi="Arial" w:cs="Arial"/>
                <w:b/>
                <w:bCs/>
                <w:color w:val="000000"/>
              </w:rPr>
              <w:t>Fiscal Year 2021</w:t>
            </w:r>
            <w:r w:rsidR="0050224D"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3F496F69" w14:textId="4A250FA3" w:rsidR="00653289" w:rsidRPr="00E17614" w:rsidRDefault="00653289" w:rsidP="00566BE6">
            <w:pPr>
              <w:jc w:val="center"/>
              <w:rPr>
                <w:rFonts w:ascii="Arial" w:hAnsi="Arial" w:cs="Arial"/>
                <w:b/>
                <w:bCs/>
                <w:color w:val="000000"/>
              </w:rPr>
            </w:pPr>
            <w:r w:rsidRPr="00E17614">
              <w:rPr>
                <w:rFonts w:ascii="Arial" w:hAnsi="Arial" w:cs="Arial"/>
                <w:b/>
                <w:bCs/>
                <w:color w:val="000000"/>
              </w:rPr>
              <w:t>Fiscal Year 2022</w:t>
            </w:r>
            <w:r w:rsidR="0050224D"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7F43E948" w14:textId="77777777" w:rsidR="00653289" w:rsidRPr="00E17614" w:rsidRDefault="00653289" w:rsidP="00566BE6">
            <w:pPr>
              <w:jc w:val="center"/>
              <w:rPr>
                <w:rFonts w:ascii="Arial" w:hAnsi="Arial" w:cs="Arial"/>
                <w:b/>
                <w:bCs/>
                <w:color w:val="000000"/>
              </w:rPr>
            </w:pPr>
            <w:r w:rsidRPr="00E17614">
              <w:rPr>
                <w:rFonts w:ascii="Arial" w:hAnsi="Arial" w:cs="Arial"/>
                <w:b/>
                <w:bCs/>
                <w:color w:val="000000"/>
              </w:rPr>
              <w:t xml:space="preserve">Total </w:t>
            </w:r>
          </w:p>
        </w:tc>
      </w:tr>
      <w:tr w:rsidR="00653289" w:rsidRPr="00E17614" w14:paraId="1E8E886A" w14:textId="77777777" w:rsidTr="008634C6">
        <w:trPr>
          <w:trHeight w:val="630"/>
        </w:trPr>
        <w:tc>
          <w:tcPr>
            <w:tcW w:w="1196" w:type="pct"/>
            <w:shd w:val="clear" w:color="auto" w:fill="auto"/>
            <w:vAlign w:val="center"/>
            <w:hideMark/>
          </w:tcPr>
          <w:p w14:paraId="5E462E72" w14:textId="77777777" w:rsidR="00653289" w:rsidRPr="00E17614" w:rsidRDefault="00653289" w:rsidP="0050224D">
            <w:pPr>
              <w:rPr>
                <w:rFonts w:ascii="Arial" w:hAnsi="Arial" w:cs="Arial"/>
                <w:color w:val="000000"/>
              </w:rPr>
            </w:pPr>
            <w:r w:rsidRPr="00E17614">
              <w:rPr>
                <w:rFonts w:ascii="Arial" w:hAnsi="Arial" w:cs="Arial"/>
                <w:color w:val="000000"/>
              </w:rPr>
              <w:t>English Learner Programs</w:t>
            </w:r>
          </w:p>
        </w:tc>
        <w:tc>
          <w:tcPr>
            <w:tcW w:w="1400" w:type="pct"/>
            <w:shd w:val="clear" w:color="auto" w:fill="auto"/>
            <w:vAlign w:val="center"/>
            <w:hideMark/>
          </w:tcPr>
          <w:p w14:paraId="4570A926" w14:textId="77777777" w:rsidR="00653289" w:rsidRPr="00E17614" w:rsidRDefault="00653289" w:rsidP="0050224D">
            <w:pPr>
              <w:rPr>
                <w:rFonts w:ascii="Arial" w:hAnsi="Arial" w:cs="Arial"/>
                <w:color w:val="000000"/>
              </w:rPr>
            </w:pPr>
            <w:r w:rsidRPr="00E17614">
              <w:rPr>
                <w:rFonts w:ascii="Arial" w:hAnsi="Arial" w:cs="Arial"/>
                <w:color w:val="000000"/>
              </w:rPr>
              <w:t xml:space="preserve">$377,256.51 </w:t>
            </w:r>
          </w:p>
        </w:tc>
        <w:tc>
          <w:tcPr>
            <w:tcW w:w="1407" w:type="pct"/>
            <w:shd w:val="clear" w:color="auto" w:fill="auto"/>
            <w:vAlign w:val="center"/>
            <w:hideMark/>
          </w:tcPr>
          <w:p w14:paraId="0E15F990" w14:textId="77777777" w:rsidR="00653289" w:rsidRPr="00E17614" w:rsidRDefault="00653289" w:rsidP="0050224D">
            <w:pPr>
              <w:rPr>
                <w:rFonts w:ascii="Arial" w:hAnsi="Arial" w:cs="Arial"/>
                <w:color w:val="000000"/>
              </w:rPr>
            </w:pPr>
            <w:r w:rsidRPr="00E17614">
              <w:rPr>
                <w:rFonts w:ascii="Arial" w:hAnsi="Arial" w:cs="Arial"/>
                <w:color w:val="000000"/>
              </w:rPr>
              <w:t xml:space="preserve">$6,053,143.86 </w:t>
            </w:r>
          </w:p>
        </w:tc>
        <w:tc>
          <w:tcPr>
            <w:tcW w:w="997" w:type="pct"/>
            <w:shd w:val="clear" w:color="auto" w:fill="auto"/>
            <w:vAlign w:val="center"/>
            <w:hideMark/>
          </w:tcPr>
          <w:p w14:paraId="7C13CC38" w14:textId="77777777" w:rsidR="00653289" w:rsidRPr="00E17614" w:rsidRDefault="00653289" w:rsidP="0050224D">
            <w:pPr>
              <w:rPr>
                <w:rFonts w:ascii="Arial" w:hAnsi="Arial" w:cs="Arial"/>
                <w:color w:val="000000"/>
              </w:rPr>
            </w:pPr>
            <w:r w:rsidRPr="00E17614">
              <w:rPr>
                <w:rFonts w:ascii="Arial" w:hAnsi="Arial" w:cs="Arial"/>
                <w:color w:val="000000"/>
              </w:rPr>
              <w:t xml:space="preserve">$6,430,400.37 </w:t>
            </w:r>
          </w:p>
        </w:tc>
      </w:tr>
    </w:tbl>
    <w:p w14:paraId="5AB832FA" w14:textId="5FF63BAA" w:rsidR="00C63D30" w:rsidRDefault="008D3541" w:rsidP="00C33014">
      <w:pPr>
        <w:spacing w:before="240" w:after="240"/>
        <w:rPr>
          <w:rFonts w:ascii="Arial" w:hAnsi="Arial" w:cs="Arial"/>
        </w:rPr>
      </w:pPr>
      <w:r w:rsidRPr="00E17614">
        <w:rPr>
          <w:rFonts w:ascii="Arial" w:hAnsi="Arial" w:cs="Arial"/>
        </w:rPr>
        <w:t xml:space="preserve">Overall, </w:t>
      </w:r>
      <w:r w:rsidR="00E24415" w:rsidRPr="00E17614">
        <w:rPr>
          <w:rFonts w:ascii="Arial" w:hAnsi="Arial" w:cs="Arial"/>
        </w:rPr>
        <w:t>$6,430,400.37</w:t>
      </w:r>
      <w:r w:rsidRPr="00E17614">
        <w:rPr>
          <w:rFonts w:ascii="Arial" w:hAnsi="Arial" w:cs="Arial"/>
        </w:rPr>
        <w:t xml:space="preserve"> </w:t>
      </w:r>
      <w:r w:rsidR="00F952B8" w:rsidRPr="00E17614">
        <w:rPr>
          <w:rFonts w:ascii="Arial" w:hAnsi="Arial" w:cs="Arial"/>
        </w:rPr>
        <w:t>of the EEF w</w:t>
      </w:r>
      <w:r w:rsidR="000D11D1" w:rsidRPr="00E17614">
        <w:rPr>
          <w:rFonts w:ascii="Arial" w:hAnsi="Arial" w:cs="Arial"/>
        </w:rPr>
        <w:t>ere</w:t>
      </w:r>
      <w:r w:rsidRPr="00E17614">
        <w:rPr>
          <w:rFonts w:ascii="Arial" w:hAnsi="Arial" w:cs="Arial"/>
        </w:rPr>
        <w:t xml:space="preserve"> spent on English Learner </w:t>
      </w:r>
      <w:r w:rsidR="000D11D1" w:rsidRPr="00E17614">
        <w:rPr>
          <w:rFonts w:ascii="Arial" w:hAnsi="Arial" w:cs="Arial"/>
        </w:rPr>
        <w:t>p</w:t>
      </w:r>
      <w:r w:rsidRPr="00E17614">
        <w:rPr>
          <w:rFonts w:ascii="Arial" w:hAnsi="Arial" w:cs="Arial"/>
        </w:rPr>
        <w:t>rograms.</w:t>
      </w:r>
      <w:r w:rsidR="000B16BC" w:rsidRPr="00E17614">
        <w:rPr>
          <w:rFonts w:ascii="Arial" w:hAnsi="Arial" w:cs="Arial"/>
        </w:rPr>
        <w:t xml:space="preserve"> </w:t>
      </w:r>
      <w:r w:rsidR="00984279" w:rsidRPr="00E17614">
        <w:rPr>
          <w:rFonts w:ascii="Arial" w:hAnsi="Arial" w:cs="Arial"/>
        </w:rPr>
        <w:t>Numerous</w:t>
      </w:r>
      <w:r w:rsidRPr="00E17614">
        <w:rPr>
          <w:rFonts w:ascii="Arial" w:hAnsi="Arial" w:cs="Arial"/>
        </w:rPr>
        <w:t xml:space="preserve"> LEAs</w:t>
      </w:r>
      <w:r w:rsidR="00984279" w:rsidRPr="00E17614">
        <w:rPr>
          <w:rFonts w:ascii="Arial" w:hAnsi="Arial" w:cs="Arial"/>
        </w:rPr>
        <w:t xml:space="preserve"> reported</w:t>
      </w:r>
      <w:r w:rsidRPr="00E17614">
        <w:rPr>
          <w:rFonts w:ascii="Arial" w:hAnsi="Arial" w:cs="Arial"/>
        </w:rPr>
        <w:t xml:space="preserve"> spen</w:t>
      </w:r>
      <w:r w:rsidR="00984279" w:rsidRPr="00E17614">
        <w:rPr>
          <w:rFonts w:ascii="Arial" w:hAnsi="Arial" w:cs="Arial"/>
        </w:rPr>
        <w:t>ding</w:t>
      </w:r>
      <w:r w:rsidRPr="00E17614">
        <w:rPr>
          <w:rFonts w:ascii="Arial" w:hAnsi="Arial" w:cs="Arial"/>
        </w:rPr>
        <w:t xml:space="preserve"> funds on </w:t>
      </w:r>
      <w:r w:rsidR="009D5468" w:rsidRPr="00E17614">
        <w:rPr>
          <w:rFonts w:ascii="Arial" w:hAnsi="Arial" w:cs="Arial"/>
        </w:rPr>
        <w:t>Cross-cultural</w:t>
      </w:r>
      <w:r w:rsidR="00E2535B" w:rsidRPr="00E17614">
        <w:rPr>
          <w:rFonts w:ascii="Arial" w:hAnsi="Arial" w:cs="Arial"/>
        </w:rPr>
        <w:t xml:space="preserve"> Language and Academic Development certification, tuition for educators to earn their bilingual authorization, </w:t>
      </w:r>
      <w:r w:rsidR="000B16BC" w:rsidRPr="00E17614">
        <w:rPr>
          <w:rFonts w:ascii="Arial" w:hAnsi="Arial" w:cs="Arial"/>
        </w:rPr>
        <w:t xml:space="preserve">and </w:t>
      </w:r>
      <w:r w:rsidR="00E2535B" w:rsidRPr="00E17614">
        <w:rPr>
          <w:rFonts w:ascii="Arial" w:hAnsi="Arial" w:cs="Arial"/>
        </w:rPr>
        <w:t>California Association for Bilingual Education conferences and events</w:t>
      </w:r>
      <w:r w:rsidR="00984279" w:rsidRPr="00E17614">
        <w:rPr>
          <w:rFonts w:ascii="Arial" w:hAnsi="Arial" w:cs="Arial"/>
        </w:rPr>
        <w:t>. Furthermore, a variety of English Learner</w:t>
      </w:r>
      <w:r w:rsidR="000D11D1" w:rsidRPr="00E17614">
        <w:rPr>
          <w:rFonts w:ascii="Arial" w:hAnsi="Arial" w:cs="Arial"/>
        </w:rPr>
        <w:t>-</w:t>
      </w:r>
      <w:r w:rsidR="00984279" w:rsidRPr="00E17614">
        <w:rPr>
          <w:rFonts w:ascii="Arial" w:hAnsi="Arial" w:cs="Arial"/>
        </w:rPr>
        <w:t>specific professional development was identified</w:t>
      </w:r>
      <w:r w:rsidR="005D2AE3" w:rsidRPr="00E17614">
        <w:rPr>
          <w:rFonts w:ascii="Arial" w:hAnsi="Arial" w:cs="Arial"/>
        </w:rPr>
        <w:t xml:space="preserve"> </w:t>
      </w:r>
      <w:r w:rsidR="000B16BC" w:rsidRPr="00E17614">
        <w:rPr>
          <w:rFonts w:ascii="Arial" w:hAnsi="Arial" w:cs="Arial"/>
        </w:rPr>
        <w:t>by LEAs,</w:t>
      </w:r>
      <w:r w:rsidR="00984279" w:rsidRPr="00E17614">
        <w:rPr>
          <w:rFonts w:ascii="Arial" w:hAnsi="Arial" w:cs="Arial"/>
        </w:rPr>
        <w:t xml:space="preserve"> which includes </w:t>
      </w:r>
      <w:r w:rsidR="000D11D1" w:rsidRPr="00E17614">
        <w:rPr>
          <w:rFonts w:ascii="Arial" w:hAnsi="Arial" w:cs="Arial"/>
        </w:rPr>
        <w:t>(</w:t>
      </w:r>
      <w:r w:rsidR="00984279" w:rsidRPr="00E17614">
        <w:rPr>
          <w:rFonts w:ascii="Arial" w:hAnsi="Arial" w:cs="Arial"/>
        </w:rPr>
        <w:t>but is not limited to</w:t>
      </w:r>
      <w:r w:rsidR="000D11D1" w:rsidRPr="00E17614">
        <w:rPr>
          <w:rFonts w:ascii="Arial" w:hAnsi="Arial" w:cs="Arial"/>
        </w:rPr>
        <w:t>)</w:t>
      </w:r>
      <w:r w:rsidR="00984279" w:rsidRPr="00E17614">
        <w:rPr>
          <w:rFonts w:ascii="Arial" w:hAnsi="Arial" w:cs="Arial"/>
        </w:rPr>
        <w:t xml:space="preserve"> </w:t>
      </w:r>
      <w:r w:rsidR="009E3DCA" w:rsidRPr="00E17614">
        <w:rPr>
          <w:rFonts w:ascii="Arial" w:hAnsi="Arial" w:cs="Arial"/>
        </w:rPr>
        <w:t>literacy training,</w:t>
      </w:r>
      <w:r w:rsidR="00B656F0" w:rsidRPr="00E17614">
        <w:rPr>
          <w:rFonts w:ascii="Arial" w:hAnsi="Arial" w:cs="Arial"/>
        </w:rPr>
        <w:t xml:space="preserve"> academic discourse,</w:t>
      </w:r>
      <w:r w:rsidR="00E2535B" w:rsidRPr="00E17614">
        <w:rPr>
          <w:rFonts w:ascii="Arial" w:hAnsi="Arial" w:cs="Arial"/>
        </w:rPr>
        <w:t xml:space="preserve"> instructional coaching for staff, </w:t>
      </w:r>
      <w:r w:rsidR="000D11D1" w:rsidRPr="00E17614">
        <w:rPr>
          <w:rFonts w:ascii="Arial" w:hAnsi="Arial" w:cs="Arial"/>
        </w:rPr>
        <w:t>and</w:t>
      </w:r>
      <w:r w:rsidR="009E3DCA" w:rsidRPr="00E17614">
        <w:rPr>
          <w:rFonts w:ascii="Arial" w:hAnsi="Arial" w:cs="Arial"/>
        </w:rPr>
        <w:t xml:space="preserve"> professional learning related to the English Learner Proficiency Assessment of California.</w:t>
      </w:r>
      <w:r w:rsidR="000B16BC" w:rsidRPr="00E17614">
        <w:rPr>
          <w:rFonts w:ascii="Arial" w:hAnsi="Arial" w:cs="Arial"/>
        </w:rPr>
        <w:t xml:space="preserve"> LEAs reported using the EEF to provide Guided Language Acquisition and Design training.</w:t>
      </w:r>
      <w:r w:rsidR="00923493" w:rsidRPr="00E17614">
        <w:rPr>
          <w:rFonts w:ascii="Arial" w:hAnsi="Arial" w:cs="Arial"/>
        </w:rPr>
        <w:t xml:space="preserve"> </w:t>
      </w:r>
      <w:r w:rsidR="00E2535B" w:rsidRPr="00E17614">
        <w:rPr>
          <w:rFonts w:ascii="Arial" w:hAnsi="Arial" w:cs="Arial"/>
        </w:rPr>
        <w:t xml:space="preserve">Moreover, many LEAs stated that </w:t>
      </w:r>
      <w:r w:rsidR="005F1A42" w:rsidRPr="00E17614">
        <w:rPr>
          <w:rFonts w:ascii="Arial" w:hAnsi="Arial" w:cs="Arial"/>
        </w:rPr>
        <w:t xml:space="preserve">the </w:t>
      </w:r>
      <w:r w:rsidR="00E2535B" w:rsidRPr="00E17614">
        <w:rPr>
          <w:rFonts w:ascii="Arial" w:hAnsi="Arial" w:cs="Arial"/>
        </w:rPr>
        <w:t>EEF was also used to provide</w:t>
      </w:r>
      <w:r w:rsidR="009E3DCA" w:rsidRPr="00E17614">
        <w:rPr>
          <w:rFonts w:ascii="Arial" w:hAnsi="Arial" w:cs="Arial"/>
        </w:rPr>
        <w:t xml:space="preserve"> professional learning specific to the </w:t>
      </w:r>
      <w:r w:rsidR="008C7938" w:rsidRPr="00E17614">
        <w:rPr>
          <w:rFonts w:ascii="Arial" w:hAnsi="Arial" w:cs="Arial"/>
        </w:rPr>
        <w:t xml:space="preserve">ELA </w:t>
      </w:r>
      <w:r w:rsidR="009E3DCA" w:rsidRPr="00E17614">
        <w:rPr>
          <w:rFonts w:ascii="Arial" w:hAnsi="Arial" w:cs="Arial"/>
        </w:rPr>
        <w:t xml:space="preserve">and English Language Development frameworks. </w:t>
      </w:r>
      <w:r w:rsidR="000B16BC" w:rsidRPr="00E17614">
        <w:rPr>
          <w:rFonts w:ascii="Arial" w:hAnsi="Arial" w:cs="Arial"/>
        </w:rPr>
        <w:t>Finally, s</w:t>
      </w:r>
      <w:r w:rsidR="009E3DCA" w:rsidRPr="00E17614">
        <w:rPr>
          <w:rFonts w:ascii="Arial" w:hAnsi="Arial" w:cs="Arial"/>
        </w:rPr>
        <w:t xml:space="preserve">ome LEAs mentioned using the EEF to conduct landscape audits of their </w:t>
      </w:r>
      <w:r w:rsidR="000D11D1" w:rsidRPr="00E17614">
        <w:rPr>
          <w:rFonts w:ascii="Arial" w:hAnsi="Arial" w:cs="Arial"/>
        </w:rPr>
        <w:t xml:space="preserve">English Language Development </w:t>
      </w:r>
      <w:r w:rsidR="009E3DCA" w:rsidRPr="00E17614">
        <w:rPr>
          <w:rFonts w:ascii="Arial" w:hAnsi="Arial" w:cs="Arial"/>
        </w:rPr>
        <w:t>programs.</w:t>
      </w:r>
    </w:p>
    <w:p w14:paraId="045BDFF9" w14:textId="77777777" w:rsidR="00C63D30" w:rsidRDefault="00C63D30">
      <w:pPr>
        <w:rPr>
          <w:rFonts w:ascii="Arial" w:hAnsi="Arial" w:cs="Arial"/>
        </w:rPr>
      </w:pPr>
      <w:r>
        <w:rPr>
          <w:rFonts w:ascii="Arial" w:hAnsi="Arial" w:cs="Arial"/>
        </w:rPr>
        <w:br w:type="page"/>
      </w:r>
    </w:p>
    <w:p w14:paraId="7F859D94" w14:textId="50E374B3" w:rsidR="00C0172F" w:rsidRPr="00E17614" w:rsidRDefault="00C0172F" w:rsidP="006605E6">
      <w:pPr>
        <w:spacing w:before="480" w:after="240"/>
        <w:jc w:val="center"/>
        <w:rPr>
          <w:rFonts w:ascii="Arial" w:hAnsi="Arial" w:cs="Arial"/>
          <w:b/>
          <w:bCs/>
        </w:rPr>
      </w:pPr>
      <w:bookmarkStart w:id="29" w:name="_Toc148514293"/>
      <w:bookmarkStart w:id="30" w:name="_Toc148516368"/>
      <w:r w:rsidRPr="00E17614">
        <w:rPr>
          <w:rFonts w:ascii="Arial" w:hAnsi="Arial" w:cs="Arial"/>
          <w:b/>
          <w:bCs/>
        </w:rPr>
        <w:lastRenderedPageBreak/>
        <w:t>New Professional Learning Networks Total Expenditures</w:t>
      </w:r>
      <w:bookmarkEnd w:id="29"/>
      <w:bookmarkEnd w:id="30"/>
    </w:p>
    <w:p w14:paraId="527BDA87" w14:textId="3F91E806" w:rsidR="00EF3210" w:rsidRPr="00E17614" w:rsidRDefault="00EF3210" w:rsidP="003B56F2">
      <w:pPr>
        <w:spacing w:after="240"/>
        <w:rPr>
          <w:rFonts w:ascii="Arial" w:hAnsi="Arial" w:cs="Arial"/>
          <w:b/>
          <w:bCs/>
        </w:rPr>
      </w:pPr>
      <w:r w:rsidRPr="00E17614">
        <w:rPr>
          <w:rFonts w:ascii="Arial" w:hAnsi="Arial" w:cs="Arial"/>
          <w:b/>
          <w:bCs/>
        </w:rPr>
        <w:t>Table 10. New Professional Learning Networks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2021–23 New Professional Learning Networks Expenditure Total"/>
        <w:tblDescription w:val="This table provides the 2021–23 total for the New Professional Learning Networks allowable use category."/>
      </w:tblPr>
      <w:tblGrid>
        <w:gridCol w:w="2237"/>
        <w:gridCol w:w="2618"/>
        <w:gridCol w:w="2631"/>
        <w:gridCol w:w="1864"/>
      </w:tblGrid>
      <w:tr w:rsidR="00653289" w:rsidRPr="00E17614" w14:paraId="7BE3C187" w14:textId="77777777" w:rsidTr="008634C6">
        <w:trPr>
          <w:trHeight w:val="320"/>
        </w:trPr>
        <w:tc>
          <w:tcPr>
            <w:tcW w:w="1196" w:type="pct"/>
            <w:shd w:val="clear" w:color="000000" w:fill="BDD6EE"/>
            <w:vAlign w:val="center"/>
            <w:hideMark/>
          </w:tcPr>
          <w:p w14:paraId="7C5F3CBE" w14:textId="77777777" w:rsidR="00653289" w:rsidRPr="00E17614" w:rsidRDefault="00653289"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6CAA3DCE" w14:textId="117C5512" w:rsidR="00653289" w:rsidRPr="00E17614" w:rsidRDefault="00653289" w:rsidP="00566BE6">
            <w:pPr>
              <w:jc w:val="center"/>
              <w:rPr>
                <w:rFonts w:ascii="Arial" w:hAnsi="Arial" w:cs="Arial"/>
                <w:b/>
                <w:bCs/>
                <w:color w:val="000000"/>
              </w:rPr>
            </w:pPr>
            <w:r w:rsidRPr="00E17614">
              <w:rPr>
                <w:rFonts w:ascii="Arial" w:hAnsi="Arial" w:cs="Arial"/>
                <w:b/>
                <w:bCs/>
                <w:color w:val="000000"/>
              </w:rPr>
              <w:t>Fiscal Year 2021</w:t>
            </w:r>
            <w:r w:rsidR="00E7649B"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5A12008B" w14:textId="28FB3832" w:rsidR="00653289" w:rsidRPr="00E17614" w:rsidRDefault="00653289" w:rsidP="00566BE6">
            <w:pPr>
              <w:jc w:val="center"/>
              <w:rPr>
                <w:rFonts w:ascii="Arial" w:hAnsi="Arial" w:cs="Arial"/>
                <w:b/>
                <w:bCs/>
                <w:color w:val="000000"/>
              </w:rPr>
            </w:pPr>
            <w:r w:rsidRPr="00E17614">
              <w:rPr>
                <w:rFonts w:ascii="Arial" w:hAnsi="Arial" w:cs="Arial"/>
                <w:b/>
                <w:bCs/>
                <w:color w:val="000000"/>
              </w:rPr>
              <w:t>Fiscal Year 2022</w:t>
            </w:r>
            <w:r w:rsidR="00E7649B"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7FABC64F" w14:textId="77777777" w:rsidR="00653289" w:rsidRPr="00E17614" w:rsidRDefault="00653289" w:rsidP="00566BE6">
            <w:pPr>
              <w:jc w:val="center"/>
              <w:rPr>
                <w:rFonts w:ascii="Arial" w:hAnsi="Arial" w:cs="Arial"/>
                <w:b/>
                <w:bCs/>
                <w:color w:val="000000"/>
              </w:rPr>
            </w:pPr>
            <w:r w:rsidRPr="00E17614">
              <w:rPr>
                <w:rFonts w:ascii="Arial" w:hAnsi="Arial" w:cs="Arial"/>
                <w:b/>
                <w:bCs/>
                <w:color w:val="000000"/>
              </w:rPr>
              <w:t xml:space="preserve">Total </w:t>
            </w:r>
          </w:p>
        </w:tc>
      </w:tr>
      <w:tr w:rsidR="00653289" w:rsidRPr="00E17614" w14:paraId="14AF88E8" w14:textId="77777777" w:rsidTr="008634C6">
        <w:trPr>
          <w:trHeight w:val="630"/>
        </w:trPr>
        <w:tc>
          <w:tcPr>
            <w:tcW w:w="1196" w:type="pct"/>
            <w:shd w:val="clear" w:color="auto" w:fill="auto"/>
            <w:vAlign w:val="center"/>
            <w:hideMark/>
          </w:tcPr>
          <w:p w14:paraId="6B84498F" w14:textId="77777777" w:rsidR="00653289" w:rsidRPr="00E17614" w:rsidRDefault="00653289" w:rsidP="00E7649B">
            <w:pPr>
              <w:rPr>
                <w:rFonts w:ascii="Arial" w:hAnsi="Arial" w:cs="Arial"/>
                <w:color w:val="000000"/>
              </w:rPr>
            </w:pPr>
            <w:r w:rsidRPr="00E17614">
              <w:rPr>
                <w:rFonts w:ascii="Arial" w:hAnsi="Arial" w:cs="Arial"/>
                <w:color w:val="000000"/>
              </w:rPr>
              <w:t>New Professional Learning Networks</w:t>
            </w:r>
          </w:p>
        </w:tc>
        <w:tc>
          <w:tcPr>
            <w:tcW w:w="1400" w:type="pct"/>
            <w:shd w:val="clear" w:color="auto" w:fill="auto"/>
            <w:vAlign w:val="center"/>
            <w:hideMark/>
          </w:tcPr>
          <w:p w14:paraId="4D06D3FB" w14:textId="77777777" w:rsidR="00653289" w:rsidRPr="00E17614" w:rsidRDefault="00653289" w:rsidP="00E7649B">
            <w:pPr>
              <w:rPr>
                <w:rFonts w:ascii="Arial" w:hAnsi="Arial" w:cs="Arial"/>
                <w:color w:val="000000"/>
              </w:rPr>
            </w:pPr>
            <w:r w:rsidRPr="00E17614">
              <w:rPr>
                <w:rFonts w:ascii="Arial" w:hAnsi="Arial" w:cs="Arial"/>
                <w:color w:val="000000"/>
              </w:rPr>
              <w:t xml:space="preserve">$471,660.84 </w:t>
            </w:r>
          </w:p>
        </w:tc>
        <w:tc>
          <w:tcPr>
            <w:tcW w:w="1407" w:type="pct"/>
            <w:shd w:val="clear" w:color="auto" w:fill="auto"/>
            <w:vAlign w:val="center"/>
            <w:hideMark/>
          </w:tcPr>
          <w:p w14:paraId="19FF26B8" w14:textId="77777777" w:rsidR="00653289" w:rsidRPr="00E17614" w:rsidRDefault="00653289" w:rsidP="00E7649B">
            <w:pPr>
              <w:rPr>
                <w:rFonts w:ascii="Arial" w:hAnsi="Arial" w:cs="Arial"/>
                <w:color w:val="000000"/>
              </w:rPr>
            </w:pPr>
            <w:r w:rsidRPr="00E17614">
              <w:rPr>
                <w:rFonts w:ascii="Arial" w:hAnsi="Arial" w:cs="Arial"/>
                <w:color w:val="000000"/>
              </w:rPr>
              <w:t xml:space="preserve">$7,562,508.49 </w:t>
            </w:r>
          </w:p>
        </w:tc>
        <w:tc>
          <w:tcPr>
            <w:tcW w:w="997" w:type="pct"/>
            <w:shd w:val="clear" w:color="auto" w:fill="auto"/>
            <w:vAlign w:val="center"/>
            <w:hideMark/>
          </w:tcPr>
          <w:p w14:paraId="6C7D0ED9" w14:textId="77777777" w:rsidR="00653289" w:rsidRPr="00E17614" w:rsidRDefault="00653289" w:rsidP="00E7649B">
            <w:pPr>
              <w:rPr>
                <w:rFonts w:ascii="Arial" w:hAnsi="Arial" w:cs="Arial"/>
                <w:color w:val="000000"/>
              </w:rPr>
            </w:pPr>
            <w:r w:rsidRPr="00E17614">
              <w:rPr>
                <w:rFonts w:ascii="Arial" w:hAnsi="Arial" w:cs="Arial"/>
                <w:color w:val="000000"/>
              </w:rPr>
              <w:t xml:space="preserve">$8,034,169.33 </w:t>
            </w:r>
          </w:p>
        </w:tc>
      </w:tr>
    </w:tbl>
    <w:p w14:paraId="1B0A3FAA" w14:textId="77777777" w:rsidR="00C63D30" w:rsidRDefault="003340B7" w:rsidP="00C63D30">
      <w:pPr>
        <w:spacing w:before="240" w:after="240"/>
        <w:rPr>
          <w:rFonts w:ascii="Arial" w:hAnsi="Arial" w:cs="Arial"/>
        </w:rPr>
      </w:pPr>
      <w:r w:rsidRPr="00E17614">
        <w:rPr>
          <w:rFonts w:ascii="Arial" w:hAnsi="Arial" w:cs="Arial"/>
        </w:rPr>
        <w:t xml:space="preserve">In total, </w:t>
      </w:r>
      <w:r w:rsidR="00211FBF" w:rsidRPr="00E17614">
        <w:rPr>
          <w:rFonts w:ascii="Arial" w:hAnsi="Arial" w:cs="Arial"/>
          <w:bCs/>
        </w:rPr>
        <w:t>$8,034,169.33</w:t>
      </w:r>
      <w:r w:rsidRPr="00E17614">
        <w:rPr>
          <w:rFonts w:ascii="Arial" w:hAnsi="Arial" w:cs="Arial"/>
        </w:rPr>
        <w:t xml:space="preserve"> </w:t>
      </w:r>
      <w:r w:rsidR="006E606D" w:rsidRPr="00E17614">
        <w:rPr>
          <w:rFonts w:ascii="Arial" w:hAnsi="Arial" w:cs="Arial"/>
        </w:rPr>
        <w:t>were</w:t>
      </w:r>
      <w:r w:rsidRPr="00E17614">
        <w:rPr>
          <w:rFonts w:ascii="Arial" w:hAnsi="Arial" w:cs="Arial"/>
        </w:rPr>
        <w:t xml:space="preserve"> spent by LEAs</w:t>
      </w:r>
      <w:r w:rsidR="00EF1667" w:rsidRPr="00E17614">
        <w:rPr>
          <w:rFonts w:ascii="Arial" w:hAnsi="Arial" w:cs="Arial"/>
        </w:rPr>
        <w:t xml:space="preserve"> on</w:t>
      </w:r>
      <w:r w:rsidRPr="00E17614">
        <w:rPr>
          <w:rFonts w:ascii="Arial" w:hAnsi="Arial" w:cs="Arial"/>
        </w:rPr>
        <w:t xml:space="preserve"> providing New Professional Learning Networks. </w:t>
      </w:r>
      <w:r w:rsidR="007A3E09" w:rsidRPr="00E17614">
        <w:rPr>
          <w:rFonts w:ascii="Arial" w:hAnsi="Arial" w:cs="Arial"/>
        </w:rPr>
        <w:t>These professional learning networks include science instruction, math instruction,</w:t>
      </w:r>
      <w:r w:rsidR="00EA1F2C" w:rsidRPr="00E17614">
        <w:rPr>
          <w:rFonts w:ascii="Arial" w:hAnsi="Arial" w:cs="Arial"/>
        </w:rPr>
        <w:t xml:space="preserve"> </w:t>
      </w:r>
      <w:r w:rsidR="00830D27" w:rsidRPr="00E17614">
        <w:rPr>
          <w:rFonts w:ascii="Arial" w:hAnsi="Arial" w:cs="Arial"/>
        </w:rPr>
        <w:t xml:space="preserve">Career Technical Education pathways, </w:t>
      </w:r>
      <w:r w:rsidR="00EA1F2C" w:rsidRPr="00E17614">
        <w:rPr>
          <w:rFonts w:ascii="Arial" w:hAnsi="Arial" w:cs="Arial"/>
        </w:rPr>
        <w:t>charter school support and advocacy,</w:t>
      </w:r>
      <w:r w:rsidR="007A3E09" w:rsidRPr="00E17614">
        <w:rPr>
          <w:rFonts w:ascii="Arial" w:hAnsi="Arial" w:cs="Arial"/>
        </w:rPr>
        <w:t xml:space="preserve"> </w:t>
      </w:r>
      <w:r w:rsidR="000C58B1" w:rsidRPr="00E17614">
        <w:rPr>
          <w:rFonts w:ascii="Arial" w:hAnsi="Arial" w:cs="Arial"/>
        </w:rPr>
        <w:t xml:space="preserve">counseling support, </w:t>
      </w:r>
      <w:r w:rsidR="007A3E09" w:rsidRPr="00E17614">
        <w:rPr>
          <w:rFonts w:ascii="Arial" w:hAnsi="Arial" w:cs="Arial"/>
        </w:rPr>
        <w:t xml:space="preserve">and new teacher support. </w:t>
      </w:r>
      <w:r w:rsidR="008D406D" w:rsidRPr="00E17614">
        <w:rPr>
          <w:rFonts w:ascii="Arial" w:hAnsi="Arial" w:cs="Arial"/>
        </w:rPr>
        <w:t>Specifically, LEAs reported building new professional learning networks for teachers to discuss topics such as changing culture, how to respond to conflict, effective monitoring, successful collaboration, and establishing essential learning targets.</w:t>
      </w:r>
      <w:r w:rsidR="00A935CB" w:rsidRPr="00E17614">
        <w:rPr>
          <w:rFonts w:ascii="Arial" w:hAnsi="Arial" w:cs="Arial"/>
        </w:rPr>
        <w:t xml:space="preserve"> </w:t>
      </w:r>
      <w:r w:rsidR="00B0411B" w:rsidRPr="00E17614">
        <w:rPr>
          <w:rFonts w:ascii="Arial" w:hAnsi="Arial" w:cs="Arial"/>
        </w:rPr>
        <w:t xml:space="preserve">LEAs also initiated </w:t>
      </w:r>
      <w:r w:rsidR="000B3C81" w:rsidRPr="00E17614">
        <w:rPr>
          <w:rFonts w:ascii="Arial" w:hAnsi="Arial" w:cs="Arial"/>
        </w:rPr>
        <w:t xml:space="preserve">new </w:t>
      </w:r>
      <w:r w:rsidR="00B0411B" w:rsidRPr="00E17614">
        <w:rPr>
          <w:rFonts w:ascii="Arial" w:hAnsi="Arial" w:cs="Arial"/>
        </w:rPr>
        <w:t>professional learning networks that cate</w:t>
      </w:r>
      <w:r w:rsidR="000B3C81" w:rsidRPr="00E17614">
        <w:rPr>
          <w:rFonts w:ascii="Arial" w:hAnsi="Arial" w:cs="Arial"/>
        </w:rPr>
        <w:t>r to</w:t>
      </w:r>
      <w:r w:rsidR="00764238" w:rsidRPr="00E17614">
        <w:rPr>
          <w:rFonts w:ascii="Arial" w:hAnsi="Arial" w:cs="Arial"/>
        </w:rPr>
        <w:t xml:space="preserve"> </w:t>
      </w:r>
      <w:r w:rsidR="00B0411B" w:rsidRPr="00E17614">
        <w:rPr>
          <w:rFonts w:ascii="Arial" w:hAnsi="Arial" w:cs="Arial"/>
        </w:rPr>
        <w:t xml:space="preserve">affinity </w:t>
      </w:r>
      <w:r w:rsidR="000B3C81" w:rsidRPr="00E17614">
        <w:rPr>
          <w:rFonts w:ascii="Arial" w:hAnsi="Arial" w:cs="Arial"/>
        </w:rPr>
        <w:t xml:space="preserve">groups </w:t>
      </w:r>
      <w:r w:rsidR="00764238" w:rsidRPr="00E17614">
        <w:rPr>
          <w:rFonts w:ascii="Arial" w:hAnsi="Arial" w:cs="Arial"/>
        </w:rPr>
        <w:t xml:space="preserve">that specifically </w:t>
      </w:r>
      <w:r w:rsidR="00EF1667" w:rsidRPr="00E17614">
        <w:rPr>
          <w:rFonts w:ascii="Arial" w:hAnsi="Arial" w:cs="Arial"/>
        </w:rPr>
        <w:t>support new teachers.</w:t>
      </w:r>
      <w:r w:rsidRPr="00E17614">
        <w:rPr>
          <w:rFonts w:ascii="Arial" w:hAnsi="Arial" w:cs="Arial"/>
        </w:rPr>
        <w:t xml:space="preserve"> </w:t>
      </w:r>
      <w:r w:rsidR="00764238" w:rsidRPr="00E17614">
        <w:rPr>
          <w:rFonts w:ascii="Arial" w:hAnsi="Arial" w:cs="Arial"/>
        </w:rPr>
        <w:t xml:space="preserve">Other </w:t>
      </w:r>
      <w:r w:rsidR="00D13161" w:rsidRPr="00E17614">
        <w:rPr>
          <w:rFonts w:ascii="Arial" w:hAnsi="Arial" w:cs="Arial"/>
        </w:rPr>
        <w:t xml:space="preserve">new </w:t>
      </w:r>
      <w:r w:rsidR="00764238" w:rsidRPr="00E17614">
        <w:rPr>
          <w:rFonts w:ascii="Arial" w:hAnsi="Arial" w:cs="Arial"/>
        </w:rPr>
        <w:t>professional learning networks were also created for administrators a</w:t>
      </w:r>
      <w:r w:rsidR="00D04B69" w:rsidRPr="00E17614">
        <w:rPr>
          <w:rFonts w:ascii="Arial" w:hAnsi="Arial" w:cs="Arial"/>
        </w:rPr>
        <w:t xml:space="preserve">nd </w:t>
      </w:r>
      <w:r w:rsidR="00764238" w:rsidRPr="00E17614">
        <w:rPr>
          <w:rFonts w:ascii="Arial" w:hAnsi="Arial" w:cs="Arial"/>
        </w:rPr>
        <w:t xml:space="preserve">leaders, paraeducators </w:t>
      </w:r>
      <w:r w:rsidR="00D13161" w:rsidRPr="00E17614">
        <w:rPr>
          <w:rFonts w:ascii="Arial" w:hAnsi="Arial" w:cs="Arial"/>
        </w:rPr>
        <w:t xml:space="preserve">in transitional kindergarten, and paraeducators in special education. </w:t>
      </w:r>
      <w:bookmarkStart w:id="31" w:name="_Toc148514294"/>
      <w:bookmarkStart w:id="32" w:name="_Toc148516369"/>
    </w:p>
    <w:p w14:paraId="179169ED" w14:textId="51CC05E0" w:rsidR="00C0172F" w:rsidRPr="00E17614" w:rsidRDefault="00C0172F" w:rsidP="00C63D30">
      <w:pPr>
        <w:spacing w:before="240" w:after="240"/>
        <w:jc w:val="center"/>
        <w:rPr>
          <w:rFonts w:ascii="Arial" w:hAnsi="Arial" w:cs="Arial"/>
          <w:b/>
          <w:bCs/>
        </w:rPr>
      </w:pPr>
      <w:r w:rsidRPr="00E17614">
        <w:rPr>
          <w:rFonts w:ascii="Arial" w:hAnsi="Arial" w:cs="Arial"/>
          <w:b/>
          <w:bCs/>
        </w:rPr>
        <w:t>Ethnic Studies Curricula Total Expenditures</w:t>
      </w:r>
      <w:bookmarkEnd w:id="31"/>
      <w:bookmarkEnd w:id="32"/>
    </w:p>
    <w:p w14:paraId="3803291F" w14:textId="1E0BE975" w:rsidR="00EF785B" w:rsidRPr="00E17614" w:rsidRDefault="00EF785B" w:rsidP="00404B52">
      <w:pPr>
        <w:spacing w:after="240"/>
        <w:rPr>
          <w:rFonts w:ascii="Arial" w:hAnsi="Arial" w:cs="Arial"/>
          <w:b/>
          <w:bCs/>
        </w:rPr>
      </w:pPr>
      <w:r w:rsidRPr="00E17614">
        <w:rPr>
          <w:rFonts w:ascii="Arial" w:hAnsi="Arial" w:cs="Arial"/>
          <w:b/>
          <w:bCs/>
        </w:rPr>
        <w:t>Table 11. Ethnic Studies Curricula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2021–23 Total for the Ethnic Studies Curricula Total Expenditures"/>
        <w:tblDescription w:val="This table provides the 2021–23 total for the Ethnic Studies Curricula allowable use category."/>
      </w:tblPr>
      <w:tblGrid>
        <w:gridCol w:w="2237"/>
        <w:gridCol w:w="2618"/>
        <w:gridCol w:w="2631"/>
        <w:gridCol w:w="1864"/>
      </w:tblGrid>
      <w:tr w:rsidR="007577C5" w:rsidRPr="00E17614" w14:paraId="1A74BC69" w14:textId="77777777" w:rsidTr="008634C6">
        <w:trPr>
          <w:trHeight w:val="320"/>
        </w:trPr>
        <w:tc>
          <w:tcPr>
            <w:tcW w:w="1196" w:type="pct"/>
            <w:shd w:val="clear" w:color="000000" w:fill="BDD6EE"/>
            <w:vAlign w:val="center"/>
            <w:hideMark/>
          </w:tcPr>
          <w:p w14:paraId="70D7142A" w14:textId="77777777" w:rsidR="007577C5" w:rsidRPr="00E17614" w:rsidRDefault="007577C5"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062D77B6" w14:textId="4ECF7705" w:rsidR="007577C5" w:rsidRPr="00E17614" w:rsidRDefault="007577C5" w:rsidP="00566BE6">
            <w:pPr>
              <w:jc w:val="center"/>
              <w:rPr>
                <w:rFonts w:ascii="Arial" w:hAnsi="Arial" w:cs="Arial"/>
                <w:b/>
                <w:bCs/>
                <w:color w:val="000000"/>
              </w:rPr>
            </w:pPr>
            <w:r w:rsidRPr="00E17614">
              <w:rPr>
                <w:rFonts w:ascii="Arial" w:hAnsi="Arial" w:cs="Arial"/>
                <w:b/>
                <w:bCs/>
                <w:color w:val="000000"/>
              </w:rPr>
              <w:t>Fiscal Year 2021</w:t>
            </w:r>
            <w:r w:rsidR="00B558CA"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19563CB0" w14:textId="4AD94831" w:rsidR="007577C5" w:rsidRPr="00E17614" w:rsidRDefault="007577C5" w:rsidP="00566BE6">
            <w:pPr>
              <w:jc w:val="center"/>
              <w:rPr>
                <w:rFonts w:ascii="Arial" w:hAnsi="Arial" w:cs="Arial"/>
                <w:b/>
                <w:bCs/>
                <w:color w:val="000000"/>
              </w:rPr>
            </w:pPr>
            <w:r w:rsidRPr="00E17614">
              <w:rPr>
                <w:rFonts w:ascii="Arial" w:hAnsi="Arial" w:cs="Arial"/>
                <w:b/>
                <w:bCs/>
                <w:color w:val="000000"/>
              </w:rPr>
              <w:t>Fiscal Year 2022</w:t>
            </w:r>
            <w:r w:rsidR="00B558CA"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1C62EEED" w14:textId="77777777" w:rsidR="007577C5" w:rsidRPr="00E17614" w:rsidRDefault="007577C5" w:rsidP="00566BE6">
            <w:pPr>
              <w:jc w:val="center"/>
              <w:rPr>
                <w:rFonts w:ascii="Arial" w:hAnsi="Arial" w:cs="Arial"/>
                <w:b/>
                <w:bCs/>
                <w:color w:val="000000"/>
              </w:rPr>
            </w:pPr>
            <w:r w:rsidRPr="00E17614">
              <w:rPr>
                <w:rFonts w:ascii="Arial" w:hAnsi="Arial" w:cs="Arial"/>
                <w:b/>
                <w:bCs/>
                <w:color w:val="000000"/>
              </w:rPr>
              <w:t xml:space="preserve">Total </w:t>
            </w:r>
          </w:p>
        </w:tc>
      </w:tr>
      <w:tr w:rsidR="007577C5" w:rsidRPr="00E17614" w14:paraId="56DA5992" w14:textId="77777777" w:rsidTr="008634C6">
        <w:trPr>
          <w:trHeight w:val="320"/>
        </w:trPr>
        <w:tc>
          <w:tcPr>
            <w:tcW w:w="1196" w:type="pct"/>
            <w:shd w:val="clear" w:color="auto" w:fill="auto"/>
            <w:vAlign w:val="center"/>
            <w:hideMark/>
          </w:tcPr>
          <w:p w14:paraId="0B6CD879" w14:textId="77777777" w:rsidR="007577C5" w:rsidRPr="00E17614" w:rsidRDefault="007577C5" w:rsidP="00B558CA">
            <w:pPr>
              <w:rPr>
                <w:rFonts w:ascii="Arial" w:hAnsi="Arial" w:cs="Arial"/>
                <w:color w:val="000000"/>
              </w:rPr>
            </w:pPr>
            <w:r w:rsidRPr="00E17614">
              <w:rPr>
                <w:rFonts w:ascii="Arial" w:hAnsi="Arial" w:cs="Arial"/>
                <w:color w:val="000000"/>
              </w:rPr>
              <w:t>Ethnic Studies Curricula</w:t>
            </w:r>
          </w:p>
        </w:tc>
        <w:tc>
          <w:tcPr>
            <w:tcW w:w="1400" w:type="pct"/>
            <w:shd w:val="clear" w:color="auto" w:fill="auto"/>
            <w:vAlign w:val="center"/>
            <w:hideMark/>
          </w:tcPr>
          <w:p w14:paraId="69B942A4" w14:textId="77777777" w:rsidR="007577C5" w:rsidRPr="00E17614" w:rsidRDefault="007577C5" w:rsidP="00B558CA">
            <w:pPr>
              <w:rPr>
                <w:rFonts w:ascii="Arial" w:hAnsi="Arial" w:cs="Arial"/>
                <w:color w:val="000000"/>
              </w:rPr>
            </w:pPr>
            <w:r w:rsidRPr="00E17614">
              <w:rPr>
                <w:rFonts w:ascii="Arial" w:hAnsi="Arial" w:cs="Arial"/>
                <w:color w:val="000000"/>
              </w:rPr>
              <w:t xml:space="preserve">$302,851.01 </w:t>
            </w:r>
          </w:p>
        </w:tc>
        <w:tc>
          <w:tcPr>
            <w:tcW w:w="1407" w:type="pct"/>
            <w:shd w:val="clear" w:color="auto" w:fill="auto"/>
            <w:vAlign w:val="center"/>
            <w:hideMark/>
          </w:tcPr>
          <w:p w14:paraId="033E7F9F" w14:textId="77777777" w:rsidR="007577C5" w:rsidRPr="00E17614" w:rsidRDefault="007577C5" w:rsidP="00B558CA">
            <w:pPr>
              <w:rPr>
                <w:rFonts w:ascii="Arial" w:hAnsi="Arial" w:cs="Arial"/>
                <w:color w:val="000000"/>
              </w:rPr>
            </w:pPr>
            <w:r w:rsidRPr="00E17614">
              <w:rPr>
                <w:rFonts w:ascii="Arial" w:hAnsi="Arial" w:cs="Arial"/>
                <w:color w:val="000000"/>
              </w:rPr>
              <w:t xml:space="preserve">$1,289,229.21 </w:t>
            </w:r>
          </w:p>
        </w:tc>
        <w:tc>
          <w:tcPr>
            <w:tcW w:w="997" w:type="pct"/>
            <w:shd w:val="clear" w:color="auto" w:fill="auto"/>
            <w:vAlign w:val="center"/>
            <w:hideMark/>
          </w:tcPr>
          <w:p w14:paraId="0FB2BBC6" w14:textId="77777777" w:rsidR="007577C5" w:rsidRPr="00E17614" w:rsidRDefault="007577C5" w:rsidP="00B558CA">
            <w:pPr>
              <w:rPr>
                <w:rFonts w:ascii="Arial" w:hAnsi="Arial" w:cs="Arial"/>
                <w:color w:val="000000"/>
              </w:rPr>
            </w:pPr>
            <w:r w:rsidRPr="00E17614">
              <w:rPr>
                <w:rFonts w:ascii="Arial" w:hAnsi="Arial" w:cs="Arial"/>
                <w:color w:val="000000"/>
              </w:rPr>
              <w:t xml:space="preserve">$1,592,080.22 </w:t>
            </w:r>
          </w:p>
        </w:tc>
      </w:tr>
    </w:tbl>
    <w:p w14:paraId="6EB98541" w14:textId="10A2D5EC" w:rsidR="00C63D30" w:rsidRDefault="00A8307D" w:rsidP="00F70885">
      <w:pPr>
        <w:spacing w:before="240" w:after="240"/>
        <w:rPr>
          <w:rFonts w:ascii="Arial" w:hAnsi="Arial" w:cs="Arial"/>
        </w:rPr>
      </w:pPr>
      <w:r w:rsidRPr="00E17614">
        <w:rPr>
          <w:rFonts w:ascii="Arial" w:hAnsi="Arial" w:cs="Arial"/>
        </w:rPr>
        <w:t>Altogether,</w:t>
      </w:r>
      <w:r w:rsidR="00C36A45" w:rsidRPr="00E17614">
        <w:rPr>
          <w:rFonts w:ascii="Arial" w:hAnsi="Arial" w:cs="Arial"/>
        </w:rPr>
        <w:t xml:space="preserve"> </w:t>
      </w:r>
      <w:r w:rsidR="00262DE5" w:rsidRPr="00E17614">
        <w:rPr>
          <w:rFonts w:ascii="Arial" w:hAnsi="Arial" w:cs="Arial"/>
          <w:bCs/>
        </w:rPr>
        <w:t>$1,592,080.22</w:t>
      </w:r>
      <w:r w:rsidR="00130C2B" w:rsidRPr="00E17614">
        <w:rPr>
          <w:rFonts w:ascii="Arial" w:hAnsi="Arial" w:cs="Arial"/>
        </w:rPr>
        <w:t xml:space="preserve"> of the EEF</w:t>
      </w:r>
      <w:r w:rsidR="00C36A45" w:rsidRPr="00E17614">
        <w:rPr>
          <w:rFonts w:ascii="Arial" w:hAnsi="Arial" w:cs="Arial"/>
        </w:rPr>
        <w:t xml:space="preserve"> </w:t>
      </w:r>
      <w:r w:rsidRPr="00E17614">
        <w:rPr>
          <w:rFonts w:ascii="Arial" w:hAnsi="Arial" w:cs="Arial"/>
        </w:rPr>
        <w:t>w</w:t>
      </w:r>
      <w:r w:rsidR="0096164B" w:rsidRPr="00E17614">
        <w:rPr>
          <w:rFonts w:ascii="Arial" w:hAnsi="Arial" w:cs="Arial"/>
        </w:rPr>
        <w:t>ere</w:t>
      </w:r>
      <w:r w:rsidRPr="00E17614">
        <w:rPr>
          <w:rFonts w:ascii="Arial" w:hAnsi="Arial" w:cs="Arial"/>
        </w:rPr>
        <w:t xml:space="preserve"> spent </w:t>
      </w:r>
      <w:r w:rsidR="00FD35B4" w:rsidRPr="00E17614">
        <w:rPr>
          <w:rFonts w:ascii="Arial" w:hAnsi="Arial" w:cs="Arial"/>
        </w:rPr>
        <w:t>on</w:t>
      </w:r>
      <w:r w:rsidRPr="00E17614">
        <w:rPr>
          <w:rFonts w:ascii="Arial" w:hAnsi="Arial" w:cs="Arial"/>
        </w:rPr>
        <w:t xml:space="preserve"> Ethnic Studies Curricula. </w:t>
      </w:r>
      <w:r w:rsidR="007B6EAD" w:rsidRPr="00E17614">
        <w:rPr>
          <w:rFonts w:ascii="Arial" w:hAnsi="Arial" w:cs="Arial"/>
          <w:iCs/>
          <w:color w:val="000000"/>
        </w:rPr>
        <w:t xml:space="preserve">Ethnic Studies Curricula is the </w:t>
      </w:r>
      <w:r w:rsidR="00F94CD8" w:rsidRPr="00E17614">
        <w:rPr>
          <w:rFonts w:ascii="Arial" w:hAnsi="Arial" w:cs="Arial"/>
          <w:iCs/>
          <w:color w:val="000000"/>
        </w:rPr>
        <w:t>allowable use category</w:t>
      </w:r>
      <w:r w:rsidR="007B6EAD" w:rsidRPr="00E17614">
        <w:rPr>
          <w:rFonts w:ascii="Arial" w:hAnsi="Arial" w:cs="Arial"/>
          <w:iCs/>
          <w:color w:val="000000"/>
        </w:rPr>
        <w:t xml:space="preserve"> in which LEAs reported spending the least.</w:t>
      </w:r>
      <w:r w:rsidR="00B77E05" w:rsidRPr="00E17614">
        <w:rPr>
          <w:rFonts w:ascii="Arial" w:hAnsi="Arial" w:cs="Arial"/>
          <w:iCs/>
          <w:color w:val="000000"/>
        </w:rPr>
        <w:t xml:space="preserve"> Specifically,</w:t>
      </w:r>
      <w:r w:rsidR="00F94CD8" w:rsidRPr="00E17614">
        <w:rPr>
          <w:rFonts w:ascii="Arial" w:hAnsi="Arial" w:cs="Arial"/>
          <w:iCs/>
          <w:color w:val="000000"/>
        </w:rPr>
        <w:t xml:space="preserve"> </w:t>
      </w:r>
      <w:r w:rsidR="00C36A45" w:rsidRPr="00E17614">
        <w:rPr>
          <w:rFonts w:ascii="Arial" w:hAnsi="Arial" w:cs="Arial"/>
        </w:rPr>
        <w:t xml:space="preserve">LEAs reported spending funds on </w:t>
      </w:r>
      <w:r w:rsidR="007E4BFF" w:rsidRPr="00E17614">
        <w:rPr>
          <w:rFonts w:ascii="Arial" w:hAnsi="Arial" w:cs="Arial"/>
        </w:rPr>
        <w:t xml:space="preserve">staff </w:t>
      </w:r>
      <w:r w:rsidR="00B33DA6" w:rsidRPr="00E17614">
        <w:rPr>
          <w:rFonts w:ascii="Arial" w:hAnsi="Arial" w:cs="Arial"/>
        </w:rPr>
        <w:t xml:space="preserve">stipends for </w:t>
      </w:r>
      <w:r w:rsidR="00570550" w:rsidRPr="00E17614">
        <w:rPr>
          <w:rFonts w:ascii="Arial" w:hAnsi="Arial" w:cs="Arial"/>
        </w:rPr>
        <w:t xml:space="preserve">additional </w:t>
      </w:r>
      <w:r w:rsidR="007E4BFF" w:rsidRPr="00E17614">
        <w:rPr>
          <w:rFonts w:ascii="Arial" w:hAnsi="Arial" w:cs="Arial"/>
        </w:rPr>
        <w:t>work</w:t>
      </w:r>
      <w:r w:rsidR="00570550" w:rsidRPr="00E17614">
        <w:rPr>
          <w:rFonts w:ascii="Arial" w:hAnsi="Arial" w:cs="Arial"/>
        </w:rPr>
        <w:t xml:space="preserve"> time</w:t>
      </w:r>
      <w:r w:rsidR="00B33DA6" w:rsidRPr="00E17614">
        <w:rPr>
          <w:rFonts w:ascii="Arial" w:hAnsi="Arial" w:cs="Arial"/>
        </w:rPr>
        <w:t xml:space="preserve">. </w:t>
      </w:r>
      <w:r w:rsidR="007E4BFF" w:rsidRPr="00E17614">
        <w:rPr>
          <w:rFonts w:ascii="Arial" w:hAnsi="Arial" w:cs="Arial"/>
        </w:rPr>
        <w:t>A</w:t>
      </w:r>
      <w:r w:rsidR="00B33DA6" w:rsidRPr="00E17614">
        <w:rPr>
          <w:rFonts w:ascii="Arial" w:hAnsi="Arial" w:cs="Arial"/>
        </w:rPr>
        <w:t xml:space="preserve">dditional </w:t>
      </w:r>
      <w:r w:rsidR="007E4BFF" w:rsidRPr="00E17614">
        <w:rPr>
          <w:rFonts w:ascii="Arial" w:hAnsi="Arial" w:cs="Arial"/>
        </w:rPr>
        <w:t>work</w:t>
      </w:r>
      <w:r w:rsidR="00B33DA6" w:rsidRPr="00E17614">
        <w:rPr>
          <w:rFonts w:ascii="Arial" w:hAnsi="Arial" w:cs="Arial"/>
        </w:rPr>
        <w:t xml:space="preserve"> time included activities such </w:t>
      </w:r>
      <w:r w:rsidR="0012103F" w:rsidRPr="00E17614">
        <w:rPr>
          <w:rFonts w:ascii="Arial" w:hAnsi="Arial" w:cs="Arial"/>
        </w:rPr>
        <w:t xml:space="preserve">as </w:t>
      </w:r>
      <w:r w:rsidR="00B33DA6" w:rsidRPr="00E17614">
        <w:rPr>
          <w:rFonts w:ascii="Arial" w:hAnsi="Arial" w:cs="Arial"/>
        </w:rPr>
        <w:t xml:space="preserve">attending </w:t>
      </w:r>
      <w:r w:rsidR="00DB469A" w:rsidRPr="00E17614">
        <w:rPr>
          <w:rFonts w:ascii="Arial" w:hAnsi="Arial" w:cs="Arial"/>
        </w:rPr>
        <w:t>e</w:t>
      </w:r>
      <w:r w:rsidR="00B33DA6" w:rsidRPr="00E17614">
        <w:rPr>
          <w:rFonts w:ascii="Arial" w:hAnsi="Arial" w:cs="Arial"/>
        </w:rPr>
        <w:t xml:space="preserve">thnic </w:t>
      </w:r>
      <w:r w:rsidR="00DB469A" w:rsidRPr="00E17614">
        <w:rPr>
          <w:rFonts w:ascii="Arial" w:hAnsi="Arial" w:cs="Arial"/>
        </w:rPr>
        <w:t>s</w:t>
      </w:r>
      <w:r w:rsidR="00B33DA6" w:rsidRPr="00E17614">
        <w:rPr>
          <w:rFonts w:ascii="Arial" w:hAnsi="Arial" w:cs="Arial"/>
        </w:rPr>
        <w:t>tudies symposi</w:t>
      </w:r>
      <w:r w:rsidR="0096164B" w:rsidRPr="00E17614">
        <w:rPr>
          <w:rFonts w:ascii="Arial" w:hAnsi="Arial" w:cs="Arial"/>
        </w:rPr>
        <w:t>a</w:t>
      </w:r>
      <w:r w:rsidR="00B16D0A" w:rsidRPr="00E17614">
        <w:rPr>
          <w:rFonts w:ascii="Arial" w:hAnsi="Arial" w:cs="Arial"/>
        </w:rPr>
        <w:t xml:space="preserve"> and conferences</w:t>
      </w:r>
      <w:r w:rsidR="00B33DA6" w:rsidRPr="00E17614">
        <w:rPr>
          <w:rFonts w:ascii="Arial" w:hAnsi="Arial" w:cs="Arial"/>
        </w:rPr>
        <w:t xml:space="preserve">, </w:t>
      </w:r>
      <w:r w:rsidR="00B16D0A" w:rsidRPr="00E17614">
        <w:rPr>
          <w:rFonts w:ascii="Arial" w:hAnsi="Arial" w:cs="Arial"/>
        </w:rPr>
        <w:t>researching</w:t>
      </w:r>
      <w:r w:rsidR="00B33DA6" w:rsidRPr="00E17614">
        <w:rPr>
          <w:rFonts w:ascii="Arial" w:hAnsi="Arial" w:cs="Arial"/>
        </w:rPr>
        <w:t xml:space="preserve"> and developing </w:t>
      </w:r>
      <w:r w:rsidR="000C7743" w:rsidRPr="00E17614">
        <w:rPr>
          <w:rFonts w:ascii="Arial" w:hAnsi="Arial" w:cs="Arial"/>
        </w:rPr>
        <w:t>e</w:t>
      </w:r>
      <w:r w:rsidR="00B33DA6" w:rsidRPr="00E17614">
        <w:rPr>
          <w:rFonts w:ascii="Arial" w:hAnsi="Arial" w:cs="Arial"/>
        </w:rPr>
        <w:t xml:space="preserve">thnic </w:t>
      </w:r>
      <w:r w:rsidR="000C7743" w:rsidRPr="00E17614">
        <w:rPr>
          <w:rFonts w:ascii="Arial" w:hAnsi="Arial" w:cs="Arial"/>
        </w:rPr>
        <w:t>s</w:t>
      </w:r>
      <w:r w:rsidR="00B33DA6" w:rsidRPr="00E17614">
        <w:rPr>
          <w:rFonts w:ascii="Arial" w:hAnsi="Arial" w:cs="Arial"/>
        </w:rPr>
        <w:t xml:space="preserve">tudies curriculum and materials, and </w:t>
      </w:r>
      <w:r w:rsidR="00B16D0A" w:rsidRPr="00E17614">
        <w:rPr>
          <w:rFonts w:ascii="Arial" w:hAnsi="Arial" w:cs="Arial"/>
        </w:rPr>
        <w:t>crafting</w:t>
      </w:r>
      <w:r w:rsidR="00C36A45" w:rsidRPr="00E17614">
        <w:rPr>
          <w:rFonts w:ascii="Arial" w:hAnsi="Arial" w:cs="Arial"/>
        </w:rPr>
        <w:t xml:space="preserve"> </w:t>
      </w:r>
      <w:r w:rsidR="000C7743" w:rsidRPr="00E17614">
        <w:rPr>
          <w:rFonts w:ascii="Arial" w:hAnsi="Arial" w:cs="Arial"/>
        </w:rPr>
        <w:t>e</w:t>
      </w:r>
      <w:r w:rsidR="00C36A45" w:rsidRPr="00E17614">
        <w:rPr>
          <w:rFonts w:ascii="Arial" w:hAnsi="Arial" w:cs="Arial"/>
        </w:rPr>
        <w:t xml:space="preserve">thnic </w:t>
      </w:r>
      <w:r w:rsidR="000C7743" w:rsidRPr="00E17614">
        <w:rPr>
          <w:rFonts w:ascii="Arial" w:hAnsi="Arial" w:cs="Arial"/>
        </w:rPr>
        <w:t>s</w:t>
      </w:r>
      <w:r w:rsidR="00C36A45" w:rsidRPr="00E17614">
        <w:rPr>
          <w:rFonts w:ascii="Arial" w:hAnsi="Arial" w:cs="Arial"/>
        </w:rPr>
        <w:t>tudies units for content to be piloted in future school years.</w:t>
      </w:r>
      <w:r w:rsidR="00B16D0A" w:rsidRPr="00E17614">
        <w:rPr>
          <w:rFonts w:ascii="Arial" w:hAnsi="Arial" w:cs="Arial"/>
        </w:rPr>
        <w:t xml:space="preserve"> M</w:t>
      </w:r>
      <w:r w:rsidR="00A42DBE" w:rsidRPr="00E17614">
        <w:rPr>
          <w:rFonts w:ascii="Arial" w:hAnsi="Arial" w:cs="Arial"/>
        </w:rPr>
        <w:t xml:space="preserve">oreover, </w:t>
      </w:r>
      <w:r w:rsidR="00B16D0A" w:rsidRPr="00E17614">
        <w:rPr>
          <w:rFonts w:ascii="Arial" w:hAnsi="Arial" w:cs="Arial"/>
        </w:rPr>
        <w:t xml:space="preserve">LEAs also </w:t>
      </w:r>
      <w:r w:rsidR="007E4BFF" w:rsidRPr="00E17614">
        <w:rPr>
          <w:rFonts w:ascii="Arial" w:hAnsi="Arial" w:cs="Arial"/>
        </w:rPr>
        <w:t xml:space="preserve">reported </w:t>
      </w:r>
      <w:r w:rsidR="00B16D0A" w:rsidRPr="00E17614">
        <w:rPr>
          <w:rFonts w:ascii="Arial" w:hAnsi="Arial" w:cs="Arial"/>
        </w:rPr>
        <w:t>spend</w:t>
      </w:r>
      <w:r w:rsidR="007E4BFF" w:rsidRPr="00E17614">
        <w:rPr>
          <w:rFonts w:ascii="Arial" w:hAnsi="Arial" w:cs="Arial"/>
        </w:rPr>
        <w:t>ing</w:t>
      </w:r>
      <w:r w:rsidR="00B16D0A" w:rsidRPr="00E17614">
        <w:rPr>
          <w:rFonts w:ascii="Arial" w:hAnsi="Arial" w:cs="Arial"/>
        </w:rPr>
        <w:t xml:space="preserve"> funds on vendors to provide additional training on </w:t>
      </w:r>
      <w:r w:rsidR="000C7743" w:rsidRPr="00E17614">
        <w:rPr>
          <w:rFonts w:ascii="Arial" w:hAnsi="Arial" w:cs="Arial"/>
        </w:rPr>
        <w:t>e</w:t>
      </w:r>
      <w:r w:rsidR="00B16D0A" w:rsidRPr="00E17614">
        <w:rPr>
          <w:rFonts w:ascii="Arial" w:hAnsi="Arial" w:cs="Arial"/>
        </w:rPr>
        <w:t xml:space="preserve">thnic </w:t>
      </w:r>
      <w:r w:rsidR="000C7743" w:rsidRPr="00E17614">
        <w:rPr>
          <w:rFonts w:ascii="Arial" w:hAnsi="Arial" w:cs="Arial"/>
        </w:rPr>
        <w:t>s</w:t>
      </w:r>
      <w:r w:rsidR="00B16D0A" w:rsidRPr="00E17614">
        <w:rPr>
          <w:rFonts w:ascii="Arial" w:hAnsi="Arial" w:cs="Arial"/>
        </w:rPr>
        <w:t>tudies</w:t>
      </w:r>
      <w:r w:rsidR="007E4BFF" w:rsidRPr="00E17614">
        <w:rPr>
          <w:rFonts w:ascii="Arial" w:hAnsi="Arial" w:cs="Arial"/>
        </w:rPr>
        <w:t xml:space="preserve"> topics</w:t>
      </w:r>
      <w:r w:rsidR="00B16D0A" w:rsidRPr="00E17614">
        <w:rPr>
          <w:rFonts w:ascii="Arial" w:hAnsi="Arial" w:cs="Arial"/>
        </w:rPr>
        <w:t>. These vendors included organizations such as</w:t>
      </w:r>
      <w:r w:rsidR="00EE5D38" w:rsidRPr="00E17614">
        <w:rPr>
          <w:rFonts w:ascii="Arial" w:hAnsi="Arial" w:cs="Arial"/>
        </w:rPr>
        <w:t xml:space="preserve"> the</w:t>
      </w:r>
      <w:r w:rsidR="00B16D0A" w:rsidRPr="00E17614">
        <w:rPr>
          <w:rFonts w:ascii="Arial" w:hAnsi="Arial" w:cs="Arial"/>
        </w:rPr>
        <w:t xml:space="preserve"> San Jose State University Ethnic Studies Department, Sonoma C</w:t>
      </w:r>
      <w:r w:rsidR="00B270BE" w:rsidRPr="00E17614">
        <w:rPr>
          <w:rFonts w:ascii="Arial" w:hAnsi="Arial" w:cs="Arial"/>
        </w:rPr>
        <w:t>OE</w:t>
      </w:r>
      <w:r w:rsidR="00B16D0A" w:rsidRPr="00E17614">
        <w:rPr>
          <w:rFonts w:ascii="Arial" w:hAnsi="Arial" w:cs="Arial"/>
        </w:rPr>
        <w:t>, Los Angeles C</w:t>
      </w:r>
      <w:r w:rsidR="00B270BE" w:rsidRPr="00E17614">
        <w:rPr>
          <w:rFonts w:ascii="Arial" w:hAnsi="Arial" w:cs="Arial"/>
        </w:rPr>
        <w:t>OE</w:t>
      </w:r>
      <w:r w:rsidR="00B16D0A" w:rsidRPr="00E17614">
        <w:rPr>
          <w:rFonts w:ascii="Arial" w:hAnsi="Arial" w:cs="Arial"/>
        </w:rPr>
        <w:t>, and River</w:t>
      </w:r>
      <w:r w:rsidR="00AF5FCC" w:rsidRPr="00E17614">
        <w:rPr>
          <w:rFonts w:ascii="Arial" w:hAnsi="Arial" w:cs="Arial"/>
        </w:rPr>
        <w:t>side</w:t>
      </w:r>
      <w:r w:rsidR="00B16D0A" w:rsidRPr="00E17614">
        <w:rPr>
          <w:rFonts w:ascii="Arial" w:hAnsi="Arial" w:cs="Arial"/>
        </w:rPr>
        <w:t xml:space="preserve"> C</w:t>
      </w:r>
      <w:r w:rsidR="00931632" w:rsidRPr="00E17614">
        <w:rPr>
          <w:rFonts w:ascii="Arial" w:hAnsi="Arial" w:cs="Arial"/>
        </w:rPr>
        <w:t>OE</w:t>
      </w:r>
      <w:r w:rsidR="00B16D0A" w:rsidRPr="00E17614">
        <w:rPr>
          <w:rFonts w:ascii="Arial" w:hAnsi="Arial" w:cs="Arial"/>
        </w:rPr>
        <w:t xml:space="preserve">. </w:t>
      </w:r>
      <w:r w:rsidR="007E4BFF" w:rsidRPr="00E17614">
        <w:rPr>
          <w:rFonts w:ascii="Arial" w:hAnsi="Arial" w:cs="Arial"/>
        </w:rPr>
        <w:t xml:space="preserve">Overall, the majority of funds used in the Ethnic Studies Curricula category was purposed for additional </w:t>
      </w:r>
      <w:r w:rsidR="00A66751" w:rsidRPr="00E17614">
        <w:rPr>
          <w:rFonts w:ascii="Arial" w:hAnsi="Arial" w:cs="Arial"/>
        </w:rPr>
        <w:t xml:space="preserve">staff </w:t>
      </w:r>
      <w:r w:rsidR="007E4BFF" w:rsidRPr="00E17614">
        <w:rPr>
          <w:rFonts w:ascii="Arial" w:hAnsi="Arial" w:cs="Arial"/>
        </w:rPr>
        <w:t xml:space="preserve">work time to create and implement </w:t>
      </w:r>
      <w:r w:rsidR="000C7743" w:rsidRPr="00E17614">
        <w:rPr>
          <w:rFonts w:ascii="Arial" w:hAnsi="Arial" w:cs="Arial"/>
        </w:rPr>
        <w:t>e</w:t>
      </w:r>
      <w:r w:rsidR="007E4BFF" w:rsidRPr="00E17614">
        <w:rPr>
          <w:rFonts w:ascii="Arial" w:hAnsi="Arial" w:cs="Arial"/>
        </w:rPr>
        <w:t xml:space="preserve">thnic </w:t>
      </w:r>
      <w:r w:rsidR="000C7743" w:rsidRPr="00E17614">
        <w:rPr>
          <w:rFonts w:ascii="Arial" w:hAnsi="Arial" w:cs="Arial"/>
        </w:rPr>
        <w:t>s</w:t>
      </w:r>
      <w:r w:rsidR="007E4BFF" w:rsidRPr="00E17614">
        <w:rPr>
          <w:rFonts w:ascii="Arial" w:hAnsi="Arial" w:cs="Arial"/>
        </w:rPr>
        <w:t>tudies into the curriculum.</w:t>
      </w:r>
      <w:r w:rsidR="00F94CD8" w:rsidRPr="00E17614">
        <w:rPr>
          <w:rFonts w:ascii="Arial" w:hAnsi="Arial" w:cs="Arial"/>
        </w:rPr>
        <w:t xml:space="preserve"> </w:t>
      </w:r>
    </w:p>
    <w:p w14:paraId="51F57EA6" w14:textId="77777777" w:rsidR="00C63D30" w:rsidRDefault="00C63D30">
      <w:pPr>
        <w:rPr>
          <w:rFonts w:ascii="Arial" w:hAnsi="Arial" w:cs="Arial"/>
        </w:rPr>
      </w:pPr>
      <w:r>
        <w:rPr>
          <w:rFonts w:ascii="Arial" w:hAnsi="Arial" w:cs="Arial"/>
        </w:rPr>
        <w:br w:type="page"/>
      </w:r>
    </w:p>
    <w:p w14:paraId="0B6C6970" w14:textId="40B12FE7" w:rsidR="00C0172F" w:rsidRPr="00E17614" w:rsidRDefault="00C0172F" w:rsidP="00576E71">
      <w:pPr>
        <w:spacing w:before="480" w:after="240"/>
        <w:jc w:val="center"/>
        <w:rPr>
          <w:rFonts w:ascii="Arial" w:hAnsi="Arial" w:cs="Arial"/>
          <w:b/>
          <w:bCs/>
        </w:rPr>
      </w:pPr>
      <w:bookmarkStart w:id="33" w:name="_Toc148514295"/>
      <w:bookmarkStart w:id="34" w:name="_Toc148516370"/>
      <w:r w:rsidRPr="00E17614">
        <w:rPr>
          <w:rFonts w:ascii="Arial" w:hAnsi="Arial" w:cs="Arial"/>
          <w:b/>
          <w:bCs/>
        </w:rPr>
        <w:lastRenderedPageBreak/>
        <w:t>Early Childhood or Child Development Total Expenditures</w:t>
      </w:r>
      <w:bookmarkEnd w:id="33"/>
      <w:bookmarkEnd w:id="34"/>
    </w:p>
    <w:p w14:paraId="36848967" w14:textId="1B816F1F" w:rsidR="001D3D1A" w:rsidRPr="00E17614" w:rsidRDefault="001D3D1A" w:rsidP="00950D26">
      <w:pPr>
        <w:spacing w:after="240"/>
        <w:rPr>
          <w:rFonts w:ascii="Arial" w:hAnsi="Arial" w:cs="Arial"/>
          <w:b/>
          <w:bCs/>
        </w:rPr>
      </w:pPr>
      <w:r w:rsidRPr="00E17614">
        <w:rPr>
          <w:rFonts w:ascii="Arial" w:hAnsi="Arial" w:cs="Arial"/>
          <w:b/>
          <w:bCs/>
        </w:rPr>
        <w:t>Table 12. Early Childhood or Child Development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Table 12. 2021–23 Early Childhood or Child Development Total Expenditures"/>
        <w:tblDescription w:val="This table provides the 2021–23 total for the Early Childhood or Child Development allowable use category."/>
      </w:tblPr>
      <w:tblGrid>
        <w:gridCol w:w="2237"/>
        <w:gridCol w:w="2618"/>
        <w:gridCol w:w="2631"/>
        <w:gridCol w:w="1864"/>
      </w:tblGrid>
      <w:tr w:rsidR="005D7DB7" w:rsidRPr="00E17614" w14:paraId="26487ACA" w14:textId="77777777" w:rsidTr="008634C6">
        <w:trPr>
          <w:trHeight w:val="320"/>
        </w:trPr>
        <w:tc>
          <w:tcPr>
            <w:tcW w:w="1196" w:type="pct"/>
            <w:shd w:val="clear" w:color="000000" w:fill="BDD6EE"/>
            <w:vAlign w:val="center"/>
            <w:hideMark/>
          </w:tcPr>
          <w:p w14:paraId="20D3F0A9" w14:textId="77777777" w:rsidR="005D7DB7" w:rsidRPr="00E17614" w:rsidRDefault="005D7DB7" w:rsidP="00566BE6">
            <w:pPr>
              <w:jc w:val="center"/>
              <w:rPr>
                <w:rFonts w:ascii="Arial" w:hAnsi="Arial" w:cs="Arial"/>
                <w:b/>
                <w:bCs/>
                <w:color w:val="000000"/>
              </w:rPr>
            </w:pPr>
            <w:r w:rsidRPr="00E17614">
              <w:rPr>
                <w:rFonts w:ascii="Arial" w:hAnsi="Arial" w:cs="Arial"/>
                <w:b/>
                <w:bCs/>
                <w:color w:val="000000"/>
              </w:rPr>
              <w:t>Report Field</w:t>
            </w:r>
          </w:p>
        </w:tc>
        <w:tc>
          <w:tcPr>
            <w:tcW w:w="1400" w:type="pct"/>
            <w:shd w:val="clear" w:color="000000" w:fill="BDD6EE"/>
            <w:vAlign w:val="center"/>
            <w:hideMark/>
          </w:tcPr>
          <w:p w14:paraId="7DC45630" w14:textId="0A02E9D7" w:rsidR="005D7DB7" w:rsidRPr="00E17614" w:rsidRDefault="005D7DB7" w:rsidP="00566BE6">
            <w:pPr>
              <w:jc w:val="center"/>
              <w:rPr>
                <w:rFonts w:ascii="Arial" w:hAnsi="Arial" w:cs="Arial"/>
                <w:b/>
                <w:bCs/>
                <w:color w:val="000000"/>
              </w:rPr>
            </w:pPr>
            <w:r w:rsidRPr="00E17614">
              <w:rPr>
                <w:rFonts w:ascii="Arial" w:hAnsi="Arial" w:cs="Arial"/>
                <w:b/>
                <w:bCs/>
                <w:color w:val="000000"/>
              </w:rPr>
              <w:t>Fiscal Year 2021</w:t>
            </w:r>
            <w:r w:rsidR="00E237F0" w:rsidRPr="00E17614">
              <w:rPr>
                <w:rFonts w:ascii="Arial" w:hAnsi="Arial" w:cs="Arial"/>
                <w:b/>
                <w:bCs/>
                <w:color w:val="000000"/>
              </w:rPr>
              <w:t>–</w:t>
            </w:r>
            <w:r w:rsidRPr="00E17614">
              <w:rPr>
                <w:rFonts w:ascii="Arial" w:hAnsi="Arial" w:cs="Arial"/>
                <w:b/>
                <w:bCs/>
                <w:color w:val="000000"/>
              </w:rPr>
              <w:t>22</w:t>
            </w:r>
          </w:p>
        </w:tc>
        <w:tc>
          <w:tcPr>
            <w:tcW w:w="1407" w:type="pct"/>
            <w:shd w:val="clear" w:color="000000" w:fill="BDD6EE"/>
            <w:vAlign w:val="center"/>
            <w:hideMark/>
          </w:tcPr>
          <w:p w14:paraId="702B649F" w14:textId="7F67ED01" w:rsidR="005D7DB7" w:rsidRPr="00E17614" w:rsidRDefault="005D7DB7" w:rsidP="00566BE6">
            <w:pPr>
              <w:jc w:val="center"/>
              <w:rPr>
                <w:rFonts w:ascii="Arial" w:hAnsi="Arial" w:cs="Arial"/>
                <w:b/>
                <w:bCs/>
                <w:color w:val="000000"/>
              </w:rPr>
            </w:pPr>
            <w:r w:rsidRPr="00E17614">
              <w:rPr>
                <w:rFonts w:ascii="Arial" w:hAnsi="Arial" w:cs="Arial"/>
                <w:b/>
                <w:bCs/>
                <w:color w:val="000000"/>
              </w:rPr>
              <w:t>Fiscal Year 2022</w:t>
            </w:r>
            <w:r w:rsidR="00E237F0"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4BC02B43" w14:textId="77777777" w:rsidR="005D7DB7" w:rsidRPr="00E17614" w:rsidRDefault="005D7DB7" w:rsidP="00566BE6">
            <w:pPr>
              <w:jc w:val="center"/>
              <w:rPr>
                <w:rFonts w:ascii="Arial" w:hAnsi="Arial" w:cs="Arial"/>
                <w:b/>
                <w:bCs/>
                <w:color w:val="000000"/>
              </w:rPr>
            </w:pPr>
            <w:r w:rsidRPr="00E17614">
              <w:rPr>
                <w:rFonts w:ascii="Arial" w:hAnsi="Arial" w:cs="Arial"/>
                <w:b/>
                <w:bCs/>
                <w:color w:val="000000"/>
              </w:rPr>
              <w:t xml:space="preserve">Total </w:t>
            </w:r>
          </w:p>
        </w:tc>
      </w:tr>
      <w:tr w:rsidR="005D7DB7" w:rsidRPr="00E17614" w14:paraId="3959E912" w14:textId="77777777" w:rsidTr="008634C6">
        <w:trPr>
          <w:trHeight w:val="630"/>
        </w:trPr>
        <w:tc>
          <w:tcPr>
            <w:tcW w:w="1196" w:type="pct"/>
            <w:shd w:val="clear" w:color="auto" w:fill="auto"/>
            <w:vAlign w:val="center"/>
            <w:hideMark/>
          </w:tcPr>
          <w:p w14:paraId="459B5BDE" w14:textId="77777777" w:rsidR="005D7DB7" w:rsidRPr="00E17614" w:rsidRDefault="005D7DB7" w:rsidP="00E237F0">
            <w:pPr>
              <w:rPr>
                <w:rFonts w:ascii="Arial" w:hAnsi="Arial" w:cs="Arial"/>
                <w:color w:val="000000"/>
              </w:rPr>
            </w:pPr>
            <w:r w:rsidRPr="00E17614">
              <w:rPr>
                <w:rFonts w:ascii="Arial" w:hAnsi="Arial" w:cs="Arial"/>
                <w:color w:val="000000"/>
              </w:rPr>
              <w:t>Early Childhood or Child Development</w:t>
            </w:r>
          </w:p>
        </w:tc>
        <w:tc>
          <w:tcPr>
            <w:tcW w:w="1400" w:type="pct"/>
            <w:shd w:val="clear" w:color="auto" w:fill="auto"/>
            <w:vAlign w:val="center"/>
            <w:hideMark/>
          </w:tcPr>
          <w:p w14:paraId="74202E3C" w14:textId="77777777" w:rsidR="005D7DB7" w:rsidRPr="00E17614" w:rsidRDefault="005D7DB7" w:rsidP="00E237F0">
            <w:pPr>
              <w:rPr>
                <w:rFonts w:ascii="Arial" w:hAnsi="Arial" w:cs="Arial"/>
                <w:color w:val="000000"/>
              </w:rPr>
            </w:pPr>
            <w:r w:rsidRPr="00E17614">
              <w:rPr>
                <w:rFonts w:ascii="Arial" w:hAnsi="Arial" w:cs="Arial"/>
                <w:color w:val="000000"/>
              </w:rPr>
              <w:t xml:space="preserve">$106,631.95 </w:t>
            </w:r>
          </w:p>
        </w:tc>
        <w:tc>
          <w:tcPr>
            <w:tcW w:w="1407" w:type="pct"/>
            <w:shd w:val="clear" w:color="auto" w:fill="auto"/>
            <w:vAlign w:val="center"/>
            <w:hideMark/>
          </w:tcPr>
          <w:p w14:paraId="119AA4CB" w14:textId="77777777" w:rsidR="005D7DB7" w:rsidRPr="00E17614" w:rsidRDefault="005D7DB7" w:rsidP="00E237F0">
            <w:pPr>
              <w:rPr>
                <w:rFonts w:ascii="Arial" w:hAnsi="Arial" w:cs="Arial"/>
                <w:color w:val="000000"/>
              </w:rPr>
            </w:pPr>
            <w:r w:rsidRPr="00E17614">
              <w:rPr>
                <w:rFonts w:ascii="Arial" w:hAnsi="Arial" w:cs="Arial"/>
                <w:color w:val="000000"/>
              </w:rPr>
              <w:t xml:space="preserve">$1,764,793.97 </w:t>
            </w:r>
          </w:p>
        </w:tc>
        <w:tc>
          <w:tcPr>
            <w:tcW w:w="997" w:type="pct"/>
            <w:shd w:val="clear" w:color="auto" w:fill="auto"/>
            <w:vAlign w:val="center"/>
            <w:hideMark/>
          </w:tcPr>
          <w:p w14:paraId="74B0AFEC" w14:textId="77777777" w:rsidR="005D7DB7" w:rsidRPr="00E17614" w:rsidRDefault="005D7DB7" w:rsidP="00E237F0">
            <w:pPr>
              <w:rPr>
                <w:rFonts w:ascii="Arial" w:hAnsi="Arial" w:cs="Arial"/>
                <w:color w:val="000000"/>
              </w:rPr>
            </w:pPr>
            <w:r w:rsidRPr="00E17614">
              <w:rPr>
                <w:rFonts w:ascii="Arial" w:hAnsi="Arial" w:cs="Arial"/>
                <w:color w:val="000000"/>
              </w:rPr>
              <w:t xml:space="preserve">$1,871,425.92 </w:t>
            </w:r>
          </w:p>
        </w:tc>
      </w:tr>
    </w:tbl>
    <w:p w14:paraId="3C7DED6B" w14:textId="17CB721F" w:rsidR="001602C1" w:rsidRPr="00E17614" w:rsidRDefault="00A8237E" w:rsidP="00F8580E">
      <w:pPr>
        <w:spacing w:before="240" w:after="240"/>
        <w:rPr>
          <w:rFonts w:ascii="Arial" w:hAnsi="Arial" w:cs="Arial"/>
        </w:rPr>
      </w:pPr>
      <w:r w:rsidRPr="00E17614">
        <w:rPr>
          <w:rFonts w:ascii="Arial" w:hAnsi="Arial" w:cs="Arial"/>
        </w:rPr>
        <w:t>The Early Childhood or Child Development</w:t>
      </w:r>
      <w:r w:rsidR="007A435B" w:rsidRPr="00E17614">
        <w:rPr>
          <w:rFonts w:ascii="Arial" w:hAnsi="Arial" w:cs="Arial"/>
        </w:rPr>
        <w:t xml:space="preserve"> section had a total of</w:t>
      </w:r>
      <w:r w:rsidRPr="00E17614">
        <w:rPr>
          <w:rFonts w:ascii="Arial" w:hAnsi="Arial" w:cs="Arial"/>
        </w:rPr>
        <w:t xml:space="preserve"> </w:t>
      </w:r>
      <w:r w:rsidR="00602258" w:rsidRPr="00E17614">
        <w:rPr>
          <w:rFonts w:ascii="Arial" w:hAnsi="Arial" w:cs="Arial"/>
        </w:rPr>
        <w:t>$1,871,425.92</w:t>
      </w:r>
      <w:r w:rsidRPr="00E17614">
        <w:rPr>
          <w:rFonts w:ascii="Arial" w:hAnsi="Arial" w:cs="Arial"/>
        </w:rPr>
        <w:t xml:space="preserve"> spent</w:t>
      </w:r>
      <w:r w:rsidR="007A435B" w:rsidRPr="00E17614">
        <w:rPr>
          <w:rFonts w:ascii="Arial" w:hAnsi="Arial" w:cs="Arial"/>
        </w:rPr>
        <w:t xml:space="preserve"> on</w:t>
      </w:r>
      <w:r w:rsidR="00667591" w:rsidRPr="00E17614">
        <w:rPr>
          <w:rFonts w:ascii="Arial" w:hAnsi="Arial" w:cs="Arial"/>
        </w:rPr>
        <w:t xml:space="preserve"> the</w:t>
      </w:r>
      <w:r w:rsidR="007A435B" w:rsidRPr="00E17614">
        <w:rPr>
          <w:rFonts w:ascii="Arial" w:hAnsi="Arial" w:cs="Arial"/>
        </w:rPr>
        <w:t xml:space="preserve"> EE</w:t>
      </w:r>
      <w:r w:rsidR="00667591" w:rsidRPr="00E17614">
        <w:rPr>
          <w:rFonts w:ascii="Arial" w:hAnsi="Arial" w:cs="Arial"/>
        </w:rPr>
        <w:t>F</w:t>
      </w:r>
      <w:r w:rsidRPr="00E17614">
        <w:rPr>
          <w:rFonts w:ascii="Arial" w:hAnsi="Arial" w:cs="Arial"/>
        </w:rPr>
        <w:t xml:space="preserve">. </w:t>
      </w:r>
      <w:r w:rsidR="00206374" w:rsidRPr="00E17614">
        <w:rPr>
          <w:rFonts w:ascii="Arial" w:hAnsi="Arial" w:cs="Arial"/>
        </w:rPr>
        <w:t xml:space="preserve">This section ranked </w:t>
      </w:r>
      <w:r w:rsidR="002E2225" w:rsidRPr="00E17614">
        <w:rPr>
          <w:rFonts w:ascii="Arial" w:hAnsi="Arial" w:cs="Arial"/>
        </w:rPr>
        <w:t>tenth</w:t>
      </w:r>
      <w:r w:rsidR="00206374" w:rsidRPr="00E17614">
        <w:rPr>
          <w:rFonts w:ascii="Arial" w:hAnsi="Arial" w:cs="Arial"/>
        </w:rPr>
        <w:t xml:space="preserve"> among all allowable use categories</w:t>
      </w:r>
      <w:r w:rsidR="002E2225" w:rsidRPr="00E17614">
        <w:rPr>
          <w:rFonts w:ascii="Arial" w:hAnsi="Arial" w:cs="Arial"/>
        </w:rPr>
        <w:t xml:space="preserve"> in terms of spending</w:t>
      </w:r>
      <w:r w:rsidR="00206374" w:rsidRPr="00E17614">
        <w:rPr>
          <w:rFonts w:ascii="Arial" w:hAnsi="Arial" w:cs="Arial"/>
        </w:rPr>
        <w:t>.</w:t>
      </w:r>
      <w:r w:rsidR="002E2225" w:rsidRPr="00E17614">
        <w:rPr>
          <w:rFonts w:ascii="Arial" w:hAnsi="Arial" w:cs="Arial"/>
        </w:rPr>
        <w:t xml:space="preserve"> The only category in which less spending was reported was Ethnic Studies</w:t>
      </w:r>
      <w:r w:rsidR="00A44A6F" w:rsidRPr="00E17614">
        <w:rPr>
          <w:rFonts w:ascii="Arial" w:hAnsi="Arial" w:cs="Arial"/>
        </w:rPr>
        <w:t xml:space="preserve"> Curricula</w:t>
      </w:r>
      <w:r w:rsidR="002E2225" w:rsidRPr="00E17614">
        <w:rPr>
          <w:rFonts w:ascii="Arial" w:hAnsi="Arial" w:cs="Arial"/>
        </w:rPr>
        <w:t xml:space="preserve">. </w:t>
      </w:r>
      <w:r w:rsidRPr="00E17614">
        <w:rPr>
          <w:rFonts w:ascii="Arial" w:hAnsi="Arial" w:cs="Arial"/>
        </w:rPr>
        <w:t>LEAs</w:t>
      </w:r>
      <w:r w:rsidR="0075579F" w:rsidRPr="00E17614">
        <w:rPr>
          <w:rFonts w:ascii="Arial" w:hAnsi="Arial" w:cs="Arial"/>
        </w:rPr>
        <w:t xml:space="preserve"> reported</w:t>
      </w:r>
      <w:r w:rsidRPr="00E17614">
        <w:rPr>
          <w:rFonts w:ascii="Arial" w:hAnsi="Arial" w:cs="Arial"/>
        </w:rPr>
        <w:t xml:space="preserve"> spen</w:t>
      </w:r>
      <w:r w:rsidR="0075579F" w:rsidRPr="00E17614">
        <w:rPr>
          <w:rFonts w:ascii="Arial" w:hAnsi="Arial" w:cs="Arial"/>
        </w:rPr>
        <w:t>ding</w:t>
      </w:r>
      <w:r w:rsidRPr="00E17614">
        <w:rPr>
          <w:rFonts w:ascii="Arial" w:hAnsi="Arial" w:cs="Arial"/>
        </w:rPr>
        <w:t xml:space="preserve"> funds on </w:t>
      </w:r>
      <w:r w:rsidR="001602C1" w:rsidRPr="00E17614">
        <w:rPr>
          <w:rFonts w:ascii="Arial" w:hAnsi="Arial" w:cs="Arial"/>
        </w:rPr>
        <w:t xml:space="preserve">professional development opportunities to </w:t>
      </w:r>
      <w:r w:rsidR="000243AD" w:rsidRPr="00E17614">
        <w:rPr>
          <w:rFonts w:ascii="Arial" w:hAnsi="Arial" w:cs="Arial"/>
        </w:rPr>
        <w:t>provide their staff with</w:t>
      </w:r>
      <w:r w:rsidR="001602C1" w:rsidRPr="00E17614">
        <w:rPr>
          <w:rFonts w:ascii="Arial" w:hAnsi="Arial" w:cs="Arial"/>
        </w:rPr>
        <w:t xml:space="preserve"> additional strategies for early learning. </w:t>
      </w:r>
      <w:r w:rsidR="000243AD" w:rsidRPr="00E17614">
        <w:rPr>
          <w:rFonts w:ascii="Arial" w:hAnsi="Arial" w:cs="Arial"/>
        </w:rPr>
        <w:t>Th</w:t>
      </w:r>
      <w:r w:rsidR="0096164B" w:rsidRPr="00E17614">
        <w:rPr>
          <w:rFonts w:ascii="Arial" w:hAnsi="Arial" w:cs="Arial"/>
        </w:rPr>
        <w:t>ese</w:t>
      </w:r>
      <w:r w:rsidR="000243AD" w:rsidRPr="00E17614">
        <w:rPr>
          <w:rFonts w:ascii="Arial" w:hAnsi="Arial" w:cs="Arial"/>
        </w:rPr>
        <w:t xml:space="preserve"> included attending </w:t>
      </w:r>
      <w:r w:rsidR="009F7CBC" w:rsidRPr="00E17614">
        <w:rPr>
          <w:rFonts w:ascii="Arial" w:hAnsi="Arial" w:cs="Arial"/>
        </w:rPr>
        <w:t>e</w:t>
      </w:r>
      <w:r w:rsidR="003D72FB" w:rsidRPr="00E17614">
        <w:rPr>
          <w:rFonts w:ascii="Arial" w:hAnsi="Arial" w:cs="Arial"/>
        </w:rPr>
        <w:t xml:space="preserve">arly </w:t>
      </w:r>
      <w:r w:rsidR="009F7CBC" w:rsidRPr="00E17614">
        <w:rPr>
          <w:rFonts w:ascii="Arial" w:hAnsi="Arial" w:cs="Arial"/>
        </w:rPr>
        <w:t>c</w:t>
      </w:r>
      <w:r w:rsidR="003D72FB" w:rsidRPr="00E17614">
        <w:rPr>
          <w:rFonts w:ascii="Arial" w:hAnsi="Arial" w:cs="Arial"/>
        </w:rPr>
        <w:t xml:space="preserve">hildhood </w:t>
      </w:r>
      <w:r w:rsidR="000243AD" w:rsidRPr="00E17614">
        <w:rPr>
          <w:rFonts w:ascii="Arial" w:hAnsi="Arial" w:cs="Arial"/>
        </w:rPr>
        <w:t>conferences and symposi</w:t>
      </w:r>
      <w:r w:rsidR="0096164B" w:rsidRPr="00E17614">
        <w:rPr>
          <w:rFonts w:ascii="Arial" w:hAnsi="Arial" w:cs="Arial"/>
        </w:rPr>
        <w:t>a</w:t>
      </w:r>
      <w:r w:rsidR="000243AD" w:rsidRPr="00E17614">
        <w:rPr>
          <w:rFonts w:ascii="Arial" w:hAnsi="Arial" w:cs="Arial"/>
        </w:rPr>
        <w:t xml:space="preserve"> as well as obtaining organizations to </w:t>
      </w:r>
      <w:r w:rsidR="00E030AA" w:rsidRPr="00E17614">
        <w:rPr>
          <w:rFonts w:ascii="Arial" w:hAnsi="Arial" w:cs="Arial"/>
        </w:rPr>
        <w:t>deliver</w:t>
      </w:r>
      <w:r w:rsidR="000243AD" w:rsidRPr="00E17614">
        <w:rPr>
          <w:rFonts w:ascii="Arial" w:hAnsi="Arial" w:cs="Arial"/>
        </w:rPr>
        <w:t xml:space="preserve"> </w:t>
      </w:r>
      <w:r w:rsidR="00216BA1" w:rsidRPr="00E17614">
        <w:rPr>
          <w:rFonts w:ascii="Arial" w:hAnsi="Arial" w:cs="Arial"/>
        </w:rPr>
        <w:t xml:space="preserve">in-person </w:t>
      </w:r>
      <w:r w:rsidR="001A106B" w:rsidRPr="00E17614">
        <w:rPr>
          <w:rFonts w:ascii="Arial" w:hAnsi="Arial" w:cs="Arial"/>
        </w:rPr>
        <w:t xml:space="preserve">professional </w:t>
      </w:r>
      <w:r w:rsidR="003D72FB" w:rsidRPr="00E17614">
        <w:rPr>
          <w:rFonts w:ascii="Arial" w:hAnsi="Arial" w:cs="Arial"/>
        </w:rPr>
        <w:t>development</w:t>
      </w:r>
      <w:r w:rsidR="001A106B" w:rsidRPr="00E17614">
        <w:rPr>
          <w:rFonts w:ascii="Arial" w:hAnsi="Arial" w:cs="Arial"/>
        </w:rPr>
        <w:t xml:space="preserve"> on </w:t>
      </w:r>
      <w:r w:rsidR="009F7CBC" w:rsidRPr="00E17614">
        <w:rPr>
          <w:rFonts w:ascii="Arial" w:hAnsi="Arial" w:cs="Arial"/>
        </w:rPr>
        <w:t>e</w:t>
      </w:r>
      <w:r w:rsidR="001A106B" w:rsidRPr="00E17614">
        <w:rPr>
          <w:rFonts w:ascii="Arial" w:hAnsi="Arial" w:cs="Arial"/>
        </w:rPr>
        <w:t>arly</w:t>
      </w:r>
      <w:r w:rsidR="000243AD" w:rsidRPr="00E17614">
        <w:rPr>
          <w:rFonts w:ascii="Arial" w:hAnsi="Arial" w:cs="Arial"/>
        </w:rPr>
        <w:t xml:space="preserve"> </w:t>
      </w:r>
      <w:r w:rsidR="009F7CBC" w:rsidRPr="00E17614">
        <w:rPr>
          <w:rFonts w:ascii="Arial" w:hAnsi="Arial" w:cs="Arial"/>
        </w:rPr>
        <w:t>c</w:t>
      </w:r>
      <w:r w:rsidR="000243AD" w:rsidRPr="00E17614">
        <w:rPr>
          <w:rFonts w:ascii="Arial" w:hAnsi="Arial" w:cs="Arial"/>
        </w:rPr>
        <w:t>hildhood</w:t>
      </w:r>
      <w:r w:rsidR="003D72FB" w:rsidRPr="00E17614">
        <w:rPr>
          <w:rFonts w:ascii="Arial" w:hAnsi="Arial" w:cs="Arial"/>
        </w:rPr>
        <w:t xml:space="preserve"> education</w:t>
      </w:r>
      <w:r w:rsidR="000243AD" w:rsidRPr="00E17614">
        <w:rPr>
          <w:rFonts w:ascii="Arial" w:hAnsi="Arial" w:cs="Arial"/>
        </w:rPr>
        <w:t xml:space="preserve">. </w:t>
      </w:r>
      <w:r w:rsidR="001602C1" w:rsidRPr="00E17614">
        <w:rPr>
          <w:rFonts w:ascii="Arial" w:hAnsi="Arial" w:cs="Arial"/>
        </w:rPr>
        <w:t>Topics included early literacy, early numeracy, parental engagement</w:t>
      </w:r>
      <w:r w:rsidR="003D72FB" w:rsidRPr="00E17614">
        <w:rPr>
          <w:rFonts w:ascii="Arial" w:hAnsi="Arial" w:cs="Arial"/>
        </w:rPr>
        <w:t>, and instructional strategies</w:t>
      </w:r>
      <w:r w:rsidR="001602C1" w:rsidRPr="00E17614">
        <w:rPr>
          <w:rFonts w:ascii="Arial" w:hAnsi="Arial" w:cs="Arial"/>
        </w:rPr>
        <w:t xml:space="preserve">. </w:t>
      </w:r>
      <w:r w:rsidR="00F463EA" w:rsidRPr="00E17614">
        <w:rPr>
          <w:rFonts w:ascii="Arial" w:hAnsi="Arial" w:cs="Arial"/>
        </w:rPr>
        <w:t xml:space="preserve">There were also targeted professional </w:t>
      </w:r>
      <w:r w:rsidR="00DD5361" w:rsidRPr="00E17614">
        <w:rPr>
          <w:rFonts w:ascii="Arial" w:hAnsi="Arial" w:cs="Arial"/>
        </w:rPr>
        <w:t>learning sessions</w:t>
      </w:r>
      <w:r w:rsidR="00F463EA" w:rsidRPr="00E17614">
        <w:rPr>
          <w:rFonts w:ascii="Arial" w:hAnsi="Arial" w:cs="Arial"/>
        </w:rPr>
        <w:t xml:space="preserve"> on early childhood strategies for play as a vehicle for social</w:t>
      </w:r>
      <w:r w:rsidR="0096164B" w:rsidRPr="00E17614">
        <w:rPr>
          <w:rFonts w:ascii="Arial" w:hAnsi="Arial" w:cs="Arial"/>
        </w:rPr>
        <w:t>–</w:t>
      </w:r>
      <w:r w:rsidR="00F463EA" w:rsidRPr="00E17614">
        <w:rPr>
          <w:rFonts w:ascii="Arial" w:hAnsi="Arial" w:cs="Arial"/>
        </w:rPr>
        <w:t xml:space="preserve">emotional development and learning. </w:t>
      </w:r>
      <w:r w:rsidR="001602C1" w:rsidRPr="00E17614">
        <w:rPr>
          <w:rFonts w:ascii="Arial" w:hAnsi="Arial" w:cs="Arial"/>
        </w:rPr>
        <w:t xml:space="preserve">Trainings for </w:t>
      </w:r>
      <w:r w:rsidR="009F7CBC" w:rsidRPr="00E17614">
        <w:rPr>
          <w:rFonts w:ascii="Arial" w:hAnsi="Arial" w:cs="Arial"/>
        </w:rPr>
        <w:t>e</w:t>
      </w:r>
      <w:r w:rsidR="00F463EA" w:rsidRPr="00E17614">
        <w:rPr>
          <w:rFonts w:ascii="Arial" w:hAnsi="Arial" w:cs="Arial"/>
        </w:rPr>
        <w:t xml:space="preserve">arly </w:t>
      </w:r>
      <w:r w:rsidR="009F7CBC" w:rsidRPr="00E17614">
        <w:rPr>
          <w:rFonts w:ascii="Arial" w:hAnsi="Arial" w:cs="Arial"/>
        </w:rPr>
        <w:t>c</w:t>
      </w:r>
      <w:r w:rsidR="00F463EA" w:rsidRPr="00E17614">
        <w:rPr>
          <w:rFonts w:ascii="Arial" w:hAnsi="Arial" w:cs="Arial"/>
        </w:rPr>
        <w:t xml:space="preserve">hildhood education </w:t>
      </w:r>
      <w:r w:rsidR="001602C1" w:rsidRPr="00E17614">
        <w:rPr>
          <w:rFonts w:ascii="Arial" w:hAnsi="Arial" w:cs="Arial"/>
        </w:rPr>
        <w:t xml:space="preserve">were provided by </w:t>
      </w:r>
      <w:r w:rsidR="00F463EA" w:rsidRPr="00E17614">
        <w:rPr>
          <w:rFonts w:ascii="Arial" w:hAnsi="Arial" w:cs="Arial"/>
        </w:rPr>
        <w:t xml:space="preserve">the </w:t>
      </w:r>
      <w:r w:rsidR="001602C1" w:rsidRPr="00E17614">
        <w:rPr>
          <w:rFonts w:ascii="Arial" w:hAnsi="Arial" w:cs="Arial"/>
        </w:rPr>
        <w:t>Orange</w:t>
      </w:r>
      <w:r w:rsidR="00D21D90" w:rsidRPr="00E17614">
        <w:rPr>
          <w:rFonts w:ascii="Arial" w:hAnsi="Arial" w:cs="Arial"/>
        </w:rPr>
        <w:t xml:space="preserve"> COE</w:t>
      </w:r>
      <w:r w:rsidR="001602C1" w:rsidRPr="00E17614">
        <w:rPr>
          <w:rFonts w:ascii="Arial" w:hAnsi="Arial" w:cs="Arial"/>
        </w:rPr>
        <w:t>, Conscious Discipline, San Diego C</w:t>
      </w:r>
      <w:r w:rsidR="00145C89" w:rsidRPr="00E17614">
        <w:rPr>
          <w:rFonts w:ascii="Arial" w:hAnsi="Arial" w:cs="Arial"/>
        </w:rPr>
        <w:t>OE</w:t>
      </w:r>
      <w:r w:rsidR="001602C1" w:rsidRPr="00E17614">
        <w:rPr>
          <w:rFonts w:ascii="Arial" w:hAnsi="Arial" w:cs="Arial"/>
        </w:rPr>
        <w:t xml:space="preserve">, </w:t>
      </w:r>
      <w:r w:rsidR="00F463EA" w:rsidRPr="00E17614">
        <w:rPr>
          <w:rFonts w:ascii="Arial" w:hAnsi="Arial" w:cs="Arial"/>
        </w:rPr>
        <w:t xml:space="preserve">Play Strong, </w:t>
      </w:r>
      <w:r w:rsidR="001602C1" w:rsidRPr="00E17614">
        <w:rPr>
          <w:rFonts w:ascii="Arial" w:hAnsi="Arial" w:cs="Arial"/>
        </w:rPr>
        <w:t xml:space="preserve">and many more. </w:t>
      </w:r>
      <w:r w:rsidR="0075579F" w:rsidRPr="00E17614">
        <w:rPr>
          <w:rFonts w:ascii="Arial" w:hAnsi="Arial" w:cs="Arial"/>
        </w:rPr>
        <w:t>Moreover, some</w:t>
      </w:r>
      <w:r w:rsidR="00404F0B" w:rsidRPr="00E17614">
        <w:rPr>
          <w:rFonts w:ascii="Arial" w:hAnsi="Arial" w:cs="Arial"/>
        </w:rPr>
        <w:t xml:space="preserve"> LEAs</w:t>
      </w:r>
      <w:r w:rsidR="0075579F" w:rsidRPr="00E17614">
        <w:rPr>
          <w:rFonts w:ascii="Arial" w:hAnsi="Arial" w:cs="Arial"/>
        </w:rPr>
        <w:t xml:space="preserve"> also reported</w:t>
      </w:r>
      <w:r w:rsidR="00404F0B" w:rsidRPr="00E17614">
        <w:rPr>
          <w:rFonts w:ascii="Arial" w:hAnsi="Arial" w:cs="Arial"/>
        </w:rPr>
        <w:t xml:space="preserve"> spen</w:t>
      </w:r>
      <w:r w:rsidR="0075579F" w:rsidRPr="00E17614">
        <w:rPr>
          <w:rFonts w:ascii="Arial" w:hAnsi="Arial" w:cs="Arial"/>
        </w:rPr>
        <w:t>ding</w:t>
      </w:r>
      <w:r w:rsidR="00404F0B" w:rsidRPr="00E17614">
        <w:rPr>
          <w:rFonts w:ascii="Arial" w:hAnsi="Arial" w:cs="Arial"/>
        </w:rPr>
        <w:t xml:space="preserve"> funds on teacher education and credentialing for the purpose of their </w:t>
      </w:r>
      <w:r w:rsidR="009F7CBC" w:rsidRPr="00E17614">
        <w:rPr>
          <w:rFonts w:ascii="Arial" w:hAnsi="Arial" w:cs="Arial"/>
        </w:rPr>
        <w:t>e</w:t>
      </w:r>
      <w:r w:rsidR="00404F0B" w:rsidRPr="00E17614">
        <w:rPr>
          <w:rFonts w:ascii="Arial" w:hAnsi="Arial" w:cs="Arial"/>
        </w:rPr>
        <w:t xml:space="preserve">arly </w:t>
      </w:r>
      <w:r w:rsidR="009F7CBC" w:rsidRPr="00E17614">
        <w:rPr>
          <w:rFonts w:ascii="Arial" w:hAnsi="Arial" w:cs="Arial"/>
        </w:rPr>
        <w:t>c</w:t>
      </w:r>
      <w:r w:rsidR="00404F0B" w:rsidRPr="00E17614">
        <w:rPr>
          <w:rFonts w:ascii="Arial" w:hAnsi="Arial" w:cs="Arial"/>
        </w:rPr>
        <w:t>hildhood</w:t>
      </w:r>
      <w:r w:rsidR="00EA521B" w:rsidRPr="00E17614">
        <w:rPr>
          <w:rFonts w:ascii="Arial" w:hAnsi="Arial" w:cs="Arial"/>
        </w:rPr>
        <w:t xml:space="preserve"> </w:t>
      </w:r>
      <w:r w:rsidR="009F7CBC" w:rsidRPr="00E17614">
        <w:rPr>
          <w:rFonts w:ascii="Arial" w:hAnsi="Arial" w:cs="Arial"/>
        </w:rPr>
        <w:t>e</w:t>
      </w:r>
      <w:r w:rsidR="00EA521B" w:rsidRPr="00E17614">
        <w:rPr>
          <w:rFonts w:ascii="Arial" w:hAnsi="Arial" w:cs="Arial"/>
        </w:rPr>
        <w:t>ducation</w:t>
      </w:r>
      <w:r w:rsidR="00404F0B" w:rsidRPr="00E17614">
        <w:rPr>
          <w:rFonts w:ascii="Arial" w:hAnsi="Arial" w:cs="Arial"/>
        </w:rPr>
        <w:t xml:space="preserve"> units. This allowed </w:t>
      </w:r>
      <w:r w:rsidR="0088213E" w:rsidRPr="00E17614">
        <w:rPr>
          <w:rFonts w:ascii="Arial" w:hAnsi="Arial" w:cs="Arial"/>
        </w:rPr>
        <w:t>multiple</w:t>
      </w:r>
      <w:r w:rsidR="00404F0B" w:rsidRPr="00E17614">
        <w:rPr>
          <w:rFonts w:ascii="Arial" w:hAnsi="Arial" w:cs="Arial"/>
        </w:rPr>
        <w:t xml:space="preserve"> teachers to receive their units and become accurately credentialed</w:t>
      </w:r>
      <w:r w:rsidR="0016761F" w:rsidRPr="00E17614">
        <w:rPr>
          <w:rFonts w:ascii="Arial" w:hAnsi="Arial" w:cs="Arial"/>
        </w:rPr>
        <w:t xml:space="preserve"> th</w:t>
      </w:r>
      <w:r w:rsidR="00EA521B" w:rsidRPr="00E17614">
        <w:rPr>
          <w:rFonts w:ascii="Arial" w:hAnsi="Arial" w:cs="Arial"/>
        </w:rPr>
        <w:t>r</w:t>
      </w:r>
      <w:r w:rsidR="0016761F" w:rsidRPr="00E17614">
        <w:rPr>
          <w:rFonts w:ascii="Arial" w:hAnsi="Arial" w:cs="Arial"/>
        </w:rPr>
        <w:t xml:space="preserve">ough </w:t>
      </w:r>
      <w:r w:rsidR="00546EC3" w:rsidRPr="00E17614">
        <w:rPr>
          <w:rFonts w:ascii="Arial" w:hAnsi="Arial" w:cs="Arial"/>
        </w:rPr>
        <w:t xml:space="preserve">the </w:t>
      </w:r>
      <w:r w:rsidR="0016761F" w:rsidRPr="00E17614">
        <w:rPr>
          <w:rFonts w:ascii="Arial" w:hAnsi="Arial" w:cs="Arial"/>
        </w:rPr>
        <w:t>EEF</w:t>
      </w:r>
      <w:r w:rsidR="00404F0B" w:rsidRPr="00E17614">
        <w:rPr>
          <w:rFonts w:ascii="Arial" w:hAnsi="Arial" w:cs="Arial"/>
        </w:rPr>
        <w:t xml:space="preserve">. </w:t>
      </w:r>
    </w:p>
    <w:p w14:paraId="24E231AE" w14:textId="5DDEED80" w:rsidR="00C0172F" w:rsidRPr="00E17614" w:rsidRDefault="002B22F1" w:rsidP="004214C3">
      <w:pPr>
        <w:spacing w:before="480" w:after="240"/>
        <w:jc w:val="center"/>
        <w:rPr>
          <w:rFonts w:ascii="Arial" w:hAnsi="Arial" w:cs="Arial"/>
          <w:b/>
          <w:bCs/>
        </w:rPr>
      </w:pPr>
      <w:bookmarkStart w:id="35" w:name="_Toc148514296"/>
      <w:bookmarkStart w:id="36" w:name="_Toc148516371"/>
      <w:r w:rsidRPr="00E17614">
        <w:rPr>
          <w:rFonts w:ascii="Arial" w:hAnsi="Arial" w:cs="Arial"/>
          <w:b/>
          <w:bCs/>
        </w:rPr>
        <w:t>Teacher Retention Strategies Total Expenditures</w:t>
      </w:r>
      <w:bookmarkEnd w:id="35"/>
      <w:bookmarkEnd w:id="36"/>
    </w:p>
    <w:p w14:paraId="17B01B5D" w14:textId="5640CB91" w:rsidR="00346562" w:rsidRPr="00E17614" w:rsidRDefault="00346562" w:rsidP="00A44226">
      <w:pPr>
        <w:spacing w:after="240"/>
        <w:rPr>
          <w:rFonts w:ascii="Arial" w:hAnsi="Arial" w:cs="Arial"/>
          <w:b/>
          <w:bCs/>
        </w:rPr>
      </w:pPr>
      <w:r w:rsidRPr="00E17614">
        <w:rPr>
          <w:rFonts w:ascii="Arial" w:hAnsi="Arial" w:cs="Arial"/>
          <w:b/>
          <w:bCs/>
        </w:rPr>
        <w:t>Table 1</w:t>
      </w:r>
      <w:r w:rsidR="00A44226" w:rsidRPr="00E17614">
        <w:rPr>
          <w:rFonts w:ascii="Arial" w:hAnsi="Arial" w:cs="Arial"/>
          <w:b/>
          <w:bCs/>
        </w:rPr>
        <w:t>3</w:t>
      </w:r>
      <w:r w:rsidRPr="00E17614">
        <w:rPr>
          <w:rFonts w:ascii="Arial" w:hAnsi="Arial" w:cs="Arial"/>
          <w:b/>
          <w:bCs/>
        </w:rPr>
        <w:t>. Teacher Retention Strategies Total Expenditures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2021–23 Teacher Retention Strategies Total Expenditures"/>
        <w:tblDescription w:val="This table provides the 2021–23 total for Teacher Retention Strategies allowable use category."/>
      </w:tblPr>
      <w:tblGrid>
        <w:gridCol w:w="2237"/>
        <w:gridCol w:w="2708"/>
        <w:gridCol w:w="2541"/>
        <w:gridCol w:w="1864"/>
      </w:tblGrid>
      <w:tr w:rsidR="00766187" w:rsidRPr="00E17614" w14:paraId="041A83CD" w14:textId="77777777" w:rsidTr="008634C6">
        <w:trPr>
          <w:trHeight w:val="320"/>
        </w:trPr>
        <w:tc>
          <w:tcPr>
            <w:tcW w:w="1196" w:type="pct"/>
            <w:shd w:val="clear" w:color="000000" w:fill="BDD6EE"/>
            <w:vAlign w:val="center"/>
            <w:hideMark/>
          </w:tcPr>
          <w:p w14:paraId="050CC6C8" w14:textId="77777777" w:rsidR="00766187" w:rsidRPr="00E17614" w:rsidRDefault="00766187" w:rsidP="00566BE6">
            <w:pPr>
              <w:jc w:val="center"/>
              <w:rPr>
                <w:rFonts w:ascii="Arial" w:hAnsi="Arial" w:cs="Arial"/>
                <w:b/>
                <w:bCs/>
                <w:color w:val="000000"/>
              </w:rPr>
            </w:pPr>
            <w:r w:rsidRPr="00E17614">
              <w:rPr>
                <w:rFonts w:ascii="Arial" w:hAnsi="Arial" w:cs="Arial"/>
                <w:b/>
                <w:bCs/>
                <w:color w:val="000000"/>
              </w:rPr>
              <w:t>Report Field</w:t>
            </w:r>
          </w:p>
        </w:tc>
        <w:tc>
          <w:tcPr>
            <w:tcW w:w="1448" w:type="pct"/>
            <w:shd w:val="clear" w:color="000000" w:fill="BDD6EE"/>
            <w:vAlign w:val="center"/>
            <w:hideMark/>
          </w:tcPr>
          <w:p w14:paraId="5632963C" w14:textId="017D9388" w:rsidR="00766187" w:rsidRPr="00E17614" w:rsidRDefault="00766187" w:rsidP="00566BE6">
            <w:pPr>
              <w:jc w:val="center"/>
              <w:rPr>
                <w:rFonts w:ascii="Arial" w:hAnsi="Arial" w:cs="Arial"/>
                <w:b/>
                <w:bCs/>
                <w:color w:val="000000"/>
              </w:rPr>
            </w:pPr>
            <w:r w:rsidRPr="00E17614">
              <w:rPr>
                <w:rFonts w:ascii="Arial" w:hAnsi="Arial" w:cs="Arial"/>
                <w:b/>
                <w:bCs/>
                <w:color w:val="000000"/>
              </w:rPr>
              <w:t>Fiscal Year 2021</w:t>
            </w:r>
            <w:r w:rsidR="00A847D0" w:rsidRPr="00E17614">
              <w:rPr>
                <w:rFonts w:ascii="Arial" w:hAnsi="Arial" w:cs="Arial"/>
                <w:b/>
                <w:bCs/>
                <w:color w:val="000000"/>
              </w:rPr>
              <w:t>–</w:t>
            </w:r>
            <w:r w:rsidRPr="00E17614">
              <w:rPr>
                <w:rFonts w:ascii="Arial" w:hAnsi="Arial" w:cs="Arial"/>
                <w:b/>
                <w:bCs/>
                <w:color w:val="000000"/>
              </w:rPr>
              <w:t>22</w:t>
            </w:r>
          </w:p>
        </w:tc>
        <w:tc>
          <w:tcPr>
            <w:tcW w:w="1359" w:type="pct"/>
            <w:shd w:val="clear" w:color="000000" w:fill="BDD6EE"/>
            <w:vAlign w:val="center"/>
            <w:hideMark/>
          </w:tcPr>
          <w:p w14:paraId="6DBA62BF" w14:textId="6C47AA69" w:rsidR="00766187" w:rsidRPr="00E17614" w:rsidRDefault="00766187" w:rsidP="00566BE6">
            <w:pPr>
              <w:jc w:val="center"/>
              <w:rPr>
                <w:rFonts w:ascii="Arial" w:hAnsi="Arial" w:cs="Arial"/>
                <w:b/>
                <w:bCs/>
                <w:color w:val="000000"/>
              </w:rPr>
            </w:pPr>
            <w:r w:rsidRPr="00E17614">
              <w:rPr>
                <w:rFonts w:ascii="Arial" w:hAnsi="Arial" w:cs="Arial"/>
                <w:b/>
                <w:bCs/>
                <w:color w:val="000000"/>
              </w:rPr>
              <w:t>Fiscal Year 2022</w:t>
            </w:r>
            <w:r w:rsidR="00A847D0" w:rsidRPr="00E17614">
              <w:rPr>
                <w:rFonts w:ascii="Arial" w:hAnsi="Arial" w:cs="Arial"/>
                <w:b/>
                <w:bCs/>
                <w:color w:val="000000"/>
              </w:rPr>
              <w:t>–</w:t>
            </w:r>
            <w:r w:rsidRPr="00E17614">
              <w:rPr>
                <w:rFonts w:ascii="Arial" w:hAnsi="Arial" w:cs="Arial"/>
                <w:b/>
                <w:bCs/>
                <w:color w:val="000000"/>
              </w:rPr>
              <w:t>23</w:t>
            </w:r>
          </w:p>
        </w:tc>
        <w:tc>
          <w:tcPr>
            <w:tcW w:w="997" w:type="pct"/>
            <w:shd w:val="clear" w:color="000000" w:fill="BDD6EE"/>
            <w:vAlign w:val="center"/>
            <w:hideMark/>
          </w:tcPr>
          <w:p w14:paraId="226B2942" w14:textId="77777777" w:rsidR="00766187" w:rsidRPr="00E17614" w:rsidRDefault="00766187" w:rsidP="00566BE6">
            <w:pPr>
              <w:jc w:val="center"/>
              <w:rPr>
                <w:rFonts w:ascii="Arial" w:hAnsi="Arial" w:cs="Arial"/>
                <w:b/>
                <w:bCs/>
                <w:color w:val="000000"/>
              </w:rPr>
            </w:pPr>
            <w:r w:rsidRPr="00E17614">
              <w:rPr>
                <w:rFonts w:ascii="Arial" w:hAnsi="Arial" w:cs="Arial"/>
                <w:b/>
                <w:bCs/>
                <w:color w:val="000000"/>
              </w:rPr>
              <w:t xml:space="preserve">Total </w:t>
            </w:r>
          </w:p>
        </w:tc>
      </w:tr>
      <w:tr w:rsidR="00766187" w:rsidRPr="00E17614" w14:paraId="5F49B8F7" w14:textId="77777777" w:rsidTr="008634C6">
        <w:trPr>
          <w:trHeight w:val="630"/>
        </w:trPr>
        <w:tc>
          <w:tcPr>
            <w:tcW w:w="1196" w:type="pct"/>
            <w:shd w:val="clear" w:color="auto" w:fill="auto"/>
            <w:vAlign w:val="center"/>
            <w:hideMark/>
          </w:tcPr>
          <w:p w14:paraId="083EF324" w14:textId="77777777" w:rsidR="00766187" w:rsidRPr="00E17614" w:rsidRDefault="00766187" w:rsidP="00A847D0">
            <w:pPr>
              <w:rPr>
                <w:rFonts w:ascii="Arial" w:hAnsi="Arial" w:cs="Arial"/>
                <w:color w:val="000000"/>
              </w:rPr>
            </w:pPr>
            <w:r w:rsidRPr="00E17614">
              <w:rPr>
                <w:rFonts w:ascii="Arial" w:hAnsi="Arial" w:cs="Arial"/>
                <w:color w:val="000000"/>
              </w:rPr>
              <w:t>Teacher Retention Strategies</w:t>
            </w:r>
          </w:p>
        </w:tc>
        <w:tc>
          <w:tcPr>
            <w:tcW w:w="1448" w:type="pct"/>
            <w:shd w:val="clear" w:color="auto" w:fill="auto"/>
            <w:vAlign w:val="center"/>
            <w:hideMark/>
          </w:tcPr>
          <w:p w14:paraId="7202713C" w14:textId="77777777" w:rsidR="00766187" w:rsidRPr="00E17614" w:rsidRDefault="00766187" w:rsidP="00A847D0">
            <w:pPr>
              <w:rPr>
                <w:rFonts w:ascii="Arial" w:hAnsi="Arial" w:cs="Arial"/>
                <w:color w:val="000000"/>
              </w:rPr>
            </w:pPr>
            <w:r w:rsidRPr="00E17614">
              <w:rPr>
                <w:rFonts w:ascii="Arial" w:hAnsi="Arial" w:cs="Arial"/>
                <w:color w:val="000000"/>
              </w:rPr>
              <w:t> Not applicable</w:t>
            </w:r>
          </w:p>
        </w:tc>
        <w:tc>
          <w:tcPr>
            <w:tcW w:w="1359" w:type="pct"/>
            <w:shd w:val="clear" w:color="auto" w:fill="auto"/>
            <w:vAlign w:val="center"/>
            <w:hideMark/>
          </w:tcPr>
          <w:p w14:paraId="62BEFDBC" w14:textId="77777777" w:rsidR="00766187" w:rsidRPr="00E17614" w:rsidRDefault="00766187" w:rsidP="00A847D0">
            <w:pPr>
              <w:rPr>
                <w:rFonts w:ascii="Arial" w:hAnsi="Arial" w:cs="Arial"/>
                <w:color w:val="000000"/>
              </w:rPr>
            </w:pPr>
            <w:r w:rsidRPr="00E17614">
              <w:rPr>
                <w:rFonts w:ascii="Arial" w:hAnsi="Arial" w:cs="Arial"/>
                <w:color w:val="000000"/>
              </w:rPr>
              <w:t xml:space="preserve">$2,897,770.26 </w:t>
            </w:r>
          </w:p>
        </w:tc>
        <w:tc>
          <w:tcPr>
            <w:tcW w:w="997" w:type="pct"/>
            <w:shd w:val="clear" w:color="auto" w:fill="auto"/>
            <w:vAlign w:val="center"/>
            <w:hideMark/>
          </w:tcPr>
          <w:p w14:paraId="541907B6" w14:textId="77777777" w:rsidR="00766187" w:rsidRPr="00E17614" w:rsidRDefault="00766187" w:rsidP="00A847D0">
            <w:pPr>
              <w:rPr>
                <w:rFonts w:ascii="Arial" w:hAnsi="Arial" w:cs="Arial"/>
                <w:color w:val="000000"/>
              </w:rPr>
            </w:pPr>
            <w:r w:rsidRPr="00E17614">
              <w:rPr>
                <w:rFonts w:ascii="Arial" w:hAnsi="Arial" w:cs="Arial"/>
                <w:color w:val="000000"/>
              </w:rPr>
              <w:t xml:space="preserve">$2,897,770.26 </w:t>
            </w:r>
          </w:p>
        </w:tc>
      </w:tr>
    </w:tbl>
    <w:p w14:paraId="1A4DC7C9" w14:textId="3F6CA931" w:rsidR="00346BCB" w:rsidRPr="00E17614" w:rsidRDefault="00346BCB" w:rsidP="00D57CED">
      <w:pPr>
        <w:spacing w:before="240" w:after="240"/>
        <w:rPr>
          <w:rFonts w:ascii="Arial" w:hAnsi="Arial" w:cs="Arial"/>
        </w:rPr>
      </w:pPr>
      <w:r w:rsidRPr="00E17614">
        <w:rPr>
          <w:rFonts w:ascii="Arial" w:hAnsi="Arial" w:cs="Arial"/>
        </w:rPr>
        <w:t>AB 181 (</w:t>
      </w:r>
      <w:r w:rsidR="00EA70C5" w:rsidRPr="00E17614">
        <w:rPr>
          <w:rFonts w:ascii="Arial" w:hAnsi="Arial" w:cs="Arial"/>
        </w:rPr>
        <w:t>Ch. 52, Stats.</w:t>
      </w:r>
      <w:r w:rsidRPr="00E17614">
        <w:rPr>
          <w:rFonts w:ascii="Arial" w:hAnsi="Arial" w:cs="Arial"/>
        </w:rPr>
        <w:t xml:space="preserve"> 2022) added</w:t>
      </w:r>
      <w:r w:rsidR="00A229C6" w:rsidRPr="00E17614">
        <w:rPr>
          <w:rFonts w:ascii="Arial" w:hAnsi="Arial" w:cs="Arial"/>
        </w:rPr>
        <w:t xml:space="preserve"> an extra </w:t>
      </w:r>
      <w:r w:rsidRPr="00E17614">
        <w:rPr>
          <w:rFonts w:ascii="Arial" w:hAnsi="Arial" w:cs="Arial"/>
        </w:rPr>
        <w:t>allowable use</w:t>
      </w:r>
      <w:r w:rsidR="003F6BAB" w:rsidRPr="00E17614">
        <w:rPr>
          <w:rFonts w:ascii="Arial" w:hAnsi="Arial" w:cs="Arial"/>
        </w:rPr>
        <w:t xml:space="preserve"> category for </w:t>
      </w:r>
      <w:r w:rsidR="005C3DC9" w:rsidRPr="00E17614">
        <w:rPr>
          <w:rFonts w:ascii="Arial" w:hAnsi="Arial" w:cs="Arial"/>
        </w:rPr>
        <w:t>t</w:t>
      </w:r>
      <w:r w:rsidR="003F6BAB" w:rsidRPr="00E17614">
        <w:rPr>
          <w:rFonts w:ascii="Arial" w:hAnsi="Arial" w:cs="Arial"/>
        </w:rPr>
        <w:t xml:space="preserve">eacher </w:t>
      </w:r>
      <w:r w:rsidR="005C3DC9" w:rsidRPr="00E17614">
        <w:rPr>
          <w:rFonts w:ascii="Arial" w:hAnsi="Arial" w:cs="Arial"/>
        </w:rPr>
        <w:t>r</w:t>
      </w:r>
      <w:r w:rsidR="003F6BAB" w:rsidRPr="00E17614">
        <w:rPr>
          <w:rFonts w:ascii="Arial" w:hAnsi="Arial" w:cs="Arial"/>
        </w:rPr>
        <w:t xml:space="preserve">etention and </w:t>
      </w:r>
      <w:r w:rsidR="005C3DC9" w:rsidRPr="00E17614">
        <w:rPr>
          <w:rFonts w:ascii="Arial" w:hAnsi="Arial" w:cs="Arial"/>
        </w:rPr>
        <w:t>i</w:t>
      </w:r>
      <w:r w:rsidR="003F6BAB" w:rsidRPr="00E17614">
        <w:rPr>
          <w:rFonts w:ascii="Arial" w:hAnsi="Arial" w:cs="Arial"/>
        </w:rPr>
        <w:t>nduction</w:t>
      </w:r>
      <w:r w:rsidR="00A229C6" w:rsidRPr="00E17614">
        <w:rPr>
          <w:rFonts w:ascii="Arial" w:hAnsi="Arial" w:cs="Arial"/>
        </w:rPr>
        <w:t xml:space="preserve"> for a total of 11 allowable uses</w:t>
      </w:r>
      <w:r w:rsidR="00093694" w:rsidRPr="00E17614">
        <w:rPr>
          <w:rFonts w:ascii="Arial" w:hAnsi="Arial" w:cs="Arial"/>
        </w:rPr>
        <w:t xml:space="preserve"> to </w:t>
      </w:r>
      <w:r w:rsidR="00093694" w:rsidRPr="00E17614">
        <w:rPr>
          <w:rFonts w:ascii="Arial" w:hAnsi="Arial" w:cs="Arial"/>
          <w:i/>
          <w:iCs/>
        </w:rPr>
        <w:t>EC</w:t>
      </w:r>
      <w:r w:rsidR="00093694" w:rsidRPr="00E17614">
        <w:rPr>
          <w:rFonts w:ascii="Arial" w:hAnsi="Arial" w:cs="Arial"/>
        </w:rPr>
        <w:t xml:space="preserve"> </w:t>
      </w:r>
      <w:r w:rsidR="00C12CC4" w:rsidRPr="00E17614">
        <w:rPr>
          <w:rFonts w:ascii="Arial" w:hAnsi="Arial" w:cs="Arial"/>
        </w:rPr>
        <w:t xml:space="preserve">Section </w:t>
      </w:r>
      <w:r w:rsidR="00093694" w:rsidRPr="00E17614">
        <w:rPr>
          <w:rFonts w:ascii="Arial" w:hAnsi="Arial" w:cs="Arial"/>
        </w:rPr>
        <w:t>41480</w:t>
      </w:r>
      <w:r w:rsidRPr="00E17614">
        <w:rPr>
          <w:rFonts w:ascii="Arial" w:hAnsi="Arial" w:cs="Arial"/>
        </w:rPr>
        <w:t xml:space="preserve">. </w:t>
      </w:r>
      <w:r w:rsidR="003F6BAB" w:rsidRPr="00E17614">
        <w:rPr>
          <w:rFonts w:ascii="Arial" w:hAnsi="Arial" w:cs="Arial"/>
        </w:rPr>
        <w:t xml:space="preserve">Specifically, </w:t>
      </w:r>
      <w:r w:rsidR="003F6BAB" w:rsidRPr="00E17614">
        <w:rPr>
          <w:rFonts w:ascii="Arial" w:hAnsi="Arial" w:cs="Arial"/>
          <w:color w:val="000000"/>
          <w:shd w:val="clear" w:color="auto" w:fill="FFFFFF"/>
        </w:rPr>
        <w:t>s</w:t>
      </w:r>
      <w:r w:rsidRPr="00E17614">
        <w:rPr>
          <w:rFonts w:ascii="Arial" w:hAnsi="Arial" w:cs="Arial"/>
          <w:color w:val="000000"/>
          <w:shd w:val="clear" w:color="auto" w:fill="FFFFFF"/>
        </w:rPr>
        <w:t xml:space="preserve">trategies to improve beginning teacher retention and support through teacher induction programs </w:t>
      </w:r>
      <w:r w:rsidR="0012103F" w:rsidRPr="00E17614">
        <w:rPr>
          <w:rFonts w:ascii="Arial" w:hAnsi="Arial" w:cs="Arial"/>
          <w:color w:val="000000"/>
          <w:shd w:val="clear" w:color="auto" w:fill="FFFFFF"/>
        </w:rPr>
        <w:t xml:space="preserve">were </w:t>
      </w:r>
      <w:r w:rsidRPr="00E17614">
        <w:rPr>
          <w:rFonts w:ascii="Arial" w:hAnsi="Arial" w:cs="Arial"/>
          <w:color w:val="000000"/>
          <w:shd w:val="clear" w:color="auto" w:fill="FFFFFF"/>
        </w:rPr>
        <w:t>added to the EEF allowable uses.</w:t>
      </w:r>
      <w:r w:rsidRPr="00E17614">
        <w:rPr>
          <w:rFonts w:ascii="Arial" w:hAnsi="Arial" w:cs="Arial"/>
        </w:rPr>
        <w:t xml:space="preserve"> </w:t>
      </w:r>
      <w:r w:rsidR="003F6BAB" w:rsidRPr="00E17614">
        <w:rPr>
          <w:rFonts w:ascii="Arial" w:hAnsi="Arial" w:cs="Arial"/>
        </w:rPr>
        <w:t xml:space="preserve">Please note that this allowable use has only been in effect for </w:t>
      </w:r>
      <w:r w:rsidR="00A6351C" w:rsidRPr="00E17614">
        <w:rPr>
          <w:rFonts w:ascii="Arial" w:hAnsi="Arial" w:cs="Arial"/>
        </w:rPr>
        <w:t>FY</w:t>
      </w:r>
      <w:r w:rsidR="00BF124D" w:rsidRPr="00E17614">
        <w:rPr>
          <w:rFonts w:ascii="Arial" w:hAnsi="Arial" w:cs="Arial"/>
        </w:rPr>
        <w:t xml:space="preserve"> </w:t>
      </w:r>
      <w:r w:rsidR="00BF124D" w:rsidRPr="00E17614">
        <w:rPr>
          <w:rFonts w:ascii="Arial" w:hAnsi="Arial" w:cs="Arial"/>
          <w:color w:val="000000"/>
          <w:shd w:val="clear" w:color="auto" w:fill="FFFFFF"/>
        </w:rPr>
        <w:t>2022–23</w:t>
      </w:r>
      <w:r w:rsidR="003F6BAB" w:rsidRPr="00E17614">
        <w:rPr>
          <w:rFonts w:ascii="Arial" w:hAnsi="Arial" w:cs="Arial"/>
        </w:rPr>
        <w:t>.</w:t>
      </w:r>
      <w:r w:rsidR="00BF124D" w:rsidRPr="00E17614">
        <w:rPr>
          <w:rFonts w:ascii="Arial" w:hAnsi="Arial" w:cs="Arial"/>
        </w:rPr>
        <w:t xml:space="preserve"> </w:t>
      </w:r>
      <w:r w:rsidR="003F6BAB" w:rsidRPr="00E17614">
        <w:rPr>
          <w:rFonts w:ascii="Arial" w:hAnsi="Arial" w:cs="Arial"/>
        </w:rPr>
        <w:t>All of th</w:t>
      </w:r>
      <w:r w:rsidR="00F448AE" w:rsidRPr="00E17614">
        <w:rPr>
          <w:rFonts w:ascii="Arial" w:hAnsi="Arial" w:cs="Arial"/>
        </w:rPr>
        <w:t>e</w:t>
      </w:r>
      <w:r w:rsidR="003F6BAB" w:rsidRPr="00E17614">
        <w:rPr>
          <w:rFonts w:ascii="Arial" w:hAnsi="Arial" w:cs="Arial"/>
        </w:rPr>
        <w:t xml:space="preserve"> </w:t>
      </w:r>
      <w:r w:rsidR="00F448AE" w:rsidRPr="00E17614">
        <w:rPr>
          <w:rFonts w:ascii="Arial" w:hAnsi="Arial" w:cs="Arial"/>
        </w:rPr>
        <w:t>10</w:t>
      </w:r>
      <w:r w:rsidR="003F6BAB" w:rsidRPr="00E17614">
        <w:rPr>
          <w:rFonts w:ascii="Arial" w:hAnsi="Arial" w:cs="Arial"/>
        </w:rPr>
        <w:t xml:space="preserve"> allowable uses noted prior to this item have been in effect for both </w:t>
      </w:r>
      <w:r w:rsidR="001A622E" w:rsidRPr="00E17614">
        <w:rPr>
          <w:rFonts w:ascii="Arial" w:hAnsi="Arial" w:cs="Arial"/>
        </w:rPr>
        <w:t>FY</w:t>
      </w:r>
      <w:r w:rsidR="00251B0E" w:rsidRPr="00E17614">
        <w:rPr>
          <w:rFonts w:ascii="Arial" w:hAnsi="Arial" w:cs="Arial"/>
        </w:rPr>
        <w:t>s</w:t>
      </w:r>
      <w:r w:rsidR="003F6BAB" w:rsidRPr="00E17614">
        <w:rPr>
          <w:rFonts w:ascii="Arial" w:hAnsi="Arial" w:cs="Arial"/>
        </w:rPr>
        <w:t xml:space="preserve"> </w:t>
      </w:r>
      <w:r w:rsidR="003F6BAB" w:rsidRPr="00E17614">
        <w:rPr>
          <w:rFonts w:ascii="Arial" w:hAnsi="Arial" w:cs="Arial"/>
          <w:color w:val="000000"/>
          <w:shd w:val="clear" w:color="auto" w:fill="FFFFFF"/>
        </w:rPr>
        <w:t>2021–22 and</w:t>
      </w:r>
      <w:r w:rsidR="001A622E" w:rsidRPr="00E17614">
        <w:rPr>
          <w:rFonts w:ascii="Arial" w:hAnsi="Arial" w:cs="Arial"/>
          <w:color w:val="000000"/>
          <w:shd w:val="clear" w:color="auto" w:fill="FFFFFF"/>
        </w:rPr>
        <w:t xml:space="preserve"> </w:t>
      </w:r>
      <w:r w:rsidR="003F6BAB" w:rsidRPr="00E17614">
        <w:rPr>
          <w:rFonts w:ascii="Arial" w:hAnsi="Arial" w:cs="Arial"/>
          <w:color w:val="000000"/>
          <w:shd w:val="clear" w:color="auto" w:fill="FFFFFF"/>
        </w:rPr>
        <w:t>2022–23.</w:t>
      </w:r>
    </w:p>
    <w:p w14:paraId="1B33CFBD" w14:textId="737C2888" w:rsidR="006A7B86" w:rsidRPr="00E17614" w:rsidRDefault="00EA70C5" w:rsidP="00D57CED">
      <w:pPr>
        <w:spacing w:before="240" w:after="240"/>
        <w:rPr>
          <w:rFonts w:ascii="Arial" w:hAnsi="Arial" w:cs="Arial"/>
        </w:rPr>
      </w:pPr>
      <w:r w:rsidRPr="00E17614">
        <w:rPr>
          <w:rFonts w:ascii="Arial" w:hAnsi="Arial" w:cs="Arial"/>
        </w:rPr>
        <w:t>I</w:t>
      </w:r>
      <w:r w:rsidR="00A35CE5" w:rsidRPr="00E17614">
        <w:rPr>
          <w:rFonts w:ascii="Arial" w:hAnsi="Arial" w:cs="Arial"/>
        </w:rPr>
        <w:t>n</w:t>
      </w:r>
      <w:r w:rsidR="00A10555" w:rsidRPr="00E17614">
        <w:rPr>
          <w:rFonts w:ascii="Arial" w:hAnsi="Arial" w:cs="Arial"/>
        </w:rPr>
        <w:t xml:space="preserve"> summary</w:t>
      </w:r>
      <w:r w:rsidR="00AE01D9" w:rsidRPr="00E17614">
        <w:rPr>
          <w:rFonts w:ascii="Arial" w:hAnsi="Arial" w:cs="Arial"/>
        </w:rPr>
        <w:t xml:space="preserve">, </w:t>
      </w:r>
      <w:r w:rsidR="001F4F56" w:rsidRPr="00E17614">
        <w:rPr>
          <w:rFonts w:ascii="Arial" w:hAnsi="Arial" w:cs="Arial"/>
        </w:rPr>
        <w:t>$2,897,770.26</w:t>
      </w:r>
      <w:r w:rsidR="004B6E9D" w:rsidRPr="00E17614">
        <w:rPr>
          <w:rFonts w:ascii="Arial" w:hAnsi="Arial" w:cs="Arial"/>
        </w:rPr>
        <w:t xml:space="preserve"> </w:t>
      </w:r>
      <w:r w:rsidR="00AE01D9" w:rsidRPr="00E17614">
        <w:rPr>
          <w:rFonts w:ascii="Arial" w:hAnsi="Arial" w:cs="Arial"/>
        </w:rPr>
        <w:t>w</w:t>
      </w:r>
      <w:r w:rsidR="006A7B86" w:rsidRPr="00E17614">
        <w:rPr>
          <w:rFonts w:ascii="Arial" w:hAnsi="Arial" w:cs="Arial"/>
        </w:rPr>
        <w:t>ere</w:t>
      </w:r>
      <w:r w:rsidR="00AE01D9" w:rsidRPr="00E17614">
        <w:rPr>
          <w:rFonts w:ascii="Arial" w:hAnsi="Arial" w:cs="Arial"/>
        </w:rPr>
        <w:t xml:space="preserve"> spent </w:t>
      </w:r>
      <w:r w:rsidR="007E7B2F" w:rsidRPr="00E17614">
        <w:rPr>
          <w:rFonts w:ascii="Arial" w:hAnsi="Arial" w:cs="Arial"/>
        </w:rPr>
        <w:t>on</w:t>
      </w:r>
      <w:r w:rsidR="00AE01D9" w:rsidRPr="00E17614">
        <w:rPr>
          <w:rFonts w:ascii="Arial" w:hAnsi="Arial" w:cs="Arial"/>
        </w:rPr>
        <w:t xml:space="preserve"> Teacher Retention Strategies. LEAs reported spending funds on</w:t>
      </w:r>
      <w:r w:rsidR="009B5398" w:rsidRPr="00E17614">
        <w:rPr>
          <w:rFonts w:ascii="Arial" w:hAnsi="Arial" w:cs="Arial"/>
        </w:rPr>
        <w:t xml:space="preserve"> </w:t>
      </w:r>
      <w:r w:rsidR="004545DD" w:rsidRPr="00E17614">
        <w:rPr>
          <w:rFonts w:ascii="Arial" w:hAnsi="Arial" w:cs="Arial"/>
        </w:rPr>
        <w:t xml:space="preserve">supporting staff with their </w:t>
      </w:r>
      <w:r w:rsidR="009B5398" w:rsidRPr="00E17614">
        <w:rPr>
          <w:rFonts w:ascii="Arial" w:hAnsi="Arial" w:cs="Arial"/>
        </w:rPr>
        <w:t>coursework for credentialing</w:t>
      </w:r>
      <w:r w:rsidR="00300E5A" w:rsidRPr="00E17614">
        <w:rPr>
          <w:rFonts w:ascii="Arial" w:hAnsi="Arial" w:cs="Arial"/>
        </w:rPr>
        <w:t xml:space="preserve"> and</w:t>
      </w:r>
      <w:r w:rsidR="004545DD" w:rsidRPr="00E17614">
        <w:rPr>
          <w:rFonts w:ascii="Arial" w:hAnsi="Arial" w:cs="Arial"/>
        </w:rPr>
        <w:t xml:space="preserve"> </w:t>
      </w:r>
      <w:r w:rsidR="009B5398" w:rsidRPr="00E17614">
        <w:rPr>
          <w:rFonts w:ascii="Arial" w:hAnsi="Arial" w:cs="Arial"/>
        </w:rPr>
        <w:t>assessment fees</w:t>
      </w:r>
      <w:r w:rsidR="00300E5A" w:rsidRPr="00E17614">
        <w:rPr>
          <w:rFonts w:ascii="Arial" w:hAnsi="Arial" w:cs="Arial"/>
        </w:rPr>
        <w:t xml:space="preserve">. </w:t>
      </w:r>
      <w:r w:rsidR="00A93865" w:rsidRPr="00E17614">
        <w:rPr>
          <w:rFonts w:ascii="Arial" w:hAnsi="Arial" w:cs="Arial"/>
        </w:rPr>
        <w:t>In addition,</w:t>
      </w:r>
      <w:r w:rsidR="009B5398" w:rsidRPr="00E17614">
        <w:rPr>
          <w:rFonts w:ascii="Arial" w:hAnsi="Arial" w:cs="Arial"/>
        </w:rPr>
        <w:t xml:space="preserve"> LEAs </w:t>
      </w:r>
      <w:r w:rsidR="004545DD" w:rsidRPr="00E17614">
        <w:rPr>
          <w:rFonts w:ascii="Arial" w:hAnsi="Arial" w:cs="Arial"/>
        </w:rPr>
        <w:t xml:space="preserve">reported having the </w:t>
      </w:r>
      <w:r w:rsidR="00F5243A" w:rsidRPr="00E17614">
        <w:rPr>
          <w:rFonts w:ascii="Arial" w:hAnsi="Arial" w:cs="Arial"/>
        </w:rPr>
        <w:t>ability</w:t>
      </w:r>
      <w:r w:rsidR="004545DD" w:rsidRPr="00E17614">
        <w:rPr>
          <w:rFonts w:ascii="Arial" w:hAnsi="Arial" w:cs="Arial"/>
        </w:rPr>
        <w:t xml:space="preserve"> to make</w:t>
      </w:r>
      <w:r w:rsidR="009B5398" w:rsidRPr="00E17614">
        <w:rPr>
          <w:rFonts w:ascii="Arial" w:hAnsi="Arial" w:cs="Arial"/>
        </w:rPr>
        <w:t xml:space="preserve"> tuition reimbursement available for staff </w:t>
      </w:r>
      <w:r w:rsidR="00B64CC4" w:rsidRPr="00E17614">
        <w:rPr>
          <w:rFonts w:ascii="Arial" w:hAnsi="Arial" w:cs="Arial"/>
        </w:rPr>
        <w:t xml:space="preserve">working toward </w:t>
      </w:r>
      <w:r w:rsidR="009B5398" w:rsidRPr="00E17614">
        <w:rPr>
          <w:rFonts w:ascii="Arial" w:hAnsi="Arial" w:cs="Arial"/>
        </w:rPr>
        <w:t xml:space="preserve">clearing their teaching credential </w:t>
      </w:r>
      <w:r w:rsidR="009B5398" w:rsidRPr="00E17614">
        <w:rPr>
          <w:rFonts w:ascii="Arial" w:hAnsi="Arial" w:cs="Arial"/>
        </w:rPr>
        <w:lastRenderedPageBreak/>
        <w:t>and/or obtaining a credential to be appropriately credentialed for their assignment.</w:t>
      </w:r>
      <w:r w:rsidR="004545DD" w:rsidRPr="00E17614">
        <w:rPr>
          <w:rFonts w:ascii="Arial" w:hAnsi="Arial" w:cs="Arial"/>
        </w:rPr>
        <w:t xml:space="preserve"> </w:t>
      </w:r>
      <w:r w:rsidR="00F5243A" w:rsidRPr="00E17614">
        <w:rPr>
          <w:rFonts w:ascii="Arial" w:hAnsi="Arial" w:cs="Arial"/>
        </w:rPr>
        <w:t>For example</w:t>
      </w:r>
      <w:r w:rsidR="004545DD" w:rsidRPr="00E17614">
        <w:rPr>
          <w:rFonts w:ascii="Arial" w:hAnsi="Arial" w:cs="Arial"/>
        </w:rPr>
        <w:t xml:space="preserve">, </w:t>
      </w:r>
      <w:r w:rsidR="00B660F6" w:rsidRPr="00E17614">
        <w:rPr>
          <w:rFonts w:ascii="Arial" w:hAnsi="Arial" w:cs="Arial"/>
        </w:rPr>
        <w:t xml:space="preserve">the </w:t>
      </w:r>
      <w:r w:rsidR="004545DD" w:rsidRPr="00E17614">
        <w:rPr>
          <w:rFonts w:ascii="Arial" w:hAnsi="Arial" w:cs="Arial"/>
        </w:rPr>
        <w:t xml:space="preserve">Wasco Union High School District was able to move a tenured teacher/Academic Coach with credentials in </w:t>
      </w:r>
      <w:r w:rsidR="005A6E39" w:rsidRPr="00E17614">
        <w:rPr>
          <w:rFonts w:ascii="Arial" w:hAnsi="Arial" w:cs="Arial"/>
        </w:rPr>
        <w:t xml:space="preserve">ELA </w:t>
      </w:r>
      <w:r w:rsidR="004545DD" w:rsidRPr="00E17614">
        <w:rPr>
          <w:rFonts w:ascii="Arial" w:hAnsi="Arial" w:cs="Arial"/>
        </w:rPr>
        <w:t xml:space="preserve">and </w:t>
      </w:r>
      <w:r w:rsidR="00827644" w:rsidRPr="00E17614">
        <w:rPr>
          <w:rFonts w:ascii="Arial" w:hAnsi="Arial" w:cs="Arial"/>
        </w:rPr>
        <w:t>s</w:t>
      </w:r>
      <w:r w:rsidR="004545DD" w:rsidRPr="00E17614">
        <w:rPr>
          <w:rFonts w:ascii="Arial" w:hAnsi="Arial" w:cs="Arial"/>
        </w:rPr>
        <w:t xml:space="preserve">ocial </w:t>
      </w:r>
      <w:r w:rsidR="00827644" w:rsidRPr="00E17614">
        <w:rPr>
          <w:rFonts w:ascii="Arial" w:hAnsi="Arial" w:cs="Arial"/>
        </w:rPr>
        <w:t>s</w:t>
      </w:r>
      <w:r w:rsidR="004545DD" w:rsidRPr="00E17614">
        <w:rPr>
          <w:rFonts w:ascii="Arial" w:hAnsi="Arial" w:cs="Arial"/>
        </w:rPr>
        <w:t xml:space="preserve">cience into the Library Media position to help support students more proficiently in research and the four domains of language. </w:t>
      </w:r>
      <w:r w:rsidR="009618EF" w:rsidRPr="00E17614">
        <w:rPr>
          <w:rFonts w:ascii="Arial" w:hAnsi="Arial" w:cs="Arial"/>
        </w:rPr>
        <w:t xml:space="preserve">LEAs have </w:t>
      </w:r>
      <w:r w:rsidR="00300E5A" w:rsidRPr="00E17614">
        <w:rPr>
          <w:rFonts w:ascii="Arial" w:hAnsi="Arial" w:cs="Arial"/>
        </w:rPr>
        <w:t xml:space="preserve">also </w:t>
      </w:r>
      <w:r w:rsidR="009618EF" w:rsidRPr="00E17614">
        <w:rPr>
          <w:rFonts w:ascii="Arial" w:hAnsi="Arial" w:cs="Arial"/>
        </w:rPr>
        <w:t>reported prov</w:t>
      </w:r>
      <w:r w:rsidR="009B5398" w:rsidRPr="00E17614">
        <w:rPr>
          <w:rFonts w:ascii="Arial" w:hAnsi="Arial" w:cs="Arial"/>
        </w:rPr>
        <w:t>iding</w:t>
      </w:r>
      <w:r w:rsidR="00300E5A" w:rsidRPr="00E17614">
        <w:rPr>
          <w:rFonts w:ascii="Arial" w:hAnsi="Arial" w:cs="Arial"/>
        </w:rPr>
        <w:t xml:space="preserve"> teacher induction programs and </w:t>
      </w:r>
      <w:r w:rsidR="009B5398" w:rsidRPr="00E17614">
        <w:rPr>
          <w:rFonts w:ascii="Arial" w:hAnsi="Arial" w:cs="Arial"/>
        </w:rPr>
        <w:t xml:space="preserve">ongoing teacher development </w:t>
      </w:r>
      <w:r w:rsidR="00300E5A" w:rsidRPr="00E17614">
        <w:rPr>
          <w:rFonts w:ascii="Arial" w:hAnsi="Arial" w:cs="Arial"/>
        </w:rPr>
        <w:t>that</w:t>
      </w:r>
      <w:r w:rsidR="009B5398" w:rsidRPr="00E17614">
        <w:rPr>
          <w:rFonts w:ascii="Arial" w:hAnsi="Arial" w:cs="Arial"/>
        </w:rPr>
        <w:t xml:space="preserve"> support</w:t>
      </w:r>
      <w:r w:rsidR="00300E5A" w:rsidRPr="00E17614">
        <w:rPr>
          <w:rFonts w:ascii="Arial" w:hAnsi="Arial" w:cs="Arial"/>
        </w:rPr>
        <w:t xml:space="preserve"> and</w:t>
      </w:r>
      <w:r w:rsidR="009B5398" w:rsidRPr="00E17614">
        <w:rPr>
          <w:rFonts w:ascii="Arial" w:hAnsi="Arial" w:cs="Arial"/>
        </w:rPr>
        <w:t xml:space="preserve"> contribut</w:t>
      </w:r>
      <w:r w:rsidR="00300E5A" w:rsidRPr="00E17614">
        <w:rPr>
          <w:rFonts w:ascii="Arial" w:hAnsi="Arial" w:cs="Arial"/>
        </w:rPr>
        <w:t>e</w:t>
      </w:r>
      <w:r w:rsidR="009B5398" w:rsidRPr="00E17614">
        <w:rPr>
          <w:rFonts w:ascii="Arial" w:hAnsi="Arial" w:cs="Arial"/>
        </w:rPr>
        <w:t xml:space="preserve"> toward overall teacher satisfaction and retention.</w:t>
      </w:r>
      <w:r w:rsidR="008247EF" w:rsidRPr="00E17614">
        <w:rPr>
          <w:rFonts w:ascii="Arial" w:hAnsi="Arial" w:cs="Arial"/>
        </w:rPr>
        <w:t xml:space="preserve"> This includes all categories</w:t>
      </w:r>
      <w:r w:rsidR="006A7B86" w:rsidRPr="00E17614">
        <w:rPr>
          <w:rFonts w:ascii="Arial" w:hAnsi="Arial" w:cs="Arial"/>
        </w:rPr>
        <w:t>,</w:t>
      </w:r>
      <w:r w:rsidR="008247EF" w:rsidRPr="00E17614">
        <w:rPr>
          <w:rFonts w:ascii="Arial" w:hAnsi="Arial" w:cs="Arial"/>
        </w:rPr>
        <w:t xml:space="preserve"> such as new teachers,</w:t>
      </w:r>
      <w:r w:rsidR="00DF605B" w:rsidRPr="00E17614">
        <w:rPr>
          <w:rFonts w:ascii="Arial" w:hAnsi="Arial" w:cs="Arial"/>
        </w:rPr>
        <w:t xml:space="preserve"> mentoring teachers,</w:t>
      </w:r>
      <w:r w:rsidR="008247EF" w:rsidRPr="00E17614">
        <w:rPr>
          <w:rFonts w:ascii="Arial" w:hAnsi="Arial" w:cs="Arial"/>
        </w:rPr>
        <w:t xml:space="preserve"> </w:t>
      </w:r>
      <w:r w:rsidR="00DF605B" w:rsidRPr="00E17614">
        <w:rPr>
          <w:rFonts w:ascii="Arial" w:hAnsi="Arial" w:cs="Arial"/>
        </w:rPr>
        <w:t xml:space="preserve">and </w:t>
      </w:r>
      <w:r w:rsidR="008247EF" w:rsidRPr="00E17614">
        <w:rPr>
          <w:rFonts w:ascii="Arial" w:hAnsi="Arial" w:cs="Arial"/>
        </w:rPr>
        <w:t>special education</w:t>
      </w:r>
      <w:r w:rsidR="00DF605B" w:rsidRPr="00E17614">
        <w:rPr>
          <w:rFonts w:ascii="Arial" w:hAnsi="Arial" w:cs="Arial"/>
        </w:rPr>
        <w:t xml:space="preserve"> teachers.</w:t>
      </w:r>
    </w:p>
    <w:p w14:paraId="7D2BD90C" w14:textId="77777777" w:rsidR="006A7B86" w:rsidRPr="00E17614" w:rsidRDefault="006A7B86">
      <w:pPr>
        <w:rPr>
          <w:rFonts w:ascii="Arial" w:hAnsi="Arial" w:cs="Arial"/>
        </w:rPr>
      </w:pPr>
      <w:r w:rsidRPr="00E17614">
        <w:rPr>
          <w:rFonts w:ascii="Arial" w:hAnsi="Arial" w:cs="Arial"/>
        </w:rPr>
        <w:br w:type="page"/>
      </w:r>
    </w:p>
    <w:p w14:paraId="7689752E" w14:textId="6C6C6D61" w:rsidR="00A3490F" w:rsidRPr="00E17614" w:rsidRDefault="00E27DE9" w:rsidP="00A3490F">
      <w:pPr>
        <w:tabs>
          <w:tab w:val="left" w:pos="1080"/>
        </w:tabs>
        <w:autoSpaceDE w:val="0"/>
        <w:autoSpaceDN w:val="0"/>
        <w:adjustRightInd w:val="0"/>
        <w:spacing w:before="240" w:after="240"/>
        <w:rPr>
          <w:rFonts w:ascii="Arial" w:hAnsi="Arial" w:cs="Arial"/>
        </w:rPr>
      </w:pPr>
      <w:r w:rsidRPr="00E17614">
        <w:rPr>
          <w:rFonts w:ascii="Arial" w:hAnsi="Arial" w:cs="Arial"/>
        </w:rPr>
        <w:lastRenderedPageBreak/>
        <w:t>For FYs 2021</w:t>
      </w:r>
      <w:r w:rsidRPr="00E17614">
        <w:rPr>
          <w:rFonts w:ascii="Arial" w:hAnsi="Arial" w:cs="Arial"/>
          <w:color w:val="000000"/>
          <w:shd w:val="clear" w:color="auto" w:fill="FFFFFF"/>
        </w:rPr>
        <w:t>–</w:t>
      </w:r>
      <w:r w:rsidRPr="00E17614">
        <w:rPr>
          <w:rFonts w:ascii="Arial" w:hAnsi="Arial" w:cs="Arial"/>
        </w:rPr>
        <w:t>23, the following EEF allowable use categories</w:t>
      </w:r>
      <w:r w:rsidR="00DE0627" w:rsidRPr="00E17614">
        <w:rPr>
          <w:rFonts w:ascii="Arial" w:hAnsi="Arial" w:cs="Arial"/>
        </w:rPr>
        <w:t xml:space="preserve"> (reporting fields)</w:t>
      </w:r>
      <w:r w:rsidRPr="00E17614">
        <w:rPr>
          <w:rFonts w:ascii="Arial" w:hAnsi="Arial" w:cs="Arial"/>
        </w:rPr>
        <w:t xml:space="preserve"> are presented in order from most to least spent</w:t>
      </w:r>
      <w:r w:rsidR="00A3490F" w:rsidRPr="00E17614">
        <w:rPr>
          <w:rFonts w:ascii="Arial" w:hAnsi="Arial" w:cs="Arial"/>
        </w:rPr>
        <w:t>. Please see the chart below.</w:t>
      </w:r>
    </w:p>
    <w:p w14:paraId="6C99803B" w14:textId="7CE84AC5" w:rsidR="00A3490F" w:rsidRPr="00E17614" w:rsidRDefault="00A3490F" w:rsidP="00A3490F">
      <w:pPr>
        <w:tabs>
          <w:tab w:val="left" w:pos="1080"/>
        </w:tabs>
        <w:autoSpaceDE w:val="0"/>
        <w:autoSpaceDN w:val="0"/>
        <w:adjustRightInd w:val="0"/>
        <w:spacing w:before="480" w:after="240"/>
        <w:jc w:val="center"/>
        <w:rPr>
          <w:rFonts w:ascii="Arial" w:hAnsi="Arial" w:cs="Arial"/>
          <w:b/>
          <w:bCs/>
        </w:rPr>
      </w:pPr>
      <w:r w:rsidRPr="00E17614">
        <w:rPr>
          <w:rFonts w:ascii="Arial" w:hAnsi="Arial" w:cs="Arial"/>
          <w:b/>
          <w:bCs/>
        </w:rPr>
        <w:t>Educator Effectiveness Funds Totals by Reporting Field</w:t>
      </w:r>
    </w:p>
    <w:p w14:paraId="72BBAAA0" w14:textId="79595CA6" w:rsidR="00E8080C" w:rsidRPr="00E17614" w:rsidRDefault="00E8080C" w:rsidP="00C83D22">
      <w:pPr>
        <w:spacing w:after="240"/>
        <w:rPr>
          <w:rFonts w:ascii="Arial" w:hAnsi="Arial" w:cs="Arial"/>
          <w:b/>
          <w:bCs/>
        </w:rPr>
      </w:pPr>
      <w:r w:rsidRPr="00E17614">
        <w:rPr>
          <w:rFonts w:ascii="Arial" w:hAnsi="Arial" w:cs="Arial"/>
          <w:b/>
          <w:bCs/>
        </w:rPr>
        <w:t>Table 1</w:t>
      </w:r>
      <w:r w:rsidR="00E7374D" w:rsidRPr="00E17614">
        <w:rPr>
          <w:rFonts w:ascii="Arial" w:hAnsi="Arial" w:cs="Arial"/>
          <w:b/>
          <w:bCs/>
        </w:rPr>
        <w:t>4</w:t>
      </w:r>
      <w:r w:rsidRPr="00E17614">
        <w:rPr>
          <w:rFonts w:ascii="Arial" w:hAnsi="Arial" w:cs="Arial"/>
          <w:b/>
          <w:bCs/>
        </w:rPr>
        <w:t xml:space="preserve">. Total Expenditures </w:t>
      </w:r>
      <w:r w:rsidR="005E14BA" w:rsidRPr="00E17614">
        <w:rPr>
          <w:rFonts w:ascii="Arial" w:hAnsi="Arial" w:cs="Arial"/>
          <w:b/>
          <w:bCs/>
        </w:rPr>
        <w:t>b</w:t>
      </w:r>
      <w:r w:rsidRPr="00E17614">
        <w:rPr>
          <w:rFonts w:ascii="Arial" w:hAnsi="Arial" w:cs="Arial"/>
          <w:b/>
          <w:bCs/>
        </w:rPr>
        <w:t>y Reporting Field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Educator Effectiveness Funds Totals by Reporting Field"/>
        <w:tblDescription w:val="This chart presents the Educator Effectiveness Funds totals by reporting field from greatest to the least amount spent in fiscal years 2021-23."/>
      </w:tblPr>
      <w:tblGrid>
        <w:gridCol w:w="4591"/>
        <w:gridCol w:w="4759"/>
      </w:tblGrid>
      <w:tr w:rsidR="00A3490F" w:rsidRPr="00E17614" w14:paraId="066052E0" w14:textId="77777777" w:rsidTr="008634C6">
        <w:trPr>
          <w:trHeight w:val="773"/>
          <w:tblHeader/>
        </w:trPr>
        <w:tc>
          <w:tcPr>
            <w:tcW w:w="2455" w:type="pct"/>
            <w:shd w:val="clear" w:color="000000" w:fill="BDD6EE"/>
            <w:vAlign w:val="center"/>
            <w:hideMark/>
          </w:tcPr>
          <w:p w14:paraId="7F7F33CD" w14:textId="77777777" w:rsidR="00A3490F" w:rsidRPr="00E17614" w:rsidRDefault="00A3490F" w:rsidP="00566BE6">
            <w:pPr>
              <w:jc w:val="center"/>
              <w:rPr>
                <w:rFonts w:ascii="Arial" w:hAnsi="Arial" w:cs="Arial"/>
                <w:b/>
                <w:bCs/>
                <w:color w:val="000000"/>
              </w:rPr>
            </w:pPr>
            <w:r w:rsidRPr="00E17614">
              <w:rPr>
                <w:rFonts w:ascii="Arial" w:hAnsi="Arial" w:cs="Arial"/>
                <w:b/>
                <w:bCs/>
                <w:color w:val="000000"/>
              </w:rPr>
              <w:t>Report Field Funding</w:t>
            </w:r>
          </w:p>
        </w:tc>
        <w:tc>
          <w:tcPr>
            <w:tcW w:w="2545" w:type="pct"/>
            <w:shd w:val="clear" w:color="000000" w:fill="BDD6EE"/>
            <w:vAlign w:val="center"/>
            <w:hideMark/>
          </w:tcPr>
          <w:p w14:paraId="4DF335B6" w14:textId="77777777" w:rsidR="00A3490F" w:rsidRPr="00E17614" w:rsidRDefault="00A3490F" w:rsidP="00566BE6">
            <w:pPr>
              <w:jc w:val="center"/>
              <w:rPr>
                <w:rFonts w:ascii="Arial" w:hAnsi="Arial" w:cs="Arial"/>
                <w:b/>
                <w:bCs/>
                <w:color w:val="000000"/>
              </w:rPr>
            </w:pPr>
            <w:r w:rsidRPr="00E17614">
              <w:rPr>
                <w:rFonts w:ascii="Arial" w:hAnsi="Arial" w:cs="Arial"/>
                <w:b/>
                <w:bCs/>
                <w:color w:val="000000"/>
              </w:rPr>
              <w:t>Total Funds Spent</w:t>
            </w:r>
          </w:p>
        </w:tc>
      </w:tr>
      <w:tr w:rsidR="00A3490F" w:rsidRPr="00E17614" w14:paraId="3BB2A244" w14:textId="77777777" w:rsidTr="008634C6">
        <w:trPr>
          <w:trHeight w:val="493"/>
        </w:trPr>
        <w:tc>
          <w:tcPr>
            <w:tcW w:w="2455" w:type="pct"/>
            <w:shd w:val="clear" w:color="auto" w:fill="auto"/>
            <w:vAlign w:val="center"/>
            <w:hideMark/>
          </w:tcPr>
          <w:p w14:paraId="385800FD" w14:textId="77777777" w:rsidR="00A3490F" w:rsidRPr="00E17614" w:rsidRDefault="00A3490F" w:rsidP="00AA17E6">
            <w:pPr>
              <w:rPr>
                <w:rFonts w:ascii="Arial" w:hAnsi="Arial" w:cs="Arial"/>
                <w:color w:val="000000"/>
              </w:rPr>
            </w:pPr>
            <w:r w:rsidRPr="00E17614">
              <w:rPr>
                <w:rFonts w:ascii="Arial" w:hAnsi="Arial" w:cs="Arial"/>
                <w:color w:val="000000"/>
              </w:rPr>
              <w:t>Professional Learning Services</w:t>
            </w:r>
          </w:p>
        </w:tc>
        <w:tc>
          <w:tcPr>
            <w:tcW w:w="2545" w:type="pct"/>
            <w:shd w:val="clear" w:color="auto" w:fill="auto"/>
            <w:vAlign w:val="center"/>
            <w:hideMark/>
          </w:tcPr>
          <w:p w14:paraId="232ACACB" w14:textId="77777777" w:rsidR="00A3490F" w:rsidRPr="00E17614" w:rsidRDefault="00A3490F" w:rsidP="00AA17E6">
            <w:pPr>
              <w:rPr>
                <w:rFonts w:ascii="Arial" w:hAnsi="Arial" w:cs="Arial"/>
                <w:color w:val="000000"/>
              </w:rPr>
            </w:pPr>
            <w:r w:rsidRPr="00E17614">
              <w:rPr>
                <w:rFonts w:ascii="Arial" w:hAnsi="Arial" w:cs="Arial"/>
                <w:color w:val="000000"/>
              </w:rPr>
              <w:t xml:space="preserve">$108,498,046.43 </w:t>
            </w:r>
          </w:p>
        </w:tc>
      </w:tr>
      <w:tr w:rsidR="00A3490F" w:rsidRPr="00E17614" w14:paraId="520F7322" w14:textId="77777777" w:rsidTr="008634C6">
        <w:trPr>
          <w:trHeight w:val="430"/>
        </w:trPr>
        <w:tc>
          <w:tcPr>
            <w:tcW w:w="2455" w:type="pct"/>
            <w:shd w:val="clear" w:color="auto" w:fill="auto"/>
            <w:vAlign w:val="center"/>
            <w:hideMark/>
          </w:tcPr>
          <w:p w14:paraId="4F07E058" w14:textId="77777777" w:rsidR="00A3490F" w:rsidRPr="00E17614" w:rsidRDefault="00A3490F" w:rsidP="00AA17E6">
            <w:pPr>
              <w:rPr>
                <w:rFonts w:ascii="Arial" w:hAnsi="Arial" w:cs="Arial"/>
                <w:color w:val="000000"/>
              </w:rPr>
            </w:pPr>
            <w:r w:rsidRPr="00E17614">
              <w:rPr>
                <w:rFonts w:ascii="Arial" w:hAnsi="Arial" w:cs="Arial"/>
                <w:color w:val="000000"/>
              </w:rPr>
              <w:t>Coaching and Mentoring</w:t>
            </w:r>
          </w:p>
        </w:tc>
        <w:tc>
          <w:tcPr>
            <w:tcW w:w="2545" w:type="pct"/>
            <w:shd w:val="clear" w:color="auto" w:fill="auto"/>
            <w:vAlign w:val="center"/>
            <w:hideMark/>
          </w:tcPr>
          <w:p w14:paraId="7C368168" w14:textId="77777777" w:rsidR="00A3490F" w:rsidRPr="00E17614" w:rsidRDefault="00A3490F" w:rsidP="00AA17E6">
            <w:pPr>
              <w:rPr>
                <w:rFonts w:ascii="Arial" w:hAnsi="Arial" w:cs="Arial"/>
                <w:color w:val="000000"/>
              </w:rPr>
            </w:pPr>
            <w:r w:rsidRPr="00E17614">
              <w:rPr>
                <w:rFonts w:ascii="Arial" w:hAnsi="Arial" w:cs="Arial"/>
                <w:color w:val="000000"/>
              </w:rPr>
              <w:t xml:space="preserve">$93,289,754.76 </w:t>
            </w:r>
          </w:p>
        </w:tc>
      </w:tr>
      <w:tr w:rsidR="00A3490F" w:rsidRPr="00E17614" w14:paraId="0CE264D2" w14:textId="77777777" w:rsidTr="008634C6">
        <w:trPr>
          <w:trHeight w:val="448"/>
        </w:trPr>
        <w:tc>
          <w:tcPr>
            <w:tcW w:w="2455" w:type="pct"/>
            <w:shd w:val="clear" w:color="auto" w:fill="auto"/>
            <w:vAlign w:val="center"/>
            <w:hideMark/>
          </w:tcPr>
          <w:p w14:paraId="35C0BF09" w14:textId="77777777" w:rsidR="00A3490F" w:rsidRPr="00E17614" w:rsidRDefault="00A3490F" w:rsidP="00AA17E6">
            <w:pPr>
              <w:rPr>
                <w:rFonts w:ascii="Arial" w:hAnsi="Arial" w:cs="Arial"/>
                <w:color w:val="000000"/>
              </w:rPr>
            </w:pPr>
            <w:r w:rsidRPr="00E17614">
              <w:rPr>
                <w:rFonts w:ascii="Arial" w:hAnsi="Arial" w:cs="Arial"/>
                <w:color w:val="000000"/>
              </w:rPr>
              <w:t>Standards-Aligned Instruction</w:t>
            </w:r>
          </w:p>
        </w:tc>
        <w:tc>
          <w:tcPr>
            <w:tcW w:w="2545" w:type="pct"/>
            <w:shd w:val="clear" w:color="auto" w:fill="auto"/>
            <w:vAlign w:val="center"/>
            <w:hideMark/>
          </w:tcPr>
          <w:p w14:paraId="3E6D9463" w14:textId="77777777" w:rsidR="00A3490F" w:rsidRPr="00E17614" w:rsidRDefault="00A3490F" w:rsidP="00AA17E6">
            <w:pPr>
              <w:rPr>
                <w:rFonts w:ascii="Arial" w:hAnsi="Arial" w:cs="Arial"/>
                <w:color w:val="000000"/>
              </w:rPr>
            </w:pPr>
            <w:r w:rsidRPr="00E17614">
              <w:rPr>
                <w:rFonts w:ascii="Arial" w:hAnsi="Arial" w:cs="Arial"/>
                <w:color w:val="000000"/>
              </w:rPr>
              <w:t xml:space="preserve">$53,653,511.45 </w:t>
            </w:r>
          </w:p>
        </w:tc>
      </w:tr>
      <w:tr w:rsidR="00A3490F" w:rsidRPr="00E17614" w14:paraId="083DC613" w14:textId="77777777" w:rsidTr="008634C6">
        <w:trPr>
          <w:trHeight w:val="430"/>
        </w:trPr>
        <w:tc>
          <w:tcPr>
            <w:tcW w:w="2455" w:type="pct"/>
            <w:shd w:val="clear" w:color="auto" w:fill="auto"/>
            <w:vAlign w:val="center"/>
            <w:hideMark/>
          </w:tcPr>
          <w:p w14:paraId="6442915F" w14:textId="77777777" w:rsidR="00A3490F" w:rsidRPr="00E17614" w:rsidRDefault="00A3490F" w:rsidP="00AA17E6">
            <w:pPr>
              <w:rPr>
                <w:rFonts w:ascii="Arial" w:hAnsi="Arial" w:cs="Arial"/>
                <w:color w:val="000000"/>
              </w:rPr>
            </w:pPr>
            <w:r w:rsidRPr="00E17614">
              <w:rPr>
                <w:rFonts w:ascii="Arial" w:hAnsi="Arial" w:cs="Arial"/>
                <w:color w:val="000000"/>
              </w:rPr>
              <w:t>Practices to Promote Positive School Climate</w:t>
            </w:r>
          </w:p>
        </w:tc>
        <w:tc>
          <w:tcPr>
            <w:tcW w:w="2545" w:type="pct"/>
            <w:shd w:val="clear" w:color="auto" w:fill="auto"/>
            <w:vAlign w:val="center"/>
            <w:hideMark/>
          </w:tcPr>
          <w:p w14:paraId="68CFD57B" w14:textId="77777777" w:rsidR="00A3490F" w:rsidRPr="00E17614" w:rsidRDefault="00A3490F" w:rsidP="00AA17E6">
            <w:pPr>
              <w:rPr>
                <w:rFonts w:ascii="Arial" w:hAnsi="Arial" w:cs="Arial"/>
                <w:color w:val="000000"/>
              </w:rPr>
            </w:pPr>
            <w:r w:rsidRPr="00E17614">
              <w:rPr>
                <w:rFonts w:ascii="Arial" w:hAnsi="Arial" w:cs="Arial"/>
                <w:color w:val="000000"/>
              </w:rPr>
              <w:t xml:space="preserve">$17,855,532.25 </w:t>
            </w:r>
          </w:p>
        </w:tc>
      </w:tr>
      <w:tr w:rsidR="00A3490F" w:rsidRPr="00E17614" w14:paraId="15D79879" w14:textId="77777777" w:rsidTr="008634C6">
        <w:trPr>
          <w:trHeight w:val="403"/>
        </w:trPr>
        <w:tc>
          <w:tcPr>
            <w:tcW w:w="2455" w:type="pct"/>
            <w:shd w:val="clear" w:color="auto" w:fill="auto"/>
            <w:vAlign w:val="center"/>
            <w:hideMark/>
          </w:tcPr>
          <w:p w14:paraId="44E47A14" w14:textId="77777777" w:rsidR="00A3490F" w:rsidRPr="00E17614" w:rsidRDefault="00A3490F" w:rsidP="00AA17E6">
            <w:pPr>
              <w:rPr>
                <w:rFonts w:ascii="Arial" w:hAnsi="Arial" w:cs="Arial"/>
                <w:color w:val="000000"/>
              </w:rPr>
            </w:pPr>
            <w:r w:rsidRPr="00E17614">
              <w:rPr>
                <w:rFonts w:ascii="Arial" w:hAnsi="Arial" w:cs="Arial"/>
                <w:color w:val="000000"/>
              </w:rPr>
              <w:t>Pupil Reengagement and Accelerated Learning</w:t>
            </w:r>
          </w:p>
        </w:tc>
        <w:tc>
          <w:tcPr>
            <w:tcW w:w="2545" w:type="pct"/>
            <w:shd w:val="clear" w:color="auto" w:fill="auto"/>
            <w:vAlign w:val="center"/>
            <w:hideMark/>
          </w:tcPr>
          <w:p w14:paraId="0C2C2D6E" w14:textId="77777777" w:rsidR="00A3490F" w:rsidRPr="00E17614" w:rsidRDefault="00A3490F" w:rsidP="00AA17E6">
            <w:pPr>
              <w:rPr>
                <w:rFonts w:ascii="Arial" w:hAnsi="Arial" w:cs="Arial"/>
                <w:color w:val="000000"/>
              </w:rPr>
            </w:pPr>
            <w:r w:rsidRPr="00E17614">
              <w:rPr>
                <w:rFonts w:ascii="Arial" w:hAnsi="Arial" w:cs="Arial"/>
                <w:color w:val="000000"/>
              </w:rPr>
              <w:t xml:space="preserve">$9,426,401.77 </w:t>
            </w:r>
          </w:p>
        </w:tc>
      </w:tr>
      <w:tr w:rsidR="00A3490F" w:rsidRPr="00E17614" w14:paraId="1C15712F" w14:textId="77777777" w:rsidTr="008634C6">
        <w:trPr>
          <w:trHeight w:val="320"/>
        </w:trPr>
        <w:tc>
          <w:tcPr>
            <w:tcW w:w="2455" w:type="pct"/>
            <w:shd w:val="clear" w:color="auto" w:fill="auto"/>
            <w:vAlign w:val="center"/>
            <w:hideMark/>
          </w:tcPr>
          <w:p w14:paraId="0B0126B0" w14:textId="16329414" w:rsidR="00A3490F" w:rsidRPr="00E17614" w:rsidRDefault="00A3490F" w:rsidP="00AA17E6">
            <w:pPr>
              <w:rPr>
                <w:rFonts w:ascii="Arial" w:hAnsi="Arial" w:cs="Arial"/>
                <w:color w:val="000000"/>
              </w:rPr>
            </w:pPr>
            <w:r w:rsidRPr="00E17614">
              <w:rPr>
                <w:rFonts w:ascii="Arial" w:hAnsi="Arial" w:cs="Arial"/>
                <w:color w:val="000000"/>
              </w:rPr>
              <w:t>Strategies to Improve Pupil Well</w:t>
            </w:r>
            <w:r w:rsidR="006A7B86" w:rsidRPr="00E17614">
              <w:rPr>
                <w:rFonts w:ascii="Arial" w:hAnsi="Arial" w:cs="Arial"/>
                <w:color w:val="000000"/>
              </w:rPr>
              <w:t>-</w:t>
            </w:r>
            <w:r w:rsidRPr="00E17614">
              <w:rPr>
                <w:rFonts w:ascii="Arial" w:hAnsi="Arial" w:cs="Arial"/>
                <w:color w:val="000000"/>
              </w:rPr>
              <w:t>being</w:t>
            </w:r>
          </w:p>
        </w:tc>
        <w:tc>
          <w:tcPr>
            <w:tcW w:w="2545" w:type="pct"/>
            <w:shd w:val="clear" w:color="auto" w:fill="auto"/>
            <w:vAlign w:val="center"/>
            <w:hideMark/>
          </w:tcPr>
          <w:p w14:paraId="4635E16A" w14:textId="77777777" w:rsidR="00A3490F" w:rsidRPr="00E17614" w:rsidRDefault="00A3490F" w:rsidP="00AA17E6">
            <w:pPr>
              <w:rPr>
                <w:rFonts w:ascii="Arial" w:hAnsi="Arial" w:cs="Arial"/>
                <w:color w:val="000000"/>
              </w:rPr>
            </w:pPr>
            <w:r w:rsidRPr="00E17614">
              <w:rPr>
                <w:rFonts w:ascii="Arial" w:hAnsi="Arial" w:cs="Arial"/>
                <w:color w:val="000000"/>
              </w:rPr>
              <w:t xml:space="preserve">$8,590,317.71 </w:t>
            </w:r>
          </w:p>
        </w:tc>
      </w:tr>
      <w:tr w:rsidR="00A3490F" w:rsidRPr="00E17614" w14:paraId="7242FC3C" w14:textId="77777777" w:rsidTr="008634C6">
        <w:trPr>
          <w:trHeight w:val="410"/>
        </w:trPr>
        <w:tc>
          <w:tcPr>
            <w:tcW w:w="2455" w:type="pct"/>
            <w:shd w:val="clear" w:color="auto" w:fill="auto"/>
            <w:vAlign w:val="center"/>
            <w:hideMark/>
          </w:tcPr>
          <w:p w14:paraId="7DA3CB19" w14:textId="77777777" w:rsidR="00A3490F" w:rsidRPr="00E17614" w:rsidRDefault="00A3490F" w:rsidP="00AA17E6">
            <w:pPr>
              <w:rPr>
                <w:rFonts w:ascii="Arial" w:hAnsi="Arial" w:cs="Arial"/>
                <w:color w:val="000000"/>
              </w:rPr>
            </w:pPr>
            <w:r w:rsidRPr="00E17614">
              <w:rPr>
                <w:rFonts w:ascii="Arial" w:hAnsi="Arial" w:cs="Arial"/>
                <w:color w:val="000000"/>
              </w:rPr>
              <w:t>New Professional Learning Networks</w:t>
            </w:r>
          </w:p>
        </w:tc>
        <w:tc>
          <w:tcPr>
            <w:tcW w:w="2545" w:type="pct"/>
            <w:shd w:val="clear" w:color="auto" w:fill="auto"/>
            <w:vAlign w:val="center"/>
            <w:hideMark/>
          </w:tcPr>
          <w:p w14:paraId="0FB372AC" w14:textId="77777777" w:rsidR="00A3490F" w:rsidRPr="00E17614" w:rsidRDefault="00A3490F" w:rsidP="00AA17E6">
            <w:pPr>
              <w:rPr>
                <w:rFonts w:ascii="Arial" w:hAnsi="Arial" w:cs="Arial"/>
                <w:color w:val="000000"/>
              </w:rPr>
            </w:pPr>
            <w:r w:rsidRPr="00E17614">
              <w:rPr>
                <w:rFonts w:ascii="Arial" w:hAnsi="Arial" w:cs="Arial"/>
                <w:color w:val="000000"/>
              </w:rPr>
              <w:t xml:space="preserve">$8,034,169.33 </w:t>
            </w:r>
          </w:p>
        </w:tc>
      </w:tr>
      <w:tr w:rsidR="00A3490F" w:rsidRPr="00E17614" w14:paraId="6BF120D7" w14:textId="77777777" w:rsidTr="008634C6">
        <w:trPr>
          <w:trHeight w:val="320"/>
        </w:trPr>
        <w:tc>
          <w:tcPr>
            <w:tcW w:w="2455" w:type="pct"/>
            <w:shd w:val="clear" w:color="auto" w:fill="auto"/>
            <w:vAlign w:val="center"/>
            <w:hideMark/>
          </w:tcPr>
          <w:p w14:paraId="0ED37C24" w14:textId="77777777" w:rsidR="00A3490F" w:rsidRPr="00E17614" w:rsidRDefault="00A3490F" w:rsidP="00AA17E6">
            <w:pPr>
              <w:rPr>
                <w:rFonts w:ascii="Arial" w:hAnsi="Arial" w:cs="Arial"/>
                <w:color w:val="000000"/>
              </w:rPr>
            </w:pPr>
            <w:r w:rsidRPr="00E17614">
              <w:rPr>
                <w:rFonts w:ascii="Arial" w:hAnsi="Arial" w:cs="Arial"/>
                <w:color w:val="000000"/>
              </w:rPr>
              <w:t>English Learner Programs</w:t>
            </w:r>
          </w:p>
        </w:tc>
        <w:tc>
          <w:tcPr>
            <w:tcW w:w="2545" w:type="pct"/>
            <w:shd w:val="clear" w:color="auto" w:fill="auto"/>
            <w:vAlign w:val="center"/>
            <w:hideMark/>
          </w:tcPr>
          <w:p w14:paraId="624E2BBF" w14:textId="77777777" w:rsidR="00A3490F" w:rsidRPr="00E17614" w:rsidRDefault="00A3490F" w:rsidP="00AA17E6">
            <w:pPr>
              <w:rPr>
                <w:rFonts w:ascii="Arial" w:hAnsi="Arial" w:cs="Arial"/>
                <w:color w:val="000000"/>
              </w:rPr>
            </w:pPr>
            <w:r w:rsidRPr="00E17614">
              <w:rPr>
                <w:rFonts w:ascii="Arial" w:hAnsi="Arial" w:cs="Arial"/>
                <w:color w:val="000000"/>
              </w:rPr>
              <w:t xml:space="preserve">$6,430,400.37 </w:t>
            </w:r>
          </w:p>
        </w:tc>
      </w:tr>
      <w:tr w:rsidR="00A3490F" w:rsidRPr="00E17614" w14:paraId="77E8EBEB" w14:textId="77777777" w:rsidTr="008634C6">
        <w:trPr>
          <w:trHeight w:val="412"/>
        </w:trPr>
        <w:tc>
          <w:tcPr>
            <w:tcW w:w="2455" w:type="pct"/>
            <w:shd w:val="clear" w:color="auto" w:fill="auto"/>
            <w:vAlign w:val="center"/>
            <w:hideMark/>
          </w:tcPr>
          <w:p w14:paraId="1C85CBDF" w14:textId="77777777" w:rsidR="00A3490F" w:rsidRPr="00E17614" w:rsidRDefault="00A3490F" w:rsidP="00AA17E6">
            <w:pPr>
              <w:rPr>
                <w:rFonts w:ascii="Arial" w:hAnsi="Arial" w:cs="Arial"/>
                <w:color w:val="000000"/>
              </w:rPr>
            </w:pPr>
            <w:r w:rsidRPr="00E17614">
              <w:rPr>
                <w:rFonts w:ascii="Arial" w:hAnsi="Arial" w:cs="Arial"/>
                <w:color w:val="000000"/>
              </w:rPr>
              <w:t>Inclusive Practices and Strategies</w:t>
            </w:r>
          </w:p>
        </w:tc>
        <w:tc>
          <w:tcPr>
            <w:tcW w:w="2545" w:type="pct"/>
            <w:shd w:val="clear" w:color="auto" w:fill="auto"/>
            <w:vAlign w:val="center"/>
            <w:hideMark/>
          </w:tcPr>
          <w:p w14:paraId="53EAF5EA" w14:textId="77777777" w:rsidR="00A3490F" w:rsidRPr="00E17614" w:rsidRDefault="00A3490F" w:rsidP="00AA17E6">
            <w:pPr>
              <w:rPr>
                <w:rFonts w:ascii="Arial" w:hAnsi="Arial" w:cs="Arial"/>
                <w:color w:val="000000"/>
              </w:rPr>
            </w:pPr>
            <w:r w:rsidRPr="00E17614">
              <w:rPr>
                <w:rFonts w:ascii="Arial" w:hAnsi="Arial" w:cs="Arial"/>
                <w:color w:val="000000"/>
              </w:rPr>
              <w:t xml:space="preserve">$4,747,073.95 </w:t>
            </w:r>
          </w:p>
        </w:tc>
      </w:tr>
      <w:tr w:rsidR="00A3490F" w:rsidRPr="00E17614" w14:paraId="39258EEA" w14:textId="77777777" w:rsidTr="008634C6">
        <w:trPr>
          <w:trHeight w:val="421"/>
        </w:trPr>
        <w:tc>
          <w:tcPr>
            <w:tcW w:w="2455" w:type="pct"/>
            <w:shd w:val="clear" w:color="auto" w:fill="auto"/>
            <w:vAlign w:val="center"/>
            <w:hideMark/>
          </w:tcPr>
          <w:p w14:paraId="3DAF9560" w14:textId="77777777" w:rsidR="00A3490F" w:rsidRPr="00E17614" w:rsidRDefault="00A3490F" w:rsidP="00AA17E6">
            <w:pPr>
              <w:rPr>
                <w:rFonts w:ascii="Arial" w:hAnsi="Arial" w:cs="Arial"/>
                <w:color w:val="000000"/>
              </w:rPr>
            </w:pPr>
            <w:r w:rsidRPr="00E17614">
              <w:rPr>
                <w:rFonts w:ascii="Arial" w:hAnsi="Arial" w:cs="Arial"/>
                <w:color w:val="000000"/>
              </w:rPr>
              <w:t>Teacher Retention Strategies</w:t>
            </w:r>
          </w:p>
        </w:tc>
        <w:tc>
          <w:tcPr>
            <w:tcW w:w="2545" w:type="pct"/>
            <w:shd w:val="clear" w:color="auto" w:fill="auto"/>
            <w:vAlign w:val="center"/>
            <w:hideMark/>
          </w:tcPr>
          <w:p w14:paraId="14025939" w14:textId="77777777" w:rsidR="00A3490F" w:rsidRPr="00E17614" w:rsidRDefault="00A3490F" w:rsidP="00AA17E6">
            <w:pPr>
              <w:rPr>
                <w:rFonts w:ascii="Arial" w:hAnsi="Arial" w:cs="Arial"/>
                <w:color w:val="000000"/>
              </w:rPr>
            </w:pPr>
            <w:r w:rsidRPr="00E17614">
              <w:rPr>
                <w:rFonts w:ascii="Arial" w:hAnsi="Arial" w:cs="Arial"/>
                <w:color w:val="000000"/>
              </w:rPr>
              <w:t xml:space="preserve">$2,897,770.26 </w:t>
            </w:r>
          </w:p>
        </w:tc>
      </w:tr>
      <w:tr w:rsidR="00A3490F" w:rsidRPr="00E17614" w14:paraId="16A4F7F7" w14:textId="77777777" w:rsidTr="008634C6">
        <w:trPr>
          <w:trHeight w:val="410"/>
        </w:trPr>
        <w:tc>
          <w:tcPr>
            <w:tcW w:w="2455" w:type="pct"/>
            <w:shd w:val="clear" w:color="auto" w:fill="auto"/>
            <w:vAlign w:val="center"/>
            <w:hideMark/>
          </w:tcPr>
          <w:p w14:paraId="70E86B1D" w14:textId="77777777" w:rsidR="00A3490F" w:rsidRPr="00E17614" w:rsidRDefault="00A3490F" w:rsidP="00AA17E6">
            <w:pPr>
              <w:rPr>
                <w:rFonts w:ascii="Arial" w:hAnsi="Arial" w:cs="Arial"/>
                <w:color w:val="000000"/>
              </w:rPr>
            </w:pPr>
            <w:r w:rsidRPr="00E17614">
              <w:rPr>
                <w:rFonts w:ascii="Arial" w:hAnsi="Arial" w:cs="Arial"/>
                <w:color w:val="000000"/>
              </w:rPr>
              <w:t>Early Childhood or Child Development</w:t>
            </w:r>
          </w:p>
        </w:tc>
        <w:tc>
          <w:tcPr>
            <w:tcW w:w="2545" w:type="pct"/>
            <w:shd w:val="clear" w:color="auto" w:fill="auto"/>
            <w:vAlign w:val="center"/>
            <w:hideMark/>
          </w:tcPr>
          <w:p w14:paraId="1F623C03" w14:textId="77777777" w:rsidR="00A3490F" w:rsidRPr="00E17614" w:rsidRDefault="00A3490F" w:rsidP="00AA17E6">
            <w:pPr>
              <w:rPr>
                <w:rFonts w:ascii="Arial" w:hAnsi="Arial" w:cs="Arial"/>
                <w:color w:val="000000"/>
              </w:rPr>
            </w:pPr>
            <w:r w:rsidRPr="00E17614">
              <w:rPr>
                <w:rFonts w:ascii="Arial" w:hAnsi="Arial" w:cs="Arial"/>
                <w:color w:val="000000"/>
              </w:rPr>
              <w:t xml:space="preserve">$1,871,425.92 </w:t>
            </w:r>
          </w:p>
        </w:tc>
      </w:tr>
      <w:tr w:rsidR="00A3490F" w:rsidRPr="00E17614" w14:paraId="4BE0CF08" w14:textId="77777777" w:rsidTr="008634C6">
        <w:trPr>
          <w:trHeight w:val="457"/>
        </w:trPr>
        <w:tc>
          <w:tcPr>
            <w:tcW w:w="2455" w:type="pct"/>
            <w:shd w:val="clear" w:color="auto" w:fill="auto"/>
            <w:vAlign w:val="center"/>
            <w:hideMark/>
          </w:tcPr>
          <w:p w14:paraId="51C96D09" w14:textId="77777777" w:rsidR="00A3490F" w:rsidRPr="00E17614" w:rsidRDefault="00A3490F" w:rsidP="00AA17E6">
            <w:pPr>
              <w:rPr>
                <w:rFonts w:ascii="Arial" w:hAnsi="Arial" w:cs="Arial"/>
                <w:color w:val="000000"/>
              </w:rPr>
            </w:pPr>
            <w:r w:rsidRPr="00E17614">
              <w:rPr>
                <w:rFonts w:ascii="Arial" w:hAnsi="Arial" w:cs="Arial"/>
                <w:color w:val="000000"/>
              </w:rPr>
              <w:t>Ethnic Studies Curricula</w:t>
            </w:r>
          </w:p>
        </w:tc>
        <w:tc>
          <w:tcPr>
            <w:tcW w:w="2545" w:type="pct"/>
            <w:shd w:val="clear" w:color="auto" w:fill="auto"/>
            <w:vAlign w:val="center"/>
            <w:hideMark/>
          </w:tcPr>
          <w:p w14:paraId="3768D5DA" w14:textId="77777777" w:rsidR="00A3490F" w:rsidRPr="00E17614" w:rsidRDefault="00A3490F" w:rsidP="00AA17E6">
            <w:pPr>
              <w:rPr>
                <w:rFonts w:ascii="Arial" w:hAnsi="Arial" w:cs="Arial"/>
                <w:color w:val="000000"/>
              </w:rPr>
            </w:pPr>
            <w:r w:rsidRPr="00E17614">
              <w:rPr>
                <w:rFonts w:ascii="Arial" w:hAnsi="Arial" w:cs="Arial"/>
                <w:color w:val="000000"/>
              </w:rPr>
              <w:t xml:space="preserve">$1,592,080.22 </w:t>
            </w:r>
          </w:p>
        </w:tc>
      </w:tr>
      <w:tr w:rsidR="00A3490F" w:rsidRPr="00E17614" w14:paraId="162F9388" w14:textId="77777777" w:rsidTr="008634C6">
        <w:trPr>
          <w:trHeight w:val="997"/>
        </w:trPr>
        <w:tc>
          <w:tcPr>
            <w:tcW w:w="2455" w:type="pct"/>
            <w:shd w:val="clear" w:color="auto" w:fill="auto"/>
            <w:vAlign w:val="center"/>
            <w:hideMark/>
          </w:tcPr>
          <w:p w14:paraId="0A7340A6" w14:textId="77777777" w:rsidR="00A3490F" w:rsidRPr="00E17614" w:rsidRDefault="00A3490F" w:rsidP="00AA17E6">
            <w:pPr>
              <w:rPr>
                <w:rFonts w:ascii="Arial" w:hAnsi="Arial" w:cs="Arial"/>
                <w:b/>
                <w:bCs/>
                <w:color w:val="000000"/>
              </w:rPr>
            </w:pPr>
            <w:r w:rsidRPr="00E17614">
              <w:rPr>
                <w:rFonts w:ascii="Arial" w:hAnsi="Arial" w:cs="Arial"/>
                <w:b/>
                <w:bCs/>
                <w:color w:val="000000"/>
              </w:rPr>
              <w:t>Total Expenditures</w:t>
            </w:r>
          </w:p>
        </w:tc>
        <w:tc>
          <w:tcPr>
            <w:tcW w:w="2545" w:type="pct"/>
            <w:shd w:val="clear" w:color="auto" w:fill="auto"/>
            <w:vAlign w:val="center"/>
            <w:hideMark/>
          </w:tcPr>
          <w:p w14:paraId="0283D283" w14:textId="77777777" w:rsidR="00A3490F" w:rsidRPr="00E17614" w:rsidRDefault="00A3490F" w:rsidP="00AA17E6">
            <w:pPr>
              <w:rPr>
                <w:rFonts w:ascii="Arial" w:hAnsi="Arial" w:cs="Arial"/>
                <w:b/>
                <w:bCs/>
                <w:color w:val="000000"/>
              </w:rPr>
            </w:pPr>
            <w:r w:rsidRPr="00E17614">
              <w:rPr>
                <w:rFonts w:ascii="Arial" w:hAnsi="Arial" w:cs="Arial"/>
                <w:b/>
                <w:bCs/>
                <w:color w:val="000000"/>
              </w:rPr>
              <w:t xml:space="preserve">$316,886,484.42 </w:t>
            </w:r>
          </w:p>
        </w:tc>
      </w:tr>
    </w:tbl>
    <w:p w14:paraId="11EE01AB" w14:textId="59B0E8CE" w:rsidR="006A7B86" w:rsidRPr="00E17614" w:rsidRDefault="00E27DE9" w:rsidP="00A3490F">
      <w:pPr>
        <w:tabs>
          <w:tab w:val="left" w:pos="1080"/>
        </w:tabs>
        <w:autoSpaceDE w:val="0"/>
        <w:autoSpaceDN w:val="0"/>
        <w:adjustRightInd w:val="0"/>
        <w:spacing w:before="240" w:after="240"/>
        <w:rPr>
          <w:rFonts w:ascii="Arial" w:hAnsi="Arial" w:cs="Arial"/>
          <w:bCs/>
        </w:rPr>
      </w:pPr>
      <w:r w:rsidRPr="00E17614">
        <w:rPr>
          <w:rFonts w:ascii="Arial" w:hAnsi="Arial" w:cs="Arial"/>
          <w:bCs/>
        </w:rPr>
        <w:t>Please note that the Teacher Retention Strategies allowable use has only been in effect for one yea</w:t>
      </w:r>
      <w:r w:rsidR="007D59BB" w:rsidRPr="00E17614">
        <w:rPr>
          <w:rFonts w:ascii="Arial" w:hAnsi="Arial" w:cs="Arial"/>
          <w:bCs/>
        </w:rPr>
        <w:t>r.</w:t>
      </w:r>
    </w:p>
    <w:p w14:paraId="72E0071E" w14:textId="77777777" w:rsidR="006A7B86" w:rsidRPr="00E17614" w:rsidRDefault="006A7B86">
      <w:pPr>
        <w:rPr>
          <w:rFonts w:ascii="Arial" w:hAnsi="Arial" w:cs="Arial"/>
          <w:bCs/>
        </w:rPr>
      </w:pPr>
      <w:r w:rsidRPr="00E17614">
        <w:rPr>
          <w:rFonts w:ascii="Arial" w:hAnsi="Arial" w:cs="Arial"/>
          <w:bCs/>
        </w:rPr>
        <w:br w:type="page"/>
      </w:r>
    </w:p>
    <w:p w14:paraId="7A9ED098" w14:textId="19BCAE95" w:rsidR="00A978FC" w:rsidRPr="00E17614" w:rsidRDefault="001339F9" w:rsidP="001339F9">
      <w:pPr>
        <w:tabs>
          <w:tab w:val="left" w:pos="1080"/>
        </w:tabs>
        <w:autoSpaceDE w:val="0"/>
        <w:autoSpaceDN w:val="0"/>
        <w:adjustRightInd w:val="0"/>
        <w:spacing w:before="480" w:after="240"/>
        <w:jc w:val="center"/>
        <w:rPr>
          <w:rFonts w:ascii="Arial" w:hAnsi="Arial" w:cs="Arial"/>
          <w:b/>
          <w:bCs/>
        </w:rPr>
      </w:pPr>
      <w:bookmarkStart w:id="37" w:name="_Toc148514297"/>
      <w:bookmarkStart w:id="38" w:name="_Toc148516372"/>
      <w:r w:rsidRPr="00E17614">
        <w:rPr>
          <w:rFonts w:ascii="Arial" w:hAnsi="Arial" w:cs="Arial"/>
          <w:b/>
          <w:bCs/>
        </w:rPr>
        <w:lastRenderedPageBreak/>
        <w:t xml:space="preserve">Educator Effectiveness Funds </w:t>
      </w:r>
      <w:bookmarkEnd w:id="37"/>
      <w:bookmarkEnd w:id="38"/>
      <w:r w:rsidRPr="00E17614">
        <w:rPr>
          <w:rFonts w:ascii="Arial" w:hAnsi="Arial" w:cs="Arial"/>
          <w:b/>
          <w:bCs/>
        </w:rPr>
        <w:t>Block Grant Funding Summary</w:t>
      </w:r>
    </w:p>
    <w:p w14:paraId="4FC45565" w14:textId="4549AEA6" w:rsidR="00E8080C" w:rsidRPr="00E17614" w:rsidRDefault="00E8080C" w:rsidP="007F6D69">
      <w:pPr>
        <w:spacing w:after="240"/>
        <w:rPr>
          <w:rFonts w:ascii="Arial" w:hAnsi="Arial" w:cs="Arial"/>
          <w:b/>
          <w:bCs/>
        </w:rPr>
      </w:pPr>
      <w:r w:rsidRPr="00E17614">
        <w:rPr>
          <w:rFonts w:ascii="Arial" w:hAnsi="Arial" w:cs="Arial"/>
          <w:b/>
          <w:bCs/>
        </w:rPr>
        <w:t>Table 1</w:t>
      </w:r>
      <w:r w:rsidR="002F2CA9" w:rsidRPr="00E17614">
        <w:rPr>
          <w:rFonts w:ascii="Arial" w:hAnsi="Arial" w:cs="Arial"/>
          <w:b/>
          <w:bCs/>
        </w:rPr>
        <w:t>5</w:t>
      </w:r>
      <w:r w:rsidRPr="00E17614">
        <w:rPr>
          <w:rFonts w:ascii="Arial" w:hAnsi="Arial" w:cs="Arial"/>
          <w:b/>
          <w:bCs/>
        </w:rPr>
        <w:t>. Educator Effectiveness Funds Summary for Fiscal Years 2021–22 and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Educator Effectiveness Funds Total Summary of Expenditures for 2021–22 and 2022–23."/>
        <w:tblDescription w:val="Table 15. Educator Effectiveness Funds summary of expenditures for 2021–22 and 2022–23."/>
      </w:tblPr>
      <w:tblGrid>
        <w:gridCol w:w="2172"/>
        <w:gridCol w:w="2592"/>
        <w:gridCol w:w="2566"/>
        <w:gridCol w:w="2020"/>
      </w:tblGrid>
      <w:tr w:rsidR="001339F9" w:rsidRPr="00E17614" w14:paraId="5834BB42" w14:textId="77777777" w:rsidTr="008634C6">
        <w:trPr>
          <w:trHeight w:val="320"/>
        </w:trPr>
        <w:tc>
          <w:tcPr>
            <w:tcW w:w="1162" w:type="pct"/>
            <w:shd w:val="clear" w:color="000000" w:fill="BDD6EE"/>
            <w:vAlign w:val="center"/>
            <w:hideMark/>
          </w:tcPr>
          <w:p w14:paraId="36FE3E24" w14:textId="77777777" w:rsidR="001339F9" w:rsidRPr="00E17614" w:rsidRDefault="001339F9" w:rsidP="00566BE6">
            <w:pPr>
              <w:jc w:val="center"/>
              <w:rPr>
                <w:rFonts w:ascii="Arial" w:hAnsi="Arial" w:cs="Arial"/>
                <w:b/>
                <w:bCs/>
                <w:color w:val="000000"/>
              </w:rPr>
            </w:pPr>
            <w:r w:rsidRPr="00E17614">
              <w:rPr>
                <w:rFonts w:ascii="Arial" w:hAnsi="Arial" w:cs="Arial"/>
                <w:b/>
                <w:bCs/>
                <w:color w:val="000000"/>
              </w:rPr>
              <w:t>Total Funds Spent</w:t>
            </w:r>
          </w:p>
        </w:tc>
        <w:tc>
          <w:tcPr>
            <w:tcW w:w="1386" w:type="pct"/>
            <w:shd w:val="clear" w:color="000000" w:fill="BDD6EE"/>
            <w:vAlign w:val="center"/>
            <w:hideMark/>
          </w:tcPr>
          <w:p w14:paraId="52A2C5E5" w14:textId="43A1AF13" w:rsidR="001339F9" w:rsidRPr="00E17614" w:rsidRDefault="001339F9" w:rsidP="00566BE6">
            <w:pPr>
              <w:jc w:val="center"/>
              <w:rPr>
                <w:rFonts w:ascii="Arial" w:hAnsi="Arial" w:cs="Arial"/>
                <w:b/>
                <w:bCs/>
                <w:color w:val="000000"/>
              </w:rPr>
            </w:pPr>
            <w:r w:rsidRPr="00E17614">
              <w:rPr>
                <w:rFonts w:ascii="Arial" w:hAnsi="Arial" w:cs="Arial"/>
                <w:b/>
                <w:bCs/>
                <w:color w:val="000000"/>
              </w:rPr>
              <w:t>Fiscal Year 2021</w:t>
            </w:r>
            <w:r w:rsidR="00B57DB2" w:rsidRPr="00E17614">
              <w:rPr>
                <w:rFonts w:ascii="Arial" w:hAnsi="Arial" w:cs="Arial"/>
                <w:b/>
                <w:bCs/>
                <w:color w:val="000000"/>
              </w:rPr>
              <w:t>–</w:t>
            </w:r>
            <w:r w:rsidRPr="00E17614">
              <w:rPr>
                <w:rFonts w:ascii="Arial" w:hAnsi="Arial" w:cs="Arial"/>
                <w:b/>
                <w:bCs/>
                <w:color w:val="000000"/>
              </w:rPr>
              <w:t>22</w:t>
            </w:r>
          </w:p>
        </w:tc>
        <w:tc>
          <w:tcPr>
            <w:tcW w:w="1372" w:type="pct"/>
            <w:shd w:val="clear" w:color="000000" w:fill="BDD6EE"/>
            <w:vAlign w:val="center"/>
            <w:hideMark/>
          </w:tcPr>
          <w:p w14:paraId="498EB25D" w14:textId="4A915CAC" w:rsidR="001339F9" w:rsidRPr="00E17614" w:rsidRDefault="001339F9" w:rsidP="00566BE6">
            <w:pPr>
              <w:jc w:val="center"/>
              <w:rPr>
                <w:rFonts w:ascii="Arial" w:hAnsi="Arial" w:cs="Arial"/>
                <w:b/>
                <w:bCs/>
                <w:color w:val="000000"/>
              </w:rPr>
            </w:pPr>
            <w:r w:rsidRPr="00E17614">
              <w:rPr>
                <w:rFonts w:ascii="Arial" w:hAnsi="Arial" w:cs="Arial"/>
                <w:b/>
                <w:bCs/>
                <w:color w:val="000000"/>
              </w:rPr>
              <w:t>Fiscal Year 2022</w:t>
            </w:r>
            <w:r w:rsidR="00B57DB2" w:rsidRPr="00E17614">
              <w:rPr>
                <w:rFonts w:ascii="Arial" w:hAnsi="Arial" w:cs="Arial"/>
                <w:b/>
                <w:bCs/>
                <w:color w:val="000000"/>
              </w:rPr>
              <w:t>–</w:t>
            </w:r>
            <w:r w:rsidRPr="00E17614">
              <w:rPr>
                <w:rFonts w:ascii="Arial" w:hAnsi="Arial" w:cs="Arial"/>
                <w:b/>
                <w:bCs/>
                <w:color w:val="000000"/>
              </w:rPr>
              <w:t>23</w:t>
            </w:r>
          </w:p>
        </w:tc>
        <w:tc>
          <w:tcPr>
            <w:tcW w:w="1080" w:type="pct"/>
            <w:shd w:val="clear" w:color="000000" w:fill="BDD6EE"/>
            <w:vAlign w:val="center"/>
            <w:hideMark/>
          </w:tcPr>
          <w:p w14:paraId="025D8144" w14:textId="77777777" w:rsidR="001339F9" w:rsidRPr="00E17614" w:rsidRDefault="001339F9" w:rsidP="00566BE6">
            <w:pPr>
              <w:jc w:val="center"/>
              <w:rPr>
                <w:rFonts w:ascii="Arial" w:hAnsi="Arial" w:cs="Arial"/>
                <w:b/>
                <w:bCs/>
                <w:color w:val="000000"/>
              </w:rPr>
            </w:pPr>
            <w:r w:rsidRPr="00E17614">
              <w:rPr>
                <w:rFonts w:ascii="Arial" w:hAnsi="Arial" w:cs="Arial"/>
                <w:b/>
                <w:bCs/>
                <w:color w:val="000000"/>
              </w:rPr>
              <w:t xml:space="preserve">Total </w:t>
            </w:r>
          </w:p>
        </w:tc>
      </w:tr>
      <w:tr w:rsidR="001339F9" w:rsidRPr="00E17614" w14:paraId="4A90871F" w14:textId="77777777" w:rsidTr="008634C6">
        <w:trPr>
          <w:trHeight w:val="940"/>
        </w:trPr>
        <w:tc>
          <w:tcPr>
            <w:tcW w:w="1162" w:type="pct"/>
            <w:shd w:val="clear" w:color="auto" w:fill="auto"/>
            <w:vAlign w:val="center"/>
            <w:hideMark/>
          </w:tcPr>
          <w:p w14:paraId="7A00BD99" w14:textId="77777777" w:rsidR="001339F9" w:rsidRPr="00E17614" w:rsidRDefault="001339F9" w:rsidP="009856B1">
            <w:pPr>
              <w:rPr>
                <w:rFonts w:ascii="Arial" w:hAnsi="Arial" w:cs="Arial"/>
                <w:color w:val="000000"/>
              </w:rPr>
            </w:pPr>
            <w:r w:rsidRPr="00E17614">
              <w:rPr>
                <w:rFonts w:ascii="Arial" w:hAnsi="Arial" w:cs="Arial"/>
                <w:color w:val="000000"/>
              </w:rPr>
              <w:t>Educator Effectiveness Funds Block Grant Funding Summary</w:t>
            </w:r>
          </w:p>
        </w:tc>
        <w:tc>
          <w:tcPr>
            <w:tcW w:w="1386" w:type="pct"/>
            <w:shd w:val="clear" w:color="auto" w:fill="auto"/>
            <w:vAlign w:val="center"/>
            <w:hideMark/>
          </w:tcPr>
          <w:p w14:paraId="097699A3" w14:textId="70206D56" w:rsidR="001339F9" w:rsidRPr="00E17614" w:rsidRDefault="001339F9" w:rsidP="009856B1">
            <w:pPr>
              <w:rPr>
                <w:rFonts w:ascii="Arial" w:hAnsi="Arial" w:cs="Arial"/>
                <w:color w:val="000000"/>
              </w:rPr>
            </w:pPr>
            <w:r w:rsidRPr="00E17614">
              <w:rPr>
                <w:rFonts w:ascii="Arial" w:hAnsi="Arial" w:cs="Arial"/>
                <w:color w:val="000000"/>
              </w:rPr>
              <w:t>$49,255,442.99</w:t>
            </w:r>
          </w:p>
        </w:tc>
        <w:tc>
          <w:tcPr>
            <w:tcW w:w="1372" w:type="pct"/>
            <w:shd w:val="clear" w:color="auto" w:fill="auto"/>
            <w:vAlign w:val="center"/>
            <w:hideMark/>
          </w:tcPr>
          <w:p w14:paraId="25F0A9DB" w14:textId="270F80A4" w:rsidR="001339F9" w:rsidRPr="00E17614" w:rsidRDefault="001339F9" w:rsidP="009856B1">
            <w:pPr>
              <w:rPr>
                <w:rFonts w:ascii="Arial" w:hAnsi="Arial" w:cs="Arial"/>
                <w:color w:val="000000"/>
              </w:rPr>
            </w:pPr>
            <w:r w:rsidRPr="00E17614">
              <w:rPr>
                <w:rFonts w:ascii="Arial" w:hAnsi="Arial" w:cs="Arial"/>
                <w:color w:val="000000"/>
              </w:rPr>
              <w:t>$267,631,041.43</w:t>
            </w:r>
          </w:p>
        </w:tc>
        <w:tc>
          <w:tcPr>
            <w:tcW w:w="1080" w:type="pct"/>
            <w:shd w:val="clear" w:color="auto" w:fill="auto"/>
            <w:vAlign w:val="center"/>
            <w:hideMark/>
          </w:tcPr>
          <w:p w14:paraId="1CB0ED69" w14:textId="18C6EBEC" w:rsidR="001339F9" w:rsidRPr="00E17614" w:rsidRDefault="001339F9" w:rsidP="009856B1">
            <w:pPr>
              <w:rPr>
                <w:rFonts w:ascii="Arial" w:hAnsi="Arial" w:cs="Arial"/>
                <w:color w:val="000000"/>
              </w:rPr>
            </w:pPr>
            <w:r w:rsidRPr="00E17614">
              <w:rPr>
                <w:rFonts w:ascii="Arial" w:hAnsi="Arial" w:cs="Arial"/>
                <w:color w:val="000000"/>
              </w:rPr>
              <w:t>$316,886,484.42</w:t>
            </w:r>
          </w:p>
        </w:tc>
      </w:tr>
    </w:tbl>
    <w:p w14:paraId="6244BD4A" w14:textId="6AF06469" w:rsidR="004277AA" w:rsidRPr="00E17614" w:rsidRDefault="001339F9" w:rsidP="00A02F6F">
      <w:pPr>
        <w:tabs>
          <w:tab w:val="left" w:pos="1080"/>
        </w:tabs>
        <w:autoSpaceDE w:val="0"/>
        <w:autoSpaceDN w:val="0"/>
        <w:adjustRightInd w:val="0"/>
        <w:spacing w:before="240" w:after="240"/>
        <w:rPr>
          <w:rFonts w:ascii="Arial" w:hAnsi="Arial" w:cs="Arial"/>
        </w:rPr>
      </w:pPr>
      <w:r w:rsidRPr="00E17614">
        <w:rPr>
          <w:rFonts w:ascii="Arial" w:hAnsi="Arial" w:cs="Arial"/>
        </w:rPr>
        <w:t>For FYs 2021–22 and 2022–23</w:t>
      </w:r>
      <w:r w:rsidR="006F2FF7" w:rsidRPr="00E17614">
        <w:rPr>
          <w:rFonts w:ascii="Arial" w:hAnsi="Arial" w:cs="Arial"/>
        </w:rPr>
        <w:t>,</w:t>
      </w:r>
      <w:r w:rsidRPr="00E17614">
        <w:rPr>
          <w:rFonts w:ascii="Arial" w:hAnsi="Arial" w:cs="Arial"/>
        </w:rPr>
        <w:t xml:space="preserve"> LEAs spent $108,498,046.43 on EEF Services and Purchases costs. Moreover, LEAs have spent the following in each EEF allowable use area: (1) Coaching and Mentoring at $93,289,754.76</w:t>
      </w:r>
      <w:r w:rsidR="006F2FF7" w:rsidRPr="00E17614">
        <w:rPr>
          <w:rFonts w:ascii="Arial" w:hAnsi="Arial" w:cs="Arial"/>
          <w:bCs/>
        </w:rPr>
        <w:t>;</w:t>
      </w:r>
      <w:r w:rsidRPr="00E17614">
        <w:rPr>
          <w:rFonts w:ascii="Arial" w:hAnsi="Arial" w:cs="Arial"/>
          <w:bCs/>
        </w:rPr>
        <w:t xml:space="preserve"> (2) Standards-Aligned Instruction at $53,653,511.45</w:t>
      </w:r>
      <w:r w:rsidR="006F2FF7" w:rsidRPr="00E17614">
        <w:rPr>
          <w:rFonts w:ascii="Arial" w:hAnsi="Arial" w:cs="Arial"/>
          <w:bCs/>
        </w:rPr>
        <w:t>;</w:t>
      </w:r>
      <w:r w:rsidRPr="00E17614">
        <w:rPr>
          <w:rFonts w:ascii="Arial" w:hAnsi="Arial" w:cs="Arial"/>
          <w:bCs/>
        </w:rPr>
        <w:t xml:space="preserve"> (3) Pupil Reengagement and Accelerated Learning at $9,426,401.77</w:t>
      </w:r>
      <w:r w:rsidR="006F2FF7" w:rsidRPr="00E17614">
        <w:rPr>
          <w:rFonts w:ascii="Arial" w:hAnsi="Arial" w:cs="Arial"/>
          <w:bCs/>
        </w:rPr>
        <w:t>;</w:t>
      </w:r>
      <w:r w:rsidRPr="00E17614">
        <w:rPr>
          <w:rFonts w:ascii="Arial" w:hAnsi="Arial" w:cs="Arial"/>
          <w:bCs/>
        </w:rPr>
        <w:t xml:space="preserve"> (4) Strategies to Improve Pupil Well</w:t>
      </w:r>
      <w:r w:rsidR="006F2FF7" w:rsidRPr="00E17614">
        <w:rPr>
          <w:rFonts w:ascii="Arial" w:hAnsi="Arial" w:cs="Arial"/>
          <w:bCs/>
        </w:rPr>
        <w:t>-</w:t>
      </w:r>
      <w:r w:rsidRPr="00E17614">
        <w:rPr>
          <w:rFonts w:ascii="Arial" w:hAnsi="Arial" w:cs="Arial"/>
          <w:bCs/>
        </w:rPr>
        <w:t>being at $8,590,317.71</w:t>
      </w:r>
      <w:r w:rsidR="006F2FF7" w:rsidRPr="00E17614">
        <w:rPr>
          <w:rFonts w:ascii="Arial" w:hAnsi="Arial" w:cs="Arial"/>
          <w:bCs/>
        </w:rPr>
        <w:t>;</w:t>
      </w:r>
      <w:r w:rsidRPr="00E17614">
        <w:rPr>
          <w:rFonts w:ascii="Arial" w:hAnsi="Arial" w:cs="Arial"/>
          <w:bCs/>
        </w:rPr>
        <w:t xml:space="preserve"> (5) Practices to Promote Positive School Climate at $17,855,532.25</w:t>
      </w:r>
      <w:r w:rsidR="006F2FF7" w:rsidRPr="00E17614">
        <w:rPr>
          <w:rFonts w:ascii="Arial" w:hAnsi="Arial" w:cs="Arial"/>
          <w:bCs/>
        </w:rPr>
        <w:t>;</w:t>
      </w:r>
      <w:r w:rsidRPr="00E17614">
        <w:rPr>
          <w:rFonts w:ascii="Arial" w:hAnsi="Arial" w:cs="Arial"/>
          <w:bCs/>
        </w:rPr>
        <w:t xml:space="preserve"> (6) Inclusive Practices and Strategies at $4,747,073.95</w:t>
      </w:r>
      <w:r w:rsidR="006F2FF7" w:rsidRPr="00E17614">
        <w:rPr>
          <w:rFonts w:ascii="Arial" w:hAnsi="Arial" w:cs="Arial"/>
          <w:bCs/>
        </w:rPr>
        <w:t>;</w:t>
      </w:r>
      <w:r w:rsidRPr="00E17614">
        <w:rPr>
          <w:rFonts w:ascii="Arial" w:hAnsi="Arial" w:cs="Arial"/>
          <w:bCs/>
        </w:rPr>
        <w:t xml:space="preserve"> (7) English Learner Programs at $6,430,400.37</w:t>
      </w:r>
      <w:r w:rsidR="006F2FF7" w:rsidRPr="00E17614">
        <w:rPr>
          <w:rFonts w:ascii="Arial" w:hAnsi="Arial" w:cs="Arial"/>
        </w:rPr>
        <w:t>;</w:t>
      </w:r>
      <w:r w:rsidRPr="00E17614">
        <w:rPr>
          <w:rFonts w:ascii="Arial" w:hAnsi="Arial" w:cs="Arial"/>
        </w:rPr>
        <w:t xml:space="preserve"> (8) New Professional Learning Networks at </w:t>
      </w:r>
      <w:r w:rsidRPr="00E17614">
        <w:rPr>
          <w:rFonts w:ascii="Arial" w:hAnsi="Arial" w:cs="Arial"/>
          <w:bCs/>
        </w:rPr>
        <w:t>$8,034,169.33</w:t>
      </w:r>
      <w:r w:rsidR="006F2FF7" w:rsidRPr="00E17614">
        <w:rPr>
          <w:rFonts w:ascii="Arial" w:hAnsi="Arial" w:cs="Arial"/>
          <w:bCs/>
        </w:rPr>
        <w:t>;</w:t>
      </w:r>
      <w:r w:rsidRPr="00E17614">
        <w:rPr>
          <w:rFonts w:ascii="Arial" w:hAnsi="Arial" w:cs="Arial"/>
          <w:bCs/>
        </w:rPr>
        <w:t xml:space="preserve"> (9) Ethnic Studies Curricula at $1,592,080.22</w:t>
      </w:r>
      <w:r w:rsidR="006F2FF7" w:rsidRPr="00E17614">
        <w:rPr>
          <w:rFonts w:ascii="Arial" w:hAnsi="Arial" w:cs="Arial"/>
          <w:bCs/>
        </w:rPr>
        <w:t>;</w:t>
      </w:r>
      <w:r w:rsidRPr="00E17614">
        <w:rPr>
          <w:rFonts w:ascii="Arial" w:hAnsi="Arial" w:cs="Arial"/>
          <w:bCs/>
        </w:rPr>
        <w:t xml:space="preserve"> (10) Early Childhood Development at </w:t>
      </w:r>
      <w:r w:rsidRPr="00E17614">
        <w:rPr>
          <w:rFonts w:ascii="Arial" w:hAnsi="Arial" w:cs="Arial"/>
        </w:rPr>
        <w:t>$1,871,425.92</w:t>
      </w:r>
      <w:r w:rsidR="006F2FF7" w:rsidRPr="00E17614">
        <w:rPr>
          <w:rFonts w:ascii="Arial" w:hAnsi="Arial" w:cs="Arial"/>
        </w:rPr>
        <w:t>;</w:t>
      </w:r>
      <w:r w:rsidRPr="00E17614">
        <w:rPr>
          <w:rFonts w:ascii="Arial" w:hAnsi="Arial" w:cs="Arial"/>
        </w:rPr>
        <w:t xml:space="preserve"> and (11) Teacher Retention Strategies at $2,897,770.26. Overall, LEAs have spent $316,886,484.42 of the EEF</w:t>
      </w:r>
      <w:r w:rsidR="00287FC4" w:rsidRPr="00E17614">
        <w:rPr>
          <w:rFonts w:ascii="Arial" w:hAnsi="Arial" w:cs="Arial"/>
        </w:rPr>
        <w:t xml:space="preserve"> </w:t>
      </w:r>
      <w:r w:rsidRPr="00E17614">
        <w:rPr>
          <w:rFonts w:ascii="Arial" w:hAnsi="Arial" w:cs="Arial"/>
        </w:rPr>
        <w:t>in the first two years (</w:t>
      </w:r>
      <w:r w:rsidRPr="00E17614">
        <w:rPr>
          <w:rFonts w:ascii="Arial" w:hAnsi="Arial" w:cs="Arial"/>
          <w:color w:val="000000"/>
          <w:shd w:val="clear" w:color="auto" w:fill="FFFFFF"/>
        </w:rPr>
        <w:t>2021–22 and 2022–23)</w:t>
      </w:r>
      <w:r w:rsidRPr="00E17614">
        <w:rPr>
          <w:rFonts w:ascii="Arial" w:hAnsi="Arial" w:cs="Arial"/>
        </w:rPr>
        <w:t>. LEAs have until June 30, 2026, to expend all allocated fund</w:t>
      </w:r>
      <w:r w:rsidR="00A02F6F" w:rsidRPr="00E17614">
        <w:rPr>
          <w:rFonts w:ascii="Arial" w:hAnsi="Arial" w:cs="Arial"/>
        </w:rPr>
        <w:t xml:space="preserve">s. </w:t>
      </w:r>
      <w:bookmarkEnd w:id="9"/>
    </w:p>
    <w:sectPr w:rsidR="004277AA" w:rsidRPr="00E17614" w:rsidSect="00A6618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A4F34" w14:textId="77777777" w:rsidR="005148F2" w:rsidRDefault="005148F2">
      <w:r>
        <w:separator/>
      </w:r>
    </w:p>
  </w:endnote>
  <w:endnote w:type="continuationSeparator" w:id="0">
    <w:p w14:paraId="15B80BF5" w14:textId="77777777" w:rsidR="005148F2" w:rsidRDefault="0051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939391"/>
      <w:docPartObj>
        <w:docPartGallery w:val="Page Numbers (Bottom of Page)"/>
        <w:docPartUnique/>
      </w:docPartObj>
    </w:sdtPr>
    <w:sdtEndPr>
      <w:rPr>
        <w:rFonts w:ascii="Arial" w:hAnsi="Arial" w:cs="Arial"/>
        <w:noProof/>
      </w:rPr>
    </w:sdtEndPr>
    <w:sdtContent>
      <w:p w14:paraId="4A0F913F" w14:textId="151325C7" w:rsidR="00C57F9B" w:rsidRPr="001A31C1" w:rsidRDefault="00C57F9B">
        <w:pPr>
          <w:pStyle w:val="Footer"/>
          <w:jc w:val="center"/>
          <w:rPr>
            <w:rFonts w:ascii="Arial" w:hAnsi="Arial" w:cs="Arial"/>
          </w:rPr>
        </w:pPr>
        <w:r w:rsidRPr="001A31C1">
          <w:rPr>
            <w:rFonts w:ascii="Arial" w:hAnsi="Arial" w:cs="Arial"/>
          </w:rPr>
          <w:fldChar w:fldCharType="begin"/>
        </w:r>
        <w:r w:rsidRPr="001A31C1">
          <w:rPr>
            <w:rFonts w:ascii="Arial" w:hAnsi="Arial" w:cs="Arial"/>
          </w:rPr>
          <w:instrText xml:space="preserve"> PAGE   \* MERGEFORMAT </w:instrText>
        </w:r>
        <w:r w:rsidRPr="001A31C1">
          <w:rPr>
            <w:rFonts w:ascii="Arial" w:hAnsi="Arial" w:cs="Arial"/>
          </w:rPr>
          <w:fldChar w:fldCharType="separate"/>
        </w:r>
        <w:r w:rsidRPr="001A31C1">
          <w:rPr>
            <w:rFonts w:ascii="Arial" w:hAnsi="Arial" w:cs="Arial"/>
            <w:noProof/>
          </w:rPr>
          <w:t>2</w:t>
        </w:r>
        <w:r w:rsidRPr="001A31C1">
          <w:rPr>
            <w:rFonts w:ascii="Arial" w:hAnsi="Arial" w:cs="Arial"/>
            <w:noProof/>
          </w:rPr>
          <w:fldChar w:fldCharType="end"/>
        </w:r>
      </w:p>
    </w:sdtContent>
  </w:sdt>
  <w:p w14:paraId="5A7992EC" w14:textId="77777777" w:rsidR="00C57F9B" w:rsidRDefault="00C57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8561"/>
      <w:docPartObj>
        <w:docPartGallery w:val="Page Numbers (Bottom of Page)"/>
        <w:docPartUnique/>
      </w:docPartObj>
    </w:sdtPr>
    <w:sdtEndPr>
      <w:rPr>
        <w:rFonts w:ascii="Arial" w:hAnsi="Arial" w:cs="Arial"/>
        <w:noProof/>
      </w:rPr>
    </w:sdtEndPr>
    <w:sdtContent>
      <w:p w14:paraId="06AE13F0" w14:textId="36AC5F80" w:rsidR="00C57F9B" w:rsidRPr="005056B0" w:rsidRDefault="00ED06C7" w:rsidP="005056B0">
        <w:pPr>
          <w:pStyle w:val="Footer"/>
          <w:jc w:val="center"/>
          <w:rPr>
            <w:rFonts w:ascii="Arial" w:hAnsi="Arial" w:cs="Arial"/>
          </w:rPr>
        </w:pPr>
        <w:r w:rsidRPr="00ED06C7">
          <w:rPr>
            <w:rFonts w:ascii="Arial" w:hAnsi="Arial" w:cs="Arial"/>
          </w:rPr>
          <w:fldChar w:fldCharType="begin"/>
        </w:r>
        <w:r w:rsidRPr="00ED06C7">
          <w:rPr>
            <w:rFonts w:ascii="Arial" w:hAnsi="Arial" w:cs="Arial"/>
          </w:rPr>
          <w:instrText xml:space="preserve"> PAGE   \* MERGEFORMAT </w:instrText>
        </w:r>
        <w:r w:rsidRPr="00ED06C7">
          <w:rPr>
            <w:rFonts w:ascii="Arial" w:hAnsi="Arial" w:cs="Arial"/>
          </w:rPr>
          <w:fldChar w:fldCharType="separate"/>
        </w:r>
        <w:r w:rsidRPr="00ED06C7">
          <w:rPr>
            <w:rFonts w:ascii="Arial" w:hAnsi="Arial" w:cs="Arial"/>
            <w:noProof/>
          </w:rPr>
          <w:t>1</w:t>
        </w:r>
        <w:r w:rsidRPr="00ED06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C9FC" w14:textId="77777777" w:rsidR="005148F2" w:rsidRDefault="005148F2">
      <w:r>
        <w:separator/>
      </w:r>
    </w:p>
  </w:footnote>
  <w:footnote w:type="continuationSeparator" w:id="0">
    <w:p w14:paraId="3BA4A1C4" w14:textId="77777777" w:rsidR="005148F2" w:rsidRDefault="0051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CF8"/>
    <w:multiLevelType w:val="hybridMultilevel"/>
    <w:tmpl w:val="87A092CA"/>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5469"/>
    <w:multiLevelType w:val="hybridMultilevel"/>
    <w:tmpl w:val="F130813C"/>
    <w:lvl w:ilvl="0" w:tplc="5C3CEA36">
      <w:start w:val="1"/>
      <w:numFmt w:val="bullet"/>
      <w:lvlText w:val="•"/>
      <w:lvlJc w:val="left"/>
      <w:pPr>
        <w:tabs>
          <w:tab w:val="num" w:pos="720"/>
        </w:tabs>
        <w:ind w:left="720" w:hanging="360"/>
      </w:pPr>
      <w:rPr>
        <w:rFonts w:ascii="Arial" w:hAnsi="Arial" w:hint="default"/>
      </w:rPr>
    </w:lvl>
    <w:lvl w:ilvl="1" w:tplc="A956F594" w:tentative="1">
      <w:start w:val="1"/>
      <w:numFmt w:val="bullet"/>
      <w:lvlText w:val="•"/>
      <w:lvlJc w:val="left"/>
      <w:pPr>
        <w:tabs>
          <w:tab w:val="num" w:pos="1440"/>
        </w:tabs>
        <w:ind w:left="1440" w:hanging="360"/>
      </w:pPr>
      <w:rPr>
        <w:rFonts w:ascii="Arial" w:hAnsi="Arial" w:hint="default"/>
      </w:rPr>
    </w:lvl>
    <w:lvl w:ilvl="2" w:tplc="EE12DC20" w:tentative="1">
      <w:start w:val="1"/>
      <w:numFmt w:val="bullet"/>
      <w:lvlText w:val="•"/>
      <w:lvlJc w:val="left"/>
      <w:pPr>
        <w:tabs>
          <w:tab w:val="num" w:pos="2160"/>
        </w:tabs>
        <w:ind w:left="2160" w:hanging="360"/>
      </w:pPr>
      <w:rPr>
        <w:rFonts w:ascii="Arial" w:hAnsi="Arial" w:hint="default"/>
      </w:rPr>
    </w:lvl>
    <w:lvl w:ilvl="3" w:tplc="72D832E0" w:tentative="1">
      <w:start w:val="1"/>
      <w:numFmt w:val="bullet"/>
      <w:lvlText w:val="•"/>
      <w:lvlJc w:val="left"/>
      <w:pPr>
        <w:tabs>
          <w:tab w:val="num" w:pos="2880"/>
        </w:tabs>
        <w:ind w:left="2880" w:hanging="360"/>
      </w:pPr>
      <w:rPr>
        <w:rFonts w:ascii="Arial" w:hAnsi="Arial" w:hint="default"/>
      </w:rPr>
    </w:lvl>
    <w:lvl w:ilvl="4" w:tplc="275A1FF2" w:tentative="1">
      <w:start w:val="1"/>
      <w:numFmt w:val="bullet"/>
      <w:lvlText w:val="•"/>
      <w:lvlJc w:val="left"/>
      <w:pPr>
        <w:tabs>
          <w:tab w:val="num" w:pos="3600"/>
        </w:tabs>
        <w:ind w:left="3600" w:hanging="360"/>
      </w:pPr>
      <w:rPr>
        <w:rFonts w:ascii="Arial" w:hAnsi="Arial" w:hint="default"/>
      </w:rPr>
    </w:lvl>
    <w:lvl w:ilvl="5" w:tplc="D2F69FF6" w:tentative="1">
      <w:start w:val="1"/>
      <w:numFmt w:val="bullet"/>
      <w:lvlText w:val="•"/>
      <w:lvlJc w:val="left"/>
      <w:pPr>
        <w:tabs>
          <w:tab w:val="num" w:pos="4320"/>
        </w:tabs>
        <w:ind w:left="4320" w:hanging="360"/>
      </w:pPr>
      <w:rPr>
        <w:rFonts w:ascii="Arial" w:hAnsi="Arial" w:hint="default"/>
      </w:rPr>
    </w:lvl>
    <w:lvl w:ilvl="6" w:tplc="3050FB0A" w:tentative="1">
      <w:start w:val="1"/>
      <w:numFmt w:val="bullet"/>
      <w:lvlText w:val="•"/>
      <w:lvlJc w:val="left"/>
      <w:pPr>
        <w:tabs>
          <w:tab w:val="num" w:pos="5040"/>
        </w:tabs>
        <w:ind w:left="5040" w:hanging="360"/>
      </w:pPr>
      <w:rPr>
        <w:rFonts w:ascii="Arial" w:hAnsi="Arial" w:hint="default"/>
      </w:rPr>
    </w:lvl>
    <w:lvl w:ilvl="7" w:tplc="6FF69EE4" w:tentative="1">
      <w:start w:val="1"/>
      <w:numFmt w:val="bullet"/>
      <w:lvlText w:val="•"/>
      <w:lvlJc w:val="left"/>
      <w:pPr>
        <w:tabs>
          <w:tab w:val="num" w:pos="5760"/>
        </w:tabs>
        <w:ind w:left="5760" w:hanging="360"/>
      </w:pPr>
      <w:rPr>
        <w:rFonts w:ascii="Arial" w:hAnsi="Arial" w:hint="default"/>
      </w:rPr>
    </w:lvl>
    <w:lvl w:ilvl="8" w:tplc="274A8F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D60991"/>
    <w:multiLevelType w:val="hybridMultilevel"/>
    <w:tmpl w:val="590ECCE0"/>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34CC4"/>
    <w:multiLevelType w:val="hybridMultilevel"/>
    <w:tmpl w:val="8C2E6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7E00EA"/>
    <w:multiLevelType w:val="hybridMultilevel"/>
    <w:tmpl w:val="5B8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C7EC1"/>
    <w:multiLevelType w:val="multilevel"/>
    <w:tmpl w:val="006CA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743F8"/>
    <w:multiLevelType w:val="hybridMultilevel"/>
    <w:tmpl w:val="7A5A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C2152"/>
    <w:multiLevelType w:val="hybridMultilevel"/>
    <w:tmpl w:val="7884F10C"/>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14649"/>
    <w:multiLevelType w:val="hybridMultilevel"/>
    <w:tmpl w:val="2CECCC00"/>
    <w:lvl w:ilvl="0" w:tplc="AC165A0C">
      <w:start w:val="1"/>
      <w:numFmt w:val="bullet"/>
      <w:lvlText w:val=""/>
      <w:lvlJc w:val="left"/>
      <w:pPr>
        <w:tabs>
          <w:tab w:val="num" w:pos="720"/>
        </w:tabs>
        <w:ind w:left="720" w:hanging="360"/>
      </w:pPr>
      <w:rPr>
        <w:rFonts w:ascii="Wingdings" w:hAnsi="Wingdings" w:hint="default"/>
      </w:rPr>
    </w:lvl>
    <w:lvl w:ilvl="1" w:tplc="E6B8DE86">
      <w:start w:val="1"/>
      <w:numFmt w:val="bullet"/>
      <w:lvlText w:val=""/>
      <w:lvlJc w:val="left"/>
      <w:pPr>
        <w:tabs>
          <w:tab w:val="num" w:pos="1440"/>
        </w:tabs>
        <w:ind w:left="1440" w:hanging="360"/>
      </w:pPr>
      <w:rPr>
        <w:rFonts w:ascii="Wingdings" w:hAnsi="Wingdings" w:hint="default"/>
      </w:rPr>
    </w:lvl>
    <w:lvl w:ilvl="2" w:tplc="45F079B8" w:tentative="1">
      <w:start w:val="1"/>
      <w:numFmt w:val="bullet"/>
      <w:lvlText w:val=""/>
      <w:lvlJc w:val="left"/>
      <w:pPr>
        <w:tabs>
          <w:tab w:val="num" w:pos="2160"/>
        </w:tabs>
        <w:ind w:left="2160" w:hanging="360"/>
      </w:pPr>
      <w:rPr>
        <w:rFonts w:ascii="Wingdings" w:hAnsi="Wingdings" w:hint="default"/>
      </w:rPr>
    </w:lvl>
    <w:lvl w:ilvl="3" w:tplc="2B70C466" w:tentative="1">
      <w:start w:val="1"/>
      <w:numFmt w:val="bullet"/>
      <w:lvlText w:val=""/>
      <w:lvlJc w:val="left"/>
      <w:pPr>
        <w:tabs>
          <w:tab w:val="num" w:pos="2880"/>
        </w:tabs>
        <w:ind w:left="2880" w:hanging="360"/>
      </w:pPr>
      <w:rPr>
        <w:rFonts w:ascii="Wingdings" w:hAnsi="Wingdings" w:hint="default"/>
      </w:rPr>
    </w:lvl>
    <w:lvl w:ilvl="4" w:tplc="29AC211A" w:tentative="1">
      <w:start w:val="1"/>
      <w:numFmt w:val="bullet"/>
      <w:lvlText w:val=""/>
      <w:lvlJc w:val="left"/>
      <w:pPr>
        <w:tabs>
          <w:tab w:val="num" w:pos="3600"/>
        </w:tabs>
        <w:ind w:left="3600" w:hanging="360"/>
      </w:pPr>
      <w:rPr>
        <w:rFonts w:ascii="Wingdings" w:hAnsi="Wingdings" w:hint="default"/>
      </w:rPr>
    </w:lvl>
    <w:lvl w:ilvl="5" w:tplc="28AA572E" w:tentative="1">
      <w:start w:val="1"/>
      <w:numFmt w:val="bullet"/>
      <w:lvlText w:val=""/>
      <w:lvlJc w:val="left"/>
      <w:pPr>
        <w:tabs>
          <w:tab w:val="num" w:pos="4320"/>
        </w:tabs>
        <w:ind w:left="4320" w:hanging="360"/>
      </w:pPr>
      <w:rPr>
        <w:rFonts w:ascii="Wingdings" w:hAnsi="Wingdings" w:hint="default"/>
      </w:rPr>
    </w:lvl>
    <w:lvl w:ilvl="6" w:tplc="19EAB02A" w:tentative="1">
      <w:start w:val="1"/>
      <w:numFmt w:val="bullet"/>
      <w:lvlText w:val=""/>
      <w:lvlJc w:val="left"/>
      <w:pPr>
        <w:tabs>
          <w:tab w:val="num" w:pos="5040"/>
        </w:tabs>
        <w:ind w:left="5040" w:hanging="360"/>
      </w:pPr>
      <w:rPr>
        <w:rFonts w:ascii="Wingdings" w:hAnsi="Wingdings" w:hint="default"/>
      </w:rPr>
    </w:lvl>
    <w:lvl w:ilvl="7" w:tplc="DE364E48" w:tentative="1">
      <w:start w:val="1"/>
      <w:numFmt w:val="bullet"/>
      <w:lvlText w:val=""/>
      <w:lvlJc w:val="left"/>
      <w:pPr>
        <w:tabs>
          <w:tab w:val="num" w:pos="5760"/>
        </w:tabs>
        <w:ind w:left="5760" w:hanging="360"/>
      </w:pPr>
      <w:rPr>
        <w:rFonts w:ascii="Wingdings" w:hAnsi="Wingdings" w:hint="default"/>
      </w:rPr>
    </w:lvl>
    <w:lvl w:ilvl="8" w:tplc="9BE64D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7058A"/>
    <w:multiLevelType w:val="hybridMultilevel"/>
    <w:tmpl w:val="630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77568"/>
    <w:multiLevelType w:val="hybridMultilevel"/>
    <w:tmpl w:val="D8303C4A"/>
    <w:lvl w:ilvl="0" w:tplc="6A083986">
      <w:start w:val="1"/>
      <w:numFmt w:val="bullet"/>
      <w:lvlText w:val=""/>
      <w:lvlJc w:val="left"/>
      <w:pPr>
        <w:tabs>
          <w:tab w:val="num" w:pos="720"/>
        </w:tabs>
        <w:ind w:left="720" w:hanging="360"/>
      </w:pPr>
      <w:rPr>
        <w:rFonts w:ascii="Wingdings" w:hAnsi="Wingdings" w:hint="default"/>
      </w:rPr>
    </w:lvl>
    <w:lvl w:ilvl="1" w:tplc="55CA99DC">
      <w:start w:val="1"/>
      <w:numFmt w:val="bullet"/>
      <w:lvlText w:val=""/>
      <w:lvlJc w:val="left"/>
      <w:pPr>
        <w:tabs>
          <w:tab w:val="num" w:pos="1440"/>
        </w:tabs>
        <w:ind w:left="1440" w:hanging="360"/>
      </w:pPr>
      <w:rPr>
        <w:rFonts w:ascii="Wingdings" w:hAnsi="Wingdings" w:hint="default"/>
      </w:rPr>
    </w:lvl>
    <w:lvl w:ilvl="2" w:tplc="22E61414" w:tentative="1">
      <w:start w:val="1"/>
      <w:numFmt w:val="bullet"/>
      <w:lvlText w:val=""/>
      <w:lvlJc w:val="left"/>
      <w:pPr>
        <w:tabs>
          <w:tab w:val="num" w:pos="2160"/>
        </w:tabs>
        <w:ind w:left="2160" w:hanging="360"/>
      </w:pPr>
      <w:rPr>
        <w:rFonts w:ascii="Wingdings" w:hAnsi="Wingdings" w:hint="default"/>
      </w:rPr>
    </w:lvl>
    <w:lvl w:ilvl="3" w:tplc="86527028" w:tentative="1">
      <w:start w:val="1"/>
      <w:numFmt w:val="bullet"/>
      <w:lvlText w:val=""/>
      <w:lvlJc w:val="left"/>
      <w:pPr>
        <w:tabs>
          <w:tab w:val="num" w:pos="2880"/>
        </w:tabs>
        <w:ind w:left="2880" w:hanging="360"/>
      </w:pPr>
      <w:rPr>
        <w:rFonts w:ascii="Wingdings" w:hAnsi="Wingdings" w:hint="default"/>
      </w:rPr>
    </w:lvl>
    <w:lvl w:ilvl="4" w:tplc="51B62DA2" w:tentative="1">
      <w:start w:val="1"/>
      <w:numFmt w:val="bullet"/>
      <w:lvlText w:val=""/>
      <w:lvlJc w:val="left"/>
      <w:pPr>
        <w:tabs>
          <w:tab w:val="num" w:pos="3600"/>
        </w:tabs>
        <w:ind w:left="3600" w:hanging="360"/>
      </w:pPr>
      <w:rPr>
        <w:rFonts w:ascii="Wingdings" w:hAnsi="Wingdings" w:hint="default"/>
      </w:rPr>
    </w:lvl>
    <w:lvl w:ilvl="5" w:tplc="FA8ECC3A" w:tentative="1">
      <w:start w:val="1"/>
      <w:numFmt w:val="bullet"/>
      <w:lvlText w:val=""/>
      <w:lvlJc w:val="left"/>
      <w:pPr>
        <w:tabs>
          <w:tab w:val="num" w:pos="4320"/>
        </w:tabs>
        <w:ind w:left="4320" w:hanging="360"/>
      </w:pPr>
      <w:rPr>
        <w:rFonts w:ascii="Wingdings" w:hAnsi="Wingdings" w:hint="default"/>
      </w:rPr>
    </w:lvl>
    <w:lvl w:ilvl="6" w:tplc="51AA6078" w:tentative="1">
      <w:start w:val="1"/>
      <w:numFmt w:val="bullet"/>
      <w:lvlText w:val=""/>
      <w:lvlJc w:val="left"/>
      <w:pPr>
        <w:tabs>
          <w:tab w:val="num" w:pos="5040"/>
        </w:tabs>
        <w:ind w:left="5040" w:hanging="360"/>
      </w:pPr>
      <w:rPr>
        <w:rFonts w:ascii="Wingdings" w:hAnsi="Wingdings" w:hint="default"/>
      </w:rPr>
    </w:lvl>
    <w:lvl w:ilvl="7" w:tplc="5FB63668" w:tentative="1">
      <w:start w:val="1"/>
      <w:numFmt w:val="bullet"/>
      <w:lvlText w:val=""/>
      <w:lvlJc w:val="left"/>
      <w:pPr>
        <w:tabs>
          <w:tab w:val="num" w:pos="5760"/>
        </w:tabs>
        <w:ind w:left="5760" w:hanging="360"/>
      </w:pPr>
      <w:rPr>
        <w:rFonts w:ascii="Wingdings" w:hAnsi="Wingdings" w:hint="default"/>
      </w:rPr>
    </w:lvl>
    <w:lvl w:ilvl="8" w:tplc="835CE1FE" w:tentative="1">
      <w:start w:val="1"/>
      <w:numFmt w:val="bullet"/>
      <w:lvlText w:val=""/>
      <w:lvlJc w:val="left"/>
      <w:pPr>
        <w:tabs>
          <w:tab w:val="num" w:pos="6480"/>
        </w:tabs>
        <w:ind w:left="6480" w:hanging="360"/>
      </w:pPr>
      <w:rPr>
        <w:rFonts w:ascii="Wingdings" w:hAnsi="Wingdings" w:hint="default"/>
      </w:rPr>
    </w:lvl>
  </w:abstractNum>
  <w:num w:numId="1" w16cid:durableId="2080399552">
    <w:abstractNumId w:val="7"/>
  </w:num>
  <w:num w:numId="2" w16cid:durableId="1494762359">
    <w:abstractNumId w:val="6"/>
  </w:num>
  <w:num w:numId="3" w16cid:durableId="1168666716">
    <w:abstractNumId w:val="8"/>
  </w:num>
  <w:num w:numId="4" w16cid:durableId="1376394959">
    <w:abstractNumId w:val="1"/>
  </w:num>
  <w:num w:numId="5" w16cid:durableId="225263791">
    <w:abstractNumId w:val="5"/>
  </w:num>
  <w:num w:numId="6" w16cid:durableId="2123645133">
    <w:abstractNumId w:val="13"/>
  </w:num>
  <w:num w:numId="7" w16cid:durableId="724373718">
    <w:abstractNumId w:val="11"/>
  </w:num>
  <w:num w:numId="8" w16cid:durableId="700209609">
    <w:abstractNumId w:val="2"/>
  </w:num>
  <w:num w:numId="9" w16cid:durableId="2120682198">
    <w:abstractNumId w:val="10"/>
  </w:num>
  <w:num w:numId="10" w16cid:durableId="1709984523">
    <w:abstractNumId w:val="12"/>
  </w:num>
  <w:num w:numId="11" w16cid:durableId="534537670">
    <w:abstractNumId w:val="9"/>
  </w:num>
  <w:num w:numId="12" w16cid:durableId="756941371">
    <w:abstractNumId w:val="0"/>
  </w:num>
  <w:num w:numId="13" w16cid:durableId="1266039948">
    <w:abstractNumId w:val="4"/>
  </w:num>
  <w:num w:numId="14" w16cid:durableId="598948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03E4"/>
    <w:rsid w:val="000014CD"/>
    <w:rsid w:val="0000178E"/>
    <w:rsid w:val="00001928"/>
    <w:rsid w:val="00002333"/>
    <w:rsid w:val="00002C51"/>
    <w:rsid w:val="0000377B"/>
    <w:rsid w:val="0000479C"/>
    <w:rsid w:val="00004A5E"/>
    <w:rsid w:val="00005BF1"/>
    <w:rsid w:val="000071B8"/>
    <w:rsid w:val="000109C3"/>
    <w:rsid w:val="00010D56"/>
    <w:rsid w:val="00011E18"/>
    <w:rsid w:val="00011EE6"/>
    <w:rsid w:val="000120A6"/>
    <w:rsid w:val="00012990"/>
    <w:rsid w:val="00013A36"/>
    <w:rsid w:val="000144CB"/>
    <w:rsid w:val="00014E54"/>
    <w:rsid w:val="00017C5E"/>
    <w:rsid w:val="000233FD"/>
    <w:rsid w:val="00023BB5"/>
    <w:rsid w:val="00023BF4"/>
    <w:rsid w:val="000243AD"/>
    <w:rsid w:val="000247B6"/>
    <w:rsid w:val="0002532E"/>
    <w:rsid w:val="00025971"/>
    <w:rsid w:val="0002721A"/>
    <w:rsid w:val="0003014D"/>
    <w:rsid w:val="000353DB"/>
    <w:rsid w:val="0003700E"/>
    <w:rsid w:val="000370C0"/>
    <w:rsid w:val="000422F5"/>
    <w:rsid w:val="00042D6B"/>
    <w:rsid w:val="00043046"/>
    <w:rsid w:val="000458EE"/>
    <w:rsid w:val="0004632F"/>
    <w:rsid w:val="00047A01"/>
    <w:rsid w:val="00047CEC"/>
    <w:rsid w:val="000507B9"/>
    <w:rsid w:val="00051B49"/>
    <w:rsid w:val="00051D04"/>
    <w:rsid w:val="000526BB"/>
    <w:rsid w:val="0005515F"/>
    <w:rsid w:val="00055445"/>
    <w:rsid w:val="0005627D"/>
    <w:rsid w:val="00057D38"/>
    <w:rsid w:val="00061083"/>
    <w:rsid w:val="00061B58"/>
    <w:rsid w:val="00063FC8"/>
    <w:rsid w:val="000665C4"/>
    <w:rsid w:val="00070274"/>
    <w:rsid w:val="0007076D"/>
    <w:rsid w:val="00070810"/>
    <w:rsid w:val="0007132C"/>
    <w:rsid w:val="00072252"/>
    <w:rsid w:val="00072F2D"/>
    <w:rsid w:val="000738FF"/>
    <w:rsid w:val="000751F1"/>
    <w:rsid w:val="000768F4"/>
    <w:rsid w:val="00077727"/>
    <w:rsid w:val="00080FA9"/>
    <w:rsid w:val="000836E4"/>
    <w:rsid w:val="00091A2A"/>
    <w:rsid w:val="0009348A"/>
    <w:rsid w:val="00093694"/>
    <w:rsid w:val="00095E92"/>
    <w:rsid w:val="00096518"/>
    <w:rsid w:val="00096EC8"/>
    <w:rsid w:val="000A28AA"/>
    <w:rsid w:val="000A4537"/>
    <w:rsid w:val="000A5C06"/>
    <w:rsid w:val="000A5DFB"/>
    <w:rsid w:val="000A63A0"/>
    <w:rsid w:val="000A6CB3"/>
    <w:rsid w:val="000B150E"/>
    <w:rsid w:val="000B16BC"/>
    <w:rsid w:val="000B1DF0"/>
    <w:rsid w:val="000B3C5F"/>
    <w:rsid w:val="000B3C81"/>
    <w:rsid w:val="000B4161"/>
    <w:rsid w:val="000B466A"/>
    <w:rsid w:val="000B5461"/>
    <w:rsid w:val="000B5DE5"/>
    <w:rsid w:val="000C1779"/>
    <w:rsid w:val="000C35F2"/>
    <w:rsid w:val="000C3E8B"/>
    <w:rsid w:val="000C4221"/>
    <w:rsid w:val="000C58B1"/>
    <w:rsid w:val="000C5EB9"/>
    <w:rsid w:val="000C7743"/>
    <w:rsid w:val="000D02A6"/>
    <w:rsid w:val="000D11D1"/>
    <w:rsid w:val="000D459C"/>
    <w:rsid w:val="000D7056"/>
    <w:rsid w:val="000E032A"/>
    <w:rsid w:val="000E2E81"/>
    <w:rsid w:val="000E4800"/>
    <w:rsid w:val="000E485F"/>
    <w:rsid w:val="000E4A24"/>
    <w:rsid w:val="000F0482"/>
    <w:rsid w:val="000F4A28"/>
    <w:rsid w:val="000F4CB0"/>
    <w:rsid w:val="000F7413"/>
    <w:rsid w:val="001007C0"/>
    <w:rsid w:val="00100D3F"/>
    <w:rsid w:val="00101191"/>
    <w:rsid w:val="00103185"/>
    <w:rsid w:val="001060D4"/>
    <w:rsid w:val="00106F64"/>
    <w:rsid w:val="00113DBB"/>
    <w:rsid w:val="0011546D"/>
    <w:rsid w:val="00115F6C"/>
    <w:rsid w:val="0012085C"/>
    <w:rsid w:val="0012103F"/>
    <w:rsid w:val="00121552"/>
    <w:rsid w:val="001228E8"/>
    <w:rsid w:val="00123939"/>
    <w:rsid w:val="001245FD"/>
    <w:rsid w:val="00124F15"/>
    <w:rsid w:val="00125CF3"/>
    <w:rsid w:val="001262ED"/>
    <w:rsid w:val="001275C5"/>
    <w:rsid w:val="001277D1"/>
    <w:rsid w:val="00130C2B"/>
    <w:rsid w:val="0013103B"/>
    <w:rsid w:val="001318AE"/>
    <w:rsid w:val="00131C7F"/>
    <w:rsid w:val="00131C91"/>
    <w:rsid w:val="001339F9"/>
    <w:rsid w:val="001366E5"/>
    <w:rsid w:val="00136B42"/>
    <w:rsid w:val="00137600"/>
    <w:rsid w:val="0014091E"/>
    <w:rsid w:val="001415EA"/>
    <w:rsid w:val="00141F81"/>
    <w:rsid w:val="001423DD"/>
    <w:rsid w:val="00142878"/>
    <w:rsid w:val="001437D5"/>
    <w:rsid w:val="00144E84"/>
    <w:rsid w:val="00145C89"/>
    <w:rsid w:val="001460FF"/>
    <w:rsid w:val="0014710F"/>
    <w:rsid w:val="001471E9"/>
    <w:rsid w:val="00147218"/>
    <w:rsid w:val="0014737F"/>
    <w:rsid w:val="001502A6"/>
    <w:rsid w:val="00150B09"/>
    <w:rsid w:val="00150DDC"/>
    <w:rsid w:val="0015294A"/>
    <w:rsid w:val="001564DF"/>
    <w:rsid w:val="00156903"/>
    <w:rsid w:val="001602C1"/>
    <w:rsid w:val="00161CA2"/>
    <w:rsid w:val="001628C8"/>
    <w:rsid w:val="00164285"/>
    <w:rsid w:val="0016509F"/>
    <w:rsid w:val="00165A48"/>
    <w:rsid w:val="0016761F"/>
    <w:rsid w:val="00167B56"/>
    <w:rsid w:val="00170423"/>
    <w:rsid w:val="0017078F"/>
    <w:rsid w:val="001734A8"/>
    <w:rsid w:val="001750D6"/>
    <w:rsid w:val="00175771"/>
    <w:rsid w:val="0017595F"/>
    <w:rsid w:val="00175BC6"/>
    <w:rsid w:val="00175C54"/>
    <w:rsid w:val="0018143D"/>
    <w:rsid w:val="00182217"/>
    <w:rsid w:val="00185A44"/>
    <w:rsid w:val="001876EA"/>
    <w:rsid w:val="00187F4D"/>
    <w:rsid w:val="0019028E"/>
    <w:rsid w:val="00194A5B"/>
    <w:rsid w:val="001A106B"/>
    <w:rsid w:val="001A31C1"/>
    <w:rsid w:val="001A3D16"/>
    <w:rsid w:val="001A45FA"/>
    <w:rsid w:val="001A4F26"/>
    <w:rsid w:val="001A622E"/>
    <w:rsid w:val="001A7EF7"/>
    <w:rsid w:val="001B07F3"/>
    <w:rsid w:val="001B0D84"/>
    <w:rsid w:val="001B0F7A"/>
    <w:rsid w:val="001B10EA"/>
    <w:rsid w:val="001B163A"/>
    <w:rsid w:val="001B2775"/>
    <w:rsid w:val="001B2C30"/>
    <w:rsid w:val="001B45C0"/>
    <w:rsid w:val="001B467A"/>
    <w:rsid w:val="001B56A0"/>
    <w:rsid w:val="001B5F76"/>
    <w:rsid w:val="001B619F"/>
    <w:rsid w:val="001B6B37"/>
    <w:rsid w:val="001B6E2E"/>
    <w:rsid w:val="001B74E9"/>
    <w:rsid w:val="001C0D39"/>
    <w:rsid w:val="001C1CDE"/>
    <w:rsid w:val="001C3B37"/>
    <w:rsid w:val="001C57CB"/>
    <w:rsid w:val="001C7437"/>
    <w:rsid w:val="001D0DFC"/>
    <w:rsid w:val="001D0FAB"/>
    <w:rsid w:val="001D3D1A"/>
    <w:rsid w:val="001D55EA"/>
    <w:rsid w:val="001D738E"/>
    <w:rsid w:val="001E08B3"/>
    <w:rsid w:val="001E0FFB"/>
    <w:rsid w:val="001E1DA2"/>
    <w:rsid w:val="001E3FE5"/>
    <w:rsid w:val="001E59F0"/>
    <w:rsid w:val="001E7BFE"/>
    <w:rsid w:val="001F1091"/>
    <w:rsid w:val="001F1A2D"/>
    <w:rsid w:val="001F1DD2"/>
    <w:rsid w:val="001F43E2"/>
    <w:rsid w:val="001F46CA"/>
    <w:rsid w:val="001F4B6C"/>
    <w:rsid w:val="001F4CE6"/>
    <w:rsid w:val="001F4F56"/>
    <w:rsid w:val="001F6722"/>
    <w:rsid w:val="001F7DB2"/>
    <w:rsid w:val="00200C85"/>
    <w:rsid w:val="00201E37"/>
    <w:rsid w:val="0020250D"/>
    <w:rsid w:val="0020498C"/>
    <w:rsid w:val="00204CEE"/>
    <w:rsid w:val="00204E7E"/>
    <w:rsid w:val="00206374"/>
    <w:rsid w:val="00206D02"/>
    <w:rsid w:val="00211FBF"/>
    <w:rsid w:val="002126D2"/>
    <w:rsid w:val="00212971"/>
    <w:rsid w:val="002154BA"/>
    <w:rsid w:val="00216B63"/>
    <w:rsid w:val="00216BA1"/>
    <w:rsid w:val="00216BDE"/>
    <w:rsid w:val="002174DA"/>
    <w:rsid w:val="002174EC"/>
    <w:rsid w:val="002201DF"/>
    <w:rsid w:val="00222A65"/>
    <w:rsid w:val="00222E89"/>
    <w:rsid w:val="00223B22"/>
    <w:rsid w:val="00224988"/>
    <w:rsid w:val="002277FD"/>
    <w:rsid w:val="00230139"/>
    <w:rsid w:val="00230AA6"/>
    <w:rsid w:val="002318F4"/>
    <w:rsid w:val="0023674A"/>
    <w:rsid w:val="00236F1E"/>
    <w:rsid w:val="00237005"/>
    <w:rsid w:val="0024173F"/>
    <w:rsid w:val="002438A7"/>
    <w:rsid w:val="002438B0"/>
    <w:rsid w:val="002456C6"/>
    <w:rsid w:val="00247512"/>
    <w:rsid w:val="00247928"/>
    <w:rsid w:val="00251B0E"/>
    <w:rsid w:val="00253602"/>
    <w:rsid w:val="00253DDC"/>
    <w:rsid w:val="00254117"/>
    <w:rsid w:val="00257CE9"/>
    <w:rsid w:val="00257F79"/>
    <w:rsid w:val="002604B4"/>
    <w:rsid w:val="00261BB4"/>
    <w:rsid w:val="002620A3"/>
    <w:rsid w:val="00262CC7"/>
    <w:rsid w:val="00262DE5"/>
    <w:rsid w:val="002633CE"/>
    <w:rsid w:val="0026353F"/>
    <w:rsid w:val="0026707F"/>
    <w:rsid w:val="00267A3C"/>
    <w:rsid w:val="002724CB"/>
    <w:rsid w:val="00272FAF"/>
    <w:rsid w:val="002736BA"/>
    <w:rsid w:val="0027571A"/>
    <w:rsid w:val="00280269"/>
    <w:rsid w:val="00280BB2"/>
    <w:rsid w:val="00281651"/>
    <w:rsid w:val="00281B77"/>
    <w:rsid w:val="00281F52"/>
    <w:rsid w:val="00283238"/>
    <w:rsid w:val="00283420"/>
    <w:rsid w:val="002849B5"/>
    <w:rsid w:val="0028558C"/>
    <w:rsid w:val="002856CC"/>
    <w:rsid w:val="00287FC4"/>
    <w:rsid w:val="00290C38"/>
    <w:rsid w:val="00291DAE"/>
    <w:rsid w:val="002920DB"/>
    <w:rsid w:val="00292C32"/>
    <w:rsid w:val="00292E13"/>
    <w:rsid w:val="0029344F"/>
    <w:rsid w:val="002A126B"/>
    <w:rsid w:val="002A457F"/>
    <w:rsid w:val="002A6C68"/>
    <w:rsid w:val="002A6F48"/>
    <w:rsid w:val="002A7A8D"/>
    <w:rsid w:val="002B116B"/>
    <w:rsid w:val="002B1ABC"/>
    <w:rsid w:val="002B1EC3"/>
    <w:rsid w:val="002B22F1"/>
    <w:rsid w:val="002B4381"/>
    <w:rsid w:val="002B5F5E"/>
    <w:rsid w:val="002B6A2C"/>
    <w:rsid w:val="002B7BD1"/>
    <w:rsid w:val="002B7FBD"/>
    <w:rsid w:val="002C066E"/>
    <w:rsid w:val="002C11D0"/>
    <w:rsid w:val="002C1536"/>
    <w:rsid w:val="002C1856"/>
    <w:rsid w:val="002C4179"/>
    <w:rsid w:val="002C637C"/>
    <w:rsid w:val="002C7390"/>
    <w:rsid w:val="002D17E8"/>
    <w:rsid w:val="002D2299"/>
    <w:rsid w:val="002D6AF9"/>
    <w:rsid w:val="002D6B72"/>
    <w:rsid w:val="002D6C77"/>
    <w:rsid w:val="002E1971"/>
    <w:rsid w:val="002E19D2"/>
    <w:rsid w:val="002E2225"/>
    <w:rsid w:val="002E4170"/>
    <w:rsid w:val="002E42C6"/>
    <w:rsid w:val="002E7D0B"/>
    <w:rsid w:val="002E7F6F"/>
    <w:rsid w:val="002F07FF"/>
    <w:rsid w:val="002F13E9"/>
    <w:rsid w:val="002F1BD4"/>
    <w:rsid w:val="002F2CA9"/>
    <w:rsid w:val="002F4124"/>
    <w:rsid w:val="002F5484"/>
    <w:rsid w:val="002F65C4"/>
    <w:rsid w:val="002F6876"/>
    <w:rsid w:val="00300E5A"/>
    <w:rsid w:val="00301218"/>
    <w:rsid w:val="003035E4"/>
    <w:rsid w:val="00303C56"/>
    <w:rsid w:val="00306D00"/>
    <w:rsid w:val="0030766B"/>
    <w:rsid w:val="00313C1D"/>
    <w:rsid w:val="00315109"/>
    <w:rsid w:val="0031639F"/>
    <w:rsid w:val="0032077C"/>
    <w:rsid w:val="003212DA"/>
    <w:rsid w:val="00321F34"/>
    <w:rsid w:val="00322EAB"/>
    <w:rsid w:val="00324F0F"/>
    <w:rsid w:val="0032572B"/>
    <w:rsid w:val="00326729"/>
    <w:rsid w:val="0032688C"/>
    <w:rsid w:val="003279A7"/>
    <w:rsid w:val="00331DA0"/>
    <w:rsid w:val="0033371F"/>
    <w:rsid w:val="00333A3C"/>
    <w:rsid w:val="003340B7"/>
    <w:rsid w:val="0033441C"/>
    <w:rsid w:val="00334E39"/>
    <w:rsid w:val="00337C15"/>
    <w:rsid w:val="00341E55"/>
    <w:rsid w:val="003448CC"/>
    <w:rsid w:val="00346562"/>
    <w:rsid w:val="00346BCB"/>
    <w:rsid w:val="003504D1"/>
    <w:rsid w:val="00351916"/>
    <w:rsid w:val="00353FE7"/>
    <w:rsid w:val="00355B34"/>
    <w:rsid w:val="003568C3"/>
    <w:rsid w:val="00356CAC"/>
    <w:rsid w:val="00360F9E"/>
    <w:rsid w:val="00361FBB"/>
    <w:rsid w:val="00364BBC"/>
    <w:rsid w:val="00365748"/>
    <w:rsid w:val="00366854"/>
    <w:rsid w:val="0037039A"/>
    <w:rsid w:val="0037335B"/>
    <w:rsid w:val="0037429D"/>
    <w:rsid w:val="00375465"/>
    <w:rsid w:val="00380EC3"/>
    <w:rsid w:val="00382934"/>
    <w:rsid w:val="00382CAC"/>
    <w:rsid w:val="00383300"/>
    <w:rsid w:val="00383735"/>
    <w:rsid w:val="003841E1"/>
    <w:rsid w:val="003844E8"/>
    <w:rsid w:val="00384E96"/>
    <w:rsid w:val="00387435"/>
    <w:rsid w:val="00390CD9"/>
    <w:rsid w:val="00393567"/>
    <w:rsid w:val="0039671D"/>
    <w:rsid w:val="003A3B5E"/>
    <w:rsid w:val="003A4459"/>
    <w:rsid w:val="003A4C16"/>
    <w:rsid w:val="003A5EB4"/>
    <w:rsid w:val="003A5F27"/>
    <w:rsid w:val="003A7265"/>
    <w:rsid w:val="003B0B83"/>
    <w:rsid w:val="003B21E0"/>
    <w:rsid w:val="003B3684"/>
    <w:rsid w:val="003B4E6D"/>
    <w:rsid w:val="003B533D"/>
    <w:rsid w:val="003B56F2"/>
    <w:rsid w:val="003B64E1"/>
    <w:rsid w:val="003C159C"/>
    <w:rsid w:val="003C1A42"/>
    <w:rsid w:val="003C2E9A"/>
    <w:rsid w:val="003C472C"/>
    <w:rsid w:val="003C52CD"/>
    <w:rsid w:val="003C708D"/>
    <w:rsid w:val="003D1E1A"/>
    <w:rsid w:val="003D31BB"/>
    <w:rsid w:val="003D66A3"/>
    <w:rsid w:val="003D72FB"/>
    <w:rsid w:val="003E115A"/>
    <w:rsid w:val="003F1FD6"/>
    <w:rsid w:val="003F2C7D"/>
    <w:rsid w:val="003F63FC"/>
    <w:rsid w:val="003F6814"/>
    <w:rsid w:val="003F6BAB"/>
    <w:rsid w:val="00401CD2"/>
    <w:rsid w:val="004020A4"/>
    <w:rsid w:val="004026A0"/>
    <w:rsid w:val="004040B6"/>
    <w:rsid w:val="00404B52"/>
    <w:rsid w:val="00404EAE"/>
    <w:rsid w:val="00404F0B"/>
    <w:rsid w:val="00405C5E"/>
    <w:rsid w:val="00413231"/>
    <w:rsid w:val="004154C7"/>
    <w:rsid w:val="00415B16"/>
    <w:rsid w:val="0041603C"/>
    <w:rsid w:val="0041626C"/>
    <w:rsid w:val="00416380"/>
    <w:rsid w:val="00420ED2"/>
    <w:rsid w:val="004214C3"/>
    <w:rsid w:val="004237AF"/>
    <w:rsid w:val="00423B33"/>
    <w:rsid w:val="00425161"/>
    <w:rsid w:val="004261CD"/>
    <w:rsid w:val="004277AA"/>
    <w:rsid w:val="00431566"/>
    <w:rsid w:val="00432BE3"/>
    <w:rsid w:val="00433763"/>
    <w:rsid w:val="004352F7"/>
    <w:rsid w:val="00440B5E"/>
    <w:rsid w:val="004413AC"/>
    <w:rsid w:val="004455A4"/>
    <w:rsid w:val="00445A65"/>
    <w:rsid w:val="00447CB2"/>
    <w:rsid w:val="00447D50"/>
    <w:rsid w:val="00453A71"/>
    <w:rsid w:val="00453E7D"/>
    <w:rsid w:val="0045459B"/>
    <w:rsid w:val="004545DD"/>
    <w:rsid w:val="00455E19"/>
    <w:rsid w:val="0045628B"/>
    <w:rsid w:val="00456A69"/>
    <w:rsid w:val="0045760E"/>
    <w:rsid w:val="004621C6"/>
    <w:rsid w:val="00464F2F"/>
    <w:rsid w:val="00470EAE"/>
    <w:rsid w:val="00471967"/>
    <w:rsid w:val="00472BEF"/>
    <w:rsid w:val="004751AA"/>
    <w:rsid w:val="00482ADC"/>
    <w:rsid w:val="00482BA3"/>
    <w:rsid w:val="00482FD3"/>
    <w:rsid w:val="00483EE6"/>
    <w:rsid w:val="00485CCA"/>
    <w:rsid w:val="00487303"/>
    <w:rsid w:val="004933F2"/>
    <w:rsid w:val="0049413E"/>
    <w:rsid w:val="00494410"/>
    <w:rsid w:val="004A0273"/>
    <w:rsid w:val="004A1373"/>
    <w:rsid w:val="004A156C"/>
    <w:rsid w:val="004A5506"/>
    <w:rsid w:val="004B0689"/>
    <w:rsid w:val="004B0F09"/>
    <w:rsid w:val="004B1212"/>
    <w:rsid w:val="004B4D53"/>
    <w:rsid w:val="004B6E9D"/>
    <w:rsid w:val="004C0B59"/>
    <w:rsid w:val="004C1D7D"/>
    <w:rsid w:val="004C5B90"/>
    <w:rsid w:val="004C5F70"/>
    <w:rsid w:val="004C7826"/>
    <w:rsid w:val="004D0F15"/>
    <w:rsid w:val="004D1181"/>
    <w:rsid w:val="004D11D1"/>
    <w:rsid w:val="004D3C6C"/>
    <w:rsid w:val="004D4896"/>
    <w:rsid w:val="004D4D5F"/>
    <w:rsid w:val="004D4F2B"/>
    <w:rsid w:val="004E09B0"/>
    <w:rsid w:val="004E26E8"/>
    <w:rsid w:val="004E2E11"/>
    <w:rsid w:val="004E3E61"/>
    <w:rsid w:val="004E6021"/>
    <w:rsid w:val="004E75FD"/>
    <w:rsid w:val="004F0831"/>
    <w:rsid w:val="004F0EF4"/>
    <w:rsid w:val="004F18F6"/>
    <w:rsid w:val="004F223C"/>
    <w:rsid w:val="004F3E33"/>
    <w:rsid w:val="004F42D0"/>
    <w:rsid w:val="004F490B"/>
    <w:rsid w:val="004F68F3"/>
    <w:rsid w:val="004F6C45"/>
    <w:rsid w:val="004F76AD"/>
    <w:rsid w:val="00501FA8"/>
    <w:rsid w:val="0050224D"/>
    <w:rsid w:val="00503F3B"/>
    <w:rsid w:val="005056B0"/>
    <w:rsid w:val="005069C3"/>
    <w:rsid w:val="00507B74"/>
    <w:rsid w:val="0051338E"/>
    <w:rsid w:val="00513ACC"/>
    <w:rsid w:val="005148F2"/>
    <w:rsid w:val="0051637B"/>
    <w:rsid w:val="005205F6"/>
    <w:rsid w:val="00521CEA"/>
    <w:rsid w:val="00521F21"/>
    <w:rsid w:val="0052548C"/>
    <w:rsid w:val="005254B9"/>
    <w:rsid w:val="00527961"/>
    <w:rsid w:val="00527D90"/>
    <w:rsid w:val="005302D3"/>
    <w:rsid w:val="00530474"/>
    <w:rsid w:val="00530CCB"/>
    <w:rsid w:val="00532471"/>
    <w:rsid w:val="00535173"/>
    <w:rsid w:val="0053685F"/>
    <w:rsid w:val="00536F55"/>
    <w:rsid w:val="00540598"/>
    <w:rsid w:val="00541F7A"/>
    <w:rsid w:val="00543F72"/>
    <w:rsid w:val="005453B6"/>
    <w:rsid w:val="00546526"/>
    <w:rsid w:val="00546EC3"/>
    <w:rsid w:val="00550DA0"/>
    <w:rsid w:val="00551DB7"/>
    <w:rsid w:val="00552829"/>
    <w:rsid w:val="005543CF"/>
    <w:rsid w:val="00555715"/>
    <w:rsid w:val="00556B58"/>
    <w:rsid w:val="00556CDC"/>
    <w:rsid w:val="00561545"/>
    <w:rsid w:val="00562F88"/>
    <w:rsid w:val="0056323F"/>
    <w:rsid w:val="00564EAE"/>
    <w:rsid w:val="005676A3"/>
    <w:rsid w:val="005701D0"/>
    <w:rsid w:val="00570550"/>
    <w:rsid w:val="00570CE7"/>
    <w:rsid w:val="00571B7D"/>
    <w:rsid w:val="00572E4C"/>
    <w:rsid w:val="005748EA"/>
    <w:rsid w:val="00574B01"/>
    <w:rsid w:val="00574BB0"/>
    <w:rsid w:val="00576E71"/>
    <w:rsid w:val="005776ED"/>
    <w:rsid w:val="00577900"/>
    <w:rsid w:val="005804DE"/>
    <w:rsid w:val="005808A8"/>
    <w:rsid w:val="00581B6E"/>
    <w:rsid w:val="00582E51"/>
    <w:rsid w:val="00583175"/>
    <w:rsid w:val="005847A6"/>
    <w:rsid w:val="00587654"/>
    <w:rsid w:val="0058767C"/>
    <w:rsid w:val="00591083"/>
    <w:rsid w:val="005913DF"/>
    <w:rsid w:val="0059144F"/>
    <w:rsid w:val="005919C9"/>
    <w:rsid w:val="0059338D"/>
    <w:rsid w:val="005934AD"/>
    <w:rsid w:val="0059407F"/>
    <w:rsid w:val="00594544"/>
    <w:rsid w:val="00594A01"/>
    <w:rsid w:val="00594A45"/>
    <w:rsid w:val="00595292"/>
    <w:rsid w:val="00595ECC"/>
    <w:rsid w:val="0059628B"/>
    <w:rsid w:val="00596E9A"/>
    <w:rsid w:val="00596F0D"/>
    <w:rsid w:val="005A4C4A"/>
    <w:rsid w:val="005A664C"/>
    <w:rsid w:val="005A6E39"/>
    <w:rsid w:val="005B464B"/>
    <w:rsid w:val="005B6143"/>
    <w:rsid w:val="005B645E"/>
    <w:rsid w:val="005B7A3C"/>
    <w:rsid w:val="005C0074"/>
    <w:rsid w:val="005C3DC9"/>
    <w:rsid w:val="005C53EB"/>
    <w:rsid w:val="005C5A13"/>
    <w:rsid w:val="005C7047"/>
    <w:rsid w:val="005D2AE3"/>
    <w:rsid w:val="005D4AF9"/>
    <w:rsid w:val="005D5945"/>
    <w:rsid w:val="005D7B62"/>
    <w:rsid w:val="005D7D93"/>
    <w:rsid w:val="005D7DB7"/>
    <w:rsid w:val="005E14BA"/>
    <w:rsid w:val="005E2DAF"/>
    <w:rsid w:val="005E6332"/>
    <w:rsid w:val="005E739E"/>
    <w:rsid w:val="005E7E5E"/>
    <w:rsid w:val="005F1387"/>
    <w:rsid w:val="005F197D"/>
    <w:rsid w:val="005F1A42"/>
    <w:rsid w:val="005F1B3A"/>
    <w:rsid w:val="005F1F26"/>
    <w:rsid w:val="005F72B9"/>
    <w:rsid w:val="00602258"/>
    <w:rsid w:val="0060279A"/>
    <w:rsid w:val="00604B52"/>
    <w:rsid w:val="00604BC3"/>
    <w:rsid w:val="00605289"/>
    <w:rsid w:val="006062A5"/>
    <w:rsid w:val="00606CB2"/>
    <w:rsid w:val="00611DAD"/>
    <w:rsid w:val="0061587F"/>
    <w:rsid w:val="006227AC"/>
    <w:rsid w:val="006228C9"/>
    <w:rsid w:val="00627475"/>
    <w:rsid w:val="006300DB"/>
    <w:rsid w:val="00630C6D"/>
    <w:rsid w:val="006312EA"/>
    <w:rsid w:val="006314AE"/>
    <w:rsid w:val="0063359E"/>
    <w:rsid w:val="00633B36"/>
    <w:rsid w:val="006345C2"/>
    <w:rsid w:val="00641491"/>
    <w:rsid w:val="006422E7"/>
    <w:rsid w:val="00643414"/>
    <w:rsid w:val="00643E4C"/>
    <w:rsid w:val="00644250"/>
    <w:rsid w:val="006450BD"/>
    <w:rsid w:val="006504C1"/>
    <w:rsid w:val="00650D98"/>
    <w:rsid w:val="00651B9C"/>
    <w:rsid w:val="006528A8"/>
    <w:rsid w:val="00652D5C"/>
    <w:rsid w:val="00653289"/>
    <w:rsid w:val="0065535A"/>
    <w:rsid w:val="00656A43"/>
    <w:rsid w:val="006605E1"/>
    <w:rsid w:val="006605E6"/>
    <w:rsid w:val="006606F6"/>
    <w:rsid w:val="00660A45"/>
    <w:rsid w:val="00664346"/>
    <w:rsid w:val="00666044"/>
    <w:rsid w:val="00666581"/>
    <w:rsid w:val="00667591"/>
    <w:rsid w:val="0067139D"/>
    <w:rsid w:val="00672BB3"/>
    <w:rsid w:val="00672FB1"/>
    <w:rsid w:val="00674132"/>
    <w:rsid w:val="00674E80"/>
    <w:rsid w:val="0068362B"/>
    <w:rsid w:val="00685EE0"/>
    <w:rsid w:val="00686E8F"/>
    <w:rsid w:val="0069089B"/>
    <w:rsid w:val="00691056"/>
    <w:rsid w:val="00693E71"/>
    <w:rsid w:val="00695144"/>
    <w:rsid w:val="006970E9"/>
    <w:rsid w:val="006A1802"/>
    <w:rsid w:val="006A2327"/>
    <w:rsid w:val="006A2D4C"/>
    <w:rsid w:val="006A33CD"/>
    <w:rsid w:val="006A7665"/>
    <w:rsid w:val="006A76E8"/>
    <w:rsid w:val="006A7B86"/>
    <w:rsid w:val="006B176C"/>
    <w:rsid w:val="006B6AEF"/>
    <w:rsid w:val="006C23BE"/>
    <w:rsid w:val="006C2512"/>
    <w:rsid w:val="006C27D9"/>
    <w:rsid w:val="006C32DE"/>
    <w:rsid w:val="006C3B26"/>
    <w:rsid w:val="006C590A"/>
    <w:rsid w:val="006D327D"/>
    <w:rsid w:val="006D3E6B"/>
    <w:rsid w:val="006D5893"/>
    <w:rsid w:val="006D737C"/>
    <w:rsid w:val="006D77B3"/>
    <w:rsid w:val="006E2F33"/>
    <w:rsid w:val="006E58B0"/>
    <w:rsid w:val="006E606D"/>
    <w:rsid w:val="006E6513"/>
    <w:rsid w:val="006E6876"/>
    <w:rsid w:val="006F11F5"/>
    <w:rsid w:val="006F151F"/>
    <w:rsid w:val="006F1A2C"/>
    <w:rsid w:val="006F1FCD"/>
    <w:rsid w:val="006F2FF7"/>
    <w:rsid w:val="006F5BDB"/>
    <w:rsid w:val="006F6C3D"/>
    <w:rsid w:val="00700357"/>
    <w:rsid w:val="00701474"/>
    <w:rsid w:val="00703549"/>
    <w:rsid w:val="00706D6C"/>
    <w:rsid w:val="007105CE"/>
    <w:rsid w:val="007111FB"/>
    <w:rsid w:val="00714094"/>
    <w:rsid w:val="00717F2A"/>
    <w:rsid w:val="007219A9"/>
    <w:rsid w:val="00721C02"/>
    <w:rsid w:val="0072399E"/>
    <w:rsid w:val="0072742A"/>
    <w:rsid w:val="00730510"/>
    <w:rsid w:val="0073187F"/>
    <w:rsid w:val="00733D1B"/>
    <w:rsid w:val="00735DBD"/>
    <w:rsid w:val="007366FA"/>
    <w:rsid w:val="00737316"/>
    <w:rsid w:val="00737C43"/>
    <w:rsid w:val="0074041C"/>
    <w:rsid w:val="00742E31"/>
    <w:rsid w:val="0074353C"/>
    <w:rsid w:val="00743670"/>
    <w:rsid w:val="00743EC3"/>
    <w:rsid w:val="007447A8"/>
    <w:rsid w:val="007449E2"/>
    <w:rsid w:val="007451F1"/>
    <w:rsid w:val="007459DB"/>
    <w:rsid w:val="007466C5"/>
    <w:rsid w:val="00747536"/>
    <w:rsid w:val="00747629"/>
    <w:rsid w:val="00750B31"/>
    <w:rsid w:val="007524C0"/>
    <w:rsid w:val="0075579F"/>
    <w:rsid w:val="00756659"/>
    <w:rsid w:val="007577C5"/>
    <w:rsid w:val="00761E73"/>
    <w:rsid w:val="007621EC"/>
    <w:rsid w:val="0076235D"/>
    <w:rsid w:val="0076335B"/>
    <w:rsid w:val="00764238"/>
    <w:rsid w:val="007646CA"/>
    <w:rsid w:val="007653AD"/>
    <w:rsid w:val="00765C68"/>
    <w:rsid w:val="00766187"/>
    <w:rsid w:val="00772BA9"/>
    <w:rsid w:val="00772FFC"/>
    <w:rsid w:val="00773999"/>
    <w:rsid w:val="00773E40"/>
    <w:rsid w:val="00774A94"/>
    <w:rsid w:val="00774EE9"/>
    <w:rsid w:val="00776D9D"/>
    <w:rsid w:val="00780FC7"/>
    <w:rsid w:val="00781593"/>
    <w:rsid w:val="00781A6B"/>
    <w:rsid w:val="00783E40"/>
    <w:rsid w:val="00784476"/>
    <w:rsid w:val="007859EF"/>
    <w:rsid w:val="00785AFD"/>
    <w:rsid w:val="00785F88"/>
    <w:rsid w:val="0079210A"/>
    <w:rsid w:val="00792914"/>
    <w:rsid w:val="0079357D"/>
    <w:rsid w:val="0079391F"/>
    <w:rsid w:val="00793C78"/>
    <w:rsid w:val="00793CF3"/>
    <w:rsid w:val="00793DA6"/>
    <w:rsid w:val="00794364"/>
    <w:rsid w:val="007950E2"/>
    <w:rsid w:val="00796322"/>
    <w:rsid w:val="00796C8D"/>
    <w:rsid w:val="00797F63"/>
    <w:rsid w:val="007A011A"/>
    <w:rsid w:val="007A07A8"/>
    <w:rsid w:val="007A0BDF"/>
    <w:rsid w:val="007A0DC5"/>
    <w:rsid w:val="007A1C57"/>
    <w:rsid w:val="007A22D6"/>
    <w:rsid w:val="007A3E09"/>
    <w:rsid w:val="007A4274"/>
    <w:rsid w:val="007A435B"/>
    <w:rsid w:val="007B002F"/>
    <w:rsid w:val="007B0F65"/>
    <w:rsid w:val="007B126E"/>
    <w:rsid w:val="007B1288"/>
    <w:rsid w:val="007B163D"/>
    <w:rsid w:val="007B3C65"/>
    <w:rsid w:val="007B43CC"/>
    <w:rsid w:val="007B511F"/>
    <w:rsid w:val="007B6EAD"/>
    <w:rsid w:val="007B7863"/>
    <w:rsid w:val="007C073A"/>
    <w:rsid w:val="007C0E5E"/>
    <w:rsid w:val="007C105D"/>
    <w:rsid w:val="007C19D1"/>
    <w:rsid w:val="007C1B99"/>
    <w:rsid w:val="007C1EFE"/>
    <w:rsid w:val="007C23FC"/>
    <w:rsid w:val="007C2665"/>
    <w:rsid w:val="007C342D"/>
    <w:rsid w:val="007C4D74"/>
    <w:rsid w:val="007C553B"/>
    <w:rsid w:val="007C6A48"/>
    <w:rsid w:val="007C76EB"/>
    <w:rsid w:val="007D1AF2"/>
    <w:rsid w:val="007D2902"/>
    <w:rsid w:val="007D453B"/>
    <w:rsid w:val="007D45F6"/>
    <w:rsid w:val="007D5356"/>
    <w:rsid w:val="007D588E"/>
    <w:rsid w:val="007D59BB"/>
    <w:rsid w:val="007D6522"/>
    <w:rsid w:val="007D7B9D"/>
    <w:rsid w:val="007E22F5"/>
    <w:rsid w:val="007E2DC7"/>
    <w:rsid w:val="007E4BFF"/>
    <w:rsid w:val="007E54A9"/>
    <w:rsid w:val="007E5CB5"/>
    <w:rsid w:val="007E6490"/>
    <w:rsid w:val="007E7B2F"/>
    <w:rsid w:val="007F43B1"/>
    <w:rsid w:val="007F4487"/>
    <w:rsid w:val="007F5EAD"/>
    <w:rsid w:val="007F6D69"/>
    <w:rsid w:val="007F7A08"/>
    <w:rsid w:val="007F7F60"/>
    <w:rsid w:val="008005B1"/>
    <w:rsid w:val="008019EA"/>
    <w:rsid w:val="00803EC3"/>
    <w:rsid w:val="00804AD2"/>
    <w:rsid w:val="00804ADB"/>
    <w:rsid w:val="0080568F"/>
    <w:rsid w:val="00806C6F"/>
    <w:rsid w:val="0080714A"/>
    <w:rsid w:val="00807902"/>
    <w:rsid w:val="00812094"/>
    <w:rsid w:val="00813829"/>
    <w:rsid w:val="00815F7C"/>
    <w:rsid w:val="008165D8"/>
    <w:rsid w:val="00816AB6"/>
    <w:rsid w:val="008173FE"/>
    <w:rsid w:val="008206AC"/>
    <w:rsid w:val="008247EF"/>
    <w:rsid w:val="00824B8D"/>
    <w:rsid w:val="00824E00"/>
    <w:rsid w:val="008250B6"/>
    <w:rsid w:val="00826FB4"/>
    <w:rsid w:val="00827644"/>
    <w:rsid w:val="00830D27"/>
    <w:rsid w:val="00832CF5"/>
    <w:rsid w:val="0083383E"/>
    <w:rsid w:val="00833BDC"/>
    <w:rsid w:val="008342EA"/>
    <w:rsid w:val="00835A4E"/>
    <w:rsid w:val="00835B14"/>
    <w:rsid w:val="00841BD9"/>
    <w:rsid w:val="008501D8"/>
    <w:rsid w:val="008523B1"/>
    <w:rsid w:val="00852409"/>
    <w:rsid w:val="00854FBD"/>
    <w:rsid w:val="00855800"/>
    <w:rsid w:val="008634C6"/>
    <w:rsid w:val="00863D99"/>
    <w:rsid w:val="00865D2F"/>
    <w:rsid w:val="00865F56"/>
    <w:rsid w:val="00866634"/>
    <w:rsid w:val="00867012"/>
    <w:rsid w:val="0087077E"/>
    <w:rsid w:val="00871353"/>
    <w:rsid w:val="00871B73"/>
    <w:rsid w:val="00872A86"/>
    <w:rsid w:val="0087346E"/>
    <w:rsid w:val="00873A57"/>
    <w:rsid w:val="008755FD"/>
    <w:rsid w:val="00877D5F"/>
    <w:rsid w:val="0088213E"/>
    <w:rsid w:val="0088327C"/>
    <w:rsid w:val="0088331E"/>
    <w:rsid w:val="00883504"/>
    <w:rsid w:val="00885BBB"/>
    <w:rsid w:val="00886D4E"/>
    <w:rsid w:val="00887676"/>
    <w:rsid w:val="00887C4C"/>
    <w:rsid w:val="00892278"/>
    <w:rsid w:val="00893B1F"/>
    <w:rsid w:val="00894B32"/>
    <w:rsid w:val="00894DE0"/>
    <w:rsid w:val="0089730C"/>
    <w:rsid w:val="008A2752"/>
    <w:rsid w:val="008A2B16"/>
    <w:rsid w:val="008A606D"/>
    <w:rsid w:val="008B0F3B"/>
    <w:rsid w:val="008B2693"/>
    <w:rsid w:val="008B2B5F"/>
    <w:rsid w:val="008B5B7C"/>
    <w:rsid w:val="008B703A"/>
    <w:rsid w:val="008C06AE"/>
    <w:rsid w:val="008C0CFD"/>
    <w:rsid w:val="008C0FDD"/>
    <w:rsid w:val="008C1A7D"/>
    <w:rsid w:val="008C267E"/>
    <w:rsid w:val="008C3808"/>
    <w:rsid w:val="008C3985"/>
    <w:rsid w:val="008C56AF"/>
    <w:rsid w:val="008C6B51"/>
    <w:rsid w:val="008C6D9A"/>
    <w:rsid w:val="008C7938"/>
    <w:rsid w:val="008D16A7"/>
    <w:rsid w:val="008D1E9E"/>
    <w:rsid w:val="008D27C4"/>
    <w:rsid w:val="008D2DBC"/>
    <w:rsid w:val="008D3269"/>
    <w:rsid w:val="008D3541"/>
    <w:rsid w:val="008D38E0"/>
    <w:rsid w:val="008D406D"/>
    <w:rsid w:val="008D5F1E"/>
    <w:rsid w:val="008E0B92"/>
    <w:rsid w:val="008E25F2"/>
    <w:rsid w:val="008E2B8E"/>
    <w:rsid w:val="008E5BB3"/>
    <w:rsid w:val="008F21F9"/>
    <w:rsid w:val="008F4470"/>
    <w:rsid w:val="008F5CAA"/>
    <w:rsid w:val="008F6B39"/>
    <w:rsid w:val="009025B4"/>
    <w:rsid w:val="00905462"/>
    <w:rsid w:val="00906E4B"/>
    <w:rsid w:val="00907E98"/>
    <w:rsid w:val="00911441"/>
    <w:rsid w:val="0091186E"/>
    <w:rsid w:val="00911DC0"/>
    <w:rsid w:val="00912358"/>
    <w:rsid w:val="00912367"/>
    <w:rsid w:val="0091320D"/>
    <w:rsid w:val="00913351"/>
    <w:rsid w:val="00913633"/>
    <w:rsid w:val="00913664"/>
    <w:rsid w:val="0091461D"/>
    <w:rsid w:val="00916493"/>
    <w:rsid w:val="00920552"/>
    <w:rsid w:val="0092084D"/>
    <w:rsid w:val="009224E1"/>
    <w:rsid w:val="00923493"/>
    <w:rsid w:val="00924EB4"/>
    <w:rsid w:val="00926AD1"/>
    <w:rsid w:val="00927896"/>
    <w:rsid w:val="00931632"/>
    <w:rsid w:val="009319A7"/>
    <w:rsid w:val="0093349C"/>
    <w:rsid w:val="0093597B"/>
    <w:rsid w:val="0093696C"/>
    <w:rsid w:val="0093704F"/>
    <w:rsid w:val="00937166"/>
    <w:rsid w:val="00937CFB"/>
    <w:rsid w:val="009410F9"/>
    <w:rsid w:val="00941F84"/>
    <w:rsid w:val="0094613D"/>
    <w:rsid w:val="00946A53"/>
    <w:rsid w:val="00947218"/>
    <w:rsid w:val="00950AC1"/>
    <w:rsid w:val="00950D26"/>
    <w:rsid w:val="00950E14"/>
    <w:rsid w:val="00951583"/>
    <w:rsid w:val="0095170B"/>
    <w:rsid w:val="00952F7F"/>
    <w:rsid w:val="009531F9"/>
    <w:rsid w:val="00953B5F"/>
    <w:rsid w:val="00953F9D"/>
    <w:rsid w:val="009571C7"/>
    <w:rsid w:val="00957B76"/>
    <w:rsid w:val="00960062"/>
    <w:rsid w:val="0096164B"/>
    <w:rsid w:val="009618EF"/>
    <w:rsid w:val="009634CE"/>
    <w:rsid w:val="0096490B"/>
    <w:rsid w:val="00964F32"/>
    <w:rsid w:val="00967F85"/>
    <w:rsid w:val="00970831"/>
    <w:rsid w:val="0097541F"/>
    <w:rsid w:val="009757E9"/>
    <w:rsid w:val="00977B04"/>
    <w:rsid w:val="00984279"/>
    <w:rsid w:val="009856B1"/>
    <w:rsid w:val="00985F20"/>
    <w:rsid w:val="00992430"/>
    <w:rsid w:val="00994A82"/>
    <w:rsid w:val="009A0960"/>
    <w:rsid w:val="009A1A89"/>
    <w:rsid w:val="009A3D20"/>
    <w:rsid w:val="009A5C46"/>
    <w:rsid w:val="009A79EE"/>
    <w:rsid w:val="009B18E1"/>
    <w:rsid w:val="009B3B82"/>
    <w:rsid w:val="009B3DE7"/>
    <w:rsid w:val="009B403C"/>
    <w:rsid w:val="009B5398"/>
    <w:rsid w:val="009B54E3"/>
    <w:rsid w:val="009B5818"/>
    <w:rsid w:val="009B6292"/>
    <w:rsid w:val="009B6DEB"/>
    <w:rsid w:val="009B7BD6"/>
    <w:rsid w:val="009C1017"/>
    <w:rsid w:val="009C23BE"/>
    <w:rsid w:val="009C2468"/>
    <w:rsid w:val="009C34FA"/>
    <w:rsid w:val="009C3697"/>
    <w:rsid w:val="009C5C06"/>
    <w:rsid w:val="009C5C77"/>
    <w:rsid w:val="009C66A1"/>
    <w:rsid w:val="009C6793"/>
    <w:rsid w:val="009D1205"/>
    <w:rsid w:val="009D147E"/>
    <w:rsid w:val="009D3E79"/>
    <w:rsid w:val="009D444F"/>
    <w:rsid w:val="009D44D4"/>
    <w:rsid w:val="009D5468"/>
    <w:rsid w:val="009D6D49"/>
    <w:rsid w:val="009D7A1D"/>
    <w:rsid w:val="009E26A9"/>
    <w:rsid w:val="009E34F6"/>
    <w:rsid w:val="009E3DCA"/>
    <w:rsid w:val="009E40C9"/>
    <w:rsid w:val="009E5AD9"/>
    <w:rsid w:val="009E6005"/>
    <w:rsid w:val="009E6BB2"/>
    <w:rsid w:val="009E7B1A"/>
    <w:rsid w:val="009E7EFA"/>
    <w:rsid w:val="009F03DA"/>
    <w:rsid w:val="009F1A3A"/>
    <w:rsid w:val="009F2471"/>
    <w:rsid w:val="009F265A"/>
    <w:rsid w:val="009F571F"/>
    <w:rsid w:val="009F6061"/>
    <w:rsid w:val="009F7ACD"/>
    <w:rsid w:val="009F7CBC"/>
    <w:rsid w:val="00A00F9F"/>
    <w:rsid w:val="00A021DE"/>
    <w:rsid w:val="00A02F6F"/>
    <w:rsid w:val="00A0461D"/>
    <w:rsid w:val="00A04FD1"/>
    <w:rsid w:val="00A05C5C"/>
    <w:rsid w:val="00A05F79"/>
    <w:rsid w:val="00A075C8"/>
    <w:rsid w:val="00A07731"/>
    <w:rsid w:val="00A10555"/>
    <w:rsid w:val="00A14952"/>
    <w:rsid w:val="00A157AE"/>
    <w:rsid w:val="00A21F48"/>
    <w:rsid w:val="00A229C6"/>
    <w:rsid w:val="00A230F9"/>
    <w:rsid w:val="00A23F7B"/>
    <w:rsid w:val="00A250FB"/>
    <w:rsid w:val="00A25DA0"/>
    <w:rsid w:val="00A271AA"/>
    <w:rsid w:val="00A332E0"/>
    <w:rsid w:val="00A3490F"/>
    <w:rsid w:val="00A35CE5"/>
    <w:rsid w:val="00A3686D"/>
    <w:rsid w:val="00A36C0F"/>
    <w:rsid w:val="00A41362"/>
    <w:rsid w:val="00A41FE5"/>
    <w:rsid w:val="00A42DBE"/>
    <w:rsid w:val="00A437D4"/>
    <w:rsid w:val="00A44201"/>
    <w:rsid w:val="00A44226"/>
    <w:rsid w:val="00A44A6F"/>
    <w:rsid w:val="00A50685"/>
    <w:rsid w:val="00A50B5F"/>
    <w:rsid w:val="00A516F3"/>
    <w:rsid w:val="00A5177B"/>
    <w:rsid w:val="00A52CA7"/>
    <w:rsid w:val="00A5330F"/>
    <w:rsid w:val="00A54325"/>
    <w:rsid w:val="00A56C3E"/>
    <w:rsid w:val="00A63503"/>
    <w:rsid w:val="00A6351C"/>
    <w:rsid w:val="00A6459E"/>
    <w:rsid w:val="00A646C1"/>
    <w:rsid w:val="00A66186"/>
    <w:rsid w:val="00A66751"/>
    <w:rsid w:val="00A6739E"/>
    <w:rsid w:val="00A70529"/>
    <w:rsid w:val="00A72DA3"/>
    <w:rsid w:val="00A72DC3"/>
    <w:rsid w:val="00A72F53"/>
    <w:rsid w:val="00A73263"/>
    <w:rsid w:val="00A73927"/>
    <w:rsid w:val="00A7723E"/>
    <w:rsid w:val="00A772CF"/>
    <w:rsid w:val="00A80C5D"/>
    <w:rsid w:val="00A80E96"/>
    <w:rsid w:val="00A815DA"/>
    <w:rsid w:val="00A8237E"/>
    <w:rsid w:val="00A825B7"/>
    <w:rsid w:val="00A8307D"/>
    <w:rsid w:val="00A847D0"/>
    <w:rsid w:val="00A85432"/>
    <w:rsid w:val="00A86EE9"/>
    <w:rsid w:val="00A90611"/>
    <w:rsid w:val="00A92E2B"/>
    <w:rsid w:val="00A935CB"/>
    <w:rsid w:val="00A935D6"/>
    <w:rsid w:val="00A93865"/>
    <w:rsid w:val="00A9676F"/>
    <w:rsid w:val="00A973E7"/>
    <w:rsid w:val="00A978FC"/>
    <w:rsid w:val="00AA0436"/>
    <w:rsid w:val="00AA17E6"/>
    <w:rsid w:val="00AA195F"/>
    <w:rsid w:val="00AA21F9"/>
    <w:rsid w:val="00AA256A"/>
    <w:rsid w:val="00AA2641"/>
    <w:rsid w:val="00AA3866"/>
    <w:rsid w:val="00AA3D4D"/>
    <w:rsid w:val="00AA3DCA"/>
    <w:rsid w:val="00AA3ECB"/>
    <w:rsid w:val="00AA3F53"/>
    <w:rsid w:val="00AA40A8"/>
    <w:rsid w:val="00AA501C"/>
    <w:rsid w:val="00AA5F0C"/>
    <w:rsid w:val="00AA7CC2"/>
    <w:rsid w:val="00AB0175"/>
    <w:rsid w:val="00AB0D1C"/>
    <w:rsid w:val="00AB18FF"/>
    <w:rsid w:val="00AB1DB6"/>
    <w:rsid w:val="00AB2103"/>
    <w:rsid w:val="00AB270B"/>
    <w:rsid w:val="00AB2A48"/>
    <w:rsid w:val="00AB3771"/>
    <w:rsid w:val="00AB3ACA"/>
    <w:rsid w:val="00AB3B1F"/>
    <w:rsid w:val="00AC041E"/>
    <w:rsid w:val="00AC060C"/>
    <w:rsid w:val="00AC1662"/>
    <w:rsid w:val="00AC18A1"/>
    <w:rsid w:val="00AC20FC"/>
    <w:rsid w:val="00AC33BD"/>
    <w:rsid w:val="00AC3AA1"/>
    <w:rsid w:val="00AC4B72"/>
    <w:rsid w:val="00AC511D"/>
    <w:rsid w:val="00AC77E6"/>
    <w:rsid w:val="00AC7E9C"/>
    <w:rsid w:val="00AD1ACC"/>
    <w:rsid w:val="00AD20DE"/>
    <w:rsid w:val="00AD24FA"/>
    <w:rsid w:val="00AD372E"/>
    <w:rsid w:val="00AD54DC"/>
    <w:rsid w:val="00AD645A"/>
    <w:rsid w:val="00AD79D4"/>
    <w:rsid w:val="00AD7FFD"/>
    <w:rsid w:val="00AE01D9"/>
    <w:rsid w:val="00AE07F8"/>
    <w:rsid w:val="00AE11C1"/>
    <w:rsid w:val="00AE142E"/>
    <w:rsid w:val="00AE3010"/>
    <w:rsid w:val="00AE4CF0"/>
    <w:rsid w:val="00AE50FB"/>
    <w:rsid w:val="00AE65FF"/>
    <w:rsid w:val="00AF08C8"/>
    <w:rsid w:val="00AF2054"/>
    <w:rsid w:val="00AF2BF8"/>
    <w:rsid w:val="00AF5FCC"/>
    <w:rsid w:val="00AF7AD5"/>
    <w:rsid w:val="00AF7E02"/>
    <w:rsid w:val="00B0411B"/>
    <w:rsid w:val="00B06B7A"/>
    <w:rsid w:val="00B107FD"/>
    <w:rsid w:val="00B127B1"/>
    <w:rsid w:val="00B154A9"/>
    <w:rsid w:val="00B165A9"/>
    <w:rsid w:val="00B16D0A"/>
    <w:rsid w:val="00B1758D"/>
    <w:rsid w:val="00B177EB"/>
    <w:rsid w:val="00B20567"/>
    <w:rsid w:val="00B218B7"/>
    <w:rsid w:val="00B2443C"/>
    <w:rsid w:val="00B247AA"/>
    <w:rsid w:val="00B25F3C"/>
    <w:rsid w:val="00B260A3"/>
    <w:rsid w:val="00B270BE"/>
    <w:rsid w:val="00B3268B"/>
    <w:rsid w:val="00B33A61"/>
    <w:rsid w:val="00B33DA6"/>
    <w:rsid w:val="00B3599D"/>
    <w:rsid w:val="00B36D69"/>
    <w:rsid w:val="00B36FC6"/>
    <w:rsid w:val="00B37532"/>
    <w:rsid w:val="00B3765E"/>
    <w:rsid w:val="00B40D22"/>
    <w:rsid w:val="00B413A3"/>
    <w:rsid w:val="00B41781"/>
    <w:rsid w:val="00B425C4"/>
    <w:rsid w:val="00B43833"/>
    <w:rsid w:val="00B4542C"/>
    <w:rsid w:val="00B455F1"/>
    <w:rsid w:val="00B46DF2"/>
    <w:rsid w:val="00B46EC2"/>
    <w:rsid w:val="00B50607"/>
    <w:rsid w:val="00B50C4B"/>
    <w:rsid w:val="00B5219A"/>
    <w:rsid w:val="00B529A5"/>
    <w:rsid w:val="00B5315A"/>
    <w:rsid w:val="00B558CA"/>
    <w:rsid w:val="00B57DB2"/>
    <w:rsid w:val="00B61D09"/>
    <w:rsid w:val="00B63DAE"/>
    <w:rsid w:val="00B645EB"/>
    <w:rsid w:val="00B64CC4"/>
    <w:rsid w:val="00B650EA"/>
    <w:rsid w:val="00B656F0"/>
    <w:rsid w:val="00B660F6"/>
    <w:rsid w:val="00B6663B"/>
    <w:rsid w:val="00B669FA"/>
    <w:rsid w:val="00B66A8D"/>
    <w:rsid w:val="00B67A8C"/>
    <w:rsid w:val="00B70240"/>
    <w:rsid w:val="00B71757"/>
    <w:rsid w:val="00B71A4F"/>
    <w:rsid w:val="00B7249E"/>
    <w:rsid w:val="00B72F7D"/>
    <w:rsid w:val="00B72FF3"/>
    <w:rsid w:val="00B7347E"/>
    <w:rsid w:val="00B7413E"/>
    <w:rsid w:val="00B7591C"/>
    <w:rsid w:val="00B75CE2"/>
    <w:rsid w:val="00B77E05"/>
    <w:rsid w:val="00B822B3"/>
    <w:rsid w:val="00B83DCD"/>
    <w:rsid w:val="00B918F1"/>
    <w:rsid w:val="00B9298D"/>
    <w:rsid w:val="00B930DF"/>
    <w:rsid w:val="00B94620"/>
    <w:rsid w:val="00B9593A"/>
    <w:rsid w:val="00B97184"/>
    <w:rsid w:val="00BA03BA"/>
    <w:rsid w:val="00BA08AB"/>
    <w:rsid w:val="00BA3758"/>
    <w:rsid w:val="00BA4D96"/>
    <w:rsid w:val="00BB06BC"/>
    <w:rsid w:val="00BB177B"/>
    <w:rsid w:val="00BB408C"/>
    <w:rsid w:val="00BB42D4"/>
    <w:rsid w:val="00BB530C"/>
    <w:rsid w:val="00BB559D"/>
    <w:rsid w:val="00BB60F2"/>
    <w:rsid w:val="00BB71C8"/>
    <w:rsid w:val="00BB73AA"/>
    <w:rsid w:val="00BC241A"/>
    <w:rsid w:val="00BC4819"/>
    <w:rsid w:val="00BC4D1B"/>
    <w:rsid w:val="00BC6AAF"/>
    <w:rsid w:val="00BC7791"/>
    <w:rsid w:val="00BC7D81"/>
    <w:rsid w:val="00BD0088"/>
    <w:rsid w:val="00BD03B9"/>
    <w:rsid w:val="00BD0F59"/>
    <w:rsid w:val="00BD2BF5"/>
    <w:rsid w:val="00BD2ED4"/>
    <w:rsid w:val="00BD4751"/>
    <w:rsid w:val="00BD4FE2"/>
    <w:rsid w:val="00BD539E"/>
    <w:rsid w:val="00BD6ADC"/>
    <w:rsid w:val="00BE03E5"/>
    <w:rsid w:val="00BE09FA"/>
    <w:rsid w:val="00BE1E4B"/>
    <w:rsid w:val="00BE2437"/>
    <w:rsid w:val="00BE33EF"/>
    <w:rsid w:val="00BE389D"/>
    <w:rsid w:val="00BE58C4"/>
    <w:rsid w:val="00BE5B55"/>
    <w:rsid w:val="00BE734E"/>
    <w:rsid w:val="00BF124D"/>
    <w:rsid w:val="00BF1CA8"/>
    <w:rsid w:val="00BF2793"/>
    <w:rsid w:val="00BF66E6"/>
    <w:rsid w:val="00C0172F"/>
    <w:rsid w:val="00C03A70"/>
    <w:rsid w:val="00C05D93"/>
    <w:rsid w:val="00C06AFD"/>
    <w:rsid w:val="00C1031B"/>
    <w:rsid w:val="00C107D5"/>
    <w:rsid w:val="00C110A8"/>
    <w:rsid w:val="00C111C1"/>
    <w:rsid w:val="00C11902"/>
    <w:rsid w:val="00C11A48"/>
    <w:rsid w:val="00C12CC4"/>
    <w:rsid w:val="00C130F7"/>
    <w:rsid w:val="00C1402F"/>
    <w:rsid w:val="00C14233"/>
    <w:rsid w:val="00C1688C"/>
    <w:rsid w:val="00C16F4A"/>
    <w:rsid w:val="00C170CB"/>
    <w:rsid w:val="00C178C8"/>
    <w:rsid w:val="00C20211"/>
    <w:rsid w:val="00C22BCA"/>
    <w:rsid w:val="00C22F7D"/>
    <w:rsid w:val="00C25A35"/>
    <w:rsid w:val="00C260D7"/>
    <w:rsid w:val="00C26271"/>
    <w:rsid w:val="00C31087"/>
    <w:rsid w:val="00C32095"/>
    <w:rsid w:val="00C33014"/>
    <w:rsid w:val="00C34360"/>
    <w:rsid w:val="00C34685"/>
    <w:rsid w:val="00C35D21"/>
    <w:rsid w:val="00C35E0E"/>
    <w:rsid w:val="00C36824"/>
    <w:rsid w:val="00C36A45"/>
    <w:rsid w:val="00C36B83"/>
    <w:rsid w:val="00C36BB3"/>
    <w:rsid w:val="00C41412"/>
    <w:rsid w:val="00C4150D"/>
    <w:rsid w:val="00C41A8C"/>
    <w:rsid w:val="00C41DF5"/>
    <w:rsid w:val="00C4229E"/>
    <w:rsid w:val="00C42463"/>
    <w:rsid w:val="00C433C9"/>
    <w:rsid w:val="00C45357"/>
    <w:rsid w:val="00C502A3"/>
    <w:rsid w:val="00C51262"/>
    <w:rsid w:val="00C51E67"/>
    <w:rsid w:val="00C52BB7"/>
    <w:rsid w:val="00C541D6"/>
    <w:rsid w:val="00C54A46"/>
    <w:rsid w:val="00C54FCE"/>
    <w:rsid w:val="00C5532F"/>
    <w:rsid w:val="00C56238"/>
    <w:rsid w:val="00C56906"/>
    <w:rsid w:val="00C57220"/>
    <w:rsid w:val="00C57F9B"/>
    <w:rsid w:val="00C60C67"/>
    <w:rsid w:val="00C627FA"/>
    <w:rsid w:val="00C62EBC"/>
    <w:rsid w:val="00C63D30"/>
    <w:rsid w:val="00C642AB"/>
    <w:rsid w:val="00C64EC8"/>
    <w:rsid w:val="00C65B47"/>
    <w:rsid w:val="00C66A5D"/>
    <w:rsid w:val="00C66CDE"/>
    <w:rsid w:val="00C70885"/>
    <w:rsid w:val="00C70D32"/>
    <w:rsid w:val="00C7112A"/>
    <w:rsid w:val="00C71652"/>
    <w:rsid w:val="00C73233"/>
    <w:rsid w:val="00C7517A"/>
    <w:rsid w:val="00C77950"/>
    <w:rsid w:val="00C77E4C"/>
    <w:rsid w:val="00C77ED2"/>
    <w:rsid w:val="00C82065"/>
    <w:rsid w:val="00C82304"/>
    <w:rsid w:val="00C829EA"/>
    <w:rsid w:val="00C83CE8"/>
    <w:rsid w:val="00C83D22"/>
    <w:rsid w:val="00C84149"/>
    <w:rsid w:val="00C85E8E"/>
    <w:rsid w:val="00C9059F"/>
    <w:rsid w:val="00C9094A"/>
    <w:rsid w:val="00C91551"/>
    <w:rsid w:val="00C92158"/>
    <w:rsid w:val="00C93566"/>
    <w:rsid w:val="00C94621"/>
    <w:rsid w:val="00C949E5"/>
    <w:rsid w:val="00C96DAB"/>
    <w:rsid w:val="00CA202C"/>
    <w:rsid w:val="00CA20C3"/>
    <w:rsid w:val="00CA271A"/>
    <w:rsid w:val="00CA2B1A"/>
    <w:rsid w:val="00CB415F"/>
    <w:rsid w:val="00CB67D8"/>
    <w:rsid w:val="00CC08D3"/>
    <w:rsid w:val="00CC0E8F"/>
    <w:rsid w:val="00CC1A67"/>
    <w:rsid w:val="00CC295B"/>
    <w:rsid w:val="00CC3422"/>
    <w:rsid w:val="00CC3779"/>
    <w:rsid w:val="00CC403F"/>
    <w:rsid w:val="00CC48E8"/>
    <w:rsid w:val="00CC4A59"/>
    <w:rsid w:val="00CC4C05"/>
    <w:rsid w:val="00CD0C43"/>
    <w:rsid w:val="00CD1089"/>
    <w:rsid w:val="00CD1B96"/>
    <w:rsid w:val="00CD2178"/>
    <w:rsid w:val="00CD3C79"/>
    <w:rsid w:val="00CD575E"/>
    <w:rsid w:val="00CD5FD7"/>
    <w:rsid w:val="00CD6EE5"/>
    <w:rsid w:val="00CE02B1"/>
    <w:rsid w:val="00CE145E"/>
    <w:rsid w:val="00CE2FC4"/>
    <w:rsid w:val="00CE32EB"/>
    <w:rsid w:val="00CE7226"/>
    <w:rsid w:val="00CF03D4"/>
    <w:rsid w:val="00CF1C02"/>
    <w:rsid w:val="00CF3FD7"/>
    <w:rsid w:val="00CF41DF"/>
    <w:rsid w:val="00CF4283"/>
    <w:rsid w:val="00CF4FC1"/>
    <w:rsid w:val="00CF6839"/>
    <w:rsid w:val="00CF6E4A"/>
    <w:rsid w:val="00D03596"/>
    <w:rsid w:val="00D03D55"/>
    <w:rsid w:val="00D04B69"/>
    <w:rsid w:val="00D05A1E"/>
    <w:rsid w:val="00D10763"/>
    <w:rsid w:val="00D10AB2"/>
    <w:rsid w:val="00D11A5D"/>
    <w:rsid w:val="00D11E26"/>
    <w:rsid w:val="00D1311A"/>
    <w:rsid w:val="00D13161"/>
    <w:rsid w:val="00D14E84"/>
    <w:rsid w:val="00D15131"/>
    <w:rsid w:val="00D166FC"/>
    <w:rsid w:val="00D169BF"/>
    <w:rsid w:val="00D212C3"/>
    <w:rsid w:val="00D217B4"/>
    <w:rsid w:val="00D21D90"/>
    <w:rsid w:val="00D21F97"/>
    <w:rsid w:val="00D22580"/>
    <w:rsid w:val="00D24D9B"/>
    <w:rsid w:val="00D256AF"/>
    <w:rsid w:val="00D31672"/>
    <w:rsid w:val="00D33CF8"/>
    <w:rsid w:val="00D34119"/>
    <w:rsid w:val="00D35D5A"/>
    <w:rsid w:val="00D36A26"/>
    <w:rsid w:val="00D36DDD"/>
    <w:rsid w:val="00D40505"/>
    <w:rsid w:val="00D4172C"/>
    <w:rsid w:val="00D41F74"/>
    <w:rsid w:val="00D42716"/>
    <w:rsid w:val="00D44950"/>
    <w:rsid w:val="00D44B24"/>
    <w:rsid w:val="00D44B7D"/>
    <w:rsid w:val="00D4610B"/>
    <w:rsid w:val="00D51360"/>
    <w:rsid w:val="00D51F63"/>
    <w:rsid w:val="00D52913"/>
    <w:rsid w:val="00D54A3F"/>
    <w:rsid w:val="00D55061"/>
    <w:rsid w:val="00D57CED"/>
    <w:rsid w:val="00D61B02"/>
    <w:rsid w:val="00D62B1B"/>
    <w:rsid w:val="00D62D5C"/>
    <w:rsid w:val="00D63595"/>
    <w:rsid w:val="00D66EF7"/>
    <w:rsid w:val="00D73EB5"/>
    <w:rsid w:val="00D7586B"/>
    <w:rsid w:val="00D75D5B"/>
    <w:rsid w:val="00D7675E"/>
    <w:rsid w:val="00D76E6D"/>
    <w:rsid w:val="00D77445"/>
    <w:rsid w:val="00D803FB"/>
    <w:rsid w:val="00D80AFD"/>
    <w:rsid w:val="00D814C4"/>
    <w:rsid w:val="00D82587"/>
    <w:rsid w:val="00D83536"/>
    <w:rsid w:val="00D84AF5"/>
    <w:rsid w:val="00D85346"/>
    <w:rsid w:val="00D86A09"/>
    <w:rsid w:val="00D86B8C"/>
    <w:rsid w:val="00D87719"/>
    <w:rsid w:val="00D87D89"/>
    <w:rsid w:val="00D87F28"/>
    <w:rsid w:val="00D900C4"/>
    <w:rsid w:val="00D91199"/>
    <w:rsid w:val="00D91F17"/>
    <w:rsid w:val="00D9393E"/>
    <w:rsid w:val="00D97034"/>
    <w:rsid w:val="00D97D2B"/>
    <w:rsid w:val="00DA0256"/>
    <w:rsid w:val="00DA0BC9"/>
    <w:rsid w:val="00DA19B5"/>
    <w:rsid w:val="00DA1EC6"/>
    <w:rsid w:val="00DA2E23"/>
    <w:rsid w:val="00DA372D"/>
    <w:rsid w:val="00DA3BED"/>
    <w:rsid w:val="00DA6775"/>
    <w:rsid w:val="00DA67F3"/>
    <w:rsid w:val="00DA74CB"/>
    <w:rsid w:val="00DB0049"/>
    <w:rsid w:val="00DB14C0"/>
    <w:rsid w:val="00DB25ED"/>
    <w:rsid w:val="00DB2A01"/>
    <w:rsid w:val="00DB469A"/>
    <w:rsid w:val="00DB504E"/>
    <w:rsid w:val="00DB55CC"/>
    <w:rsid w:val="00DB6ACA"/>
    <w:rsid w:val="00DB7699"/>
    <w:rsid w:val="00DB7E50"/>
    <w:rsid w:val="00DC1152"/>
    <w:rsid w:val="00DC1B6A"/>
    <w:rsid w:val="00DC2E62"/>
    <w:rsid w:val="00DC66B7"/>
    <w:rsid w:val="00DC6880"/>
    <w:rsid w:val="00DC7B5E"/>
    <w:rsid w:val="00DC7E3E"/>
    <w:rsid w:val="00DD1913"/>
    <w:rsid w:val="00DD29E6"/>
    <w:rsid w:val="00DD3E00"/>
    <w:rsid w:val="00DD3E1D"/>
    <w:rsid w:val="00DD41AE"/>
    <w:rsid w:val="00DD4284"/>
    <w:rsid w:val="00DD4771"/>
    <w:rsid w:val="00DD5361"/>
    <w:rsid w:val="00DD5A6F"/>
    <w:rsid w:val="00DD5C9E"/>
    <w:rsid w:val="00DD63EA"/>
    <w:rsid w:val="00DE0627"/>
    <w:rsid w:val="00DE66B5"/>
    <w:rsid w:val="00DF605B"/>
    <w:rsid w:val="00DF7EE0"/>
    <w:rsid w:val="00E030AA"/>
    <w:rsid w:val="00E03597"/>
    <w:rsid w:val="00E036D5"/>
    <w:rsid w:val="00E04C53"/>
    <w:rsid w:val="00E06071"/>
    <w:rsid w:val="00E066DB"/>
    <w:rsid w:val="00E06742"/>
    <w:rsid w:val="00E0700C"/>
    <w:rsid w:val="00E12761"/>
    <w:rsid w:val="00E16236"/>
    <w:rsid w:val="00E17614"/>
    <w:rsid w:val="00E22030"/>
    <w:rsid w:val="00E237F0"/>
    <w:rsid w:val="00E24415"/>
    <w:rsid w:val="00E25153"/>
    <w:rsid w:val="00E2535B"/>
    <w:rsid w:val="00E27DE9"/>
    <w:rsid w:val="00E30673"/>
    <w:rsid w:val="00E32D52"/>
    <w:rsid w:val="00E3403F"/>
    <w:rsid w:val="00E341D7"/>
    <w:rsid w:val="00E36AF6"/>
    <w:rsid w:val="00E43C6D"/>
    <w:rsid w:val="00E43F4E"/>
    <w:rsid w:val="00E451DD"/>
    <w:rsid w:val="00E46465"/>
    <w:rsid w:val="00E46469"/>
    <w:rsid w:val="00E47802"/>
    <w:rsid w:val="00E47F8A"/>
    <w:rsid w:val="00E50815"/>
    <w:rsid w:val="00E52540"/>
    <w:rsid w:val="00E52769"/>
    <w:rsid w:val="00E536C0"/>
    <w:rsid w:val="00E544E8"/>
    <w:rsid w:val="00E558D0"/>
    <w:rsid w:val="00E56840"/>
    <w:rsid w:val="00E61627"/>
    <w:rsid w:val="00E66C0A"/>
    <w:rsid w:val="00E70EA2"/>
    <w:rsid w:val="00E7222F"/>
    <w:rsid w:val="00E728E2"/>
    <w:rsid w:val="00E7374D"/>
    <w:rsid w:val="00E7391A"/>
    <w:rsid w:val="00E74366"/>
    <w:rsid w:val="00E762C8"/>
    <w:rsid w:val="00E7649B"/>
    <w:rsid w:val="00E7658D"/>
    <w:rsid w:val="00E773EF"/>
    <w:rsid w:val="00E77BFD"/>
    <w:rsid w:val="00E805FB"/>
    <w:rsid w:val="00E8080C"/>
    <w:rsid w:val="00E81F18"/>
    <w:rsid w:val="00E844ED"/>
    <w:rsid w:val="00E85620"/>
    <w:rsid w:val="00E87EC3"/>
    <w:rsid w:val="00E87F5A"/>
    <w:rsid w:val="00E90BD6"/>
    <w:rsid w:val="00E90C34"/>
    <w:rsid w:val="00E9194E"/>
    <w:rsid w:val="00E92E24"/>
    <w:rsid w:val="00E93482"/>
    <w:rsid w:val="00E9667E"/>
    <w:rsid w:val="00E97022"/>
    <w:rsid w:val="00EA035D"/>
    <w:rsid w:val="00EA0B5B"/>
    <w:rsid w:val="00EA1D6F"/>
    <w:rsid w:val="00EA1F2C"/>
    <w:rsid w:val="00EA287A"/>
    <w:rsid w:val="00EA29C6"/>
    <w:rsid w:val="00EA3147"/>
    <w:rsid w:val="00EA521B"/>
    <w:rsid w:val="00EA62AC"/>
    <w:rsid w:val="00EA70C5"/>
    <w:rsid w:val="00EB39D0"/>
    <w:rsid w:val="00EB4642"/>
    <w:rsid w:val="00EB4CD9"/>
    <w:rsid w:val="00EB50F0"/>
    <w:rsid w:val="00EC10DA"/>
    <w:rsid w:val="00EC2DD0"/>
    <w:rsid w:val="00EC4353"/>
    <w:rsid w:val="00EC4865"/>
    <w:rsid w:val="00EC6F6A"/>
    <w:rsid w:val="00ED06C7"/>
    <w:rsid w:val="00ED0CBC"/>
    <w:rsid w:val="00ED2927"/>
    <w:rsid w:val="00ED2B3E"/>
    <w:rsid w:val="00ED45BC"/>
    <w:rsid w:val="00ED468E"/>
    <w:rsid w:val="00ED5AE6"/>
    <w:rsid w:val="00ED65F4"/>
    <w:rsid w:val="00ED753A"/>
    <w:rsid w:val="00EE0349"/>
    <w:rsid w:val="00EE1F98"/>
    <w:rsid w:val="00EE2640"/>
    <w:rsid w:val="00EE2C13"/>
    <w:rsid w:val="00EE3608"/>
    <w:rsid w:val="00EE3BB5"/>
    <w:rsid w:val="00EE51A0"/>
    <w:rsid w:val="00EE5D38"/>
    <w:rsid w:val="00EE6A7B"/>
    <w:rsid w:val="00EE7F79"/>
    <w:rsid w:val="00EF002C"/>
    <w:rsid w:val="00EF083F"/>
    <w:rsid w:val="00EF1667"/>
    <w:rsid w:val="00EF3210"/>
    <w:rsid w:val="00EF5CBD"/>
    <w:rsid w:val="00EF6AAB"/>
    <w:rsid w:val="00EF70E8"/>
    <w:rsid w:val="00EF785B"/>
    <w:rsid w:val="00F01CFD"/>
    <w:rsid w:val="00F048B2"/>
    <w:rsid w:val="00F04CA1"/>
    <w:rsid w:val="00F04CB7"/>
    <w:rsid w:val="00F05810"/>
    <w:rsid w:val="00F06FFE"/>
    <w:rsid w:val="00F070E9"/>
    <w:rsid w:val="00F0760F"/>
    <w:rsid w:val="00F10E69"/>
    <w:rsid w:val="00F13083"/>
    <w:rsid w:val="00F13663"/>
    <w:rsid w:val="00F14568"/>
    <w:rsid w:val="00F1519B"/>
    <w:rsid w:val="00F21225"/>
    <w:rsid w:val="00F221CC"/>
    <w:rsid w:val="00F222A4"/>
    <w:rsid w:val="00F223D0"/>
    <w:rsid w:val="00F22605"/>
    <w:rsid w:val="00F23C03"/>
    <w:rsid w:val="00F24206"/>
    <w:rsid w:val="00F24684"/>
    <w:rsid w:val="00F2519F"/>
    <w:rsid w:val="00F26A87"/>
    <w:rsid w:val="00F27481"/>
    <w:rsid w:val="00F30756"/>
    <w:rsid w:val="00F31968"/>
    <w:rsid w:val="00F3476C"/>
    <w:rsid w:val="00F441D9"/>
    <w:rsid w:val="00F448AE"/>
    <w:rsid w:val="00F44A3B"/>
    <w:rsid w:val="00F45451"/>
    <w:rsid w:val="00F45AFC"/>
    <w:rsid w:val="00F463EA"/>
    <w:rsid w:val="00F47CB5"/>
    <w:rsid w:val="00F5243A"/>
    <w:rsid w:val="00F52AF2"/>
    <w:rsid w:val="00F5516F"/>
    <w:rsid w:val="00F57CD4"/>
    <w:rsid w:val="00F607E4"/>
    <w:rsid w:val="00F61440"/>
    <w:rsid w:val="00F614E3"/>
    <w:rsid w:val="00F633EE"/>
    <w:rsid w:val="00F64688"/>
    <w:rsid w:val="00F64719"/>
    <w:rsid w:val="00F66EC2"/>
    <w:rsid w:val="00F70885"/>
    <w:rsid w:val="00F70D54"/>
    <w:rsid w:val="00F71B9D"/>
    <w:rsid w:val="00F742F7"/>
    <w:rsid w:val="00F74CBD"/>
    <w:rsid w:val="00F74E3C"/>
    <w:rsid w:val="00F75A58"/>
    <w:rsid w:val="00F77DA1"/>
    <w:rsid w:val="00F80780"/>
    <w:rsid w:val="00F81C32"/>
    <w:rsid w:val="00F84E41"/>
    <w:rsid w:val="00F8580E"/>
    <w:rsid w:val="00F87284"/>
    <w:rsid w:val="00F87953"/>
    <w:rsid w:val="00F93295"/>
    <w:rsid w:val="00F94CD8"/>
    <w:rsid w:val="00F952B8"/>
    <w:rsid w:val="00F96744"/>
    <w:rsid w:val="00F97AC6"/>
    <w:rsid w:val="00F97BDA"/>
    <w:rsid w:val="00FA0DE9"/>
    <w:rsid w:val="00FA0F7E"/>
    <w:rsid w:val="00FA1782"/>
    <w:rsid w:val="00FA18DB"/>
    <w:rsid w:val="00FA28D0"/>
    <w:rsid w:val="00FA3325"/>
    <w:rsid w:val="00FA3D27"/>
    <w:rsid w:val="00FA63BF"/>
    <w:rsid w:val="00FA7B8E"/>
    <w:rsid w:val="00FB1388"/>
    <w:rsid w:val="00FB197F"/>
    <w:rsid w:val="00FB24C9"/>
    <w:rsid w:val="00FB31E8"/>
    <w:rsid w:val="00FB35E6"/>
    <w:rsid w:val="00FB4D71"/>
    <w:rsid w:val="00FB6F78"/>
    <w:rsid w:val="00FC0BF4"/>
    <w:rsid w:val="00FC13E4"/>
    <w:rsid w:val="00FC37C0"/>
    <w:rsid w:val="00FC6904"/>
    <w:rsid w:val="00FC6920"/>
    <w:rsid w:val="00FC7D1A"/>
    <w:rsid w:val="00FD16DE"/>
    <w:rsid w:val="00FD220E"/>
    <w:rsid w:val="00FD27DF"/>
    <w:rsid w:val="00FD35B4"/>
    <w:rsid w:val="00FE279A"/>
    <w:rsid w:val="00FE28F1"/>
    <w:rsid w:val="00FE2C68"/>
    <w:rsid w:val="00FE400E"/>
    <w:rsid w:val="00FE63B0"/>
    <w:rsid w:val="00FE7369"/>
    <w:rsid w:val="00FE7BA8"/>
    <w:rsid w:val="00FF076B"/>
    <w:rsid w:val="00FF0DCE"/>
    <w:rsid w:val="00FF2687"/>
    <w:rsid w:val="00FF43F6"/>
    <w:rsid w:val="00FF47B9"/>
    <w:rsid w:val="36F7630B"/>
    <w:rsid w:val="4D1882EA"/>
    <w:rsid w:val="64C0B6DE"/>
    <w:rsid w:val="72D4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35173"/>
    <w:pPr>
      <w:keepNext/>
      <w:jc w:val="center"/>
      <w:outlineLvl w:val="0"/>
    </w:pPr>
    <w:rPr>
      <w:rFonts w:ascii="Arial" w:hAnsi="Arial" w:cs="Arial"/>
      <w:b/>
      <w:bCs/>
      <w:sz w:val="28"/>
    </w:rPr>
  </w:style>
  <w:style w:type="paragraph" w:styleId="Heading2">
    <w:name w:val="heading 2"/>
    <w:basedOn w:val="Normal"/>
    <w:next w:val="Normal"/>
    <w:link w:val="Heading2Char"/>
    <w:unhideWhenUsed/>
    <w:qFormat/>
    <w:rsid w:val="0045628B"/>
    <w:pPr>
      <w:keepNext/>
      <w:keepLines/>
      <w:spacing w:before="240" w:after="2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C7517A"/>
    <w:pPr>
      <w:keepNext/>
      <w:keepLines/>
      <w:spacing w:before="480" w:after="240"/>
      <w:jc w:val="center"/>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6227AC"/>
    <w:pPr>
      <w:tabs>
        <w:tab w:val="right" w:leader="dot" w:pos="9360"/>
      </w:tabs>
      <w:spacing w:after="240"/>
      <w:ind w:left="27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styleId="FollowedHyperlink">
    <w:name w:val="FollowedHyperlink"/>
    <w:basedOn w:val="DefaultParagraphFont"/>
    <w:rsid w:val="000B3C5F"/>
    <w:rPr>
      <w:color w:val="954F72" w:themeColor="followedHyperlink"/>
      <w:u w:val="single"/>
    </w:rPr>
  </w:style>
  <w:style w:type="paragraph" w:styleId="BodyTextIndent3">
    <w:name w:val="Body Text Indent 3"/>
    <w:basedOn w:val="Normal"/>
    <w:link w:val="BodyTextIndent3Char"/>
    <w:rsid w:val="00C0172F"/>
    <w:pPr>
      <w:spacing w:after="120"/>
      <w:ind w:left="360"/>
    </w:pPr>
    <w:rPr>
      <w:sz w:val="16"/>
      <w:szCs w:val="16"/>
    </w:rPr>
  </w:style>
  <w:style w:type="character" w:customStyle="1" w:styleId="BodyTextIndent3Char">
    <w:name w:val="Body Text Indent 3 Char"/>
    <w:basedOn w:val="DefaultParagraphFont"/>
    <w:link w:val="BodyTextIndent3"/>
    <w:rsid w:val="00C0172F"/>
    <w:rPr>
      <w:sz w:val="16"/>
      <w:szCs w:val="16"/>
    </w:rPr>
  </w:style>
  <w:style w:type="table" w:styleId="GridTable4">
    <w:name w:val="Grid Table 4"/>
    <w:basedOn w:val="TableNormal"/>
    <w:uiPriority w:val="49"/>
    <w:rsid w:val="00C0172F"/>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xcontentpasted0">
    <w:name w:val="x_contentpasted0"/>
    <w:basedOn w:val="DefaultParagraphFont"/>
    <w:rsid w:val="00C85E8E"/>
  </w:style>
  <w:style w:type="character" w:customStyle="1" w:styleId="Heading2Char">
    <w:name w:val="Heading 2 Char"/>
    <w:basedOn w:val="DefaultParagraphFont"/>
    <w:link w:val="Heading2"/>
    <w:rsid w:val="0045628B"/>
    <w:rPr>
      <w:rFonts w:ascii="Arial" w:eastAsiaTheme="majorEastAsia" w:hAnsi="Arial" w:cstheme="majorBidi"/>
      <w:b/>
      <w:sz w:val="28"/>
      <w:szCs w:val="26"/>
    </w:rPr>
  </w:style>
  <w:style w:type="character" w:customStyle="1" w:styleId="Heading3Char">
    <w:name w:val="Heading 3 Char"/>
    <w:basedOn w:val="DefaultParagraphFont"/>
    <w:link w:val="Heading3"/>
    <w:rsid w:val="00C7517A"/>
    <w:rPr>
      <w:rFonts w:ascii="Arial" w:eastAsiaTheme="majorEastAsia" w:hAnsi="Arial" w:cstheme="majorBidi"/>
      <w:b/>
      <w:sz w:val="24"/>
      <w:szCs w:val="24"/>
    </w:rPr>
  </w:style>
  <w:style w:type="paragraph" w:styleId="TOC2">
    <w:name w:val="toc 2"/>
    <w:basedOn w:val="Normal"/>
    <w:next w:val="Normal"/>
    <w:autoRedefine/>
    <w:uiPriority w:val="39"/>
    <w:rsid w:val="00E52769"/>
    <w:pPr>
      <w:tabs>
        <w:tab w:val="right" w:leader="dot" w:pos="9350"/>
      </w:tabs>
      <w:spacing w:after="100"/>
      <w:ind w:left="245"/>
    </w:pPr>
  </w:style>
  <w:style w:type="paragraph" w:styleId="TOC3">
    <w:name w:val="toc 3"/>
    <w:basedOn w:val="Normal"/>
    <w:next w:val="Normal"/>
    <w:autoRedefine/>
    <w:uiPriority w:val="39"/>
    <w:rsid w:val="00773999"/>
    <w:pPr>
      <w:spacing w:after="100"/>
      <w:ind w:left="480"/>
    </w:pPr>
  </w:style>
  <w:style w:type="paragraph" w:styleId="TOCHeading">
    <w:name w:val="TOC Heading"/>
    <w:basedOn w:val="Heading1"/>
    <w:next w:val="Normal"/>
    <w:uiPriority w:val="39"/>
    <w:unhideWhenUsed/>
    <w:qFormat/>
    <w:rsid w:val="002B7FBD"/>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Revision">
    <w:name w:val="Revision"/>
    <w:hidden/>
    <w:uiPriority w:val="99"/>
    <w:semiHidden/>
    <w:rsid w:val="009A5C46"/>
    <w:rPr>
      <w:sz w:val="24"/>
      <w:szCs w:val="24"/>
    </w:rPr>
  </w:style>
  <w:style w:type="table" w:styleId="TableGridLight">
    <w:name w:val="Grid Table Light"/>
    <w:basedOn w:val="TableNormal"/>
    <w:uiPriority w:val="40"/>
    <w:rsid w:val="000233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391">
      <w:bodyDiv w:val="1"/>
      <w:marLeft w:val="0"/>
      <w:marRight w:val="0"/>
      <w:marTop w:val="0"/>
      <w:marBottom w:val="0"/>
      <w:divBdr>
        <w:top w:val="none" w:sz="0" w:space="0" w:color="auto"/>
        <w:left w:val="none" w:sz="0" w:space="0" w:color="auto"/>
        <w:bottom w:val="none" w:sz="0" w:space="0" w:color="auto"/>
        <w:right w:val="none" w:sz="0" w:space="0" w:color="auto"/>
      </w:divBdr>
    </w:div>
    <w:div w:id="41486910">
      <w:bodyDiv w:val="1"/>
      <w:marLeft w:val="0"/>
      <w:marRight w:val="0"/>
      <w:marTop w:val="0"/>
      <w:marBottom w:val="0"/>
      <w:divBdr>
        <w:top w:val="none" w:sz="0" w:space="0" w:color="auto"/>
        <w:left w:val="none" w:sz="0" w:space="0" w:color="auto"/>
        <w:bottom w:val="none" w:sz="0" w:space="0" w:color="auto"/>
        <w:right w:val="none" w:sz="0" w:space="0" w:color="auto"/>
      </w:divBdr>
    </w:div>
    <w:div w:id="47343720">
      <w:bodyDiv w:val="1"/>
      <w:marLeft w:val="0"/>
      <w:marRight w:val="0"/>
      <w:marTop w:val="0"/>
      <w:marBottom w:val="0"/>
      <w:divBdr>
        <w:top w:val="none" w:sz="0" w:space="0" w:color="auto"/>
        <w:left w:val="none" w:sz="0" w:space="0" w:color="auto"/>
        <w:bottom w:val="none" w:sz="0" w:space="0" w:color="auto"/>
        <w:right w:val="none" w:sz="0" w:space="0" w:color="auto"/>
      </w:divBdr>
    </w:div>
    <w:div w:id="130907651">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237330452">
      <w:bodyDiv w:val="1"/>
      <w:marLeft w:val="0"/>
      <w:marRight w:val="0"/>
      <w:marTop w:val="0"/>
      <w:marBottom w:val="0"/>
      <w:divBdr>
        <w:top w:val="none" w:sz="0" w:space="0" w:color="auto"/>
        <w:left w:val="none" w:sz="0" w:space="0" w:color="auto"/>
        <w:bottom w:val="none" w:sz="0" w:space="0" w:color="auto"/>
        <w:right w:val="none" w:sz="0" w:space="0" w:color="auto"/>
      </w:divBdr>
      <w:divsChild>
        <w:div w:id="1287200211">
          <w:marLeft w:val="274"/>
          <w:marRight w:val="0"/>
          <w:marTop w:val="0"/>
          <w:marBottom w:val="0"/>
          <w:divBdr>
            <w:top w:val="none" w:sz="0" w:space="0" w:color="auto"/>
            <w:left w:val="none" w:sz="0" w:space="0" w:color="auto"/>
            <w:bottom w:val="none" w:sz="0" w:space="0" w:color="auto"/>
            <w:right w:val="none" w:sz="0" w:space="0" w:color="auto"/>
          </w:divBdr>
        </w:div>
        <w:div w:id="1978803950">
          <w:marLeft w:val="274"/>
          <w:marRight w:val="0"/>
          <w:marTop w:val="0"/>
          <w:marBottom w:val="0"/>
          <w:divBdr>
            <w:top w:val="none" w:sz="0" w:space="0" w:color="auto"/>
            <w:left w:val="none" w:sz="0" w:space="0" w:color="auto"/>
            <w:bottom w:val="none" w:sz="0" w:space="0" w:color="auto"/>
            <w:right w:val="none" w:sz="0" w:space="0" w:color="auto"/>
          </w:divBdr>
        </w:div>
        <w:div w:id="853499020">
          <w:marLeft w:val="274"/>
          <w:marRight w:val="0"/>
          <w:marTop w:val="0"/>
          <w:marBottom w:val="0"/>
          <w:divBdr>
            <w:top w:val="none" w:sz="0" w:space="0" w:color="auto"/>
            <w:left w:val="none" w:sz="0" w:space="0" w:color="auto"/>
            <w:bottom w:val="none" w:sz="0" w:space="0" w:color="auto"/>
            <w:right w:val="none" w:sz="0" w:space="0" w:color="auto"/>
          </w:divBdr>
        </w:div>
      </w:divsChild>
    </w:div>
    <w:div w:id="253126964">
      <w:bodyDiv w:val="1"/>
      <w:marLeft w:val="0"/>
      <w:marRight w:val="0"/>
      <w:marTop w:val="0"/>
      <w:marBottom w:val="0"/>
      <w:divBdr>
        <w:top w:val="none" w:sz="0" w:space="0" w:color="auto"/>
        <w:left w:val="none" w:sz="0" w:space="0" w:color="auto"/>
        <w:bottom w:val="none" w:sz="0" w:space="0" w:color="auto"/>
        <w:right w:val="none" w:sz="0" w:space="0" w:color="auto"/>
      </w:divBdr>
    </w:div>
    <w:div w:id="316492887">
      <w:bodyDiv w:val="1"/>
      <w:marLeft w:val="0"/>
      <w:marRight w:val="0"/>
      <w:marTop w:val="0"/>
      <w:marBottom w:val="0"/>
      <w:divBdr>
        <w:top w:val="none" w:sz="0" w:space="0" w:color="auto"/>
        <w:left w:val="none" w:sz="0" w:space="0" w:color="auto"/>
        <w:bottom w:val="none" w:sz="0" w:space="0" w:color="auto"/>
        <w:right w:val="none" w:sz="0" w:space="0" w:color="auto"/>
      </w:divBdr>
    </w:div>
    <w:div w:id="326252506">
      <w:bodyDiv w:val="1"/>
      <w:marLeft w:val="0"/>
      <w:marRight w:val="0"/>
      <w:marTop w:val="0"/>
      <w:marBottom w:val="0"/>
      <w:divBdr>
        <w:top w:val="none" w:sz="0" w:space="0" w:color="auto"/>
        <w:left w:val="none" w:sz="0" w:space="0" w:color="auto"/>
        <w:bottom w:val="none" w:sz="0" w:space="0" w:color="auto"/>
        <w:right w:val="none" w:sz="0" w:space="0" w:color="auto"/>
      </w:divBdr>
    </w:div>
    <w:div w:id="431710973">
      <w:bodyDiv w:val="1"/>
      <w:marLeft w:val="0"/>
      <w:marRight w:val="0"/>
      <w:marTop w:val="0"/>
      <w:marBottom w:val="0"/>
      <w:divBdr>
        <w:top w:val="none" w:sz="0" w:space="0" w:color="auto"/>
        <w:left w:val="none" w:sz="0" w:space="0" w:color="auto"/>
        <w:bottom w:val="none" w:sz="0" w:space="0" w:color="auto"/>
        <w:right w:val="none" w:sz="0" w:space="0" w:color="auto"/>
      </w:divBdr>
    </w:div>
    <w:div w:id="581792644">
      <w:bodyDiv w:val="1"/>
      <w:marLeft w:val="0"/>
      <w:marRight w:val="0"/>
      <w:marTop w:val="0"/>
      <w:marBottom w:val="0"/>
      <w:divBdr>
        <w:top w:val="none" w:sz="0" w:space="0" w:color="auto"/>
        <w:left w:val="none" w:sz="0" w:space="0" w:color="auto"/>
        <w:bottom w:val="none" w:sz="0" w:space="0" w:color="auto"/>
        <w:right w:val="none" w:sz="0" w:space="0" w:color="auto"/>
      </w:divBdr>
    </w:div>
    <w:div w:id="645359834">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818575255">
      <w:bodyDiv w:val="1"/>
      <w:marLeft w:val="0"/>
      <w:marRight w:val="0"/>
      <w:marTop w:val="0"/>
      <w:marBottom w:val="0"/>
      <w:divBdr>
        <w:top w:val="none" w:sz="0" w:space="0" w:color="auto"/>
        <w:left w:val="none" w:sz="0" w:space="0" w:color="auto"/>
        <w:bottom w:val="none" w:sz="0" w:space="0" w:color="auto"/>
        <w:right w:val="none" w:sz="0" w:space="0" w:color="auto"/>
      </w:divBdr>
    </w:div>
    <w:div w:id="862979755">
      <w:bodyDiv w:val="1"/>
      <w:marLeft w:val="0"/>
      <w:marRight w:val="0"/>
      <w:marTop w:val="0"/>
      <w:marBottom w:val="0"/>
      <w:divBdr>
        <w:top w:val="none" w:sz="0" w:space="0" w:color="auto"/>
        <w:left w:val="none" w:sz="0" w:space="0" w:color="auto"/>
        <w:bottom w:val="none" w:sz="0" w:space="0" w:color="auto"/>
        <w:right w:val="none" w:sz="0" w:space="0" w:color="auto"/>
      </w:divBdr>
    </w:div>
    <w:div w:id="954799370">
      <w:bodyDiv w:val="1"/>
      <w:marLeft w:val="0"/>
      <w:marRight w:val="0"/>
      <w:marTop w:val="0"/>
      <w:marBottom w:val="0"/>
      <w:divBdr>
        <w:top w:val="none" w:sz="0" w:space="0" w:color="auto"/>
        <w:left w:val="none" w:sz="0" w:space="0" w:color="auto"/>
        <w:bottom w:val="none" w:sz="0" w:space="0" w:color="auto"/>
        <w:right w:val="none" w:sz="0" w:space="0" w:color="auto"/>
      </w:divBdr>
    </w:div>
    <w:div w:id="1121536807">
      <w:bodyDiv w:val="1"/>
      <w:marLeft w:val="0"/>
      <w:marRight w:val="0"/>
      <w:marTop w:val="0"/>
      <w:marBottom w:val="0"/>
      <w:divBdr>
        <w:top w:val="none" w:sz="0" w:space="0" w:color="auto"/>
        <w:left w:val="none" w:sz="0" w:space="0" w:color="auto"/>
        <w:bottom w:val="none" w:sz="0" w:space="0" w:color="auto"/>
        <w:right w:val="none" w:sz="0" w:space="0" w:color="auto"/>
      </w:divBdr>
    </w:div>
    <w:div w:id="1125276012">
      <w:bodyDiv w:val="1"/>
      <w:marLeft w:val="0"/>
      <w:marRight w:val="0"/>
      <w:marTop w:val="0"/>
      <w:marBottom w:val="0"/>
      <w:divBdr>
        <w:top w:val="none" w:sz="0" w:space="0" w:color="auto"/>
        <w:left w:val="none" w:sz="0" w:space="0" w:color="auto"/>
        <w:bottom w:val="none" w:sz="0" w:space="0" w:color="auto"/>
        <w:right w:val="none" w:sz="0" w:space="0" w:color="auto"/>
      </w:divBdr>
    </w:div>
    <w:div w:id="1144397014">
      <w:bodyDiv w:val="1"/>
      <w:marLeft w:val="0"/>
      <w:marRight w:val="0"/>
      <w:marTop w:val="0"/>
      <w:marBottom w:val="0"/>
      <w:divBdr>
        <w:top w:val="none" w:sz="0" w:space="0" w:color="auto"/>
        <w:left w:val="none" w:sz="0" w:space="0" w:color="auto"/>
        <w:bottom w:val="none" w:sz="0" w:space="0" w:color="auto"/>
        <w:right w:val="none" w:sz="0" w:space="0" w:color="auto"/>
      </w:divBdr>
    </w:div>
    <w:div w:id="1208643140">
      <w:bodyDiv w:val="1"/>
      <w:marLeft w:val="0"/>
      <w:marRight w:val="0"/>
      <w:marTop w:val="0"/>
      <w:marBottom w:val="0"/>
      <w:divBdr>
        <w:top w:val="none" w:sz="0" w:space="0" w:color="auto"/>
        <w:left w:val="none" w:sz="0" w:space="0" w:color="auto"/>
        <w:bottom w:val="none" w:sz="0" w:space="0" w:color="auto"/>
        <w:right w:val="none" w:sz="0" w:space="0" w:color="auto"/>
      </w:divBdr>
    </w:div>
    <w:div w:id="1413040213">
      <w:bodyDiv w:val="1"/>
      <w:marLeft w:val="0"/>
      <w:marRight w:val="0"/>
      <w:marTop w:val="0"/>
      <w:marBottom w:val="0"/>
      <w:divBdr>
        <w:top w:val="none" w:sz="0" w:space="0" w:color="auto"/>
        <w:left w:val="none" w:sz="0" w:space="0" w:color="auto"/>
        <w:bottom w:val="none" w:sz="0" w:space="0" w:color="auto"/>
        <w:right w:val="none" w:sz="0" w:space="0" w:color="auto"/>
      </w:divBdr>
    </w:div>
    <w:div w:id="1439178035">
      <w:bodyDiv w:val="1"/>
      <w:marLeft w:val="0"/>
      <w:marRight w:val="0"/>
      <w:marTop w:val="0"/>
      <w:marBottom w:val="0"/>
      <w:divBdr>
        <w:top w:val="none" w:sz="0" w:space="0" w:color="auto"/>
        <w:left w:val="none" w:sz="0" w:space="0" w:color="auto"/>
        <w:bottom w:val="none" w:sz="0" w:space="0" w:color="auto"/>
        <w:right w:val="none" w:sz="0" w:space="0" w:color="auto"/>
      </w:divBdr>
    </w:div>
    <w:div w:id="1486970138">
      <w:bodyDiv w:val="1"/>
      <w:marLeft w:val="0"/>
      <w:marRight w:val="0"/>
      <w:marTop w:val="0"/>
      <w:marBottom w:val="0"/>
      <w:divBdr>
        <w:top w:val="none" w:sz="0" w:space="0" w:color="auto"/>
        <w:left w:val="none" w:sz="0" w:space="0" w:color="auto"/>
        <w:bottom w:val="none" w:sz="0" w:space="0" w:color="auto"/>
        <w:right w:val="none" w:sz="0" w:space="0" w:color="auto"/>
      </w:divBdr>
    </w:div>
    <w:div w:id="1489788807">
      <w:bodyDiv w:val="1"/>
      <w:marLeft w:val="0"/>
      <w:marRight w:val="0"/>
      <w:marTop w:val="0"/>
      <w:marBottom w:val="0"/>
      <w:divBdr>
        <w:top w:val="none" w:sz="0" w:space="0" w:color="auto"/>
        <w:left w:val="none" w:sz="0" w:space="0" w:color="auto"/>
        <w:bottom w:val="none" w:sz="0" w:space="0" w:color="auto"/>
        <w:right w:val="none" w:sz="0" w:space="0" w:color="auto"/>
      </w:divBdr>
    </w:div>
    <w:div w:id="1506214183">
      <w:bodyDiv w:val="1"/>
      <w:marLeft w:val="0"/>
      <w:marRight w:val="0"/>
      <w:marTop w:val="0"/>
      <w:marBottom w:val="0"/>
      <w:divBdr>
        <w:top w:val="none" w:sz="0" w:space="0" w:color="auto"/>
        <w:left w:val="none" w:sz="0" w:space="0" w:color="auto"/>
        <w:bottom w:val="none" w:sz="0" w:space="0" w:color="auto"/>
        <w:right w:val="none" w:sz="0" w:space="0" w:color="auto"/>
      </w:divBdr>
    </w:div>
    <w:div w:id="1557543880">
      <w:bodyDiv w:val="1"/>
      <w:marLeft w:val="0"/>
      <w:marRight w:val="0"/>
      <w:marTop w:val="0"/>
      <w:marBottom w:val="0"/>
      <w:divBdr>
        <w:top w:val="none" w:sz="0" w:space="0" w:color="auto"/>
        <w:left w:val="none" w:sz="0" w:space="0" w:color="auto"/>
        <w:bottom w:val="none" w:sz="0" w:space="0" w:color="auto"/>
        <w:right w:val="none" w:sz="0" w:space="0" w:color="auto"/>
      </w:divBdr>
      <w:divsChild>
        <w:div w:id="1394038232">
          <w:marLeft w:val="720"/>
          <w:marRight w:val="0"/>
          <w:marTop w:val="0"/>
          <w:marBottom w:val="0"/>
          <w:divBdr>
            <w:top w:val="none" w:sz="0" w:space="0" w:color="auto"/>
            <w:left w:val="none" w:sz="0" w:space="0" w:color="auto"/>
            <w:bottom w:val="none" w:sz="0" w:space="0" w:color="auto"/>
            <w:right w:val="none" w:sz="0" w:space="0" w:color="auto"/>
          </w:divBdr>
        </w:div>
        <w:div w:id="651953877">
          <w:marLeft w:val="720"/>
          <w:marRight w:val="0"/>
          <w:marTop w:val="0"/>
          <w:marBottom w:val="0"/>
          <w:divBdr>
            <w:top w:val="none" w:sz="0" w:space="0" w:color="auto"/>
            <w:left w:val="none" w:sz="0" w:space="0" w:color="auto"/>
            <w:bottom w:val="none" w:sz="0" w:space="0" w:color="auto"/>
            <w:right w:val="none" w:sz="0" w:space="0" w:color="auto"/>
          </w:divBdr>
        </w:div>
        <w:div w:id="1558279235">
          <w:marLeft w:val="720"/>
          <w:marRight w:val="0"/>
          <w:marTop w:val="0"/>
          <w:marBottom w:val="0"/>
          <w:divBdr>
            <w:top w:val="none" w:sz="0" w:space="0" w:color="auto"/>
            <w:left w:val="none" w:sz="0" w:space="0" w:color="auto"/>
            <w:bottom w:val="none" w:sz="0" w:space="0" w:color="auto"/>
            <w:right w:val="none" w:sz="0" w:space="0" w:color="auto"/>
          </w:divBdr>
        </w:div>
        <w:div w:id="437023524">
          <w:marLeft w:val="720"/>
          <w:marRight w:val="0"/>
          <w:marTop w:val="0"/>
          <w:marBottom w:val="0"/>
          <w:divBdr>
            <w:top w:val="none" w:sz="0" w:space="0" w:color="auto"/>
            <w:left w:val="none" w:sz="0" w:space="0" w:color="auto"/>
            <w:bottom w:val="none" w:sz="0" w:space="0" w:color="auto"/>
            <w:right w:val="none" w:sz="0" w:space="0" w:color="auto"/>
          </w:divBdr>
        </w:div>
        <w:div w:id="586578887">
          <w:marLeft w:val="720"/>
          <w:marRight w:val="0"/>
          <w:marTop w:val="0"/>
          <w:marBottom w:val="0"/>
          <w:divBdr>
            <w:top w:val="none" w:sz="0" w:space="0" w:color="auto"/>
            <w:left w:val="none" w:sz="0" w:space="0" w:color="auto"/>
            <w:bottom w:val="none" w:sz="0" w:space="0" w:color="auto"/>
            <w:right w:val="none" w:sz="0" w:space="0" w:color="auto"/>
          </w:divBdr>
        </w:div>
        <w:div w:id="1655526311">
          <w:marLeft w:val="720"/>
          <w:marRight w:val="0"/>
          <w:marTop w:val="0"/>
          <w:marBottom w:val="0"/>
          <w:divBdr>
            <w:top w:val="none" w:sz="0" w:space="0" w:color="auto"/>
            <w:left w:val="none" w:sz="0" w:space="0" w:color="auto"/>
            <w:bottom w:val="none" w:sz="0" w:space="0" w:color="auto"/>
            <w:right w:val="none" w:sz="0" w:space="0" w:color="auto"/>
          </w:divBdr>
        </w:div>
        <w:div w:id="1559704962">
          <w:marLeft w:val="720"/>
          <w:marRight w:val="0"/>
          <w:marTop w:val="0"/>
          <w:marBottom w:val="0"/>
          <w:divBdr>
            <w:top w:val="none" w:sz="0" w:space="0" w:color="auto"/>
            <w:left w:val="none" w:sz="0" w:space="0" w:color="auto"/>
            <w:bottom w:val="none" w:sz="0" w:space="0" w:color="auto"/>
            <w:right w:val="none" w:sz="0" w:space="0" w:color="auto"/>
          </w:divBdr>
        </w:div>
        <w:div w:id="1545288473">
          <w:marLeft w:val="720"/>
          <w:marRight w:val="0"/>
          <w:marTop w:val="0"/>
          <w:marBottom w:val="0"/>
          <w:divBdr>
            <w:top w:val="none" w:sz="0" w:space="0" w:color="auto"/>
            <w:left w:val="none" w:sz="0" w:space="0" w:color="auto"/>
            <w:bottom w:val="none" w:sz="0" w:space="0" w:color="auto"/>
            <w:right w:val="none" w:sz="0" w:space="0" w:color="auto"/>
          </w:divBdr>
        </w:div>
        <w:div w:id="577711537">
          <w:marLeft w:val="720"/>
          <w:marRight w:val="0"/>
          <w:marTop w:val="0"/>
          <w:marBottom w:val="0"/>
          <w:divBdr>
            <w:top w:val="none" w:sz="0" w:space="0" w:color="auto"/>
            <w:left w:val="none" w:sz="0" w:space="0" w:color="auto"/>
            <w:bottom w:val="none" w:sz="0" w:space="0" w:color="auto"/>
            <w:right w:val="none" w:sz="0" w:space="0" w:color="auto"/>
          </w:divBdr>
        </w:div>
        <w:div w:id="23215887">
          <w:marLeft w:val="720"/>
          <w:marRight w:val="0"/>
          <w:marTop w:val="0"/>
          <w:marBottom w:val="0"/>
          <w:divBdr>
            <w:top w:val="none" w:sz="0" w:space="0" w:color="auto"/>
            <w:left w:val="none" w:sz="0" w:space="0" w:color="auto"/>
            <w:bottom w:val="none" w:sz="0" w:space="0" w:color="auto"/>
            <w:right w:val="none" w:sz="0" w:space="0" w:color="auto"/>
          </w:divBdr>
        </w:div>
        <w:div w:id="815954153">
          <w:marLeft w:val="720"/>
          <w:marRight w:val="0"/>
          <w:marTop w:val="0"/>
          <w:marBottom w:val="0"/>
          <w:divBdr>
            <w:top w:val="none" w:sz="0" w:space="0" w:color="auto"/>
            <w:left w:val="none" w:sz="0" w:space="0" w:color="auto"/>
            <w:bottom w:val="none" w:sz="0" w:space="0" w:color="auto"/>
            <w:right w:val="none" w:sz="0" w:space="0" w:color="auto"/>
          </w:divBdr>
        </w:div>
        <w:div w:id="1112015317">
          <w:marLeft w:val="720"/>
          <w:marRight w:val="0"/>
          <w:marTop w:val="0"/>
          <w:marBottom w:val="0"/>
          <w:divBdr>
            <w:top w:val="none" w:sz="0" w:space="0" w:color="auto"/>
            <w:left w:val="none" w:sz="0" w:space="0" w:color="auto"/>
            <w:bottom w:val="none" w:sz="0" w:space="0" w:color="auto"/>
            <w:right w:val="none" w:sz="0" w:space="0" w:color="auto"/>
          </w:divBdr>
        </w:div>
        <w:div w:id="119110063">
          <w:marLeft w:val="720"/>
          <w:marRight w:val="0"/>
          <w:marTop w:val="0"/>
          <w:marBottom w:val="0"/>
          <w:divBdr>
            <w:top w:val="none" w:sz="0" w:space="0" w:color="auto"/>
            <w:left w:val="none" w:sz="0" w:space="0" w:color="auto"/>
            <w:bottom w:val="none" w:sz="0" w:space="0" w:color="auto"/>
            <w:right w:val="none" w:sz="0" w:space="0" w:color="auto"/>
          </w:divBdr>
        </w:div>
      </w:divsChild>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26883826">
      <w:bodyDiv w:val="1"/>
      <w:marLeft w:val="0"/>
      <w:marRight w:val="0"/>
      <w:marTop w:val="0"/>
      <w:marBottom w:val="0"/>
      <w:divBdr>
        <w:top w:val="none" w:sz="0" w:space="0" w:color="auto"/>
        <w:left w:val="none" w:sz="0" w:space="0" w:color="auto"/>
        <w:bottom w:val="none" w:sz="0" w:space="0" w:color="auto"/>
        <w:right w:val="none" w:sz="0" w:space="0" w:color="auto"/>
      </w:divBdr>
    </w:div>
    <w:div w:id="1703746603">
      <w:bodyDiv w:val="1"/>
      <w:marLeft w:val="0"/>
      <w:marRight w:val="0"/>
      <w:marTop w:val="0"/>
      <w:marBottom w:val="0"/>
      <w:divBdr>
        <w:top w:val="none" w:sz="0" w:space="0" w:color="auto"/>
        <w:left w:val="none" w:sz="0" w:space="0" w:color="auto"/>
        <w:bottom w:val="none" w:sz="0" w:space="0" w:color="auto"/>
        <w:right w:val="none" w:sz="0" w:space="0" w:color="auto"/>
      </w:divBdr>
    </w:div>
    <w:div w:id="1764647960">
      <w:bodyDiv w:val="1"/>
      <w:marLeft w:val="0"/>
      <w:marRight w:val="0"/>
      <w:marTop w:val="0"/>
      <w:marBottom w:val="0"/>
      <w:divBdr>
        <w:top w:val="none" w:sz="0" w:space="0" w:color="auto"/>
        <w:left w:val="none" w:sz="0" w:space="0" w:color="auto"/>
        <w:bottom w:val="none" w:sz="0" w:space="0" w:color="auto"/>
        <w:right w:val="none" w:sz="0" w:space="0" w:color="auto"/>
      </w:divBdr>
    </w:div>
    <w:div w:id="19383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cde.ca.gov/eefannu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de.ca.gov/ci/pl/eef2021.asp" TargetMode="External"/><Relationship Id="rId2" Type="http://schemas.openxmlformats.org/officeDocument/2006/relationships/customXml" Target="../customXml/item2.xml"/><Relationship Id="rId16" Type="http://schemas.openxmlformats.org/officeDocument/2006/relationships/hyperlink" Target="https://www.cde.ca.gov/fg/aa/ca/educatoreffectivenes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lift@cde.c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pl/eef202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7" ma:contentTypeDescription="Create a new document." ma:contentTypeScope="" ma:versionID="690e803bc872031930278cba96608a4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6b19d69c43986b75ecc17a847ff28cb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EDAA3-4DD2-4335-AC43-2509429C610D}">
  <ds:schemaRefs>
    <ds:schemaRef ds:uri="http://schemas.openxmlformats.org/officeDocument/2006/bibliography"/>
  </ds:schemaRefs>
</ds:datastoreItem>
</file>

<file path=customXml/itemProps2.xml><?xml version="1.0" encoding="utf-8"?>
<ds:datastoreItem xmlns:ds="http://schemas.openxmlformats.org/officeDocument/2006/customXml" ds:itemID="{24C43403-C5E9-4F74-AD4B-EDE5FF95BA34}">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3.xml><?xml version="1.0" encoding="utf-8"?>
<ds:datastoreItem xmlns:ds="http://schemas.openxmlformats.org/officeDocument/2006/customXml" ds:itemID="{A3A62D33-EFED-45CC-892A-ADB86CD09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5E2E6-154A-4EB5-81E3-75E37E5B3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2023 Educator Effectiveness Funds Block Grant - Professional Learning (CA Dept of Education)</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Educator Effectiveness Funds Block Grant - Professional Learning (CA Dept of Education)</dc:title>
  <dc:subject>This is a Legislative Report to the Legislature and the Department of Finance on the Educator Effectiveness Funds Block Grant (2021–23)</dc:subject>
  <dc:creator/>
  <cp:keywords/>
  <dc:description/>
  <cp:lastModifiedBy/>
  <cp:revision>1</cp:revision>
  <dcterms:created xsi:type="dcterms:W3CDTF">2024-03-05T16:19:00Z</dcterms:created>
  <dcterms:modified xsi:type="dcterms:W3CDTF">2024-06-06T17:33:00Z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e0daba6d13b1294e32ea5c3090c187728a40f86943ee7cee0e3c00af88f19660</vt:lpwstr>
  </property>
</Properties>
</file>