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41D7" w14:textId="77777777" w:rsidR="00F61C9C" w:rsidRDefault="00F61C9C" w:rsidP="006C6E40">
      <w:pPr>
        <w:pStyle w:val="Heading1"/>
        <w:spacing w:before="240" w:after="0"/>
        <w:rPr>
          <w:rFonts w:ascii="Arial" w:hAnsi="Arial" w:cs="Arial"/>
          <w:noProof/>
          <w:sz w:val="32"/>
          <w:szCs w:val="32"/>
        </w:rPr>
      </w:pPr>
      <w:r>
        <w:rPr>
          <w:rFonts w:ascii="Arial" w:hAnsi="Arial" w:cs="Arial"/>
          <w:noProof/>
          <w:sz w:val="32"/>
          <w:szCs w:val="32"/>
          <w:lang w:eastAsia="en-US"/>
        </w:rPr>
        <w:drawing>
          <wp:inline distT="0" distB="0" distL="0" distR="0" wp14:anchorId="1E58D78A" wp14:editId="51518DA7">
            <wp:extent cx="6791325" cy="904059"/>
            <wp:effectExtent l="0" t="0" r="0" b="0"/>
            <wp:docPr id="1" name="Picture 1" descr="The header includes the seal of the California Department of Education and the label, California Equit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quitylogo (002).png"/>
                    <pic:cNvPicPr/>
                  </pic:nvPicPr>
                  <pic:blipFill>
                    <a:blip r:embed="rId11">
                      <a:extLst>
                        <a:ext uri="{28A0092B-C50C-407E-A947-70E740481C1C}">
                          <a14:useLocalDpi xmlns:a14="http://schemas.microsoft.com/office/drawing/2010/main" val="0"/>
                        </a:ext>
                      </a:extLst>
                    </a:blip>
                    <a:stretch>
                      <a:fillRect/>
                    </a:stretch>
                  </pic:blipFill>
                  <pic:spPr>
                    <a:xfrm>
                      <a:off x="0" y="0"/>
                      <a:ext cx="6965414" cy="927234"/>
                    </a:xfrm>
                    <a:prstGeom prst="rect">
                      <a:avLst/>
                    </a:prstGeom>
                  </pic:spPr>
                </pic:pic>
              </a:graphicData>
            </a:graphic>
          </wp:inline>
        </w:drawing>
      </w:r>
    </w:p>
    <w:p w14:paraId="0DBE4EB1" w14:textId="011BA93B" w:rsidR="0008706E" w:rsidRPr="005D5907" w:rsidRDefault="005D5907" w:rsidP="0008706E">
      <w:pPr>
        <w:pStyle w:val="Heading1"/>
        <w:spacing w:before="240" w:after="0"/>
        <w:rPr>
          <w:rFonts w:ascii="Arial" w:hAnsi="Arial" w:cs="Arial"/>
          <w:caps w:val="0"/>
          <w:noProof/>
          <w:color w:val="31521B" w:themeColor="accent2" w:themeShade="80"/>
          <w:sz w:val="32"/>
          <w:szCs w:val="32"/>
        </w:rPr>
      </w:pPr>
      <w:r>
        <w:rPr>
          <w:rFonts w:ascii="Arial" w:hAnsi="Arial" w:cs="Arial"/>
          <w:caps w:val="0"/>
          <w:noProof/>
          <w:color w:val="31521B" w:themeColor="accent2" w:themeShade="80"/>
          <w:sz w:val="32"/>
          <w:szCs w:val="32"/>
        </w:rPr>
        <w:t>California Department of E</w:t>
      </w:r>
      <w:r w:rsidR="00602499" w:rsidRPr="005D5907">
        <w:rPr>
          <w:rFonts w:ascii="Arial" w:hAnsi="Arial" w:cs="Arial"/>
          <w:caps w:val="0"/>
          <w:noProof/>
          <w:color w:val="31521B" w:themeColor="accent2" w:themeShade="80"/>
          <w:sz w:val="32"/>
          <w:szCs w:val="32"/>
        </w:rPr>
        <w:t>ducation</w:t>
      </w:r>
      <w:r w:rsidR="00D07362">
        <w:rPr>
          <w:rFonts w:ascii="Arial" w:hAnsi="Arial" w:cs="Arial"/>
          <w:caps w:val="0"/>
          <w:noProof/>
          <w:color w:val="31521B" w:themeColor="accent2" w:themeShade="80"/>
          <w:sz w:val="32"/>
          <w:szCs w:val="32"/>
        </w:rPr>
        <w:br/>
      </w:r>
      <w:r w:rsidR="0008706E" w:rsidRPr="005D5907">
        <w:rPr>
          <w:rFonts w:ascii="Arial" w:hAnsi="Arial" w:cs="Arial"/>
          <w:caps w:val="0"/>
          <w:noProof/>
          <w:color w:val="31521B" w:themeColor="accent2" w:themeShade="80"/>
          <w:sz w:val="32"/>
          <w:szCs w:val="32"/>
        </w:rPr>
        <w:t>Equity Data Definitions</w:t>
      </w:r>
      <w:r w:rsidRPr="005D5907">
        <w:rPr>
          <w:rFonts w:ascii="Arial" w:hAnsi="Arial" w:cs="Arial"/>
          <w:caps w:val="0"/>
          <w:noProof/>
          <w:color w:val="31521B" w:themeColor="accent2" w:themeShade="80"/>
          <w:sz w:val="32"/>
          <w:szCs w:val="32"/>
        </w:rPr>
        <w:t xml:space="preserve"> </w:t>
      </w:r>
    </w:p>
    <w:p w14:paraId="58DDA581" w14:textId="77777777" w:rsidR="00896D5C" w:rsidRPr="00896D5C" w:rsidRDefault="0008706E" w:rsidP="00896D5C">
      <w:pPr>
        <w:pStyle w:val="Heading2"/>
        <w:rPr>
          <w:rFonts w:ascii="Arial" w:hAnsi="Arial" w:cs="Arial"/>
          <w:noProof/>
          <w:color w:val="1E5E70" w:themeColor="accent5" w:themeShade="80"/>
          <w:sz w:val="28"/>
          <w:szCs w:val="28"/>
          <w:u w:val="single"/>
        </w:rPr>
      </w:pPr>
      <w:r w:rsidRPr="00D305AD">
        <w:rPr>
          <w:rFonts w:ascii="Arial" w:hAnsi="Arial" w:cs="Arial"/>
          <w:noProof/>
          <w:color w:val="1E5E70" w:themeColor="accent5" w:themeShade="80"/>
          <w:sz w:val="28"/>
          <w:szCs w:val="28"/>
        </w:rPr>
        <w:t>California Definitions for Purposes of Collecting Equity Data under E</w:t>
      </w:r>
      <w:r w:rsidR="00896D5C">
        <w:rPr>
          <w:rFonts w:ascii="Arial" w:hAnsi="Arial" w:cs="Arial"/>
          <w:noProof/>
          <w:color w:val="1E5E70" w:themeColor="accent5" w:themeShade="80"/>
          <w:sz w:val="28"/>
          <w:szCs w:val="28"/>
        </w:rPr>
        <w:t xml:space="preserve">very </w:t>
      </w:r>
      <w:r w:rsidRPr="00D305AD">
        <w:rPr>
          <w:rFonts w:ascii="Arial" w:hAnsi="Arial" w:cs="Arial"/>
          <w:noProof/>
          <w:color w:val="1E5E70" w:themeColor="accent5" w:themeShade="80"/>
          <w:sz w:val="28"/>
          <w:szCs w:val="28"/>
        </w:rPr>
        <w:t>S</w:t>
      </w:r>
      <w:r w:rsidR="00896D5C">
        <w:rPr>
          <w:rFonts w:ascii="Arial" w:hAnsi="Arial" w:cs="Arial"/>
          <w:noProof/>
          <w:color w:val="1E5E70" w:themeColor="accent5" w:themeShade="80"/>
          <w:sz w:val="28"/>
          <w:szCs w:val="28"/>
        </w:rPr>
        <w:t xml:space="preserve">tudent </w:t>
      </w:r>
      <w:r w:rsidRPr="00D305AD">
        <w:rPr>
          <w:rFonts w:ascii="Arial" w:hAnsi="Arial" w:cs="Arial"/>
          <w:noProof/>
          <w:color w:val="1E5E70" w:themeColor="accent5" w:themeShade="80"/>
          <w:sz w:val="28"/>
          <w:szCs w:val="28"/>
        </w:rPr>
        <w:t>S</w:t>
      </w:r>
      <w:r w:rsidR="00896D5C">
        <w:rPr>
          <w:rFonts w:ascii="Arial" w:hAnsi="Arial" w:cs="Arial"/>
          <w:noProof/>
          <w:color w:val="1E5E70" w:themeColor="accent5" w:themeShade="80"/>
          <w:sz w:val="28"/>
          <w:szCs w:val="28"/>
        </w:rPr>
        <w:t xml:space="preserve">ucceeds </w:t>
      </w:r>
      <w:r w:rsidRPr="00D305AD">
        <w:rPr>
          <w:rFonts w:ascii="Arial" w:hAnsi="Arial" w:cs="Arial"/>
          <w:noProof/>
          <w:color w:val="1E5E70" w:themeColor="accent5" w:themeShade="80"/>
          <w:sz w:val="28"/>
          <w:szCs w:val="28"/>
        </w:rPr>
        <w:t>A</w:t>
      </w:r>
      <w:r w:rsidR="00896D5C">
        <w:rPr>
          <w:rFonts w:ascii="Arial" w:hAnsi="Arial" w:cs="Arial"/>
          <w:noProof/>
          <w:color w:val="1E5E70" w:themeColor="accent5" w:themeShade="80"/>
          <w:sz w:val="28"/>
          <w:szCs w:val="28"/>
        </w:rPr>
        <w:t>ct</w:t>
      </w:r>
    </w:p>
    <w:p w14:paraId="4A233176" w14:textId="77777777" w:rsidR="0008706E" w:rsidRPr="003A3A34" w:rsidRDefault="0008706E" w:rsidP="0008706E">
      <w:pPr>
        <w:rPr>
          <w:rFonts w:ascii="Arial" w:hAnsi="Arial" w:cs="Arial"/>
          <w:noProof/>
          <w:color w:val="000000" w:themeColor="text1"/>
          <w:sz w:val="24"/>
          <w:szCs w:val="24"/>
          <w:u w:val="single"/>
        </w:rPr>
      </w:pPr>
      <w:r w:rsidRPr="00D97FB5">
        <w:rPr>
          <w:rFonts w:ascii="Arial" w:hAnsi="Arial" w:cs="Arial"/>
          <w:noProof/>
          <w:color w:val="000000" w:themeColor="text1"/>
          <w:sz w:val="24"/>
          <w:szCs w:val="24"/>
        </w:rPr>
        <w:t xml:space="preserve">Under </w:t>
      </w:r>
      <w:r w:rsidR="00896D5C">
        <w:rPr>
          <w:rFonts w:ascii="Arial" w:hAnsi="Arial" w:cs="Arial"/>
          <w:noProof/>
          <w:color w:val="000000" w:themeColor="text1"/>
          <w:sz w:val="24"/>
          <w:szCs w:val="24"/>
        </w:rPr>
        <w:t>Every Student Succeeds Act</w:t>
      </w:r>
      <w:r w:rsidRPr="00D97FB5">
        <w:rPr>
          <w:rFonts w:ascii="Arial" w:hAnsi="Arial" w:cs="Arial"/>
          <w:noProof/>
          <w:color w:val="000000" w:themeColor="text1"/>
          <w:sz w:val="24"/>
          <w:szCs w:val="24"/>
        </w:rPr>
        <w:t xml:space="preserve"> Section 1112(b)(2), each </w:t>
      </w:r>
      <w:r w:rsidR="00896D5C">
        <w:rPr>
          <w:rFonts w:ascii="Arial" w:hAnsi="Arial" w:cs="Arial"/>
          <w:noProof/>
          <w:color w:val="000000" w:themeColor="text1"/>
          <w:sz w:val="24"/>
          <w:szCs w:val="24"/>
        </w:rPr>
        <w:t>local educational agency (</w:t>
      </w:r>
      <w:r w:rsidRPr="00D97FB5">
        <w:rPr>
          <w:rFonts w:ascii="Arial" w:hAnsi="Arial" w:cs="Arial"/>
          <w:noProof/>
          <w:color w:val="000000" w:themeColor="text1"/>
          <w:sz w:val="24"/>
          <w:szCs w:val="24"/>
        </w:rPr>
        <w:t>LEA</w:t>
      </w:r>
      <w:r w:rsidR="00896D5C">
        <w:rPr>
          <w:rFonts w:ascii="Arial" w:hAnsi="Arial" w:cs="Arial"/>
          <w:noProof/>
          <w:color w:val="000000" w:themeColor="text1"/>
          <w:sz w:val="24"/>
          <w:szCs w:val="24"/>
        </w:rPr>
        <w:t>)</w:t>
      </w:r>
      <w:r w:rsidRPr="00D97FB5">
        <w:rPr>
          <w:rFonts w:ascii="Arial" w:hAnsi="Arial" w:cs="Arial"/>
          <w:noProof/>
          <w:color w:val="000000" w:themeColor="text1"/>
          <w:sz w:val="24"/>
          <w:szCs w:val="24"/>
        </w:rPr>
        <w:t xml:space="preserve">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w:t>
      </w:r>
      <w:r w:rsidR="00896D5C">
        <w:rPr>
          <w:rFonts w:ascii="Arial" w:hAnsi="Arial" w:cs="Arial"/>
          <w:noProof/>
          <w:color w:val="000000" w:themeColor="text1"/>
          <w:sz w:val="24"/>
          <w:szCs w:val="24"/>
        </w:rPr>
        <w:t>Local Control and Accountability Plan</w:t>
      </w:r>
      <w:r w:rsidRPr="00D97FB5">
        <w:rPr>
          <w:rFonts w:ascii="Arial" w:hAnsi="Arial" w:cs="Arial"/>
          <w:noProof/>
          <w:color w:val="000000" w:themeColor="text1"/>
          <w:sz w:val="24"/>
          <w:szCs w:val="24"/>
        </w:rPr>
        <w:t xml:space="preserve"> Addendum.</w:t>
      </w:r>
    </w:p>
    <w:tbl>
      <w:tblPr>
        <w:tblStyle w:val="MediumList2-Accent1"/>
        <w:tblW w:w="5000" w:type="pct"/>
        <w:tblLook w:val="04A0" w:firstRow="1" w:lastRow="0" w:firstColumn="1" w:lastColumn="0" w:noHBand="0" w:noVBand="1"/>
        <w:tblDescription w:val="California Definitions for Purposes of Collecting Equity Data under ESSA. This is a table with key terms and definitions."/>
      </w:tblPr>
      <w:tblGrid>
        <w:gridCol w:w="3945"/>
        <w:gridCol w:w="6845"/>
      </w:tblGrid>
      <w:tr w:rsidR="00464881" w:rsidRPr="00464881" w14:paraId="58A3BA2C" w14:textId="77777777" w:rsidTr="00C51303">
        <w:trPr>
          <w:cnfStyle w:val="100000000000" w:firstRow="1" w:lastRow="0" w:firstColumn="0" w:lastColumn="0" w:oddVBand="0" w:evenVBand="0" w:oddHBand="0" w:evenHBand="0" w:firstRowFirstColumn="0" w:firstRowLastColumn="0" w:lastRowFirstColumn="0" w:lastRowLastColumn="0"/>
          <w:cantSplit/>
          <w:trHeight w:val="534"/>
          <w:tblHeader/>
        </w:trPr>
        <w:tc>
          <w:tcPr>
            <w:cnfStyle w:val="001000000100" w:firstRow="0" w:lastRow="0" w:firstColumn="1" w:lastColumn="0" w:oddVBand="0" w:evenVBand="0" w:oddHBand="0" w:evenHBand="0" w:firstRowFirstColumn="1" w:firstRowLastColumn="0" w:lastRowFirstColumn="0" w:lastRowLastColumn="0"/>
            <w:tcW w:w="1828" w:type="pct"/>
            <w:tcBorders>
              <w:top w:val="single" w:sz="4" w:space="0" w:color="auto"/>
              <w:left w:val="single" w:sz="4" w:space="0" w:color="auto"/>
              <w:right w:val="single" w:sz="4" w:space="0" w:color="63A537" w:themeColor="accent2"/>
            </w:tcBorders>
            <w:noWrap/>
          </w:tcPr>
          <w:p w14:paraId="432D4F6A" w14:textId="77777777" w:rsidR="00464881" w:rsidRPr="00464881" w:rsidRDefault="00464881" w:rsidP="00464881">
            <w:pPr>
              <w:keepNext/>
              <w:keepLines/>
              <w:spacing w:after="0"/>
              <w:outlineLvl w:val="1"/>
              <w:rPr>
                <w:rFonts w:ascii="Arial" w:eastAsiaTheme="majorEastAsia" w:hAnsi="Arial" w:cs="Arial"/>
                <w:b/>
                <w:noProof/>
                <w:color w:val="auto"/>
                <w:sz w:val="24"/>
                <w:szCs w:val="24"/>
              </w:rPr>
            </w:pPr>
            <w:r w:rsidRPr="00464881">
              <w:rPr>
                <w:rFonts w:ascii="Arial" w:eastAsiaTheme="majorEastAsia" w:hAnsi="Arial" w:cs="Arial"/>
                <w:b/>
                <w:noProof/>
                <w:color w:val="auto"/>
                <w:sz w:val="24"/>
                <w:szCs w:val="24"/>
              </w:rPr>
              <w:t>Term</w:t>
            </w:r>
          </w:p>
        </w:tc>
        <w:tc>
          <w:tcPr>
            <w:tcW w:w="3172" w:type="pct"/>
            <w:tcBorders>
              <w:top w:val="single" w:sz="4" w:space="0" w:color="auto"/>
              <w:left w:val="single" w:sz="4" w:space="0" w:color="63A537" w:themeColor="accent2"/>
              <w:right w:val="single" w:sz="4" w:space="0" w:color="auto"/>
            </w:tcBorders>
          </w:tcPr>
          <w:p w14:paraId="3C4C5D4A" w14:textId="77777777" w:rsidR="00464881" w:rsidRPr="00464881" w:rsidRDefault="00464881" w:rsidP="00464881">
            <w:pPr>
              <w:keepNext/>
              <w:keepLines/>
              <w:spacing w:after="0"/>
              <w:outlineLvl w:val="1"/>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noProof/>
                <w:color w:val="auto"/>
                <w:sz w:val="24"/>
                <w:szCs w:val="24"/>
              </w:rPr>
            </w:pPr>
            <w:r w:rsidRPr="00464881">
              <w:rPr>
                <w:rFonts w:ascii="Arial" w:eastAsiaTheme="majorEastAsia" w:hAnsi="Arial" w:cs="Arial"/>
                <w:b/>
                <w:noProof/>
                <w:color w:val="auto"/>
                <w:sz w:val="24"/>
                <w:szCs w:val="24"/>
              </w:rPr>
              <w:t>Definition</w:t>
            </w:r>
          </w:p>
        </w:tc>
      </w:tr>
      <w:tr w:rsidR="00464881" w:rsidRPr="00464881" w14:paraId="4DBD456E" w14:textId="77777777" w:rsidTr="00C51303">
        <w:trPr>
          <w:cnfStyle w:val="000000100000" w:firstRow="0" w:lastRow="0" w:firstColumn="0" w:lastColumn="0" w:oddVBand="0" w:evenVBand="0" w:oddHBand="1" w:evenHBand="0" w:firstRowFirstColumn="0" w:firstRowLastColumn="0" w:lastRowFirstColumn="0" w:lastRowLastColumn="0"/>
          <w:cantSplit/>
          <w:trHeight w:val="347"/>
        </w:trPr>
        <w:tc>
          <w:tcPr>
            <w:cnfStyle w:val="001000000000" w:firstRow="0" w:lastRow="0" w:firstColumn="1" w:lastColumn="0" w:oddVBand="0" w:evenVBand="0" w:oddHBand="0" w:evenHBand="0" w:firstRowFirstColumn="0" w:firstRowLastColumn="0" w:lastRowFirstColumn="0" w:lastRowLastColumn="0"/>
            <w:tcW w:w="1828" w:type="pct"/>
            <w:tcBorders>
              <w:left w:val="single" w:sz="4" w:space="0" w:color="auto"/>
            </w:tcBorders>
            <w:shd w:val="clear" w:color="auto" w:fill="EAF4D7" w:themeFill="accent1" w:themeFillTint="33"/>
            <w:noWrap/>
          </w:tcPr>
          <w:p w14:paraId="1C29FF1B" w14:textId="77777777" w:rsidR="00464881" w:rsidRPr="00464881" w:rsidRDefault="00464881" w:rsidP="00464881">
            <w:pPr>
              <w:rPr>
                <w:rFonts w:ascii="Arial" w:hAnsi="Arial" w:cs="Arial"/>
                <w:color w:val="auto"/>
                <w:sz w:val="24"/>
                <w:szCs w:val="24"/>
              </w:rPr>
            </w:pPr>
            <w:r w:rsidRPr="00464881">
              <w:rPr>
                <w:rFonts w:ascii="Arial" w:hAnsi="Arial" w:cs="Arial"/>
                <w:color w:val="auto"/>
                <w:sz w:val="24"/>
                <w:szCs w:val="24"/>
              </w:rPr>
              <w:t xml:space="preserve">Ineffective teacher </w:t>
            </w:r>
          </w:p>
        </w:tc>
        <w:tc>
          <w:tcPr>
            <w:tcW w:w="3172" w:type="pct"/>
            <w:tcBorders>
              <w:top w:val="single" w:sz="24" w:space="0" w:color="99CB38" w:themeColor="accent1"/>
              <w:right w:val="single" w:sz="4" w:space="0" w:color="auto"/>
            </w:tcBorders>
          </w:tcPr>
          <w:p w14:paraId="122C6F7A" w14:textId="77777777" w:rsidR="00464881" w:rsidRPr="00464881" w:rsidRDefault="00464881" w:rsidP="0046488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64881">
              <w:rPr>
                <w:rFonts w:ascii="Arial" w:hAnsi="Arial" w:cs="Arial"/>
                <w:color w:val="auto"/>
                <w:sz w:val="24"/>
                <w:szCs w:val="24"/>
              </w:rPr>
              <w:t xml:space="preserve">A teacher who is: (a) misassigned (placed in a position for which the employee does not hold a legally recognized certificate or credential or a certificated employee placed in a teaching or services position in which the employee is not otherwise authorized by statute to serve), or (b) teaching without a credential. </w:t>
            </w:r>
          </w:p>
        </w:tc>
      </w:tr>
      <w:tr w:rsidR="00464881" w:rsidRPr="00464881" w14:paraId="7A2FA6DB" w14:textId="77777777" w:rsidTr="00C51303">
        <w:trPr>
          <w:cantSplit/>
          <w:trHeight w:val="335"/>
        </w:trPr>
        <w:tc>
          <w:tcPr>
            <w:cnfStyle w:val="001000000000" w:firstRow="0" w:lastRow="0" w:firstColumn="1" w:lastColumn="0" w:oddVBand="0" w:evenVBand="0" w:oddHBand="0" w:evenHBand="0" w:firstRowFirstColumn="0" w:firstRowLastColumn="0" w:lastRowFirstColumn="0" w:lastRowLastColumn="0"/>
            <w:tcW w:w="1828" w:type="pct"/>
            <w:tcBorders>
              <w:left w:val="single" w:sz="4" w:space="0" w:color="auto"/>
            </w:tcBorders>
            <w:noWrap/>
          </w:tcPr>
          <w:p w14:paraId="711D69F2" w14:textId="77777777" w:rsidR="00464881" w:rsidRPr="00464881" w:rsidRDefault="00464881" w:rsidP="00464881">
            <w:pPr>
              <w:autoSpaceDE w:val="0"/>
              <w:autoSpaceDN w:val="0"/>
              <w:adjustRightInd w:val="0"/>
              <w:spacing w:before="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Out-of-field teacher </w:t>
            </w:r>
          </w:p>
        </w:tc>
        <w:tc>
          <w:tcPr>
            <w:tcW w:w="3172" w:type="pct"/>
            <w:tcBorders>
              <w:right w:val="single" w:sz="4" w:space="0" w:color="auto"/>
            </w:tcBorders>
          </w:tcPr>
          <w:p w14:paraId="107652B7" w14:textId="77777777" w:rsidR="00464881" w:rsidRPr="00464881" w:rsidRDefault="00464881" w:rsidP="00464881">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teacher who has not yet demonstrated subject matter competence in the subject area(s) or for the student population to which he or she is assigned. Under this definition, teachers with the following limited permits would be considered out-of-field: </w:t>
            </w:r>
          </w:p>
          <w:p w14:paraId="264FFC3E" w14:textId="77777777" w:rsidR="00464881" w:rsidRPr="00464881" w:rsidRDefault="00464881" w:rsidP="00464881">
            <w:pPr>
              <w:numPr>
                <w:ilvl w:val="0"/>
                <w:numId w:val="7"/>
              </w:num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General Education Limited Assignment Permit (GELAP) </w:t>
            </w:r>
          </w:p>
          <w:p w14:paraId="658C8E1E" w14:textId="77777777" w:rsidR="00464881" w:rsidRPr="00464881" w:rsidRDefault="00464881" w:rsidP="00464881">
            <w:pPr>
              <w:numPr>
                <w:ilvl w:val="0"/>
                <w:numId w:val="7"/>
              </w:num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Special Education Limited Assignment Permit (SELAP) </w:t>
            </w:r>
          </w:p>
          <w:p w14:paraId="5C350C8F" w14:textId="77777777" w:rsidR="00464881" w:rsidRPr="00464881" w:rsidRDefault="00464881" w:rsidP="00464881">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p>
        </w:tc>
      </w:tr>
      <w:tr w:rsidR="00464881" w:rsidRPr="00464881" w14:paraId="6FCAF6BA" w14:textId="77777777" w:rsidTr="00C51303">
        <w:trPr>
          <w:cnfStyle w:val="000000100000" w:firstRow="0" w:lastRow="0" w:firstColumn="0" w:lastColumn="0" w:oddVBand="0" w:evenVBand="0" w:oddHBand="1" w:evenHBand="0" w:firstRowFirstColumn="0" w:firstRowLastColumn="0" w:lastRowFirstColumn="0" w:lastRowLastColumn="0"/>
          <w:cantSplit/>
          <w:trHeight w:val="347"/>
        </w:trPr>
        <w:tc>
          <w:tcPr>
            <w:cnfStyle w:val="001000000000" w:firstRow="0" w:lastRow="0" w:firstColumn="1" w:lastColumn="0" w:oddVBand="0" w:evenVBand="0" w:oddHBand="0" w:evenHBand="0" w:firstRowFirstColumn="0" w:firstRowLastColumn="0" w:lastRowFirstColumn="0" w:lastRowLastColumn="0"/>
            <w:tcW w:w="1828" w:type="pct"/>
            <w:tcBorders>
              <w:left w:val="single" w:sz="4" w:space="0" w:color="auto"/>
            </w:tcBorders>
            <w:shd w:val="clear" w:color="auto" w:fill="EAF4D7" w:themeFill="accent1" w:themeFillTint="33"/>
            <w:noWrap/>
          </w:tcPr>
          <w:p w14:paraId="112128C1" w14:textId="77777777" w:rsidR="00464881" w:rsidRPr="00464881" w:rsidRDefault="00464881" w:rsidP="00464881">
            <w:pPr>
              <w:autoSpaceDE w:val="0"/>
              <w:autoSpaceDN w:val="0"/>
              <w:adjustRightInd w:val="0"/>
              <w:spacing w:before="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Inexperienced teacher </w:t>
            </w:r>
          </w:p>
        </w:tc>
        <w:tc>
          <w:tcPr>
            <w:tcW w:w="3172" w:type="pct"/>
            <w:tcBorders>
              <w:right w:val="single" w:sz="4" w:space="0" w:color="auto"/>
            </w:tcBorders>
          </w:tcPr>
          <w:p w14:paraId="40253E11" w14:textId="77777777" w:rsidR="00464881" w:rsidRPr="00464881" w:rsidRDefault="00464881" w:rsidP="00464881">
            <w:p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teacher who has two or fewer years of teaching experience. </w:t>
            </w:r>
          </w:p>
        </w:tc>
      </w:tr>
      <w:tr w:rsidR="00464881" w:rsidRPr="00464881" w14:paraId="1C76A48C" w14:textId="77777777" w:rsidTr="00C51303">
        <w:trPr>
          <w:cantSplit/>
          <w:trHeight w:val="335"/>
        </w:trPr>
        <w:tc>
          <w:tcPr>
            <w:cnfStyle w:val="001000000000" w:firstRow="0" w:lastRow="0" w:firstColumn="1" w:lastColumn="0" w:oddVBand="0" w:evenVBand="0" w:oddHBand="0" w:evenHBand="0" w:firstRowFirstColumn="0" w:firstRowLastColumn="0" w:lastRowFirstColumn="0" w:lastRowLastColumn="0"/>
            <w:tcW w:w="1828" w:type="pct"/>
            <w:tcBorders>
              <w:left w:val="single" w:sz="4" w:space="0" w:color="auto"/>
            </w:tcBorders>
            <w:noWrap/>
          </w:tcPr>
          <w:p w14:paraId="586834A1" w14:textId="77777777" w:rsidR="00464881" w:rsidRPr="00464881" w:rsidRDefault="00464881" w:rsidP="00464881">
            <w:pPr>
              <w:autoSpaceDE w:val="0"/>
              <w:autoSpaceDN w:val="0"/>
              <w:adjustRightInd w:val="0"/>
              <w:spacing w:before="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Minority student </w:t>
            </w:r>
          </w:p>
        </w:tc>
        <w:tc>
          <w:tcPr>
            <w:tcW w:w="3172" w:type="pct"/>
            <w:tcBorders>
              <w:right w:val="single" w:sz="4" w:space="0" w:color="auto"/>
            </w:tcBorders>
          </w:tcPr>
          <w:p w14:paraId="30B7F675" w14:textId="77777777" w:rsidR="00464881" w:rsidRPr="00464881" w:rsidRDefault="00464881" w:rsidP="00464881">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student who is American Indian/Alaska Native, Asian, African American, Filipino, Native Hawaiian/ Pacific Islander, Hispanic, or Two or More Races Not Hispanic. </w:t>
            </w:r>
          </w:p>
        </w:tc>
      </w:tr>
      <w:tr w:rsidR="00464881" w:rsidRPr="00464881" w14:paraId="0BB38219" w14:textId="77777777" w:rsidTr="00C51303">
        <w:trPr>
          <w:cnfStyle w:val="000000100000" w:firstRow="0" w:lastRow="0" w:firstColumn="0" w:lastColumn="0" w:oddVBand="0" w:evenVBand="0" w:oddHBand="1" w:evenHBand="0" w:firstRowFirstColumn="0" w:firstRowLastColumn="0" w:lastRowFirstColumn="0" w:lastRowLastColumn="0"/>
          <w:cantSplit/>
          <w:trHeight w:val="335"/>
        </w:trPr>
        <w:tc>
          <w:tcPr>
            <w:cnfStyle w:val="001000000000" w:firstRow="0" w:lastRow="0" w:firstColumn="1" w:lastColumn="0" w:oddVBand="0" w:evenVBand="0" w:oddHBand="0" w:evenHBand="0" w:firstRowFirstColumn="0" w:firstRowLastColumn="0" w:lastRowFirstColumn="0" w:lastRowLastColumn="0"/>
            <w:tcW w:w="1828" w:type="pct"/>
            <w:tcBorders>
              <w:left w:val="single" w:sz="4" w:space="0" w:color="auto"/>
              <w:bottom w:val="single" w:sz="4" w:space="0" w:color="auto"/>
            </w:tcBorders>
            <w:shd w:val="clear" w:color="auto" w:fill="EAF4D7" w:themeFill="accent1" w:themeFillTint="33"/>
            <w:noWrap/>
          </w:tcPr>
          <w:p w14:paraId="0E9351A0" w14:textId="77777777" w:rsidR="00464881" w:rsidRPr="00464881" w:rsidRDefault="00464881" w:rsidP="00464881">
            <w:pPr>
              <w:autoSpaceDE w:val="0"/>
              <w:autoSpaceDN w:val="0"/>
              <w:adjustRightInd w:val="0"/>
              <w:spacing w:before="0" w:after="0" w:line="240" w:lineRule="auto"/>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Low-income student </w:t>
            </w:r>
          </w:p>
        </w:tc>
        <w:tc>
          <w:tcPr>
            <w:tcW w:w="3172" w:type="pct"/>
            <w:tcBorders>
              <w:bottom w:val="single" w:sz="4" w:space="0" w:color="auto"/>
              <w:right w:val="single" w:sz="4" w:space="0" w:color="auto"/>
            </w:tcBorders>
          </w:tcPr>
          <w:p w14:paraId="44AF1488" w14:textId="77777777" w:rsidR="00464881" w:rsidRPr="00464881" w:rsidRDefault="00464881" w:rsidP="00464881">
            <w:p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4"/>
                <w:szCs w:val="24"/>
                <w:lang w:eastAsia="en-US"/>
              </w:rPr>
            </w:pPr>
            <w:r w:rsidRPr="00464881">
              <w:rPr>
                <w:rFonts w:ascii="Arial" w:hAnsi="Arial" w:cs="Arial"/>
                <w:color w:val="000000"/>
                <w:kern w:val="0"/>
                <w:sz w:val="24"/>
                <w:szCs w:val="24"/>
                <w:lang w:eastAsia="en-US"/>
              </w:rPr>
              <w:t xml:space="preserve">A student who is eligible to receive Free or Reduced-Price Meals. </w:t>
            </w:r>
          </w:p>
        </w:tc>
      </w:tr>
    </w:tbl>
    <w:p w14:paraId="0092A0A6" w14:textId="77777777" w:rsidR="0008706E" w:rsidRPr="00602499" w:rsidRDefault="00553121" w:rsidP="0089667A">
      <w:pPr>
        <w:spacing w:before="960" w:after="120"/>
        <w:rPr>
          <w:rFonts w:ascii="Arial" w:eastAsiaTheme="majorEastAsia" w:hAnsi="Arial" w:cs="Arial"/>
          <w:noProof/>
          <w:color w:val="auto"/>
          <w:sz w:val="24"/>
          <w:szCs w:val="28"/>
        </w:rPr>
      </w:pPr>
      <w:r>
        <w:rPr>
          <w:rFonts w:ascii="Arial" w:eastAsiaTheme="majorEastAsia" w:hAnsi="Arial" w:cs="Arial"/>
          <w:noProof/>
          <w:color w:val="auto"/>
          <w:sz w:val="24"/>
          <w:szCs w:val="28"/>
        </w:rPr>
        <w:t>Posted on 0</w:t>
      </w:r>
      <w:r w:rsidR="0089667A">
        <w:rPr>
          <w:rFonts w:ascii="Arial" w:eastAsiaTheme="majorEastAsia" w:hAnsi="Arial" w:cs="Arial"/>
          <w:noProof/>
          <w:color w:val="auto"/>
          <w:sz w:val="24"/>
          <w:szCs w:val="28"/>
        </w:rPr>
        <w:t>2</w:t>
      </w:r>
      <w:r>
        <w:rPr>
          <w:rFonts w:ascii="Arial" w:eastAsiaTheme="majorEastAsia" w:hAnsi="Arial" w:cs="Arial"/>
          <w:noProof/>
          <w:color w:val="auto"/>
          <w:sz w:val="24"/>
          <w:szCs w:val="28"/>
        </w:rPr>
        <w:t>/13/2019</w:t>
      </w:r>
      <w:r w:rsidR="00602499" w:rsidRPr="00602499">
        <w:rPr>
          <w:rFonts w:ascii="Arial" w:eastAsiaTheme="majorEastAsia" w:hAnsi="Arial" w:cs="Arial"/>
          <w:noProof/>
          <w:color w:val="auto"/>
          <w:sz w:val="24"/>
          <w:szCs w:val="28"/>
        </w:rPr>
        <w:t>.</w:t>
      </w:r>
    </w:p>
    <w:p w14:paraId="1429B030" w14:textId="77777777" w:rsidR="00BB63D9" w:rsidRPr="00BB63D9" w:rsidRDefault="006D5FA1" w:rsidP="0008706E">
      <w:pPr>
        <w:spacing w:after="0"/>
        <w:rPr>
          <w:rFonts w:ascii="Arial" w:eastAsiaTheme="majorEastAsia" w:hAnsi="Arial" w:cs="Arial"/>
          <w:noProof/>
          <w:color w:val="2D8CA7" w:themeColor="accent5" w:themeShade="BF"/>
          <w:sz w:val="28"/>
          <w:szCs w:val="28"/>
        </w:rPr>
      </w:pPr>
      <w:r>
        <w:rPr>
          <w:rFonts w:ascii="Arial" w:eastAsiaTheme="majorEastAsia" w:hAnsi="Arial" w:cs="Arial"/>
          <w:noProof/>
          <w:color w:val="2D8CA7" w:themeColor="accent5" w:themeShade="BF"/>
          <w:sz w:val="28"/>
          <w:szCs w:val="28"/>
          <w:lang w:eastAsia="en-US"/>
        </w:rPr>
        <w:drawing>
          <wp:inline distT="0" distB="0" distL="0" distR="0" wp14:anchorId="40B430EC" wp14:editId="5BC5A972">
            <wp:extent cx="6858000" cy="637540"/>
            <wp:effectExtent l="0" t="0" r="0" b="0"/>
            <wp:docPr id="2" name="Picture 2" descr="Color band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637540"/>
                    </a:xfrm>
                    <a:prstGeom prst="rect">
                      <a:avLst/>
                    </a:prstGeom>
                  </pic:spPr>
                </pic:pic>
              </a:graphicData>
            </a:graphic>
          </wp:inline>
        </w:drawing>
      </w:r>
    </w:p>
    <w:sectPr w:rsidR="00BB63D9" w:rsidRPr="00BB63D9" w:rsidSect="006D5FA1">
      <w:headerReference w:type="default" r:id="rId13"/>
      <w:footerReference w:type="default" r:id="rId14"/>
      <w:pgSz w:w="12240" w:h="15840"/>
      <w:pgMar w:top="360"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83EE" w14:textId="77777777" w:rsidR="00120430" w:rsidRDefault="00120430" w:rsidP="00D45945">
      <w:pPr>
        <w:spacing w:before="0" w:after="0" w:line="240" w:lineRule="auto"/>
      </w:pPr>
      <w:r>
        <w:separator/>
      </w:r>
    </w:p>
  </w:endnote>
  <w:endnote w:type="continuationSeparator" w:id="0">
    <w:p w14:paraId="01F14DFF" w14:textId="77777777" w:rsidR="00120430" w:rsidRDefault="00120430"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914466247"/>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06EBA275" w14:textId="77777777" w:rsidR="000A04FF" w:rsidRPr="000A04FF" w:rsidRDefault="000C4A2E" w:rsidP="000C4A2E">
            <w:pPr>
              <w:pStyle w:val="Footer"/>
              <w:tabs>
                <w:tab w:val="clear" w:pos="4680"/>
                <w:tab w:val="clear" w:pos="9360"/>
                <w:tab w:val="center" w:pos="4320"/>
              </w:tabs>
              <w:jc w:val="right"/>
              <w:rPr>
                <w:rFonts w:ascii="Arial" w:hAnsi="Arial" w:cs="Arial"/>
                <w:sz w:val="24"/>
                <w:szCs w:val="24"/>
              </w:rPr>
            </w:pPr>
            <w:r>
              <w:rPr>
                <w:rFonts w:ascii="Arial" w:hAnsi="Arial" w:cs="Arial"/>
                <w:sz w:val="24"/>
                <w:szCs w:val="24"/>
              </w:rPr>
              <w:t>Calif</w:t>
            </w:r>
            <w:r w:rsidR="00602499">
              <w:rPr>
                <w:rFonts w:ascii="Arial" w:hAnsi="Arial" w:cs="Arial"/>
                <w:sz w:val="24"/>
                <w:szCs w:val="24"/>
              </w:rPr>
              <w:t>ornia Department of Education</w:t>
            </w:r>
            <w:r w:rsidR="00602499">
              <w:rPr>
                <w:rFonts w:ascii="Arial" w:hAnsi="Arial" w:cs="Arial"/>
                <w:sz w:val="24"/>
                <w:szCs w:val="24"/>
              </w:rPr>
              <w:tab/>
              <w:t xml:space="preserve"> </w:t>
            </w:r>
            <w:r>
              <w:rPr>
                <w:rFonts w:ascii="Arial" w:hAnsi="Arial" w:cs="Arial"/>
                <w:sz w:val="24"/>
                <w:szCs w:val="24"/>
              </w:rPr>
              <w:t>Posted on 02/13/2019</w:t>
            </w:r>
            <w:r w:rsidR="00602499">
              <w:rPr>
                <w:rFonts w:ascii="Arial" w:hAnsi="Arial" w:cs="Arial"/>
                <w:sz w:val="24"/>
                <w:szCs w:val="24"/>
              </w:rPr>
              <w:t xml:space="preserve"> </w:t>
            </w:r>
            <w:r w:rsidR="000A04FF" w:rsidRPr="000A04FF">
              <w:rPr>
                <w:rFonts w:ascii="Arial" w:hAnsi="Arial" w:cs="Arial"/>
                <w:sz w:val="24"/>
                <w:szCs w:val="24"/>
              </w:rPr>
              <w:t xml:space="preserve">Page </w:t>
            </w:r>
            <w:r w:rsidR="000A04FF" w:rsidRPr="000A04FF">
              <w:rPr>
                <w:rFonts w:ascii="Arial" w:hAnsi="Arial" w:cs="Arial"/>
                <w:b/>
                <w:bCs/>
                <w:sz w:val="24"/>
                <w:szCs w:val="24"/>
              </w:rPr>
              <w:fldChar w:fldCharType="begin"/>
            </w:r>
            <w:r w:rsidR="000A04FF" w:rsidRPr="000A04FF">
              <w:rPr>
                <w:rFonts w:ascii="Arial" w:hAnsi="Arial" w:cs="Arial"/>
                <w:b/>
                <w:bCs/>
                <w:sz w:val="24"/>
                <w:szCs w:val="24"/>
              </w:rPr>
              <w:instrText xml:space="preserve"> PAGE </w:instrText>
            </w:r>
            <w:r w:rsidR="000A04FF" w:rsidRPr="000A04FF">
              <w:rPr>
                <w:rFonts w:ascii="Arial" w:hAnsi="Arial" w:cs="Arial"/>
                <w:b/>
                <w:bCs/>
                <w:sz w:val="24"/>
                <w:szCs w:val="24"/>
              </w:rPr>
              <w:fldChar w:fldCharType="separate"/>
            </w:r>
            <w:r w:rsidR="005D5907">
              <w:rPr>
                <w:rFonts w:ascii="Arial" w:hAnsi="Arial" w:cs="Arial"/>
                <w:b/>
                <w:bCs/>
                <w:noProof/>
                <w:sz w:val="24"/>
                <w:szCs w:val="24"/>
              </w:rPr>
              <w:t>1</w:t>
            </w:r>
            <w:r w:rsidR="000A04FF" w:rsidRPr="000A04FF">
              <w:rPr>
                <w:rFonts w:ascii="Arial" w:hAnsi="Arial" w:cs="Arial"/>
                <w:b/>
                <w:bCs/>
                <w:sz w:val="24"/>
                <w:szCs w:val="24"/>
              </w:rPr>
              <w:fldChar w:fldCharType="end"/>
            </w:r>
            <w:r w:rsidR="000A04FF" w:rsidRPr="000A04FF">
              <w:rPr>
                <w:rFonts w:ascii="Arial" w:hAnsi="Arial" w:cs="Arial"/>
                <w:sz w:val="24"/>
                <w:szCs w:val="24"/>
              </w:rPr>
              <w:t xml:space="preserve"> of </w:t>
            </w:r>
            <w:r w:rsidR="000A04FF" w:rsidRPr="000A04FF">
              <w:rPr>
                <w:rFonts w:ascii="Arial" w:hAnsi="Arial" w:cs="Arial"/>
                <w:b/>
                <w:bCs/>
                <w:sz w:val="24"/>
                <w:szCs w:val="24"/>
              </w:rPr>
              <w:fldChar w:fldCharType="begin"/>
            </w:r>
            <w:r w:rsidR="000A04FF" w:rsidRPr="000A04FF">
              <w:rPr>
                <w:rFonts w:ascii="Arial" w:hAnsi="Arial" w:cs="Arial"/>
                <w:b/>
                <w:bCs/>
                <w:sz w:val="24"/>
                <w:szCs w:val="24"/>
              </w:rPr>
              <w:instrText xml:space="preserve"> NUMPAGES  </w:instrText>
            </w:r>
            <w:r w:rsidR="000A04FF" w:rsidRPr="000A04FF">
              <w:rPr>
                <w:rFonts w:ascii="Arial" w:hAnsi="Arial" w:cs="Arial"/>
                <w:b/>
                <w:bCs/>
                <w:sz w:val="24"/>
                <w:szCs w:val="24"/>
              </w:rPr>
              <w:fldChar w:fldCharType="separate"/>
            </w:r>
            <w:r w:rsidR="005D5907">
              <w:rPr>
                <w:rFonts w:ascii="Arial" w:hAnsi="Arial" w:cs="Arial"/>
                <w:b/>
                <w:bCs/>
                <w:noProof/>
                <w:sz w:val="24"/>
                <w:szCs w:val="24"/>
              </w:rPr>
              <w:t>1</w:t>
            </w:r>
            <w:r w:rsidR="000A04FF" w:rsidRPr="000A04FF">
              <w:rPr>
                <w:rFonts w:ascii="Arial" w:hAnsi="Arial" w:cs="Arial"/>
                <w:b/>
                <w:bCs/>
                <w:sz w:val="24"/>
                <w:szCs w:val="24"/>
              </w:rPr>
              <w:fldChar w:fldCharType="end"/>
            </w:r>
          </w:p>
        </w:sdtContent>
      </w:sdt>
    </w:sdtContent>
  </w:sdt>
  <w:p w14:paraId="18C406D9" w14:textId="77777777" w:rsidR="000A04FF" w:rsidRDefault="000A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A87F" w14:textId="77777777" w:rsidR="00120430" w:rsidRDefault="00120430" w:rsidP="00D45945">
      <w:pPr>
        <w:spacing w:before="0" w:after="0" w:line="240" w:lineRule="auto"/>
      </w:pPr>
      <w:r>
        <w:separator/>
      </w:r>
    </w:p>
  </w:footnote>
  <w:footnote w:type="continuationSeparator" w:id="0">
    <w:p w14:paraId="31608F3B" w14:textId="77777777" w:rsidR="00120430" w:rsidRDefault="00120430"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EAA3F" w14:textId="77777777" w:rsidR="00D45945" w:rsidRDefault="00D45945" w:rsidP="00F61C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679"/>
    <w:multiLevelType w:val="hybridMultilevel"/>
    <w:tmpl w:val="823217BC"/>
    <w:lvl w:ilvl="0" w:tplc="7B90C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0434"/>
    <w:multiLevelType w:val="multilevel"/>
    <w:tmpl w:val="B9C67D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75C"/>
    <w:multiLevelType w:val="multilevel"/>
    <w:tmpl w:val="EC4A98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54632"/>
    <w:multiLevelType w:val="hybridMultilevel"/>
    <w:tmpl w:val="28442B4C"/>
    <w:lvl w:ilvl="0" w:tplc="833E5EEE">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B24B2"/>
    <w:multiLevelType w:val="hybridMultilevel"/>
    <w:tmpl w:val="F6C20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60EB"/>
    <w:multiLevelType w:val="hybridMultilevel"/>
    <w:tmpl w:val="34D434E2"/>
    <w:lvl w:ilvl="0" w:tplc="2F60C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45A2F"/>
    <w:multiLevelType w:val="hybridMultilevel"/>
    <w:tmpl w:val="077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46EC4"/>
    <w:multiLevelType w:val="multilevel"/>
    <w:tmpl w:val="288830E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51BED"/>
    <w:multiLevelType w:val="hybridMultilevel"/>
    <w:tmpl w:val="A2369A3E"/>
    <w:lvl w:ilvl="0" w:tplc="4ABEB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F0498"/>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B40C8"/>
    <w:multiLevelType w:val="hybridMultilevel"/>
    <w:tmpl w:val="E184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00E8C"/>
    <w:multiLevelType w:val="multilevel"/>
    <w:tmpl w:val="B9C67D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220BF"/>
    <w:multiLevelType w:val="hybridMultilevel"/>
    <w:tmpl w:val="4D983B76"/>
    <w:lvl w:ilvl="0" w:tplc="869C970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466FC"/>
    <w:multiLevelType w:val="multilevel"/>
    <w:tmpl w:val="4900F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625D8"/>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7057C"/>
    <w:multiLevelType w:val="multilevel"/>
    <w:tmpl w:val="288830E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0E2791"/>
    <w:multiLevelType w:val="hybridMultilevel"/>
    <w:tmpl w:val="2C4822BA"/>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95C0E"/>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71CDE"/>
    <w:multiLevelType w:val="multilevel"/>
    <w:tmpl w:val="5D9C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F7BF7"/>
    <w:multiLevelType w:val="hybridMultilevel"/>
    <w:tmpl w:val="E6B0A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70F8F"/>
    <w:multiLevelType w:val="hybridMultilevel"/>
    <w:tmpl w:val="2286C824"/>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5778E"/>
    <w:multiLevelType w:val="multilevel"/>
    <w:tmpl w:val="BC8A9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B06685"/>
    <w:multiLevelType w:val="hybridMultilevel"/>
    <w:tmpl w:val="7C846F42"/>
    <w:lvl w:ilvl="0" w:tplc="8958802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E22DC"/>
    <w:multiLevelType w:val="hybridMultilevel"/>
    <w:tmpl w:val="973E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3759A"/>
    <w:multiLevelType w:val="hybridMultilevel"/>
    <w:tmpl w:val="B54A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391337">
    <w:abstractNumId w:val="4"/>
  </w:num>
  <w:num w:numId="2" w16cid:durableId="644359107">
    <w:abstractNumId w:val="12"/>
  </w:num>
  <w:num w:numId="3" w16cid:durableId="1808087333">
    <w:abstractNumId w:val="14"/>
  </w:num>
  <w:num w:numId="4" w16cid:durableId="923757068">
    <w:abstractNumId w:val="9"/>
  </w:num>
  <w:num w:numId="5" w16cid:durableId="1760372372">
    <w:abstractNumId w:val="19"/>
  </w:num>
  <w:num w:numId="6" w16cid:durableId="2061829266">
    <w:abstractNumId w:val="17"/>
  </w:num>
  <w:num w:numId="7" w16cid:durableId="2084134795">
    <w:abstractNumId w:val="23"/>
  </w:num>
  <w:num w:numId="8" w16cid:durableId="7103411">
    <w:abstractNumId w:val="0"/>
  </w:num>
  <w:num w:numId="9" w16cid:durableId="120661346">
    <w:abstractNumId w:val="21"/>
  </w:num>
  <w:num w:numId="10" w16cid:durableId="1078285395">
    <w:abstractNumId w:val="10"/>
  </w:num>
  <w:num w:numId="11" w16cid:durableId="2010326218">
    <w:abstractNumId w:val="5"/>
  </w:num>
  <w:num w:numId="12" w16cid:durableId="1112363889">
    <w:abstractNumId w:val="8"/>
  </w:num>
  <w:num w:numId="13" w16cid:durableId="2145079351">
    <w:abstractNumId w:val="24"/>
  </w:num>
  <w:num w:numId="14" w16cid:durableId="1094981719">
    <w:abstractNumId w:val="2"/>
  </w:num>
  <w:num w:numId="15" w16cid:durableId="539129496">
    <w:abstractNumId w:val="6"/>
  </w:num>
  <w:num w:numId="16" w16cid:durableId="1460147705">
    <w:abstractNumId w:val="7"/>
  </w:num>
  <w:num w:numId="17" w16cid:durableId="1556546378">
    <w:abstractNumId w:val="3"/>
  </w:num>
  <w:num w:numId="18" w16cid:durableId="953248821">
    <w:abstractNumId w:val="1"/>
  </w:num>
  <w:num w:numId="19" w16cid:durableId="1032069734">
    <w:abstractNumId w:val="7"/>
    <w:lvlOverride w:ilvl="0">
      <w:startOverride w:val="4"/>
    </w:lvlOverride>
  </w:num>
  <w:num w:numId="20" w16cid:durableId="603004167">
    <w:abstractNumId w:val="15"/>
  </w:num>
  <w:num w:numId="21" w16cid:durableId="65417558">
    <w:abstractNumId w:val="11"/>
  </w:num>
  <w:num w:numId="22" w16cid:durableId="2114932917">
    <w:abstractNumId w:val="16"/>
  </w:num>
  <w:num w:numId="23" w16cid:durableId="1395086954">
    <w:abstractNumId w:val="22"/>
  </w:num>
  <w:num w:numId="24" w16cid:durableId="1736270059">
    <w:abstractNumId w:val="18"/>
    <w:lvlOverride w:ilvl="0">
      <w:startOverride w:val="5"/>
    </w:lvlOverride>
  </w:num>
  <w:num w:numId="25" w16cid:durableId="433866481">
    <w:abstractNumId w:val="13"/>
    <w:lvlOverride w:ilvl="0">
      <w:startOverride w:val="6"/>
    </w:lvlOverride>
  </w:num>
  <w:num w:numId="26" w16cid:durableId="1653097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C6"/>
    <w:rsid w:val="00011E44"/>
    <w:rsid w:val="000428FB"/>
    <w:rsid w:val="00044C94"/>
    <w:rsid w:val="0007214C"/>
    <w:rsid w:val="00083BAA"/>
    <w:rsid w:val="0008706E"/>
    <w:rsid w:val="0009122D"/>
    <w:rsid w:val="00092434"/>
    <w:rsid w:val="000A04FF"/>
    <w:rsid w:val="000C4A2E"/>
    <w:rsid w:val="00106800"/>
    <w:rsid w:val="001113B7"/>
    <w:rsid w:val="00120430"/>
    <w:rsid w:val="00122F76"/>
    <w:rsid w:val="001766D6"/>
    <w:rsid w:val="001B7F90"/>
    <w:rsid w:val="002017AE"/>
    <w:rsid w:val="00225DBB"/>
    <w:rsid w:val="0026423D"/>
    <w:rsid w:val="002A3CB9"/>
    <w:rsid w:val="00376479"/>
    <w:rsid w:val="003A3A34"/>
    <w:rsid w:val="003C3DE7"/>
    <w:rsid w:val="003E24DF"/>
    <w:rsid w:val="00407326"/>
    <w:rsid w:val="00436FD6"/>
    <w:rsid w:val="004515BF"/>
    <w:rsid w:val="00464881"/>
    <w:rsid w:val="00466C16"/>
    <w:rsid w:val="00476169"/>
    <w:rsid w:val="004A1C66"/>
    <w:rsid w:val="004A2B0D"/>
    <w:rsid w:val="004A66E9"/>
    <w:rsid w:val="00551125"/>
    <w:rsid w:val="00553121"/>
    <w:rsid w:val="00553F12"/>
    <w:rsid w:val="005579FD"/>
    <w:rsid w:val="00564809"/>
    <w:rsid w:val="005A3D3F"/>
    <w:rsid w:val="005C2210"/>
    <w:rsid w:val="005C5470"/>
    <w:rsid w:val="005D2615"/>
    <w:rsid w:val="005D5907"/>
    <w:rsid w:val="00602499"/>
    <w:rsid w:val="00615018"/>
    <w:rsid w:val="00620BE2"/>
    <w:rsid w:val="0062123A"/>
    <w:rsid w:val="00646E75"/>
    <w:rsid w:val="006A101E"/>
    <w:rsid w:val="006B3830"/>
    <w:rsid w:val="006C6E40"/>
    <w:rsid w:val="006D5FA1"/>
    <w:rsid w:val="006F6F10"/>
    <w:rsid w:val="0070597E"/>
    <w:rsid w:val="0071617E"/>
    <w:rsid w:val="00783E79"/>
    <w:rsid w:val="007B5AE8"/>
    <w:rsid w:val="007F5192"/>
    <w:rsid w:val="00805F12"/>
    <w:rsid w:val="0089667A"/>
    <w:rsid w:val="00896D5C"/>
    <w:rsid w:val="008E0D43"/>
    <w:rsid w:val="00904AC6"/>
    <w:rsid w:val="009671CB"/>
    <w:rsid w:val="009741D8"/>
    <w:rsid w:val="009963AF"/>
    <w:rsid w:val="009D4B60"/>
    <w:rsid w:val="00A5507A"/>
    <w:rsid w:val="00A80901"/>
    <w:rsid w:val="00A93DAA"/>
    <w:rsid w:val="00A96CF8"/>
    <w:rsid w:val="00AD04E0"/>
    <w:rsid w:val="00B35497"/>
    <w:rsid w:val="00B4083D"/>
    <w:rsid w:val="00B433D4"/>
    <w:rsid w:val="00B50294"/>
    <w:rsid w:val="00BB63D9"/>
    <w:rsid w:val="00BE5DEA"/>
    <w:rsid w:val="00C02F29"/>
    <w:rsid w:val="00C1582C"/>
    <w:rsid w:val="00C3183F"/>
    <w:rsid w:val="00C4799E"/>
    <w:rsid w:val="00C51303"/>
    <w:rsid w:val="00C519C7"/>
    <w:rsid w:val="00C70786"/>
    <w:rsid w:val="00C74572"/>
    <w:rsid w:val="00C8222A"/>
    <w:rsid w:val="00CD08B8"/>
    <w:rsid w:val="00D07362"/>
    <w:rsid w:val="00D23D96"/>
    <w:rsid w:val="00D305AD"/>
    <w:rsid w:val="00D45945"/>
    <w:rsid w:val="00D50331"/>
    <w:rsid w:val="00D53B5C"/>
    <w:rsid w:val="00D66593"/>
    <w:rsid w:val="00D73251"/>
    <w:rsid w:val="00D97FB5"/>
    <w:rsid w:val="00DC2198"/>
    <w:rsid w:val="00DE2B7D"/>
    <w:rsid w:val="00DF3769"/>
    <w:rsid w:val="00E10279"/>
    <w:rsid w:val="00E30171"/>
    <w:rsid w:val="00E552D7"/>
    <w:rsid w:val="00E55D74"/>
    <w:rsid w:val="00E6540C"/>
    <w:rsid w:val="00E66E87"/>
    <w:rsid w:val="00E81E2A"/>
    <w:rsid w:val="00EA3F68"/>
    <w:rsid w:val="00EA6C10"/>
    <w:rsid w:val="00EE0952"/>
    <w:rsid w:val="00F61C9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BBE80"/>
  <w14:defaultImageDpi w14:val="32767"/>
  <w15:chartTrackingRefBased/>
  <w15:docId w15:val="{ACD5EF6A-7224-4802-9509-F22E9DAB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MediumList2-Accent1">
    <w:name w:val="Medium List 2 Accent 1"/>
    <w:basedOn w:val="TableNormal"/>
    <w:uiPriority w:val="66"/>
    <w:semiHidden/>
    <w:unhideWhenUsed/>
    <w:rsid w:val="00D73251"/>
    <w:rPr>
      <w:rFonts w:asciiTheme="majorHAnsi" w:eastAsiaTheme="majorEastAsia" w:hAnsiTheme="majorHAnsi" w:cstheme="majorBidi"/>
      <w:color w:val="000000" w:themeColor="text1"/>
    </w:rPr>
    <w:tblPr>
      <w:tblStyleRowBandSize w:val="1"/>
      <w:tblStyleColBandSize w:val="1"/>
      <w:tblBorders>
        <w:top w:val="single" w:sz="8" w:space="0" w:color="99CB38" w:themeColor="accent1"/>
        <w:left w:val="single" w:sz="8" w:space="0" w:color="99CB38" w:themeColor="accent1"/>
        <w:bottom w:val="single" w:sz="8" w:space="0" w:color="99CB38" w:themeColor="accent1"/>
        <w:right w:val="single" w:sz="8" w:space="0" w:color="99CB38" w:themeColor="accent1"/>
      </w:tblBorders>
    </w:tblPr>
    <w:tblStylePr w:type="firstRow">
      <w:rPr>
        <w:sz w:val="24"/>
        <w:szCs w:val="24"/>
      </w:rPr>
      <w:tblPr/>
      <w:tcPr>
        <w:tcBorders>
          <w:top w:val="nil"/>
          <w:left w:val="nil"/>
          <w:bottom w:val="single" w:sz="24" w:space="0" w:color="99CB38" w:themeColor="accent1"/>
          <w:right w:val="nil"/>
          <w:insideH w:val="nil"/>
          <w:insideV w:val="nil"/>
        </w:tcBorders>
        <w:shd w:val="clear" w:color="auto" w:fill="FFFFFF" w:themeFill="background1"/>
      </w:tcPr>
    </w:tblStylePr>
    <w:tblStylePr w:type="lastRow">
      <w:tblPr/>
      <w:tcPr>
        <w:tcBorders>
          <w:top w:val="single" w:sz="8" w:space="0" w:color="99C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B38" w:themeColor="accent1"/>
          <w:insideH w:val="nil"/>
          <w:insideV w:val="nil"/>
        </w:tcBorders>
        <w:shd w:val="clear" w:color="auto" w:fill="FFFFFF" w:themeFill="background1"/>
      </w:tcPr>
    </w:tblStylePr>
    <w:tblStylePr w:type="lastCol">
      <w:tblPr/>
      <w:tcPr>
        <w:tcBorders>
          <w:top w:val="nil"/>
          <w:left w:val="single" w:sz="8" w:space="0" w:color="99C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CD" w:themeFill="accent1" w:themeFillTint="3F"/>
      </w:tcPr>
    </w:tblStylePr>
    <w:tblStylePr w:type="band1Horz">
      <w:tblPr/>
      <w:tcPr>
        <w:tcBorders>
          <w:top w:val="nil"/>
          <w:bottom w:val="nil"/>
          <w:insideH w:val="nil"/>
          <w:insideV w:val="nil"/>
        </w:tcBorders>
        <w:shd w:val="clear" w:color="auto" w:fill="E5F2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7161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7E"/>
    <w:rPr>
      <w:rFonts w:ascii="Segoe UI" w:eastAsiaTheme="minorHAnsi" w:hAnsi="Segoe UI" w:cs="Segoe UI"/>
      <w:color w:val="595959" w:themeColor="text1" w:themeTint="A6"/>
      <w:kern w:val="20"/>
      <w:sz w:val="18"/>
      <w:szCs w:val="18"/>
    </w:rPr>
  </w:style>
  <w:style w:type="paragraph" w:styleId="ListParagraph">
    <w:name w:val="List Paragraph"/>
    <w:basedOn w:val="Normal"/>
    <w:uiPriority w:val="34"/>
    <w:rsid w:val="001113B7"/>
    <w:pPr>
      <w:ind w:left="720"/>
      <w:contextualSpacing/>
    </w:pPr>
  </w:style>
  <w:style w:type="paragraph" w:customStyle="1" w:styleId="Default">
    <w:name w:val="Default"/>
    <w:rsid w:val="00D97FB5"/>
    <w:pPr>
      <w:autoSpaceDE w:val="0"/>
      <w:autoSpaceDN w:val="0"/>
      <w:adjustRightInd w:val="0"/>
    </w:pPr>
    <w:rPr>
      <w:rFonts w:ascii="Arial" w:eastAsiaTheme="minorHAnsi" w:hAnsi="Arial" w:cs="Arial"/>
      <w:color w:val="000000"/>
      <w:lang w:eastAsia="en-US"/>
    </w:rPr>
  </w:style>
  <w:style w:type="character" w:styleId="Hyperlink">
    <w:name w:val="Hyperlink"/>
    <w:basedOn w:val="DefaultParagraphFont"/>
    <w:uiPriority w:val="99"/>
    <w:unhideWhenUsed/>
    <w:rsid w:val="00436FD6"/>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nnettBrow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4.xml><?xml version="1.0" encoding="utf-8"?>
<ds:datastoreItem xmlns:ds="http://schemas.openxmlformats.org/officeDocument/2006/customXml" ds:itemID="{1A88AD74-D36C-4031-AAF7-870D2C2D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68</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Equity Data Definitions - Professional Learning (CA Dept of Education)</vt:lpstr>
    </vt:vector>
  </TitlesOfParts>
  <Manager/>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Data Definitions - Professional Learning (CA Dept of Education)</dc:title>
  <dc:subject>Tables for local education agencies to provide information about their organization's educator equity gaps.</dc:subject>
  <dc:creator/>
  <cp:keywords/>
  <dc:description/>
  <cp:lastModifiedBy>Christopher Slaven</cp:lastModifiedBy>
  <cp:revision>31</cp:revision>
  <cp:lastPrinted>2019-01-11T19:31:00Z</cp:lastPrinted>
  <dcterms:created xsi:type="dcterms:W3CDTF">2019-01-10T18:29:00Z</dcterms:created>
  <dcterms:modified xsi:type="dcterms:W3CDTF">2024-06-06T17:49:00Z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