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C434" w14:textId="77777777" w:rsidR="002C6EFF" w:rsidRDefault="002C6EFF" w:rsidP="00452196">
      <w:pPr>
        <w:tabs>
          <w:tab w:val="left" w:pos="4540"/>
        </w:tabs>
        <w:rPr>
          <w:rFonts w:ascii="Arial" w:hAnsi="Arial" w:cs="Arial"/>
          <w:color w:val="1E5E70" w:themeColor="accent5" w:themeShade="80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US"/>
        </w:rPr>
        <w:drawing>
          <wp:inline distT="0" distB="0" distL="0" distR="0" wp14:anchorId="5CD30092" wp14:editId="25C9C1C6">
            <wp:extent cx="9515475" cy="1266061"/>
            <wp:effectExtent l="0" t="0" r="0" b="0"/>
            <wp:docPr id="1" name="Picture 1" descr="This is a decorative header that is Titled California Equity Tools and has the California 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equitylogo (00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5333" cy="12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8C1B9" w14:textId="77777777" w:rsidR="002C6EFF" w:rsidRPr="007B7CE6" w:rsidRDefault="007B7CE6" w:rsidP="00431CF8">
      <w:pPr>
        <w:pStyle w:val="Heading1"/>
        <w:spacing w:after="160"/>
        <w:contextualSpacing w:val="0"/>
        <w:rPr>
          <w:rFonts w:ascii="Arial" w:hAnsi="Arial" w:cs="Arial"/>
          <w:caps w:val="0"/>
          <w:color w:val="31521B" w:themeColor="accent2" w:themeShade="80"/>
          <w:sz w:val="32"/>
          <w:szCs w:val="32"/>
        </w:rPr>
      </w:pPr>
      <w:r w:rsidRPr="007B7CE6"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>California Department of Education</w:t>
      </w:r>
      <w:r w:rsidR="00F93661"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 xml:space="preserve"> (Revised 7-9-19)</w:t>
      </w:r>
      <w:r w:rsidRPr="007B7CE6"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br/>
      </w:r>
      <w:r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>Root Cause A</w:t>
      </w:r>
      <w:r w:rsidR="002C6EFF" w:rsidRPr="007B7CE6"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 xml:space="preserve">nalysis: </w:t>
      </w:r>
      <w:r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>P</w:t>
      </w:r>
      <w:r w:rsidR="002C6EFF" w:rsidRPr="007B7CE6"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 xml:space="preserve">otential </w:t>
      </w:r>
      <w:r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>R</w:t>
      </w:r>
      <w:r w:rsidR="002C6EFF" w:rsidRPr="007B7CE6"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 xml:space="preserve">oot </w:t>
      </w:r>
      <w:r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>C</w:t>
      </w:r>
      <w:r w:rsidR="002C6EFF" w:rsidRPr="007B7CE6"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>auses</w:t>
      </w:r>
      <w:r w:rsidR="00D31053">
        <w:rPr>
          <w:rFonts w:ascii="Arial" w:hAnsi="Arial" w:cs="Arial"/>
          <w:caps w:val="0"/>
          <w:color w:val="31521B" w:themeColor="accent2" w:themeShade="80"/>
          <w:sz w:val="32"/>
          <w:szCs w:val="32"/>
        </w:rPr>
        <w:t xml:space="preserve"> (Template)</w:t>
      </w:r>
    </w:p>
    <w:p w14:paraId="1E6CD750" w14:textId="77777777" w:rsidR="00431CF8" w:rsidRPr="00431CF8" w:rsidRDefault="00431CF8" w:rsidP="00431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potential root cau</w:t>
      </w:r>
      <w:r w:rsidR="008600F9">
        <w:rPr>
          <w:rFonts w:ascii="Arial" w:hAnsi="Arial" w:cs="Arial"/>
          <w:sz w:val="24"/>
          <w:szCs w:val="24"/>
        </w:rPr>
        <w:t>ses can be</w:t>
      </w:r>
      <w:r>
        <w:rPr>
          <w:rFonts w:ascii="Arial" w:hAnsi="Arial" w:cs="Arial"/>
          <w:sz w:val="24"/>
          <w:szCs w:val="24"/>
        </w:rPr>
        <w:t xml:space="preserve"> utilized by local educational agencies</w:t>
      </w:r>
      <w:r w:rsidR="003E06FA">
        <w:rPr>
          <w:rFonts w:ascii="Arial" w:hAnsi="Arial" w:cs="Arial"/>
          <w:sz w:val="24"/>
          <w:szCs w:val="24"/>
        </w:rPr>
        <w:t xml:space="preserve"> (LEAs)</w:t>
      </w:r>
      <w:r>
        <w:rPr>
          <w:rFonts w:ascii="Arial" w:hAnsi="Arial" w:cs="Arial"/>
          <w:sz w:val="24"/>
          <w:szCs w:val="24"/>
        </w:rPr>
        <w:t xml:space="preserve"> </w:t>
      </w:r>
      <w:r w:rsidR="00C6607A">
        <w:rPr>
          <w:rFonts w:ascii="Arial" w:hAnsi="Arial" w:cs="Arial"/>
          <w:sz w:val="24"/>
          <w:szCs w:val="24"/>
        </w:rPr>
        <w:t>as possible examples</w:t>
      </w:r>
      <w:r>
        <w:rPr>
          <w:rFonts w:ascii="Arial" w:hAnsi="Arial" w:cs="Arial"/>
          <w:sz w:val="24"/>
          <w:szCs w:val="24"/>
        </w:rPr>
        <w:t xml:space="preserve"> while conducting a root cause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is a table listing root causes of inequitable access to teachers from a piece of research created by the American Institutes of Research (AIR). "/>
      </w:tblPr>
      <w:tblGrid>
        <w:gridCol w:w="3615"/>
        <w:gridCol w:w="3582"/>
        <w:gridCol w:w="3585"/>
        <w:gridCol w:w="3608"/>
      </w:tblGrid>
      <w:tr w:rsidR="004509AD" w14:paraId="3EBCB317" w14:textId="77777777" w:rsidTr="00135211">
        <w:trPr>
          <w:cantSplit/>
          <w:tblHeader/>
        </w:trPr>
        <w:tc>
          <w:tcPr>
            <w:tcW w:w="3741" w:type="dxa"/>
            <w:shd w:val="clear" w:color="auto" w:fill="F2F2F2" w:themeFill="background1" w:themeFillShade="F2"/>
          </w:tcPr>
          <w:p w14:paraId="508CCA44" w14:textId="77777777" w:rsidR="004509AD" w:rsidRPr="00B52E23" w:rsidRDefault="004509AD" w:rsidP="004509AD">
            <w:pPr>
              <w:tabs>
                <w:tab w:val="left" w:pos="4540"/>
              </w:tabs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</w:pPr>
            <w:r w:rsidRPr="00B52E23"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  <w:t>Difficulty Recruiting Great Teachers</w:t>
            </w:r>
            <w:r w:rsidR="002F05CE"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  <w:t xml:space="preserve"> to High-Need Schools? Consider</w:t>
            </w:r>
            <w:r w:rsidRPr="00B52E23"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  <w:t>:</w:t>
            </w:r>
            <w:r w:rsidRPr="00B52E2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</w:t>
            </w:r>
          </w:p>
        </w:tc>
        <w:tc>
          <w:tcPr>
            <w:tcW w:w="3741" w:type="dxa"/>
          </w:tcPr>
          <w:p w14:paraId="44386101" w14:textId="77777777" w:rsidR="004509AD" w:rsidRPr="004509AD" w:rsidRDefault="004509AD" w:rsidP="00006221">
            <w:pPr>
              <w:tabs>
                <w:tab w:val="left" w:pos="4540"/>
              </w:tabs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</w:pPr>
            <w:r w:rsidRPr="00452196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 xml:space="preserve">Difficulty </w:t>
            </w:r>
            <w:r w:rsidR="00006221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>Placing</w:t>
            </w:r>
            <w:r w:rsidRPr="00452196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 xml:space="preserve"> </w:t>
            </w:r>
            <w:r w:rsidR="00006221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 xml:space="preserve">Experienced </w:t>
            </w:r>
            <w:r w:rsidR="006A4B4A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>Teachers</w:t>
            </w:r>
            <w:r w:rsidRPr="00452196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 xml:space="preserve"> Wit</w:t>
            </w:r>
            <w:r w:rsidR="002F05CE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>hin High-Need Schools? Consider</w:t>
            </w:r>
            <w:r w:rsidRPr="00452196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>:</w:t>
            </w:r>
          </w:p>
        </w:tc>
        <w:tc>
          <w:tcPr>
            <w:tcW w:w="3742" w:type="dxa"/>
            <w:shd w:val="clear" w:color="auto" w:fill="F2F2F2" w:themeFill="background1" w:themeFillShade="F2"/>
          </w:tcPr>
          <w:p w14:paraId="41EE3616" w14:textId="77777777" w:rsidR="004509AD" w:rsidRPr="00B52E23" w:rsidRDefault="008600F9" w:rsidP="004509AD">
            <w:pPr>
              <w:tabs>
                <w:tab w:val="left" w:pos="4540"/>
              </w:tabs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</w:pPr>
            <w:r w:rsidRPr="00B52E23"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  <w:t>Difficulty</w:t>
            </w:r>
            <w:r w:rsidR="004509AD" w:rsidRPr="00B52E23"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  <w:t xml:space="preserve"> Develop</w:t>
            </w:r>
            <w:r w:rsidRPr="00B52E23"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  <w:t>ing</w:t>
            </w:r>
            <w:r w:rsidR="004509AD" w:rsidRPr="00B52E23"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  <w:t xml:space="preserve"> Great Teachers in High-N</w:t>
            </w:r>
            <w:r w:rsidR="002F05CE"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  <w:t>eed Schools? Consider</w:t>
            </w:r>
            <w:r w:rsidR="004509AD" w:rsidRPr="00B52E23"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  <w:t>:</w:t>
            </w:r>
          </w:p>
        </w:tc>
        <w:tc>
          <w:tcPr>
            <w:tcW w:w="3742" w:type="dxa"/>
          </w:tcPr>
          <w:p w14:paraId="6A9DB1D9" w14:textId="77777777" w:rsidR="004509AD" w:rsidRPr="004509AD" w:rsidRDefault="008600F9" w:rsidP="004509AD">
            <w:pPr>
              <w:tabs>
                <w:tab w:val="left" w:pos="4540"/>
              </w:tabs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 xml:space="preserve">Difficulty </w:t>
            </w:r>
            <w:r w:rsidR="004509AD" w:rsidRPr="00452196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>Retain</w:t>
            </w:r>
            <w:r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>ing Great T</w:t>
            </w:r>
            <w:r w:rsidR="004509AD" w:rsidRPr="00452196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>eachers</w:t>
            </w:r>
            <w:r w:rsidR="002F05CE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 xml:space="preserve"> in High-Need Schools? Consider</w:t>
            </w:r>
            <w:r w:rsidR="004509AD" w:rsidRPr="00452196"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  <w:t>:</w:t>
            </w:r>
          </w:p>
        </w:tc>
      </w:tr>
      <w:tr w:rsidR="004509AD" w14:paraId="5A8FF2D9" w14:textId="77777777" w:rsidTr="00135211">
        <w:trPr>
          <w:cantSplit/>
        </w:trPr>
        <w:tc>
          <w:tcPr>
            <w:tcW w:w="3741" w:type="dxa"/>
            <w:shd w:val="clear" w:color="auto" w:fill="F2F2F2" w:themeFill="background1" w:themeFillShade="F2"/>
          </w:tcPr>
          <w:p w14:paraId="682F4A5A" w14:textId="77777777" w:rsidR="004509AD" w:rsidRPr="00B52E23" w:rsidRDefault="003E06FA" w:rsidP="004C3165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before="0" w:after="0"/>
              <w:ind w:left="427"/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Are your</w:t>
            </w:r>
            <w:r w:rsidR="00F75BB9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LEA’s</w:t>
            </w: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</w:t>
            </w:r>
            <w:r w:rsidR="004509AD" w:rsidRPr="00B52E2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hiring timelines </w:t>
            </w:r>
            <w:r w:rsidR="0092799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consistent with</w:t>
            </w: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other </w:t>
            </w:r>
            <w:r w:rsidR="0024436A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LEAs in your region?</w:t>
            </w:r>
          </w:p>
        </w:tc>
        <w:tc>
          <w:tcPr>
            <w:tcW w:w="3741" w:type="dxa"/>
          </w:tcPr>
          <w:p w14:paraId="79444618" w14:textId="77777777" w:rsidR="004509AD" w:rsidRPr="004509AD" w:rsidRDefault="00D8095B" w:rsidP="004509AD">
            <w:pPr>
              <w:pStyle w:val="ListParagraph"/>
              <w:numPr>
                <w:ilvl w:val="0"/>
                <w:numId w:val="2"/>
              </w:numPr>
              <w:tabs>
                <w:tab w:val="left" w:pos="4540"/>
              </w:tabs>
              <w:ind w:left="430"/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Do</w:t>
            </w:r>
            <w:r w:rsidR="00F75BB9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es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you</w:t>
            </w:r>
            <w:r w:rsidR="00F75BB9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r LEA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have s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eniority-based transfer and reduction-in-force policies (e.g.</w:t>
            </w:r>
            <w:r w:rsidR="008A4E3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,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“last in, first out</w:t>
            </w:r>
            <w:r w:rsidR="0055241B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”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?</w:t>
            </w:r>
          </w:p>
        </w:tc>
        <w:tc>
          <w:tcPr>
            <w:tcW w:w="3742" w:type="dxa"/>
            <w:shd w:val="clear" w:color="auto" w:fill="F2F2F2" w:themeFill="background1" w:themeFillShade="F2"/>
          </w:tcPr>
          <w:p w14:paraId="4B41FA08" w14:textId="77777777" w:rsidR="004509AD" w:rsidRPr="00844CA7" w:rsidRDefault="00D13DD2" w:rsidP="00006221">
            <w:pPr>
              <w:pStyle w:val="ListParagraph"/>
              <w:numPr>
                <w:ilvl w:val="0"/>
                <w:numId w:val="3"/>
              </w:numPr>
              <w:tabs>
                <w:tab w:val="left" w:pos="4540"/>
              </w:tabs>
              <w:ind w:left="343" w:hanging="287"/>
            </w:pP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Do</w:t>
            </w:r>
            <w:r w:rsidR="00F75BB9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these </w:t>
            </w:r>
            <w:r w:rsidR="00006221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high-need schools</w:t>
            </w:r>
            <w:r w:rsidR="00F75BB9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have</w:t>
            </w:r>
            <w:r w:rsidR="004509AD" w:rsidRPr="00B52E2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effective professional learning supports (including induction and mentoring)</w:t>
            </w:r>
            <w:r w:rsidR="00D8095B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?</w:t>
            </w:r>
          </w:p>
        </w:tc>
        <w:tc>
          <w:tcPr>
            <w:tcW w:w="3742" w:type="dxa"/>
          </w:tcPr>
          <w:p w14:paraId="3D21F3BA" w14:textId="77777777" w:rsidR="004509AD" w:rsidRPr="004509AD" w:rsidRDefault="00E144DA" w:rsidP="004B6B63">
            <w:pPr>
              <w:pStyle w:val="ListParagraph"/>
              <w:numPr>
                <w:ilvl w:val="0"/>
                <w:numId w:val="4"/>
              </w:numPr>
              <w:tabs>
                <w:tab w:val="left" w:pos="4540"/>
              </w:tabs>
              <w:ind w:left="345"/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Are </w:t>
            </w:r>
            <w:r w:rsidR="00F75BB9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your LEA’s 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n</w:t>
            </w:r>
            <w:r w:rsidR="00D13DD2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ew teachers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fully</w:t>
            </w:r>
            <w:r w:rsidR="008A4E3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prepared to teach in high-need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schools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?</w:t>
            </w:r>
          </w:p>
        </w:tc>
      </w:tr>
      <w:tr w:rsidR="004509AD" w14:paraId="350A2426" w14:textId="77777777" w:rsidTr="00135211">
        <w:trPr>
          <w:cantSplit/>
        </w:trPr>
        <w:tc>
          <w:tcPr>
            <w:tcW w:w="3741" w:type="dxa"/>
            <w:shd w:val="clear" w:color="auto" w:fill="F2F2F2" w:themeFill="background1" w:themeFillShade="F2"/>
          </w:tcPr>
          <w:p w14:paraId="5F644539" w14:textId="77777777" w:rsidR="004509AD" w:rsidRPr="00B52E23" w:rsidRDefault="009316E2" w:rsidP="00927993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before="0" w:after="0"/>
              <w:ind w:left="427"/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Are your </w:t>
            </w:r>
            <w:r w:rsidR="00F75BB9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LEA’s </w:t>
            </w: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school</w:t>
            </w:r>
            <w:r w:rsidR="004509AD" w:rsidRPr="00B52E2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leaders </w:t>
            </w:r>
            <w:r w:rsidR="0092799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as experienced as the leaders at schools with fewer needs</w:t>
            </w:r>
            <w:r w:rsidR="0053626A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?</w:t>
            </w:r>
          </w:p>
        </w:tc>
        <w:tc>
          <w:tcPr>
            <w:tcW w:w="3741" w:type="dxa"/>
          </w:tcPr>
          <w:p w14:paraId="24C0861B" w14:textId="77777777" w:rsidR="004509AD" w:rsidRPr="004509AD" w:rsidRDefault="00D8095B" w:rsidP="004509AD">
            <w:pPr>
              <w:pStyle w:val="ListParagraph"/>
              <w:numPr>
                <w:ilvl w:val="0"/>
                <w:numId w:val="2"/>
              </w:numPr>
              <w:tabs>
                <w:tab w:val="left" w:pos="4540"/>
              </w:tabs>
              <w:ind w:left="430"/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D</w:t>
            </w:r>
            <w:r w:rsidR="00D13DD2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oes your LEA have an equitable distribution of 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experienced teachers (e.g.</w:t>
            </w:r>
            <w:r w:rsidR="008A4E3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,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assigning novice teachers to low-performing students)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?</w:t>
            </w:r>
          </w:p>
        </w:tc>
        <w:tc>
          <w:tcPr>
            <w:tcW w:w="3742" w:type="dxa"/>
            <w:shd w:val="clear" w:color="auto" w:fill="F2F2F2" w:themeFill="background1" w:themeFillShade="F2"/>
          </w:tcPr>
          <w:p w14:paraId="08E590F4" w14:textId="77777777" w:rsidR="004509AD" w:rsidRPr="00844CA7" w:rsidRDefault="00D8095B" w:rsidP="00CB6480">
            <w:pPr>
              <w:pStyle w:val="ListParagraph"/>
              <w:numPr>
                <w:ilvl w:val="0"/>
                <w:numId w:val="3"/>
              </w:numPr>
              <w:tabs>
                <w:tab w:val="left" w:pos="4540"/>
              </w:tabs>
              <w:ind w:left="343" w:hanging="287"/>
            </w:pPr>
            <w:r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Do</w:t>
            </w:r>
            <w:r w:rsidR="00F75BB9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these </w:t>
            </w:r>
            <w:r w:rsidR="00006221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high-need schools</w:t>
            </w:r>
            <w:r w:rsidR="006A4B4A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</w:t>
            </w:r>
            <w:r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have w</w:t>
            </w:r>
            <w:r w:rsidR="00D13DD2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orking conditions that promote</w:t>
            </w:r>
            <w:r w:rsidR="004509AD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professional learning</w:t>
            </w:r>
            <w:r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?</w:t>
            </w:r>
          </w:p>
        </w:tc>
        <w:tc>
          <w:tcPr>
            <w:tcW w:w="3742" w:type="dxa"/>
          </w:tcPr>
          <w:p w14:paraId="69F69DA1" w14:textId="77777777" w:rsidR="004509AD" w:rsidRPr="00F93661" w:rsidRDefault="00D13DD2" w:rsidP="00F93661">
            <w:pPr>
              <w:pStyle w:val="ListParagraph"/>
              <w:numPr>
                <w:ilvl w:val="0"/>
                <w:numId w:val="4"/>
              </w:numPr>
              <w:tabs>
                <w:tab w:val="left" w:pos="4540"/>
              </w:tabs>
              <w:ind w:left="345"/>
            </w:pPr>
            <w:r w:rsidRPr="00F93661">
              <w:rPr>
                <w:rFonts w:ascii="Arial" w:hAnsi="Arial" w:cs="Arial"/>
                <w:color w:val="1E5E70"/>
                <w:sz w:val="24"/>
                <w:szCs w:val="24"/>
              </w:rPr>
              <w:t xml:space="preserve">Do these </w:t>
            </w:r>
            <w:r w:rsidR="00006221" w:rsidRPr="00F93661">
              <w:rPr>
                <w:rFonts w:ascii="Arial" w:hAnsi="Arial" w:cs="Arial"/>
                <w:color w:val="1E5E70"/>
                <w:sz w:val="24"/>
                <w:szCs w:val="24"/>
              </w:rPr>
              <w:t>high-need schools</w:t>
            </w:r>
            <w:r w:rsidR="006A4B4A" w:rsidRPr="00F93661">
              <w:rPr>
                <w:rFonts w:ascii="Arial" w:hAnsi="Arial" w:cs="Arial"/>
                <w:color w:val="1E5E70"/>
                <w:sz w:val="24"/>
                <w:szCs w:val="24"/>
              </w:rPr>
              <w:t xml:space="preserve"> </w:t>
            </w:r>
            <w:r w:rsidRPr="00F93661">
              <w:rPr>
                <w:rFonts w:ascii="Arial" w:hAnsi="Arial" w:cs="Arial"/>
                <w:color w:val="1E5E70"/>
                <w:sz w:val="24"/>
                <w:szCs w:val="24"/>
              </w:rPr>
              <w:t>have</w:t>
            </w:r>
            <w:r w:rsidR="00E144DA" w:rsidRPr="00F93661">
              <w:rPr>
                <w:rFonts w:ascii="Arial" w:hAnsi="Arial" w:cs="Arial"/>
                <w:color w:val="1E5E70"/>
                <w:sz w:val="24"/>
                <w:szCs w:val="24"/>
              </w:rPr>
              <w:t xml:space="preserve"> defined</w:t>
            </w:r>
            <w:r w:rsidR="004509AD" w:rsidRPr="00F93661">
              <w:rPr>
                <w:rFonts w:ascii="Arial" w:hAnsi="Arial" w:cs="Arial"/>
                <w:color w:val="1E5E70"/>
                <w:sz w:val="24"/>
                <w:szCs w:val="24"/>
              </w:rPr>
              <w:t xml:space="preserve"> opportunities for career advancement</w:t>
            </w:r>
            <w:r w:rsidR="00E144DA" w:rsidRPr="00F93661">
              <w:rPr>
                <w:rFonts w:ascii="Arial" w:hAnsi="Arial" w:cs="Arial"/>
                <w:color w:val="1E5E70"/>
                <w:sz w:val="24"/>
                <w:szCs w:val="24"/>
              </w:rPr>
              <w:t>?</w:t>
            </w:r>
          </w:p>
        </w:tc>
      </w:tr>
      <w:tr w:rsidR="004509AD" w14:paraId="3CA65F1A" w14:textId="77777777" w:rsidTr="00135211">
        <w:trPr>
          <w:cantSplit/>
        </w:trPr>
        <w:tc>
          <w:tcPr>
            <w:tcW w:w="3741" w:type="dxa"/>
            <w:shd w:val="clear" w:color="auto" w:fill="F2F2F2" w:themeFill="background1" w:themeFillShade="F2"/>
          </w:tcPr>
          <w:p w14:paraId="6119868B" w14:textId="77777777" w:rsidR="004509AD" w:rsidRPr="00B52E23" w:rsidRDefault="004C3165" w:rsidP="00CB6480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before="0"/>
              <w:ind w:left="427"/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lastRenderedPageBreak/>
              <w:t xml:space="preserve">Do </w:t>
            </w:r>
            <w:r w:rsidR="00F75BB9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these </w:t>
            </w:r>
            <w:r w:rsidR="00006221" w:rsidRPr="00006221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high-need schools</w:t>
            </w:r>
            <w:r w:rsidR="006A4B4A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have all of the following: desirable working conditions, safety and </w:t>
            </w:r>
            <w:r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student behavior 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supports, teacher autonomy, high-quality facilities, collegial relationships, high</w:t>
            </w:r>
            <w:r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levels 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of community support, and other</w:t>
            </w:r>
            <w:r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resources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?</w:t>
            </w:r>
          </w:p>
        </w:tc>
        <w:tc>
          <w:tcPr>
            <w:tcW w:w="3741" w:type="dxa"/>
          </w:tcPr>
          <w:p w14:paraId="2B4B59F0" w14:textId="77777777" w:rsidR="004509AD" w:rsidRPr="004509AD" w:rsidRDefault="002C275C" w:rsidP="00CB6480">
            <w:pPr>
              <w:pStyle w:val="ListParagraph"/>
              <w:numPr>
                <w:ilvl w:val="0"/>
                <w:numId w:val="2"/>
              </w:numPr>
              <w:tabs>
                <w:tab w:val="left" w:pos="4540"/>
              </w:tabs>
              <w:ind w:left="430"/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Do </w:t>
            </w:r>
            <w:r w:rsidR="00F75BB9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these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t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eacher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s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prefer working </w:t>
            </w:r>
            <w:r w:rsidR="00541B2A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in</w:t>
            </w:r>
            <w:r w:rsidR="00724C1C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classes</w:t>
            </w:r>
            <w:r w:rsidR="00541B2A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or settings</w:t>
            </w:r>
            <w:r w:rsidR="00724C1C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that are not available at these schools</w:t>
            </w:r>
            <w:r w:rsidR="00D27FFA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</w:t>
            </w:r>
            <w:r w:rsidR="00282E27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(</w:t>
            </w:r>
            <w:r w:rsidR="00541B2A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e.g.</w:t>
            </w:r>
            <w:r w:rsidR="00B72A9F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</w:t>
            </w:r>
            <w:r w:rsidR="00541B2A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Advanced Placement program</w:t>
            </w:r>
            <w:r w:rsidR="004C3165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s</w:t>
            </w:r>
            <w:r w:rsidR="00951C40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?</w:t>
            </w:r>
          </w:p>
        </w:tc>
        <w:tc>
          <w:tcPr>
            <w:tcW w:w="3742" w:type="dxa"/>
            <w:shd w:val="clear" w:color="auto" w:fill="F2F2F2" w:themeFill="background1" w:themeFillShade="F2"/>
          </w:tcPr>
          <w:p w14:paraId="04C6250E" w14:textId="77777777" w:rsidR="00844CA7" w:rsidRPr="00844CA7" w:rsidRDefault="00360531" w:rsidP="00844CA7">
            <w:pPr>
              <w:pStyle w:val="ListParagraph"/>
              <w:numPr>
                <w:ilvl w:val="0"/>
                <w:numId w:val="3"/>
              </w:numPr>
              <w:tabs>
                <w:tab w:val="left" w:pos="4540"/>
              </w:tabs>
              <w:ind w:left="343" w:hanging="287"/>
            </w:pPr>
            <w:r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Do these </w:t>
            </w:r>
            <w:r w:rsidR="00006221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high-need schools</w:t>
            </w:r>
            <w:r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have s</w:t>
            </w:r>
            <w:r w:rsidR="009317AC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cheduling flexibility that creates opportunitie</w:t>
            </w:r>
            <w:r w:rsidR="004509AD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s</w:t>
            </w:r>
            <w:r w:rsidR="009317AC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for professional development</w:t>
            </w:r>
            <w:r w:rsidR="004509AD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(e.g.</w:t>
            </w:r>
            <w:r w:rsidR="008A4E3D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,</w:t>
            </w:r>
            <w:r w:rsidR="004509AD"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for teacher collaboration, opportunities for observing or being observed)</w:t>
            </w:r>
            <w:r w:rsidRPr="00CB6480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?</w:t>
            </w:r>
          </w:p>
          <w:p w14:paraId="40884DE5" w14:textId="77777777" w:rsidR="004509AD" w:rsidRPr="00844CA7" w:rsidRDefault="004509AD" w:rsidP="009317AC"/>
        </w:tc>
        <w:tc>
          <w:tcPr>
            <w:tcW w:w="3742" w:type="dxa"/>
          </w:tcPr>
          <w:p w14:paraId="482132CB" w14:textId="77777777" w:rsidR="004509AD" w:rsidRPr="004509AD" w:rsidRDefault="00D85AAE" w:rsidP="00D85AAE">
            <w:pPr>
              <w:pStyle w:val="ListParagraph"/>
              <w:numPr>
                <w:ilvl w:val="0"/>
                <w:numId w:val="4"/>
              </w:numPr>
              <w:tabs>
                <w:tab w:val="left" w:pos="4540"/>
              </w:tabs>
              <w:ind w:left="345"/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Are your </w:t>
            </w:r>
            <w:r w:rsidR="00F75BB9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LEA’s 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most experienced leaders placed at high-need schools?</w:t>
            </w:r>
          </w:p>
        </w:tc>
      </w:tr>
      <w:tr w:rsidR="004509AD" w14:paraId="7375EB74" w14:textId="77777777" w:rsidTr="00135211">
        <w:trPr>
          <w:cantSplit/>
        </w:trPr>
        <w:tc>
          <w:tcPr>
            <w:tcW w:w="3741" w:type="dxa"/>
            <w:shd w:val="clear" w:color="auto" w:fill="F2F2F2" w:themeFill="background1" w:themeFillShade="F2"/>
          </w:tcPr>
          <w:p w14:paraId="559B3B9D" w14:textId="77777777" w:rsidR="004509AD" w:rsidRPr="00B52E23" w:rsidRDefault="003842C4" w:rsidP="004509AD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before="0" w:after="0"/>
              <w:ind w:left="427"/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Do these </w:t>
            </w:r>
            <w:r w:rsidR="00006221" w:rsidRPr="00006221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high-need schools</w:t>
            </w: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have </w:t>
            </w:r>
            <w:r w:rsidR="00D13DD2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as many</w:t>
            </w:r>
            <w:r w:rsidR="004509AD" w:rsidRPr="00B52E2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opportunities for career advancement</w:t>
            </w: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for staff</w:t>
            </w:r>
            <w:r w:rsidR="00D13DD2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in comparison to schools with fewer needs</w:t>
            </w: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?</w:t>
            </w:r>
          </w:p>
        </w:tc>
        <w:tc>
          <w:tcPr>
            <w:tcW w:w="3741" w:type="dxa"/>
          </w:tcPr>
          <w:p w14:paraId="3F4AE7B4" w14:textId="77777777" w:rsidR="004509AD" w:rsidRPr="004509AD" w:rsidRDefault="000E04C9" w:rsidP="00702B4B">
            <w:pPr>
              <w:tabs>
                <w:tab w:val="left" w:pos="45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02B4B">
              <w:rPr>
                <w:rFonts w:ascii="Arial" w:hAnsi="Arial" w:cs="Arial"/>
                <w:sz w:val="24"/>
                <w:szCs w:val="24"/>
              </w:rPr>
              <w:t>intentionally left blank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42" w:type="dxa"/>
            <w:shd w:val="clear" w:color="auto" w:fill="F2F2F2" w:themeFill="background1" w:themeFillShade="F2"/>
          </w:tcPr>
          <w:p w14:paraId="37A7ACEC" w14:textId="77777777" w:rsidR="004509AD" w:rsidRPr="00B52E23" w:rsidRDefault="00930944" w:rsidP="00930944">
            <w:pPr>
              <w:pStyle w:val="ListParagraph"/>
              <w:numPr>
                <w:ilvl w:val="0"/>
                <w:numId w:val="3"/>
              </w:numPr>
              <w:tabs>
                <w:tab w:val="left" w:pos="4540"/>
              </w:tabs>
              <w:ind w:left="343" w:hanging="287"/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Do you have </w:t>
            </w:r>
            <w:r w:rsidR="004509AD" w:rsidRPr="00B52E2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professional learning supports aligned to teacher need</w:t>
            </w: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s</w:t>
            </w:r>
            <w:r w:rsidR="00360531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?</w:t>
            </w:r>
          </w:p>
        </w:tc>
        <w:tc>
          <w:tcPr>
            <w:tcW w:w="3742" w:type="dxa"/>
          </w:tcPr>
          <w:p w14:paraId="36A1ACFB" w14:textId="77777777" w:rsidR="004509AD" w:rsidRPr="004509AD" w:rsidRDefault="00E144DA" w:rsidP="00577D3F">
            <w:pPr>
              <w:pStyle w:val="ListParagraph"/>
              <w:numPr>
                <w:ilvl w:val="0"/>
                <w:numId w:val="4"/>
              </w:numPr>
              <w:tabs>
                <w:tab w:val="left" w:pos="4540"/>
              </w:tabs>
              <w:ind w:left="345"/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Do</w:t>
            </w:r>
            <w:r w:rsidR="00577D3F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</w:t>
            </w:r>
            <w:r w:rsidR="00F75BB9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these</w:t>
            </w:r>
            <w:r w:rsidR="00577D3F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</w:t>
            </w:r>
            <w:r w:rsidR="00006221" w:rsidRPr="00006221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high-need schools</w:t>
            </w:r>
            <w:r w:rsidR="00577D3F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have all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of the following</w:t>
            </w:r>
            <w:r w:rsidR="00577D3F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: </w:t>
            </w:r>
            <w:r w:rsidR="002A3C42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d</w:t>
            </w:r>
            <w:r w:rsidR="00577D3F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esirable working conditions, safety and 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student behavior </w:t>
            </w:r>
            <w:r w:rsidR="00577D3F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supports, teacher autonomy, high-quality facilities, collegial relationships, high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levels </w:t>
            </w:r>
            <w:r w:rsidR="00577D3F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of community support, and other</w:t>
            </w:r>
            <w:r w:rsidR="004509AD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resources</w:t>
            </w: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?</w:t>
            </w:r>
          </w:p>
        </w:tc>
      </w:tr>
      <w:tr w:rsidR="00702B4B" w14:paraId="070E4437" w14:textId="77777777" w:rsidTr="00135211">
        <w:trPr>
          <w:cantSplit/>
        </w:trPr>
        <w:tc>
          <w:tcPr>
            <w:tcW w:w="3741" w:type="dxa"/>
            <w:shd w:val="clear" w:color="auto" w:fill="F2F2F2" w:themeFill="background1" w:themeFillShade="F2"/>
          </w:tcPr>
          <w:p w14:paraId="0DD6ABEB" w14:textId="77777777" w:rsidR="00702B4B" w:rsidRPr="00B52E23" w:rsidRDefault="00D13DD2" w:rsidP="00702B4B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before="0" w:after="100" w:afterAutospacing="1"/>
              <w:ind w:left="427"/>
              <w:rPr>
                <w:rFonts w:ascii="Arial" w:hAnsi="Arial" w:cs="Arial"/>
                <w:b/>
                <w:color w:val="31521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Is there</w:t>
            </w:r>
            <w:r w:rsidR="00702B4B" w:rsidRPr="00B52E2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</w:t>
            </w:r>
            <w:r w:rsidR="00930944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geographical </w:t>
            </w:r>
            <w:r w:rsidR="00702B4B" w:rsidRPr="00B52E2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proximity to home and other amenities (e.g.</w:t>
            </w:r>
            <w:r w:rsidR="008A4E3D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,</w:t>
            </w:r>
            <w:r w:rsidR="00702B4B" w:rsidRPr="00B52E2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 xml:space="preserve"> transportation</w:t>
            </w:r>
            <w:r w:rsidR="008A4E3D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)</w:t>
            </w:r>
            <w:r w:rsidR="000E674A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?</w:t>
            </w:r>
          </w:p>
        </w:tc>
        <w:tc>
          <w:tcPr>
            <w:tcW w:w="3741" w:type="dxa"/>
          </w:tcPr>
          <w:p w14:paraId="7F8E03B3" w14:textId="77777777" w:rsidR="00702B4B" w:rsidRDefault="00702B4B" w:rsidP="00702B4B">
            <w:r w:rsidRPr="00A74F1F">
              <w:rPr>
                <w:rFonts w:ascii="Arial" w:hAnsi="Arial" w:cs="Arial"/>
                <w:sz w:val="24"/>
                <w:szCs w:val="24"/>
              </w:rPr>
              <w:t>(intentionally left blank)</w:t>
            </w:r>
          </w:p>
        </w:tc>
        <w:tc>
          <w:tcPr>
            <w:tcW w:w="3742" w:type="dxa"/>
            <w:shd w:val="clear" w:color="auto" w:fill="F2F2F2" w:themeFill="background1" w:themeFillShade="F2"/>
          </w:tcPr>
          <w:p w14:paraId="0630E61D" w14:textId="77777777" w:rsidR="00702B4B" w:rsidRPr="00B52E23" w:rsidRDefault="00702B4B" w:rsidP="00702B4B">
            <w:pPr>
              <w:rPr>
                <w:color w:val="31521B" w:themeColor="accent2" w:themeShade="80"/>
              </w:rPr>
            </w:pPr>
            <w:r w:rsidRPr="00B52E23">
              <w:rPr>
                <w:rFonts w:ascii="Arial" w:hAnsi="Arial" w:cs="Arial"/>
                <w:color w:val="31521B" w:themeColor="accent2" w:themeShade="80"/>
                <w:sz w:val="24"/>
                <w:szCs w:val="24"/>
              </w:rPr>
              <w:t>(intentionally left blank)</w:t>
            </w:r>
          </w:p>
        </w:tc>
        <w:tc>
          <w:tcPr>
            <w:tcW w:w="3742" w:type="dxa"/>
          </w:tcPr>
          <w:p w14:paraId="1CF89239" w14:textId="77777777" w:rsidR="00702B4B" w:rsidRPr="004509AD" w:rsidRDefault="00930944" w:rsidP="00702B4B">
            <w:pPr>
              <w:pStyle w:val="ListParagraph"/>
              <w:numPr>
                <w:ilvl w:val="0"/>
                <w:numId w:val="4"/>
              </w:numPr>
              <w:tabs>
                <w:tab w:val="left" w:pos="4540"/>
              </w:tabs>
              <w:ind w:left="345"/>
              <w:rPr>
                <w:rFonts w:ascii="Arial" w:hAnsi="Arial" w:cs="Arial"/>
                <w:b/>
                <w:color w:val="1E5E70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Is there </w:t>
            </w:r>
            <w:r w:rsidR="00702B4B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geographical proximity to home and other amenities (e.g.</w:t>
            </w:r>
            <w:r w:rsidR="008A4E3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,</w:t>
            </w:r>
            <w:r w:rsidR="00702B4B" w:rsidRPr="004509AD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 xml:space="preserve"> transportation)</w:t>
            </w:r>
            <w:r w:rsidR="00E144DA">
              <w:rPr>
                <w:rFonts w:ascii="Arial" w:hAnsi="Arial" w:cs="Arial"/>
                <w:color w:val="1E5E70" w:themeColor="accent5" w:themeShade="80"/>
                <w:sz w:val="24"/>
                <w:szCs w:val="24"/>
              </w:rPr>
              <w:t>?</w:t>
            </w:r>
          </w:p>
        </w:tc>
      </w:tr>
    </w:tbl>
    <w:p w14:paraId="495BAB9A" w14:textId="77777777" w:rsidR="002C6EFF" w:rsidRPr="00CB6480" w:rsidRDefault="002C6EFF" w:rsidP="00CB6480">
      <w:pPr>
        <w:tabs>
          <w:tab w:val="left" w:pos="4540"/>
        </w:tabs>
        <w:spacing w:before="240" w:after="0" w:line="240" w:lineRule="auto"/>
        <w:rPr>
          <w:rFonts w:ascii="Arial" w:hAnsi="Arial" w:cs="Arial"/>
          <w:color w:val="1E5E70" w:themeColor="accent5" w:themeShade="80"/>
          <w:sz w:val="4"/>
          <w:szCs w:val="4"/>
        </w:rPr>
      </w:pPr>
    </w:p>
    <w:sectPr w:rsidR="002C6EFF" w:rsidRPr="00CB6480" w:rsidSect="00F93661">
      <w:footerReference w:type="default" r:id="rId12"/>
      <w:footerReference w:type="first" r:id="rId13"/>
      <w:pgSz w:w="15840" w:h="12240" w:orient="landscape" w:code="1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E69E" w14:textId="77777777" w:rsidR="001A671F" w:rsidRDefault="001A671F" w:rsidP="00D45945">
      <w:pPr>
        <w:spacing w:before="0" w:after="0" w:line="240" w:lineRule="auto"/>
      </w:pPr>
      <w:r>
        <w:separator/>
      </w:r>
    </w:p>
  </w:endnote>
  <w:endnote w:type="continuationSeparator" w:id="0">
    <w:p w14:paraId="4CC5D535" w14:textId="77777777" w:rsidR="001A671F" w:rsidRDefault="001A671F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280728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436C399" w14:textId="77777777" w:rsidR="00485B8A" w:rsidRPr="00F93661" w:rsidRDefault="00F93661" w:rsidP="00CB6480">
            <w:pPr>
              <w:pStyle w:val="Footer"/>
              <w:tabs>
                <w:tab w:val="clear" w:pos="4680"/>
                <w:tab w:val="clear" w:pos="9360"/>
                <w:tab w:val="right" w:pos="148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Department of Education Revised 07/9/2019</w:t>
            </w:r>
            <w:r w:rsidR="00CB6480">
              <w:rPr>
                <w:rFonts w:ascii="Arial" w:hAnsi="Arial" w:cs="Arial"/>
                <w:sz w:val="24"/>
                <w:szCs w:val="24"/>
              </w:rPr>
              <w:tab/>
            </w:r>
            <w:r w:rsidR="00485B8A" w:rsidRPr="00F93661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485B8A" w:rsidRPr="00F9366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485B8A" w:rsidRPr="00F93661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="00485B8A" w:rsidRPr="00F9366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="00485B8A" w:rsidRPr="00F9366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485B8A" w:rsidRPr="00F93661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485B8A" w:rsidRPr="00F9366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485B8A" w:rsidRPr="00F93661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="00485B8A" w:rsidRPr="00F9366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="00485B8A" w:rsidRPr="00F9366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7335" w14:textId="77777777" w:rsidR="00F93661" w:rsidRDefault="00F93661" w:rsidP="00F93661">
    <w:pPr>
      <w:pStyle w:val="Footer"/>
      <w:jc w:val="right"/>
    </w:pPr>
    <w:r w:rsidRPr="00F93661">
      <w:rPr>
        <w:rFonts w:ascii="Arial" w:hAnsi="Arial" w:cs="Arial"/>
        <w:sz w:val="24"/>
        <w:szCs w:val="24"/>
      </w:rPr>
      <w:t xml:space="preserve">Page </w:t>
    </w:r>
    <w:r w:rsidRPr="00F93661">
      <w:rPr>
        <w:rFonts w:ascii="Arial" w:hAnsi="Arial" w:cs="Arial"/>
        <w:bCs/>
        <w:sz w:val="24"/>
        <w:szCs w:val="24"/>
      </w:rPr>
      <w:fldChar w:fldCharType="begin"/>
    </w:r>
    <w:r w:rsidRPr="00F93661">
      <w:rPr>
        <w:rFonts w:ascii="Arial" w:hAnsi="Arial" w:cs="Arial"/>
        <w:bCs/>
        <w:sz w:val="24"/>
        <w:szCs w:val="24"/>
      </w:rPr>
      <w:instrText xml:space="preserve"> PAGE </w:instrText>
    </w:r>
    <w:r w:rsidRPr="00F93661">
      <w:rPr>
        <w:rFonts w:ascii="Arial" w:hAnsi="Arial" w:cs="Arial"/>
        <w:bCs/>
        <w:sz w:val="24"/>
        <w:szCs w:val="24"/>
      </w:rPr>
      <w:fldChar w:fldCharType="separate"/>
    </w:r>
    <w:r>
      <w:rPr>
        <w:rFonts w:ascii="Arial" w:hAnsi="Arial" w:cs="Arial"/>
        <w:bCs/>
        <w:noProof/>
        <w:sz w:val="24"/>
        <w:szCs w:val="24"/>
      </w:rPr>
      <w:t>1</w:t>
    </w:r>
    <w:r w:rsidRPr="00F93661">
      <w:rPr>
        <w:rFonts w:ascii="Arial" w:hAnsi="Arial" w:cs="Arial"/>
        <w:bCs/>
        <w:sz w:val="24"/>
        <w:szCs w:val="24"/>
      </w:rPr>
      <w:fldChar w:fldCharType="end"/>
    </w:r>
    <w:r w:rsidRPr="00F93661">
      <w:rPr>
        <w:rFonts w:ascii="Arial" w:hAnsi="Arial" w:cs="Arial"/>
        <w:sz w:val="24"/>
        <w:szCs w:val="24"/>
      </w:rPr>
      <w:t xml:space="preserve"> of </w:t>
    </w:r>
    <w:r w:rsidRPr="00F93661">
      <w:rPr>
        <w:rFonts w:ascii="Arial" w:hAnsi="Arial" w:cs="Arial"/>
        <w:bCs/>
        <w:sz w:val="24"/>
        <w:szCs w:val="24"/>
      </w:rPr>
      <w:fldChar w:fldCharType="begin"/>
    </w:r>
    <w:r w:rsidRPr="00F93661">
      <w:rPr>
        <w:rFonts w:ascii="Arial" w:hAnsi="Arial" w:cs="Arial"/>
        <w:bCs/>
        <w:sz w:val="24"/>
        <w:szCs w:val="24"/>
      </w:rPr>
      <w:instrText xml:space="preserve"> NUMPAGES  </w:instrText>
    </w:r>
    <w:r w:rsidRPr="00F93661">
      <w:rPr>
        <w:rFonts w:ascii="Arial" w:hAnsi="Arial" w:cs="Arial"/>
        <w:bCs/>
        <w:sz w:val="24"/>
        <w:szCs w:val="24"/>
      </w:rPr>
      <w:fldChar w:fldCharType="separate"/>
    </w:r>
    <w:r>
      <w:rPr>
        <w:rFonts w:ascii="Arial" w:hAnsi="Arial" w:cs="Arial"/>
        <w:bCs/>
        <w:noProof/>
        <w:sz w:val="24"/>
        <w:szCs w:val="24"/>
      </w:rPr>
      <w:t>2</w:t>
    </w:r>
    <w:r w:rsidRPr="00F93661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6C60" w14:textId="77777777" w:rsidR="001A671F" w:rsidRDefault="001A671F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BDAF005" w14:textId="77777777" w:rsidR="001A671F" w:rsidRDefault="001A671F" w:rsidP="00D45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1411"/>
    <w:multiLevelType w:val="hybridMultilevel"/>
    <w:tmpl w:val="E83A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66894"/>
    <w:multiLevelType w:val="hybridMultilevel"/>
    <w:tmpl w:val="70F6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2FC9"/>
    <w:multiLevelType w:val="hybridMultilevel"/>
    <w:tmpl w:val="CD7E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8377D"/>
    <w:multiLevelType w:val="hybridMultilevel"/>
    <w:tmpl w:val="DF66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3259">
    <w:abstractNumId w:val="1"/>
  </w:num>
  <w:num w:numId="2" w16cid:durableId="1584677812">
    <w:abstractNumId w:val="0"/>
  </w:num>
  <w:num w:numId="3" w16cid:durableId="1484544487">
    <w:abstractNumId w:val="2"/>
  </w:num>
  <w:num w:numId="4" w16cid:durableId="1835484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96"/>
    <w:rsid w:val="00006221"/>
    <w:rsid w:val="00073D6D"/>
    <w:rsid w:val="00083BAA"/>
    <w:rsid w:val="00094836"/>
    <w:rsid w:val="000B37E2"/>
    <w:rsid w:val="000B7339"/>
    <w:rsid w:val="000C483E"/>
    <w:rsid w:val="000E04C9"/>
    <w:rsid w:val="000E674A"/>
    <w:rsid w:val="000F54B8"/>
    <w:rsid w:val="00116C25"/>
    <w:rsid w:val="00135211"/>
    <w:rsid w:val="00145A68"/>
    <w:rsid w:val="001766D6"/>
    <w:rsid w:val="001A671F"/>
    <w:rsid w:val="001B37F8"/>
    <w:rsid w:val="0024436A"/>
    <w:rsid w:val="00247DB9"/>
    <w:rsid w:val="00282E27"/>
    <w:rsid w:val="002A3C42"/>
    <w:rsid w:val="002C275C"/>
    <w:rsid w:val="002C6EFF"/>
    <w:rsid w:val="002E3A2D"/>
    <w:rsid w:val="002F05CE"/>
    <w:rsid w:val="003008D6"/>
    <w:rsid w:val="00360531"/>
    <w:rsid w:val="003842C4"/>
    <w:rsid w:val="003E06FA"/>
    <w:rsid w:val="003E24DF"/>
    <w:rsid w:val="00402212"/>
    <w:rsid w:val="00431CF8"/>
    <w:rsid w:val="004509AD"/>
    <w:rsid w:val="00452196"/>
    <w:rsid w:val="00485B8A"/>
    <w:rsid w:val="004A2B0D"/>
    <w:rsid w:val="004B08A8"/>
    <w:rsid w:val="004B6B63"/>
    <w:rsid w:val="004C3165"/>
    <w:rsid w:val="0053425E"/>
    <w:rsid w:val="0053626A"/>
    <w:rsid w:val="00541B2A"/>
    <w:rsid w:val="0055241B"/>
    <w:rsid w:val="00564809"/>
    <w:rsid w:val="00577D3F"/>
    <w:rsid w:val="005B1878"/>
    <w:rsid w:val="005C2210"/>
    <w:rsid w:val="005F3176"/>
    <w:rsid w:val="00615018"/>
    <w:rsid w:val="0062123A"/>
    <w:rsid w:val="0064370E"/>
    <w:rsid w:val="00646E75"/>
    <w:rsid w:val="006A4B4A"/>
    <w:rsid w:val="006C0FFE"/>
    <w:rsid w:val="006E09A4"/>
    <w:rsid w:val="006E1D42"/>
    <w:rsid w:val="006F6F10"/>
    <w:rsid w:val="00702B4B"/>
    <w:rsid w:val="00703A65"/>
    <w:rsid w:val="00724C1C"/>
    <w:rsid w:val="0072608F"/>
    <w:rsid w:val="00731F7A"/>
    <w:rsid w:val="00783E79"/>
    <w:rsid w:val="00790A70"/>
    <w:rsid w:val="00797CC8"/>
    <w:rsid w:val="007B5AE8"/>
    <w:rsid w:val="007B7CE6"/>
    <w:rsid w:val="007F5192"/>
    <w:rsid w:val="00844CA7"/>
    <w:rsid w:val="008600F9"/>
    <w:rsid w:val="00865705"/>
    <w:rsid w:val="008A4E3D"/>
    <w:rsid w:val="008D4243"/>
    <w:rsid w:val="008F6E2D"/>
    <w:rsid w:val="00927993"/>
    <w:rsid w:val="00930944"/>
    <w:rsid w:val="009316E2"/>
    <w:rsid w:val="009317AC"/>
    <w:rsid w:val="00951C40"/>
    <w:rsid w:val="009F1F8B"/>
    <w:rsid w:val="00A146AD"/>
    <w:rsid w:val="00A96CF8"/>
    <w:rsid w:val="00AD3526"/>
    <w:rsid w:val="00B50294"/>
    <w:rsid w:val="00B52E23"/>
    <w:rsid w:val="00B72A9F"/>
    <w:rsid w:val="00B87967"/>
    <w:rsid w:val="00B97905"/>
    <w:rsid w:val="00BB38A2"/>
    <w:rsid w:val="00BD4875"/>
    <w:rsid w:val="00BF747A"/>
    <w:rsid w:val="00C11C5C"/>
    <w:rsid w:val="00C57098"/>
    <w:rsid w:val="00C6607A"/>
    <w:rsid w:val="00C70786"/>
    <w:rsid w:val="00C7468C"/>
    <w:rsid w:val="00C8222A"/>
    <w:rsid w:val="00C97446"/>
    <w:rsid w:val="00CB6480"/>
    <w:rsid w:val="00D13DD2"/>
    <w:rsid w:val="00D27FFA"/>
    <w:rsid w:val="00D31053"/>
    <w:rsid w:val="00D45945"/>
    <w:rsid w:val="00D66593"/>
    <w:rsid w:val="00D8095B"/>
    <w:rsid w:val="00D81168"/>
    <w:rsid w:val="00D85AAE"/>
    <w:rsid w:val="00DD09C2"/>
    <w:rsid w:val="00DF6F0B"/>
    <w:rsid w:val="00E0444E"/>
    <w:rsid w:val="00E144DA"/>
    <w:rsid w:val="00E55D74"/>
    <w:rsid w:val="00E6540C"/>
    <w:rsid w:val="00E75015"/>
    <w:rsid w:val="00E81E2A"/>
    <w:rsid w:val="00EA708A"/>
    <w:rsid w:val="00EC03AF"/>
    <w:rsid w:val="00ED3BF9"/>
    <w:rsid w:val="00EE0952"/>
    <w:rsid w:val="00EF6514"/>
    <w:rsid w:val="00F31047"/>
    <w:rsid w:val="00F6302C"/>
    <w:rsid w:val="00F63E89"/>
    <w:rsid w:val="00F75BB9"/>
    <w:rsid w:val="00F93661"/>
    <w:rsid w:val="00FB3AC0"/>
    <w:rsid w:val="00FE0F43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8263C"/>
  <w14:defaultImageDpi w14:val="32767"/>
  <w15:chartTrackingRefBased/>
  <w15:docId w15:val="{C6869F49-1232-4A4D-B4EA-7E8407A6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45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196"/>
    <w:rPr>
      <w:color w:val="EE7B08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52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AC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C0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705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70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70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600F9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ennettBrown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F728C-6887-4BA9-A6EA-8C742DF31C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letterhead.dotx</Template>
  <TotalTime>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Root Causes - Professional Learning (CA Dept of Education)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Root Causes - Professional Learning (CA Dept of Education)</dc:title>
  <dc:subject>Lists of potential root causes in LEAs that have disproportionate access.</dc:subject>
  <dc:creator/>
  <cp:keywords/>
  <dc:description/>
  <cp:lastModifiedBy>Christopher Slaven</cp:lastModifiedBy>
  <cp:revision>4</cp:revision>
  <cp:lastPrinted>2019-04-24T15:31:00Z</cp:lastPrinted>
  <dcterms:created xsi:type="dcterms:W3CDTF">2019-07-09T19:33:00Z</dcterms:created>
  <dcterms:modified xsi:type="dcterms:W3CDTF">2024-06-06T18:26:00Z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