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BF53C" w14:textId="77777777" w:rsidR="00F61C9C" w:rsidRDefault="00F61C9C" w:rsidP="00B401BA">
      <w:pPr>
        <w:rPr>
          <w:noProof/>
        </w:rPr>
      </w:pPr>
      <w:r>
        <w:rPr>
          <w:noProof/>
          <w:lang w:eastAsia="en-US"/>
        </w:rPr>
        <w:drawing>
          <wp:inline distT="0" distB="0" distL="0" distR="0" wp14:anchorId="18EAA2DC" wp14:editId="7C768911">
            <wp:extent cx="6791325" cy="904059"/>
            <wp:effectExtent l="0" t="0" r="0" b="0"/>
            <wp:docPr id="1" name="Picture 1" descr="The header includes the seal of the California Department of Education and the label, California Equit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quitylogo (002).png"/>
                    <pic:cNvPicPr/>
                  </pic:nvPicPr>
                  <pic:blipFill>
                    <a:blip r:embed="rId11">
                      <a:extLst>
                        <a:ext uri="{28A0092B-C50C-407E-A947-70E740481C1C}">
                          <a14:useLocalDpi xmlns:a14="http://schemas.microsoft.com/office/drawing/2010/main" val="0"/>
                        </a:ext>
                      </a:extLst>
                    </a:blip>
                    <a:stretch>
                      <a:fillRect/>
                    </a:stretch>
                  </pic:blipFill>
                  <pic:spPr>
                    <a:xfrm>
                      <a:off x="0" y="0"/>
                      <a:ext cx="6965414" cy="927234"/>
                    </a:xfrm>
                    <a:prstGeom prst="rect">
                      <a:avLst/>
                    </a:prstGeom>
                  </pic:spPr>
                </pic:pic>
              </a:graphicData>
            </a:graphic>
          </wp:inline>
        </w:drawing>
      </w:r>
    </w:p>
    <w:p w14:paraId="15023EC3" w14:textId="3E371932" w:rsidR="0008706E" w:rsidRPr="005D5907" w:rsidRDefault="005D5907" w:rsidP="00C841CD">
      <w:pPr>
        <w:pStyle w:val="Heading1"/>
        <w:spacing w:before="240" w:after="0"/>
        <w:rPr>
          <w:rFonts w:ascii="Arial" w:hAnsi="Arial" w:cs="Arial"/>
          <w:caps w:val="0"/>
          <w:noProof/>
          <w:color w:val="31521B" w:themeColor="accent2" w:themeShade="80"/>
          <w:sz w:val="32"/>
          <w:szCs w:val="32"/>
        </w:rPr>
      </w:pPr>
      <w:r>
        <w:rPr>
          <w:rFonts w:ascii="Arial" w:hAnsi="Arial" w:cs="Arial"/>
          <w:caps w:val="0"/>
          <w:noProof/>
          <w:color w:val="31521B" w:themeColor="accent2" w:themeShade="80"/>
          <w:sz w:val="32"/>
          <w:szCs w:val="32"/>
        </w:rPr>
        <w:t>California Department of E</w:t>
      </w:r>
      <w:r w:rsidR="00602499" w:rsidRPr="005D5907">
        <w:rPr>
          <w:rFonts w:ascii="Arial" w:hAnsi="Arial" w:cs="Arial"/>
          <w:caps w:val="0"/>
          <w:noProof/>
          <w:color w:val="31521B" w:themeColor="accent2" w:themeShade="80"/>
          <w:sz w:val="32"/>
          <w:szCs w:val="32"/>
        </w:rPr>
        <w:t>ducation</w:t>
      </w:r>
      <w:r w:rsidR="00125CE8">
        <w:rPr>
          <w:rFonts w:ascii="Arial" w:hAnsi="Arial" w:cs="Arial"/>
          <w:caps w:val="0"/>
          <w:noProof/>
          <w:color w:val="31521B" w:themeColor="accent2" w:themeShade="80"/>
          <w:sz w:val="32"/>
          <w:szCs w:val="32"/>
        </w:rPr>
        <w:t xml:space="preserve"> </w:t>
      </w:r>
      <w:r w:rsidR="00125CE8">
        <w:rPr>
          <w:rFonts w:ascii="Arial" w:hAnsi="Arial" w:cs="Arial"/>
          <w:caps w:val="0"/>
          <w:noProof/>
          <w:color w:val="31521B" w:themeColor="accent2" w:themeShade="80"/>
          <w:sz w:val="32"/>
          <w:szCs w:val="32"/>
        </w:rPr>
        <w:br/>
      </w:r>
      <w:r w:rsidR="00A809E6">
        <w:rPr>
          <w:rFonts w:ascii="Arial" w:hAnsi="Arial" w:cs="Arial"/>
          <w:caps w:val="0"/>
          <w:noProof/>
          <w:color w:val="31521B" w:themeColor="accent2" w:themeShade="80"/>
          <w:sz w:val="32"/>
          <w:szCs w:val="32"/>
        </w:rPr>
        <w:t xml:space="preserve">Updated </w:t>
      </w:r>
      <w:r w:rsidR="0008706E" w:rsidRPr="005D5907">
        <w:rPr>
          <w:rFonts w:ascii="Arial" w:hAnsi="Arial" w:cs="Arial"/>
          <w:caps w:val="0"/>
          <w:noProof/>
          <w:color w:val="31521B" w:themeColor="accent2" w:themeShade="80"/>
          <w:sz w:val="32"/>
          <w:szCs w:val="32"/>
        </w:rPr>
        <w:t>Equity Data Definitions</w:t>
      </w:r>
      <w:r w:rsidRPr="005D5907">
        <w:rPr>
          <w:rFonts w:ascii="Arial" w:hAnsi="Arial" w:cs="Arial"/>
          <w:caps w:val="0"/>
          <w:noProof/>
          <w:color w:val="31521B" w:themeColor="accent2" w:themeShade="80"/>
          <w:sz w:val="32"/>
          <w:szCs w:val="32"/>
        </w:rPr>
        <w:t xml:space="preserve"> </w:t>
      </w:r>
    </w:p>
    <w:p w14:paraId="122E8068" w14:textId="44A8FF81" w:rsidR="0008706E" w:rsidRPr="00D305AD" w:rsidRDefault="0008706E" w:rsidP="0008706E">
      <w:pPr>
        <w:pStyle w:val="Heading2"/>
        <w:rPr>
          <w:rFonts w:ascii="Arial" w:hAnsi="Arial" w:cs="Arial"/>
          <w:noProof/>
          <w:color w:val="1E5E70" w:themeColor="accent5" w:themeShade="80"/>
          <w:sz w:val="28"/>
          <w:szCs w:val="28"/>
          <w:u w:val="single"/>
        </w:rPr>
      </w:pPr>
      <w:r w:rsidRPr="00D305AD">
        <w:rPr>
          <w:rFonts w:ascii="Arial" w:hAnsi="Arial" w:cs="Arial"/>
          <w:noProof/>
          <w:color w:val="1E5E70" w:themeColor="accent5" w:themeShade="80"/>
          <w:sz w:val="28"/>
          <w:szCs w:val="28"/>
        </w:rPr>
        <w:t xml:space="preserve">California Definitions for Purposes of Collecting Equity Data under </w:t>
      </w:r>
      <w:r w:rsidR="00C32FCB">
        <w:rPr>
          <w:rFonts w:ascii="Arial" w:hAnsi="Arial" w:cs="Arial"/>
          <w:noProof/>
          <w:color w:val="1E5E70" w:themeColor="accent5" w:themeShade="80"/>
          <w:sz w:val="28"/>
          <w:szCs w:val="28"/>
        </w:rPr>
        <w:t>Every Student Succeeds Act</w:t>
      </w:r>
    </w:p>
    <w:p w14:paraId="1D00C6C9" w14:textId="081665F4" w:rsidR="0008706E" w:rsidRPr="00A809E6" w:rsidRDefault="0008706E" w:rsidP="00A809E6">
      <w:pPr>
        <w:spacing w:before="0" w:after="240" w:line="240" w:lineRule="auto"/>
        <w:rPr>
          <w:rFonts w:ascii="Arial" w:eastAsia="Times New Roman" w:hAnsi="Arial" w:cs="Arial"/>
          <w:color w:val="auto"/>
          <w:kern w:val="0"/>
          <w:sz w:val="24"/>
          <w:szCs w:val="24"/>
          <w:lang w:eastAsia="en-US"/>
        </w:rPr>
      </w:pPr>
      <w:r w:rsidRPr="00D97FB5">
        <w:rPr>
          <w:rFonts w:ascii="Arial" w:hAnsi="Arial" w:cs="Arial"/>
          <w:noProof/>
          <w:color w:val="000000" w:themeColor="text1"/>
          <w:sz w:val="24"/>
          <w:szCs w:val="24"/>
        </w:rPr>
        <w:t>Under</w:t>
      </w:r>
      <w:r w:rsidR="00C32FCB">
        <w:rPr>
          <w:rFonts w:ascii="Arial" w:hAnsi="Arial" w:cs="Arial"/>
          <w:noProof/>
          <w:color w:val="000000" w:themeColor="text1"/>
          <w:sz w:val="24"/>
          <w:szCs w:val="24"/>
        </w:rPr>
        <w:t xml:space="preserve"> Every Student Succeeds Act</w:t>
      </w:r>
      <w:r w:rsidRPr="00D97FB5">
        <w:rPr>
          <w:rFonts w:ascii="Arial" w:hAnsi="Arial" w:cs="Arial"/>
          <w:noProof/>
          <w:color w:val="000000" w:themeColor="text1"/>
          <w:sz w:val="24"/>
          <w:szCs w:val="24"/>
        </w:rPr>
        <w:t xml:space="preserve"> </w:t>
      </w:r>
      <w:r w:rsidR="00C32FCB">
        <w:rPr>
          <w:rFonts w:ascii="Arial" w:hAnsi="Arial" w:cs="Arial"/>
          <w:noProof/>
          <w:color w:val="000000" w:themeColor="text1"/>
          <w:sz w:val="24"/>
          <w:szCs w:val="24"/>
        </w:rPr>
        <w:t>(</w:t>
      </w:r>
      <w:r w:rsidRPr="00D97FB5">
        <w:rPr>
          <w:rFonts w:ascii="Arial" w:hAnsi="Arial" w:cs="Arial"/>
          <w:noProof/>
          <w:color w:val="000000" w:themeColor="text1"/>
          <w:sz w:val="24"/>
          <w:szCs w:val="24"/>
        </w:rPr>
        <w:t>ESSA</w:t>
      </w:r>
      <w:r w:rsidR="00C32FCB">
        <w:rPr>
          <w:rFonts w:ascii="Arial" w:hAnsi="Arial" w:cs="Arial"/>
          <w:noProof/>
          <w:color w:val="000000" w:themeColor="text1"/>
          <w:sz w:val="24"/>
          <w:szCs w:val="24"/>
        </w:rPr>
        <w:t>)</w:t>
      </w:r>
      <w:r w:rsidRPr="00D97FB5">
        <w:rPr>
          <w:rFonts w:ascii="Arial" w:hAnsi="Arial" w:cs="Arial"/>
          <w:noProof/>
          <w:color w:val="000000" w:themeColor="text1"/>
          <w:sz w:val="24"/>
          <w:szCs w:val="24"/>
        </w:rPr>
        <w:t xml:space="preserve"> Section 1112(b)(2), each </w:t>
      </w:r>
      <w:r w:rsidR="00C32FCB">
        <w:rPr>
          <w:rFonts w:ascii="Arial" w:hAnsi="Arial" w:cs="Arial"/>
          <w:noProof/>
          <w:color w:val="000000" w:themeColor="text1"/>
          <w:sz w:val="24"/>
          <w:szCs w:val="24"/>
        </w:rPr>
        <w:t>local educational agency (</w:t>
      </w:r>
      <w:r w:rsidRPr="00D97FB5">
        <w:rPr>
          <w:rFonts w:ascii="Arial" w:hAnsi="Arial" w:cs="Arial"/>
          <w:noProof/>
          <w:color w:val="000000" w:themeColor="text1"/>
          <w:sz w:val="24"/>
          <w:szCs w:val="24"/>
        </w:rPr>
        <w:t>LEA</w:t>
      </w:r>
      <w:r w:rsidR="00C32FCB">
        <w:rPr>
          <w:rFonts w:ascii="Arial" w:hAnsi="Arial" w:cs="Arial"/>
          <w:noProof/>
          <w:color w:val="000000" w:themeColor="text1"/>
          <w:sz w:val="24"/>
          <w:szCs w:val="24"/>
        </w:rPr>
        <w:t>)</w:t>
      </w:r>
      <w:r w:rsidRPr="00D97FB5">
        <w:rPr>
          <w:rFonts w:ascii="Arial" w:hAnsi="Arial" w:cs="Arial"/>
          <w:noProof/>
          <w:color w:val="000000" w:themeColor="text1"/>
          <w:sz w:val="24"/>
          <w:szCs w:val="24"/>
        </w:rPr>
        <w:t xml:space="preserve">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w:t>
      </w:r>
      <w:r w:rsidR="00A809E6">
        <w:rPr>
          <w:rFonts w:ascii="Arial" w:hAnsi="Arial" w:cs="Arial"/>
          <w:noProof/>
          <w:color w:val="000000" w:themeColor="text1"/>
          <w:sz w:val="24"/>
          <w:szCs w:val="24"/>
        </w:rPr>
        <w:t xml:space="preserve"> </w:t>
      </w:r>
      <w:r w:rsidR="00A809E6" w:rsidRPr="00A809E6">
        <w:rPr>
          <w:rFonts w:ascii="Arial" w:eastAsia="Times New Roman" w:hAnsi="Arial" w:cs="Arial"/>
          <w:color w:val="000000"/>
          <w:kern w:val="0"/>
          <w:sz w:val="24"/>
          <w:szCs w:val="24"/>
          <w:shd w:val="clear" w:color="auto" w:fill="FFFFFF"/>
          <w:lang w:eastAsia="en-US"/>
        </w:rPr>
        <w:t xml:space="preserve">On </w:t>
      </w:r>
      <w:r w:rsidR="00C32FCB">
        <w:rPr>
          <w:rFonts w:ascii="Arial" w:eastAsia="Times New Roman" w:hAnsi="Arial" w:cs="Arial"/>
          <w:color w:val="000000"/>
          <w:kern w:val="0"/>
          <w:sz w:val="24"/>
          <w:szCs w:val="24"/>
          <w:shd w:val="clear" w:color="auto" w:fill="FFFFFF"/>
          <w:lang w:eastAsia="en-US"/>
        </w:rPr>
        <w:br/>
      </w:r>
      <w:r w:rsidR="00A809E6" w:rsidRPr="00A809E6">
        <w:rPr>
          <w:rFonts w:ascii="Arial" w:eastAsia="Times New Roman" w:hAnsi="Arial" w:cs="Arial"/>
          <w:color w:val="000000"/>
          <w:kern w:val="0"/>
          <w:sz w:val="24"/>
          <w:szCs w:val="24"/>
          <w:shd w:val="clear" w:color="auto" w:fill="FFFFFF"/>
          <w:lang w:eastAsia="en-US"/>
        </w:rPr>
        <w:t>November 6, 2019, the</w:t>
      </w:r>
      <w:r w:rsidR="00C32FCB">
        <w:rPr>
          <w:rFonts w:ascii="Arial" w:eastAsia="Times New Roman" w:hAnsi="Arial" w:cs="Arial"/>
          <w:color w:val="000000"/>
          <w:kern w:val="0"/>
          <w:sz w:val="24"/>
          <w:szCs w:val="24"/>
          <w:shd w:val="clear" w:color="auto" w:fill="FFFFFF"/>
          <w:lang w:eastAsia="en-US"/>
        </w:rPr>
        <w:t xml:space="preserve"> State Board of Education</w:t>
      </w:r>
      <w:r w:rsidR="00A809E6" w:rsidRPr="00A809E6">
        <w:rPr>
          <w:rFonts w:ascii="Arial" w:eastAsia="Times New Roman" w:hAnsi="Arial" w:cs="Arial"/>
          <w:color w:val="000000"/>
          <w:kern w:val="0"/>
          <w:sz w:val="24"/>
          <w:szCs w:val="24"/>
          <w:shd w:val="clear" w:color="auto" w:fill="FFFFFF"/>
          <w:lang w:eastAsia="en-US"/>
        </w:rPr>
        <w:t xml:space="preserve"> approved updated definitions for “ineffective” and “out-of-field” teachers to be included in the amended California ESSA Consolidated State Plan.</w:t>
      </w:r>
    </w:p>
    <w:tbl>
      <w:tblPr>
        <w:tblStyle w:val="MediumList2-Accent1"/>
        <w:tblW w:w="5000" w:type="pct"/>
        <w:tblBorders>
          <w:top w:val="single" w:sz="4" w:space="0" w:color="auto"/>
          <w:left w:val="single" w:sz="4" w:space="0" w:color="auto"/>
          <w:bottom w:val="single" w:sz="4" w:space="0" w:color="auto"/>
          <w:right w:val="single" w:sz="4" w:space="0" w:color="auto"/>
          <w:insideH w:val="single" w:sz="24" w:space="0" w:color="99CB38" w:themeColor="accent1"/>
          <w:insideV w:val="single" w:sz="4" w:space="0" w:color="99CB38" w:themeColor="accent1"/>
        </w:tblBorders>
        <w:tblLayout w:type="fixed"/>
        <w:tblLook w:val="04A0" w:firstRow="1" w:lastRow="0" w:firstColumn="1" w:lastColumn="0" w:noHBand="0" w:noVBand="1"/>
        <w:tblDescription w:val="California Definitions for Purposes of Collecting Equity Data under ESSA. This is a table with key terms and definitions."/>
      </w:tblPr>
      <w:tblGrid>
        <w:gridCol w:w="3056"/>
        <w:gridCol w:w="7734"/>
      </w:tblGrid>
      <w:tr w:rsidR="00464881" w:rsidRPr="00464881" w14:paraId="10FC6333" w14:textId="77777777" w:rsidTr="00B1374F">
        <w:trPr>
          <w:cnfStyle w:val="100000000000" w:firstRow="1" w:lastRow="0" w:firstColumn="0" w:lastColumn="0" w:oddVBand="0" w:evenVBand="0" w:oddHBand="0" w:evenHBand="0" w:firstRowFirstColumn="0" w:firstRowLastColumn="0" w:lastRowFirstColumn="0" w:lastRowLastColumn="0"/>
          <w:cantSplit/>
          <w:trHeight w:val="534"/>
          <w:tblHeader/>
        </w:trPr>
        <w:tc>
          <w:tcPr>
            <w:cnfStyle w:val="001000000100" w:firstRow="0" w:lastRow="0" w:firstColumn="1" w:lastColumn="0" w:oddVBand="0" w:evenVBand="0" w:oddHBand="0" w:evenHBand="0" w:firstRowFirstColumn="1" w:firstRowLastColumn="0" w:lastRowFirstColumn="0" w:lastRowLastColumn="0"/>
            <w:tcW w:w="1416" w:type="pct"/>
            <w:tcBorders>
              <w:top w:val="none" w:sz="0" w:space="0" w:color="auto"/>
              <w:left w:val="none" w:sz="0" w:space="0" w:color="auto"/>
              <w:bottom w:val="none" w:sz="0" w:space="0" w:color="auto"/>
              <w:right w:val="none" w:sz="0" w:space="0" w:color="auto"/>
            </w:tcBorders>
            <w:noWrap/>
          </w:tcPr>
          <w:p w14:paraId="41D6DEEB" w14:textId="77777777" w:rsidR="00464881" w:rsidRPr="00464881" w:rsidRDefault="00464881" w:rsidP="00464881">
            <w:pPr>
              <w:keepNext/>
              <w:keepLines/>
              <w:spacing w:after="0"/>
              <w:outlineLvl w:val="1"/>
              <w:rPr>
                <w:rFonts w:ascii="Arial" w:eastAsiaTheme="majorEastAsia" w:hAnsi="Arial" w:cs="Arial"/>
                <w:b/>
                <w:noProof/>
                <w:color w:val="auto"/>
                <w:sz w:val="24"/>
                <w:szCs w:val="24"/>
              </w:rPr>
            </w:pPr>
            <w:r w:rsidRPr="00464881">
              <w:rPr>
                <w:rFonts w:ascii="Arial" w:eastAsiaTheme="majorEastAsia" w:hAnsi="Arial" w:cs="Arial"/>
                <w:b/>
                <w:noProof/>
                <w:color w:val="auto"/>
                <w:sz w:val="24"/>
                <w:szCs w:val="24"/>
              </w:rPr>
              <w:t>Term</w:t>
            </w:r>
          </w:p>
        </w:tc>
        <w:tc>
          <w:tcPr>
            <w:tcW w:w="3584" w:type="pct"/>
            <w:tcBorders>
              <w:top w:val="none" w:sz="0" w:space="0" w:color="auto"/>
              <w:left w:val="none" w:sz="0" w:space="0" w:color="auto"/>
              <w:bottom w:val="none" w:sz="0" w:space="0" w:color="auto"/>
              <w:right w:val="none" w:sz="0" w:space="0" w:color="auto"/>
            </w:tcBorders>
          </w:tcPr>
          <w:p w14:paraId="6B32A54D" w14:textId="77777777" w:rsidR="00464881" w:rsidRPr="00464881" w:rsidRDefault="00464881" w:rsidP="00464881">
            <w:pPr>
              <w:keepNext/>
              <w:keepLines/>
              <w:spacing w:after="0"/>
              <w:outlineLvl w:val="1"/>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noProof/>
                <w:color w:val="auto"/>
                <w:sz w:val="24"/>
                <w:szCs w:val="24"/>
              </w:rPr>
            </w:pPr>
            <w:r w:rsidRPr="00464881">
              <w:rPr>
                <w:rFonts w:ascii="Arial" w:eastAsiaTheme="majorEastAsia" w:hAnsi="Arial" w:cs="Arial"/>
                <w:b/>
                <w:noProof/>
                <w:color w:val="auto"/>
                <w:sz w:val="24"/>
                <w:szCs w:val="24"/>
              </w:rPr>
              <w:t>Definition</w:t>
            </w:r>
          </w:p>
        </w:tc>
      </w:tr>
      <w:tr w:rsidR="00464881" w:rsidRPr="00464881" w14:paraId="5C4FF47C" w14:textId="77777777" w:rsidTr="00C32FCB">
        <w:trPr>
          <w:cnfStyle w:val="100000000000" w:firstRow="1" w:lastRow="0" w:firstColumn="0" w:lastColumn="0" w:oddVBand="0" w:evenVBand="0" w:oddHBand="0" w:evenHBand="0" w:firstRowFirstColumn="0" w:firstRowLastColumn="0" w:lastRowFirstColumn="0" w:lastRowLastColumn="0"/>
          <w:cantSplit/>
          <w:trHeight w:val="7437"/>
          <w:tblHeader/>
        </w:trPr>
        <w:tc>
          <w:tcPr>
            <w:cnfStyle w:val="001000000100" w:firstRow="0" w:lastRow="0" w:firstColumn="1" w:lastColumn="0" w:oddVBand="0" w:evenVBand="0" w:oddHBand="0" w:evenHBand="0" w:firstRowFirstColumn="1" w:firstRowLastColumn="0" w:lastRowFirstColumn="0" w:lastRowLastColumn="0"/>
            <w:tcW w:w="1416" w:type="pct"/>
            <w:tcBorders>
              <w:top w:val="none" w:sz="0" w:space="0" w:color="auto"/>
              <w:left w:val="none" w:sz="0" w:space="0" w:color="auto"/>
              <w:bottom w:val="none" w:sz="0" w:space="0" w:color="auto"/>
              <w:right w:val="none" w:sz="0" w:space="0" w:color="auto"/>
            </w:tcBorders>
            <w:shd w:val="clear" w:color="auto" w:fill="EAF4D7" w:themeFill="accent1" w:themeFillTint="33"/>
            <w:noWrap/>
          </w:tcPr>
          <w:p w14:paraId="3D76687B" w14:textId="77777777" w:rsidR="00464881" w:rsidRPr="00464881" w:rsidRDefault="00464881" w:rsidP="00A809E6">
            <w:pPr>
              <w:spacing w:before="600"/>
              <w:rPr>
                <w:rFonts w:ascii="Arial" w:hAnsi="Arial" w:cs="Arial"/>
                <w:color w:val="auto"/>
                <w:sz w:val="24"/>
                <w:szCs w:val="24"/>
              </w:rPr>
            </w:pPr>
            <w:r w:rsidRPr="00464881">
              <w:rPr>
                <w:rFonts w:ascii="Arial" w:hAnsi="Arial" w:cs="Arial"/>
                <w:color w:val="auto"/>
                <w:sz w:val="24"/>
                <w:szCs w:val="24"/>
              </w:rPr>
              <w:t xml:space="preserve">Ineffective teacher </w:t>
            </w:r>
          </w:p>
        </w:tc>
        <w:tc>
          <w:tcPr>
            <w:tcW w:w="3584" w:type="pct"/>
            <w:tcBorders>
              <w:top w:val="none" w:sz="0" w:space="0" w:color="auto"/>
              <w:left w:val="none" w:sz="0" w:space="0" w:color="auto"/>
              <w:bottom w:val="none" w:sz="0" w:space="0" w:color="auto"/>
              <w:right w:val="none" w:sz="0" w:space="0" w:color="auto"/>
            </w:tcBorders>
          </w:tcPr>
          <w:p w14:paraId="283C2988" w14:textId="77777777" w:rsidR="00A809E6" w:rsidRPr="00A809E6" w:rsidRDefault="00A809E6" w:rsidP="00A809E6">
            <w:pPr>
              <w:pStyle w:val="NormalWeb"/>
              <w:spacing w:before="600" w:beforeAutospacing="0" w:after="240" w:afterAutospacing="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A809E6">
              <w:rPr>
                <w:rFonts w:ascii="Arial" w:hAnsi="Arial" w:cs="Arial"/>
                <w:color w:val="000000"/>
              </w:rPr>
              <w:t>An ineffective teacher is any of the following:</w:t>
            </w:r>
          </w:p>
          <w:p w14:paraId="27121E99" w14:textId="77777777" w:rsidR="00A809E6" w:rsidRPr="00A809E6" w:rsidRDefault="00A809E6" w:rsidP="00B1374F">
            <w:pPr>
              <w:numPr>
                <w:ilvl w:val="0"/>
                <w:numId w:val="27"/>
              </w:numPr>
              <w:spacing w:before="0" w:after="24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A809E6">
              <w:rPr>
                <w:rFonts w:ascii="Arial" w:hAnsi="Arial" w:cs="Arial"/>
                <w:color w:val="000000"/>
                <w:sz w:val="24"/>
                <w:szCs w:val="24"/>
              </w:rPr>
              <w:t>An individual whose assignment is legally authorized by an emergency permit that does not require possession of a full teaching license; or</w:t>
            </w:r>
            <w:r w:rsidRPr="00A809E6">
              <w:rPr>
                <w:rStyle w:val="apple-converted-space"/>
                <w:rFonts w:ascii="Arial" w:hAnsi="Arial" w:cs="Arial"/>
                <w:color w:val="000000"/>
                <w:sz w:val="24"/>
                <w:szCs w:val="24"/>
              </w:rPr>
              <w:t> </w:t>
            </w:r>
          </w:p>
          <w:p w14:paraId="7D2CA566" w14:textId="77777777" w:rsidR="00A809E6" w:rsidRPr="00A809E6" w:rsidRDefault="00A809E6" w:rsidP="00B1374F">
            <w:pPr>
              <w:numPr>
                <w:ilvl w:val="0"/>
                <w:numId w:val="27"/>
              </w:numPr>
              <w:spacing w:before="0" w:after="24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A809E6">
              <w:rPr>
                <w:rFonts w:ascii="Arial" w:hAnsi="Arial" w:cs="Arial"/>
                <w:color w:val="000000"/>
                <w:sz w:val="24"/>
                <w:szCs w:val="24"/>
              </w:rPr>
              <w:t>A teacher who holds a teaching credential but does not possess a permit or authorization that temporarily allows them to teach outside of their credentialed area (misassigned)</w:t>
            </w:r>
          </w:p>
          <w:p w14:paraId="34D247BF" w14:textId="77777777" w:rsidR="00A809E6" w:rsidRPr="00A809E6" w:rsidRDefault="00A809E6" w:rsidP="00B1374F">
            <w:pPr>
              <w:numPr>
                <w:ilvl w:val="0"/>
                <w:numId w:val="27"/>
              </w:numPr>
              <w:spacing w:before="0" w:after="24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A809E6">
              <w:rPr>
                <w:rFonts w:ascii="Arial" w:hAnsi="Arial" w:cs="Arial"/>
                <w:color w:val="000000"/>
                <w:sz w:val="24"/>
                <w:szCs w:val="24"/>
              </w:rPr>
              <w:t>An individual who holds no credential, permit, or authorization to teach in California.</w:t>
            </w:r>
          </w:p>
          <w:p w14:paraId="02173073" w14:textId="77777777" w:rsidR="00A809E6" w:rsidRPr="00A809E6" w:rsidRDefault="00A809E6" w:rsidP="00A809E6">
            <w:pPr>
              <w:pStyle w:val="NormalWeb"/>
              <w:spacing w:before="0" w:beforeAutospacing="0" w:after="240" w:afterAutospacing="0"/>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A809E6">
              <w:rPr>
                <w:rFonts w:ascii="Arial" w:hAnsi="Arial" w:cs="Arial"/>
                <w:color w:val="000000"/>
              </w:rPr>
              <w:t>Under this definition, teachers with the following limited emergency permits would be considered ineffective:</w:t>
            </w:r>
            <w:r w:rsidRPr="00A809E6">
              <w:rPr>
                <w:rStyle w:val="apple-converted-space"/>
                <w:rFonts w:ascii="Arial" w:hAnsi="Arial" w:cs="Arial"/>
                <w:color w:val="000000"/>
              </w:rPr>
              <w:t> </w:t>
            </w:r>
          </w:p>
          <w:p w14:paraId="4EAA58E2" w14:textId="77777777" w:rsidR="00A809E6" w:rsidRPr="00A809E6" w:rsidRDefault="00A809E6" w:rsidP="00B1374F">
            <w:pPr>
              <w:numPr>
                <w:ilvl w:val="0"/>
                <w:numId w:val="28"/>
              </w:numPr>
              <w:spacing w:before="0" w:after="24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4"/>
                <w:szCs w:val="24"/>
              </w:rPr>
            </w:pPr>
            <w:r w:rsidRPr="00A809E6">
              <w:rPr>
                <w:rStyle w:val="Strong"/>
                <w:rFonts w:ascii="Arial" w:hAnsi="Arial" w:cs="Arial"/>
                <w:b w:val="0"/>
                <w:bCs w:val="0"/>
                <w:color w:val="000000"/>
                <w:sz w:val="24"/>
                <w:szCs w:val="24"/>
              </w:rPr>
              <w:t>Provisional Internship Permits,</w:t>
            </w:r>
            <w:r w:rsidRPr="00A809E6">
              <w:rPr>
                <w:rStyle w:val="apple-converted-space"/>
                <w:rFonts w:ascii="Arial" w:hAnsi="Arial" w:cs="Arial"/>
                <w:b/>
                <w:bCs/>
                <w:color w:val="000000"/>
                <w:sz w:val="24"/>
                <w:szCs w:val="24"/>
              </w:rPr>
              <w:t> </w:t>
            </w:r>
          </w:p>
          <w:p w14:paraId="7820BD47" w14:textId="77777777" w:rsidR="00A809E6" w:rsidRPr="00A809E6" w:rsidRDefault="00A809E6" w:rsidP="00B1374F">
            <w:pPr>
              <w:numPr>
                <w:ilvl w:val="0"/>
                <w:numId w:val="28"/>
              </w:numPr>
              <w:spacing w:before="0" w:after="24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4"/>
                <w:szCs w:val="24"/>
              </w:rPr>
            </w:pPr>
            <w:r w:rsidRPr="00A809E6">
              <w:rPr>
                <w:rStyle w:val="Strong"/>
                <w:rFonts w:ascii="Arial" w:hAnsi="Arial" w:cs="Arial"/>
                <w:b w:val="0"/>
                <w:bCs w:val="0"/>
                <w:color w:val="000000"/>
                <w:sz w:val="24"/>
                <w:szCs w:val="24"/>
              </w:rPr>
              <w:t>Short-Term Staff Permits</w:t>
            </w:r>
            <w:r w:rsidRPr="00A809E6">
              <w:rPr>
                <w:rStyle w:val="apple-converted-space"/>
                <w:rFonts w:ascii="Arial" w:hAnsi="Arial" w:cs="Arial"/>
                <w:b/>
                <w:bCs/>
                <w:color w:val="000000"/>
                <w:sz w:val="24"/>
                <w:szCs w:val="24"/>
              </w:rPr>
              <w:t> </w:t>
            </w:r>
          </w:p>
          <w:p w14:paraId="1B0A4235" w14:textId="77777777" w:rsidR="00A809E6" w:rsidRPr="00A809E6" w:rsidRDefault="00A809E6" w:rsidP="00B1374F">
            <w:pPr>
              <w:numPr>
                <w:ilvl w:val="0"/>
                <w:numId w:val="28"/>
              </w:numPr>
              <w:spacing w:before="0" w:after="24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4"/>
                <w:szCs w:val="24"/>
              </w:rPr>
            </w:pPr>
            <w:r w:rsidRPr="00A809E6">
              <w:rPr>
                <w:rStyle w:val="Strong"/>
                <w:rFonts w:ascii="Arial" w:hAnsi="Arial" w:cs="Arial"/>
                <w:b w:val="0"/>
                <w:bCs w:val="0"/>
                <w:color w:val="000000"/>
                <w:sz w:val="24"/>
                <w:szCs w:val="24"/>
              </w:rPr>
              <w:t>Variable Term Waivers</w:t>
            </w:r>
            <w:r w:rsidRPr="00A809E6">
              <w:rPr>
                <w:rStyle w:val="apple-converted-space"/>
                <w:rFonts w:ascii="Arial" w:hAnsi="Arial" w:cs="Arial"/>
                <w:b/>
                <w:bCs/>
                <w:color w:val="000000"/>
                <w:sz w:val="24"/>
                <w:szCs w:val="24"/>
              </w:rPr>
              <w:t> </w:t>
            </w:r>
          </w:p>
          <w:p w14:paraId="0292FF12" w14:textId="6590594A" w:rsidR="00464881" w:rsidRPr="00A809E6" w:rsidRDefault="00A809E6" w:rsidP="00C32FCB">
            <w:pPr>
              <w:numPr>
                <w:ilvl w:val="0"/>
                <w:numId w:val="28"/>
              </w:numPr>
              <w:spacing w:before="0" w:after="120" w:line="240" w:lineRule="auto"/>
              <w:cnfStyle w:val="100000000000" w:firstRow="1" w:lastRow="0" w:firstColumn="0" w:lastColumn="0" w:oddVBand="0" w:evenVBand="0" w:oddHBand="0" w:evenHBand="0" w:firstRowFirstColumn="0" w:firstRowLastColumn="0" w:lastRowFirstColumn="0" w:lastRowLastColumn="0"/>
              <w:rPr>
                <w:rFonts w:ascii="Helvetica Neue" w:hAnsi="Helvetica Neue"/>
                <w:b/>
                <w:bCs/>
                <w:color w:val="000000"/>
              </w:rPr>
            </w:pPr>
            <w:r w:rsidRPr="00A809E6">
              <w:rPr>
                <w:rStyle w:val="Strong"/>
                <w:rFonts w:ascii="Arial" w:hAnsi="Arial" w:cs="Arial"/>
                <w:b w:val="0"/>
                <w:bCs w:val="0"/>
                <w:color w:val="000000"/>
                <w:sz w:val="24"/>
                <w:szCs w:val="24"/>
              </w:rPr>
              <w:t>Substitute permits or Teaching Permits for Statutory Leave (TSPL) holders serving as the teacher of record</w:t>
            </w:r>
          </w:p>
        </w:tc>
      </w:tr>
    </w:tbl>
    <w:p w14:paraId="0C9440B9" w14:textId="48DC42D9" w:rsidR="00A809E6" w:rsidRDefault="00A809E6" w:rsidP="00C32FCB">
      <w:pPr>
        <w:spacing w:before="480"/>
      </w:pPr>
      <w:r>
        <w:rPr>
          <w:rFonts w:ascii="Arial" w:eastAsiaTheme="majorEastAsia" w:hAnsi="Arial" w:cs="Arial"/>
          <w:noProof/>
          <w:color w:val="2D8CA7" w:themeColor="accent5" w:themeShade="BF"/>
          <w:sz w:val="28"/>
          <w:szCs w:val="28"/>
          <w:lang w:eastAsia="en-US"/>
        </w:rPr>
        <w:drawing>
          <wp:inline distT="0" distB="0" distL="0" distR="0" wp14:anchorId="44FD4A0F" wp14:editId="212A12ED">
            <wp:extent cx="6858000" cy="637540"/>
            <wp:effectExtent l="0" t="0" r="0" b="0"/>
            <wp:docPr id="3" name="Picture 3" descr="Color band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637540"/>
                    </a:xfrm>
                    <a:prstGeom prst="rect">
                      <a:avLst/>
                    </a:prstGeom>
                  </pic:spPr>
                </pic:pic>
              </a:graphicData>
            </a:graphic>
          </wp:inline>
        </w:drawing>
      </w:r>
      <w:r>
        <w:br w:type="page"/>
      </w:r>
    </w:p>
    <w:tbl>
      <w:tblPr>
        <w:tblStyle w:val="MediumList2-Accent1"/>
        <w:tblW w:w="5000" w:type="pct"/>
        <w:tblLook w:val="04A0" w:firstRow="1" w:lastRow="0" w:firstColumn="1" w:lastColumn="0" w:noHBand="0" w:noVBand="1"/>
        <w:tblDescription w:val="California Definitions for Purposes of Collecting Equity Data under ESSA. This is a table with key terms and definitions."/>
      </w:tblPr>
      <w:tblGrid>
        <w:gridCol w:w="3056"/>
        <w:gridCol w:w="7734"/>
      </w:tblGrid>
      <w:tr w:rsidR="00B1374F" w:rsidRPr="00464881" w14:paraId="3A235E48" w14:textId="77777777" w:rsidTr="00B1374F">
        <w:trPr>
          <w:cnfStyle w:val="100000000000" w:firstRow="1" w:lastRow="0" w:firstColumn="0" w:lastColumn="0" w:oddVBand="0" w:evenVBand="0" w:oddHBand="0" w:evenHBand="0" w:firstRowFirstColumn="0" w:firstRowLastColumn="0" w:lastRowFirstColumn="0" w:lastRowLastColumn="0"/>
          <w:cantSplit/>
          <w:trHeight w:val="335"/>
          <w:tblHeader/>
        </w:trPr>
        <w:tc>
          <w:tcPr>
            <w:cnfStyle w:val="001000000100" w:firstRow="0" w:lastRow="0" w:firstColumn="1" w:lastColumn="0" w:oddVBand="0" w:evenVBand="0" w:oddHBand="0" w:evenHBand="0" w:firstRowFirstColumn="1" w:firstRowLastColumn="0" w:lastRowFirstColumn="0" w:lastRowLastColumn="0"/>
            <w:tcW w:w="1416" w:type="pct"/>
            <w:tcBorders>
              <w:top w:val="single" w:sz="4" w:space="0" w:color="auto"/>
              <w:left w:val="single" w:sz="4" w:space="0" w:color="auto"/>
              <w:right w:val="single" w:sz="4" w:space="0" w:color="99CB38" w:themeColor="accent1"/>
            </w:tcBorders>
            <w:noWrap/>
          </w:tcPr>
          <w:p w14:paraId="282432AC" w14:textId="77777777" w:rsidR="00B1374F" w:rsidRPr="00464881" w:rsidRDefault="00B1374F" w:rsidP="0040116F">
            <w:pPr>
              <w:autoSpaceDE w:val="0"/>
              <w:autoSpaceDN w:val="0"/>
              <w:adjustRightInd w:val="0"/>
              <w:spacing w:before="240" w:after="0" w:line="240" w:lineRule="auto"/>
              <w:rPr>
                <w:rFonts w:ascii="Arial" w:hAnsi="Arial" w:cs="Arial"/>
                <w:color w:val="000000"/>
                <w:kern w:val="0"/>
                <w:sz w:val="24"/>
                <w:szCs w:val="24"/>
                <w:lang w:eastAsia="en-US"/>
              </w:rPr>
            </w:pPr>
            <w:r w:rsidRPr="00464881">
              <w:rPr>
                <w:rFonts w:ascii="Arial" w:eastAsiaTheme="majorEastAsia" w:hAnsi="Arial" w:cs="Arial"/>
                <w:b/>
                <w:noProof/>
                <w:color w:val="auto"/>
                <w:sz w:val="24"/>
                <w:szCs w:val="24"/>
              </w:rPr>
              <w:lastRenderedPageBreak/>
              <w:t>Term</w:t>
            </w:r>
          </w:p>
        </w:tc>
        <w:tc>
          <w:tcPr>
            <w:tcW w:w="3584" w:type="pct"/>
            <w:tcBorders>
              <w:top w:val="single" w:sz="4" w:space="0" w:color="auto"/>
              <w:left w:val="single" w:sz="4" w:space="0" w:color="99CB38" w:themeColor="accent1"/>
              <w:right w:val="single" w:sz="4" w:space="0" w:color="auto"/>
            </w:tcBorders>
          </w:tcPr>
          <w:p w14:paraId="0FB8A876" w14:textId="77777777" w:rsidR="00B1374F" w:rsidRPr="00A809E6" w:rsidRDefault="00B1374F" w:rsidP="0040116F">
            <w:pPr>
              <w:spacing w:before="240" w:after="24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shd w:val="clear" w:color="auto" w:fill="FFFFFF"/>
              </w:rPr>
            </w:pPr>
            <w:r w:rsidRPr="00464881">
              <w:rPr>
                <w:rFonts w:ascii="Arial" w:eastAsiaTheme="majorEastAsia" w:hAnsi="Arial" w:cs="Arial"/>
                <w:b/>
                <w:noProof/>
                <w:color w:val="auto"/>
                <w:sz w:val="24"/>
                <w:szCs w:val="24"/>
              </w:rPr>
              <w:t>Definition</w:t>
            </w:r>
          </w:p>
        </w:tc>
      </w:tr>
      <w:tr w:rsidR="00B1374F" w:rsidRPr="00464881" w14:paraId="7719E91A" w14:textId="77777777" w:rsidTr="00B1374F">
        <w:trPr>
          <w:cnfStyle w:val="000000100000" w:firstRow="0" w:lastRow="0" w:firstColumn="0" w:lastColumn="0" w:oddVBand="0" w:evenVBand="0" w:oddHBand="1" w:evenHBand="0" w:firstRowFirstColumn="0" w:firstRowLastColumn="0" w:lastRowFirstColumn="0" w:lastRowLastColumn="0"/>
          <w:cantSplit/>
          <w:trHeight w:val="335"/>
        </w:trPr>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auto"/>
              <w:left w:val="single" w:sz="4" w:space="0" w:color="auto"/>
              <w:right w:val="single" w:sz="4" w:space="0" w:color="99CB38" w:themeColor="accent1"/>
            </w:tcBorders>
            <w:noWrap/>
          </w:tcPr>
          <w:p w14:paraId="79E4B875" w14:textId="77777777" w:rsidR="00B1374F" w:rsidRPr="00464881" w:rsidRDefault="00B1374F" w:rsidP="0040116F">
            <w:pPr>
              <w:autoSpaceDE w:val="0"/>
              <w:autoSpaceDN w:val="0"/>
              <w:adjustRightInd w:val="0"/>
              <w:spacing w:before="24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Out-of-field teacher </w:t>
            </w:r>
          </w:p>
        </w:tc>
        <w:tc>
          <w:tcPr>
            <w:tcW w:w="3584" w:type="pct"/>
            <w:tcBorders>
              <w:top w:val="single" w:sz="4" w:space="0" w:color="auto"/>
              <w:left w:val="single" w:sz="4" w:space="0" w:color="99CB38" w:themeColor="accent1"/>
              <w:right w:val="single" w:sz="4" w:space="0" w:color="auto"/>
            </w:tcBorders>
          </w:tcPr>
          <w:p w14:paraId="56856B92" w14:textId="77777777" w:rsidR="00B1374F" w:rsidRPr="00B1374F" w:rsidRDefault="00B1374F" w:rsidP="0040116F">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rPr>
            </w:pPr>
            <w:r w:rsidRPr="00B1374F">
              <w:rPr>
                <w:rFonts w:ascii="Arial" w:eastAsiaTheme="minorEastAsia" w:hAnsi="Arial" w:cs="Arial"/>
                <w:color w:val="000000"/>
                <w:kern w:val="0"/>
                <w:sz w:val="24"/>
                <w:szCs w:val="24"/>
              </w:rPr>
              <w:t>A credentialed out-of-field teacher is:</w:t>
            </w:r>
          </w:p>
          <w:p w14:paraId="577C9EAC" w14:textId="77777777" w:rsidR="00B1374F" w:rsidRPr="00A809E6" w:rsidRDefault="00B1374F" w:rsidP="0040116F">
            <w:pPr>
              <w:pStyle w:val="NormalWeb"/>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809E6">
              <w:rPr>
                <w:rFonts w:ascii="Arial" w:hAnsi="Arial" w:cs="Arial"/>
                <w:color w:val="000000"/>
              </w:rPr>
              <w:t>A credentialed teacher who has not yet demonstrated subject matter competence in the subject area(s) or for the student population to which he or she is assigned. Under this definition, the following limited permits will be considered out of field:</w:t>
            </w:r>
          </w:p>
          <w:p w14:paraId="62E01622" w14:textId="77777777" w:rsidR="00B1374F" w:rsidRPr="00A809E6" w:rsidRDefault="00B1374F" w:rsidP="00B1374F">
            <w:pPr>
              <w:numPr>
                <w:ilvl w:val="0"/>
                <w:numId w:val="29"/>
              </w:numPr>
              <w:spacing w:before="0" w:after="24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A809E6">
              <w:rPr>
                <w:rFonts w:ascii="Arial" w:hAnsi="Arial" w:cs="Arial"/>
                <w:color w:val="000000"/>
                <w:sz w:val="24"/>
                <w:szCs w:val="24"/>
              </w:rPr>
              <w:t>General Education Limited Assignment Permit (GELAP)</w:t>
            </w:r>
            <w:r w:rsidRPr="00A809E6">
              <w:rPr>
                <w:rStyle w:val="apple-converted-space"/>
                <w:rFonts w:ascii="Arial" w:hAnsi="Arial" w:cs="Arial"/>
                <w:color w:val="000000"/>
                <w:sz w:val="24"/>
                <w:szCs w:val="24"/>
              </w:rPr>
              <w:t> </w:t>
            </w:r>
          </w:p>
          <w:p w14:paraId="49BDF489" w14:textId="77777777" w:rsidR="00B1374F" w:rsidRPr="00A809E6" w:rsidRDefault="00B1374F" w:rsidP="00B1374F">
            <w:pPr>
              <w:numPr>
                <w:ilvl w:val="0"/>
                <w:numId w:val="29"/>
              </w:numPr>
              <w:spacing w:before="0" w:after="24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A809E6">
              <w:rPr>
                <w:rFonts w:ascii="Arial" w:hAnsi="Arial" w:cs="Arial"/>
                <w:color w:val="000000"/>
                <w:sz w:val="24"/>
                <w:szCs w:val="24"/>
              </w:rPr>
              <w:t>Special Education Limited Assignment Permit (SELAP)</w:t>
            </w:r>
          </w:p>
          <w:p w14:paraId="175B11F9" w14:textId="77777777" w:rsidR="00B1374F" w:rsidRPr="00A809E6" w:rsidRDefault="00B1374F" w:rsidP="00B1374F">
            <w:pPr>
              <w:numPr>
                <w:ilvl w:val="0"/>
                <w:numId w:val="29"/>
              </w:numPr>
              <w:spacing w:before="0" w:after="24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A809E6">
              <w:rPr>
                <w:rStyle w:val="Strong"/>
                <w:rFonts w:ascii="Arial" w:hAnsi="Arial" w:cs="Arial"/>
                <w:b w:val="0"/>
                <w:bCs w:val="0"/>
                <w:color w:val="000000"/>
                <w:sz w:val="24"/>
                <w:szCs w:val="24"/>
              </w:rPr>
              <w:t>Short-Term Waivers</w:t>
            </w:r>
          </w:p>
          <w:p w14:paraId="1BCD4E02" w14:textId="77777777" w:rsidR="00B1374F" w:rsidRPr="00A809E6" w:rsidRDefault="00B1374F" w:rsidP="00B1374F">
            <w:pPr>
              <w:numPr>
                <w:ilvl w:val="0"/>
                <w:numId w:val="29"/>
              </w:numPr>
              <w:spacing w:before="0" w:after="24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A809E6">
              <w:rPr>
                <w:rStyle w:val="Strong"/>
                <w:rFonts w:ascii="Arial" w:hAnsi="Arial" w:cs="Arial"/>
                <w:b w:val="0"/>
                <w:bCs w:val="0"/>
                <w:color w:val="000000"/>
                <w:sz w:val="24"/>
                <w:szCs w:val="24"/>
              </w:rPr>
              <w:t>Emergency English Learner or Bilingual Authorization Permits</w:t>
            </w:r>
          </w:p>
          <w:p w14:paraId="2E366052" w14:textId="77777777" w:rsidR="00B1374F" w:rsidRPr="00A809E6" w:rsidRDefault="00B1374F" w:rsidP="0040116F">
            <w:pPr>
              <w:numPr>
                <w:ilvl w:val="0"/>
                <w:numId w:val="29"/>
              </w:numPr>
              <w:spacing w:before="0" w:after="360" w:line="240" w:lineRule="auto"/>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rPr>
            </w:pPr>
            <w:r w:rsidRPr="00A809E6">
              <w:rPr>
                <w:rStyle w:val="Strong"/>
                <w:rFonts w:ascii="Arial" w:hAnsi="Arial" w:cs="Arial"/>
                <w:b w:val="0"/>
                <w:bCs w:val="0"/>
                <w:color w:val="000000"/>
                <w:sz w:val="24"/>
                <w:szCs w:val="24"/>
              </w:rPr>
              <w:t>Local Assignment Options</w:t>
            </w:r>
          </w:p>
        </w:tc>
      </w:tr>
      <w:tr w:rsidR="00B1374F" w:rsidRPr="00464881" w14:paraId="76B12DF6" w14:textId="77777777" w:rsidTr="00B1374F">
        <w:trPr>
          <w:cantSplit/>
          <w:trHeight w:val="347"/>
        </w:trPr>
        <w:tc>
          <w:tcPr>
            <w:cnfStyle w:val="001000000000" w:firstRow="0" w:lastRow="0" w:firstColumn="1" w:lastColumn="0" w:oddVBand="0" w:evenVBand="0" w:oddHBand="0" w:evenHBand="0" w:firstRowFirstColumn="0" w:firstRowLastColumn="0" w:lastRowFirstColumn="0" w:lastRowLastColumn="0"/>
            <w:tcW w:w="1416" w:type="pct"/>
            <w:tcBorders>
              <w:left w:val="single" w:sz="4" w:space="0" w:color="auto"/>
              <w:right w:val="single" w:sz="4" w:space="0" w:color="99CB38" w:themeColor="accent1"/>
            </w:tcBorders>
            <w:shd w:val="clear" w:color="auto" w:fill="EAF4D7" w:themeFill="accent1" w:themeFillTint="33"/>
            <w:noWrap/>
          </w:tcPr>
          <w:p w14:paraId="381076F1" w14:textId="77777777" w:rsidR="00B1374F" w:rsidRPr="00464881" w:rsidRDefault="00B1374F" w:rsidP="0040116F">
            <w:pPr>
              <w:autoSpaceDE w:val="0"/>
              <w:autoSpaceDN w:val="0"/>
              <w:adjustRightInd w:val="0"/>
              <w:spacing w:before="24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Inexperienced teacher </w:t>
            </w:r>
          </w:p>
        </w:tc>
        <w:tc>
          <w:tcPr>
            <w:tcW w:w="3584" w:type="pct"/>
            <w:tcBorders>
              <w:left w:val="single" w:sz="4" w:space="0" w:color="99CB38" w:themeColor="accent1"/>
              <w:right w:val="single" w:sz="4" w:space="0" w:color="auto"/>
            </w:tcBorders>
          </w:tcPr>
          <w:p w14:paraId="6AAFD5FD" w14:textId="77777777" w:rsidR="00B1374F" w:rsidRPr="00464881" w:rsidRDefault="00B1374F" w:rsidP="0040116F">
            <w:pPr>
              <w:autoSpaceDE w:val="0"/>
              <w:autoSpaceDN w:val="0"/>
              <w:adjustRightInd w:val="0"/>
              <w:spacing w:before="240" w:after="3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A teacher who has two or fewer years of teaching experience. </w:t>
            </w:r>
          </w:p>
        </w:tc>
      </w:tr>
      <w:tr w:rsidR="00B1374F" w:rsidRPr="00464881" w14:paraId="6C465C29" w14:textId="77777777" w:rsidTr="00B1374F">
        <w:trPr>
          <w:cnfStyle w:val="000000100000" w:firstRow="0" w:lastRow="0" w:firstColumn="0" w:lastColumn="0" w:oddVBand="0" w:evenVBand="0" w:oddHBand="1" w:evenHBand="0" w:firstRowFirstColumn="0" w:firstRowLastColumn="0" w:lastRowFirstColumn="0" w:lastRowLastColumn="0"/>
          <w:cantSplit/>
          <w:trHeight w:val="335"/>
        </w:trPr>
        <w:tc>
          <w:tcPr>
            <w:cnfStyle w:val="001000000000" w:firstRow="0" w:lastRow="0" w:firstColumn="1" w:lastColumn="0" w:oddVBand="0" w:evenVBand="0" w:oddHBand="0" w:evenHBand="0" w:firstRowFirstColumn="0" w:firstRowLastColumn="0" w:lastRowFirstColumn="0" w:lastRowLastColumn="0"/>
            <w:tcW w:w="1416" w:type="pct"/>
            <w:tcBorders>
              <w:left w:val="single" w:sz="4" w:space="0" w:color="auto"/>
              <w:right w:val="single" w:sz="4" w:space="0" w:color="99CB38" w:themeColor="accent1"/>
            </w:tcBorders>
            <w:noWrap/>
          </w:tcPr>
          <w:p w14:paraId="063D3B85" w14:textId="77777777" w:rsidR="00B1374F" w:rsidRPr="00464881" w:rsidRDefault="00B1374F" w:rsidP="0040116F">
            <w:pPr>
              <w:autoSpaceDE w:val="0"/>
              <w:autoSpaceDN w:val="0"/>
              <w:adjustRightInd w:val="0"/>
              <w:spacing w:before="24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Minority student </w:t>
            </w:r>
          </w:p>
        </w:tc>
        <w:tc>
          <w:tcPr>
            <w:tcW w:w="3584" w:type="pct"/>
            <w:tcBorders>
              <w:left w:val="single" w:sz="4" w:space="0" w:color="99CB38" w:themeColor="accent1"/>
              <w:right w:val="single" w:sz="4" w:space="0" w:color="auto"/>
            </w:tcBorders>
          </w:tcPr>
          <w:p w14:paraId="7621083F" w14:textId="77777777" w:rsidR="00B1374F" w:rsidRPr="00464881" w:rsidRDefault="00B1374F" w:rsidP="0040116F">
            <w:pPr>
              <w:autoSpaceDE w:val="0"/>
              <w:autoSpaceDN w:val="0"/>
              <w:adjustRightInd w:val="0"/>
              <w:spacing w:before="240" w:after="3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A student who is American Indian/Alaska Native, Asian, African American, Filipino, Native Hawaiian/ Pacific Islander, Hispanic, or Two or More Races Not Hispanic. </w:t>
            </w:r>
          </w:p>
        </w:tc>
      </w:tr>
      <w:tr w:rsidR="00B1374F" w:rsidRPr="00464881" w14:paraId="7257A93B" w14:textId="77777777" w:rsidTr="00B1374F">
        <w:trPr>
          <w:cantSplit/>
          <w:trHeight w:val="335"/>
        </w:trPr>
        <w:tc>
          <w:tcPr>
            <w:cnfStyle w:val="001000000000" w:firstRow="0" w:lastRow="0" w:firstColumn="1" w:lastColumn="0" w:oddVBand="0" w:evenVBand="0" w:oddHBand="0" w:evenHBand="0" w:firstRowFirstColumn="0" w:firstRowLastColumn="0" w:lastRowFirstColumn="0" w:lastRowLastColumn="0"/>
            <w:tcW w:w="1416" w:type="pct"/>
            <w:tcBorders>
              <w:left w:val="single" w:sz="4" w:space="0" w:color="auto"/>
              <w:bottom w:val="single" w:sz="4" w:space="0" w:color="auto"/>
              <w:right w:val="single" w:sz="4" w:space="0" w:color="99CB38" w:themeColor="accent1"/>
            </w:tcBorders>
            <w:shd w:val="clear" w:color="auto" w:fill="EAF4D7" w:themeFill="accent1" w:themeFillTint="33"/>
            <w:noWrap/>
          </w:tcPr>
          <w:p w14:paraId="624A73B9" w14:textId="77777777" w:rsidR="00B1374F" w:rsidRPr="00464881" w:rsidRDefault="00B1374F" w:rsidP="0040116F">
            <w:pPr>
              <w:autoSpaceDE w:val="0"/>
              <w:autoSpaceDN w:val="0"/>
              <w:adjustRightInd w:val="0"/>
              <w:spacing w:before="24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Low-income student </w:t>
            </w:r>
          </w:p>
        </w:tc>
        <w:tc>
          <w:tcPr>
            <w:tcW w:w="3584" w:type="pct"/>
            <w:tcBorders>
              <w:left w:val="single" w:sz="4" w:space="0" w:color="99CB38" w:themeColor="accent1"/>
              <w:bottom w:val="single" w:sz="4" w:space="0" w:color="auto"/>
              <w:right w:val="single" w:sz="4" w:space="0" w:color="auto"/>
            </w:tcBorders>
          </w:tcPr>
          <w:p w14:paraId="5D467086" w14:textId="77777777" w:rsidR="00B1374F" w:rsidRPr="00464881" w:rsidRDefault="00B1374F" w:rsidP="0040116F">
            <w:pPr>
              <w:autoSpaceDE w:val="0"/>
              <w:autoSpaceDN w:val="0"/>
              <w:adjustRightInd w:val="0"/>
              <w:spacing w:before="240" w:after="3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A student who is eligible to receive Free or Reduced-Price Meals. </w:t>
            </w:r>
          </w:p>
        </w:tc>
      </w:tr>
    </w:tbl>
    <w:p w14:paraId="598681DB" w14:textId="3CE91DC3" w:rsidR="0008706E" w:rsidRPr="00602499" w:rsidRDefault="00602499" w:rsidP="00B1374F">
      <w:pPr>
        <w:spacing w:before="4440" w:after="120"/>
        <w:rPr>
          <w:rFonts w:ascii="Arial" w:eastAsiaTheme="majorEastAsia" w:hAnsi="Arial" w:cs="Arial"/>
          <w:noProof/>
          <w:color w:val="auto"/>
          <w:sz w:val="24"/>
          <w:szCs w:val="28"/>
        </w:rPr>
      </w:pPr>
      <w:r w:rsidRPr="00602499">
        <w:rPr>
          <w:rFonts w:ascii="Arial" w:eastAsiaTheme="majorEastAsia" w:hAnsi="Arial" w:cs="Arial"/>
          <w:noProof/>
          <w:color w:val="auto"/>
          <w:sz w:val="24"/>
          <w:szCs w:val="28"/>
        </w:rPr>
        <w:t>Posted on 0</w:t>
      </w:r>
      <w:r w:rsidR="00A809E6">
        <w:rPr>
          <w:rFonts w:ascii="Arial" w:eastAsiaTheme="majorEastAsia" w:hAnsi="Arial" w:cs="Arial"/>
          <w:noProof/>
          <w:color w:val="auto"/>
          <w:sz w:val="24"/>
          <w:szCs w:val="28"/>
        </w:rPr>
        <w:t>9</w:t>
      </w:r>
      <w:r w:rsidRPr="00602499">
        <w:rPr>
          <w:rFonts w:ascii="Arial" w:eastAsiaTheme="majorEastAsia" w:hAnsi="Arial" w:cs="Arial"/>
          <w:noProof/>
          <w:color w:val="auto"/>
          <w:sz w:val="24"/>
          <w:szCs w:val="28"/>
        </w:rPr>
        <w:t>/1</w:t>
      </w:r>
      <w:r w:rsidR="00A809E6">
        <w:rPr>
          <w:rFonts w:ascii="Arial" w:eastAsiaTheme="majorEastAsia" w:hAnsi="Arial" w:cs="Arial"/>
          <w:noProof/>
          <w:color w:val="auto"/>
          <w:sz w:val="24"/>
          <w:szCs w:val="28"/>
        </w:rPr>
        <w:t>0</w:t>
      </w:r>
      <w:r w:rsidRPr="00602499">
        <w:rPr>
          <w:rFonts w:ascii="Arial" w:eastAsiaTheme="majorEastAsia" w:hAnsi="Arial" w:cs="Arial"/>
          <w:noProof/>
          <w:color w:val="auto"/>
          <w:sz w:val="24"/>
          <w:szCs w:val="28"/>
        </w:rPr>
        <w:t>/20</w:t>
      </w:r>
      <w:r w:rsidR="00A809E6">
        <w:rPr>
          <w:rFonts w:ascii="Arial" w:eastAsiaTheme="majorEastAsia" w:hAnsi="Arial" w:cs="Arial"/>
          <w:noProof/>
          <w:color w:val="auto"/>
          <w:sz w:val="24"/>
          <w:szCs w:val="28"/>
        </w:rPr>
        <w:t>20</w:t>
      </w:r>
      <w:r w:rsidRPr="00602499">
        <w:rPr>
          <w:rFonts w:ascii="Arial" w:eastAsiaTheme="majorEastAsia" w:hAnsi="Arial" w:cs="Arial"/>
          <w:noProof/>
          <w:color w:val="auto"/>
          <w:sz w:val="24"/>
          <w:szCs w:val="28"/>
        </w:rPr>
        <w:t>.</w:t>
      </w:r>
    </w:p>
    <w:p w14:paraId="4F6BA00A" w14:textId="1351D650" w:rsidR="00B1374F" w:rsidRPr="00BB63D9" w:rsidRDefault="006D5FA1" w:rsidP="0008706E">
      <w:pPr>
        <w:spacing w:after="0"/>
        <w:rPr>
          <w:rFonts w:ascii="Arial" w:eastAsiaTheme="majorEastAsia" w:hAnsi="Arial" w:cs="Arial"/>
          <w:noProof/>
          <w:color w:val="2D8CA7" w:themeColor="accent5" w:themeShade="BF"/>
          <w:sz w:val="28"/>
          <w:szCs w:val="28"/>
        </w:rPr>
      </w:pPr>
      <w:r>
        <w:rPr>
          <w:rFonts w:ascii="Arial" w:eastAsiaTheme="majorEastAsia" w:hAnsi="Arial" w:cs="Arial"/>
          <w:noProof/>
          <w:color w:val="2D8CA7" w:themeColor="accent5" w:themeShade="BF"/>
          <w:sz w:val="28"/>
          <w:szCs w:val="28"/>
          <w:lang w:eastAsia="en-US"/>
        </w:rPr>
        <w:drawing>
          <wp:inline distT="0" distB="0" distL="0" distR="0" wp14:anchorId="6A754563" wp14:editId="2FF3DCAE">
            <wp:extent cx="6858000" cy="637540"/>
            <wp:effectExtent l="0" t="0" r="0" b="0"/>
            <wp:docPr id="2" name="Picture 2" descr="Color band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637540"/>
                    </a:xfrm>
                    <a:prstGeom prst="rect">
                      <a:avLst/>
                    </a:prstGeom>
                  </pic:spPr>
                </pic:pic>
              </a:graphicData>
            </a:graphic>
          </wp:inline>
        </w:drawing>
      </w:r>
    </w:p>
    <w:sectPr w:rsidR="00B1374F" w:rsidRPr="00BB63D9" w:rsidSect="006D5FA1">
      <w:headerReference w:type="default" r:id="rId13"/>
      <w:footerReference w:type="default" r:id="rId14"/>
      <w:pgSz w:w="12240" w:h="15840"/>
      <w:pgMar w:top="360"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D098" w14:textId="77777777" w:rsidR="007B1304" w:rsidRDefault="007B1304" w:rsidP="00D45945">
      <w:pPr>
        <w:spacing w:before="0" w:after="0" w:line="240" w:lineRule="auto"/>
      </w:pPr>
      <w:r>
        <w:separator/>
      </w:r>
    </w:p>
  </w:endnote>
  <w:endnote w:type="continuationSeparator" w:id="0">
    <w:p w14:paraId="7B1E3540" w14:textId="77777777" w:rsidR="007B1304" w:rsidRDefault="007B1304"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914466247"/>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4C71AF0A" w14:textId="6A7F6EAF" w:rsidR="000A04FF" w:rsidRPr="000A04FF" w:rsidRDefault="000C4A2E" w:rsidP="000C4A2E">
            <w:pPr>
              <w:pStyle w:val="Footer"/>
              <w:tabs>
                <w:tab w:val="clear" w:pos="4680"/>
                <w:tab w:val="clear" w:pos="9360"/>
                <w:tab w:val="center" w:pos="4320"/>
              </w:tabs>
              <w:jc w:val="right"/>
              <w:rPr>
                <w:rFonts w:ascii="Arial" w:hAnsi="Arial" w:cs="Arial"/>
                <w:sz w:val="24"/>
                <w:szCs w:val="24"/>
              </w:rPr>
            </w:pPr>
            <w:r>
              <w:rPr>
                <w:rFonts w:ascii="Arial" w:hAnsi="Arial" w:cs="Arial"/>
                <w:sz w:val="24"/>
                <w:szCs w:val="24"/>
              </w:rPr>
              <w:t>Calif</w:t>
            </w:r>
            <w:r w:rsidR="00602499">
              <w:rPr>
                <w:rFonts w:ascii="Arial" w:hAnsi="Arial" w:cs="Arial"/>
                <w:sz w:val="24"/>
                <w:szCs w:val="24"/>
              </w:rPr>
              <w:t>ornia Department of Education</w:t>
            </w:r>
            <w:r w:rsidR="00602499">
              <w:rPr>
                <w:rFonts w:ascii="Arial" w:hAnsi="Arial" w:cs="Arial"/>
                <w:sz w:val="24"/>
                <w:szCs w:val="24"/>
              </w:rPr>
              <w:tab/>
              <w:t xml:space="preserve"> </w:t>
            </w:r>
            <w:r>
              <w:rPr>
                <w:rFonts w:ascii="Arial" w:hAnsi="Arial" w:cs="Arial"/>
                <w:sz w:val="24"/>
                <w:szCs w:val="24"/>
              </w:rPr>
              <w:t>Posted on 0</w:t>
            </w:r>
            <w:r w:rsidR="00A809E6">
              <w:rPr>
                <w:rFonts w:ascii="Arial" w:hAnsi="Arial" w:cs="Arial"/>
                <w:sz w:val="24"/>
                <w:szCs w:val="24"/>
              </w:rPr>
              <w:t>9</w:t>
            </w:r>
            <w:r>
              <w:rPr>
                <w:rFonts w:ascii="Arial" w:hAnsi="Arial" w:cs="Arial"/>
                <w:sz w:val="24"/>
                <w:szCs w:val="24"/>
              </w:rPr>
              <w:t>/</w:t>
            </w:r>
            <w:r w:rsidR="00A809E6">
              <w:rPr>
                <w:rFonts w:ascii="Arial" w:hAnsi="Arial" w:cs="Arial"/>
                <w:sz w:val="24"/>
                <w:szCs w:val="24"/>
              </w:rPr>
              <w:t>10</w:t>
            </w:r>
            <w:r>
              <w:rPr>
                <w:rFonts w:ascii="Arial" w:hAnsi="Arial" w:cs="Arial"/>
                <w:sz w:val="24"/>
                <w:szCs w:val="24"/>
              </w:rPr>
              <w:t>/20</w:t>
            </w:r>
            <w:r w:rsidR="00A809E6">
              <w:rPr>
                <w:rFonts w:ascii="Arial" w:hAnsi="Arial" w:cs="Arial"/>
                <w:sz w:val="24"/>
                <w:szCs w:val="24"/>
              </w:rPr>
              <w:t xml:space="preserve">20 </w:t>
            </w:r>
            <w:r w:rsidR="000A04FF" w:rsidRPr="000A04FF">
              <w:rPr>
                <w:rFonts w:ascii="Arial" w:hAnsi="Arial" w:cs="Arial"/>
                <w:sz w:val="24"/>
                <w:szCs w:val="24"/>
              </w:rPr>
              <w:t xml:space="preserve">Page </w:t>
            </w:r>
            <w:r w:rsidR="000A04FF" w:rsidRPr="000A04FF">
              <w:rPr>
                <w:rFonts w:ascii="Arial" w:hAnsi="Arial" w:cs="Arial"/>
                <w:b/>
                <w:bCs/>
                <w:sz w:val="24"/>
                <w:szCs w:val="24"/>
              </w:rPr>
              <w:fldChar w:fldCharType="begin"/>
            </w:r>
            <w:r w:rsidR="000A04FF" w:rsidRPr="000A04FF">
              <w:rPr>
                <w:rFonts w:ascii="Arial" w:hAnsi="Arial" w:cs="Arial"/>
                <w:b/>
                <w:bCs/>
                <w:sz w:val="24"/>
                <w:szCs w:val="24"/>
              </w:rPr>
              <w:instrText xml:space="preserve"> PAGE </w:instrText>
            </w:r>
            <w:r w:rsidR="000A04FF" w:rsidRPr="000A04FF">
              <w:rPr>
                <w:rFonts w:ascii="Arial" w:hAnsi="Arial" w:cs="Arial"/>
                <w:b/>
                <w:bCs/>
                <w:sz w:val="24"/>
                <w:szCs w:val="24"/>
              </w:rPr>
              <w:fldChar w:fldCharType="separate"/>
            </w:r>
            <w:r w:rsidR="00125CE8">
              <w:rPr>
                <w:rFonts w:ascii="Arial" w:hAnsi="Arial" w:cs="Arial"/>
                <w:b/>
                <w:bCs/>
                <w:noProof/>
                <w:sz w:val="24"/>
                <w:szCs w:val="24"/>
              </w:rPr>
              <w:t>1</w:t>
            </w:r>
            <w:r w:rsidR="000A04FF" w:rsidRPr="000A04FF">
              <w:rPr>
                <w:rFonts w:ascii="Arial" w:hAnsi="Arial" w:cs="Arial"/>
                <w:b/>
                <w:bCs/>
                <w:sz w:val="24"/>
                <w:szCs w:val="24"/>
              </w:rPr>
              <w:fldChar w:fldCharType="end"/>
            </w:r>
            <w:r w:rsidR="000A04FF" w:rsidRPr="000A04FF">
              <w:rPr>
                <w:rFonts w:ascii="Arial" w:hAnsi="Arial" w:cs="Arial"/>
                <w:sz w:val="24"/>
                <w:szCs w:val="24"/>
              </w:rPr>
              <w:t xml:space="preserve"> of </w:t>
            </w:r>
            <w:r w:rsidR="000A04FF" w:rsidRPr="000A04FF">
              <w:rPr>
                <w:rFonts w:ascii="Arial" w:hAnsi="Arial" w:cs="Arial"/>
                <w:b/>
                <w:bCs/>
                <w:sz w:val="24"/>
                <w:szCs w:val="24"/>
              </w:rPr>
              <w:fldChar w:fldCharType="begin"/>
            </w:r>
            <w:r w:rsidR="000A04FF" w:rsidRPr="000A04FF">
              <w:rPr>
                <w:rFonts w:ascii="Arial" w:hAnsi="Arial" w:cs="Arial"/>
                <w:b/>
                <w:bCs/>
                <w:sz w:val="24"/>
                <w:szCs w:val="24"/>
              </w:rPr>
              <w:instrText xml:space="preserve"> NUMPAGES  </w:instrText>
            </w:r>
            <w:r w:rsidR="000A04FF" w:rsidRPr="000A04FF">
              <w:rPr>
                <w:rFonts w:ascii="Arial" w:hAnsi="Arial" w:cs="Arial"/>
                <w:b/>
                <w:bCs/>
                <w:sz w:val="24"/>
                <w:szCs w:val="24"/>
              </w:rPr>
              <w:fldChar w:fldCharType="separate"/>
            </w:r>
            <w:r w:rsidR="00125CE8">
              <w:rPr>
                <w:rFonts w:ascii="Arial" w:hAnsi="Arial" w:cs="Arial"/>
                <w:b/>
                <w:bCs/>
                <w:noProof/>
                <w:sz w:val="24"/>
                <w:szCs w:val="24"/>
              </w:rPr>
              <w:t>2</w:t>
            </w:r>
            <w:r w:rsidR="000A04FF" w:rsidRPr="000A04FF">
              <w:rPr>
                <w:rFonts w:ascii="Arial" w:hAnsi="Arial" w:cs="Arial"/>
                <w:b/>
                <w:bCs/>
                <w:sz w:val="24"/>
                <w:szCs w:val="24"/>
              </w:rPr>
              <w:fldChar w:fldCharType="end"/>
            </w:r>
          </w:p>
        </w:sdtContent>
      </w:sdt>
    </w:sdtContent>
  </w:sdt>
  <w:p w14:paraId="4054E80D" w14:textId="77777777" w:rsidR="000A04FF" w:rsidRDefault="000A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310C8" w14:textId="77777777" w:rsidR="007B1304" w:rsidRDefault="007B1304" w:rsidP="00D45945">
      <w:pPr>
        <w:spacing w:before="0" w:after="0" w:line="240" w:lineRule="auto"/>
      </w:pPr>
      <w:r>
        <w:separator/>
      </w:r>
    </w:p>
  </w:footnote>
  <w:footnote w:type="continuationSeparator" w:id="0">
    <w:p w14:paraId="402AE681" w14:textId="77777777" w:rsidR="007B1304" w:rsidRDefault="007B1304"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EA31" w14:textId="77777777" w:rsidR="00D45945" w:rsidRDefault="00D45945" w:rsidP="00F61C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679"/>
    <w:multiLevelType w:val="hybridMultilevel"/>
    <w:tmpl w:val="823217BC"/>
    <w:lvl w:ilvl="0" w:tplc="7B90C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0434"/>
    <w:multiLevelType w:val="multilevel"/>
    <w:tmpl w:val="B9C67D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06106"/>
    <w:multiLevelType w:val="multilevel"/>
    <w:tmpl w:val="D21E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F075C"/>
    <w:multiLevelType w:val="multilevel"/>
    <w:tmpl w:val="EC4A984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54632"/>
    <w:multiLevelType w:val="hybridMultilevel"/>
    <w:tmpl w:val="28442B4C"/>
    <w:lvl w:ilvl="0" w:tplc="833E5EEE">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B24B2"/>
    <w:multiLevelType w:val="hybridMultilevel"/>
    <w:tmpl w:val="F6C20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0EB"/>
    <w:multiLevelType w:val="hybridMultilevel"/>
    <w:tmpl w:val="34D434E2"/>
    <w:lvl w:ilvl="0" w:tplc="2F60C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45A2F"/>
    <w:multiLevelType w:val="hybridMultilevel"/>
    <w:tmpl w:val="077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6EC4"/>
    <w:multiLevelType w:val="multilevel"/>
    <w:tmpl w:val="288830E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51BED"/>
    <w:multiLevelType w:val="hybridMultilevel"/>
    <w:tmpl w:val="A2369A3E"/>
    <w:lvl w:ilvl="0" w:tplc="4ABEB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F0498"/>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B40C8"/>
    <w:multiLevelType w:val="hybridMultilevel"/>
    <w:tmpl w:val="E184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00E8C"/>
    <w:multiLevelType w:val="multilevel"/>
    <w:tmpl w:val="B9C67D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220BF"/>
    <w:multiLevelType w:val="hybridMultilevel"/>
    <w:tmpl w:val="4D983B76"/>
    <w:lvl w:ilvl="0" w:tplc="869C9700">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4641A"/>
    <w:multiLevelType w:val="multilevel"/>
    <w:tmpl w:val="EA6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466FC"/>
    <w:multiLevelType w:val="multilevel"/>
    <w:tmpl w:val="4900F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7230A"/>
    <w:multiLevelType w:val="multilevel"/>
    <w:tmpl w:val="013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625D8"/>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7057C"/>
    <w:multiLevelType w:val="multilevel"/>
    <w:tmpl w:val="288830E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0E2791"/>
    <w:multiLevelType w:val="hybridMultilevel"/>
    <w:tmpl w:val="2C4822BA"/>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95C0E"/>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71CDE"/>
    <w:multiLevelType w:val="multilevel"/>
    <w:tmpl w:val="5D9C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2F7BF7"/>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70F8F"/>
    <w:multiLevelType w:val="hybridMultilevel"/>
    <w:tmpl w:val="2286C824"/>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5778E"/>
    <w:multiLevelType w:val="multilevel"/>
    <w:tmpl w:val="BC8A9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B06685"/>
    <w:multiLevelType w:val="hybridMultilevel"/>
    <w:tmpl w:val="7C846F42"/>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E22DC"/>
    <w:multiLevelType w:val="hybridMultilevel"/>
    <w:tmpl w:val="973E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3759A"/>
    <w:multiLevelType w:val="hybridMultilevel"/>
    <w:tmpl w:val="B54A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409415">
    <w:abstractNumId w:val="5"/>
  </w:num>
  <w:num w:numId="2" w16cid:durableId="1684744430">
    <w:abstractNumId w:val="13"/>
  </w:num>
  <w:num w:numId="3" w16cid:durableId="1623462142">
    <w:abstractNumId w:val="17"/>
  </w:num>
  <w:num w:numId="4" w16cid:durableId="699671323">
    <w:abstractNumId w:val="10"/>
  </w:num>
  <w:num w:numId="5" w16cid:durableId="353267607">
    <w:abstractNumId w:val="22"/>
  </w:num>
  <w:num w:numId="6" w16cid:durableId="1777555453">
    <w:abstractNumId w:val="20"/>
  </w:num>
  <w:num w:numId="7" w16cid:durableId="758066233">
    <w:abstractNumId w:val="26"/>
  </w:num>
  <w:num w:numId="8" w16cid:durableId="1386635296">
    <w:abstractNumId w:val="0"/>
  </w:num>
  <w:num w:numId="9" w16cid:durableId="1761177627">
    <w:abstractNumId w:val="24"/>
  </w:num>
  <w:num w:numId="10" w16cid:durableId="823593300">
    <w:abstractNumId w:val="11"/>
  </w:num>
  <w:num w:numId="11" w16cid:durableId="881744537">
    <w:abstractNumId w:val="6"/>
  </w:num>
  <w:num w:numId="12" w16cid:durableId="625164296">
    <w:abstractNumId w:val="9"/>
  </w:num>
  <w:num w:numId="13" w16cid:durableId="882520656">
    <w:abstractNumId w:val="27"/>
  </w:num>
  <w:num w:numId="14" w16cid:durableId="1950117764">
    <w:abstractNumId w:val="3"/>
  </w:num>
  <w:num w:numId="15" w16cid:durableId="1316688315">
    <w:abstractNumId w:val="7"/>
  </w:num>
  <w:num w:numId="16" w16cid:durableId="1710182561">
    <w:abstractNumId w:val="8"/>
  </w:num>
  <w:num w:numId="17" w16cid:durableId="1526166102">
    <w:abstractNumId w:val="4"/>
  </w:num>
  <w:num w:numId="18" w16cid:durableId="1791436974">
    <w:abstractNumId w:val="1"/>
  </w:num>
  <w:num w:numId="19" w16cid:durableId="2129082964">
    <w:abstractNumId w:val="8"/>
    <w:lvlOverride w:ilvl="0">
      <w:startOverride w:val="4"/>
    </w:lvlOverride>
  </w:num>
  <w:num w:numId="20" w16cid:durableId="999698526">
    <w:abstractNumId w:val="18"/>
  </w:num>
  <w:num w:numId="21" w16cid:durableId="1620409643">
    <w:abstractNumId w:val="12"/>
  </w:num>
  <w:num w:numId="22" w16cid:durableId="334772875">
    <w:abstractNumId w:val="19"/>
  </w:num>
  <w:num w:numId="23" w16cid:durableId="908223033">
    <w:abstractNumId w:val="25"/>
  </w:num>
  <w:num w:numId="24" w16cid:durableId="793595625">
    <w:abstractNumId w:val="21"/>
    <w:lvlOverride w:ilvl="0">
      <w:startOverride w:val="5"/>
    </w:lvlOverride>
  </w:num>
  <w:num w:numId="25" w16cid:durableId="730420000">
    <w:abstractNumId w:val="15"/>
    <w:lvlOverride w:ilvl="0">
      <w:startOverride w:val="6"/>
    </w:lvlOverride>
  </w:num>
  <w:num w:numId="26" w16cid:durableId="2319087">
    <w:abstractNumId w:val="23"/>
  </w:num>
  <w:num w:numId="27" w16cid:durableId="100423477">
    <w:abstractNumId w:val="16"/>
  </w:num>
  <w:num w:numId="28" w16cid:durableId="2080057083">
    <w:abstractNumId w:val="14"/>
  </w:num>
  <w:num w:numId="29" w16cid:durableId="1925606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C6"/>
    <w:rsid w:val="00011E44"/>
    <w:rsid w:val="000428FB"/>
    <w:rsid w:val="00044C94"/>
    <w:rsid w:val="00045B7C"/>
    <w:rsid w:val="0007214C"/>
    <w:rsid w:val="00083BAA"/>
    <w:rsid w:val="0008706E"/>
    <w:rsid w:val="0009122D"/>
    <w:rsid w:val="00092434"/>
    <w:rsid w:val="000A04FF"/>
    <w:rsid w:val="000C4A2E"/>
    <w:rsid w:val="001113B7"/>
    <w:rsid w:val="00122F76"/>
    <w:rsid w:val="00125CE8"/>
    <w:rsid w:val="001575FE"/>
    <w:rsid w:val="001766D6"/>
    <w:rsid w:val="001B7F90"/>
    <w:rsid w:val="002017AE"/>
    <w:rsid w:val="0026423D"/>
    <w:rsid w:val="002A3CB9"/>
    <w:rsid w:val="00376479"/>
    <w:rsid w:val="003A3A34"/>
    <w:rsid w:val="003C3DE7"/>
    <w:rsid w:val="003E24DF"/>
    <w:rsid w:val="00407326"/>
    <w:rsid w:val="00436FD6"/>
    <w:rsid w:val="00464881"/>
    <w:rsid w:val="00466C16"/>
    <w:rsid w:val="00476169"/>
    <w:rsid w:val="004A1C66"/>
    <w:rsid w:val="004A2B0D"/>
    <w:rsid w:val="004A66E9"/>
    <w:rsid w:val="004E41AF"/>
    <w:rsid w:val="00553F12"/>
    <w:rsid w:val="005579FD"/>
    <w:rsid w:val="00564809"/>
    <w:rsid w:val="005B76FE"/>
    <w:rsid w:val="005C2210"/>
    <w:rsid w:val="005C5470"/>
    <w:rsid w:val="005D2615"/>
    <w:rsid w:val="005D5907"/>
    <w:rsid w:val="00602499"/>
    <w:rsid w:val="00615018"/>
    <w:rsid w:val="0062123A"/>
    <w:rsid w:val="00646E75"/>
    <w:rsid w:val="00670DB3"/>
    <w:rsid w:val="006A101E"/>
    <w:rsid w:val="006C6E40"/>
    <w:rsid w:val="006D5FA1"/>
    <w:rsid w:val="006F5167"/>
    <w:rsid w:val="006F6F10"/>
    <w:rsid w:val="0071617E"/>
    <w:rsid w:val="00783E79"/>
    <w:rsid w:val="007B1304"/>
    <w:rsid w:val="007B5AE8"/>
    <w:rsid w:val="007E142E"/>
    <w:rsid w:val="007F5192"/>
    <w:rsid w:val="00805F12"/>
    <w:rsid w:val="00816B9B"/>
    <w:rsid w:val="008A1BC5"/>
    <w:rsid w:val="008E0D43"/>
    <w:rsid w:val="00904AC6"/>
    <w:rsid w:val="009671CB"/>
    <w:rsid w:val="009741D8"/>
    <w:rsid w:val="009963AF"/>
    <w:rsid w:val="009D4B60"/>
    <w:rsid w:val="00A5507A"/>
    <w:rsid w:val="00A80901"/>
    <w:rsid w:val="00A809E6"/>
    <w:rsid w:val="00A93DAA"/>
    <w:rsid w:val="00A96CF8"/>
    <w:rsid w:val="00AD04E0"/>
    <w:rsid w:val="00B1374F"/>
    <w:rsid w:val="00B35497"/>
    <w:rsid w:val="00B401BA"/>
    <w:rsid w:val="00B433D4"/>
    <w:rsid w:val="00B50294"/>
    <w:rsid w:val="00B54315"/>
    <w:rsid w:val="00B658E2"/>
    <w:rsid w:val="00BB63D9"/>
    <w:rsid w:val="00BE5DEA"/>
    <w:rsid w:val="00C02F29"/>
    <w:rsid w:val="00C1582C"/>
    <w:rsid w:val="00C3183F"/>
    <w:rsid w:val="00C3206F"/>
    <w:rsid w:val="00C32FCB"/>
    <w:rsid w:val="00C4799E"/>
    <w:rsid w:val="00C51303"/>
    <w:rsid w:val="00C519C7"/>
    <w:rsid w:val="00C70786"/>
    <w:rsid w:val="00C74572"/>
    <w:rsid w:val="00C8222A"/>
    <w:rsid w:val="00C841CD"/>
    <w:rsid w:val="00CD08B8"/>
    <w:rsid w:val="00D23D96"/>
    <w:rsid w:val="00D27B7F"/>
    <w:rsid w:val="00D305AD"/>
    <w:rsid w:val="00D45945"/>
    <w:rsid w:val="00D53B5C"/>
    <w:rsid w:val="00D66593"/>
    <w:rsid w:val="00D73251"/>
    <w:rsid w:val="00D97FB5"/>
    <w:rsid w:val="00DE2B7D"/>
    <w:rsid w:val="00DF3769"/>
    <w:rsid w:val="00E10279"/>
    <w:rsid w:val="00E30171"/>
    <w:rsid w:val="00E552D7"/>
    <w:rsid w:val="00E55D74"/>
    <w:rsid w:val="00E6540C"/>
    <w:rsid w:val="00E66E87"/>
    <w:rsid w:val="00E81E2A"/>
    <w:rsid w:val="00EA3F68"/>
    <w:rsid w:val="00EA6C10"/>
    <w:rsid w:val="00EE0952"/>
    <w:rsid w:val="00F61C9C"/>
    <w:rsid w:val="00FA46E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C69C9"/>
  <w14:defaultImageDpi w14:val="32767"/>
  <w15:chartTrackingRefBased/>
  <w15:docId w15:val="{ACD5EF6A-7224-4802-9509-F22E9DAB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MediumList2-Accent1">
    <w:name w:val="Medium List 2 Accent 1"/>
    <w:basedOn w:val="TableNormal"/>
    <w:uiPriority w:val="66"/>
    <w:semiHidden/>
    <w:unhideWhenUsed/>
    <w:rsid w:val="00D73251"/>
    <w:rPr>
      <w:rFonts w:asciiTheme="majorHAnsi" w:eastAsiaTheme="majorEastAsia" w:hAnsiTheme="majorHAnsi" w:cstheme="majorBidi"/>
      <w:color w:val="000000" w:themeColor="text1"/>
    </w:rPr>
    <w:tblPr>
      <w:tblStyleRowBandSize w:val="1"/>
      <w:tblStyleColBandSize w:val="1"/>
      <w:tblBorders>
        <w:top w:val="single" w:sz="8" w:space="0" w:color="99CB38" w:themeColor="accent1"/>
        <w:left w:val="single" w:sz="8" w:space="0" w:color="99CB38" w:themeColor="accent1"/>
        <w:bottom w:val="single" w:sz="8" w:space="0" w:color="99CB38" w:themeColor="accent1"/>
        <w:right w:val="single" w:sz="8" w:space="0" w:color="99CB38" w:themeColor="accent1"/>
      </w:tblBorders>
    </w:tblPr>
    <w:tblStylePr w:type="firstRow">
      <w:rPr>
        <w:sz w:val="24"/>
        <w:szCs w:val="24"/>
      </w:rPr>
      <w:tblPr/>
      <w:tcPr>
        <w:tcBorders>
          <w:top w:val="nil"/>
          <w:left w:val="nil"/>
          <w:bottom w:val="single" w:sz="24" w:space="0" w:color="99CB38" w:themeColor="accent1"/>
          <w:right w:val="nil"/>
          <w:insideH w:val="nil"/>
          <w:insideV w:val="nil"/>
        </w:tcBorders>
        <w:shd w:val="clear" w:color="auto" w:fill="FFFFFF" w:themeFill="background1"/>
      </w:tcPr>
    </w:tblStylePr>
    <w:tblStylePr w:type="lastRow">
      <w:tblPr/>
      <w:tcPr>
        <w:tcBorders>
          <w:top w:val="single" w:sz="8" w:space="0" w:color="99C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B38" w:themeColor="accent1"/>
          <w:insideH w:val="nil"/>
          <w:insideV w:val="nil"/>
        </w:tcBorders>
        <w:shd w:val="clear" w:color="auto" w:fill="FFFFFF" w:themeFill="background1"/>
      </w:tcPr>
    </w:tblStylePr>
    <w:tblStylePr w:type="lastCol">
      <w:tblPr/>
      <w:tcPr>
        <w:tcBorders>
          <w:top w:val="nil"/>
          <w:left w:val="single" w:sz="8" w:space="0" w:color="99C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CD" w:themeFill="accent1" w:themeFillTint="3F"/>
      </w:tcPr>
    </w:tblStylePr>
    <w:tblStylePr w:type="band1Horz">
      <w:tblPr/>
      <w:tcPr>
        <w:tcBorders>
          <w:top w:val="nil"/>
          <w:bottom w:val="nil"/>
          <w:insideH w:val="nil"/>
          <w:insideV w:val="nil"/>
        </w:tcBorders>
        <w:shd w:val="clear" w:color="auto" w:fill="E5F2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7161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7E"/>
    <w:rPr>
      <w:rFonts w:ascii="Segoe UI" w:eastAsiaTheme="minorHAnsi" w:hAnsi="Segoe UI" w:cs="Segoe UI"/>
      <w:color w:val="595959" w:themeColor="text1" w:themeTint="A6"/>
      <w:kern w:val="20"/>
      <w:sz w:val="18"/>
      <w:szCs w:val="18"/>
    </w:rPr>
  </w:style>
  <w:style w:type="paragraph" w:styleId="ListParagraph">
    <w:name w:val="List Paragraph"/>
    <w:basedOn w:val="Normal"/>
    <w:uiPriority w:val="34"/>
    <w:rsid w:val="001113B7"/>
    <w:pPr>
      <w:ind w:left="720"/>
      <w:contextualSpacing/>
    </w:pPr>
  </w:style>
  <w:style w:type="paragraph" w:customStyle="1" w:styleId="Default">
    <w:name w:val="Default"/>
    <w:rsid w:val="00D97FB5"/>
    <w:pPr>
      <w:autoSpaceDE w:val="0"/>
      <w:autoSpaceDN w:val="0"/>
      <w:adjustRightInd w:val="0"/>
    </w:pPr>
    <w:rPr>
      <w:rFonts w:ascii="Arial" w:eastAsiaTheme="minorHAnsi" w:hAnsi="Arial" w:cs="Arial"/>
      <w:color w:val="000000"/>
      <w:lang w:eastAsia="en-US"/>
    </w:rPr>
  </w:style>
  <w:style w:type="character" w:styleId="Hyperlink">
    <w:name w:val="Hyperlink"/>
    <w:basedOn w:val="DefaultParagraphFont"/>
    <w:uiPriority w:val="99"/>
    <w:unhideWhenUsed/>
    <w:rsid w:val="00436FD6"/>
    <w:rPr>
      <w:color w:val="EE7B08" w:themeColor="hyperlink"/>
      <w:u w:val="single"/>
    </w:rPr>
  </w:style>
  <w:style w:type="character" w:customStyle="1" w:styleId="apple-converted-space">
    <w:name w:val="apple-converted-space"/>
    <w:basedOn w:val="DefaultParagraphFont"/>
    <w:rsid w:val="00A8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06859">
      <w:bodyDiv w:val="1"/>
      <w:marLeft w:val="0"/>
      <w:marRight w:val="0"/>
      <w:marTop w:val="0"/>
      <w:marBottom w:val="0"/>
      <w:divBdr>
        <w:top w:val="none" w:sz="0" w:space="0" w:color="auto"/>
        <w:left w:val="none" w:sz="0" w:space="0" w:color="auto"/>
        <w:bottom w:val="none" w:sz="0" w:space="0" w:color="auto"/>
        <w:right w:val="none" w:sz="0" w:space="0" w:color="auto"/>
      </w:divBdr>
    </w:div>
    <w:div w:id="947659792">
      <w:bodyDiv w:val="1"/>
      <w:marLeft w:val="0"/>
      <w:marRight w:val="0"/>
      <w:marTop w:val="0"/>
      <w:marBottom w:val="0"/>
      <w:divBdr>
        <w:top w:val="none" w:sz="0" w:space="0" w:color="auto"/>
        <w:left w:val="none" w:sz="0" w:space="0" w:color="auto"/>
        <w:bottom w:val="none" w:sz="0" w:space="0" w:color="auto"/>
        <w:right w:val="none" w:sz="0" w:space="0" w:color="auto"/>
      </w:divBdr>
    </w:div>
    <w:div w:id="14986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ennettBrow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7FECD-A1FC-456E-BE10-D080AF27985D}">
  <ds:schemaRefs>
    <ds:schemaRef ds:uri="http://schemas.openxmlformats.org/officeDocument/2006/bibliography"/>
  </ds:schemaRefs>
</ds:datastoreItem>
</file>

<file path=customXml/itemProps2.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11</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Equity Data Definitions - Professional Learning (CA Dept of Education)</vt:lpstr>
    </vt:vector>
  </TitlesOfParts>
  <Manager/>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Data Definitions - Professional Learning (CA Dept of Education)</dc:title>
  <dc:subject>California Definitions for Purposes of Collecting Equity Data under ESSA.</dc:subject>
  <dc:creator/>
  <cp:keywords/>
  <dc:description/>
  <cp:lastModifiedBy>Christopher Slaven</cp:lastModifiedBy>
  <cp:revision>9</cp:revision>
  <cp:lastPrinted>2020-09-10T12:51:00Z</cp:lastPrinted>
  <dcterms:created xsi:type="dcterms:W3CDTF">2020-09-10T16:31:00Z</dcterms:created>
  <dcterms:modified xsi:type="dcterms:W3CDTF">2024-06-06T21:49:00Z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