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54C8" w14:textId="12AB326B" w:rsidR="00DD63D1" w:rsidRPr="00DD63D1" w:rsidRDefault="00DD63D1" w:rsidP="00DD63D1">
      <w:r w:rsidRPr="00DD63D1">
        <w:t>California Department of Education, February 202</w:t>
      </w:r>
      <w:r w:rsidR="00EA5028">
        <w:t>2</w:t>
      </w:r>
    </w:p>
    <w:p w14:paraId="06DB83DD" w14:textId="3B7730CD" w:rsidR="007428B8" w:rsidRDefault="00BF2F2E" w:rsidP="002749A9">
      <w:pPr>
        <w:pStyle w:val="Heading1"/>
        <w:spacing w:after="600"/>
      </w:pPr>
      <w:r>
        <w:t xml:space="preserve">Accessing </w:t>
      </w:r>
      <w:r w:rsidR="000B47D8">
        <w:t xml:space="preserve">A-G Completion </w:t>
      </w:r>
      <w:r>
        <w:t xml:space="preserve">Data on </w:t>
      </w:r>
      <w:r w:rsidR="000B47D8">
        <w:t>DataQuest and the CDE Webpage</w:t>
      </w:r>
    </w:p>
    <w:p w14:paraId="2E5E6E9B" w14:textId="77777777" w:rsidR="00BF2F2E" w:rsidRDefault="00BF2F2E" w:rsidP="00122292">
      <w:pPr>
        <w:spacing w:after="600"/>
      </w:pPr>
      <w:r>
        <w:rPr>
          <w:noProof/>
        </w:rPr>
        <w:drawing>
          <wp:inline distT="0" distB="0" distL="0" distR="0" wp14:anchorId="68A0456F" wp14:editId="56A19A0C">
            <wp:extent cx="4171928" cy="845230"/>
            <wp:effectExtent l="19050" t="19050" r="19685" b="12065"/>
            <wp:docPr id="1" name="Picture 1" descr="An image of the DataQues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Qu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28" cy="84523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77C6086C" w14:textId="77777777" w:rsidR="00BF2F2E" w:rsidRPr="0034149A" w:rsidRDefault="00BF2F2E" w:rsidP="00EA1110">
      <w:pPr>
        <w:pStyle w:val="Heading2"/>
        <w:spacing w:before="0" w:after="0"/>
        <w:rPr>
          <w:sz w:val="28"/>
          <w:szCs w:val="28"/>
        </w:rPr>
      </w:pPr>
      <w:r w:rsidRPr="0034149A">
        <w:rPr>
          <w:sz w:val="28"/>
          <w:szCs w:val="28"/>
        </w:rPr>
        <w:t>DataQuest</w:t>
      </w:r>
    </w:p>
    <w:p w14:paraId="7DD70F4C" w14:textId="1B059AF6" w:rsidR="00BF2F2E" w:rsidRDefault="00BF2F2E" w:rsidP="000A4D21">
      <w:pPr>
        <w:spacing w:after="0"/>
      </w:pPr>
      <w:r>
        <w:t xml:space="preserve">Reports on </w:t>
      </w:r>
      <w:r w:rsidR="00EA5028">
        <w:t xml:space="preserve">A-G completion </w:t>
      </w:r>
      <w:r>
        <w:t>can be found on DataQuest, the Department’s data reporting website</w:t>
      </w:r>
      <w:r w:rsidR="00EA5028">
        <w:t xml:space="preserve"> which</w:t>
      </w:r>
      <w:r>
        <w:t xml:space="preserve"> can </w:t>
      </w:r>
      <w:r w:rsidR="00464AD0">
        <w:t xml:space="preserve">be accessed </w:t>
      </w:r>
      <w:r w:rsidR="00C85CB9">
        <w:t>at</w:t>
      </w:r>
      <w:r w:rsidR="00464AD0">
        <w:t xml:space="preserve"> </w:t>
      </w:r>
      <w:hyperlink r:id="rId7" w:tooltip="DataQuest web page" w:history="1">
        <w:r w:rsidR="00C85CB9">
          <w:rPr>
            <w:rStyle w:val="Hyperlink"/>
          </w:rPr>
          <w:t>https://dq.cde.ca.gov/dataquest/</w:t>
        </w:r>
      </w:hyperlink>
    </w:p>
    <w:p w14:paraId="3E72C98D" w14:textId="793422AB" w:rsidR="00BF2F2E" w:rsidRDefault="00464AD0" w:rsidP="000A4D21">
      <w:pPr>
        <w:spacing w:after="120"/>
      </w:pPr>
      <w:r>
        <w:t xml:space="preserve">Instructions on accessing reports </w:t>
      </w:r>
      <w:r w:rsidR="00EA5028">
        <w:t xml:space="preserve">with A-G completion data on </w:t>
      </w:r>
      <w:r>
        <w:t>DataQuest are listed below.</w:t>
      </w:r>
    </w:p>
    <w:p w14:paraId="54AB0934" w14:textId="77777777" w:rsidR="00B54E0D" w:rsidRDefault="00B54E0D" w:rsidP="000A4D21">
      <w:pPr>
        <w:spacing w:before="120" w:after="120"/>
      </w:pPr>
      <w:r>
        <w:t xml:space="preserve">Once on the DataQuest website, select the </w:t>
      </w:r>
      <w:r w:rsidRPr="000A4D21">
        <w:t>level</w:t>
      </w:r>
      <w:r>
        <w:t xml:space="preserve"> to view the report such as “State” or “County.”</w:t>
      </w:r>
    </w:p>
    <w:p w14:paraId="408CE7B5" w14:textId="77777777" w:rsidR="00BF2F2E" w:rsidRDefault="00BF2F2E" w:rsidP="00EA1110">
      <w:pPr>
        <w:spacing w:after="0"/>
      </w:pPr>
      <w:r>
        <w:rPr>
          <w:noProof/>
        </w:rPr>
        <w:drawing>
          <wp:inline distT="0" distB="0" distL="0" distR="0" wp14:anchorId="49880F77" wp14:editId="6365F1F0">
            <wp:extent cx="2599594" cy="1722289"/>
            <wp:effectExtent l="19050" t="19050" r="10795" b="11430"/>
            <wp:docPr id="3" name="Picture 3" descr="Image shows select level. Level has drop-down with state, county, district, school, SELPA, and Other Choic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vel drop dow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94" cy="1722289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751EF4A6" w14:textId="3AE848FF" w:rsidR="00B54E0D" w:rsidRDefault="00B54E0D" w:rsidP="000A4D21">
      <w:pPr>
        <w:spacing w:before="240" w:after="120"/>
      </w:pPr>
      <w:r>
        <w:t>After selecting the level of the report, select the</w:t>
      </w:r>
      <w:r w:rsidR="00BD50F7">
        <w:t xml:space="preserve"> “Four-Year Cohort Graduation Rates &amp; Outcomes” report under the </w:t>
      </w:r>
      <w:r w:rsidR="00BD50F7" w:rsidRPr="00BD50F7">
        <w:rPr>
          <w:b/>
        </w:rPr>
        <w:t>Graduation &amp; Dropout Data</w:t>
      </w:r>
      <w:r>
        <w:t xml:space="preserve"> </w:t>
      </w:r>
      <w:r w:rsidRPr="00BD50F7">
        <w:t>subject</w:t>
      </w:r>
      <w:r>
        <w:t xml:space="preserve"> and then click the “S</w:t>
      </w:r>
      <w:r w:rsidR="00BD50F7">
        <w:t>ubmit</w:t>
      </w:r>
      <w:r>
        <w:t>” button.</w:t>
      </w:r>
    </w:p>
    <w:p w14:paraId="635391C8" w14:textId="0AD02621" w:rsidR="009E218D" w:rsidRDefault="0070457E" w:rsidP="00EA1110">
      <w:pPr>
        <w:spacing w:after="0"/>
      </w:pPr>
      <w:r>
        <w:rPr>
          <w:noProof/>
        </w:rPr>
        <w:drawing>
          <wp:inline distT="0" distB="0" distL="0" distR="0" wp14:anchorId="60E2778F" wp14:editId="304F985F">
            <wp:extent cx="3618959" cy="915553"/>
            <wp:effectExtent l="19050" t="19050" r="19685" b="18415"/>
            <wp:docPr id="5" name="Picture 5" descr="Image shows part of the subjects list drop-down with Graduation &amp; Dropout Data, Four-Year Cohort Graduation Rates &amp; Outcomes, Five-Year Cohort Graduation Rates, One-Year Graduation Data, and One-Year Dropout Da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bjec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959" cy="915553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C9082" w14:textId="66C42091" w:rsidR="009E218D" w:rsidRDefault="00E620FC" w:rsidP="000A4D21">
      <w:pPr>
        <w:spacing w:before="240" w:after="120"/>
      </w:pPr>
      <w:r>
        <w:t xml:space="preserve">From here, select the school </w:t>
      </w:r>
      <w:r w:rsidRPr="0070457E">
        <w:rPr>
          <w:b/>
        </w:rPr>
        <w:t>year</w:t>
      </w:r>
      <w:r>
        <w:t xml:space="preserve"> for the report and then click the “S</w:t>
      </w:r>
      <w:r w:rsidR="00BD50F7">
        <w:t>ubmit</w:t>
      </w:r>
      <w:r>
        <w:t>” button.</w:t>
      </w:r>
    </w:p>
    <w:p w14:paraId="35107F74" w14:textId="77777777" w:rsidR="0070457E" w:rsidRDefault="0070457E" w:rsidP="00EA1110">
      <w:pPr>
        <w:spacing w:after="0"/>
      </w:pPr>
      <w:bookmarkStart w:id="0" w:name="_GoBack"/>
      <w:r>
        <w:rPr>
          <w:noProof/>
        </w:rPr>
        <w:lastRenderedPageBreak/>
        <w:drawing>
          <wp:inline distT="0" distB="0" distL="0" distR="0" wp14:anchorId="1A128E36" wp14:editId="5102C60E">
            <wp:extent cx="2133074" cy="2133074"/>
            <wp:effectExtent l="25400" t="25400" r="26035" b="26035"/>
            <wp:docPr id="6" name="Picture 6" descr="Image shows the Select Year of Data section with the step to Determine a time frame, Single year -- select year:  2020-21 selected in the drop-down and a submi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meFra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366" cy="2134366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bookmarkEnd w:id="0"/>
    </w:p>
    <w:p w14:paraId="4F5865CB" w14:textId="7C45328E" w:rsidR="00BD50F7" w:rsidRDefault="00464AD0" w:rsidP="000A4D21">
      <w:pPr>
        <w:spacing w:before="240" w:after="120"/>
      </w:pPr>
      <w:r>
        <w:t xml:space="preserve">Once on the report page, </w:t>
      </w:r>
      <w:r w:rsidR="00BD50F7">
        <w:t>select the “Four-Year Cohort Adjusted Graduation Rate” report and click the “Submit” button.</w:t>
      </w:r>
    </w:p>
    <w:p w14:paraId="05B15C36" w14:textId="17AAC5D6" w:rsidR="00BD50F7" w:rsidRDefault="00BD50F7" w:rsidP="00EA1110">
      <w:pPr>
        <w:spacing w:after="0"/>
      </w:pPr>
      <w:r>
        <w:rPr>
          <w:noProof/>
        </w:rPr>
        <w:drawing>
          <wp:inline distT="0" distB="0" distL="0" distR="0" wp14:anchorId="0D74740B" wp14:editId="20070222">
            <wp:extent cx="5943600" cy="2219960"/>
            <wp:effectExtent l="19050" t="19050" r="19050" b="27940"/>
            <wp:docPr id="8" name="Picture 8" descr="Select a Report options Four-Year Adjusted Cohort Graduation Rate, Four-Year Adjusted Cohort Graduation Rate (with County Data), Four-Year Adjusted Cohort Outcome, and Four-Year Adjusted Cohort Outcome (with County Data), submi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(7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996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41D37725" w14:textId="7328031E" w:rsidR="0070457E" w:rsidRDefault="00BD50F7" w:rsidP="000A4D21">
      <w:pPr>
        <w:spacing w:before="240" w:after="120"/>
      </w:pPr>
      <w:r>
        <w:t xml:space="preserve">The </w:t>
      </w:r>
      <w:r w:rsidR="00660AC5">
        <w:t xml:space="preserve">Four-Year Adjusted Cohort Graduation Rate </w:t>
      </w:r>
      <w:r>
        <w:t xml:space="preserve">report includes </w:t>
      </w:r>
      <w:r w:rsidR="000B47D8">
        <w:t xml:space="preserve">information on the number of students in the cohort (Cohort Students), the number of students in the cohort who earned a regular high school diploma (Regular HS Diploma Graduates), and </w:t>
      </w:r>
      <w:r w:rsidR="000B47D8" w:rsidRPr="00304693">
        <w:rPr>
          <w:b/>
          <w:bCs/>
        </w:rPr>
        <w:t>the number of graduates who students met A-G requirements</w:t>
      </w:r>
      <w:r w:rsidR="000B47D8">
        <w:t xml:space="preserve"> (Graduates Meeting UC/CSU Requirements).</w:t>
      </w:r>
    </w:p>
    <w:p w14:paraId="11610208" w14:textId="41B9D839" w:rsidR="000B47D8" w:rsidRDefault="000B47D8" w:rsidP="00EA1110">
      <w:pPr>
        <w:spacing w:after="0"/>
        <w:jc w:val="center"/>
      </w:pPr>
      <w:r>
        <w:rPr>
          <w:noProof/>
        </w:rPr>
        <w:drawing>
          <wp:inline distT="0" distB="0" distL="0" distR="0" wp14:anchorId="11A8C82B" wp14:editId="378F7CC3">
            <wp:extent cx="5943600" cy="1095375"/>
            <wp:effectExtent l="19050" t="19050" r="19050" b="28575"/>
            <wp:docPr id="13" name="Picture 13" descr="Image: Race/Ethnicity, Cohort Students, Regular HS Diploma Graduates, Cohort Graduation Rate, Graduates Meeting UC/CSU Requirements, Graduates Earning a Seal of Biliteracy, and Graduates Earning a Golden State Seal Merit Diplo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hort colum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16077B61" w14:textId="1E09686A" w:rsidR="000B47D8" w:rsidRDefault="000B47D8" w:rsidP="000A4D21">
      <w:pPr>
        <w:spacing w:before="240" w:after="120"/>
      </w:pPr>
      <w:r>
        <w:t xml:space="preserve">The default report view is aggregated by Race/Ethnicity and displays </w:t>
      </w:r>
      <w:r w:rsidRPr="000B47D8">
        <w:rPr>
          <w:b/>
        </w:rPr>
        <w:t>counts of graduates who met A-G requirements</w:t>
      </w:r>
      <w:r>
        <w:t>.</w:t>
      </w:r>
    </w:p>
    <w:p w14:paraId="52D49319" w14:textId="237001B6" w:rsidR="000B47D8" w:rsidRDefault="00660AC5" w:rsidP="000A4D21">
      <w:pPr>
        <w:spacing w:after="120"/>
      </w:pPr>
      <w:r>
        <w:lastRenderedPageBreak/>
        <w:t>S</w:t>
      </w:r>
      <w:r w:rsidR="000B47D8">
        <w:t xml:space="preserve">elect the </w:t>
      </w:r>
      <w:r w:rsidR="00EA1110" w:rsidRPr="006A1FF3">
        <w:rPr>
          <w:b/>
          <w:i/>
        </w:rPr>
        <w:t>+</w:t>
      </w:r>
      <w:r w:rsidR="00EA1110" w:rsidRPr="006A1FF3">
        <w:rPr>
          <w:b/>
          <w:i/>
          <w:sz w:val="20"/>
        </w:rPr>
        <w:t xml:space="preserve"> </w:t>
      </w:r>
      <w:r w:rsidR="00EA1110" w:rsidRPr="006A1FF3">
        <w:rPr>
          <w:b/>
          <w:i/>
        </w:rPr>
        <w:t>Report Options and Filters</w:t>
      </w:r>
      <w:r w:rsidR="00EA1110">
        <w:t xml:space="preserve"> expandable link to view the report by Race/Ethnicity, Program Subgroup, or Academic Year.</w:t>
      </w:r>
    </w:p>
    <w:p w14:paraId="15827182" w14:textId="3C92996B" w:rsidR="00EA1110" w:rsidRDefault="00EA1110" w:rsidP="00EA1110">
      <w:pPr>
        <w:spacing w:after="0"/>
      </w:pPr>
      <w:r>
        <w:rPr>
          <w:noProof/>
        </w:rPr>
        <w:drawing>
          <wp:inline distT="0" distB="0" distL="0" distR="0" wp14:anchorId="5F1462A7" wp14:editId="797BADB1">
            <wp:extent cx="3492679" cy="482625"/>
            <wp:effectExtent l="19050" t="19050" r="12700" b="12700"/>
            <wp:docPr id="14" name="Picture 14" descr="Image shows Report Options and Filters with a plus sign indicating this is expandable tex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portoption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679" cy="48262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441BBC88" w14:textId="66A441FF" w:rsidR="00660AC5" w:rsidRDefault="00EA1110" w:rsidP="000A4D21">
      <w:pPr>
        <w:spacing w:before="240" w:after="120"/>
      </w:pPr>
      <w:r>
        <w:t xml:space="preserve">To view </w:t>
      </w:r>
      <w:r w:rsidRPr="00EA1110">
        <w:rPr>
          <w:b/>
        </w:rPr>
        <w:t>A-G Completion Rates</w:t>
      </w:r>
      <w:r>
        <w:t xml:space="preserve">, select </w:t>
      </w:r>
      <w:r w:rsidR="00660AC5">
        <w:t xml:space="preserve">the </w:t>
      </w:r>
      <w:r>
        <w:t xml:space="preserve">option to </w:t>
      </w:r>
      <w:r w:rsidRPr="006A1FF3">
        <w:rPr>
          <w:b/>
          <w:i/>
        </w:rPr>
        <w:t>view the data as</w:t>
      </w:r>
      <w:r>
        <w:t xml:space="preserve"> </w:t>
      </w:r>
      <w:r w:rsidR="006A1FF3">
        <w:t>“</w:t>
      </w:r>
      <w:proofErr w:type="spellStart"/>
      <w:r w:rsidRPr="006A1FF3">
        <w:t>percents</w:t>
      </w:r>
      <w:proofErr w:type="spellEnd"/>
      <w:r w:rsidR="006A1FF3">
        <w:rPr>
          <w:b/>
        </w:rPr>
        <w:t xml:space="preserve">” </w:t>
      </w:r>
      <w:r w:rsidR="006A1FF3" w:rsidRPr="006A1FF3">
        <w:t>in the</w:t>
      </w:r>
      <w:r w:rsidR="006A1FF3">
        <w:rPr>
          <w:b/>
        </w:rPr>
        <w:t xml:space="preserve"> </w:t>
      </w:r>
      <w:r w:rsidR="006A1FF3" w:rsidRPr="006A1FF3">
        <w:rPr>
          <w:b/>
          <w:i/>
        </w:rPr>
        <w:t>Display Options</w:t>
      </w:r>
      <w:r w:rsidR="006A1FF3">
        <w:rPr>
          <w:b/>
        </w:rPr>
        <w:t xml:space="preserve"> </w:t>
      </w:r>
      <w:r w:rsidR="006A1FF3" w:rsidRPr="006A1FF3">
        <w:t>section</w:t>
      </w:r>
      <w:r>
        <w:t>.</w:t>
      </w:r>
    </w:p>
    <w:p w14:paraId="1D468482" w14:textId="47300606" w:rsidR="00660AC5" w:rsidRDefault="00660AC5" w:rsidP="00EA1110">
      <w:pPr>
        <w:spacing w:after="0"/>
      </w:pPr>
      <w:r>
        <w:rPr>
          <w:noProof/>
        </w:rPr>
        <w:drawing>
          <wp:inline distT="0" distB="0" distL="0" distR="0" wp14:anchorId="1863F5F7" wp14:editId="2E72DA58">
            <wp:extent cx="3734674" cy="1263650"/>
            <wp:effectExtent l="19050" t="19050" r="18415" b="12700"/>
            <wp:docPr id="15" name="Picture 15" descr="Image shows the Display Options section with View Data As choices of Numbers and Perc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ewDataA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51" cy="1273454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688E9557" w14:textId="1A897FA6" w:rsidR="009E218D" w:rsidRDefault="009E218D" w:rsidP="000A4D21">
      <w:pPr>
        <w:spacing w:before="240" w:after="120"/>
      </w:pPr>
      <w:r>
        <w:t xml:space="preserve">From here, select specific report options, data types, and filters to further narrow the report. (Note that not all options and filters are available for every report due to small </w:t>
      </w:r>
      <w:r w:rsidRPr="005F0C52">
        <w:rPr>
          <w:i/>
        </w:rPr>
        <w:t>n</w:t>
      </w:r>
      <w:r>
        <w:rPr>
          <w:i/>
        </w:rPr>
        <w:t>-</w:t>
      </w:r>
      <w:r>
        <w:t>sizes and for data privacy)</w:t>
      </w:r>
      <w:r w:rsidR="007B082B">
        <w:t>.</w:t>
      </w:r>
    </w:p>
    <w:p w14:paraId="41040EB6" w14:textId="7CA464FC" w:rsidR="007B082B" w:rsidRDefault="006A1FF3" w:rsidP="000A4D21">
      <w:pPr>
        <w:spacing w:after="120"/>
      </w:pPr>
      <w:r>
        <w:t xml:space="preserve">From the statewide level report, the </w:t>
      </w:r>
      <w:r w:rsidR="007B082B" w:rsidRPr="006A1FF3">
        <w:rPr>
          <w:b/>
          <w:i/>
        </w:rPr>
        <w:t>Report Selection</w:t>
      </w:r>
      <w:r w:rsidR="007B082B">
        <w:t xml:space="preserve"> </w:t>
      </w:r>
      <w:r>
        <w:t xml:space="preserve">section </w:t>
      </w:r>
      <w:r w:rsidR="007B082B">
        <w:t>allows users to choose from a list of specific reports as well as the county and the school year for which to view the report.</w:t>
      </w:r>
      <w:r>
        <w:t xml:space="preserve"> </w:t>
      </w:r>
    </w:p>
    <w:p w14:paraId="53B5295E" w14:textId="77777777" w:rsidR="007B082B" w:rsidRDefault="007B082B" w:rsidP="006A1FF3">
      <w:pPr>
        <w:spacing w:after="0"/>
      </w:pPr>
      <w:r>
        <w:rPr>
          <w:noProof/>
        </w:rPr>
        <w:drawing>
          <wp:inline distT="0" distB="0" distL="0" distR="0" wp14:anchorId="40B421F4" wp14:editId="19EE780C">
            <wp:extent cx="4337406" cy="1317735"/>
            <wp:effectExtent l="19050" t="19050" r="25400" b="15875"/>
            <wp:docPr id="4" name="Picture 4" descr="This image shows the report selection option. With Report: Four-Year Adjusted Cohort Graduation Rate, County: 00 - Statewide, and Year: 2020-21 selected from the dropdown men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ortSelecti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406" cy="1317735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04874D9C" w14:textId="26043610" w:rsidR="00464AD0" w:rsidRDefault="006A1FF3" w:rsidP="001A30C5">
      <w:pPr>
        <w:spacing w:before="240" w:after="120"/>
      </w:pPr>
      <w:r>
        <w:t xml:space="preserve">The </w:t>
      </w:r>
      <w:r w:rsidR="007B082B" w:rsidRPr="006A1FF3">
        <w:rPr>
          <w:b/>
          <w:i/>
        </w:rPr>
        <w:t>Report Filters</w:t>
      </w:r>
      <w:r w:rsidR="007B082B">
        <w:t xml:space="preserve"> </w:t>
      </w:r>
      <w:r>
        <w:t xml:space="preserve">section </w:t>
      </w:r>
      <w:r w:rsidR="007B082B">
        <w:t>allow</w:t>
      </w:r>
      <w:r>
        <w:t>s</w:t>
      </w:r>
      <w:r w:rsidR="007B082B">
        <w:t xml:space="preserve"> users to choose </w:t>
      </w:r>
      <w:r w:rsidR="00834088">
        <w:t>specific views and further disaggregat</w:t>
      </w:r>
      <w:r>
        <w:t>e</w:t>
      </w:r>
      <w:r w:rsidR="00834088">
        <w:t xml:space="preserve"> the data by selecting from multiple options.</w:t>
      </w:r>
      <w:r w:rsidR="00687E04">
        <w:t xml:space="preserve"> </w:t>
      </w:r>
      <w:r w:rsidR="009D2474">
        <w:t>A</w:t>
      </w:r>
      <w:r w:rsidR="00687E04">
        <w:t xml:space="preserve"> detailed description of these options</w:t>
      </w:r>
      <w:r w:rsidR="00B77F28">
        <w:t xml:space="preserve"> </w:t>
      </w:r>
      <w:r w:rsidR="009D2474">
        <w:t xml:space="preserve">is available in Appendix A </w:t>
      </w:r>
      <w:r w:rsidR="001B770C">
        <w:t xml:space="preserve">on page </w:t>
      </w:r>
      <w:r w:rsidR="000A4D21">
        <w:t>4</w:t>
      </w:r>
      <w:r w:rsidR="001B770C">
        <w:t xml:space="preserve"> of this document</w:t>
      </w:r>
      <w:r w:rsidR="00687E04" w:rsidRPr="00687E04">
        <w:t>.</w:t>
      </w:r>
    </w:p>
    <w:p w14:paraId="55B90F52" w14:textId="77777777" w:rsidR="007B082B" w:rsidRDefault="007B082B" w:rsidP="00EA1110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3C151A49" wp14:editId="5ED9228D">
            <wp:extent cx="6007100" cy="1933362"/>
            <wp:effectExtent l="19050" t="19050" r="12700" b="10160"/>
            <wp:docPr id="12" name="Picture 12" descr="This image shows the available report filter options descriptive text available in Appendix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port Filter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696" cy="1944496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378D98BA" w14:textId="77777777" w:rsidR="00464AD0" w:rsidRDefault="00464AD0" w:rsidP="00EA1110">
      <w:pPr>
        <w:spacing w:after="0"/>
      </w:pPr>
    </w:p>
    <w:p w14:paraId="19C6BBC0" w14:textId="320357F3" w:rsidR="00B54E0D" w:rsidRPr="00A2559C" w:rsidRDefault="00B54E0D" w:rsidP="00EA1110">
      <w:pPr>
        <w:pStyle w:val="Heading2"/>
        <w:spacing w:before="0" w:after="0"/>
        <w:rPr>
          <w:sz w:val="28"/>
          <w:szCs w:val="28"/>
        </w:rPr>
      </w:pPr>
      <w:r w:rsidRPr="00A2559C">
        <w:rPr>
          <w:sz w:val="28"/>
          <w:szCs w:val="28"/>
        </w:rPr>
        <w:t>Appendix</w:t>
      </w:r>
      <w:r w:rsidR="00A2559C">
        <w:rPr>
          <w:sz w:val="28"/>
          <w:szCs w:val="28"/>
        </w:rPr>
        <w:t xml:space="preserve"> A</w:t>
      </w:r>
      <w:r w:rsidRPr="00A2559C">
        <w:rPr>
          <w:sz w:val="28"/>
          <w:szCs w:val="28"/>
        </w:rPr>
        <w:t xml:space="preserve"> for DataQuest </w:t>
      </w:r>
      <w:r w:rsidR="00834088" w:rsidRPr="00A2559C">
        <w:rPr>
          <w:sz w:val="28"/>
          <w:szCs w:val="28"/>
        </w:rPr>
        <w:t xml:space="preserve">Report </w:t>
      </w:r>
      <w:r w:rsidRPr="00A2559C">
        <w:rPr>
          <w:sz w:val="28"/>
          <w:szCs w:val="28"/>
        </w:rPr>
        <w:t>Filter</w:t>
      </w:r>
      <w:r w:rsidR="00834088" w:rsidRPr="00A2559C">
        <w:rPr>
          <w:sz w:val="28"/>
          <w:szCs w:val="28"/>
        </w:rPr>
        <w:t>s image</w:t>
      </w:r>
    </w:p>
    <w:p w14:paraId="319CD4E6" w14:textId="1391A2FF" w:rsidR="001A30C5" w:rsidRPr="007428B8" w:rsidRDefault="00834088" w:rsidP="001A30C5">
      <w:pPr>
        <w:spacing w:after="0"/>
      </w:pPr>
      <w:r>
        <w:t>Th</w:t>
      </w:r>
      <w:r w:rsidR="008D1E85">
        <w:t>e Report F</w:t>
      </w:r>
      <w:r>
        <w:t xml:space="preserve">ilters </w:t>
      </w:r>
      <w:r w:rsidR="008D1E85">
        <w:t xml:space="preserve">include the following options for </w:t>
      </w:r>
      <w:r w:rsidR="000A4D21">
        <w:t xml:space="preserve">the Graduation and Dropout data reports </w:t>
      </w:r>
      <w:r w:rsidR="008D1E85">
        <w:t>on DataQuest</w:t>
      </w:r>
      <w:r>
        <w:t xml:space="preserve">. From the School Type filter users can select to view the report for All Schools, Charter schools, or Non-Charter schools. From the </w:t>
      </w:r>
      <w:r w:rsidR="00A5458F">
        <w:t>Alternative Schools</w:t>
      </w:r>
      <w:r>
        <w:t xml:space="preserve"> filter users can select to view the report for All </w:t>
      </w:r>
      <w:r w:rsidR="00A5458F">
        <w:t>Schools, Alternative Schools, or Non-Alternative (Regular) Schools</w:t>
      </w:r>
      <w:r>
        <w:t>. From the Gender filter users can select to view the report for All Students, Male students only, Female students only</w:t>
      </w:r>
      <w:r w:rsidR="00A5458F">
        <w:t>, Non-Binary students, or Missing gender students</w:t>
      </w:r>
      <w:r>
        <w:t xml:space="preserve">. From the English Learners filter users can select to view the report for All Students, </w:t>
      </w:r>
      <w:r w:rsidR="001B770C">
        <w:t>yes</w:t>
      </w:r>
      <w:r>
        <w:t xml:space="preserve"> (which means English Learners), or No (which means students who are not English Learners). From the Students with Disabilities filter users can select to view the report for All Students, </w:t>
      </w:r>
      <w:r w:rsidR="001B770C">
        <w:t>yes</w:t>
      </w:r>
      <w:r>
        <w:t xml:space="preserve"> (which means students with an identified disability), or No (</w:t>
      </w:r>
      <w:r w:rsidR="00A5458F">
        <w:t xml:space="preserve">which means </w:t>
      </w:r>
      <w:r>
        <w:t>students with no identified disability). From the Program Subgroups dropdown menu users can select to view the report for Socioeconomically Disadvantaged students, Migrant students, Foster students, or Homeless students.</w:t>
      </w:r>
    </w:p>
    <w:p w14:paraId="3CFCB9FF" w14:textId="67BFE921" w:rsidR="000A4D21" w:rsidRPr="007428B8" w:rsidRDefault="000A4D21" w:rsidP="00EA1110">
      <w:pPr>
        <w:spacing w:after="0"/>
      </w:pPr>
    </w:p>
    <w:sectPr w:rsidR="000A4D21" w:rsidRPr="007428B8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EA57" w14:textId="77777777" w:rsidR="00656A4C" w:rsidRDefault="00656A4C" w:rsidP="00A2559C">
      <w:pPr>
        <w:spacing w:after="0" w:line="240" w:lineRule="auto"/>
      </w:pPr>
      <w:r>
        <w:separator/>
      </w:r>
    </w:p>
  </w:endnote>
  <w:endnote w:type="continuationSeparator" w:id="0">
    <w:p w14:paraId="10F6350F" w14:textId="77777777" w:rsidR="00656A4C" w:rsidRDefault="00656A4C" w:rsidP="00A2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EA64" w14:textId="77777777" w:rsidR="00656A4C" w:rsidRDefault="00656A4C" w:rsidP="00A2559C">
      <w:pPr>
        <w:spacing w:after="0" w:line="240" w:lineRule="auto"/>
      </w:pPr>
      <w:r>
        <w:separator/>
      </w:r>
    </w:p>
  </w:footnote>
  <w:footnote w:type="continuationSeparator" w:id="0">
    <w:p w14:paraId="1414A575" w14:textId="77777777" w:rsidR="00656A4C" w:rsidRDefault="00656A4C" w:rsidP="00A2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67171" w:themeColor="background2" w:themeShade="80"/>
      </w:rPr>
      <w:id w:val="-1318336367"/>
      <w:docPartObj>
        <w:docPartGallery w:val="Page Numbers (Top of Page)"/>
        <w:docPartUnique/>
      </w:docPartObj>
    </w:sdtPr>
    <w:sdtEndPr/>
    <w:sdtContent>
      <w:p w14:paraId="4C0C42DC" w14:textId="77777777" w:rsidR="00586D3D" w:rsidRDefault="00586D3D">
        <w:pPr>
          <w:pStyle w:val="Header"/>
          <w:jc w:val="right"/>
          <w:rPr>
            <w:color w:val="767171" w:themeColor="background2" w:themeShade="80"/>
          </w:rPr>
        </w:pPr>
        <w:r>
          <w:rPr>
            <w:color w:val="767171" w:themeColor="background2" w:themeShade="80"/>
          </w:rPr>
          <w:t xml:space="preserve">California Department of Education </w:t>
        </w:r>
      </w:p>
      <w:p w14:paraId="15024BD0" w14:textId="0D6DD642" w:rsidR="00A2559C" w:rsidRPr="00586D3D" w:rsidRDefault="00A2559C">
        <w:pPr>
          <w:pStyle w:val="Header"/>
          <w:jc w:val="right"/>
          <w:rPr>
            <w:color w:val="767171" w:themeColor="background2" w:themeShade="80"/>
          </w:rPr>
        </w:pPr>
        <w:r w:rsidRPr="00586D3D">
          <w:rPr>
            <w:color w:val="767171" w:themeColor="background2" w:themeShade="80"/>
          </w:rPr>
          <w:t xml:space="preserve">Page </w:t>
        </w:r>
        <w:r w:rsidRPr="00586D3D">
          <w:rPr>
            <w:bCs/>
            <w:color w:val="767171" w:themeColor="background2" w:themeShade="80"/>
            <w:szCs w:val="24"/>
          </w:rPr>
          <w:fldChar w:fldCharType="begin"/>
        </w:r>
        <w:r w:rsidRPr="00586D3D">
          <w:rPr>
            <w:bCs/>
            <w:color w:val="767171" w:themeColor="background2" w:themeShade="80"/>
          </w:rPr>
          <w:instrText xml:space="preserve"> PAGE </w:instrText>
        </w:r>
        <w:r w:rsidRPr="00586D3D">
          <w:rPr>
            <w:bCs/>
            <w:color w:val="767171" w:themeColor="background2" w:themeShade="80"/>
            <w:szCs w:val="24"/>
          </w:rPr>
          <w:fldChar w:fldCharType="separate"/>
        </w:r>
        <w:r w:rsidR="00586D3D">
          <w:rPr>
            <w:bCs/>
            <w:noProof/>
            <w:color w:val="767171" w:themeColor="background2" w:themeShade="80"/>
          </w:rPr>
          <w:t>1</w:t>
        </w:r>
        <w:r w:rsidRPr="00586D3D">
          <w:rPr>
            <w:bCs/>
            <w:color w:val="767171" w:themeColor="background2" w:themeShade="80"/>
            <w:szCs w:val="24"/>
          </w:rPr>
          <w:fldChar w:fldCharType="end"/>
        </w:r>
        <w:r w:rsidRPr="00586D3D">
          <w:rPr>
            <w:color w:val="767171" w:themeColor="background2" w:themeShade="80"/>
          </w:rPr>
          <w:t xml:space="preserve"> of </w:t>
        </w:r>
        <w:r w:rsidRPr="00586D3D">
          <w:rPr>
            <w:bCs/>
            <w:color w:val="767171" w:themeColor="background2" w:themeShade="80"/>
            <w:szCs w:val="24"/>
          </w:rPr>
          <w:fldChar w:fldCharType="begin"/>
        </w:r>
        <w:r w:rsidRPr="00586D3D">
          <w:rPr>
            <w:bCs/>
            <w:color w:val="767171" w:themeColor="background2" w:themeShade="80"/>
          </w:rPr>
          <w:instrText xml:space="preserve"> NUMPAGES  </w:instrText>
        </w:r>
        <w:r w:rsidRPr="00586D3D">
          <w:rPr>
            <w:bCs/>
            <w:color w:val="767171" w:themeColor="background2" w:themeShade="80"/>
            <w:szCs w:val="24"/>
          </w:rPr>
          <w:fldChar w:fldCharType="separate"/>
        </w:r>
        <w:r w:rsidR="00586D3D">
          <w:rPr>
            <w:bCs/>
            <w:noProof/>
            <w:color w:val="767171" w:themeColor="background2" w:themeShade="80"/>
          </w:rPr>
          <w:t>5</w:t>
        </w:r>
        <w:r w:rsidRPr="00586D3D">
          <w:rPr>
            <w:bCs/>
            <w:color w:val="767171" w:themeColor="background2" w:themeShade="80"/>
            <w:szCs w:val="24"/>
          </w:rPr>
          <w:fldChar w:fldCharType="end"/>
        </w:r>
      </w:p>
    </w:sdtContent>
  </w:sdt>
  <w:p w14:paraId="18FE1094" w14:textId="77777777" w:rsidR="00A2559C" w:rsidRDefault="00A25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2E"/>
    <w:rsid w:val="000A4D21"/>
    <w:rsid w:val="000B47D8"/>
    <w:rsid w:val="000D5460"/>
    <w:rsid w:val="0010374B"/>
    <w:rsid w:val="0010672F"/>
    <w:rsid w:val="00122292"/>
    <w:rsid w:val="001567BB"/>
    <w:rsid w:val="001A0CA5"/>
    <w:rsid w:val="001A30C5"/>
    <w:rsid w:val="001B770C"/>
    <w:rsid w:val="001D20D4"/>
    <w:rsid w:val="00212390"/>
    <w:rsid w:val="002749A9"/>
    <w:rsid w:val="00275012"/>
    <w:rsid w:val="00282C06"/>
    <w:rsid w:val="00290605"/>
    <w:rsid w:val="002E4CB5"/>
    <w:rsid w:val="00304693"/>
    <w:rsid w:val="0034149A"/>
    <w:rsid w:val="00364830"/>
    <w:rsid w:val="0037679A"/>
    <w:rsid w:val="003B6EEF"/>
    <w:rsid w:val="00464AD0"/>
    <w:rsid w:val="004D1D75"/>
    <w:rsid w:val="00502ADC"/>
    <w:rsid w:val="0054087C"/>
    <w:rsid w:val="0054600D"/>
    <w:rsid w:val="00586D3D"/>
    <w:rsid w:val="005F0C52"/>
    <w:rsid w:val="00656A4C"/>
    <w:rsid w:val="00660AC5"/>
    <w:rsid w:val="00687E04"/>
    <w:rsid w:val="006A1FF3"/>
    <w:rsid w:val="006D786D"/>
    <w:rsid w:val="0070457E"/>
    <w:rsid w:val="0074280B"/>
    <w:rsid w:val="007428B8"/>
    <w:rsid w:val="00745026"/>
    <w:rsid w:val="00792C93"/>
    <w:rsid w:val="007A37DC"/>
    <w:rsid w:val="007B082B"/>
    <w:rsid w:val="007F69E1"/>
    <w:rsid w:val="00834088"/>
    <w:rsid w:val="008D1E85"/>
    <w:rsid w:val="009C0C21"/>
    <w:rsid w:val="009D2474"/>
    <w:rsid w:val="009E218D"/>
    <w:rsid w:val="009F6F96"/>
    <w:rsid w:val="00A031DA"/>
    <w:rsid w:val="00A1542D"/>
    <w:rsid w:val="00A2089B"/>
    <w:rsid w:val="00A2559C"/>
    <w:rsid w:val="00A32F52"/>
    <w:rsid w:val="00A5458F"/>
    <w:rsid w:val="00A807F0"/>
    <w:rsid w:val="00AB388C"/>
    <w:rsid w:val="00AD1124"/>
    <w:rsid w:val="00AD4BA5"/>
    <w:rsid w:val="00B33C9A"/>
    <w:rsid w:val="00B54E0D"/>
    <w:rsid w:val="00B77F28"/>
    <w:rsid w:val="00B91B84"/>
    <w:rsid w:val="00BD50F7"/>
    <w:rsid w:val="00BF0FCF"/>
    <w:rsid w:val="00BF2F2E"/>
    <w:rsid w:val="00C85CB9"/>
    <w:rsid w:val="00D47DAB"/>
    <w:rsid w:val="00DD63D1"/>
    <w:rsid w:val="00E620FC"/>
    <w:rsid w:val="00EA1110"/>
    <w:rsid w:val="00EA5028"/>
    <w:rsid w:val="00EB52ED"/>
    <w:rsid w:val="00EE5A91"/>
    <w:rsid w:val="00F336B0"/>
    <w:rsid w:val="00F561FF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61E0"/>
  <w15:chartTrackingRefBased/>
  <w15:docId w15:val="{73FE7B7B-9EF4-4685-8CBE-749D2B6E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D21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D21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BF2F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F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7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E0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0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59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2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59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q.cde.ca.gov/dataquest/" TargetMode="Externa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Accessing Data - Student Group Information (CA Dept of Education)</vt:lpstr>
    </vt:vector>
  </TitlesOfParts>
  <Company>California Department of Education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Accessing A-G Completion Data - Student Group Information (CA Dept of Education)</dc:title>
  <dc:subject>This document contains information on accessing data for the foster youth.</dc:subject>
  <dc:creator>Liberty Van Natten</dc:creator>
  <cp:keywords/>
  <dc:description/>
  <cp:lastModifiedBy>Jagdish Calley</cp:lastModifiedBy>
  <cp:revision>6</cp:revision>
  <dcterms:created xsi:type="dcterms:W3CDTF">2022-02-04T16:41:00Z</dcterms:created>
  <dcterms:modified xsi:type="dcterms:W3CDTF">2022-02-05T00:35:00Z</dcterms:modified>
</cp:coreProperties>
</file>