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54C8" w14:textId="443B24F4" w:rsidR="00DD63D1" w:rsidRPr="00DD63D1" w:rsidRDefault="00DD63D1" w:rsidP="00DD63D1">
      <w:bookmarkStart w:id="0" w:name="_GoBack"/>
      <w:bookmarkEnd w:id="0"/>
      <w:r w:rsidRPr="00DD63D1">
        <w:t>California Department of Education, February 2020</w:t>
      </w:r>
    </w:p>
    <w:p w14:paraId="06DB83DD" w14:textId="1768E35E" w:rsidR="007428B8" w:rsidRDefault="00BF2F2E" w:rsidP="002749A9">
      <w:pPr>
        <w:pStyle w:val="Heading1"/>
        <w:spacing w:after="600"/>
      </w:pPr>
      <w:r>
        <w:t>Accessing Data Publicly Available on the CDE Webpage</w:t>
      </w:r>
    </w:p>
    <w:p w14:paraId="2E5E6E9B" w14:textId="77777777" w:rsidR="00BF2F2E" w:rsidRDefault="00BF2F2E" w:rsidP="002749A9">
      <w:pPr>
        <w:spacing w:after="600"/>
        <w:jc w:val="center"/>
      </w:pPr>
      <w:r>
        <w:rPr>
          <w:noProof/>
        </w:rPr>
        <w:drawing>
          <wp:inline distT="0" distB="0" distL="0" distR="0" wp14:anchorId="68A0456F" wp14:editId="4E18E4B5">
            <wp:extent cx="4410075" cy="813333"/>
            <wp:effectExtent l="57150" t="57150" r="104775" b="120650"/>
            <wp:docPr id="1" name="Picture 1" descr="An image of the DataQu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Qu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83027" cy="845230"/>
                    </a:xfrm>
                    <a:prstGeom prst="rect">
                      <a:avLst/>
                    </a:prstGeom>
                    <a:ln w="12700" cap="sq">
                      <a:solidFill>
                        <a:schemeClr val="tx1"/>
                      </a:solidFill>
                      <a:miter lim="800000"/>
                    </a:ln>
                    <a:effectLst>
                      <a:outerShdw blurRad="57150" dist="50800" dir="2700000" algn="tl" rotWithShape="0">
                        <a:srgbClr val="000000">
                          <a:alpha val="40000"/>
                        </a:srgbClr>
                      </a:outerShdw>
                    </a:effectLst>
                  </pic:spPr>
                </pic:pic>
              </a:graphicData>
            </a:graphic>
          </wp:inline>
        </w:drawing>
      </w:r>
    </w:p>
    <w:p w14:paraId="77C6086C" w14:textId="77777777" w:rsidR="00BF2F2E" w:rsidRPr="0034149A" w:rsidRDefault="00BF2F2E" w:rsidP="0034149A">
      <w:pPr>
        <w:pStyle w:val="Heading2"/>
        <w:spacing w:after="240"/>
        <w:rPr>
          <w:sz w:val="28"/>
          <w:szCs w:val="28"/>
        </w:rPr>
      </w:pPr>
      <w:r w:rsidRPr="0034149A">
        <w:rPr>
          <w:sz w:val="28"/>
          <w:szCs w:val="28"/>
        </w:rPr>
        <w:t>DataQuest</w:t>
      </w:r>
    </w:p>
    <w:p w14:paraId="033E0874" w14:textId="77777777" w:rsidR="00464AD0" w:rsidRDefault="00BF2F2E" w:rsidP="00FE3007">
      <w:r>
        <w:t xml:space="preserve">Reports on foster youth can be found on DataQuest, the Department’s data reporting website. </w:t>
      </w:r>
    </w:p>
    <w:p w14:paraId="7DD70F4C" w14:textId="09EEA09F" w:rsidR="00BF2F2E" w:rsidRDefault="00BF2F2E" w:rsidP="00FE3007">
      <w:r>
        <w:t xml:space="preserve">DataQuest can </w:t>
      </w:r>
      <w:r w:rsidR="00464AD0">
        <w:t xml:space="preserve">be accessed </w:t>
      </w:r>
      <w:r w:rsidR="00C85CB9">
        <w:t>at</w:t>
      </w:r>
      <w:r w:rsidR="00464AD0">
        <w:t xml:space="preserve"> </w:t>
      </w:r>
      <w:hyperlink r:id="rId7" w:tooltip="DataQuest web page" w:history="1">
        <w:r w:rsidR="00C85CB9">
          <w:rPr>
            <w:rStyle w:val="Hyperlink"/>
          </w:rPr>
          <w:t>https://dq.cde.ca.gov/dataquest/</w:t>
        </w:r>
      </w:hyperlink>
    </w:p>
    <w:p w14:paraId="3E72C98D" w14:textId="77777777" w:rsidR="00BF2F2E" w:rsidRDefault="00464AD0" w:rsidP="0034149A">
      <w:pPr>
        <w:spacing w:after="600"/>
      </w:pPr>
      <w:r>
        <w:t>Instructions on accessing reports on foster youth on DataQuest are listed below.</w:t>
      </w:r>
    </w:p>
    <w:p w14:paraId="54AB0934" w14:textId="77777777" w:rsidR="00B54E0D" w:rsidRDefault="00B54E0D" w:rsidP="002749A9">
      <w:pPr>
        <w:spacing w:after="600"/>
      </w:pPr>
      <w:r>
        <w:t xml:space="preserve">Once on the DataQuest website, select the </w:t>
      </w:r>
      <w:r w:rsidRPr="0070457E">
        <w:rPr>
          <w:b/>
        </w:rPr>
        <w:t>level</w:t>
      </w:r>
      <w:r>
        <w:t xml:space="preserve"> to view the report such as “State” or “County.”</w:t>
      </w:r>
    </w:p>
    <w:p w14:paraId="408CE7B5" w14:textId="77777777" w:rsidR="00BF2F2E" w:rsidRDefault="00BF2F2E" w:rsidP="002749A9">
      <w:pPr>
        <w:spacing w:after="3000"/>
        <w:jc w:val="center"/>
      </w:pPr>
      <w:r>
        <w:rPr>
          <w:noProof/>
        </w:rPr>
        <w:drawing>
          <wp:inline distT="0" distB="0" distL="0" distR="0" wp14:anchorId="49880F77" wp14:editId="7F6DE311">
            <wp:extent cx="2607290" cy="1695450"/>
            <wp:effectExtent l="57150" t="57150" r="117475" b="114300"/>
            <wp:docPr id="3" name="Picture 3" descr="Image shows select level. Level has drop-down with state, county, distri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vel drop down.PNG"/>
                    <pic:cNvPicPr/>
                  </pic:nvPicPr>
                  <pic:blipFill>
                    <a:blip r:embed="rId8">
                      <a:extLst>
                        <a:ext uri="{28A0092B-C50C-407E-A947-70E740481C1C}">
                          <a14:useLocalDpi xmlns:a14="http://schemas.microsoft.com/office/drawing/2010/main" val="0"/>
                        </a:ext>
                      </a:extLst>
                    </a:blip>
                    <a:stretch>
                      <a:fillRect/>
                    </a:stretch>
                  </pic:blipFill>
                  <pic:spPr>
                    <a:xfrm>
                      <a:off x="0" y="0"/>
                      <a:ext cx="2648564" cy="172228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51EF4A6" w14:textId="6DB17453" w:rsidR="00B54E0D" w:rsidRDefault="00B54E0D" w:rsidP="002749A9">
      <w:pPr>
        <w:spacing w:after="360"/>
      </w:pPr>
      <w:r>
        <w:lastRenderedPageBreak/>
        <w:t xml:space="preserve">After selecting the level of the report, select the </w:t>
      </w:r>
      <w:r w:rsidRPr="0070457E">
        <w:rPr>
          <w:b/>
        </w:rPr>
        <w:t>subject</w:t>
      </w:r>
      <w:r>
        <w:t xml:space="preserve"> of the report such as “</w:t>
      </w:r>
      <w:r w:rsidR="00E620FC">
        <w:t>Student Demographics</w:t>
      </w:r>
      <w:r>
        <w:t xml:space="preserve">” </w:t>
      </w:r>
      <w:r w:rsidR="00E620FC">
        <w:t>and</w:t>
      </w:r>
      <w:r>
        <w:t xml:space="preserve"> “Foster Students” and then click the “SUBMIT” button.</w:t>
      </w:r>
    </w:p>
    <w:p w14:paraId="635391C8" w14:textId="0AD02621" w:rsidR="009E218D" w:rsidRDefault="0070457E" w:rsidP="002749A9">
      <w:pPr>
        <w:spacing w:after="480"/>
        <w:jc w:val="center"/>
      </w:pPr>
      <w:r>
        <w:rPr>
          <w:noProof/>
        </w:rPr>
        <w:drawing>
          <wp:inline distT="0" distB="0" distL="0" distR="0" wp14:anchorId="60E2778F" wp14:editId="195B23D2">
            <wp:extent cx="3562350" cy="1086232"/>
            <wp:effectExtent l="57150" t="57150" r="114300" b="114300"/>
            <wp:docPr id="5" name="Picture 5" descr="Image shows part of the subjects list drop-down with Student Demographics, Enrollment, Four-Year Cohort Graduation Rate, English Learners, and Foste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ject.PNG"/>
                    <pic:cNvPicPr/>
                  </pic:nvPicPr>
                  <pic:blipFill rotWithShape="1">
                    <a:blip r:embed="rId9">
                      <a:extLst>
                        <a:ext uri="{28A0092B-C50C-407E-A947-70E740481C1C}">
                          <a14:useLocalDpi xmlns:a14="http://schemas.microsoft.com/office/drawing/2010/main" val="0"/>
                        </a:ext>
                      </a:extLst>
                    </a:blip>
                    <a:srcRect b="33190"/>
                    <a:stretch/>
                  </pic:blipFill>
                  <pic:spPr bwMode="auto">
                    <a:xfrm>
                      <a:off x="0" y="0"/>
                      <a:ext cx="3618959" cy="1103493"/>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80C9082" w14:textId="77777777" w:rsidR="009E218D" w:rsidRDefault="00E620FC" w:rsidP="002749A9">
      <w:pPr>
        <w:spacing w:after="360"/>
      </w:pPr>
      <w:r>
        <w:t xml:space="preserve">From here, select the school </w:t>
      </w:r>
      <w:r w:rsidRPr="0070457E">
        <w:rPr>
          <w:b/>
        </w:rPr>
        <w:t>year</w:t>
      </w:r>
      <w:r>
        <w:t xml:space="preserve"> for the report and then click the “SUBMIT” button.</w:t>
      </w:r>
    </w:p>
    <w:p w14:paraId="35107F74" w14:textId="77777777" w:rsidR="0070457E" w:rsidRDefault="0070457E" w:rsidP="002749A9">
      <w:pPr>
        <w:jc w:val="center"/>
      </w:pPr>
      <w:r>
        <w:rPr>
          <w:noProof/>
        </w:rPr>
        <w:drawing>
          <wp:inline distT="0" distB="0" distL="0" distR="0" wp14:anchorId="1A128E36" wp14:editId="53A22C70">
            <wp:extent cx="3358877" cy="1533525"/>
            <wp:effectExtent l="57150" t="57150" r="108585" b="104775"/>
            <wp:docPr id="6" name="Picture 6" descr="Image shows the step to Determine a time frame and the Single year -- select year: with 2017-18 selected in the drop-down and a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eFrame.PNG"/>
                    <pic:cNvPicPr/>
                  </pic:nvPicPr>
                  <pic:blipFill>
                    <a:blip r:embed="rId10">
                      <a:extLst>
                        <a:ext uri="{28A0092B-C50C-407E-A947-70E740481C1C}">
                          <a14:useLocalDpi xmlns:a14="http://schemas.microsoft.com/office/drawing/2010/main" val="0"/>
                        </a:ext>
                      </a:extLst>
                    </a:blip>
                    <a:stretch>
                      <a:fillRect/>
                    </a:stretch>
                  </pic:blipFill>
                  <pic:spPr>
                    <a:xfrm>
                      <a:off x="0" y="0"/>
                      <a:ext cx="3407839" cy="155587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F64FC5" w14:textId="77777777" w:rsidR="00464AD0" w:rsidRDefault="00464AD0" w:rsidP="00FE3007"/>
    <w:p w14:paraId="085F0F1D" w14:textId="77777777" w:rsidR="00464AD0" w:rsidRDefault="00464AD0" w:rsidP="002749A9">
      <w:pPr>
        <w:spacing w:after="360"/>
      </w:pPr>
      <w:r>
        <w:t>Once on the report page, each report can be further filtered and disaggregated by selecting the “Report Options and Filters” link.</w:t>
      </w:r>
    </w:p>
    <w:p w14:paraId="41D37725" w14:textId="77777777" w:rsidR="0070457E" w:rsidRDefault="0070457E" w:rsidP="002749A9">
      <w:pPr>
        <w:spacing w:after="960"/>
        <w:jc w:val="center"/>
      </w:pPr>
      <w:r>
        <w:rPr>
          <w:noProof/>
        </w:rPr>
        <w:drawing>
          <wp:inline distT="0" distB="0" distL="0" distR="0" wp14:anchorId="28BF7E02" wp14:editId="4BC4D4ED">
            <wp:extent cx="3686175" cy="561381"/>
            <wp:effectExtent l="57150" t="57150" r="104775" b="105410"/>
            <wp:docPr id="7" name="Picture 7" descr="Image shows Report Options and Filters with a plus sign indicating this is expandabl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options and filters.PNG"/>
                    <pic:cNvPicPr/>
                  </pic:nvPicPr>
                  <pic:blipFill>
                    <a:blip r:embed="rId11">
                      <a:extLst>
                        <a:ext uri="{28A0092B-C50C-407E-A947-70E740481C1C}">
                          <a14:useLocalDpi xmlns:a14="http://schemas.microsoft.com/office/drawing/2010/main" val="0"/>
                        </a:ext>
                      </a:extLst>
                    </a:blip>
                    <a:stretch>
                      <a:fillRect/>
                    </a:stretch>
                  </pic:blipFill>
                  <pic:spPr>
                    <a:xfrm>
                      <a:off x="0" y="0"/>
                      <a:ext cx="3716678" cy="56602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88E9557" w14:textId="77777777" w:rsidR="009E218D" w:rsidRDefault="009E218D" w:rsidP="002749A9">
      <w:pPr>
        <w:spacing w:after="1200"/>
      </w:pPr>
      <w:r>
        <w:t xml:space="preserve">From here, select specific report options, data types, and filters to further narrow the report. (Note that not all options and filters are available for every report due to small </w:t>
      </w:r>
      <w:r w:rsidRPr="005F0C52">
        <w:rPr>
          <w:i/>
        </w:rPr>
        <w:t>n</w:t>
      </w:r>
      <w:r>
        <w:rPr>
          <w:i/>
        </w:rPr>
        <w:t>-</w:t>
      </w:r>
      <w:r>
        <w:t>sizes and for data privacy)</w:t>
      </w:r>
      <w:r w:rsidR="007B082B">
        <w:t>.</w:t>
      </w:r>
    </w:p>
    <w:p w14:paraId="41040EB6" w14:textId="77777777" w:rsidR="007B082B" w:rsidRDefault="007B082B" w:rsidP="009E218D">
      <w:r>
        <w:lastRenderedPageBreak/>
        <w:t>Report Selection allows users to choose from a list of specific reports as well as the county and the school year for which to view the report.</w:t>
      </w:r>
    </w:p>
    <w:p w14:paraId="53B5295E" w14:textId="77777777" w:rsidR="007B082B" w:rsidRDefault="007B082B" w:rsidP="002749A9">
      <w:pPr>
        <w:jc w:val="center"/>
      </w:pPr>
      <w:r>
        <w:rPr>
          <w:noProof/>
        </w:rPr>
        <w:drawing>
          <wp:inline distT="0" distB="0" distL="0" distR="0" wp14:anchorId="40B421F4" wp14:editId="3F2D6AD9">
            <wp:extent cx="4307375" cy="1419225"/>
            <wp:effectExtent l="57150" t="57150" r="112395" b="104775"/>
            <wp:docPr id="4" name="Picture 4" descr="This image shows the report selection option. With Report: Chronic Absenteeism Rate (with County data), County: 00 - Select a County, and Year: 2017-18 selected from the dropdown m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ortSelection.PNG"/>
                    <pic:cNvPicPr/>
                  </pic:nvPicPr>
                  <pic:blipFill>
                    <a:blip r:embed="rId12">
                      <a:extLst>
                        <a:ext uri="{28A0092B-C50C-407E-A947-70E740481C1C}">
                          <a14:useLocalDpi xmlns:a14="http://schemas.microsoft.com/office/drawing/2010/main" val="0"/>
                        </a:ext>
                      </a:extLst>
                    </a:blip>
                    <a:stretch>
                      <a:fillRect/>
                    </a:stretch>
                  </pic:blipFill>
                  <pic:spPr>
                    <a:xfrm>
                      <a:off x="0" y="0"/>
                      <a:ext cx="4337406" cy="1429120"/>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6800DF66" w14:textId="77777777" w:rsidR="009E218D" w:rsidRDefault="009E218D" w:rsidP="00FE3007"/>
    <w:p w14:paraId="04874D9C" w14:textId="7D7DF887" w:rsidR="00464AD0" w:rsidRDefault="007B082B" w:rsidP="002749A9">
      <w:pPr>
        <w:spacing w:after="360"/>
      </w:pPr>
      <w:r>
        <w:t xml:space="preserve">Report Filters allow users to choose </w:t>
      </w:r>
      <w:r w:rsidR="00834088">
        <w:t>specific views and further disaggregation of the data by selecting from multiple options.</w:t>
      </w:r>
      <w:r w:rsidR="00687E04">
        <w:t xml:space="preserve"> </w:t>
      </w:r>
      <w:r w:rsidR="009D2474">
        <w:t>A</w:t>
      </w:r>
      <w:r w:rsidR="00687E04">
        <w:t xml:space="preserve"> detailed description of these options</w:t>
      </w:r>
      <w:r w:rsidR="00B77F28">
        <w:t xml:space="preserve"> </w:t>
      </w:r>
      <w:r w:rsidR="009D2474">
        <w:t xml:space="preserve">is available in Appendix A </w:t>
      </w:r>
      <w:r w:rsidR="001B770C">
        <w:t>on page 5 of this document</w:t>
      </w:r>
      <w:r w:rsidR="00687E04" w:rsidRPr="00687E04">
        <w:t>.</w:t>
      </w:r>
    </w:p>
    <w:p w14:paraId="55B90F52" w14:textId="77777777" w:rsidR="007B082B" w:rsidRDefault="007B082B" w:rsidP="002749A9">
      <w:pPr>
        <w:spacing w:after="600"/>
        <w:jc w:val="center"/>
      </w:pPr>
      <w:r>
        <w:rPr>
          <w:noProof/>
        </w:rPr>
        <w:drawing>
          <wp:inline distT="0" distB="0" distL="0" distR="0" wp14:anchorId="3C151A49" wp14:editId="3CF6FFA9">
            <wp:extent cx="4429427" cy="1790700"/>
            <wp:effectExtent l="57150" t="57150" r="123825" b="114300"/>
            <wp:docPr id="12" name="Picture 12" descr="This image shows the available report filter options including School Type, Grade Span, Gender, English Learners, Students with Disabilities, and Program Sub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port Filter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4929" cy="1796967"/>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378D98BA" w14:textId="77777777" w:rsidR="00464AD0" w:rsidRDefault="00464AD0" w:rsidP="00FE3007"/>
    <w:p w14:paraId="4E28EC8A" w14:textId="77777777" w:rsidR="00BF2F2E" w:rsidRPr="00A2559C" w:rsidRDefault="00BF2F2E" w:rsidP="0034149A">
      <w:pPr>
        <w:pStyle w:val="Heading3"/>
        <w:rPr>
          <w:sz w:val="28"/>
          <w:szCs w:val="28"/>
        </w:rPr>
      </w:pPr>
      <w:r w:rsidRPr="00A2559C">
        <w:rPr>
          <w:sz w:val="28"/>
          <w:szCs w:val="28"/>
        </w:rPr>
        <w:t>California School Dashboard</w:t>
      </w:r>
    </w:p>
    <w:p w14:paraId="1307433A" w14:textId="77777777" w:rsidR="00BF2F2E" w:rsidRDefault="00BF2F2E" w:rsidP="002749A9">
      <w:pPr>
        <w:jc w:val="center"/>
      </w:pPr>
      <w:r>
        <w:rPr>
          <w:noProof/>
        </w:rPr>
        <w:drawing>
          <wp:inline distT="0" distB="0" distL="0" distR="0" wp14:anchorId="2064B3C5" wp14:editId="4779E74D">
            <wp:extent cx="4781550" cy="371898"/>
            <wp:effectExtent l="57150" t="57150" r="114300" b="123825"/>
            <wp:docPr id="2" name="Picture 2" descr="Image shows Lowest Performance and a Red Gauge on the left moving to Orange, Yellow, Green, and then ending with a Blue gauge on the right with Highest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hboard gauges.PNG"/>
                    <pic:cNvPicPr/>
                  </pic:nvPicPr>
                  <pic:blipFill>
                    <a:blip r:embed="rId14">
                      <a:extLst>
                        <a:ext uri="{28A0092B-C50C-407E-A947-70E740481C1C}">
                          <a14:useLocalDpi xmlns:a14="http://schemas.microsoft.com/office/drawing/2010/main" val="0"/>
                        </a:ext>
                      </a:extLst>
                    </a:blip>
                    <a:stretch>
                      <a:fillRect/>
                    </a:stretch>
                  </pic:blipFill>
                  <pic:spPr>
                    <a:xfrm>
                      <a:off x="0" y="0"/>
                      <a:ext cx="4980818" cy="387397"/>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8AABA6D" w14:textId="66CE85AA" w:rsidR="005F0C52" w:rsidRDefault="005F0C52" w:rsidP="005F0C52">
      <w:r>
        <w:t xml:space="preserve">Statewide accountability reports on foster youth can be found on the California School Dashboard, </w:t>
      </w:r>
      <w:r w:rsidR="004D1D75">
        <w:t xml:space="preserve">California’s </w:t>
      </w:r>
      <w:r>
        <w:t xml:space="preserve">educational accountability system. The Dashboard can be accessed </w:t>
      </w:r>
      <w:r w:rsidR="00C85CB9">
        <w:t>at</w:t>
      </w:r>
      <w:r w:rsidR="007B082B">
        <w:t xml:space="preserve"> </w:t>
      </w:r>
      <w:hyperlink r:id="rId15" w:tooltip="CA School Dashboard" w:history="1">
        <w:r w:rsidR="00C85CB9">
          <w:rPr>
            <w:rStyle w:val="Hyperlink"/>
          </w:rPr>
          <w:t>https://www.caschooldashboard.org/reports/ca/2018</w:t>
        </w:r>
      </w:hyperlink>
    </w:p>
    <w:p w14:paraId="68BE9D78" w14:textId="77777777" w:rsidR="007B082B" w:rsidRDefault="007B082B" w:rsidP="007B082B">
      <w:r>
        <w:t>Instructions on accessing reports on foster youth on DataQuest are listed below.</w:t>
      </w:r>
    </w:p>
    <w:p w14:paraId="73ABF56F" w14:textId="303E8736" w:rsidR="007B082B" w:rsidRDefault="007B082B" w:rsidP="007B082B">
      <w:r>
        <w:lastRenderedPageBreak/>
        <w:t xml:space="preserve">Once on the Dashboard website, </w:t>
      </w:r>
      <w:r w:rsidR="0054600D">
        <w:t>enter a school or district for which to view outcome data. Then s</w:t>
      </w:r>
      <w:r>
        <w:t xml:space="preserve">elect the </w:t>
      </w:r>
      <w:r w:rsidRPr="005F0C52">
        <w:t>accountability</w:t>
      </w:r>
      <w:r>
        <w:rPr>
          <w:b/>
        </w:rPr>
        <w:t xml:space="preserve"> </w:t>
      </w:r>
      <w:r>
        <w:t>report to view such as “Chronic Absenteeism” or “Suspension Rate.”</w:t>
      </w:r>
    </w:p>
    <w:p w14:paraId="26F3924B" w14:textId="77777777" w:rsidR="005F0C52" w:rsidRDefault="005F0C52" w:rsidP="002749A9">
      <w:pPr>
        <w:jc w:val="center"/>
        <w:rPr>
          <w:vertAlign w:val="subscript"/>
        </w:rPr>
      </w:pPr>
      <w:r>
        <w:rPr>
          <w:noProof/>
          <w:vertAlign w:val="subscript"/>
        </w:rPr>
        <w:drawing>
          <wp:inline distT="0" distB="0" distL="0" distR="0" wp14:anchorId="15099587" wp14:editId="0620E690">
            <wp:extent cx="4200525" cy="1418575"/>
            <wp:effectExtent l="57150" t="57150" r="104775" b="106045"/>
            <wp:docPr id="9" name="Picture 9" descr="This image shows two example accountability cards found on the dashboard. Once for Chronic Absenteeism and one for Suspens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port Card - State leve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28128" cy="1427897"/>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11D599" w14:textId="77777777" w:rsidR="00A2559C" w:rsidRDefault="00A2559C" w:rsidP="00A2559C">
      <w:r>
        <w:t>Once on the report landing page, select the “View More Details” option under the specific accountability card.</w:t>
      </w:r>
    </w:p>
    <w:p w14:paraId="5C5359E3" w14:textId="267089A0" w:rsidR="005F0C52" w:rsidRDefault="005F0C52" w:rsidP="002749A9">
      <w:pPr>
        <w:jc w:val="center"/>
      </w:pPr>
      <w:r>
        <w:rPr>
          <w:noProof/>
        </w:rPr>
        <w:drawing>
          <wp:inline distT="0" distB="0" distL="0" distR="0" wp14:anchorId="1F8FC959" wp14:editId="3DBD68F6">
            <wp:extent cx="2143125" cy="579698"/>
            <wp:effectExtent l="57150" t="57150" r="104775" b="106680"/>
            <wp:docPr id="10" name="Picture 10" descr="This image shows the text view mor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ew more detail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9359" cy="58679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1093CF" w14:textId="77777777" w:rsidR="00A2559C" w:rsidRDefault="00A2559C" w:rsidP="00A2559C">
      <w:r>
        <w:t>Then scroll down below the “Explore Groups by Performance Level” section to view the statewide performance for foster youth for the indicator selected.</w:t>
      </w:r>
    </w:p>
    <w:p w14:paraId="408437DF" w14:textId="77777777" w:rsidR="005F0C52" w:rsidRDefault="005F0C52" w:rsidP="002749A9">
      <w:pPr>
        <w:jc w:val="center"/>
      </w:pPr>
      <w:r>
        <w:rPr>
          <w:noProof/>
        </w:rPr>
        <w:drawing>
          <wp:inline distT="0" distB="0" distL="0" distR="0" wp14:anchorId="398B527D" wp14:editId="07F665C4">
            <wp:extent cx="4333875" cy="448667"/>
            <wp:effectExtent l="57150" t="57150" r="104775" b="123190"/>
            <wp:docPr id="11" name="Picture 11" descr="This image shows the text explore groups by performanc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plore groups by performance level.PNG"/>
                    <pic:cNvPicPr/>
                  </pic:nvPicPr>
                  <pic:blipFill>
                    <a:blip r:embed="rId18">
                      <a:extLst>
                        <a:ext uri="{28A0092B-C50C-407E-A947-70E740481C1C}">
                          <a14:useLocalDpi xmlns:a14="http://schemas.microsoft.com/office/drawing/2010/main" val="0"/>
                        </a:ext>
                      </a:extLst>
                    </a:blip>
                    <a:stretch>
                      <a:fillRect/>
                    </a:stretch>
                  </pic:blipFill>
                  <pic:spPr>
                    <a:xfrm>
                      <a:off x="0" y="0"/>
                      <a:ext cx="4485523" cy="46436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8E2A453" w14:textId="77777777" w:rsidR="00B54E0D" w:rsidRDefault="00B54E0D" w:rsidP="009E218D"/>
    <w:p w14:paraId="19C6BBC0" w14:textId="320357F3" w:rsidR="00B54E0D" w:rsidRPr="00A2559C" w:rsidRDefault="00B54E0D" w:rsidP="00B77F28">
      <w:pPr>
        <w:pStyle w:val="Heading2"/>
        <w:rPr>
          <w:sz w:val="28"/>
          <w:szCs w:val="28"/>
        </w:rPr>
      </w:pPr>
      <w:r w:rsidRPr="00A2559C">
        <w:rPr>
          <w:sz w:val="28"/>
          <w:szCs w:val="28"/>
        </w:rPr>
        <w:t>Appendix</w:t>
      </w:r>
      <w:r w:rsidR="00A2559C">
        <w:rPr>
          <w:sz w:val="28"/>
          <w:szCs w:val="28"/>
        </w:rPr>
        <w:t xml:space="preserve"> A</w:t>
      </w:r>
      <w:r w:rsidRPr="00A2559C">
        <w:rPr>
          <w:sz w:val="28"/>
          <w:szCs w:val="28"/>
        </w:rPr>
        <w:t xml:space="preserve"> for DataQuest </w:t>
      </w:r>
      <w:r w:rsidR="00834088" w:rsidRPr="00A2559C">
        <w:rPr>
          <w:sz w:val="28"/>
          <w:szCs w:val="28"/>
        </w:rPr>
        <w:t xml:space="preserve">Report </w:t>
      </w:r>
      <w:r w:rsidRPr="00A2559C">
        <w:rPr>
          <w:sz w:val="28"/>
          <w:szCs w:val="28"/>
        </w:rPr>
        <w:t>Filter</w:t>
      </w:r>
      <w:r w:rsidR="00834088" w:rsidRPr="00A2559C">
        <w:rPr>
          <w:sz w:val="28"/>
          <w:szCs w:val="28"/>
        </w:rPr>
        <w:t>s image</w:t>
      </w:r>
    </w:p>
    <w:p w14:paraId="319CD4E6" w14:textId="0C193001" w:rsidR="009E218D" w:rsidRPr="007428B8" w:rsidRDefault="00834088" w:rsidP="00FE3007">
      <w:r>
        <w:t>Th</w:t>
      </w:r>
      <w:r w:rsidR="008D1E85">
        <w:t>e Report F</w:t>
      </w:r>
      <w:r>
        <w:t xml:space="preserve">ilters </w:t>
      </w:r>
      <w:r w:rsidR="008D1E85">
        <w:t>include the following options for most reports on DataQuest</w:t>
      </w:r>
      <w:r>
        <w:t xml:space="preserve">. From the School Type filter users can select to view the report for All Schools, Charter schools, or Non-Charter schools. From the Grade Span filter users can select to view the report for All Grades, Kindergarten, grades 1-3, grades 4-6, grades 7-8, grades K-8, grades 9-12, or Ungraded grades. From the Gender filter users can select to view the report for All Students, Male students only, or Female students only. From the English Learners filter users can select to view the report for All Students, </w:t>
      </w:r>
      <w:r w:rsidR="001B770C">
        <w:t>yes</w:t>
      </w:r>
      <w:r>
        <w:t xml:space="preserve"> (which means English Learners), or No (which means students who are not English Learners). From the Students with Disabilities filter users can select to view the report for All Students, </w:t>
      </w:r>
      <w:r w:rsidR="001B770C">
        <w:t>yes</w:t>
      </w:r>
      <w:r>
        <w:t xml:space="preserve"> (which means students with an identified disability), or No (students with no identified disability). From the Program Subgroups dropdown menu users can select to view the report for Socioeconomically Disadvantaged students, Migrant students, Foster students, or Homeless students.</w:t>
      </w:r>
    </w:p>
    <w:sectPr w:rsidR="009E218D" w:rsidRPr="007428B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FC91" w14:textId="77777777" w:rsidR="00A32F52" w:rsidRDefault="00A32F52" w:rsidP="00A2559C">
      <w:pPr>
        <w:spacing w:after="0" w:line="240" w:lineRule="auto"/>
      </w:pPr>
      <w:r>
        <w:separator/>
      </w:r>
    </w:p>
  </w:endnote>
  <w:endnote w:type="continuationSeparator" w:id="0">
    <w:p w14:paraId="44786531" w14:textId="77777777" w:rsidR="00A32F52" w:rsidRDefault="00A32F52" w:rsidP="00A2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3E63" w14:textId="77777777" w:rsidR="00A32F52" w:rsidRDefault="00A32F52" w:rsidP="00A2559C">
      <w:pPr>
        <w:spacing w:after="0" w:line="240" w:lineRule="auto"/>
      </w:pPr>
      <w:r>
        <w:separator/>
      </w:r>
    </w:p>
  </w:footnote>
  <w:footnote w:type="continuationSeparator" w:id="0">
    <w:p w14:paraId="6461EC38" w14:textId="77777777" w:rsidR="00A32F52" w:rsidRDefault="00A32F52" w:rsidP="00A2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67171" w:themeColor="background2" w:themeShade="80"/>
      </w:rPr>
      <w:id w:val="-1318336367"/>
      <w:docPartObj>
        <w:docPartGallery w:val="Page Numbers (Top of Page)"/>
        <w:docPartUnique/>
      </w:docPartObj>
    </w:sdtPr>
    <w:sdtEndPr/>
    <w:sdtContent>
      <w:p w14:paraId="4C0C42DC" w14:textId="77777777" w:rsidR="00586D3D" w:rsidRDefault="00586D3D">
        <w:pPr>
          <w:pStyle w:val="Header"/>
          <w:jc w:val="right"/>
          <w:rPr>
            <w:color w:val="767171" w:themeColor="background2" w:themeShade="80"/>
          </w:rPr>
        </w:pPr>
        <w:r>
          <w:rPr>
            <w:color w:val="767171" w:themeColor="background2" w:themeShade="80"/>
          </w:rPr>
          <w:t xml:space="preserve">California Department of Education </w:t>
        </w:r>
      </w:p>
      <w:p w14:paraId="15024BD0" w14:textId="0D6DD642" w:rsidR="00A2559C" w:rsidRPr="00586D3D" w:rsidRDefault="00A2559C">
        <w:pPr>
          <w:pStyle w:val="Header"/>
          <w:jc w:val="right"/>
          <w:rPr>
            <w:color w:val="767171" w:themeColor="background2" w:themeShade="80"/>
          </w:rPr>
        </w:pPr>
        <w:r w:rsidRPr="00586D3D">
          <w:rPr>
            <w:color w:val="767171" w:themeColor="background2" w:themeShade="80"/>
          </w:rPr>
          <w:t xml:space="preserve">Page </w:t>
        </w:r>
        <w:r w:rsidRPr="00586D3D">
          <w:rPr>
            <w:bCs/>
            <w:color w:val="767171" w:themeColor="background2" w:themeShade="80"/>
            <w:szCs w:val="24"/>
          </w:rPr>
          <w:fldChar w:fldCharType="begin"/>
        </w:r>
        <w:r w:rsidRPr="00586D3D">
          <w:rPr>
            <w:bCs/>
            <w:color w:val="767171" w:themeColor="background2" w:themeShade="80"/>
          </w:rPr>
          <w:instrText xml:space="preserve"> PAGE </w:instrText>
        </w:r>
        <w:r w:rsidRPr="00586D3D">
          <w:rPr>
            <w:bCs/>
            <w:color w:val="767171" w:themeColor="background2" w:themeShade="80"/>
            <w:szCs w:val="24"/>
          </w:rPr>
          <w:fldChar w:fldCharType="separate"/>
        </w:r>
        <w:r w:rsidR="00586D3D">
          <w:rPr>
            <w:bCs/>
            <w:noProof/>
            <w:color w:val="767171" w:themeColor="background2" w:themeShade="80"/>
          </w:rPr>
          <w:t>1</w:t>
        </w:r>
        <w:r w:rsidRPr="00586D3D">
          <w:rPr>
            <w:bCs/>
            <w:color w:val="767171" w:themeColor="background2" w:themeShade="80"/>
            <w:szCs w:val="24"/>
          </w:rPr>
          <w:fldChar w:fldCharType="end"/>
        </w:r>
        <w:r w:rsidRPr="00586D3D">
          <w:rPr>
            <w:color w:val="767171" w:themeColor="background2" w:themeShade="80"/>
          </w:rPr>
          <w:t xml:space="preserve"> of </w:t>
        </w:r>
        <w:r w:rsidRPr="00586D3D">
          <w:rPr>
            <w:bCs/>
            <w:color w:val="767171" w:themeColor="background2" w:themeShade="80"/>
            <w:szCs w:val="24"/>
          </w:rPr>
          <w:fldChar w:fldCharType="begin"/>
        </w:r>
        <w:r w:rsidRPr="00586D3D">
          <w:rPr>
            <w:bCs/>
            <w:color w:val="767171" w:themeColor="background2" w:themeShade="80"/>
          </w:rPr>
          <w:instrText xml:space="preserve"> NUMPAGES  </w:instrText>
        </w:r>
        <w:r w:rsidRPr="00586D3D">
          <w:rPr>
            <w:bCs/>
            <w:color w:val="767171" w:themeColor="background2" w:themeShade="80"/>
            <w:szCs w:val="24"/>
          </w:rPr>
          <w:fldChar w:fldCharType="separate"/>
        </w:r>
        <w:r w:rsidR="00586D3D">
          <w:rPr>
            <w:bCs/>
            <w:noProof/>
            <w:color w:val="767171" w:themeColor="background2" w:themeShade="80"/>
          </w:rPr>
          <w:t>5</w:t>
        </w:r>
        <w:r w:rsidRPr="00586D3D">
          <w:rPr>
            <w:bCs/>
            <w:color w:val="767171" w:themeColor="background2" w:themeShade="80"/>
            <w:szCs w:val="24"/>
          </w:rPr>
          <w:fldChar w:fldCharType="end"/>
        </w:r>
      </w:p>
    </w:sdtContent>
  </w:sdt>
  <w:p w14:paraId="18FE1094" w14:textId="77777777" w:rsidR="00A2559C" w:rsidRDefault="00A25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2E"/>
    <w:rsid w:val="000D5460"/>
    <w:rsid w:val="0010374B"/>
    <w:rsid w:val="001A0CA5"/>
    <w:rsid w:val="001B770C"/>
    <w:rsid w:val="00212390"/>
    <w:rsid w:val="002749A9"/>
    <w:rsid w:val="00282C06"/>
    <w:rsid w:val="00290605"/>
    <w:rsid w:val="002E4CB5"/>
    <w:rsid w:val="0034149A"/>
    <w:rsid w:val="003B6EEF"/>
    <w:rsid w:val="00464AD0"/>
    <w:rsid w:val="004D1D75"/>
    <w:rsid w:val="00502ADC"/>
    <w:rsid w:val="0054600D"/>
    <w:rsid w:val="00586D3D"/>
    <w:rsid w:val="005F0C52"/>
    <w:rsid w:val="00687E04"/>
    <w:rsid w:val="0070457E"/>
    <w:rsid w:val="0074280B"/>
    <w:rsid w:val="007428B8"/>
    <w:rsid w:val="00745026"/>
    <w:rsid w:val="007A37DC"/>
    <w:rsid w:val="007B082B"/>
    <w:rsid w:val="00834088"/>
    <w:rsid w:val="008D1E85"/>
    <w:rsid w:val="009D2474"/>
    <w:rsid w:val="009E218D"/>
    <w:rsid w:val="00A2559C"/>
    <w:rsid w:val="00A32F52"/>
    <w:rsid w:val="00A807F0"/>
    <w:rsid w:val="00AB388C"/>
    <w:rsid w:val="00B54E0D"/>
    <w:rsid w:val="00B77F28"/>
    <w:rsid w:val="00B91B84"/>
    <w:rsid w:val="00BF0FCF"/>
    <w:rsid w:val="00BF2F2E"/>
    <w:rsid w:val="00C85CB9"/>
    <w:rsid w:val="00D47DAB"/>
    <w:rsid w:val="00DD63D1"/>
    <w:rsid w:val="00E620FC"/>
    <w:rsid w:val="00EB52ED"/>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961E0"/>
  <w15:chartTrackingRefBased/>
  <w15:docId w15:val="{73FE7B7B-9EF4-4685-8CBE-749D2B6E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BF2F2E"/>
    <w:rPr>
      <w:color w:val="0563C1" w:themeColor="hyperlink"/>
      <w:u w:val="single"/>
    </w:rPr>
  </w:style>
  <w:style w:type="character" w:customStyle="1" w:styleId="UnresolvedMention1">
    <w:name w:val="Unresolved Mention1"/>
    <w:basedOn w:val="DefaultParagraphFont"/>
    <w:uiPriority w:val="99"/>
    <w:semiHidden/>
    <w:unhideWhenUsed/>
    <w:rsid w:val="00BF2F2E"/>
    <w:rPr>
      <w:color w:val="605E5C"/>
      <w:shd w:val="clear" w:color="auto" w:fill="E1DFDD"/>
    </w:rPr>
  </w:style>
  <w:style w:type="character" w:styleId="CommentReference">
    <w:name w:val="annotation reference"/>
    <w:basedOn w:val="DefaultParagraphFont"/>
    <w:uiPriority w:val="99"/>
    <w:semiHidden/>
    <w:unhideWhenUsed/>
    <w:rsid w:val="00687E04"/>
    <w:rPr>
      <w:sz w:val="16"/>
      <w:szCs w:val="16"/>
    </w:rPr>
  </w:style>
  <w:style w:type="paragraph" w:styleId="CommentText">
    <w:name w:val="annotation text"/>
    <w:basedOn w:val="Normal"/>
    <w:link w:val="CommentTextChar"/>
    <w:uiPriority w:val="99"/>
    <w:semiHidden/>
    <w:unhideWhenUsed/>
    <w:rsid w:val="00687E04"/>
    <w:pPr>
      <w:spacing w:line="240" w:lineRule="auto"/>
    </w:pPr>
    <w:rPr>
      <w:sz w:val="20"/>
      <w:szCs w:val="20"/>
    </w:rPr>
  </w:style>
  <w:style w:type="character" w:customStyle="1" w:styleId="CommentTextChar">
    <w:name w:val="Comment Text Char"/>
    <w:basedOn w:val="DefaultParagraphFont"/>
    <w:link w:val="CommentText"/>
    <w:uiPriority w:val="99"/>
    <w:semiHidden/>
    <w:rsid w:val="00687E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7E04"/>
    <w:rPr>
      <w:b/>
      <w:bCs/>
    </w:rPr>
  </w:style>
  <w:style w:type="character" w:customStyle="1" w:styleId="CommentSubjectChar">
    <w:name w:val="Comment Subject Char"/>
    <w:basedOn w:val="CommentTextChar"/>
    <w:link w:val="CommentSubject"/>
    <w:uiPriority w:val="99"/>
    <w:semiHidden/>
    <w:rsid w:val="00687E04"/>
    <w:rPr>
      <w:rFonts w:ascii="Arial" w:hAnsi="Arial"/>
      <w:b/>
      <w:bCs/>
      <w:sz w:val="20"/>
      <w:szCs w:val="20"/>
    </w:rPr>
  </w:style>
  <w:style w:type="paragraph" w:styleId="BalloonText">
    <w:name w:val="Balloon Text"/>
    <w:basedOn w:val="Normal"/>
    <w:link w:val="BalloonTextChar"/>
    <w:uiPriority w:val="99"/>
    <w:semiHidden/>
    <w:unhideWhenUsed/>
    <w:rsid w:val="00687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04"/>
    <w:rPr>
      <w:rFonts w:ascii="Segoe UI" w:hAnsi="Segoe UI" w:cs="Segoe UI"/>
      <w:sz w:val="18"/>
      <w:szCs w:val="18"/>
    </w:rPr>
  </w:style>
  <w:style w:type="paragraph" w:styleId="Header">
    <w:name w:val="header"/>
    <w:basedOn w:val="Normal"/>
    <w:link w:val="HeaderChar"/>
    <w:uiPriority w:val="99"/>
    <w:unhideWhenUsed/>
    <w:rsid w:val="00A25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9C"/>
    <w:rPr>
      <w:rFonts w:ascii="Arial" w:hAnsi="Arial"/>
      <w:sz w:val="24"/>
    </w:rPr>
  </w:style>
  <w:style w:type="paragraph" w:styleId="Footer">
    <w:name w:val="footer"/>
    <w:basedOn w:val="Normal"/>
    <w:link w:val="FooterChar"/>
    <w:uiPriority w:val="99"/>
    <w:unhideWhenUsed/>
    <w:rsid w:val="00A25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59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q.cde.ca.gov/dataquest/" TargetMode="Externa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www.caschooldashboard.org/reports/ca/2018"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Accessing Data - Student Group Information on the CDE Webpage (CA Dept of Education)</vt:lpstr>
    </vt:vector>
  </TitlesOfParts>
  <Company>Department of Education</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Accessing Data - Student Group Information (CA Dept of Education)</dc:title>
  <dc:subject>This document contains information on accessing data for the foster youth.</dc:subject>
  <dc:creator>Liberty Van Natten</dc:creator>
  <cp:keywords/>
  <dc:description/>
  <cp:lastModifiedBy>Jagdish Calley</cp:lastModifiedBy>
  <cp:revision>17</cp:revision>
  <dcterms:created xsi:type="dcterms:W3CDTF">2019-09-04T22:14:00Z</dcterms:created>
  <dcterms:modified xsi:type="dcterms:W3CDTF">2020-02-25T22:20:00Z</dcterms:modified>
</cp:coreProperties>
</file>