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A7F2E" w14:textId="77777777" w:rsidR="00E12B52" w:rsidRPr="00E12B52" w:rsidRDefault="00E12B52" w:rsidP="00E12B52">
      <w:r w:rsidRPr="00E12B52">
        <w:t>California Department of Education November, 2020</w:t>
      </w:r>
    </w:p>
    <w:p w14:paraId="145DE154" w14:textId="77777777" w:rsidR="00547F55" w:rsidRDefault="00BF2F2E" w:rsidP="00547F55">
      <w:pPr>
        <w:pStyle w:val="Heading1"/>
        <w:spacing w:before="0" w:after="0" w:line="240" w:lineRule="auto"/>
      </w:pPr>
      <w:r>
        <w:t xml:space="preserve">Accessing Data Publicly </w:t>
      </w:r>
      <w:r w:rsidR="00D433FF">
        <w:t xml:space="preserve">English Learner Data </w:t>
      </w:r>
      <w:r>
        <w:t>Available on the CDE Webpage</w:t>
      </w:r>
    </w:p>
    <w:p w14:paraId="709A1048" w14:textId="77777777" w:rsidR="00547F55" w:rsidRDefault="00547F55" w:rsidP="00547F55">
      <w:pPr>
        <w:pStyle w:val="Heading1"/>
        <w:spacing w:before="0" w:after="0" w:line="240" w:lineRule="auto"/>
        <w:rPr>
          <w:sz w:val="28"/>
          <w:szCs w:val="28"/>
        </w:rPr>
      </w:pPr>
    </w:p>
    <w:p w14:paraId="616F7FE8" w14:textId="77777777" w:rsidR="00BF2F2E" w:rsidRPr="00F5076F" w:rsidRDefault="00BF2F2E" w:rsidP="00F5076F">
      <w:pPr>
        <w:pStyle w:val="Heading2"/>
        <w:rPr>
          <w:sz w:val="24"/>
          <w:szCs w:val="24"/>
        </w:rPr>
      </w:pPr>
      <w:r w:rsidRPr="00F5076F">
        <w:rPr>
          <w:sz w:val="24"/>
          <w:szCs w:val="24"/>
        </w:rPr>
        <w:t>DataQuest</w:t>
      </w:r>
    </w:p>
    <w:p w14:paraId="0D8ADAE6" w14:textId="77777777" w:rsidR="00547F55" w:rsidRPr="00547F55" w:rsidRDefault="00547F55" w:rsidP="00547F55">
      <w:pPr>
        <w:spacing w:after="0" w:line="240" w:lineRule="auto"/>
      </w:pPr>
      <w:r>
        <w:rPr>
          <w:noProof/>
        </w:rPr>
        <w:drawing>
          <wp:inline distT="0" distB="0" distL="0" distR="0" wp14:anchorId="703AA700" wp14:editId="152591CE">
            <wp:extent cx="4410075" cy="813333"/>
            <wp:effectExtent l="57150" t="57150" r="104775" b="120650"/>
            <wp:docPr id="29" name="Picture 1" descr="An image of the DataQu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taQue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83027" cy="845230"/>
                    </a:xfrm>
                    <a:prstGeom prst="rect">
                      <a:avLst/>
                    </a:prstGeom>
                    <a:ln w="12700" cap="sq">
                      <a:solidFill>
                        <a:schemeClr val="tx1"/>
                      </a:solidFill>
                      <a:miter lim="800000"/>
                    </a:ln>
                    <a:effectLst>
                      <a:outerShdw blurRad="57150" dist="50800" dir="2700000" algn="tl" rotWithShape="0">
                        <a:srgbClr val="000000">
                          <a:alpha val="40000"/>
                        </a:srgbClr>
                      </a:outerShdw>
                    </a:effectLst>
                  </pic:spPr>
                </pic:pic>
              </a:graphicData>
            </a:graphic>
          </wp:inline>
        </w:drawing>
      </w:r>
    </w:p>
    <w:p w14:paraId="22FC6773" w14:textId="77777777" w:rsidR="00464AD0" w:rsidRDefault="00BF2F2E" w:rsidP="00547F55">
      <w:pPr>
        <w:spacing w:after="0" w:line="240" w:lineRule="auto"/>
      </w:pPr>
      <w:r>
        <w:t xml:space="preserve">Reports </w:t>
      </w:r>
      <w:r w:rsidR="0070587C">
        <w:t>English learner students</w:t>
      </w:r>
      <w:r>
        <w:t xml:space="preserve"> can be found on DataQuest, the Department’s data reporting website. </w:t>
      </w:r>
    </w:p>
    <w:p w14:paraId="48195B9A" w14:textId="77777777" w:rsidR="00547F55" w:rsidRDefault="00547F55" w:rsidP="00547F55">
      <w:pPr>
        <w:spacing w:after="0" w:line="240" w:lineRule="auto"/>
      </w:pPr>
    </w:p>
    <w:p w14:paraId="0FDBFEF6" w14:textId="77777777" w:rsidR="00BF2F2E" w:rsidRDefault="00BF2F2E" w:rsidP="00547F55">
      <w:pPr>
        <w:spacing w:after="0" w:line="240" w:lineRule="auto"/>
      </w:pPr>
      <w:r>
        <w:t xml:space="preserve">DataQuest can </w:t>
      </w:r>
      <w:r w:rsidR="00464AD0">
        <w:t xml:space="preserve">be accessed </w:t>
      </w:r>
      <w:r w:rsidR="00C85CB9">
        <w:t>at</w:t>
      </w:r>
      <w:r w:rsidR="00464AD0">
        <w:t xml:space="preserve"> </w:t>
      </w:r>
      <w:hyperlink r:id="rId8" w:tooltip="DataQuest web page" w:history="1">
        <w:r w:rsidR="00C85CB9">
          <w:rPr>
            <w:rStyle w:val="Hyperlink"/>
          </w:rPr>
          <w:t>https://dq.cde.ca.gov/dataquest/</w:t>
        </w:r>
      </w:hyperlink>
    </w:p>
    <w:p w14:paraId="05D0D8F2" w14:textId="77777777" w:rsidR="00547F55" w:rsidRDefault="00547F55" w:rsidP="00547F55">
      <w:pPr>
        <w:spacing w:after="0" w:line="240" w:lineRule="auto"/>
      </w:pPr>
    </w:p>
    <w:p w14:paraId="381F6A85" w14:textId="77777777" w:rsidR="00BF2F2E" w:rsidRDefault="00464AD0" w:rsidP="00547F55">
      <w:pPr>
        <w:spacing w:after="0" w:line="240" w:lineRule="auto"/>
      </w:pPr>
      <w:r>
        <w:t xml:space="preserve">Instructions on accessing reports on </w:t>
      </w:r>
      <w:r w:rsidR="0070587C">
        <w:t>English learner students</w:t>
      </w:r>
      <w:r>
        <w:t xml:space="preserve"> on DataQuest are listed below.</w:t>
      </w:r>
    </w:p>
    <w:p w14:paraId="28464968" w14:textId="77777777" w:rsidR="00547F55" w:rsidRDefault="00547F55" w:rsidP="00547F55">
      <w:pPr>
        <w:spacing w:after="0" w:line="240" w:lineRule="auto"/>
      </w:pPr>
    </w:p>
    <w:p w14:paraId="2B7AF37F" w14:textId="77777777" w:rsidR="00B54E0D" w:rsidRDefault="00B54E0D" w:rsidP="00547F55">
      <w:pPr>
        <w:spacing w:after="0" w:line="240" w:lineRule="auto"/>
      </w:pPr>
      <w:r>
        <w:t xml:space="preserve">Once on the DataQuest website, select the </w:t>
      </w:r>
      <w:r w:rsidRPr="0070457E">
        <w:rPr>
          <w:b/>
        </w:rPr>
        <w:t>level</w:t>
      </w:r>
      <w:r>
        <w:t xml:space="preserve"> to view the report such as “State” or “County.”</w:t>
      </w:r>
      <w:r w:rsidR="000F5D5B">
        <w:t xml:space="preserve"> As shown in </w:t>
      </w:r>
      <w:r w:rsidR="000F5D5B" w:rsidRPr="0088191C">
        <w:rPr>
          <w:b/>
        </w:rPr>
        <w:t>Figure 1</w:t>
      </w:r>
      <w:r w:rsidR="000F5D5B">
        <w:t>.</w:t>
      </w:r>
    </w:p>
    <w:p w14:paraId="26DC2B60" w14:textId="77777777" w:rsidR="00BF2F2E" w:rsidRDefault="00BC67E9" w:rsidP="00F5076F">
      <w:pPr>
        <w:spacing w:after="240" w:line="240" w:lineRule="auto"/>
        <w:jc w:val="center"/>
      </w:pPr>
      <w:r>
        <w:rPr>
          <w:noProof/>
        </w:rPr>
        <w:drawing>
          <wp:inline distT="0" distB="0" distL="0" distR="0" wp14:anchorId="5D574767" wp14:editId="785B23C4">
            <wp:extent cx="3149043" cy="2292724"/>
            <wp:effectExtent l="19050" t="0" r="0" b="0"/>
            <wp:docPr id="8" name="Picture 7" descr="This image shows the select level option. With levels: State, County, District, School, SELPA, and Other Cho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 Level.JPG"/>
                    <pic:cNvPicPr/>
                  </pic:nvPicPr>
                  <pic:blipFill>
                    <a:blip r:embed="rId9" cstate="print"/>
                    <a:stretch>
                      <a:fillRect/>
                    </a:stretch>
                  </pic:blipFill>
                  <pic:spPr>
                    <a:xfrm>
                      <a:off x="0" y="0"/>
                      <a:ext cx="3151275" cy="2294349"/>
                    </a:xfrm>
                    <a:prstGeom prst="rect">
                      <a:avLst/>
                    </a:prstGeom>
                  </pic:spPr>
                </pic:pic>
              </a:graphicData>
            </a:graphic>
          </wp:inline>
        </w:drawing>
      </w:r>
    </w:p>
    <w:p w14:paraId="6778CC5A" w14:textId="77777777" w:rsidR="00B54E0D" w:rsidRDefault="00B54E0D" w:rsidP="00547F55">
      <w:pPr>
        <w:spacing w:after="0" w:line="240" w:lineRule="auto"/>
      </w:pPr>
      <w:r>
        <w:t xml:space="preserve">After selecting the level of the report, select the </w:t>
      </w:r>
      <w:r w:rsidRPr="0070457E">
        <w:rPr>
          <w:b/>
        </w:rPr>
        <w:t>subject</w:t>
      </w:r>
      <w:r>
        <w:t xml:space="preserve"> of the report such as “</w:t>
      </w:r>
      <w:r w:rsidR="00BC67E9">
        <w:t>Enrollment Data</w:t>
      </w:r>
      <w:r>
        <w:t xml:space="preserve">” </w:t>
      </w:r>
      <w:r w:rsidR="00E620FC">
        <w:t>and</w:t>
      </w:r>
      <w:r>
        <w:t xml:space="preserve"> “</w:t>
      </w:r>
      <w:r w:rsidR="00BC67E9">
        <w:t>English Learner Data</w:t>
      </w:r>
      <w:r>
        <w:t xml:space="preserve">” and then </w:t>
      </w:r>
      <w:r w:rsidR="00E12B52">
        <w:t>select</w:t>
      </w:r>
      <w:r>
        <w:t xml:space="preserve"> the “S</w:t>
      </w:r>
      <w:r w:rsidR="0070587C">
        <w:t>ubmit</w:t>
      </w:r>
      <w:r>
        <w:t>” button.</w:t>
      </w:r>
      <w:r w:rsidR="002242C2">
        <w:t xml:space="preserve"> A detailed description of </w:t>
      </w:r>
      <w:r w:rsidR="00385DCC" w:rsidRPr="005D2DE3">
        <w:rPr>
          <w:b/>
        </w:rPr>
        <w:t xml:space="preserve">Figure </w:t>
      </w:r>
      <w:r w:rsidR="000F5D5B" w:rsidRPr="005D2DE3">
        <w:rPr>
          <w:b/>
        </w:rPr>
        <w:t>2</w:t>
      </w:r>
      <w:r w:rsidR="000F5D5B">
        <w:t xml:space="preserve"> </w:t>
      </w:r>
      <w:r w:rsidR="002242C2">
        <w:t xml:space="preserve">is available in Appendix </w:t>
      </w:r>
      <w:r w:rsidR="00820AF9">
        <w:t>A</w:t>
      </w:r>
      <w:r w:rsidR="002242C2">
        <w:t xml:space="preserve"> on page </w:t>
      </w:r>
      <w:r w:rsidR="00820AF9">
        <w:t>6</w:t>
      </w:r>
      <w:r w:rsidR="002242C2">
        <w:t xml:space="preserve"> of this document</w:t>
      </w:r>
      <w:r w:rsidR="002242C2" w:rsidRPr="00687E04">
        <w:t>.</w:t>
      </w:r>
    </w:p>
    <w:p w14:paraId="204487AB" w14:textId="77777777" w:rsidR="009E218D" w:rsidRDefault="00BC67E9" w:rsidP="00547F55">
      <w:pPr>
        <w:spacing w:after="0" w:line="240" w:lineRule="auto"/>
        <w:jc w:val="center"/>
      </w:pPr>
      <w:r>
        <w:rPr>
          <w:noProof/>
        </w:rPr>
        <w:lastRenderedPageBreak/>
        <w:drawing>
          <wp:inline distT="0" distB="0" distL="0" distR="0" wp14:anchorId="5B77FEE0" wp14:editId="2579CE23">
            <wp:extent cx="3358893" cy="2541494"/>
            <wp:effectExtent l="19050" t="0" r="0" b="0"/>
            <wp:docPr id="14" name="Picture 13" descr="Image (Figure 2) descriptive text available in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 Subject.JPG"/>
                    <pic:cNvPicPr/>
                  </pic:nvPicPr>
                  <pic:blipFill>
                    <a:blip r:embed="rId10" cstate="print"/>
                    <a:stretch>
                      <a:fillRect/>
                    </a:stretch>
                  </pic:blipFill>
                  <pic:spPr>
                    <a:xfrm>
                      <a:off x="0" y="0"/>
                      <a:ext cx="3361565" cy="2543516"/>
                    </a:xfrm>
                    <a:prstGeom prst="rect">
                      <a:avLst/>
                    </a:prstGeom>
                  </pic:spPr>
                </pic:pic>
              </a:graphicData>
            </a:graphic>
          </wp:inline>
        </w:drawing>
      </w:r>
    </w:p>
    <w:p w14:paraId="00155EFA" w14:textId="77777777" w:rsidR="00547F55" w:rsidRDefault="00547F55" w:rsidP="00547F55">
      <w:pPr>
        <w:spacing w:after="0" w:line="240" w:lineRule="auto"/>
      </w:pPr>
    </w:p>
    <w:p w14:paraId="4EE9449B" w14:textId="77777777" w:rsidR="002242C2" w:rsidRDefault="002242C2" w:rsidP="00547F55">
      <w:pPr>
        <w:spacing w:after="0" w:line="240" w:lineRule="auto"/>
      </w:pPr>
    </w:p>
    <w:p w14:paraId="65F9D975" w14:textId="77777777" w:rsidR="009E218D" w:rsidRDefault="00E620FC" w:rsidP="00547F55">
      <w:pPr>
        <w:spacing w:after="0" w:line="240" w:lineRule="auto"/>
      </w:pPr>
      <w:r>
        <w:t xml:space="preserve">From here, select the school </w:t>
      </w:r>
      <w:r w:rsidRPr="0070457E">
        <w:rPr>
          <w:b/>
        </w:rPr>
        <w:t>year</w:t>
      </w:r>
      <w:r>
        <w:t xml:space="preserve"> for the report and then </w:t>
      </w:r>
      <w:r w:rsidR="00E12B52">
        <w:t>select</w:t>
      </w:r>
      <w:r>
        <w:t xml:space="preserve"> the “</w:t>
      </w:r>
      <w:r w:rsidR="006D2D1C">
        <w:t>Submit</w:t>
      </w:r>
      <w:r>
        <w:t>” button.</w:t>
      </w:r>
      <w:r w:rsidR="00CE666A">
        <w:t xml:space="preserve"> As Shown in </w:t>
      </w:r>
      <w:r w:rsidR="00CE666A" w:rsidRPr="00CE666A">
        <w:rPr>
          <w:b/>
        </w:rPr>
        <w:t>Figure 3</w:t>
      </w:r>
      <w:r w:rsidR="00CE666A">
        <w:t xml:space="preserve"> below.</w:t>
      </w:r>
    </w:p>
    <w:p w14:paraId="3D183B3D" w14:textId="77777777" w:rsidR="0070457E" w:rsidRDefault="006D2D1C" w:rsidP="00547F55">
      <w:pPr>
        <w:spacing w:after="0" w:line="240" w:lineRule="auto"/>
        <w:jc w:val="center"/>
      </w:pPr>
      <w:r>
        <w:rPr>
          <w:noProof/>
        </w:rPr>
        <w:drawing>
          <wp:inline distT="0" distB="0" distL="0" distR="0" wp14:anchorId="4CE5EABB" wp14:editId="2B6AF5DB">
            <wp:extent cx="2264141" cy="2529002"/>
            <wp:effectExtent l="19050" t="0" r="2809" b="0"/>
            <wp:docPr id="15" name="Picture 14" descr="This image shows the Select Year of Data option. With 1) Determine a time frame, single year - select year: 2019-20 selected from the dropdown menus. Blue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 Year of Data.JPG"/>
                    <pic:cNvPicPr/>
                  </pic:nvPicPr>
                  <pic:blipFill>
                    <a:blip r:embed="rId11" cstate="print"/>
                    <a:stretch>
                      <a:fillRect/>
                    </a:stretch>
                  </pic:blipFill>
                  <pic:spPr>
                    <a:xfrm>
                      <a:off x="0" y="0"/>
                      <a:ext cx="2267295" cy="2532525"/>
                    </a:xfrm>
                    <a:prstGeom prst="rect">
                      <a:avLst/>
                    </a:prstGeom>
                  </pic:spPr>
                </pic:pic>
              </a:graphicData>
            </a:graphic>
          </wp:inline>
        </w:drawing>
      </w:r>
    </w:p>
    <w:p w14:paraId="65A575EA" w14:textId="77777777" w:rsidR="00464AD0" w:rsidRDefault="00464AD0" w:rsidP="00547F55">
      <w:pPr>
        <w:spacing w:after="0" w:line="240" w:lineRule="auto"/>
      </w:pPr>
    </w:p>
    <w:p w14:paraId="17A97B49" w14:textId="77777777" w:rsidR="006D2D1C" w:rsidRDefault="006D2D1C" w:rsidP="00547F55">
      <w:pPr>
        <w:spacing w:after="0" w:line="240" w:lineRule="auto"/>
      </w:pPr>
      <w:r>
        <w:t xml:space="preserve">Once on the English Learner Data page, select the EL data report by selecting one of the report options and then </w:t>
      </w:r>
      <w:r w:rsidR="00E12B52">
        <w:t>select</w:t>
      </w:r>
      <w:r>
        <w:t xml:space="preserve"> the “Submit” button. </w:t>
      </w:r>
      <w:r w:rsidR="00820AF9">
        <w:t xml:space="preserve">A detailed description of </w:t>
      </w:r>
      <w:r w:rsidR="00CE666A" w:rsidRPr="00CE666A">
        <w:rPr>
          <w:b/>
        </w:rPr>
        <w:t>Figure 4</w:t>
      </w:r>
      <w:r w:rsidR="00CE666A">
        <w:t xml:space="preserve"> </w:t>
      </w:r>
      <w:r w:rsidR="00820AF9">
        <w:t xml:space="preserve">is available in Appendix </w:t>
      </w:r>
      <w:r w:rsidR="00CE666A">
        <w:t>A</w:t>
      </w:r>
      <w:r w:rsidR="00820AF9">
        <w:t xml:space="preserve"> on page 6 of this document</w:t>
      </w:r>
      <w:r w:rsidR="00820AF9" w:rsidRPr="00687E04">
        <w:t>.</w:t>
      </w:r>
    </w:p>
    <w:p w14:paraId="5BEB5ADD" w14:textId="77777777" w:rsidR="006D2D1C" w:rsidRDefault="006D2D1C" w:rsidP="00547F55">
      <w:pPr>
        <w:spacing w:after="0" w:line="240" w:lineRule="auto"/>
      </w:pPr>
      <w:r>
        <w:rPr>
          <w:noProof/>
        </w:rPr>
        <w:lastRenderedPageBreak/>
        <w:drawing>
          <wp:inline distT="0" distB="0" distL="0" distR="0" wp14:anchorId="416697F1" wp14:editId="17DFDA09">
            <wp:extent cx="4048685" cy="2901260"/>
            <wp:effectExtent l="19050" t="0" r="8965" b="0"/>
            <wp:docPr id="17" name="Picture 16" descr="A detailed description for Figure 4 is available in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Data Reports.JPG"/>
                    <pic:cNvPicPr/>
                  </pic:nvPicPr>
                  <pic:blipFill>
                    <a:blip r:embed="rId12" cstate="print"/>
                    <a:stretch>
                      <a:fillRect/>
                    </a:stretch>
                  </pic:blipFill>
                  <pic:spPr>
                    <a:xfrm>
                      <a:off x="0" y="0"/>
                      <a:ext cx="4053019" cy="2904366"/>
                    </a:xfrm>
                    <a:prstGeom prst="rect">
                      <a:avLst/>
                    </a:prstGeom>
                  </pic:spPr>
                </pic:pic>
              </a:graphicData>
            </a:graphic>
          </wp:inline>
        </w:drawing>
      </w:r>
    </w:p>
    <w:p w14:paraId="6F09A4BA" w14:textId="77777777" w:rsidR="00547F55" w:rsidRDefault="00547F55" w:rsidP="00547F55">
      <w:pPr>
        <w:pStyle w:val="Heading3"/>
        <w:spacing w:before="0" w:after="0" w:line="240" w:lineRule="auto"/>
        <w:rPr>
          <w:sz w:val="28"/>
          <w:szCs w:val="28"/>
        </w:rPr>
      </w:pPr>
    </w:p>
    <w:p w14:paraId="6001689B" w14:textId="77777777" w:rsidR="00B60596" w:rsidRPr="00B60596" w:rsidRDefault="00B60596" w:rsidP="00B60596"/>
    <w:p w14:paraId="3116F806" w14:textId="77777777" w:rsidR="00BF2F2E" w:rsidRDefault="00BF2F2E" w:rsidP="00547F55">
      <w:pPr>
        <w:pStyle w:val="Heading3"/>
        <w:spacing w:before="0" w:after="0" w:line="240" w:lineRule="auto"/>
        <w:rPr>
          <w:sz w:val="28"/>
          <w:szCs w:val="28"/>
        </w:rPr>
      </w:pPr>
      <w:r w:rsidRPr="00A2559C">
        <w:rPr>
          <w:sz w:val="28"/>
          <w:szCs w:val="28"/>
        </w:rPr>
        <w:t>California School Dashboard</w:t>
      </w:r>
    </w:p>
    <w:p w14:paraId="5935BF5E" w14:textId="77777777" w:rsidR="00D01687" w:rsidRPr="007F64DA" w:rsidRDefault="00D01687" w:rsidP="00D01687">
      <w:pPr>
        <w:rPr>
          <w:b/>
        </w:rPr>
      </w:pPr>
      <w:r w:rsidRPr="007F64DA">
        <w:rPr>
          <w:b/>
        </w:rPr>
        <w:t>Figure 5:</w:t>
      </w:r>
    </w:p>
    <w:p w14:paraId="7DFB5408" w14:textId="77777777" w:rsidR="00BF2F2E" w:rsidRDefault="00BF2F2E" w:rsidP="00547F55">
      <w:pPr>
        <w:spacing w:after="0" w:line="240" w:lineRule="auto"/>
        <w:jc w:val="center"/>
      </w:pPr>
      <w:r>
        <w:rPr>
          <w:noProof/>
        </w:rPr>
        <w:drawing>
          <wp:inline distT="0" distB="0" distL="0" distR="0" wp14:anchorId="01BC4AD0" wp14:editId="2F8EC23D">
            <wp:extent cx="4781550" cy="371898"/>
            <wp:effectExtent l="57150" t="57150" r="114300" b="123825"/>
            <wp:docPr id="2" name="Picture 2" descr="Image shows Lowest Performance and a Red Gauge on the left moving to Orange, Yellow, Green, and then ending with a Blue gauge on the right with Highest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hboard gaug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0818" cy="387397"/>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2DD3C3C6" w14:textId="77777777" w:rsidR="005F0C52" w:rsidRDefault="005F0C52" w:rsidP="00547F55">
      <w:pPr>
        <w:spacing w:after="0" w:line="240" w:lineRule="auto"/>
      </w:pPr>
      <w:r>
        <w:t xml:space="preserve">Statewide accountability reports on </w:t>
      </w:r>
      <w:r w:rsidR="00F10898">
        <w:t>English learner students</w:t>
      </w:r>
      <w:r>
        <w:t xml:space="preserve"> can be found on the California School Dashboard</w:t>
      </w:r>
      <w:r w:rsidR="00F10898">
        <w:t xml:space="preserve"> (Dashboard)</w:t>
      </w:r>
      <w:r>
        <w:t xml:space="preserve">, </w:t>
      </w:r>
      <w:r w:rsidR="004D1D75">
        <w:t xml:space="preserve">California’s </w:t>
      </w:r>
      <w:r>
        <w:t xml:space="preserve">educational accountability system. The Dashboard can be accessed </w:t>
      </w:r>
      <w:r w:rsidR="00C85CB9">
        <w:t>at</w:t>
      </w:r>
      <w:r w:rsidR="007B082B">
        <w:t xml:space="preserve"> </w:t>
      </w:r>
      <w:hyperlink r:id="rId14" w:tooltip="CA School Dashboard" w:history="1">
        <w:r w:rsidR="00C85CB9">
          <w:rPr>
            <w:rStyle w:val="Hyperlink"/>
          </w:rPr>
          <w:t>https://www.caschooldashboard.org/reports/ca/2018</w:t>
        </w:r>
      </w:hyperlink>
      <w:r w:rsidR="00547F55">
        <w:t>.</w:t>
      </w:r>
    </w:p>
    <w:p w14:paraId="300A48FD" w14:textId="77777777" w:rsidR="00547F55" w:rsidRDefault="00547F55" w:rsidP="00547F55">
      <w:pPr>
        <w:spacing w:after="0" w:line="240" w:lineRule="auto"/>
      </w:pPr>
    </w:p>
    <w:p w14:paraId="159EE562" w14:textId="77777777" w:rsidR="007B082B" w:rsidRDefault="007B082B" w:rsidP="00547F55">
      <w:pPr>
        <w:spacing w:after="0" w:line="240" w:lineRule="auto"/>
      </w:pPr>
      <w:r>
        <w:t xml:space="preserve">Instructions on accessing reports on </w:t>
      </w:r>
      <w:r w:rsidR="00547F55">
        <w:t>English learner students</w:t>
      </w:r>
      <w:r>
        <w:t xml:space="preserve"> on DataQuest are listed below.</w:t>
      </w:r>
    </w:p>
    <w:p w14:paraId="0BD2A16B" w14:textId="77777777" w:rsidR="00547F55" w:rsidRDefault="00547F55" w:rsidP="00547F55">
      <w:pPr>
        <w:spacing w:after="0" w:line="240" w:lineRule="auto"/>
      </w:pPr>
    </w:p>
    <w:p w14:paraId="2A873DEB" w14:textId="77777777" w:rsidR="00547F55" w:rsidRDefault="007B082B" w:rsidP="00547F55">
      <w:pPr>
        <w:spacing w:after="0" w:line="240" w:lineRule="auto"/>
      </w:pPr>
      <w:r>
        <w:t xml:space="preserve">Once on the Dashboard website, </w:t>
      </w:r>
      <w:r w:rsidR="0054600D">
        <w:t xml:space="preserve">enter a school or district </w:t>
      </w:r>
      <w:r w:rsidR="00F10898">
        <w:t xml:space="preserve">name </w:t>
      </w:r>
      <w:r w:rsidR="0054600D">
        <w:t xml:space="preserve">for which to view outcome data. </w:t>
      </w:r>
    </w:p>
    <w:p w14:paraId="215F351E" w14:textId="77777777" w:rsidR="007F64DA" w:rsidRPr="007F64DA" w:rsidRDefault="007F64DA" w:rsidP="00547F55">
      <w:pPr>
        <w:spacing w:after="0" w:line="240" w:lineRule="auto"/>
        <w:rPr>
          <w:b/>
        </w:rPr>
      </w:pPr>
      <w:r w:rsidRPr="007F64DA">
        <w:rPr>
          <w:b/>
        </w:rPr>
        <w:t>Figure 6:</w:t>
      </w:r>
    </w:p>
    <w:p w14:paraId="5C858415" w14:textId="77777777" w:rsidR="00547F55" w:rsidRDefault="00547F55" w:rsidP="00547F55">
      <w:pPr>
        <w:spacing w:after="0" w:line="240" w:lineRule="auto"/>
      </w:pPr>
    </w:p>
    <w:p w14:paraId="0928FEB6" w14:textId="77777777" w:rsidR="00547F55" w:rsidRDefault="00547F55" w:rsidP="00547F55">
      <w:pPr>
        <w:spacing w:after="0" w:line="240" w:lineRule="auto"/>
      </w:pPr>
      <w:r>
        <w:rPr>
          <w:noProof/>
        </w:rPr>
        <w:drawing>
          <wp:inline distT="0" distB="0" distL="0" distR="0" wp14:anchorId="12BE6C3E" wp14:editId="2E4B34FB">
            <wp:extent cx="5943600" cy="695960"/>
            <wp:effectExtent l="19050" t="0" r="0" b="0"/>
            <wp:docPr id="26" name="Picture 25" descr="Image shows the search box for a school or district on the left moving to searching by city or county and then with Dashboard year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JPG"/>
                    <pic:cNvPicPr/>
                  </pic:nvPicPr>
                  <pic:blipFill>
                    <a:blip r:embed="rId15" cstate="print"/>
                    <a:stretch>
                      <a:fillRect/>
                    </a:stretch>
                  </pic:blipFill>
                  <pic:spPr>
                    <a:xfrm>
                      <a:off x="0" y="0"/>
                      <a:ext cx="5943600" cy="695960"/>
                    </a:xfrm>
                    <a:prstGeom prst="rect">
                      <a:avLst/>
                    </a:prstGeom>
                  </pic:spPr>
                </pic:pic>
              </a:graphicData>
            </a:graphic>
          </wp:inline>
        </w:drawing>
      </w:r>
    </w:p>
    <w:p w14:paraId="04C040DF" w14:textId="77777777" w:rsidR="00547F55" w:rsidRDefault="00547F55" w:rsidP="00547F55">
      <w:pPr>
        <w:spacing w:after="0" w:line="240" w:lineRule="auto"/>
      </w:pPr>
    </w:p>
    <w:p w14:paraId="5E8559B1" w14:textId="77777777" w:rsidR="007B082B" w:rsidRDefault="0054600D" w:rsidP="00547F55">
      <w:pPr>
        <w:spacing w:after="0" w:line="240" w:lineRule="auto"/>
      </w:pPr>
      <w:r>
        <w:t>Then s</w:t>
      </w:r>
      <w:r w:rsidR="007B082B">
        <w:t xml:space="preserve">elect the </w:t>
      </w:r>
      <w:r w:rsidR="007B082B" w:rsidRPr="005F0C52">
        <w:t>accountability</w:t>
      </w:r>
      <w:r w:rsidR="007B082B">
        <w:rPr>
          <w:b/>
        </w:rPr>
        <w:t xml:space="preserve"> </w:t>
      </w:r>
      <w:r w:rsidR="007B082B">
        <w:t>report to view such as “Chronic Absenteeism” or “Suspension Rate.”</w:t>
      </w:r>
      <w:r w:rsidR="007F64DA">
        <w:t xml:space="preserve"> As shown in </w:t>
      </w:r>
      <w:r w:rsidR="007F64DA" w:rsidRPr="007F64DA">
        <w:rPr>
          <w:b/>
        </w:rPr>
        <w:t>Figure 7</w:t>
      </w:r>
      <w:r w:rsidR="007F64DA">
        <w:t>.</w:t>
      </w:r>
    </w:p>
    <w:p w14:paraId="3CCEBB5C" w14:textId="77777777" w:rsidR="00547F55" w:rsidRDefault="00547F55" w:rsidP="00547F55">
      <w:pPr>
        <w:spacing w:after="0" w:line="240" w:lineRule="auto"/>
      </w:pPr>
    </w:p>
    <w:p w14:paraId="61F68D04" w14:textId="77777777" w:rsidR="005F0C52" w:rsidRDefault="00F10898" w:rsidP="00F5076F">
      <w:pPr>
        <w:spacing w:after="240" w:line="240" w:lineRule="auto"/>
        <w:jc w:val="center"/>
        <w:rPr>
          <w:vertAlign w:val="subscript"/>
        </w:rPr>
      </w:pPr>
      <w:r>
        <w:rPr>
          <w:noProof/>
          <w:vertAlign w:val="subscript"/>
        </w:rPr>
        <w:lastRenderedPageBreak/>
        <w:drawing>
          <wp:inline distT="0" distB="0" distL="0" distR="0" wp14:anchorId="163C4C57" wp14:editId="22496034">
            <wp:extent cx="4284009" cy="1089575"/>
            <wp:effectExtent l="19050" t="0" r="2241" b="0"/>
            <wp:docPr id="18" name="Picture 17" descr="This image shows two example accountability cards found on the dashboard. One for Chronic Absenteeism with gauge pointing to orange and one for Suspension Rate with gauge pointing to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and Susp.JPG"/>
                    <pic:cNvPicPr/>
                  </pic:nvPicPr>
                  <pic:blipFill>
                    <a:blip r:embed="rId16" cstate="print"/>
                    <a:stretch>
                      <a:fillRect/>
                    </a:stretch>
                  </pic:blipFill>
                  <pic:spPr>
                    <a:xfrm>
                      <a:off x="0" y="0"/>
                      <a:ext cx="4294053" cy="1092130"/>
                    </a:xfrm>
                    <a:prstGeom prst="rect">
                      <a:avLst/>
                    </a:prstGeom>
                  </pic:spPr>
                </pic:pic>
              </a:graphicData>
            </a:graphic>
          </wp:inline>
        </w:drawing>
      </w:r>
    </w:p>
    <w:p w14:paraId="4A8CAF10" w14:textId="77777777" w:rsidR="007151AC" w:rsidRDefault="00A2559C" w:rsidP="00547F55">
      <w:pPr>
        <w:spacing w:after="0" w:line="240" w:lineRule="auto"/>
      </w:pPr>
      <w:r>
        <w:t xml:space="preserve">Once on the report landing page, </w:t>
      </w:r>
      <w:r w:rsidR="007151AC">
        <w:t xml:space="preserve">more information for each indicator is displayed, including an “Equity Report” which provides the number of student groups </w:t>
      </w:r>
      <w:r w:rsidR="00653A00">
        <w:t>at each of the performance colors (i.e., Red, Orange, Yellow, Green, and Blue).</w:t>
      </w:r>
      <w:r w:rsidR="002773BB">
        <w:t xml:space="preserve"> A detailed description </w:t>
      </w:r>
      <w:r w:rsidR="007F64DA">
        <w:t xml:space="preserve">of </w:t>
      </w:r>
      <w:r w:rsidR="007F64DA" w:rsidRPr="007F64DA">
        <w:rPr>
          <w:b/>
        </w:rPr>
        <w:t>Figure 8</w:t>
      </w:r>
      <w:r w:rsidR="002773BB">
        <w:t xml:space="preserve"> is available in Appendix </w:t>
      </w:r>
      <w:r w:rsidR="007F64DA">
        <w:t>A</w:t>
      </w:r>
      <w:r w:rsidR="002773BB">
        <w:t xml:space="preserve"> on page </w:t>
      </w:r>
      <w:r w:rsidR="00820AF9">
        <w:t>6</w:t>
      </w:r>
      <w:r w:rsidR="00BB4CD4">
        <w:t>/7</w:t>
      </w:r>
      <w:r w:rsidR="002773BB">
        <w:t xml:space="preserve"> of this document</w:t>
      </w:r>
      <w:r w:rsidR="002773BB" w:rsidRPr="00687E04">
        <w:t>.</w:t>
      </w:r>
    </w:p>
    <w:p w14:paraId="1224E623" w14:textId="77777777" w:rsidR="00547F55" w:rsidRDefault="00547F55" w:rsidP="00547F55">
      <w:pPr>
        <w:spacing w:after="0" w:line="240" w:lineRule="auto"/>
      </w:pPr>
    </w:p>
    <w:p w14:paraId="2C9D80B7" w14:textId="77777777" w:rsidR="007151AC" w:rsidRDefault="007151AC" w:rsidP="00547F55">
      <w:pPr>
        <w:spacing w:after="0" w:line="240" w:lineRule="auto"/>
      </w:pPr>
      <w:r>
        <w:rPr>
          <w:noProof/>
        </w:rPr>
        <w:drawing>
          <wp:inline distT="0" distB="0" distL="0" distR="0" wp14:anchorId="73FC6003" wp14:editId="33FC4AFA">
            <wp:extent cx="4183354" cy="3193677"/>
            <wp:effectExtent l="19050" t="0" r="7646" b="0"/>
            <wp:docPr id="19" name="Picture 18" descr="Detailed descriptive text for Figure 8 available in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and Sups.JPG"/>
                    <pic:cNvPicPr/>
                  </pic:nvPicPr>
                  <pic:blipFill>
                    <a:blip r:embed="rId17" cstate="print"/>
                    <a:stretch>
                      <a:fillRect/>
                    </a:stretch>
                  </pic:blipFill>
                  <pic:spPr>
                    <a:xfrm>
                      <a:off x="0" y="0"/>
                      <a:ext cx="4184289" cy="3194391"/>
                    </a:xfrm>
                    <a:prstGeom prst="rect">
                      <a:avLst/>
                    </a:prstGeom>
                  </pic:spPr>
                </pic:pic>
              </a:graphicData>
            </a:graphic>
          </wp:inline>
        </w:drawing>
      </w:r>
    </w:p>
    <w:p w14:paraId="315FC892" w14:textId="77777777" w:rsidR="00547F55" w:rsidRDefault="00547F55" w:rsidP="00547F55">
      <w:pPr>
        <w:spacing w:after="0" w:line="240" w:lineRule="auto"/>
      </w:pPr>
    </w:p>
    <w:p w14:paraId="429E4595" w14:textId="77777777" w:rsidR="00A2559C" w:rsidRDefault="007151AC" w:rsidP="002773BB">
      <w:pPr>
        <w:spacing w:after="0" w:line="240" w:lineRule="auto"/>
      </w:pPr>
      <w:r>
        <w:t>S</w:t>
      </w:r>
      <w:r w:rsidR="00A2559C">
        <w:t>elect the “View More Details” option under the specific accountability card</w:t>
      </w:r>
      <w:r w:rsidR="00653A00">
        <w:t xml:space="preserve"> for more information</w:t>
      </w:r>
      <w:r w:rsidR="00A2559C">
        <w:t>.</w:t>
      </w:r>
    </w:p>
    <w:p w14:paraId="4CE035FA" w14:textId="77777777" w:rsidR="005F0C52" w:rsidRDefault="007151AC" w:rsidP="00F5076F">
      <w:pPr>
        <w:spacing w:after="240" w:line="240" w:lineRule="auto"/>
        <w:jc w:val="center"/>
      </w:pPr>
      <w:r>
        <w:rPr>
          <w:noProof/>
        </w:rPr>
        <w:drawing>
          <wp:inline distT="0" distB="0" distL="0" distR="0" wp14:anchorId="70D52445" wp14:editId="3BDD67E6">
            <wp:extent cx="2423160" cy="426720"/>
            <wp:effectExtent l="19050" t="0" r="0" b="0"/>
            <wp:docPr id="20" name="Picture 19" descr="This image shows the text view mor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 more.JPG"/>
                    <pic:cNvPicPr/>
                  </pic:nvPicPr>
                  <pic:blipFill>
                    <a:blip r:embed="rId18" cstate="print"/>
                    <a:stretch>
                      <a:fillRect/>
                    </a:stretch>
                  </pic:blipFill>
                  <pic:spPr>
                    <a:xfrm>
                      <a:off x="0" y="0"/>
                      <a:ext cx="2423160" cy="426720"/>
                    </a:xfrm>
                    <a:prstGeom prst="rect">
                      <a:avLst/>
                    </a:prstGeom>
                  </pic:spPr>
                </pic:pic>
              </a:graphicData>
            </a:graphic>
          </wp:inline>
        </w:drawing>
      </w:r>
    </w:p>
    <w:p w14:paraId="50839149" w14:textId="77777777" w:rsidR="001920C9" w:rsidRDefault="00A2559C" w:rsidP="001920C9">
      <w:pPr>
        <w:spacing w:after="0" w:line="240" w:lineRule="auto"/>
      </w:pPr>
      <w:r>
        <w:t>Then scroll down below the “</w:t>
      </w:r>
      <w:r w:rsidR="00653A00">
        <w:t>Student Group Details”</w:t>
      </w:r>
      <w:r>
        <w:t xml:space="preserve"> section to view the statewide</w:t>
      </w:r>
      <w:r w:rsidR="00653A00">
        <w:t xml:space="preserve"> performance for each student group by performance color. </w:t>
      </w:r>
      <w:r w:rsidR="001920C9">
        <w:t xml:space="preserve">A detailed description of </w:t>
      </w:r>
      <w:r w:rsidR="001920C9" w:rsidRPr="00CE666A">
        <w:rPr>
          <w:b/>
        </w:rPr>
        <w:t xml:space="preserve">Figure </w:t>
      </w:r>
      <w:r w:rsidR="001920C9">
        <w:rPr>
          <w:b/>
        </w:rPr>
        <w:t>9</w:t>
      </w:r>
      <w:r w:rsidR="001920C9">
        <w:t xml:space="preserve"> is available in Appendix A on page </w:t>
      </w:r>
      <w:r w:rsidR="00BB4CD4">
        <w:t>7</w:t>
      </w:r>
      <w:r w:rsidR="001920C9">
        <w:t xml:space="preserve"> of this document</w:t>
      </w:r>
      <w:r w:rsidR="001920C9" w:rsidRPr="00687E04">
        <w:t>.</w:t>
      </w:r>
    </w:p>
    <w:p w14:paraId="626972B6" w14:textId="77777777" w:rsidR="00653A00" w:rsidRDefault="00653A00" w:rsidP="00547F55">
      <w:pPr>
        <w:spacing w:after="0" w:line="240" w:lineRule="auto"/>
      </w:pPr>
    </w:p>
    <w:p w14:paraId="02629E1E" w14:textId="77777777" w:rsidR="00547F55" w:rsidRDefault="00547F55" w:rsidP="00547F55">
      <w:pPr>
        <w:spacing w:after="0" w:line="240" w:lineRule="auto"/>
      </w:pPr>
    </w:p>
    <w:p w14:paraId="1C588AE4" w14:textId="77777777" w:rsidR="005F0C52" w:rsidRDefault="00653A00" w:rsidP="00547F55">
      <w:pPr>
        <w:spacing w:after="0" w:line="240" w:lineRule="auto"/>
      </w:pPr>
      <w:r>
        <w:rPr>
          <w:noProof/>
        </w:rPr>
        <w:lastRenderedPageBreak/>
        <w:drawing>
          <wp:inline distT="0" distB="0" distL="0" distR="0" wp14:anchorId="37E7ADB5" wp14:editId="4DFFD9B6">
            <wp:extent cx="3431767" cy="2796989"/>
            <wp:effectExtent l="19050" t="0" r="0" b="0"/>
            <wp:docPr id="25" name="Picture 24" descr="Detailed descriptive text for Figure 9 available in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 group detail 2.JPG"/>
                    <pic:cNvPicPr/>
                  </pic:nvPicPr>
                  <pic:blipFill>
                    <a:blip r:embed="rId19" cstate="print"/>
                    <a:stretch>
                      <a:fillRect/>
                    </a:stretch>
                  </pic:blipFill>
                  <pic:spPr>
                    <a:xfrm>
                      <a:off x="0" y="0"/>
                      <a:ext cx="3434789" cy="2799452"/>
                    </a:xfrm>
                    <a:prstGeom prst="rect">
                      <a:avLst/>
                    </a:prstGeom>
                  </pic:spPr>
                </pic:pic>
              </a:graphicData>
            </a:graphic>
          </wp:inline>
        </w:drawing>
      </w:r>
    </w:p>
    <w:p w14:paraId="0BD503D5" w14:textId="77777777" w:rsidR="00B54E0D" w:rsidRDefault="00B54E0D" w:rsidP="00547F55">
      <w:pPr>
        <w:spacing w:after="0" w:line="240" w:lineRule="auto"/>
      </w:pPr>
    </w:p>
    <w:p w14:paraId="0600B2F0" w14:textId="77777777" w:rsidR="00653A00" w:rsidRDefault="00653A00" w:rsidP="00547F55">
      <w:pPr>
        <w:spacing w:after="0" w:line="240" w:lineRule="auto"/>
      </w:pPr>
      <w:r>
        <w:t xml:space="preserve">Then scroll down further below for the “Explore Groups by Performance Level” section to view the statewide performance for English learner students for the indicator selected. </w:t>
      </w:r>
      <w:r w:rsidR="00BB4CD4">
        <w:t xml:space="preserve">As shown in </w:t>
      </w:r>
      <w:r w:rsidR="00BB4CD4" w:rsidRPr="00BB4CD4">
        <w:rPr>
          <w:b/>
        </w:rPr>
        <w:t>Figure 10</w:t>
      </w:r>
      <w:r w:rsidR="00BB4CD4">
        <w:t>.</w:t>
      </w:r>
    </w:p>
    <w:p w14:paraId="63DD4946" w14:textId="77777777" w:rsidR="00547F55" w:rsidRDefault="00547F55" w:rsidP="00547F55">
      <w:pPr>
        <w:spacing w:after="0" w:line="240" w:lineRule="auto"/>
      </w:pPr>
    </w:p>
    <w:p w14:paraId="3B50E316" w14:textId="77777777" w:rsidR="00653A00" w:rsidRDefault="00653A00" w:rsidP="00547F55">
      <w:pPr>
        <w:spacing w:after="0" w:line="240" w:lineRule="auto"/>
      </w:pPr>
      <w:r>
        <w:rPr>
          <w:noProof/>
        </w:rPr>
        <w:drawing>
          <wp:inline distT="0" distB="0" distL="0" distR="0" wp14:anchorId="6B4FF69A" wp14:editId="75B469D4">
            <wp:extent cx="5753100" cy="845820"/>
            <wp:effectExtent l="19050" t="0" r="0" b="0"/>
            <wp:docPr id="24" name="Picture 23" descr="This image shows Explore Groups by Performance Level: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JPG"/>
                    <pic:cNvPicPr/>
                  </pic:nvPicPr>
                  <pic:blipFill>
                    <a:blip r:embed="rId20" cstate="print"/>
                    <a:stretch>
                      <a:fillRect/>
                    </a:stretch>
                  </pic:blipFill>
                  <pic:spPr>
                    <a:xfrm>
                      <a:off x="0" y="0"/>
                      <a:ext cx="5753100" cy="845820"/>
                    </a:xfrm>
                    <a:prstGeom prst="rect">
                      <a:avLst/>
                    </a:prstGeom>
                  </pic:spPr>
                </pic:pic>
              </a:graphicData>
            </a:graphic>
          </wp:inline>
        </w:drawing>
      </w:r>
    </w:p>
    <w:p w14:paraId="2924A8F9" w14:textId="77777777" w:rsidR="00653A00" w:rsidRDefault="00653A00" w:rsidP="00547F55">
      <w:pPr>
        <w:spacing w:after="0" w:line="240" w:lineRule="auto"/>
      </w:pPr>
    </w:p>
    <w:p w14:paraId="7E731419" w14:textId="77777777" w:rsidR="00653A00" w:rsidRDefault="00653A00" w:rsidP="00547F55">
      <w:pPr>
        <w:spacing w:after="0" w:line="240" w:lineRule="auto"/>
      </w:pPr>
      <w:r>
        <w:t xml:space="preserve">Select the performance color </w:t>
      </w:r>
      <w:r w:rsidR="00547F55">
        <w:t>of</w:t>
      </w:r>
      <w:r>
        <w:t xml:space="preserve"> the EL student group for more information on EL performance.</w:t>
      </w:r>
      <w:r w:rsidR="002773BB">
        <w:t xml:space="preserve"> A detailed description of </w:t>
      </w:r>
      <w:r w:rsidR="00BB4CD4" w:rsidRPr="00BB4CD4">
        <w:rPr>
          <w:b/>
        </w:rPr>
        <w:t>Figure 11</w:t>
      </w:r>
      <w:r w:rsidR="002773BB">
        <w:t xml:space="preserve"> is available in Appendix </w:t>
      </w:r>
      <w:r w:rsidR="00BB4CD4">
        <w:t>A</w:t>
      </w:r>
      <w:r w:rsidR="002773BB">
        <w:t xml:space="preserve"> on page </w:t>
      </w:r>
      <w:r w:rsidR="00820AF9">
        <w:t>7</w:t>
      </w:r>
      <w:r w:rsidR="00BB4CD4">
        <w:t>/8</w:t>
      </w:r>
      <w:r w:rsidR="002773BB">
        <w:t xml:space="preserve"> of this document</w:t>
      </w:r>
      <w:r w:rsidR="002773BB" w:rsidRPr="00687E04">
        <w:t>.</w:t>
      </w:r>
    </w:p>
    <w:p w14:paraId="1FD6F367" w14:textId="77777777" w:rsidR="00547F55" w:rsidRDefault="00547F55" w:rsidP="00547F55">
      <w:pPr>
        <w:spacing w:after="0" w:line="240" w:lineRule="auto"/>
      </w:pPr>
    </w:p>
    <w:p w14:paraId="144474B0" w14:textId="77777777" w:rsidR="00653A00" w:rsidRDefault="00653A00" w:rsidP="00547F55">
      <w:pPr>
        <w:spacing w:after="0" w:line="240" w:lineRule="auto"/>
      </w:pPr>
      <w:r>
        <w:rPr>
          <w:noProof/>
        </w:rPr>
        <w:drawing>
          <wp:inline distT="0" distB="0" distL="0" distR="0" wp14:anchorId="254CDBD5" wp14:editId="109A50ED">
            <wp:extent cx="4714315" cy="2053447"/>
            <wp:effectExtent l="19050" t="0" r="0" b="0"/>
            <wp:docPr id="23" name="Picture 22" descr="Detailed descriptive text of Figure 11 available in Appendix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 2.JPG"/>
                    <pic:cNvPicPr/>
                  </pic:nvPicPr>
                  <pic:blipFill>
                    <a:blip r:embed="rId21" cstate="print"/>
                    <a:stretch>
                      <a:fillRect/>
                    </a:stretch>
                  </pic:blipFill>
                  <pic:spPr>
                    <a:xfrm>
                      <a:off x="0" y="0"/>
                      <a:ext cx="4714315" cy="2053447"/>
                    </a:xfrm>
                    <a:prstGeom prst="rect">
                      <a:avLst/>
                    </a:prstGeom>
                  </pic:spPr>
                </pic:pic>
              </a:graphicData>
            </a:graphic>
          </wp:inline>
        </w:drawing>
      </w:r>
    </w:p>
    <w:p w14:paraId="213D353E" w14:textId="77777777" w:rsidR="009E218D" w:rsidRDefault="009E218D" w:rsidP="00547F55">
      <w:pPr>
        <w:spacing w:after="0" w:line="240" w:lineRule="auto"/>
      </w:pPr>
    </w:p>
    <w:p w14:paraId="443052EE" w14:textId="77777777" w:rsidR="00216E4A" w:rsidRDefault="00216E4A" w:rsidP="00547F55">
      <w:pPr>
        <w:spacing w:after="0" w:line="240" w:lineRule="auto"/>
      </w:pPr>
    </w:p>
    <w:p w14:paraId="0CEA5246" w14:textId="77777777" w:rsidR="00BB2CB9" w:rsidRDefault="00BB2CB9">
      <w:pPr>
        <w:rPr>
          <w:b/>
        </w:rPr>
      </w:pPr>
      <w:r>
        <w:rPr>
          <w:b/>
        </w:rPr>
        <w:br w:type="page"/>
      </w:r>
    </w:p>
    <w:p w14:paraId="14630ACB" w14:textId="77777777" w:rsidR="000F5D5B" w:rsidRPr="000F5D5B" w:rsidRDefault="00BB2CB9" w:rsidP="000F5D5B">
      <w:pPr>
        <w:pStyle w:val="Heading2"/>
        <w:rPr>
          <w:sz w:val="32"/>
          <w:szCs w:val="32"/>
        </w:rPr>
      </w:pPr>
      <w:r w:rsidRPr="000F5D5B">
        <w:rPr>
          <w:sz w:val="32"/>
          <w:szCs w:val="32"/>
        </w:rPr>
        <w:lastRenderedPageBreak/>
        <w:t xml:space="preserve">Appendix A </w:t>
      </w:r>
      <w:r w:rsidR="000F5D5B">
        <w:rPr>
          <w:sz w:val="32"/>
          <w:szCs w:val="32"/>
        </w:rPr>
        <w:t>– Descriptive Text for images.</w:t>
      </w:r>
    </w:p>
    <w:p w14:paraId="36A1CC89" w14:textId="77777777" w:rsidR="00BB2CB9" w:rsidRPr="00BB2CB9" w:rsidRDefault="00BB2CB9" w:rsidP="00BB2CB9">
      <w:pPr>
        <w:spacing w:after="0" w:line="240" w:lineRule="auto"/>
        <w:rPr>
          <w:b/>
        </w:rPr>
      </w:pPr>
    </w:p>
    <w:p w14:paraId="783085D9" w14:textId="77777777" w:rsidR="00BB2CB9" w:rsidRPr="000F5D5B" w:rsidRDefault="000F5D5B" w:rsidP="000F5D5B">
      <w:pPr>
        <w:pStyle w:val="Heading3"/>
        <w:rPr>
          <w:sz w:val="28"/>
          <w:szCs w:val="28"/>
        </w:rPr>
      </w:pPr>
      <w:r w:rsidRPr="000F5D5B">
        <w:rPr>
          <w:sz w:val="28"/>
          <w:szCs w:val="28"/>
        </w:rPr>
        <w:t xml:space="preserve">Figure </w:t>
      </w:r>
      <w:r>
        <w:rPr>
          <w:sz w:val="28"/>
          <w:szCs w:val="28"/>
        </w:rPr>
        <w:t>2</w:t>
      </w:r>
      <w:r w:rsidRPr="000F5D5B">
        <w:rPr>
          <w:sz w:val="28"/>
          <w:szCs w:val="28"/>
        </w:rPr>
        <w:t xml:space="preserve"> – Descriptive Text</w:t>
      </w:r>
    </w:p>
    <w:p w14:paraId="788BCD1D" w14:textId="77777777" w:rsidR="005D2DE3" w:rsidRDefault="005D2DE3" w:rsidP="00BB2CB9">
      <w:pPr>
        <w:spacing w:after="0" w:line="240" w:lineRule="auto"/>
      </w:pPr>
      <w:r>
        <w:t>Image shows select subject with a dropdown of some available options:</w:t>
      </w:r>
    </w:p>
    <w:p w14:paraId="2648D855" w14:textId="77777777" w:rsidR="00BB2CB9" w:rsidRPr="005D2DE3" w:rsidRDefault="005D2DE3" w:rsidP="005D2DE3">
      <w:pPr>
        <w:spacing w:after="0" w:line="240" w:lineRule="auto"/>
        <w:ind w:left="720"/>
        <w:rPr>
          <w:b/>
        </w:rPr>
      </w:pPr>
      <w:r w:rsidRPr="005D2DE3">
        <w:rPr>
          <w:b/>
        </w:rPr>
        <w:t>Accountability Data</w:t>
      </w:r>
    </w:p>
    <w:p w14:paraId="53A00606" w14:textId="77777777" w:rsidR="005D2DE3" w:rsidRDefault="005D2DE3" w:rsidP="005D2DE3">
      <w:pPr>
        <w:spacing w:after="0" w:line="240" w:lineRule="auto"/>
        <w:ind w:left="1440"/>
      </w:pPr>
      <w:r>
        <w:t>California School Dashboard</w:t>
      </w:r>
    </w:p>
    <w:p w14:paraId="3D140985" w14:textId="77777777" w:rsidR="005D2DE3" w:rsidRDefault="005D2DE3" w:rsidP="005D2DE3">
      <w:pPr>
        <w:spacing w:after="0" w:line="240" w:lineRule="auto"/>
        <w:ind w:left="1440"/>
      </w:pPr>
      <w:r>
        <w:t>Dashboard Additional Reports and Data</w:t>
      </w:r>
    </w:p>
    <w:p w14:paraId="44BDF807" w14:textId="77777777" w:rsidR="005D2DE3" w:rsidRPr="005D2DE3" w:rsidRDefault="005D2DE3" w:rsidP="005D2DE3">
      <w:pPr>
        <w:spacing w:after="0" w:line="240" w:lineRule="auto"/>
        <w:ind w:left="720"/>
        <w:rPr>
          <w:b/>
        </w:rPr>
      </w:pPr>
      <w:r w:rsidRPr="005D2DE3">
        <w:rPr>
          <w:b/>
        </w:rPr>
        <w:t>Assessment Data</w:t>
      </w:r>
    </w:p>
    <w:p w14:paraId="46E0EDAC" w14:textId="77777777" w:rsidR="005D2DE3" w:rsidRDefault="005D2DE3" w:rsidP="005D2DE3">
      <w:pPr>
        <w:spacing w:after="0" w:line="240" w:lineRule="auto"/>
        <w:ind w:left="1440"/>
      </w:pPr>
      <w:r>
        <w:t>CAASPP Test Results</w:t>
      </w:r>
    </w:p>
    <w:p w14:paraId="3E0AC41D" w14:textId="77777777" w:rsidR="005D2DE3" w:rsidRDefault="005D2DE3" w:rsidP="005D2DE3">
      <w:pPr>
        <w:spacing w:after="0" w:line="240" w:lineRule="auto"/>
        <w:ind w:left="1440"/>
      </w:pPr>
      <w:r>
        <w:t>English Language Proficiency Assessments for CA (ELPAC)</w:t>
      </w:r>
    </w:p>
    <w:p w14:paraId="3E126434" w14:textId="77777777" w:rsidR="005D2DE3" w:rsidRDefault="005D2DE3" w:rsidP="005D2DE3">
      <w:pPr>
        <w:spacing w:after="0" w:line="240" w:lineRule="auto"/>
        <w:ind w:left="1440"/>
      </w:pPr>
      <w:r>
        <w:t>Postsecondary Preparation (SAT, ACT, AP)</w:t>
      </w:r>
    </w:p>
    <w:p w14:paraId="629AE64C" w14:textId="77777777" w:rsidR="005D2DE3" w:rsidRDefault="005D2DE3" w:rsidP="005D2DE3">
      <w:pPr>
        <w:spacing w:after="0" w:line="240" w:lineRule="auto"/>
        <w:ind w:left="1440"/>
      </w:pPr>
      <w:r>
        <w:t>Physical Fitness Test (PFT)</w:t>
      </w:r>
    </w:p>
    <w:p w14:paraId="6B81CF6B" w14:textId="77777777" w:rsidR="005D2DE3" w:rsidRPr="005D2DE3" w:rsidRDefault="005D2DE3" w:rsidP="005D2DE3">
      <w:pPr>
        <w:spacing w:after="0" w:line="240" w:lineRule="auto"/>
        <w:ind w:left="720"/>
        <w:rPr>
          <w:b/>
        </w:rPr>
      </w:pPr>
      <w:r w:rsidRPr="005D2DE3">
        <w:rPr>
          <w:b/>
        </w:rPr>
        <w:t>Enrollment Data</w:t>
      </w:r>
    </w:p>
    <w:p w14:paraId="6DFF2598" w14:textId="77777777" w:rsidR="005D2DE3" w:rsidRDefault="005D2DE3" w:rsidP="005D2DE3">
      <w:pPr>
        <w:spacing w:after="0" w:line="240" w:lineRule="auto"/>
        <w:ind w:left="1440"/>
      </w:pPr>
      <w:r>
        <w:t>Annual Enrollment Data</w:t>
      </w:r>
    </w:p>
    <w:p w14:paraId="70521D72" w14:textId="77777777" w:rsidR="005D2DE3" w:rsidRDefault="005D2DE3" w:rsidP="005D2DE3">
      <w:pPr>
        <w:spacing w:after="0" w:line="240" w:lineRule="auto"/>
        <w:ind w:left="1440"/>
      </w:pPr>
      <w:r>
        <w:t>English Learner Data (Highlighted as an example of a selection to choose)</w:t>
      </w:r>
    </w:p>
    <w:p w14:paraId="1940878B" w14:textId="77777777" w:rsidR="005D2DE3" w:rsidRDefault="005D2DE3" w:rsidP="005D2DE3">
      <w:pPr>
        <w:spacing w:after="0" w:line="240" w:lineRule="auto"/>
        <w:ind w:left="1440"/>
      </w:pPr>
      <w:r>
        <w:t>Foster Student Data</w:t>
      </w:r>
    </w:p>
    <w:p w14:paraId="5B9C8CFA" w14:textId="77777777" w:rsidR="00BB2CB9" w:rsidRDefault="005D2DE3" w:rsidP="0094416D">
      <w:pPr>
        <w:spacing w:after="480" w:line="240" w:lineRule="auto"/>
        <w:ind w:left="1440"/>
      </w:pPr>
      <w:r>
        <w:t>Special Education Data</w:t>
      </w:r>
    </w:p>
    <w:p w14:paraId="1FD9367A" w14:textId="77777777" w:rsidR="002D39AB" w:rsidRPr="00CE666A" w:rsidRDefault="00CE666A" w:rsidP="00CE666A">
      <w:pPr>
        <w:pStyle w:val="Heading3"/>
        <w:rPr>
          <w:sz w:val="28"/>
          <w:szCs w:val="28"/>
        </w:rPr>
      </w:pPr>
      <w:r w:rsidRPr="00CE666A">
        <w:rPr>
          <w:sz w:val="28"/>
          <w:szCs w:val="28"/>
        </w:rPr>
        <w:t>Figure 4 – Descriptive Text</w:t>
      </w:r>
    </w:p>
    <w:p w14:paraId="6B0BB01F" w14:textId="77777777" w:rsidR="002D39AB" w:rsidRDefault="00CE666A" w:rsidP="002D39AB">
      <w:pPr>
        <w:spacing w:after="0" w:line="240" w:lineRule="auto"/>
      </w:pPr>
      <w:r>
        <w:t>Image shows t</w:t>
      </w:r>
      <w:r w:rsidR="002D39AB">
        <w:t xml:space="preserve">he Report Filters English Learner </w:t>
      </w:r>
      <w:r>
        <w:t>(EL) Data. State Level Reports</w:t>
      </w:r>
      <w:r w:rsidR="002D39AB">
        <w:t>:</w:t>
      </w:r>
    </w:p>
    <w:p w14:paraId="3A70923E" w14:textId="77777777" w:rsidR="00CE666A" w:rsidRDefault="00CE666A" w:rsidP="002D39AB">
      <w:pPr>
        <w:spacing w:after="0" w:line="240" w:lineRule="auto"/>
      </w:pPr>
      <w:r>
        <w:t>Select a Report: (Shows available options to select from)</w:t>
      </w:r>
    </w:p>
    <w:p w14:paraId="0BA72D78" w14:textId="77777777" w:rsidR="002D39AB" w:rsidRDefault="002D39AB" w:rsidP="002D39AB">
      <w:pPr>
        <w:spacing w:after="0" w:line="240" w:lineRule="auto"/>
      </w:pPr>
    </w:p>
    <w:p w14:paraId="2787F903" w14:textId="77777777" w:rsidR="002D39AB" w:rsidRDefault="002D39AB" w:rsidP="002D39AB">
      <w:pPr>
        <w:pStyle w:val="ListParagraph"/>
        <w:numPr>
          <w:ilvl w:val="0"/>
          <w:numId w:val="3"/>
        </w:numPr>
        <w:spacing w:after="0" w:line="240" w:lineRule="auto"/>
      </w:pPr>
      <w:r>
        <w:t>Enrollment by English Language Acquisition Status (ELAS) and Grade</w:t>
      </w:r>
    </w:p>
    <w:p w14:paraId="2668A635" w14:textId="77777777" w:rsidR="002D39AB" w:rsidRDefault="002D39AB" w:rsidP="002D39AB">
      <w:pPr>
        <w:pStyle w:val="ListParagraph"/>
        <w:numPr>
          <w:ilvl w:val="0"/>
          <w:numId w:val="3"/>
        </w:numPr>
        <w:spacing w:after="0" w:line="240" w:lineRule="auto"/>
      </w:pPr>
      <w:r>
        <w:t>Enrollment by English Language Acquisition Status (ELAS) (with County Data)</w:t>
      </w:r>
    </w:p>
    <w:p w14:paraId="17BD08FC" w14:textId="77777777" w:rsidR="002D39AB" w:rsidRDefault="002D39AB" w:rsidP="002D39AB">
      <w:pPr>
        <w:pStyle w:val="ListParagraph"/>
        <w:numPr>
          <w:ilvl w:val="0"/>
          <w:numId w:val="3"/>
        </w:numPr>
        <w:spacing w:after="0" w:line="240" w:lineRule="auto"/>
      </w:pPr>
      <w:r>
        <w:t>“At-Risk” and Long-Term English Learners (LTEL) by Grade</w:t>
      </w:r>
    </w:p>
    <w:p w14:paraId="4A0E7B32" w14:textId="77777777" w:rsidR="002D39AB" w:rsidRDefault="002D39AB" w:rsidP="002D39AB">
      <w:pPr>
        <w:pStyle w:val="ListParagraph"/>
        <w:numPr>
          <w:ilvl w:val="0"/>
          <w:numId w:val="3"/>
        </w:numPr>
        <w:spacing w:after="0" w:line="240" w:lineRule="auto"/>
      </w:pPr>
      <w:r>
        <w:t>“At-Risk” and Long-Term English Learners (LTEL) (with County Data)</w:t>
      </w:r>
    </w:p>
    <w:p w14:paraId="28990A3A" w14:textId="77777777" w:rsidR="002D39AB" w:rsidRDefault="002D39AB" w:rsidP="002D39AB">
      <w:pPr>
        <w:pStyle w:val="ListParagraph"/>
        <w:numPr>
          <w:ilvl w:val="0"/>
          <w:numId w:val="3"/>
        </w:numPr>
        <w:spacing w:after="0" w:line="240" w:lineRule="auto"/>
      </w:pPr>
      <w:r>
        <w:t>“Ever-ELs” by Years as EL and Reclassification (RFEP) Status and Grade</w:t>
      </w:r>
    </w:p>
    <w:p w14:paraId="122A1D7A" w14:textId="77777777" w:rsidR="002D39AB" w:rsidRDefault="002D39AB" w:rsidP="002D39AB">
      <w:pPr>
        <w:pStyle w:val="ListParagraph"/>
        <w:numPr>
          <w:ilvl w:val="0"/>
          <w:numId w:val="3"/>
        </w:numPr>
        <w:spacing w:after="0" w:line="240" w:lineRule="auto"/>
      </w:pPr>
      <w:r>
        <w:t>“Ever-ELs” by Years as EL and Reclassification (RFEP) Status (with County Data)</w:t>
      </w:r>
    </w:p>
    <w:p w14:paraId="74B992F4" w14:textId="77777777" w:rsidR="002D39AB" w:rsidRDefault="002D39AB" w:rsidP="002D39AB">
      <w:pPr>
        <w:pStyle w:val="ListParagraph"/>
        <w:numPr>
          <w:ilvl w:val="0"/>
          <w:numId w:val="3"/>
        </w:numPr>
        <w:spacing w:after="0" w:line="240" w:lineRule="auto"/>
      </w:pPr>
      <w:r>
        <w:t>English Learners by Language and Grade</w:t>
      </w:r>
    </w:p>
    <w:p w14:paraId="0E479F58" w14:textId="77777777" w:rsidR="002D39AB" w:rsidRDefault="002D39AB" w:rsidP="002D39AB">
      <w:pPr>
        <w:pStyle w:val="ListParagraph"/>
        <w:numPr>
          <w:ilvl w:val="0"/>
          <w:numId w:val="3"/>
        </w:numPr>
        <w:spacing w:after="0" w:line="240" w:lineRule="auto"/>
      </w:pPr>
      <w:r>
        <w:t>Annual Reclassification (RFEP) Counts and Rates</w:t>
      </w:r>
    </w:p>
    <w:p w14:paraId="6CB89A74" w14:textId="77777777" w:rsidR="002D39AB" w:rsidRDefault="002D39AB" w:rsidP="002D39AB">
      <w:pPr>
        <w:pStyle w:val="ListParagraph"/>
        <w:numPr>
          <w:ilvl w:val="0"/>
          <w:numId w:val="3"/>
        </w:numPr>
        <w:spacing w:after="0" w:line="240" w:lineRule="auto"/>
      </w:pPr>
      <w:r>
        <w:t>Annual Reclassification (RFEP) Counts and Rates (with county data)</w:t>
      </w:r>
    </w:p>
    <w:p w14:paraId="010A49C8" w14:textId="77777777" w:rsidR="002D39AB" w:rsidRDefault="002D39AB" w:rsidP="00CE666A">
      <w:pPr>
        <w:pStyle w:val="ListParagraph"/>
        <w:numPr>
          <w:ilvl w:val="0"/>
          <w:numId w:val="3"/>
        </w:numPr>
        <w:spacing w:after="0" w:line="240" w:lineRule="auto"/>
      </w:pPr>
      <w:r>
        <w:t xml:space="preserve">Language Group Data </w:t>
      </w:r>
      <w:r w:rsidR="00CE666A">
        <w:t>–</w:t>
      </w:r>
      <w:r>
        <w:t xml:space="preserve"> Statewide</w:t>
      </w:r>
      <w:r w:rsidR="00CE666A">
        <w:br/>
      </w:r>
    </w:p>
    <w:p w14:paraId="02BD3808" w14:textId="77777777" w:rsidR="00CE666A" w:rsidRDefault="00CE666A" w:rsidP="00CE666A">
      <w:pPr>
        <w:pStyle w:val="ListParagraph"/>
        <w:spacing w:after="0" w:line="240" w:lineRule="auto"/>
        <w:ind w:left="0"/>
      </w:pPr>
      <w:r>
        <w:t>Blue submit button shown in image.</w:t>
      </w:r>
    </w:p>
    <w:p w14:paraId="301B2B21" w14:textId="77777777" w:rsidR="002D39AB" w:rsidRDefault="002D39AB" w:rsidP="002773BB">
      <w:pPr>
        <w:spacing w:after="0" w:line="240" w:lineRule="auto"/>
        <w:rPr>
          <w:b/>
        </w:rPr>
      </w:pPr>
    </w:p>
    <w:p w14:paraId="1D525403" w14:textId="77777777" w:rsidR="002773BB" w:rsidRPr="007F64DA" w:rsidRDefault="007F64DA" w:rsidP="007F64DA">
      <w:pPr>
        <w:pStyle w:val="Heading3"/>
        <w:rPr>
          <w:sz w:val="28"/>
          <w:szCs w:val="28"/>
        </w:rPr>
      </w:pPr>
      <w:r w:rsidRPr="007F64DA">
        <w:rPr>
          <w:sz w:val="28"/>
          <w:szCs w:val="28"/>
        </w:rPr>
        <w:t>Figure 8 – Descriptive Text</w:t>
      </w:r>
    </w:p>
    <w:p w14:paraId="7A6DB910" w14:textId="77777777" w:rsidR="002773BB" w:rsidRDefault="002773BB" w:rsidP="002773BB">
      <w:pPr>
        <w:spacing w:after="0" w:line="240" w:lineRule="auto"/>
      </w:pPr>
    </w:p>
    <w:p w14:paraId="5E618552" w14:textId="77777777" w:rsidR="002773BB" w:rsidRDefault="002773BB" w:rsidP="002773BB">
      <w:pPr>
        <w:spacing w:after="0" w:line="240" w:lineRule="auto"/>
      </w:pPr>
      <w:r>
        <w:t>The image is of the 2019 Dashboard web page. Indicator In-Depth Display. Information Displayed is as below, from left to right:</w:t>
      </w:r>
    </w:p>
    <w:p w14:paraId="5E448F9A" w14:textId="77777777" w:rsidR="002773BB" w:rsidRDefault="002773BB" w:rsidP="002773BB">
      <w:pPr>
        <w:spacing w:after="0" w:line="240" w:lineRule="auto"/>
      </w:pPr>
    </w:p>
    <w:p w14:paraId="0745E79B" w14:textId="77777777" w:rsidR="002773BB" w:rsidRDefault="002773BB" w:rsidP="002773BB">
      <w:pPr>
        <w:pStyle w:val="ListParagraph"/>
        <w:numPr>
          <w:ilvl w:val="0"/>
          <w:numId w:val="2"/>
        </w:numPr>
        <w:spacing w:after="0" w:line="240" w:lineRule="auto"/>
      </w:pPr>
      <w:r>
        <w:t>Learn More –Chronic Absenteeism</w:t>
      </w:r>
    </w:p>
    <w:p w14:paraId="1FD2E4ED" w14:textId="77777777" w:rsidR="002773BB" w:rsidRDefault="002773BB" w:rsidP="002773BB">
      <w:pPr>
        <w:pStyle w:val="ListParagraph"/>
        <w:numPr>
          <w:ilvl w:val="1"/>
          <w:numId w:val="2"/>
        </w:numPr>
        <w:spacing w:after="0" w:line="240" w:lineRule="auto"/>
      </w:pPr>
      <w:r>
        <w:lastRenderedPageBreak/>
        <w:t>Gauge Indicator image pointing to Orange</w:t>
      </w:r>
    </w:p>
    <w:p w14:paraId="78A513BD" w14:textId="77777777" w:rsidR="002773BB" w:rsidRDefault="002773BB" w:rsidP="002773BB">
      <w:pPr>
        <w:pStyle w:val="ListParagraph"/>
        <w:numPr>
          <w:ilvl w:val="1"/>
          <w:numId w:val="2"/>
        </w:numPr>
        <w:spacing w:after="0" w:line="240" w:lineRule="auto"/>
      </w:pPr>
      <w:r>
        <w:t>10.1% chronic absenteeism rate</w:t>
      </w:r>
    </w:p>
    <w:p w14:paraId="6FF329FA" w14:textId="77777777" w:rsidR="002773BB" w:rsidRDefault="002773BB" w:rsidP="002773BB">
      <w:pPr>
        <w:pStyle w:val="ListParagraph"/>
        <w:numPr>
          <w:ilvl w:val="1"/>
          <w:numId w:val="2"/>
        </w:numPr>
        <w:spacing w:after="0" w:line="240" w:lineRule="auto"/>
      </w:pPr>
      <w:r>
        <w:t>Increased –1.1% (Arrow pointing up)</w:t>
      </w:r>
    </w:p>
    <w:p w14:paraId="5E9E4073" w14:textId="77777777" w:rsidR="002773BB" w:rsidRDefault="002773BB" w:rsidP="002773BB">
      <w:pPr>
        <w:pStyle w:val="ListParagraph"/>
        <w:numPr>
          <w:ilvl w:val="1"/>
          <w:numId w:val="2"/>
        </w:numPr>
        <w:spacing w:after="0" w:line="240" w:lineRule="auto"/>
      </w:pPr>
      <w:r>
        <w:t>Equity Report –Number of Student Groups in Each Color • 3 –Red, 8 –Orange, 2-Yellow, 0 –Green, 0 –Blue</w:t>
      </w:r>
    </w:p>
    <w:p w14:paraId="781B5384" w14:textId="77777777" w:rsidR="002773BB" w:rsidRDefault="002773BB" w:rsidP="002773BB">
      <w:pPr>
        <w:pStyle w:val="ListParagraph"/>
        <w:numPr>
          <w:ilvl w:val="1"/>
          <w:numId w:val="2"/>
        </w:numPr>
        <w:spacing w:after="0" w:line="240" w:lineRule="auto"/>
      </w:pPr>
      <w:r>
        <w:t>Select the “View More Details” option under the specific accountability card for more information.</w:t>
      </w:r>
    </w:p>
    <w:p w14:paraId="4B5FE3B1" w14:textId="77777777" w:rsidR="002773BB" w:rsidRDefault="002773BB" w:rsidP="002773BB">
      <w:pPr>
        <w:spacing w:after="0" w:line="240" w:lineRule="auto"/>
      </w:pPr>
    </w:p>
    <w:p w14:paraId="38AED724" w14:textId="77777777" w:rsidR="002773BB" w:rsidRDefault="002773BB" w:rsidP="002773BB">
      <w:pPr>
        <w:pStyle w:val="ListParagraph"/>
        <w:numPr>
          <w:ilvl w:val="0"/>
          <w:numId w:val="2"/>
        </w:numPr>
        <w:spacing w:after="0" w:line="240" w:lineRule="auto"/>
      </w:pPr>
      <w:r>
        <w:t>Learn More –Graduation Rate</w:t>
      </w:r>
    </w:p>
    <w:p w14:paraId="268051C0" w14:textId="77777777" w:rsidR="002773BB" w:rsidRDefault="002773BB" w:rsidP="002773BB">
      <w:pPr>
        <w:pStyle w:val="ListParagraph"/>
        <w:numPr>
          <w:ilvl w:val="1"/>
          <w:numId w:val="2"/>
        </w:numPr>
        <w:spacing w:after="0" w:line="240" w:lineRule="auto"/>
      </w:pPr>
      <w:r>
        <w:t>Gauge Indicator image pointing to Orange</w:t>
      </w:r>
    </w:p>
    <w:p w14:paraId="23CD0C24" w14:textId="77777777" w:rsidR="002773BB" w:rsidRDefault="002773BB" w:rsidP="002773BB">
      <w:pPr>
        <w:pStyle w:val="ListParagraph"/>
        <w:numPr>
          <w:ilvl w:val="1"/>
          <w:numId w:val="2"/>
        </w:numPr>
        <w:spacing w:after="0" w:line="240" w:lineRule="auto"/>
      </w:pPr>
      <w:r>
        <w:t>85.9% graduation rate</w:t>
      </w:r>
    </w:p>
    <w:p w14:paraId="0C578F4F" w14:textId="77777777" w:rsidR="002773BB" w:rsidRDefault="002773BB" w:rsidP="002773BB">
      <w:pPr>
        <w:pStyle w:val="ListParagraph"/>
        <w:numPr>
          <w:ilvl w:val="1"/>
          <w:numId w:val="2"/>
        </w:numPr>
        <w:spacing w:after="0" w:line="240" w:lineRule="auto"/>
      </w:pPr>
      <w:r>
        <w:t>Increased –2.7% (Arrow pointing up)</w:t>
      </w:r>
    </w:p>
    <w:p w14:paraId="16216F17" w14:textId="77777777" w:rsidR="002773BB" w:rsidRDefault="002773BB" w:rsidP="002773BB">
      <w:pPr>
        <w:pStyle w:val="ListParagraph"/>
        <w:numPr>
          <w:ilvl w:val="1"/>
          <w:numId w:val="2"/>
        </w:numPr>
        <w:spacing w:after="0" w:line="240" w:lineRule="auto"/>
      </w:pPr>
      <w:r>
        <w:t>Equity Report –Number of Student Groups in Each Color • 1 –Red, 1 –Orange, 4-Yellow, 7 –Green, 0 –Blue</w:t>
      </w:r>
    </w:p>
    <w:p w14:paraId="1BAF9156" w14:textId="77777777" w:rsidR="002773BB" w:rsidRDefault="002773BB" w:rsidP="002773BB">
      <w:pPr>
        <w:pStyle w:val="ListParagraph"/>
        <w:numPr>
          <w:ilvl w:val="1"/>
          <w:numId w:val="2"/>
        </w:numPr>
        <w:spacing w:after="0" w:line="240" w:lineRule="auto"/>
      </w:pPr>
      <w:r>
        <w:t>Select the “View More Details” option under the specific accountability card for more information.</w:t>
      </w:r>
    </w:p>
    <w:p w14:paraId="39674AC3" w14:textId="77777777" w:rsidR="00216E4A" w:rsidRDefault="00216E4A" w:rsidP="00547F55">
      <w:pPr>
        <w:spacing w:after="0" w:line="240" w:lineRule="auto"/>
      </w:pPr>
    </w:p>
    <w:p w14:paraId="4AABEF5C" w14:textId="77777777" w:rsidR="001920C9" w:rsidRPr="001920C9" w:rsidRDefault="001920C9" w:rsidP="001920C9">
      <w:pPr>
        <w:pStyle w:val="Heading3"/>
        <w:rPr>
          <w:sz w:val="28"/>
          <w:szCs w:val="28"/>
        </w:rPr>
      </w:pPr>
      <w:r w:rsidRPr="001920C9">
        <w:rPr>
          <w:sz w:val="28"/>
          <w:szCs w:val="28"/>
        </w:rPr>
        <w:t xml:space="preserve">Figure 9 – Descriptive Text </w:t>
      </w:r>
    </w:p>
    <w:p w14:paraId="410A7211" w14:textId="77777777" w:rsidR="001920C9" w:rsidRDefault="001920C9" w:rsidP="00547F55">
      <w:pPr>
        <w:spacing w:after="0" w:line="240" w:lineRule="auto"/>
      </w:pPr>
      <w:r w:rsidRPr="001920C9">
        <w:t>This image shows two examples of Student Group Details</w:t>
      </w:r>
      <w:r>
        <w:t xml:space="preserve">. </w:t>
      </w:r>
    </w:p>
    <w:p w14:paraId="48C6C141" w14:textId="77777777" w:rsidR="001920C9" w:rsidRDefault="001920C9" w:rsidP="00547F55">
      <w:pPr>
        <w:spacing w:after="0" w:line="240" w:lineRule="auto"/>
      </w:pPr>
      <w:r>
        <w:t>All Student Groups by Performance Level.</w:t>
      </w:r>
    </w:p>
    <w:p w14:paraId="0BF0B49B" w14:textId="77777777" w:rsidR="001920C9" w:rsidRDefault="001920C9" w:rsidP="00547F55">
      <w:pPr>
        <w:spacing w:after="0" w:line="240" w:lineRule="auto"/>
      </w:pPr>
      <w:r>
        <w:t>13 Student Groups:</w:t>
      </w:r>
    </w:p>
    <w:p w14:paraId="2C4D578E" w14:textId="77777777" w:rsidR="001920C9" w:rsidRDefault="001920C9" w:rsidP="00547F55">
      <w:pPr>
        <w:spacing w:after="0" w:line="240" w:lineRule="auto"/>
      </w:pPr>
      <w:r>
        <w:t>Image on left shows: Gauge pointing to Red</w:t>
      </w:r>
      <w:r w:rsidR="00674EA8">
        <w:t xml:space="preserve"> with three listed groups</w:t>
      </w:r>
    </w:p>
    <w:p w14:paraId="2E24B3BC" w14:textId="77777777" w:rsidR="00674EA8" w:rsidRDefault="001920C9" w:rsidP="00674EA8">
      <w:pPr>
        <w:spacing w:after="0" w:line="240" w:lineRule="auto"/>
        <w:ind w:left="720"/>
      </w:pPr>
      <w:r w:rsidRPr="001920C9">
        <w:t>African American</w:t>
      </w:r>
    </w:p>
    <w:p w14:paraId="51100245" w14:textId="77777777" w:rsidR="00674EA8" w:rsidRDefault="001920C9" w:rsidP="00674EA8">
      <w:pPr>
        <w:spacing w:after="0" w:line="240" w:lineRule="auto"/>
        <w:ind w:left="720"/>
      </w:pPr>
      <w:r w:rsidRPr="001920C9">
        <w:t>Foster Youth</w:t>
      </w:r>
    </w:p>
    <w:p w14:paraId="6E33FC23" w14:textId="77777777" w:rsidR="00674EA8" w:rsidRDefault="001920C9" w:rsidP="00674EA8">
      <w:pPr>
        <w:spacing w:after="0" w:line="240" w:lineRule="auto"/>
        <w:ind w:left="720"/>
      </w:pPr>
      <w:r w:rsidRPr="001920C9">
        <w:t xml:space="preserve">Homeless </w:t>
      </w:r>
    </w:p>
    <w:p w14:paraId="5B5CBA35" w14:textId="77777777" w:rsidR="00674EA8" w:rsidRDefault="00674EA8" w:rsidP="00674EA8">
      <w:pPr>
        <w:spacing w:after="0" w:line="240" w:lineRule="auto"/>
      </w:pPr>
      <w:r>
        <w:t>Image on right shows: Gauge pointing to Orange with 8 listed groups</w:t>
      </w:r>
    </w:p>
    <w:p w14:paraId="0F6067E3" w14:textId="77777777" w:rsidR="00674EA8" w:rsidRDefault="001920C9" w:rsidP="00674EA8">
      <w:pPr>
        <w:spacing w:after="0" w:line="240" w:lineRule="auto"/>
        <w:ind w:left="720"/>
      </w:pPr>
      <w:r w:rsidRPr="001920C9">
        <w:t>American Indian</w:t>
      </w:r>
    </w:p>
    <w:p w14:paraId="007E20C6" w14:textId="77777777" w:rsidR="00674EA8" w:rsidRDefault="001920C9" w:rsidP="00674EA8">
      <w:pPr>
        <w:spacing w:after="0" w:line="240" w:lineRule="auto"/>
        <w:ind w:left="720"/>
      </w:pPr>
      <w:r w:rsidRPr="001920C9">
        <w:t>Students with Disabilities</w:t>
      </w:r>
    </w:p>
    <w:p w14:paraId="01BBECFA" w14:textId="77777777" w:rsidR="00674EA8" w:rsidRDefault="001920C9" w:rsidP="00674EA8">
      <w:pPr>
        <w:spacing w:after="0" w:line="240" w:lineRule="auto"/>
        <w:ind w:left="720"/>
      </w:pPr>
      <w:r w:rsidRPr="001920C9">
        <w:t>English Learners</w:t>
      </w:r>
    </w:p>
    <w:p w14:paraId="217EEA45" w14:textId="77777777" w:rsidR="00674EA8" w:rsidRDefault="001920C9" w:rsidP="00674EA8">
      <w:pPr>
        <w:spacing w:after="0" w:line="240" w:lineRule="auto"/>
        <w:ind w:left="720"/>
      </w:pPr>
      <w:r w:rsidRPr="001920C9">
        <w:t>Filipino</w:t>
      </w:r>
    </w:p>
    <w:p w14:paraId="1CEE27EE" w14:textId="77777777" w:rsidR="00674EA8" w:rsidRDefault="001920C9" w:rsidP="00674EA8">
      <w:pPr>
        <w:spacing w:after="0" w:line="240" w:lineRule="auto"/>
        <w:ind w:left="720"/>
      </w:pPr>
      <w:r w:rsidRPr="001920C9">
        <w:t>Hispanic</w:t>
      </w:r>
    </w:p>
    <w:p w14:paraId="777E8BE5" w14:textId="77777777" w:rsidR="00674EA8" w:rsidRDefault="001920C9" w:rsidP="00674EA8">
      <w:pPr>
        <w:spacing w:after="0" w:line="240" w:lineRule="auto"/>
        <w:ind w:left="720"/>
      </w:pPr>
      <w:r w:rsidRPr="001920C9">
        <w:t>Pacific Islanders</w:t>
      </w:r>
      <w:r w:rsidR="00674EA8">
        <w:t xml:space="preserve"> </w:t>
      </w:r>
    </w:p>
    <w:p w14:paraId="4CC9BBC0" w14:textId="77777777" w:rsidR="00674EA8" w:rsidRDefault="001920C9" w:rsidP="00674EA8">
      <w:pPr>
        <w:spacing w:after="0" w:line="240" w:lineRule="auto"/>
        <w:ind w:left="720"/>
      </w:pPr>
      <w:r w:rsidRPr="001920C9">
        <w:t>Socioeconomically Disadvantaged</w:t>
      </w:r>
      <w:r w:rsidR="00674EA8">
        <w:t xml:space="preserve"> </w:t>
      </w:r>
    </w:p>
    <w:p w14:paraId="72349807" w14:textId="77777777" w:rsidR="001920C9" w:rsidRDefault="001920C9" w:rsidP="00BB4CD4">
      <w:pPr>
        <w:spacing w:after="480" w:line="240" w:lineRule="auto"/>
        <w:ind w:left="720"/>
      </w:pPr>
      <w:r w:rsidRPr="001920C9">
        <w:t>Two or More races are in Orange.</w:t>
      </w:r>
    </w:p>
    <w:p w14:paraId="66B9383B" w14:textId="77777777" w:rsidR="00BB4CD4" w:rsidRPr="00BB4CD4" w:rsidRDefault="00BB4CD4" w:rsidP="00BB4CD4">
      <w:pPr>
        <w:pStyle w:val="Heading3"/>
        <w:rPr>
          <w:sz w:val="28"/>
          <w:szCs w:val="28"/>
        </w:rPr>
      </w:pPr>
      <w:r w:rsidRPr="00BB4CD4">
        <w:rPr>
          <w:sz w:val="28"/>
          <w:szCs w:val="28"/>
        </w:rPr>
        <w:t>Figure 11 – Descriptive Text</w:t>
      </w:r>
    </w:p>
    <w:p w14:paraId="6AAF1AA7" w14:textId="77777777" w:rsidR="00BB4CD4" w:rsidRDefault="00216E4A" w:rsidP="00547F55">
      <w:pPr>
        <w:spacing w:after="0" w:line="240" w:lineRule="auto"/>
      </w:pPr>
      <w:r>
        <w:t xml:space="preserve">The image shows an example of Explore Groups </w:t>
      </w:r>
      <w:proofErr w:type="gramStart"/>
      <w:r>
        <w:t>By</w:t>
      </w:r>
      <w:proofErr w:type="gramEnd"/>
      <w:r>
        <w:t xml:space="preserve"> Performance Level</w:t>
      </w:r>
      <w:r w:rsidR="00BB4CD4">
        <w:t>:</w:t>
      </w:r>
    </w:p>
    <w:p w14:paraId="5A9E7619" w14:textId="77777777" w:rsidR="00216E4A" w:rsidRDefault="00216E4A" w:rsidP="00547F55">
      <w:pPr>
        <w:spacing w:after="0" w:line="240" w:lineRule="auto"/>
      </w:pPr>
      <w:r>
        <w:t xml:space="preserve">There are three baseball like cards that detail the indicators. Within each indicator there is an opportunity to view additional data. Starting from left to right the indicators include the following: </w:t>
      </w:r>
    </w:p>
    <w:p w14:paraId="0C257979" w14:textId="77777777" w:rsidR="00216E4A" w:rsidRDefault="00216E4A" w:rsidP="00547F55">
      <w:pPr>
        <w:spacing w:after="0" w:line="240" w:lineRule="auto"/>
      </w:pPr>
    </w:p>
    <w:p w14:paraId="14B1C903" w14:textId="77777777" w:rsidR="00216E4A" w:rsidRDefault="00873492" w:rsidP="00216E4A">
      <w:pPr>
        <w:pStyle w:val="ListParagraph"/>
        <w:numPr>
          <w:ilvl w:val="0"/>
          <w:numId w:val="1"/>
        </w:numPr>
        <w:spacing w:after="0" w:line="240" w:lineRule="auto"/>
      </w:pPr>
      <w:r>
        <w:t xml:space="preserve">American Indian - </w:t>
      </w:r>
      <w:r w:rsidR="00216E4A">
        <w:t>Gauge Indicator arrow pointing to Orange</w:t>
      </w:r>
    </w:p>
    <w:p w14:paraId="03793875" w14:textId="77777777" w:rsidR="00216E4A" w:rsidRDefault="00216E4A" w:rsidP="00216E4A">
      <w:pPr>
        <w:pStyle w:val="ListParagraph"/>
        <w:numPr>
          <w:ilvl w:val="1"/>
          <w:numId w:val="1"/>
        </w:numPr>
        <w:spacing w:after="0" w:line="240" w:lineRule="auto"/>
      </w:pPr>
      <w:r>
        <w:t>18.9 percent chronically absent</w:t>
      </w:r>
    </w:p>
    <w:p w14:paraId="5C77951A" w14:textId="77777777" w:rsidR="00216E4A" w:rsidRDefault="00216E4A" w:rsidP="00216E4A">
      <w:pPr>
        <w:pStyle w:val="ListParagraph"/>
        <w:numPr>
          <w:ilvl w:val="1"/>
          <w:numId w:val="1"/>
        </w:numPr>
        <w:spacing w:after="0" w:line="240" w:lineRule="auto"/>
      </w:pPr>
      <w:r>
        <w:t>Increased 1.2 percent</w:t>
      </w:r>
    </w:p>
    <w:p w14:paraId="729FF3EA" w14:textId="77777777" w:rsidR="00216E4A" w:rsidRDefault="00216E4A" w:rsidP="00216E4A">
      <w:pPr>
        <w:pStyle w:val="ListParagraph"/>
        <w:numPr>
          <w:ilvl w:val="1"/>
          <w:numId w:val="1"/>
        </w:numPr>
        <w:spacing w:after="0" w:line="240" w:lineRule="auto"/>
      </w:pPr>
      <w:r>
        <w:t>Number of Students 21,06</w:t>
      </w:r>
      <w:r w:rsidR="00873492">
        <w:t>4</w:t>
      </w:r>
    </w:p>
    <w:p w14:paraId="7D5D404E" w14:textId="77777777" w:rsidR="00216E4A" w:rsidRDefault="00216E4A" w:rsidP="00547F55">
      <w:pPr>
        <w:spacing w:after="0" w:line="240" w:lineRule="auto"/>
      </w:pPr>
    </w:p>
    <w:p w14:paraId="7D78EA8A" w14:textId="77777777" w:rsidR="00216E4A" w:rsidRDefault="00873492" w:rsidP="00216E4A">
      <w:pPr>
        <w:pStyle w:val="ListParagraph"/>
        <w:numPr>
          <w:ilvl w:val="0"/>
          <w:numId w:val="1"/>
        </w:numPr>
        <w:spacing w:after="0" w:line="240" w:lineRule="auto"/>
      </w:pPr>
      <w:r>
        <w:t xml:space="preserve">Students with Disabilities - </w:t>
      </w:r>
      <w:r w:rsidR="00216E4A">
        <w:t xml:space="preserve">Gauge Indicator arrow pointing to </w:t>
      </w:r>
      <w:r w:rsidR="00B60596">
        <w:t>Orange</w:t>
      </w:r>
    </w:p>
    <w:p w14:paraId="22CABA3A" w14:textId="77777777" w:rsidR="00216E4A" w:rsidRDefault="00216E4A" w:rsidP="00216E4A">
      <w:pPr>
        <w:pStyle w:val="ListParagraph"/>
        <w:numPr>
          <w:ilvl w:val="1"/>
          <w:numId w:val="1"/>
        </w:numPr>
        <w:spacing w:after="0" w:line="240" w:lineRule="auto"/>
      </w:pPr>
      <w:r>
        <w:t>16.3 percent chronically absent</w:t>
      </w:r>
    </w:p>
    <w:p w14:paraId="565713EB" w14:textId="77777777" w:rsidR="00216E4A" w:rsidRDefault="00216E4A" w:rsidP="00216E4A">
      <w:pPr>
        <w:pStyle w:val="ListParagraph"/>
        <w:numPr>
          <w:ilvl w:val="1"/>
          <w:numId w:val="1"/>
        </w:numPr>
        <w:spacing w:after="0" w:line="240" w:lineRule="auto"/>
      </w:pPr>
      <w:r>
        <w:t>Increased 1.2 percent</w:t>
      </w:r>
    </w:p>
    <w:p w14:paraId="65A3F7D5" w14:textId="77777777" w:rsidR="00216E4A" w:rsidRDefault="00216E4A" w:rsidP="00216E4A">
      <w:pPr>
        <w:pStyle w:val="ListParagraph"/>
        <w:numPr>
          <w:ilvl w:val="1"/>
          <w:numId w:val="1"/>
        </w:numPr>
        <w:spacing w:after="0" w:line="240" w:lineRule="auto"/>
      </w:pPr>
      <w:r>
        <w:t>Number of Students 559,</w:t>
      </w:r>
      <w:r w:rsidR="00B60596">
        <w:t>824</w:t>
      </w:r>
    </w:p>
    <w:p w14:paraId="5E67A1EF" w14:textId="77777777" w:rsidR="00216E4A" w:rsidRDefault="00216E4A" w:rsidP="00216E4A">
      <w:pPr>
        <w:pStyle w:val="ListParagraph"/>
        <w:spacing w:after="0" w:line="240" w:lineRule="auto"/>
        <w:ind w:left="1440"/>
      </w:pPr>
    </w:p>
    <w:p w14:paraId="48BC3BD2" w14:textId="77777777" w:rsidR="00216E4A" w:rsidRDefault="00873492" w:rsidP="00216E4A">
      <w:pPr>
        <w:pStyle w:val="ListParagraph"/>
        <w:numPr>
          <w:ilvl w:val="0"/>
          <w:numId w:val="1"/>
        </w:numPr>
        <w:spacing w:after="0" w:line="240" w:lineRule="auto"/>
      </w:pPr>
      <w:r>
        <w:t xml:space="preserve">English Learners - </w:t>
      </w:r>
      <w:r w:rsidR="00216E4A">
        <w:t>Gauge In</w:t>
      </w:r>
      <w:r w:rsidR="00B60596">
        <w:t>dicator arrow pointing to Orange</w:t>
      </w:r>
    </w:p>
    <w:p w14:paraId="784FB3A3" w14:textId="77777777" w:rsidR="00216E4A" w:rsidRDefault="00B60596" w:rsidP="00216E4A">
      <w:pPr>
        <w:pStyle w:val="ListParagraph"/>
        <w:numPr>
          <w:ilvl w:val="1"/>
          <w:numId w:val="1"/>
        </w:numPr>
        <w:spacing w:after="0" w:line="240" w:lineRule="auto"/>
      </w:pPr>
      <w:r>
        <w:t>9</w:t>
      </w:r>
      <w:r w:rsidR="00216E4A">
        <w:t>.9 percent chronically absent</w:t>
      </w:r>
    </w:p>
    <w:p w14:paraId="24AB77F1" w14:textId="77777777" w:rsidR="00216E4A" w:rsidRDefault="00216E4A" w:rsidP="00216E4A">
      <w:pPr>
        <w:pStyle w:val="ListParagraph"/>
        <w:numPr>
          <w:ilvl w:val="1"/>
          <w:numId w:val="1"/>
        </w:numPr>
        <w:spacing w:after="0" w:line="240" w:lineRule="auto"/>
      </w:pPr>
      <w:r>
        <w:t>Increased 1.</w:t>
      </w:r>
      <w:r w:rsidR="00B60596">
        <w:t>4</w:t>
      </w:r>
      <w:r>
        <w:t xml:space="preserve"> percent</w:t>
      </w:r>
    </w:p>
    <w:p w14:paraId="6125189D" w14:textId="77777777" w:rsidR="00216E4A" w:rsidRDefault="00216E4A" w:rsidP="00216E4A">
      <w:pPr>
        <w:pStyle w:val="ListParagraph"/>
        <w:numPr>
          <w:ilvl w:val="1"/>
          <w:numId w:val="1"/>
        </w:numPr>
        <w:spacing w:after="0" w:line="240" w:lineRule="auto"/>
      </w:pPr>
      <w:r>
        <w:t xml:space="preserve">Number of Students </w:t>
      </w:r>
      <w:r w:rsidR="00B60596">
        <w:t>1,040,077</w:t>
      </w:r>
    </w:p>
    <w:p w14:paraId="672E247C" w14:textId="77777777" w:rsidR="00216E4A" w:rsidRPr="007428B8" w:rsidRDefault="00216E4A" w:rsidP="00216E4A">
      <w:pPr>
        <w:spacing w:after="0" w:line="240" w:lineRule="auto"/>
        <w:ind w:left="1080"/>
      </w:pPr>
    </w:p>
    <w:sectPr w:rsidR="00216E4A" w:rsidRPr="007428B8" w:rsidSect="00105852">
      <w:headerReference w:type="default" r:id="rId2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81986" w14:textId="77777777" w:rsidR="00105852" w:rsidRDefault="00105852" w:rsidP="00A2559C">
      <w:pPr>
        <w:spacing w:after="0" w:line="240" w:lineRule="auto"/>
      </w:pPr>
      <w:r>
        <w:separator/>
      </w:r>
    </w:p>
  </w:endnote>
  <w:endnote w:type="continuationSeparator" w:id="0">
    <w:p w14:paraId="6F7F1847" w14:textId="77777777" w:rsidR="00105852" w:rsidRDefault="00105852" w:rsidP="00A2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592DA" w14:textId="77777777" w:rsidR="00105852" w:rsidRDefault="00105852" w:rsidP="00A2559C">
      <w:pPr>
        <w:spacing w:after="0" w:line="240" w:lineRule="auto"/>
      </w:pPr>
      <w:r>
        <w:separator/>
      </w:r>
    </w:p>
  </w:footnote>
  <w:footnote w:type="continuationSeparator" w:id="0">
    <w:p w14:paraId="1BA5A26F" w14:textId="77777777" w:rsidR="00105852" w:rsidRDefault="00105852" w:rsidP="00A25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67171" w:themeColor="background2" w:themeShade="80"/>
      </w:rPr>
      <w:id w:val="-1318336367"/>
      <w:docPartObj>
        <w:docPartGallery w:val="Page Numbers (Top of Page)"/>
        <w:docPartUnique/>
      </w:docPartObj>
    </w:sdtPr>
    <w:sdtContent>
      <w:p w14:paraId="764DB1AF" w14:textId="77777777" w:rsidR="00F041D5" w:rsidRDefault="00F041D5">
        <w:pPr>
          <w:pStyle w:val="Header"/>
          <w:jc w:val="right"/>
          <w:rPr>
            <w:color w:val="767171" w:themeColor="background2" w:themeShade="80"/>
          </w:rPr>
        </w:pPr>
        <w:r>
          <w:rPr>
            <w:color w:val="767171" w:themeColor="background2" w:themeShade="80"/>
          </w:rPr>
          <w:t xml:space="preserve">California Department of Education </w:t>
        </w:r>
      </w:p>
      <w:p w14:paraId="1DA66D3B" w14:textId="77777777" w:rsidR="00F041D5" w:rsidRPr="00586D3D" w:rsidRDefault="00F041D5">
        <w:pPr>
          <w:pStyle w:val="Header"/>
          <w:jc w:val="right"/>
          <w:rPr>
            <w:color w:val="767171" w:themeColor="background2" w:themeShade="80"/>
          </w:rPr>
        </w:pPr>
        <w:r w:rsidRPr="00586D3D">
          <w:rPr>
            <w:color w:val="767171" w:themeColor="background2" w:themeShade="80"/>
          </w:rPr>
          <w:t xml:space="preserve">Page </w:t>
        </w:r>
        <w:r w:rsidRPr="00586D3D">
          <w:rPr>
            <w:bCs/>
            <w:color w:val="767171" w:themeColor="background2" w:themeShade="80"/>
            <w:szCs w:val="24"/>
          </w:rPr>
          <w:fldChar w:fldCharType="begin"/>
        </w:r>
        <w:r w:rsidRPr="00586D3D">
          <w:rPr>
            <w:bCs/>
            <w:color w:val="767171" w:themeColor="background2" w:themeShade="80"/>
          </w:rPr>
          <w:instrText xml:space="preserve"> PAGE </w:instrText>
        </w:r>
        <w:r w:rsidRPr="00586D3D">
          <w:rPr>
            <w:bCs/>
            <w:color w:val="767171" w:themeColor="background2" w:themeShade="80"/>
            <w:szCs w:val="24"/>
          </w:rPr>
          <w:fldChar w:fldCharType="separate"/>
        </w:r>
        <w:r w:rsidR="00820AF9">
          <w:rPr>
            <w:bCs/>
            <w:noProof/>
            <w:color w:val="767171" w:themeColor="background2" w:themeShade="80"/>
          </w:rPr>
          <w:t>1</w:t>
        </w:r>
        <w:r w:rsidRPr="00586D3D">
          <w:rPr>
            <w:bCs/>
            <w:color w:val="767171" w:themeColor="background2" w:themeShade="80"/>
            <w:szCs w:val="24"/>
          </w:rPr>
          <w:fldChar w:fldCharType="end"/>
        </w:r>
        <w:r w:rsidRPr="00586D3D">
          <w:rPr>
            <w:color w:val="767171" w:themeColor="background2" w:themeShade="80"/>
          </w:rPr>
          <w:t xml:space="preserve"> of </w:t>
        </w:r>
        <w:r w:rsidRPr="00586D3D">
          <w:rPr>
            <w:bCs/>
            <w:color w:val="767171" w:themeColor="background2" w:themeShade="80"/>
            <w:szCs w:val="24"/>
          </w:rPr>
          <w:fldChar w:fldCharType="begin"/>
        </w:r>
        <w:r w:rsidRPr="00586D3D">
          <w:rPr>
            <w:bCs/>
            <w:color w:val="767171" w:themeColor="background2" w:themeShade="80"/>
          </w:rPr>
          <w:instrText xml:space="preserve"> NUMPAGES  </w:instrText>
        </w:r>
        <w:r w:rsidRPr="00586D3D">
          <w:rPr>
            <w:bCs/>
            <w:color w:val="767171" w:themeColor="background2" w:themeShade="80"/>
            <w:szCs w:val="24"/>
          </w:rPr>
          <w:fldChar w:fldCharType="separate"/>
        </w:r>
        <w:r w:rsidR="00820AF9">
          <w:rPr>
            <w:bCs/>
            <w:noProof/>
            <w:color w:val="767171" w:themeColor="background2" w:themeShade="80"/>
          </w:rPr>
          <w:t>2</w:t>
        </w:r>
        <w:r w:rsidRPr="00586D3D">
          <w:rPr>
            <w:bCs/>
            <w:color w:val="767171" w:themeColor="background2" w:themeShade="80"/>
            <w:szCs w:val="24"/>
          </w:rPr>
          <w:fldChar w:fldCharType="end"/>
        </w:r>
      </w:p>
    </w:sdtContent>
  </w:sdt>
  <w:p w14:paraId="14B93525" w14:textId="77777777" w:rsidR="00F041D5" w:rsidRDefault="00F04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A5018"/>
    <w:multiLevelType w:val="hybridMultilevel"/>
    <w:tmpl w:val="59E64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943CB"/>
    <w:multiLevelType w:val="hybridMultilevel"/>
    <w:tmpl w:val="03C4B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0407C"/>
    <w:multiLevelType w:val="hybridMultilevel"/>
    <w:tmpl w:val="3A06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255910">
    <w:abstractNumId w:val="1"/>
  </w:num>
  <w:num w:numId="2" w16cid:durableId="655382509">
    <w:abstractNumId w:val="0"/>
  </w:num>
  <w:num w:numId="3" w16cid:durableId="1558276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2E"/>
    <w:rsid w:val="00027D68"/>
    <w:rsid w:val="0006241A"/>
    <w:rsid w:val="000726C8"/>
    <w:rsid w:val="000B4631"/>
    <w:rsid w:val="000D5460"/>
    <w:rsid w:val="000F5D5B"/>
    <w:rsid w:val="0010374B"/>
    <w:rsid w:val="00105852"/>
    <w:rsid w:val="001920C9"/>
    <w:rsid w:val="001A0CA5"/>
    <w:rsid w:val="001B770C"/>
    <w:rsid w:val="001D24B1"/>
    <w:rsid w:val="00212390"/>
    <w:rsid w:val="00216E4A"/>
    <w:rsid w:val="002242C2"/>
    <w:rsid w:val="00263FC0"/>
    <w:rsid w:val="002749A9"/>
    <w:rsid w:val="002773BB"/>
    <w:rsid w:val="00282C06"/>
    <w:rsid w:val="00290605"/>
    <w:rsid w:val="002D39AB"/>
    <w:rsid w:val="002E4CB5"/>
    <w:rsid w:val="0034149A"/>
    <w:rsid w:val="00385DCC"/>
    <w:rsid w:val="003B6EEF"/>
    <w:rsid w:val="003E090B"/>
    <w:rsid w:val="00464AD0"/>
    <w:rsid w:val="004B2E6B"/>
    <w:rsid w:val="004D1D75"/>
    <w:rsid w:val="00502ADC"/>
    <w:rsid w:val="0054600D"/>
    <w:rsid w:val="00547F55"/>
    <w:rsid w:val="00586D3D"/>
    <w:rsid w:val="005C4756"/>
    <w:rsid w:val="005D2DE3"/>
    <w:rsid w:val="005F0C52"/>
    <w:rsid w:val="00653A00"/>
    <w:rsid w:val="00674EA8"/>
    <w:rsid w:val="00687E04"/>
    <w:rsid w:val="006D2D1C"/>
    <w:rsid w:val="006E5825"/>
    <w:rsid w:val="0070457E"/>
    <w:rsid w:val="0070587C"/>
    <w:rsid w:val="007151AC"/>
    <w:rsid w:val="0074280B"/>
    <w:rsid w:val="007428B8"/>
    <w:rsid w:val="00745026"/>
    <w:rsid w:val="007A37DC"/>
    <w:rsid w:val="007B082B"/>
    <w:rsid w:val="007F64DA"/>
    <w:rsid w:val="00820AF9"/>
    <w:rsid w:val="00834088"/>
    <w:rsid w:val="00873492"/>
    <w:rsid w:val="00876E3E"/>
    <w:rsid w:val="0088191C"/>
    <w:rsid w:val="008D1E85"/>
    <w:rsid w:val="009174E4"/>
    <w:rsid w:val="0094416D"/>
    <w:rsid w:val="00987BE5"/>
    <w:rsid w:val="009A5698"/>
    <w:rsid w:val="009D2474"/>
    <w:rsid w:val="009E218D"/>
    <w:rsid w:val="00A2559C"/>
    <w:rsid w:val="00A32F52"/>
    <w:rsid w:val="00A807F0"/>
    <w:rsid w:val="00AB388C"/>
    <w:rsid w:val="00B54E0D"/>
    <w:rsid w:val="00B60596"/>
    <w:rsid w:val="00B77F28"/>
    <w:rsid w:val="00B91B84"/>
    <w:rsid w:val="00BB2CB9"/>
    <w:rsid w:val="00BB4CD4"/>
    <w:rsid w:val="00BC0B55"/>
    <w:rsid w:val="00BC67E9"/>
    <w:rsid w:val="00BF0FCF"/>
    <w:rsid w:val="00BF2F2E"/>
    <w:rsid w:val="00C85CB9"/>
    <w:rsid w:val="00C93F96"/>
    <w:rsid w:val="00CE666A"/>
    <w:rsid w:val="00D01687"/>
    <w:rsid w:val="00D2224E"/>
    <w:rsid w:val="00D433FF"/>
    <w:rsid w:val="00D47DAB"/>
    <w:rsid w:val="00DC157A"/>
    <w:rsid w:val="00DD63D1"/>
    <w:rsid w:val="00E12B52"/>
    <w:rsid w:val="00E620FC"/>
    <w:rsid w:val="00E861A4"/>
    <w:rsid w:val="00EB52ED"/>
    <w:rsid w:val="00ED673B"/>
    <w:rsid w:val="00F041D5"/>
    <w:rsid w:val="00F10898"/>
    <w:rsid w:val="00F5076F"/>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character" w:styleId="Hyperlink">
    <w:name w:val="Hyperlink"/>
    <w:basedOn w:val="DefaultParagraphFont"/>
    <w:uiPriority w:val="99"/>
    <w:unhideWhenUsed/>
    <w:rsid w:val="00BF2F2E"/>
    <w:rPr>
      <w:color w:val="0563C1" w:themeColor="hyperlink"/>
      <w:u w:val="single"/>
    </w:rPr>
  </w:style>
  <w:style w:type="character" w:customStyle="1" w:styleId="UnresolvedMention1">
    <w:name w:val="Unresolved Mention1"/>
    <w:basedOn w:val="DefaultParagraphFont"/>
    <w:uiPriority w:val="99"/>
    <w:semiHidden/>
    <w:unhideWhenUsed/>
    <w:rsid w:val="00BF2F2E"/>
    <w:rPr>
      <w:color w:val="605E5C"/>
      <w:shd w:val="clear" w:color="auto" w:fill="E1DFDD"/>
    </w:rPr>
  </w:style>
  <w:style w:type="character" w:styleId="CommentReference">
    <w:name w:val="annotation reference"/>
    <w:basedOn w:val="DefaultParagraphFont"/>
    <w:uiPriority w:val="99"/>
    <w:semiHidden/>
    <w:unhideWhenUsed/>
    <w:rsid w:val="00687E04"/>
    <w:rPr>
      <w:sz w:val="16"/>
      <w:szCs w:val="16"/>
    </w:rPr>
  </w:style>
  <w:style w:type="paragraph" w:styleId="CommentText">
    <w:name w:val="annotation text"/>
    <w:basedOn w:val="Normal"/>
    <w:link w:val="CommentTextChar"/>
    <w:uiPriority w:val="99"/>
    <w:semiHidden/>
    <w:unhideWhenUsed/>
    <w:rsid w:val="00687E04"/>
    <w:pPr>
      <w:spacing w:line="240" w:lineRule="auto"/>
    </w:pPr>
    <w:rPr>
      <w:sz w:val="20"/>
      <w:szCs w:val="20"/>
    </w:rPr>
  </w:style>
  <w:style w:type="character" w:customStyle="1" w:styleId="CommentTextChar">
    <w:name w:val="Comment Text Char"/>
    <w:basedOn w:val="DefaultParagraphFont"/>
    <w:link w:val="CommentText"/>
    <w:uiPriority w:val="99"/>
    <w:semiHidden/>
    <w:rsid w:val="00687E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87E04"/>
    <w:rPr>
      <w:b/>
      <w:bCs/>
    </w:rPr>
  </w:style>
  <w:style w:type="character" w:customStyle="1" w:styleId="CommentSubjectChar">
    <w:name w:val="Comment Subject Char"/>
    <w:basedOn w:val="CommentTextChar"/>
    <w:link w:val="CommentSubject"/>
    <w:uiPriority w:val="99"/>
    <w:semiHidden/>
    <w:rsid w:val="00687E04"/>
    <w:rPr>
      <w:rFonts w:ascii="Arial" w:hAnsi="Arial"/>
      <w:b/>
      <w:bCs/>
      <w:sz w:val="20"/>
      <w:szCs w:val="20"/>
    </w:rPr>
  </w:style>
  <w:style w:type="paragraph" w:styleId="BalloonText">
    <w:name w:val="Balloon Text"/>
    <w:basedOn w:val="Normal"/>
    <w:link w:val="BalloonTextChar"/>
    <w:uiPriority w:val="99"/>
    <w:semiHidden/>
    <w:unhideWhenUsed/>
    <w:rsid w:val="00687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04"/>
    <w:rPr>
      <w:rFonts w:ascii="Segoe UI" w:hAnsi="Segoe UI" w:cs="Segoe UI"/>
      <w:sz w:val="18"/>
      <w:szCs w:val="18"/>
    </w:rPr>
  </w:style>
  <w:style w:type="paragraph" w:styleId="Header">
    <w:name w:val="header"/>
    <w:basedOn w:val="Normal"/>
    <w:link w:val="HeaderChar"/>
    <w:uiPriority w:val="99"/>
    <w:unhideWhenUsed/>
    <w:rsid w:val="00A25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59C"/>
    <w:rPr>
      <w:rFonts w:ascii="Arial" w:hAnsi="Arial"/>
      <w:sz w:val="24"/>
    </w:rPr>
  </w:style>
  <w:style w:type="paragraph" w:styleId="Footer">
    <w:name w:val="footer"/>
    <w:basedOn w:val="Normal"/>
    <w:link w:val="FooterChar"/>
    <w:uiPriority w:val="99"/>
    <w:unhideWhenUsed/>
    <w:rsid w:val="00A25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59C"/>
    <w:rPr>
      <w:rFonts w:ascii="Arial" w:hAnsi="Arial"/>
      <w:sz w:val="24"/>
    </w:rPr>
  </w:style>
  <w:style w:type="paragraph" w:styleId="ListParagraph">
    <w:name w:val="List Paragraph"/>
    <w:basedOn w:val="Normal"/>
    <w:uiPriority w:val="34"/>
    <w:qFormat/>
    <w:rsid w:val="00216E4A"/>
    <w:pPr>
      <w:ind w:left="720"/>
      <w:contextualSpacing/>
    </w:pPr>
  </w:style>
  <w:style w:type="character" w:styleId="FollowedHyperlink">
    <w:name w:val="FollowedHyperlink"/>
    <w:basedOn w:val="DefaultParagraphFont"/>
    <w:uiPriority w:val="99"/>
    <w:semiHidden/>
    <w:unhideWhenUsed/>
    <w:rsid w:val="00F507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q.cde.ca.gov/dataquest/" TargetMode="External"/><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aschooldashboard.org/reports/ca/201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974</Words>
  <Characters>5400</Characters>
  <Application>Microsoft Office Word</Application>
  <DocSecurity>0</DocSecurity>
  <Lines>186</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Accessing Data - Student Group Information (CA Dept of Education)</dc:title>
  <dc:subject>This document contains information on accessing data for the foster youth.</dc:subject>
  <dc:creator/>
  <cp:keywords/>
  <dc:description/>
  <cp:lastModifiedBy/>
  <cp:revision>1</cp:revision>
  <dcterms:created xsi:type="dcterms:W3CDTF">2024-04-15T18:06:00Z</dcterms:created>
  <dcterms:modified xsi:type="dcterms:W3CDTF">2024-04-15T18:07:00Z</dcterms:modified>
</cp:coreProperties>
</file>