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105F" w14:textId="77777777" w:rsidR="009576C9" w:rsidRPr="00FD19BD" w:rsidRDefault="009576C9" w:rsidP="0071479A">
      <w:pPr>
        <w:pStyle w:val="Heading1"/>
        <w:spacing w:before="0" w:after="0"/>
        <w:rPr>
          <w:sz w:val="28"/>
          <w:szCs w:val="28"/>
        </w:rPr>
      </w:pPr>
      <w:r w:rsidRPr="00FD19BD">
        <w:rPr>
          <w:sz w:val="28"/>
          <w:szCs w:val="28"/>
        </w:rPr>
        <w:t>FINDING OF EMERGENCY</w:t>
      </w:r>
    </w:p>
    <w:p w14:paraId="62CD6D74" w14:textId="77777777" w:rsidR="0024703A" w:rsidRDefault="0024703A" w:rsidP="00082BFB">
      <w:pPr>
        <w:pStyle w:val="Heading2"/>
      </w:pPr>
      <w:r>
        <w:t>Readoption of Emergency Regulations</w:t>
      </w:r>
    </w:p>
    <w:p w14:paraId="622E78E0" w14:textId="0193D448" w:rsidR="009576C9" w:rsidRPr="00FD19BD" w:rsidRDefault="009576C9" w:rsidP="00082BFB">
      <w:pPr>
        <w:pStyle w:val="Heading2"/>
      </w:pPr>
      <w:r w:rsidRPr="00FD19BD">
        <w:t>California Assessment of Student Performance and Progress</w:t>
      </w:r>
      <w:r w:rsidR="0024703A">
        <w:t xml:space="preserve"> (CAASPP)</w:t>
      </w:r>
    </w:p>
    <w:p w14:paraId="4C6C60B4" w14:textId="352A4A2D" w:rsidR="009576C9" w:rsidRPr="00FD19BD" w:rsidRDefault="009576C9" w:rsidP="000B2037">
      <w:pPr>
        <w:spacing w:after="240"/>
      </w:pPr>
      <w:r w:rsidRPr="00FD19BD">
        <w:rPr>
          <w:rFonts w:cs="Arial"/>
        </w:rPr>
        <w:t xml:space="preserve">The State Board of Education (SBE) finds that an emergency exists and that the emergency regulations adopted are necessary to avoid serious harm to the public peace, health, safety, or general welfare, especially the welfare of students attending California’s public schools. </w:t>
      </w:r>
    </w:p>
    <w:p w14:paraId="061BAD01" w14:textId="326C7AA3" w:rsidR="009576C9" w:rsidRPr="004750F2" w:rsidRDefault="009576C9" w:rsidP="00FD19BD">
      <w:pPr>
        <w:pStyle w:val="Heading3"/>
        <w:rPr>
          <w:sz w:val="24"/>
          <w:szCs w:val="22"/>
        </w:rPr>
      </w:pPr>
      <w:r w:rsidRPr="004750F2">
        <w:rPr>
          <w:sz w:val="24"/>
          <w:szCs w:val="22"/>
        </w:rPr>
        <w:t xml:space="preserve">SPECIFIC FACTS DEMONSTRATING THE EXISTENCE OF AN EMERGENCY AND THE NEED FOR IMMEDIATE ACTION </w:t>
      </w:r>
    </w:p>
    <w:p w14:paraId="6EC8C2B9" w14:textId="1CBEA0BC" w:rsidR="009576C9" w:rsidRPr="00FD19BD" w:rsidRDefault="00971E11" w:rsidP="00063D43">
      <w:pPr>
        <w:pStyle w:val="Heading4"/>
        <w:rPr>
          <w:sz w:val="20"/>
          <w:szCs w:val="20"/>
        </w:rPr>
      </w:pPr>
      <w:r>
        <w:t>Necessity for Readoption for Emergency Regulations</w:t>
      </w:r>
    </w:p>
    <w:p w14:paraId="35CA9317" w14:textId="56102031" w:rsidR="002E5385" w:rsidRPr="002E5385" w:rsidRDefault="002E5385" w:rsidP="002E5385">
      <w:pPr>
        <w:rPr>
          <w:rFonts w:cs="Arial"/>
          <w:color w:val="000000"/>
          <w:shd w:val="clear" w:color="auto" w:fill="FFFFFF"/>
        </w:rPr>
      </w:pPr>
      <w:r w:rsidRPr="002E5385">
        <w:rPr>
          <w:rFonts w:cs="Arial"/>
          <w:color w:val="000000"/>
          <w:shd w:val="clear" w:color="auto" w:fill="FFFFFF"/>
        </w:rPr>
        <w:t xml:space="preserve">The proposed regulations, Title 5 of the </w:t>
      </w:r>
      <w:r w:rsidRPr="008F7C0E">
        <w:rPr>
          <w:rFonts w:cs="Arial"/>
          <w:color w:val="000000"/>
          <w:shd w:val="clear" w:color="auto" w:fill="FFFFFF"/>
        </w:rPr>
        <w:t>California Code of Regulations</w:t>
      </w:r>
      <w:r w:rsidRPr="00BA12E1">
        <w:rPr>
          <w:rFonts w:cs="Arial"/>
          <w:color w:val="000000"/>
          <w:shd w:val="clear" w:color="auto" w:fill="FFFFFF"/>
        </w:rPr>
        <w:t xml:space="preserve"> (5 </w:t>
      </w:r>
      <w:r w:rsidRPr="008F7C0E">
        <w:rPr>
          <w:rFonts w:cs="Arial"/>
          <w:color w:val="000000"/>
          <w:shd w:val="clear" w:color="auto" w:fill="FFFFFF"/>
        </w:rPr>
        <w:t>CCR</w:t>
      </w:r>
      <w:r w:rsidRPr="00BA12E1">
        <w:rPr>
          <w:rFonts w:cs="Arial"/>
          <w:color w:val="000000"/>
          <w:shd w:val="clear" w:color="auto" w:fill="FFFFFF"/>
        </w:rPr>
        <w:t>),</w:t>
      </w:r>
      <w:r w:rsidRPr="002E5385">
        <w:rPr>
          <w:rFonts w:cs="Arial"/>
          <w:color w:val="000000"/>
          <w:shd w:val="clear" w:color="auto" w:fill="FFFFFF"/>
        </w:rPr>
        <w:t xml:space="preserve"> </w:t>
      </w:r>
      <w:r w:rsidR="00BA12E1">
        <w:rPr>
          <w:rFonts w:cs="Arial"/>
          <w:color w:val="000000"/>
          <w:shd w:val="clear" w:color="auto" w:fill="FFFFFF"/>
        </w:rPr>
        <w:t>s</w:t>
      </w:r>
      <w:r w:rsidR="00BA12E1" w:rsidRPr="002E5385">
        <w:rPr>
          <w:rFonts w:cs="Arial"/>
          <w:color w:val="000000"/>
          <w:shd w:val="clear" w:color="auto" w:fill="FFFFFF"/>
        </w:rPr>
        <w:t xml:space="preserve">ection </w:t>
      </w:r>
      <w:r w:rsidRPr="002E5385">
        <w:rPr>
          <w:rFonts w:cs="Arial"/>
          <w:color w:val="000000"/>
          <w:shd w:val="clear" w:color="auto" w:fill="FFFFFF"/>
        </w:rPr>
        <w:t xml:space="preserve">855, must be adopted, on an emergency basis, </w:t>
      </w:r>
      <w:proofErr w:type="gramStart"/>
      <w:r w:rsidRPr="002E5385">
        <w:rPr>
          <w:rFonts w:cs="Arial"/>
          <w:color w:val="000000"/>
          <w:shd w:val="clear" w:color="auto" w:fill="FFFFFF"/>
        </w:rPr>
        <w:t>in order for</w:t>
      </w:r>
      <w:proofErr w:type="gramEnd"/>
      <w:r w:rsidRPr="002E5385">
        <w:rPr>
          <w:rFonts w:cs="Arial"/>
          <w:color w:val="000000"/>
          <w:shd w:val="clear" w:color="auto" w:fill="FFFFFF"/>
        </w:rPr>
        <w:t xml:space="preserve"> the California Department of Education (CDE) to make statewide summative CAASPP results publicly available on or before October 15 in accordance with </w:t>
      </w:r>
      <w:r w:rsidRPr="008F7C0E">
        <w:rPr>
          <w:rFonts w:cs="Arial"/>
          <w:color w:val="000000"/>
          <w:shd w:val="clear" w:color="auto" w:fill="FFFFFF"/>
        </w:rPr>
        <w:t>Education Code</w:t>
      </w:r>
      <w:r w:rsidRPr="00BA12E1">
        <w:rPr>
          <w:rFonts w:cs="Arial"/>
          <w:color w:val="000000"/>
          <w:shd w:val="clear" w:color="auto" w:fill="FFFFFF"/>
        </w:rPr>
        <w:t xml:space="preserve"> (</w:t>
      </w:r>
      <w:r w:rsidRPr="008F7C0E">
        <w:rPr>
          <w:rFonts w:cs="Arial"/>
          <w:color w:val="000000"/>
          <w:shd w:val="clear" w:color="auto" w:fill="FFFFFF"/>
        </w:rPr>
        <w:t>EC</w:t>
      </w:r>
      <w:r w:rsidRPr="00BA12E1">
        <w:rPr>
          <w:rFonts w:cs="Arial"/>
          <w:color w:val="000000"/>
          <w:shd w:val="clear" w:color="auto" w:fill="FFFFFF"/>
        </w:rPr>
        <w:t>)</w:t>
      </w:r>
      <w:r w:rsidRPr="002E5385">
        <w:rPr>
          <w:rFonts w:cs="Arial"/>
          <w:color w:val="000000"/>
          <w:shd w:val="clear" w:color="auto" w:fill="FFFFFF"/>
        </w:rPr>
        <w:t xml:space="preserve"> section</w:t>
      </w:r>
      <w:r w:rsidRPr="09B01106">
        <w:rPr>
          <w:rFonts w:cs="Arial"/>
          <w:i/>
          <w:iCs/>
          <w:color w:val="000000"/>
          <w:shd w:val="clear" w:color="auto" w:fill="FFFFFF"/>
        </w:rPr>
        <w:t xml:space="preserve"> </w:t>
      </w:r>
      <w:r w:rsidRPr="002E5385">
        <w:rPr>
          <w:rFonts w:cs="Arial"/>
          <w:color w:val="000000"/>
          <w:shd w:val="clear" w:color="auto" w:fill="FFFFFF"/>
        </w:rPr>
        <w:t>60641.</w:t>
      </w:r>
      <w:r w:rsidRPr="002E5385">
        <w:rPr>
          <w:rFonts w:eastAsia="Calibri" w:cs="Arial"/>
          <w:color w:val="000000"/>
        </w:rPr>
        <w:t xml:space="preserve"> </w:t>
      </w:r>
      <w:r w:rsidRPr="00373BE9">
        <w:rPr>
          <w:rFonts w:eastAsia="Calibri" w:cs="Arial"/>
          <w:color w:val="000000"/>
        </w:rPr>
        <w:t xml:space="preserve">The purpose of the proposed amendments is to ensure the timely reporting of </w:t>
      </w:r>
      <w:r w:rsidR="00F10DA4">
        <w:rPr>
          <w:rFonts w:eastAsia="Calibri" w:cs="Arial"/>
          <w:color w:val="000000"/>
        </w:rPr>
        <w:t xml:space="preserve">assessment </w:t>
      </w:r>
      <w:r w:rsidRPr="00373BE9">
        <w:rPr>
          <w:rFonts w:eastAsia="Calibri" w:cs="Arial"/>
          <w:color w:val="000000"/>
        </w:rPr>
        <w:t>results according to required state and federal guidelines and</w:t>
      </w:r>
      <w:r>
        <w:rPr>
          <w:rFonts w:eastAsia="Calibri" w:cs="Arial"/>
          <w:color w:val="000000"/>
        </w:rPr>
        <w:t>,</w:t>
      </w:r>
      <w:r w:rsidRPr="00373BE9">
        <w:rPr>
          <w:rFonts w:eastAsia="Calibri" w:cs="Arial"/>
          <w:color w:val="000000"/>
        </w:rPr>
        <w:t xml:space="preserve"> in so doing, prevent harm to the general welfare of pupils.</w:t>
      </w:r>
    </w:p>
    <w:p w14:paraId="706330B8" w14:textId="77777777" w:rsidR="002E5385" w:rsidRPr="002E5385" w:rsidRDefault="002E5385" w:rsidP="002E5385">
      <w:pPr>
        <w:rPr>
          <w:rFonts w:cs="Arial"/>
        </w:rPr>
      </w:pPr>
    </w:p>
    <w:p w14:paraId="3F20C152" w14:textId="4A69597E" w:rsidR="002E5385" w:rsidRPr="002E5385" w:rsidRDefault="002E5385" w:rsidP="002E5385">
      <w:pPr>
        <w:pStyle w:val="paragraph"/>
        <w:spacing w:before="0" w:beforeAutospacing="0" w:after="0" w:afterAutospacing="0"/>
        <w:textAlignment w:val="baseline"/>
        <w:rPr>
          <w:rFonts w:ascii="Arial" w:hAnsi="Arial" w:cs="Arial"/>
          <w:sz w:val="18"/>
          <w:szCs w:val="18"/>
        </w:rPr>
      </w:pPr>
      <w:r w:rsidRPr="002E5385">
        <w:rPr>
          <w:rStyle w:val="normaltextrun"/>
          <w:rFonts w:ascii="Arial" w:eastAsiaTheme="majorEastAsia" w:hAnsi="Arial" w:cs="Arial"/>
        </w:rPr>
        <w:t xml:space="preserve">A delay in the release of the CAASPP results will precipitate a delay in the ability of local educational agencies (LEAs) to incorporate key data in integral instructional and programmatic decisions for the coming </w:t>
      </w:r>
      <w:r w:rsidR="003A0DB0">
        <w:rPr>
          <w:rStyle w:val="normaltextrun"/>
          <w:rFonts w:ascii="Arial" w:eastAsiaTheme="majorEastAsia" w:hAnsi="Arial" w:cs="Arial"/>
        </w:rPr>
        <w:t xml:space="preserve">school </w:t>
      </w:r>
      <w:r w:rsidRPr="002E5385">
        <w:rPr>
          <w:rStyle w:val="normaltextrun"/>
          <w:rFonts w:ascii="Arial" w:eastAsiaTheme="majorEastAsia" w:hAnsi="Arial" w:cs="Arial"/>
        </w:rPr>
        <w:t>year. This would cause serious harm to the welfare of students and LEAs by adversely affecting the timely delivery of services to students and the LEAs’ ability to set effective academic goals.</w:t>
      </w:r>
    </w:p>
    <w:p w14:paraId="66A534B6" w14:textId="7842A993" w:rsidR="002E5385" w:rsidRPr="00816AE5" w:rsidRDefault="002E5385" w:rsidP="002E5385">
      <w:pPr>
        <w:pStyle w:val="paragraph"/>
        <w:spacing w:before="0" w:beforeAutospacing="0" w:after="0" w:afterAutospacing="0"/>
        <w:textAlignment w:val="baseline"/>
        <w:rPr>
          <w:rFonts w:ascii="Arial" w:hAnsi="Arial" w:cs="Arial"/>
        </w:rPr>
      </w:pPr>
    </w:p>
    <w:p w14:paraId="6AE426B8" w14:textId="469B10C3" w:rsidR="002E5385" w:rsidRPr="00816AE5" w:rsidRDefault="002E5385" w:rsidP="002E5385">
      <w:pPr>
        <w:pStyle w:val="paragraph"/>
        <w:spacing w:before="0" w:beforeAutospacing="0" w:after="0" w:afterAutospacing="0"/>
        <w:textAlignment w:val="baseline"/>
        <w:rPr>
          <w:rFonts w:ascii="Arial" w:hAnsi="Arial" w:cs="Arial"/>
        </w:rPr>
      </w:pPr>
      <w:r w:rsidRPr="002E5385">
        <w:rPr>
          <w:rStyle w:val="normaltextrun"/>
          <w:rFonts w:ascii="Arial" w:eastAsiaTheme="majorEastAsia" w:hAnsi="Arial" w:cs="Arial"/>
        </w:rPr>
        <w:t xml:space="preserve">One example of this is reclassification of English </w:t>
      </w:r>
      <w:r w:rsidR="006C76B4">
        <w:rPr>
          <w:rStyle w:val="normaltextrun"/>
          <w:rFonts w:ascii="Arial" w:eastAsiaTheme="majorEastAsia" w:hAnsi="Arial" w:cs="Arial"/>
        </w:rPr>
        <w:t>L</w:t>
      </w:r>
      <w:r w:rsidRPr="002E5385">
        <w:rPr>
          <w:rStyle w:val="normaltextrun"/>
          <w:rFonts w:ascii="Arial" w:eastAsiaTheme="majorEastAsia" w:hAnsi="Arial" w:cs="Arial"/>
        </w:rPr>
        <w:t>earners (ELs). Reclassification is the process whereby a student is reclassified from EL status to Fluent English Proficient (RFEP) status. Reclassification can take place at any time during the academic year, immediately upon the student meeting all the criteria</w:t>
      </w:r>
      <w:r w:rsidR="006C76B4">
        <w:rPr>
          <w:rStyle w:val="normaltextrun"/>
          <w:rFonts w:ascii="Arial" w:eastAsiaTheme="majorEastAsia" w:hAnsi="Arial" w:cs="Arial"/>
        </w:rPr>
        <w:t xml:space="preserve"> for RFEP status</w:t>
      </w:r>
      <w:r w:rsidRPr="002E5385">
        <w:rPr>
          <w:rStyle w:val="normaltextrun"/>
          <w:rFonts w:ascii="Arial" w:eastAsiaTheme="majorEastAsia" w:hAnsi="Arial" w:cs="Arial"/>
        </w:rPr>
        <w:t xml:space="preserve">. Each LEA establishes a locally approved reclassification process </w:t>
      </w:r>
      <w:proofErr w:type="gramStart"/>
      <w:r w:rsidRPr="002E5385">
        <w:rPr>
          <w:rStyle w:val="normaltextrun"/>
          <w:rFonts w:ascii="Arial" w:eastAsiaTheme="majorEastAsia" w:hAnsi="Arial" w:cs="Arial"/>
        </w:rPr>
        <w:t>in order to</w:t>
      </w:r>
      <w:proofErr w:type="gramEnd"/>
      <w:r w:rsidRPr="002E5385">
        <w:rPr>
          <w:rStyle w:val="normaltextrun"/>
          <w:rFonts w:ascii="Arial" w:eastAsiaTheme="majorEastAsia" w:hAnsi="Arial" w:cs="Arial"/>
        </w:rPr>
        <w:t xml:space="preserve"> determine when students are eligible for RFEP status changes due to meeting each of the four criteria listed in </w:t>
      </w:r>
      <w:r w:rsidRPr="008F7C0E">
        <w:rPr>
          <w:rStyle w:val="normaltextrun"/>
          <w:rFonts w:ascii="Arial" w:eastAsiaTheme="majorEastAsia" w:hAnsi="Arial" w:cs="Arial"/>
        </w:rPr>
        <w:t>EC</w:t>
      </w:r>
      <w:r w:rsidRPr="002E5385">
        <w:rPr>
          <w:rStyle w:val="normaltextrun"/>
          <w:rFonts w:ascii="Arial" w:eastAsiaTheme="majorEastAsia" w:hAnsi="Arial" w:cs="Arial"/>
        </w:rPr>
        <w:t xml:space="preserve"> </w:t>
      </w:r>
      <w:r w:rsidR="00BA12E1">
        <w:rPr>
          <w:rStyle w:val="normaltextrun"/>
          <w:rFonts w:ascii="Arial" w:eastAsiaTheme="majorEastAsia" w:hAnsi="Arial" w:cs="Arial"/>
        </w:rPr>
        <w:t>s</w:t>
      </w:r>
      <w:r w:rsidR="00BA12E1" w:rsidRPr="002E5385">
        <w:rPr>
          <w:rStyle w:val="normaltextrun"/>
          <w:rFonts w:ascii="Arial" w:eastAsiaTheme="majorEastAsia" w:hAnsi="Arial" w:cs="Arial"/>
        </w:rPr>
        <w:t xml:space="preserve">ection </w:t>
      </w:r>
      <w:r w:rsidRPr="002E5385">
        <w:rPr>
          <w:rStyle w:val="normaltextrun"/>
          <w:rFonts w:ascii="Arial" w:eastAsiaTheme="majorEastAsia" w:hAnsi="Arial" w:cs="Arial"/>
        </w:rPr>
        <w:t>313(f).</w:t>
      </w:r>
    </w:p>
    <w:p w14:paraId="4DAE63AB" w14:textId="651A1B6F" w:rsidR="002E5385" w:rsidRPr="00816AE5" w:rsidRDefault="002E5385" w:rsidP="002E5385">
      <w:pPr>
        <w:pStyle w:val="paragraph"/>
        <w:spacing w:before="0" w:beforeAutospacing="0" w:after="0" w:afterAutospacing="0"/>
        <w:textAlignment w:val="baseline"/>
        <w:rPr>
          <w:rFonts w:ascii="Arial" w:hAnsi="Arial" w:cs="Arial"/>
        </w:rPr>
      </w:pPr>
    </w:p>
    <w:p w14:paraId="363276A8" w14:textId="45DEE873" w:rsidR="002E5385" w:rsidRPr="002E5385" w:rsidRDefault="003E29EB" w:rsidP="002E5385">
      <w:pPr>
        <w:pStyle w:val="paragraph"/>
        <w:spacing w:before="0" w:beforeAutospacing="0" w:after="0" w:afterAutospacing="0"/>
        <w:textAlignment w:val="baseline"/>
        <w:rPr>
          <w:rFonts w:ascii="Arial" w:hAnsi="Arial" w:cs="Arial"/>
          <w:sz w:val="18"/>
          <w:szCs w:val="18"/>
        </w:rPr>
      </w:pPr>
      <w:r>
        <w:rPr>
          <w:rStyle w:val="normaltextrun"/>
          <w:rFonts w:ascii="Arial" w:eastAsiaTheme="majorEastAsia" w:hAnsi="Arial" w:cs="Arial"/>
        </w:rPr>
        <w:t xml:space="preserve">Specifically, </w:t>
      </w:r>
      <w:r w:rsidR="00C3369B">
        <w:rPr>
          <w:rStyle w:val="normaltextrun"/>
          <w:rFonts w:ascii="Arial" w:eastAsiaTheme="majorEastAsia" w:hAnsi="Arial" w:cs="Arial"/>
        </w:rPr>
        <w:t>c</w:t>
      </w:r>
      <w:r w:rsidR="002E5385" w:rsidRPr="002E5385">
        <w:rPr>
          <w:rStyle w:val="normaltextrun"/>
          <w:rFonts w:ascii="Arial" w:eastAsiaTheme="majorEastAsia" w:hAnsi="Arial" w:cs="Arial"/>
        </w:rPr>
        <w:t>riterion 4 of the reclassification criteria requires a comparison of the performance of the pupil in basic skills against an empirically established range of performance in basic skills based upon the performance of English proficient pupils of the same age, which demonstrates whether the pupil is sufficiently proficient in English to participate effectively in a curriculum designed for pupils of the same age whose native language is English. Smarter Balanced Assessment Consortium English language arts scores, LEA benchmarks, or other assessments identified by the LEA that measures progress in English language arts can be used to meet the requirements for Criterion 4.</w:t>
      </w:r>
    </w:p>
    <w:p w14:paraId="48FED536" w14:textId="2741A2E5" w:rsidR="002E5385" w:rsidRPr="00816AE5" w:rsidRDefault="002E5385" w:rsidP="002E5385">
      <w:pPr>
        <w:pStyle w:val="paragraph"/>
        <w:spacing w:before="0" w:beforeAutospacing="0" w:after="0" w:afterAutospacing="0"/>
        <w:textAlignment w:val="baseline"/>
        <w:rPr>
          <w:rFonts w:ascii="Arial" w:hAnsi="Arial" w:cs="Arial"/>
        </w:rPr>
      </w:pPr>
    </w:p>
    <w:p w14:paraId="73464BB6" w14:textId="20A3965B" w:rsidR="002E5385" w:rsidRPr="00816AE5" w:rsidRDefault="002E5385" w:rsidP="002E5385">
      <w:pPr>
        <w:pStyle w:val="paragraph"/>
        <w:spacing w:before="0" w:beforeAutospacing="0" w:after="0" w:afterAutospacing="0"/>
        <w:textAlignment w:val="baseline"/>
        <w:rPr>
          <w:rFonts w:ascii="Arial" w:hAnsi="Arial" w:cs="Arial"/>
        </w:rPr>
      </w:pPr>
      <w:r w:rsidRPr="002E5385">
        <w:rPr>
          <w:rStyle w:val="normaltextrun"/>
          <w:rFonts w:ascii="Arial" w:eastAsiaTheme="majorEastAsia" w:hAnsi="Arial" w:cs="Arial"/>
        </w:rPr>
        <w:t xml:space="preserve">Timely reclassification allows students (especially in middle and high school) to be placed in core content courses and electives prior to the school year, which would </w:t>
      </w:r>
      <w:r w:rsidRPr="002E5385">
        <w:rPr>
          <w:rStyle w:val="normaltextrun"/>
          <w:rFonts w:ascii="Arial" w:eastAsiaTheme="majorEastAsia" w:hAnsi="Arial" w:cs="Arial"/>
        </w:rPr>
        <w:lastRenderedPageBreak/>
        <w:t>provide more course options for these students’ schedules. Furthermore, moving the release of results earlier in the year will minimize the number of EL students that have their instruction disrupted in the fall when they are removed from their English Language Development courses part way into the term and into mainstream classrooms.</w:t>
      </w:r>
    </w:p>
    <w:p w14:paraId="6AD36FD0" w14:textId="1C130495" w:rsidR="002E5385" w:rsidRPr="00816AE5" w:rsidRDefault="002E5385" w:rsidP="002E5385">
      <w:pPr>
        <w:pStyle w:val="paragraph"/>
        <w:spacing w:before="0" w:beforeAutospacing="0" w:after="0" w:afterAutospacing="0"/>
        <w:textAlignment w:val="baseline"/>
        <w:rPr>
          <w:rFonts w:ascii="Arial" w:hAnsi="Arial" w:cs="Arial"/>
        </w:rPr>
      </w:pPr>
    </w:p>
    <w:p w14:paraId="3481DBE1" w14:textId="2495C0EF" w:rsidR="002E5385" w:rsidRPr="00816AE5" w:rsidRDefault="002E5385" w:rsidP="002E5385">
      <w:pPr>
        <w:pStyle w:val="paragraph"/>
        <w:spacing w:before="0" w:beforeAutospacing="0" w:after="0" w:afterAutospacing="0"/>
        <w:textAlignment w:val="baseline"/>
        <w:rPr>
          <w:rFonts w:ascii="Arial" w:hAnsi="Arial" w:cs="Arial"/>
        </w:rPr>
      </w:pPr>
      <w:r w:rsidRPr="002E5385">
        <w:rPr>
          <w:rStyle w:val="normaltextrun"/>
          <w:rFonts w:ascii="Arial" w:eastAsiaTheme="majorEastAsia" w:hAnsi="Arial" w:cs="Arial"/>
        </w:rPr>
        <w:t>Delayed results also impact the ability of LEAs to engage in the actions needed to create their Local Control and Accountability Plan (LCAP). The LCAP is intended as a comprehensive planning tool to support student outcomes and is an important component of the Local Control Funding Formula.</w:t>
      </w:r>
      <w:r w:rsidRPr="002E5385">
        <w:rPr>
          <w:rStyle w:val="normaltextrun"/>
          <w:rFonts w:ascii="Arial" w:eastAsiaTheme="majorEastAsia" w:hAnsi="Arial" w:cs="Arial"/>
          <w:color w:val="000000"/>
        </w:rPr>
        <w:t xml:space="preserve"> Educators, in consultation with students and families, examine data on student performance to improve academic achievement, increase college/career readiness, and support English learners and students with disabilities. Lack of timely CAASPP results will negatively impact an LEA’s ability to use that data to set academic goals.</w:t>
      </w:r>
    </w:p>
    <w:p w14:paraId="74DD1BA1" w14:textId="3ECBECD0" w:rsidR="002E5385" w:rsidRPr="00816AE5" w:rsidRDefault="002E5385" w:rsidP="002E5385">
      <w:pPr>
        <w:pStyle w:val="paragraph"/>
        <w:spacing w:before="0" w:beforeAutospacing="0" w:after="0" w:afterAutospacing="0"/>
        <w:textAlignment w:val="baseline"/>
        <w:rPr>
          <w:rFonts w:ascii="Arial" w:hAnsi="Arial" w:cs="Arial"/>
        </w:rPr>
      </w:pPr>
    </w:p>
    <w:p w14:paraId="6179E7F9" w14:textId="2D95A0EE" w:rsidR="002E5385" w:rsidRPr="002E5385" w:rsidRDefault="002E5385" w:rsidP="002E5385">
      <w:pPr>
        <w:pStyle w:val="paragraph"/>
        <w:spacing w:before="0" w:beforeAutospacing="0" w:after="0" w:afterAutospacing="0"/>
        <w:textAlignment w:val="baseline"/>
        <w:rPr>
          <w:rStyle w:val="eop"/>
          <w:rFonts w:ascii="Arial" w:hAnsi="Arial" w:cs="Arial"/>
        </w:rPr>
      </w:pPr>
      <w:r w:rsidRPr="002E5385">
        <w:rPr>
          <w:rStyle w:val="normaltextrun"/>
          <w:rFonts w:ascii="Arial" w:eastAsiaTheme="majorEastAsia" w:hAnsi="Arial" w:cs="Arial"/>
        </w:rPr>
        <w:t xml:space="preserve">Following the passage of Senate Bill (SB) </w:t>
      </w:r>
      <w:r w:rsidR="0003536B">
        <w:rPr>
          <w:rStyle w:val="normaltextrun"/>
          <w:rFonts w:ascii="Arial" w:eastAsiaTheme="majorEastAsia" w:hAnsi="Arial" w:cs="Arial"/>
        </w:rPr>
        <w:t xml:space="preserve">No. </w:t>
      </w:r>
      <w:r w:rsidRPr="002E5385">
        <w:rPr>
          <w:rStyle w:val="normaltextrun"/>
          <w:rFonts w:ascii="Arial" w:eastAsiaTheme="majorEastAsia" w:hAnsi="Arial" w:cs="Arial"/>
        </w:rPr>
        <w:t>293 in September 2023, the CDE began working with its testing contractor, ETS, to determine the bill’s impact on the CDE’s schedule of deliverables related to results reporting for the CAASPP on the Test Results for California’s Assessment website.</w:t>
      </w:r>
    </w:p>
    <w:p w14:paraId="21D6F4BC" w14:textId="77777777" w:rsidR="002E5385" w:rsidRPr="00816AE5" w:rsidRDefault="002E5385" w:rsidP="002E5385">
      <w:pPr>
        <w:pStyle w:val="paragraph"/>
        <w:spacing w:before="0" w:beforeAutospacing="0" w:after="0" w:afterAutospacing="0"/>
        <w:textAlignment w:val="baseline"/>
        <w:rPr>
          <w:rFonts w:ascii="Arial" w:hAnsi="Arial" w:cs="Arial"/>
        </w:rPr>
      </w:pPr>
    </w:p>
    <w:p w14:paraId="1CC5184C" w14:textId="01988542" w:rsidR="002E5385" w:rsidRPr="002E5385" w:rsidRDefault="002E5385" w:rsidP="002E5385">
      <w:pPr>
        <w:pStyle w:val="paragraph"/>
        <w:spacing w:before="0" w:beforeAutospacing="0" w:after="0" w:afterAutospacing="0"/>
        <w:textAlignment w:val="baseline"/>
        <w:rPr>
          <w:rStyle w:val="eop"/>
          <w:rFonts w:ascii="Arial" w:hAnsi="Arial" w:cs="Arial"/>
        </w:rPr>
      </w:pPr>
      <w:r w:rsidRPr="002E5385">
        <w:rPr>
          <w:rStyle w:val="normaltextrun"/>
          <w:rFonts w:ascii="Arial" w:eastAsiaTheme="majorEastAsia" w:hAnsi="Arial" w:cs="Arial"/>
        </w:rPr>
        <w:t xml:space="preserve">Once it was confirmed that a change to the end date of the state testing window would help ensure that all aggregate results could be publicly reported on or before October 15, the CDE began the rulemaking process. </w:t>
      </w:r>
      <w:proofErr w:type="gramStart"/>
      <w:r w:rsidRPr="002E5385">
        <w:rPr>
          <w:rStyle w:val="normaltextrun"/>
          <w:rFonts w:ascii="Arial" w:eastAsiaTheme="majorEastAsia" w:hAnsi="Arial" w:cs="Arial"/>
        </w:rPr>
        <w:t>In order to</w:t>
      </w:r>
      <w:proofErr w:type="gramEnd"/>
      <w:r w:rsidRPr="002E5385">
        <w:rPr>
          <w:rStyle w:val="normaltextrun"/>
          <w:rFonts w:ascii="Arial" w:eastAsiaTheme="majorEastAsia" w:hAnsi="Arial" w:cs="Arial"/>
        </w:rPr>
        <w:t xml:space="preserve"> accommodate sufficient time for each level of review, revision, and approval, the development and review timeline for these rulemaking documents began in November so that they could be placed on the SBE’s March meeting agenda. The necessary review timeline could not have been accomplished between the time the bill was chaptered in late September and the posting date for the January SBE meeting, and it was determined that March was the earliest date at which the CDE could bring the proposed changes to the SBE for review and approval. This timeline also confirmed that there would be a need for emergency rulemaking so that the proposed changes would go into effect for the 2023–</w:t>
      </w:r>
      <w:r w:rsidR="0003536B">
        <w:rPr>
          <w:rStyle w:val="normaltextrun"/>
          <w:rFonts w:ascii="Arial" w:eastAsiaTheme="majorEastAsia" w:hAnsi="Arial" w:cs="Arial"/>
        </w:rPr>
        <w:t>20</w:t>
      </w:r>
      <w:r w:rsidRPr="002E5385">
        <w:rPr>
          <w:rStyle w:val="normaltextrun"/>
          <w:rFonts w:ascii="Arial" w:eastAsiaTheme="majorEastAsia" w:hAnsi="Arial" w:cs="Arial"/>
        </w:rPr>
        <w:t>24 administration, as requirements set forth in SB 293 mandate that all 2023–</w:t>
      </w:r>
      <w:r w:rsidR="0003536B">
        <w:rPr>
          <w:rStyle w:val="normaltextrun"/>
          <w:rFonts w:ascii="Arial" w:eastAsiaTheme="majorEastAsia" w:hAnsi="Arial" w:cs="Arial"/>
        </w:rPr>
        <w:t>20</w:t>
      </w:r>
      <w:r w:rsidRPr="002E5385">
        <w:rPr>
          <w:rStyle w:val="normaltextrun"/>
          <w:rFonts w:ascii="Arial" w:eastAsiaTheme="majorEastAsia" w:hAnsi="Arial" w:cs="Arial"/>
        </w:rPr>
        <w:t>24 CAASPP results be reported on or before October 15, 2024.</w:t>
      </w:r>
    </w:p>
    <w:p w14:paraId="003A8E33" w14:textId="616DEC81" w:rsidR="002E5385" w:rsidRPr="002E5385" w:rsidRDefault="002E5385" w:rsidP="002E5385">
      <w:pPr>
        <w:pStyle w:val="paragraph"/>
        <w:spacing w:before="0" w:beforeAutospacing="0" w:after="0" w:afterAutospacing="0"/>
        <w:textAlignment w:val="baseline"/>
        <w:rPr>
          <w:rStyle w:val="eop"/>
          <w:rFonts w:ascii="Arial" w:hAnsi="Arial" w:cs="Arial"/>
        </w:rPr>
      </w:pPr>
    </w:p>
    <w:p w14:paraId="5116F09F" w14:textId="0547125E" w:rsidR="002E5385" w:rsidRPr="002E5385" w:rsidRDefault="002E5385" w:rsidP="002E5385">
      <w:pPr>
        <w:pStyle w:val="paragraph"/>
        <w:spacing w:before="0" w:beforeAutospacing="0" w:after="0" w:afterAutospacing="0"/>
        <w:textAlignment w:val="baseline"/>
        <w:rPr>
          <w:rFonts w:ascii="Arial" w:hAnsi="Arial" w:cs="Arial"/>
          <w:sz w:val="18"/>
          <w:szCs w:val="18"/>
        </w:rPr>
      </w:pPr>
      <w:r w:rsidRPr="002E5385">
        <w:rPr>
          <w:rFonts w:ascii="Arial" w:hAnsi="Arial" w:cs="Arial"/>
        </w:rPr>
        <w:t xml:space="preserve">Allowing the emergency regulations to expire prior to the adoption of these amendments through the regular rulemaking process when not </w:t>
      </w:r>
      <w:proofErr w:type="gramStart"/>
      <w:r w:rsidRPr="002E5385">
        <w:rPr>
          <w:rFonts w:ascii="Arial" w:hAnsi="Arial" w:cs="Arial"/>
        </w:rPr>
        <w:t>all of</w:t>
      </w:r>
      <w:proofErr w:type="gramEnd"/>
      <w:r w:rsidRPr="002E5385">
        <w:rPr>
          <w:rFonts w:ascii="Arial" w:hAnsi="Arial" w:cs="Arial"/>
        </w:rPr>
        <w:t xml:space="preserve"> the testing, scoring and reporting of the CAASPP results has yet been completed, will </w:t>
      </w:r>
      <w:r w:rsidR="00F10DA4">
        <w:rPr>
          <w:rFonts w:ascii="Arial" w:hAnsi="Arial" w:cs="Arial"/>
        </w:rPr>
        <w:t xml:space="preserve">undermine the CDE’s guidance to LEAs and </w:t>
      </w:r>
      <w:r w:rsidRPr="002E5385">
        <w:rPr>
          <w:rFonts w:ascii="Arial" w:hAnsi="Arial" w:cs="Arial"/>
        </w:rPr>
        <w:t>jeopardize the reliability and validity of the results, causing further harm to the general welfare</w:t>
      </w:r>
      <w:r w:rsidR="009B17F9">
        <w:rPr>
          <w:rFonts w:ascii="Arial" w:hAnsi="Arial" w:cs="Arial"/>
        </w:rPr>
        <w:t xml:space="preserve"> of students</w:t>
      </w:r>
      <w:r w:rsidRPr="002E5385">
        <w:rPr>
          <w:rFonts w:ascii="Arial" w:hAnsi="Arial" w:cs="Arial"/>
        </w:rPr>
        <w:t xml:space="preserve">. </w:t>
      </w:r>
      <w:proofErr w:type="gramStart"/>
      <w:r w:rsidRPr="002E5385">
        <w:rPr>
          <w:rFonts w:ascii="Arial" w:hAnsi="Arial" w:cs="Arial"/>
        </w:rPr>
        <w:t>All of</w:t>
      </w:r>
      <w:proofErr w:type="gramEnd"/>
      <w:r w:rsidRPr="002E5385">
        <w:rPr>
          <w:rFonts w:ascii="Arial" w:hAnsi="Arial" w:cs="Arial"/>
        </w:rPr>
        <w:t xml:space="preserve"> the circumstances justifying the initial adoption of the emergency regulations remain unchanged and the emergency justifying the original adoption of the emergency regulations still exists. Therefore, the Finding of Emergency that was submitted to and approved by the Office of Administrative Law (OAL) with the adoption of the CAASPP emergency regulations effective April 2, 2024, is incorporated by reference herein, as though fully set forth in this document.</w:t>
      </w:r>
    </w:p>
    <w:p w14:paraId="451EFA86" w14:textId="03D699EA" w:rsidR="00971E11" w:rsidRPr="00FD19BD" w:rsidRDefault="00971E11" w:rsidP="00971E11">
      <w:pPr>
        <w:pStyle w:val="Heading4"/>
      </w:pPr>
      <w:r>
        <w:lastRenderedPageBreak/>
        <w:t>Showing of Substantial Progress</w:t>
      </w:r>
    </w:p>
    <w:p w14:paraId="2C416F8F" w14:textId="77777777" w:rsidR="00AD7B23" w:rsidRDefault="00DD214E" w:rsidP="00DD214E">
      <w:pPr>
        <w:rPr>
          <w:rFonts w:cs="Arial"/>
        </w:rPr>
      </w:pPr>
      <w:r w:rsidRPr="0024703A">
        <w:rPr>
          <w:rFonts w:cs="Arial"/>
        </w:rPr>
        <w:t xml:space="preserve">The CDE brought the emergency regulations to the SBE for approval at its </w:t>
      </w:r>
      <w:r>
        <w:rPr>
          <w:rFonts w:cs="Arial"/>
        </w:rPr>
        <w:t>March 2024</w:t>
      </w:r>
      <w:r w:rsidRPr="0024703A">
        <w:rPr>
          <w:rFonts w:cs="Arial"/>
        </w:rPr>
        <w:t xml:space="preserve"> meeting. </w:t>
      </w:r>
    </w:p>
    <w:p w14:paraId="7325861E" w14:textId="77777777" w:rsidR="00AD7B23" w:rsidRDefault="00AD7B23" w:rsidP="00DD214E">
      <w:pPr>
        <w:rPr>
          <w:rFonts w:cs="Arial"/>
        </w:rPr>
      </w:pPr>
    </w:p>
    <w:p w14:paraId="54F8D364" w14:textId="6299F308" w:rsidR="00DD214E" w:rsidRDefault="00AD7B23" w:rsidP="00DD214E">
      <w:pPr>
        <w:rPr>
          <w:rFonts w:cs="Arial"/>
        </w:rPr>
      </w:pPr>
      <w:r>
        <w:rPr>
          <w:rFonts w:cs="Arial"/>
        </w:rPr>
        <w:t>During this meeting, the SBE also approved t</w:t>
      </w:r>
      <w:r w:rsidRPr="0024703A">
        <w:rPr>
          <w:rFonts w:cs="Arial"/>
        </w:rPr>
        <w:t xml:space="preserve">he </w:t>
      </w:r>
      <w:r w:rsidR="00DD214E" w:rsidRPr="0024703A">
        <w:rPr>
          <w:rFonts w:cs="Arial"/>
        </w:rPr>
        <w:t>rulemaking package</w:t>
      </w:r>
      <w:r>
        <w:rPr>
          <w:rFonts w:cs="Arial"/>
        </w:rPr>
        <w:t xml:space="preserve"> for the permanent regulations</w:t>
      </w:r>
      <w:r w:rsidR="00DD214E" w:rsidRPr="0024703A">
        <w:rPr>
          <w:rFonts w:cs="Arial"/>
        </w:rPr>
        <w:t xml:space="preserve"> </w:t>
      </w:r>
      <w:r>
        <w:rPr>
          <w:rFonts w:cs="Arial"/>
        </w:rPr>
        <w:t>including commencement of the</w:t>
      </w:r>
      <w:r w:rsidR="00DD214E" w:rsidRPr="0024703A">
        <w:rPr>
          <w:rFonts w:cs="Arial"/>
        </w:rPr>
        <w:t xml:space="preserve"> </w:t>
      </w:r>
      <w:r>
        <w:rPr>
          <w:rFonts w:cs="Arial"/>
        </w:rPr>
        <w:t xml:space="preserve">45-day public </w:t>
      </w:r>
      <w:r w:rsidR="00DD214E" w:rsidRPr="0024703A">
        <w:rPr>
          <w:rFonts w:cs="Arial"/>
        </w:rPr>
        <w:t xml:space="preserve">comment period </w:t>
      </w:r>
      <w:r w:rsidR="005F7BA2">
        <w:rPr>
          <w:rFonts w:cs="Arial"/>
        </w:rPr>
        <w:t>from</w:t>
      </w:r>
      <w:r w:rsidR="005F7BA2" w:rsidRPr="0024703A">
        <w:rPr>
          <w:rFonts w:cs="Arial"/>
        </w:rPr>
        <w:t xml:space="preserve"> </w:t>
      </w:r>
      <w:r w:rsidR="00002103">
        <w:rPr>
          <w:rFonts w:cs="Arial"/>
        </w:rPr>
        <w:t>April 5</w:t>
      </w:r>
      <w:r w:rsidR="005F7BA2">
        <w:rPr>
          <w:rFonts w:cs="Arial"/>
        </w:rPr>
        <w:t xml:space="preserve"> through</w:t>
      </w:r>
      <w:r w:rsidR="00002103">
        <w:rPr>
          <w:rFonts w:cs="Arial"/>
        </w:rPr>
        <w:t xml:space="preserve"> May 21, 2024</w:t>
      </w:r>
      <w:r w:rsidR="00DD214E" w:rsidRPr="0024703A">
        <w:rPr>
          <w:rFonts w:cs="Arial"/>
        </w:rPr>
        <w:t xml:space="preserve">. </w:t>
      </w:r>
    </w:p>
    <w:p w14:paraId="793A52F8" w14:textId="0838A1E4" w:rsidR="00F10DA4" w:rsidRDefault="00F10DA4" w:rsidP="0024703A">
      <w:pPr>
        <w:rPr>
          <w:rFonts w:cs="Arial"/>
        </w:rPr>
      </w:pPr>
    </w:p>
    <w:p w14:paraId="7FA76C75" w14:textId="77777777" w:rsidR="00DD214E" w:rsidRDefault="00DD214E" w:rsidP="0024703A">
      <w:pPr>
        <w:rPr>
          <w:rFonts w:cs="Arial"/>
        </w:rPr>
      </w:pPr>
    </w:p>
    <w:tbl>
      <w:tblPr>
        <w:tblStyle w:val="TableGrid"/>
        <w:tblW w:w="9648" w:type="dxa"/>
        <w:tblLook w:val="04A0" w:firstRow="1" w:lastRow="0" w:firstColumn="1" w:lastColumn="0" w:noHBand="0" w:noVBand="1"/>
        <w:tblDescription w:val="This table illustrates the emergency reulations timeline."/>
      </w:tblPr>
      <w:tblGrid>
        <w:gridCol w:w="5688"/>
        <w:gridCol w:w="3960"/>
      </w:tblGrid>
      <w:tr w:rsidR="00F10DA4" w:rsidRPr="00FD19BD" w14:paraId="10A632B5" w14:textId="77777777" w:rsidTr="00B5686C">
        <w:trPr>
          <w:cantSplit/>
          <w:tblHeader/>
        </w:trPr>
        <w:tc>
          <w:tcPr>
            <w:tcW w:w="5688" w:type="dxa"/>
            <w:shd w:val="clear" w:color="auto" w:fill="D9D9D9" w:themeFill="background1" w:themeFillShade="D9"/>
            <w:vAlign w:val="center"/>
            <w:hideMark/>
          </w:tcPr>
          <w:p w14:paraId="5D285354" w14:textId="77777777" w:rsidR="00F10DA4" w:rsidRPr="00FD19BD" w:rsidRDefault="00F10DA4" w:rsidP="00595847">
            <w:pPr>
              <w:tabs>
                <w:tab w:val="left" w:pos="1215"/>
              </w:tabs>
              <w:spacing w:before="120" w:after="120"/>
              <w:jc w:val="center"/>
              <w:rPr>
                <w:rFonts w:cs="Arial"/>
                <w:b/>
              </w:rPr>
            </w:pPr>
            <w:r w:rsidRPr="00FD19BD">
              <w:rPr>
                <w:rFonts w:cs="Arial"/>
                <w:b/>
              </w:rPr>
              <w:t>Action*</w:t>
            </w:r>
          </w:p>
        </w:tc>
        <w:tc>
          <w:tcPr>
            <w:tcW w:w="3960" w:type="dxa"/>
            <w:shd w:val="clear" w:color="auto" w:fill="D9D9D9" w:themeFill="background1" w:themeFillShade="D9"/>
            <w:vAlign w:val="center"/>
            <w:hideMark/>
          </w:tcPr>
          <w:p w14:paraId="6F1195A1" w14:textId="77777777" w:rsidR="00F10DA4" w:rsidRPr="00FD19BD" w:rsidRDefault="00F10DA4" w:rsidP="00595847">
            <w:pPr>
              <w:spacing w:before="120" w:after="120"/>
              <w:jc w:val="center"/>
              <w:rPr>
                <w:rFonts w:cs="Arial"/>
                <w:b/>
              </w:rPr>
            </w:pPr>
            <w:r>
              <w:rPr>
                <w:rFonts w:cs="Arial"/>
                <w:b/>
              </w:rPr>
              <w:t xml:space="preserve">Completion Date or </w:t>
            </w:r>
            <w:r w:rsidRPr="00FD19BD">
              <w:rPr>
                <w:rFonts w:cs="Arial"/>
                <w:b/>
              </w:rPr>
              <w:t>Estimated Completion Date</w:t>
            </w:r>
          </w:p>
        </w:tc>
      </w:tr>
      <w:tr w:rsidR="00F10DA4" w:rsidRPr="00FD19BD" w14:paraId="58498D65" w14:textId="77777777" w:rsidTr="00B5686C">
        <w:trPr>
          <w:cantSplit/>
          <w:trHeight w:val="602"/>
        </w:trPr>
        <w:tc>
          <w:tcPr>
            <w:tcW w:w="5688" w:type="dxa"/>
            <w:hideMark/>
          </w:tcPr>
          <w:p w14:paraId="52F40EE9" w14:textId="77777777" w:rsidR="00F10DA4" w:rsidRPr="00FD19BD" w:rsidRDefault="00F10DA4" w:rsidP="00595847">
            <w:pPr>
              <w:spacing w:before="120" w:after="120"/>
              <w:ind w:left="180"/>
              <w:rPr>
                <w:rFonts w:cs="Arial"/>
              </w:rPr>
            </w:pPr>
            <w:r w:rsidRPr="00FD19BD">
              <w:rPr>
                <w:rFonts w:cs="Arial"/>
              </w:rPr>
              <w:t xml:space="preserve">SBE approves agenda items for the </w:t>
            </w:r>
            <w:r>
              <w:rPr>
                <w:rFonts w:cs="Arial"/>
              </w:rPr>
              <w:t>adoption</w:t>
            </w:r>
            <w:r w:rsidRPr="00FD19BD">
              <w:rPr>
                <w:rFonts w:cs="Arial"/>
              </w:rPr>
              <w:t xml:space="preserve"> of the emergency regulations</w:t>
            </w:r>
            <w:r>
              <w:rPr>
                <w:rFonts w:cs="Arial"/>
              </w:rPr>
              <w:t xml:space="preserve"> and the commencement of the permanent rulemaking process</w:t>
            </w:r>
          </w:p>
        </w:tc>
        <w:tc>
          <w:tcPr>
            <w:tcW w:w="3960" w:type="dxa"/>
            <w:hideMark/>
          </w:tcPr>
          <w:p w14:paraId="77ECF395" w14:textId="0ADBFE0D" w:rsidR="00F10DA4" w:rsidRPr="00FD19BD" w:rsidRDefault="00F10DA4" w:rsidP="00595847">
            <w:pPr>
              <w:spacing w:before="120" w:after="120"/>
              <w:ind w:right="252"/>
              <w:jc w:val="center"/>
              <w:rPr>
                <w:rFonts w:cs="Arial"/>
              </w:rPr>
            </w:pPr>
            <w:r>
              <w:rPr>
                <w:rFonts w:cs="Arial"/>
              </w:rPr>
              <w:t>March 6</w:t>
            </w:r>
            <w:r w:rsidRPr="00FD19BD">
              <w:rPr>
                <w:rFonts w:cs="Arial"/>
              </w:rPr>
              <w:t>, 20</w:t>
            </w:r>
            <w:r>
              <w:rPr>
                <w:rFonts w:cs="Arial"/>
              </w:rPr>
              <w:t>24</w:t>
            </w:r>
          </w:p>
        </w:tc>
      </w:tr>
      <w:tr w:rsidR="00F10DA4" w:rsidRPr="00FD19BD" w14:paraId="1CDAD070" w14:textId="77777777" w:rsidTr="00B5686C">
        <w:trPr>
          <w:cantSplit/>
        </w:trPr>
        <w:tc>
          <w:tcPr>
            <w:tcW w:w="5688" w:type="dxa"/>
          </w:tcPr>
          <w:p w14:paraId="18C235AF" w14:textId="77777777" w:rsidR="00F10DA4" w:rsidRPr="00FD19BD" w:rsidRDefault="00F10DA4" w:rsidP="00595847">
            <w:pPr>
              <w:spacing w:before="120" w:after="120"/>
              <w:ind w:left="180"/>
              <w:rPr>
                <w:rFonts w:cs="Arial"/>
              </w:rPr>
            </w:pPr>
            <w:r w:rsidRPr="00FD19BD">
              <w:rPr>
                <w:rFonts w:cs="Arial"/>
              </w:rPr>
              <w:t>5-business day pre-notice of the proposed emergency regulations</w:t>
            </w:r>
            <w:r>
              <w:rPr>
                <w:rFonts w:cs="Arial"/>
              </w:rPr>
              <w:t xml:space="preserve"> for readoption</w:t>
            </w:r>
          </w:p>
        </w:tc>
        <w:tc>
          <w:tcPr>
            <w:tcW w:w="3960" w:type="dxa"/>
          </w:tcPr>
          <w:p w14:paraId="6D9233D1" w14:textId="470D741D" w:rsidR="00F10DA4" w:rsidRPr="00FD19BD" w:rsidRDefault="00F10DA4" w:rsidP="00595847">
            <w:pPr>
              <w:spacing w:before="120" w:after="120"/>
              <w:ind w:right="252"/>
              <w:jc w:val="center"/>
              <w:rPr>
                <w:rFonts w:cs="Arial"/>
              </w:rPr>
            </w:pPr>
            <w:r>
              <w:rPr>
                <w:rFonts w:cs="Arial"/>
              </w:rPr>
              <w:t>March</w:t>
            </w:r>
            <w:r w:rsidRPr="00FD19BD">
              <w:rPr>
                <w:rFonts w:cs="Arial"/>
              </w:rPr>
              <w:t xml:space="preserve"> </w:t>
            </w:r>
            <w:r w:rsidR="009B17F9" w:rsidRPr="00FD19BD">
              <w:rPr>
                <w:rFonts w:cs="Arial"/>
              </w:rPr>
              <w:t>1</w:t>
            </w:r>
            <w:r w:rsidR="009B17F9">
              <w:rPr>
                <w:rFonts w:cs="Arial"/>
              </w:rPr>
              <w:t>3</w:t>
            </w:r>
            <w:r w:rsidR="008310D8">
              <w:rPr>
                <w:rFonts w:cs="Arial"/>
              </w:rPr>
              <w:t xml:space="preserve"> </w:t>
            </w:r>
            <w:r w:rsidRPr="00FD19BD">
              <w:rPr>
                <w:rFonts w:cs="Arial"/>
              </w:rPr>
              <w:t>–</w:t>
            </w:r>
            <w:r w:rsidR="008310D8">
              <w:rPr>
                <w:rFonts w:cs="Arial"/>
              </w:rPr>
              <w:t xml:space="preserve"> </w:t>
            </w:r>
            <w:r>
              <w:rPr>
                <w:rFonts w:cs="Arial"/>
              </w:rPr>
              <w:t>21</w:t>
            </w:r>
            <w:r w:rsidRPr="00FD19BD">
              <w:rPr>
                <w:rFonts w:cs="Arial"/>
              </w:rPr>
              <w:t>, 20</w:t>
            </w:r>
            <w:r>
              <w:rPr>
                <w:rFonts w:cs="Arial"/>
              </w:rPr>
              <w:t>24</w:t>
            </w:r>
          </w:p>
        </w:tc>
      </w:tr>
      <w:tr w:rsidR="00F10DA4" w:rsidRPr="00FD19BD" w14:paraId="51FA539D" w14:textId="77777777" w:rsidTr="00B5686C">
        <w:trPr>
          <w:cantSplit/>
          <w:trHeight w:val="530"/>
        </w:trPr>
        <w:tc>
          <w:tcPr>
            <w:tcW w:w="5688" w:type="dxa"/>
          </w:tcPr>
          <w:p w14:paraId="117B27BD" w14:textId="77777777" w:rsidR="00F10DA4" w:rsidRPr="00FD19BD" w:rsidRDefault="00F10DA4" w:rsidP="00595847">
            <w:pPr>
              <w:spacing w:before="120" w:after="120"/>
              <w:ind w:left="180"/>
              <w:rPr>
                <w:rFonts w:cs="Arial"/>
              </w:rPr>
            </w:pPr>
            <w:r w:rsidRPr="00FD19BD">
              <w:rPr>
                <w:rFonts w:cs="Arial"/>
              </w:rPr>
              <w:t>10-calendar day review by OAL</w:t>
            </w:r>
          </w:p>
        </w:tc>
        <w:tc>
          <w:tcPr>
            <w:tcW w:w="3960" w:type="dxa"/>
          </w:tcPr>
          <w:p w14:paraId="3CB04957" w14:textId="00A7B830" w:rsidR="00F10DA4" w:rsidRPr="00FD19BD" w:rsidRDefault="00F10DA4" w:rsidP="00595847">
            <w:pPr>
              <w:spacing w:before="120" w:after="120"/>
              <w:ind w:right="252"/>
              <w:jc w:val="center"/>
              <w:rPr>
                <w:rFonts w:cs="Arial"/>
              </w:rPr>
            </w:pPr>
            <w:r>
              <w:rPr>
                <w:rFonts w:cs="Arial"/>
              </w:rPr>
              <w:t>March 21</w:t>
            </w:r>
            <w:r w:rsidR="009B17F9">
              <w:rPr>
                <w:rFonts w:cs="Arial"/>
              </w:rPr>
              <w:t xml:space="preserve"> – April 2</w:t>
            </w:r>
            <w:r w:rsidRPr="00FD19BD">
              <w:rPr>
                <w:rFonts w:cs="Arial"/>
              </w:rPr>
              <w:t>, 20</w:t>
            </w:r>
            <w:r>
              <w:rPr>
                <w:rFonts w:cs="Arial"/>
              </w:rPr>
              <w:t>24</w:t>
            </w:r>
          </w:p>
        </w:tc>
      </w:tr>
      <w:tr w:rsidR="00F10DA4" w:rsidRPr="00FD19BD" w14:paraId="6AC13D75" w14:textId="77777777" w:rsidTr="00B5686C">
        <w:trPr>
          <w:cantSplit/>
        </w:trPr>
        <w:tc>
          <w:tcPr>
            <w:tcW w:w="5688" w:type="dxa"/>
          </w:tcPr>
          <w:p w14:paraId="0B66930B" w14:textId="77777777" w:rsidR="00F10DA4" w:rsidRPr="00FD19BD" w:rsidRDefault="00F10DA4" w:rsidP="00595847">
            <w:pPr>
              <w:spacing w:before="120" w:after="120"/>
              <w:ind w:left="180"/>
              <w:rPr>
                <w:rFonts w:cs="Arial"/>
              </w:rPr>
            </w:pPr>
            <w:r>
              <w:rPr>
                <w:rFonts w:cs="Arial"/>
              </w:rPr>
              <w:t>45-day</w:t>
            </w:r>
            <w:r w:rsidRPr="00FD19BD">
              <w:rPr>
                <w:rFonts w:cs="Arial"/>
              </w:rPr>
              <w:t xml:space="preserve"> public comment period for permanent regulations</w:t>
            </w:r>
          </w:p>
        </w:tc>
        <w:tc>
          <w:tcPr>
            <w:tcW w:w="3960" w:type="dxa"/>
          </w:tcPr>
          <w:p w14:paraId="7923BAC6" w14:textId="74E0FEB5" w:rsidR="00F10DA4" w:rsidRDefault="00F10DA4" w:rsidP="00595847">
            <w:pPr>
              <w:spacing w:before="120" w:after="120"/>
              <w:ind w:right="252"/>
              <w:jc w:val="center"/>
              <w:rPr>
                <w:rFonts w:cs="Arial"/>
              </w:rPr>
            </w:pPr>
            <w:r>
              <w:rPr>
                <w:rFonts w:cs="Arial"/>
              </w:rPr>
              <w:t>April 5</w:t>
            </w:r>
            <w:r w:rsidR="009F6F27">
              <w:rPr>
                <w:rFonts w:cs="Arial"/>
              </w:rPr>
              <w:t xml:space="preserve"> </w:t>
            </w:r>
            <w:r w:rsidRPr="00FD19BD">
              <w:rPr>
                <w:rFonts w:cs="Arial"/>
              </w:rPr>
              <w:t>–</w:t>
            </w:r>
            <w:r w:rsidR="009F6F27">
              <w:rPr>
                <w:rFonts w:cs="Arial"/>
              </w:rPr>
              <w:t xml:space="preserve"> </w:t>
            </w:r>
            <w:r>
              <w:rPr>
                <w:rFonts w:cs="Arial"/>
              </w:rPr>
              <w:t>May 21, 2024</w:t>
            </w:r>
          </w:p>
        </w:tc>
      </w:tr>
      <w:tr w:rsidR="00F10DA4" w:rsidRPr="00FD19BD" w14:paraId="71620438" w14:textId="77777777" w:rsidTr="00B5686C">
        <w:trPr>
          <w:cantSplit/>
        </w:trPr>
        <w:tc>
          <w:tcPr>
            <w:tcW w:w="5688" w:type="dxa"/>
            <w:hideMark/>
          </w:tcPr>
          <w:p w14:paraId="125F9157" w14:textId="2E116DED" w:rsidR="00F10DA4" w:rsidRPr="00FD19BD" w:rsidRDefault="00F10DA4" w:rsidP="00595847">
            <w:pPr>
              <w:spacing w:before="120" w:after="120"/>
              <w:ind w:left="180"/>
              <w:rPr>
                <w:rFonts w:cs="Arial"/>
              </w:rPr>
            </w:pPr>
            <w:r w:rsidRPr="00FD19BD">
              <w:rPr>
                <w:rFonts w:cs="Arial"/>
              </w:rPr>
              <w:t>Emergency regulations effective</w:t>
            </w:r>
          </w:p>
        </w:tc>
        <w:tc>
          <w:tcPr>
            <w:tcW w:w="3960" w:type="dxa"/>
            <w:hideMark/>
          </w:tcPr>
          <w:p w14:paraId="7757764B" w14:textId="757A6855" w:rsidR="00F10DA4" w:rsidRPr="00FD19BD" w:rsidRDefault="00F10DA4" w:rsidP="00595847">
            <w:pPr>
              <w:spacing w:before="120" w:after="120"/>
              <w:ind w:right="252"/>
              <w:jc w:val="center"/>
              <w:rPr>
                <w:rFonts w:cs="Arial"/>
              </w:rPr>
            </w:pPr>
            <w:r>
              <w:rPr>
                <w:rFonts w:cs="Arial"/>
              </w:rPr>
              <w:t>April 2</w:t>
            </w:r>
            <w:r w:rsidR="0003536B">
              <w:rPr>
                <w:rFonts w:cs="Arial"/>
              </w:rPr>
              <w:t xml:space="preserve"> </w:t>
            </w:r>
            <w:r w:rsidR="0003536B">
              <w:t>– September 30</w:t>
            </w:r>
            <w:r>
              <w:rPr>
                <w:rFonts w:cs="Arial"/>
              </w:rPr>
              <w:t>, 2024</w:t>
            </w:r>
          </w:p>
        </w:tc>
      </w:tr>
      <w:tr w:rsidR="00F10DA4" w:rsidRPr="00FD19BD" w14:paraId="2632C7C0" w14:textId="77777777" w:rsidTr="00B5686C">
        <w:trPr>
          <w:cantSplit/>
        </w:trPr>
        <w:tc>
          <w:tcPr>
            <w:tcW w:w="5688" w:type="dxa"/>
          </w:tcPr>
          <w:p w14:paraId="5848C49D" w14:textId="49FBA6D7" w:rsidR="00F10DA4" w:rsidRPr="00FD19BD" w:rsidRDefault="00F10DA4" w:rsidP="00595847">
            <w:pPr>
              <w:spacing w:before="120" w:after="120"/>
              <w:ind w:left="180"/>
              <w:rPr>
                <w:rFonts w:cs="Arial"/>
              </w:rPr>
            </w:pPr>
            <w:r w:rsidRPr="00FD19BD">
              <w:rPr>
                <w:rFonts w:cs="Arial"/>
              </w:rPr>
              <w:t xml:space="preserve">CAASPP </w:t>
            </w:r>
            <w:r w:rsidR="0003536B">
              <w:rPr>
                <w:rFonts w:cs="Arial"/>
              </w:rPr>
              <w:t xml:space="preserve">permanent </w:t>
            </w:r>
            <w:r w:rsidRPr="00FD19BD">
              <w:rPr>
                <w:rFonts w:cs="Arial"/>
              </w:rPr>
              <w:t>regulations public hearing</w:t>
            </w:r>
          </w:p>
        </w:tc>
        <w:tc>
          <w:tcPr>
            <w:tcW w:w="3960" w:type="dxa"/>
          </w:tcPr>
          <w:p w14:paraId="7AABA701" w14:textId="155866EF" w:rsidR="00F10DA4" w:rsidRPr="00FD19BD" w:rsidRDefault="00F10DA4" w:rsidP="00595847">
            <w:pPr>
              <w:spacing w:before="120" w:after="120"/>
              <w:ind w:right="252"/>
              <w:jc w:val="center"/>
              <w:rPr>
                <w:rFonts w:cs="Arial"/>
              </w:rPr>
            </w:pPr>
            <w:r>
              <w:rPr>
                <w:rFonts w:cs="Arial"/>
              </w:rPr>
              <w:t>May 21, 2024</w:t>
            </w:r>
          </w:p>
        </w:tc>
      </w:tr>
      <w:tr w:rsidR="00F10DA4" w:rsidRPr="00FD19BD" w14:paraId="1F5A90DF" w14:textId="77777777" w:rsidTr="00B5686C">
        <w:trPr>
          <w:cantSplit/>
        </w:trPr>
        <w:tc>
          <w:tcPr>
            <w:tcW w:w="5688" w:type="dxa"/>
            <w:hideMark/>
          </w:tcPr>
          <w:p w14:paraId="7FA0FB52" w14:textId="345AE5B4" w:rsidR="0003536B" w:rsidRDefault="0003536B" w:rsidP="00595847">
            <w:pPr>
              <w:spacing w:before="120" w:after="120"/>
              <w:ind w:left="180"/>
              <w:rPr>
                <w:rFonts w:cs="Arial"/>
              </w:rPr>
            </w:pPr>
            <w:r>
              <w:rPr>
                <w:rFonts w:cs="Arial"/>
              </w:rPr>
              <w:t>July SBE Meeting</w:t>
            </w:r>
          </w:p>
          <w:p w14:paraId="24F7C217" w14:textId="6BD98B98" w:rsidR="0003536B" w:rsidRDefault="0003536B" w:rsidP="0003536B">
            <w:pPr>
              <w:pStyle w:val="ListParagraph"/>
              <w:numPr>
                <w:ilvl w:val="0"/>
                <w:numId w:val="28"/>
              </w:numPr>
              <w:spacing w:before="120" w:after="120"/>
              <w:rPr>
                <w:rFonts w:cs="Arial"/>
              </w:rPr>
            </w:pPr>
            <w:r w:rsidRPr="0003536B">
              <w:rPr>
                <w:rFonts w:cs="Arial"/>
              </w:rPr>
              <w:t xml:space="preserve">Emergency regulations readoption agendized </w:t>
            </w:r>
          </w:p>
          <w:p w14:paraId="0525EA4B" w14:textId="40C5E040" w:rsidR="0003536B" w:rsidRPr="0003536B" w:rsidRDefault="008310D8" w:rsidP="008F7C0E">
            <w:pPr>
              <w:pStyle w:val="ListParagraph"/>
              <w:numPr>
                <w:ilvl w:val="0"/>
                <w:numId w:val="28"/>
              </w:numPr>
              <w:spacing w:before="120" w:after="120"/>
              <w:rPr>
                <w:rFonts w:cs="Arial"/>
              </w:rPr>
            </w:pPr>
            <w:r w:rsidRPr="0003536B">
              <w:rPr>
                <w:rFonts w:cs="Arial"/>
              </w:rPr>
              <w:t xml:space="preserve">Final Statement of Reasons </w:t>
            </w:r>
            <w:r>
              <w:rPr>
                <w:rFonts w:cs="Arial"/>
              </w:rPr>
              <w:t>for p</w:t>
            </w:r>
            <w:r w:rsidR="0003536B" w:rsidRPr="0003536B">
              <w:rPr>
                <w:rFonts w:cs="Arial"/>
              </w:rPr>
              <w:t>ermanent regulations</w:t>
            </w:r>
            <w:r>
              <w:rPr>
                <w:rFonts w:cs="Arial"/>
              </w:rPr>
              <w:t xml:space="preserve"> </w:t>
            </w:r>
            <w:r w:rsidR="0003536B">
              <w:rPr>
                <w:rFonts w:cs="Arial"/>
              </w:rPr>
              <w:t>presented to SBE</w:t>
            </w:r>
          </w:p>
        </w:tc>
        <w:tc>
          <w:tcPr>
            <w:tcW w:w="3960" w:type="dxa"/>
            <w:hideMark/>
          </w:tcPr>
          <w:p w14:paraId="1A99F50C" w14:textId="13CD33FE" w:rsidR="00F10DA4" w:rsidRPr="00FD19BD" w:rsidRDefault="00040282" w:rsidP="00595847">
            <w:pPr>
              <w:spacing w:before="120" w:after="120"/>
              <w:ind w:right="252"/>
              <w:jc w:val="center"/>
              <w:rPr>
                <w:rFonts w:cs="Arial"/>
              </w:rPr>
            </w:pPr>
            <w:r>
              <w:rPr>
                <w:rFonts w:cs="Arial"/>
              </w:rPr>
              <w:t>July</w:t>
            </w:r>
            <w:r w:rsidR="003A0DB0">
              <w:rPr>
                <w:rFonts w:cs="Arial"/>
              </w:rPr>
              <w:t xml:space="preserve"> 10</w:t>
            </w:r>
            <w:r w:rsidR="008310D8">
              <w:rPr>
                <w:rFonts w:cs="Arial"/>
              </w:rPr>
              <w:t xml:space="preserve"> – </w:t>
            </w:r>
            <w:r w:rsidR="003A0DB0">
              <w:rPr>
                <w:rFonts w:cs="Arial"/>
              </w:rPr>
              <w:t>11</w:t>
            </w:r>
            <w:r w:rsidR="00F10DA4">
              <w:rPr>
                <w:rFonts w:cs="Arial"/>
              </w:rPr>
              <w:t>, 2024</w:t>
            </w:r>
          </w:p>
        </w:tc>
      </w:tr>
      <w:tr w:rsidR="00F10DA4" w:rsidRPr="00FD19BD" w14:paraId="21C5FB40" w14:textId="351247C9" w:rsidTr="00B5686C">
        <w:trPr>
          <w:cantSplit/>
        </w:trPr>
        <w:tc>
          <w:tcPr>
            <w:tcW w:w="5688" w:type="dxa"/>
          </w:tcPr>
          <w:p w14:paraId="707487BC" w14:textId="20890B77" w:rsidR="00F10DA4" w:rsidRPr="00FD19BD" w:rsidRDefault="00F10DA4" w:rsidP="00595847">
            <w:pPr>
              <w:spacing w:before="120" w:after="120"/>
              <w:ind w:left="180"/>
              <w:rPr>
                <w:rFonts w:cs="Arial"/>
              </w:rPr>
            </w:pPr>
            <w:r>
              <w:rPr>
                <w:rFonts w:cs="Arial"/>
              </w:rPr>
              <w:t xml:space="preserve">15-day comment period for permanent regulations </w:t>
            </w:r>
          </w:p>
        </w:tc>
        <w:tc>
          <w:tcPr>
            <w:tcW w:w="3960" w:type="dxa"/>
          </w:tcPr>
          <w:p w14:paraId="41883780" w14:textId="42504ECC" w:rsidR="00F10DA4" w:rsidRPr="00FD19BD" w:rsidRDefault="00F10DA4" w:rsidP="00595847">
            <w:pPr>
              <w:spacing w:before="120" w:after="120"/>
              <w:ind w:right="252"/>
              <w:jc w:val="center"/>
              <w:rPr>
                <w:rFonts w:cs="Arial"/>
              </w:rPr>
            </w:pPr>
            <w:r>
              <w:rPr>
                <w:rFonts w:cs="Arial"/>
              </w:rPr>
              <w:t>September 16</w:t>
            </w:r>
            <w:r w:rsidR="008310D8">
              <w:rPr>
                <w:rFonts w:cs="Arial"/>
              </w:rPr>
              <w:t xml:space="preserve"> </w:t>
            </w:r>
            <w:r>
              <w:rPr>
                <w:rFonts w:cs="Arial"/>
              </w:rPr>
              <w:t>–</w:t>
            </w:r>
            <w:r w:rsidR="008310D8">
              <w:rPr>
                <w:rFonts w:cs="Arial"/>
              </w:rPr>
              <w:t xml:space="preserve"> </w:t>
            </w:r>
            <w:r>
              <w:rPr>
                <w:rFonts w:cs="Arial"/>
              </w:rPr>
              <w:t>October 1, 2024</w:t>
            </w:r>
          </w:p>
        </w:tc>
      </w:tr>
      <w:tr w:rsidR="00F10DA4" w:rsidRPr="00FD19BD" w14:paraId="222A6E67" w14:textId="312D4D62" w:rsidTr="00B5686C">
        <w:trPr>
          <w:cantSplit/>
        </w:trPr>
        <w:tc>
          <w:tcPr>
            <w:tcW w:w="5688" w:type="dxa"/>
            <w:hideMark/>
          </w:tcPr>
          <w:p w14:paraId="4344803F" w14:textId="525A3CCC" w:rsidR="00F10DA4" w:rsidRPr="00FD19BD" w:rsidRDefault="00F10DA4" w:rsidP="00595847">
            <w:pPr>
              <w:spacing w:before="120" w:after="120"/>
              <w:ind w:left="180"/>
              <w:rPr>
                <w:rFonts w:cs="Arial"/>
              </w:rPr>
            </w:pPr>
            <w:r w:rsidRPr="00FD19BD">
              <w:rPr>
                <w:rFonts w:cs="Arial"/>
              </w:rPr>
              <w:t xml:space="preserve">Submit rulemaking to OAL if </w:t>
            </w:r>
            <w:r>
              <w:rPr>
                <w:rFonts w:cs="Arial"/>
              </w:rPr>
              <w:t>a second 15-day comment period is not necessary</w:t>
            </w:r>
          </w:p>
        </w:tc>
        <w:tc>
          <w:tcPr>
            <w:tcW w:w="3960" w:type="dxa"/>
            <w:hideMark/>
          </w:tcPr>
          <w:p w14:paraId="35F8BAFE" w14:textId="1DEBB271" w:rsidR="00F10DA4" w:rsidRPr="00FD19BD" w:rsidRDefault="00040282" w:rsidP="00595847">
            <w:pPr>
              <w:spacing w:before="120" w:after="120"/>
              <w:ind w:right="252"/>
              <w:jc w:val="center"/>
              <w:rPr>
                <w:rFonts w:cs="Arial"/>
              </w:rPr>
            </w:pPr>
            <w:r>
              <w:rPr>
                <w:rFonts w:cs="Arial"/>
              </w:rPr>
              <w:t>August 2024</w:t>
            </w:r>
            <w:r w:rsidR="00F10DA4" w:rsidRPr="00FD19BD">
              <w:rPr>
                <w:rFonts w:cs="Arial"/>
              </w:rPr>
              <w:t xml:space="preserve"> </w:t>
            </w:r>
          </w:p>
        </w:tc>
      </w:tr>
      <w:tr w:rsidR="00F10DA4" w:rsidRPr="00FD19BD" w14:paraId="7E51FB0F" w14:textId="52227450" w:rsidTr="00B5686C">
        <w:trPr>
          <w:cantSplit/>
        </w:trPr>
        <w:tc>
          <w:tcPr>
            <w:tcW w:w="5688" w:type="dxa"/>
            <w:hideMark/>
          </w:tcPr>
          <w:p w14:paraId="50DA2DDF" w14:textId="311E1C9C" w:rsidR="00F10DA4" w:rsidRPr="00FD19BD" w:rsidRDefault="00F10DA4" w:rsidP="00595847">
            <w:pPr>
              <w:spacing w:before="120" w:after="120"/>
              <w:ind w:left="180"/>
              <w:rPr>
                <w:rFonts w:cs="Arial"/>
              </w:rPr>
            </w:pPr>
            <w:r w:rsidRPr="00FD19BD">
              <w:rPr>
                <w:rFonts w:cs="Arial"/>
              </w:rPr>
              <w:t>OAL approval—Regulations effective</w:t>
            </w:r>
            <w:r w:rsidR="00040282">
              <w:rPr>
                <w:rFonts w:cs="Arial"/>
              </w:rPr>
              <w:t>*</w:t>
            </w:r>
            <w:r w:rsidRPr="00FD19BD">
              <w:rPr>
                <w:rFonts w:cs="Arial"/>
              </w:rPr>
              <w:t xml:space="preserve"> </w:t>
            </w:r>
          </w:p>
        </w:tc>
        <w:tc>
          <w:tcPr>
            <w:tcW w:w="3960" w:type="dxa"/>
            <w:hideMark/>
          </w:tcPr>
          <w:p w14:paraId="5D1EB6A7" w14:textId="762953B7" w:rsidR="00F10DA4" w:rsidRPr="00FD19BD" w:rsidRDefault="00040282" w:rsidP="00595847">
            <w:pPr>
              <w:spacing w:before="120" w:after="120"/>
              <w:ind w:right="252"/>
              <w:jc w:val="center"/>
              <w:rPr>
                <w:rFonts w:cs="Arial"/>
              </w:rPr>
            </w:pPr>
            <w:r>
              <w:rPr>
                <w:rFonts w:cs="Arial"/>
              </w:rPr>
              <w:t>September 2024</w:t>
            </w:r>
          </w:p>
        </w:tc>
      </w:tr>
    </w:tbl>
    <w:p w14:paraId="690DEBFF" w14:textId="77777777" w:rsidR="009F6F27" w:rsidRDefault="009F6F27" w:rsidP="00F10DA4">
      <w:pPr>
        <w:rPr>
          <w:rFonts w:cs="Arial"/>
        </w:rPr>
      </w:pPr>
    </w:p>
    <w:p w14:paraId="741E795B" w14:textId="0CAE0572" w:rsidR="009576C9" w:rsidRDefault="00040282" w:rsidP="00D41B43">
      <w:pPr>
        <w:rPr>
          <w:rFonts w:cs="Arial"/>
        </w:rPr>
      </w:pPr>
      <w:r>
        <w:rPr>
          <w:rFonts w:cs="Arial"/>
        </w:rPr>
        <w:t>*</w:t>
      </w:r>
      <w:proofErr w:type="gramStart"/>
      <w:r>
        <w:rPr>
          <w:rFonts w:cs="Arial"/>
        </w:rPr>
        <w:t>In the event that</w:t>
      </w:r>
      <w:proofErr w:type="gramEnd"/>
      <w:r>
        <w:rPr>
          <w:rFonts w:cs="Arial"/>
        </w:rPr>
        <w:t xml:space="preserve"> a 15-day comment period is necessary, these dates will </w:t>
      </w:r>
      <w:r w:rsidR="009F6F27">
        <w:rPr>
          <w:rFonts w:cs="Arial"/>
        </w:rPr>
        <w:t>change,</w:t>
      </w:r>
      <w:r>
        <w:rPr>
          <w:rFonts w:cs="Arial"/>
        </w:rPr>
        <w:t xml:space="preserve"> and the readoption will accommodate the effectiveness of the regulations.</w:t>
      </w:r>
    </w:p>
    <w:p w14:paraId="202DA362" w14:textId="77777777" w:rsidR="00B5278F" w:rsidRDefault="00B5278F" w:rsidP="00D41B43">
      <w:pPr>
        <w:rPr>
          <w:rFonts w:cs="Arial"/>
        </w:rPr>
      </w:pPr>
    </w:p>
    <w:p w14:paraId="17200018" w14:textId="1840B52D" w:rsidR="00B5278F" w:rsidRPr="00FD19BD" w:rsidRDefault="00B5278F" w:rsidP="00D41B43">
      <w:pPr>
        <w:rPr>
          <w:rFonts w:cs="Arial"/>
        </w:rPr>
      </w:pPr>
      <w:r>
        <w:rPr>
          <w:rFonts w:cs="Arial"/>
        </w:rPr>
        <w:t>2024-04-21 [California Department of Education]</w:t>
      </w:r>
    </w:p>
    <w:sectPr w:rsidR="00B5278F" w:rsidRPr="00FD19BD" w:rsidSect="008E31FB">
      <w:footerReference w:type="default" r:id="rId8"/>
      <w:pgSz w:w="12240" w:h="15840" w:code="1"/>
      <w:pgMar w:top="1152" w:right="1152" w:bottom="1152"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C29B" w14:textId="77777777" w:rsidR="002F08F4" w:rsidRDefault="002F08F4" w:rsidP="000E09DC">
      <w:r>
        <w:separator/>
      </w:r>
    </w:p>
  </w:endnote>
  <w:endnote w:type="continuationSeparator" w:id="0">
    <w:p w14:paraId="70631C85" w14:textId="77777777" w:rsidR="002F08F4" w:rsidRDefault="002F08F4" w:rsidP="000E09DC">
      <w:r>
        <w:continuationSeparator/>
      </w:r>
    </w:p>
  </w:endnote>
  <w:endnote w:type="continuationNotice" w:id="1">
    <w:p w14:paraId="277DAB57" w14:textId="77777777" w:rsidR="002F08F4" w:rsidRDefault="002F0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695640"/>
      <w:docPartObj>
        <w:docPartGallery w:val="Page Numbers (Bottom of Page)"/>
        <w:docPartUnique/>
      </w:docPartObj>
    </w:sdtPr>
    <w:sdtEndPr>
      <w:rPr>
        <w:noProof/>
      </w:rPr>
    </w:sdtEndPr>
    <w:sdtContent>
      <w:p w14:paraId="468173AB" w14:textId="2543708D" w:rsidR="00927E85" w:rsidRDefault="00927E85" w:rsidP="00816AE5">
        <w:pPr>
          <w:pStyle w:val="Footer"/>
          <w:jc w:val="center"/>
        </w:pPr>
        <w:r>
          <w:fldChar w:fldCharType="begin"/>
        </w:r>
        <w:r>
          <w:instrText xml:space="preserve"> PAGE   \* MERGEFORMAT </w:instrText>
        </w:r>
        <w:r>
          <w:fldChar w:fldCharType="separate"/>
        </w:r>
        <w:r w:rsidR="00650F4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FE1FC" w14:textId="77777777" w:rsidR="002F08F4" w:rsidRDefault="002F08F4" w:rsidP="000E09DC">
      <w:r>
        <w:separator/>
      </w:r>
    </w:p>
  </w:footnote>
  <w:footnote w:type="continuationSeparator" w:id="0">
    <w:p w14:paraId="172108C5" w14:textId="77777777" w:rsidR="002F08F4" w:rsidRDefault="002F08F4" w:rsidP="000E09DC">
      <w:r>
        <w:continuationSeparator/>
      </w:r>
    </w:p>
  </w:footnote>
  <w:footnote w:type="continuationNotice" w:id="1">
    <w:p w14:paraId="44E5AFCF" w14:textId="77777777" w:rsidR="002F08F4" w:rsidRDefault="002F08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7E40"/>
    <w:multiLevelType w:val="multilevel"/>
    <w:tmpl w:val="6BA8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6182F"/>
    <w:multiLevelType w:val="hybridMultilevel"/>
    <w:tmpl w:val="94A6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5A0581"/>
    <w:multiLevelType w:val="hybridMultilevel"/>
    <w:tmpl w:val="56A6A6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50585"/>
    <w:multiLevelType w:val="hybridMultilevel"/>
    <w:tmpl w:val="0ECE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C7112B"/>
    <w:multiLevelType w:val="hybridMultilevel"/>
    <w:tmpl w:val="E53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A61D9"/>
    <w:multiLevelType w:val="hybridMultilevel"/>
    <w:tmpl w:val="971E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A0019"/>
    <w:multiLevelType w:val="hybridMultilevel"/>
    <w:tmpl w:val="E176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E3162"/>
    <w:multiLevelType w:val="hybridMultilevel"/>
    <w:tmpl w:val="4D18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A76DDD"/>
    <w:multiLevelType w:val="hybridMultilevel"/>
    <w:tmpl w:val="F00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14D40"/>
    <w:multiLevelType w:val="hybridMultilevel"/>
    <w:tmpl w:val="72DAB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CECAD50">
      <w:start w:val="6"/>
      <w:numFmt w:val="bullet"/>
      <w:lvlText w:val="-"/>
      <w:lvlJc w:val="left"/>
      <w:pPr>
        <w:ind w:left="2160" w:hanging="360"/>
      </w:pPr>
      <w:rPr>
        <w:rFonts w:ascii="Arial" w:eastAsia="Times New Roman" w:hAnsi="Arial" w:cs="Arial" w:hint="default"/>
        <w:color w:val="000000"/>
      </w:rPr>
    </w:lvl>
    <w:lvl w:ilvl="3" w:tplc="1492A1FC">
      <w:start w:val="1"/>
      <w:numFmt w:val="bullet"/>
      <w:lvlText w:val="o"/>
      <w:lvlJc w:val="right"/>
      <w:pPr>
        <w:ind w:left="2160" w:hanging="360"/>
      </w:pPr>
      <w:rPr>
        <w:rFonts w:ascii="Courier New" w:hAnsi="Courier New" w:hint="default"/>
        <w:color w:val="000000"/>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31C26"/>
    <w:multiLevelType w:val="hybridMultilevel"/>
    <w:tmpl w:val="B90202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E18D7"/>
    <w:multiLevelType w:val="hybridMultilevel"/>
    <w:tmpl w:val="6F26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B23AD"/>
    <w:multiLevelType w:val="hybridMultilevel"/>
    <w:tmpl w:val="5566B934"/>
    <w:lvl w:ilvl="0" w:tplc="1492A1FC">
      <w:start w:val="1"/>
      <w:numFmt w:val="bullet"/>
      <w:lvlText w:val="o"/>
      <w:lvlJc w:val="righ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D4065"/>
    <w:multiLevelType w:val="hybridMultilevel"/>
    <w:tmpl w:val="F1329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F4B00"/>
    <w:multiLevelType w:val="hybridMultilevel"/>
    <w:tmpl w:val="E7F8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AE0523"/>
    <w:multiLevelType w:val="hybridMultilevel"/>
    <w:tmpl w:val="47F02F34"/>
    <w:lvl w:ilvl="0" w:tplc="1492A1FC">
      <w:start w:val="1"/>
      <w:numFmt w:val="bullet"/>
      <w:lvlText w:val="o"/>
      <w:lvlJc w:val="righ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9CECAD50">
      <w:start w:val="6"/>
      <w:numFmt w:val="bullet"/>
      <w:lvlText w:val="-"/>
      <w:lvlJc w:val="left"/>
      <w:pPr>
        <w:ind w:left="2160" w:hanging="360"/>
      </w:pPr>
      <w:rPr>
        <w:rFonts w:ascii="Arial" w:eastAsia="Times New Roman" w:hAnsi="Arial" w:cs="Arial" w:hint="default"/>
        <w:color w:val="000000"/>
      </w:rPr>
    </w:lvl>
    <w:lvl w:ilvl="3" w:tplc="1492A1FC">
      <w:start w:val="1"/>
      <w:numFmt w:val="bullet"/>
      <w:lvlText w:val="o"/>
      <w:lvlJc w:val="right"/>
      <w:pPr>
        <w:ind w:left="2160" w:hanging="360"/>
      </w:pPr>
      <w:rPr>
        <w:rFonts w:ascii="Courier New" w:hAnsi="Courier New" w:hint="default"/>
        <w:color w:val="000000"/>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05022"/>
    <w:multiLevelType w:val="hybridMultilevel"/>
    <w:tmpl w:val="545A6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16877"/>
    <w:multiLevelType w:val="hybridMultilevel"/>
    <w:tmpl w:val="795C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804701">
    <w:abstractNumId w:val="7"/>
  </w:num>
  <w:num w:numId="2" w16cid:durableId="1996491456">
    <w:abstractNumId w:val="22"/>
  </w:num>
  <w:num w:numId="3" w16cid:durableId="440153904">
    <w:abstractNumId w:val="4"/>
  </w:num>
  <w:num w:numId="4" w16cid:durableId="1760521186">
    <w:abstractNumId w:val="14"/>
  </w:num>
  <w:num w:numId="5" w16cid:durableId="213782220">
    <w:abstractNumId w:val="17"/>
  </w:num>
  <w:num w:numId="6" w16cid:durableId="1227106122">
    <w:abstractNumId w:val="0"/>
  </w:num>
  <w:num w:numId="7" w16cid:durableId="2010911711">
    <w:abstractNumId w:val="6"/>
  </w:num>
  <w:num w:numId="8" w16cid:durableId="362678585">
    <w:abstractNumId w:val="8"/>
  </w:num>
  <w:num w:numId="9" w16cid:durableId="2048412386">
    <w:abstractNumId w:val="11"/>
  </w:num>
  <w:num w:numId="10" w16cid:durableId="344331561">
    <w:abstractNumId w:val="2"/>
  </w:num>
  <w:num w:numId="11" w16cid:durableId="1893884129">
    <w:abstractNumId w:val="12"/>
  </w:num>
  <w:num w:numId="12" w16cid:durableId="1363483452">
    <w:abstractNumId w:val="16"/>
  </w:num>
  <w:num w:numId="13" w16cid:durableId="2042515610">
    <w:abstractNumId w:val="18"/>
  </w:num>
  <w:num w:numId="14" w16cid:durableId="1610430963">
    <w:abstractNumId w:val="2"/>
  </w:num>
  <w:num w:numId="15" w16cid:durableId="1369381440">
    <w:abstractNumId w:val="12"/>
  </w:num>
  <w:num w:numId="16" w16cid:durableId="894509696">
    <w:abstractNumId w:val="1"/>
  </w:num>
  <w:num w:numId="17" w16cid:durableId="1305240093">
    <w:abstractNumId w:val="15"/>
  </w:num>
  <w:num w:numId="18" w16cid:durableId="1209997655">
    <w:abstractNumId w:val="10"/>
  </w:num>
  <w:num w:numId="19" w16cid:durableId="1203664768">
    <w:abstractNumId w:val="23"/>
  </w:num>
  <w:num w:numId="20" w16cid:durableId="928853562">
    <w:abstractNumId w:val="19"/>
  </w:num>
  <w:num w:numId="21" w16cid:durableId="388771728">
    <w:abstractNumId w:val="24"/>
  </w:num>
  <w:num w:numId="22" w16cid:durableId="1976064758">
    <w:abstractNumId w:val="5"/>
  </w:num>
  <w:num w:numId="23" w16cid:durableId="1709527905">
    <w:abstractNumId w:val="21"/>
  </w:num>
  <w:num w:numId="24" w16cid:durableId="2017613349">
    <w:abstractNumId w:val="25"/>
  </w:num>
  <w:num w:numId="25" w16cid:durableId="95179680">
    <w:abstractNumId w:val="9"/>
  </w:num>
  <w:num w:numId="26" w16cid:durableId="1665890405">
    <w:abstractNumId w:val="20"/>
  </w:num>
  <w:num w:numId="27" w16cid:durableId="511576543">
    <w:abstractNumId w:val="13"/>
  </w:num>
  <w:num w:numId="28" w16cid:durableId="1079911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doNotShadeFormData/>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2103"/>
    <w:rsid w:val="000040D5"/>
    <w:rsid w:val="00012D9F"/>
    <w:rsid w:val="00021C74"/>
    <w:rsid w:val="00026B1B"/>
    <w:rsid w:val="000318F7"/>
    <w:rsid w:val="000324AD"/>
    <w:rsid w:val="0003536B"/>
    <w:rsid w:val="00040282"/>
    <w:rsid w:val="00040CF7"/>
    <w:rsid w:val="0004355A"/>
    <w:rsid w:val="00063D43"/>
    <w:rsid w:val="00067E0E"/>
    <w:rsid w:val="0007070A"/>
    <w:rsid w:val="00082BFB"/>
    <w:rsid w:val="0009584C"/>
    <w:rsid w:val="000A02E4"/>
    <w:rsid w:val="000B2037"/>
    <w:rsid w:val="000C40A9"/>
    <w:rsid w:val="000D1B94"/>
    <w:rsid w:val="000D306C"/>
    <w:rsid w:val="000D6B85"/>
    <w:rsid w:val="000E09DC"/>
    <w:rsid w:val="000F43D9"/>
    <w:rsid w:val="00100FB3"/>
    <w:rsid w:val="001048F3"/>
    <w:rsid w:val="00110A53"/>
    <w:rsid w:val="00112CA8"/>
    <w:rsid w:val="00122549"/>
    <w:rsid w:val="00130059"/>
    <w:rsid w:val="0013014B"/>
    <w:rsid w:val="001333FD"/>
    <w:rsid w:val="001523CA"/>
    <w:rsid w:val="00164C96"/>
    <w:rsid w:val="0018148D"/>
    <w:rsid w:val="00183BDB"/>
    <w:rsid w:val="0019733B"/>
    <w:rsid w:val="001A0298"/>
    <w:rsid w:val="001A0CA5"/>
    <w:rsid w:val="001B3958"/>
    <w:rsid w:val="001D1196"/>
    <w:rsid w:val="001D6186"/>
    <w:rsid w:val="001E1929"/>
    <w:rsid w:val="0020338E"/>
    <w:rsid w:val="00216C5F"/>
    <w:rsid w:val="00223112"/>
    <w:rsid w:val="00230963"/>
    <w:rsid w:val="00236330"/>
    <w:rsid w:val="00240B26"/>
    <w:rsid w:val="00244AF8"/>
    <w:rsid w:val="0024703A"/>
    <w:rsid w:val="00260427"/>
    <w:rsid w:val="00262074"/>
    <w:rsid w:val="002644E2"/>
    <w:rsid w:val="00293A36"/>
    <w:rsid w:val="002A327C"/>
    <w:rsid w:val="002B4B14"/>
    <w:rsid w:val="002B59D2"/>
    <w:rsid w:val="002D1A82"/>
    <w:rsid w:val="002E00A6"/>
    <w:rsid w:val="002E4CB5"/>
    <w:rsid w:val="002E5385"/>
    <w:rsid w:val="002E6FCA"/>
    <w:rsid w:val="002F08F4"/>
    <w:rsid w:val="002F279B"/>
    <w:rsid w:val="00315131"/>
    <w:rsid w:val="003172F7"/>
    <w:rsid w:val="003209FF"/>
    <w:rsid w:val="00321422"/>
    <w:rsid w:val="00330E0C"/>
    <w:rsid w:val="00333F8A"/>
    <w:rsid w:val="003354A0"/>
    <w:rsid w:val="003359F7"/>
    <w:rsid w:val="0034613A"/>
    <w:rsid w:val="003502D7"/>
    <w:rsid w:val="003564EF"/>
    <w:rsid w:val="003607E6"/>
    <w:rsid w:val="003617A6"/>
    <w:rsid w:val="00363520"/>
    <w:rsid w:val="003652A3"/>
    <w:rsid w:val="003705FC"/>
    <w:rsid w:val="00373BE9"/>
    <w:rsid w:val="00384ACF"/>
    <w:rsid w:val="00391CCF"/>
    <w:rsid w:val="00395CBF"/>
    <w:rsid w:val="00396402"/>
    <w:rsid w:val="003A0DB0"/>
    <w:rsid w:val="003B2310"/>
    <w:rsid w:val="003C045C"/>
    <w:rsid w:val="003C4036"/>
    <w:rsid w:val="003C7D9B"/>
    <w:rsid w:val="003D1ECD"/>
    <w:rsid w:val="003D2D75"/>
    <w:rsid w:val="003D495C"/>
    <w:rsid w:val="003E1E8D"/>
    <w:rsid w:val="003E29EB"/>
    <w:rsid w:val="003E4DF7"/>
    <w:rsid w:val="00401CAE"/>
    <w:rsid w:val="00406F50"/>
    <w:rsid w:val="00407E9B"/>
    <w:rsid w:val="004104BE"/>
    <w:rsid w:val="00412821"/>
    <w:rsid w:val="004203BC"/>
    <w:rsid w:val="00436472"/>
    <w:rsid w:val="00437D6F"/>
    <w:rsid w:val="0044670C"/>
    <w:rsid w:val="00447E77"/>
    <w:rsid w:val="004750F2"/>
    <w:rsid w:val="0047534A"/>
    <w:rsid w:val="00482BFA"/>
    <w:rsid w:val="004A0C94"/>
    <w:rsid w:val="004A20A1"/>
    <w:rsid w:val="004A26E6"/>
    <w:rsid w:val="004C0B43"/>
    <w:rsid w:val="004C1DEE"/>
    <w:rsid w:val="004D0116"/>
    <w:rsid w:val="004D444F"/>
    <w:rsid w:val="004D603F"/>
    <w:rsid w:val="004D6E2D"/>
    <w:rsid w:val="004E029B"/>
    <w:rsid w:val="004E596D"/>
    <w:rsid w:val="004F6C73"/>
    <w:rsid w:val="00503BFA"/>
    <w:rsid w:val="00517C00"/>
    <w:rsid w:val="00527B0E"/>
    <w:rsid w:val="0054301F"/>
    <w:rsid w:val="005440AE"/>
    <w:rsid w:val="00545E77"/>
    <w:rsid w:val="005545EE"/>
    <w:rsid w:val="00556F83"/>
    <w:rsid w:val="005602B2"/>
    <w:rsid w:val="00562615"/>
    <w:rsid w:val="005733C6"/>
    <w:rsid w:val="00576273"/>
    <w:rsid w:val="00591DA6"/>
    <w:rsid w:val="00595847"/>
    <w:rsid w:val="005A3C99"/>
    <w:rsid w:val="005A6958"/>
    <w:rsid w:val="005B107C"/>
    <w:rsid w:val="005D42C4"/>
    <w:rsid w:val="005D6613"/>
    <w:rsid w:val="005F7BA2"/>
    <w:rsid w:val="00615981"/>
    <w:rsid w:val="006177AB"/>
    <w:rsid w:val="00617CD0"/>
    <w:rsid w:val="006226A5"/>
    <w:rsid w:val="006232BB"/>
    <w:rsid w:val="00627954"/>
    <w:rsid w:val="0063696A"/>
    <w:rsid w:val="00640A0E"/>
    <w:rsid w:val="00644939"/>
    <w:rsid w:val="00650F43"/>
    <w:rsid w:val="006519D2"/>
    <w:rsid w:val="00663060"/>
    <w:rsid w:val="006640E7"/>
    <w:rsid w:val="00677B68"/>
    <w:rsid w:val="00692300"/>
    <w:rsid w:val="00693951"/>
    <w:rsid w:val="00694132"/>
    <w:rsid w:val="006A2FF4"/>
    <w:rsid w:val="006B2066"/>
    <w:rsid w:val="006B2111"/>
    <w:rsid w:val="006C138C"/>
    <w:rsid w:val="006C48AD"/>
    <w:rsid w:val="006C4CCC"/>
    <w:rsid w:val="006C76B4"/>
    <w:rsid w:val="006D0223"/>
    <w:rsid w:val="006D666E"/>
    <w:rsid w:val="006D75EA"/>
    <w:rsid w:val="006E06C6"/>
    <w:rsid w:val="006E265C"/>
    <w:rsid w:val="006F1308"/>
    <w:rsid w:val="00704951"/>
    <w:rsid w:val="0070604E"/>
    <w:rsid w:val="00707973"/>
    <w:rsid w:val="00711988"/>
    <w:rsid w:val="0071479A"/>
    <w:rsid w:val="007173E5"/>
    <w:rsid w:val="00726EDA"/>
    <w:rsid w:val="007313A3"/>
    <w:rsid w:val="007329A0"/>
    <w:rsid w:val="007331F3"/>
    <w:rsid w:val="0073618E"/>
    <w:rsid w:val="007428B8"/>
    <w:rsid w:val="0074491E"/>
    <w:rsid w:val="00745DED"/>
    <w:rsid w:val="00746164"/>
    <w:rsid w:val="00750F8B"/>
    <w:rsid w:val="0077622C"/>
    <w:rsid w:val="00780BB6"/>
    <w:rsid w:val="007B0E78"/>
    <w:rsid w:val="007B601C"/>
    <w:rsid w:val="007C1DC8"/>
    <w:rsid w:val="007C5697"/>
    <w:rsid w:val="007C62D8"/>
    <w:rsid w:val="007D64F3"/>
    <w:rsid w:val="007D6A8F"/>
    <w:rsid w:val="007E616D"/>
    <w:rsid w:val="007F2DBA"/>
    <w:rsid w:val="007F6C53"/>
    <w:rsid w:val="00800C06"/>
    <w:rsid w:val="008039BC"/>
    <w:rsid w:val="00816AE5"/>
    <w:rsid w:val="00821F5B"/>
    <w:rsid w:val="008278F1"/>
    <w:rsid w:val="008310D8"/>
    <w:rsid w:val="00843D9C"/>
    <w:rsid w:val="00845D97"/>
    <w:rsid w:val="008575B3"/>
    <w:rsid w:val="00862764"/>
    <w:rsid w:val="00871B02"/>
    <w:rsid w:val="00874731"/>
    <w:rsid w:val="008770C8"/>
    <w:rsid w:val="00880A91"/>
    <w:rsid w:val="0088504D"/>
    <w:rsid w:val="008854E8"/>
    <w:rsid w:val="008909EE"/>
    <w:rsid w:val="00891CA2"/>
    <w:rsid w:val="00897399"/>
    <w:rsid w:val="0089773C"/>
    <w:rsid w:val="008A5189"/>
    <w:rsid w:val="008A57A3"/>
    <w:rsid w:val="008A71DA"/>
    <w:rsid w:val="008A782E"/>
    <w:rsid w:val="008C66C1"/>
    <w:rsid w:val="008C7886"/>
    <w:rsid w:val="008E31FB"/>
    <w:rsid w:val="008F3448"/>
    <w:rsid w:val="008F7C0E"/>
    <w:rsid w:val="0091117B"/>
    <w:rsid w:val="00921B0F"/>
    <w:rsid w:val="00927E85"/>
    <w:rsid w:val="00932711"/>
    <w:rsid w:val="009475EF"/>
    <w:rsid w:val="0095015C"/>
    <w:rsid w:val="009576C9"/>
    <w:rsid w:val="00971E11"/>
    <w:rsid w:val="0098042B"/>
    <w:rsid w:val="00984883"/>
    <w:rsid w:val="00987F9E"/>
    <w:rsid w:val="00991282"/>
    <w:rsid w:val="00996D67"/>
    <w:rsid w:val="009A49D5"/>
    <w:rsid w:val="009A7067"/>
    <w:rsid w:val="009B04E1"/>
    <w:rsid w:val="009B0F7F"/>
    <w:rsid w:val="009B17F9"/>
    <w:rsid w:val="009C0637"/>
    <w:rsid w:val="009C1D5F"/>
    <w:rsid w:val="009C75A3"/>
    <w:rsid w:val="009D482A"/>
    <w:rsid w:val="009D5028"/>
    <w:rsid w:val="009D7984"/>
    <w:rsid w:val="009F6F27"/>
    <w:rsid w:val="009F70DB"/>
    <w:rsid w:val="00A07F42"/>
    <w:rsid w:val="00A16315"/>
    <w:rsid w:val="00A237D0"/>
    <w:rsid w:val="00A30B3C"/>
    <w:rsid w:val="00A421FD"/>
    <w:rsid w:val="00A43794"/>
    <w:rsid w:val="00A45011"/>
    <w:rsid w:val="00A47C7F"/>
    <w:rsid w:val="00AC5A01"/>
    <w:rsid w:val="00AD53D4"/>
    <w:rsid w:val="00AD7B23"/>
    <w:rsid w:val="00B26E25"/>
    <w:rsid w:val="00B303A9"/>
    <w:rsid w:val="00B32929"/>
    <w:rsid w:val="00B4081D"/>
    <w:rsid w:val="00B5278F"/>
    <w:rsid w:val="00B5686C"/>
    <w:rsid w:val="00B723BE"/>
    <w:rsid w:val="00B73E86"/>
    <w:rsid w:val="00B826DB"/>
    <w:rsid w:val="00B82705"/>
    <w:rsid w:val="00B944BE"/>
    <w:rsid w:val="00BA12E1"/>
    <w:rsid w:val="00BB30DB"/>
    <w:rsid w:val="00BB4104"/>
    <w:rsid w:val="00BB7458"/>
    <w:rsid w:val="00BD7854"/>
    <w:rsid w:val="00BF2D05"/>
    <w:rsid w:val="00BF577A"/>
    <w:rsid w:val="00C061CE"/>
    <w:rsid w:val="00C1271E"/>
    <w:rsid w:val="00C1630E"/>
    <w:rsid w:val="00C1754B"/>
    <w:rsid w:val="00C245DB"/>
    <w:rsid w:val="00C27D57"/>
    <w:rsid w:val="00C303CB"/>
    <w:rsid w:val="00C3369B"/>
    <w:rsid w:val="00C4038D"/>
    <w:rsid w:val="00C44AC0"/>
    <w:rsid w:val="00C44EAF"/>
    <w:rsid w:val="00C5064D"/>
    <w:rsid w:val="00C51220"/>
    <w:rsid w:val="00C57E5E"/>
    <w:rsid w:val="00C60AD7"/>
    <w:rsid w:val="00C62508"/>
    <w:rsid w:val="00C65DDA"/>
    <w:rsid w:val="00C71182"/>
    <w:rsid w:val="00C82CBA"/>
    <w:rsid w:val="00CA23C2"/>
    <w:rsid w:val="00CB4976"/>
    <w:rsid w:val="00CC3F4A"/>
    <w:rsid w:val="00CE14B7"/>
    <w:rsid w:val="00CE1C84"/>
    <w:rsid w:val="00CE2E2D"/>
    <w:rsid w:val="00CF0CBF"/>
    <w:rsid w:val="00D20788"/>
    <w:rsid w:val="00D20E62"/>
    <w:rsid w:val="00D27C4A"/>
    <w:rsid w:val="00D407DB"/>
    <w:rsid w:val="00D41B43"/>
    <w:rsid w:val="00D47DAB"/>
    <w:rsid w:val="00D5115F"/>
    <w:rsid w:val="00D630A5"/>
    <w:rsid w:val="00D8667C"/>
    <w:rsid w:val="00D86AB9"/>
    <w:rsid w:val="00D962B2"/>
    <w:rsid w:val="00D96889"/>
    <w:rsid w:val="00DA1F51"/>
    <w:rsid w:val="00DA2950"/>
    <w:rsid w:val="00DC748A"/>
    <w:rsid w:val="00DD0364"/>
    <w:rsid w:val="00DD0F09"/>
    <w:rsid w:val="00DD214E"/>
    <w:rsid w:val="00DE47E8"/>
    <w:rsid w:val="00DE5E6E"/>
    <w:rsid w:val="00DF2632"/>
    <w:rsid w:val="00DF476E"/>
    <w:rsid w:val="00DF5F61"/>
    <w:rsid w:val="00E03923"/>
    <w:rsid w:val="00E0409B"/>
    <w:rsid w:val="00E10C24"/>
    <w:rsid w:val="00E2172A"/>
    <w:rsid w:val="00E24F63"/>
    <w:rsid w:val="00E25B35"/>
    <w:rsid w:val="00E31DB1"/>
    <w:rsid w:val="00E37808"/>
    <w:rsid w:val="00E5283D"/>
    <w:rsid w:val="00E6058D"/>
    <w:rsid w:val="00E701A2"/>
    <w:rsid w:val="00E72B84"/>
    <w:rsid w:val="00E74184"/>
    <w:rsid w:val="00E843A2"/>
    <w:rsid w:val="00E87D2A"/>
    <w:rsid w:val="00EA7D4F"/>
    <w:rsid w:val="00EB16F7"/>
    <w:rsid w:val="00EB5B2A"/>
    <w:rsid w:val="00EC3420"/>
    <w:rsid w:val="00EC504C"/>
    <w:rsid w:val="00EC5E14"/>
    <w:rsid w:val="00ED64E1"/>
    <w:rsid w:val="00EE37C6"/>
    <w:rsid w:val="00EF5650"/>
    <w:rsid w:val="00EF7535"/>
    <w:rsid w:val="00F10619"/>
    <w:rsid w:val="00F109C7"/>
    <w:rsid w:val="00F10DA4"/>
    <w:rsid w:val="00F12736"/>
    <w:rsid w:val="00F21237"/>
    <w:rsid w:val="00F34C02"/>
    <w:rsid w:val="00F40510"/>
    <w:rsid w:val="00F446FB"/>
    <w:rsid w:val="00F53643"/>
    <w:rsid w:val="00F53B14"/>
    <w:rsid w:val="00F65A31"/>
    <w:rsid w:val="00F67C8A"/>
    <w:rsid w:val="00F801F6"/>
    <w:rsid w:val="00F87A89"/>
    <w:rsid w:val="00FA1791"/>
    <w:rsid w:val="00FA25FF"/>
    <w:rsid w:val="00FC1FCE"/>
    <w:rsid w:val="00FD19BD"/>
    <w:rsid w:val="00FE3007"/>
    <w:rsid w:val="00FE4BD6"/>
    <w:rsid w:val="00FF12E6"/>
    <w:rsid w:val="00FF277C"/>
    <w:rsid w:val="09B01106"/>
    <w:rsid w:val="40F5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B60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27E85"/>
    <w:pPr>
      <w:keepNext/>
      <w:keepLines/>
      <w:spacing w:before="120" w:after="120"/>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082BFB"/>
    <w:pPr>
      <w:keepNext/>
      <w:keepLines/>
      <w:spacing w:before="120" w:after="120"/>
      <w:jc w:val="center"/>
      <w:outlineLvl w:val="1"/>
    </w:pPr>
    <w:rPr>
      <w:rFonts w:eastAsiaTheme="majorEastAsia" w:cstheme="majorBidi"/>
      <w:b/>
      <w:szCs w:val="26"/>
    </w:rPr>
  </w:style>
  <w:style w:type="paragraph" w:styleId="Heading3">
    <w:name w:val="heading 3"/>
    <w:basedOn w:val="Normal"/>
    <w:next w:val="Normal"/>
    <w:link w:val="Heading3Char"/>
    <w:unhideWhenUsed/>
    <w:qFormat/>
    <w:rsid w:val="00FD19BD"/>
    <w:pPr>
      <w:keepNext/>
      <w:keepLines/>
      <w:spacing w:before="240" w:after="240"/>
      <w:outlineLvl w:val="2"/>
    </w:pPr>
    <w:rPr>
      <w:rFonts w:eastAsiaTheme="majorEastAsia" w:cstheme="majorBidi"/>
      <w:b/>
      <w:sz w:val="28"/>
    </w:rPr>
  </w:style>
  <w:style w:type="paragraph" w:styleId="Heading4">
    <w:name w:val="heading 4"/>
    <w:basedOn w:val="Normal"/>
    <w:next w:val="Normal"/>
    <w:link w:val="Heading4Char"/>
    <w:unhideWhenUsed/>
    <w:qFormat/>
    <w:rsid w:val="00927E85"/>
    <w:pPr>
      <w:keepNext/>
      <w:keepLines/>
      <w:spacing w:before="160" w:after="120" w:line="36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E85"/>
    <w:rPr>
      <w:rFonts w:ascii="Arial" w:eastAsiaTheme="majorEastAsia" w:hAnsi="Arial" w:cstheme="majorBidi"/>
      <w:b/>
      <w:sz w:val="24"/>
      <w:szCs w:val="32"/>
    </w:rPr>
  </w:style>
  <w:style w:type="character" w:customStyle="1" w:styleId="Heading2Char">
    <w:name w:val="Heading 2 Char"/>
    <w:basedOn w:val="DefaultParagraphFont"/>
    <w:link w:val="Heading2"/>
    <w:rsid w:val="00082BFB"/>
    <w:rPr>
      <w:rFonts w:ascii="Arial" w:eastAsiaTheme="majorEastAsia" w:hAnsi="Arial" w:cstheme="majorBidi"/>
      <w:b/>
      <w:sz w:val="24"/>
      <w:szCs w:val="26"/>
    </w:rPr>
  </w:style>
  <w:style w:type="character" w:customStyle="1" w:styleId="Heading3Char">
    <w:name w:val="Heading 3 Char"/>
    <w:basedOn w:val="DefaultParagraphFont"/>
    <w:link w:val="Heading3"/>
    <w:rsid w:val="00FD19BD"/>
    <w:rPr>
      <w:rFonts w:ascii="Arial" w:eastAsiaTheme="majorEastAsia" w:hAnsi="Arial" w:cstheme="majorBidi"/>
      <w:b/>
      <w:sz w:val="28"/>
      <w:szCs w:val="24"/>
    </w:rPr>
  </w:style>
  <w:style w:type="character" w:customStyle="1" w:styleId="Heading4Char">
    <w:name w:val="Heading 4 Char"/>
    <w:basedOn w:val="DefaultParagraphFont"/>
    <w:link w:val="Heading4"/>
    <w:rsid w:val="00927E85"/>
    <w:rPr>
      <w:rFonts w:ascii="Arial" w:eastAsiaTheme="majorEastAsia" w:hAnsi="Arial" w:cstheme="majorBidi"/>
      <w:b/>
      <w:iCs/>
      <w:sz w:val="24"/>
      <w:szCs w:val="24"/>
    </w:rPr>
  </w:style>
  <w:style w:type="paragraph" w:styleId="Title">
    <w:name w:val="Title"/>
    <w:basedOn w:val="Normal"/>
    <w:next w:val="Normal"/>
    <w:link w:val="TitleChar"/>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aliases w:val="Indented Paragraph,list"/>
    <w:basedOn w:val="Normal"/>
    <w:link w:val="ListParagraphChar"/>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nhideWhenUsed/>
    <w:rsid w:val="00A30B3C"/>
    <w:rPr>
      <w:rFonts w:ascii="Segoe UI" w:hAnsi="Segoe UI" w:cs="Segoe UI"/>
      <w:sz w:val="18"/>
      <w:szCs w:val="18"/>
    </w:rPr>
  </w:style>
  <w:style w:type="character" w:customStyle="1" w:styleId="BalloonTextChar">
    <w:name w:val="Balloon Text Char"/>
    <w:basedOn w:val="DefaultParagraphFont"/>
    <w:link w:val="BalloonText"/>
    <w:rsid w:val="00A30B3C"/>
    <w:rPr>
      <w:rFonts w:ascii="Segoe UI" w:eastAsia="Times New Roman" w:hAnsi="Segoe UI" w:cs="Segoe UI"/>
      <w:sz w:val="18"/>
      <w:szCs w:val="18"/>
    </w:rPr>
  </w:style>
  <w:style w:type="character" w:customStyle="1" w:styleId="ListParagraphChar">
    <w:name w:val="List Paragraph Char"/>
    <w:aliases w:val="Indented Paragraph Char,list Char"/>
    <w:link w:val="ListParagraph"/>
    <w:uiPriority w:val="34"/>
    <w:rsid w:val="00DC748A"/>
    <w:rPr>
      <w:rFonts w:ascii="Arial" w:eastAsia="Times New Roman" w:hAnsi="Arial" w:cs="Times New Roman"/>
      <w:sz w:val="24"/>
      <w:szCs w:val="24"/>
    </w:rPr>
  </w:style>
  <w:style w:type="table" w:styleId="TableGrid">
    <w:name w:val="Table Grid"/>
    <w:basedOn w:val="TableNormal"/>
    <w:uiPriority w:val="39"/>
    <w:rsid w:val="00DC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07DB"/>
    <w:pPr>
      <w:spacing w:before="100" w:beforeAutospacing="1" w:after="100" w:afterAutospacing="1"/>
    </w:pPr>
    <w:rPr>
      <w:rFonts w:ascii="Times New Roman" w:hAnsi="Times New Roman"/>
    </w:rPr>
  </w:style>
  <w:style w:type="paragraph" w:customStyle="1" w:styleId="Default">
    <w:name w:val="Default"/>
    <w:rsid w:val="006A2FF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unhideWhenUsed/>
    <w:rsid w:val="006F1308"/>
    <w:rPr>
      <w:sz w:val="16"/>
      <w:szCs w:val="16"/>
    </w:rPr>
  </w:style>
  <w:style w:type="paragraph" w:styleId="CommentText">
    <w:name w:val="annotation text"/>
    <w:basedOn w:val="Normal"/>
    <w:link w:val="CommentTextChar"/>
    <w:unhideWhenUsed/>
    <w:rsid w:val="006F1308"/>
    <w:rPr>
      <w:sz w:val="20"/>
      <w:szCs w:val="20"/>
    </w:rPr>
  </w:style>
  <w:style w:type="character" w:customStyle="1" w:styleId="CommentTextChar">
    <w:name w:val="Comment Text Char"/>
    <w:basedOn w:val="DefaultParagraphFont"/>
    <w:link w:val="CommentText"/>
    <w:rsid w:val="006F1308"/>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6F1308"/>
    <w:rPr>
      <w:b/>
      <w:bCs/>
    </w:rPr>
  </w:style>
  <w:style w:type="character" w:customStyle="1" w:styleId="CommentSubjectChar">
    <w:name w:val="Comment Subject Char"/>
    <w:basedOn w:val="CommentTextChar"/>
    <w:link w:val="CommentSubject"/>
    <w:rsid w:val="006F13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19733B"/>
    <w:rPr>
      <w:color w:val="954F72" w:themeColor="followedHyperlink"/>
      <w:u w:val="single"/>
    </w:rPr>
  </w:style>
  <w:style w:type="character" w:customStyle="1" w:styleId="text-bold1">
    <w:name w:val="text-bold1"/>
    <w:basedOn w:val="DefaultParagraphFont"/>
    <w:rsid w:val="0019733B"/>
    <w:rPr>
      <w:b/>
      <w:bCs/>
    </w:rPr>
  </w:style>
  <w:style w:type="character" w:customStyle="1" w:styleId="text-italic1">
    <w:name w:val="text-italic1"/>
    <w:basedOn w:val="DefaultParagraphFont"/>
    <w:rsid w:val="0019733B"/>
    <w:rPr>
      <w:i/>
      <w:iCs/>
    </w:rPr>
  </w:style>
  <w:style w:type="character" w:customStyle="1" w:styleId="PlainTextChar">
    <w:name w:val="Plain Text Char"/>
    <w:link w:val="PlainText"/>
    <w:locked/>
    <w:rsid w:val="007C1DC8"/>
    <w:rPr>
      <w:rFonts w:ascii="Arial" w:eastAsia="Times" w:hAnsi="Arial" w:cs="Arial"/>
      <w:kern w:val="24"/>
      <w:sz w:val="24"/>
    </w:rPr>
  </w:style>
  <w:style w:type="paragraph" w:styleId="PlainText">
    <w:name w:val="Plain Text"/>
    <w:basedOn w:val="Normal"/>
    <w:link w:val="PlainTextChar"/>
    <w:rsid w:val="007C1DC8"/>
    <w:pPr>
      <w:spacing w:line="240" w:lineRule="atLeast"/>
    </w:pPr>
    <w:rPr>
      <w:rFonts w:eastAsia="Times" w:cs="Arial"/>
      <w:kern w:val="24"/>
      <w:szCs w:val="22"/>
    </w:rPr>
  </w:style>
  <w:style w:type="character" w:customStyle="1" w:styleId="PlainTextChar1">
    <w:name w:val="Plain Text Char1"/>
    <w:basedOn w:val="DefaultParagraphFont"/>
    <w:uiPriority w:val="99"/>
    <w:semiHidden/>
    <w:rsid w:val="007C1DC8"/>
    <w:rPr>
      <w:rFonts w:ascii="Consolas" w:eastAsia="Times New Roman" w:hAnsi="Consolas" w:cs="Times New Roman"/>
      <w:sz w:val="21"/>
      <w:szCs w:val="21"/>
    </w:rPr>
  </w:style>
  <w:style w:type="character" w:styleId="PageNumber">
    <w:name w:val="page number"/>
    <w:rsid w:val="007C1DC8"/>
    <w:rPr>
      <w:rFonts w:ascii="Helvetica" w:hAnsi="Helvetica" w:cs="Helvetica" w:hint="default"/>
      <w:sz w:val="24"/>
    </w:rPr>
  </w:style>
  <w:style w:type="numbering" w:customStyle="1" w:styleId="NoList1">
    <w:name w:val="No List1"/>
    <w:next w:val="NoList"/>
    <w:uiPriority w:val="99"/>
    <w:semiHidden/>
    <w:unhideWhenUsed/>
    <w:rsid w:val="009576C9"/>
  </w:style>
  <w:style w:type="character" w:styleId="LineNumber">
    <w:name w:val="line number"/>
    <w:basedOn w:val="DefaultParagraphFont"/>
    <w:rsid w:val="009576C9"/>
  </w:style>
  <w:style w:type="paragraph" w:customStyle="1" w:styleId="DefinitionTerm">
    <w:name w:val="Definition Term"/>
    <w:basedOn w:val="Normal"/>
    <w:next w:val="DefinitionList"/>
    <w:rsid w:val="009576C9"/>
    <w:rPr>
      <w:rFonts w:ascii="Times New Roman" w:hAnsi="Times New Roman"/>
      <w:snapToGrid w:val="0"/>
      <w:szCs w:val="20"/>
    </w:rPr>
  </w:style>
  <w:style w:type="paragraph" w:customStyle="1" w:styleId="DefinitionList">
    <w:name w:val="Definition List"/>
    <w:basedOn w:val="Normal"/>
    <w:next w:val="DefinitionTerm"/>
    <w:rsid w:val="009576C9"/>
    <w:pPr>
      <w:ind w:left="360"/>
    </w:pPr>
    <w:rPr>
      <w:rFonts w:ascii="Times New Roman" w:hAnsi="Times New Roman"/>
      <w:snapToGrid w:val="0"/>
      <w:szCs w:val="20"/>
    </w:rPr>
  </w:style>
  <w:style w:type="paragraph" w:customStyle="1" w:styleId="H5">
    <w:name w:val="H5"/>
    <w:basedOn w:val="Normal"/>
    <w:next w:val="Normal"/>
    <w:rsid w:val="009576C9"/>
    <w:pPr>
      <w:keepNext/>
      <w:spacing w:before="100" w:after="100"/>
      <w:outlineLvl w:val="5"/>
    </w:pPr>
    <w:rPr>
      <w:rFonts w:ascii="Times New Roman" w:hAnsi="Times New Roman"/>
      <w:b/>
      <w:snapToGrid w:val="0"/>
      <w:sz w:val="20"/>
      <w:szCs w:val="20"/>
    </w:rPr>
  </w:style>
  <w:style w:type="paragraph" w:styleId="BodyText">
    <w:name w:val="Body Text"/>
    <w:basedOn w:val="Normal"/>
    <w:link w:val="BodyTextChar"/>
    <w:rsid w:val="009576C9"/>
    <w:rPr>
      <w:rFonts w:ascii="Times New Roman" w:hAnsi="Times New Roman"/>
      <w:szCs w:val="20"/>
    </w:rPr>
  </w:style>
  <w:style w:type="character" w:customStyle="1" w:styleId="BodyTextChar">
    <w:name w:val="Body Text Char"/>
    <w:basedOn w:val="DefaultParagraphFont"/>
    <w:link w:val="BodyText"/>
    <w:rsid w:val="009576C9"/>
    <w:rPr>
      <w:rFonts w:ascii="Times New Roman" w:eastAsia="Times New Roman" w:hAnsi="Times New Roman" w:cs="Times New Roman"/>
      <w:sz w:val="24"/>
      <w:szCs w:val="20"/>
    </w:rPr>
  </w:style>
  <w:style w:type="paragraph" w:styleId="ListContinue3">
    <w:name w:val="List Continue 3"/>
    <w:basedOn w:val="Normal"/>
    <w:rsid w:val="009576C9"/>
    <w:pPr>
      <w:spacing w:after="120"/>
      <w:ind w:left="1080"/>
    </w:pPr>
    <w:rPr>
      <w:rFonts w:ascii="Times New Roman" w:hAnsi="Times New Roman"/>
      <w:sz w:val="20"/>
      <w:szCs w:val="20"/>
    </w:rPr>
  </w:style>
  <w:style w:type="paragraph" w:styleId="BodyText2">
    <w:name w:val="Body Text 2"/>
    <w:basedOn w:val="Normal"/>
    <w:link w:val="BodyText2Char"/>
    <w:rsid w:val="009576C9"/>
    <w:pPr>
      <w:spacing w:after="120" w:line="480" w:lineRule="auto"/>
    </w:pPr>
  </w:style>
  <w:style w:type="character" w:customStyle="1" w:styleId="BodyText2Char">
    <w:name w:val="Body Text 2 Char"/>
    <w:basedOn w:val="DefaultParagraphFont"/>
    <w:link w:val="BodyText2"/>
    <w:rsid w:val="009576C9"/>
    <w:rPr>
      <w:rFonts w:ascii="Arial" w:eastAsia="Times New Roman" w:hAnsi="Arial" w:cs="Times New Roman"/>
      <w:sz w:val="24"/>
      <w:szCs w:val="24"/>
    </w:rPr>
  </w:style>
  <w:style w:type="character" w:styleId="Emphasis">
    <w:name w:val="Emphasis"/>
    <w:basedOn w:val="DefaultParagraphFont"/>
    <w:uiPriority w:val="20"/>
    <w:qFormat/>
    <w:rsid w:val="009576C9"/>
    <w:rPr>
      <w:i/>
      <w:iCs/>
    </w:rPr>
  </w:style>
  <w:style w:type="character" w:styleId="Strong">
    <w:name w:val="Strong"/>
    <w:basedOn w:val="DefaultParagraphFont"/>
    <w:uiPriority w:val="22"/>
    <w:qFormat/>
    <w:rsid w:val="009576C9"/>
    <w:rPr>
      <w:b/>
      <w:bCs/>
    </w:rPr>
  </w:style>
  <w:style w:type="table" w:customStyle="1" w:styleId="TableGrid1">
    <w:name w:val="Table Grid1"/>
    <w:basedOn w:val="TableNormal"/>
    <w:next w:val="TableGrid"/>
    <w:rsid w:val="00927E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E5385"/>
  </w:style>
  <w:style w:type="character" w:customStyle="1" w:styleId="eop">
    <w:name w:val="eop"/>
    <w:basedOn w:val="DefaultParagraphFont"/>
    <w:rsid w:val="002E5385"/>
  </w:style>
  <w:style w:type="paragraph" w:customStyle="1" w:styleId="paragraph">
    <w:name w:val="paragraph"/>
    <w:basedOn w:val="Normal"/>
    <w:rsid w:val="002E5385"/>
    <w:pPr>
      <w:spacing w:before="100" w:beforeAutospacing="1" w:after="100" w:afterAutospacing="1"/>
    </w:pPr>
    <w:rPr>
      <w:rFonts w:ascii="Times New Roman" w:hAnsi="Times New Roman"/>
    </w:rPr>
  </w:style>
  <w:style w:type="paragraph" w:styleId="Revision">
    <w:name w:val="Revision"/>
    <w:hidden/>
    <w:uiPriority w:val="99"/>
    <w:semiHidden/>
    <w:rsid w:val="0020338E"/>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8075">
      <w:bodyDiv w:val="1"/>
      <w:marLeft w:val="0"/>
      <w:marRight w:val="0"/>
      <w:marTop w:val="0"/>
      <w:marBottom w:val="0"/>
      <w:divBdr>
        <w:top w:val="none" w:sz="0" w:space="0" w:color="auto"/>
        <w:left w:val="none" w:sz="0" w:space="0" w:color="auto"/>
        <w:bottom w:val="none" w:sz="0" w:space="0" w:color="auto"/>
        <w:right w:val="none" w:sz="0" w:space="0" w:color="auto"/>
      </w:divBdr>
      <w:divsChild>
        <w:div w:id="1822843110">
          <w:marLeft w:val="0"/>
          <w:marRight w:val="0"/>
          <w:marTop w:val="0"/>
          <w:marBottom w:val="0"/>
          <w:divBdr>
            <w:top w:val="none" w:sz="0" w:space="0" w:color="auto"/>
            <w:left w:val="none" w:sz="0" w:space="0" w:color="auto"/>
            <w:bottom w:val="none" w:sz="0" w:space="0" w:color="auto"/>
            <w:right w:val="none" w:sz="0" w:space="0" w:color="auto"/>
          </w:divBdr>
          <w:divsChild>
            <w:div w:id="1633904516">
              <w:marLeft w:val="0"/>
              <w:marRight w:val="0"/>
              <w:marTop w:val="0"/>
              <w:marBottom w:val="0"/>
              <w:divBdr>
                <w:top w:val="none" w:sz="0" w:space="0" w:color="auto"/>
                <w:left w:val="none" w:sz="0" w:space="0" w:color="auto"/>
                <w:bottom w:val="none" w:sz="0" w:space="0" w:color="auto"/>
                <w:right w:val="none" w:sz="0" w:space="0" w:color="auto"/>
              </w:divBdr>
              <w:divsChild>
                <w:div w:id="1558395834">
                  <w:marLeft w:val="0"/>
                  <w:marRight w:val="0"/>
                  <w:marTop w:val="0"/>
                  <w:marBottom w:val="0"/>
                  <w:divBdr>
                    <w:top w:val="none" w:sz="0" w:space="0" w:color="auto"/>
                    <w:left w:val="none" w:sz="0" w:space="0" w:color="auto"/>
                    <w:bottom w:val="none" w:sz="0" w:space="0" w:color="auto"/>
                    <w:right w:val="none" w:sz="0" w:space="0" w:color="auto"/>
                  </w:divBdr>
                  <w:divsChild>
                    <w:div w:id="1008945463">
                      <w:marLeft w:val="0"/>
                      <w:marRight w:val="0"/>
                      <w:marTop w:val="0"/>
                      <w:marBottom w:val="375"/>
                      <w:divBdr>
                        <w:top w:val="none" w:sz="0" w:space="0" w:color="auto"/>
                        <w:left w:val="none" w:sz="0" w:space="0" w:color="auto"/>
                        <w:bottom w:val="none" w:sz="0" w:space="0" w:color="auto"/>
                        <w:right w:val="none" w:sz="0" w:space="0" w:color="auto"/>
                      </w:divBdr>
                      <w:divsChild>
                        <w:div w:id="296372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1019123">
      <w:bodyDiv w:val="1"/>
      <w:marLeft w:val="0"/>
      <w:marRight w:val="0"/>
      <w:marTop w:val="0"/>
      <w:marBottom w:val="0"/>
      <w:divBdr>
        <w:top w:val="none" w:sz="0" w:space="0" w:color="auto"/>
        <w:left w:val="none" w:sz="0" w:space="0" w:color="auto"/>
        <w:bottom w:val="none" w:sz="0" w:space="0" w:color="auto"/>
        <w:right w:val="none" w:sz="0" w:space="0" w:color="auto"/>
      </w:divBdr>
      <w:divsChild>
        <w:div w:id="60061638">
          <w:marLeft w:val="0"/>
          <w:marRight w:val="0"/>
          <w:marTop w:val="0"/>
          <w:marBottom w:val="0"/>
          <w:divBdr>
            <w:top w:val="none" w:sz="0" w:space="0" w:color="auto"/>
            <w:left w:val="none" w:sz="0" w:space="0" w:color="auto"/>
            <w:bottom w:val="none" w:sz="0" w:space="0" w:color="auto"/>
            <w:right w:val="none" w:sz="0" w:space="0" w:color="auto"/>
          </w:divBdr>
        </w:div>
        <w:div w:id="445349209">
          <w:marLeft w:val="0"/>
          <w:marRight w:val="0"/>
          <w:marTop w:val="0"/>
          <w:marBottom w:val="0"/>
          <w:divBdr>
            <w:top w:val="none" w:sz="0" w:space="0" w:color="auto"/>
            <w:left w:val="none" w:sz="0" w:space="0" w:color="auto"/>
            <w:bottom w:val="none" w:sz="0" w:space="0" w:color="auto"/>
            <w:right w:val="none" w:sz="0" w:space="0" w:color="auto"/>
          </w:divBdr>
        </w:div>
        <w:div w:id="611060415">
          <w:marLeft w:val="0"/>
          <w:marRight w:val="0"/>
          <w:marTop w:val="0"/>
          <w:marBottom w:val="0"/>
          <w:divBdr>
            <w:top w:val="none" w:sz="0" w:space="0" w:color="auto"/>
            <w:left w:val="none" w:sz="0" w:space="0" w:color="auto"/>
            <w:bottom w:val="none" w:sz="0" w:space="0" w:color="auto"/>
            <w:right w:val="none" w:sz="0" w:space="0" w:color="auto"/>
          </w:divBdr>
        </w:div>
        <w:div w:id="618335951">
          <w:marLeft w:val="0"/>
          <w:marRight w:val="0"/>
          <w:marTop w:val="0"/>
          <w:marBottom w:val="0"/>
          <w:divBdr>
            <w:top w:val="none" w:sz="0" w:space="0" w:color="auto"/>
            <w:left w:val="none" w:sz="0" w:space="0" w:color="auto"/>
            <w:bottom w:val="none" w:sz="0" w:space="0" w:color="auto"/>
            <w:right w:val="none" w:sz="0" w:space="0" w:color="auto"/>
          </w:divBdr>
        </w:div>
        <w:div w:id="653609122">
          <w:marLeft w:val="0"/>
          <w:marRight w:val="0"/>
          <w:marTop w:val="0"/>
          <w:marBottom w:val="0"/>
          <w:divBdr>
            <w:top w:val="none" w:sz="0" w:space="0" w:color="auto"/>
            <w:left w:val="none" w:sz="0" w:space="0" w:color="auto"/>
            <w:bottom w:val="none" w:sz="0" w:space="0" w:color="auto"/>
            <w:right w:val="none" w:sz="0" w:space="0" w:color="auto"/>
          </w:divBdr>
        </w:div>
        <w:div w:id="795832140">
          <w:marLeft w:val="0"/>
          <w:marRight w:val="0"/>
          <w:marTop w:val="0"/>
          <w:marBottom w:val="0"/>
          <w:divBdr>
            <w:top w:val="none" w:sz="0" w:space="0" w:color="auto"/>
            <w:left w:val="none" w:sz="0" w:space="0" w:color="auto"/>
            <w:bottom w:val="none" w:sz="0" w:space="0" w:color="auto"/>
            <w:right w:val="none" w:sz="0" w:space="0" w:color="auto"/>
          </w:divBdr>
        </w:div>
        <w:div w:id="884755484">
          <w:marLeft w:val="0"/>
          <w:marRight w:val="0"/>
          <w:marTop w:val="0"/>
          <w:marBottom w:val="0"/>
          <w:divBdr>
            <w:top w:val="none" w:sz="0" w:space="0" w:color="auto"/>
            <w:left w:val="none" w:sz="0" w:space="0" w:color="auto"/>
            <w:bottom w:val="none" w:sz="0" w:space="0" w:color="auto"/>
            <w:right w:val="none" w:sz="0" w:space="0" w:color="auto"/>
          </w:divBdr>
        </w:div>
        <w:div w:id="1075975245">
          <w:marLeft w:val="0"/>
          <w:marRight w:val="0"/>
          <w:marTop w:val="0"/>
          <w:marBottom w:val="0"/>
          <w:divBdr>
            <w:top w:val="none" w:sz="0" w:space="0" w:color="auto"/>
            <w:left w:val="none" w:sz="0" w:space="0" w:color="auto"/>
            <w:bottom w:val="none" w:sz="0" w:space="0" w:color="auto"/>
            <w:right w:val="none" w:sz="0" w:space="0" w:color="auto"/>
          </w:divBdr>
        </w:div>
        <w:div w:id="1449543020">
          <w:marLeft w:val="0"/>
          <w:marRight w:val="0"/>
          <w:marTop w:val="0"/>
          <w:marBottom w:val="0"/>
          <w:divBdr>
            <w:top w:val="none" w:sz="0" w:space="0" w:color="auto"/>
            <w:left w:val="none" w:sz="0" w:space="0" w:color="auto"/>
            <w:bottom w:val="none" w:sz="0" w:space="0" w:color="auto"/>
            <w:right w:val="none" w:sz="0" w:space="0" w:color="auto"/>
          </w:divBdr>
        </w:div>
        <w:div w:id="1485121690">
          <w:marLeft w:val="0"/>
          <w:marRight w:val="0"/>
          <w:marTop w:val="0"/>
          <w:marBottom w:val="0"/>
          <w:divBdr>
            <w:top w:val="none" w:sz="0" w:space="0" w:color="auto"/>
            <w:left w:val="none" w:sz="0" w:space="0" w:color="auto"/>
            <w:bottom w:val="none" w:sz="0" w:space="0" w:color="auto"/>
            <w:right w:val="none" w:sz="0" w:space="0" w:color="auto"/>
          </w:divBdr>
        </w:div>
        <w:div w:id="1689672760">
          <w:marLeft w:val="0"/>
          <w:marRight w:val="0"/>
          <w:marTop w:val="0"/>
          <w:marBottom w:val="0"/>
          <w:divBdr>
            <w:top w:val="none" w:sz="0" w:space="0" w:color="auto"/>
            <w:left w:val="none" w:sz="0" w:space="0" w:color="auto"/>
            <w:bottom w:val="none" w:sz="0" w:space="0" w:color="auto"/>
            <w:right w:val="none" w:sz="0" w:space="0" w:color="auto"/>
          </w:divBdr>
        </w:div>
        <w:div w:id="1717898926">
          <w:marLeft w:val="0"/>
          <w:marRight w:val="0"/>
          <w:marTop w:val="0"/>
          <w:marBottom w:val="0"/>
          <w:divBdr>
            <w:top w:val="none" w:sz="0" w:space="0" w:color="auto"/>
            <w:left w:val="none" w:sz="0" w:space="0" w:color="auto"/>
            <w:bottom w:val="none" w:sz="0" w:space="0" w:color="auto"/>
            <w:right w:val="none" w:sz="0" w:space="0" w:color="auto"/>
          </w:divBdr>
        </w:div>
        <w:div w:id="1864317324">
          <w:marLeft w:val="0"/>
          <w:marRight w:val="0"/>
          <w:marTop w:val="0"/>
          <w:marBottom w:val="0"/>
          <w:divBdr>
            <w:top w:val="none" w:sz="0" w:space="0" w:color="auto"/>
            <w:left w:val="none" w:sz="0" w:space="0" w:color="auto"/>
            <w:bottom w:val="none" w:sz="0" w:space="0" w:color="auto"/>
            <w:right w:val="none" w:sz="0" w:space="0" w:color="auto"/>
          </w:divBdr>
        </w:div>
        <w:div w:id="1997031637">
          <w:marLeft w:val="0"/>
          <w:marRight w:val="0"/>
          <w:marTop w:val="0"/>
          <w:marBottom w:val="0"/>
          <w:divBdr>
            <w:top w:val="none" w:sz="0" w:space="0" w:color="auto"/>
            <w:left w:val="none" w:sz="0" w:space="0" w:color="auto"/>
            <w:bottom w:val="none" w:sz="0" w:space="0" w:color="auto"/>
            <w:right w:val="none" w:sz="0" w:space="0" w:color="auto"/>
          </w:divBdr>
        </w:div>
      </w:divsChild>
    </w:div>
    <w:div w:id="1573857888">
      <w:bodyDiv w:val="1"/>
      <w:marLeft w:val="0"/>
      <w:marRight w:val="0"/>
      <w:marTop w:val="0"/>
      <w:marBottom w:val="0"/>
      <w:divBdr>
        <w:top w:val="none" w:sz="0" w:space="0" w:color="auto"/>
        <w:left w:val="none" w:sz="0" w:space="0" w:color="auto"/>
        <w:bottom w:val="none" w:sz="0" w:space="0" w:color="auto"/>
        <w:right w:val="none" w:sz="0" w:space="0" w:color="auto"/>
      </w:divBdr>
    </w:div>
    <w:div w:id="1605073171">
      <w:bodyDiv w:val="1"/>
      <w:marLeft w:val="0"/>
      <w:marRight w:val="0"/>
      <w:marTop w:val="0"/>
      <w:marBottom w:val="0"/>
      <w:divBdr>
        <w:top w:val="none" w:sz="0" w:space="0" w:color="auto"/>
        <w:left w:val="none" w:sz="0" w:space="0" w:color="auto"/>
        <w:bottom w:val="none" w:sz="0" w:space="0" w:color="auto"/>
        <w:right w:val="none" w:sz="0" w:space="0" w:color="auto"/>
      </w:divBdr>
    </w:div>
    <w:div w:id="1713530726">
      <w:bodyDiv w:val="1"/>
      <w:marLeft w:val="0"/>
      <w:marRight w:val="0"/>
      <w:marTop w:val="0"/>
      <w:marBottom w:val="0"/>
      <w:divBdr>
        <w:top w:val="none" w:sz="0" w:space="0" w:color="auto"/>
        <w:left w:val="none" w:sz="0" w:space="0" w:color="auto"/>
        <w:bottom w:val="none" w:sz="0" w:space="0" w:color="auto"/>
        <w:right w:val="none" w:sz="0" w:space="0" w:color="auto"/>
      </w:divBdr>
    </w:div>
    <w:div w:id="19390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4C2B7-B235-45FF-AFA2-F3FDAA32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6371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Finding of Emergency - Proposed Rulemaking and Regulations (CA Dept of Education)</dc:title>
  <dc:subject>California Assessment of Student Performance and Progress Finding of Emergency.</dc:subject>
  <dc:creator/>
  <cp:keywords/>
  <dc:description/>
  <cp:lastModifiedBy/>
  <cp:revision>1</cp:revision>
  <dcterms:created xsi:type="dcterms:W3CDTF">2024-08-15T15:22:00Z</dcterms:created>
  <dcterms:modified xsi:type="dcterms:W3CDTF">2024-08-29T21:24:00Z</dcterms:modified>
  <cp:category/>
</cp:coreProperties>
</file>