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4161" w14:textId="2690B79E" w:rsidR="00FB26C6" w:rsidRPr="0020523C" w:rsidRDefault="009A1DE5" w:rsidP="0020523C">
      <w:pPr>
        <w:pStyle w:val="Heading1"/>
        <w:jc w:val="center"/>
        <w:rPr>
          <w:rFonts w:ascii="Arial" w:hAnsi="Arial" w:cs="Arial"/>
          <w:b/>
          <w:bCs/>
          <w:color w:val="auto"/>
          <w:sz w:val="28"/>
          <w:szCs w:val="28"/>
        </w:rPr>
      </w:pPr>
      <w:r w:rsidRPr="0020523C">
        <w:rPr>
          <w:rFonts w:ascii="Arial" w:hAnsi="Arial" w:cs="Arial"/>
          <w:b/>
          <w:bCs/>
          <w:color w:val="auto"/>
          <w:sz w:val="28"/>
          <w:szCs w:val="28"/>
        </w:rPr>
        <w:t>Addendum To Final Statement of Reasons</w:t>
      </w:r>
    </w:p>
    <w:p w14:paraId="257D02A0" w14:textId="31066E17" w:rsidR="00962A27" w:rsidRPr="009A1DE5" w:rsidRDefault="009A1DE5" w:rsidP="0020523C">
      <w:pPr>
        <w:spacing w:after="240"/>
        <w:jc w:val="center"/>
        <w:rPr>
          <w:rFonts w:cs="Arial"/>
          <w:sz w:val="28"/>
          <w:szCs w:val="28"/>
        </w:rPr>
      </w:pPr>
      <w:r w:rsidRPr="009A1DE5">
        <w:rPr>
          <w:rFonts w:cs="Arial"/>
          <w:sz w:val="28"/>
          <w:szCs w:val="28"/>
        </w:rPr>
        <w:t>High School Equivalency Program</w:t>
      </w:r>
    </w:p>
    <w:p w14:paraId="383DCF73" w14:textId="36E04804" w:rsidR="00B80BC6" w:rsidRPr="0020523C" w:rsidRDefault="006A19B6" w:rsidP="0020523C">
      <w:pPr>
        <w:pStyle w:val="Heading2"/>
        <w:spacing w:after="240"/>
        <w:jc w:val="center"/>
        <w:rPr>
          <w:rFonts w:ascii="Arial" w:hAnsi="Arial" w:cs="Arial"/>
          <w:color w:val="auto"/>
          <w:sz w:val="24"/>
          <w:szCs w:val="24"/>
        </w:rPr>
      </w:pPr>
      <w:r w:rsidRPr="0020523C">
        <w:rPr>
          <w:rFonts w:ascii="Arial" w:hAnsi="Arial" w:cs="Arial"/>
          <w:color w:val="auto"/>
          <w:sz w:val="24"/>
          <w:szCs w:val="24"/>
        </w:rPr>
        <w:t>Update To Final Statement of Reasons</w:t>
      </w:r>
    </w:p>
    <w:p w14:paraId="1340E52A" w14:textId="3255A756" w:rsidR="002D7197" w:rsidRPr="0020523C" w:rsidRDefault="006A19B6" w:rsidP="0020523C">
      <w:pPr>
        <w:pStyle w:val="Heading3"/>
      </w:pPr>
      <w:r w:rsidRPr="0020523C">
        <w:t>Fifteen-Day Public Comment Period of July 15, 2024, Through July 30, 2024, Inclusive</w:t>
      </w:r>
    </w:p>
    <w:p w14:paraId="185D126E" w14:textId="2260E5CA" w:rsidR="004576B4" w:rsidRDefault="002D7197" w:rsidP="0020523C">
      <w:pPr>
        <w:spacing w:before="240"/>
      </w:pPr>
      <w:r>
        <w:t>As a result of</w:t>
      </w:r>
      <w:r w:rsidR="00541652">
        <w:t xml:space="preserve"> further review</w:t>
      </w:r>
      <w:r w:rsidR="004576B4">
        <w:t xml:space="preserve">, </w:t>
      </w:r>
      <w:r w:rsidR="00541652">
        <w:t>the California Department of Education determined that additional clarification was necessary</w:t>
      </w:r>
      <w:r w:rsidR="004576B4">
        <w:t>, which resulted in changes to the proposed regulations. These changes were made available for a 15-day public comment period from July 15, 2024</w:t>
      </w:r>
      <w:r w:rsidR="005D6EC6">
        <w:t>,</w:t>
      </w:r>
      <w:r w:rsidR="004576B4">
        <w:t xml:space="preserve"> through July 30, 2024, inclusive</w:t>
      </w:r>
      <w:r w:rsidR="00AD251C">
        <w:t xml:space="preserve">. </w:t>
      </w:r>
      <w:r w:rsidR="00AD251C" w:rsidRPr="00AB02DC">
        <w:t>No public comments were received.</w:t>
      </w:r>
    </w:p>
    <w:p w14:paraId="41EBBFFA" w14:textId="79A72B5C" w:rsidR="00145C63" w:rsidRPr="00145C63" w:rsidRDefault="00145C63" w:rsidP="0020523C">
      <w:pPr>
        <w:autoSpaceDE w:val="0"/>
        <w:autoSpaceDN w:val="0"/>
        <w:adjustRightInd w:val="0"/>
        <w:spacing w:before="240" w:after="240"/>
        <w:rPr>
          <w:rFonts w:cs="Arial"/>
          <w:b/>
          <w:bCs/>
        </w:rPr>
      </w:pPr>
      <w:r w:rsidRPr="00145C63">
        <w:rPr>
          <w:rFonts w:cs="Arial"/>
        </w:rPr>
        <w:t>General changes were made to the regulations to include grammatical edits, and</w:t>
      </w:r>
      <w:r w:rsidR="0020523C">
        <w:rPr>
          <w:rFonts w:cs="Arial"/>
        </w:rPr>
        <w:t xml:space="preserve"> </w:t>
      </w:r>
      <w:r w:rsidRPr="00145C63">
        <w:rPr>
          <w:rFonts w:cs="Arial"/>
        </w:rPr>
        <w:t>renumbering and/or re-lettering to reflect deletions or additions.</w:t>
      </w:r>
    </w:p>
    <w:p w14:paraId="0C30BB61" w14:textId="77777777" w:rsidR="00145C63" w:rsidRPr="0020523C" w:rsidRDefault="00145C63" w:rsidP="0020523C">
      <w:pPr>
        <w:pStyle w:val="Heading4"/>
        <w:rPr>
          <w:rFonts w:ascii="Arial" w:hAnsi="Arial" w:cs="Arial"/>
          <w:b/>
          <w:bCs/>
          <w:i w:val="0"/>
          <w:iCs w:val="0"/>
          <w:color w:val="auto"/>
        </w:rPr>
      </w:pPr>
      <w:r w:rsidRPr="0020523C">
        <w:rPr>
          <w:rFonts w:ascii="Arial" w:hAnsi="Arial" w:cs="Arial"/>
          <w:b/>
          <w:bCs/>
          <w:i w:val="0"/>
          <w:iCs w:val="0"/>
          <w:color w:val="auto"/>
        </w:rPr>
        <w:t>Section 11530. Definitions</w:t>
      </w:r>
    </w:p>
    <w:p w14:paraId="1320FC4E" w14:textId="1F48649D" w:rsidR="00145C63" w:rsidRPr="00145C63" w:rsidRDefault="00145C63" w:rsidP="0020523C">
      <w:pPr>
        <w:pStyle w:val="BodyText"/>
        <w:spacing w:before="240" w:after="240"/>
        <w:rPr>
          <w:rFonts w:ascii="Arial" w:hAnsi="Arial" w:cs="Arial"/>
          <w:b w:val="0"/>
          <w:bCs w:val="0"/>
        </w:rPr>
      </w:pPr>
      <w:r w:rsidRPr="00145C63">
        <w:rPr>
          <w:rFonts w:ascii="Arial" w:hAnsi="Arial" w:cs="Arial"/>
        </w:rPr>
        <w:t>Section 11530(c)</w:t>
      </w:r>
      <w:r w:rsidRPr="00145C63">
        <w:rPr>
          <w:rFonts w:ascii="Arial" w:hAnsi="Arial" w:cs="Arial"/>
          <w:b w:val="0"/>
          <w:bCs w:val="0"/>
          <w:i/>
          <w:iCs/>
        </w:rPr>
        <w:t xml:space="preserve"> </w:t>
      </w:r>
      <w:r w:rsidRPr="00145C63">
        <w:rPr>
          <w:rFonts w:ascii="Arial" w:hAnsi="Arial" w:cs="Arial"/>
          <w:b w:val="0"/>
          <w:bCs w:val="0"/>
        </w:rPr>
        <w:t xml:space="preserve">is amended to </w:t>
      </w:r>
      <w:r>
        <w:rPr>
          <w:rFonts w:ascii="Arial" w:hAnsi="Arial" w:cs="Arial"/>
          <w:b w:val="0"/>
          <w:bCs w:val="0"/>
        </w:rPr>
        <w:t>restore</w:t>
      </w:r>
      <w:r w:rsidRPr="00145C63">
        <w:rPr>
          <w:rFonts w:ascii="Arial" w:hAnsi="Arial" w:cs="Arial"/>
          <w:b w:val="0"/>
          <w:bCs w:val="0"/>
        </w:rPr>
        <w:t xml:space="preserve"> the definition for “fee” </w:t>
      </w:r>
      <w:r>
        <w:rPr>
          <w:rFonts w:ascii="Arial" w:hAnsi="Arial" w:cs="Arial"/>
          <w:b w:val="0"/>
          <w:bCs w:val="0"/>
        </w:rPr>
        <w:t xml:space="preserve">to its current language in title 5 of the California Code of Regulations. This change was necessary because </w:t>
      </w:r>
      <w:r w:rsidR="007B13E9">
        <w:rPr>
          <w:rFonts w:ascii="Arial" w:hAnsi="Arial" w:cs="Arial"/>
          <w:b w:val="0"/>
          <w:bCs w:val="0"/>
        </w:rPr>
        <w:t xml:space="preserve">there was no need to remove this language. </w:t>
      </w:r>
    </w:p>
    <w:p w14:paraId="737C0AC8" w14:textId="23896AFA" w:rsidR="00145C63" w:rsidRPr="00145C63" w:rsidRDefault="00145C63" w:rsidP="00145C63">
      <w:pPr>
        <w:pStyle w:val="BodyText"/>
        <w:spacing w:after="240"/>
        <w:rPr>
          <w:rFonts w:ascii="Arial" w:hAnsi="Arial" w:cs="Arial"/>
          <w:b w:val="0"/>
          <w:bCs w:val="0"/>
        </w:rPr>
      </w:pPr>
      <w:r w:rsidRPr="00145C63">
        <w:rPr>
          <w:rFonts w:ascii="Arial" w:hAnsi="Arial" w:cs="Arial"/>
        </w:rPr>
        <w:t xml:space="preserve">Proposed Section 11530(d) </w:t>
      </w:r>
      <w:r w:rsidRPr="00145C63">
        <w:rPr>
          <w:rFonts w:ascii="Arial" w:hAnsi="Arial" w:cs="Arial"/>
          <w:b w:val="0"/>
          <w:bCs w:val="0"/>
        </w:rPr>
        <w:t xml:space="preserve">is added </w:t>
      </w:r>
      <w:r>
        <w:rPr>
          <w:rFonts w:ascii="Arial" w:hAnsi="Arial" w:cs="Arial"/>
          <w:b w:val="0"/>
          <w:bCs w:val="0"/>
        </w:rPr>
        <w:t>to define</w:t>
      </w:r>
      <w:r w:rsidRPr="00145C63">
        <w:rPr>
          <w:rFonts w:ascii="Arial" w:hAnsi="Arial" w:cs="Arial"/>
          <w:b w:val="0"/>
          <w:bCs w:val="0"/>
        </w:rPr>
        <w:t xml:space="preserve"> “local educational agency” </w:t>
      </w:r>
      <w:r>
        <w:rPr>
          <w:rFonts w:ascii="Arial" w:hAnsi="Arial" w:cs="Arial"/>
          <w:b w:val="0"/>
          <w:bCs w:val="0"/>
        </w:rPr>
        <w:t>to provide clarification when this term is used within these regulations.</w:t>
      </w:r>
      <w:r w:rsidRPr="00145C63">
        <w:rPr>
          <w:rFonts w:ascii="Arial" w:hAnsi="Arial" w:cs="Arial"/>
          <w:b w:val="0"/>
          <w:bCs w:val="0"/>
        </w:rPr>
        <w:t xml:space="preserve"> </w:t>
      </w:r>
      <w:r w:rsidR="007B13E9">
        <w:rPr>
          <w:rFonts w:ascii="Arial" w:hAnsi="Arial" w:cs="Arial"/>
          <w:b w:val="0"/>
          <w:bCs w:val="0"/>
        </w:rPr>
        <w:t xml:space="preserve">This addition was necessary to provide a clear and concise description. </w:t>
      </w:r>
    </w:p>
    <w:p w14:paraId="78B6A1AD" w14:textId="77777777" w:rsidR="00145C63" w:rsidRPr="0020523C" w:rsidRDefault="00145C63" w:rsidP="0020523C">
      <w:pPr>
        <w:pStyle w:val="Heading4"/>
        <w:spacing w:after="240"/>
        <w:rPr>
          <w:rFonts w:ascii="Arial" w:hAnsi="Arial" w:cs="Arial"/>
          <w:b/>
          <w:bCs/>
          <w:i w:val="0"/>
          <w:iCs w:val="0"/>
          <w:color w:val="auto"/>
        </w:rPr>
      </w:pPr>
      <w:r w:rsidRPr="0020523C">
        <w:rPr>
          <w:rFonts w:ascii="Arial" w:hAnsi="Arial" w:cs="Arial"/>
          <w:b/>
          <w:bCs/>
          <w:i w:val="0"/>
          <w:iCs w:val="0"/>
          <w:color w:val="auto"/>
        </w:rPr>
        <w:t>Section 11532.5. Identity and Residency Requirements</w:t>
      </w:r>
    </w:p>
    <w:p w14:paraId="11654FFA" w14:textId="1A2FE38D" w:rsidR="00145C63" w:rsidRDefault="00145C63" w:rsidP="00145C63">
      <w:pPr>
        <w:pStyle w:val="BodyText"/>
        <w:spacing w:after="240"/>
        <w:rPr>
          <w:rFonts w:ascii="Arial" w:hAnsi="Arial" w:cs="Arial"/>
          <w:b w:val="0"/>
          <w:bCs w:val="0"/>
        </w:rPr>
      </w:pPr>
      <w:r w:rsidRPr="00642AAE">
        <w:rPr>
          <w:rFonts w:ascii="Arial" w:hAnsi="Arial" w:cs="Arial"/>
        </w:rPr>
        <w:t>Section 11532.5(a)(2)</w:t>
      </w:r>
      <w:r w:rsidRPr="00642AAE">
        <w:rPr>
          <w:rFonts w:ascii="Arial" w:hAnsi="Arial" w:cs="Arial"/>
          <w:b w:val="0"/>
          <w:bCs w:val="0"/>
        </w:rPr>
        <w:t xml:space="preserve"> </w:t>
      </w:r>
      <w:r w:rsidR="00E20D96" w:rsidRPr="00642AAE">
        <w:rPr>
          <w:rFonts w:ascii="Arial" w:hAnsi="Arial" w:cs="Arial"/>
          <w:b w:val="0"/>
          <w:bCs w:val="0"/>
        </w:rPr>
        <w:t>is</w:t>
      </w:r>
      <w:r w:rsidR="00E20D96">
        <w:rPr>
          <w:rFonts w:ascii="Arial" w:hAnsi="Arial" w:cs="Arial"/>
          <w:b w:val="0"/>
          <w:bCs w:val="0"/>
        </w:rPr>
        <w:t xml:space="preserve"> </w:t>
      </w:r>
      <w:r w:rsidRPr="22DD1383">
        <w:rPr>
          <w:rFonts w:ascii="Arial" w:hAnsi="Arial" w:cs="Arial"/>
          <w:b w:val="0"/>
          <w:bCs w:val="0"/>
        </w:rPr>
        <w:t xml:space="preserve">amended to clarify that the documents </w:t>
      </w:r>
      <w:r w:rsidR="00875371" w:rsidRPr="22DD1383">
        <w:rPr>
          <w:rFonts w:ascii="Arial" w:hAnsi="Arial" w:cs="Arial"/>
          <w:b w:val="0"/>
          <w:bCs w:val="0"/>
        </w:rPr>
        <w:t xml:space="preserve">listed that </w:t>
      </w:r>
      <w:r w:rsidRPr="22DD1383">
        <w:rPr>
          <w:rFonts w:ascii="Arial" w:hAnsi="Arial" w:cs="Arial"/>
          <w:b w:val="0"/>
          <w:bCs w:val="0"/>
        </w:rPr>
        <w:t xml:space="preserve">may be used by an examinee to prove their California residency must include </w:t>
      </w:r>
      <w:r w:rsidR="46952855" w:rsidRPr="22DD1383">
        <w:rPr>
          <w:rFonts w:ascii="Arial" w:hAnsi="Arial" w:cs="Arial"/>
          <w:b w:val="0"/>
          <w:bCs w:val="0"/>
        </w:rPr>
        <w:t>a</w:t>
      </w:r>
      <w:r w:rsidRPr="22DD1383">
        <w:rPr>
          <w:rFonts w:ascii="Arial" w:hAnsi="Arial" w:cs="Arial"/>
          <w:b w:val="0"/>
          <w:bCs w:val="0"/>
        </w:rPr>
        <w:t xml:space="preserve"> current address</w:t>
      </w:r>
      <w:r w:rsidR="0016026D" w:rsidRPr="22DD1383">
        <w:rPr>
          <w:rFonts w:ascii="Arial" w:hAnsi="Arial" w:cs="Arial"/>
          <w:b w:val="0"/>
          <w:bCs w:val="0"/>
        </w:rPr>
        <w:t>.</w:t>
      </w:r>
      <w:r w:rsidR="007B13E9" w:rsidRPr="22DD1383">
        <w:rPr>
          <w:rFonts w:ascii="Arial" w:hAnsi="Arial" w:cs="Arial"/>
          <w:b w:val="0"/>
          <w:bCs w:val="0"/>
        </w:rPr>
        <w:t xml:space="preserve"> This addition was necessary to provide clarity on approved documents. </w:t>
      </w:r>
    </w:p>
    <w:p w14:paraId="70589A7E" w14:textId="3A3945C8" w:rsidR="0016026D" w:rsidRDefault="0016026D" w:rsidP="00145C63">
      <w:pPr>
        <w:pStyle w:val="BodyText"/>
        <w:spacing w:after="240"/>
        <w:rPr>
          <w:rFonts w:ascii="Arial" w:hAnsi="Arial" w:cs="Arial"/>
          <w:b w:val="0"/>
          <w:bCs w:val="0"/>
        </w:rPr>
      </w:pPr>
      <w:r w:rsidRPr="00642AAE">
        <w:rPr>
          <w:rFonts w:ascii="Arial" w:hAnsi="Arial" w:cs="Arial"/>
        </w:rPr>
        <w:t>Section 11532.5(a)(2)(G)</w:t>
      </w:r>
      <w:r>
        <w:rPr>
          <w:rFonts w:ascii="Arial" w:hAnsi="Arial" w:cs="Arial"/>
        </w:rPr>
        <w:t xml:space="preserve"> </w:t>
      </w:r>
      <w:r>
        <w:rPr>
          <w:rFonts w:ascii="Arial" w:hAnsi="Arial" w:cs="Arial"/>
          <w:b w:val="0"/>
          <w:bCs w:val="0"/>
        </w:rPr>
        <w:t xml:space="preserve">is amended to incorporate by reference the </w:t>
      </w:r>
      <w:r w:rsidR="007B13E9" w:rsidRPr="007B13E9">
        <w:rPr>
          <w:rFonts w:ascii="Arial" w:hAnsi="Arial" w:cs="Arial"/>
          <w:b w:val="0"/>
          <w:bCs w:val="0"/>
        </w:rPr>
        <w:t>California High School Equivalency</w:t>
      </w:r>
      <w:r w:rsidR="007B13E9">
        <w:rPr>
          <w:rFonts w:ascii="Arial" w:hAnsi="Arial" w:cs="Arial"/>
          <w:b w:val="0"/>
          <w:bCs w:val="0"/>
        </w:rPr>
        <w:t xml:space="preserve"> </w:t>
      </w:r>
      <w:r w:rsidR="007B13E9" w:rsidRPr="007B13E9">
        <w:rPr>
          <w:rFonts w:ascii="Arial" w:hAnsi="Arial" w:cs="Arial"/>
          <w:b w:val="0"/>
          <w:bCs w:val="0"/>
        </w:rPr>
        <w:t>Declaration of California Residency</w:t>
      </w:r>
      <w:r w:rsidR="007B13E9">
        <w:rPr>
          <w:rFonts w:ascii="Arial" w:hAnsi="Arial" w:cs="Arial"/>
          <w:b w:val="0"/>
          <w:bCs w:val="0"/>
        </w:rPr>
        <w:t xml:space="preserve"> Form</w:t>
      </w:r>
      <w:r>
        <w:rPr>
          <w:rFonts w:ascii="Arial" w:hAnsi="Arial" w:cs="Arial"/>
          <w:b w:val="0"/>
          <w:bCs w:val="0"/>
        </w:rPr>
        <w:t xml:space="preserve">. This </w:t>
      </w:r>
      <w:r w:rsidR="007B13E9">
        <w:rPr>
          <w:rFonts w:ascii="Arial" w:hAnsi="Arial" w:cs="Arial"/>
          <w:b w:val="0"/>
          <w:bCs w:val="0"/>
        </w:rPr>
        <w:t xml:space="preserve">incorporation by reference </w:t>
      </w:r>
      <w:r>
        <w:rPr>
          <w:rFonts w:ascii="Arial" w:hAnsi="Arial" w:cs="Arial"/>
          <w:b w:val="0"/>
          <w:bCs w:val="0"/>
        </w:rPr>
        <w:t>is necessary</w:t>
      </w:r>
      <w:r w:rsidR="007B13E9">
        <w:rPr>
          <w:rFonts w:ascii="Arial" w:hAnsi="Arial" w:cs="Arial"/>
          <w:b w:val="0"/>
          <w:bCs w:val="0"/>
        </w:rPr>
        <w:t xml:space="preserve"> because the form is listed as a last-resort option for claiming state residency.</w:t>
      </w:r>
    </w:p>
    <w:p w14:paraId="4967B5E9" w14:textId="54BEB053" w:rsidR="005D6EC6" w:rsidRPr="0020523C" w:rsidRDefault="006A19B6" w:rsidP="0020523C">
      <w:pPr>
        <w:pStyle w:val="Heading4"/>
        <w:spacing w:after="240"/>
        <w:rPr>
          <w:rFonts w:ascii="Arial" w:hAnsi="Arial" w:cs="Arial"/>
          <w:b/>
          <w:bCs/>
          <w:i w:val="0"/>
          <w:iCs w:val="0"/>
          <w:color w:val="auto"/>
        </w:rPr>
      </w:pPr>
      <w:r w:rsidRPr="0020523C">
        <w:rPr>
          <w:rFonts w:ascii="Arial" w:hAnsi="Arial" w:cs="Arial"/>
          <w:b/>
          <w:bCs/>
          <w:i w:val="0"/>
          <w:iCs w:val="0"/>
          <w:color w:val="auto"/>
        </w:rPr>
        <w:t>Incorporation by Reference</w:t>
      </w:r>
    </w:p>
    <w:p w14:paraId="23050FAC" w14:textId="4312D5EC" w:rsidR="00A92601" w:rsidRPr="00432854" w:rsidRDefault="005D6EC6" w:rsidP="00432854">
      <w:pPr>
        <w:pStyle w:val="BodyText"/>
        <w:spacing w:after="240"/>
        <w:rPr>
          <w:rFonts w:ascii="Arial" w:hAnsi="Arial" w:cs="Arial"/>
          <w:b w:val="0"/>
          <w:bCs w:val="0"/>
        </w:rPr>
      </w:pPr>
      <w:r w:rsidRPr="0086264F">
        <w:rPr>
          <w:rFonts w:ascii="Arial" w:hAnsi="Arial" w:cs="Arial"/>
          <w:b w:val="0"/>
          <w:bCs w:val="0"/>
        </w:rPr>
        <w:t>The California High School Equivalency Declaration of California Residency Form (revised May 1, 2019) is hereby incorporated by reference and is available upon request from CDE staff in the Assessment Development and Administration Division.</w:t>
      </w:r>
    </w:p>
    <w:p w14:paraId="4D654CEF" w14:textId="01E623DE" w:rsidR="00A92601" w:rsidRDefault="006A19B6" w:rsidP="0020523C">
      <w:pPr>
        <w:pStyle w:val="Heading3"/>
      </w:pPr>
      <w:r>
        <w:lastRenderedPageBreak/>
        <w:t>Update to Alternatives Determination</w:t>
      </w:r>
    </w:p>
    <w:p w14:paraId="64FA9FCC" w14:textId="710E45D8" w:rsidR="00A92601" w:rsidRPr="00A92601" w:rsidRDefault="00A92601" w:rsidP="0020523C">
      <w:pPr>
        <w:pStyle w:val="ListParagraph"/>
        <w:spacing w:after="240"/>
        <w:ind w:left="0"/>
        <w:rPr>
          <w:rFonts w:ascii="Arial" w:hAnsi="Arial" w:cs="Arial"/>
          <w:sz w:val="24"/>
          <w:szCs w:val="24"/>
        </w:rPr>
      </w:pPr>
      <w:r>
        <w:rPr>
          <w:rFonts w:ascii="Arial" w:hAnsi="Arial" w:cs="Arial"/>
          <w:sz w:val="24"/>
          <w:szCs w:val="24"/>
        </w:rPr>
        <w:t>All alternatives considered by the State Board of Education were in the form of public comments.</w:t>
      </w:r>
    </w:p>
    <w:p w14:paraId="18F3B164" w14:textId="4FD11C4C" w:rsidR="00642AAE" w:rsidRPr="00DC52C0" w:rsidRDefault="00642AAE" w:rsidP="0020523C">
      <w:pPr>
        <w:spacing w:after="240"/>
        <w:rPr>
          <w:rFonts w:cs="Arial"/>
          <w:szCs w:val="24"/>
        </w:rPr>
      </w:pPr>
      <w:r>
        <w:rPr>
          <w:rFonts w:cs="Arial"/>
          <w:szCs w:val="24"/>
        </w:rPr>
        <w:t>2024</w:t>
      </w:r>
      <w:r w:rsidR="007F750C">
        <w:rPr>
          <w:rFonts w:cs="Arial"/>
          <w:szCs w:val="24"/>
        </w:rPr>
        <w:t>-</w:t>
      </w:r>
      <w:r w:rsidR="00DF7BEF">
        <w:rPr>
          <w:rFonts w:cs="Arial"/>
          <w:szCs w:val="24"/>
        </w:rPr>
        <w:t>09-13</w:t>
      </w:r>
      <w:r w:rsidR="007F750C">
        <w:rPr>
          <w:rFonts w:cs="Arial"/>
          <w:szCs w:val="24"/>
        </w:rPr>
        <w:t xml:space="preserve"> </w:t>
      </w:r>
      <w:r w:rsidR="007F750C" w:rsidRPr="212F8BA4">
        <w:rPr>
          <w:rFonts w:cs="Arial"/>
        </w:rPr>
        <w:t>[California Department of Education]</w:t>
      </w:r>
    </w:p>
    <w:sectPr w:rsidR="00642AAE" w:rsidRPr="00DC52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8BC96" w14:textId="77777777" w:rsidR="009D20FA" w:rsidRDefault="009D20FA" w:rsidP="00D97E1A">
      <w:r>
        <w:separator/>
      </w:r>
    </w:p>
  </w:endnote>
  <w:endnote w:type="continuationSeparator" w:id="0">
    <w:p w14:paraId="5238A231" w14:textId="77777777" w:rsidR="009D20FA" w:rsidRDefault="009D20FA" w:rsidP="00D9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4264B" w14:textId="77777777" w:rsidR="009D20FA" w:rsidRDefault="009D20FA" w:rsidP="00D97E1A">
      <w:r>
        <w:separator/>
      </w:r>
    </w:p>
  </w:footnote>
  <w:footnote w:type="continuationSeparator" w:id="0">
    <w:p w14:paraId="79F19418" w14:textId="77777777" w:rsidR="009D20FA" w:rsidRDefault="009D20FA" w:rsidP="00D9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BB9"/>
    <w:multiLevelType w:val="hybridMultilevel"/>
    <w:tmpl w:val="B28425B6"/>
    <w:lvl w:ilvl="0" w:tplc="FEE64E4A">
      <w:start w:val="1"/>
      <w:numFmt w:val="decimal"/>
      <w:lvlText w:val="%1."/>
      <w:lvlJc w:val="left"/>
      <w:pPr>
        <w:ind w:hanging="336"/>
      </w:pPr>
      <w:rPr>
        <w:rFonts w:ascii="Arial" w:eastAsia="Arial" w:hAnsi="Arial" w:hint="default"/>
        <w:i/>
        <w:color w:val="313131"/>
        <w:w w:val="95"/>
        <w:sz w:val="15"/>
        <w:szCs w:val="15"/>
      </w:rPr>
    </w:lvl>
    <w:lvl w:ilvl="1" w:tplc="D496F5D2">
      <w:start w:val="1"/>
      <w:numFmt w:val="bullet"/>
      <w:lvlText w:val="•"/>
      <w:lvlJc w:val="left"/>
      <w:pPr>
        <w:ind w:hanging="375"/>
      </w:pPr>
      <w:rPr>
        <w:rFonts w:ascii="Arial" w:eastAsia="Arial" w:hAnsi="Arial" w:hint="default"/>
        <w:color w:val="131313"/>
        <w:w w:val="164"/>
        <w:sz w:val="21"/>
        <w:szCs w:val="21"/>
      </w:rPr>
    </w:lvl>
    <w:lvl w:ilvl="2" w:tplc="26644B4C">
      <w:start w:val="1"/>
      <w:numFmt w:val="bullet"/>
      <w:lvlText w:val="•"/>
      <w:lvlJc w:val="left"/>
      <w:rPr>
        <w:rFonts w:hint="default"/>
      </w:rPr>
    </w:lvl>
    <w:lvl w:ilvl="3" w:tplc="2AAA1C86">
      <w:start w:val="1"/>
      <w:numFmt w:val="bullet"/>
      <w:lvlText w:val="•"/>
      <w:lvlJc w:val="left"/>
      <w:rPr>
        <w:rFonts w:hint="default"/>
      </w:rPr>
    </w:lvl>
    <w:lvl w:ilvl="4" w:tplc="A3D466FA">
      <w:start w:val="1"/>
      <w:numFmt w:val="bullet"/>
      <w:lvlText w:val="•"/>
      <w:lvlJc w:val="left"/>
      <w:rPr>
        <w:rFonts w:hint="default"/>
      </w:rPr>
    </w:lvl>
    <w:lvl w:ilvl="5" w:tplc="F15C16E8">
      <w:start w:val="1"/>
      <w:numFmt w:val="bullet"/>
      <w:lvlText w:val="•"/>
      <w:lvlJc w:val="left"/>
      <w:rPr>
        <w:rFonts w:hint="default"/>
      </w:rPr>
    </w:lvl>
    <w:lvl w:ilvl="6" w:tplc="3C9EEACE">
      <w:start w:val="1"/>
      <w:numFmt w:val="bullet"/>
      <w:lvlText w:val="•"/>
      <w:lvlJc w:val="left"/>
      <w:rPr>
        <w:rFonts w:hint="default"/>
      </w:rPr>
    </w:lvl>
    <w:lvl w:ilvl="7" w:tplc="71E4B3D6">
      <w:start w:val="1"/>
      <w:numFmt w:val="bullet"/>
      <w:lvlText w:val="•"/>
      <w:lvlJc w:val="left"/>
      <w:rPr>
        <w:rFonts w:hint="default"/>
      </w:rPr>
    </w:lvl>
    <w:lvl w:ilvl="8" w:tplc="C226A044">
      <w:start w:val="1"/>
      <w:numFmt w:val="bullet"/>
      <w:lvlText w:val="•"/>
      <w:lvlJc w:val="left"/>
      <w:rPr>
        <w:rFonts w:hint="default"/>
      </w:rPr>
    </w:lvl>
  </w:abstractNum>
  <w:abstractNum w:abstractNumId="1" w15:restartNumberingAfterBreak="0">
    <w:nsid w:val="09B21357"/>
    <w:multiLevelType w:val="hybridMultilevel"/>
    <w:tmpl w:val="4D8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C0BD9"/>
    <w:multiLevelType w:val="hybridMultilevel"/>
    <w:tmpl w:val="468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E7605"/>
    <w:multiLevelType w:val="hybridMultilevel"/>
    <w:tmpl w:val="726A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A2B32"/>
    <w:multiLevelType w:val="hybridMultilevel"/>
    <w:tmpl w:val="C436D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0BB3F0C"/>
    <w:multiLevelType w:val="hybridMultilevel"/>
    <w:tmpl w:val="C99857C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15:restartNumberingAfterBreak="0">
    <w:nsid w:val="353B65DA"/>
    <w:multiLevelType w:val="hybridMultilevel"/>
    <w:tmpl w:val="3D32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56F4A"/>
    <w:multiLevelType w:val="hybridMultilevel"/>
    <w:tmpl w:val="51909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6370D4"/>
    <w:multiLevelType w:val="hybridMultilevel"/>
    <w:tmpl w:val="937C6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4476F0"/>
    <w:multiLevelType w:val="hybridMultilevel"/>
    <w:tmpl w:val="44D8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451EB9"/>
    <w:multiLevelType w:val="hybridMultilevel"/>
    <w:tmpl w:val="CA50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900290">
    <w:abstractNumId w:val="0"/>
  </w:num>
  <w:num w:numId="2" w16cid:durableId="708990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6452412">
    <w:abstractNumId w:val="3"/>
  </w:num>
  <w:num w:numId="4" w16cid:durableId="2007509578">
    <w:abstractNumId w:val="4"/>
  </w:num>
  <w:num w:numId="5" w16cid:durableId="2140148261">
    <w:abstractNumId w:val="10"/>
  </w:num>
  <w:num w:numId="6" w16cid:durableId="1832788197">
    <w:abstractNumId w:val="8"/>
  </w:num>
  <w:num w:numId="7" w16cid:durableId="1259950939">
    <w:abstractNumId w:val="2"/>
  </w:num>
  <w:num w:numId="8" w16cid:durableId="1508783982">
    <w:abstractNumId w:val="1"/>
  </w:num>
  <w:num w:numId="9" w16cid:durableId="1408452672">
    <w:abstractNumId w:val="9"/>
  </w:num>
  <w:num w:numId="10" w16cid:durableId="1108891956">
    <w:abstractNumId w:val="7"/>
  </w:num>
  <w:num w:numId="11" w16cid:durableId="2127893572">
    <w:abstractNumId w:val="5"/>
  </w:num>
  <w:num w:numId="12" w16cid:durableId="447505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1A"/>
    <w:rsid w:val="00002C1D"/>
    <w:rsid w:val="00030BD1"/>
    <w:rsid w:val="00054220"/>
    <w:rsid w:val="0007006E"/>
    <w:rsid w:val="00086604"/>
    <w:rsid w:val="000B4350"/>
    <w:rsid w:val="000B6394"/>
    <w:rsid w:val="000D32EB"/>
    <w:rsid w:val="00110428"/>
    <w:rsid w:val="001232B2"/>
    <w:rsid w:val="00136EBF"/>
    <w:rsid w:val="00145C63"/>
    <w:rsid w:val="0016026D"/>
    <w:rsid w:val="001A1678"/>
    <w:rsid w:val="001C7DA0"/>
    <w:rsid w:val="001D3DD3"/>
    <w:rsid w:val="0020523C"/>
    <w:rsid w:val="002319FB"/>
    <w:rsid w:val="00242A40"/>
    <w:rsid w:val="0026381F"/>
    <w:rsid w:val="00270783"/>
    <w:rsid w:val="00283E61"/>
    <w:rsid w:val="00295CE3"/>
    <w:rsid w:val="002B6494"/>
    <w:rsid w:val="002B66BF"/>
    <w:rsid w:val="002C13A1"/>
    <w:rsid w:val="002C5FB0"/>
    <w:rsid w:val="002D7197"/>
    <w:rsid w:val="002F1E9D"/>
    <w:rsid w:val="003137CF"/>
    <w:rsid w:val="00335861"/>
    <w:rsid w:val="00366BEC"/>
    <w:rsid w:val="00386B5D"/>
    <w:rsid w:val="003B0CBD"/>
    <w:rsid w:val="003B71AA"/>
    <w:rsid w:val="003B785C"/>
    <w:rsid w:val="003E5577"/>
    <w:rsid w:val="003E7AD6"/>
    <w:rsid w:val="003F336B"/>
    <w:rsid w:val="003F64A6"/>
    <w:rsid w:val="00432854"/>
    <w:rsid w:val="00443B8A"/>
    <w:rsid w:val="00444E14"/>
    <w:rsid w:val="004576B4"/>
    <w:rsid w:val="0047359D"/>
    <w:rsid w:val="00492DEC"/>
    <w:rsid w:val="00497838"/>
    <w:rsid w:val="004A1F33"/>
    <w:rsid w:val="004B052D"/>
    <w:rsid w:val="004B0A93"/>
    <w:rsid w:val="004D03A2"/>
    <w:rsid w:val="004D0A50"/>
    <w:rsid w:val="004D1118"/>
    <w:rsid w:val="004E5B46"/>
    <w:rsid w:val="00520252"/>
    <w:rsid w:val="00522F53"/>
    <w:rsid w:val="00541652"/>
    <w:rsid w:val="0055749A"/>
    <w:rsid w:val="0055785C"/>
    <w:rsid w:val="00574A92"/>
    <w:rsid w:val="00583FF5"/>
    <w:rsid w:val="00587955"/>
    <w:rsid w:val="005B398A"/>
    <w:rsid w:val="005D6EC6"/>
    <w:rsid w:val="00604CA5"/>
    <w:rsid w:val="006426E7"/>
    <w:rsid w:val="00642AAE"/>
    <w:rsid w:val="006435C6"/>
    <w:rsid w:val="006457D6"/>
    <w:rsid w:val="00677174"/>
    <w:rsid w:val="00690FBC"/>
    <w:rsid w:val="006910E5"/>
    <w:rsid w:val="006A19B6"/>
    <w:rsid w:val="006B07CF"/>
    <w:rsid w:val="006D46DC"/>
    <w:rsid w:val="006D74BA"/>
    <w:rsid w:val="006F70EB"/>
    <w:rsid w:val="00706A08"/>
    <w:rsid w:val="00723EBE"/>
    <w:rsid w:val="007244B2"/>
    <w:rsid w:val="00725119"/>
    <w:rsid w:val="00736419"/>
    <w:rsid w:val="007558CB"/>
    <w:rsid w:val="007638D8"/>
    <w:rsid w:val="00764BB0"/>
    <w:rsid w:val="0077338A"/>
    <w:rsid w:val="00782B76"/>
    <w:rsid w:val="007A4664"/>
    <w:rsid w:val="007B13E9"/>
    <w:rsid w:val="007C2C22"/>
    <w:rsid w:val="007C63BB"/>
    <w:rsid w:val="007E364B"/>
    <w:rsid w:val="007F750C"/>
    <w:rsid w:val="00813A9F"/>
    <w:rsid w:val="00827440"/>
    <w:rsid w:val="0086264F"/>
    <w:rsid w:val="00875035"/>
    <w:rsid w:val="00875371"/>
    <w:rsid w:val="00875755"/>
    <w:rsid w:val="00882CE2"/>
    <w:rsid w:val="00892D29"/>
    <w:rsid w:val="008B6D41"/>
    <w:rsid w:val="008C640E"/>
    <w:rsid w:val="008D0EAC"/>
    <w:rsid w:val="00902E6C"/>
    <w:rsid w:val="009033A4"/>
    <w:rsid w:val="00912D1F"/>
    <w:rsid w:val="00944395"/>
    <w:rsid w:val="009525EB"/>
    <w:rsid w:val="00953EBD"/>
    <w:rsid w:val="00962A27"/>
    <w:rsid w:val="00963D08"/>
    <w:rsid w:val="00980FD3"/>
    <w:rsid w:val="009821BB"/>
    <w:rsid w:val="009916E3"/>
    <w:rsid w:val="009A1B49"/>
    <w:rsid w:val="009A1DE5"/>
    <w:rsid w:val="009A4613"/>
    <w:rsid w:val="009C247B"/>
    <w:rsid w:val="009D20FA"/>
    <w:rsid w:val="009E3A83"/>
    <w:rsid w:val="009F417B"/>
    <w:rsid w:val="00A1644A"/>
    <w:rsid w:val="00A36489"/>
    <w:rsid w:val="00A514B2"/>
    <w:rsid w:val="00A92601"/>
    <w:rsid w:val="00AA60E5"/>
    <w:rsid w:val="00AB02DC"/>
    <w:rsid w:val="00AC5F0A"/>
    <w:rsid w:val="00AC5FFC"/>
    <w:rsid w:val="00AD251C"/>
    <w:rsid w:val="00AF28C7"/>
    <w:rsid w:val="00B153CC"/>
    <w:rsid w:val="00B20E51"/>
    <w:rsid w:val="00B54D0F"/>
    <w:rsid w:val="00B64D3E"/>
    <w:rsid w:val="00B6690E"/>
    <w:rsid w:val="00B72DD6"/>
    <w:rsid w:val="00B80BC6"/>
    <w:rsid w:val="00B90D05"/>
    <w:rsid w:val="00BB55F2"/>
    <w:rsid w:val="00BC3B54"/>
    <w:rsid w:val="00BD6FF8"/>
    <w:rsid w:val="00BF3FF1"/>
    <w:rsid w:val="00BF51E8"/>
    <w:rsid w:val="00C002A2"/>
    <w:rsid w:val="00C114C7"/>
    <w:rsid w:val="00C24223"/>
    <w:rsid w:val="00C24D5E"/>
    <w:rsid w:val="00C3348B"/>
    <w:rsid w:val="00C640F0"/>
    <w:rsid w:val="00C8021C"/>
    <w:rsid w:val="00CC71EE"/>
    <w:rsid w:val="00CD424B"/>
    <w:rsid w:val="00CF1BC4"/>
    <w:rsid w:val="00D00712"/>
    <w:rsid w:val="00D13545"/>
    <w:rsid w:val="00D30473"/>
    <w:rsid w:val="00D41E30"/>
    <w:rsid w:val="00D4752C"/>
    <w:rsid w:val="00D6518A"/>
    <w:rsid w:val="00D66F53"/>
    <w:rsid w:val="00D72816"/>
    <w:rsid w:val="00D755C6"/>
    <w:rsid w:val="00D97E1A"/>
    <w:rsid w:val="00DC52C0"/>
    <w:rsid w:val="00DF7BEF"/>
    <w:rsid w:val="00E10F26"/>
    <w:rsid w:val="00E13B7C"/>
    <w:rsid w:val="00E203A0"/>
    <w:rsid w:val="00E20D96"/>
    <w:rsid w:val="00E420CC"/>
    <w:rsid w:val="00E444BB"/>
    <w:rsid w:val="00E633DC"/>
    <w:rsid w:val="00E65EFA"/>
    <w:rsid w:val="00E7469D"/>
    <w:rsid w:val="00E85358"/>
    <w:rsid w:val="00E85386"/>
    <w:rsid w:val="00E86119"/>
    <w:rsid w:val="00E86DAC"/>
    <w:rsid w:val="00EA1D12"/>
    <w:rsid w:val="00EC1916"/>
    <w:rsid w:val="00F05711"/>
    <w:rsid w:val="00F162CB"/>
    <w:rsid w:val="00F4434F"/>
    <w:rsid w:val="00F501A0"/>
    <w:rsid w:val="00F80547"/>
    <w:rsid w:val="00F93A8E"/>
    <w:rsid w:val="00FA15A0"/>
    <w:rsid w:val="00FB0EBB"/>
    <w:rsid w:val="00FB26C6"/>
    <w:rsid w:val="00FB588B"/>
    <w:rsid w:val="00FD5F93"/>
    <w:rsid w:val="00FE3778"/>
    <w:rsid w:val="00FF26A0"/>
    <w:rsid w:val="00FF7054"/>
    <w:rsid w:val="12D1C490"/>
    <w:rsid w:val="22DD1383"/>
    <w:rsid w:val="4695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2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2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6E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33DC"/>
    <w:pPr>
      <w:keepNext/>
      <w:keepLines/>
      <w:spacing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052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118"/>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4D1118"/>
    <w:rPr>
      <w:rFonts w:ascii="Times New Roman" w:eastAsia="Times New Roman" w:hAnsi="Times New Roman" w:cs="Times New Roman"/>
      <w:b/>
      <w:bCs/>
      <w:szCs w:val="24"/>
    </w:rPr>
  </w:style>
  <w:style w:type="paragraph" w:styleId="ListParagraph">
    <w:name w:val="List Paragraph"/>
    <w:basedOn w:val="Normal"/>
    <w:uiPriority w:val="34"/>
    <w:qFormat/>
    <w:rsid w:val="00980FD3"/>
    <w:pPr>
      <w:ind w:left="720"/>
    </w:pPr>
    <w:rPr>
      <w:rFonts w:ascii="Calibri" w:hAnsi="Calibri" w:cs="Times New Roman"/>
      <w:sz w:val="22"/>
    </w:rPr>
  </w:style>
  <w:style w:type="paragraph" w:styleId="HTMLPreformatted">
    <w:name w:val="HTML Preformatted"/>
    <w:basedOn w:val="Normal"/>
    <w:link w:val="HTMLPreformattedChar"/>
    <w:uiPriority w:val="99"/>
    <w:unhideWhenUsed/>
    <w:rsid w:val="00875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5035"/>
    <w:rPr>
      <w:rFonts w:ascii="Courier New" w:eastAsia="Times New Roman" w:hAnsi="Courier New" w:cs="Courier New"/>
      <w:sz w:val="20"/>
      <w:szCs w:val="20"/>
    </w:rPr>
  </w:style>
  <w:style w:type="paragraph" w:styleId="BodyText3">
    <w:name w:val="Body Text 3"/>
    <w:basedOn w:val="Normal"/>
    <w:link w:val="BodyText3Char"/>
    <w:rsid w:val="00FF7054"/>
    <w:pPr>
      <w:spacing w:after="120"/>
    </w:pPr>
    <w:rPr>
      <w:rFonts w:eastAsia="Times New Roman" w:cs="Times New Roman"/>
      <w:sz w:val="16"/>
      <w:szCs w:val="16"/>
    </w:rPr>
  </w:style>
  <w:style w:type="character" w:customStyle="1" w:styleId="BodyText3Char">
    <w:name w:val="Body Text 3 Char"/>
    <w:basedOn w:val="DefaultParagraphFont"/>
    <w:link w:val="BodyText3"/>
    <w:rsid w:val="00FF7054"/>
    <w:rPr>
      <w:rFonts w:eastAsia="Times New Roman" w:cs="Times New Roman"/>
      <w:sz w:val="16"/>
      <w:szCs w:val="16"/>
    </w:rPr>
  </w:style>
  <w:style w:type="paragraph" w:styleId="BalloonText">
    <w:name w:val="Balloon Text"/>
    <w:basedOn w:val="Normal"/>
    <w:link w:val="BalloonTextChar"/>
    <w:uiPriority w:val="99"/>
    <w:semiHidden/>
    <w:unhideWhenUsed/>
    <w:rsid w:val="00D4752C"/>
    <w:rPr>
      <w:rFonts w:ascii="Tahoma" w:hAnsi="Tahoma" w:cs="Tahoma"/>
      <w:sz w:val="16"/>
      <w:szCs w:val="16"/>
    </w:rPr>
  </w:style>
  <w:style w:type="character" w:customStyle="1" w:styleId="BalloonTextChar">
    <w:name w:val="Balloon Text Char"/>
    <w:basedOn w:val="DefaultParagraphFont"/>
    <w:link w:val="BalloonText"/>
    <w:uiPriority w:val="99"/>
    <w:semiHidden/>
    <w:rsid w:val="00D4752C"/>
    <w:rPr>
      <w:rFonts w:ascii="Tahoma" w:hAnsi="Tahoma" w:cs="Tahoma"/>
      <w:sz w:val="16"/>
      <w:szCs w:val="16"/>
    </w:rPr>
  </w:style>
  <w:style w:type="paragraph" w:styleId="Header">
    <w:name w:val="header"/>
    <w:basedOn w:val="Normal"/>
    <w:link w:val="HeaderChar"/>
    <w:uiPriority w:val="99"/>
    <w:unhideWhenUsed/>
    <w:rsid w:val="00444E14"/>
    <w:pPr>
      <w:tabs>
        <w:tab w:val="center" w:pos="4680"/>
        <w:tab w:val="right" w:pos="9360"/>
      </w:tabs>
    </w:pPr>
  </w:style>
  <w:style w:type="character" w:customStyle="1" w:styleId="HeaderChar">
    <w:name w:val="Header Char"/>
    <w:basedOn w:val="DefaultParagraphFont"/>
    <w:link w:val="Header"/>
    <w:uiPriority w:val="99"/>
    <w:rsid w:val="00444E14"/>
  </w:style>
  <w:style w:type="paragraph" w:styleId="Footer">
    <w:name w:val="footer"/>
    <w:basedOn w:val="Normal"/>
    <w:link w:val="FooterChar"/>
    <w:uiPriority w:val="99"/>
    <w:unhideWhenUsed/>
    <w:rsid w:val="00444E14"/>
    <w:pPr>
      <w:tabs>
        <w:tab w:val="center" w:pos="4680"/>
        <w:tab w:val="right" w:pos="9360"/>
      </w:tabs>
    </w:pPr>
  </w:style>
  <w:style w:type="character" w:customStyle="1" w:styleId="FooterChar">
    <w:name w:val="Footer Char"/>
    <w:basedOn w:val="DefaultParagraphFont"/>
    <w:link w:val="Footer"/>
    <w:uiPriority w:val="99"/>
    <w:rsid w:val="00444E14"/>
  </w:style>
  <w:style w:type="character" w:styleId="CommentReference">
    <w:name w:val="annotation reference"/>
    <w:basedOn w:val="DefaultParagraphFont"/>
    <w:unhideWhenUsed/>
    <w:rsid w:val="001C7DA0"/>
    <w:rPr>
      <w:sz w:val="16"/>
      <w:szCs w:val="16"/>
    </w:rPr>
  </w:style>
  <w:style w:type="paragraph" w:styleId="CommentText">
    <w:name w:val="annotation text"/>
    <w:basedOn w:val="Normal"/>
    <w:link w:val="CommentTextChar"/>
    <w:unhideWhenUsed/>
    <w:rsid w:val="001C7DA0"/>
    <w:rPr>
      <w:sz w:val="20"/>
      <w:szCs w:val="20"/>
    </w:rPr>
  </w:style>
  <w:style w:type="character" w:customStyle="1" w:styleId="CommentTextChar">
    <w:name w:val="Comment Text Char"/>
    <w:basedOn w:val="DefaultParagraphFont"/>
    <w:link w:val="CommentText"/>
    <w:rsid w:val="001C7DA0"/>
    <w:rPr>
      <w:sz w:val="20"/>
      <w:szCs w:val="20"/>
    </w:rPr>
  </w:style>
  <w:style w:type="paragraph" w:styleId="CommentSubject">
    <w:name w:val="annotation subject"/>
    <w:basedOn w:val="CommentText"/>
    <w:next w:val="CommentText"/>
    <w:link w:val="CommentSubjectChar"/>
    <w:uiPriority w:val="99"/>
    <w:semiHidden/>
    <w:unhideWhenUsed/>
    <w:rsid w:val="001C7DA0"/>
    <w:rPr>
      <w:b/>
      <w:bCs/>
    </w:rPr>
  </w:style>
  <w:style w:type="character" w:customStyle="1" w:styleId="CommentSubjectChar">
    <w:name w:val="Comment Subject Char"/>
    <w:basedOn w:val="CommentTextChar"/>
    <w:link w:val="CommentSubject"/>
    <w:uiPriority w:val="99"/>
    <w:semiHidden/>
    <w:rsid w:val="001C7DA0"/>
    <w:rPr>
      <w:b/>
      <w:bCs/>
      <w:sz w:val="20"/>
      <w:szCs w:val="20"/>
    </w:rPr>
  </w:style>
  <w:style w:type="character" w:customStyle="1" w:styleId="Heading3Char">
    <w:name w:val="Heading 3 Char"/>
    <w:basedOn w:val="DefaultParagraphFont"/>
    <w:link w:val="Heading3"/>
    <w:uiPriority w:val="9"/>
    <w:rsid w:val="00E633DC"/>
    <w:rPr>
      <w:rFonts w:eastAsiaTheme="majorEastAsia" w:cstheme="majorBidi"/>
      <w:b/>
      <w:szCs w:val="24"/>
    </w:rPr>
  </w:style>
  <w:style w:type="character" w:styleId="Hyperlink">
    <w:name w:val="Hyperlink"/>
    <w:basedOn w:val="DefaultParagraphFont"/>
    <w:unhideWhenUsed/>
    <w:rsid w:val="00E633DC"/>
    <w:rPr>
      <w:color w:val="0000FF"/>
      <w:u w:val="single"/>
    </w:rPr>
  </w:style>
  <w:style w:type="paragraph" w:styleId="BlockText">
    <w:name w:val="Block Text"/>
    <w:basedOn w:val="Normal"/>
    <w:rsid w:val="00E633D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633DC"/>
    <w:rPr>
      <w:color w:val="800080" w:themeColor="followedHyperlink"/>
      <w:u w:val="single"/>
    </w:rPr>
  </w:style>
  <w:style w:type="paragraph" w:styleId="Revision">
    <w:name w:val="Revision"/>
    <w:hidden/>
    <w:uiPriority w:val="99"/>
    <w:semiHidden/>
    <w:rsid w:val="003137CF"/>
  </w:style>
  <w:style w:type="character" w:customStyle="1" w:styleId="Heading2Char">
    <w:name w:val="Heading 2 Char"/>
    <w:basedOn w:val="DefaultParagraphFont"/>
    <w:link w:val="Heading2"/>
    <w:uiPriority w:val="9"/>
    <w:rsid w:val="005D6EC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0523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0523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59667">
      <w:bodyDiv w:val="1"/>
      <w:marLeft w:val="0"/>
      <w:marRight w:val="0"/>
      <w:marTop w:val="0"/>
      <w:marBottom w:val="0"/>
      <w:divBdr>
        <w:top w:val="none" w:sz="0" w:space="0" w:color="auto"/>
        <w:left w:val="none" w:sz="0" w:space="0" w:color="auto"/>
        <w:bottom w:val="none" w:sz="0" w:space="0" w:color="auto"/>
        <w:right w:val="none" w:sz="0" w:space="0" w:color="auto"/>
      </w:divBdr>
    </w:div>
    <w:div w:id="714163262">
      <w:bodyDiv w:val="1"/>
      <w:marLeft w:val="0"/>
      <w:marRight w:val="0"/>
      <w:marTop w:val="0"/>
      <w:marBottom w:val="0"/>
      <w:divBdr>
        <w:top w:val="none" w:sz="0" w:space="0" w:color="auto"/>
        <w:left w:val="none" w:sz="0" w:space="0" w:color="auto"/>
        <w:bottom w:val="none" w:sz="0" w:space="0" w:color="auto"/>
        <w:right w:val="none" w:sz="0" w:space="0" w:color="auto"/>
      </w:divBdr>
    </w:div>
    <w:div w:id="791561210">
      <w:bodyDiv w:val="1"/>
      <w:marLeft w:val="0"/>
      <w:marRight w:val="0"/>
      <w:marTop w:val="0"/>
      <w:marBottom w:val="0"/>
      <w:divBdr>
        <w:top w:val="none" w:sz="0" w:space="0" w:color="auto"/>
        <w:left w:val="none" w:sz="0" w:space="0" w:color="auto"/>
        <w:bottom w:val="none" w:sz="0" w:space="0" w:color="auto"/>
        <w:right w:val="none" w:sz="0" w:space="0" w:color="auto"/>
      </w:divBdr>
    </w:div>
    <w:div w:id="1459034162">
      <w:bodyDiv w:val="1"/>
      <w:marLeft w:val="0"/>
      <w:marRight w:val="0"/>
      <w:marTop w:val="0"/>
      <w:marBottom w:val="0"/>
      <w:divBdr>
        <w:top w:val="none" w:sz="0" w:space="0" w:color="auto"/>
        <w:left w:val="none" w:sz="0" w:space="0" w:color="auto"/>
        <w:bottom w:val="none" w:sz="0" w:space="0" w:color="auto"/>
        <w:right w:val="none" w:sz="0" w:space="0" w:color="auto"/>
      </w:divBdr>
    </w:div>
    <w:div w:id="1479761371">
      <w:bodyDiv w:val="1"/>
      <w:marLeft w:val="0"/>
      <w:marRight w:val="0"/>
      <w:marTop w:val="0"/>
      <w:marBottom w:val="0"/>
      <w:divBdr>
        <w:top w:val="none" w:sz="0" w:space="0" w:color="auto"/>
        <w:left w:val="none" w:sz="0" w:space="0" w:color="auto"/>
        <w:bottom w:val="none" w:sz="0" w:space="0" w:color="auto"/>
        <w:right w:val="none" w:sz="0" w:space="0" w:color="auto"/>
      </w:divBdr>
    </w:div>
    <w:div w:id="1630085199">
      <w:bodyDiv w:val="1"/>
      <w:marLeft w:val="0"/>
      <w:marRight w:val="0"/>
      <w:marTop w:val="0"/>
      <w:marBottom w:val="0"/>
      <w:divBdr>
        <w:top w:val="none" w:sz="0" w:space="0" w:color="auto"/>
        <w:left w:val="none" w:sz="0" w:space="0" w:color="auto"/>
        <w:bottom w:val="none" w:sz="0" w:space="0" w:color="auto"/>
        <w:right w:val="none" w:sz="0" w:space="0" w:color="auto"/>
      </w:divBdr>
    </w:div>
    <w:div w:id="19145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Addendum to the Final Statement of Reasons - Proposed Rulemaking &amp; Regulations (CA Dept of Education)</dc:title>
  <dc:subject>Addendum to the Final Statement of Reasons for the Amendement to California Code of Regulations, Title 5, Regarding the High School Equivalency Program.</dc:subject>
  <dc:creator/>
  <cp:lastModifiedBy/>
  <cp:revision>1</cp:revision>
  <dcterms:created xsi:type="dcterms:W3CDTF">2024-08-01T16:02:00Z</dcterms:created>
  <dcterms:modified xsi:type="dcterms:W3CDTF">2024-09-13T20:17:00Z</dcterms:modified>
</cp:coreProperties>
</file>