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70E57" w14:textId="77777777" w:rsidR="00AA7951" w:rsidRPr="00CE0F9A" w:rsidRDefault="00000000" w:rsidP="00CE0F9A">
      <w:pPr>
        <w:pStyle w:val="Heading1"/>
      </w:pPr>
      <w:r w:rsidRPr="00CE0F9A">
        <w:t>How the California School Dashboard Informs the Charter School Performance Category Data File​</w:t>
      </w:r>
    </w:p>
    <w:p w14:paraId="578A1DD1" w14:textId="77777777" w:rsidR="00CE0F9A" w:rsidRDefault="68C9F5B2" w:rsidP="00CE0F9A">
      <w:pPr>
        <w:spacing w:before="240" w:after="600" w:line="259" w:lineRule="auto"/>
        <w:jc w:val="center"/>
        <w:rPr>
          <w:rFonts w:ascii="Arial" w:eastAsia="Arial" w:hAnsi="Arial" w:cs="Arial"/>
        </w:rPr>
      </w:pPr>
      <w:r w:rsidRPr="68C9F5B2">
        <w:rPr>
          <w:rFonts w:ascii="Arial" w:eastAsia="Arial" w:hAnsi="Arial" w:cs="Arial"/>
        </w:rPr>
        <w:t>California Department of Education | March 2024</w:t>
      </w:r>
    </w:p>
    <w:p w14:paraId="04737BE4" w14:textId="3531EE27" w:rsidR="00AA7951" w:rsidRPr="00CE0F9A" w:rsidRDefault="68C9F5B2" w:rsidP="00CE0F9A">
      <w:pPr>
        <w:spacing w:before="240" w:after="600" w:line="259" w:lineRule="auto"/>
        <w:rPr>
          <w:rFonts w:ascii="Arial" w:eastAsia="Arial" w:hAnsi="Arial" w:cs="Arial"/>
        </w:rPr>
      </w:pPr>
      <w:r w:rsidRPr="68C9F5B2">
        <w:rPr>
          <w:rFonts w:ascii="Arial" w:eastAsia="Arial" w:hAnsi="Arial" w:cs="Arial"/>
        </w:rPr>
        <w:t xml:space="preserve">This Notetaking Guide is a supplementary resource to the 2024 Charter School webinar. </w:t>
      </w:r>
    </w:p>
    <w:p w14:paraId="7473DF00" w14:textId="77777777" w:rsidR="00AA7951" w:rsidRPr="00CE0F9A" w:rsidRDefault="68C9F5B2" w:rsidP="00CE0F9A">
      <w:pPr>
        <w:pStyle w:val="Heading2"/>
      </w:pPr>
      <w:r w:rsidRPr="00CE0F9A">
        <w:t>What We'll Explore Today</w:t>
      </w:r>
    </w:p>
    <w:p w14:paraId="47678B23" w14:textId="77777777" w:rsidR="00AA7951" w:rsidRDefault="00000000">
      <w:pPr>
        <w:numPr>
          <w:ilvl w:val="0"/>
          <w:numId w:val="1"/>
        </w:numPr>
        <w:spacing w:after="60" w:line="245" w:lineRule="auto"/>
        <w:ind w:left="720" w:right="302" w:hanging="360"/>
        <w:rPr>
          <w:rFonts w:ascii="Arial" w:eastAsia="Arial" w:hAnsi="Arial" w:cs="Arial"/>
        </w:rPr>
      </w:pPr>
      <w:r>
        <w:rPr>
          <w:rFonts w:ascii="Arial" w:eastAsia="Arial" w:hAnsi="Arial" w:cs="Arial"/>
        </w:rPr>
        <w:t>Charter School Performance Categories​</w:t>
      </w:r>
    </w:p>
    <w:p w14:paraId="005BDCDC" w14:textId="77777777" w:rsidR="00AA7951" w:rsidRDefault="00000000">
      <w:pPr>
        <w:numPr>
          <w:ilvl w:val="0"/>
          <w:numId w:val="1"/>
        </w:numPr>
        <w:spacing w:after="60" w:line="245" w:lineRule="auto"/>
        <w:ind w:left="720" w:right="302" w:hanging="360"/>
        <w:rPr>
          <w:rFonts w:ascii="Arial" w:eastAsia="Arial" w:hAnsi="Arial" w:cs="Arial"/>
        </w:rPr>
      </w:pPr>
      <w:r>
        <w:rPr>
          <w:rFonts w:ascii="Arial" w:eastAsia="Arial" w:hAnsi="Arial" w:cs="Arial"/>
        </w:rPr>
        <w:t>Overview of how AB1505 connects the California School Dashboard to Charter School Performance Categories​</w:t>
      </w:r>
    </w:p>
    <w:p w14:paraId="0084D1C0" w14:textId="77777777" w:rsidR="00AA7951" w:rsidRDefault="00000000">
      <w:pPr>
        <w:numPr>
          <w:ilvl w:val="0"/>
          <w:numId w:val="1"/>
        </w:numPr>
        <w:spacing w:after="60" w:line="245" w:lineRule="auto"/>
        <w:ind w:left="720" w:right="302" w:hanging="360"/>
        <w:rPr>
          <w:rFonts w:ascii="Arial" w:eastAsia="Arial" w:hAnsi="Arial" w:cs="Arial"/>
        </w:rPr>
      </w:pPr>
      <w:r>
        <w:rPr>
          <w:rFonts w:ascii="Arial" w:eastAsia="Arial" w:hAnsi="Arial" w:cs="Arial"/>
        </w:rPr>
        <w:t>2024 Performance Categories File</w:t>
      </w:r>
    </w:p>
    <w:p w14:paraId="7CC1506D" w14:textId="77777777" w:rsidR="00AA7951" w:rsidRDefault="00000000">
      <w:pPr>
        <w:numPr>
          <w:ilvl w:val="0"/>
          <w:numId w:val="1"/>
        </w:numPr>
        <w:spacing w:after="60" w:line="245" w:lineRule="auto"/>
        <w:ind w:left="720" w:right="302" w:hanging="360"/>
        <w:rPr>
          <w:rFonts w:ascii="Arial" w:eastAsia="Arial" w:hAnsi="Arial" w:cs="Arial"/>
        </w:rPr>
      </w:pPr>
      <w:r>
        <w:rPr>
          <w:rFonts w:ascii="Arial" w:eastAsia="Arial" w:hAnsi="Arial" w:cs="Arial"/>
        </w:rPr>
        <w:t>Contact Us</w:t>
      </w:r>
    </w:p>
    <w:p w14:paraId="36C145F0" w14:textId="66B7E62E" w:rsidR="00AA7951" w:rsidRPr="00CE0F9A" w:rsidRDefault="00CE0F9A" w:rsidP="00CE0F9A">
      <w:pPr>
        <w:pStyle w:val="Heading2"/>
      </w:pPr>
      <w:r>
        <w:br/>
      </w:r>
      <w:r w:rsidRPr="00CE0F9A">
        <w:t>Overview of AB 1505 and the Dashboard</w:t>
      </w:r>
    </w:p>
    <w:p w14:paraId="1F2E6EE3" w14:textId="1951C787" w:rsidR="00AA7951" w:rsidRDefault="33677CE7" w:rsidP="68C9F5B2">
      <w:pPr>
        <w:spacing w:line="259" w:lineRule="auto"/>
        <w:rPr>
          <w:rFonts w:ascii="Arial" w:eastAsia="Arial" w:hAnsi="Arial" w:cs="Arial"/>
          <w:color w:val="000000"/>
        </w:rPr>
      </w:pPr>
      <w:r w:rsidRPr="68C9F5B2">
        <w:rPr>
          <w:rFonts w:ascii="Arial" w:eastAsia="Arial" w:hAnsi="Arial" w:cs="Arial"/>
          <w:color w:val="000000"/>
        </w:rPr>
        <w:t>The Dashboard is an online tool that shows the performance of local educational agencies (LEAs), schools, and student groups on a set of state and local indicators to help identify strengths, challenges, and areas needing improvement. The goal of the Dashboard is to help communities across the state access valuable information about students in kindergarten through grade twelve. </w:t>
      </w:r>
    </w:p>
    <w:p w14:paraId="757865F6" w14:textId="77777777" w:rsidR="00AA7951" w:rsidRPr="00CE0F9A" w:rsidRDefault="00000000" w:rsidP="00CE0F9A">
      <w:pPr>
        <w:pStyle w:val="Heading3"/>
      </w:pPr>
      <w:r w:rsidRPr="00CE0F9A">
        <w:t xml:space="preserve">Dashboard State Indicators </w:t>
      </w:r>
    </w:p>
    <w:p w14:paraId="707B9959" w14:textId="77777777" w:rsidR="00AA7951" w:rsidRDefault="68C9F5B2" w:rsidP="68C9F5B2">
      <w:pPr>
        <w:spacing w:line="259" w:lineRule="auto"/>
        <w:rPr>
          <w:rFonts w:ascii="Arial" w:eastAsia="Arial" w:hAnsi="Arial" w:cs="Arial"/>
        </w:rPr>
      </w:pPr>
      <w:r w:rsidRPr="68C9F5B2">
        <w:rPr>
          <w:rFonts w:ascii="Arial" w:eastAsia="Arial" w:hAnsi="Arial" w:cs="Arial"/>
        </w:rPr>
        <w:t xml:space="preserve">The Dashboard features six state indicators that provide important information on how LEAs and schools are serving their students. The information used for these indicators is based on data collected statewide. </w:t>
      </w:r>
    </w:p>
    <w:p w14:paraId="502E7490" w14:textId="77777777" w:rsidR="00AA7951" w:rsidRDefault="00000000">
      <w:pPr>
        <w:pageBreakBefore/>
        <w:spacing w:after="60" w:line="259" w:lineRule="auto"/>
        <w:rPr>
          <w:rFonts w:ascii="Arial" w:eastAsia="Arial" w:hAnsi="Arial" w:cs="Arial"/>
        </w:rPr>
      </w:pPr>
      <w:r>
        <w:rPr>
          <w:rFonts w:ascii="Arial" w:eastAsia="Arial" w:hAnsi="Arial" w:cs="Arial"/>
        </w:rPr>
        <w:lastRenderedPageBreak/>
        <w:t>The state indicators are the following six indicators:</w:t>
      </w:r>
    </w:p>
    <w:p w14:paraId="306107D9" w14:textId="77777777" w:rsidR="00AA7951" w:rsidRDefault="00000000">
      <w:pPr>
        <w:numPr>
          <w:ilvl w:val="0"/>
          <w:numId w:val="2"/>
        </w:numPr>
        <w:spacing w:after="60" w:line="245" w:lineRule="auto"/>
        <w:ind w:left="720" w:right="302" w:hanging="360"/>
        <w:rPr>
          <w:rFonts w:ascii="Arial" w:eastAsia="Arial" w:hAnsi="Arial" w:cs="Arial"/>
        </w:rPr>
      </w:pPr>
      <w:r>
        <w:rPr>
          <w:rFonts w:ascii="Arial" w:eastAsia="Arial" w:hAnsi="Arial" w:cs="Arial"/>
        </w:rPr>
        <w:t>Academic Indicators</w:t>
      </w:r>
    </w:p>
    <w:p w14:paraId="282D431B" w14:textId="77777777" w:rsidR="00AA7951" w:rsidRDefault="00000000">
      <w:pPr>
        <w:numPr>
          <w:ilvl w:val="0"/>
          <w:numId w:val="2"/>
        </w:numPr>
        <w:spacing w:after="60" w:line="245" w:lineRule="auto"/>
        <w:ind w:left="1224" w:right="302" w:hanging="360"/>
        <w:rPr>
          <w:rFonts w:ascii="Arial" w:eastAsia="Arial" w:hAnsi="Arial" w:cs="Arial"/>
        </w:rPr>
      </w:pPr>
      <w:r>
        <w:rPr>
          <w:rFonts w:ascii="Arial" w:eastAsia="Arial" w:hAnsi="Arial" w:cs="Arial"/>
        </w:rPr>
        <w:t>English language arts/literacy (ELA)</w:t>
      </w:r>
    </w:p>
    <w:p w14:paraId="361F2393" w14:textId="77777777" w:rsidR="00AA7951" w:rsidRDefault="00000000">
      <w:pPr>
        <w:numPr>
          <w:ilvl w:val="0"/>
          <w:numId w:val="2"/>
        </w:numPr>
        <w:spacing w:after="60" w:line="245" w:lineRule="auto"/>
        <w:ind w:left="1224" w:right="302" w:hanging="360"/>
        <w:rPr>
          <w:rFonts w:ascii="Arial" w:eastAsia="Arial" w:hAnsi="Arial" w:cs="Arial"/>
        </w:rPr>
      </w:pPr>
      <w:r>
        <w:rPr>
          <w:rFonts w:ascii="Arial" w:eastAsia="Arial" w:hAnsi="Arial" w:cs="Arial"/>
        </w:rPr>
        <w:t>Mathematics</w:t>
      </w:r>
    </w:p>
    <w:p w14:paraId="2ACA9315" w14:textId="77777777" w:rsidR="00AA7951" w:rsidRDefault="00000000">
      <w:pPr>
        <w:numPr>
          <w:ilvl w:val="0"/>
          <w:numId w:val="2"/>
        </w:numPr>
        <w:spacing w:after="60" w:line="245" w:lineRule="auto"/>
        <w:ind w:left="720" w:right="302" w:hanging="360"/>
        <w:rPr>
          <w:rFonts w:ascii="Arial" w:eastAsia="Arial" w:hAnsi="Arial" w:cs="Arial"/>
        </w:rPr>
      </w:pPr>
      <w:r>
        <w:rPr>
          <w:rFonts w:ascii="Arial" w:eastAsia="Arial" w:hAnsi="Arial" w:cs="Arial"/>
        </w:rPr>
        <w:t>English Learner Progress Indicator (ELPI) </w:t>
      </w:r>
    </w:p>
    <w:p w14:paraId="0EC98219" w14:textId="77777777" w:rsidR="00AA7951" w:rsidRDefault="00000000">
      <w:pPr>
        <w:numPr>
          <w:ilvl w:val="0"/>
          <w:numId w:val="2"/>
        </w:numPr>
        <w:spacing w:after="60" w:line="245" w:lineRule="auto"/>
        <w:ind w:left="720" w:right="302" w:hanging="360"/>
        <w:rPr>
          <w:rFonts w:ascii="Arial" w:eastAsia="Arial" w:hAnsi="Arial" w:cs="Arial"/>
        </w:rPr>
      </w:pPr>
      <w:r>
        <w:rPr>
          <w:rFonts w:ascii="Arial" w:eastAsia="Arial" w:hAnsi="Arial" w:cs="Arial"/>
        </w:rPr>
        <w:t>Chronic Absenteeism Indicator</w:t>
      </w:r>
    </w:p>
    <w:p w14:paraId="5AF3F83E" w14:textId="77777777" w:rsidR="00AA7951" w:rsidRDefault="00000000">
      <w:pPr>
        <w:numPr>
          <w:ilvl w:val="0"/>
          <w:numId w:val="2"/>
        </w:numPr>
        <w:spacing w:after="60" w:line="245" w:lineRule="auto"/>
        <w:ind w:left="720" w:right="302" w:hanging="360"/>
        <w:rPr>
          <w:rFonts w:ascii="Arial" w:eastAsia="Arial" w:hAnsi="Arial" w:cs="Arial"/>
        </w:rPr>
      </w:pPr>
      <w:r>
        <w:rPr>
          <w:rFonts w:ascii="Arial" w:eastAsia="Arial" w:hAnsi="Arial" w:cs="Arial"/>
        </w:rPr>
        <w:t>Graduation Rate Indicator</w:t>
      </w:r>
    </w:p>
    <w:p w14:paraId="38B84769" w14:textId="77777777" w:rsidR="00AA7951" w:rsidRDefault="00000000">
      <w:pPr>
        <w:numPr>
          <w:ilvl w:val="0"/>
          <w:numId w:val="2"/>
        </w:numPr>
        <w:spacing w:after="60" w:line="245" w:lineRule="auto"/>
        <w:ind w:left="720" w:right="302" w:hanging="360"/>
        <w:rPr>
          <w:rFonts w:ascii="Arial" w:eastAsia="Arial" w:hAnsi="Arial" w:cs="Arial"/>
        </w:rPr>
      </w:pPr>
      <w:r>
        <w:rPr>
          <w:rFonts w:ascii="Arial" w:eastAsia="Arial" w:hAnsi="Arial" w:cs="Arial"/>
        </w:rPr>
        <w:t>Suspension Rate Indicator</w:t>
      </w:r>
    </w:p>
    <w:p w14:paraId="69F7BA79" w14:textId="77777777" w:rsidR="00AA7951" w:rsidRDefault="00000000">
      <w:pPr>
        <w:numPr>
          <w:ilvl w:val="0"/>
          <w:numId w:val="2"/>
        </w:numPr>
        <w:spacing w:after="60" w:line="245" w:lineRule="auto"/>
        <w:ind w:left="720" w:right="302" w:hanging="360"/>
        <w:rPr>
          <w:rFonts w:ascii="Arial" w:eastAsia="Arial" w:hAnsi="Arial" w:cs="Arial"/>
        </w:rPr>
      </w:pPr>
      <w:r>
        <w:rPr>
          <w:rFonts w:ascii="Arial" w:eastAsia="Arial" w:hAnsi="Arial" w:cs="Arial"/>
        </w:rPr>
        <w:t>College/Career Indicator (CCI)</w:t>
      </w:r>
    </w:p>
    <w:p w14:paraId="672A6659" w14:textId="77777777" w:rsidR="00AA7951" w:rsidRDefault="00AA7951">
      <w:pPr>
        <w:spacing w:after="60" w:line="245" w:lineRule="auto"/>
        <w:ind w:right="302"/>
        <w:rPr>
          <w:rFonts w:ascii="Arial" w:eastAsia="Arial" w:hAnsi="Arial" w:cs="Arial"/>
        </w:rPr>
      </w:pPr>
    </w:p>
    <w:p w14:paraId="40F2F4C3" w14:textId="77777777" w:rsidR="00AA7951" w:rsidRDefault="00000000" w:rsidP="00CE0F9A">
      <w:pPr>
        <w:pStyle w:val="Heading3"/>
      </w:pPr>
      <w:r>
        <w:t xml:space="preserve">Where does ​the data ​for the ​Dashboard come from? </w:t>
      </w:r>
    </w:p>
    <w:p w14:paraId="18922BCA" w14:textId="77777777" w:rsidR="00AA7951" w:rsidRDefault="00000000">
      <w:pPr>
        <w:numPr>
          <w:ilvl w:val="0"/>
          <w:numId w:val="3"/>
        </w:numPr>
        <w:spacing w:after="60" w:line="245" w:lineRule="auto"/>
        <w:ind w:left="720" w:right="302" w:hanging="360"/>
        <w:rPr>
          <w:rFonts w:ascii="Arial" w:eastAsia="Arial" w:hAnsi="Arial" w:cs="Arial"/>
          <w:b/>
          <w:i/>
        </w:rPr>
      </w:pPr>
      <w:r>
        <w:rPr>
          <w:rFonts w:ascii="Arial" w:eastAsia="Arial" w:hAnsi="Arial" w:cs="Arial"/>
        </w:rPr>
        <w:t xml:space="preserve">California Longitudinal Pupil Achievement Data System (CALPADS) data collections and CALPADS Operational Data Store (ODS)​ </w:t>
      </w:r>
    </w:p>
    <w:p w14:paraId="0FF5F884" w14:textId="77777777" w:rsidR="00AA7951" w:rsidRDefault="00000000">
      <w:pPr>
        <w:numPr>
          <w:ilvl w:val="0"/>
          <w:numId w:val="3"/>
        </w:numPr>
        <w:spacing w:after="60" w:line="245" w:lineRule="auto"/>
        <w:ind w:left="720" w:right="302" w:hanging="360"/>
        <w:rPr>
          <w:rFonts w:ascii="Arial" w:eastAsia="Arial" w:hAnsi="Arial" w:cs="Arial"/>
          <w:b/>
          <w:i/>
        </w:rPr>
      </w:pPr>
      <w:r>
        <w:rPr>
          <w:rFonts w:ascii="Arial" w:eastAsia="Arial" w:hAnsi="Arial" w:cs="Arial"/>
        </w:rPr>
        <w:t xml:space="preserve">Annual assessments​ </w:t>
      </w:r>
    </w:p>
    <w:p w14:paraId="0A37501D" w14:textId="53E41530" w:rsidR="00AA7951" w:rsidRPr="00CE0F9A" w:rsidRDefault="68C9F5B2" w:rsidP="00CE0F9A">
      <w:pPr>
        <w:numPr>
          <w:ilvl w:val="0"/>
          <w:numId w:val="3"/>
        </w:numPr>
        <w:spacing w:after="60" w:line="245" w:lineRule="auto"/>
        <w:ind w:left="720" w:right="302" w:hanging="360"/>
        <w:rPr>
          <w:rFonts w:ascii="Arial" w:eastAsia="Arial" w:hAnsi="Arial" w:cs="Arial"/>
          <w:b/>
          <w:bCs/>
          <w:i/>
          <w:iCs/>
        </w:rPr>
      </w:pPr>
      <w:r w:rsidRPr="68C9F5B2">
        <w:rPr>
          <w:rFonts w:ascii="Arial" w:eastAsia="Arial" w:hAnsi="Arial" w:cs="Arial"/>
        </w:rPr>
        <w:t>Additional student-level data submissions</w:t>
      </w:r>
    </w:p>
    <w:p w14:paraId="7F9B77A6" w14:textId="77777777" w:rsidR="00AA7951" w:rsidRDefault="00000000" w:rsidP="00CE0F9A">
      <w:pPr>
        <w:pStyle w:val="Heading3"/>
      </w:pPr>
      <w:r>
        <w:t>How The Dashboard Measures Performance</w:t>
      </w:r>
    </w:p>
    <w:p w14:paraId="1180C944" w14:textId="77777777" w:rsidR="00AA7951" w:rsidRDefault="00000000">
      <w:pPr>
        <w:numPr>
          <w:ilvl w:val="0"/>
          <w:numId w:val="4"/>
        </w:numPr>
        <w:spacing w:after="60" w:line="245" w:lineRule="auto"/>
        <w:ind w:left="720" w:right="302" w:hanging="360"/>
        <w:rPr>
          <w:rFonts w:ascii="Arial" w:eastAsia="Arial" w:hAnsi="Arial" w:cs="Arial"/>
          <w:b/>
          <w:i/>
        </w:rPr>
      </w:pPr>
      <w:r>
        <w:rPr>
          <w:rFonts w:ascii="Arial" w:eastAsia="Arial" w:hAnsi="Arial" w:cs="Arial"/>
        </w:rPr>
        <w:t xml:space="preserve">Current year data equals </w:t>
      </w:r>
      <w:r>
        <w:rPr>
          <w:rFonts w:ascii="Arial" w:eastAsia="Arial" w:hAnsi="Arial" w:cs="Arial"/>
          <w:b/>
        </w:rPr>
        <w:t>Status</w:t>
      </w:r>
      <w:r>
        <w:rPr>
          <w:rFonts w:ascii="Arial" w:eastAsia="Arial" w:hAnsi="Arial" w:cs="Arial"/>
        </w:rPr>
        <w:t>.</w:t>
      </w:r>
    </w:p>
    <w:p w14:paraId="785264C1" w14:textId="77777777" w:rsidR="00AA7951" w:rsidRDefault="00000000">
      <w:pPr>
        <w:numPr>
          <w:ilvl w:val="0"/>
          <w:numId w:val="4"/>
        </w:numPr>
        <w:spacing w:after="60" w:line="245" w:lineRule="auto"/>
        <w:ind w:left="720" w:right="302" w:hanging="360"/>
        <w:rPr>
          <w:rFonts w:ascii="Arial" w:eastAsia="Arial" w:hAnsi="Arial" w:cs="Arial"/>
          <w:b/>
          <w:i/>
        </w:rPr>
      </w:pPr>
      <w:r>
        <w:rPr>
          <w:rFonts w:ascii="Arial" w:eastAsia="Arial" w:hAnsi="Arial" w:cs="Arial"/>
        </w:rPr>
        <w:t xml:space="preserve">A comparison between current and prior year data is known as </w:t>
      </w:r>
      <w:r>
        <w:rPr>
          <w:rFonts w:ascii="Arial" w:eastAsia="Arial" w:hAnsi="Arial" w:cs="Arial"/>
          <w:b/>
        </w:rPr>
        <w:t>Change</w:t>
      </w:r>
      <w:r>
        <w:rPr>
          <w:rFonts w:ascii="Arial" w:eastAsia="Arial" w:hAnsi="Arial" w:cs="Arial"/>
        </w:rPr>
        <w:t>.</w:t>
      </w:r>
    </w:p>
    <w:p w14:paraId="5853A68D" w14:textId="77777777" w:rsidR="00AA7951" w:rsidRDefault="68C9F5B2" w:rsidP="68C9F5B2">
      <w:pPr>
        <w:spacing w:before="240" w:line="259" w:lineRule="auto"/>
        <w:rPr>
          <w:rFonts w:ascii="Arial" w:eastAsia="Arial" w:hAnsi="Arial" w:cs="Arial"/>
          <w:b/>
          <w:bCs/>
          <w:sz w:val="32"/>
          <w:szCs w:val="32"/>
        </w:rPr>
      </w:pPr>
      <w:r w:rsidRPr="68C9F5B2">
        <w:rPr>
          <w:rFonts w:ascii="Arial" w:eastAsia="Arial" w:hAnsi="Arial" w:cs="Arial"/>
        </w:rPr>
        <w:t>It is the combination of Status and Change that determines the performance color for LEAs, schools, and student groups. They receive one of five colors that range from Red (lowest Performance Level) to Blue (highest Performance Level).</w:t>
      </w:r>
    </w:p>
    <w:p w14:paraId="425A53CD" w14:textId="77777777" w:rsidR="00AA7951" w:rsidRDefault="68C9F5B2" w:rsidP="68C9F5B2">
      <w:pPr>
        <w:spacing w:line="259" w:lineRule="auto"/>
        <w:rPr>
          <w:rFonts w:ascii="Arial" w:eastAsia="Arial" w:hAnsi="Arial" w:cs="Arial"/>
        </w:rPr>
      </w:pPr>
      <w:r w:rsidRPr="68C9F5B2">
        <w:rPr>
          <w:rFonts w:ascii="Arial" w:eastAsia="Arial" w:hAnsi="Arial" w:cs="Arial"/>
        </w:rPr>
        <w:t xml:space="preserve">Since charter schools are treated as LEAs under the Local Control Funding Formula, their data </w:t>
      </w:r>
      <w:proofErr w:type="gramStart"/>
      <w:r w:rsidRPr="68C9F5B2">
        <w:rPr>
          <w:rFonts w:ascii="Arial" w:eastAsia="Arial" w:hAnsi="Arial" w:cs="Arial"/>
        </w:rPr>
        <w:t>are</w:t>
      </w:r>
      <w:proofErr w:type="gramEnd"/>
      <w:r w:rsidRPr="68C9F5B2">
        <w:rPr>
          <w:rFonts w:ascii="Arial" w:eastAsia="Arial" w:hAnsi="Arial" w:cs="Arial"/>
        </w:rPr>
        <w:t xml:space="preserve"> not included in their authorizer’s Dashboard report. This includes both direct and locally funded charters.</w:t>
      </w:r>
    </w:p>
    <w:p w14:paraId="715250F6" w14:textId="77777777" w:rsidR="00AA7951" w:rsidRDefault="00000000" w:rsidP="00CE0F9A">
      <w:pPr>
        <w:pStyle w:val="Heading3"/>
        <w:rPr>
          <w:rFonts w:ascii="Times New Roman" w:eastAsia="Times New Roman" w:hAnsi="Times New Roman" w:cs="Times New Roman"/>
        </w:rPr>
      </w:pPr>
      <w:r>
        <w:t>Five Performance Levels (Colors)</w:t>
      </w:r>
    </w:p>
    <w:p w14:paraId="7CDB6D67" w14:textId="77777777" w:rsidR="00AA7951" w:rsidRDefault="00000000">
      <w:pPr>
        <w:spacing w:after="120" w:line="240" w:lineRule="auto"/>
        <w:rPr>
          <w:rFonts w:ascii="Arial" w:eastAsia="Arial" w:hAnsi="Arial" w:cs="Arial"/>
          <w:color w:val="000000"/>
        </w:rPr>
      </w:pPr>
      <w:r>
        <w:rPr>
          <w:rFonts w:ascii="Arial" w:eastAsia="Arial" w:hAnsi="Arial" w:cs="Arial"/>
          <w:color w:val="000000"/>
        </w:rPr>
        <w:t xml:space="preserve">There are five Performance Levels (colors) that can be reported on the Dashboard. </w:t>
      </w:r>
    </w:p>
    <w:p w14:paraId="5DAB6C7B" w14:textId="1B8E85B3" w:rsidR="00AA7951" w:rsidRDefault="00091B6B">
      <w:pPr>
        <w:spacing w:after="0" w:line="240" w:lineRule="auto"/>
        <w:rPr>
          <w:rFonts w:ascii="Arial" w:eastAsia="Arial" w:hAnsi="Arial" w:cs="Arial"/>
          <w:color w:val="000000"/>
        </w:rPr>
      </w:pPr>
      <w:r>
        <w:object w:dxaOrig="8888" w:dyaOrig="2923" w14:anchorId="20F3973A">
          <v:rect id="rectole0000000000" o:spid="_x0000_i1025" alt="Displaying Five Perfomance Levels (Colors) starting from Lowest Performance to Highest Performance. The range of colors is from Red to Blue with Red being the lowest possible Performance Level while Blue is the highest possible Performance Level. The Performance Levels in order from highest to lowest are Blue, Green, Yellow, Orange, and Red. " style="width:444.5pt;height:146.1pt" o:ole="" o:preferrelative="t" stroked="f">
            <v:imagedata r:id="rId7" o:title=""/>
          </v:rect>
          <o:OLEObject Type="Embed" ProgID="StaticMetafile" ShapeID="rectole0000000000" DrawAspect="Content" ObjectID="_1779858512" r:id="rId8"/>
        </w:object>
      </w:r>
    </w:p>
    <w:p w14:paraId="11F99054" w14:textId="77777777" w:rsidR="00AA7951" w:rsidRDefault="00000000">
      <w:pPr>
        <w:spacing w:after="0" w:line="240" w:lineRule="auto"/>
        <w:rPr>
          <w:rFonts w:ascii="Times New Roman" w:eastAsia="Times New Roman" w:hAnsi="Times New Roman" w:cs="Times New Roman"/>
          <w:color w:val="000000"/>
        </w:rPr>
      </w:pPr>
      <w:r>
        <w:rPr>
          <w:rFonts w:ascii="Arial" w:eastAsia="Arial" w:hAnsi="Arial" w:cs="Arial"/>
        </w:rPr>
        <w:t> </w:t>
      </w:r>
      <w:r>
        <w:rPr>
          <w:rFonts w:ascii="Times New Roman" w:eastAsia="Times New Roman" w:hAnsi="Times New Roman" w:cs="Times New Roman"/>
          <w:color w:val="000000"/>
        </w:rPr>
        <w:t xml:space="preserve"> </w:t>
      </w:r>
    </w:p>
    <w:p w14:paraId="3CE12492" w14:textId="77777777" w:rsidR="00AA7951" w:rsidRDefault="00000000">
      <w:pPr>
        <w:numPr>
          <w:ilvl w:val="0"/>
          <w:numId w:val="5"/>
        </w:numPr>
        <w:tabs>
          <w:tab w:val="left" w:pos="720"/>
        </w:tabs>
        <w:spacing w:line="259" w:lineRule="auto"/>
        <w:ind w:left="720" w:hanging="360"/>
        <w:rPr>
          <w:rFonts w:ascii="Arial" w:eastAsia="Arial" w:hAnsi="Arial" w:cs="Arial"/>
        </w:rPr>
      </w:pPr>
      <w:r>
        <w:rPr>
          <w:rFonts w:ascii="Arial" w:eastAsia="Arial" w:hAnsi="Arial" w:cs="Arial"/>
        </w:rPr>
        <w:t>The range of colors is from Red to Blue with Red being the lowest possible Performance Level while Blue is the highest possible Performance Level.</w:t>
      </w:r>
    </w:p>
    <w:p w14:paraId="7A172C21" w14:textId="77777777" w:rsidR="00AA7951" w:rsidRDefault="68C9F5B2" w:rsidP="68C9F5B2">
      <w:pPr>
        <w:numPr>
          <w:ilvl w:val="0"/>
          <w:numId w:val="5"/>
        </w:numPr>
        <w:tabs>
          <w:tab w:val="left" w:pos="720"/>
        </w:tabs>
        <w:spacing w:line="259" w:lineRule="auto"/>
        <w:ind w:left="720" w:hanging="360"/>
        <w:rPr>
          <w:rFonts w:ascii="Arial" w:eastAsia="Arial" w:hAnsi="Arial" w:cs="Arial"/>
        </w:rPr>
      </w:pPr>
      <w:bookmarkStart w:id="0" w:name="_Int_FdFYoJhl"/>
      <w:r w:rsidRPr="68C9F5B2">
        <w:rPr>
          <w:rFonts w:ascii="Arial" w:eastAsia="Arial" w:hAnsi="Arial" w:cs="Arial"/>
        </w:rPr>
        <w:t>The Performance Levels in order from highest to lowest are Blue, Green, Yellow, Orange, and Red.</w:t>
      </w:r>
      <w:bookmarkEnd w:id="0"/>
      <w:r w:rsidRPr="68C9F5B2">
        <w:rPr>
          <w:rFonts w:ascii="Arial" w:eastAsia="Arial" w:hAnsi="Arial" w:cs="Arial"/>
        </w:rPr>
        <w:t xml:space="preserve"> </w:t>
      </w:r>
    </w:p>
    <w:p w14:paraId="47151927" w14:textId="77777777" w:rsidR="00AA7951" w:rsidRDefault="00000000" w:rsidP="00CE0F9A">
      <w:pPr>
        <w:pStyle w:val="Heading3"/>
        <w:rPr>
          <w:rFonts w:ascii="Times New Roman" w:eastAsia="Times New Roman" w:hAnsi="Times New Roman" w:cs="Times New Roman"/>
        </w:rPr>
      </w:pPr>
      <w:r>
        <w:t>Five-by-Five Tables</w:t>
      </w:r>
    </w:p>
    <w:p w14:paraId="29802678" w14:textId="77777777" w:rsidR="00AA7951" w:rsidRDefault="68C9F5B2" w:rsidP="68C9F5B2">
      <w:pPr>
        <w:spacing w:after="0" w:line="240" w:lineRule="auto"/>
        <w:rPr>
          <w:rFonts w:ascii="Arial" w:eastAsia="Arial" w:hAnsi="Arial" w:cs="Arial"/>
          <w:color w:val="000000"/>
        </w:rPr>
      </w:pPr>
      <w:bookmarkStart w:id="1" w:name="_Int_WaTYVsn0"/>
      <w:r w:rsidRPr="68C9F5B2">
        <w:rPr>
          <w:rFonts w:ascii="Arial" w:eastAsia="Arial" w:hAnsi="Arial" w:cs="Arial"/>
          <w:color w:val="000000"/>
        </w:rPr>
        <w:t xml:space="preserve">An LEA, school, or student group’s Performance Level (color) is determined </w:t>
      </w:r>
      <w:proofErr w:type="gramStart"/>
      <w:r w:rsidRPr="68C9F5B2">
        <w:rPr>
          <w:rFonts w:ascii="Arial" w:eastAsia="Arial" w:hAnsi="Arial" w:cs="Arial"/>
          <w:color w:val="000000"/>
        </w:rPr>
        <w:t>through the use of</w:t>
      </w:r>
      <w:proofErr w:type="gramEnd"/>
      <w:r w:rsidRPr="68C9F5B2">
        <w:rPr>
          <w:rFonts w:ascii="Arial" w:eastAsia="Arial" w:hAnsi="Arial" w:cs="Arial"/>
          <w:color w:val="000000"/>
        </w:rPr>
        <w:t xml:space="preserve"> a five-by-five colored table that utilizes the Status level and Change level.</w:t>
      </w:r>
      <w:bookmarkEnd w:id="1"/>
      <w:r w:rsidRPr="68C9F5B2">
        <w:rPr>
          <w:rFonts w:ascii="Arial" w:eastAsia="Arial" w:hAnsi="Arial" w:cs="Arial"/>
          <w:color w:val="000000"/>
        </w:rPr>
        <w:t xml:space="preserve"> </w:t>
      </w:r>
    </w:p>
    <w:p w14:paraId="5DB711A6" w14:textId="77777777" w:rsidR="00AA7951" w:rsidRDefault="00000000">
      <w:pPr>
        <w:keepNext/>
        <w:spacing w:before="240" w:after="120" w:line="240" w:lineRule="auto"/>
        <w:rPr>
          <w:rFonts w:ascii="Arial" w:eastAsia="Arial" w:hAnsi="Arial" w:cs="Arial"/>
        </w:rPr>
      </w:pPr>
      <w:r>
        <w:rPr>
          <w:rFonts w:ascii="Arial" w:eastAsia="Arial" w:hAnsi="Arial" w:cs="Arial"/>
        </w:rPr>
        <w:t>Table 2. Five-by-Five Table</w:t>
      </w:r>
    </w:p>
    <w:tbl>
      <w:tblPr>
        <w:tblW w:w="0" w:type="auto"/>
        <w:tblInd w:w="90" w:type="dxa"/>
        <w:tblCellMar>
          <w:left w:w="10" w:type="dxa"/>
          <w:right w:w="10" w:type="dxa"/>
        </w:tblCellMar>
        <w:tblLook w:val="0000" w:firstRow="0" w:lastRow="0" w:firstColumn="0" w:lastColumn="0" w:noHBand="0" w:noVBand="0"/>
        <w:tblDescription w:val="Five-by-Five Table "/>
      </w:tblPr>
      <w:tblGrid>
        <w:gridCol w:w="1701"/>
        <w:gridCol w:w="1708"/>
        <w:gridCol w:w="1336"/>
        <w:gridCol w:w="1451"/>
        <w:gridCol w:w="1438"/>
        <w:gridCol w:w="1620"/>
      </w:tblGrid>
      <w:tr w:rsidR="00AA7951" w14:paraId="014BE2D1" w14:textId="77777777" w:rsidTr="000F2991">
        <w:trPr>
          <w:cantSplit/>
          <w:tblHeader/>
        </w:trPr>
        <w:tc>
          <w:tcPr>
            <w:tcW w:w="1702" w:type="dxa"/>
            <w:tcBorders>
              <w:top w:val="single" w:sz="6" w:space="0" w:color="000000"/>
              <w:left w:val="single" w:sz="6" w:space="0" w:color="000000"/>
              <w:bottom w:val="single" w:sz="6" w:space="0" w:color="000000"/>
              <w:right w:val="single" w:sz="6" w:space="0" w:color="000000"/>
            </w:tcBorders>
            <w:shd w:val="clear" w:color="000000" w:fill="FFFFFF"/>
            <w:tcMar>
              <w:left w:w="90" w:type="dxa"/>
              <w:right w:w="90" w:type="dxa"/>
            </w:tcMar>
            <w:vAlign w:val="center"/>
          </w:tcPr>
          <w:p w14:paraId="753E9D47" w14:textId="77777777" w:rsidR="00AA7951" w:rsidRDefault="00000000">
            <w:pPr>
              <w:spacing w:after="0" w:line="259" w:lineRule="auto"/>
              <w:jc w:val="center"/>
            </w:pPr>
            <w:r>
              <w:rPr>
                <w:rFonts w:ascii="Arial" w:eastAsia="Arial" w:hAnsi="Arial" w:cs="Arial"/>
                <w:b/>
                <w:color w:val="000000"/>
              </w:rPr>
              <w:t>Performance Level</w:t>
            </w:r>
          </w:p>
        </w:tc>
        <w:tc>
          <w:tcPr>
            <w:tcW w:w="1710" w:type="dxa"/>
            <w:tcBorders>
              <w:top w:val="single" w:sz="6" w:space="0" w:color="000000"/>
              <w:left w:val="single" w:sz="6" w:space="0" w:color="000000"/>
              <w:bottom w:val="single" w:sz="6" w:space="0" w:color="000000"/>
              <w:right w:val="single" w:sz="6" w:space="0" w:color="000000"/>
            </w:tcBorders>
            <w:shd w:val="clear" w:color="000000" w:fill="FFFFFF"/>
            <w:tcMar>
              <w:left w:w="90" w:type="dxa"/>
              <w:right w:w="90" w:type="dxa"/>
            </w:tcMar>
            <w:vAlign w:val="center"/>
          </w:tcPr>
          <w:p w14:paraId="351647C4" w14:textId="77777777" w:rsidR="00AA7951" w:rsidRDefault="00000000">
            <w:pPr>
              <w:spacing w:after="0" w:line="259" w:lineRule="auto"/>
              <w:jc w:val="center"/>
            </w:pPr>
            <w:r>
              <w:rPr>
                <w:rFonts w:ascii="Arial" w:eastAsia="Arial" w:hAnsi="Arial" w:cs="Arial"/>
                <w:b/>
                <w:color w:val="000000"/>
              </w:rPr>
              <w:t>Declined Significantly</w:t>
            </w:r>
          </w:p>
        </w:tc>
        <w:tc>
          <w:tcPr>
            <w:tcW w:w="1339" w:type="dxa"/>
            <w:tcBorders>
              <w:top w:val="single" w:sz="6" w:space="0" w:color="000000"/>
              <w:left w:val="single" w:sz="6" w:space="0" w:color="000000"/>
              <w:bottom w:val="single" w:sz="6" w:space="0" w:color="000000"/>
              <w:right w:val="single" w:sz="6" w:space="0" w:color="000000"/>
            </w:tcBorders>
            <w:shd w:val="clear" w:color="000000" w:fill="FFFFFF"/>
            <w:tcMar>
              <w:left w:w="90" w:type="dxa"/>
              <w:right w:w="90" w:type="dxa"/>
            </w:tcMar>
            <w:vAlign w:val="center"/>
          </w:tcPr>
          <w:p w14:paraId="2EB3C417" w14:textId="77777777" w:rsidR="00AA7951" w:rsidRDefault="00000000">
            <w:pPr>
              <w:spacing w:after="0" w:line="259" w:lineRule="auto"/>
              <w:jc w:val="center"/>
            </w:pPr>
            <w:r>
              <w:rPr>
                <w:rFonts w:ascii="Arial" w:eastAsia="Arial" w:hAnsi="Arial" w:cs="Arial"/>
                <w:b/>
                <w:color w:val="000000"/>
              </w:rPr>
              <w:t>Declined</w:t>
            </w:r>
          </w:p>
        </w:tc>
        <w:tc>
          <w:tcPr>
            <w:tcW w:w="1451" w:type="dxa"/>
            <w:tcBorders>
              <w:top w:val="single" w:sz="6" w:space="0" w:color="000000"/>
              <w:left w:val="single" w:sz="6" w:space="0" w:color="000000"/>
              <w:bottom w:val="single" w:sz="6" w:space="0" w:color="000000"/>
              <w:right w:val="single" w:sz="6" w:space="0" w:color="000000"/>
            </w:tcBorders>
            <w:shd w:val="clear" w:color="000000" w:fill="FFFFFF"/>
            <w:tcMar>
              <w:left w:w="90" w:type="dxa"/>
              <w:right w:w="90" w:type="dxa"/>
            </w:tcMar>
            <w:vAlign w:val="center"/>
          </w:tcPr>
          <w:p w14:paraId="6D3734FF" w14:textId="77777777" w:rsidR="00AA7951" w:rsidRDefault="00000000">
            <w:pPr>
              <w:spacing w:after="0" w:line="259" w:lineRule="auto"/>
              <w:jc w:val="center"/>
            </w:pPr>
            <w:r>
              <w:rPr>
                <w:rFonts w:ascii="Arial" w:eastAsia="Arial" w:hAnsi="Arial" w:cs="Arial"/>
                <w:b/>
                <w:color w:val="000000"/>
              </w:rPr>
              <w:t>Maintained</w:t>
            </w:r>
          </w:p>
        </w:tc>
        <w:tc>
          <w:tcPr>
            <w:tcW w:w="1440" w:type="dxa"/>
            <w:tcBorders>
              <w:top w:val="single" w:sz="6" w:space="0" w:color="000000"/>
              <w:left w:val="single" w:sz="6" w:space="0" w:color="000000"/>
              <w:bottom w:val="single" w:sz="6" w:space="0" w:color="000000"/>
              <w:right w:val="single" w:sz="6" w:space="0" w:color="000000"/>
            </w:tcBorders>
            <w:shd w:val="clear" w:color="000000" w:fill="FFFFFF"/>
            <w:tcMar>
              <w:left w:w="90" w:type="dxa"/>
              <w:right w:w="90" w:type="dxa"/>
            </w:tcMar>
            <w:vAlign w:val="center"/>
          </w:tcPr>
          <w:p w14:paraId="3EDDBEE1" w14:textId="77777777" w:rsidR="00AA7951" w:rsidRDefault="00000000">
            <w:pPr>
              <w:spacing w:after="0" w:line="259" w:lineRule="auto"/>
              <w:jc w:val="center"/>
            </w:pPr>
            <w:r>
              <w:rPr>
                <w:rFonts w:ascii="Arial" w:eastAsia="Arial" w:hAnsi="Arial" w:cs="Arial"/>
                <w:b/>
                <w:color w:val="000000"/>
              </w:rPr>
              <w:t>Increased</w:t>
            </w:r>
          </w:p>
        </w:tc>
        <w:tc>
          <w:tcPr>
            <w:tcW w:w="1620" w:type="dxa"/>
            <w:tcBorders>
              <w:top w:val="single" w:sz="6" w:space="0" w:color="000000"/>
              <w:left w:val="single" w:sz="6" w:space="0" w:color="000000"/>
              <w:bottom w:val="single" w:sz="6" w:space="0" w:color="000000"/>
              <w:right w:val="single" w:sz="6" w:space="0" w:color="000000"/>
            </w:tcBorders>
            <w:shd w:val="clear" w:color="000000" w:fill="FFFFFF"/>
            <w:tcMar>
              <w:left w:w="90" w:type="dxa"/>
              <w:right w:w="90" w:type="dxa"/>
            </w:tcMar>
            <w:vAlign w:val="center"/>
          </w:tcPr>
          <w:p w14:paraId="5078C548" w14:textId="77777777" w:rsidR="00AA7951" w:rsidRDefault="00000000">
            <w:pPr>
              <w:spacing w:after="0" w:line="259" w:lineRule="auto"/>
              <w:jc w:val="center"/>
            </w:pPr>
            <w:r>
              <w:rPr>
                <w:rFonts w:ascii="Arial" w:eastAsia="Arial" w:hAnsi="Arial" w:cs="Arial"/>
                <w:b/>
                <w:color w:val="000000"/>
              </w:rPr>
              <w:t>Increased Significantly</w:t>
            </w:r>
          </w:p>
        </w:tc>
      </w:tr>
      <w:tr w:rsidR="00AA7951" w14:paraId="6196FFE2" w14:textId="77777777">
        <w:tc>
          <w:tcPr>
            <w:tcW w:w="1702" w:type="dxa"/>
            <w:tcBorders>
              <w:top w:val="single" w:sz="6" w:space="0" w:color="000000"/>
              <w:left w:val="single" w:sz="6" w:space="0" w:color="000000"/>
              <w:bottom w:val="single" w:sz="6" w:space="0" w:color="000000"/>
              <w:right w:val="single" w:sz="6" w:space="0" w:color="000000"/>
            </w:tcBorders>
            <w:shd w:val="clear" w:color="000000" w:fill="FFFFFF"/>
            <w:tcMar>
              <w:left w:w="90" w:type="dxa"/>
              <w:right w:w="90" w:type="dxa"/>
            </w:tcMar>
            <w:vAlign w:val="center"/>
          </w:tcPr>
          <w:p w14:paraId="2B4D6EB9" w14:textId="77777777" w:rsidR="00AA7951" w:rsidRDefault="00000000">
            <w:pPr>
              <w:spacing w:after="0" w:line="259" w:lineRule="auto"/>
              <w:jc w:val="center"/>
            </w:pPr>
            <w:r>
              <w:rPr>
                <w:rFonts w:ascii="Arial" w:eastAsia="Arial" w:hAnsi="Arial" w:cs="Arial"/>
                <w:b/>
                <w:color w:val="000000"/>
              </w:rPr>
              <w:t>Very High</w:t>
            </w:r>
          </w:p>
        </w:tc>
        <w:tc>
          <w:tcPr>
            <w:tcW w:w="1710" w:type="dxa"/>
            <w:tcBorders>
              <w:top w:val="single" w:sz="6" w:space="0" w:color="000000"/>
              <w:left w:val="single" w:sz="6" w:space="0" w:color="000000"/>
              <w:bottom w:val="single" w:sz="6" w:space="0" w:color="000000"/>
              <w:right w:val="single" w:sz="6" w:space="0" w:color="000000"/>
            </w:tcBorders>
            <w:shd w:val="clear" w:color="auto" w:fill="FFFF00"/>
            <w:tcMar>
              <w:left w:w="90" w:type="dxa"/>
              <w:right w:w="90" w:type="dxa"/>
            </w:tcMar>
            <w:vAlign w:val="center"/>
          </w:tcPr>
          <w:p w14:paraId="2FBC3270" w14:textId="77777777" w:rsidR="00AA7951" w:rsidRDefault="00000000">
            <w:pPr>
              <w:spacing w:after="0" w:line="259" w:lineRule="auto"/>
              <w:jc w:val="center"/>
            </w:pPr>
            <w:r>
              <w:rPr>
                <w:rFonts w:ascii="Arial" w:eastAsia="Arial" w:hAnsi="Arial" w:cs="Arial"/>
                <w:color w:val="000000"/>
              </w:rPr>
              <w:t>Yellow</w:t>
            </w:r>
          </w:p>
        </w:tc>
        <w:tc>
          <w:tcPr>
            <w:tcW w:w="1339" w:type="dxa"/>
            <w:tcBorders>
              <w:top w:val="single" w:sz="6" w:space="0" w:color="000000"/>
              <w:left w:val="single" w:sz="6" w:space="0" w:color="000000"/>
              <w:bottom w:val="single" w:sz="6" w:space="0" w:color="000000"/>
              <w:right w:val="single" w:sz="6" w:space="0" w:color="000000"/>
            </w:tcBorders>
            <w:shd w:val="clear" w:color="auto" w:fill="006500"/>
            <w:tcMar>
              <w:left w:w="90" w:type="dxa"/>
              <w:right w:w="90" w:type="dxa"/>
            </w:tcMar>
            <w:vAlign w:val="center"/>
          </w:tcPr>
          <w:p w14:paraId="6A170216" w14:textId="77777777" w:rsidR="00AA7951" w:rsidRDefault="00000000">
            <w:pPr>
              <w:spacing w:after="0" w:line="259" w:lineRule="auto"/>
              <w:jc w:val="center"/>
            </w:pPr>
            <w:r>
              <w:rPr>
                <w:rFonts w:ascii="Arial" w:eastAsia="Arial" w:hAnsi="Arial" w:cs="Arial"/>
                <w:color w:val="FFFFFF"/>
              </w:rPr>
              <w:t>Green</w:t>
            </w:r>
          </w:p>
        </w:tc>
        <w:tc>
          <w:tcPr>
            <w:tcW w:w="1451" w:type="dxa"/>
            <w:tcBorders>
              <w:top w:val="single" w:sz="6" w:space="0" w:color="000000"/>
              <w:left w:val="single" w:sz="6" w:space="0" w:color="000000"/>
              <w:bottom w:val="single" w:sz="6" w:space="0" w:color="000000"/>
              <w:right w:val="single" w:sz="6" w:space="0" w:color="000000"/>
            </w:tcBorders>
            <w:shd w:val="clear" w:color="auto" w:fill="0000FF"/>
            <w:tcMar>
              <w:left w:w="90" w:type="dxa"/>
              <w:right w:w="90" w:type="dxa"/>
            </w:tcMar>
            <w:vAlign w:val="center"/>
          </w:tcPr>
          <w:p w14:paraId="556428AE" w14:textId="77777777" w:rsidR="00AA7951" w:rsidRDefault="00000000">
            <w:pPr>
              <w:spacing w:after="0" w:line="259" w:lineRule="auto"/>
              <w:jc w:val="center"/>
            </w:pPr>
            <w:r>
              <w:rPr>
                <w:rFonts w:ascii="Arial" w:eastAsia="Arial" w:hAnsi="Arial" w:cs="Arial"/>
                <w:color w:val="FFFFFF"/>
              </w:rPr>
              <w:t>Blue</w:t>
            </w:r>
          </w:p>
        </w:tc>
        <w:tc>
          <w:tcPr>
            <w:tcW w:w="1440" w:type="dxa"/>
            <w:tcBorders>
              <w:top w:val="single" w:sz="6" w:space="0" w:color="000000"/>
              <w:left w:val="single" w:sz="6" w:space="0" w:color="000000"/>
              <w:bottom w:val="single" w:sz="6" w:space="0" w:color="000000"/>
              <w:right w:val="single" w:sz="6" w:space="0" w:color="000000"/>
            </w:tcBorders>
            <w:shd w:val="clear" w:color="auto" w:fill="0000FF"/>
            <w:tcMar>
              <w:left w:w="90" w:type="dxa"/>
              <w:right w:w="90" w:type="dxa"/>
            </w:tcMar>
            <w:vAlign w:val="center"/>
          </w:tcPr>
          <w:p w14:paraId="66A042B7" w14:textId="77777777" w:rsidR="00AA7951" w:rsidRDefault="00000000">
            <w:pPr>
              <w:spacing w:after="0" w:line="259" w:lineRule="auto"/>
              <w:jc w:val="center"/>
            </w:pPr>
            <w:r>
              <w:rPr>
                <w:rFonts w:ascii="Arial" w:eastAsia="Arial" w:hAnsi="Arial" w:cs="Arial"/>
                <w:color w:val="FFFFFF"/>
              </w:rPr>
              <w:t>Blue</w:t>
            </w:r>
          </w:p>
        </w:tc>
        <w:tc>
          <w:tcPr>
            <w:tcW w:w="1620" w:type="dxa"/>
            <w:tcBorders>
              <w:top w:val="single" w:sz="6" w:space="0" w:color="000000"/>
              <w:left w:val="single" w:sz="6" w:space="0" w:color="000000"/>
              <w:bottom w:val="single" w:sz="6" w:space="0" w:color="000000"/>
              <w:right w:val="single" w:sz="6" w:space="0" w:color="000000"/>
            </w:tcBorders>
            <w:shd w:val="clear" w:color="auto" w:fill="0000FF"/>
            <w:tcMar>
              <w:left w:w="90" w:type="dxa"/>
              <w:right w:w="90" w:type="dxa"/>
            </w:tcMar>
            <w:vAlign w:val="center"/>
          </w:tcPr>
          <w:p w14:paraId="672DF459" w14:textId="77777777" w:rsidR="00AA7951" w:rsidRDefault="00000000">
            <w:pPr>
              <w:spacing w:after="0" w:line="259" w:lineRule="auto"/>
              <w:jc w:val="center"/>
            </w:pPr>
            <w:r>
              <w:rPr>
                <w:rFonts w:ascii="Arial" w:eastAsia="Arial" w:hAnsi="Arial" w:cs="Arial"/>
                <w:color w:val="FFFFFF"/>
              </w:rPr>
              <w:t>Blue</w:t>
            </w:r>
          </w:p>
        </w:tc>
      </w:tr>
      <w:tr w:rsidR="00AA7951" w14:paraId="36451239" w14:textId="77777777">
        <w:tc>
          <w:tcPr>
            <w:tcW w:w="1702" w:type="dxa"/>
            <w:tcBorders>
              <w:top w:val="single" w:sz="6" w:space="0" w:color="000000"/>
              <w:left w:val="single" w:sz="6" w:space="0" w:color="000000"/>
              <w:bottom w:val="single" w:sz="6" w:space="0" w:color="000000"/>
              <w:right w:val="single" w:sz="6" w:space="0" w:color="000000"/>
            </w:tcBorders>
            <w:shd w:val="clear" w:color="000000" w:fill="FFFFFF"/>
            <w:tcMar>
              <w:left w:w="90" w:type="dxa"/>
              <w:right w:w="90" w:type="dxa"/>
            </w:tcMar>
            <w:vAlign w:val="center"/>
          </w:tcPr>
          <w:p w14:paraId="7E177962" w14:textId="77777777" w:rsidR="00AA7951" w:rsidRDefault="00000000">
            <w:pPr>
              <w:spacing w:after="0" w:line="259" w:lineRule="auto"/>
              <w:jc w:val="center"/>
            </w:pPr>
            <w:r>
              <w:rPr>
                <w:rFonts w:ascii="Arial" w:eastAsia="Arial" w:hAnsi="Arial" w:cs="Arial"/>
                <w:b/>
                <w:color w:val="000000"/>
              </w:rPr>
              <w:t>High</w:t>
            </w:r>
          </w:p>
        </w:tc>
        <w:tc>
          <w:tcPr>
            <w:tcW w:w="1710" w:type="dxa"/>
            <w:tcBorders>
              <w:top w:val="single" w:sz="6" w:space="0" w:color="000000"/>
              <w:left w:val="single" w:sz="6" w:space="0" w:color="000000"/>
              <w:bottom w:val="single" w:sz="6" w:space="0" w:color="000000"/>
              <w:right w:val="single" w:sz="6" w:space="0" w:color="000000"/>
            </w:tcBorders>
            <w:shd w:val="clear" w:color="auto" w:fill="FFA500"/>
            <w:tcMar>
              <w:left w:w="90" w:type="dxa"/>
              <w:right w:w="90" w:type="dxa"/>
            </w:tcMar>
            <w:vAlign w:val="center"/>
          </w:tcPr>
          <w:p w14:paraId="70F5B3D4" w14:textId="77777777" w:rsidR="00AA7951" w:rsidRDefault="00000000">
            <w:pPr>
              <w:spacing w:after="0" w:line="259" w:lineRule="auto"/>
              <w:jc w:val="center"/>
            </w:pPr>
            <w:r>
              <w:rPr>
                <w:rFonts w:ascii="Arial" w:eastAsia="Arial" w:hAnsi="Arial" w:cs="Arial"/>
                <w:color w:val="000000"/>
              </w:rPr>
              <w:t>Orange</w:t>
            </w:r>
          </w:p>
        </w:tc>
        <w:tc>
          <w:tcPr>
            <w:tcW w:w="1339" w:type="dxa"/>
            <w:tcBorders>
              <w:top w:val="single" w:sz="6" w:space="0" w:color="000000"/>
              <w:left w:val="single" w:sz="6" w:space="0" w:color="000000"/>
              <w:bottom w:val="single" w:sz="6" w:space="0" w:color="000000"/>
              <w:right w:val="single" w:sz="6" w:space="0" w:color="000000"/>
            </w:tcBorders>
            <w:shd w:val="clear" w:color="auto" w:fill="FFFF00"/>
            <w:tcMar>
              <w:left w:w="90" w:type="dxa"/>
              <w:right w:w="90" w:type="dxa"/>
            </w:tcMar>
            <w:vAlign w:val="center"/>
          </w:tcPr>
          <w:p w14:paraId="106EB909" w14:textId="77777777" w:rsidR="00AA7951" w:rsidRDefault="00000000">
            <w:pPr>
              <w:spacing w:after="0" w:line="259" w:lineRule="auto"/>
              <w:jc w:val="center"/>
            </w:pPr>
            <w:r>
              <w:rPr>
                <w:rFonts w:ascii="Arial" w:eastAsia="Arial" w:hAnsi="Arial" w:cs="Arial"/>
                <w:color w:val="000000"/>
              </w:rPr>
              <w:t>Yellow</w:t>
            </w:r>
          </w:p>
        </w:tc>
        <w:tc>
          <w:tcPr>
            <w:tcW w:w="1451" w:type="dxa"/>
            <w:tcBorders>
              <w:top w:val="single" w:sz="6" w:space="0" w:color="000000"/>
              <w:left w:val="single" w:sz="6" w:space="0" w:color="000000"/>
              <w:bottom w:val="single" w:sz="6" w:space="0" w:color="000000"/>
              <w:right w:val="single" w:sz="6" w:space="0" w:color="000000"/>
            </w:tcBorders>
            <w:shd w:val="clear" w:color="auto" w:fill="006500"/>
            <w:tcMar>
              <w:left w:w="90" w:type="dxa"/>
              <w:right w:w="90" w:type="dxa"/>
            </w:tcMar>
            <w:vAlign w:val="center"/>
          </w:tcPr>
          <w:p w14:paraId="1FE11960" w14:textId="77777777" w:rsidR="00AA7951" w:rsidRDefault="00000000">
            <w:pPr>
              <w:spacing w:after="0" w:line="259" w:lineRule="auto"/>
              <w:jc w:val="center"/>
            </w:pPr>
            <w:r>
              <w:rPr>
                <w:rFonts w:ascii="Arial" w:eastAsia="Arial" w:hAnsi="Arial" w:cs="Arial"/>
                <w:color w:val="FFFFFF"/>
              </w:rPr>
              <w:t>Green</w:t>
            </w:r>
          </w:p>
        </w:tc>
        <w:tc>
          <w:tcPr>
            <w:tcW w:w="1440" w:type="dxa"/>
            <w:tcBorders>
              <w:top w:val="single" w:sz="6" w:space="0" w:color="000000"/>
              <w:left w:val="single" w:sz="6" w:space="0" w:color="000000"/>
              <w:bottom w:val="single" w:sz="6" w:space="0" w:color="000000"/>
              <w:right w:val="single" w:sz="6" w:space="0" w:color="000000"/>
            </w:tcBorders>
            <w:shd w:val="clear" w:color="auto" w:fill="006500"/>
            <w:tcMar>
              <w:left w:w="90" w:type="dxa"/>
              <w:right w:w="90" w:type="dxa"/>
            </w:tcMar>
            <w:vAlign w:val="center"/>
          </w:tcPr>
          <w:p w14:paraId="52537174" w14:textId="77777777" w:rsidR="00AA7951" w:rsidRDefault="00000000">
            <w:pPr>
              <w:spacing w:after="0" w:line="259" w:lineRule="auto"/>
              <w:jc w:val="center"/>
            </w:pPr>
            <w:r>
              <w:rPr>
                <w:rFonts w:ascii="Arial" w:eastAsia="Arial" w:hAnsi="Arial" w:cs="Arial"/>
                <w:color w:val="FFFFFF"/>
              </w:rPr>
              <w:t>Green</w:t>
            </w:r>
          </w:p>
        </w:tc>
        <w:tc>
          <w:tcPr>
            <w:tcW w:w="1620" w:type="dxa"/>
            <w:tcBorders>
              <w:top w:val="single" w:sz="6" w:space="0" w:color="000000"/>
              <w:left w:val="single" w:sz="6" w:space="0" w:color="000000"/>
              <w:bottom w:val="single" w:sz="6" w:space="0" w:color="000000"/>
              <w:right w:val="single" w:sz="6" w:space="0" w:color="000000"/>
            </w:tcBorders>
            <w:shd w:val="clear" w:color="auto" w:fill="0000FF"/>
            <w:tcMar>
              <w:left w:w="90" w:type="dxa"/>
              <w:right w:w="90" w:type="dxa"/>
            </w:tcMar>
            <w:vAlign w:val="center"/>
          </w:tcPr>
          <w:p w14:paraId="7FB7514A" w14:textId="77777777" w:rsidR="00AA7951" w:rsidRDefault="00000000">
            <w:pPr>
              <w:spacing w:after="0" w:line="259" w:lineRule="auto"/>
              <w:jc w:val="center"/>
            </w:pPr>
            <w:r>
              <w:rPr>
                <w:rFonts w:ascii="Arial" w:eastAsia="Arial" w:hAnsi="Arial" w:cs="Arial"/>
                <w:color w:val="FFFFFF"/>
              </w:rPr>
              <w:t>Blue</w:t>
            </w:r>
          </w:p>
        </w:tc>
      </w:tr>
      <w:tr w:rsidR="00AA7951" w14:paraId="09F0B8BE" w14:textId="77777777">
        <w:tc>
          <w:tcPr>
            <w:tcW w:w="1702" w:type="dxa"/>
            <w:tcBorders>
              <w:top w:val="single" w:sz="6" w:space="0" w:color="000000"/>
              <w:left w:val="single" w:sz="6" w:space="0" w:color="000000"/>
              <w:bottom w:val="single" w:sz="6" w:space="0" w:color="000000"/>
              <w:right w:val="single" w:sz="6" w:space="0" w:color="000000"/>
            </w:tcBorders>
            <w:shd w:val="clear" w:color="000000" w:fill="FFFFFF"/>
            <w:tcMar>
              <w:left w:w="90" w:type="dxa"/>
              <w:right w:w="90" w:type="dxa"/>
            </w:tcMar>
            <w:vAlign w:val="center"/>
          </w:tcPr>
          <w:p w14:paraId="19497B9C" w14:textId="77777777" w:rsidR="00AA7951" w:rsidRDefault="00000000">
            <w:pPr>
              <w:spacing w:after="0" w:line="259" w:lineRule="auto"/>
              <w:jc w:val="center"/>
            </w:pPr>
            <w:r>
              <w:rPr>
                <w:rFonts w:ascii="Arial" w:eastAsia="Arial" w:hAnsi="Arial" w:cs="Arial"/>
                <w:b/>
                <w:color w:val="000000"/>
              </w:rPr>
              <w:t>Medium</w:t>
            </w:r>
          </w:p>
        </w:tc>
        <w:tc>
          <w:tcPr>
            <w:tcW w:w="1710" w:type="dxa"/>
            <w:tcBorders>
              <w:top w:val="single" w:sz="6" w:space="0" w:color="000000"/>
              <w:left w:val="single" w:sz="6" w:space="0" w:color="000000"/>
              <w:bottom w:val="single" w:sz="6" w:space="0" w:color="000000"/>
              <w:right w:val="single" w:sz="6" w:space="0" w:color="000000"/>
            </w:tcBorders>
            <w:shd w:val="clear" w:color="auto" w:fill="FFA500"/>
            <w:tcMar>
              <w:left w:w="90" w:type="dxa"/>
              <w:right w:w="90" w:type="dxa"/>
            </w:tcMar>
            <w:vAlign w:val="center"/>
          </w:tcPr>
          <w:p w14:paraId="468D5DEE" w14:textId="77777777" w:rsidR="00AA7951" w:rsidRDefault="00000000">
            <w:pPr>
              <w:spacing w:after="0" w:line="259" w:lineRule="auto"/>
              <w:jc w:val="center"/>
            </w:pPr>
            <w:r>
              <w:rPr>
                <w:rFonts w:ascii="Arial" w:eastAsia="Arial" w:hAnsi="Arial" w:cs="Arial"/>
                <w:color w:val="000000"/>
              </w:rPr>
              <w:t>Orange</w:t>
            </w:r>
          </w:p>
        </w:tc>
        <w:tc>
          <w:tcPr>
            <w:tcW w:w="1339" w:type="dxa"/>
            <w:tcBorders>
              <w:top w:val="single" w:sz="6" w:space="0" w:color="000000"/>
              <w:left w:val="single" w:sz="6" w:space="0" w:color="000000"/>
              <w:bottom w:val="single" w:sz="6" w:space="0" w:color="000000"/>
              <w:right w:val="single" w:sz="6" w:space="0" w:color="000000"/>
            </w:tcBorders>
            <w:shd w:val="clear" w:color="auto" w:fill="FFA500"/>
            <w:tcMar>
              <w:left w:w="90" w:type="dxa"/>
              <w:right w:w="90" w:type="dxa"/>
            </w:tcMar>
            <w:vAlign w:val="center"/>
          </w:tcPr>
          <w:p w14:paraId="31819B50" w14:textId="77777777" w:rsidR="00AA7951" w:rsidRDefault="00000000">
            <w:pPr>
              <w:spacing w:after="0" w:line="259" w:lineRule="auto"/>
              <w:jc w:val="center"/>
            </w:pPr>
            <w:r>
              <w:rPr>
                <w:rFonts w:ascii="Arial" w:eastAsia="Arial" w:hAnsi="Arial" w:cs="Arial"/>
                <w:color w:val="000000"/>
              </w:rPr>
              <w:t>Orange</w:t>
            </w:r>
          </w:p>
        </w:tc>
        <w:tc>
          <w:tcPr>
            <w:tcW w:w="1451" w:type="dxa"/>
            <w:tcBorders>
              <w:top w:val="single" w:sz="6" w:space="0" w:color="000000"/>
              <w:left w:val="single" w:sz="6" w:space="0" w:color="000000"/>
              <w:bottom w:val="single" w:sz="6" w:space="0" w:color="000000"/>
              <w:right w:val="single" w:sz="6" w:space="0" w:color="000000"/>
            </w:tcBorders>
            <w:shd w:val="clear" w:color="auto" w:fill="FFFF00"/>
            <w:tcMar>
              <w:left w:w="90" w:type="dxa"/>
              <w:right w:w="90" w:type="dxa"/>
            </w:tcMar>
            <w:vAlign w:val="center"/>
          </w:tcPr>
          <w:p w14:paraId="0E1948CC" w14:textId="77777777" w:rsidR="00AA7951" w:rsidRDefault="00000000">
            <w:pPr>
              <w:spacing w:after="0" w:line="259" w:lineRule="auto"/>
              <w:jc w:val="center"/>
            </w:pPr>
            <w:r>
              <w:rPr>
                <w:rFonts w:ascii="Arial" w:eastAsia="Arial" w:hAnsi="Arial" w:cs="Arial"/>
                <w:color w:val="000000"/>
              </w:rPr>
              <w:t>Yellow</w:t>
            </w:r>
          </w:p>
        </w:tc>
        <w:tc>
          <w:tcPr>
            <w:tcW w:w="1440" w:type="dxa"/>
            <w:tcBorders>
              <w:top w:val="single" w:sz="6" w:space="0" w:color="000000"/>
              <w:left w:val="single" w:sz="6" w:space="0" w:color="000000"/>
              <w:bottom w:val="single" w:sz="6" w:space="0" w:color="000000"/>
              <w:right w:val="single" w:sz="6" w:space="0" w:color="000000"/>
            </w:tcBorders>
            <w:shd w:val="clear" w:color="auto" w:fill="006500"/>
            <w:tcMar>
              <w:left w:w="90" w:type="dxa"/>
              <w:right w:w="90" w:type="dxa"/>
            </w:tcMar>
            <w:vAlign w:val="center"/>
          </w:tcPr>
          <w:p w14:paraId="5615903D" w14:textId="77777777" w:rsidR="00AA7951" w:rsidRDefault="00000000">
            <w:pPr>
              <w:spacing w:after="0" w:line="259" w:lineRule="auto"/>
              <w:jc w:val="center"/>
            </w:pPr>
            <w:r>
              <w:rPr>
                <w:rFonts w:ascii="Arial" w:eastAsia="Arial" w:hAnsi="Arial" w:cs="Arial"/>
                <w:color w:val="FFFFFF"/>
              </w:rPr>
              <w:t>Green</w:t>
            </w:r>
          </w:p>
        </w:tc>
        <w:tc>
          <w:tcPr>
            <w:tcW w:w="1620" w:type="dxa"/>
            <w:tcBorders>
              <w:top w:val="single" w:sz="6" w:space="0" w:color="000000"/>
              <w:left w:val="single" w:sz="6" w:space="0" w:color="000000"/>
              <w:bottom w:val="single" w:sz="6" w:space="0" w:color="000000"/>
              <w:right w:val="single" w:sz="6" w:space="0" w:color="000000"/>
            </w:tcBorders>
            <w:shd w:val="clear" w:color="auto" w:fill="006500"/>
            <w:tcMar>
              <w:left w:w="90" w:type="dxa"/>
              <w:right w:w="90" w:type="dxa"/>
            </w:tcMar>
            <w:vAlign w:val="center"/>
          </w:tcPr>
          <w:p w14:paraId="199A4E08" w14:textId="77777777" w:rsidR="00AA7951" w:rsidRDefault="00000000">
            <w:pPr>
              <w:spacing w:after="0" w:line="259" w:lineRule="auto"/>
              <w:jc w:val="center"/>
            </w:pPr>
            <w:r>
              <w:rPr>
                <w:rFonts w:ascii="Arial" w:eastAsia="Arial" w:hAnsi="Arial" w:cs="Arial"/>
                <w:color w:val="FFFFFF"/>
              </w:rPr>
              <w:t>Green</w:t>
            </w:r>
          </w:p>
        </w:tc>
      </w:tr>
      <w:tr w:rsidR="00AA7951" w14:paraId="170C8A1C" w14:textId="77777777">
        <w:tc>
          <w:tcPr>
            <w:tcW w:w="1702" w:type="dxa"/>
            <w:tcBorders>
              <w:top w:val="single" w:sz="6" w:space="0" w:color="000000"/>
              <w:left w:val="single" w:sz="6" w:space="0" w:color="000000"/>
              <w:bottom w:val="single" w:sz="6" w:space="0" w:color="000000"/>
              <w:right w:val="single" w:sz="6" w:space="0" w:color="000000"/>
            </w:tcBorders>
            <w:shd w:val="clear" w:color="000000" w:fill="FFFFFF"/>
            <w:tcMar>
              <w:left w:w="90" w:type="dxa"/>
              <w:right w:w="90" w:type="dxa"/>
            </w:tcMar>
            <w:vAlign w:val="center"/>
          </w:tcPr>
          <w:p w14:paraId="1E16C85B" w14:textId="77777777" w:rsidR="00AA7951" w:rsidRDefault="00000000">
            <w:pPr>
              <w:spacing w:after="0" w:line="259" w:lineRule="auto"/>
              <w:jc w:val="center"/>
            </w:pPr>
            <w:r>
              <w:rPr>
                <w:rFonts w:ascii="Arial" w:eastAsia="Arial" w:hAnsi="Arial" w:cs="Arial"/>
                <w:b/>
                <w:color w:val="000000"/>
              </w:rPr>
              <w:t>Low</w:t>
            </w:r>
          </w:p>
        </w:tc>
        <w:tc>
          <w:tcPr>
            <w:tcW w:w="1710" w:type="dxa"/>
            <w:tcBorders>
              <w:top w:val="single" w:sz="6" w:space="0" w:color="000000"/>
              <w:left w:val="single" w:sz="6" w:space="0" w:color="000000"/>
              <w:bottom w:val="single" w:sz="6" w:space="0" w:color="000000"/>
              <w:right w:val="single" w:sz="6" w:space="0" w:color="000000"/>
            </w:tcBorders>
            <w:shd w:val="clear" w:color="auto" w:fill="A20000"/>
            <w:tcMar>
              <w:left w:w="90" w:type="dxa"/>
              <w:right w:w="90" w:type="dxa"/>
            </w:tcMar>
            <w:vAlign w:val="center"/>
          </w:tcPr>
          <w:p w14:paraId="145B61C4" w14:textId="77777777" w:rsidR="00AA7951" w:rsidRDefault="00000000">
            <w:pPr>
              <w:spacing w:after="0" w:line="259" w:lineRule="auto"/>
              <w:jc w:val="center"/>
            </w:pPr>
            <w:r>
              <w:rPr>
                <w:rFonts w:ascii="Arial" w:eastAsia="Arial" w:hAnsi="Arial" w:cs="Arial"/>
                <w:color w:val="FFFFFF"/>
              </w:rPr>
              <w:t>Red</w:t>
            </w:r>
          </w:p>
        </w:tc>
        <w:tc>
          <w:tcPr>
            <w:tcW w:w="1339" w:type="dxa"/>
            <w:tcBorders>
              <w:top w:val="single" w:sz="6" w:space="0" w:color="000000"/>
              <w:left w:val="single" w:sz="6" w:space="0" w:color="000000"/>
              <w:bottom w:val="single" w:sz="6" w:space="0" w:color="000000"/>
              <w:right w:val="single" w:sz="6" w:space="0" w:color="000000"/>
            </w:tcBorders>
            <w:shd w:val="clear" w:color="auto" w:fill="FFA500"/>
            <w:tcMar>
              <w:left w:w="90" w:type="dxa"/>
              <w:right w:w="90" w:type="dxa"/>
            </w:tcMar>
            <w:vAlign w:val="center"/>
          </w:tcPr>
          <w:p w14:paraId="22AF7ED8" w14:textId="77777777" w:rsidR="00AA7951" w:rsidRDefault="00000000">
            <w:pPr>
              <w:spacing w:after="0" w:line="259" w:lineRule="auto"/>
              <w:jc w:val="center"/>
            </w:pPr>
            <w:r>
              <w:rPr>
                <w:rFonts w:ascii="Arial" w:eastAsia="Arial" w:hAnsi="Arial" w:cs="Arial"/>
                <w:color w:val="000000"/>
              </w:rPr>
              <w:t>Orange</w:t>
            </w:r>
          </w:p>
        </w:tc>
        <w:tc>
          <w:tcPr>
            <w:tcW w:w="1451" w:type="dxa"/>
            <w:tcBorders>
              <w:top w:val="single" w:sz="6" w:space="0" w:color="000000"/>
              <w:left w:val="single" w:sz="6" w:space="0" w:color="000000"/>
              <w:bottom w:val="single" w:sz="6" w:space="0" w:color="000000"/>
              <w:right w:val="single" w:sz="6" w:space="0" w:color="000000"/>
            </w:tcBorders>
            <w:shd w:val="clear" w:color="auto" w:fill="FFA500"/>
            <w:tcMar>
              <w:left w:w="90" w:type="dxa"/>
              <w:right w:w="90" w:type="dxa"/>
            </w:tcMar>
            <w:vAlign w:val="center"/>
          </w:tcPr>
          <w:p w14:paraId="2C093DF5" w14:textId="77777777" w:rsidR="00AA7951" w:rsidRDefault="00000000">
            <w:pPr>
              <w:spacing w:after="0" w:line="259" w:lineRule="auto"/>
              <w:jc w:val="center"/>
            </w:pPr>
            <w:r>
              <w:rPr>
                <w:rFonts w:ascii="Arial" w:eastAsia="Arial" w:hAnsi="Arial" w:cs="Arial"/>
                <w:color w:val="000000"/>
              </w:rPr>
              <w:t>Orange</w:t>
            </w:r>
          </w:p>
        </w:tc>
        <w:tc>
          <w:tcPr>
            <w:tcW w:w="1440" w:type="dxa"/>
            <w:tcBorders>
              <w:top w:val="single" w:sz="6" w:space="0" w:color="000000"/>
              <w:left w:val="single" w:sz="6" w:space="0" w:color="000000"/>
              <w:bottom w:val="single" w:sz="6" w:space="0" w:color="000000"/>
              <w:right w:val="single" w:sz="6" w:space="0" w:color="000000"/>
            </w:tcBorders>
            <w:shd w:val="clear" w:color="auto" w:fill="FFFF00"/>
            <w:tcMar>
              <w:left w:w="90" w:type="dxa"/>
              <w:right w:w="90" w:type="dxa"/>
            </w:tcMar>
            <w:vAlign w:val="center"/>
          </w:tcPr>
          <w:p w14:paraId="08D6F682" w14:textId="77777777" w:rsidR="00AA7951" w:rsidRDefault="00000000">
            <w:pPr>
              <w:spacing w:after="0" w:line="259" w:lineRule="auto"/>
              <w:jc w:val="center"/>
            </w:pPr>
            <w:r>
              <w:rPr>
                <w:rFonts w:ascii="Arial" w:eastAsia="Arial" w:hAnsi="Arial" w:cs="Arial"/>
                <w:color w:val="000000"/>
              </w:rPr>
              <w:t>Yellow</w:t>
            </w:r>
          </w:p>
        </w:tc>
        <w:tc>
          <w:tcPr>
            <w:tcW w:w="1620" w:type="dxa"/>
            <w:tcBorders>
              <w:top w:val="single" w:sz="6" w:space="0" w:color="000000"/>
              <w:left w:val="single" w:sz="6" w:space="0" w:color="000000"/>
              <w:bottom w:val="single" w:sz="6" w:space="0" w:color="000000"/>
              <w:right w:val="single" w:sz="6" w:space="0" w:color="000000"/>
            </w:tcBorders>
            <w:shd w:val="clear" w:color="auto" w:fill="FFFF00"/>
            <w:tcMar>
              <w:left w:w="90" w:type="dxa"/>
              <w:right w:w="90" w:type="dxa"/>
            </w:tcMar>
            <w:vAlign w:val="center"/>
          </w:tcPr>
          <w:p w14:paraId="65EF21E7" w14:textId="77777777" w:rsidR="00AA7951" w:rsidRDefault="00000000">
            <w:pPr>
              <w:spacing w:after="0" w:line="259" w:lineRule="auto"/>
              <w:jc w:val="center"/>
            </w:pPr>
            <w:r>
              <w:rPr>
                <w:rFonts w:ascii="Arial" w:eastAsia="Arial" w:hAnsi="Arial" w:cs="Arial"/>
                <w:color w:val="000000"/>
              </w:rPr>
              <w:t>Yellow</w:t>
            </w:r>
          </w:p>
        </w:tc>
      </w:tr>
      <w:tr w:rsidR="00AA7951" w14:paraId="3889A1C8" w14:textId="77777777">
        <w:tc>
          <w:tcPr>
            <w:tcW w:w="1702" w:type="dxa"/>
            <w:tcBorders>
              <w:top w:val="single" w:sz="6" w:space="0" w:color="000000"/>
              <w:left w:val="single" w:sz="6" w:space="0" w:color="000000"/>
              <w:bottom w:val="single" w:sz="6" w:space="0" w:color="000000"/>
              <w:right w:val="single" w:sz="6" w:space="0" w:color="000000"/>
            </w:tcBorders>
            <w:shd w:val="clear" w:color="000000" w:fill="FFFFFF"/>
            <w:tcMar>
              <w:left w:w="90" w:type="dxa"/>
              <w:right w:w="90" w:type="dxa"/>
            </w:tcMar>
            <w:vAlign w:val="center"/>
          </w:tcPr>
          <w:p w14:paraId="4F37B18A" w14:textId="77777777" w:rsidR="00AA7951" w:rsidRDefault="00000000">
            <w:pPr>
              <w:spacing w:after="0" w:line="259" w:lineRule="auto"/>
              <w:jc w:val="center"/>
            </w:pPr>
            <w:r>
              <w:rPr>
                <w:rFonts w:ascii="Arial" w:eastAsia="Arial" w:hAnsi="Arial" w:cs="Arial"/>
                <w:b/>
                <w:color w:val="000000"/>
              </w:rPr>
              <w:t>Very Low</w:t>
            </w:r>
          </w:p>
        </w:tc>
        <w:tc>
          <w:tcPr>
            <w:tcW w:w="1710" w:type="dxa"/>
            <w:tcBorders>
              <w:top w:val="single" w:sz="6" w:space="0" w:color="000000"/>
              <w:left w:val="single" w:sz="6" w:space="0" w:color="000000"/>
              <w:bottom w:val="single" w:sz="6" w:space="0" w:color="000000"/>
              <w:right w:val="single" w:sz="6" w:space="0" w:color="000000"/>
            </w:tcBorders>
            <w:shd w:val="clear" w:color="auto" w:fill="A20000"/>
            <w:tcMar>
              <w:left w:w="90" w:type="dxa"/>
              <w:right w:w="90" w:type="dxa"/>
            </w:tcMar>
            <w:vAlign w:val="center"/>
          </w:tcPr>
          <w:p w14:paraId="4A39DF31" w14:textId="77777777" w:rsidR="00AA7951" w:rsidRDefault="00000000">
            <w:pPr>
              <w:spacing w:after="0" w:line="259" w:lineRule="auto"/>
              <w:jc w:val="center"/>
            </w:pPr>
            <w:r>
              <w:rPr>
                <w:rFonts w:ascii="Arial" w:eastAsia="Arial" w:hAnsi="Arial" w:cs="Arial"/>
                <w:color w:val="FFFFFF"/>
              </w:rPr>
              <w:t>Red</w:t>
            </w:r>
          </w:p>
        </w:tc>
        <w:tc>
          <w:tcPr>
            <w:tcW w:w="1339" w:type="dxa"/>
            <w:tcBorders>
              <w:top w:val="single" w:sz="6" w:space="0" w:color="000000"/>
              <w:left w:val="single" w:sz="6" w:space="0" w:color="000000"/>
              <w:bottom w:val="single" w:sz="6" w:space="0" w:color="000000"/>
              <w:right w:val="single" w:sz="6" w:space="0" w:color="000000"/>
            </w:tcBorders>
            <w:shd w:val="clear" w:color="auto" w:fill="A20000"/>
            <w:tcMar>
              <w:left w:w="90" w:type="dxa"/>
              <w:right w:w="90" w:type="dxa"/>
            </w:tcMar>
            <w:vAlign w:val="center"/>
          </w:tcPr>
          <w:p w14:paraId="4FA98582" w14:textId="77777777" w:rsidR="00AA7951" w:rsidRDefault="00000000">
            <w:pPr>
              <w:spacing w:after="0" w:line="259" w:lineRule="auto"/>
              <w:jc w:val="center"/>
            </w:pPr>
            <w:r>
              <w:rPr>
                <w:rFonts w:ascii="Arial" w:eastAsia="Arial" w:hAnsi="Arial" w:cs="Arial"/>
                <w:color w:val="FFFFFF"/>
              </w:rPr>
              <w:t>Red</w:t>
            </w:r>
          </w:p>
        </w:tc>
        <w:tc>
          <w:tcPr>
            <w:tcW w:w="1451" w:type="dxa"/>
            <w:tcBorders>
              <w:top w:val="single" w:sz="6" w:space="0" w:color="000000"/>
              <w:left w:val="single" w:sz="6" w:space="0" w:color="000000"/>
              <w:bottom w:val="single" w:sz="6" w:space="0" w:color="000000"/>
              <w:right w:val="single" w:sz="6" w:space="0" w:color="000000"/>
            </w:tcBorders>
            <w:shd w:val="clear" w:color="auto" w:fill="A20000"/>
            <w:tcMar>
              <w:left w:w="90" w:type="dxa"/>
              <w:right w:w="90" w:type="dxa"/>
            </w:tcMar>
            <w:vAlign w:val="center"/>
          </w:tcPr>
          <w:p w14:paraId="0F01FA31" w14:textId="77777777" w:rsidR="00AA7951" w:rsidRDefault="00000000">
            <w:pPr>
              <w:spacing w:after="0" w:line="259" w:lineRule="auto"/>
              <w:jc w:val="center"/>
            </w:pPr>
            <w:r>
              <w:rPr>
                <w:rFonts w:ascii="Arial" w:eastAsia="Arial" w:hAnsi="Arial" w:cs="Arial"/>
                <w:color w:val="FFFFFF"/>
              </w:rPr>
              <w:t>Red</w:t>
            </w:r>
          </w:p>
        </w:tc>
        <w:tc>
          <w:tcPr>
            <w:tcW w:w="1440" w:type="dxa"/>
            <w:tcBorders>
              <w:top w:val="single" w:sz="6" w:space="0" w:color="000000"/>
              <w:left w:val="single" w:sz="6" w:space="0" w:color="000000"/>
              <w:bottom w:val="single" w:sz="6" w:space="0" w:color="000000"/>
              <w:right w:val="single" w:sz="6" w:space="0" w:color="000000"/>
            </w:tcBorders>
            <w:shd w:val="clear" w:color="auto" w:fill="FFA500"/>
            <w:tcMar>
              <w:left w:w="90" w:type="dxa"/>
              <w:right w:w="90" w:type="dxa"/>
            </w:tcMar>
            <w:vAlign w:val="center"/>
          </w:tcPr>
          <w:p w14:paraId="690E4269" w14:textId="77777777" w:rsidR="00AA7951" w:rsidRDefault="00000000">
            <w:pPr>
              <w:spacing w:after="0" w:line="259" w:lineRule="auto"/>
              <w:jc w:val="center"/>
            </w:pPr>
            <w:r>
              <w:rPr>
                <w:rFonts w:ascii="Arial" w:eastAsia="Arial" w:hAnsi="Arial" w:cs="Arial"/>
                <w:color w:val="000000"/>
              </w:rPr>
              <w:t>Orange</w:t>
            </w:r>
          </w:p>
        </w:tc>
        <w:tc>
          <w:tcPr>
            <w:tcW w:w="1620" w:type="dxa"/>
            <w:tcBorders>
              <w:top w:val="single" w:sz="6" w:space="0" w:color="000000"/>
              <w:left w:val="single" w:sz="6" w:space="0" w:color="000000"/>
              <w:bottom w:val="single" w:sz="6" w:space="0" w:color="000000"/>
              <w:right w:val="single" w:sz="6" w:space="0" w:color="000000"/>
            </w:tcBorders>
            <w:shd w:val="clear" w:color="auto" w:fill="FFFF00"/>
            <w:tcMar>
              <w:left w:w="90" w:type="dxa"/>
              <w:right w:w="90" w:type="dxa"/>
            </w:tcMar>
            <w:vAlign w:val="center"/>
          </w:tcPr>
          <w:p w14:paraId="2DF19C27" w14:textId="77777777" w:rsidR="00AA7951" w:rsidRDefault="00000000">
            <w:pPr>
              <w:spacing w:after="0" w:line="259" w:lineRule="auto"/>
              <w:jc w:val="center"/>
            </w:pPr>
            <w:r>
              <w:rPr>
                <w:rFonts w:ascii="Arial" w:eastAsia="Arial" w:hAnsi="Arial" w:cs="Arial"/>
                <w:color w:val="000000"/>
              </w:rPr>
              <w:t>Yellow</w:t>
            </w:r>
          </w:p>
        </w:tc>
      </w:tr>
    </w:tbl>
    <w:p w14:paraId="02EB378F" w14:textId="77777777" w:rsidR="00AA7951" w:rsidRDefault="00AA7951">
      <w:pPr>
        <w:spacing w:after="0" w:line="240" w:lineRule="auto"/>
        <w:rPr>
          <w:rFonts w:ascii="Arial" w:eastAsia="Arial" w:hAnsi="Arial" w:cs="Arial"/>
          <w:color w:val="000000"/>
        </w:rPr>
      </w:pPr>
    </w:p>
    <w:p w14:paraId="58DA4F82" w14:textId="77777777" w:rsidR="00AA7951" w:rsidRDefault="00000000">
      <w:pPr>
        <w:spacing w:after="0" w:line="240" w:lineRule="auto"/>
        <w:rPr>
          <w:rFonts w:ascii="Arial" w:eastAsia="Arial" w:hAnsi="Arial" w:cs="Arial"/>
          <w:color w:val="000000"/>
        </w:rPr>
      </w:pPr>
      <w:r>
        <w:rPr>
          <w:rFonts w:ascii="Arial" w:eastAsia="Arial" w:hAnsi="Arial" w:cs="Arial"/>
          <w:color w:val="000000"/>
        </w:rPr>
        <w:t>​</w:t>
      </w:r>
    </w:p>
    <w:p w14:paraId="5816D0A2" w14:textId="77777777" w:rsidR="00AA7951" w:rsidRDefault="68C9F5B2" w:rsidP="68C9F5B2">
      <w:pPr>
        <w:spacing w:line="240" w:lineRule="auto"/>
        <w:rPr>
          <w:rFonts w:ascii="Arial" w:eastAsia="Arial" w:hAnsi="Arial" w:cs="Arial"/>
          <w:color w:val="000000"/>
        </w:rPr>
      </w:pPr>
      <w:r w:rsidRPr="68C9F5B2">
        <w:rPr>
          <w:rFonts w:ascii="Arial" w:eastAsia="Arial" w:hAnsi="Arial" w:cs="Arial"/>
          <w:color w:val="000000"/>
        </w:rPr>
        <w:t>As a reminder, for some indicators very low is the desired outcome, so each indicator will have its five-by-five colored table which properly identifies its Performance Level.</w:t>
      </w:r>
    </w:p>
    <w:p w14:paraId="3E8FF9AE" w14:textId="3927C2D2" w:rsidR="00AA7951" w:rsidRDefault="00000000">
      <w:pPr>
        <w:spacing w:after="360" w:line="259" w:lineRule="auto"/>
        <w:rPr>
          <w:rFonts w:ascii="Arial" w:eastAsia="Arial" w:hAnsi="Arial" w:cs="Arial"/>
        </w:rPr>
      </w:pPr>
      <w:r>
        <w:rPr>
          <w:rFonts w:ascii="Arial" w:eastAsia="Arial" w:hAnsi="Arial" w:cs="Arial"/>
        </w:rPr>
        <w:t xml:space="preserve">Five-by-five tables and cut scores are available for each of the indicators and can be found on the CDE Five-by-Five Colored Tables web page at </w:t>
      </w:r>
      <w:hyperlink r:id="rId9" w:tooltip="Five-by-Five Colored Tables">
        <w:r>
          <w:rPr>
            <w:rFonts w:ascii="Arial" w:eastAsia="Arial" w:hAnsi="Arial" w:cs="Arial"/>
            <w:color w:val="0000FF"/>
            <w:u w:val="single"/>
          </w:rPr>
          <w:t>https://www.cde.ca.gov/ta/ac/cm/fivebyfivecolortables23.asp</w:t>
        </w:r>
      </w:hyperlink>
      <w:r>
        <w:rPr>
          <w:rFonts w:ascii="Arial" w:eastAsia="Arial" w:hAnsi="Arial" w:cs="Arial"/>
        </w:rPr>
        <w:t>.</w:t>
      </w:r>
    </w:p>
    <w:p w14:paraId="696152E7" w14:textId="77777777" w:rsidR="00AA7951" w:rsidRDefault="00000000" w:rsidP="00CE0F9A">
      <w:pPr>
        <w:pStyle w:val="Heading3"/>
        <w:rPr>
          <w:rFonts w:ascii="Times New Roman" w:eastAsia="Times New Roman" w:hAnsi="Times New Roman" w:cs="Times New Roman"/>
        </w:rPr>
      </w:pPr>
      <w:r>
        <w:t>Three-by-Five Tables</w:t>
      </w:r>
    </w:p>
    <w:p w14:paraId="12772C7E" w14:textId="77777777" w:rsidR="00AA7951" w:rsidRDefault="00000000">
      <w:pPr>
        <w:spacing w:after="0" w:line="240" w:lineRule="auto"/>
        <w:rPr>
          <w:rFonts w:ascii="Arial" w:eastAsia="Arial" w:hAnsi="Arial" w:cs="Arial"/>
          <w:color w:val="000000"/>
        </w:rPr>
      </w:pPr>
      <w:r>
        <w:rPr>
          <w:rFonts w:ascii="Arial" w:eastAsia="Arial" w:hAnsi="Arial" w:cs="Arial"/>
          <w:color w:val="000000"/>
        </w:rPr>
        <w:t xml:space="preserve">Select LEAs and schools with small populations are more susceptible to large swings in results from year to year. To account for this, A three-by-five colored table is applied </w:t>
      </w:r>
      <w:r>
        <w:rPr>
          <w:rFonts w:ascii="Arial" w:eastAsia="Arial" w:hAnsi="Arial" w:cs="Arial"/>
          <w:color w:val="000000"/>
        </w:rPr>
        <w:lastRenderedPageBreak/>
        <w:t xml:space="preserve">when the N-size is less than 150 at the LEA, school, and student group levels​ for certain indicators. </w:t>
      </w:r>
    </w:p>
    <w:p w14:paraId="5B8E9A4F" w14:textId="77777777" w:rsidR="00AA7951" w:rsidRDefault="00000000">
      <w:pPr>
        <w:keepNext/>
        <w:spacing w:before="240" w:after="120" w:line="240" w:lineRule="auto"/>
        <w:rPr>
          <w:rFonts w:ascii="Arial" w:eastAsia="Arial" w:hAnsi="Arial" w:cs="Arial"/>
        </w:rPr>
      </w:pPr>
      <w:r>
        <w:rPr>
          <w:rFonts w:ascii="Arial" w:eastAsia="Arial" w:hAnsi="Arial" w:cs="Arial"/>
        </w:rPr>
        <w:t>Table 3: Three-by-Five Table</w:t>
      </w:r>
    </w:p>
    <w:tbl>
      <w:tblPr>
        <w:tblW w:w="0" w:type="auto"/>
        <w:tblInd w:w="90" w:type="dxa"/>
        <w:tblCellMar>
          <w:left w:w="10" w:type="dxa"/>
          <w:right w:w="10" w:type="dxa"/>
        </w:tblCellMar>
        <w:tblLook w:val="0000" w:firstRow="0" w:lastRow="0" w:firstColumn="0" w:lastColumn="0" w:noHBand="0" w:noVBand="0"/>
        <w:tblDescription w:val="Three-by-Five Table"/>
      </w:tblPr>
      <w:tblGrid>
        <w:gridCol w:w="1702"/>
        <w:gridCol w:w="1530"/>
        <w:gridCol w:w="1530"/>
        <w:gridCol w:w="1530"/>
      </w:tblGrid>
      <w:tr w:rsidR="00AA7951" w14:paraId="1CAF091F" w14:textId="77777777" w:rsidTr="000F2991">
        <w:trPr>
          <w:cantSplit/>
          <w:tblHeader/>
        </w:trPr>
        <w:tc>
          <w:tcPr>
            <w:tcW w:w="1702" w:type="dxa"/>
            <w:tcBorders>
              <w:top w:val="single" w:sz="6" w:space="0" w:color="000000"/>
              <w:left w:val="single" w:sz="6" w:space="0" w:color="000000"/>
              <w:bottom w:val="single" w:sz="6" w:space="0" w:color="000000"/>
              <w:right w:val="single" w:sz="6" w:space="0" w:color="000000"/>
            </w:tcBorders>
            <w:shd w:val="clear" w:color="000000" w:fill="FFFFFF"/>
            <w:tcMar>
              <w:left w:w="90" w:type="dxa"/>
              <w:right w:w="90" w:type="dxa"/>
            </w:tcMar>
            <w:vAlign w:val="center"/>
          </w:tcPr>
          <w:p w14:paraId="707D4DAA" w14:textId="77777777" w:rsidR="00AA7951" w:rsidRDefault="00000000">
            <w:pPr>
              <w:spacing w:after="0" w:line="259" w:lineRule="auto"/>
              <w:jc w:val="center"/>
            </w:pPr>
            <w:r>
              <w:rPr>
                <w:rFonts w:ascii="Arial" w:eastAsia="Arial" w:hAnsi="Arial" w:cs="Arial"/>
                <w:b/>
                <w:color w:val="000000"/>
              </w:rPr>
              <w:t>Performance Level</w:t>
            </w:r>
          </w:p>
        </w:tc>
        <w:tc>
          <w:tcPr>
            <w:tcW w:w="1530" w:type="dxa"/>
            <w:tcBorders>
              <w:top w:val="single" w:sz="6" w:space="0" w:color="000000"/>
              <w:left w:val="single" w:sz="6" w:space="0" w:color="000000"/>
              <w:bottom w:val="single" w:sz="6" w:space="0" w:color="000000"/>
              <w:right w:val="single" w:sz="6" w:space="0" w:color="000000"/>
            </w:tcBorders>
            <w:shd w:val="clear" w:color="000000" w:fill="FFFFFF"/>
            <w:tcMar>
              <w:left w:w="90" w:type="dxa"/>
              <w:right w:w="90" w:type="dxa"/>
            </w:tcMar>
            <w:vAlign w:val="center"/>
          </w:tcPr>
          <w:p w14:paraId="0A36973D" w14:textId="77777777" w:rsidR="00AA7951" w:rsidRDefault="00000000">
            <w:pPr>
              <w:spacing w:after="0" w:line="259" w:lineRule="auto"/>
              <w:jc w:val="center"/>
            </w:pPr>
            <w:r>
              <w:rPr>
                <w:rFonts w:ascii="Arial" w:eastAsia="Arial" w:hAnsi="Arial" w:cs="Arial"/>
                <w:b/>
                <w:color w:val="000000"/>
              </w:rPr>
              <w:t>Declined</w:t>
            </w:r>
          </w:p>
        </w:tc>
        <w:tc>
          <w:tcPr>
            <w:tcW w:w="1530" w:type="dxa"/>
            <w:tcBorders>
              <w:top w:val="single" w:sz="6" w:space="0" w:color="000000"/>
              <w:left w:val="single" w:sz="6" w:space="0" w:color="000000"/>
              <w:bottom w:val="single" w:sz="6" w:space="0" w:color="000000"/>
              <w:right w:val="single" w:sz="6" w:space="0" w:color="000000"/>
            </w:tcBorders>
            <w:shd w:val="clear" w:color="000000" w:fill="FFFFFF"/>
            <w:tcMar>
              <w:left w:w="90" w:type="dxa"/>
              <w:right w:w="90" w:type="dxa"/>
            </w:tcMar>
            <w:vAlign w:val="center"/>
          </w:tcPr>
          <w:p w14:paraId="1880B748" w14:textId="77777777" w:rsidR="00AA7951" w:rsidRDefault="00000000">
            <w:pPr>
              <w:spacing w:after="0" w:line="259" w:lineRule="auto"/>
              <w:jc w:val="center"/>
            </w:pPr>
            <w:r>
              <w:rPr>
                <w:rFonts w:ascii="Arial" w:eastAsia="Arial" w:hAnsi="Arial" w:cs="Arial"/>
                <w:b/>
                <w:color w:val="000000"/>
              </w:rPr>
              <w:t>Maintained</w:t>
            </w:r>
          </w:p>
        </w:tc>
        <w:tc>
          <w:tcPr>
            <w:tcW w:w="1530" w:type="dxa"/>
            <w:tcBorders>
              <w:top w:val="single" w:sz="6" w:space="0" w:color="000000"/>
              <w:left w:val="single" w:sz="6" w:space="0" w:color="000000"/>
              <w:bottom w:val="single" w:sz="6" w:space="0" w:color="000000"/>
              <w:right w:val="single" w:sz="6" w:space="0" w:color="000000"/>
            </w:tcBorders>
            <w:shd w:val="clear" w:color="000000" w:fill="FFFFFF"/>
            <w:tcMar>
              <w:left w:w="90" w:type="dxa"/>
              <w:right w:w="90" w:type="dxa"/>
            </w:tcMar>
            <w:vAlign w:val="center"/>
          </w:tcPr>
          <w:p w14:paraId="0688C62E" w14:textId="77777777" w:rsidR="00AA7951" w:rsidRDefault="00000000">
            <w:pPr>
              <w:spacing w:after="0" w:line="259" w:lineRule="auto"/>
              <w:jc w:val="center"/>
            </w:pPr>
            <w:r>
              <w:rPr>
                <w:rFonts w:ascii="Arial" w:eastAsia="Arial" w:hAnsi="Arial" w:cs="Arial"/>
                <w:b/>
                <w:color w:val="000000"/>
              </w:rPr>
              <w:t>Increased</w:t>
            </w:r>
          </w:p>
        </w:tc>
      </w:tr>
      <w:tr w:rsidR="00AA7951" w14:paraId="48356013" w14:textId="77777777">
        <w:tc>
          <w:tcPr>
            <w:tcW w:w="1702" w:type="dxa"/>
            <w:tcBorders>
              <w:top w:val="single" w:sz="6" w:space="0" w:color="000000"/>
              <w:left w:val="single" w:sz="6" w:space="0" w:color="000000"/>
              <w:bottom w:val="single" w:sz="6" w:space="0" w:color="000000"/>
              <w:right w:val="single" w:sz="6" w:space="0" w:color="000000"/>
            </w:tcBorders>
            <w:shd w:val="clear" w:color="000000" w:fill="FFFFFF"/>
            <w:tcMar>
              <w:left w:w="90" w:type="dxa"/>
              <w:right w:w="90" w:type="dxa"/>
            </w:tcMar>
            <w:vAlign w:val="center"/>
          </w:tcPr>
          <w:p w14:paraId="6C3BBB08" w14:textId="77777777" w:rsidR="00AA7951" w:rsidRDefault="00000000">
            <w:pPr>
              <w:spacing w:after="0" w:line="259" w:lineRule="auto"/>
              <w:jc w:val="center"/>
            </w:pPr>
            <w:r>
              <w:rPr>
                <w:rFonts w:ascii="Arial" w:eastAsia="Arial" w:hAnsi="Arial" w:cs="Arial"/>
                <w:b/>
                <w:color w:val="000000"/>
              </w:rPr>
              <w:t>Very High</w:t>
            </w:r>
          </w:p>
        </w:tc>
        <w:tc>
          <w:tcPr>
            <w:tcW w:w="1530" w:type="dxa"/>
            <w:tcBorders>
              <w:top w:val="single" w:sz="6" w:space="0" w:color="000000"/>
              <w:left w:val="single" w:sz="6" w:space="0" w:color="000000"/>
              <w:bottom w:val="single" w:sz="6" w:space="0" w:color="000000"/>
              <w:right w:val="single" w:sz="6" w:space="0" w:color="000000"/>
            </w:tcBorders>
            <w:shd w:val="clear" w:color="auto" w:fill="006500"/>
            <w:tcMar>
              <w:left w:w="90" w:type="dxa"/>
              <w:right w:w="90" w:type="dxa"/>
            </w:tcMar>
            <w:vAlign w:val="center"/>
          </w:tcPr>
          <w:p w14:paraId="3EBDE013" w14:textId="77777777" w:rsidR="00AA7951" w:rsidRDefault="00000000">
            <w:pPr>
              <w:spacing w:after="0" w:line="259" w:lineRule="auto"/>
              <w:jc w:val="center"/>
            </w:pPr>
            <w:r>
              <w:rPr>
                <w:rFonts w:ascii="Arial" w:eastAsia="Arial" w:hAnsi="Arial" w:cs="Arial"/>
                <w:color w:val="FFFFFF"/>
              </w:rPr>
              <w:t>Green</w:t>
            </w:r>
          </w:p>
        </w:tc>
        <w:tc>
          <w:tcPr>
            <w:tcW w:w="1530" w:type="dxa"/>
            <w:tcBorders>
              <w:top w:val="single" w:sz="6" w:space="0" w:color="000000"/>
              <w:left w:val="single" w:sz="6" w:space="0" w:color="000000"/>
              <w:bottom w:val="single" w:sz="6" w:space="0" w:color="000000"/>
              <w:right w:val="single" w:sz="6" w:space="0" w:color="000000"/>
            </w:tcBorders>
            <w:shd w:val="clear" w:color="auto" w:fill="0000FF"/>
            <w:tcMar>
              <w:left w:w="90" w:type="dxa"/>
              <w:right w:w="90" w:type="dxa"/>
            </w:tcMar>
            <w:vAlign w:val="center"/>
          </w:tcPr>
          <w:p w14:paraId="47215587" w14:textId="77777777" w:rsidR="00AA7951" w:rsidRDefault="00000000">
            <w:pPr>
              <w:spacing w:after="0" w:line="259" w:lineRule="auto"/>
              <w:jc w:val="center"/>
            </w:pPr>
            <w:r>
              <w:rPr>
                <w:rFonts w:ascii="Arial" w:eastAsia="Arial" w:hAnsi="Arial" w:cs="Arial"/>
                <w:color w:val="FFFFFF"/>
              </w:rPr>
              <w:t>Blue</w:t>
            </w:r>
          </w:p>
        </w:tc>
        <w:tc>
          <w:tcPr>
            <w:tcW w:w="1530" w:type="dxa"/>
            <w:tcBorders>
              <w:top w:val="single" w:sz="6" w:space="0" w:color="000000"/>
              <w:left w:val="single" w:sz="6" w:space="0" w:color="000000"/>
              <w:bottom w:val="single" w:sz="6" w:space="0" w:color="000000"/>
              <w:right w:val="single" w:sz="6" w:space="0" w:color="000000"/>
            </w:tcBorders>
            <w:shd w:val="clear" w:color="auto" w:fill="0000FF"/>
            <w:tcMar>
              <w:left w:w="90" w:type="dxa"/>
              <w:right w:w="90" w:type="dxa"/>
            </w:tcMar>
            <w:vAlign w:val="center"/>
          </w:tcPr>
          <w:p w14:paraId="097AEB25" w14:textId="77777777" w:rsidR="00AA7951" w:rsidRDefault="00000000">
            <w:pPr>
              <w:spacing w:after="0" w:line="259" w:lineRule="auto"/>
              <w:jc w:val="center"/>
            </w:pPr>
            <w:r>
              <w:rPr>
                <w:rFonts w:ascii="Arial" w:eastAsia="Arial" w:hAnsi="Arial" w:cs="Arial"/>
                <w:color w:val="FFFFFF"/>
              </w:rPr>
              <w:t>Blue</w:t>
            </w:r>
          </w:p>
        </w:tc>
      </w:tr>
      <w:tr w:rsidR="00AA7951" w14:paraId="60C32C61" w14:textId="77777777">
        <w:tc>
          <w:tcPr>
            <w:tcW w:w="1702" w:type="dxa"/>
            <w:tcBorders>
              <w:top w:val="single" w:sz="6" w:space="0" w:color="000000"/>
              <w:left w:val="single" w:sz="6" w:space="0" w:color="000000"/>
              <w:bottom w:val="single" w:sz="6" w:space="0" w:color="000000"/>
              <w:right w:val="single" w:sz="6" w:space="0" w:color="000000"/>
            </w:tcBorders>
            <w:shd w:val="clear" w:color="000000" w:fill="FFFFFF"/>
            <w:tcMar>
              <w:left w:w="90" w:type="dxa"/>
              <w:right w:w="90" w:type="dxa"/>
            </w:tcMar>
            <w:vAlign w:val="center"/>
          </w:tcPr>
          <w:p w14:paraId="05FAD91F" w14:textId="77777777" w:rsidR="00AA7951" w:rsidRDefault="00000000">
            <w:pPr>
              <w:spacing w:after="0" w:line="259" w:lineRule="auto"/>
              <w:jc w:val="center"/>
            </w:pPr>
            <w:r>
              <w:rPr>
                <w:rFonts w:ascii="Arial" w:eastAsia="Arial" w:hAnsi="Arial" w:cs="Arial"/>
                <w:b/>
                <w:color w:val="000000"/>
              </w:rPr>
              <w:t>High</w:t>
            </w:r>
          </w:p>
        </w:tc>
        <w:tc>
          <w:tcPr>
            <w:tcW w:w="1530" w:type="dxa"/>
            <w:tcBorders>
              <w:top w:val="single" w:sz="6" w:space="0" w:color="000000"/>
              <w:left w:val="single" w:sz="6" w:space="0" w:color="000000"/>
              <w:bottom w:val="single" w:sz="6" w:space="0" w:color="000000"/>
              <w:right w:val="single" w:sz="6" w:space="0" w:color="000000"/>
            </w:tcBorders>
            <w:shd w:val="clear" w:color="auto" w:fill="FFFF00"/>
            <w:tcMar>
              <w:left w:w="90" w:type="dxa"/>
              <w:right w:w="90" w:type="dxa"/>
            </w:tcMar>
            <w:vAlign w:val="center"/>
          </w:tcPr>
          <w:p w14:paraId="6F3F2908" w14:textId="77777777" w:rsidR="00AA7951" w:rsidRDefault="00000000">
            <w:pPr>
              <w:spacing w:after="0" w:line="259" w:lineRule="auto"/>
              <w:jc w:val="center"/>
            </w:pPr>
            <w:r>
              <w:rPr>
                <w:rFonts w:ascii="Arial" w:eastAsia="Arial" w:hAnsi="Arial" w:cs="Arial"/>
                <w:color w:val="000000"/>
              </w:rPr>
              <w:t>Yellow</w:t>
            </w:r>
          </w:p>
        </w:tc>
        <w:tc>
          <w:tcPr>
            <w:tcW w:w="1530" w:type="dxa"/>
            <w:tcBorders>
              <w:top w:val="single" w:sz="6" w:space="0" w:color="000000"/>
              <w:left w:val="single" w:sz="6" w:space="0" w:color="000000"/>
              <w:bottom w:val="single" w:sz="6" w:space="0" w:color="000000"/>
              <w:right w:val="single" w:sz="6" w:space="0" w:color="000000"/>
            </w:tcBorders>
            <w:shd w:val="clear" w:color="auto" w:fill="006500"/>
            <w:tcMar>
              <w:left w:w="90" w:type="dxa"/>
              <w:right w:w="90" w:type="dxa"/>
            </w:tcMar>
            <w:vAlign w:val="center"/>
          </w:tcPr>
          <w:p w14:paraId="3916DD86" w14:textId="77777777" w:rsidR="00AA7951" w:rsidRDefault="00000000">
            <w:pPr>
              <w:spacing w:after="0" w:line="259" w:lineRule="auto"/>
              <w:jc w:val="center"/>
            </w:pPr>
            <w:r>
              <w:rPr>
                <w:rFonts w:ascii="Arial" w:eastAsia="Arial" w:hAnsi="Arial" w:cs="Arial"/>
                <w:color w:val="FFFFFF"/>
              </w:rPr>
              <w:t>Green</w:t>
            </w:r>
          </w:p>
        </w:tc>
        <w:tc>
          <w:tcPr>
            <w:tcW w:w="1530" w:type="dxa"/>
            <w:tcBorders>
              <w:top w:val="single" w:sz="6" w:space="0" w:color="000000"/>
              <w:left w:val="single" w:sz="6" w:space="0" w:color="000000"/>
              <w:bottom w:val="single" w:sz="6" w:space="0" w:color="000000"/>
              <w:right w:val="single" w:sz="6" w:space="0" w:color="000000"/>
            </w:tcBorders>
            <w:shd w:val="clear" w:color="auto" w:fill="006500"/>
            <w:tcMar>
              <w:left w:w="90" w:type="dxa"/>
              <w:right w:w="90" w:type="dxa"/>
            </w:tcMar>
            <w:vAlign w:val="center"/>
          </w:tcPr>
          <w:p w14:paraId="13D1B68B" w14:textId="77777777" w:rsidR="00AA7951" w:rsidRDefault="00000000">
            <w:pPr>
              <w:spacing w:after="0" w:line="259" w:lineRule="auto"/>
              <w:jc w:val="center"/>
            </w:pPr>
            <w:r>
              <w:rPr>
                <w:rFonts w:ascii="Arial" w:eastAsia="Arial" w:hAnsi="Arial" w:cs="Arial"/>
                <w:color w:val="FFFFFF"/>
              </w:rPr>
              <w:t>Green</w:t>
            </w:r>
          </w:p>
        </w:tc>
      </w:tr>
      <w:tr w:rsidR="00AA7951" w14:paraId="06A46B2C" w14:textId="77777777">
        <w:tc>
          <w:tcPr>
            <w:tcW w:w="1702" w:type="dxa"/>
            <w:tcBorders>
              <w:top w:val="single" w:sz="6" w:space="0" w:color="000000"/>
              <w:left w:val="single" w:sz="6" w:space="0" w:color="000000"/>
              <w:bottom w:val="single" w:sz="6" w:space="0" w:color="000000"/>
              <w:right w:val="single" w:sz="6" w:space="0" w:color="000000"/>
            </w:tcBorders>
            <w:shd w:val="clear" w:color="000000" w:fill="FFFFFF"/>
            <w:tcMar>
              <w:left w:w="90" w:type="dxa"/>
              <w:right w:w="90" w:type="dxa"/>
            </w:tcMar>
            <w:vAlign w:val="center"/>
          </w:tcPr>
          <w:p w14:paraId="50E23AE6" w14:textId="77777777" w:rsidR="00AA7951" w:rsidRDefault="00000000">
            <w:pPr>
              <w:spacing w:after="0" w:line="259" w:lineRule="auto"/>
              <w:jc w:val="center"/>
            </w:pPr>
            <w:r>
              <w:rPr>
                <w:rFonts w:ascii="Arial" w:eastAsia="Arial" w:hAnsi="Arial" w:cs="Arial"/>
                <w:b/>
                <w:color w:val="000000"/>
              </w:rPr>
              <w:t>Medium</w:t>
            </w:r>
          </w:p>
        </w:tc>
        <w:tc>
          <w:tcPr>
            <w:tcW w:w="1530" w:type="dxa"/>
            <w:tcBorders>
              <w:top w:val="single" w:sz="6" w:space="0" w:color="000000"/>
              <w:left w:val="single" w:sz="6" w:space="0" w:color="000000"/>
              <w:bottom w:val="single" w:sz="6" w:space="0" w:color="000000"/>
              <w:right w:val="single" w:sz="6" w:space="0" w:color="000000"/>
            </w:tcBorders>
            <w:shd w:val="clear" w:color="auto" w:fill="FFA500"/>
            <w:tcMar>
              <w:left w:w="90" w:type="dxa"/>
              <w:right w:w="90" w:type="dxa"/>
            </w:tcMar>
            <w:vAlign w:val="center"/>
          </w:tcPr>
          <w:p w14:paraId="2DB0D3B7" w14:textId="77777777" w:rsidR="00AA7951" w:rsidRDefault="00000000">
            <w:pPr>
              <w:spacing w:after="0" w:line="259" w:lineRule="auto"/>
              <w:jc w:val="center"/>
            </w:pPr>
            <w:r>
              <w:rPr>
                <w:rFonts w:ascii="Arial" w:eastAsia="Arial" w:hAnsi="Arial" w:cs="Arial"/>
                <w:color w:val="000000"/>
              </w:rPr>
              <w:t>Orange</w:t>
            </w:r>
          </w:p>
        </w:tc>
        <w:tc>
          <w:tcPr>
            <w:tcW w:w="1530" w:type="dxa"/>
            <w:tcBorders>
              <w:top w:val="single" w:sz="6" w:space="0" w:color="000000"/>
              <w:left w:val="single" w:sz="6" w:space="0" w:color="000000"/>
              <w:bottom w:val="single" w:sz="6" w:space="0" w:color="000000"/>
              <w:right w:val="single" w:sz="6" w:space="0" w:color="000000"/>
            </w:tcBorders>
            <w:shd w:val="clear" w:color="auto" w:fill="FFFF00"/>
            <w:tcMar>
              <w:left w:w="90" w:type="dxa"/>
              <w:right w:w="90" w:type="dxa"/>
            </w:tcMar>
            <w:vAlign w:val="center"/>
          </w:tcPr>
          <w:p w14:paraId="78F20014" w14:textId="77777777" w:rsidR="00AA7951" w:rsidRDefault="00000000">
            <w:pPr>
              <w:spacing w:after="0" w:line="259" w:lineRule="auto"/>
              <w:jc w:val="center"/>
            </w:pPr>
            <w:r>
              <w:rPr>
                <w:rFonts w:ascii="Arial" w:eastAsia="Arial" w:hAnsi="Arial" w:cs="Arial"/>
                <w:color w:val="000000"/>
              </w:rPr>
              <w:t>Yellow</w:t>
            </w:r>
          </w:p>
        </w:tc>
        <w:tc>
          <w:tcPr>
            <w:tcW w:w="1530" w:type="dxa"/>
            <w:tcBorders>
              <w:top w:val="single" w:sz="6" w:space="0" w:color="000000"/>
              <w:left w:val="single" w:sz="6" w:space="0" w:color="000000"/>
              <w:bottom w:val="single" w:sz="6" w:space="0" w:color="000000"/>
              <w:right w:val="single" w:sz="6" w:space="0" w:color="000000"/>
            </w:tcBorders>
            <w:shd w:val="clear" w:color="auto" w:fill="006500"/>
            <w:tcMar>
              <w:left w:w="90" w:type="dxa"/>
              <w:right w:w="90" w:type="dxa"/>
            </w:tcMar>
            <w:vAlign w:val="center"/>
          </w:tcPr>
          <w:p w14:paraId="32A3A2AA" w14:textId="77777777" w:rsidR="00AA7951" w:rsidRDefault="00000000">
            <w:pPr>
              <w:spacing w:after="0" w:line="259" w:lineRule="auto"/>
              <w:jc w:val="center"/>
            </w:pPr>
            <w:r>
              <w:rPr>
                <w:rFonts w:ascii="Arial" w:eastAsia="Arial" w:hAnsi="Arial" w:cs="Arial"/>
                <w:color w:val="FFFFFF"/>
              </w:rPr>
              <w:t>Green</w:t>
            </w:r>
          </w:p>
        </w:tc>
      </w:tr>
      <w:tr w:rsidR="00AA7951" w14:paraId="09655E13" w14:textId="77777777">
        <w:tc>
          <w:tcPr>
            <w:tcW w:w="1702" w:type="dxa"/>
            <w:tcBorders>
              <w:top w:val="single" w:sz="6" w:space="0" w:color="000000"/>
              <w:left w:val="single" w:sz="6" w:space="0" w:color="000000"/>
              <w:bottom w:val="single" w:sz="6" w:space="0" w:color="000000"/>
              <w:right w:val="single" w:sz="6" w:space="0" w:color="000000"/>
            </w:tcBorders>
            <w:shd w:val="clear" w:color="000000" w:fill="FFFFFF"/>
            <w:tcMar>
              <w:left w:w="90" w:type="dxa"/>
              <w:right w:w="90" w:type="dxa"/>
            </w:tcMar>
            <w:vAlign w:val="center"/>
          </w:tcPr>
          <w:p w14:paraId="43467FBA" w14:textId="77777777" w:rsidR="00AA7951" w:rsidRDefault="00000000">
            <w:pPr>
              <w:spacing w:after="0" w:line="259" w:lineRule="auto"/>
              <w:jc w:val="center"/>
            </w:pPr>
            <w:r>
              <w:rPr>
                <w:rFonts w:ascii="Arial" w:eastAsia="Arial" w:hAnsi="Arial" w:cs="Arial"/>
                <w:b/>
                <w:color w:val="000000"/>
              </w:rPr>
              <w:t>Low</w:t>
            </w:r>
          </w:p>
        </w:tc>
        <w:tc>
          <w:tcPr>
            <w:tcW w:w="1530" w:type="dxa"/>
            <w:tcBorders>
              <w:top w:val="single" w:sz="6" w:space="0" w:color="000000"/>
              <w:left w:val="single" w:sz="6" w:space="0" w:color="000000"/>
              <w:bottom w:val="single" w:sz="6" w:space="0" w:color="000000"/>
              <w:right w:val="single" w:sz="6" w:space="0" w:color="000000"/>
            </w:tcBorders>
            <w:shd w:val="clear" w:color="auto" w:fill="FFA500"/>
            <w:tcMar>
              <w:left w:w="90" w:type="dxa"/>
              <w:right w:w="90" w:type="dxa"/>
            </w:tcMar>
            <w:vAlign w:val="center"/>
          </w:tcPr>
          <w:p w14:paraId="3CD3EFB5" w14:textId="77777777" w:rsidR="00AA7951" w:rsidRDefault="00000000">
            <w:pPr>
              <w:spacing w:after="0" w:line="259" w:lineRule="auto"/>
              <w:jc w:val="center"/>
            </w:pPr>
            <w:r>
              <w:rPr>
                <w:rFonts w:ascii="Arial" w:eastAsia="Arial" w:hAnsi="Arial" w:cs="Arial"/>
                <w:color w:val="000000"/>
              </w:rPr>
              <w:t>Orange</w:t>
            </w:r>
          </w:p>
        </w:tc>
        <w:tc>
          <w:tcPr>
            <w:tcW w:w="1530" w:type="dxa"/>
            <w:tcBorders>
              <w:top w:val="single" w:sz="6" w:space="0" w:color="000000"/>
              <w:left w:val="single" w:sz="6" w:space="0" w:color="000000"/>
              <w:bottom w:val="single" w:sz="6" w:space="0" w:color="000000"/>
              <w:right w:val="single" w:sz="6" w:space="0" w:color="000000"/>
            </w:tcBorders>
            <w:shd w:val="clear" w:color="auto" w:fill="FFA500"/>
            <w:tcMar>
              <w:left w:w="90" w:type="dxa"/>
              <w:right w:w="90" w:type="dxa"/>
            </w:tcMar>
            <w:vAlign w:val="center"/>
          </w:tcPr>
          <w:p w14:paraId="214B4803" w14:textId="77777777" w:rsidR="00AA7951" w:rsidRDefault="00000000">
            <w:pPr>
              <w:spacing w:after="0" w:line="259" w:lineRule="auto"/>
              <w:jc w:val="center"/>
            </w:pPr>
            <w:r>
              <w:rPr>
                <w:rFonts w:ascii="Arial" w:eastAsia="Arial" w:hAnsi="Arial" w:cs="Arial"/>
                <w:color w:val="000000"/>
              </w:rPr>
              <w:t>Orange</w:t>
            </w:r>
          </w:p>
        </w:tc>
        <w:tc>
          <w:tcPr>
            <w:tcW w:w="1530" w:type="dxa"/>
            <w:tcBorders>
              <w:top w:val="single" w:sz="6" w:space="0" w:color="000000"/>
              <w:left w:val="single" w:sz="6" w:space="0" w:color="000000"/>
              <w:bottom w:val="single" w:sz="6" w:space="0" w:color="000000"/>
              <w:right w:val="single" w:sz="6" w:space="0" w:color="000000"/>
            </w:tcBorders>
            <w:shd w:val="clear" w:color="auto" w:fill="FFFF00"/>
            <w:tcMar>
              <w:left w:w="90" w:type="dxa"/>
              <w:right w:w="90" w:type="dxa"/>
            </w:tcMar>
            <w:vAlign w:val="center"/>
          </w:tcPr>
          <w:p w14:paraId="75D3CE7E" w14:textId="77777777" w:rsidR="00AA7951" w:rsidRDefault="00000000">
            <w:pPr>
              <w:spacing w:after="0" w:line="259" w:lineRule="auto"/>
              <w:jc w:val="center"/>
            </w:pPr>
            <w:r>
              <w:rPr>
                <w:rFonts w:ascii="Arial" w:eastAsia="Arial" w:hAnsi="Arial" w:cs="Arial"/>
                <w:color w:val="000000"/>
              </w:rPr>
              <w:t>Yellow</w:t>
            </w:r>
          </w:p>
        </w:tc>
      </w:tr>
      <w:tr w:rsidR="00AA7951" w14:paraId="285C1D2D" w14:textId="77777777">
        <w:tc>
          <w:tcPr>
            <w:tcW w:w="1702" w:type="dxa"/>
            <w:tcBorders>
              <w:top w:val="single" w:sz="6" w:space="0" w:color="000000"/>
              <w:left w:val="single" w:sz="6" w:space="0" w:color="000000"/>
              <w:bottom w:val="single" w:sz="6" w:space="0" w:color="000000"/>
              <w:right w:val="single" w:sz="6" w:space="0" w:color="000000"/>
            </w:tcBorders>
            <w:shd w:val="clear" w:color="000000" w:fill="FFFFFF"/>
            <w:tcMar>
              <w:left w:w="90" w:type="dxa"/>
              <w:right w:w="90" w:type="dxa"/>
            </w:tcMar>
            <w:vAlign w:val="center"/>
          </w:tcPr>
          <w:p w14:paraId="6F7C2E3D" w14:textId="77777777" w:rsidR="00AA7951" w:rsidRDefault="00000000">
            <w:pPr>
              <w:spacing w:after="0" w:line="259" w:lineRule="auto"/>
              <w:jc w:val="center"/>
            </w:pPr>
            <w:r>
              <w:rPr>
                <w:rFonts w:ascii="Arial" w:eastAsia="Arial" w:hAnsi="Arial" w:cs="Arial"/>
                <w:b/>
                <w:color w:val="000000"/>
              </w:rPr>
              <w:t>Very Low</w:t>
            </w:r>
          </w:p>
        </w:tc>
        <w:tc>
          <w:tcPr>
            <w:tcW w:w="1530" w:type="dxa"/>
            <w:tcBorders>
              <w:top w:val="single" w:sz="6" w:space="0" w:color="000000"/>
              <w:left w:val="single" w:sz="6" w:space="0" w:color="000000"/>
              <w:bottom w:val="single" w:sz="6" w:space="0" w:color="000000"/>
              <w:right w:val="single" w:sz="6" w:space="0" w:color="000000"/>
            </w:tcBorders>
            <w:shd w:val="clear" w:color="auto" w:fill="A20000"/>
            <w:tcMar>
              <w:left w:w="90" w:type="dxa"/>
              <w:right w:w="90" w:type="dxa"/>
            </w:tcMar>
            <w:vAlign w:val="center"/>
          </w:tcPr>
          <w:p w14:paraId="323130BD" w14:textId="77777777" w:rsidR="00AA7951" w:rsidRDefault="00000000">
            <w:pPr>
              <w:spacing w:after="0" w:line="259" w:lineRule="auto"/>
              <w:jc w:val="center"/>
            </w:pPr>
            <w:r>
              <w:rPr>
                <w:rFonts w:ascii="Arial" w:eastAsia="Arial" w:hAnsi="Arial" w:cs="Arial"/>
                <w:color w:val="FFFFFF"/>
              </w:rPr>
              <w:t>Red</w:t>
            </w:r>
          </w:p>
        </w:tc>
        <w:tc>
          <w:tcPr>
            <w:tcW w:w="1530" w:type="dxa"/>
            <w:tcBorders>
              <w:top w:val="single" w:sz="6" w:space="0" w:color="000000"/>
              <w:left w:val="single" w:sz="6" w:space="0" w:color="000000"/>
              <w:bottom w:val="single" w:sz="6" w:space="0" w:color="000000"/>
              <w:right w:val="single" w:sz="6" w:space="0" w:color="000000"/>
            </w:tcBorders>
            <w:shd w:val="clear" w:color="auto" w:fill="A20000"/>
            <w:tcMar>
              <w:left w:w="90" w:type="dxa"/>
              <w:right w:w="90" w:type="dxa"/>
            </w:tcMar>
            <w:vAlign w:val="center"/>
          </w:tcPr>
          <w:p w14:paraId="77D6A6E8" w14:textId="77777777" w:rsidR="00AA7951" w:rsidRDefault="00000000">
            <w:pPr>
              <w:spacing w:after="0" w:line="259" w:lineRule="auto"/>
              <w:jc w:val="center"/>
            </w:pPr>
            <w:r>
              <w:rPr>
                <w:rFonts w:ascii="Arial" w:eastAsia="Arial" w:hAnsi="Arial" w:cs="Arial"/>
                <w:color w:val="FFFFFF"/>
              </w:rPr>
              <w:t>Red</w:t>
            </w:r>
          </w:p>
        </w:tc>
        <w:tc>
          <w:tcPr>
            <w:tcW w:w="1530" w:type="dxa"/>
            <w:tcBorders>
              <w:top w:val="single" w:sz="6" w:space="0" w:color="000000"/>
              <w:left w:val="single" w:sz="6" w:space="0" w:color="000000"/>
              <w:bottom w:val="single" w:sz="6" w:space="0" w:color="000000"/>
              <w:right w:val="single" w:sz="6" w:space="0" w:color="000000"/>
            </w:tcBorders>
            <w:shd w:val="clear" w:color="auto" w:fill="FFA500"/>
            <w:tcMar>
              <w:left w:w="90" w:type="dxa"/>
              <w:right w:w="90" w:type="dxa"/>
            </w:tcMar>
            <w:vAlign w:val="center"/>
          </w:tcPr>
          <w:p w14:paraId="2EC5DB67" w14:textId="77777777" w:rsidR="00AA7951" w:rsidRDefault="00000000">
            <w:pPr>
              <w:spacing w:after="0" w:line="259" w:lineRule="auto"/>
              <w:jc w:val="center"/>
            </w:pPr>
            <w:r>
              <w:rPr>
                <w:rFonts w:ascii="Arial" w:eastAsia="Arial" w:hAnsi="Arial" w:cs="Arial"/>
                <w:color w:val="000000"/>
              </w:rPr>
              <w:t>Orange</w:t>
            </w:r>
          </w:p>
        </w:tc>
      </w:tr>
    </w:tbl>
    <w:p w14:paraId="3EB925B7" w14:textId="77777777" w:rsidR="00AA7951" w:rsidRDefault="00000000">
      <w:pPr>
        <w:spacing w:before="120" w:after="120" w:line="259" w:lineRule="auto"/>
        <w:rPr>
          <w:rFonts w:ascii="Arial" w:eastAsia="Arial" w:hAnsi="Arial" w:cs="Arial"/>
        </w:rPr>
      </w:pPr>
      <w:r>
        <w:rPr>
          <w:rFonts w:ascii="Arial" w:eastAsia="Arial" w:hAnsi="Arial" w:cs="Arial"/>
        </w:rPr>
        <w:t>​The three-by-five colored tables remove both the “Increased Significantly” and “Declined Significantly” Change levels from the Performance Level determinations. Small student populations will receive only one of </w:t>
      </w:r>
      <w:r>
        <w:rPr>
          <w:rFonts w:ascii="Arial" w:eastAsia="Arial" w:hAnsi="Arial" w:cs="Arial"/>
          <w:b/>
        </w:rPr>
        <w:t>three Change levels </w:t>
      </w:r>
      <w:r>
        <w:rPr>
          <w:rFonts w:ascii="Arial" w:eastAsia="Arial" w:hAnsi="Arial" w:cs="Arial"/>
        </w:rPr>
        <w:t xml:space="preserve">for the Graduation Rate Indicator, Suspension Rate Indicator, Chronic Absenteeism Indicator, and CCI. </w:t>
      </w:r>
    </w:p>
    <w:p w14:paraId="2CB91721" w14:textId="77777777" w:rsidR="00AA7951" w:rsidRDefault="00000000">
      <w:pPr>
        <w:spacing w:after="120" w:line="259" w:lineRule="auto"/>
        <w:rPr>
          <w:rFonts w:ascii="Arial" w:eastAsia="Arial" w:hAnsi="Arial" w:cs="Arial"/>
        </w:rPr>
      </w:pPr>
      <w:r>
        <w:rPr>
          <w:rFonts w:ascii="Arial" w:eastAsia="Arial" w:hAnsi="Arial" w:cs="Arial"/>
        </w:rPr>
        <w:t>The Change levels are Increased​, Maintained​, and Declined​.</w:t>
      </w:r>
    </w:p>
    <w:p w14:paraId="76DAFD64" w14:textId="77777777" w:rsidR="00AA7951" w:rsidRDefault="00000000" w:rsidP="00CE0F9A">
      <w:pPr>
        <w:pStyle w:val="Heading3"/>
      </w:pPr>
      <w:r>
        <w:t>What You See on a Dashboard Card</w:t>
      </w:r>
    </w:p>
    <w:p w14:paraId="0B2606FD" w14:textId="77777777" w:rsidR="00AA7951" w:rsidRDefault="00000000">
      <w:pPr>
        <w:spacing w:line="259" w:lineRule="auto"/>
        <w:rPr>
          <w:rFonts w:ascii="Arial" w:eastAsia="Arial" w:hAnsi="Arial" w:cs="Arial"/>
        </w:rPr>
      </w:pPr>
      <w:r>
        <w:rPr>
          <w:rFonts w:ascii="Arial" w:eastAsia="Arial" w:hAnsi="Arial" w:cs="Arial"/>
        </w:rPr>
        <w:t>Each Dashboard card provides the following information:</w:t>
      </w:r>
    </w:p>
    <w:p w14:paraId="57DA4DFF" w14:textId="77777777" w:rsidR="00AA7951" w:rsidRDefault="00000000">
      <w:pPr>
        <w:numPr>
          <w:ilvl w:val="0"/>
          <w:numId w:val="6"/>
        </w:numPr>
        <w:spacing w:line="259" w:lineRule="auto"/>
        <w:ind w:left="720" w:hanging="360"/>
        <w:rPr>
          <w:rFonts w:ascii="Arial" w:eastAsia="Arial" w:hAnsi="Arial" w:cs="Arial"/>
        </w:rPr>
      </w:pPr>
      <w:r>
        <w:rPr>
          <w:rFonts w:ascii="Arial" w:eastAsia="Arial" w:hAnsi="Arial" w:cs="Arial"/>
        </w:rPr>
        <w:t>School/Local Education Agency (LEA) Overall Color</w:t>
      </w:r>
    </w:p>
    <w:p w14:paraId="77712C40" w14:textId="77777777" w:rsidR="00AA7951" w:rsidRDefault="00000000">
      <w:pPr>
        <w:numPr>
          <w:ilvl w:val="0"/>
          <w:numId w:val="6"/>
        </w:numPr>
        <w:spacing w:line="259" w:lineRule="auto"/>
        <w:ind w:left="720" w:hanging="360"/>
        <w:rPr>
          <w:rFonts w:ascii="Arial" w:eastAsia="Arial" w:hAnsi="Arial" w:cs="Arial"/>
        </w:rPr>
      </w:pPr>
      <w:r>
        <w:rPr>
          <w:rFonts w:ascii="Arial" w:eastAsia="Arial" w:hAnsi="Arial" w:cs="Arial"/>
        </w:rPr>
        <w:t>School/Local Education Agency (LEA) Overall Status</w:t>
      </w:r>
    </w:p>
    <w:p w14:paraId="3D6B6F18" w14:textId="77777777" w:rsidR="00AA7951" w:rsidRDefault="00000000">
      <w:pPr>
        <w:numPr>
          <w:ilvl w:val="0"/>
          <w:numId w:val="6"/>
        </w:numPr>
        <w:spacing w:line="259" w:lineRule="auto"/>
        <w:ind w:left="720" w:hanging="360"/>
        <w:rPr>
          <w:rFonts w:ascii="Arial" w:eastAsia="Arial" w:hAnsi="Arial" w:cs="Arial"/>
        </w:rPr>
      </w:pPr>
      <w:r>
        <w:rPr>
          <w:rFonts w:ascii="Arial" w:eastAsia="Arial" w:hAnsi="Arial" w:cs="Arial"/>
        </w:rPr>
        <w:t>School/Local Education Agency (LEA) Overall Change</w:t>
      </w:r>
    </w:p>
    <w:p w14:paraId="55993615" w14:textId="77777777" w:rsidR="00AA7951" w:rsidRDefault="00000000">
      <w:pPr>
        <w:numPr>
          <w:ilvl w:val="0"/>
          <w:numId w:val="6"/>
        </w:numPr>
        <w:spacing w:line="259" w:lineRule="auto"/>
        <w:ind w:left="720" w:hanging="360"/>
        <w:rPr>
          <w:rFonts w:ascii="Arial" w:eastAsia="Arial" w:hAnsi="Arial" w:cs="Arial"/>
        </w:rPr>
      </w:pPr>
      <w:r>
        <w:rPr>
          <w:rFonts w:ascii="Arial" w:eastAsia="Arial" w:hAnsi="Arial" w:cs="Arial"/>
        </w:rPr>
        <w:t>Student Group Colors/Equity Report</w:t>
      </w:r>
    </w:p>
    <w:p w14:paraId="5CEE931E" w14:textId="77777777" w:rsidR="00AA7951" w:rsidRDefault="68C9F5B2" w:rsidP="68C9F5B2">
      <w:pPr>
        <w:spacing w:line="259" w:lineRule="auto"/>
        <w:rPr>
          <w:rFonts w:ascii="Arial" w:eastAsia="Arial" w:hAnsi="Arial" w:cs="Arial"/>
        </w:rPr>
      </w:pPr>
      <w:r w:rsidRPr="68C9F5B2">
        <w:rPr>
          <w:rFonts w:ascii="Arial" w:eastAsia="Arial" w:hAnsi="Arial" w:cs="Arial"/>
        </w:rPr>
        <w:t xml:space="preserve">The graphic shared is an example of a Graduation Rate card from the 2023 Dashboard. It shows </w:t>
      </w:r>
      <w:proofErr w:type="gramStart"/>
      <w:r w:rsidRPr="68C9F5B2">
        <w:rPr>
          <w:rFonts w:ascii="Arial" w:eastAsia="Arial" w:hAnsi="Arial" w:cs="Arial"/>
        </w:rPr>
        <w:t>a color</w:t>
      </w:r>
      <w:proofErr w:type="gramEnd"/>
      <w:r w:rsidRPr="68C9F5B2">
        <w:rPr>
          <w:rFonts w:ascii="Arial" w:eastAsia="Arial" w:hAnsi="Arial" w:cs="Arial"/>
        </w:rPr>
        <w:t xml:space="preserve"> of orange, a status of 86.4% graduated and a decline of 1% from the prior year. </w:t>
      </w:r>
    </w:p>
    <w:p w14:paraId="5161ACCE" w14:textId="77777777" w:rsidR="00AA7951" w:rsidRDefault="00000000">
      <w:pPr>
        <w:spacing w:line="259" w:lineRule="auto"/>
        <w:rPr>
          <w:rFonts w:ascii="Arial" w:eastAsia="Arial" w:hAnsi="Arial" w:cs="Arial"/>
        </w:rPr>
      </w:pPr>
      <w:r>
        <w:rPr>
          <w:rFonts w:ascii="Arial" w:eastAsia="Arial" w:hAnsi="Arial" w:cs="Arial"/>
        </w:rPr>
        <w:t>The Equity Report shows that all 1 student group was in the red, 9 were in the orange, 1 was in the yellow and 2 were in the green.</w:t>
      </w:r>
    </w:p>
    <w:p w14:paraId="4A8132BA" w14:textId="77777777" w:rsidR="00AA7951" w:rsidRDefault="00000000" w:rsidP="00CE0F9A">
      <w:pPr>
        <w:pStyle w:val="Heading3"/>
      </w:pPr>
      <w:r>
        <w:t>What You See When You "View More Details"</w:t>
      </w:r>
    </w:p>
    <w:p w14:paraId="50CB7C2C" w14:textId="77777777" w:rsidR="00AA7951" w:rsidRDefault="68C9F5B2" w:rsidP="68C9F5B2">
      <w:pPr>
        <w:spacing w:line="259" w:lineRule="auto"/>
        <w:rPr>
          <w:rFonts w:ascii="Arial" w:eastAsia="Arial" w:hAnsi="Arial" w:cs="Arial"/>
        </w:rPr>
      </w:pPr>
      <w:r w:rsidRPr="68C9F5B2">
        <w:rPr>
          <w:rFonts w:ascii="Arial" w:eastAsia="Arial" w:hAnsi="Arial" w:cs="Arial"/>
        </w:rPr>
        <w:t>When you click on the "View More Details" button located at the bottom of each card, you are taken to a webpage that provides additional details. Those details include:</w:t>
      </w:r>
    </w:p>
    <w:p w14:paraId="48976949" w14:textId="77777777" w:rsidR="00AA7951" w:rsidRDefault="00000000">
      <w:pPr>
        <w:numPr>
          <w:ilvl w:val="0"/>
          <w:numId w:val="7"/>
        </w:numPr>
        <w:spacing w:line="259" w:lineRule="auto"/>
        <w:ind w:left="720" w:hanging="360"/>
        <w:rPr>
          <w:rFonts w:ascii="Arial" w:eastAsia="Arial" w:hAnsi="Arial" w:cs="Arial"/>
        </w:rPr>
      </w:pPr>
      <w:r>
        <w:rPr>
          <w:rFonts w:ascii="Arial" w:eastAsia="Arial" w:hAnsi="Arial" w:cs="Arial"/>
        </w:rPr>
        <w:t>School/LEA Student Group Colors​</w:t>
      </w:r>
    </w:p>
    <w:p w14:paraId="34162263" w14:textId="77777777" w:rsidR="00AA7951" w:rsidRDefault="00000000">
      <w:pPr>
        <w:numPr>
          <w:ilvl w:val="0"/>
          <w:numId w:val="7"/>
        </w:numPr>
        <w:spacing w:line="259" w:lineRule="auto"/>
        <w:ind w:left="720" w:hanging="360"/>
        <w:rPr>
          <w:rFonts w:ascii="Arial" w:eastAsia="Arial" w:hAnsi="Arial" w:cs="Arial"/>
        </w:rPr>
      </w:pPr>
      <w:r>
        <w:rPr>
          <w:rFonts w:ascii="Arial" w:eastAsia="Arial" w:hAnsi="Arial" w:cs="Arial"/>
        </w:rPr>
        <w:t>School/LEA Student Group Status​</w:t>
      </w:r>
    </w:p>
    <w:p w14:paraId="4026630A" w14:textId="77777777" w:rsidR="00AA7951" w:rsidRDefault="00000000">
      <w:pPr>
        <w:numPr>
          <w:ilvl w:val="0"/>
          <w:numId w:val="7"/>
        </w:numPr>
        <w:spacing w:line="259" w:lineRule="auto"/>
        <w:ind w:left="720" w:hanging="360"/>
        <w:rPr>
          <w:rFonts w:ascii="Arial" w:eastAsia="Arial" w:hAnsi="Arial" w:cs="Arial"/>
        </w:rPr>
      </w:pPr>
      <w:r>
        <w:rPr>
          <w:rFonts w:ascii="Arial" w:eastAsia="Arial" w:hAnsi="Arial" w:cs="Arial"/>
        </w:rPr>
        <w:t>School/LEA Student Group Change​</w:t>
      </w:r>
    </w:p>
    <w:p w14:paraId="1960A659" w14:textId="77777777" w:rsidR="00AA7951" w:rsidRDefault="00000000">
      <w:pPr>
        <w:numPr>
          <w:ilvl w:val="0"/>
          <w:numId w:val="7"/>
        </w:numPr>
        <w:spacing w:line="259" w:lineRule="auto"/>
        <w:ind w:left="720" w:hanging="360"/>
        <w:rPr>
          <w:rFonts w:ascii="Arial" w:eastAsia="Arial" w:hAnsi="Arial" w:cs="Arial"/>
        </w:rPr>
      </w:pPr>
      <w:r>
        <w:rPr>
          <w:rFonts w:ascii="Arial" w:eastAsia="Arial" w:hAnsi="Arial" w:cs="Arial"/>
        </w:rPr>
        <w:lastRenderedPageBreak/>
        <w:t>Number of Students in the Student Group</w:t>
      </w:r>
    </w:p>
    <w:p w14:paraId="29D6B04F" w14:textId="77777777" w:rsidR="00AA7951" w:rsidRDefault="00000000">
      <w:pPr>
        <w:spacing w:line="259" w:lineRule="auto"/>
        <w:rPr>
          <w:rFonts w:ascii="Arial" w:eastAsia="Arial" w:hAnsi="Arial" w:cs="Arial"/>
        </w:rPr>
      </w:pPr>
      <w:r>
        <w:rPr>
          <w:rFonts w:ascii="Arial" w:eastAsia="Arial" w:hAnsi="Arial" w:cs="Arial"/>
        </w:rPr>
        <w:t xml:space="preserve"> </w:t>
      </w:r>
    </w:p>
    <w:p w14:paraId="4B97E259" w14:textId="77777777" w:rsidR="00AA7951" w:rsidRDefault="00000000" w:rsidP="00CE0F9A">
      <w:pPr>
        <w:pStyle w:val="Heading3"/>
      </w:pPr>
      <w:r>
        <w:t>Reporting for At Least ​ 30 Students</w:t>
      </w:r>
    </w:p>
    <w:p w14:paraId="3646EFB9" w14:textId="77777777" w:rsidR="00AA7951" w:rsidRDefault="00000000">
      <w:pPr>
        <w:numPr>
          <w:ilvl w:val="0"/>
          <w:numId w:val="8"/>
        </w:numPr>
        <w:tabs>
          <w:tab w:val="left" w:pos="720"/>
        </w:tabs>
        <w:spacing w:after="120" w:line="245" w:lineRule="auto"/>
        <w:ind w:left="720" w:right="302" w:hanging="360"/>
        <w:rPr>
          <w:rFonts w:ascii="Arial" w:eastAsia="Arial" w:hAnsi="Arial" w:cs="Arial"/>
        </w:rPr>
      </w:pPr>
      <w:r>
        <w:rPr>
          <w:rFonts w:ascii="Arial" w:eastAsia="Arial" w:hAnsi="Arial" w:cs="Arial"/>
        </w:rPr>
        <w:t>Performance Level (color) gauge graphic displayed</w:t>
      </w:r>
    </w:p>
    <w:p w14:paraId="5DD46E43" w14:textId="77777777" w:rsidR="00AA7951" w:rsidRDefault="00000000">
      <w:pPr>
        <w:numPr>
          <w:ilvl w:val="0"/>
          <w:numId w:val="8"/>
        </w:numPr>
        <w:tabs>
          <w:tab w:val="left" w:pos="720"/>
        </w:tabs>
        <w:spacing w:after="120" w:line="245" w:lineRule="auto"/>
        <w:ind w:left="720" w:right="302" w:hanging="360"/>
        <w:rPr>
          <w:rFonts w:ascii="Arial" w:eastAsia="Arial" w:hAnsi="Arial" w:cs="Arial"/>
        </w:rPr>
      </w:pPr>
      <w:r>
        <w:rPr>
          <w:rFonts w:ascii="Arial" w:eastAsia="Arial" w:hAnsi="Arial" w:cs="Arial"/>
        </w:rPr>
        <w:t>Status and Change reported</w:t>
      </w:r>
    </w:p>
    <w:p w14:paraId="4301EB0A" w14:textId="77777777" w:rsidR="00AA7951" w:rsidRDefault="00000000">
      <w:pPr>
        <w:numPr>
          <w:ilvl w:val="0"/>
          <w:numId w:val="8"/>
        </w:numPr>
        <w:tabs>
          <w:tab w:val="left" w:pos="720"/>
        </w:tabs>
        <w:spacing w:after="120" w:line="245" w:lineRule="auto"/>
        <w:ind w:left="720" w:right="302" w:hanging="360"/>
        <w:rPr>
          <w:rFonts w:ascii="Arial" w:eastAsia="Arial" w:hAnsi="Arial" w:cs="Arial"/>
        </w:rPr>
      </w:pPr>
      <w:r>
        <w:rPr>
          <w:rFonts w:ascii="Arial" w:eastAsia="Arial" w:hAnsi="Arial" w:cs="Arial"/>
        </w:rPr>
        <w:t>Held accountable for support determinations</w:t>
      </w:r>
    </w:p>
    <w:p w14:paraId="0DCC6C7A" w14:textId="77777777" w:rsidR="00AA7951" w:rsidRDefault="00000000" w:rsidP="00CE0F9A">
      <w:pPr>
        <w:pStyle w:val="Heading3"/>
      </w:pPr>
      <w:r>
        <w:t>Reporting for 11–29 Students​</w:t>
      </w:r>
    </w:p>
    <w:p w14:paraId="58B77F68" w14:textId="77777777" w:rsidR="00AA7951" w:rsidRDefault="00000000">
      <w:pPr>
        <w:numPr>
          <w:ilvl w:val="0"/>
          <w:numId w:val="9"/>
        </w:numPr>
        <w:tabs>
          <w:tab w:val="left" w:pos="720"/>
        </w:tabs>
        <w:spacing w:after="120" w:line="245" w:lineRule="auto"/>
        <w:ind w:left="720" w:right="302" w:hanging="360"/>
        <w:rPr>
          <w:rFonts w:ascii="Arial" w:eastAsia="Arial" w:hAnsi="Arial" w:cs="Arial"/>
        </w:rPr>
      </w:pPr>
      <w:r>
        <w:rPr>
          <w:rFonts w:ascii="Arial" w:eastAsia="Arial" w:hAnsi="Arial" w:cs="Arial"/>
        </w:rPr>
        <w:t>Performance Level (color) graphic greyed out</w:t>
      </w:r>
    </w:p>
    <w:p w14:paraId="0AF7E8ED" w14:textId="77777777" w:rsidR="00AA7951" w:rsidRDefault="00000000">
      <w:pPr>
        <w:numPr>
          <w:ilvl w:val="0"/>
          <w:numId w:val="9"/>
        </w:numPr>
        <w:tabs>
          <w:tab w:val="left" w:pos="720"/>
        </w:tabs>
        <w:spacing w:after="120" w:line="245" w:lineRule="auto"/>
        <w:ind w:left="720" w:right="302" w:hanging="360"/>
        <w:rPr>
          <w:rFonts w:ascii="Arial" w:eastAsia="Arial" w:hAnsi="Arial" w:cs="Arial"/>
        </w:rPr>
      </w:pPr>
      <w:r>
        <w:rPr>
          <w:rFonts w:ascii="Arial" w:eastAsia="Arial" w:hAnsi="Arial" w:cs="Arial"/>
        </w:rPr>
        <w:t>Status and Change reported</w:t>
      </w:r>
    </w:p>
    <w:p w14:paraId="1CFFBC63" w14:textId="77777777" w:rsidR="00AA7951" w:rsidRDefault="00000000">
      <w:pPr>
        <w:numPr>
          <w:ilvl w:val="0"/>
          <w:numId w:val="9"/>
        </w:numPr>
        <w:tabs>
          <w:tab w:val="left" w:pos="720"/>
        </w:tabs>
        <w:spacing w:after="120" w:line="245" w:lineRule="auto"/>
        <w:ind w:left="720" w:right="302" w:hanging="360"/>
        <w:rPr>
          <w:rFonts w:ascii="Arial" w:eastAsia="Arial" w:hAnsi="Arial" w:cs="Arial"/>
        </w:rPr>
      </w:pPr>
      <w:r>
        <w:rPr>
          <w:rFonts w:ascii="Arial" w:eastAsia="Arial" w:hAnsi="Arial" w:cs="Arial"/>
        </w:rPr>
        <w:t>Not held accountable for support determinations</w:t>
      </w:r>
    </w:p>
    <w:p w14:paraId="76974AC8" w14:textId="77777777" w:rsidR="00AA7951" w:rsidRDefault="00000000" w:rsidP="00CE0F9A">
      <w:pPr>
        <w:pStyle w:val="Heading3"/>
      </w:pPr>
      <w:r>
        <w:t>Foster Youth/Homeless Rules</w:t>
      </w:r>
    </w:p>
    <w:p w14:paraId="48CFDEC1" w14:textId="77777777" w:rsidR="00AA7951" w:rsidRDefault="00000000">
      <w:pPr>
        <w:spacing w:after="0" w:line="240" w:lineRule="auto"/>
        <w:rPr>
          <w:rFonts w:ascii="Arial" w:eastAsia="Arial" w:hAnsi="Arial" w:cs="Arial"/>
        </w:rPr>
      </w:pPr>
      <w:r>
        <w:rPr>
          <w:rFonts w:ascii="Arial" w:eastAsia="Arial" w:hAnsi="Arial" w:cs="Arial"/>
        </w:rPr>
        <w:t>LEAs with at least 15 students in the current and prior year will receive a Performance Level (color) for Homeless and Foster Youth only.</w:t>
      </w:r>
    </w:p>
    <w:p w14:paraId="6A05A809" w14:textId="77777777" w:rsidR="00AA7951" w:rsidRDefault="00AA7951">
      <w:pPr>
        <w:spacing w:after="0" w:line="240" w:lineRule="auto"/>
        <w:rPr>
          <w:rFonts w:ascii="Arial" w:eastAsia="Arial" w:hAnsi="Arial" w:cs="Arial"/>
        </w:rPr>
      </w:pPr>
    </w:p>
    <w:p w14:paraId="6DC2F7B5" w14:textId="77777777" w:rsidR="00AA7951" w:rsidRDefault="00000000">
      <w:pPr>
        <w:spacing w:after="0" w:line="240" w:lineRule="auto"/>
        <w:rPr>
          <w:rFonts w:ascii="Arial" w:eastAsia="Arial" w:hAnsi="Arial" w:cs="Arial"/>
          <w:b/>
        </w:rPr>
      </w:pPr>
      <w:r>
        <w:rPr>
          <w:rFonts w:ascii="Arial" w:eastAsia="Arial" w:hAnsi="Arial" w:cs="Arial"/>
        </w:rPr>
        <w:t>Charter schools are treated as schools and still require the 30 students to receive a Performance Level (color).</w:t>
      </w:r>
    </w:p>
    <w:p w14:paraId="315C6CCD" w14:textId="77777777" w:rsidR="00AA7951" w:rsidRDefault="00000000" w:rsidP="00CE0F9A">
      <w:pPr>
        <w:pStyle w:val="Heading3"/>
      </w:pPr>
      <w:r>
        <w:t>Reporting for Fewer than 11 Students</w:t>
      </w:r>
    </w:p>
    <w:p w14:paraId="6B7A8599" w14:textId="77777777" w:rsidR="00AA7951" w:rsidRDefault="00000000">
      <w:pPr>
        <w:numPr>
          <w:ilvl w:val="0"/>
          <w:numId w:val="10"/>
        </w:numPr>
        <w:tabs>
          <w:tab w:val="left" w:pos="720"/>
        </w:tabs>
        <w:spacing w:after="120" w:line="245" w:lineRule="auto"/>
        <w:ind w:left="720" w:right="302" w:hanging="360"/>
        <w:rPr>
          <w:rFonts w:ascii="Arial" w:eastAsia="Arial" w:hAnsi="Arial" w:cs="Arial"/>
        </w:rPr>
      </w:pPr>
      <w:r>
        <w:rPr>
          <w:rFonts w:ascii="Arial" w:eastAsia="Arial" w:hAnsi="Arial" w:cs="Arial"/>
        </w:rPr>
        <w:t>Performance Level (color) graphic greyed out</w:t>
      </w:r>
    </w:p>
    <w:p w14:paraId="759A71C8" w14:textId="77777777" w:rsidR="00AA7951" w:rsidRDefault="68C9F5B2" w:rsidP="68C9F5B2">
      <w:pPr>
        <w:numPr>
          <w:ilvl w:val="0"/>
          <w:numId w:val="10"/>
        </w:numPr>
        <w:tabs>
          <w:tab w:val="left" w:pos="720"/>
        </w:tabs>
        <w:spacing w:after="120" w:line="245" w:lineRule="auto"/>
        <w:ind w:left="720" w:right="302" w:hanging="360"/>
        <w:rPr>
          <w:rFonts w:ascii="Arial" w:eastAsia="Arial" w:hAnsi="Arial" w:cs="Arial"/>
        </w:rPr>
      </w:pPr>
      <w:r w:rsidRPr="68C9F5B2">
        <w:rPr>
          <w:rFonts w:ascii="Arial" w:eastAsia="Arial" w:hAnsi="Arial" w:cs="Arial"/>
        </w:rPr>
        <w:t>Status and Change not reported</w:t>
      </w:r>
    </w:p>
    <w:p w14:paraId="5A39BBE3" w14:textId="77777777" w:rsidR="00AA7951" w:rsidRDefault="68C9F5B2" w:rsidP="68C9F5B2">
      <w:pPr>
        <w:numPr>
          <w:ilvl w:val="0"/>
          <w:numId w:val="10"/>
        </w:numPr>
        <w:tabs>
          <w:tab w:val="left" w:pos="720"/>
        </w:tabs>
        <w:spacing w:after="120" w:line="245" w:lineRule="auto"/>
        <w:ind w:left="720" w:right="302" w:hanging="360"/>
        <w:rPr>
          <w:rFonts w:ascii="Arial" w:eastAsia="Arial" w:hAnsi="Arial" w:cs="Arial"/>
        </w:rPr>
      </w:pPr>
      <w:r w:rsidRPr="68C9F5B2">
        <w:rPr>
          <w:rFonts w:ascii="Arial" w:eastAsia="Arial" w:hAnsi="Arial" w:cs="Arial"/>
        </w:rPr>
        <w:t>Not held accountable for support determinations</w:t>
      </w:r>
    </w:p>
    <w:p w14:paraId="5E62D3DF" w14:textId="77777777" w:rsidR="00AA7951" w:rsidRDefault="00000000" w:rsidP="00CE0F9A">
      <w:pPr>
        <w:pStyle w:val="Heading3"/>
      </w:pPr>
      <w:r>
        <w:t>Dashboard Use</w:t>
      </w:r>
    </w:p>
    <w:p w14:paraId="563C1087" w14:textId="77777777" w:rsidR="00AA7951" w:rsidRDefault="68C9F5B2" w:rsidP="68C9F5B2">
      <w:pPr>
        <w:keepNext/>
        <w:spacing w:before="360" w:line="240" w:lineRule="auto"/>
        <w:rPr>
          <w:rFonts w:ascii="Arial" w:eastAsia="Arial" w:hAnsi="Arial" w:cs="Arial"/>
        </w:rPr>
      </w:pPr>
      <w:r w:rsidRPr="68C9F5B2">
        <w:rPr>
          <w:rFonts w:ascii="Arial" w:eastAsia="Arial" w:hAnsi="Arial" w:cs="Arial"/>
        </w:rPr>
        <w:t xml:space="preserve">The California School Dashboard is an online tool designed to help communities across the state access important information about kindergarten through grade twelve schools and districts. The Dashboard features easy-to-read reports on multiple measures of school success. The Dashboard represents one of many steps taken over the past </w:t>
      </w:r>
      <w:r w:rsidRPr="68C9F5B2">
        <w:rPr>
          <w:rFonts w:ascii="Arial" w:eastAsia="Arial" w:hAnsi="Arial" w:cs="Arial"/>
        </w:rPr>
        <w:lastRenderedPageBreak/>
        <w:t xml:space="preserve">decade that have raised the bar for student learning, increased the focus on equity, and expanded the review of performance data to a specific set of state and local measures. </w:t>
      </w:r>
    </w:p>
    <w:p w14:paraId="26DAD6D6" w14:textId="77777777" w:rsidR="00AA7951" w:rsidRDefault="00000000" w:rsidP="00CE0F9A">
      <w:pPr>
        <w:pStyle w:val="Heading3"/>
      </w:pPr>
      <w:r>
        <w:t>History of AB 1505</w:t>
      </w:r>
    </w:p>
    <w:p w14:paraId="586ED712" w14:textId="77777777" w:rsidR="00AA7951" w:rsidRDefault="68C9F5B2" w:rsidP="68C9F5B2">
      <w:pPr>
        <w:spacing w:before="120" w:after="120" w:line="240" w:lineRule="auto"/>
        <w:rPr>
          <w:rFonts w:ascii="Arial" w:eastAsia="Arial" w:hAnsi="Arial" w:cs="Arial"/>
        </w:rPr>
      </w:pPr>
      <w:r w:rsidRPr="68C9F5B2">
        <w:rPr>
          <w:rFonts w:ascii="Arial" w:eastAsia="Arial" w:hAnsi="Arial" w:cs="Arial"/>
        </w:rPr>
        <w:t xml:space="preserve">Assembly Bill 1505 went into effect on July 1, </w:t>
      </w:r>
      <w:proofErr w:type="gramStart"/>
      <w:r w:rsidRPr="68C9F5B2">
        <w:rPr>
          <w:rFonts w:ascii="Arial" w:eastAsia="Arial" w:hAnsi="Arial" w:cs="Arial"/>
        </w:rPr>
        <w:t>2020</w:t>
      </w:r>
      <w:proofErr w:type="gramEnd"/>
      <w:r w:rsidRPr="68C9F5B2">
        <w:rPr>
          <w:rFonts w:ascii="Arial" w:eastAsia="Arial" w:hAnsi="Arial" w:cs="Arial"/>
        </w:rPr>
        <w:t xml:space="preserve"> and modified the criteria used within charter school renewal. ​Based on the criteria from AB 1505, charter schools receive a performance category based on their Dashboard performance over the past two years.</w:t>
      </w:r>
    </w:p>
    <w:p w14:paraId="39D093A8" w14:textId="77777777" w:rsidR="00AA7951" w:rsidRDefault="00000000">
      <w:pPr>
        <w:spacing w:before="120" w:after="120" w:line="240" w:lineRule="auto"/>
        <w:rPr>
          <w:rFonts w:ascii="Arial" w:eastAsia="Arial" w:hAnsi="Arial" w:cs="Arial"/>
        </w:rPr>
      </w:pPr>
      <w:r>
        <w:rPr>
          <w:rFonts w:ascii="Arial" w:eastAsia="Arial" w:hAnsi="Arial" w:cs="Arial"/>
        </w:rPr>
        <w:t xml:space="preserve">​The first set of designations were released in 2020 and were based on the 2019 and 2018 Dashboards. </w:t>
      </w:r>
    </w:p>
    <w:p w14:paraId="3E5EE86F" w14:textId="77777777" w:rsidR="00AA7951" w:rsidRDefault="00000000" w:rsidP="00CE0F9A">
      <w:pPr>
        <w:pStyle w:val="Heading3"/>
      </w:pPr>
      <w:r>
        <w:t>AB 1505 Performance Categories</w:t>
      </w:r>
    </w:p>
    <w:p w14:paraId="0F14622C" w14:textId="77777777" w:rsidR="00AA7951" w:rsidRDefault="00000000">
      <w:pPr>
        <w:spacing w:before="120" w:after="240" w:line="240" w:lineRule="auto"/>
        <w:rPr>
          <w:rFonts w:ascii="Arial" w:eastAsia="Arial" w:hAnsi="Arial" w:cs="Arial"/>
        </w:rPr>
      </w:pPr>
      <w:r>
        <w:rPr>
          <w:rFonts w:ascii="Arial" w:eastAsia="Arial" w:hAnsi="Arial" w:cs="Arial"/>
        </w:rPr>
        <w:t>There are three performance categories that charter schools can qualify for under AB 1505:</w:t>
      </w:r>
    </w:p>
    <w:p w14:paraId="4EDFC922" w14:textId="77777777" w:rsidR="00AA7951" w:rsidRDefault="00000000">
      <w:pPr>
        <w:numPr>
          <w:ilvl w:val="0"/>
          <w:numId w:val="11"/>
        </w:numPr>
        <w:spacing w:before="120" w:after="240" w:line="240" w:lineRule="auto"/>
        <w:ind w:left="720" w:hanging="360"/>
        <w:rPr>
          <w:rFonts w:ascii="Arial" w:eastAsia="Arial" w:hAnsi="Arial" w:cs="Arial"/>
        </w:rPr>
      </w:pPr>
      <w:r>
        <w:rPr>
          <w:rFonts w:ascii="Arial" w:eastAsia="Arial" w:hAnsi="Arial" w:cs="Arial"/>
        </w:rPr>
        <w:t>High: A charter school in this category is eligible for a five-, six-, or seven-year renewal term.​</w:t>
      </w:r>
    </w:p>
    <w:p w14:paraId="6ABCC05B" w14:textId="77777777" w:rsidR="00AA7951" w:rsidRDefault="00000000">
      <w:pPr>
        <w:numPr>
          <w:ilvl w:val="0"/>
          <w:numId w:val="11"/>
        </w:numPr>
        <w:spacing w:before="120" w:after="240" w:line="240" w:lineRule="auto"/>
        <w:ind w:left="720" w:hanging="360"/>
        <w:rPr>
          <w:rFonts w:ascii="Arial" w:eastAsia="Arial" w:hAnsi="Arial" w:cs="Arial"/>
        </w:rPr>
      </w:pPr>
      <w:r>
        <w:rPr>
          <w:rFonts w:ascii="Arial" w:eastAsia="Arial" w:hAnsi="Arial" w:cs="Arial"/>
        </w:rPr>
        <w:t>Middle: A charter school in this category may be renewed for a five-year term.​</w:t>
      </w:r>
    </w:p>
    <w:p w14:paraId="7CE73907" w14:textId="77777777" w:rsidR="00AA7951" w:rsidRDefault="00000000">
      <w:pPr>
        <w:numPr>
          <w:ilvl w:val="0"/>
          <w:numId w:val="11"/>
        </w:numPr>
        <w:spacing w:before="120" w:after="240" w:line="240" w:lineRule="auto"/>
        <w:ind w:left="720" w:hanging="360"/>
        <w:rPr>
          <w:rFonts w:ascii="Arial" w:eastAsia="Arial" w:hAnsi="Arial" w:cs="Arial"/>
        </w:rPr>
      </w:pPr>
      <w:r>
        <w:rPr>
          <w:rFonts w:ascii="Arial" w:eastAsia="Arial" w:hAnsi="Arial" w:cs="Arial"/>
        </w:rPr>
        <w:t>Low: A charter school in this category may be renewed for a two-year term only if it meets the conditions under EC Section 47607.2(a)(4).</w:t>
      </w:r>
    </w:p>
    <w:p w14:paraId="297C1EC4" w14:textId="77777777" w:rsidR="00AA7951" w:rsidRDefault="00000000">
      <w:pPr>
        <w:spacing w:before="120" w:after="240" w:line="240" w:lineRule="auto"/>
        <w:rPr>
          <w:rFonts w:ascii="Arial" w:eastAsia="Arial" w:hAnsi="Arial" w:cs="Arial"/>
        </w:rPr>
      </w:pPr>
      <w:r>
        <w:rPr>
          <w:rFonts w:ascii="Arial" w:eastAsia="Arial" w:hAnsi="Arial" w:cs="Arial"/>
        </w:rPr>
        <w:t xml:space="preserve">Dashboard Alternative Status Schools (DASS) are not included in the performance category determinations. </w:t>
      </w:r>
    </w:p>
    <w:p w14:paraId="1BD6D292" w14:textId="77777777" w:rsidR="00AA7951" w:rsidRPr="00CE0F9A" w:rsidRDefault="00000000" w:rsidP="00CE0F9A">
      <w:pPr>
        <w:pStyle w:val="Heading2"/>
      </w:pPr>
      <w:r w:rsidRPr="00CE0F9A">
        <w:t>2024 Performance Categories</w:t>
      </w:r>
    </w:p>
    <w:p w14:paraId="3DC13B80" w14:textId="77777777" w:rsidR="00AA7951" w:rsidRDefault="00000000" w:rsidP="00CE0F9A">
      <w:pPr>
        <w:pStyle w:val="Heading3"/>
      </w:pPr>
      <w:r>
        <w:t>Two Paths to Your Performance Category:</w:t>
      </w:r>
    </w:p>
    <w:p w14:paraId="61AADDC0" w14:textId="77777777" w:rsidR="00AA7951" w:rsidRDefault="68C9F5B2" w:rsidP="68C9F5B2">
      <w:pPr>
        <w:spacing w:after="0" w:line="240" w:lineRule="auto"/>
        <w:rPr>
          <w:rFonts w:ascii="Arial" w:eastAsia="Arial" w:hAnsi="Arial" w:cs="Arial"/>
        </w:rPr>
      </w:pPr>
      <w:proofErr w:type="gramStart"/>
      <w:r w:rsidRPr="68C9F5B2">
        <w:rPr>
          <w:rFonts w:ascii="Arial" w:eastAsia="Arial" w:hAnsi="Arial" w:cs="Arial"/>
        </w:rPr>
        <w:t>In order to</w:t>
      </w:r>
      <w:proofErr w:type="gramEnd"/>
      <w:r w:rsidRPr="68C9F5B2">
        <w:rPr>
          <w:rFonts w:ascii="Arial" w:eastAsia="Arial" w:hAnsi="Arial" w:cs="Arial"/>
        </w:rPr>
        <w:t xml:space="preserve"> qualify for either the high or low performance categories, there are two sets of criteria:</w:t>
      </w:r>
    </w:p>
    <w:p w14:paraId="41C8F396" w14:textId="77777777" w:rsidR="00AA7951" w:rsidRDefault="00AA7951">
      <w:pPr>
        <w:spacing w:after="0" w:line="240" w:lineRule="auto"/>
        <w:rPr>
          <w:rFonts w:ascii="Arial" w:eastAsia="Arial" w:hAnsi="Arial" w:cs="Arial"/>
        </w:rPr>
      </w:pPr>
    </w:p>
    <w:p w14:paraId="67EAA19E" w14:textId="77777777" w:rsidR="00AA7951" w:rsidRDefault="00000000">
      <w:pPr>
        <w:numPr>
          <w:ilvl w:val="0"/>
          <w:numId w:val="12"/>
        </w:numPr>
        <w:spacing w:after="0" w:line="240" w:lineRule="auto"/>
        <w:ind w:left="720" w:hanging="360"/>
        <w:rPr>
          <w:rFonts w:ascii="Segoe UI" w:eastAsia="Segoe UI" w:hAnsi="Segoe UI" w:cs="Segoe UI"/>
          <w:sz w:val="18"/>
        </w:rPr>
      </w:pPr>
      <w:r>
        <w:rPr>
          <w:rFonts w:ascii="Arial" w:eastAsia="Arial" w:hAnsi="Arial" w:cs="Arial"/>
        </w:rPr>
        <w:t>Criterion 1:</w:t>
      </w:r>
    </w:p>
    <w:p w14:paraId="6E44344B" w14:textId="77777777" w:rsidR="00AA7951" w:rsidRDefault="00000000">
      <w:pPr>
        <w:numPr>
          <w:ilvl w:val="0"/>
          <w:numId w:val="12"/>
        </w:numPr>
        <w:spacing w:after="0" w:line="240" w:lineRule="auto"/>
        <w:ind w:left="1080" w:hanging="360"/>
        <w:rPr>
          <w:rFonts w:ascii="Segoe UI" w:eastAsia="Segoe UI" w:hAnsi="Segoe UI" w:cs="Segoe UI"/>
          <w:sz w:val="18"/>
        </w:rPr>
      </w:pPr>
      <w:r>
        <w:rPr>
          <w:rFonts w:ascii="Arial" w:eastAsia="Arial" w:hAnsi="Arial" w:cs="Arial"/>
        </w:rPr>
        <w:t>Overall colors on your Dashboard at the overall School Level</w:t>
      </w:r>
    </w:p>
    <w:p w14:paraId="746053BC" w14:textId="77777777" w:rsidR="00AA7951" w:rsidRDefault="00000000">
      <w:pPr>
        <w:numPr>
          <w:ilvl w:val="0"/>
          <w:numId w:val="12"/>
        </w:numPr>
        <w:spacing w:after="0" w:line="240" w:lineRule="auto"/>
        <w:ind w:left="720" w:hanging="360"/>
        <w:rPr>
          <w:rFonts w:ascii="Segoe UI" w:eastAsia="Segoe UI" w:hAnsi="Segoe UI" w:cs="Segoe UI"/>
          <w:sz w:val="18"/>
        </w:rPr>
      </w:pPr>
      <w:r>
        <w:rPr>
          <w:rFonts w:ascii="Arial" w:eastAsia="Arial" w:hAnsi="Arial" w:cs="Arial"/>
        </w:rPr>
        <w:t>Criterion 2 (For charter Schools that do not receive a High/Low performance category under Criterion 1):​</w:t>
      </w:r>
    </w:p>
    <w:p w14:paraId="2F2FE319" w14:textId="77777777" w:rsidR="00AA7951" w:rsidRDefault="00000000">
      <w:pPr>
        <w:numPr>
          <w:ilvl w:val="0"/>
          <w:numId w:val="12"/>
        </w:numPr>
        <w:spacing w:after="0" w:line="240" w:lineRule="auto"/>
        <w:ind w:left="1080" w:hanging="360"/>
        <w:rPr>
          <w:rFonts w:ascii="Segoe UI" w:eastAsia="Segoe UI" w:hAnsi="Segoe UI" w:cs="Segoe UI"/>
          <w:sz w:val="18"/>
        </w:rPr>
      </w:pPr>
      <w:r>
        <w:rPr>
          <w:rFonts w:ascii="Arial" w:eastAsia="Arial" w:hAnsi="Arial" w:cs="Arial"/>
        </w:rPr>
        <w:t>Overall status on your Dashboard for your Academic Indicators across the School Level and Student Group Levels</w:t>
      </w:r>
    </w:p>
    <w:p w14:paraId="5987FB41" w14:textId="77777777" w:rsidR="00AA7951" w:rsidRDefault="00000000" w:rsidP="00CE0F9A">
      <w:pPr>
        <w:pStyle w:val="Heading3"/>
      </w:pPr>
      <w:r>
        <w:lastRenderedPageBreak/>
        <w:t>Criterion 1</w:t>
      </w:r>
    </w:p>
    <w:p w14:paraId="1F0FB2E0" w14:textId="77777777" w:rsidR="00AA7951" w:rsidRDefault="00000000">
      <w:pPr>
        <w:spacing w:line="259" w:lineRule="auto"/>
        <w:rPr>
          <w:rFonts w:ascii="Arial" w:eastAsia="Arial" w:hAnsi="Arial" w:cs="Arial"/>
        </w:rPr>
      </w:pPr>
      <w:r>
        <w:rPr>
          <w:rFonts w:ascii="Arial" w:eastAsia="Arial" w:hAnsi="Arial" w:cs="Arial"/>
        </w:rPr>
        <w:t xml:space="preserve">For charter schools to be evaluated under Criterion 1, they must have two or more Academic Indicators (Academic ELA, Academic Math, College/Career Indicator - CCI, English Learner Progress Indicator - ELPI) with an overall school color in both years. </w:t>
      </w:r>
    </w:p>
    <w:p w14:paraId="3CA26A4F" w14:textId="77777777" w:rsidR="00AA7951" w:rsidRDefault="68C9F5B2" w:rsidP="68C9F5B2">
      <w:pPr>
        <w:spacing w:line="259" w:lineRule="auto"/>
        <w:rPr>
          <w:rFonts w:ascii="Arial" w:eastAsia="Arial" w:hAnsi="Arial" w:cs="Arial"/>
        </w:rPr>
      </w:pPr>
      <w:r w:rsidRPr="68C9F5B2">
        <w:rPr>
          <w:rFonts w:ascii="Arial" w:eastAsia="Arial" w:hAnsi="Arial" w:cs="Arial"/>
        </w:rPr>
        <w:t xml:space="preserve">Charter schools with Blue and/or </w:t>
      </w:r>
      <w:proofErr w:type="gramStart"/>
      <w:r w:rsidRPr="68C9F5B2">
        <w:rPr>
          <w:rFonts w:ascii="Arial" w:eastAsia="Arial" w:hAnsi="Arial" w:cs="Arial"/>
        </w:rPr>
        <w:t>Green</w:t>
      </w:r>
      <w:proofErr w:type="gramEnd"/>
      <w:r w:rsidRPr="68C9F5B2">
        <w:rPr>
          <w:rFonts w:ascii="Arial" w:eastAsia="Arial" w:hAnsi="Arial" w:cs="Arial"/>
        </w:rPr>
        <w:t xml:space="preserve"> ​performance levels on all school​ Indicators in both years will qualify for the High performance category under Criterion 1.</w:t>
      </w:r>
    </w:p>
    <w:p w14:paraId="1E3FCF85" w14:textId="77777777" w:rsidR="00AA7951" w:rsidRDefault="68C9F5B2" w:rsidP="68C9F5B2">
      <w:pPr>
        <w:spacing w:line="259" w:lineRule="auto"/>
        <w:rPr>
          <w:rFonts w:ascii="Arial" w:eastAsia="Arial" w:hAnsi="Arial" w:cs="Arial"/>
        </w:rPr>
      </w:pPr>
      <w:r w:rsidRPr="68C9F5B2">
        <w:rPr>
          <w:rFonts w:ascii="Arial" w:eastAsia="Arial" w:hAnsi="Arial" w:cs="Arial"/>
        </w:rPr>
        <w:t xml:space="preserve">Charter schools with Red and/or </w:t>
      </w:r>
      <w:proofErr w:type="gramStart"/>
      <w:r w:rsidRPr="68C9F5B2">
        <w:rPr>
          <w:rFonts w:ascii="Arial" w:eastAsia="Arial" w:hAnsi="Arial" w:cs="Arial"/>
        </w:rPr>
        <w:t>Orange</w:t>
      </w:r>
      <w:proofErr w:type="gramEnd"/>
      <w:r w:rsidRPr="68C9F5B2">
        <w:rPr>
          <w:rFonts w:ascii="Arial" w:eastAsia="Arial" w:hAnsi="Arial" w:cs="Arial"/>
        </w:rPr>
        <w:t xml:space="preserve"> ​performance levels on all school​ Indicators in both years will qualify for the Low performance category under Criterion 1.</w:t>
      </w:r>
    </w:p>
    <w:p w14:paraId="5BACA2C3" w14:textId="77777777" w:rsidR="00AA7951" w:rsidRDefault="68C9F5B2" w:rsidP="68C9F5B2">
      <w:pPr>
        <w:spacing w:line="259" w:lineRule="auto"/>
        <w:rPr>
          <w:rFonts w:ascii="Arial" w:eastAsia="Arial" w:hAnsi="Arial" w:cs="Arial"/>
        </w:rPr>
      </w:pPr>
      <w:r w:rsidRPr="68C9F5B2">
        <w:rPr>
          <w:rFonts w:ascii="Arial" w:eastAsia="Arial" w:hAnsi="Arial" w:cs="Arial"/>
        </w:rPr>
        <w:t xml:space="preserve">In 2024, 9 charter schools received a </w:t>
      </w:r>
      <w:proofErr w:type="gramStart"/>
      <w:r w:rsidRPr="68C9F5B2">
        <w:rPr>
          <w:rFonts w:ascii="Arial" w:eastAsia="Arial" w:hAnsi="Arial" w:cs="Arial"/>
        </w:rPr>
        <w:t>High</w:t>
      </w:r>
      <w:proofErr w:type="gramEnd"/>
      <w:r w:rsidRPr="68C9F5B2">
        <w:rPr>
          <w:rFonts w:ascii="Arial" w:eastAsia="Arial" w:hAnsi="Arial" w:cs="Arial"/>
        </w:rPr>
        <w:t xml:space="preserve"> performance category under Criterion 1, and 2 received a low performance category. Following this evaluation, the other 1,138 non-DASS charter schools move into consideration under Criterion 2.</w:t>
      </w:r>
    </w:p>
    <w:p w14:paraId="66805999" w14:textId="77777777" w:rsidR="00AA7951" w:rsidRDefault="00000000" w:rsidP="00CE0F9A">
      <w:pPr>
        <w:pStyle w:val="Heading3"/>
      </w:pPr>
      <w:r>
        <w:t>Criterion 2</w:t>
      </w:r>
    </w:p>
    <w:p w14:paraId="77B137A4" w14:textId="5580F56B" w:rsidR="00AA7951" w:rsidRDefault="68C9F5B2" w:rsidP="68C9F5B2">
      <w:pPr>
        <w:spacing w:before="120" w:after="120" w:line="240" w:lineRule="auto"/>
        <w:rPr>
          <w:rFonts w:ascii="Arial" w:eastAsia="Arial" w:hAnsi="Arial" w:cs="Arial"/>
        </w:rPr>
      </w:pPr>
      <w:r w:rsidRPr="68C9F5B2">
        <w:rPr>
          <w:rFonts w:ascii="Arial" w:eastAsia="Arial" w:hAnsi="Arial" w:cs="Arial"/>
        </w:rPr>
        <w:t xml:space="preserve">For charter schools to be evaluated under Criterion 2, they must have two or more Academic Indicators (Academic ELA, Academic Math, College/Career Indicator - CCI, English Learner Progress Indicator - ELPI) with an overall school color in both years, and they also must have two </w:t>
      </w:r>
      <w:r w:rsidR="00585D37" w:rsidRPr="68C9F5B2">
        <w:rPr>
          <w:rFonts w:ascii="Arial" w:eastAsia="Arial" w:hAnsi="Arial" w:cs="Arial"/>
        </w:rPr>
        <w:t>underperforming</w:t>
      </w:r>
      <w:r w:rsidRPr="68C9F5B2">
        <w:rPr>
          <w:rFonts w:ascii="Arial" w:eastAsia="Arial" w:hAnsi="Arial" w:cs="Arial"/>
        </w:rPr>
        <w:t xml:space="preserve"> student groups that have a color. All student groups are eligible under this consideration except White, Asian, Two or More Races and Filipino student groups. </w:t>
      </w:r>
    </w:p>
    <w:p w14:paraId="79852BF0" w14:textId="77777777" w:rsidR="00AA7951" w:rsidRDefault="68C9F5B2" w:rsidP="68C9F5B2">
      <w:pPr>
        <w:spacing w:line="259" w:lineRule="auto"/>
        <w:rPr>
          <w:rFonts w:ascii="Arial" w:eastAsia="Arial" w:hAnsi="Arial" w:cs="Arial"/>
        </w:rPr>
      </w:pPr>
      <w:r w:rsidRPr="68C9F5B2">
        <w:rPr>
          <w:rFonts w:ascii="Arial" w:eastAsia="Arial" w:hAnsi="Arial" w:cs="Arial"/>
        </w:rPr>
        <w:t xml:space="preserve">Charter schools with a school status higher (or same) than the state for all Academic Indicators in both years and with a majority of eligible student groups with a status higher than state for all Academic​ Indicators in both years​ will qualify for the </w:t>
      </w:r>
      <w:proofErr w:type="gramStart"/>
      <w:r w:rsidRPr="68C9F5B2">
        <w:rPr>
          <w:rFonts w:ascii="Arial" w:eastAsia="Arial" w:hAnsi="Arial" w:cs="Arial"/>
        </w:rPr>
        <w:t>High performance</w:t>
      </w:r>
      <w:proofErr w:type="gramEnd"/>
      <w:r w:rsidRPr="68C9F5B2">
        <w:rPr>
          <w:rFonts w:ascii="Arial" w:eastAsia="Arial" w:hAnsi="Arial" w:cs="Arial"/>
        </w:rPr>
        <w:t xml:space="preserve"> category under Criterion 2. </w:t>
      </w:r>
    </w:p>
    <w:p w14:paraId="7B6AB388" w14:textId="4F53FDC9" w:rsidR="00AA7951" w:rsidRDefault="68C9F5B2" w:rsidP="68C9F5B2">
      <w:pPr>
        <w:spacing w:line="259" w:lineRule="auto"/>
        <w:rPr>
          <w:rFonts w:ascii="Arial" w:eastAsia="Arial" w:hAnsi="Arial" w:cs="Arial"/>
        </w:rPr>
      </w:pPr>
      <w:r w:rsidRPr="68C9F5B2">
        <w:rPr>
          <w:rFonts w:ascii="Arial" w:eastAsia="Arial" w:hAnsi="Arial" w:cs="Arial"/>
        </w:rPr>
        <w:t xml:space="preserve">Charter schools with a school status lower (or same) than the state for all Academic Indicators in both years and with </w:t>
      </w:r>
      <w:proofErr w:type="gramStart"/>
      <w:r w:rsidRPr="68C9F5B2">
        <w:rPr>
          <w:rFonts w:ascii="Arial" w:eastAsia="Arial" w:hAnsi="Arial" w:cs="Arial"/>
        </w:rPr>
        <w:t>a majority of</w:t>
      </w:r>
      <w:proofErr w:type="gramEnd"/>
      <w:r w:rsidRPr="68C9F5B2">
        <w:rPr>
          <w:rFonts w:ascii="Arial" w:eastAsia="Arial" w:hAnsi="Arial" w:cs="Arial"/>
        </w:rPr>
        <w:t xml:space="preserve"> eligible student groups with a status lower than state for all Academic​ Indicators in both years​ will qualify for the Low performance category under Criterion 2. </w:t>
      </w:r>
    </w:p>
    <w:p w14:paraId="37DA995E" w14:textId="77777777" w:rsidR="00AA7951" w:rsidRDefault="68C9F5B2" w:rsidP="68C9F5B2">
      <w:pPr>
        <w:spacing w:after="60" w:line="245" w:lineRule="auto"/>
        <w:ind w:right="302"/>
        <w:rPr>
          <w:rFonts w:ascii="Arial" w:eastAsia="Arial" w:hAnsi="Arial" w:cs="Arial"/>
        </w:rPr>
      </w:pPr>
      <w:r w:rsidRPr="68C9F5B2">
        <w:rPr>
          <w:rFonts w:ascii="Arial" w:eastAsia="Arial" w:hAnsi="Arial" w:cs="Arial"/>
        </w:rPr>
        <w:t xml:space="preserve">In 2024, 201 charter schools received a </w:t>
      </w:r>
      <w:proofErr w:type="gramStart"/>
      <w:r w:rsidRPr="68C9F5B2">
        <w:rPr>
          <w:rFonts w:ascii="Arial" w:eastAsia="Arial" w:hAnsi="Arial" w:cs="Arial"/>
        </w:rPr>
        <w:t>High</w:t>
      </w:r>
      <w:proofErr w:type="gramEnd"/>
      <w:r w:rsidRPr="68C9F5B2">
        <w:rPr>
          <w:rFonts w:ascii="Arial" w:eastAsia="Arial" w:hAnsi="Arial" w:cs="Arial"/>
        </w:rPr>
        <w:t xml:space="preserve"> performance category under Criterion 2, and 95 received a low performance category. </w:t>
      </w:r>
    </w:p>
    <w:p w14:paraId="2A695A48" w14:textId="77777777" w:rsidR="00AA7951" w:rsidRDefault="00000000" w:rsidP="00CE0F9A">
      <w:pPr>
        <w:pStyle w:val="Heading3"/>
      </w:pPr>
      <w:r>
        <w:t>2024 Performance Categories: Middle</w:t>
      </w:r>
    </w:p>
    <w:p w14:paraId="0DF1BC42" w14:textId="0DCFF3C1" w:rsidR="006A126B" w:rsidRPr="006A126B" w:rsidRDefault="68C9F5B2" w:rsidP="006A126B">
      <w:pPr>
        <w:keepNext/>
        <w:spacing w:before="360" w:line="240" w:lineRule="auto"/>
        <w:rPr>
          <w:rFonts w:ascii="Arial" w:eastAsia="Arial" w:hAnsi="Arial" w:cs="Arial"/>
          <w:b/>
          <w:bCs/>
          <w:sz w:val="32"/>
          <w:szCs w:val="32"/>
        </w:rPr>
      </w:pPr>
      <w:r w:rsidRPr="68C9F5B2">
        <w:rPr>
          <w:rFonts w:ascii="Arial" w:eastAsia="Arial" w:hAnsi="Arial" w:cs="Arial"/>
        </w:rPr>
        <w:t xml:space="preserve">The remaining 842 charter schools are placed in the middle performance category. Of those, 601 were evaluated for but did not meet the requirements for Criterion 1 or 2. </w:t>
      </w:r>
      <w:r w:rsidRPr="68C9F5B2">
        <w:rPr>
          <w:rFonts w:ascii="Arial" w:eastAsia="Arial" w:hAnsi="Arial" w:cs="Arial"/>
        </w:rPr>
        <w:lastRenderedPageBreak/>
        <w:t xml:space="preserve">Another 241 charter schools did not have the necessary data to be evaluated under Criterion 1 or 2. </w:t>
      </w:r>
    </w:p>
    <w:p w14:paraId="47746BDE" w14:textId="733726B6" w:rsidR="00AA7951" w:rsidRPr="006A126B" w:rsidRDefault="00F22291" w:rsidP="006A126B">
      <w:pPr>
        <w:pStyle w:val="Heading2"/>
      </w:pPr>
      <w:r>
        <w:br/>
      </w:r>
      <w:r w:rsidRPr="006A126B">
        <w:t>Dashboard Resources</w:t>
      </w:r>
    </w:p>
    <w:p w14:paraId="570632B9" w14:textId="77777777" w:rsidR="00AA7951" w:rsidRDefault="00000000" w:rsidP="006A126B">
      <w:pPr>
        <w:pStyle w:val="Heading3"/>
      </w:pPr>
      <w:r>
        <w:t>Dashboard Resources Website</w:t>
      </w:r>
    </w:p>
    <w:p w14:paraId="40030D69" w14:textId="77777777" w:rsidR="00AA7951" w:rsidRDefault="00000000">
      <w:pPr>
        <w:numPr>
          <w:ilvl w:val="0"/>
          <w:numId w:val="13"/>
        </w:numPr>
        <w:tabs>
          <w:tab w:val="left" w:pos="720"/>
        </w:tabs>
        <w:spacing w:line="259" w:lineRule="auto"/>
        <w:ind w:left="720" w:hanging="360"/>
        <w:rPr>
          <w:rFonts w:ascii="Arial" w:eastAsia="Arial" w:hAnsi="Arial" w:cs="Arial"/>
        </w:rPr>
      </w:pPr>
      <w:r>
        <w:rPr>
          <w:rFonts w:ascii="Arial" w:eastAsia="Arial" w:hAnsi="Arial" w:cs="Arial"/>
        </w:rPr>
        <w:t>Dedicated pages for each state indicator</w:t>
      </w:r>
    </w:p>
    <w:p w14:paraId="18660E9F" w14:textId="77777777" w:rsidR="00AA7951" w:rsidRDefault="00000000">
      <w:pPr>
        <w:numPr>
          <w:ilvl w:val="0"/>
          <w:numId w:val="13"/>
        </w:numPr>
        <w:tabs>
          <w:tab w:val="left" w:pos="720"/>
        </w:tabs>
        <w:spacing w:line="259" w:lineRule="auto"/>
        <w:ind w:left="720" w:hanging="360"/>
        <w:rPr>
          <w:rFonts w:ascii="Arial" w:eastAsia="Arial" w:hAnsi="Arial" w:cs="Arial"/>
        </w:rPr>
      </w:pPr>
      <w:r>
        <w:rPr>
          <w:rFonts w:ascii="Arial" w:eastAsia="Arial" w:hAnsi="Arial" w:cs="Arial"/>
        </w:rPr>
        <w:t>Organized by "general" and "technical" information</w:t>
      </w:r>
    </w:p>
    <w:p w14:paraId="3F8FF6E0" w14:textId="77777777" w:rsidR="00AA7951" w:rsidRDefault="68C9F5B2" w:rsidP="68C9F5B2">
      <w:pPr>
        <w:numPr>
          <w:ilvl w:val="0"/>
          <w:numId w:val="13"/>
        </w:numPr>
        <w:tabs>
          <w:tab w:val="left" w:pos="720"/>
        </w:tabs>
        <w:spacing w:line="259" w:lineRule="auto"/>
        <w:ind w:left="720" w:hanging="360"/>
        <w:rPr>
          <w:rFonts w:ascii="Arial" w:eastAsia="Arial" w:hAnsi="Arial" w:cs="Arial"/>
        </w:rPr>
      </w:pPr>
      <w:r w:rsidRPr="68C9F5B2">
        <w:rPr>
          <w:rFonts w:ascii="Arial" w:eastAsia="Arial" w:hAnsi="Arial" w:cs="Arial"/>
        </w:rPr>
        <w:t>Anchors on each page to help identify the available resources and information</w:t>
      </w:r>
    </w:p>
    <w:p w14:paraId="3C68FCC6" w14:textId="77777777" w:rsidR="00AA7951" w:rsidRDefault="00000000" w:rsidP="006A126B">
      <w:pPr>
        <w:pStyle w:val="Heading3"/>
      </w:pPr>
      <w:r>
        <w:t>2023 Dashboard Toolkit</w:t>
      </w:r>
    </w:p>
    <w:p w14:paraId="02616CB4" w14:textId="77777777" w:rsidR="00AA7951" w:rsidRDefault="00000000">
      <w:pPr>
        <w:numPr>
          <w:ilvl w:val="0"/>
          <w:numId w:val="14"/>
        </w:numPr>
        <w:tabs>
          <w:tab w:val="left" w:pos="720"/>
        </w:tabs>
        <w:spacing w:line="259" w:lineRule="auto"/>
        <w:ind w:left="720" w:hanging="360"/>
        <w:rPr>
          <w:rFonts w:ascii="Arial" w:eastAsia="Arial" w:hAnsi="Arial" w:cs="Arial"/>
        </w:rPr>
      </w:pPr>
      <w:r>
        <w:rPr>
          <w:rFonts w:ascii="Arial" w:eastAsia="Arial" w:hAnsi="Arial" w:cs="Arial"/>
        </w:rPr>
        <w:t>Flyers for multiple audiences</w:t>
      </w:r>
    </w:p>
    <w:p w14:paraId="4E75C5AE" w14:textId="77777777" w:rsidR="00AA7951" w:rsidRDefault="00000000">
      <w:pPr>
        <w:numPr>
          <w:ilvl w:val="0"/>
          <w:numId w:val="14"/>
        </w:numPr>
        <w:tabs>
          <w:tab w:val="left" w:pos="720"/>
        </w:tabs>
        <w:spacing w:line="259" w:lineRule="auto"/>
        <w:ind w:left="720" w:hanging="360"/>
        <w:rPr>
          <w:rFonts w:ascii="Arial" w:eastAsia="Arial" w:hAnsi="Arial" w:cs="Arial"/>
        </w:rPr>
      </w:pPr>
      <w:r>
        <w:rPr>
          <w:rFonts w:ascii="Arial" w:eastAsia="Arial" w:hAnsi="Arial" w:cs="Arial"/>
        </w:rPr>
        <w:t>On-demand training sessions</w:t>
      </w:r>
    </w:p>
    <w:p w14:paraId="636030B3" w14:textId="77777777" w:rsidR="00AA7951" w:rsidRDefault="00000000">
      <w:pPr>
        <w:numPr>
          <w:ilvl w:val="0"/>
          <w:numId w:val="14"/>
        </w:numPr>
        <w:tabs>
          <w:tab w:val="left" w:pos="720"/>
        </w:tabs>
        <w:spacing w:line="259" w:lineRule="auto"/>
        <w:ind w:left="720" w:hanging="360"/>
        <w:rPr>
          <w:rFonts w:ascii="Arial" w:eastAsia="Arial" w:hAnsi="Arial" w:cs="Arial"/>
        </w:rPr>
      </w:pPr>
      <w:r>
        <w:rPr>
          <w:rFonts w:ascii="Arial" w:eastAsia="Arial" w:hAnsi="Arial" w:cs="Arial"/>
        </w:rPr>
        <w:t>FAQs and more</w:t>
      </w:r>
    </w:p>
    <w:p w14:paraId="2470F59A" w14:textId="77777777" w:rsidR="00AA7951" w:rsidRDefault="00000000">
      <w:pPr>
        <w:numPr>
          <w:ilvl w:val="0"/>
          <w:numId w:val="14"/>
        </w:numPr>
        <w:tabs>
          <w:tab w:val="left" w:pos="720"/>
        </w:tabs>
        <w:spacing w:line="259" w:lineRule="auto"/>
        <w:ind w:left="720" w:hanging="360"/>
        <w:rPr>
          <w:rFonts w:ascii="Arial" w:eastAsia="Arial" w:hAnsi="Arial" w:cs="Arial"/>
        </w:rPr>
      </w:pPr>
      <w:r>
        <w:rPr>
          <w:rFonts w:ascii="Arial" w:eastAsia="Arial" w:hAnsi="Arial" w:cs="Arial"/>
        </w:rPr>
        <w:t xml:space="preserve">Always an email away: </w:t>
      </w:r>
      <w:hyperlink r:id="rId10">
        <w:r>
          <w:rPr>
            <w:rFonts w:ascii="Arial" w:eastAsia="Arial" w:hAnsi="Arial" w:cs="Arial"/>
            <w:color w:val="0000FF"/>
            <w:u w:val="single"/>
          </w:rPr>
          <w:t>dashboard@cde.ca.gov</w:t>
        </w:r>
      </w:hyperlink>
      <w:r>
        <w:rPr>
          <w:rFonts w:ascii="Arial" w:eastAsia="Arial" w:hAnsi="Arial" w:cs="Arial"/>
        </w:rPr>
        <w:t> </w:t>
      </w:r>
    </w:p>
    <w:p w14:paraId="50882631" w14:textId="77777777" w:rsidR="00AA7951" w:rsidRPr="006A126B" w:rsidRDefault="00000000" w:rsidP="006A126B">
      <w:pPr>
        <w:pStyle w:val="Heading4"/>
      </w:pPr>
      <w:r w:rsidRPr="006A126B">
        <w:t>Dashboard Indicator Flyers</w:t>
      </w:r>
    </w:p>
    <w:p w14:paraId="24E8ED36" w14:textId="51B13487" w:rsidR="00AA7951" w:rsidRDefault="00000000">
      <w:pPr>
        <w:numPr>
          <w:ilvl w:val="0"/>
          <w:numId w:val="15"/>
        </w:numPr>
        <w:tabs>
          <w:tab w:val="left" w:pos="720"/>
        </w:tabs>
        <w:spacing w:after="60" w:line="259" w:lineRule="auto"/>
        <w:ind w:left="720" w:hanging="360"/>
        <w:rPr>
          <w:rFonts w:ascii="Arial" w:eastAsia="Arial" w:hAnsi="Arial" w:cs="Arial"/>
          <w:color w:val="000000"/>
        </w:rPr>
      </w:pPr>
      <w:r>
        <w:rPr>
          <w:rFonts w:ascii="Arial" w:eastAsia="Arial" w:hAnsi="Arial" w:cs="Arial"/>
        </w:rPr>
        <w:t>Academic Indicators:</w:t>
      </w:r>
      <w:r>
        <w:rPr>
          <w:rFonts w:ascii="Arial" w:eastAsia="Arial" w:hAnsi="Arial" w:cs="Arial"/>
        </w:rPr>
        <w:br/>
      </w:r>
      <w:hyperlink r:id="rId11" w:tooltip="Acadmeic Indicators">
        <w:r>
          <w:rPr>
            <w:rFonts w:ascii="Arial" w:eastAsia="Arial" w:hAnsi="Arial" w:cs="Arial"/>
            <w:color w:val="0000FF"/>
            <w:u w:val="single"/>
          </w:rPr>
          <w:t>https://www.cde.ca.gov/ta/ac/cm/documents/academicindicator23.pdf</w:t>
        </w:r>
      </w:hyperlink>
    </w:p>
    <w:p w14:paraId="16B69680" w14:textId="00F22097" w:rsidR="00AA7951" w:rsidRDefault="00000000">
      <w:pPr>
        <w:numPr>
          <w:ilvl w:val="0"/>
          <w:numId w:val="15"/>
        </w:numPr>
        <w:tabs>
          <w:tab w:val="left" w:pos="720"/>
        </w:tabs>
        <w:spacing w:after="60" w:line="259" w:lineRule="auto"/>
        <w:ind w:left="720" w:hanging="360"/>
        <w:rPr>
          <w:rFonts w:ascii="Arial" w:eastAsia="Arial" w:hAnsi="Arial" w:cs="Arial"/>
          <w:color w:val="000000"/>
        </w:rPr>
      </w:pPr>
      <w:r>
        <w:rPr>
          <w:rFonts w:ascii="Arial" w:eastAsia="Arial" w:hAnsi="Arial" w:cs="Arial"/>
          <w:color w:val="000000"/>
        </w:rPr>
        <w:t xml:space="preserve">Academic Participation Rate Calculation for the Dashboard: </w:t>
      </w:r>
      <w:hyperlink r:id="rId12" w:tooltip="Academic Participation Rate Calculation for the Dashboard">
        <w:r>
          <w:rPr>
            <w:rFonts w:ascii="Arial" w:eastAsia="Arial" w:hAnsi="Arial" w:cs="Arial"/>
            <w:color w:val="0000FF"/>
            <w:u w:val="single"/>
          </w:rPr>
          <w:t>https://www.cde.ca.gov/ta/ac/cm/documents/aiparticipation23.pdf</w:t>
        </w:r>
      </w:hyperlink>
    </w:p>
    <w:p w14:paraId="04B347C9" w14:textId="290DD87F" w:rsidR="00AA7951" w:rsidRDefault="00000000">
      <w:pPr>
        <w:numPr>
          <w:ilvl w:val="0"/>
          <w:numId w:val="15"/>
        </w:numPr>
        <w:tabs>
          <w:tab w:val="left" w:pos="720"/>
        </w:tabs>
        <w:spacing w:after="60" w:line="259" w:lineRule="auto"/>
        <w:ind w:left="720" w:hanging="360"/>
        <w:rPr>
          <w:rFonts w:ascii="Times New Roman" w:eastAsia="Times New Roman" w:hAnsi="Times New Roman" w:cs="Times New Roman"/>
        </w:rPr>
      </w:pPr>
      <w:r>
        <w:rPr>
          <w:rFonts w:ascii="Arial" w:eastAsia="Arial" w:hAnsi="Arial" w:cs="Arial"/>
          <w:color w:val="000000"/>
        </w:rPr>
        <w:t xml:space="preserve">Graduation Rate Indicator: </w:t>
      </w:r>
      <w:hyperlink r:id="rId13" w:tooltip="Graduation Rate Indicator">
        <w:r>
          <w:rPr>
            <w:rFonts w:ascii="Arial" w:eastAsia="Arial" w:hAnsi="Arial" w:cs="Arial"/>
            <w:color w:val="0000FF"/>
            <w:u w:val="single"/>
          </w:rPr>
          <w:t>https://www.cde.ca.gov/ta/ac/cm/documents/graduationrate23.pdf</w:t>
        </w:r>
      </w:hyperlink>
    </w:p>
    <w:p w14:paraId="15993161" w14:textId="01C37512" w:rsidR="00AA7951" w:rsidRDefault="00000000">
      <w:pPr>
        <w:numPr>
          <w:ilvl w:val="0"/>
          <w:numId w:val="15"/>
        </w:numPr>
        <w:tabs>
          <w:tab w:val="left" w:pos="720"/>
        </w:tabs>
        <w:spacing w:after="60" w:line="259" w:lineRule="auto"/>
        <w:ind w:left="720" w:hanging="360"/>
        <w:rPr>
          <w:rFonts w:ascii="Arial" w:eastAsia="Arial" w:hAnsi="Arial" w:cs="Arial"/>
          <w:color w:val="000000"/>
        </w:rPr>
      </w:pPr>
      <w:r>
        <w:rPr>
          <w:rFonts w:ascii="Arial" w:eastAsia="Arial" w:hAnsi="Arial" w:cs="Arial"/>
          <w:color w:val="000000"/>
        </w:rPr>
        <w:t xml:space="preserve">Chronic Absenteeism Indicator: </w:t>
      </w:r>
      <w:hyperlink r:id="rId14" w:tooltip="Chronic Absenteeism Indicator">
        <w:r>
          <w:rPr>
            <w:rFonts w:ascii="Arial" w:eastAsia="Arial" w:hAnsi="Arial" w:cs="Arial"/>
            <w:color w:val="0000FF"/>
            <w:u w:val="single"/>
          </w:rPr>
          <w:t>https://www.cde.ca.gov/ta/ac/cm/documents/chronicabsenteeism23.pdf</w:t>
        </w:r>
      </w:hyperlink>
    </w:p>
    <w:p w14:paraId="2C85907D" w14:textId="1EE68EC5" w:rsidR="00AA7951" w:rsidRDefault="00000000">
      <w:pPr>
        <w:numPr>
          <w:ilvl w:val="0"/>
          <w:numId w:val="15"/>
        </w:numPr>
        <w:tabs>
          <w:tab w:val="left" w:pos="720"/>
        </w:tabs>
        <w:spacing w:after="60" w:line="259" w:lineRule="auto"/>
        <w:ind w:left="720" w:hanging="360"/>
        <w:rPr>
          <w:rFonts w:ascii="Arial" w:eastAsia="Arial" w:hAnsi="Arial" w:cs="Arial"/>
          <w:color w:val="000000"/>
        </w:rPr>
      </w:pPr>
      <w:r>
        <w:rPr>
          <w:rFonts w:ascii="Arial" w:eastAsia="Arial" w:hAnsi="Arial" w:cs="Arial"/>
        </w:rPr>
        <w:t xml:space="preserve">Suspension Rate Indicator: </w:t>
      </w:r>
      <w:hyperlink r:id="rId15" w:tooltip="Suspension Rate Indicator">
        <w:r>
          <w:rPr>
            <w:rFonts w:ascii="Arial" w:eastAsia="Arial" w:hAnsi="Arial" w:cs="Arial"/>
            <w:color w:val="0000FF"/>
            <w:u w:val="single"/>
          </w:rPr>
          <w:t>https://www.cde.ca.gov/ta/ac/cm/documents/suspensionrate23.pdf</w:t>
        </w:r>
      </w:hyperlink>
    </w:p>
    <w:p w14:paraId="2BE6F815" w14:textId="27CECF55" w:rsidR="00AA7951" w:rsidRDefault="00000000">
      <w:pPr>
        <w:numPr>
          <w:ilvl w:val="0"/>
          <w:numId w:val="15"/>
        </w:numPr>
        <w:tabs>
          <w:tab w:val="left" w:pos="720"/>
        </w:tabs>
        <w:spacing w:after="60" w:line="259" w:lineRule="auto"/>
        <w:ind w:left="720" w:hanging="360"/>
        <w:rPr>
          <w:rFonts w:ascii="Arial" w:eastAsia="Arial" w:hAnsi="Arial" w:cs="Arial"/>
          <w:color w:val="000000"/>
        </w:rPr>
      </w:pPr>
      <w:r>
        <w:rPr>
          <w:rFonts w:ascii="Arial" w:eastAsia="Arial" w:hAnsi="Arial" w:cs="Arial"/>
        </w:rPr>
        <w:t xml:space="preserve">ELPI: </w:t>
      </w:r>
      <w:r>
        <w:rPr>
          <w:rFonts w:ascii="Arial" w:eastAsia="Arial" w:hAnsi="Arial" w:cs="Arial"/>
        </w:rPr>
        <w:br/>
      </w:r>
      <w:hyperlink r:id="rId16" w:tooltip="English Learner Progress Indicator">
        <w:r>
          <w:rPr>
            <w:rFonts w:ascii="Arial" w:eastAsia="Arial" w:hAnsi="Arial" w:cs="Arial"/>
            <w:color w:val="0000FF"/>
            <w:u w:val="single"/>
          </w:rPr>
          <w:t>https://www.cde.ca.gov/ta/ac/cm/documents/elprogressindicator23.pdf</w:t>
        </w:r>
      </w:hyperlink>
    </w:p>
    <w:p w14:paraId="73C2E2A0" w14:textId="0597A0EB" w:rsidR="00AA7951" w:rsidRDefault="00000000">
      <w:pPr>
        <w:numPr>
          <w:ilvl w:val="0"/>
          <w:numId w:val="15"/>
        </w:numPr>
        <w:tabs>
          <w:tab w:val="left" w:pos="720"/>
        </w:tabs>
        <w:spacing w:after="60" w:line="259" w:lineRule="auto"/>
        <w:ind w:left="720" w:hanging="360"/>
        <w:rPr>
          <w:rFonts w:ascii="Arial" w:eastAsia="Arial" w:hAnsi="Arial" w:cs="Arial"/>
          <w:color w:val="000000"/>
        </w:rPr>
      </w:pPr>
      <w:r>
        <w:rPr>
          <w:rFonts w:ascii="Arial" w:eastAsia="Arial" w:hAnsi="Arial" w:cs="Arial"/>
          <w:color w:val="000000"/>
        </w:rPr>
        <w:t xml:space="preserve">ELPI Participation Rate: </w:t>
      </w:r>
      <w:hyperlink r:id="rId17" w:tooltip="ELPI Participation Rate">
        <w:r>
          <w:rPr>
            <w:rFonts w:ascii="Arial" w:eastAsia="Arial" w:hAnsi="Arial" w:cs="Arial"/>
            <w:color w:val="0000FF"/>
            <w:u w:val="single"/>
          </w:rPr>
          <w:t>https://www.cde.ca.gov/ta/ac/cm/documents/elpiparticipationrate23.pdf</w:t>
        </w:r>
      </w:hyperlink>
    </w:p>
    <w:p w14:paraId="2BC0CC62" w14:textId="24460B5A" w:rsidR="00AA7951" w:rsidRDefault="00000000">
      <w:pPr>
        <w:numPr>
          <w:ilvl w:val="0"/>
          <w:numId w:val="15"/>
        </w:numPr>
        <w:tabs>
          <w:tab w:val="left" w:pos="720"/>
        </w:tabs>
        <w:spacing w:after="60" w:line="259" w:lineRule="auto"/>
        <w:ind w:left="720" w:hanging="360"/>
        <w:rPr>
          <w:rFonts w:ascii="Arial" w:eastAsia="Arial" w:hAnsi="Arial" w:cs="Arial"/>
        </w:rPr>
      </w:pPr>
      <w:r>
        <w:rPr>
          <w:rFonts w:ascii="Arial" w:eastAsia="Arial" w:hAnsi="Arial" w:cs="Arial"/>
        </w:rPr>
        <w:t xml:space="preserve">College Career Readiness Indicator: </w:t>
      </w:r>
      <w:hyperlink r:id="rId18" w:tooltip="College Career Readiness Indicator">
        <w:r>
          <w:rPr>
            <w:rFonts w:ascii="Arial" w:eastAsia="Arial" w:hAnsi="Arial" w:cs="Arial"/>
            <w:color w:val="0000FF"/>
            <w:u w:val="single"/>
          </w:rPr>
          <w:t>https://www.cde.ca.gov/ta/ac/cm/documents/collegecareer23.pdf</w:t>
        </w:r>
      </w:hyperlink>
    </w:p>
    <w:p w14:paraId="72A3D3EC" w14:textId="77777777" w:rsidR="00AA7951" w:rsidRDefault="00AA7951">
      <w:pPr>
        <w:spacing w:after="60" w:line="245" w:lineRule="auto"/>
        <w:ind w:right="302"/>
        <w:rPr>
          <w:rFonts w:ascii="Arial" w:eastAsia="Arial" w:hAnsi="Arial" w:cs="Arial"/>
        </w:rPr>
      </w:pPr>
    </w:p>
    <w:p w14:paraId="57D6EA0C" w14:textId="77777777" w:rsidR="00AA7951" w:rsidRDefault="00000000" w:rsidP="006A126B">
      <w:pPr>
        <w:pStyle w:val="Heading4"/>
      </w:pPr>
      <w:r>
        <w:lastRenderedPageBreak/>
        <w:t>Flyers for Parents</w:t>
      </w:r>
    </w:p>
    <w:p w14:paraId="2582EE61" w14:textId="19FC9EB1" w:rsidR="00AA7951" w:rsidRDefault="00000000">
      <w:pPr>
        <w:numPr>
          <w:ilvl w:val="0"/>
          <w:numId w:val="16"/>
        </w:numPr>
        <w:tabs>
          <w:tab w:val="left" w:pos="720"/>
        </w:tabs>
        <w:spacing w:after="60" w:line="259" w:lineRule="auto"/>
        <w:ind w:left="720" w:hanging="360"/>
        <w:rPr>
          <w:rFonts w:ascii="Arial" w:eastAsia="Arial" w:hAnsi="Arial" w:cs="Arial"/>
        </w:rPr>
      </w:pPr>
      <w:r>
        <w:rPr>
          <w:rFonts w:ascii="Arial" w:eastAsia="Arial" w:hAnsi="Arial" w:cs="Arial"/>
        </w:rPr>
        <w:t xml:space="preserve">Getting to Know the California School Dashboard: </w:t>
      </w:r>
      <w:hyperlink r:id="rId19" w:tooltip="Getting to Know the California School Dashboard">
        <w:r>
          <w:rPr>
            <w:rFonts w:ascii="Arial" w:eastAsia="Arial" w:hAnsi="Arial" w:cs="Arial"/>
            <w:color w:val="0000FF"/>
            <w:u w:val="single"/>
          </w:rPr>
          <w:t>https://www.cde.ca.gov/ta/ac/cm/documents/gettingknowdashboard23.pdf</w:t>
        </w:r>
      </w:hyperlink>
    </w:p>
    <w:p w14:paraId="231E64C7" w14:textId="083D66E1" w:rsidR="00AA7951" w:rsidRDefault="00000000">
      <w:pPr>
        <w:numPr>
          <w:ilvl w:val="0"/>
          <w:numId w:val="16"/>
        </w:numPr>
        <w:tabs>
          <w:tab w:val="left" w:pos="720"/>
        </w:tabs>
        <w:spacing w:after="60" w:line="259" w:lineRule="auto"/>
        <w:ind w:left="720" w:hanging="360"/>
        <w:rPr>
          <w:rFonts w:ascii="Arial" w:eastAsia="Arial" w:hAnsi="Arial" w:cs="Arial"/>
        </w:rPr>
      </w:pPr>
      <w:r>
        <w:rPr>
          <w:rFonts w:ascii="Arial" w:eastAsia="Arial" w:hAnsi="Arial" w:cs="Arial"/>
        </w:rPr>
        <w:t xml:space="preserve">Getting to Know the State Measures: </w:t>
      </w:r>
      <w:hyperlink r:id="rId20" w:tooltip="Getting to Know the State Measures">
        <w:r>
          <w:rPr>
            <w:rFonts w:ascii="Arial" w:eastAsia="Arial" w:hAnsi="Arial" w:cs="Arial"/>
            <w:color w:val="0000FF"/>
            <w:u w:val="single"/>
          </w:rPr>
          <w:t>https://www.cde.ca.gov/ta/ac/cm/documents/gettingtoknowmeasures23.pdf</w:t>
        </w:r>
      </w:hyperlink>
    </w:p>
    <w:p w14:paraId="2AD30F42" w14:textId="3EF0A0AF" w:rsidR="00AA7951" w:rsidRDefault="00000000">
      <w:pPr>
        <w:numPr>
          <w:ilvl w:val="0"/>
          <w:numId w:val="16"/>
        </w:numPr>
        <w:tabs>
          <w:tab w:val="left" w:pos="720"/>
        </w:tabs>
        <w:spacing w:after="60" w:line="259" w:lineRule="auto"/>
        <w:ind w:left="720" w:hanging="360"/>
        <w:rPr>
          <w:rFonts w:ascii="Arial" w:eastAsia="Arial" w:hAnsi="Arial" w:cs="Arial"/>
        </w:rPr>
      </w:pPr>
      <w:r>
        <w:rPr>
          <w:rFonts w:ascii="Arial" w:eastAsia="Arial" w:hAnsi="Arial" w:cs="Arial"/>
        </w:rPr>
        <w:t xml:space="preserve">How to View Performance for a School or District on the 2023 Dashboard: </w:t>
      </w:r>
      <w:hyperlink r:id="rId21" w:tooltip="How to View Performance for a School or District on the 2023 Dashboard">
        <w:r>
          <w:rPr>
            <w:rFonts w:ascii="Arial" w:eastAsia="Arial" w:hAnsi="Arial" w:cs="Arial"/>
            <w:color w:val="0000FF"/>
            <w:u w:val="single"/>
          </w:rPr>
          <w:t>https://www.cde.ca.gov/ta/ac/cm/documents/howtoviewperformance23.pdf</w:t>
        </w:r>
      </w:hyperlink>
    </w:p>
    <w:p w14:paraId="4F281C01" w14:textId="2C4543C8" w:rsidR="00AA7951" w:rsidRDefault="00000000">
      <w:pPr>
        <w:numPr>
          <w:ilvl w:val="0"/>
          <w:numId w:val="16"/>
        </w:numPr>
        <w:tabs>
          <w:tab w:val="left" w:pos="720"/>
        </w:tabs>
        <w:spacing w:after="60" w:line="259" w:lineRule="auto"/>
        <w:ind w:left="720" w:hanging="360"/>
        <w:rPr>
          <w:rFonts w:ascii="Arial" w:eastAsia="Arial" w:hAnsi="Arial" w:cs="Arial"/>
        </w:rPr>
      </w:pPr>
      <w:r>
        <w:rPr>
          <w:rFonts w:ascii="Arial" w:eastAsia="Arial" w:hAnsi="Arial" w:cs="Arial"/>
        </w:rPr>
        <w:t xml:space="preserve">How to Compare Schools on the 2023 Dashboard: </w:t>
      </w:r>
      <w:hyperlink r:id="rId22" w:tooltip="How to Compare Schools on the 2023 Dashboard">
        <w:r>
          <w:rPr>
            <w:rFonts w:ascii="Arial" w:eastAsia="Arial" w:hAnsi="Arial" w:cs="Arial"/>
            <w:color w:val="0000FF"/>
            <w:u w:val="single"/>
          </w:rPr>
          <w:t>https://www.cde.ca.gov/ta/ac/cm/documents/howtocompareschools23.pdf</w:t>
        </w:r>
      </w:hyperlink>
    </w:p>
    <w:p w14:paraId="287B52F9" w14:textId="4FA15155" w:rsidR="00AA7951" w:rsidRDefault="00000000">
      <w:pPr>
        <w:numPr>
          <w:ilvl w:val="0"/>
          <w:numId w:val="16"/>
        </w:numPr>
        <w:tabs>
          <w:tab w:val="left" w:pos="720"/>
        </w:tabs>
        <w:spacing w:after="60" w:line="259" w:lineRule="auto"/>
        <w:ind w:left="720" w:hanging="360"/>
        <w:rPr>
          <w:rFonts w:ascii="Arial" w:eastAsia="Arial" w:hAnsi="Arial" w:cs="Arial"/>
        </w:rPr>
      </w:pPr>
      <w:r>
        <w:rPr>
          <w:rFonts w:ascii="Arial" w:eastAsia="Arial" w:hAnsi="Arial" w:cs="Arial"/>
        </w:rPr>
        <w:t xml:space="preserve">How Colors Are Determined: </w:t>
      </w:r>
      <w:hyperlink r:id="rId23" w:tooltip="How Colors Are Determined">
        <w:r>
          <w:rPr>
            <w:rFonts w:ascii="Arial" w:eastAsia="Arial" w:hAnsi="Arial" w:cs="Arial"/>
            <w:color w:val="0000FF"/>
            <w:u w:val="single"/>
          </w:rPr>
          <w:t>https://www.cde.ca.gov/ta/ac/cm/documents/howcolorsdetermined23.pdf</w:t>
        </w:r>
      </w:hyperlink>
    </w:p>
    <w:p w14:paraId="7F0CA25F" w14:textId="7026B303" w:rsidR="00AA7951" w:rsidRDefault="00000000">
      <w:pPr>
        <w:numPr>
          <w:ilvl w:val="0"/>
          <w:numId w:val="16"/>
        </w:numPr>
        <w:tabs>
          <w:tab w:val="left" w:pos="720"/>
        </w:tabs>
        <w:spacing w:line="259" w:lineRule="auto"/>
        <w:ind w:left="720" w:hanging="360"/>
        <w:rPr>
          <w:rFonts w:ascii="Arial" w:eastAsia="Arial" w:hAnsi="Arial" w:cs="Arial"/>
        </w:rPr>
      </w:pPr>
      <w:r>
        <w:rPr>
          <w:rFonts w:ascii="Arial" w:eastAsia="Arial" w:hAnsi="Arial" w:cs="Arial"/>
        </w:rPr>
        <w:t xml:space="preserve">Exploring the Equity Report: </w:t>
      </w:r>
      <w:hyperlink r:id="rId24" w:tooltip="Exploring the Equity Report">
        <w:r>
          <w:rPr>
            <w:rFonts w:ascii="Arial" w:eastAsia="Arial" w:hAnsi="Arial" w:cs="Arial"/>
            <w:color w:val="0000FF"/>
            <w:u w:val="single"/>
          </w:rPr>
          <w:t>https://www.cde.ca.gov/ta/ac/cm/documents/explorequityreport23.pdf</w:t>
        </w:r>
      </w:hyperlink>
    </w:p>
    <w:p w14:paraId="56CF535E" w14:textId="77777777" w:rsidR="00AA7951" w:rsidRDefault="00000000" w:rsidP="006A126B">
      <w:pPr>
        <w:pStyle w:val="Heading3"/>
      </w:pPr>
      <w:r>
        <w:t>Technical Resources</w:t>
      </w:r>
    </w:p>
    <w:p w14:paraId="3C6BB718" w14:textId="6B1381B7" w:rsidR="00AA7951" w:rsidRDefault="00000000">
      <w:pPr>
        <w:numPr>
          <w:ilvl w:val="0"/>
          <w:numId w:val="17"/>
        </w:numPr>
        <w:tabs>
          <w:tab w:val="left" w:pos="1080"/>
        </w:tabs>
        <w:spacing w:after="60" w:line="259" w:lineRule="auto"/>
        <w:ind w:left="1080" w:hanging="360"/>
        <w:rPr>
          <w:rFonts w:ascii="Arial" w:eastAsia="Arial" w:hAnsi="Arial" w:cs="Arial"/>
        </w:rPr>
      </w:pPr>
      <w:r>
        <w:rPr>
          <w:rFonts w:ascii="Arial" w:eastAsia="Arial" w:hAnsi="Arial" w:cs="Arial"/>
        </w:rPr>
        <w:t xml:space="preserve">CDE 2023 Dashboard Technical Guide web page: </w:t>
      </w:r>
      <w:hyperlink r:id="rId25" w:tooltip="CDE 2023 Dashboard Technical Guide web page">
        <w:r>
          <w:rPr>
            <w:rFonts w:ascii="Arial" w:eastAsia="Arial" w:hAnsi="Arial" w:cs="Arial"/>
            <w:color w:val="0000FF"/>
            <w:u w:val="single"/>
          </w:rPr>
          <w:t>https://www.cde.ca.gov/ta/ac/cm/dashboardguide23.asp</w:t>
        </w:r>
      </w:hyperlink>
    </w:p>
    <w:p w14:paraId="0E4E5D16" w14:textId="39E99601" w:rsidR="00AA7951" w:rsidRDefault="00000000">
      <w:pPr>
        <w:numPr>
          <w:ilvl w:val="0"/>
          <w:numId w:val="17"/>
        </w:numPr>
        <w:tabs>
          <w:tab w:val="left" w:pos="1080"/>
        </w:tabs>
        <w:spacing w:after="60" w:line="259" w:lineRule="auto"/>
        <w:ind w:left="1080" w:hanging="360"/>
        <w:rPr>
          <w:rFonts w:ascii="Arial" w:eastAsia="Arial" w:hAnsi="Arial" w:cs="Arial"/>
        </w:rPr>
      </w:pPr>
      <w:r>
        <w:rPr>
          <w:rFonts w:ascii="Arial" w:eastAsia="Arial" w:hAnsi="Arial" w:cs="Arial"/>
        </w:rPr>
        <w:t xml:space="preserve">2022–23 Handbook Connecting CALPADS to the Dashboard: </w:t>
      </w:r>
      <w:hyperlink r:id="rId26" w:tooltip="2022–23 Handbook Connecting CALPADS to the Dashboard">
        <w:r>
          <w:rPr>
            <w:rFonts w:ascii="Arial" w:eastAsia="Arial" w:hAnsi="Arial" w:cs="Arial"/>
            <w:color w:val="0000FF"/>
            <w:u w:val="single"/>
          </w:rPr>
          <w:t>https://www.cde.ca.gov/ta/ac/cm/documents/caldashhandbook23.docx</w:t>
        </w:r>
      </w:hyperlink>
      <w:r>
        <w:rPr>
          <w:rFonts w:ascii="Arial" w:eastAsia="Arial" w:hAnsi="Arial" w:cs="Arial"/>
        </w:rPr>
        <w:t xml:space="preserve"> </w:t>
      </w:r>
    </w:p>
    <w:p w14:paraId="1070394C" w14:textId="77777777" w:rsidR="00AA7951" w:rsidRDefault="00000000" w:rsidP="006A126B">
      <w:pPr>
        <w:pStyle w:val="Heading3"/>
      </w:pPr>
      <w:r>
        <w:t>Dashboard Additional Reports</w:t>
      </w:r>
    </w:p>
    <w:p w14:paraId="333B2424" w14:textId="77777777" w:rsidR="00AA7951" w:rsidRDefault="00000000">
      <w:pPr>
        <w:numPr>
          <w:ilvl w:val="0"/>
          <w:numId w:val="18"/>
        </w:numPr>
        <w:tabs>
          <w:tab w:val="left" w:pos="720"/>
        </w:tabs>
        <w:spacing w:line="259" w:lineRule="auto"/>
        <w:ind w:left="720" w:hanging="360"/>
        <w:rPr>
          <w:rFonts w:ascii="Arial" w:eastAsia="Arial" w:hAnsi="Arial" w:cs="Arial"/>
        </w:rPr>
      </w:pPr>
      <w:r>
        <w:rPr>
          <w:rFonts w:ascii="Arial" w:eastAsia="Arial" w:hAnsi="Arial" w:cs="Arial"/>
        </w:rPr>
        <w:t>Expanded information from the Dashboard</w:t>
      </w:r>
    </w:p>
    <w:p w14:paraId="713E9E82" w14:textId="77777777" w:rsidR="00AA7951" w:rsidRDefault="00000000">
      <w:pPr>
        <w:numPr>
          <w:ilvl w:val="0"/>
          <w:numId w:val="18"/>
        </w:numPr>
        <w:tabs>
          <w:tab w:val="left" w:pos="720"/>
        </w:tabs>
        <w:spacing w:line="259" w:lineRule="auto"/>
        <w:ind w:left="720" w:hanging="360"/>
        <w:rPr>
          <w:rFonts w:ascii="Arial" w:eastAsia="Arial" w:hAnsi="Arial" w:cs="Arial"/>
        </w:rPr>
      </w:pPr>
      <w:r>
        <w:rPr>
          <w:rFonts w:ascii="Arial" w:eastAsia="Arial" w:hAnsi="Arial" w:cs="Arial"/>
        </w:rPr>
        <w:t>Aimed for LEA and School Audiences</w:t>
      </w:r>
    </w:p>
    <w:p w14:paraId="55F2AC2C" w14:textId="34B85BEC" w:rsidR="00AA7951" w:rsidRDefault="00000000">
      <w:pPr>
        <w:numPr>
          <w:ilvl w:val="0"/>
          <w:numId w:val="18"/>
        </w:numPr>
        <w:tabs>
          <w:tab w:val="left" w:pos="720"/>
        </w:tabs>
        <w:spacing w:line="259" w:lineRule="auto"/>
        <w:ind w:left="720" w:hanging="360"/>
        <w:rPr>
          <w:rFonts w:ascii="Arial" w:eastAsia="Arial" w:hAnsi="Arial" w:cs="Arial"/>
        </w:rPr>
      </w:pPr>
      <w:r>
        <w:rPr>
          <w:rFonts w:ascii="Arial" w:eastAsia="Arial" w:hAnsi="Arial" w:cs="Arial"/>
        </w:rPr>
        <w:t xml:space="preserve">The CDE School Dashboard Additional Reports web page:  </w:t>
      </w:r>
      <w:hyperlink r:id="rId27" w:tooltip="The CDE School Dashboard Additional Reports web page">
        <w:r>
          <w:rPr>
            <w:rFonts w:ascii="Arial" w:eastAsia="Arial" w:hAnsi="Arial" w:cs="Arial"/>
            <w:color w:val="0000FF"/>
            <w:u w:val="single"/>
          </w:rPr>
          <w:t>https://www.cde.ca.gov/ta/ac/cm/dbadditionalrpts.asp</w:t>
        </w:r>
      </w:hyperlink>
      <w:r>
        <w:rPr>
          <w:rFonts w:ascii="Arial" w:eastAsia="Arial" w:hAnsi="Arial" w:cs="Arial"/>
        </w:rPr>
        <w:t xml:space="preserve"> </w:t>
      </w:r>
    </w:p>
    <w:p w14:paraId="0D0B940D" w14:textId="0D46FB1E" w:rsidR="00AA7951" w:rsidRPr="006A126B" w:rsidRDefault="00000000" w:rsidP="006A126B">
      <w:pPr>
        <w:pStyle w:val="Heading2"/>
      </w:pPr>
      <w:r w:rsidRPr="006A126B">
        <w:t>Contacting Us</w:t>
      </w:r>
    </w:p>
    <w:p w14:paraId="1BBAE9F9" w14:textId="57AA2389" w:rsidR="00AA7951" w:rsidRDefault="00000000">
      <w:pPr>
        <w:numPr>
          <w:ilvl w:val="0"/>
          <w:numId w:val="19"/>
        </w:numPr>
        <w:tabs>
          <w:tab w:val="left" w:pos="720"/>
        </w:tabs>
        <w:spacing w:after="120" w:line="245" w:lineRule="auto"/>
        <w:ind w:left="720" w:right="302" w:hanging="360"/>
        <w:rPr>
          <w:rFonts w:ascii="Arial" w:eastAsia="Arial" w:hAnsi="Arial" w:cs="Arial"/>
        </w:rPr>
      </w:pPr>
      <w:r>
        <w:rPr>
          <w:rFonts w:ascii="Arial" w:eastAsia="Arial" w:hAnsi="Arial" w:cs="Arial"/>
        </w:rPr>
        <w:t xml:space="preserve">Email Charter School Performance Category Questions to </w:t>
      </w:r>
      <w:hyperlink r:id="rId28">
        <w:r w:rsidR="00C577EC">
          <w:rPr>
            <w:rFonts w:ascii="Arial" w:eastAsia="Arial" w:hAnsi="Arial" w:cs="Arial"/>
            <w:color w:val="0000FF"/>
            <w:u w:val="single"/>
          </w:rPr>
          <w:t>Charters@cde.ca.gov</w:t>
        </w:r>
      </w:hyperlink>
    </w:p>
    <w:p w14:paraId="4131B9D9" w14:textId="66CF46F3" w:rsidR="00AA7951" w:rsidRDefault="68C9F5B2" w:rsidP="68C9F5B2">
      <w:pPr>
        <w:numPr>
          <w:ilvl w:val="0"/>
          <w:numId w:val="19"/>
        </w:numPr>
        <w:tabs>
          <w:tab w:val="left" w:pos="720"/>
        </w:tabs>
        <w:spacing w:after="120" w:line="245" w:lineRule="auto"/>
        <w:ind w:left="720" w:right="302" w:hanging="360"/>
        <w:rPr>
          <w:rFonts w:ascii="Arial" w:eastAsia="Arial" w:hAnsi="Arial" w:cs="Arial"/>
        </w:rPr>
      </w:pPr>
      <w:r w:rsidRPr="00DD5212">
        <w:rPr>
          <w:rFonts w:ascii="Arial" w:eastAsia="Arial" w:hAnsi="Arial" w:cs="Arial"/>
        </w:rPr>
        <w:t xml:space="preserve">Email Dashboard Questions to </w:t>
      </w:r>
      <w:hyperlink r:id="rId29">
        <w:r w:rsidR="00DD5212">
          <w:rPr>
            <w:rFonts w:ascii="Arial" w:eastAsia="Arial" w:hAnsi="Arial" w:cs="Arial"/>
            <w:color w:val="0000FF"/>
            <w:u w:val="single"/>
          </w:rPr>
          <w:t>dashboard@cde.ca.gov</w:t>
        </w:r>
      </w:hyperlink>
      <w:r w:rsidR="00DD5212">
        <w:rPr>
          <w:rFonts w:ascii="Arial" w:eastAsia="Arial" w:hAnsi="Arial" w:cs="Arial"/>
        </w:rPr>
        <w:t> </w:t>
      </w:r>
    </w:p>
    <w:sectPr w:rsidR="00AA795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72721" w14:textId="77777777" w:rsidR="003E603B" w:rsidRDefault="003E603B" w:rsidP="00871088">
      <w:pPr>
        <w:spacing w:after="0" w:line="240" w:lineRule="auto"/>
      </w:pPr>
      <w:r>
        <w:separator/>
      </w:r>
    </w:p>
  </w:endnote>
  <w:endnote w:type="continuationSeparator" w:id="0">
    <w:p w14:paraId="13A716D5" w14:textId="77777777" w:rsidR="003E603B" w:rsidRDefault="003E603B" w:rsidP="0087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83808" w14:textId="77777777" w:rsidR="003E603B" w:rsidRDefault="003E603B" w:rsidP="00871088">
      <w:pPr>
        <w:spacing w:after="0" w:line="240" w:lineRule="auto"/>
      </w:pPr>
      <w:r>
        <w:separator/>
      </w:r>
    </w:p>
  </w:footnote>
  <w:footnote w:type="continuationSeparator" w:id="0">
    <w:p w14:paraId="17C59962" w14:textId="77777777" w:rsidR="003E603B" w:rsidRDefault="003E603B" w:rsidP="008710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89A5"/>
    <w:multiLevelType w:val="multilevel"/>
    <w:tmpl w:val="48CAF3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36AC9"/>
    <w:multiLevelType w:val="multilevel"/>
    <w:tmpl w:val="6AD851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87CD8A"/>
    <w:multiLevelType w:val="multilevel"/>
    <w:tmpl w:val="21A89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3A7485"/>
    <w:multiLevelType w:val="multilevel"/>
    <w:tmpl w:val="829612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E64C16"/>
    <w:multiLevelType w:val="multilevel"/>
    <w:tmpl w:val="219261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F559A6"/>
    <w:multiLevelType w:val="multilevel"/>
    <w:tmpl w:val="00146A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266E3F"/>
    <w:multiLevelType w:val="multilevel"/>
    <w:tmpl w:val="2C3C63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08FF5D"/>
    <w:multiLevelType w:val="multilevel"/>
    <w:tmpl w:val="6DA020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9F3F68"/>
    <w:multiLevelType w:val="multilevel"/>
    <w:tmpl w:val="99C6C0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6DE21D"/>
    <w:multiLevelType w:val="multilevel"/>
    <w:tmpl w:val="18DC13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6C67E3"/>
    <w:multiLevelType w:val="multilevel"/>
    <w:tmpl w:val="E0D87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97DB38"/>
    <w:multiLevelType w:val="multilevel"/>
    <w:tmpl w:val="CD968E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688054"/>
    <w:multiLevelType w:val="multilevel"/>
    <w:tmpl w:val="038085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9901E8"/>
    <w:multiLevelType w:val="multilevel"/>
    <w:tmpl w:val="36407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823EDA"/>
    <w:multiLevelType w:val="multilevel"/>
    <w:tmpl w:val="14BA72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4AFA72"/>
    <w:multiLevelType w:val="multilevel"/>
    <w:tmpl w:val="4F4A43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1F7B3F"/>
    <w:multiLevelType w:val="multilevel"/>
    <w:tmpl w:val="F8FA2D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7EB4D2B"/>
    <w:multiLevelType w:val="multilevel"/>
    <w:tmpl w:val="A3F8DA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B68A5C5"/>
    <w:multiLevelType w:val="multilevel"/>
    <w:tmpl w:val="EB8E4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43792118">
    <w:abstractNumId w:val="6"/>
  </w:num>
  <w:num w:numId="2" w16cid:durableId="1282297389">
    <w:abstractNumId w:val="18"/>
  </w:num>
  <w:num w:numId="3" w16cid:durableId="454715282">
    <w:abstractNumId w:val="17"/>
  </w:num>
  <w:num w:numId="4" w16cid:durableId="996035348">
    <w:abstractNumId w:val="15"/>
  </w:num>
  <w:num w:numId="5" w16cid:durableId="737439236">
    <w:abstractNumId w:val="9"/>
  </w:num>
  <w:num w:numId="6" w16cid:durableId="911934917">
    <w:abstractNumId w:val="4"/>
  </w:num>
  <w:num w:numId="7" w16cid:durableId="1045106263">
    <w:abstractNumId w:val="16"/>
  </w:num>
  <w:num w:numId="8" w16cid:durableId="1245139833">
    <w:abstractNumId w:val="11"/>
  </w:num>
  <w:num w:numId="9" w16cid:durableId="1155294683">
    <w:abstractNumId w:val="8"/>
  </w:num>
  <w:num w:numId="10" w16cid:durableId="64032045">
    <w:abstractNumId w:val="1"/>
  </w:num>
  <w:num w:numId="11" w16cid:durableId="1192763045">
    <w:abstractNumId w:val="3"/>
  </w:num>
  <w:num w:numId="12" w16cid:durableId="1807894779">
    <w:abstractNumId w:val="13"/>
  </w:num>
  <w:num w:numId="13" w16cid:durableId="499153590">
    <w:abstractNumId w:val="2"/>
  </w:num>
  <w:num w:numId="14" w16cid:durableId="1027944807">
    <w:abstractNumId w:val="5"/>
  </w:num>
  <w:num w:numId="15" w16cid:durableId="1564213678">
    <w:abstractNumId w:val="10"/>
  </w:num>
  <w:num w:numId="16" w16cid:durableId="1346203522">
    <w:abstractNumId w:val="7"/>
  </w:num>
  <w:num w:numId="17" w16cid:durableId="510341975">
    <w:abstractNumId w:val="14"/>
  </w:num>
  <w:num w:numId="18" w16cid:durableId="1682197234">
    <w:abstractNumId w:val="12"/>
  </w:num>
  <w:num w:numId="19" w16cid:durableId="680203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3677CE7"/>
    <w:rsid w:val="0004365C"/>
    <w:rsid w:val="00087DBF"/>
    <w:rsid w:val="00091B6B"/>
    <w:rsid w:val="000B6892"/>
    <w:rsid w:val="000E1249"/>
    <w:rsid w:val="000F2991"/>
    <w:rsid w:val="00153BD5"/>
    <w:rsid w:val="00194333"/>
    <w:rsid w:val="002623AE"/>
    <w:rsid w:val="00333884"/>
    <w:rsid w:val="003E603B"/>
    <w:rsid w:val="00585D37"/>
    <w:rsid w:val="005A6C64"/>
    <w:rsid w:val="005B50D2"/>
    <w:rsid w:val="006259B9"/>
    <w:rsid w:val="006A126B"/>
    <w:rsid w:val="0072117B"/>
    <w:rsid w:val="00771E7F"/>
    <w:rsid w:val="0081165F"/>
    <w:rsid w:val="00871088"/>
    <w:rsid w:val="009660BE"/>
    <w:rsid w:val="00AA7951"/>
    <w:rsid w:val="00AD7561"/>
    <w:rsid w:val="00AE3750"/>
    <w:rsid w:val="00AF1560"/>
    <w:rsid w:val="00B6196C"/>
    <w:rsid w:val="00B91D99"/>
    <w:rsid w:val="00BD352C"/>
    <w:rsid w:val="00C577EC"/>
    <w:rsid w:val="00C9798A"/>
    <w:rsid w:val="00CA37D6"/>
    <w:rsid w:val="00CE0B75"/>
    <w:rsid w:val="00CE0F9A"/>
    <w:rsid w:val="00D947AD"/>
    <w:rsid w:val="00D9529D"/>
    <w:rsid w:val="00DA36BA"/>
    <w:rsid w:val="00DD5212"/>
    <w:rsid w:val="00E317AC"/>
    <w:rsid w:val="00F22291"/>
    <w:rsid w:val="00F41AC5"/>
    <w:rsid w:val="00F5411D"/>
    <w:rsid w:val="33677CE7"/>
    <w:rsid w:val="40C2F207"/>
    <w:rsid w:val="476D7126"/>
    <w:rsid w:val="68C9F5B2"/>
    <w:rsid w:val="776B9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E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0F9A"/>
    <w:pPr>
      <w:spacing w:after="120" w:line="240" w:lineRule="auto"/>
      <w:jc w:val="center"/>
      <w:outlineLvl w:val="0"/>
    </w:pPr>
    <w:rPr>
      <w:rFonts w:ascii="Arial" w:eastAsia="Arial" w:hAnsi="Arial" w:cs="Arial"/>
      <w:b/>
      <w:sz w:val="44"/>
    </w:rPr>
  </w:style>
  <w:style w:type="paragraph" w:styleId="Heading2">
    <w:name w:val="heading 2"/>
    <w:basedOn w:val="Normal"/>
    <w:next w:val="Normal"/>
    <w:link w:val="Heading2Char"/>
    <w:uiPriority w:val="9"/>
    <w:unhideWhenUsed/>
    <w:qFormat/>
    <w:rsid w:val="00CE0F9A"/>
    <w:pPr>
      <w:outlineLvl w:val="1"/>
    </w:pPr>
    <w:rPr>
      <w:rFonts w:ascii="Arial" w:hAnsi="Arial" w:cs="Arial"/>
      <w:b/>
      <w:bCs/>
      <w:sz w:val="36"/>
      <w:szCs w:val="36"/>
    </w:rPr>
  </w:style>
  <w:style w:type="paragraph" w:styleId="Heading3">
    <w:name w:val="heading 3"/>
    <w:basedOn w:val="Normal"/>
    <w:next w:val="Normal"/>
    <w:link w:val="Heading3Char"/>
    <w:uiPriority w:val="9"/>
    <w:unhideWhenUsed/>
    <w:qFormat/>
    <w:rsid w:val="00CE0F9A"/>
    <w:pPr>
      <w:keepNext/>
      <w:spacing w:before="360" w:line="240" w:lineRule="auto"/>
      <w:outlineLvl w:val="2"/>
    </w:pPr>
    <w:rPr>
      <w:rFonts w:ascii="Arial" w:eastAsia="Arial" w:hAnsi="Arial" w:cs="Arial"/>
      <w:b/>
      <w:sz w:val="32"/>
    </w:rPr>
  </w:style>
  <w:style w:type="paragraph" w:styleId="Heading4">
    <w:name w:val="heading 4"/>
    <w:basedOn w:val="Normal"/>
    <w:next w:val="Normal"/>
    <w:link w:val="Heading4Char"/>
    <w:uiPriority w:val="9"/>
    <w:unhideWhenUsed/>
    <w:qFormat/>
    <w:rsid w:val="006A126B"/>
    <w:pPr>
      <w:keepNext/>
      <w:keepLines/>
      <w:spacing w:before="240" w:after="120" w:line="259" w:lineRule="auto"/>
      <w:outlineLvl w:val="3"/>
    </w:pPr>
    <w:rPr>
      <w:rFonts w:ascii="Arial" w:eastAsia="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F9A"/>
    <w:rPr>
      <w:rFonts w:ascii="Arial" w:eastAsia="Arial" w:hAnsi="Arial" w:cs="Arial"/>
      <w:b/>
      <w:sz w:val="44"/>
    </w:rPr>
  </w:style>
  <w:style w:type="character" w:customStyle="1" w:styleId="Heading2Char">
    <w:name w:val="Heading 2 Char"/>
    <w:basedOn w:val="DefaultParagraphFont"/>
    <w:link w:val="Heading2"/>
    <w:uiPriority w:val="9"/>
    <w:rsid w:val="00CE0F9A"/>
    <w:rPr>
      <w:rFonts w:ascii="Arial" w:hAnsi="Arial" w:cs="Arial"/>
      <w:b/>
      <w:bCs/>
      <w:sz w:val="36"/>
      <w:szCs w:val="36"/>
    </w:rPr>
  </w:style>
  <w:style w:type="character" w:customStyle="1" w:styleId="Heading3Char">
    <w:name w:val="Heading 3 Char"/>
    <w:basedOn w:val="DefaultParagraphFont"/>
    <w:link w:val="Heading3"/>
    <w:uiPriority w:val="9"/>
    <w:rsid w:val="00CE0F9A"/>
    <w:rPr>
      <w:rFonts w:ascii="Arial" w:eastAsia="Arial" w:hAnsi="Arial" w:cs="Arial"/>
      <w:b/>
      <w:sz w:val="32"/>
    </w:rPr>
  </w:style>
  <w:style w:type="character" w:customStyle="1" w:styleId="Heading4Char">
    <w:name w:val="Heading 4 Char"/>
    <w:basedOn w:val="DefaultParagraphFont"/>
    <w:link w:val="Heading4"/>
    <w:uiPriority w:val="9"/>
    <w:rsid w:val="006A126B"/>
    <w:rPr>
      <w:rFonts w:ascii="Arial" w:eastAsia="Arial" w:hAnsi="Arial" w:cs="Arial"/>
      <w:b/>
      <w:sz w:val="28"/>
    </w:rPr>
  </w:style>
  <w:style w:type="character" w:styleId="Hyperlink">
    <w:name w:val="Hyperlink"/>
    <w:basedOn w:val="DefaultParagraphFont"/>
    <w:uiPriority w:val="99"/>
    <w:unhideWhenUsed/>
    <w:rsid w:val="000F2991"/>
    <w:rPr>
      <w:color w:val="467886" w:themeColor="hyperlink"/>
      <w:u w:val="single"/>
    </w:rPr>
  </w:style>
  <w:style w:type="character" w:styleId="UnresolvedMention">
    <w:name w:val="Unresolved Mention"/>
    <w:basedOn w:val="DefaultParagraphFont"/>
    <w:uiPriority w:val="99"/>
    <w:semiHidden/>
    <w:unhideWhenUsed/>
    <w:rsid w:val="000F2991"/>
    <w:rPr>
      <w:color w:val="605E5C"/>
      <w:shd w:val="clear" w:color="auto" w:fill="E1DFDD"/>
    </w:rPr>
  </w:style>
  <w:style w:type="paragraph" w:styleId="Header">
    <w:name w:val="header"/>
    <w:basedOn w:val="Normal"/>
    <w:link w:val="HeaderChar"/>
    <w:uiPriority w:val="99"/>
    <w:unhideWhenUsed/>
    <w:rsid w:val="00871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088"/>
  </w:style>
  <w:style w:type="paragraph" w:styleId="Footer">
    <w:name w:val="footer"/>
    <w:basedOn w:val="Normal"/>
    <w:link w:val="FooterChar"/>
    <w:uiPriority w:val="99"/>
    <w:unhideWhenUsed/>
    <w:rsid w:val="00871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088"/>
  </w:style>
  <w:style w:type="character" w:styleId="FollowedHyperlink">
    <w:name w:val="FollowedHyperlink"/>
    <w:basedOn w:val="DefaultParagraphFont"/>
    <w:uiPriority w:val="99"/>
    <w:semiHidden/>
    <w:unhideWhenUsed/>
    <w:rsid w:val="00CA37D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cde.ca.gov/ta/ac/cm/documents/graduationrate23.pdf" TargetMode="External"/><Relationship Id="rId18" Type="http://schemas.openxmlformats.org/officeDocument/2006/relationships/hyperlink" Target="https://www.cde.ca.gov/ta/ac/cm/documents/collegecareer23.pdf" TargetMode="External"/><Relationship Id="rId26" Type="http://schemas.openxmlformats.org/officeDocument/2006/relationships/hyperlink" Target="https://www.cde.ca.gov/ta/ac/cm/documents/caldashhandbook23.docx" TargetMode="External"/><Relationship Id="rId3" Type="http://schemas.openxmlformats.org/officeDocument/2006/relationships/settings" Target="settings.xml"/><Relationship Id="rId21" Type="http://schemas.openxmlformats.org/officeDocument/2006/relationships/hyperlink" Target="https://www.cde.ca.gov/ta/ac/cm/documents/howtoviewperformance23.pdf" TargetMode="External"/><Relationship Id="rId7" Type="http://schemas.openxmlformats.org/officeDocument/2006/relationships/image" Target="media/image1.png"/><Relationship Id="rId12" Type="http://schemas.openxmlformats.org/officeDocument/2006/relationships/hyperlink" Target="https://www.cde.ca.gov/ta/ac/cm/documents/aiparticipation23.pdf" TargetMode="External"/><Relationship Id="rId17" Type="http://schemas.openxmlformats.org/officeDocument/2006/relationships/hyperlink" Target="https://www.cde.ca.gov/ta/ac/cm/documents/elpiparticipationrate23.pdf" TargetMode="External"/><Relationship Id="rId25" Type="http://schemas.openxmlformats.org/officeDocument/2006/relationships/hyperlink" Target="https://www.cde.ca.gov/ta/ac/cm/dashboardguide23.asp" TargetMode="External"/><Relationship Id="rId2" Type="http://schemas.openxmlformats.org/officeDocument/2006/relationships/styles" Target="styles.xml"/><Relationship Id="rId16" Type="http://schemas.openxmlformats.org/officeDocument/2006/relationships/hyperlink" Target="https://www.cde.ca.gov/ta/ac/cm/documents/elprogressindicator23.pdf" TargetMode="External"/><Relationship Id="rId20" Type="http://schemas.openxmlformats.org/officeDocument/2006/relationships/hyperlink" Target="https://www.cde.ca.gov/ta/ac/cm/documents/gettingtoknowmeasures23.pdf" TargetMode="External"/><Relationship Id="rId29" Type="http://schemas.openxmlformats.org/officeDocument/2006/relationships/hyperlink" Target="mailto:dashboard@cde.ca.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ca.gov/ta/ac/cm/documents/academicindicator23.pdf" TargetMode="External"/><Relationship Id="rId24" Type="http://schemas.openxmlformats.org/officeDocument/2006/relationships/hyperlink" Target="https://www.cde.ca.gov/ta/ac/cm/documents/explorequityreport23.pdf" TargetMode="External"/><Relationship Id="rId5" Type="http://schemas.openxmlformats.org/officeDocument/2006/relationships/footnotes" Target="footnotes.xml"/><Relationship Id="rId15" Type="http://schemas.openxmlformats.org/officeDocument/2006/relationships/hyperlink" Target="https://www.cde.ca.gov/ta/ac/cm/documents/suspensionrate23.pdf" TargetMode="External"/><Relationship Id="rId23" Type="http://schemas.openxmlformats.org/officeDocument/2006/relationships/hyperlink" Target="https://www.cde.ca.gov/ta/ac/cm/documents/howcolorsdetermined23.pdf" TargetMode="External"/><Relationship Id="rId28" Type="http://schemas.openxmlformats.org/officeDocument/2006/relationships/hyperlink" Target="mailto:Charters@cde.ca.gov" TargetMode="External"/><Relationship Id="rId10" Type="http://schemas.openxmlformats.org/officeDocument/2006/relationships/hyperlink" Target="mailto:dashboard@cde.ca.gov" TargetMode="External"/><Relationship Id="rId19" Type="http://schemas.openxmlformats.org/officeDocument/2006/relationships/hyperlink" Target="https://www.cde.ca.gov/ta/ac/cm/documents/gettingknowdashboard23.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de.ca.gov/ta/ac/cm/fivebyfivecolortables23.asp" TargetMode="External"/><Relationship Id="rId14" Type="http://schemas.openxmlformats.org/officeDocument/2006/relationships/hyperlink" Target="https://www.cde.ca.gov/ta/ac/cm/documents/chronicabsenteeism23.pdf" TargetMode="External"/><Relationship Id="rId22" Type="http://schemas.openxmlformats.org/officeDocument/2006/relationships/hyperlink" Target="https://www.cde.ca.gov/ta/ac/cm/documents/howtocompareschools23.pdf" TargetMode="External"/><Relationship Id="rId27" Type="http://schemas.openxmlformats.org/officeDocument/2006/relationships/hyperlink" Target="https://www.cde.ca.gov/ta/ac/cm/dbadditionalrpts.as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2263</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How the California School Dashboard Informs the Charter School Performance Category Data File (CA Dept of Education)</vt:lpstr>
    </vt:vector>
  </TitlesOfParts>
  <Company/>
  <LinksUpToDate>false</LinksUpToDate>
  <CharactersWithSpaces>15133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Guide for Performance Categories March 2024 - Performance Category and Renewal Webinar (CA Dept of Education)</dc:title>
  <dc:subject>This Notetaking Guide is a supplementary resource to the 2024 Charter School webinar.</dc:subject>
  <dc:creator/>
  <cp:lastModifiedBy/>
  <cp:revision>1</cp:revision>
  <dcterms:created xsi:type="dcterms:W3CDTF">2024-06-14T15:22:00Z</dcterms:created>
  <dcterms:modified xsi:type="dcterms:W3CDTF">2024-06-14T15:22:00Z</dcterms:modified>
</cp:coreProperties>
</file>