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891C" w14:textId="5579AD75" w:rsidR="00B6428B" w:rsidRPr="00133B22" w:rsidRDefault="00B6428B" w:rsidP="00B6428B">
      <w:pPr>
        <w:pStyle w:val="Heading1"/>
      </w:pPr>
      <w:r w:rsidRPr="00B6428B">
        <w:rPr>
          <w:sz w:val="44"/>
          <w:szCs w:val="44"/>
        </w:rPr>
        <w:t xml:space="preserve">2022 Dashboard Fall Webinar Series—1 of 4: </w:t>
      </w:r>
      <w:r>
        <w:t>Dashboard 101</w:t>
      </w:r>
    </w:p>
    <w:p w14:paraId="24F0C16E" w14:textId="77777777" w:rsidR="00B6428B" w:rsidRPr="00933D33" w:rsidRDefault="00B6428B" w:rsidP="00B6428B">
      <w:pPr>
        <w:spacing w:before="480" w:after="720"/>
        <w:jc w:val="center"/>
        <w:rPr>
          <w:rFonts w:eastAsia="Arial" w:cs="Arial"/>
          <w:color w:val="44546A" w:themeColor="text1"/>
          <w:szCs w:val="24"/>
        </w:rPr>
      </w:pPr>
      <w:r w:rsidRPr="1D42B869">
        <w:rPr>
          <w:rFonts w:eastAsia="Arial" w:cs="Arial"/>
          <w:color w:val="44546A" w:themeColor="text1"/>
          <w:szCs w:val="24"/>
        </w:rPr>
        <w:t>California Department of Education | November 2022</w:t>
      </w:r>
    </w:p>
    <w:p w14:paraId="0EE72EE5" w14:textId="77777777" w:rsidR="00D24D27" w:rsidRPr="00FF34EF" w:rsidRDefault="00D24D27" w:rsidP="00D24D27">
      <w:pPr>
        <w:pStyle w:val="Heading2"/>
      </w:pPr>
      <w:r w:rsidRPr="3C63AEDA">
        <w:t>Welcome</w:t>
      </w:r>
    </w:p>
    <w:p w14:paraId="55FECCE0" w14:textId="77777777" w:rsidR="00D24D27" w:rsidRPr="00FF34EF" w:rsidRDefault="00D24D27" w:rsidP="00D24D27">
      <w:pPr>
        <w:spacing w:after="240"/>
        <w:rPr>
          <w:rFonts w:eastAsia="Arial" w:cs="Arial"/>
        </w:rPr>
      </w:pPr>
      <w:r w:rsidRPr="3C63AEDA">
        <w:rPr>
          <w:rFonts w:eastAsia="Arial" w:cs="Arial"/>
        </w:rPr>
        <w:t>The webinar recording and Notetaking Guide will be available in December 2022 on the California Department of Education (CDE) Dashboard Communications Toolkit web page at</w:t>
      </w:r>
      <w:r w:rsidRPr="3C63AEDA">
        <w:rPr>
          <w:rFonts w:eastAsia="Arial" w:cs="Arial"/>
          <w:color w:val="7030A0" w:themeColor="accent2"/>
        </w:rPr>
        <w:t xml:space="preserve"> </w:t>
      </w:r>
      <w:hyperlink r:id="rId8" w:tooltip="CDE Dashboard Communications Toolkit web page">
        <w:r w:rsidRPr="3C63AEDA">
          <w:rPr>
            <w:rStyle w:val="Hyperlink"/>
            <w:rFonts w:eastAsia="Arial" w:cs="Arial"/>
          </w:rPr>
          <w:t>https://www.cde.ca.gov/ta/ac/cm/dashboardtoolkit.asp</w:t>
        </w:r>
      </w:hyperlink>
      <w:r w:rsidRPr="3C63AEDA">
        <w:rPr>
          <w:rFonts w:eastAsia="Arial" w:cs="Arial"/>
          <w:color w:val="7030A0" w:themeColor="accent2"/>
        </w:rPr>
        <w:t>.</w:t>
      </w:r>
    </w:p>
    <w:p w14:paraId="26459708" w14:textId="7E022B54" w:rsidR="000A42B8" w:rsidRDefault="000A42B8" w:rsidP="00D24D27">
      <w:pPr>
        <w:spacing w:before="0"/>
      </w:pPr>
      <w:r w:rsidRPr="00F5698A">
        <w:rPr>
          <w:b/>
          <w:bCs/>
        </w:rPr>
        <w:t>Presenters</w:t>
      </w:r>
      <w:r w:rsidRPr="00F5698A">
        <w:t xml:space="preserve">: </w:t>
      </w:r>
      <w:r w:rsidRPr="19D60A22">
        <w:t>Kimberly Mundhenk, Education Research and Evaluation Administrator, Irit</w:t>
      </w:r>
      <w:r w:rsidR="00D24D27">
        <w:t> </w:t>
      </w:r>
      <w:r w:rsidRPr="19D60A22">
        <w:t xml:space="preserve">Winston, Educational Programs </w:t>
      </w:r>
      <w:r w:rsidRPr="4DC72470">
        <w:t>Consultant</w:t>
      </w:r>
      <w:r w:rsidRPr="19D60A22">
        <w:t xml:space="preserve"> and Kathryn Morrissey, Research Data Analyst in the Analysis, Measurement and Accountability Reporting Division of the </w:t>
      </w:r>
      <w:r w:rsidR="00137B82">
        <w:t>CDE</w:t>
      </w:r>
      <w:r w:rsidRPr="19D60A22">
        <w:t>.</w:t>
      </w:r>
    </w:p>
    <w:p w14:paraId="36E8E221" w14:textId="3BCB5AAD" w:rsidR="00893F16" w:rsidRPr="00903FEB" w:rsidRDefault="00893F16" w:rsidP="00CB16BE">
      <w:pPr>
        <w:pStyle w:val="Heading3"/>
      </w:pPr>
      <w:r>
        <w:t>Agenda</w:t>
      </w:r>
    </w:p>
    <w:p w14:paraId="015C294A" w14:textId="77777777" w:rsidR="00C564CD" w:rsidRPr="00C564CD" w:rsidRDefault="00C564CD" w:rsidP="00A07D0F">
      <w:pPr>
        <w:pStyle w:val="ListParagraph"/>
      </w:pPr>
      <w:r w:rsidRPr="00C564CD">
        <w:t>Overview of the Dashboard</w:t>
      </w:r>
    </w:p>
    <w:p w14:paraId="47A8A804" w14:textId="77777777" w:rsidR="00C564CD" w:rsidRPr="00C564CD" w:rsidRDefault="00C564CD" w:rsidP="00A07D0F">
      <w:pPr>
        <w:pStyle w:val="ListParagraph"/>
      </w:pPr>
      <w:r w:rsidRPr="00C564CD">
        <w:t>2022 and the Dashboard</w:t>
      </w:r>
    </w:p>
    <w:p w14:paraId="2C427AC5" w14:textId="546B9A44" w:rsidR="00C564CD" w:rsidRPr="00C564CD" w:rsidRDefault="00C564CD" w:rsidP="00A07D0F">
      <w:pPr>
        <w:pStyle w:val="ListParagraph"/>
      </w:pPr>
      <w:r w:rsidRPr="00C564CD">
        <w:t xml:space="preserve">2022 State </w:t>
      </w:r>
      <w:r w:rsidR="008658B0">
        <w:t>Measure</w:t>
      </w:r>
      <w:r w:rsidRPr="00C564CD">
        <w:t>s and Dashboard Data Cards </w:t>
      </w:r>
    </w:p>
    <w:p w14:paraId="0D6CAA4A" w14:textId="764D808F" w:rsidR="00C564CD" w:rsidRDefault="00C564CD" w:rsidP="00A07D0F">
      <w:pPr>
        <w:pStyle w:val="ListParagraph"/>
      </w:pPr>
      <w:r w:rsidRPr="00C564CD">
        <w:t>Helping You Understand Accountability</w:t>
      </w:r>
    </w:p>
    <w:p w14:paraId="1E1857E9" w14:textId="77777777" w:rsidR="006A6935" w:rsidRDefault="006A6935" w:rsidP="00A07D0F">
      <w:pPr>
        <w:pStyle w:val="ListParagraph"/>
      </w:pPr>
      <w:r w:rsidRPr="006A6935">
        <w:t>Frequently Asked Questions</w:t>
      </w:r>
    </w:p>
    <w:p w14:paraId="1CCDA0BE" w14:textId="4B307C2B" w:rsidR="00C564CD" w:rsidRPr="00C564CD" w:rsidRDefault="00C564CD" w:rsidP="00A07D0F">
      <w:pPr>
        <w:pStyle w:val="ListParagraph"/>
      </w:pPr>
      <w:r w:rsidRPr="00C564CD">
        <w:t>The Future of Dashboard​</w:t>
      </w:r>
    </w:p>
    <w:p w14:paraId="369EB16C" w14:textId="179C53EB" w:rsidR="00455A0A" w:rsidRPr="00FE5F63" w:rsidRDefault="00C564CD" w:rsidP="00A07D0F">
      <w:pPr>
        <w:pStyle w:val="ListParagraph"/>
        <w:rPr>
          <w:rFonts w:ascii="Arial" w:eastAsia="Times New Roman" w:hAnsi="Arial" w:cs="Arial"/>
          <w:color w:val="000000"/>
          <w:szCs w:val="24"/>
        </w:rPr>
      </w:pPr>
      <w:r w:rsidRPr="00C564CD">
        <w:t>Contacting Us​</w:t>
      </w:r>
    </w:p>
    <w:p w14:paraId="29400ADC" w14:textId="740BBD7E" w:rsidR="00842278" w:rsidRPr="00E568C3" w:rsidRDefault="008F7D71" w:rsidP="00E568C3">
      <w:pPr>
        <w:pStyle w:val="Heading2"/>
        <w:rPr>
          <w:rFonts w:ascii="Times New Roman" w:hAnsi="Times New Roman" w:cs="Times New Roman"/>
          <w:bCs/>
          <w:sz w:val="36"/>
          <w:szCs w:val="36"/>
        </w:rPr>
      </w:pPr>
      <w:r>
        <w:t>Ove</w:t>
      </w:r>
      <w:r w:rsidR="00B41BEE">
        <w:t>r</w:t>
      </w:r>
      <w:r>
        <w:t xml:space="preserve">view of the Dashboard </w:t>
      </w:r>
    </w:p>
    <w:p w14:paraId="18ED53C5" w14:textId="770FB40D" w:rsidR="00E34EBB" w:rsidRPr="00742485" w:rsidRDefault="00E34EBB" w:rsidP="00742485">
      <w:pPr>
        <w:rPr>
          <w:rFonts w:ascii="Arial" w:hAnsi="Arial" w:cs="Arial"/>
          <w:color w:val="000000"/>
        </w:rPr>
      </w:pPr>
      <w:bookmarkStart w:id="0" w:name="_Hlk121218951"/>
      <w:r w:rsidRPr="00E34EBB">
        <w:rPr>
          <w:rFonts w:ascii="Arial" w:eastAsia="Times New Roman" w:hAnsi="Arial" w:cs="Arial"/>
          <w:color w:val="000000"/>
          <w:szCs w:val="24"/>
        </w:rPr>
        <w:t xml:space="preserve">The California School Dashboard (Dashboard) is </w:t>
      </w:r>
      <w:r w:rsidR="00F907A1" w:rsidRPr="00F907A1">
        <w:rPr>
          <w:rFonts w:ascii="Arial" w:eastAsia="Times New Roman" w:hAnsi="Arial" w:cs="Arial"/>
          <w:color w:val="000000"/>
        </w:rPr>
        <w:t>an online tool that displays the performance of local educational agencies (LEAs), schools, and student groups on a set of state and local measures to assist in identifying strengths, challenges, and areas in need of improvement. </w:t>
      </w:r>
      <w:r w:rsidR="00F907A1" w:rsidRPr="00F907A1">
        <w:rPr>
          <w:rFonts w:ascii="Arial" w:eastAsia="Times New Roman" w:hAnsi="Arial" w:cs="Arial"/>
          <w:color w:val="000000"/>
          <w:szCs w:val="24"/>
        </w:rPr>
        <w:t xml:space="preserve">The goal of the Dashboard is to help communities across the state access important information about </w:t>
      </w:r>
      <w:r w:rsidR="00D45B51">
        <w:rPr>
          <w:rFonts w:ascii="Arial" w:eastAsia="Times New Roman" w:hAnsi="Arial" w:cs="Arial"/>
          <w:color w:val="000000"/>
          <w:szCs w:val="24"/>
        </w:rPr>
        <w:t xml:space="preserve">students in </w:t>
      </w:r>
      <w:r w:rsidR="00F907A1" w:rsidRPr="00F907A1">
        <w:rPr>
          <w:rFonts w:ascii="Arial" w:eastAsia="Times New Roman" w:hAnsi="Arial" w:cs="Arial"/>
          <w:color w:val="000000"/>
          <w:szCs w:val="24"/>
        </w:rPr>
        <w:t>kindergarten through grade</w:t>
      </w:r>
      <w:r w:rsidR="00F907A1">
        <w:rPr>
          <w:rFonts w:ascii="Arial" w:eastAsia="Times New Roman" w:hAnsi="Arial" w:cs="Arial"/>
          <w:color w:val="000000"/>
          <w:szCs w:val="24"/>
        </w:rPr>
        <w:t xml:space="preserve"> </w:t>
      </w:r>
      <w:r w:rsidR="00F907A1" w:rsidRPr="00F907A1">
        <w:rPr>
          <w:rFonts w:ascii="Arial" w:eastAsia="Times New Roman" w:hAnsi="Arial" w:cs="Arial"/>
          <w:color w:val="000000"/>
          <w:szCs w:val="24"/>
        </w:rPr>
        <w:t>twelve. </w:t>
      </w:r>
    </w:p>
    <w:bookmarkEnd w:id="0"/>
    <w:p w14:paraId="1FD1BC97" w14:textId="73E28D8B" w:rsidR="009053DB" w:rsidRPr="00CB16BE" w:rsidRDefault="00EC6FC4" w:rsidP="00CB16BE">
      <w:pPr>
        <w:pStyle w:val="Heading3"/>
      </w:pPr>
      <w:r w:rsidRPr="00CB16BE">
        <w:lastRenderedPageBreak/>
        <w:t>Purpose</w:t>
      </w:r>
    </w:p>
    <w:p w14:paraId="34E72D5F" w14:textId="7BE46B62" w:rsidR="00F907A1" w:rsidRPr="00F907A1" w:rsidRDefault="00F907A1" w:rsidP="00F907A1">
      <w:pPr>
        <w:rPr>
          <w:rFonts w:ascii="Arial" w:eastAsia="Times New Roman" w:hAnsi="Arial" w:cs="Arial"/>
          <w:color w:val="000000"/>
          <w:szCs w:val="24"/>
        </w:rPr>
      </w:pPr>
      <w:r w:rsidRPr="00F907A1">
        <w:rPr>
          <w:rFonts w:ascii="Arial" w:eastAsia="Times New Roman" w:hAnsi="Arial" w:cs="Arial"/>
          <w:color w:val="000000"/>
          <w:szCs w:val="24"/>
        </w:rPr>
        <w:t xml:space="preserve">The Dashboard is used to see how </w:t>
      </w:r>
      <w:r>
        <w:rPr>
          <w:rFonts w:ascii="Arial" w:eastAsia="Times New Roman" w:hAnsi="Arial" w:cs="Arial"/>
          <w:color w:val="000000"/>
          <w:szCs w:val="24"/>
        </w:rPr>
        <w:t>LEAs</w:t>
      </w:r>
      <w:r w:rsidRPr="00F907A1">
        <w:rPr>
          <w:rFonts w:ascii="Arial" w:eastAsia="Times New Roman" w:hAnsi="Arial" w:cs="Arial"/>
          <w:color w:val="000000"/>
          <w:szCs w:val="24"/>
        </w:rPr>
        <w:t xml:space="preserve"> and schools are performing under California's school accountability system. </w:t>
      </w:r>
    </w:p>
    <w:p w14:paraId="1309D710" w14:textId="1FFA939F" w:rsidR="00AE6E5C" w:rsidRDefault="00F907A1" w:rsidP="00F907A1">
      <w:pPr>
        <w:rPr>
          <w:rFonts w:ascii="Arial" w:eastAsia="Times New Roman" w:hAnsi="Arial" w:cs="Arial"/>
          <w:color w:val="000000"/>
          <w:szCs w:val="24"/>
        </w:rPr>
      </w:pPr>
      <w:r w:rsidRPr="00F907A1">
        <w:rPr>
          <w:rFonts w:ascii="Arial" w:eastAsia="Times New Roman" w:hAnsi="Arial" w:cs="Arial"/>
          <w:color w:val="000000"/>
          <w:szCs w:val="24"/>
        </w:rPr>
        <w:t>The results are used to identify strengths and weaknesses and help ensure that the needs of all students are met. Results are presented for California’s districts, schools, and defined student groups. For example: racial/ethnic groups, low</w:t>
      </w:r>
      <w:r w:rsidR="00505741">
        <w:rPr>
          <w:rFonts w:ascii="Arial" w:eastAsia="Times New Roman" w:hAnsi="Arial" w:cs="Arial"/>
          <w:color w:val="000000"/>
          <w:szCs w:val="24"/>
        </w:rPr>
        <w:t xml:space="preserve"> </w:t>
      </w:r>
      <w:r w:rsidRPr="00F907A1">
        <w:rPr>
          <w:rFonts w:ascii="Arial" w:eastAsia="Times New Roman" w:hAnsi="Arial" w:cs="Arial"/>
          <w:color w:val="000000"/>
          <w:szCs w:val="24"/>
        </w:rPr>
        <w:t>income, English learn</w:t>
      </w:r>
      <w:r w:rsidR="005F54EB">
        <w:rPr>
          <w:rFonts w:ascii="Arial" w:eastAsia="Times New Roman" w:hAnsi="Arial" w:cs="Arial"/>
          <w:color w:val="000000"/>
          <w:szCs w:val="24"/>
        </w:rPr>
        <w:t>er</w:t>
      </w:r>
      <w:r>
        <w:rPr>
          <w:rFonts w:ascii="Arial" w:eastAsia="Times New Roman" w:hAnsi="Arial" w:cs="Arial"/>
          <w:color w:val="000000"/>
          <w:szCs w:val="24"/>
        </w:rPr>
        <w:t xml:space="preserve"> students (EL students)</w:t>
      </w:r>
      <w:r w:rsidRPr="00F907A1">
        <w:rPr>
          <w:rFonts w:ascii="Arial" w:eastAsia="Times New Roman" w:hAnsi="Arial" w:cs="Arial"/>
          <w:color w:val="000000"/>
          <w:szCs w:val="24"/>
        </w:rPr>
        <w:t>, homeless, foster youth, and students with disabilities.</w:t>
      </w:r>
    </w:p>
    <w:p w14:paraId="035C5AE4" w14:textId="1F727D33" w:rsidR="00FF628C" w:rsidRPr="00842278" w:rsidRDefault="00FF628C" w:rsidP="00CB16BE">
      <w:pPr>
        <w:pStyle w:val="Heading3"/>
        <w:rPr>
          <w:rFonts w:ascii="Times New Roman" w:hAnsi="Times New Roman" w:cs="Times New Roman"/>
        </w:rPr>
      </w:pPr>
      <w:r>
        <w:t>Dashboard I</w:t>
      </w:r>
      <w:r w:rsidR="007B17F2">
        <w:t>nformation</w:t>
      </w:r>
    </w:p>
    <w:p w14:paraId="423A1DA7" w14:textId="2AD0BF3E" w:rsidR="00FF628C" w:rsidRPr="008D4025" w:rsidRDefault="00060B38" w:rsidP="008D4025">
      <w:pPr>
        <w:rPr>
          <w:rFonts w:ascii="Arial" w:hAnsi="Arial" w:cs="Arial"/>
          <w:color w:val="000000"/>
        </w:rPr>
      </w:pPr>
      <w:r w:rsidRPr="00060B38">
        <w:rPr>
          <w:rFonts w:ascii="Arial" w:eastAsia="Times New Roman" w:hAnsi="Arial" w:cs="Arial"/>
          <w:color w:val="000000"/>
          <w:szCs w:val="24"/>
        </w:rPr>
        <w:t xml:space="preserve">The Dashboard is made up of easy-to-use reports that show </w:t>
      </w:r>
      <w:r w:rsidR="00F177D9">
        <w:rPr>
          <w:rFonts w:ascii="Arial" w:eastAsia="Times New Roman" w:hAnsi="Arial" w:cs="Arial"/>
          <w:color w:val="000000"/>
          <w:szCs w:val="24"/>
        </w:rPr>
        <w:t>LEA</w:t>
      </w:r>
      <w:r w:rsidRPr="00060B38">
        <w:rPr>
          <w:rFonts w:ascii="Arial" w:eastAsia="Times New Roman" w:hAnsi="Arial" w:cs="Arial"/>
          <w:color w:val="000000"/>
          <w:szCs w:val="24"/>
        </w:rPr>
        <w:t xml:space="preserve"> or school performance on state and local </w:t>
      </w:r>
      <w:r w:rsidR="008D4025">
        <w:rPr>
          <w:rFonts w:ascii="Arial" w:eastAsia="Times New Roman" w:hAnsi="Arial" w:cs="Arial"/>
          <w:color w:val="000000"/>
          <w:szCs w:val="24"/>
        </w:rPr>
        <w:t>measure</w:t>
      </w:r>
      <w:r w:rsidRPr="00060B38">
        <w:rPr>
          <w:rFonts w:ascii="Arial" w:eastAsia="Times New Roman" w:hAnsi="Arial" w:cs="Arial"/>
          <w:color w:val="000000"/>
          <w:szCs w:val="24"/>
        </w:rPr>
        <w:t>s.</w:t>
      </w:r>
      <w:r w:rsidR="008D4025">
        <w:rPr>
          <w:rFonts w:ascii="Arial" w:eastAsia="Times New Roman" w:hAnsi="Arial" w:cs="Arial"/>
          <w:color w:val="000000"/>
          <w:szCs w:val="24"/>
        </w:rPr>
        <w:t xml:space="preserve"> </w:t>
      </w:r>
      <w:r w:rsidR="008D4025" w:rsidRPr="008D4025">
        <w:rPr>
          <w:rFonts w:ascii="Arial" w:eastAsia="Times New Roman" w:hAnsi="Arial" w:cs="Arial"/>
          <w:color w:val="000000"/>
        </w:rPr>
        <w:t xml:space="preserve">Those multiple </w:t>
      </w:r>
      <w:r w:rsidR="002C1BE2">
        <w:rPr>
          <w:rFonts w:ascii="Arial" w:eastAsia="Times New Roman" w:hAnsi="Arial" w:cs="Arial"/>
          <w:color w:val="000000"/>
        </w:rPr>
        <w:t>s</w:t>
      </w:r>
      <w:r w:rsidR="008D4025" w:rsidRPr="008D4025">
        <w:rPr>
          <w:rFonts w:ascii="Arial" w:eastAsia="Times New Roman" w:hAnsi="Arial" w:cs="Arial"/>
          <w:color w:val="000000"/>
        </w:rPr>
        <w:t xml:space="preserve">tate and </w:t>
      </w:r>
      <w:r w:rsidR="002C1BE2">
        <w:rPr>
          <w:rFonts w:ascii="Arial" w:eastAsia="Times New Roman" w:hAnsi="Arial" w:cs="Arial"/>
          <w:color w:val="000000"/>
        </w:rPr>
        <w:t>l</w:t>
      </w:r>
      <w:r w:rsidR="008D4025" w:rsidRPr="008D4025">
        <w:rPr>
          <w:rFonts w:ascii="Arial" w:eastAsia="Times New Roman" w:hAnsi="Arial" w:cs="Arial"/>
          <w:color w:val="000000"/>
        </w:rPr>
        <w:t xml:space="preserve">ocal </w:t>
      </w:r>
      <w:r w:rsidR="002C1BE2">
        <w:rPr>
          <w:rFonts w:ascii="Arial" w:eastAsia="Times New Roman" w:hAnsi="Arial" w:cs="Arial"/>
          <w:color w:val="000000"/>
        </w:rPr>
        <w:t>m</w:t>
      </w:r>
      <w:r w:rsidR="008D4025" w:rsidRPr="008D4025">
        <w:rPr>
          <w:rFonts w:ascii="Arial" w:eastAsia="Times New Roman" w:hAnsi="Arial" w:cs="Arial"/>
          <w:color w:val="000000"/>
        </w:rPr>
        <w:t>easures make up California’s accountability system.</w:t>
      </w:r>
    </w:p>
    <w:p w14:paraId="0FAABC86" w14:textId="211155E8" w:rsidR="007B17F2" w:rsidRDefault="007B17F2" w:rsidP="00CB16BE">
      <w:pPr>
        <w:pStyle w:val="Heading3"/>
        <w:rPr>
          <w:sz w:val="24"/>
        </w:rPr>
      </w:pPr>
      <w:r w:rsidRPr="007B17F2">
        <w:t>Dashboard Use</w:t>
      </w:r>
    </w:p>
    <w:p w14:paraId="535CC58B" w14:textId="77777777" w:rsidR="00503822" w:rsidRDefault="00503822" w:rsidP="00503822">
      <w:r w:rsidRPr="00503822">
        <w:t>The results of the Dashboard are used to determine LEAs eligible for differentiated support under Local Control Funding Formula (LCFF), and schools eligible Comprehensive Support and Improvement (CSI)/Additional Targeted Support and Improvement (ATSI) under the Every Student Succeeds Act (ESSA).</w:t>
      </w:r>
      <w:r>
        <w:t xml:space="preserve"> </w:t>
      </w:r>
    </w:p>
    <w:p w14:paraId="5A40B4DB" w14:textId="67179C2F" w:rsidR="00503822" w:rsidRDefault="00503822" w:rsidP="00503822">
      <w:pPr>
        <w:rPr>
          <w:b/>
          <w:bCs/>
        </w:rPr>
      </w:pPr>
      <w:r w:rsidRPr="00503822">
        <w:rPr>
          <w:rStyle w:val="Strong"/>
        </w:rPr>
        <w:t>Local measures will not be used</w:t>
      </w:r>
      <w:r w:rsidRPr="00503822">
        <w:t xml:space="preserve"> for differentiated assistance eligibility determinations this year. Additionally, </w:t>
      </w:r>
      <w:r w:rsidRPr="00503822">
        <w:rPr>
          <w:rStyle w:val="Strong"/>
        </w:rPr>
        <w:t>charter schools are not eligible</w:t>
      </w:r>
      <w:r w:rsidRPr="00503822">
        <w:t xml:space="preserve"> for differentiated assistance this year. </w:t>
      </w:r>
      <w:r w:rsidRPr="00503822">
        <w:rPr>
          <w:rStyle w:val="Strong"/>
        </w:rPr>
        <w:t>Only state measures will be used</w:t>
      </w:r>
      <w:r w:rsidRPr="00503822">
        <w:t xml:space="preserve"> to determine districts and county offices of education</w:t>
      </w:r>
      <w:r>
        <w:t xml:space="preserve"> (</w:t>
      </w:r>
      <w:r w:rsidRPr="00503822">
        <w:t>COEs</w:t>
      </w:r>
      <w:r>
        <w:t>)</w:t>
      </w:r>
      <w:r w:rsidRPr="00503822">
        <w:t xml:space="preserve"> eligible for differentiated assistance and to determine schools eligible for CSI/ATSI.  </w:t>
      </w:r>
    </w:p>
    <w:p w14:paraId="07012E02" w14:textId="278AE4AC" w:rsidR="00652733" w:rsidRDefault="00652733" w:rsidP="00CB16BE">
      <w:pPr>
        <w:pStyle w:val="Heading3"/>
      </w:pPr>
      <w:r w:rsidRPr="00652733">
        <w:t xml:space="preserve">Where </w:t>
      </w:r>
      <w:r w:rsidR="00955478">
        <w:t>D</w:t>
      </w:r>
      <w:r w:rsidRPr="00652733">
        <w:t xml:space="preserve">o the </w:t>
      </w:r>
      <w:r w:rsidR="00955478">
        <w:t>D</w:t>
      </w:r>
      <w:r w:rsidRPr="00652733">
        <w:t xml:space="preserve">ata for the Dashboard </w:t>
      </w:r>
      <w:r w:rsidR="00955478" w:rsidRPr="00652733">
        <w:t>Come From</w:t>
      </w:r>
      <w:r w:rsidRPr="00652733">
        <w:t>?</w:t>
      </w:r>
    </w:p>
    <w:p w14:paraId="6FF2013F" w14:textId="0DAE0EDB" w:rsidR="00655CD7" w:rsidRPr="00655CD7" w:rsidRDefault="00655CD7" w:rsidP="00A07D0F">
      <w:pPr>
        <w:pStyle w:val="ListParagraph"/>
        <w:numPr>
          <w:ilvl w:val="0"/>
          <w:numId w:val="14"/>
        </w:numPr>
      </w:pPr>
      <w:r w:rsidRPr="00655CD7">
        <w:t>Provides information on specific indicators to identify strengths, weaknesses, and areas needing improvement</w:t>
      </w:r>
      <w:r>
        <w:t>.</w:t>
      </w:r>
    </w:p>
    <w:p w14:paraId="0A28442B" w14:textId="5249E77A" w:rsidR="00655CD7" w:rsidRDefault="00655CD7" w:rsidP="00A07D0F">
      <w:pPr>
        <w:pStyle w:val="ListParagraph"/>
        <w:numPr>
          <w:ilvl w:val="0"/>
          <w:numId w:val="14"/>
        </w:numPr>
      </w:pPr>
      <w:r w:rsidRPr="00655CD7">
        <w:t>Reports data for all student groups</w:t>
      </w:r>
      <w:r>
        <w:t>.</w:t>
      </w:r>
    </w:p>
    <w:p w14:paraId="78420C08" w14:textId="7207541D" w:rsidR="00214A63" w:rsidRDefault="007006DA" w:rsidP="00174E0C">
      <w:r>
        <w:t xml:space="preserve">Dashboard data come </w:t>
      </w:r>
      <w:r w:rsidR="005F3748">
        <w:t>from</w:t>
      </w:r>
      <w:r w:rsidR="00214A63" w:rsidRPr="00214A63">
        <w:t xml:space="preserve"> </w:t>
      </w:r>
      <w:r w:rsidR="00214A63" w:rsidRPr="00652733">
        <w:t>California Longitudinal Pupil Achievement Data System (CALPADS)</w:t>
      </w:r>
      <w:r w:rsidR="00214A63">
        <w:t xml:space="preserve"> D</w:t>
      </w:r>
      <w:r w:rsidR="00214A63" w:rsidRPr="00214A63">
        <w:t xml:space="preserve">ata </w:t>
      </w:r>
      <w:r w:rsidR="00214A63">
        <w:t>C</w:t>
      </w:r>
      <w:r w:rsidR="00214A63" w:rsidRPr="00214A63">
        <w:t>ollection</w:t>
      </w:r>
      <w:r w:rsidR="00214A63">
        <w:t xml:space="preserve">s </w:t>
      </w:r>
      <w:r w:rsidR="00214A63" w:rsidRPr="00214A63">
        <w:t xml:space="preserve">throughout the year, as well as the CALPADS </w:t>
      </w:r>
      <w:r w:rsidR="00214A63">
        <w:t>O</w:t>
      </w:r>
      <w:r w:rsidR="00214A63" w:rsidRPr="00214A63">
        <w:t xml:space="preserve">perational Data </w:t>
      </w:r>
      <w:r w:rsidR="00214A63">
        <w:t>S</w:t>
      </w:r>
      <w:r w:rsidR="00214A63" w:rsidRPr="00214A63">
        <w:t>tore</w:t>
      </w:r>
      <w:r w:rsidR="00A3634F">
        <w:t xml:space="preserve"> (</w:t>
      </w:r>
      <w:r w:rsidR="00214A63" w:rsidRPr="00652733">
        <w:t>CALPADS ODS</w:t>
      </w:r>
      <w:r w:rsidR="00A3634F">
        <w:t>)</w:t>
      </w:r>
      <w:r w:rsidR="00214A63" w:rsidRPr="00214A63">
        <w:t>.</w:t>
      </w:r>
      <w:r w:rsidR="00214A63">
        <w:t xml:space="preserve"> </w:t>
      </w:r>
      <w:r w:rsidR="00214A63" w:rsidRPr="00214A63">
        <w:t xml:space="preserve">That is the main source of data for our state </w:t>
      </w:r>
      <w:r w:rsidR="00174E0C">
        <w:t>measure</w:t>
      </w:r>
      <w:r w:rsidR="00214A63" w:rsidRPr="00214A63">
        <w:t>s.</w:t>
      </w:r>
      <w:r w:rsidR="00174E0C">
        <w:t xml:space="preserve"> </w:t>
      </w:r>
      <w:r w:rsidR="00174E0C" w:rsidRPr="00174E0C">
        <w:t>Additionally, information is provided about student performance on annual assessments. </w:t>
      </w:r>
    </w:p>
    <w:p w14:paraId="5CE82328" w14:textId="3AD3BADD" w:rsidR="00214A63" w:rsidRDefault="00214A63" w:rsidP="00214A63">
      <w:r w:rsidRPr="00214A63">
        <w:t xml:space="preserve">We gather additional student-level data submissions. Besides getting student-level data out of CALPADS, we also receive student-level data from outside sources. For example, we get standardized test scores from the testing vendors for </w:t>
      </w:r>
      <w:r w:rsidR="00B85331" w:rsidRPr="00B85331">
        <w:t>English language arts/literacy (ELA)</w:t>
      </w:r>
      <w:r w:rsidRPr="00214A63">
        <w:t xml:space="preserve"> and math</w:t>
      </w:r>
      <w:r>
        <w:t>ematics</w:t>
      </w:r>
      <w:r w:rsidRPr="00214A63">
        <w:t xml:space="preserve"> for the Academic </w:t>
      </w:r>
      <w:r>
        <w:t>measure</w:t>
      </w:r>
      <w:r w:rsidRPr="00214A63">
        <w:t xml:space="preserve">s; and we get </w:t>
      </w:r>
      <w:r w:rsidR="00174E0C" w:rsidRPr="00D62705">
        <w:rPr>
          <w:rFonts w:ascii="Arial" w:eastAsia="Times New Roman" w:hAnsi="Arial" w:cs="Arial"/>
          <w:color w:val="000000"/>
          <w:szCs w:val="24"/>
        </w:rPr>
        <w:t>English Language Proficiency Assessments for California (ELPAC)</w:t>
      </w:r>
      <w:r w:rsidRPr="00214A63">
        <w:t xml:space="preserve"> results for the </w:t>
      </w:r>
      <w:r w:rsidR="00174E0C" w:rsidRPr="00174E0C">
        <w:t>English Learner Progress</w:t>
      </w:r>
      <w:r w:rsidR="000E237D">
        <w:t xml:space="preserve"> measure</w:t>
      </w:r>
      <w:r w:rsidR="00174E0C">
        <w:t>.</w:t>
      </w:r>
    </w:p>
    <w:p w14:paraId="44FD61E8" w14:textId="3C113211" w:rsidR="00CA2E5B" w:rsidRPr="00842278" w:rsidRDefault="00CA2E5B" w:rsidP="00CB16BE">
      <w:pPr>
        <w:pStyle w:val="Heading3"/>
        <w:rPr>
          <w:rFonts w:ascii="Times New Roman" w:hAnsi="Times New Roman" w:cs="Times New Roman"/>
        </w:rPr>
      </w:pPr>
      <w:r>
        <w:lastRenderedPageBreak/>
        <w:t xml:space="preserve">Dashboard State </w:t>
      </w:r>
      <w:r w:rsidR="00174E0C">
        <w:t>Measure</w:t>
      </w:r>
      <w:r>
        <w:t xml:space="preserve">s   </w:t>
      </w:r>
    </w:p>
    <w:p w14:paraId="5F77DAE0" w14:textId="0AFDBC1A" w:rsidR="00CA2E5B" w:rsidRDefault="00CA2E5B" w:rsidP="00A07D0F">
      <w:pPr>
        <w:pStyle w:val="ListParagraph"/>
        <w:numPr>
          <w:ilvl w:val="0"/>
          <w:numId w:val="1"/>
        </w:numPr>
      </w:pPr>
      <w:r w:rsidRPr="00567D4F">
        <w:t xml:space="preserve">Academic </w:t>
      </w:r>
      <w:r w:rsidR="00174E0C">
        <w:t>Performance</w:t>
      </w:r>
    </w:p>
    <w:p w14:paraId="5409920D" w14:textId="77777777" w:rsidR="00CA2E5B" w:rsidRDefault="00CA2E5B" w:rsidP="00A07D0F">
      <w:pPr>
        <w:pStyle w:val="ListParagraph"/>
        <w:numPr>
          <w:ilvl w:val="0"/>
          <w:numId w:val="1"/>
        </w:numPr>
      </w:pPr>
      <w:r w:rsidRPr="00567D4F">
        <w:t>English Learner Progress</w:t>
      </w:r>
    </w:p>
    <w:p w14:paraId="2D74A07A" w14:textId="77777777" w:rsidR="00CA2E5B" w:rsidRDefault="00CA2E5B" w:rsidP="00A07D0F">
      <w:pPr>
        <w:pStyle w:val="ListParagraph"/>
        <w:numPr>
          <w:ilvl w:val="0"/>
          <w:numId w:val="1"/>
        </w:numPr>
      </w:pPr>
      <w:r w:rsidRPr="00CA2E5B">
        <w:t>Chronic Absenteeism</w:t>
      </w:r>
    </w:p>
    <w:p w14:paraId="3C34B3BD" w14:textId="77777777" w:rsidR="00CA2E5B" w:rsidRDefault="00CA2E5B" w:rsidP="00A07D0F">
      <w:pPr>
        <w:pStyle w:val="ListParagraph"/>
        <w:numPr>
          <w:ilvl w:val="0"/>
          <w:numId w:val="1"/>
        </w:numPr>
      </w:pPr>
      <w:r w:rsidRPr="00CA2E5B">
        <w:t>Graduation Rate</w:t>
      </w:r>
    </w:p>
    <w:p w14:paraId="0BEE61E7" w14:textId="77777777" w:rsidR="00CA2E5B" w:rsidRDefault="00CA2E5B" w:rsidP="00A07D0F">
      <w:pPr>
        <w:pStyle w:val="ListParagraph"/>
        <w:numPr>
          <w:ilvl w:val="0"/>
          <w:numId w:val="1"/>
        </w:numPr>
      </w:pPr>
      <w:r w:rsidRPr="00CA2E5B">
        <w:t>Suspension Rate</w:t>
      </w:r>
    </w:p>
    <w:p w14:paraId="3CBF9ECC" w14:textId="65E13656" w:rsidR="00CA2E5B" w:rsidRPr="00CA2E5B" w:rsidRDefault="00CA2E5B" w:rsidP="00A07D0F">
      <w:pPr>
        <w:pStyle w:val="ListParagraph"/>
        <w:numPr>
          <w:ilvl w:val="0"/>
          <w:numId w:val="1"/>
        </w:numPr>
      </w:pPr>
      <w:r w:rsidRPr="00CA2E5B">
        <w:t>College/Career Readiness</w:t>
      </w:r>
    </w:p>
    <w:p w14:paraId="76107EFC" w14:textId="01033084" w:rsidR="000E051E" w:rsidRPr="00842278" w:rsidRDefault="000E051E" w:rsidP="00CB16BE">
      <w:pPr>
        <w:pStyle w:val="Heading3"/>
        <w:rPr>
          <w:rFonts w:ascii="Times New Roman" w:hAnsi="Times New Roman" w:cs="Times New Roman"/>
        </w:rPr>
      </w:pPr>
      <w:r>
        <w:t xml:space="preserve">Dashboard Local </w:t>
      </w:r>
      <w:r w:rsidR="00D70E27">
        <w:t>Measure</w:t>
      </w:r>
      <w:r>
        <w:t xml:space="preserve">s   </w:t>
      </w:r>
    </w:p>
    <w:p w14:paraId="0D86B6C1" w14:textId="77777777" w:rsidR="00174608" w:rsidRDefault="000E051E" w:rsidP="00A07D0F">
      <w:pPr>
        <w:pStyle w:val="ListParagraph"/>
        <w:numPr>
          <w:ilvl w:val="0"/>
          <w:numId w:val="1"/>
        </w:numPr>
      </w:pPr>
      <w:r w:rsidRPr="00567D4F">
        <w:t>Basic Conditions of Learning</w:t>
      </w:r>
    </w:p>
    <w:p w14:paraId="79B43978" w14:textId="77777777" w:rsidR="00174608" w:rsidRDefault="000E051E" w:rsidP="00A07D0F">
      <w:pPr>
        <w:pStyle w:val="ListParagraph"/>
        <w:numPr>
          <w:ilvl w:val="0"/>
          <w:numId w:val="1"/>
        </w:numPr>
      </w:pPr>
      <w:r w:rsidRPr="00174608">
        <w:t>Implementation of State Academic Standards</w:t>
      </w:r>
    </w:p>
    <w:p w14:paraId="4CDC1663" w14:textId="77777777" w:rsidR="006E1013" w:rsidRDefault="000E051E" w:rsidP="00A07D0F">
      <w:pPr>
        <w:pStyle w:val="ListParagraph"/>
        <w:numPr>
          <w:ilvl w:val="0"/>
          <w:numId w:val="1"/>
        </w:numPr>
      </w:pPr>
      <w:r w:rsidRPr="00174608">
        <w:t>Parent Involvement and Family Engagement</w:t>
      </w:r>
    </w:p>
    <w:p w14:paraId="08CFED30" w14:textId="77777777" w:rsidR="006E1013" w:rsidRDefault="000E051E" w:rsidP="00A07D0F">
      <w:pPr>
        <w:pStyle w:val="ListParagraph"/>
        <w:numPr>
          <w:ilvl w:val="0"/>
          <w:numId w:val="1"/>
        </w:numPr>
      </w:pPr>
      <w:r w:rsidRPr="006E1013">
        <w:t>School Climate, as measured by a local climate survey</w:t>
      </w:r>
    </w:p>
    <w:p w14:paraId="7D6DCA8E" w14:textId="77777777" w:rsidR="006E1013" w:rsidRDefault="000E051E" w:rsidP="00A07D0F">
      <w:pPr>
        <w:pStyle w:val="ListParagraph"/>
        <w:numPr>
          <w:ilvl w:val="0"/>
          <w:numId w:val="1"/>
        </w:numPr>
      </w:pPr>
      <w:r w:rsidRPr="006E1013">
        <w:t>Access to a Broad Course of Study</w:t>
      </w:r>
    </w:p>
    <w:p w14:paraId="5AA6B482" w14:textId="77777777" w:rsidR="006E1013" w:rsidRDefault="000E051E" w:rsidP="00A07D0F">
      <w:pPr>
        <w:pStyle w:val="ListParagraph"/>
        <w:numPr>
          <w:ilvl w:val="0"/>
          <w:numId w:val="1"/>
        </w:numPr>
      </w:pPr>
      <w:r w:rsidRPr="006E1013">
        <w:t>Outcomes in a Broad Course of Study</w:t>
      </w:r>
    </w:p>
    <w:p w14:paraId="002B02FE" w14:textId="6ABD83AF" w:rsidR="002C2431" w:rsidRDefault="002C2431" w:rsidP="00A07D0F">
      <w:pPr>
        <w:pStyle w:val="ListParagraph"/>
        <w:numPr>
          <w:ilvl w:val="0"/>
          <w:numId w:val="1"/>
        </w:numPr>
      </w:pPr>
      <w:r w:rsidRPr="002C2431">
        <w:t>Coordination of Services for Expelled Youth (COEs only)</w:t>
      </w:r>
    </w:p>
    <w:p w14:paraId="641A8599" w14:textId="0371CB63" w:rsidR="000E051E" w:rsidRPr="006E1013" w:rsidRDefault="000E051E" w:rsidP="00A07D0F">
      <w:pPr>
        <w:pStyle w:val="ListParagraph"/>
        <w:numPr>
          <w:ilvl w:val="0"/>
          <w:numId w:val="1"/>
        </w:numPr>
      </w:pPr>
      <w:r w:rsidRPr="006E1013">
        <w:t>Coordination of Services for Foster Youth (COEs only)</w:t>
      </w:r>
    </w:p>
    <w:p w14:paraId="77CE78D4" w14:textId="553007A0" w:rsidR="00842278" w:rsidRPr="00842278" w:rsidRDefault="00836BAC" w:rsidP="006C1CE8">
      <w:pPr>
        <w:pStyle w:val="Heading2"/>
        <w:pageBreakBefore/>
        <w:rPr>
          <w:rFonts w:ascii="Times New Roman" w:hAnsi="Times New Roman" w:cs="Times New Roman"/>
          <w:bCs/>
          <w:sz w:val="36"/>
          <w:szCs w:val="36"/>
        </w:rPr>
      </w:pPr>
      <w:bookmarkStart w:id="1" w:name="_Hlk117592338"/>
      <w:r>
        <w:lastRenderedPageBreak/>
        <w:t>2022 and the</w:t>
      </w:r>
      <w:r w:rsidR="007F78A3">
        <w:t xml:space="preserve"> </w:t>
      </w:r>
      <w:r>
        <w:t xml:space="preserve">Dashboard </w:t>
      </w:r>
    </w:p>
    <w:p w14:paraId="7A65EF97" w14:textId="2A279931" w:rsidR="00842278" w:rsidRPr="00842278" w:rsidRDefault="00842278" w:rsidP="00CB16BE">
      <w:pPr>
        <w:pStyle w:val="Heading3"/>
        <w:rPr>
          <w:rFonts w:ascii="Times New Roman" w:hAnsi="Times New Roman" w:cs="Times New Roman"/>
        </w:rPr>
      </w:pPr>
      <w:bookmarkStart w:id="2" w:name="_Hlk117592204"/>
      <w:bookmarkEnd w:id="1"/>
      <w:r w:rsidRPr="00842278">
        <w:t xml:space="preserve">Annual Summary of Dashboard </w:t>
      </w:r>
      <w:r w:rsidR="00D605A6">
        <w:t>Measure</w:t>
      </w:r>
      <w:r w:rsidRPr="00842278">
        <w:t>s</w:t>
      </w:r>
    </w:p>
    <w:bookmarkEnd w:id="2"/>
    <w:p w14:paraId="55A3C80A" w14:textId="2D7AE9D2" w:rsidR="007F78A3" w:rsidRDefault="00567D4F" w:rsidP="00E90C9E">
      <w:pPr>
        <w:spacing w:after="160"/>
        <w:outlineLvl w:val="3"/>
        <w:rPr>
          <w:rStyle w:val="Strong"/>
        </w:rPr>
      </w:pPr>
      <w:r w:rsidRPr="00567D4F">
        <w:rPr>
          <w:rFonts w:ascii="Arial" w:eastAsia="Times New Roman" w:hAnsi="Arial" w:cs="Arial"/>
          <w:color w:val="000000"/>
          <w:szCs w:val="24"/>
        </w:rPr>
        <w:t>Since the release of the first Dashboard in 2017, we</w:t>
      </w:r>
      <w:r w:rsidR="00E90C9E">
        <w:rPr>
          <w:rFonts w:ascii="Arial" w:eastAsia="Times New Roman" w:hAnsi="Arial" w:cs="Arial"/>
          <w:color w:val="000000"/>
          <w:szCs w:val="24"/>
        </w:rPr>
        <w:t xml:space="preserve"> have</w:t>
      </w:r>
      <w:r w:rsidRPr="00567D4F">
        <w:rPr>
          <w:rFonts w:ascii="Arial" w:eastAsia="Times New Roman" w:hAnsi="Arial" w:cs="Arial"/>
          <w:color w:val="000000"/>
          <w:szCs w:val="24"/>
        </w:rPr>
        <w:t xml:space="preserve"> had a different mix of </w:t>
      </w:r>
      <w:r w:rsidR="00E90C9E">
        <w:rPr>
          <w:rFonts w:ascii="Arial" w:eastAsia="Times New Roman" w:hAnsi="Arial" w:cs="Arial"/>
          <w:color w:val="000000"/>
          <w:szCs w:val="24"/>
        </w:rPr>
        <w:t>measure</w:t>
      </w:r>
      <w:r w:rsidRPr="00567D4F">
        <w:rPr>
          <w:rFonts w:ascii="Arial" w:eastAsia="Times New Roman" w:hAnsi="Arial" w:cs="Arial"/>
          <w:color w:val="000000"/>
          <w:szCs w:val="24"/>
        </w:rPr>
        <w:t>s available each year.​</w:t>
      </w:r>
      <w:r w:rsidR="007F78A3">
        <w:rPr>
          <w:rFonts w:ascii="Arial" w:eastAsia="Times New Roman" w:hAnsi="Arial" w:cs="Arial"/>
          <w:color w:val="000000"/>
          <w:szCs w:val="24"/>
        </w:rPr>
        <w:t xml:space="preserve"> </w:t>
      </w:r>
      <w:r w:rsidR="00E90C9E" w:rsidRPr="00E90C9E">
        <w:rPr>
          <w:rFonts w:ascii="Arial" w:eastAsia="Times New Roman" w:hAnsi="Arial" w:cs="Arial"/>
          <w:color w:val="000000"/>
          <w:szCs w:val="24"/>
        </w:rPr>
        <w:t xml:space="preserve">The Dashboard is </w:t>
      </w:r>
      <w:r w:rsidR="00E90C9E">
        <w:rPr>
          <w:rFonts w:ascii="Arial" w:eastAsia="Times New Roman" w:hAnsi="Arial" w:cs="Arial"/>
          <w:color w:val="000000"/>
          <w:szCs w:val="24"/>
        </w:rPr>
        <w:t>six</w:t>
      </w:r>
      <w:r w:rsidR="00E90C9E" w:rsidRPr="00E90C9E">
        <w:rPr>
          <w:rFonts w:ascii="Arial" w:eastAsia="Times New Roman" w:hAnsi="Arial" w:cs="Arial"/>
          <w:color w:val="000000"/>
          <w:szCs w:val="24"/>
        </w:rPr>
        <w:t xml:space="preserve"> years old</w:t>
      </w:r>
      <w:r w:rsidR="00E90C9E">
        <w:rPr>
          <w:rFonts w:ascii="Arial" w:eastAsia="Times New Roman" w:hAnsi="Arial" w:cs="Arial"/>
          <w:color w:val="000000"/>
          <w:szCs w:val="24"/>
        </w:rPr>
        <w:t xml:space="preserve">. </w:t>
      </w:r>
      <w:r w:rsidR="007F78A3" w:rsidRPr="007F78A3">
        <w:rPr>
          <w:rStyle w:val="Strong"/>
        </w:rPr>
        <w:t>2022 is no different!</w:t>
      </w:r>
    </w:p>
    <w:tbl>
      <w:tblPr>
        <w:tblStyle w:val="ListTable6Colorful-Accent5"/>
        <w:tblW w:w="9450" w:type="dxa"/>
        <w:tblLook w:val="04A0" w:firstRow="1" w:lastRow="0" w:firstColumn="1" w:lastColumn="0" w:noHBand="0" w:noVBand="1"/>
        <w:tblDescription w:val="Annual Summary of Dashboard Indicators from 2017 to 2022"/>
      </w:tblPr>
      <w:tblGrid>
        <w:gridCol w:w="2520"/>
        <w:gridCol w:w="1495"/>
        <w:gridCol w:w="897"/>
        <w:gridCol w:w="1329"/>
        <w:gridCol w:w="983"/>
        <w:gridCol w:w="894"/>
        <w:gridCol w:w="1332"/>
      </w:tblGrid>
      <w:tr w:rsidR="00E90C9E" w:rsidRPr="00842278" w14:paraId="48F5EF00" w14:textId="77777777" w:rsidTr="00705968">
        <w:trPr>
          <w:cnfStyle w:val="100000000000" w:firstRow="1" w:lastRow="0" w:firstColumn="0" w:lastColumn="0" w:oddVBand="0" w:evenVBand="0" w:oddHBand="0" w:evenHBand="0" w:firstRowFirstColumn="0" w:firstRowLastColumn="0" w:lastRowFirstColumn="0" w:lastRowLastColumn="0"/>
          <w:cantSplit/>
          <w:trHeight w:val="601"/>
          <w:tblHeader/>
        </w:trPr>
        <w:tc>
          <w:tcPr>
            <w:cnfStyle w:val="001000000000" w:firstRow="0" w:lastRow="0" w:firstColumn="1" w:lastColumn="0" w:oddVBand="0" w:evenVBand="0" w:oddHBand="0" w:evenHBand="0" w:firstRowFirstColumn="0" w:firstRowLastColumn="0" w:lastRowFirstColumn="0" w:lastRowLastColumn="0"/>
            <w:tcW w:w="2520" w:type="dxa"/>
            <w:shd w:val="clear" w:color="auto" w:fill="7030A0" w:themeFill="text2"/>
            <w:vAlign w:val="center"/>
            <w:hideMark/>
          </w:tcPr>
          <w:p w14:paraId="7E92FEC7" w14:textId="1C5BDDF3" w:rsidR="00E90C9E" w:rsidRPr="00F21582" w:rsidRDefault="00E90C9E" w:rsidP="00512A2B">
            <w:pPr>
              <w:spacing w:before="0" w:after="0"/>
              <w:rPr>
                <w:rFonts w:ascii="Arial" w:eastAsia="Times New Roman" w:hAnsi="Arial" w:cs="Arial"/>
                <w:szCs w:val="24"/>
              </w:rPr>
            </w:pPr>
            <w:r w:rsidRPr="00F21582">
              <w:rPr>
                <w:rFonts w:ascii="Arial" w:eastAsia="Times New Roman" w:hAnsi="Arial" w:cs="Arial"/>
                <w:color w:val="FFFFFF"/>
                <w:sz w:val="21"/>
                <w:szCs w:val="21"/>
              </w:rPr>
              <w:t> </w:t>
            </w:r>
            <w:r w:rsidR="00F21582" w:rsidRPr="00F21582">
              <w:rPr>
                <w:rFonts w:ascii="Arial" w:eastAsia="Times New Roman" w:hAnsi="Arial" w:cs="Arial"/>
                <w:color w:val="FFFFFF"/>
                <w:szCs w:val="21"/>
              </w:rPr>
              <w:t>Measures</w:t>
            </w:r>
          </w:p>
        </w:tc>
        <w:tc>
          <w:tcPr>
            <w:tcW w:w="1525" w:type="dxa"/>
            <w:shd w:val="clear" w:color="auto" w:fill="7030A0" w:themeFill="text2"/>
            <w:vAlign w:val="center"/>
            <w:hideMark/>
          </w:tcPr>
          <w:p w14:paraId="68451FFC" w14:textId="77777777" w:rsidR="00E90C9E" w:rsidRPr="00842278" w:rsidRDefault="00E90C9E" w:rsidP="00512A2B">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2017</w:t>
            </w:r>
          </w:p>
        </w:tc>
        <w:tc>
          <w:tcPr>
            <w:tcW w:w="815" w:type="dxa"/>
            <w:shd w:val="clear" w:color="auto" w:fill="7030A0" w:themeFill="text2"/>
            <w:vAlign w:val="center"/>
            <w:hideMark/>
          </w:tcPr>
          <w:p w14:paraId="3EE904F4" w14:textId="77777777" w:rsidR="00E90C9E" w:rsidRPr="00842278" w:rsidRDefault="00E90C9E" w:rsidP="00512A2B">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2018</w:t>
            </w:r>
          </w:p>
        </w:tc>
        <w:tc>
          <w:tcPr>
            <w:tcW w:w="1347" w:type="dxa"/>
            <w:shd w:val="clear" w:color="auto" w:fill="7030A0" w:themeFill="text2"/>
            <w:vAlign w:val="center"/>
            <w:hideMark/>
          </w:tcPr>
          <w:p w14:paraId="0C6FC887" w14:textId="77777777" w:rsidR="00E90C9E" w:rsidRPr="00842278" w:rsidRDefault="00E90C9E" w:rsidP="00512A2B">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2019</w:t>
            </w:r>
          </w:p>
        </w:tc>
        <w:tc>
          <w:tcPr>
            <w:tcW w:w="993" w:type="dxa"/>
            <w:shd w:val="clear" w:color="auto" w:fill="7030A0" w:themeFill="text2"/>
            <w:vAlign w:val="center"/>
            <w:hideMark/>
          </w:tcPr>
          <w:p w14:paraId="376CAC40" w14:textId="77777777" w:rsidR="00E90C9E" w:rsidRPr="00842278" w:rsidRDefault="00E90C9E" w:rsidP="00512A2B">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202</w:t>
            </w:r>
            <w:r>
              <w:rPr>
                <w:rFonts w:ascii="Arial" w:eastAsia="Times New Roman" w:hAnsi="Arial" w:cs="Arial"/>
                <w:color w:val="FFFFFF"/>
              </w:rPr>
              <w:t>0</w:t>
            </w:r>
            <w:r w:rsidRPr="00842278">
              <w:rPr>
                <w:rFonts w:ascii="Arial" w:eastAsia="Times New Roman" w:hAnsi="Arial" w:cs="Arial"/>
                <w:color w:val="FFFFFF"/>
              </w:rPr>
              <w:t>​</w:t>
            </w:r>
          </w:p>
        </w:tc>
        <w:tc>
          <w:tcPr>
            <w:tcW w:w="900" w:type="dxa"/>
            <w:shd w:val="clear" w:color="auto" w:fill="7030A0" w:themeFill="text2"/>
            <w:vAlign w:val="center"/>
            <w:hideMark/>
          </w:tcPr>
          <w:p w14:paraId="5F18D87B" w14:textId="77777777" w:rsidR="00E90C9E" w:rsidRPr="00842278" w:rsidRDefault="00E90C9E" w:rsidP="00512A2B">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2021</w:t>
            </w:r>
          </w:p>
        </w:tc>
        <w:tc>
          <w:tcPr>
            <w:tcW w:w="1350" w:type="dxa"/>
            <w:shd w:val="clear" w:color="auto" w:fill="7030A0" w:themeFill="text2"/>
            <w:vAlign w:val="center"/>
            <w:hideMark/>
          </w:tcPr>
          <w:p w14:paraId="5735E097" w14:textId="77777777" w:rsidR="00E90C9E" w:rsidRPr="00842278" w:rsidRDefault="00E90C9E" w:rsidP="00512A2B">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2022</w:t>
            </w:r>
          </w:p>
        </w:tc>
      </w:tr>
      <w:tr w:rsidR="00E90C9E" w:rsidRPr="00842278" w14:paraId="078289CC" w14:textId="77777777" w:rsidTr="00705968">
        <w:trPr>
          <w:cnfStyle w:val="000000100000" w:firstRow="0" w:lastRow="0" w:firstColumn="0" w:lastColumn="0" w:oddVBand="0" w:evenVBand="0" w:oddHBand="1" w:evenHBand="0" w:firstRowFirstColumn="0" w:firstRowLastColumn="0" w:lastRowFirstColumn="0" w:lastRowLastColumn="0"/>
          <w:cantSplit/>
          <w:trHeight w:val="601"/>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1DDEAD4A" w14:textId="77777777" w:rsidR="00E90C9E" w:rsidRPr="00D45B51" w:rsidRDefault="00E90C9E" w:rsidP="00512A2B">
            <w:pPr>
              <w:spacing w:before="0" w:after="0"/>
              <w:rPr>
                <w:rFonts w:ascii="Times New Roman" w:eastAsia="Times New Roman" w:hAnsi="Times New Roman" w:cs="Times New Roman"/>
                <w:b w:val="0"/>
                <w:bCs w:val="0"/>
                <w:color w:val="auto"/>
                <w:szCs w:val="24"/>
              </w:rPr>
            </w:pPr>
            <w:r w:rsidRPr="00D45B51">
              <w:rPr>
                <w:rFonts w:ascii="Arial" w:eastAsia="Times New Roman" w:hAnsi="Arial" w:cs="Arial"/>
                <w:b w:val="0"/>
                <w:bCs w:val="0"/>
                <w:color w:val="auto"/>
              </w:rPr>
              <w:t>ELA and Mathematics</w:t>
            </w:r>
          </w:p>
        </w:tc>
        <w:tc>
          <w:tcPr>
            <w:tcW w:w="1525" w:type="dxa"/>
            <w:vAlign w:val="center"/>
            <w:hideMark/>
          </w:tcPr>
          <w:p w14:paraId="02AAC501"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color w:val="auto"/>
              </w:rPr>
            </w:pPr>
            <w:r w:rsidRPr="00D45B51">
              <w:rPr>
                <w:color w:val="auto"/>
              </w:rPr>
              <w:t>Yes</w:t>
            </w:r>
          </w:p>
        </w:tc>
        <w:tc>
          <w:tcPr>
            <w:tcW w:w="815" w:type="dxa"/>
            <w:vAlign w:val="center"/>
            <w:hideMark/>
          </w:tcPr>
          <w:p w14:paraId="6C547806"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1347" w:type="dxa"/>
            <w:vAlign w:val="center"/>
            <w:hideMark/>
          </w:tcPr>
          <w:p w14:paraId="7F8D7504"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993" w:type="dxa"/>
            <w:vAlign w:val="center"/>
            <w:hideMark/>
          </w:tcPr>
          <w:p w14:paraId="70CF0E84"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900" w:type="dxa"/>
            <w:vAlign w:val="center"/>
            <w:hideMark/>
          </w:tcPr>
          <w:p w14:paraId="526CC5BA"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1350" w:type="dxa"/>
            <w:vAlign w:val="center"/>
            <w:hideMark/>
          </w:tcPr>
          <w:p w14:paraId="31EA6070"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r>
      <w:tr w:rsidR="00E90C9E" w:rsidRPr="00842278" w14:paraId="3A62D5CB" w14:textId="77777777" w:rsidTr="00705968">
        <w:trPr>
          <w:cantSplit/>
          <w:trHeight w:val="601"/>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35ED1A2C" w14:textId="77777777" w:rsidR="00E90C9E" w:rsidRPr="00D45B51" w:rsidRDefault="00E90C9E" w:rsidP="00512A2B">
            <w:pPr>
              <w:spacing w:before="0" w:after="0"/>
              <w:rPr>
                <w:rFonts w:ascii="Times New Roman" w:eastAsia="Times New Roman" w:hAnsi="Times New Roman" w:cs="Times New Roman"/>
                <w:b w:val="0"/>
                <w:bCs w:val="0"/>
                <w:color w:val="auto"/>
                <w:szCs w:val="24"/>
              </w:rPr>
            </w:pPr>
            <w:r w:rsidRPr="00D45B51">
              <w:rPr>
                <w:rFonts w:ascii="Arial" w:eastAsia="Times New Roman" w:hAnsi="Arial" w:cs="Arial"/>
                <w:b w:val="0"/>
                <w:bCs w:val="0"/>
                <w:color w:val="auto"/>
              </w:rPr>
              <w:t>Chronic Absenteeism</w:t>
            </w:r>
          </w:p>
        </w:tc>
        <w:tc>
          <w:tcPr>
            <w:tcW w:w="1525" w:type="dxa"/>
            <w:vAlign w:val="center"/>
            <w:hideMark/>
          </w:tcPr>
          <w:p w14:paraId="6411D343"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815" w:type="dxa"/>
            <w:vAlign w:val="center"/>
            <w:hideMark/>
          </w:tcPr>
          <w:p w14:paraId="1AE2A3E8"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1347" w:type="dxa"/>
            <w:vAlign w:val="center"/>
            <w:hideMark/>
          </w:tcPr>
          <w:p w14:paraId="03B6CAB6"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993" w:type="dxa"/>
            <w:vAlign w:val="center"/>
            <w:hideMark/>
          </w:tcPr>
          <w:p w14:paraId="168B49EA"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900" w:type="dxa"/>
            <w:vAlign w:val="center"/>
            <w:hideMark/>
          </w:tcPr>
          <w:p w14:paraId="789F4669"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1350" w:type="dxa"/>
            <w:vAlign w:val="center"/>
            <w:hideMark/>
          </w:tcPr>
          <w:p w14:paraId="115D1106"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r>
      <w:tr w:rsidR="00E90C9E" w:rsidRPr="00842278" w14:paraId="67E30A25" w14:textId="77777777" w:rsidTr="00705968">
        <w:trPr>
          <w:cnfStyle w:val="000000100000" w:firstRow="0" w:lastRow="0" w:firstColumn="0" w:lastColumn="0" w:oddVBand="0" w:evenVBand="0" w:oddHBand="1" w:evenHBand="0" w:firstRowFirstColumn="0" w:firstRowLastColumn="0" w:lastRowFirstColumn="0" w:lastRowLastColumn="0"/>
          <w:cantSplit/>
          <w:trHeight w:val="601"/>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7CB09293" w14:textId="77777777" w:rsidR="00E90C9E" w:rsidRPr="00D45B51" w:rsidRDefault="00E90C9E" w:rsidP="00512A2B">
            <w:pPr>
              <w:spacing w:before="0" w:after="0"/>
              <w:rPr>
                <w:rFonts w:ascii="Times New Roman" w:eastAsia="Times New Roman" w:hAnsi="Times New Roman" w:cs="Times New Roman"/>
                <w:b w:val="0"/>
                <w:bCs w:val="0"/>
                <w:color w:val="auto"/>
                <w:szCs w:val="24"/>
              </w:rPr>
            </w:pPr>
            <w:r w:rsidRPr="00D45B51">
              <w:rPr>
                <w:rFonts w:ascii="Arial" w:eastAsia="Times New Roman" w:hAnsi="Arial" w:cs="Arial"/>
                <w:b w:val="0"/>
                <w:bCs w:val="0"/>
                <w:color w:val="auto"/>
              </w:rPr>
              <w:t>English Language Progress </w:t>
            </w:r>
          </w:p>
        </w:tc>
        <w:tc>
          <w:tcPr>
            <w:tcW w:w="1525" w:type="dxa"/>
            <w:vAlign w:val="center"/>
            <w:hideMark/>
          </w:tcPr>
          <w:p w14:paraId="1CF41CB2"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815" w:type="dxa"/>
            <w:vAlign w:val="center"/>
            <w:hideMark/>
          </w:tcPr>
          <w:p w14:paraId="5BFDA5EA"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1347" w:type="dxa"/>
            <w:vAlign w:val="center"/>
            <w:hideMark/>
          </w:tcPr>
          <w:p w14:paraId="2CD2E643"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c>
          <w:tcPr>
            <w:tcW w:w="993" w:type="dxa"/>
            <w:vAlign w:val="center"/>
            <w:hideMark/>
          </w:tcPr>
          <w:p w14:paraId="31D87387"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900" w:type="dxa"/>
            <w:vAlign w:val="center"/>
            <w:hideMark/>
          </w:tcPr>
          <w:p w14:paraId="57D4DE0E"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1350" w:type="dxa"/>
            <w:vAlign w:val="center"/>
            <w:hideMark/>
          </w:tcPr>
          <w:p w14:paraId="1C579B07"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r>
      <w:tr w:rsidR="00E90C9E" w:rsidRPr="00842278" w14:paraId="6AF07F99" w14:textId="77777777" w:rsidTr="00705968">
        <w:trPr>
          <w:cantSplit/>
          <w:trHeight w:val="601"/>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0C092CE6" w14:textId="77777777" w:rsidR="00E90C9E" w:rsidRPr="00D45B51" w:rsidRDefault="00E90C9E" w:rsidP="00512A2B">
            <w:pPr>
              <w:spacing w:before="0" w:after="0"/>
              <w:rPr>
                <w:rFonts w:ascii="Times New Roman" w:eastAsia="Times New Roman" w:hAnsi="Times New Roman" w:cs="Times New Roman"/>
                <w:b w:val="0"/>
                <w:bCs w:val="0"/>
                <w:color w:val="auto"/>
                <w:szCs w:val="24"/>
              </w:rPr>
            </w:pPr>
            <w:r w:rsidRPr="00D45B51">
              <w:rPr>
                <w:rFonts w:ascii="Arial" w:eastAsia="Times New Roman" w:hAnsi="Arial" w:cs="Arial"/>
                <w:b w:val="0"/>
                <w:bCs w:val="0"/>
                <w:color w:val="auto"/>
              </w:rPr>
              <w:t>Suspension Rate</w:t>
            </w:r>
          </w:p>
        </w:tc>
        <w:tc>
          <w:tcPr>
            <w:tcW w:w="1525" w:type="dxa"/>
            <w:vAlign w:val="center"/>
            <w:hideMark/>
          </w:tcPr>
          <w:p w14:paraId="570C25E8"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815" w:type="dxa"/>
            <w:vAlign w:val="center"/>
            <w:hideMark/>
          </w:tcPr>
          <w:p w14:paraId="08171186"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1347" w:type="dxa"/>
            <w:vAlign w:val="center"/>
            <w:hideMark/>
          </w:tcPr>
          <w:p w14:paraId="7807E5CB"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993" w:type="dxa"/>
            <w:vAlign w:val="center"/>
            <w:hideMark/>
          </w:tcPr>
          <w:p w14:paraId="62078BB7"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900" w:type="dxa"/>
            <w:vAlign w:val="center"/>
            <w:hideMark/>
          </w:tcPr>
          <w:p w14:paraId="5687C5C5"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1350" w:type="dxa"/>
            <w:vAlign w:val="center"/>
            <w:hideMark/>
          </w:tcPr>
          <w:p w14:paraId="31BAEBB0"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r>
      <w:tr w:rsidR="00E90C9E" w:rsidRPr="00842278" w14:paraId="62B085AF" w14:textId="77777777" w:rsidTr="00705968">
        <w:trPr>
          <w:cnfStyle w:val="000000100000" w:firstRow="0" w:lastRow="0" w:firstColumn="0" w:lastColumn="0" w:oddVBand="0" w:evenVBand="0" w:oddHBand="1" w:evenHBand="0" w:firstRowFirstColumn="0" w:firstRowLastColumn="0" w:lastRowFirstColumn="0" w:lastRowLastColumn="0"/>
          <w:cantSplit/>
          <w:trHeight w:val="601"/>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275C076C" w14:textId="77777777" w:rsidR="00E90C9E" w:rsidRPr="00D45B51" w:rsidRDefault="00E90C9E" w:rsidP="00512A2B">
            <w:pPr>
              <w:spacing w:before="0" w:after="0"/>
              <w:rPr>
                <w:rFonts w:ascii="Times New Roman" w:eastAsia="Times New Roman" w:hAnsi="Times New Roman" w:cs="Times New Roman"/>
                <w:b w:val="0"/>
                <w:bCs w:val="0"/>
                <w:color w:val="auto"/>
                <w:szCs w:val="24"/>
              </w:rPr>
            </w:pPr>
            <w:r w:rsidRPr="00D45B51">
              <w:rPr>
                <w:rFonts w:ascii="Arial" w:eastAsia="Times New Roman" w:hAnsi="Arial" w:cs="Arial"/>
                <w:b w:val="0"/>
                <w:bCs w:val="0"/>
                <w:color w:val="auto"/>
              </w:rPr>
              <w:t>Graduation Rate</w:t>
            </w:r>
          </w:p>
        </w:tc>
        <w:tc>
          <w:tcPr>
            <w:tcW w:w="1525" w:type="dxa"/>
            <w:vAlign w:val="center"/>
            <w:hideMark/>
          </w:tcPr>
          <w:p w14:paraId="10957103"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815" w:type="dxa"/>
            <w:vAlign w:val="center"/>
            <w:hideMark/>
          </w:tcPr>
          <w:p w14:paraId="501D2B19"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1347" w:type="dxa"/>
            <w:vAlign w:val="center"/>
            <w:hideMark/>
          </w:tcPr>
          <w:p w14:paraId="0A0B41F7"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993" w:type="dxa"/>
            <w:vAlign w:val="center"/>
            <w:hideMark/>
          </w:tcPr>
          <w:p w14:paraId="6CEE5913"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900" w:type="dxa"/>
            <w:vAlign w:val="center"/>
            <w:hideMark/>
          </w:tcPr>
          <w:p w14:paraId="0EDC1E86"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1350" w:type="dxa"/>
            <w:vAlign w:val="center"/>
            <w:hideMark/>
          </w:tcPr>
          <w:p w14:paraId="2D8BAE75"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r>
      <w:tr w:rsidR="00E90C9E" w:rsidRPr="00842278" w14:paraId="6BE1501B" w14:textId="77777777" w:rsidTr="00705968">
        <w:trPr>
          <w:cantSplit/>
          <w:trHeight w:val="601"/>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290579D8" w14:textId="43AEFA12" w:rsidR="00E90C9E" w:rsidRPr="00D45B51" w:rsidRDefault="00E90C9E" w:rsidP="00512A2B">
            <w:pPr>
              <w:spacing w:before="0" w:after="0"/>
              <w:rPr>
                <w:rFonts w:ascii="Times New Roman" w:eastAsia="Times New Roman" w:hAnsi="Times New Roman" w:cs="Times New Roman"/>
                <w:b w:val="0"/>
                <w:bCs w:val="0"/>
                <w:color w:val="auto"/>
                <w:szCs w:val="24"/>
              </w:rPr>
            </w:pPr>
            <w:r w:rsidRPr="00D45B51">
              <w:rPr>
                <w:rFonts w:ascii="Arial" w:eastAsia="Times New Roman" w:hAnsi="Arial" w:cs="Arial"/>
                <w:b w:val="0"/>
                <w:bCs w:val="0"/>
                <w:color w:val="auto"/>
              </w:rPr>
              <w:t>College/Career</w:t>
            </w:r>
            <w:r w:rsidR="00B15AC9" w:rsidRPr="00D45B51">
              <w:rPr>
                <w:rFonts w:ascii="Arial" w:eastAsia="Times New Roman" w:hAnsi="Arial" w:cs="Arial"/>
                <w:b w:val="0"/>
                <w:bCs w:val="0"/>
                <w:color w:val="auto"/>
              </w:rPr>
              <w:t xml:space="preserve"> Readiness</w:t>
            </w:r>
          </w:p>
        </w:tc>
        <w:tc>
          <w:tcPr>
            <w:tcW w:w="1525" w:type="dxa"/>
            <w:vAlign w:val="center"/>
            <w:hideMark/>
          </w:tcPr>
          <w:p w14:paraId="52202331"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815" w:type="dxa"/>
            <w:vAlign w:val="center"/>
            <w:hideMark/>
          </w:tcPr>
          <w:p w14:paraId="35F2F2D5"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c>
          <w:tcPr>
            <w:tcW w:w="1347" w:type="dxa"/>
            <w:vAlign w:val="center"/>
            <w:hideMark/>
          </w:tcPr>
          <w:p w14:paraId="445A9BA9"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993" w:type="dxa"/>
            <w:vAlign w:val="center"/>
            <w:hideMark/>
          </w:tcPr>
          <w:p w14:paraId="63128AC5"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900" w:type="dxa"/>
            <w:vAlign w:val="center"/>
            <w:hideMark/>
          </w:tcPr>
          <w:p w14:paraId="59628261"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1350" w:type="dxa"/>
            <w:vAlign w:val="center"/>
            <w:hideMark/>
          </w:tcPr>
          <w:p w14:paraId="3330A2C6" w14:textId="77777777" w:rsidR="00E90C9E" w:rsidRPr="00D45B51" w:rsidRDefault="00E90C9E" w:rsidP="00512A2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r>
      <w:tr w:rsidR="00E90C9E" w:rsidRPr="00842278" w14:paraId="309CABEE" w14:textId="77777777" w:rsidTr="00705968">
        <w:trPr>
          <w:cnfStyle w:val="000000100000" w:firstRow="0" w:lastRow="0" w:firstColumn="0" w:lastColumn="0" w:oddVBand="0" w:evenVBand="0" w:oddHBand="1" w:evenHBand="0" w:firstRowFirstColumn="0" w:firstRowLastColumn="0" w:lastRowFirstColumn="0" w:lastRowLastColumn="0"/>
          <w:cantSplit/>
          <w:trHeight w:val="601"/>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3DCB1545" w14:textId="77777777" w:rsidR="00E90C9E" w:rsidRPr="00D45B51" w:rsidRDefault="00E90C9E" w:rsidP="00512A2B">
            <w:pPr>
              <w:spacing w:before="0" w:after="0"/>
              <w:rPr>
                <w:rFonts w:ascii="Times New Roman" w:eastAsia="Times New Roman" w:hAnsi="Times New Roman" w:cs="Times New Roman"/>
                <w:b w:val="0"/>
                <w:bCs w:val="0"/>
                <w:color w:val="auto"/>
                <w:szCs w:val="24"/>
              </w:rPr>
            </w:pPr>
            <w:r w:rsidRPr="00D45B51">
              <w:rPr>
                <w:rFonts w:ascii="Arial" w:eastAsia="Times New Roman" w:hAnsi="Arial" w:cs="Arial"/>
                <w:b w:val="0"/>
                <w:bCs w:val="0"/>
                <w:color w:val="auto"/>
              </w:rPr>
              <w:t>Local Indicators</w:t>
            </w:r>
          </w:p>
        </w:tc>
        <w:tc>
          <w:tcPr>
            <w:tcW w:w="1525" w:type="dxa"/>
            <w:vAlign w:val="center"/>
            <w:hideMark/>
          </w:tcPr>
          <w:p w14:paraId="32FBBC7A"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815" w:type="dxa"/>
            <w:vAlign w:val="center"/>
            <w:hideMark/>
          </w:tcPr>
          <w:p w14:paraId="7E7A67F0"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1347" w:type="dxa"/>
            <w:vAlign w:val="center"/>
            <w:hideMark/>
          </w:tcPr>
          <w:p w14:paraId="38F2574D"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993" w:type="dxa"/>
            <w:vAlign w:val="center"/>
            <w:hideMark/>
          </w:tcPr>
          <w:p w14:paraId="440BFB37"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n/a</w:t>
            </w:r>
          </w:p>
        </w:tc>
        <w:tc>
          <w:tcPr>
            <w:tcW w:w="900" w:type="dxa"/>
            <w:vAlign w:val="center"/>
            <w:hideMark/>
          </w:tcPr>
          <w:p w14:paraId="1AB14972"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color w:val="auto"/>
              </w:rPr>
              <w:t>Yes</w:t>
            </w:r>
          </w:p>
        </w:tc>
        <w:tc>
          <w:tcPr>
            <w:tcW w:w="1350" w:type="dxa"/>
            <w:vAlign w:val="center"/>
            <w:hideMark/>
          </w:tcPr>
          <w:p w14:paraId="1E5B5370" w14:textId="77777777" w:rsidR="00E90C9E" w:rsidRPr="00D45B51" w:rsidRDefault="00E90C9E" w:rsidP="00512A2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D45B51">
              <w:rPr>
                <w:rFonts w:ascii="Arial" w:eastAsia="Times New Roman" w:hAnsi="Arial" w:cs="Arial"/>
                <w:color w:val="auto"/>
              </w:rPr>
              <w:t>Status Only</w:t>
            </w:r>
          </w:p>
        </w:tc>
      </w:tr>
    </w:tbl>
    <w:p w14:paraId="199C9EE1" w14:textId="70D95703" w:rsidR="003B081E" w:rsidRPr="00842278" w:rsidRDefault="003B081E" w:rsidP="00CB16BE">
      <w:pPr>
        <w:pStyle w:val="Heading3"/>
        <w:rPr>
          <w:rFonts w:ascii="Times New Roman" w:hAnsi="Times New Roman" w:cs="Times New Roman"/>
        </w:rPr>
      </w:pPr>
      <w:r>
        <w:t>Whi</w:t>
      </w:r>
      <w:r w:rsidR="00146CD9">
        <w:t>c</w:t>
      </w:r>
      <w:r>
        <w:t>h State</w:t>
      </w:r>
      <w:r w:rsidR="00BF3921">
        <w:t xml:space="preserve"> </w:t>
      </w:r>
      <w:r w:rsidR="005F7623">
        <w:t>Measure</w:t>
      </w:r>
      <w:r>
        <w:t xml:space="preserve">s </w:t>
      </w:r>
      <w:r w:rsidR="00D071FD">
        <w:t>W</w:t>
      </w:r>
      <w:r>
        <w:t>ill be on the 2022 Dash</w:t>
      </w:r>
      <w:r w:rsidR="00BF3921">
        <w:t xml:space="preserve">board? </w:t>
      </w:r>
    </w:p>
    <w:p w14:paraId="53A955A9" w14:textId="77777777" w:rsidR="00EE5C71" w:rsidRDefault="00325772" w:rsidP="00F7757B">
      <w:pPr>
        <w:pStyle w:val="ListParagraph"/>
      </w:pPr>
      <w:r>
        <w:t>2021</w:t>
      </w:r>
    </w:p>
    <w:p w14:paraId="36B8100A" w14:textId="4D866187" w:rsidR="00EE5C71" w:rsidRPr="00FA5709" w:rsidRDefault="00EE5C71" w:rsidP="00F7757B">
      <w:pPr>
        <w:pStyle w:val="ListParagraph"/>
        <w:numPr>
          <w:ilvl w:val="1"/>
          <w:numId w:val="2"/>
        </w:numPr>
      </w:pPr>
      <w:r w:rsidRPr="00FA5709">
        <w:t xml:space="preserve">Local </w:t>
      </w:r>
      <w:r>
        <w:t>Measure</w:t>
      </w:r>
      <w:r w:rsidRPr="00FA5709">
        <w:t xml:space="preserve">s </w:t>
      </w:r>
      <w:r w:rsidR="00ED48C0">
        <w:t>Only</w:t>
      </w:r>
    </w:p>
    <w:p w14:paraId="03FBFBC9" w14:textId="77777777" w:rsidR="00EE5C71" w:rsidRDefault="00DF1989" w:rsidP="00A07D0F">
      <w:pPr>
        <w:pStyle w:val="ListParagraph"/>
      </w:pPr>
      <w:r>
        <w:t>2022</w:t>
      </w:r>
    </w:p>
    <w:p w14:paraId="0A6D8409" w14:textId="77777777" w:rsidR="00EE5C71" w:rsidRDefault="00EE5C71" w:rsidP="00F7757B">
      <w:pPr>
        <w:pStyle w:val="ListParagraph"/>
        <w:numPr>
          <w:ilvl w:val="1"/>
          <w:numId w:val="2"/>
        </w:numPr>
      </w:pPr>
      <w:r>
        <w:t>Status Only</w:t>
      </w:r>
    </w:p>
    <w:p w14:paraId="0FCA0DA7" w14:textId="77777777" w:rsidR="00EE5C71" w:rsidRDefault="00A64DDB" w:rsidP="00F7757B">
      <w:pPr>
        <w:pStyle w:val="ListParagraph"/>
        <w:numPr>
          <w:ilvl w:val="1"/>
          <w:numId w:val="2"/>
        </w:numPr>
      </w:pPr>
      <w:r w:rsidRPr="00FA5709">
        <w:t xml:space="preserve">Local </w:t>
      </w:r>
      <w:r w:rsidR="00EE5C71">
        <w:t>Measure</w:t>
      </w:r>
      <w:r w:rsidRPr="00FA5709">
        <w:t xml:space="preserve">s </w:t>
      </w:r>
    </w:p>
    <w:p w14:paraId="0AC4AD43" w14:textId="5B94C9F0" w:rsidR="00532D2F" w:rsidRDefault="00146CD9" w:rsidP="00F7757B">
      <w:pPr>
        <w:pStyle w:val="ListParagraph"/>
        <w:numPr>
          <w:ilvl w:val="1"/>
          <w:numId w:val="2"/>
        </w:numPr>
      </w:pPr>
      <w:r w:rsidRPr="00FA5709">
        <w:t xml:space="preserve">No </w:t>
      </w:r>
      <w:r w:rsidR="00085CA8" w:rsidRPr="007F78A3">
        <w:t>College/Career</w:t>
      </w:r>
      <w:r w:rsidR="00085CA8">
        <w:t xml:space="preserve"> </w:t>
      </w:r>
      <w:r w:rsidR="00085CA8" w:rsidRPr="00B15AC9">
        <w:t>Readiness</w:t>
      </w:r>
      <w:r w:rsidR="00532D2F">
        <w:t>*</w:t>
      </w:r>
    </w:p>
    <w:p w14:paraId="0086852B" w14:textId="1369F238" w:rsidR="00532D2F" w:rsidRPr="00FA5709" w:rsidRDefault="00532D2F" w:rsidP="00532D2F">
      <w:r>
        <w:t>*</w:t>
      </w:r>
      <w:r w:rsidRPr="00532D2F">
        <w:t>California Assessment of Student Performance and Progress (CAASPP</w:t>
      </w:r>
      <w:r>
        <w:t xml:space="preserve">) </w:t>
      </w:r>
      <w:r w:rsidRPr="00532D2F">
        <w:t>testing was optional during the 2020–21 school year</w:t>
      </w:r>
      <w:r>
        <w:t>,</w:t>
      </w:r>
      <w:r w:rsidRPr="00532D2F">
        <w:t xml:space="preserve"> </w:t>
      </w:r>
      <w:r w:rsidR="0069161E">
        <w:t>limiting the ability to</w:t>
      </w:r>
      <w:r w:rsidRPr="00532D2F">
        <w:t xml:space="preserve"> make many determinations about schools</w:t>
      </w:r>
      <w:r w:rsidR="00D1082B">
        <w:t>’</w:t>
      </w:r>
      <w:r w:rsidRPr="00532D2F">
        <w:t xml:space="preserve"> college preparation. With the absence of this testing, we will resume </w:t>
      </w:r>
      <w:r w:rsidR="0073604F" w:rsidRPr="0073604F">
        <w:t>College/Career Readiness</w:t>
      </w:r>
      <w:r w:rsidRPr="00532D2F">
        <w:t xml:space="preserve"> with </w:t>
      </w:r>
      <w:r w:rsidRPr="0073604F">
        <w:rPr>
          <w:rStyle w:val="Strong"/>
        </w:rPr>
        <w:t xml:space="preserve">Status </w:t>
      </w:r>
      <w:r w:rsidR="0073604F">
        <w:rPr>
          <w:rStyle w:val="Strong"/>
        </w:rPr>
        <w:t>O</w:t>
      </w:r>
      <w:r w:rsidRPr="0073604F">
        <w:rPr>
          <w:rStyle w:val="Strong"/>
        </w:rPr>
        <w:t>nly</w:t>
      </w:r>
      <w:r w:rsidRPr="00532D2F">
        <w:t xml:space="preserve"> reporting on the 2023 Dashboard. </w:t>
      </w:r>
    </w:p>
    <w:p w14:paraId="3DB3D9A9" w14:textId="77777777" w:rsidR="00842278" w:rsidRPr="00842278" w:rsidRDefault="00842278" w:rsidP="00CB16BE">
      <w:pPr>
        <w:pStyle w:val="Heading3"/>
        <w:rPr>
          <w:rFonts w:ascii="Times New Roman" w:hAnsi="Times New Roman" w:cs="Times New Roman"/>
        </w:rPr>
      </w:pPr>
      <w:r w:rsidRPr="00842278">
        <w:lastRenderedPageBreak/>
        <w:t>We Know We Are Not "Back to Normal"</w:t>
      </w:r>
    </w:p>
    <w:p w14:paraId="37B1FBA4" w14:textId="4A26B349" w:rsidR="00842278" w:rsidRPr="00842278" w:rsidRDefault="005F3748" w:rsidP="00210B6A">
      <w:pPr>
        <w:keepNext/>
        <w:keepLines/>
        <w:spacing w:before="120" w:after="80"/>
        <w:rPr>
          <w:rFonts w:ascii="Times New Roman" w:hAnsi="Times New Roman" w:cs="Times New Roman"/>
        </w:rPr>
      </w:pPr>
      <w:r>
        <w:t xml:space="preserve">The </w:t>
      </w:r>
      <w:r w:rsidR="00842278" w:rsidRPr="00842278">
        <w:t>2021</w:t>
      </w:r>
      <w:r w:rsidR="00945FA5">
        <w:t>–</w:t>
      </w:r>
      <w:r w:rsidR="00842278" w:rsidRPr="00842278">
        <w:t xml:space="preserve">22 </w:t>
      </w:r>
      <w:r>
        <w:t>s</w:t>
      </w:r>
      <w:r w:rsidR="00842278" w:rsidRPr="00842278">
        <w:t xml:space="preserve">chool </w:t>
      </w:r>
      <w:r>
        <w:t>y</w:t>
      </w:r>
      <w:r w:rsidR="00842278" w:rsidRPr="00842278">
        <w:t>ear</w:t>
      </w:r>
      <w:r>
        <w:t xml:space="preserve"> brought</w:t>
      </w:r>
    </w:p>
    <w:p w14:paraId="420F94D9" w14:textId="1D98D6EF" w:rsidR="00842278" w:rsidRPr="00842278" w:rsidRDefault="005F3748" w:rsidP="00A07D0F">
      <w:pPr>
        <w:pStyle w:val="ListParagraph"/>
      </w:pPr>
      <w:r>
        <w:t>the f</w:t>
      </w:r>
      <w:r w:rsidR="00842278" w:rsidRPr="00842278">
        <w:t xml:space="preserve">irst year of a full return to the classroom across </w:t>
      </w:r>
      <w:r w:rsidR="00D21B73">
        <w:t>California</w:t>
      </w:r>
      <w:r w:rsidR="00945FA5">
        <w:t>;</w:t>
      </w:r>
    </w:p>
    <w:p w14:paraId="6ACE339A" w14:textId="35022BE5" w:rsidR="00842278" w:rsidRPr="00842278" w:rsidRDefault="005F3748" w:rsidP="00A07D0F">
      <w:pPr>
        <w:pStyle w:val="ListParagraph"/>
      </w:pPr>
      <w:r>
        <w:t>a r</w:t>
      </w:r>
      <w:r w:rsidR="00842278" w:rsidRPr="00842278">
        <w:t>eturn to testing</w:t>
      </w:r>
      <w:r w:rsidR="00945FA5">
        <w:t>; and</w:t>
      </w:r>
    </w:p>
    <w:p w14:paraId="039E94EF" w14:textId="685E5A6B" w:rsidR="00842278" w:rsidRDefault="005F3748" w:rsidP="00A07D0F">
      <w:pPr>
        <w:pStyle w:val="ListParagraph"/>
      </w:pPr>
      <w:r>
        <w:t>m</w:t>
      </w:r>
      <w:r w:rsidR="00842278" w:rsidRPr="00842278">
        <w:t>any new faces at schools and districts</w:t>
      </w:r>
      <w:r w:rsidR="00945FA5">
        <w:t>—</w:t>
      </w:r>
      <w:r w:rsidR="00842278" w:rsidRPr="00842278">
        <w:t>students and staff</w:t>
      </w:r>
      <w:r w:rsidR="00210B6A">
        <w:t xml:space="preserve"> alike</w:t>
      </w:r>
      <w:r w:rsidR="00D21B73">
        <w:t>.</w:t>
      </w:r>
    </w:p>
    <w:p w14:paraId="75C43D35" w14:textId="0E7C5998" w:rsidR="00842278" w:rsidRPr="00842278" w:rsidRDefault="00A77AED" w:rsidP="00CB16BE">
      <w:pPr>
        <w:pStyle w:val="Heading3"/>
        <w:rPr>
          <w:rFonts w:ascii="Times New Roman" w:hAnsi="Times New Roman" w:cs="Times New Roman"/>
          <w:sz w:val="24"/>
        </w:rPr>
      </w:pPr>
      <w:r w:rsidRPr="00A77AED">
        <w:t xml:space="preserve">What is </w:t>
      </w:r>
      <w:r w:rsidR="00D0248B">
        <w:t>G</w:t>
      </w:r>
      <w:r w:rsidRPr="00A77AED">
        <w:t>oing on in LEAs</w:t>
      </w:r>
      <w:r>
        <w:t xml:space="preserve"> </w:t>
      </w:r>
      <w:r w:rsidRPr="00A77AED">
        <w:t xml:space="preserve">and </w:t>
      </w:r>
      <w:r w:rsidR="00D0248B">
        <w:t>S</w:t>
      </w:r>
      <w:r w:rsidRPr="00034AA4">
        <w:t>chools</w:t>
      </w:r>
      <w:r w:rsidRPr="00A77AED">
        <w:t>?</w:t>
      </w:r>
    </w:p>
    <w:p w14:paraId="046D16CA" w14:textId="0BCEB37D" w:rsidR="00842278" w:rsidRPr="00842278" w:rsidRDefault="00842278" w:rsidP="00A07D0F">
      <w:pPr>
        <w:pStyle w:val="ListParagraph"/>
      </w:pPr>
      <w:r w:rsidRPr="00842278">
        <w:t xml:space="preserve">Accountability </w:t>
      </w:r>
      <w:r w:rsidR="003021A1">
        <w:t>d</w:t>
      </w:r>
      <w:r w:rsidRPr="00842278">
        <w:t>ata from 2021</w:t>
      </w:r>
      <w:r w:rsidR="003C395A">
        <w:t>–</w:t>
      </w:r>
      <w:r w:rsidRPr="00842278">
        <w:t>22 shine a light on what is going on in LEAs</w:t>
      </w:r>
      <w:r w:rsidR="003C395A">
        <w:t xml:space="preserve"> and </w:t>
      </w:r>
      <w:r w:rsidRPr="00842278">
        <w:t>schools</w:t>
      </w:r>
      <w:r w:rsidR="003C395A">
        <w:t>.</w:t>
      </w:r>
    </w:p>
    <w:p w14:paraId="680FF2A9" w14:textId="691515E0" w:rsidR="00842278" w:rsidRDefault="00842278" w:rsidP="00A07D0F">
      <w:pPr>
        <w:pStyle w:val="ListParagraph"/>
      </w:pPr>
      <w:r w:rsidRPr="00842278">
        <w:t>Additional local data and future years of data will help develop the full picture</w:t>
      </w:r>
      <w:r w:rsidR="003C395A">
        <w:t>.</w:t>
      </w:r>
    </w:p>
    <w:p w14:paraId="65FB628A" w14:textId="3FB8D9F8" w:rsidR="00842278" w:rsidRPr="000A1363" w:rsidRDefault="00842278" w:rsidP="00CB16BE">
      <w:pPr>
        <w:pStyle w:val="Heading3"/>
        <w:rPr>
          <w:rStyle w:val="Heading3Char"/>
        </w:rPr>
      </w:pPr>
      <w:r w:rsidRPr="00742737">
        <w:t>What Can I Expect from the 2022 Dashboard?</w:t>
      </w:r>
    </w:p>
    <w:p w14:paraId="78003FA4" w14:textId="31279D33" w:rsidR="00842278" w:rsidRPr="00842278" w:rsidRDefault="00842278" w:rsidP="00A07D0F">
      <w:pPr>
        <w:pStyle w:val="ListParagraph"/>
      </w:pPr>
      <w:r w:rsidRPr="00842278">
        <w:t>It will look different</w:t>
      </w:r>
      <w:r w:rsidR="000A1363">
        <w:t>.</w:t>
      </w:r>
    </w:p>
    <w:p w14:paraId="3C966BEB" w14:textId="77777777" w:rsidR="00842278" w:rsidRPr="00842278" w:rsidRDefault="00842278" w:rsidP="00A07D0F">
      <w:pPr>
        <w:pStyle w:val="ListParagraph"/>
      </w:pPr>
      <w:r w:rsidRPr="00842278">
        <w:t>There are updates and changes...but it will mostly stay the same!</w:t>
      </w:r>
    </w:p>
    <w:p w14:paraId="23119941" w14:textId="77777777" w:rsidR="00034AA4" w:rsidRDefault="00034AA4" w:rsidP="00CB16BE">
      <w:pPr>
        <w:pStyle w:val="Heading3"/>
      </w:pPr>
      <w:r w:rsidRPr="00034AA4">
        <w:t>Reporting Current Year Data Only</w:t>
      </w:r>
    </w:p>
    <w:p w14:paraId="0132BC28" w14:textId="77777777" w:rsidR="008A6439" w:rsidRDefault="008A6439" w:rsidP="008A6439">
      <w:r w:rsidRPr="00476871">
        <w:t xml:space="preserve">There will be </w:t>
      </w:r>
      <w:r w:rsidRPr="009129C0">
        <w:rPr>
          <w:b/>
          <w:bCs/>
        </w:rPr>
        <w:t>no prior year data</w:t>
      </w:r>
      <w:r>
        <w:t xml:space="preserve">. </w:t>
      </w:r>
      <w:r w:rsidRPr="00476871">
        <w:t>Therefor</w:t>
      </w:r>
      <w:r>
        <w:t>e,</w:t>
      </w:r>
      <w:r w:rsidRPr="00476871">
        <w:t xml:space="preserve"> </w:t>
      </w:r>
      <w:r>
        <w:rPr>
          <w:rStyle w:val="Strong"/>
        </w:rPr>
        <w:t>no Change</w:t>
      </w:r>
      <w:r w:rsidRPr="00476871">
        <w:t xml:space="preserve"> </w:t>
      </w:r>
      <w:r>
        <w:t xml:space="preserve">data </w:t>
      </w:r>
      <w:r w:rsidRPr="00476871">
        <w:t xml:space="preserve">in student performance </w:t>
      </w:r>
      <w:r>
        <w:t xml:space="preserve">will be available </w:t>
      </w:r>
      <w:r w:rsidRPr="00476871">
        <w:t>on the 2022 Dashboard</w:t>
      </w:r>
      <w:r>
        <w:t xml:space="preserve">. </w:t>
      </w:r>
      <w:r w:rsidRPr="00476871">
        <w:t>(</w:t>
      </w:r>
      <w:r>
        <w:t>C</w:t>
      </w:r>
      <w:r w:rsidRPr="00476871">
        <w:t>hange equals improvement or lack of improvement from the previous year</w:t>
      </w:r>
      <w:r>
        <w:t>.) Since</w:t>
      </w:r>
      <w:r w:rsidRPr="00476871">
        <w:t xml:space="preserve"> there is no data from the prior year, </w:t>
      </w:r>
      <w:r>
        <w:t>C</w:t>
      </w:r>
      <w:r w:rsidRPr="00476871">
        <w:t xml:space="preserve">hange </w:t>
      </w:r>
      <w:r>
        <w:t xml:space="preserve">is not reported </w:t>
      </w:r>
      <w:r w:rsidRPr="00476871">
        <w:t>on the 2022 Dashboard.</w:t>
      </w:r>
    </w:p>
    <w:p w14:paraId="7CC962D4" w14:textId="32787D06" w:rsidR="00034AA4" w:rsidRDefault="008A6439" w:rsidP="008A6439">
      <w:pPr>
        <w:spacing w:before="160" w:after="120"/>
      </w:pPr>
      <w:r w:rsidRPr="0092237B">
        <w:t xml:space="preserve">Refer to the Reporting Current Year Data </w:t>
      </w:r>
      <w:r>
        <w:t xml:space="preserve">Only on the Dashboard </w:t>
      </w:r>
      <w:r w:rsidRPr="0092237B">
        <w:t>Flyer</w:t>
      </w:r>
      <w:r>
        <w:t xml:space="preserve"> </w:t>
      </w:r>
      <w:r w:rsidRPr="00F13D5B">
        <w:t>for more details about this year's "Status Only" Dashboard display</w:t>
      </w:r>
      <w:r>
        <w:t xml:space="preserve"> on the CDE website at </w:t>
      </w:r>
      <w:hyperlink r:id="rId9" w:tooltip="Reporting Current Year Data Only on the Dashboard Flyer (PDF)" w:history="1">
        <w:r w:rsidR="00054DDF">
          <w:rPr>
            <w:rStyle w:val="Hyperlink"/>
            <w:rFonts w:cs="Arial"/>
          </w:rPr>
          <w:t>https://www.cde.ca.gov/ta/ac/cm/documents/reportcurrentyear22.pdf</w:t>
        </w:r>
      </w:hyperlink>
      <w:r w:rsidR="00054DDF">
        <w:rPr>
          <w:rStyle w:val="Hyperlink"/>
          <w:rFonts w:cs="Arial"/>
        </w:rPr>
        <w:t>.</w:t>
      </w:r>
    </w:p>
    <w:p w14:paraId="745AFE73" w14:textId="6BFA1B0B" w:rsidR="00476871" w:rsidRDefault="00476871" w:rsidP="00CB16BE">
      <w:pPr>
        <w:pStyle w:val="Heading3"/>
      </w:pPr>
      <w:r>
        <w:t>Dashboard 2017–19</w:t>
      </w:r>
    </w:p>
    <w:p w14:paraId="21315C27" w14:textId="099C5C99" w:rsidR="00476871" w:rsidRPr="00476871" w:rsidRDefault="00476871" w:rsidP="00476871">
      <w:pPr>
        <w:spacing w:before="160" w:after="120"/>
      </w:pPr>
      <w:r w:rsidRPr="00476871">
        <w:t>In prior years, the Dashboard reported performance levels through the use of colors: blue, green, yellow, orange, and red. Blue represented the highest performance level while red represented the lowest performance level. These performance levels were determined using two years of data</w:t>
      </w:r>
      <w:r w:rsidR="00FF5EEC">
        <w:t>:</w:t>
      </w:r>
      <w:r w:rsidRPr="00476871">
        <w:t xml:space="preserve"> current year performance and the difference from the prior year to show growth or decline.</w:t>
      </w:r>
    </w:p>
    <w:p w14:paraId="7DA8FC10" w14:textId="30A6F557" w:rsidR="00476871" w:rsidRPr="00476871" w:rsidRDefault="009572AE" w:rsidP="00476871">
      <w:pPr>
        <w:spacing w:before="160" w:after="120"/>
      </w:pPr>
      <w:r w:rsidRPr="0092237B">
        <w:t>Due to requirements under Assembly Bill 130</w:t>
      </w:r>
      <w:r>
        <w:t xml:space="preserve"> (AB130)</w:t>
      </w:r>
      <w:r w:rsidRPr="0092237B">
        <w:t>, the CDE can only display the most current year of data (also known as Status) on the 2022 Dashboard</w:t>
      </w:r>
      <w:r w:rsidR="00476871" w:rsidRPr="00476871">
        <w:t>.</w:t>
      </w:r>
    </w:p>
    <w:p w14:paraId="1B30E818" w14:textId="0CB9F679" w:rsidR="00D65A3D" w:rsidRPr="00694F12" w:rsidRDefault="00D65A3D" w:rsidP="00CB16BE">
      <w:pPr>
        <w:pStyle w:val="Heading3"/>
      </w:pPr>
      <w:r w:rsidRPr="00694F12">
        <w:rPr>
          <w:rStyle w:val="Heading3Char"/>
          <w:b/>
          <w:bCs/>
        </w:rPr>
        <w:lastRenderedPageBreak/>
        <w:t>Status</w:t>
      </w:r>
      <w:r w:rsidRPr="00694F12">
        <w:t xml:space="preserve"> Only </w:t>
      </w:r>
    </w:p>
    <w:p w14:paraId="4452C5B3" w14:textId="4B417885" w:rsidR="008658B0" w:rsidRPr="008658B0" w:rsidRDefault="008658B0" w:rsidP="00830930">
      <w:pPr>
        <w:keepNext/>
        <w:keepLines/>
      </w:pPr>
      <w:r w:rsidRPr="008658B0">
        <w:t xml:space="preserve">This year would be unique as we would only report </w:t>
      </w:r>
      <w:r w:rsidR="002E036B">
        <w:t>S</w:t>
      </w:r>
      <w:r w:rsidRPr="008658B0">
        <w:t>tatus for each of the state indicators in 2022</w:t>
      </w:r>
      <w:r>
        <w:t>.</w:t>
      </w:r>
    </w:p>
    <w:p w14:paraId="58F6605E" w14:textId="48E2F1D1" w:rsidR="008658B0" w:rsidRDefault="008658B0" w:rsidP="008658B0">
      <w:r w:rsidRPr="008658B0">
        <w:t xml:space="preserve">Status equals </w:t>
      </w:r>
      <w:r w:rsidR="00830930" w:rsidRPr="008658B0">
        <w:t>current year data</w:t>
      </w:r>
      <w:r w:rsidR="00830930">
        <w:t>.</w:t>
      </w:r>
    </w:p>
    <w:p w14:paraId="7B2CEAD5" w14:textId="2A6BC640" w:rsidR="008658B0" w:rsidRDefault="00AD0B36" w:rsidP="00A07D0F">
      <w:pPr>
        <w:pStyle w:val="ListParagraph"/>
      </w:pPr>
      <w:r w:rsidRPr="00AD0B36">
        <w:t xml:space="preserve">No indicator color used for the 2022 Dashboard </w:t>
      </w:r>
      <w:r w:rsidR="00ED3CD0">
        <w:t>Measure</w:t>
      </w:r>
      <w:r w:rsidRPr="00AD0B36">
        <w:t>s</w:t>
      </w:r>
      <w:r>
        <w:t>.</w:t>
      </w:r>
    </w:p>
    <w:p w14:paraId="0DDE14EA" w14:textId="453B5521" w:rsidR="00AD0B36" w:rsidRPr="00AD0B36" w:rsidRDefault="00AD0B36" w:rsidP="00A07D0F">
      <w:pPr>
        <w:pStyle w:val="ListParagraph"/>
      </w:pPr>
      <w:r w:rsidRPr="00AD0B36">
        <w:t xml:space="preserve">Purple color </w:t>
      </w:r>
      <w:r w:rsidR="008305C0">
        <w:t>use</w:t>
      </w:r>
      <w:r w:rsidR="008658B0">
        <w:t>d</w:t>
      </w:r>
      <w:r w:rsidR="008305C0">
        <w:t xml:space="preserve"> </w:t>
      </w:r>
      <w:r w:rsidRPr="00AD0B36">
        <w:t xml:space="preserve">for all Status </w:t>
      </w:r>
      <w:r w:rsidR="009B2A2C">
        <w:t>l</w:t>
      </w:r>
      <w:r w:rsidRPr="00AD0B36">
        <w:t>evels</w:t>
      </w:r>
      <w:r w:rsidR="008305C0">
        <w:t>.</w:t>
      </w:r>
    </w:p>
    <w:p w14:paraId="1BD4FCF2" w14:textId="3FC83BBD" w:rsidR="00AD0B36" w:rsidRPr="00AD0B36" w:rsidRDefault="00AD0B36" w:rsidP="00A07D0F">
      <w:pPr>
        <w:pStyle w:val="ListParagraph"/>
      </w:pPr>
      <w:r w:rsidRPr="00AD0B36">
        <w:t xml:space="preserve">Status </w:t>
      </w:r>
      <w:r w:rsidR="009B2A2C">
        <w:t>g</w:t>
      </w:r>
      <w:r w:rsidRPr="00AD0B36">
        <w:t>raphic resembles "</w:t>
      </w:r>
      <w:r w:rsidR="009B2A2C" w:rsidRPr="00AD0B36">
        <w:t>cell phone bars</w:t>
      </w:r>
      <w:r w:rsidRPr="00AD0B36">
        <w:t>"</w:t>
      </w:r>
      <w:r w:rsidR="009B2A2C">
        <w:t>.</w:t>
      </w:r>
    </w:p>
    <w:p w14:paraId="14D8F9DD" w14:textId="26F3C967" w:rsidR="009E45DE" w:rsidRPr="00842278" w:rsidRDefault="008658B0" w:rsidP="0023469D">
      <w:pPr>
        <w:rPr>
          <w:rFonts w:ascii="Times New Roman" w:hAnsi="Times New Roman" w:cs="Times New Roman"/>
          <w:bCs/>
          <w:sz w:val="36"/>
          <w:szCs w:val="36"/>
        </w:rPr>
      </w:pPr>
      <w:r w:rsidRPr="008658B0">
        <w:t>The 2022 Dashboard will report performance levels using one of five Status levels</w:t>
      </w:r>
      <w:r w:rsidR="00A70627">
        <w:t>—</w:t>
      </w:r>
      <w:r w:rsidRPr="008658B0">
        <w:t>Very High, High, Medium, Low, and Very Low</w:t>
      </w:r>
      <w:r w:rsidR="00A70627">
        <w:t>—</w:t>
      </w:r>
      <w:r w:rsidRPr="008658B0">
        <w:t>for all state measures, based on the 2021–22 school year data.</w:t>
      </w:r>
      <w:r w:rsidR="0012430C">
        <w:t xml:space="preserve"> </w:t>
      </w:r>
      <w:r w:rsidR="009E45DE">
        <w:t xml:space="preserve"> </w:t>
      </w:r>
    </w:p>
    <w:p w14:paraId="57FE389E" w14:textId="07541F73" w:rsidR="005F40B5" w:rsidRPr="00842278" w:rsidRDefault="00800191" w:rsidP="00CB16BE">
      <w:pPr>
        <w:pStyle w:val="Heading3"/>
        <w:rPr>
          <w:rFonts w:ascii="Times New Roman" w:hAnsi="Times New Roman" w:cs="Times New Roman"/>
        </w:rPr>
      </w:pPr>
      <w:r w:rsidRPr="00800191">
        <w:t>Academic Performance</w:t>
      </w:r>
      <w:r w:rsidR="005F40B5">
        <w:t xml:space="preserve">: </w:t>
      </w:r>
      <w:r w:rsidR="004646E3">
        <w:t>ELA</w:t>
      </w:r>
      <w:r w:rsidR="00D62705">
        <w:t xml:space="preserve"> and Mathematics</w:t>
      </w:r>
    </w:p>
    <w:p w14:paraId="2C22C79A" w14:textId="114D3F76" w:rsidR="005F40B5" w:rsidRDefault="00D62705" w:rsidP="005073DA">
      <w:r w:rsidRPr="00D62705">
        <w:t xml:space="preserve">The Academic </w:t>
      </w:r>
      <w:r w:rsidR="00B15AC9">
        <w:t>Performance</w:t>
      </w:r>
      <w:r w:rsidR="00A87B15">
        <w:t xml:space="preserve"> measure</w:t>
      </w:r>
      <w:r w:rsidRPr="00D62705">
        <w:t> includes </w:t>
      </w:r>
      <w:r w:rsidR="00C82C0E">
        <w:t>English language arts/literacy (</w:t>
      </w:r>
      <w:r>
        <w:t>ELA</w:t>
      </w:r>
      <w:r w:rsidR="00C82C0E">
        <w:t>)</w:t>
      </w:r>
      <w:r>
        <w:t xml:space="preserve"> and</w:t>
      </w:r>
      <w:r w:rsidRPr="00D62705">
        <w:t> </w:t>
      </w:r>
      <w:r w:rsidR="00C82C0E">
        <w:t>m</w:t>
      </w:r>
      <w:r w:rsidRPr="00D62705">
        <w:t>athematics</w:t>
      </w:r>
      <w:r w:rsidR="005C6684">
        <w:t>, as a</w:t>
      </w:r>
      <w:r w:rsidR="004750AF" w:rsidRPr="004750AF">
        <w:t xml:space="preserve">verage </w:t>
      </w:r>
      <w:r w:rsidR="005C6684" w:rsidRPr="004750AF">
        <w:t xml:space="preserve">student academic performance </w:t>
      </w:r>
      <w:r w:rsidR="004750AF" w:rsidRPr="004750AF">
        <w:t xml:space="preserve">on the Smarter Balanced Summative Assessments and California Alternate Assessments (CAAs) for </w:t>
      </w:r>
      <w:r>
        <w:t>ELA and mathematics</w:t>
      </w:r>
      <w:r w:rsidR="004750AF" w:rsidRPr="004750AF">
        <w:t xml:space="preserve"> taken in grades</w:t>
      </w:r>
      <w:r>
        <w:t xml:space="preserve"> three through eight and grade eleven.</w:t>
      </w:r>
    </w:p>
    <w:p w14:paraId="6AF4F9E6" w14:textId="317E5C74" w:rsidR="00DD54FD" w:rsidRPr="00842278" w:rsidRDefault="00F606EB" w:rsidP="00CB16BE">
      <w:pPr>
        <w:pStyle w:val="Heading3"/>
        <w:rPr>
          <w:rFonts w:ascii="Times New Roman" w:hAnsi="Times New Roman" w:cs="Times New Roman"/>
        </w:rPr>
      </w:pPr>
      <w:bookmarkStart w:id="3" w:name="_Hlk118127639"/>
      <w:r>
        <w:t>English Learner Progress</w:t>
      </w:r>
    </w:p>
    <w:bookmarkEnd w:id="3"/>
    <w:p w14:paraId="3B33CE50" w14:textId="77DE00CD" w:rsidR="00D62705" w:rsidRPr="00D62705" w:rsidRDefault="00D62705" w:rsidP="00D62705">
      <w:pPr>
        <w:spacing w:after="0"/>
        <w:textAlignment w:val="baseline"/>
        <w:rPr>
          <w:rFonts w:ascii="Arial" w:eastAsia="Times New Roman" w:hAnsi="Arial" w:cs="Arial"/>
          <w:color w:val="000000"/>
          <w:szCs w:val="24"/>
        </w:rPr>
      </w:pPr>
      <w:r w:rsidRPr="00D62705">
        <w:rPr>
          <w:rFonts w:ascii="Arial" w:eastAsia="Times New Roman" w:hAnsi="Arial" w:cs="Arial"/>
          <w:color w:val="000000"/>
          <w:szCs w:val="24"/>
        </w:rPr>
        <w:t>Th</w:t>
      </w:r>
      <w:r w:rsidR="005C6684">
        <w:rPr>
          <w:rFonts w:ascii="Arial" w:eastAsia="Times New Roman" w:hAnsi="Arial" w:cs="Arial"/>
          <w:color w:val="000000"/>
          <w:szCs w:val="24"/>
        </w:rPr>
        <w:t>is measure indicates</w:t>
      </w:r>
      <w:r w:rsidRPr="00D62705">
        <w:rPr>
          <w:rFonts w:ascii="Arial" w:eastAsia="Times New Roman" w:hAnsi="Arial" w:cs="Arial"/>
          <w:color w:val="000000"/>
          <w:szCs w:val="24"/>
        </w:rPr>
        <w:t xml:space="preserve"> progress made by current </w:t>
      </w:r>
      <w:r w:rsidR="005C6684">
        <w:rPr>
          <w:rFonts w:ascii="Arial" w:eastAsia="Times New Roman" w:hAnsi="Arial" w:cs="Arial"/>
          <w:color w:val="000000"/>
          <w:szCs w:val="24"/>
        </w:rPr>
        <w:t>English learner students (</w:t>
      </w:r>
      <w:r w:rsidRPr="00D62705">
        <w:rPr>
          <w:rFonts w:ascii="Arial" w:eastAsia="Times New Roman" w:hAnsi="Arial" w:cs="Arial"/>
          <w:color w:val="000000"/>
          <w:szCs w:val="24"/>
        </w:rPr>
        <w:t xml:space="preserve">EL </w:t>
      </w:r>
      <w:r w:rsidR="005C6684">
        <w:rPr>
          <w:rFonts w:ascii="Arial" w:eastAsia="Times New Roman" w:hAnsi="Arial" w:cs="Arial"/>
          <w:color w:val="000000"/>
          <w:szCs w:val="24"/>
        </w:rPr>
        <w:t>s</w:t>
      </w:r>
      <w:r w:rsidRPr="00D62705">
        <w:rPr>
          <w:rFonts w:ascii="Arial" w:eastAsia="Times New Roman" w:hAnsi="Arial" w:cs="Arial"/>
          <w:color w:val="000000"/>
          <w:szCs w:val="24"/>
        </w:rPr>
        <w:t>tudents</w:t>
      </w:r>
      <w:r w:rsidR="005C6684">
        <w:rPr>
          <w:rFonts w:ascii="Arial" w:eastAsia="Times New Roman" w:hAnsi="Arial" w:cs="Arial"/>
          <w:color w:val="000000"/>
          <w:szCs w:val="24"/>
        </w:rPr>
        <w:t>) in grades one through twelve</w:t>
      </w:r>
      <w:r w:rsidRPr="00D62705">
        <w:rPr>
          <w:rFonts w:ascii="Arial" w:eastAsia="Times New Roman" w:hAnsi="Arial" w:cs="Arial"/>
          <w:color w:val="000000"/>
          <w:szCs w:val="24"/>
        </w:rPr>
        <w:t xml:space="preserve"> towards English language proficiency on</w:t>
      </w:r>
      <w:r w:rsidR="005C6684">
        <w:rPr>
          <w:rFonts w:ascii="Arial" w:eastAsia="Times New Roman" w:hAnsi="Arial" w:cs="Arial"/>
          <w:color w:val="000000"/>
          <w:szCs w:val="24"/>
        </w:rPr>
        <w:t xml:space="preserve"> the</w:t>
      </w:r>
      <w:r w:rsidRPr="00D62705">
        <w:rPr>
          <w:rFonts w:ascii="Arial" w:eastAsia="Times New Roman" w:hAnsi="Arial" w:cs="Arial"/>
          <w:color w:val="000000"/>
          <w:szCs w:val="24"/>
        </w:rPr>
        <w:t xml:space="preserve"> </w:t>
      </w:r>
      <w:r w:rsidR="00174E0C">
        <w:rPr>
          <w:rFonts w:ascii="Arial" w:eastAsia="Times New Roman" w:hAnsi="Arial" w:cs="Arial"/>
          <w:color w:val="000000"/>
          <w:szCs w:val="24"/>
        </w:rPr>
        <w:t>ELPAC</w:t>
      </w:r>
      <w:r w:rsidRPr="00D62705">
        <w:rPr>
          <w:rFonts w:ascii="Arial" w:eastAsia="Times New Roman" w:hAnsi="Arial" w:cs="Arial"/>
          <w:color w:val="000000"/>
          <w:szCs w:val="24"/>
        </w:rPr>
        <w:t>.</w:t>
      </w:r>
    </w:p>
    <w:p w14:paraId="7C4DC765" w14:textId="5A79316F" w:rsidR="00E561A8" w:rsidRPr="00842278" w:rsidRDefault="00F95B3E" w:rsidP="00CB16BE">
      <w:pPr>
        <w:pStyle w:val="Heading3"/>
        <w:rPr>
          <w:rFonts w:ascii="Times New Roman" w:hAnsi="Times New Roman" w:cs="Times New Roman"/>
        </w:rPr>
      </w:pPr>
      <w:r>
        <w:t xml:space="preserve">Chronic Absenteeism </w:t>
      </w:r>
      <w:r w:rsidR="00E561A8">
        <w:t xml:space="preserve">  </w:t>
      </w:r>
    </w:p>
    <w:p w14:paraId="77845F34" w14:textId="406E4FCF" w:rsidR="00B15AC9" w:rsidRDefault="00B15AC9" w:rsidP="00B15AC9">
      <w:r>
        <w:t>T</w:t>
      </w:r>
      <w:r w:rsidR="004C6A4B">
        <w:t>his measure indicates the</w:t>
      </w:r>
      <w:r w:rsidRPr="00B15AC9">
        <w:t xml:space="preserve"> percentage of students who were absent for 10 percent or more of the instructional days they were enrolled to attend in kindergarten through grade eight.</w:t>
      </w:r>
    </w:p>
    <w:p w14:paraId="03225363" w14:textId="77777777" w:rsidR="00B15AC9" w:rsidRPr="00B15AC9" w:rsidRDefault="00B15AC9" w:rsidP="00B15AC9">
      <w:r w:rsidRPr="00B15AC9">
        <w:t>For most state measures, the desired outcome is to have a high percentage of performance in the current year. However, for the Chronic Absenteeism Measure, the desired outcome is reversed, and the goal is to achieve a low chronic absenteeism rate.</w:t>
      </w:r>
    </w:p>
    <w:p w14:paraId="16E142DE" w14:textId="0B55D977" w:rsidR="00B13048" w:rsidRPr="00842278" w:rsidRDefault="003D74DC" w:rsidP="00CB16BE">
      <w:pPr>
        <w:pStyle w:val="Heading3"/>
        <w:rPr>
          <w:rFonts w:ascii="Times New Roman" w:hAnsi="Times New Roman" w:cs="Times New Roman"/>
        </w:rPr>
      </w:pPr>
      <w:r>
        <w:t>Suspension Rate</w:t>
      </w:r>
      <w:r w:rsidR="00B13048">
        <w:t xml:space="preserve">  </w:t>
      </w:r>
    </w:p>
    <w:p w14:paraId="081CED0A" w14:textId="79FE3966" w:rsidR="00B12967" w:rsidRDefault="00E75A57" w:rsidP="00CE07A2">
      <w:r>
        <w:t>This measure indicates the</w:t>
      </w:r>
      <w:r w:rsidR="00B15AC9">
        <w:t xml:space="preserve"> percentage</w:t>
      </w:r>
      <w:r w:rsidR="00B12967" w:rsidRPr="63155994">
        <w:t> of students suspended for at least one day in kindergarten through grade twelve.</w:t>
      </w:r>
    </w:p>
    <w:p w14:paraId="2BAB5C14" w14:textId="6E769CE1" w:rsidR="00B15AC9" w:rsidRPr="00B15AC9" w:rsidRDefault="00B15AC9" w:rsidP="00B15AC9">
      <w:pPr>
        <w:rPr>
          <w:color w:val="000000"/>
        </w:rPr>
      </w:pPr>
      <w:r w:rsidRPr="00B15AC9">
        <w:rPr>
          <w:color w:val="000000"/>
        </w:rPr>
        <w:t>Like the Chronic Absenteeism Measure, the desired outcome for Suspension Rate is also reversed and the goal is to achieve a low suspension rate.</w:t>
      </w:r>
    </w:p>
    <w:p w14:paraId="22625931" w14:textId="4341EE24" w:rsidR="002B4FF0" w:rsidRPr="00842278" w:rsidRDefault="002B4FF0" w:rsidP="00CB16BE">
      <w:pPr>
        <w:pStyle w:val="Heading3"/>
        <w:rPr>
          <w:rFonts w:ascii="Times New Roman" w:hAnsi="Times New Roman" w:cs="Times New Roman"/>
        </w:rPr>
      </w:pPr>
      <w:r>
        <w:lastRenderedPageBreak/>
        <w:t>Graduation Rate</w:t>
      </w:r>
    </w:p>
    <w:p w14:paraId="521F121D" w14:textId="5B82463E" w:rsidR="00E561A8" w:rsidRDefault="001C616D" w:rsidP="009371FD">
      <w:pPr>
        <w:rPr>
          <w:color w:val="000000"/>
        </w:rPr>
      </w:pPr>
      <w:r>
        <w:t>Th</w:t>
      </w:r>
      <w:r w:rsidR="00B467B6">
        <w:t>is measure indicates the</w:t>
      </w:r>
      <w:r>
        <w:t xml:space="preserve"> percentage</w:t>
      </w:r>
      <w:r w:rsidR="002B4FF0" w:rsidRPr="002B4FF0">
        <w:t xml:space="preserve"> of high school graduates who receive</w:t>
      </w:r>
      <w:r w:rsidR="00B467B6">
        <w:t>d</w:t>
      </w:r>
      <w:r w:rsidR="002B4FF0" w:rsidRPr="002B4FF0">
        <w:t xml:space="preserve"> a traditional diploma in grade twelve</w:t>
      </w:r>
      <w:r w:rsidR="00B467B6">
        <w:t>.</w:t>
      </w:r>
      <w:r w:rsidR="0027623C">
        <w:t xml:space="preserve"> </w:t>
      </w:r>
      <w:r w:rsidR="002B4FF0" w:rsidRPr="002B4FF0">
        <w:rPr>
          <w:color w:val="000000"/>
        </w:rPr>
        <w:t>(</w:t>
      </w:r>
      <w:r w:rsidR="00B467B6">
        <w:rPr>
          <w:color w:val="000000"/>
        </w:rPr>
        <w:t>S</w:t>
      </w:r>
      <w:r w:rsidR="002B4FF0" w:rsidRPr="002B4FF0">
        <w:rPr>
          <w:color w:val="000000"/>
        </w:rPr>
        <w:t>tudents who graduate within either four or five years are included</w:t>
      </w:r>
      <w:r w:rsidR="00B467B6">
        <w:rPr>
          <w:color w:val="000000"/>
        </w:rPr>
        <w:t>.</w:t>
      </w:r>
      <w:r w:rsidR="002B4FF0" w:rsidRPr="002B4FF0">
        <w:rPr>
          <w:color w:val="000000"/>
        </w:rPr>
        <w:t>)</w:t>
      </w:r>
    </w:p>
    <w:p w14:paraId="51C5271D" w14:textId="3FFDF76A" w:rsidR="006A4A9A" w:rsidRPr="00842278" w:rsidRDefault="006A4A9A" w:rsidP="00CB16BE">
      <w:pPr>
        <w:pStyle w:val="Heading3"/>
        <w:rPr>
          <w:rFonts w:ascii="Times New Roman" w:hAnsi="Times New Roman" w:cs="Times New Roman"/>
        </w:rPr>
      </w:pPr>
      <w:r>
        <w:t>College/Career</w:t>
      </w:r>
      <w:r w:rsidR="009F0874">
        <w:t xml:space="preserve"> R</w:t>
      </w:r>
      <w:r w:rsidR="009F0874" w:rsidRPr="009F0874">
        <w:t>eadiness</w:t>
      </w:r>
    </w:p>
    <w:p w14:paraId="0A032E4A" w14:textId="4A9C5FAF" w:rsidR="006A4A9A" w:rsidRPr="006A4A9A" w:rsidRDefault="006A4A9A" w:rsidP="00A209AD">
      <w:r w:rsidRPr="006A4A9A">
        <w:t>Th</w:t>
      </w:r>
      <w:r w:rsidR="00B467B6">
        <w:t>is measure indicates th</w:t>
      </w:r>
      <w:r w:rsidRPr="006A4A9A">
        <w:t>e percentage of high school graduates who are prepared for college</w:t>
      </w:r>
      <w:r w:rsidR="00B467B6">
        <w:t xml:space="preserve"> and </w:t>
      </w:r>
      <w:r w:rsidRPr="006A4A9A">
        <w:t>career.</w:t>
      </w:r>
    </w:p>
    <w:p w14:paraId="7859DFE4" w14:textId="0E962823" w:rsidR="006A4A9A" w:rsidRPr="008A2E50" w:rsidRDefault="006A4A9A" w:rsidP="00A209AD">
      <w:r w:rsidRPr="008A2E50">
        <w:t>Note</w:t>
      </w:r>
      <w:r w:rsidR="00B467B6">
        <w:t>:</w:t>
      </w:r>
      <w:r w:rsidRPr="008A2E50">
        <w:t xml:space="preserve"> </w:t>
      </w:r>
      <w:r w:rsidR="00B467B6">
        <w:t>T</w:t>
      </w:r>
      <w:r w:rsidRPr="008A2E50">
        <w:t xml:space="preserve">he </w:t>
      </w:r>
      <w:r w:rsidR="009F0874" w:rsidRPr="009F0874">
        <w:t>College/Career Readiness</w:t>
      </w:r>
      <w:r w:rsidRPr="008A2E50">
        <w:t xml:space="preserve"> will </w:t>
      </w:r>
      <w:r w:rsidRPr="00B467B6">
        <w:rPr>
          <w:b/>
          <w:bCs/>
        </w:rPr>
        <w:t>not</w:t>
      </w:r>
      <w:r w:rsidRPr="008A2E50">
        <w:t xml:space="preserve"> be reported on the 2022 Dashboard.</w:t>
      </w:r>
    </w:p>
    <w:p w14:paraId="6ADB5A4E" w14:textId="55CE3924" w:rsidR="00020F7D" w:rsidRPr="00842278" w:rsidRDefault="00020F7D" w:rsidP="00CB16BE">
      <w:pPr>
        <w:pStyle w:val="Heading3"/>
        <w:rPr>
          <w:rFonts w:ascii="Times New Roman" w:hAnsi="Times New Roman" w:cs="Times New Roman"/>
        </w:rPr>
      </w:pPr>
      <w:r w:rsidRPr="00842278">
        <w:t xml:space="preserve">Reporting for </w:t>
      </w:r>
      <w:r>
        <w:t>At Least 30</w:t>
      </w:r>
      <w:r w:rsidRPr="00842278">
        <w:t xml:space="preserve"> Students</w:t>
      </w:r>
    </w:p>
    <w:p w14:paraId="292E0A45" w14:textId="1224B00F" w:rsidR="00650F52" w:rsidRDefault="00650F52" w:rsidP="00650F52">
      <w:r>
        <w:t>T</w:t>
      </w:r>
      <w:r w:rsidRPr="00650F52">
        <w:t xml:space="preserve">he 2022 data cards are going to </w:t>
      </w:r>
      <w:r w:rsidR="00FE75EA">
        <w:t>differ</w:t>
      </w:r>
      <w:r w:rsidRPr="00650F52">
        <w:t xml:space="preserve"> from previous years</w:t>
      </w:r>
      <w:r>
        <w:t>. T</w:t>
      </w:r>
      <w:r w:rsidRPr="00650F52">
        <w:t>here will be no indicator colors</w:t>
      </w:r>
      <w:r w:rsidR="00FE75EA">
        <w:t xml:space="preserve"> to indicate performance</w:t>
      </w:r>
      <w:r w:rsidRPr="00650F52">
        <w:t xml:space="preserve">, only </w:t>
      </w:r>
      <w:r w:rsidR="00FE75EA">
        <w:t>S</w:t>
      </w:r>
      <w:r w:rsidRPr="00650F52">
        <w:t>tatus.</w:t>
      </w:r>
    </w:p>
    <w:p w14:paraId="43675B76" w14:textId="5FF2B325" w:rsidR="00650F52" w:rsidRDefault="009511B0" w:rsidP="009511B0">
      <w:r w:rsidRPr="009511B0">
        <w:rPr>
          <w:noProof/>
        </w:rPr>
        <w:drawing>
          <wp:inline distT="0" distB="0" distL="0" distR="0" wp14:anchorId="7CCF8DEB" wp14:editId="5DFF5EF5">
            <wp:extent cx="2236679" cy="4592671"/>
            <wp:effectExtent l="38100" t="38100" r="87630" b="93980"/>
            <wp:docPr id="9" name="Content Placeholder 8" descr="Learn More Graduation Rate: All students (selected) and State button, Bar chart shows a high rate with 4 filled bars, Equity report has 5 boxes, and View more detail button.">
              <a:extLst xmlns:a="http://schemas.openxmlformats.org/drawingml/2006/main">
                <a:ext uri="{FF2B5EF4-FFF2-40B4-BE49-F238E27FC236}">
                  <a16:creationId xmlns:a16="http://schemas.microsoft.com/office/drawing/2014/main" id="{49C3A857-CBF8-1E5E-0484-E349A786565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Learn More Graduation Rate: All students (selected) and State button, Bar chart shows a high rate with 4 filled bars, Equity report has 5 boxes, and View more detail button.">
                      <a:extLst>
                        <a:ext uri="{FF2B5EF4-FFF2-40B4-BE49-F238E27FC236}">
                          <a16:creationId xmlns:a16="http://schemas.microsoft.com/office/drawing/2014/main" id="{49C3A857-CBF8-1E5E-0484-E349A7865657}"/>
                        </a:ext>
                      </a:extLst>
                    </pic:cNvPr>
                    <pic:cNvPicPr>
                      <a:picLocks noGrp="1" noChangeAspect="1"/>
                    </pic:cNvPicPr>
                  </pic:nvPicPr>
                  <pic:blipFill>
                    <a:blip r:embed="rId10" cstate="print">
                      <a:extLst>
                        <a:ext uri="{28A0092B-C50C-407E-A947-70E740481C1C}">
                          <a14:useLocalDpi xmlns:a14="http://schemas.microsoft.com/office/drawing/2010/main" val="0"/>
                        </a:ext>
                      </a:extLst>
                    </a:blip>
                    <a:srcRect t="424" b="424"/>
                    <a:stretch>
                      <a:fillRect/>
                    </a:stretch>
                  </pic:blipFill>
                  <pic:spPr>
                    <a:xfrm>
                      <a:off x="0" y="0"/>
                      <a:ext cx="2236679" cy="4592671"/>
                    </a:xfrm>
                    <a:prstGeom prst="rect">
                      <a:avLst/>
                    </a:prstGeom>
                    <a:effectLst>
                      <a:outerShdw blurRad="50800" dist="38100" dir="2700000" algn="tl" rotWithShape="0">
                        <a:prstClr val="black">
                          <a:alpha val="40000"/>
                        </a:prstClr>
                      </a:outerShdw>
                    </a:effectLst>
                  </pic:spPr>
                </pic:pic>
              </a:graphicData>
            </a:graphic>
          </wp:inline>
        </w:drawing>
      </w:r>
    </w:p>
    <w:p w14:paraId="0D8C6B15" w14:textId="57EC5175" w:rsidR="00650F52" w:rsidRDefault="0053191B" w:rsidP="00650F52">
      <w:r>
        <w:lastRenderedPageBreak/>
        <w:t>T</w:t>
      </w:r>
      <w:r w:rsidR="00650F52">
        <w:t>he bar chart shows</w:t>
      </w:r>
      <w:r w:rsidR="00650F52" w:rsidRPr="00650F52">
        <w:t xml:space="preserve"> Student Performance: You can select between “</w:t>
      </w:r>
      <w:r w:rsidR="00650F52" w:rsidRPr="00650F52">
        <w:rPr>
          <w:rStyle w:val="Strong"/>
        </w:rPr>
        <w:t>All Students</w:t>
      </w:r>
      <w:r w:rsidR="00650F52" w:rsidRPr="00650F52">
        <w:t>” and “</w:t>
      </w:r>
      <w:r w:rsidR="00650F52" w:rsidRPr="00650F52">
        <w:rPr>
          <w:rStyle w:val="Strong"/>
        </w:rPr>
        <w:t>State</w:t>
      </w:r>
      <w:r w:rsidR="00650F52" w:rsidRPr="00650F52">
        <w:t>”</w:t>
      </w:r>
      <w:r>
        <w:t xml:space="preserve"> </w:t>
      </w:r>
      <w:r w:rsidR="00241962">
        <w:t xml:space="preserve">data using </w:t>
      </w:r>
      <w:r>
        <w:t>button</w:t>
      </w:r>
      <w:r w:rsidR="00241962">
        <w:t>s</w:t>
      </w:r>
      <w:r w:rsidR="00650F52" w:rsidRPr="00650F52">
        <w:t xml:space="preserve"> </w:t>
      </w:r>
      <w:r>
        <w:t xml:space="preserve">above the bar chart </w:t>
      </w:r>
      <w:r w:rsidR="00650F52" w:rsidRPr="00650F52">
        <w:t>which will allow you to compare student results for your school or district with statewide results.</w:t>
      </w:r>
    </w:p>
    <w:p w14:paraId="4CF84641" w14:textId="5BD8CDC0" w:rsidR="00D914FB" w:rsidRDefault="00D914FB" w:rsidP="00D914FB">
      <w:r w:rsidRPr="00D914FB">
        <w:t>With 2022 being Status Only, the performance levels will be reported using one of the five Status levels</w:t>
      </w:r>
      <w:r w:rsidR="00390858">
        <w:t xml:space="preserve"> ranging</w:t>
      </w:r>
      <w:r w:rsidRPr="00D914FB">
        <w:t xml:space="preserve"> from </w:t>
      </w:r>
      <w:r w:rsidR="00390858">
        <w:t>V</w:t>
      </w:r>
      <w:r w:rsidRPr="00D914FB">
        <w:t xml:space="preserve">ery </w:t>
      </w:r>
      <w:r w:rsidR="00390858">
        <w:t>L</w:t>
      </w:r>
      <w:r w:rsidRPr="00D914FB">
        <w:t xml:space="preserve">ow to </w:t>
      </w:r>
      <w:r w:rsidR="00390858">
        <w:t>V</w:t>
      </w:r>
      <w:r w:rsidRPr="00D914FB">
        <w:t xml:space="preserve">ery </w:t>
      </w:r>
      <w:r w:rsidR="00390858">
        <w:t>H</w:t>
      </w:r>
      <w:r w:rsidRPr="00D914FB">
        <w:t>igh.</w:t>
      </w:r>
    </w:p>
    <w:p w14:paraId="77AFE5FB" w14:textId="0388AE2C" w:rsidR="00D914FB" w:rsidRPr="00D914FB" w:rsidRDefault="00D914FB" w:rsidP="00D914FB">
      <w:r w:rsidRPr="00D914FB">
        <w:t>The Equity Report: At the bottom of each indicator will show the number of student groups placed in each performance level for that State Measure. </w:t>
      </w:r>
    </w:p>
    <w:p w14:paraId="3C9C410B" w14:textId="37D30487" w:rsidR="00D914FB" w:rsidRDefault="00D914FB" w:rsidP="00D914FB">
      <w:r>
        <w:t>T</w:t>
      </w:r>
      <w:r w:rsidRPr="00D914FB">
        <w:t>he “</w:t>
      </w:r>
      <w:r w:rsidRPr="0053191B">
        <w:rPr>
          <w:rStyle w:val="Strong"/>
        </w:rPr>
        <w:t>View More Details</w:t>
      </w:r>
      <w:r w:rsidRPr="00D914FB">
        <w:t>”</w:t>
      </w:r>
      <w:r w:rsidR="0053191B">
        <w:t xml:space="preserve"> button</w:t>
      </w:r>
      <w:r w:rsidRPr="00D914FB">
        <w:t xml:space="preserve"> will give detailed information on how those student groups performed on that </w:t>
      </w:r>
      <w:r w:rsidR="0053191B">
        <w:t>measure</w:t>
      </w:r>
      <w:r w:rsidRPr="00D914FB">
        <w:t>. </w:t>
      </w:r>
    </w:p>
    <w:p w14:paraId="41E8FF5B" w14:textId="3C1A3C53" w:rsidR="00D77C66" w:rsidRPr="00A209AD" w:rsidRDefault="00D914FB" w:rsidP="0053191B">
      <w:r w:rsidRPr="00D914FB">
        <w:t xml:space="preserve">Now, when reporting for at least 30 students, the </w:t>
      </w:r>
      <w:r>
        <w:t>S</w:t>
      </w:r>
      <w:r w:rsidRPr="00D914FB">
        <w:t xml:space="preserve">tatus graphic will be displayed, the </w:t>
      </w:r>
      <w:r>
        <w:t>S</w:t>
      </w:r>
      <w:r w:rsidRPr="00D914FB">
        <w:t xml:space="preserve">tatus </w:t>
      </w:r>
      <w:r>
        <w:t>and</w:t>
      </w:r>
      <w:r w:rsidRPr="00D914FB">
        <w:t xml:space="preserve"> Status Level are reported</w:t>
      </w:r>
      <w:r w:rsidR="00852100">
        <w:t>,</w:t>
      </w:r>
      <w:r w:rsidRPr="00D914FB">
        <w:t xml:space="preserve"> and the LEA, school</w:t>
      </w:r>
      <w:r>
        <w:t>,</w:t>
      </w:r>
      <w:r w:rsidRPr="00D914FB">
        <w:t xml:space="preserve"> or student group is held </w:t>
      </w:r>
      <w:r w:rsidR="0053191B" w:rsidRPr="0053191B">
        <w:t>accountable for support determinations.</w:t>
      </w:r>
    </w:p>
    <w:p w14:paraId="314F84DD" w14:textId="301B16BC" w:rsidR="00842278" w:rsidRPr="00842278" w:rsidRDefault="00842278" w:rsidP="00CB16BE">
      <w:pPr>
        <w:pStyle w:val="Heading3"/>
        <w:rPr>
          <w:rFonts w:ascii="Times New Roman" w:hAnsi="Times New Roman" w:cs="Times New Roman"/>
        </w:rPr>
      </w:pPr>
      <w:r w:rsidRPr="17D032A7">
        <w:t>Reporting for 11</w:t>
      </w:r>
      <w:r w:rsidR="00DE123F">
        <w:t xml:space="preserve"> to </w:t>
      </w:r>
      <w:r w:rsidRPr="17D032A7">
        <w:t>29 Students</w:t>
      </w:r>
    </w:p>
    <w:p w14:paraId="7DB54FDE" w14:textId="1894C106" w:rsidR="009511B0" w:rsidRPr="009511B0" w:rsidRDefault="009511B0" w:rsidP="009511B0">
      <w:r w:rsidRPr="009511B0">
        <w:t xml:space="preserve">LEAs, schools, and student groups reporting for between 11 to 29 </w:t>
      </w:r>
      <w:r w:rsidR="00DE123F">
        <w:t>s</w:t>
      </w:r>
      <w:r w:rsidRPr="009511B0">
        <w:t xml:space="preserve">tudents will have the </w:t>
      </w:r>
      <w:r w:rsidR="00DE123F">
        <w:t>S</w:t>
      </w:r>
      <w:r w:rsidRPr="009511B0">
        <w:t xml:space="preserve">tatus graphic greyed out. The </w:t>
      </w:r>
      <w:r w:rsidR="00E70630">
        <w:t>S</w:t>
      </w:r>
      <w:r w:rsidRPr="009511B0">
        <w:t>tatus report is reported in the downloadable files, but not in the graphic, which will signal that the LEA, school, or student group is not being held accountable in this way.</w:t>
      </w:r>
    </w:p>
    <w:p w14:paraId="419D5D48" w14:textId="1BC3AC94" w:rsidR="00842278" w:rsidRPr="00842278" w:rsidRDefault="00842278" w:rsidP="00CB16BE">
      <w:pPr>
        <w:pStyle w:val="Heading3"/>
        <w:rPr>
          <w:rFonts w:ascii="Times New Roman" w:hAnsi="Times New Roman" w:cs="Times New Roman"/>
        </w:rPr>
      </w:pPr>
      <w:r w:rsidRPr="00842278">
        <w:t>Reporting for Fewer than 11 Students</w:t>
      </w:r>
    </w:p>
    <w:p w14:paraId="5FDA658B" w14:textId="646D6A0F" w:rsidR="00C63E3C" w:rsidRDefault="00C63E3C" w:rsidP="00C63E3C">
      <w:r>
        <w:t>W</w:t>
      </w:r>
      <w:r w:rsidRPr="00C63E3C">
        <w:t xml:space="preserve">hen the </w:t>
      </w:r>
      <w:r w:rsidR="00E70630">
        <w:t>D</w:t>
      </w:r>
      <w:r w:rsidRPr="00C63E3C">
        <w:t>ashboard</w:t>
      </w:r>
      <w:r w:rsidR="00E70630">
        <w:t xml:space="preserve"> is</w:t>
      </w:r>
      <w:r w:rsidRPr="00C63E3C">
        <w:t xml:space="preserve"> reporting for fewer than 11 students, you will see that no </w:t>
      </w:r>
      <w:r w:rsidR="00E70630">
        <w:t>S</w:t>
      </w:r>
      <w:r w:rsidRPr="00C63E3C">
        <w:t xml:space="preserve">tatus or </w:t>
      </w:r>
      <w:r w:rsidR="00E70630">
        <w:t>S</w:t>
      </w:r>
      <w:r w:rsidRPr="00C63E3C">
        <w:t>tatus level is reported, including in the downloadable file. This will also signal that the LEA, school, or student group is not being held accountable.</w:t>
      </w:r>
    </w:p>
    <w:p w14:paraId="57335C6A" w14:textId="65EC1773" w:rsidR="00347AF5" w:rsidRPr="00842278" w:rsidRDefault="00347AF5" w:rsidP="00CB16BE">
      <w:pPr>
        <w:pStyle w:val="Heading3"/>
        <w:rPr>
          <w:rFonts w:ascii="Times New Roman" w:hAnsi="Times New Roman" w:cs="Times New Roman"/>
        </w:rPr>
      </w:pPr>
      <w:r>
        <w:t xml:space="preserve">Local </w:t>
      </w:r>
      <w:r w:rsidR="00462AAC">
        <w:t>Measure</w:t>
      </w:r>
      <w:r>
        <w:t xml:space="preserve">s </w:t>
      </w:r>
    </w:p>
    <w:p w14:paraId="7A9DD1E3" w14:textId="70D093CF" w:rsidR="00462AAC" w:rsidRDefault="00462AAC" w:rsidP="00462AAC">
      <w:pPr>
        <w:spacing w:after="0"/>
      </w:pPr>
      <w:r>
        <w:t>T</w:t>
      </w:r>
      <w:r w:rsidRPr="00462AAC">
        <w:t xml:space="preserve">he </w:t>
      </w:r>
      <w:r w:rsidR="004D5865" w:rsidRPr="00462AAC">
        <w:t xml:space="preserve">local </w:t>
      </w:r>
      <w:r w:rsidR="004D5865">
        <w:t>measure</w:t>
      </w:r>
      <w:r w:rsidRPr="00462AAC">
        <w:t>s are based on information collected by districts</w:t>
      </w:r>
      <w:r w:rsidR="004D5865">
        <w:t>,</w:t>
      </w:r>
      <w:r>
        <w:t xml:space="preserve"> COE</w:t>
      </w:r>
      <w:r w:rsidR="004D5865">
        <w:t>s</w:t>
      </w:r>
      <w:r w:rsidRPr="00462AAC">
        <w:t>, and charter schools. They include: </w:t>
      </w:r>
    </w:p>
    <w:p w14:paraId="4F81B557" w14:textId="54BE3EAB" w:rsidR="00BD38B1" w:rsidRPr="00BD38B1" w:rsidRDefault="00BD38B1" w:rsidP="00A07D0F">
      <w:pPr>
        <w:pStyle w:val="ListParagraph"/>
      </w:pPr>
      <w:r w:rsidRPr="00BD38B1">
        <w:t xml:space="preserve">Basics: Teachers, Instructional Materials, </w:t>
      </w:r>
      <w:r w:rsidR="00727121">
        <w:t xml:space="preserve">and </w:t>
      </w:r>
      <w:r w:rsidRPr="00BD38B1">
        <w:t>Facilities</w:t>
      </w:r>
      <w:r w:rsidR="00462AAC">
        <w:t>;</w:t>
      </w:r>
    </w:p>
    <w:p w14:paraId="3E16AC63" w14:textId="21771B16" w:rsidR="00BD38B1" w:rsidRPr="00BD38B1" w:rsidRDefault="00BD38B1" w:rsidP="00A07D0F">
      <w:pPr>
        <w:pStyle w:val="ListParagraph"/>
      </w:pPr>
      <w:r w:rsidRPr="00BD38B1">
        <w:t>Implementation of Academic Standards</w:t>
      </w:r>
      <w:r w:rsidR="00462AAC">
        <w:t>;</w:t>
      </w:r>
    </w:p>
    <w:p w14:paraId="06E02D62" w14:textId="7156E338" w:rsidR="00BD38B1" w:rsidRPr="00BD38B1" w:rsidRDefault="00BD38B1" w:rsidP="00A07D0F">
      <w:pPr>
        <w:pStyle w:val="ListParagraph"/>
      </w:pPr>
      <w:r w:rsidRPr="00BD38B1">
        <w:t>Parent and Family Engagement</w:t>
      </w:r>
      <w:r w:rsidR="00462AAC">
        <w:t>;</w:t>
      </w:r>
    </w:p>
    <w:p w14:paraId="6139ACCA" w14:textId="31DBEF63" w:rsidR="00BD38B1" w:rsidRPr="00BD38B1" w:rsidRDefault="00BD38B1" w:rsidP="00A07D0F">
      <w:pPr>
        <w:pStyle w:val="ListParagraph"/>
      </w:pPr>
      <w:r w:rsidRPr="00BD38B1">
        <w:t>Local Criminate Survey</w:t>
      </w:r>
      <w:r w:rsidR="00462AAC">
        <w:t>; and</w:t>
      </w:r>
    </w:p>
    <w:p w14:paraId="2D675726" w14:textId="0BDFD4DC" w:rsidR="00BD38B1" w:rsidRDefault="00BD38B1" w:rsidP="00A07D0F">
      <w:pPr>
        <w:pStyle w:val="ListParagraph"/>
      </w:pPr>
      <w:r w:rsidRPr="00BD38B1">
        <w:t>Access to a Broad Course of Study</w:t>
      </w:r>
      <w:r w:rsidR="00462AAC">
        <w:t>.</w:t>
      </w:r>
    </w:p>
    <w:p w14:paraId="24F5B16C" w14:textId="2FD1BA10" w:rsidR="00462AAC" w:rsidRDefault="00462AAC" w:rsidP="00462AAC">
      <w:r w:rsidRPr="00462AAC">
        <w:t xml:space="preserve">Links to detailed information for the Local </w:t>
      </w:r>
      <w:r>
        <w:t>Measure</w:t>
      </w:r>
      <w:r w:rsidRPr="00462AAC">
        <w:t>s will be available on all LEA Dashboards</w:t>
      </w:r>
      <w:r>
        <w:t>.</w:t>
      </w:r>
    </w:p>
    <w:p w14:paraId="3DF6E72D" w14:textId="5BE470E3" w:rsidR="00810E1F" w:rsidRPr="0077429B" w:rsidRDefault="00810E1F" w:rsidP="00B765BE">
      <w:pPr>
        <w:pStyle w:val="Heading2"/>
        <w:pageBreakBefore/>
        <w:rPr>
          <w:color w:val="000000"/>
        </w:rPr>
      </w:pPr>
      <w:r w:rsidRPr="656E258F">
        <w:lastRenderedPageBreak/>
        <w:t>Helping You Understand Accountability</w:t>
      </w:r>
    </w:p>
    <w:p w14:paraId="7B4E034C" w14:textId="4866A063" w:rsidR="00842278" w:rsidRPr="00AF09E1" w:rsidRDefault="00AF09E1" w:rsidP="00CB16BE">
      <w:pPr>
        <w:pStyle w:val="Heading3"/>
        <w:rPr>
          <w:rFonts w:ascii="Times New Roman" w:hAnsi="Times New Roman" w:cs="Times New Roman"/>
        </w:rPr>
      </w:pPr>
      <w:r w:rsidRPr="00AF09E1">
        <w:t xml:space="preserve">Dashboard Release </w:t>
      </w:r>
    </w:p>
    <w:p w14:paraId="1822A1F7" w14:textId="27146F9A" w:rsidR="0070099B" w:rsidRDefault="0070099B" w:rsidP="0070099B">
      <w:pPr>
        <w:rPr>
          <w:b/>
          <w:bCs/>
        </w:rPr>
      </w:pPr>
      <w:r>
        <w:t>T</w:t>
      </w:r>
      <w:r w:rsidRPr="0070099B">
        <w:t>he Dashboard Release is scheduled for December 2022</w:t>
      </w:r>
      <w:r>
        <w:t>.</w:t>
      </w:r>
    </w:p>
    <w:p w14:paraId="3A66ED44" w14:textId="69E88426" w:rsidR="002155AE" w:rsidRPr="00AF09E1" w:rsidRDefault="002155AE" w:rsidP="00CB16BE">
      <w:pPr>
        <w:pStyle w:val="Heading3"/>
        <w:rPr>
          <w:rFonts w:ascii="Times New Roman" w:hAnsi="Times New Roman" w:cs="Times New Roman"/>
        </w:rPr>
      </w:pPr>
      <w:r>
        <w:t xml:space="preserve">Private Preview </w:t>
      </w:r>
    </w:p>
    <w:p w14:paraId="3B383983" w14:textId="09CD3567" w:rsidR="002155AE" w:rsidRDefault="002155AE" w:rsidP="00062545">
      <w:r w:rsidRPr="002155AE">
        <w:t xml:space="preserve">LEA Private Previews </w:t>
      </w:r>
      <w:r w:rsidR="00E43E62">
        <w:t>a</w:t>
      </w:r>
      <w:r w:rsidRPr="002155AE">
        <w:t>vailable in December</w:t>
      </w:r>
      <w:r w:rsidR="00062545">
        <w:t>.</w:t>
      </w:r>
    </w:p>
    <w:p w14:paraId="75C17CAD" w14:textId="652FE674" w:rsidR="006734B1" w:rsidRPr="00842278" w:rsidRDefault="006734B1" w:rsidP="00CB16BE">
      <w:pPr>
        <w:pStyle w:val="Heading3"/>
        <w:rPr>
          <w:rFonts w:ascii="Times New Roman" w:hAnsi="Times New Roman" w:cs="Times New Roman"/>
        </w:rPr>
      </w:pPr>
      <w:r w:rsidRPr="00842278">
        <w:t>2022 Dashboard Toolkit</w:t>
      </w:r>
    </w:p>
    <w:p w14:paraId="2EE189D3" w14:textId="6A3121F2" w:rsidR="00A22481" w:rsidRDefault="00A22481" w:rsidP="00A22481">
      <w:pPr>
        <w:spacing w:before="120" w:after="0"/>
      </w:pPr>
      <w:r w:rsidRPr="00A22481">
        <w:t xml:space="preserve">CDE support for the </w:t>
      </w:r>
      <w:r w:rsidR="00E43E62">
        <w:t>D</w:t>
      </w:r>
      <w:r w:rsidRPr="00A22481">
        <w:t xml:space="preserve">ashboard </w:t>
      </w:r>
      <w:r w:rsidR="00E43E62">
        <w:t>in</w:t>
      </w:r>
      <w:r w:rsidRPr="00A22481">
        <w:t xml:space="preserve"> the 2022 Dashboard toolkit </w:t>
      </w:r>
      <w:r w:rsidR="00E43E62">
        <w:t>which includes</w:t>
      </w:r>
      <w:r w:rsidRPr="00A22481">
        <w:t> </w:t>
      </w:r>
    </w:p>
    <w:p w14:paraId="39BB4FFA" w14:textId="4B0D6AE4" w:rsidR="00EF594F" w:rsidRPr="00FE39D6" w:rsidRDefault="00E43E62" w:rsidP="00A07D0F">
      <w:pPr>
        <w:pStyle w:val="ListParagraph"/>
      </w:pPr>
      <w:r>
        <w:t>f</w:t>
      </w:r>
      <w:r w:rsidR="00076E2B" w:rsidRPr="00FE39D6">
        <w:t>lyers for multiple audiences</w:t>
      </w:r>
      <w:r w:rsidR="00A22481">
        <w:t>;</w:t>
      </w:r>
    </w:p>
    <w:p w14:paraId="2A2DE4AE" w14:textId="30E74D77" w:rsidR="00EF594F" w:rsidRPr="00FE39D6" w:rsidRDefault="00E43E62" w:rsidP="00A07D0F">
      <w:pPr>
        <w:pStyle w:val="ListParagraph"/>
      </w:pPr>
      <w:r>
        <w:t>h</w:t>
      </w:r>
      <w:r w:rsidR="00076E2B" w:rsidRPr="00FE39D6">
        <w:t xml:space="preserve">elpful </w:t>
      </w:r>
      <w:r>
        <w:t>w</w:t>
      </w:r>
      <w:r w:rsidR="00076E2B" w:rsidRPr="00FE39D6">
        <w:t>ebinars</w:t>
      </w:r>
      <w:r w:rsidR="00A22481">
        <w:t>; and</w:t>
      </w:r>
    </w:p>
    <w:p w14:paraId="148C6E98" w14:textId="6722E95A" w:rsidR="00EF594F" w:rsidRPr="00FE39D6" w:rsidRDefault="00E43E62" w:rsidP="00A07D0F">
      <w:pPr>
        <w:pStyle w:val="ListParagraph"/>
      </w:pPr>
      <w:r>
        <w:t>f</w:t>
      </w:r>
      <w:r w:rsidR="00926B78" w:rsidRPr="00926B78">
        <w:t xml:space="preserve">requently </w:t>
      </w:r>
      <w:r>
        <w:t>a</w:t>
      </w:r>
      <w:r w:rsidR="00926B78" w:rsidRPr="00926B78">
        <w:t xml:space="preserve">sked </w:t>
      </w:r>
      <w:r>
        <w:t>q</w:t>
      </w:r>
      <w:r w:rsidR="00926B78" w:rsidRPr="00926B78">
        <w:t>uestions</w:t>
      </w:r>
      <w:r w:rsidR="00076E2B" w:rsidRPr="00FE39D6">
        <w:t xml:space="preserve"> and more</w:t>
      </w:r>
      <w:r w:rsidR="00A22481">
        <w:t>.</w:t>
      </w:r>
    </w:p>
    <w:p w14:paraId="2053C3A9" w14:textId="724462BF" w:rsidR="00EF594F" w:rsidRPr="00FE39D6" w:rsidRDefault="00A22481" w:rsidP="00E43E62">
      <w:pPr>
        <w:spacing w:before="240"/>
      </w:pPr>
      <w:r>
        <w:t>We are a</w:t>
      </w:r>
      <w:r w:rsidR="00076E2B" w:rsidRPr="00FE39D6">
        <w:t>lways an email away</w:t>
      </w:r>
      <w:r w:rsidR="00FE39D6" w:rsidRPr="00FE39D6">
        <w:t xml:space="preserve"> at</w:t>
      </w:r>
      <w:r w:rsidR="00076E2B" w:rsidRPr="00FE39D6">
        <w:t xml:space="preserve"> </w:t>
      </w:r>
      <w:hyperlink r:id="rId11" w:history="1">
        <w:r w:rsidR="007374C8" w:rsidRPr="007A7524">
          <w:rPr>
            <w:rStyle w:val="Hyperlink"/>
          </w:rPr>
          <w:t>dashboard@cde.ca.gov</w:t>
        </w:r>
      </w:hyperlink>
      <w:r w:rsidRPr="00A22481">
        <w:t>.</w:t>
      </w:r>
    </w:p>
    <w:p w14:paraId="6E0C3AAC" w14:textId="39A574BC" w:rsidR="00335836" w:rsidRPr="00FE39D6" w:rsidRDefault="00076E2B" w:rsidP="00CB16BE">
      <w:pPr>
        <w:pStyle w:val="Heading3"/>
        <w:rPr>
          <w:rFonts w:ascii="Times New Roman" w:hAnsi="Times New Roman" w:cs="Times New Roman"/>
        </w:rPr>
      </w:pPr>
      <w:r w:rsidRPr="00EF594F">
        <w:t> </w:t>
      </w:r>
      <w:r w:rsidR="00E92007" w:rsidRPr="00E92007">
        <w:t xml:space="preserve">Dashboard </w:t>
      </w:r>
      <w:r w:rsidR="00AD5484">
        <w:t>Indicator</w:t>
      </w:r>
      <w:r w:rsidR="00E92007" w:rsidRPr="00E92007">
        <w:t xml:space="preserve"> Flyers</w:t>
      </w:r>
    </w:p>
    <w:p w14:paraId="1DB6E5D4" w14:textId="283AE4CC" w:rsidR="00E92007" w:rsidRDefault="00CB0447" w:rsidP="00E92007">
      <w:r>
        <w:t xml:space="preserve">All </w:t>
      </w:r>
      <w:r w:rsidR="00E92007">
        <w:t xml:space="preserve">Dashboard </w:t>
      </w:r>
      <w:r w:rsidR="00AD5484">
        <w:t>Indicator</w:t>
      </w:r>
      <w:r w:rsidR="00E92007">
        <w:t xml:space="preserve"> flyers</w:t>
      </w:r>
      <w:r>
        <w:t xml:space="preserve"> listed below</w:t>
      </w:r>
      <w:r w:rsidR="00E92007">
        <w:t xml:space="preserve"> </w:t>
      </w:r>
      <w:r>
        <w:t>can be found</w:t>
      </w:r>
      <w:r w:rsidR="00E92007">
        <w:t xml:space="preserve"> on the </w:t>
      </w:r>
      <w:r>
        <w:t xml:space="preserve">CDE </w:t>
      </w:r>
      <w:r w:rsidRPr="00CB0447">
        <w:t>Dashboard Communications Toolkit</w:t>
      </w:r>
      <w:r>
        <w:t xml:space="preserve"> web page at </w:t>
      </w:r>
      <w:hyperlink r:id="rId12" w:tooltip="CDE Dashboard Communications Toolkit web page" w:history="1">
        <w:r w:rsidRPr="00CB0447">
          <w:rPr>
            <w:rStyle w:val="Hyperlink"/>
          </w:rPr>
          <w:t>https://www.cde.ca.gov/ta/ac/cm/dashboardtoolkit.asp</w:t>
        </w:r>
      </w:hyperlink>
      <w:r>
        <w:t>.</w:t>
      </w:r>
    </w:p>
    <w:p w14:paraId="6F3AEEAD" w14:textId="696E1B09" w:rsidR="00335836" w:rsidRPr="00E92007" w:rsidRDefault="00A22481" w:rsidP="00A07D0F">
      <w:pPr>
        <w:pStyle w:val="ListParagraph"/>
      </w:pPr>
      <w:r w:rsidRPr="00A22481">
        <w:t>Academic Performance</w:t>
      </w:r>
      <w:r w:rsidR="00E92007">
        <w:t>:</w:t>
      </w:r>
      <w:r w:rsidR="00E92007">
        <w:br/>
      </w:r>
      <w:hyperlink r:id="rId13" w:tooltip="Dashboard Academic Indicators​ flyer (PDF)" w:history="1">
        <w:r w:rsidR="00E92007" w:rsidRPr="002F1E92">
          <w:rPr>
            <w:rStyle w:val="Hyperlink"/>
            <w:rFonts w:ascii="Arial" w:eastAsia="Times New Roman" w:hAnsi="Arial" w:cs="Arial"/>
            <w:szCs w:val="24"/>
          </w:rPr>
          <w:t>https://www.cde.ca.gov/ta/ac/cm/documents/academicindicator22.pdf</w:t>
        </w:r>
      </w:hyperlink>
    </w:p>
    <w:p w14:paraId="23AFF145" w14:textId="085A932B" w:rsidR="00335836" w:rsidRPr="00946089" w:rsidRDefault="00335836" w:rsidP="00946089">
      <w:pPr>
        <w:pStyle w:val="ListParagraph"/>
      </w:pPr>
      <w:r w:rsidRPr="00842278">
        <w:t>Academic Participation Rate</w:t>
      </w:r>
      <w:r w:rsidR="00E92007">
        <w:t>:</w:t>
      </w:r>
      <w:r w:rsidR="00946089">
        <w:t xml:space="preserve"> </w:t>
      </w:r>
      <w:hyperlink r:id="rId14" w:history="1">
        <w:r w:rsidR="00481B05">
          <w:rPr>
            <w:rStyle w:val="Hyperlink"/>
            <w:rFonts w:ascii="Arial" w:eastAsia="Times New Roman" w:hAnsi="Arial" w:cs="Arial"/>
            <w:szCs w:val="24"/>
          </w:rPr>
          <w:t>https://www.cde.ca.gov/ta/ac/cm/documents/changesacademicpart22.pdf</w:t>
        </w:r>
      </w:hyperlink>
      <w:r w:rsidRPr="00946089">
        <w:rPr>
          <w:rFonts w:ascii="Arial" w:eastAsia="Times New Roman" w:hAnsi="Arial" w:cs="Arial"/>
          <w:color w:val="44546A" w:themeColor="text1"/>
          <w:szCs w:val="24"/>
        </w:rPr>
        <w:t> </w:t>
      </w:r>
    </w:p>
    <w:p w14:paraId="1BFB6865" w14:textId="10EB3EFC" w:rsidR="00335836" w:rsidRPr="00946089" w:rsidRDefault="00335836" w:rsidP="00946089">
      <w:pPr>
        <w:pStyle w:val="ListParagraph"/>
        <w:rPr>
          <w:rFonts w:ascii="Times New Roman" w:hAnsi="Times New Roman" w:cs="Times New Roman"/>
        </w:rPr>
      </w:pPr>
      <w:r w:rsidRPr="00481B05">
        <w:t>Graduation Rate</w:t>
      </w:r>
      <w:r w:rsidR="00E92007" w:rsidRPr="00481B05">
        <w:t>:</w:t>
      </w:r>
      <w:r w:rsidR="00946089">
        <w:t xml:space="preserve"> </w:t>
      </w:r>
      <w:hyperlink r:id="rId15" w:tooltip="Graduation Rate Flyer" w:history="1">
        <w:r w:rsidR="00481B05" w:rsidRPr="00481B05">
          <w:rPr>
            <w:rStyle w:val="Hyperlink"/>
          </w:rPr>
          <w:t>https://www.cde.ca.gov/ta/ac/cm/documents/graduationrate22.pdf</w:t>
        </w:r>
      </w:hyperlink>
    </w:p>
    <w:p w14:paraId="46E65254" w14:textId="6008C409" w:rsidR="00335836" w:rsidRPr="00946089" w:rsidRDefault="00335836" w:rsidP="00946089">
      <w:pPr>
        <w:pStyle w:val="ListParagraph"/>
      </w:pPr>
      <w:r w:rsidRPr="00842278">
        <w:t>Chronic Absenteeism</w:t>
      </w:r>
      <w:r w:rsidR="00A22481">
        <w:t>:</w:t>
      </w:r>
      <w:r w:rsidR="00946089">
        <w:t xml:space="preserve"> </w:t>
      </w:r>
      <w:hyperlink r:id="rId16" w:history="1">
        <w:r w:rsidR="00946089" w:rsidRPr="007A7524">
          <w:rPr>
            <w:rStyle w:val="Hyperlink"/>
            <w:rFonts w:ascii="Arial" w:eastAsia="Times New Roman" w:hAnsi="Arial" w:cs="Arial"/>
            <w:szCs w:val="24"/>
          </w:rPr>
          <w:t>https://www.cde.ca.gov/ta/ac/cm/documents/chronicabsenteeism22.pdf</w:t>
        </w:r>
      </w:hyperlink>
    </w:p>
    <w:p w14:paraId="1F44109E" w14:textId="2602B3A4" w:rsidR="00335836" w:rsidRPr="00946089" w:rsidRDefault="00335836" w:rsidP="00946089">
      <w:pPr>
        <w:pStyle w:val="ListParagraph"/>
      </w:pPr>
      <w:r w:rsidRPr="00842278">
        <w:t>Suspension Rate</w:t>
      </w:r>
      <w:r w:rsidR="00E92007">
        <w:t>:</w:t>
      </w:r>
      <w:r w:rsidR="00946089">
        <w:t xml:space="preserve"> </w:t>
      </w:r>
      <w:hyperlink r:id="rId17" w:history="1">
        <w:r w:rsidR="00946089" w:rsidRPr="007A7524">
          <w:rPr>
            <w:rStyle w:val="Hyperlink"/>
            <w:rFonts w:ascii="Arial" w:eastAsia="Times New Roman" w:hAnsi="Arial" w:cs="Arial"/>
            <w:szCs w:val="24"/>
          </w:rPr>
          <w:t>https://www.cde.ca.gov/ta/ac/cm/documents/suspensionrate22.pdf</w:t>
        </w:r>
      </w:hyperlink>
    </w:p>
    <w:p w14:paraId="58B4CC43" w14:textId="37B1C72D" w:rsidR="00E92007" w:rsidRPr="00946089" w:rsidRDefault="00335836" w:rsidP="00946089">
      <w:pPr>
        <w:pStyle w:val="ListParagraph"/>
      </w:pPr>
      <w:r w:rsidRPr="009E1472">
        <w:rPr>
          <w:b/>
          <w:bCs/>
        </w:rPr>
        <w:t>English Learner Progress</w:t>
      </w:r>
      <w:r w:rsidR="00E92007" w:rsidRPr="009E1472">
        <w:rPr>
          <w:b/>
          <w:bCs/>
        </w:rPr>
        <w:t>:</w:t>
      </w:r>
      <w:r w:rsidR="00946089">
        <w:t xml:space="preserve"> </w:t>
      </w:r>
      <w:r w:rsidR="00E92007" w:rsidRPr="4DC72470">
        <w:t>(Coming Soon)</w:t>
      </w:r>
    </w:p>
    <w:p w14:paraId="0464EC42" w14:textId="44E3ED96" w:rsidR="00E92007" w:rsidRDefault="00A22481" w:rsidP="00946089">
      <w:pPr>
        <w:pStyle w:val="ListParagraph"/>
      </w:pPr>
      <w:r w:rsidRPr="009E1472">
        <w:rPr>
          <w:b/>
          <w:bCs/>
        </w:rPr>
        <w:t>English Learner Progress</w:t>
      </w:r>
      <w:r w:rsidR="00335836" w:rsidRPr="009E1472">
        <w:rPr>
          <w:b/>
          <w:bCs/>
        </w:rPr>
        <w:t xml:space="preserve"> Participation Rate</w:t>
      </w:r>
      <w:r w:rsidR="00E92007" w:rsidRPr="009E1472">
        <w:rPr>
          <w:b/>
          <w:bCs/>
        </w:rPr>
        <w:t>:</w:t>
      </w:r>
      <w:r w:rsidR="00946089">
        <w:t xml:space="preserve"> </w:t>
      </w:r>
      <w:r w:rsidR="00E92007" w:rsidRPr="4DC72470">
        <w:t>(Coming Soon)</w:t>
      </w:r>
    </w:p>
    <w:p w14:paraId="7CEAB41A" w14:textId="298F366D" w:rsidR="00A22481" w:rsidRPr="00A22481" w:rsidRDefault="00A22481" w:rsidP="00946089">
      <w:pPr>
        <w:keepNext/>
        <w:keepLines/>
        <w:spacing w:before="360" w:after="0"/>
      </w:pPr>
      <w:r w:rsidRPr="00A22481">
        <w:lastRenderedPageBreak/>
        <w:t>Each flyer</w:t>
      </w:r>
    </w:p>
    <w:p w14:paraId="530C521D" w14:textId="4991C6DD" w:rsidR="00A22481" w:rsidRPr="00A22481" w:rsidRDefault="00A22481" w:rsidP="00946089">
      <w:pPr>
        <w:pStyle w:val="ListParagraph"/>
        <w:keepNext/>
        <w:keepLines/>
      </w:pPr>
      <w:r>
        <w:t>d</w:t>
      </w:r>
      <w:r w:rsidRPr="00A22481">
        <w:t>efines the Measure</w:t>
      </w:r>
      <w:r>
        <w:t>;</w:t>
      </w:r>
    </w:p>
    <w:p w14:paraId="1AB7085E" w14:textId="49579D84" w:rsidR="00A22481" w:rsidRPr="00A22481" w:rsidRDefault="00A22481" w:rsidP="00946089">
      <w:pPr>
        <w:pStyle w:val="ListParagraph"/>
        <w:keepNext/>
        <w:keepLines/>
      </w:pPr>
      <w:r>
        <w:t>i</w:t>
      </w:r>
      <w:r w:rsidRPr="00A22481">
        <w:t>s updated for 2022 Dashboard</w:t>
      </w:r>
      <w:r>
        <w:t>; and</w:t>
      </w:r>
    </w:p>
    <w:p w14:paraId="7AC8ABDA" w14:textId="64E33542" w:rsidR="00A22481" w:rsidRPr="00A22481" w:rsidRDefault="00A22481" w:rsidP="00A07D0F">
      <w:pPr>
        <w:pStyle w:val="ListParagraph"/>
      </w:pPr>
      <w:r>
        <w:t>e</w:t>
      </w:r>
      <w:r w:rsidRPr="00A22481">
        <w:t xml:space="preserve">xplains </w:t>
      </w:r>
      <w:r w:rsidR="00946089">
        <w:t>h</w:t>
      </w:r>
      <w:r w:rsidRPr="00A22481">
        <w:t xml:space="preserve">ow to </w:t>
      </w:r>
      <w:r w:rsidR="00946089">
        <w:t>c</w:t>
      </w:r>
      <w:r w:rsidRPr="00A22481">
        <w:t>alculate Status</w:t>
      </w:r>
      <w:r>
        <w:t>.</w:t>
      </w:r>
    </w:p>
    <w:p w14:paraId="6A44EFD1" w14:textId="6EBCB9A7" w:rsidR="00A22481" w:rsidRPr="00756B8F" w:rsidRDefault="00A22481" w:rsidP="00A22481">
      <w:r w:rsidRPr="00A22481">
        <w:t>Many of the flyers are available now with the rest coming along shortly.</w:t>
      </w:r>
    </w:p>
    <w:p w14:paraId="25BAF720" w14:textId="77777777" w:rsidR="00085CA1" w:rsidRPr="00085CA1" w:rsidRDefault="00085CA1" w:rsidP="00CB16BE">
      <w:pPr>
        <w:pStyle w:val="Heading3"/>
      </w:pPr>
      <w:r w:rsidRPr="00085CA1">
        <w:t xml:space="preserve">Flyers for Parents </w:t>
      </w:r>
    </w:p>
    <w:p w14:paraId="08DD79FA" w14:textId="39E60446" w:rsidR="00622F43" w:rsidRDefault="00622F43" w:rsidP="00622F43">
      <w:r>
        <w:t>All Dashboard flyers</w:t>
      </w:r>
      <w:r w:rsidR="0055479E">
        <w:t xml:space="preserve"> for parents</w:t>
      </w:r>
      <w:r>
        <w:t xml:space="preserve"> listed below can be found on the CDE </w:t>
      </w:r>
      <w:r w:rsidRPr="00CB0447">
        <w:t>Dashboard Communications Toolkit</w:t>
      </w:r>
      <w:r>
        <w:t xml:space="preserve"> web page</w:t>
      </w:r>
      <w:r w:rsidR="0055479E">
        <w:t xml:space="preserve"> under the </w:t>
      </w:r>
      <w:r w:rsidR="0055479E" w:rsidRPr="0055479E">
        <w:t>Flyers for Parents (and Those New to the Dashboard)</w:t>
      </w:r>
      <w:r w:rsidR="0055479E">
        <w:t xml:space="preserve"> section </w:t>
      </w:r>
      <w:r>
        <w:t xml:space="preserve">at </w:t>
      </w:r>
      <w:hyperlink r:id="rId18" w:tooltip="CDE Dashboard Communications Toolkit web page" w:history="1">
        <w:r w:rsidRPr="00CB0447">
          <w:rPr>
            <w:rStyle w:val="Hyperlink"/>
          </w:rPr>
          <w:t>https://www.cde.ca.gov/ta/ac/cm/dashboardtoolkit.asp</w:t>
        </w:r>
      </w:hyperlink>
      <w:r>
        <w:t>.</w:t>
      </w:r>
    </w:p>
    <w:p w14:paraId="1299B4F6" w14:textId="1BA382B1" w:rsidR="00335836" w:rsidRPr="00A07D0F" w:rsidRDefault="008D5BBF" w:rsidP="00A07D0F">
      <w:pPr>
        <w:pStyle w:val="ListParagraph"/>
      </w:pPr>
      <w:r>
        <w:t xml:space="preserve">Getting to Know the California School Dashboard </w:t>
      </w:r>
      <w:r w:rsidRPr="008D5BBF">
        <w:t>(PDF)</w:t>
      </w:r>
      <w:r w:rsidR="00A07D0F">
        <w:t xml:space="preserve"> </w:t>
      </w:r>
      <w:hyperlink r:id="rId19" w:tooltip="Getting to Know the California School Dashboard (PDF)" w:history="1">
        <w:r w:rsidR="00A07D0F" w:rsidRPr="007A7524">
          <w:rPr>
            <w:rStyle w:val="Hyperlink"/>
          </w:rPr>
          <w:t>https://www.cde.ca.gov/ta/ac/cm/documents/gettingknowdashboard22.pdf</w:t>
        </w:r>
      </w:hyperlink>
    </w:p>
    <w:p w14:paraId="3A8DB835" w14:textId="18084ABA" w:rsidR="00335836" w:rsidRDefault="008D5BBF" w:rsidP="00A07D0F">
      <w:pPr>
        <w:pStyle w:val="ListParagraph"/>
      </w:pPr>
      <w:r w:rsidRPr="008D5BBF">
        <w:t>Getting to Know the 2022 Dashboard State Measures (PDF)</w:t>
      </w:r>
      <w:r w:rsidR="00A07D0F">
        <w:t xml:space="preserve"> </w:t>
      </w:r>
      <w:hyperlink r:id="rId20" w:tooltip="Getting to Know the 2022 Dashboard State Measures (PDF)" w:history="1">
        <w:r w:rsidR="00A07D0F" w:rsidRPr="007A7524">
          <w:rPr>
            <w:rStyle w:val="Hyperlink"/>
          </w:rPr>
          <w:t>https://www.cde.ca.gov/ta/ac/cm/documents/gettingtoknowmeasures22.pdf</w:t>
        </w:r>
      </w:hyperlink>
      <w:r w:rsidR="00335836" w:rsidRPr="4DC72470">
        <w:t> </w:t>
      </w:r>
    </w:p>
    <w:p w14:paraId="0E97DCB4" w14:textId="7D73FC6D" w:rsidR="0031605E" w:rsidRPr="00842278" w:rsidRDefault="0031605E" w:rsidP="00A07D0F">
      <w:pPr>
        <w:pStyle w:val="ListParagraph"/>
        <w:rPr>
          <w:rFonts w:ascii="Times New Roman" w:hAnsi="Times New Roman" w:cs="Times New Roman"/>
        </w:rPr>
      </w:pPr>
      <w:r w:rsidRPr="0031605E">
        <w:t>Reporting Current Year Data Only on the 2022 Dashboard</w:t>
      </w:r>
      <w:r>
        <w:t xml:space="preserve"> </w:t>
      </w:r>
      <w:r w:rsidRPr="0031605E">
        <w:t>(PDF)</w:t>
      </w:r>
      <w:r>
        <w:br/>
      </w:r>
      <w:hyperlink r:id="rId21" w:tooltip="Reporting Current Year Data Only on the 2022 Dashboard (PDF)" w:history="1">
        <w:r w:rsidRPr="002F1E92">
          <w:rPr>
            <w:rStyle w:val="Hyperlink"/>
          </w:rPr>
          <w:t>https://www.cde.ca.gov/ta/ac/cm/documents/reportcurrentyear22.pdf</w:t>
        </w:r>
      </w:hyperlink>
      <w:r w:rsidRPr="4DC72470">
        <w:t> </w:t>
      </w:r>
    </w:p>
    <w:p w14:paraId="0CA0DD98" w14:textId="32C906F1" w:rsidR="0031605E" w:rsidRDefault="0031605E" w:rsidP="00A07D0F">
      <w:pPr>
        <w:pStyle w:val="ListParagraph"/>
      </w:pPr>
      <w:r w:rsidRPr="009E1472">
        <w:rPr>
          <w:b/>
          <w:bCs/>
        </w:rPr>
        <w:t>How to View Performance of a School or District on the 2022 Dashboard</w:t>
      </w:r>
      <w:r w:rsidRPr="0031605E">
        <w:t xml:space="preserve"> (</w:t>
      </w:r>
      <w:r w:rsidRPr="009E1472">
        <w:t xml:space="preserve">Coming by end of </w:t>
      </w:r>
      <w:r w:rsidR="009E1472" w:rsidRPr="009E1472">
        <w:t>January</w:t>
      </w:r>
      <w:r w:rsidRPr="009E1472">
        <w:t xml:space="preserve"> 202</w:t>
      </w:r>
      <w:r w:rsidR="009E1472" w:rsidRPr="009E1472">
        <w:t>3</w:t>
      </w:r>
      <w:r w:rsidRPr="0031605E">
        <w:t>)</w:t>
      </w:r>
    </w:p>
    <w:p w14:paraId="5F027461" w14:textId="14D60AD8" w:rsidR="0031605E" w:rsidRDefault="0031605E" w:rsidP="00A07D0F">
      <w:pPr>
        <w:pStyle w:val="ListParagraph"/>
      </w:pPr>
      <w:r w:rsidRPr="009E1472">
        <w:rPr>
          <w:b/>
          <w:bCs/>
        </w:rPr>
        <w:t>Exploring the Equity Report</w:t>
      </w:r>
      <w:r w:rsidRPr="0031605E">
        <w:t xml:space="preserve"> (</w:t>
      </w:r>
      <w:r w:rsidRPr="009E1472">
        <w:t xml:space="preserve">Coming by end of </w:t>
      </w:r>
      <w:r w:rsidR="009E1472" w:rsidRPr="009E1472">
        <w:t>January</w:t>
      </w:r>
      <w:r w:rsidRPr="009E1472">
        <w:t xml:space="preserve"> 202</w:t>
      </w:r>
      <w:r w:rsidR="009E1472" w:rsidRPr="009E1472">
        <w:t>3</w:t>
      </w:r>
      <w:r w:rsidRPr="0031605E">
        <w:t>)</w:t>
      </w:r>
    </w:p>
    <w:p w14:paraId="43E05EE3" w14:textId="040A2B22" w:rsidR="0031605E" w:rsidRDefault="0031605E" w:rsidP="00A07D0F">
      <w:pPr>
        <w:pStyle w:val="ListParagraph"/>
      </w:pPr>
      <w:r w:rsidRPr="009E1472">
        <w:rPr>
          <w:b/>
          <w:bCs/>
        </w:rPr>
        <w:t>How to Compare Schools on the 2022 Dashboard</w:t>
      </w:r>
      <w:r w:rsidRPr="0031605E">
        <w:t xml:space="preserve"> </w:t>
      </w:r>
      <w:r>
        <w:br/>
      </w:r>
      <w:r w:rsidRPr="0031605E">
        <w:t>(</w:t>
      </w:r>
      <w:r w:rsidRPr="009E1472">
        <w:t xml:space="preserve">Coming in </w:t>
      </w:r>
      <w:r w:rsidR="009E1472" w:rsidRPr="009E1472">
        <w:t>January</w:t>
      </w:r>
      <w:r w:rsidRPr="009E1472">
        <w:t xml:space="preserve"> 202</w:t>
      </w:r>
      <w:r w:rsidR="009E1472" w:rsidRPr="009E1472">
        <w:t>3</w:t>
      </w:r>
      <w:r w:rsidRPr="0031605E">
        <w:t>)</w:t>
      </w:r>
    </w:p>
    <w:p w14:paraId="789B8870" w14:textId="1365FA5B" w:rsidR="008A3827" w:rsidRPr="00A219E5" w:rsidRDefault="008A3827" w:rsidP="00A219E5">
      <w:pPr>
        <w:spacing w:before="120" w:after="0"/>
        <w:rPr>
          <w:b/>
          <w:bCs/>
        </w:rPr>
      </w:pPr>
      <w:r w:rsidRPr="00A219E5">
        <w:rPr>
          <w:b/>
          <w:bCs/>
        </w:rPr>
        <w:t>Coming Soon</w:t>
      </w:r>
    </w:p>
    <w:p w14:paraId="69E09AD9" w14:textId="77777777" w:rsidR="00335836" w:rsidRPr="008A3827" w:rsidRDefault="00335836" w:rsidP="00A07D0F">
      <w:pPr>
        <w:pStyle w:val="ListParagraph"/>
      </w:pPr>
      <w:r w:rsidRPr="008A3827">
        <w:t>How do I view and interpret my local school and/or district Dashboard Results?</w:t>
      </w:r>
    </w:p>
    <w:p w14:paraId="08F8B4C5" w14:textId="77777777" w:rsidR="00335836" w:rsidRPr="008A3827" w:rsidRDefault="00335836" w:rsidP="00A07D0F">
      <w:pPr>
        <w:pStyle w:val="ListParagraph"/>
      </w:pPr>
      <w:r w:rsidRPr="008A3827">
        <w:t>Is there a way to compare multiple school results on the Dashboard?</w:t>
      </w:r>
    </w:p>
    <w:p w14:paraId="7FD3E498" w14:textId="77777777" w:rsidR="00335836" w:rsidRPr="008A3827" w:rsidRDefault="00335836" w:rsidP="00A07D0F">
      <w:pPr>
        <w:pStyle w:val="ListParagraph"/>
      </w:pPr>
      <w:r w:rsidRPr="008A3827">
        <w:t>How is Performance reported for 2022 Dashboard?</w:t>
      </w:r>
    </w:p>
    <w:p w14:paraId="05401AEB" w14:textId="77777777" w:rsidR="00335836" w:rsidRPr="008A3827" w:rsidRDefault="00335836" w:rsidP="00A07D0F">
      <w:pPr>
        <w:pStyle w:val="ListParagraph"/>
      </w:pPr>
      <w:r w:rsidRPr="008A3827">
        <w:t>How can I identify achievement gaps among the student groups on the Dashboard?</w:t>
      </w:r>
    </w:p>
    <w:p w14:paraId="10E3CC28" w14:textId="208B065B" w:rsidR="00B2610D" w:rsidRPr="00842278" w:rsidRDefault="00243126" w:rsidP="00CB16BE">
      <w:pPr>
        <w:pStyle w:val="Heading3"/>
        <w:rPr>
          <w:rFonts w:ascii="Times New Roman" w:hAnsi="Times New Roman" w:cs="Times New Roman"/>
        </w:rPr>
      </w:pPr>
      <w:bookmarkStart w:id="4" w:name="_Hlk117594020"/>
      <w:r>
        <w:t>Dashboard Website—Friendly and Easy to Navigate</w:t>
      </w:r>
    </w:p>
    <w:p w14:paraId="0394B9F7" w14:textId="3E549ED8" w:rsidR="00ED3CD0" w:rsidRPr="00ED3CD0" w:rsidRDefault="00ED3CD0" w:rsidP="00ED3CD0">
      <w:pPr>
        <w:spacing w:after="0"/>
      </w:pPr>
      <w:r w:rsidRPr="00ED3CD0">
        <w:t xml:space="preserve">Friendly and </w:t>
      </w:r>
      <w:r w:rsidR="000A2F2D" w:rsidRPr="00ED3CD0">
        <w:t xml:space="preserve">easy to navigate </w:t>
      </w:r>
      <w:r w:rsidRPr="00ED3CD0">
        <w:t>website. This is a new revamp from what we</w:t>
      </w:r>
      <w:r w:rsidR="000A2F2D">
        <w:t xml:space="preserve"> ha</w:t>
      </w:r>
      <w:r w:rsidRPr="00ED3CD0">
        <w:t>ve had before and includes </w:t>
      </w:r>
    </w:p>
    <w:p w14:paraId="03A83DFC" w14:textId="00E7E12E" w:rsidR="00C558E9" w:rsidRPr="00243126" w:rsidRDefault="00ED3CD0" w:rsidP="00A07D0F">
      <w:pPr>
        <w:pStyle w:val="ListParagraph"/>
      </w:pPr>
      <w:r>
        <w:t>d</w:t>
      </w:r>
      <w:r w:rsidR="00B2610D" w:rsidRPr="00243126">
        <w:t xml:space="preserve">edicated pages for each </w:t>
      </w:r>
      <w:r w:rsidR="000A2F2D">
        <w:t>s</w:t>
      </w:r>
      <w:r w:rsidR="000A2F2D" w:rsidRPr="00243126">
        <w:t>tate </w:t>
      </w:r>
      <w:r w:rsidR="000A2F2D">
        <w:t>meas</w:t>
      </w:r>
      <w:r w:rsidR="007D7509">
        <w:t>ure</w:t>
      </w:r>
      <w:r>
        <w:t>;</w:t>
      </w:r>
    </w:p>
    <w:bookmarkEnd w:id="4"/>
    <w:p w14:paraId="66A3BA1D" w14:textId="0CF69A3F" w:rsidR="00C558E9" w:rsidRPr="00243126" w:rsidRDefault="000A2F2D" w:rsidP="00A07D0F">
      <w:pPr>
        <w:pStyle w:val="ListParagraph"/>
      </w:pPr>
      <w:r>
        <w:t xml:space="preserve">information </w:t>
      </w:r>
      <w:r w:rsidR="00ED3CD0">
        <w:t>o</w:t>
      </w:r>
      <w:r w:rsidR="00B2610D" w:rsidRPr="00243126">
        <w:t>rganized by "general" and "technical"</w:t>
      </w:r>
      <w:r w:rsidR="00ED3CD0">
        <w:t>; and</w:t>
      </w:r>
    </w:p>
    <w:p w14:paraId="48F66BC2" w14:textId="1DC6167B" w:rsidR="00335836" w:rsidRPr="00243126" w:rsidRDefault="00ED3CD0" w:rsidP="00A07D0F">
      <w:pPr>
        <w:pStyle w:val="ListParagraph"/>
      </w:pPr>
      <w:r>
        <w:lastRenderedPageBreak/>
        <w:t>a</w:t>
      </w:r>
      <w:r w:rsidR="00B2610D" w:rsidRPr="00243126">
        <w:t>nchors at the top of each page to help identify the available resources and information</w:t>
      </w:r>
      <w:r w:rsidR="00243126">
        <w:t>.</w:t>
      </w:r>
    </w:p>
    <w:p w14:paraId="134EC069" w14:textId="13F5862C" w:rsidR="00446054" w:rsidRPr="00842278" w:rsidRDefault="00A63654" w:rsidP="00CB16BE">
      <w:pPr>
        <w:pStyle w:val="Heading3"/>
        <w:rPr>
          <w:rFonts w:ascii="Times New Roman" w:hAnsi="Times New Roman" w:cs="Times New Roman"/>
        </w:rPr>
      </w:pPr>
      <w:r>
        <w:t>Additional Reports</w:t>
      </w:r>
    </w:p>
    <w:p w14:paraId="7E09C3CA" w14:textId="788983E1" w:rsidR="007D7509" w:rsidRPr="007D7509" w:rsidRDefault="007D7509" w:rsidP="007D7509">
      <w:pPr>
        <w:spacing w:after="120"/>
      </w:pPr>
      <w:r>
        <w:t>Ad</w:t>
      </w:r>
      <w:r w:rsidRPr="007D7509">
        <w:t>ditional reports contain information beyond what is reported in the Dashboard</w:t>
      </w:r>
      <w:r w:rsidR="00C66EF1">
        <w:t>;</w:t>
      </w:r>
      <w:r w:rsidRPr="007D7509">
        <w:t xml:space="preserve"> a great tool for those who really want to dig into the data.</w:t>
      </w:r>
    </w:p>
    <w:p w14:paraId="3128BAED" w14:textId="68EF0C6A" w:rsidR="00DB0414" w:rsidRPr="00F013FB" w:rsidRDefault="00DB0414" w:rsidP="00A07D0F">
      <w:pPr>
        <w:pStyle w:val="ListParagraph"/>
      </w:pPr>
      <w:r w:rsidRPr="00F013FB">
        <w:t>Expanded information from the Dashboard</w:t>
      </w:r>
    </w:p>
    <w:p w14:paraId="3F14B8B7" w14:textId="35BC1C8B" w:rsidR="00446054" w:rsidRPr="00F013FB" w:rsidRDefault="00204323" w:rsidP="00A07D0F">
      <w:pPr>
        <w:pStyle w:val="ListParagraph"/>
      </w:pPr>
      <w:r w:rsidRPr="00F013FB">
        <w:t>Aim</w:t>
      </w:r>
      <w:r w:rsidR="00DB0414" w:rsidRPr="00F013FB">
        <w:t>ed for LEA and School Audiences</w:t>
      </w:r>
    </w:p>
    <w:p w14:paraId="4D4E5727" w14:textId="5E32351D" w:rsidR="004C5F21" w:rsidRPr="0077429B" w:rsidRDefault="004C5F21" w:rsidP="00FA2B7E">
      <w:pPr>
        <w:pStyle w:val="Heading2"/>
        <w:pageBreakBefore/>
        <w:rPr>
          <w:color w:val="000000"/>
        </w:rPr>
      </w:pPr>
      <w:r>
        <w:lastRenderedPageBreak/>
        <w:t>Frequently Asked Questions</w:t>
      </w:r>
    </w:p>
    <w:p w14:paraId="4F264059" w14:textId="77777777" w:rsidR="004C5F21" w:rsidRPr="00842278" w:rsidRDefault="004C5F21" w:rsidP="00CB16BE">
      <w:pPr>
        <w:pStyle w:val="Heading3"/>
        <w:rPr>
          <w:rFonts w:ascii="Times New Roman" w:hAnsi="Times New Roman" w:cs="Times New Roman"/>
          <w:sz w:val="20"/>
          <w:szCs w:val="20"/>
        </w:rPr>
      </w:pPr>
      <w:r w:rsidRPr="00842278">
        <w:t>How can I tell if my school or LEA is going to be held accountable without a color?</w:t>
      </w:r>
    </w:p>
    <w:p w14:paraId="0DE37A22" w14:textId="11E8BC0F" w:rsidR="00D67D05" w:rsidRDefault="00D67D05" w:rsidP="00C77233">
      <w:r>
        <w:t xml:space="preserve">In 2022, </w:t>
      </w:r>
      <w:r w:rsidRPr="00D67D05">
        <w:t>Performance levels shows five Status levels (ranging from Very High, High, Medium, Low, and Very Low).</w:t>
      </w:r>
    </w:p>
    <w:p w14:paraId="76EF3715" w14:textId="2D7573AD" w:rsidR="00D67D05" w:rsidRDefault="00D67D05" w:rsidP="00C77233">
      <w:r w:rsidRPr="00D67D05">
        <w:t>Purple-filled graphic means Accountable.</w:t>
      </w:r>
    </w:p>
    <w:p w14:paraId="4E949FDD" w14:textId="50475E65" w:rsidR="004C5F21" w:rsidRPr="00842278" w:rsidRDefault="004C5F21" w:rsidP="00CB16BE">
      <w:pPr>
        <w:pStyle w:val="Heading3"/>
        <w:rPr>
          <w:rFonts w:ascii="Times New Roman" w:hAnsi="Times New Roman" w:cs="Times New Roman"/>
          <w:sz w:val="20"/>
          <w:szCs w:val="20"/>
        </w:rPr>
      </w:pPr>
      <w:r w:rsidRPr="00842278">
        <w:t xml:space="preserve">Which </w:t>
      </w:r>
      <w:r w:rsidR="0016554E">
        <w:t>State Measures</w:t>
      </w:r>
      <w:r w:rsidRPr="00842278">
        <w:t xml:space="preserve"> will be on the 2022 Dashboard?</w:t>
      </w:r>
    </w:p>
    <w:p w14:paraId="53BF83BB" w14:textId="7174B01E" w:rsidR="00D67D05" w:rsidRPr="00D67D05" w:rsidRDefault="00D67D05" w:rsidP="00A07D0F">
      <w:pPr>
        <w:pStyle w:val="ListParagraph"/>
      </w:pPr>
      <w:r w:rsidRPr="00D67D05">
        <w:t xml:space="preserve">Academic </w:t>
      </w:r>
      <w:r w:rsidR="0016554E">
        <w:t>Performance</w:t>
      </w:r>
    </w:p>
    <w:p w14:paraId="752D853B" w14:textId="77777777" w:rsidR="00D67D05" w:rsidRPr="00D67D05" w:rsidRDefault="00D67D05" w:rsidP="00A07D0F">
      <w:pPr>
        <w:pStyle w:val="ListParagraph"/>
      </w:pPr>
      <w:r w:rsidRPr="00D67D05">
        <w:t>ELA and Mathematics</w:t>
      </w:r>
    </w:p>
    <w:p w14:paraId="6E5D22A4" w14:textId="77777777" w:rsidR="00D67D05" w:rsidRPr="00D67D05" w:rsidRDefault="00D67D05" w:rsidP="00A07D0F">
      <w:pPr>
        <w:pStyle w:val="ListParagraph"/>
      </w:pPr>
      <w:r w:rsidRPr="00D67D05">
        <w:t>Graduation Rate</w:t>
      </w:r>
    </w:p>
    <w:p w14:paraId="0606D150" w14:textId="77777777" w:rsidR="00D67D05" w:rsidRPr="00D67D05" w:rsidRDefault="00D67D05" w:rsidP="00A07D0F">
      <w:pPr>
        <w:pStyle w:val="ListParagraph"/>
      </w:pPr>
      <w:r w:rsidRPr="00D67D05">
        <w:t>English Learner Progress</w:t>
      </w:r>
    </w:p>
    <w:p w14:paraId="4E98948C" w14:textId="77777777" w:rsidR="00D67D05" w:rsidRPr="00D67D05" w:rsidRDefault="00D67D05" w:rsidP="00A07D0F">
      <w:pPr>
        <w:pStyle w:val="ListParagraph"/>
      </w:pPr>
      <w:r w:rsidRPr="00D67D05">
        <w:t>Suspension Rate</w:t>
      </w:r>
    </w:p>
    <w:p w14:paraId="4E879853" w14:textId="77777777" w:rsidR="00D67D05" w:rsidRPr="00D67D05" w:rsidRDefault="00D67D05" w:rsidP="00A07D0F">
      <w:pPr>
        <w:pStyle w:val="ListParagraph"/>
      </w:pPr>
      <w:r w:rsidRPr="00D67D05">
        <w:t>Chronic Absenteeism</w:t>
      </w:r>
    </w:p>
    <w:p w14:paraId="35BBD4E0" w14:textId="756D7539" w:rsidR="00151776" w:rsidRPr="00842278" w:rsidRDefault="00151776" w:rsidP="00CB16BE">
      <w:pPr>
        <w:pStyle w:val="Heading3"/>
        <w:rPr>
          <w:rFonts w:ascii="Times New Roman" w:hAnsi="Times New Roman" w:cs="Times New Roman"/>
          <w:sz w:val="20"/>
          <w:szCs w:val="20"/>
        </w:rPr>
      </w:pPr>
      <w:r w:rsidRPr="00842278">
        <w:t xml:space="preserve">Will </w:t>
      </w:r>
      <w:r w:rsidR="0016554E">
        <w:t>L</w:t>
      </w:r>
      <w:r w:rsidRPr="00842278">
        <w:t xml:space="preserve">ocal </w:t>
      </w:r>
      <w:r w:rsidR="0016554E">
        <w:t xml:space="preserve">Measures </w:t>
      </w:r>
      <w:r w:rsidRPr="00842278">
        <w:t>be reported on the 2022 Dashboard?</w:t>
      </w:r>
    </w:p>
    <w:p w14:paraId="3858D2B3" w14:textId="55DC3339" w:rsidR="007D7509" w:rsidRDefault="007D7509" w:rsidP="007D7509">
      <w:pPr>
        <w:rPr>
          <w:b/>
          <w:bCs/>
        </w:rPr>
      </w:pPr>
      <w:r w:rsidRPr="007D7509">
        <w:t>All of the local</w:t>
      </w:r>
      <w:r>
        <w:t xml:space="preserve"> </w:t>
      </w:r>
      <w:r w:rsidRPr="007D7509">
        <w:t>indicators</w:t>
      </w:r>
      <w:r>
        <w:t xml:space="preserve"> or local measures</w:t>
      </w:r>
      <w:r w:rsidRPr="007D7509">
        <w:t xml:space="preserve"> will be displayed on this year's Dashboard. They were also required in 2021 and are currently published on the 2021 Dashboard.</w:t>
      </w:r>
    </w:p>
    <w:p w14:paraId="63F1FEF0" w14:textId="231302DC" w:rsidR="00C5360B" w:rsidRDefault="00C5360B" w:rsidP="00CB16BE">
      <w:pPr>
        <w:pStyle w:val="Heading3"/>
      </w:pPr>
      <w:r w:rsidRPr="00ED5B73">
        <w:t>Where do I find detailed answers about how all of the</w:t>
      </w:r>
      <w:r w:rsidR="003C0EEA">
        <w:t xml:space="preserve"> </w:t>
      </w:r>
      <w:r w:rsidR="0016554E">
        <w:t>State Measures</w:t>
      </w:r>
      <w:r w:rsidRPr="00ED5B73">
        <w:t xml:space="preserve"> are calculated? </w:t>
      </w:r>
    </w:p>
    <w:p w14:paraId="20A9A935" w14:textId="580C89EE" w:rsidR="00E63A80" w:rsidRDefault="00E63A80" w:rsidP="00E63A80">
      <w:r w:rsidRPr="00E63A80">
        <w:t>You will find those answers in the 2022 Dashboard Technical Guide, which will be released at the </w:t>
      </w:r>
      <w:r>
        <w:t>s</w:t>
      </w:r>
      <w:r w:rsidRPr="00E63A80">
        <w:t>ame time as Dashboard release (December). </w:t>
      </w:r>
    </w:p>
    <w:p w14:paraId="6568948B" w14:textId="7E8B8894" w:rsidR="00ED5B73" w:rsidRPr="00D67D05" w:rsidRDefault="00C77233" w:rsidP="00E63A80">
      <w:r>
        <w:t>The</w:t>
      </w:r>
      <w:r w:rsidR="007761ED" w:rsidRPr="00D67D05">
        <w:t xml:space="preserve"> 2019 </w:t>
      </w:r>
      <w:r w:rsidR="00F476FB">
        <w:t xml:space="preserve">California School Dashboard </w:t>
      </w:r>
      <w:r w:rsidR="007761ED" w:rsidRPr="00D67D05">
        <w:t>tec</w:t>
      </w:r>
      <w:r w:rsidR="00B71922" w:rsidRPr="00D67D05">
        <w:t>hnical guide</w:t>
      </w:r>
      <w:r w:rsidR="00D67D05">
        <w:t xml:space="preserve"> can be found on the CDE website at </w:t>
      </w:r>
      <w:hyperlink r:id="rId22" w:tooltip="2019 California School Dashboard technical guide(PDF)" w:history="1">
        <w:r w:rsidR="0016554E" w:rsidRPr="00A1190B">
          <w:rPr>
            <w:rStyle w:val="Hyperlink"/>
          </w:rPr>
          <w:t>https://www.cde.ca.gov/ta/ac/cm/documents/dashboardguide19.pdf</w:t>
        </w:r>
      </w:hyperlink>
      <w:r w:rsidR="00D67D05">
        <w:t>.</w:t>
      </w:r>
    </w:p>
    <w:p w14:paraId="505C9D95" w14:textId="2617AF45" w:rsidR="0016475D" w:rsidRPr="00842278" w:rsidRDefault="0016475D" w:rsidP="002A4300">
      <w:pPr>
        <w:pStyle w:val="Heading2"/>
        <w:pageBreakBefore/>
        <w:rPr>
          <w:rFonts w:ascii="Times New Roman" w:hAnsi="Times New Roman" w:cs="Times New Roman"/>
        </w:rPr>
      </w:pPr>
      <w:r w:rsidRPr="0F13BA70">
        <w:lastRenderedPageBreak/>
        <w:t xml:space="preserve">Future </w:t>
      </w:r>
      <w:r w:rsidR="002A4300">
        <w:t xml:space="preserve">of the </w:t>
      </w:r>
      <w:r w:rsidRPr="0F13BA70">
        <w:t>Dashboard</w:t>
      </w:r>
    </w:p>
    <w:p w14:paraId="03334DE8" w14:textId="283F0332" w:rsidR="00180106" w:rsidRDefault="00180106" w:rsidP="00CB16BE">
      <w:pPr>
        <w:pStyle w:val="Heading3"/>
      </w:pPr>
      <w:r w:rsidRPr="00180106">
        <w:t xml:space="preserve">Future Dashboard Reporting </w:t>
      </w:r>
    </w:p>
    <w:p w14:paraId="0782B640" w14:textId="18225AC5" w:rsidR="005831C3" w:rsidRDefault="005831C3" w:rsidP="005831C3">
      <w:r w:rsidRPr="005831C3">
        <w:t xml:space="preserve">All </w:t>
      </w:r>
      <w:r w:rsidR="007C5E64" w:rsidRPr="005831C3">
        <w:t xml:space="preserve">state measures </w:t>
      </w:r>
      <w:r w:rsidRPr="005831C3">
        <w:t>from 2023 Dashboard will have </w:t>
      </w:r>
      <w:r w:rsidR="00C77233">
        <w:t>c</w:t>
      </w:r>
      <w:r w:rsidRPr="005831C3">
        <w:t>olors </w:t>
      </w:r>
      <w:r w:rsidR="00C77233">
        <w:t>r</w:t>
      </w:r>
      <w:r w:rsidRPr="005831C3">
        <w:t>eported.</w:t>
      </w:r>
      <w:r>
        <w:t xml:space="preserve"> </w:t>
      </w:r>
    </w:p>
    <w:p w14:paraId="146A5229" w14:textId="58649DCE" w:rsidR="005619EE" w:rsidRDefault="005831C3" w:rsidP="005831C3">
      <w:r w:rsidRPr="005831C3">
        <w:t>However, one measure will be excluded. The College/Career Readiness will have </w:t>
      </w:r>
      <w:r w:rsidRPr="005831C3">
        <w:rPr>
          <w:rStyle w:val="Strong"/>
        </w:rPr>
        <w:t>Status Only</w:t>
      </w:r>
      <w:r w:rsidRPr="005831C3">
        <w:t> in 2023 and </w:t>
      </w:r>
      <w:r w:rsidR="00C77233">
        <w:rPr>
          <w:rStyle w:val="Strong"/>
        </w:rPr>
        <w:t>c</w:t>
      </w:r>
      <w:r w:rsidRPr="005831C3">
        <w:rPr>
          <w:rStyle w:val="Strong"/>
        </w:rPr>
        <w:t xml:space="preserve">olors will be </w:t>
      </w:r>
      <w:r w:rsidR="00C77233">
        <w:rPr>
          <w:rStyle w:val="Strong"/>
        </w:rPr>
        <w:t>r</w:t>
      </w:r>
      <w:r w:rsidRPr="005831C3">
        <w:rPr>
          <w:rStyle w:val="Strong"/>
        </w:rPr>
        <w:t>eported</w:t>
      </w:r>
      <w:r w:rsidRPr="005831C3">
        <w:t> in 2024.</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2022–2024 Dashboard State Indicators Report "/>
      </w:tblPr>
      <w:tblGrid>
        <w:gridCol w:w="2970"/>
        <w:gridCol w:w="2250"/>
        <w:gridCol w:w="2250"/>
        <w:gridCol w:w="2250"/>
      </w:tblGrid>
      <w:tr w:rsidR="00180106" w14:paraId="0156159F" w14:textId="77777777" w:rsidTr="001756DD">
        <w:trPr>
          <w:cantSplit/>
          <w:tblHeader/>
        </w:trPr>
        <w:tc>
          <w:tcPr>
            <w:tcW w:w="2970" w:type="dxa"/>
            <w:shd w:val="clear" w:color="auto" w:fill="7030A0" w:themeFill="text2"/>
            <w:tcMar>
              <w:top w:w="15" w:type="dxa"/>
              <w:left w:w="120" w:type="dxa"/>
              <w:bottom w:w="15" w:type="dxa"/>
              <w:right w:w="120" w:type="dxa"/>
            </w:tcMar>
            <w:vAlign w:val="center"/>
          </w:tcPr>
          <w:p w14:paraId="0A8E003A" w14:textId="1DB2666B" w:rsidR="00180106" w:rsidRPr="001E1B4A" w:rsidRDefault="001E1B4A" w:rsidP="006648F4">
            <w:pPr>
              <w:spacing w:after="120"/>
              <w:textAlignment w:val="baseline"/>
              <w:rPr>
                <w:rFonts w:ascii="Arial" w:eastAsia="Times New Roman" w:hAnsi="Arial" w:cs="Arial"/>
                <w:color w:val="FFFFFF" w:themeColor="background1"/>
                <w:szCs w:val="24"/>
              </w:rPr>
            </w:pPr>
            <w:r w:rsidRPr="001E1B4A">
              <w:rPr>
                <w:rFonts w:ascii="Arial" w:eastAsia="Times New Roman" w:hAnsi="Arial" w:cs="Arial"/>
                <w:color w:val="FFFFFF" w:themeColor="background1"/>
                <w:szCs w:val="24"/>
              </w:rPr>
              <w:t>State Indicators</w:t>
            </w:r>
          </w:p>
        </w:tc>
        <w:tc>
          <w:tcPr>
            <w:tcW w:w="2250" w:type="dxa"/>
            <w:shd w:val="clear" w:color="auto" w:fill="7030A0" w:themeFill="text2"/>
            <w:tcMar>
              <w:top w:w="15" w:type="dxa"/>
              <w:left w:w="120" w:type="dxa"/>
              <w:bottom w:w="15" w:type="dxa"/>
              <w:right w:w="120" w:type="dxa"/>
            </w:tcMar>
            <w:vAlign w:val="center"/>
          </w:tcPr>
          <w:p w14:paraId="04AB7196" w14:textId="4B1F00BC" w:rsidR="00180106" w:rsidRPr="001E1B4A" w:rsidRDefault="001E1B4A" w:rsidP="006648F4">
            <w:pPr>
              <w:spacing w:after="120"/>
              <w:jc w:val="center"/>
              <w:textAlignment w:val="baseline"/>
              <w:rPr>
                <w:rFonts w:ascii="Arial" w:eastAsia="Times New Roman" w:hAnsi="Arial" w:cs="Arial"/>
                <w:color w:val="FFFFFF" w:themeColor="background1"/>
                <w:szCs w:val="24"/>
              </w:rPr>
            </w:pPr>
            <w:r w:rsidRPr="001E1B4A">
              <w:rPr>
                <w:rFonts w:ascii="Arial" w:eastAsia="Times New Roman" w:hAnsi="Arial" w:cs="Arial"/>
                <w:color w:val="FFFFFF" w:themeColor="background1"/>
                <w:szCs w:val="24"/>
              </w:rPr>
              <w:t>2022 Dashboard</w:t>
            </w:r>
          </w:p>
        </w:tc>
        <w:tc>
          <w:tcPr>
            <w:tcW w:w="2250" w:type="dxa"/>
            <w:shd w:val="clear" w:color="auto" w:fill="7030A0" w:themeFill="text2"/>
            <w:tcMar>
              <w:top w:w="15" w:type="dxa"/>
              <w:left w:w="120" w:type="dxa"/>
              <w:bottom w:w="15" w:type="dxa"/>
              <w:right w:w="120" w:type="dxa"/>
            </w:tcMar>
            <w:vAlign w:val="center"/>
          </w:tcPr>
          <w:p w14:paraId="40314A07" w14:textId="00320515" w:rsidR="00180106" w:rsidRPr="001E1B4A" w:rsidRDefault="001E1B4A" w:rsidP="006648F4">
            <w:pPr>
              <w:spacing w:after="120"/>
              <w:jc w:val="center"/>
              <w:textAlignment w:val="baseline"/>
              <w:rPr>
                <w:rFonts w:ascii="Arial" w:eastAsia="Times New Roman" w:hAnsi="Arial" w:cs="Arial"/>
                <w:color w:val="FFFFFF" w:themeColor="background1"/>
                <w:szCs w:val="24"/>
              </w:rPr>
            </w:pPr>
            <w:r w:rsidRPr="001E1B4A">
              <w:rPr>
                <w:rFonts w:ascii="Arial" w:eastAsia="Times New Roman" w:hAnsi="Arial" w:cs="Arial"/>
                <w:color w:val="FFFFFF" w:themeColor="background1"/>
                <w:szCs w:val="24"/>
              </w:rPr>
              <w:t>2023 Dashboard</w:t>
            </w:r>
          </w:p>
        </w:tc>
        <w:tc>
          <w:tcPr>
            <w:tcW w:w="2250" w:type="dxa"/>
            <w:shd w:val="clear" w:color="auto" w:fill="7030A0" w:themeFill="text2"/>
            <w:tcMar>
              <w:top w:w="15" w:type="dxa"/>
              <w:left w:w="120" w:type="dxa"/>
              <w:bottom w:w="15" w:type="dxa"/>
              <w:right w:w="120" w:type="dxa"/>
            </w:tcMar>
            <w:vAlign w:val="center"/>
          </w:tcPr>
          <w:p w14:paraId="3DF1D3C6" w14:textId="42822101" w:rsidR="00180106" w:rsidRPr="001E1B4A" w:rsidRDefault="001E1B4A" w:rsidP="006648F4">
            <w:pPr>
              <w:spacing w:after="120"/>
              <w:jc w:val="center"/>
              <w:textAlignment w:val="baseline"/>
              <w:rPr>
                <w:rFonts w:ascii="Arial" w:eastAsia="Times New Roman" w:hAnsi="Arial" w:cs="Arial"/>
                <w:color w:val="FFFFFF" w:themeColor="background1"/>
                <w:szCs w:val="24"/>
              </w:rPr>
            </w:pPr>
            <w:r w:rsidRPr="001E1B4A">
              <w:rPr>
                <w:rFonts w:ascii="Arial" w:eastAsia="Times New Roman" w:hAnsi="Arial" w:cs="Arial"/>
                <w:color w:val="FFFFFF" w:themeColor="background1"/>
                <w:szCs w:val="24"/>
              </w:rPr>
              <w:t>2024 Dashboard</w:t>
            </w:r>
          </w:p>
        </w:tc>
      </w:tr>
      <w:tr w:rsidR="00180106" w14:paraId="5A909A90" w14:textId="77777777" w:rsidTr="001C7C84">
        <w:trPr>
          <w:cantSplit/>
        </w:trPr>
        <w:tc>
          <w:tcPr>
            <w:tcW w:w="2970" w:type="dxa"/>
            <w:tcMar>
              <w:top w:w="30" w:type="dxa"/>
              <w:left w:w="120" w:type="dxa"/>
              <w:bottom w:w="30" w:type="dxa"/>
              <w:right w:w="120" w:type="dxa"/>
            </w:tcMar>
            <w:vAlign w:val="center"/>
          </w:tcPr>
          <w:p w14:paraId="5E881B33" w14:textId="6F8DF3B5" w:rsidR="00180106" w:rsidRPr="001E1B4A" w:rsidRDefault="003F7B5F" w:rsidP="006648F4">
            <w:pPr>
              <w:spacing w:before="0" w:after="0"/>
              <w:textAlignment w:val="baseline"/>
              <w:rPr>
                <w:rFonts w:ascii="Arial" w:eastAsia="Times New Roman" w:hAnsi="Arial" w:cs="Arial"/>
                <w:color w:val="000000"/>
                <w:szCs w:val="24"/>
              </w:rPr>
            </w:pPr>
            <w:r w:rsidRPr="003F7B5F">
              <w:rPr>
                <w:rFonts w:ascii="Arial" w:eastAsia="Times New Roman" w:hAnsi="Arial" w:cs="Arial"/>
                <w:color w:val="000000"/>
                <w:szCs w:val="24"/>
              </w:rPr>
              <w:t>Academic Performance</w:t>
            </w:r>
          </w:p>
        </w:tc>
        <w:tc>
          <w:tcPr>
            <w:tcW w:w="2250" w:type="dxa"/>
            <w:tcMar>
              <w:top w:w="30" w:type="dxa"/>
              <w:left w:w="120" w:type="dxa"/>
              <w:bottom w:w="30" w:type="dxa"/>
              <w:right w:w="120" w:type="dxa"/>
            </w:tcMar>
            <w:vAlign w:val="center"/>
          </w:tcPr>
          <w:p w14:paraId="26885456" w14:textId="2C5046DE"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Status Only</w:t>
            </w:r>
          </w:p>
        </w:tc>
        <w:tc>
          <w:tcPr>
            <w:tcW w:w="2250" w:type="dxa"/>
            <w:tcMar>
              <w:top w:w="30" w:type="dxa"/>
              <w:left w:w="120" w:type="dxa"/>
              <w:bottom w:w="30" w:type="dxa"/>
              <w:right w:w="120" w:type="dxa"/>
            </w:tcMar>
            <w:vAlign w:val="center"/>
          </w:tcPr>
          <w:p w14:paraId="57184042" w14:textId="1E2BDE2B"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c>
          <w:tcPr>
            <w:tcW w:w="2250" w:type="dxa"/>
            <w:tcMar>
              <w:top w:w="30" w:type="dxa"/>
              <w:left w:w="120" w:type="dxa"/>
              <w:bottom w:w="30" w:type="dxa"/>
              <w:right w:w="120" w:type="dxa"/>
            </w:tcMar>
            <w:vAlign w:val="center"/>
          </w:tcPr>
          <w:p w14:paraId="5865F5B9" w14:textId="5E096E15"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r>
      <w:tr w:rsidR="00180106" w14:paraId="28D690FA" w14:textId="77777777" w:rsidTr="001C7C84">
        <w:trPr>
          <w:cantSplit/>
        </w:trPr>
        <w:tc>
          <w:tcPr>
            <w:tcW w:w="2970" w:type="dxa"/>
            <w:shd w:val="clear" w:color="auto" w:fill="E1D0EE" w:themeFill="accent3" w:themeFillShade="E6"/>
            <w:tcMar>
              <w:top w:w="30" w:type="dxa"/>
              <w:left w:w="120" w:type="dxa"/>
              <w:bottom w:w="30" w:type="dxa"/>
              <w:right w:w="120" w:type="dxa"/>
            </w:tcMar>
            <w:vAlign w:val="center"/>
          </w:tcPr>
          <w:p w14:paraId="788676C7" w14:textId="6CE7FF1B" w:rsidR="00180106" w:rsidRPr="001E1B4A" w:rsidRDefault="001E1B4A" w:rsidP="006648F4">
            <w:pPr>
              <w:spacing w:before="0" w:after="0"/>
              <w:textAlignment w:val="baseline"/>
              <w:rPr>
                <w:rFonts w:ascii="Arial" w:eastAsia="Times New Roman" w:hAnsi="Arial" w:cs="Arial"/>
                <w:color w:val="000000"/>
                <w:szCs w:val="24"/>
              </w:rPr>
            </w:pPr>
            <w:r w:rsidRPr="001E1B4A">
              <w:rPr>
                <w:rFonts w:ascii="Arial" w:eastAsia="Times New Roman" w:hAnsi="Arial" w:cs="Arial"/>
                <w:color w:val="000000"/>
                <w:szCs w:val="24"/>
              </w:rPr>
              <w:t>Suspension</w:t>
            </w:r>
            <w:r w:rsidR="003F7B5F">
              <w:rPr>
                <w:rFonts w:ascii="Arial" w:eastAsia="Times New Roman" w:hAnsi="Arial" w:cs="Arial"/>
                <w:color w:val="000000"/>
                <w:szCs w:val="24"/>
              </w:rPr>
              <w:t xml:space="preserve"> Rate</w:t>
            </w:r>
          </w:p>
        </w:tc>
        <w:tc>
          <w:tcPr>
            <w:tcW w:w="2250" w:type="dxa"/>
            <w:shd w:val="clear" w:color="auto" w:fill="E1D0EE" w:themeFill="accent3" w:themeFillShade="E6"/>
            <w:tcMar>
              <w:top w:w="30" w:type="dxa"/>
              <w:left w:w="120" w:type="dxa"/>
              <w:bottom w:w="30" w:type="dxa"/>
              <w:right w:w="120" w:type="dxa"/>
            </w:tcMar>
            <w:vAlign w:val="center"/>
          </w:tcPr>
          <w:p w14:paraId="5987A2C8" w14:textId="440EF583"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Status Only</w:t>
            </w:r>
          </w:p>
        </w:tc>
        <w:tc>
          <w:tcPr>
            <w:tcW w:w="2250" w:type="dxa"/>
            <w:shd w:val="clear" w:color="auto" w:fill="E1D0EE" w:themeFill="accent3" w:themeFillShade="E6"/>
            <w:tcMar>
              <w:top w:w="30" w:type="dxa"/>
              <w:left w:w="120" w:type="dxa"/>
              <w:bottom w:w="30" w:type="dxa"/>
              <w:right w:w="120" w:type="dxa"/>
            </w:tcMar>
            <w:vAlign w:val="center"/>
          </w:tcPr>
          <w:p w14:paraId="437CC17A" w14:textId="44387865"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c>
          <w:tcPr>
            <w:tcW w:w="2250" w:type="dxa"/>
            <w:shd w:val="clear" w:color="auto" w:fill="E1D0EE" w:themeFill="accent3" w:themeFillShade="E6"/>
            <w:tcMar>
              <w:top w:w="30" w:type="dxa"/>
              <w:left w:w="120" w:type="dxa"/>
              <w:bottom w:w="30" w:type="dxa"/>
              <w:right w:w="120" w:type="dxa"/>
            </w:tcMar>
            <w:vAlign w:val="center"/>
          </w:tcPr>
          <w:p w14:paraId="24173199" w14:textId="2AD0F1DF"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r>
      <w:tr w:rsidR="00180106" w14:paraId="0C0AA74C" w14:textId="77777777" w:rsidTr="001C7C84">
        <w:trPr>
          <w:cantSplit/>
        </w:trPr>
        <w:tc>
          <w:tcPr>
            <w:tcW w:w="2970" w:type="dxa"/>
            <w:tcMar>
              <w:top w:w="30" w:type="dxa"/>
              <w:left w:w="120" w:type="dxa"/>
              <w:bottom w:w="30" w:type="dxa"/>
              <w:right w:w="120" w:type="dxa"/>
            </w:tcMar>
            <w:vAlign w:val="center"/>
          </w:tcPr>
          <w:p w14:paraId="4A848ADB" w14:textId="7F54ABB3" w:rsidR="00180106" w:rsidRPr="001E1B4A" w:rsidRDefault="001E1B4A" w:rsidP="006648F4">
            <w:pPr>
              <w:spacing w:before="0" w:after="0"/>
              <w:textAlignment w:val="baseline"/>
              <w:rPr>
                <w:rFonts w:ascii="Arial" w:eastAsia="Times New Roman" w:hAnsi="Arial" w:cs="Arial"/>
                <w:color w:val="000000"/>
                <w:szCs w:val="24"/>
              </w:rPr>
            </w:pPr>
            <w:r w:rsidRPr="001E1B4A">
              <w:rPr>
                <w:rFonts w:ascii="Arial" w:eastAsia="Times New Roman" w:hAnsi="Arial" w:cs="Arial"/>
                <w:color w:val="000000"/>
                <w:szCs w:val="24"/>
              </w:rPr>
              <w:t>Chronic Absenteeism</w:t>
            </w:r>
          </w:p>
        </w:tc>
        <w:tc>
          <w:tcPr>
            <w:tcW w:w="2250" w:type="dxa"/>
            <w:tcMar>
              <w:top w:w="30" w:type="dxa"/>
              <w:left w:w="120" w:type="dxa"/>
              <w:bottom w:w="30" w:type="dxa"/>
              <w:right w:w="120" w:type="dxa"/>
            </w:tcMar>
            <w:vAlign w:val="center"/>
          </w:tcPr>
          <w:p w14:paraId="59CFCAB3" w14:textId="0CED819A"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Status Only</w:t>
            </w:r>
          </w:p>
        </w:tc>
        <w:tc>
          <w:tcPr>
            <w:tcW w:w="2250" w:type="dxa"/>
            <w:tcMar>
              <w:top w:w="30" w:type="dxa"/>
              <w:left w:w="120" w:type="dxa"/>
              <w:bottom w:w="30" w:type="dxa"/>
              <w:right w:w="120" w:type="dxa"/>
            </w:tcMar>
            <w:vAlign w:val="center"/>
          </w:tcPr>
          <w:p w14:paraId="13A01863" w14:textId="456F944F"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c>
          <w:tcPr>
            <w:tcW w:w="2250" w:type="dxa"/>
            <w:tcMar>
              <w:top w:w="30" w:type="dxa"/>
              <w:left w:w="120" w:type="dxa"/>
              <w:bottom w:w="30" w:type="dxa"/>
              <w:right w:w="120" w:type="dxa"/>
            </w:tcMar>
            <w:vAlign w:val="center"/>
          </w:tcPr>
          <w:p w14:paraId="7FD43BE4" w14:textId="2CDBD47A"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r>
      <w:tr w:rsidR="00180106" w14:paraId="147190CD" w14:textId="77777777" w:rsidTr="001C7C84">
        <w:trPr>
          <w:cantSplit/>
        </w:trPr>
        <w:tc>
          <w:tcPr>
            <w:tcW w:w="2970" w:type="dxa"/>
            <w:shd w:val="clear" w:color="auto" w:fill="E1D0EE" w:themeFill="accent3" w:themeFillShade="E6"/>
            <w:tcMar>
              <w:top w:w="30" w:type="dxa"/>
              <w:left w:w="120" w:type="dxa"/>
              <w:bottom w:w="30" w:type="dxa"/>
              <w:right w:w="120" w:type="dxa"/>
            </w:tcMar>
            <w:vAlign w:val="center"/>
          </w:tcPr>
          <w:p w14:paraId="0FC0BFB1" w14:textId="2D913E41" w:rsidR="00180106" w:rsidRPr="001E1B4A" w:rsidRDefault="001E1B4A" w:rsidP="006648F4">
            <w:pPr>
              <w:spacing w:before="0" w:after="0"/>
              <w:textAlignment w:val="baseline"/>
              <w:rPr>
                <w:rFonts w:ascii="Arial" w:eastAsia="Times New Roman" w:hAnsi="Arial" w:cs="Arial"/>
                <w:color w:val="000000"/>
                <w:szCs w:val="24"/>
              </w:rPr>
            </w:pPr>
            <w:r w:rsidRPr="001E1B4A">
              <w:rPr>
                <w:rFonts w:ascii="Arial" w:eastAsia="Times New Roman" w:hAnsi="Arial" w:cs="Arial"/>
                <w:color w:val="000000"/>
                <w:szCs w:val="24"/>
              </w:rPr>
              <w:t>Graduation Rate</w:t>
            </w:r>
          </w:p>
        </w:tc>
        <w:tc>
          <w:tcPr>
            <w:tcW w:w="2250" w:type="dxa"/>
            <w:shd w:val="clear" w:color="auto" w:fill="E1D0EE" w:themeFill="accent3" w:themeFillShade="E6"/>
            <w:tcMar>
              <w:top w:w="30" w:type="dxa"/>
              <w:left w:w="120" w:type="dxa"/>
              <w:bottom w:w="30" w:type="dxa"/>
              <w:right w:w="120" w:type="dxa"/>
            </w:tcMar>
            <w:vAlign w:val="center"/>
          </w:tcPr>
          <w:p w14:paraId="70869BCD" w14:textId="0E91B0B6"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Status Only</w:t>
            </w:r>
          </w:p>
        </w:tc>
        <w:tc>
          <w:tcPr>
            <w:tcW w:w="2250" w:type="dxa"/>
            <w:shd w:val="clear" w:color="auto" w:fill="E1D0EE" w:themeFill="accent3" w:themeFillShade="E6"/>
            <w:tcMar>
              <w:top w:w="30" w:type="dxa"/>
              <w:left w:w="120" w:type="dxa"/>
              <w:bottom w:w="30" w:type="dxa"/>
              <w:right w:w="120" w:type="dxa"/>
            </w:tcMar>
            <w:vAlign w:val="center"/>
          </w:tcPr>
          <w:p w14:paraId="7713F1A5" w14:textId="64996E78"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c>
          <w:tcPr>
            <w:tcW w:w="2250" w:type="dxa"/>
            <w:shd w:val="clear" w:color="auto" w:fill="E1D0EE" w:themeFill="accent3" w:themeFillShade="E6"/>
            <w:tcMar>
              <w:top w:w="30" w:type="dxa"/>
              <w:left w:w="120" w:type="dxa"/>
              <w:bottom w:w="30" w:type="dxa"/>
              <w:right w:w="120" w:type="dxa"/>
            </w:tcMar>
            <w:vAlign w:val="center"/>
          </w:tcPr>
          <w:p w14:paraId="532A2F9E" w14:textId="08730558"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r>
      <w:tr w:rsidR="00180106" w14:paraId="67ED9D43" w14:textId="77777777" w:rsidTr="001C7C84">
        <w:trPr>
          <w:cantSplit/>
        </w:trPr>
        <w:tc>
          <w:tcPr>
            <w:tcW w:w="2970" w:type="dxa"/>
            <w:tcMar>
              <w:top w:w="30" w:type="dxa"/>
              <w:left w:w="120" w:type="dxa"/>
              <w:bottom w:w="30" w:type="dxa"/>
              <w:right w:w="120" w:type="dxa"/>
            </w:tcMar>
            <w:vAlign w:val="center"/>
          </w:tcPr>
          <w:p w14:paraId="63CCB820" w14:textId="2CB58CD6" w:rsidR="00180106" w:rsidRPr="001E1B4A" w:rsidRDefault="003F7B5F" w:rsidP="006648F4">
            <w:pPr>
              <w:spacing w:before="0" w:after="0"/>
              <w:textAlignment w:val="baseline"/>
              <w:rPr>
                <w:rFonts w:ascii="Arial" w:eastAsia="Times New Roman" w:hAnsi="Arial" w:cs="Arial"/>
                <w:color w:val="000000"/>
                <w:szCs w:val="24"/>
              </w:rPr>
            </w:pPr>
            <w:r w:rsidRPr="003F7B5F">
              <w:rPr>
                <w:rFonts w:ascii="Arial" w:eastAsia="Times New Roman" w:hAnsi="Arial" w:cs="Arial"/>
                <w:color w:val="000000"/>
                <w:szCs w:val="24"/>
              </w:rPr>
              <w:t>College/Career Readiness</w:t>
            </w:r>
          </w:p>
        </w:tc>
        <w:tc>
          <w:tcPr>
            <w:tcW w:w="2250" w:type="dxa"/>
            <w:tcMar>
              <w:top w:w="30" w:type="dxa"/>
              <w:left w:w="120" w:type="dxa"/>
              <w:bottom w:w="30" w:type="dxa"/>
              <w:right w:w="120" w:type="dxa"/>
            </w:tcMar>
            <w:vAlign w:val="center"/>
          </w:tcPr>
          <w:p w14:paraId="3FC0918C" w14:textId="5DDB59A5"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N/A</w:t>
            </w:r>
          </w:p>
        </w:tc>
        <w:tc>
          <w:tcPr>
            <w:tcW w:w="2250" w:type="dxa"/>
            <w:tcMar>
              <w:top w:w="30" w:type="dxa"/>
              <w:left w:w="120" w:type="dxa"/>
              <w:bottom w:w="30" w:type="dxa"/>
              <w:right w:w="120" w:type="dxa"/>
            </w:tcMar>
            <w:vAlign w:val="center"/>
          </w:tcPr>
          <w:p w14:paraId="599C6D3E" w14:textId="3A4237BD"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Status Only</w:t>
            </w:r>
          </w:p>
        </w:tc>
        <w:tc>
          <w:tcPr>
            <w:tcW w:w="2250" w:type="dxa"/>
            <w:tcMar>
              <w:top w:w="30" w:type="dxa"/>
              <w:left w:w="120" w:type="dxa"/>
              <w:bottom w:w="30" w:type="dxa"/>
              <w:right w:w="120" w:type="dxa"/>
            </w:tcMar>
            <w:vAlign w:val="center"/>
          </w:tcPr>
          <w:p w14:paraId="6117C501" w14:textId="3FA0BD36"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r>
      <w:tr w:rsidR="00180106" w14:paraId="7895A614" w14:textId="77777777" w:rsidTr="001C7C84">
        <w:trPr>
          <w:cantSplit/>
        </w:trPr>
        <w:tc>
          <w:tcPr>
            <w:tcW w:w="2970" w:type="dxa"/>
            <w:shd w:val="clear" w:color="auto" w:fill="E1D0EE" w:themeFill="accent3" w:themeFillShade="E6"/>
            <w:tcMar>
              <w:top w:w="30" w:type="dxa"/>
              <w:left w:w="120" w:type="dxa"/>
              <w:bottom w:w="30" w:type="dxa"/>
              <w:right w:w="120" w:type="dxa"/>
            </w:tcMar>
            <w:vAlign w:val="center"/>
          </w:tcPr>
          <w:p w14:paraId="21B714BE" w14:textId="046A04D6" w:rsidR="00180106" w:rsidRPr="001E1B4A" w:rsidRDefault="003F7B5F" w:rsidP="006648F4">
            <w:pPr>
              <w:spacing w:before="0" w:after="0"/>
              <w:textAlignment w:val="baseline"/>
              <w:rPr>
                <w:rFonts w:ascii="Arial" w:eastAsia="Times New Roman" w:hAnsi="Arial" w:cs="Arial"/>
                <w:color w:val="000000"/>
                <w:szCs w:val="24"/>
              </w:rPr>
            </w:pPr>
            <w:r w:rsidRPr="003F7B5F">
              <w:rPr>
                <w:rFonts w:ascii="Arial" w:eastAsia="Times New Roman" w:hAnsi="Arial" w:cs="Arial"/>
                <w:color w:val="000000"/>
                <w:szCs w:val="24"/>
              </w:rPr>
              <w:t>English Learner Progress</w:t>
            </w:r>
          </w:p>
        </w:tc>
        <w:tc>
          <w:tcPr>
            <w:tcW w:w="2250" w:type="dxa"/>
            <w:shd w:val="clear" w:color="auto" w:fill="E1D0EE" w:themeFill="accent3" w:themeFillShade="E6"/>
            <w:tcMar>
              <w:top w:w="30" w:type="dxa"/>
              <w:left w:w="120" w:type="dxa"/>
              <w:bottom w:w="30" w:type="dxa"/>
              <w:right w:w="120" w:type="dxa"/>
            </w:tcMar>
            <w:vAlign w:val="center"/>
          </w:tcPr>
          <w:p w14:paraId="07A38B1A" w14:textId="0634FFB3"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Status Only</w:t>
            </w:r>
          </w:p>
        </w:tc>
        <w:tc>
          <w:tcPr>
            <w:tcW w:w="2250" w:type="dxa"/>
            <w:shd w:val="clear" w:color="auto" w:fill="E1D0EE" w:themeFill="accent3" w:themeFillShade="E6"/>
            <w:tcMar>
              <w:top w:w="30" w:type="dxa"/>
              <w:left w:w="120" w:type="dxa"/>
              <w:bottom w:w="30" w:type="dxa"/>
              <w:right w:w="120" w:type="dxa"/>
            </w:tcMar>
            <w:vAlign w:val="center"/>
          </w:tcPr>
          <w:p w14:paraId="281C2243" w14:textId="6D2FCE47"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c>
          <w:tcPr>
            <w:tcW w:w="2250" w:type="dxa"/>
            <w:shd w:val="clear" w:color="auto" w:fill="E1D0EE" w:themeFill="accent3" w:themeFillShade="E6"/>
            <w:tcMar>
              <w:top w:w="30" w:type="dxa"/>
              <w:left w:w="120" w:type="dxa"/>
              <w:bottom w:w="30" w:type="dxa"/>
              <w:right w:w="120" w:type="dxa"/>
            </w:tcMar>
            <w:vAlign w:val="center"/>
          </w:tcPr>
          <w:p w14:paraId="5A5B388F" w14:textId="14879BF5" w:rsidR="00180106" w:rsidRPr="001E1B4A" w:rsidRDefault="001E1B4A" w:rsidP="006648F4">
            <w:pPr>
              <w:spacing w:before="0" w:after="0"/>
              <w:jc w:val="center"/>
              <w:textAlignment w:val="baseline"/>
              <w:rPr>
                <w:rFonts w:ascii="Arial" w:eastAsia="Times New Roman" w:hAnsi="Arial" w:cs="Arial"/>
                <w:color w:val="000000"/>
                <w:szCs w:val="24"/>
              </w:rPr>
            </w:pPr>
            <w:r>
              <w:rPr>
                <w:rFonts w:ascii="Arial" w:eastAsia="Times New Roman" w:hAnsi="Arial" w:cs="Arial"/>
                <w:color w:val="000000"/>
                <w:szCs w:val="24"/>
              </w:rPr>
              <w:t>Color Reported</w:t>
            </w:r>
          </w:p>
        </w:tc>
      </w:tr>
    </w:tbl>
    <w:p w14:paraId="3A6122F8" w14:textId="2ACF920E" w:rsidR="00986D35" w:rsidRPr="00842278" w:rsidRDefault="00986D35" w:rsidP="00CB16BE">
      <w:pPr>
        <w:pStyle w:val="Heading3"/>
        <w:rPr>
          <w:rFonts w:ascii="Times New Roman" w:hAnsi="Times New Roman" w:cs="Times New Roman"/>
        </w:rPr>
      </w:pPr>
      <w:r w:rsidRPr="00842278">
        <w:t>Future Dashboard Considerations</w:t>
      </w:r>
    </w:p>
    <w:p w14:paraId="23A086F0" w14:textId="4A622D97" w:rsidR="00F63B5C" w:rsidRPr="00F63B5C" w:rsidRDefault="00F63B5C" w:rsidP="00F63B5C">
      <w:pPr>
        <w:spacing w:before="120" w:after="0"/>
      </w:pPr>
      <w:r w:rsidRPr="00F63B5C">
        <w:t>Future</w:t>
      </w:r>
      <w:r>
        <w:t xml:space="preserve"> </w:t>
      </w:r>
      <w:r w:rsidRPr="00F63B5C">
        <w:t>Dashboard </w:t>
      </w:r>
      <w:r w:rsidR="004F53B2">
        <w:t>c</w:t>
      </w:r>
      <w:r w:rsidRPr="00F63B5C">
        <w:t>onsiderations will include</w:t>
      </w:r>
      <w:r>
        <w:t xml:space="preserve"> a</w:t>
      </w:r>
      <w:r w:rsidRPr="00F63B5C">
        <w:t>dding College/Career Readiness measures, such as new career components</w:t>
      </w:r>
      <w:r w:rsidR="00642355">
        <w:t>,</w:t>
      </w:r>
      <w:r w:rsidRPr="00F63B5C">
        <w:t xml:space="preserve"> in 2023. Additionally, the State Board</w:t>
      </w:r>
      <w:r w:rsidR="004F53B2">
        <w:t xml:space="preserve"> of Education</w:t>
      </w:r>
      <w:r w:rsidRPr="00F63B5C">
        <w:t xml:space="preserve"> and CDE will explore how to incorporate and collect data on both civic engagement and industry certifications.</w:t>
      </w:r>
    </w:p>
    <w:p w14:paraId="7D42FC46" w14:textId="77BE0397" w:rsidR="00F857CD" w:rsidRDefault="00F63B5C" w:rsidP="00F63B5C">
      <w:pPr>
        <w:spacing w:before="120" w:after="0"/>
      </w:pPr>
      <w:r w:rsidRPr="00F63B5C">
        <w:t>The State Board</w:t>
      </w:r>
      <w:r w:rsidR="000C1675">
        <w:t xml:space="preserve"> of Education</w:t>
      </w:r>
      <w:r w:rsidRPr="00F63B5C">
        <w:t xml:space="preserve"> and CDE will also explore adding the California Science Test results to the Dashboard as well as the Academic Student Growth Model.</w:t>
      </w:r>
    </w:p>
    <w:p w14:paraId="26E5DCF9" w14:textId="77777777" w:rsidR="00D12BD4" w:rsidRPr="007F74A8" w:rsidRDefault="00D12BD4" w:rsidP="00D12BD4">
      <w:pPr>
        <w:pStyle w:val="Heading3"/>
      </w:pPr>
      <w:r w:rsidRPr="007F74A8">
        <w:t>Contacting Us</w:t>
      </w:r>
    </w:p>
    <w:p w14:paraId="5B5B068F" w14:textId="77777777" w:rsidR="00D12BD4" w:rsidRPr="00FF34EF" w:rsidRDefault="00D12BD4" w:rsidP="00D12BD4">
      <w:pPr>
        <w:rPr>
          <w:rFonts w:cs="Arial"/>
        </w:rPr>
      </w:pPr>
      <w:r w:rsidRPr="00FF34EF">
        <w:t>Email the Analysis, Measurement, and Accountability Reporting Division at</w:t>
      </w:r>
      <w:r>
        <w:t xml:space="preserve"> </w:t>
      </w:r>
      <w:hyperlink r:id="rId23" w:history="1">
        <w:r w:rsidRPr="00BF3B70">
          <w:rPr>
            <w:rStyle w:val="Hyperlink"/>
            <w:rFonts w:cs="Arial"/>
          </w:rPr>
          <w:t>dashboard@cde.ca.gov</w:t>
        </w:r>
      </w:hyperlink>
      <w:r w:rsidRPr="00FF34EF">
        <w:rPr>
          <w:rFonts w:cs="Arial"/>
        </w:rPr>
        <w:t>.</w:t>
      </w:r>
    </w:p>
    <w:p w14:paraId="4E178E70" w14:textId="7D5C72F5" w:rsidR="00D12BD4" w:rsidRDefault="00D12BD4" w:rsidP="00D12BD4">
      <w:r w:rsidRPr="00FF34EF">
        <w:t xml:space="preserve">Follow us on Twitter at </w:t>
      </w:r>
      <w:hyperlink r:id="rId24" w:history="1">
        <w:r w:rsidRPr="003950A1">
          <w:rPr>
            <w:rStyle w:val="Hyperlink"/>
          </w:rPr>
          <w:t>@CDEDashboard</w:t>
        </w:r>
      </w:hyperlink>
      <w:r w:rsidRPr="00FF34EF">
        <w:t>!</w:t>
      </w:r>
    </w:p>
    <w:p w14:paraId="47265473" w14:textId="77777777" w:rsidR="00255A23" w:rsidRDefault="00255A23" w:rsidP="00255A23">
      <w:pPr>
        <w:pStyle w:val="Heading3"/>
      </w:pPr>
      <w:r>
        <w:t>Questions and Answers</w:t>
      </w:r>
    </w:p>
    <w:p w14:paraId="4337AC58" w14:textId="4138E467" w:rsidR="00255A23" w:rsidRPr="00B512EF" w:rsidRDefault="00255A23" w:rsidP="00B512EF">
      <w:r>
        <w:t>[Insert notes here.]</w:t>
      </w:r>
    </w:p>
    <w:sectPr w:rsidR="00255A23" w:rsidRPr="00B512E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D649" w14:textId="77777777" w:rsidR="00AD2975" w:rsidRDefault="00AD2975" w:rsidP="00013B94">
      <w:pPr>
        <w:spacing w:after="0"/>
      </w:pPr>
      <w:r>
        <w:separator/>
      </w:r>
    </w:p>
  </w:endnote>
  <w:endnote w:type="continuationSeparator" w:id="0">
    <w:p w14:paraId="380EA4B8" w14:textId="77777777" w:rsidR="00AD2975" w:rsidRDefault="00AD2975" w:rsidP="00013B94">
      <w:pPr>
        <w:spacing w:after="0"/>
      </w:pPr>
      <w:r>
        <w:continuationSeparator/>
      </w:r>
    </w:p>
  </w:endnote>
  <w:endnote w:type="continuationNotice" w:id="1">
    <w:p w14:paraId="26F850AE" w14:textId="77777777" w:rsidR="00AD2975" w:rsidRDefault="00AD2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33A" w14:textId="3697CEE3" w:rsidR="00F857CD" w:rsidRPr="004C122B" w:rsidRDefault="004C122B" w:rsidP="004C122B">
    <w:pPr>
      <w:pStyle w:val="Footer"/>
    </w:pPr>
    <w:r>
      <w:t xml:space="preserve">2022 Dashboard </w:t>
    </w:r>
    <w:r w:rsidRPr="006A5953">
      <w:t>Fall Webinar Series</w:t>
    </w:r>
    <w:r>
      <w:t>: Session 1</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6BEF1" w14:textId="77777777" w:rsidR="00AD2975" w:rsidRDefault="00AD2975" w:rsidP="00013B94">
      <w:pPr>
        <w:spacing w:after="0"/>
      </w:pPr>
      <w:r>
        <w:separator/>
      </w:r>
    </w:p>
  </w:footnote>
  <w:footnote w:type="continuationSeparator" w:id="0">
    <w:p w14:paraId="1D896D52" w14:textId="77777777" w:rsidR="00AD2975" w:rsidRDefault="00AD2975" w:rsidP="00013B94">
      <w:pPr>
        <w:spacing w:after="0"/>
      </w:pPr>
      <w:r>
        <w:continuationSeparator/>
      </w:r>
    </w:p>
  </w:footnote>
  <w:footnote w:type="continuationNotice" w:id="1">
    <w:p w14:paraId="22B97923" w14:textId="77777777" w:rsidR="00AD2975" w:rsidRDefault="00AD29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663"/>
    <w:multiLevelType w:val="hybridMultilevel"/>
    <w:tmpl w:val="AB1A8A84"/>
    <w:lvl w:ilvl="0" w:tplc="5D306FCA">
      <w:start w:val="1"/>
      <w:numFmt w:val="bullet"/>
      <w:lvlText w:val="•"/>
      <w:lvlJc w:val="left"/>
      <w:pPr>
        <w:tabs>
          <w:tab w:val="num" w:pos="720"/>
        </w:tabs>
        <w:ind w:left="720" w:hanging="360"/>
      </w:pPr>
      <w:rPr>
        <w:rFonts w:ascii="Arial,Sans-Serif" w:hAnsi="Arial,Sans-Serif" w:hint="default"/>
      </w:rPr>
    </w:lvl>
    <w:lvl w:ilvl="1" w:tplc="306CF238" w:tentative="1">
      <w:start w:val="1"/>
      <w:numFmt w:val="bullet"/>
      <w:lvlText w:val="•"/>
      <w:lvlJc w:val="left"/>
      <w:pPr>
        <w:tabs>
          <w:tab w:val="num" w:pos="1440"/>
        </w:tabs>
        <w:ind w:left="1440" w:hanging="360"/>
      </w:pPr>
      <w:rPr>
        <w:rFonts w:ascii="Arial,Sans-Serif" w:hAnsi="Arial,Sans-Serif" w:hint="default"/>
      </w:rPr>
    </w:lvl>
    <w:lvl w:ilvl="2" w:tplc="01F09692" w:tentative="1">
      <w:start w:val="1"/>
      <w:numFmt w:val="bullet"/>
      <w:lvlText w:val="•"/>
      <w:lvlJc w:val="left"/>
      <w:pPr>
        <w:tabs>
          <w:tab w:val="num" w:pos="2160"/>
        </w:tabs>
        <w:ind w:left="2160" w:hanging="360"/>
      </w:pPr>
      <w:rPr>
        <w:rFonts w:ascii="Arial,Sans-Serif" w:hAnsi="Arial,Sans-Serif" w:hint="default"/>
      </w:rPr>
    </w:lvl>
    <w:lvl w:ilvl="3" w:tplc="EF34396C" w:tentative="1">
      <w:start w:val="1"/>
      <w:numFmt w:val="bullet"/>
      <w:lvlText w:val="•"/>
      <w:lvlJc w:val="left"/>
      <w:pPr>
        <w:tabs>
          <w:tab w:val="num" w:pos="2880"/>
        </w:tabs>
        <w:ind w:left="2880" w:hanging="360"/>
      </w:pPr>
      <w:rPr>
        <w:rFonts w:ascii="Arial,Sans-Serif" w:hAnsi="Arial,Sans-Serif" w:hint="default"/>
      </w:rPr>
    </w:lvl>
    <w:lvl w:ilvl="4" w:tplc="521A0338" w:tentative="1">
      <w:start w:val="1"/>
      <w:numFmt w:val="bullet"/>
      <w:lvlText w:val="•"/>
      <w:lvlJc w:val="left"/>
      <w:pPr>
        <w:tabs>
          <w:tab w:val="num" w:pos="3600"/>
        </w:tabs>
        <w:ind w:left="3600" w:hanging="360"/>
      </w:pPr>
      <w:rPr>
        <w:rFonts w:ascii="Arial,Sans-Serif" w:hAnsi="Arial,Sans-Serif" w:hint="default"/>
      </w:rPr>
    </w:lvl>
    <w:lvl w:ilvl="5" w:tplc="C7C08C58" w:tentative="1">
      <w:start w:val="1"/>
      <w:numFmt w:val="bullet"/>
      <w:lvlText w:val="•"/>
      <w:lvlJc w:val="left"/>
      <w:pPr>
        <w:tabs>
          <w:tab w:val="num" w:pos="4320"/>
        </w:tabs>
        <w:ind w:left="4320" w:hanging="360"/>
      </w:pPr>
      <w:rPr>
        <w:rFonts w:ascii="Arial,Sans-Serif" w:hAnsi="Arial,Sans-Serif" w:hint="default"/>
      </w:rPr>
    </w:lvl>
    <w:lvl w:ilvl="6" w:tplc="6ECAAEB8" w:tentative="1">
      <w:start w:val="1"/>
      <w:numFmt w:val="bullet"/>
      <w:lvlText w:val="•"/>
      <w:lvlJc w:val="left"/>
      <w:pPr>
        <w:tabs>
          <w:tab w:val="num" w:pos="5040"/>
        </w:tabs>
        <w:ind w:left="5040" w:hanging="360"/>
      </w:pPr>
      <w:rPr>
        <w:rFonts w:ascii="Arial,Sans-Serif" w:hAnsi="Arial,Sans-Serif" w:hint="default"/>
      </w:rPr>
    </w:lvl>
    <w:lvl w:ilvl="7" w:tplc="7306152C" w:tentative="1">
      <w:start w:val="1"/>
      <w:numFmt w:val="bullet"/>
      <w:lvlText w:val="•"/>
      <w:lvlJc w:val="left"/>
      <w:pPr>
        <w:tabs>
          <w:tab w:val="num" w:pos="5760"/>
        </w:tabs>
        <w:ind w:left="5760" w:hanging="360"/>
      </w:pPr>
      <w:rPr>
        <w:rFonts w:ascii="Arial,Sans-Serif" w:hAnsi="Arial,Sans-Serif" w:hint="default"/>
      </w:rPr>
    </w:lvl>
    <w:lvl w:ilvl="8" w:tplc="84588E1E" w:tentative="1">
      <w:start w:val="1"/>
      <w:numFmt w:val="bullet"/>
      <w:lvlText w:val="•"/>
      <w:lvlJc w:val="left"/>
      <w:pPr>
        <w:tabs>
          <w:tab w:val="num" w:pos="6480"/>
        </w:tabs>
        <w:ind w:left="6480" w:hanging="360"/>
      </w:pPr>
      <w:rPr>
        <w:rFonts w:ascii="Arial,Sans-Serif" w:hAnsi="Arial,Sans-Serif" w:hint="default"/>
      </w:rPr>
    </w:lvl>
  </w:abstractNum>
  <w:abstractNum w:abstractNumId="1" w15:restartNumberingAfterBreak="0">
    <w:nsid w:val="04CF2A8E"/>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C7903"/>
    <w:multiLevelType w:val="multilevel"/>
    <w:tmpl w:val="07328058"/>
    <w:lvl w:ilvl="0">
      <w:start w:val="1"/>
      <w:numFmt w:val="bullet"/>
      <w:lvlText w:val=""/>
      <w:lvlJc w:val="left"/>
      <w:pPr>
        <w:tabs>
          <w:tab w:val="num" w:pos="720"/>
        </w:tabs>
        <w:ind w:left="720" w:hanging="360"/>
      </w:pPr>
      <w:rPr>
        <w:rFonts w:ascii="Symbol" w:hAnsi="Symbol" w:hint="default"/>
        <w:color w:val="7030A0" w:themeColor="accent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D7AE2"/>
    <w:multiLevelType w:val="multilevel"/>
    <w:tmpl w:val="07328058"/>
    <w:lvl w:ilvl="0">
      <w:start w:val="1"/>
      <w:numFmt w:val="bullet"/>
      <w:lvlText w:val=""/>
      <w:lvlJc w:val="left"/>
      <w:pPr>
        <w:tabs>
          <w:tab w:val="num" w:pos="720"/>
        </w:tabs>
        <w:ind w:left="720" w:hanging="360"/>
      </w:pPr>
      <w:rPr>
        <w:rFonts w:ascii="Symbol" w:hAnsi="Symbol" w:hint="default"/>
        <w:color w:val="7030A0" w:themeColor="accent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86201"/>
    <w:multiLevelType w:val="hybridMultilevel"/>
    <w:tmpl w:val="02F83966"/>
    <w:lvl w:ilvl="0" w:tplc="62FE1E6E">
      <w:start w:val="1"/>
      <w:numFmt w:val="bullet"/>
      <w:lvlText w:val="•"/>
      <w:lvlJc w:val="left"/>
      <w:pPr>
        <w:tabs>
          <w:tab w:val="num" w:pos="720"/>
        </w:tabs>
        <w:ind w:left="720" w:hanging="360"/>
      </w:pPr>
      <w:rPr>
        <w:rFonts w:ascii="Arial,Sans-Serif" w:hAnsi="Arial,Sans-Serif" w:hint="default"/>
      </w:rPr>
    </w:lvl>
    <w:lvl w:ilvl="1" w:tplc="DEA04042" w:tentative="1">
      <w:start w:val="1"/>
      <w:numFmt w:val="bullet"/>
      <w:lvlText w:val="•"/>
      <w:lvlJc w:val="left"/>
      <w:pPr>
        <w:tabs>
          <w:tab w:val="num" w:pos="1440"/>
        </w:tabs>
        <w:ind w:left="1440" w:hanging="360"/>
      </w:pPr>
      <w:rPr>
        <w:rFonts w:ascii="Arial,Sans-Serif" w:hAnsi="Arial,Sans-Serif" w:hint="default"/>
      </w:rPr>
    </w:lvl>
    <w:lvl w:ilvl="2" w:tplc="9B50D86E" w:tentative="1">
      <w:start w:val="1"/>
      <w:numFmt w:val="bullet"/>
      <w:lvlText w:val="•"/>
      <w:lvlJc w:val="left"/>
      <w:pPr>
        <w:tabs>
          <w:tab w:val="num" w:pos="2160"/>
        </w:tabs>
        <w:ind w:left="2160" w:hanging="360"/>
      </w:pPr>
      <w:rPr>
        <w:rFonts w:ascii="Arial,Sans-Serif" w:hAnsi="Arial,Sans-Serif" w:hint="default"/>
      </w:rPr>
    </w:lvl>
    <w:lvl w:ilvl="3" w:tplc="7F50C002" w:tentative="1">
      <w:start w:val="1"/>
      <w:numFmt w:val="bullet"/>
      <w:lvlText w:val="•"/>
      <w:lvlJc w:val="left"/>
      <w:pPr>
        <w:tabs>
          <w:tab w:val="num" w:pos="2880"/>
        </w:tabs>
        <w:ind w:left="2880" w:hanging="360"/>
      </w:pPr>
      <w:rPr>
        <w:rFonts w:ascii="Arial,Sans-Serif" w:hAnsi="Arial,Sans-Serif" w:hint="default"/>
      </w:rPr>
    </w:lvl>
    <w:lvl w:ilvl="4" w:tplc="AFDACAA6" w:tentative="1">
      <w:start w:val="1"/>
      <w:numFmt w:val="bullet"/>
      <w:lvlText w:val="•"/>
      <w:lvlJc w:val="left"/>
      <w:pPr>
        <w:tabs>
          <w:tab w:val="num" w:pos="3600"/>
        </w:tabs>
        <w:ind w:left="3600" w:hanging="360"/>
      </w:pPr>
      <w:rPr>
        <w:rFonts w:ascii="Arial,Sans-Serif" w:hAnsi="Arial,Sans-Serif" w:hint="default"/>
      </w:rPr>
    </w:lvl>
    <w:lvl w:ilvl="5" w:tplc="01020EE8" w:tentative="1">
      <w:start w:val="1"/>
      <w:numFmt w:val="bullet"/>
      <w:lvlText w:val="•"/>
      <w:lvlJc w:val="left"/>
      <w:pPr>
        <w:tabs>
          <w:tab w:val="num" w:pos="4320"/>
        </w:tabs>
        <w:ind w:left="4320" w:hanging="360"/>
      </w:pPr>
      <w:rPr>
        <w:rFonts w:ascii="Arial,Sans-Serif" w:hAnsi="Arial,Sans-Serif" w:hint="default"/>
      </w:rPr>
    </w:lvl>
    <w:lvl w:ilvl="6" w:tplc="424CD826" w:tentative="1">
      <w:start w:val="1"/>
      <w:numFmt w:val="bullet"/>
      <w:lvlText w:val="•"/>
      <w:lvlJc w:val="left"/>
      <w:pPr>
        <w:tabs>
          <w:tab w:val="num" w:pos="5040"/>
        </w:tabs>
        <w:ind w:left="5040" w:hanging="360"/>
      </w:pPr>
      <w:rPr>
        <w:rFonts w:ascii="Arial,Sans-Serif" w:hAnsi="Arial,Sans-Serif" w:hint="default"/>
      </w:rPr>
    </w:lvl>
    <w:lvl w:ilvl="7" w:tplc="DB5862BC" w:tentative="1">
      <w:start w:val="1"/>
      <w:numFmt w:val="bullet"/>
      <w:lvlText w:val="•"/>
      <w:lvlJc w:val="left"/>
      <w:pPr>
        <w:tabs>
          <w:tab w:val="num" w:pos="5760"/>
        </w:tabs>
        <w:ind w:left="5760" w:hanging="360"/>
      </w:pPr>
      <w:rPr>
        <w:rFonts w:ascii="Arial,Sans-Serif" w:hAnsi="Arial,Sans-Serif" w:hint="default"/>
      </w:rPr>
    </w:lvl>
    <w:lvl w:ilvl="8" w:tplc="515CB1FE" w:tentative="1">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38765105"/>
    <w:multiLevelType w:val="hybridMultilevel"/>
    <w:tmpl w:val="00FC23CC"/>
    <w:lvl w:ilvl="0" w:tplc="9C20E4C6">
      <w:start w:val="1"/>
      <w:numFmt w:val="bullet"/>
      <w:pStyle w:val="ListParagraph"/>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DA07A4"/>
    <w:multiLevelType w:val="hybridMultilevel"/>
    <w:tmpl w:val="9AFA10EE"/>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4659E8"/>
    <w:multiLevelType w:val="hybridMultilevel"/>
    <w:tmpl w:val="CA00FBCC"/>
    <w:lvl w:ilvl="0" w:tplc="6F9C34D0">
      <w:start w:val="1"/>
      <w:numFmt w:val="bullet"/>
      <w:lvlText w:val="•"/>
      <w:lvlJc w:val="left"/>
      <w:pPr>
        <w:tabs>
          <w:tab w:val="num" w:pos="720"/>
        </w:tabs>
        <w:ind w:left="720" w:hanging="360"/>
      </w:pPr>
      <w:rPr>
        <w:rFonts w:ascii="Arial,Sans-Serif" w:hAnsi="Arial,Sans-Serif" w:hint="default"/>
      </w:rPr>
    </w:lvl>
    <w:lvl w:ilvl="1" w:tplc="7E2AA01A" w:tentative="1">
      <w:start w:val="1"/>
      <w:numFmt w:val="bullet"/>
      <w:lvlText w:val="•"/>
      <w:lvlJc w:val="left"/>
      <w:pPr>
        <w:tabs>
          <w:tab w:val="num" w:pos="1440"/>
        </w:tabs>
        <w:ind w:left="1440" w:hanging="360"/>
      </w:pPr>
      <w:rPr>
        <w:rFonts w:ascii="Arial,Sans-Serif" w:hAnsi="Arial,Sans-Serif" w:hint="default"/>
      </w:rPr>
    </w:lvl>
    <w:lvl w:ilvl="2" w:tplc="7C3EF264" w:tentative="1">
      <w:start w:val="1"/>
      <w:numFmt w:val="bullet"/>
      <w:lvlText w:val="•"/>
      <w:lvlJc w:val="left"/>
      <w:pPr>
        <w:tabs>
          <w:tab w:val="num" w:pos="2160"/>
        </w:tabs>
        <w:ind w:left="2160" w:hanging="360"/>
      </w:pPr>
      <w:rPr>
        <w:rFonts w:ascii="Arial,Sans-Serif" w:hAnsi="Arial,Sans-Serif" w:hint="default"/>
      </w:rPr>
    </w:lvl>
    <w:lvl w:ilvl="3" w:tplc="A13E6222" w:tentative="1">
      <w:start w:val="1"/>
      <w:numFmt w:val="bullet"/>
      <w:lvlText w:val="•"/>
      <w:lvlJc w:val="left"/>
      <w:pPr>
        <w:tabs>
          <w:tab w:val="num" w:pos="2880"/>
        </w:tabs>
        <w:ind w:left="2880" w:hanging="360"/>
      </w:pPr>
      <w:rPr>
        <w:rFonts w:ascii="Arial,Sans-Serif" w:hAnsi="Arial,Sans-Serif" w:hint="default"/>
      </w:rPr>
    </w:lvl>
    <w:lvl w:ilvl="4" w:tplc="133085E8" w:tentative="1">
      <w:start w:val="1"/>
      <w:numFmt w:val="bullet"/>
      <w:lvlText w:val="•"/>
      <w:lvlJc w:val="left"/>
      <w:pPr>
        <w:tabs>
          <w:tab w:val="num" w:pos="3600"/>
        </w:tabs>
        <w:ind w:left="3600" w:hanging="360"/>
      </w:pPr>
      <w:rPr>
        <w:rFonts w:ascii="Arial,Sans-Serif" w:hAnsi="Arial,Sans-Serif" w:hint="default"/>
      </w:rPr>
    </w:lvl>
    <w:lvl w:ilvl="5" w:tplc="8898A710" w:tentative="1">
      <w:start w:val="1"/>
      <w:numFmt w:val="bullet"/>
      <w:lvlText w:val="•"/>
      <w:lvlJc w:val="left"/>
      <w:pPr>
        <w:tabs>
          <w:tab w:val="num" w:pos="4320"/>
        </w:tabs>
        <w:ind w:left="4320" w:hanging="360"/>
      </w:pPr>
      <w:rPr>
        <w:rFonts w:ascii="Arial,Sans-Serif" w:hAnsi="Arial,Sans-Serif" w:hint="default"/>
      </w:rPr>
    </w:lvl>
    <w:lvl w:ilvl="6" w:tplc="AD5E9CBA" w:tentative="1">
      <w:start w:val="1"/>
      <w:numFmt w:val="bullet"/>
      <w:lvlText w:val="•"/>
      <w:lvlJc w:val="left"/>
      <w:pPr>
        <w:tabs>
          <w:tab w:val="num" w:pos="5040"/>
        </w:tabs>
        <w:ind w:left="5040" w:hanging="360"/>
      </w:pPr>
      <w:rPr>
        <w:rFonts w:ascii="Arial,Sans-Serif" w:hAnsi="Arial,Sans-Serif" w:hint="default"/>
      </w:rPr>
    </w:lvl>
    <w:lvl w:ilvl="7" w:tplc="290C2BD0" w:tentative="1">
      <w:start w:val="1"/>
      <w:numFmt w:val="bullet"/>
      <w:lvlText w:val="•"/>
      <w:lvlJc w:val="left"/>
      <w:pPr>
        <w:tabs>
          <w:tab w:val="num" w:pos="5760"/>
        </w:tabs>
        <w:ind w:left="5760" w:hanging="360"/>
      </w:pPr>
      <w:rPr>
        <w:rFonts w:ascii="Arial,Sans-Serif" w:hAnsi="Arial,Sans-Serif" w:hint="default"/>
      </w:rPr>
    </w:lvl>
    <w:lvl w:ilvl="8" w:tplc="2D2C6A7C"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5D137E05"/>
    <w:multiLevelType w:val="hybridMultilevel"/>
    <w:tmpl w:val="A8AECF5A"/>
    <w:lvl w:ilvl="0" w:tplc="42CAC526">
      <w:start w:val="1"/>
      <w:numFmt w:val="bullet"/>
      <w:lvlText w:val="•"/>
      <w:lvlJc w:val="left"/>
      <w:pPr>
        <w:tabs>
          <w:tab w:val="num" w:pos="720"/>
        </w:tabs>
        <w:ind w:left="720" w:hanging="360"/>
      </w:pPr>
      <w:rPr>
        <w:rFonts w:ascii="Arial,Sans-Serif" w:hAnsi="Arial,Sans-Serif" w:hint="default"/>
      </w:rPr>
    </w:lvl>
    <w:lvl w:ilvl="1" w:tplc="BFC09BD4" w:tentative="1">
      <w:start w:val="1"/>
      <w:numFmt w:val="bullet"/>
      <w:lvlText w:val="•"/>
      <w:lvlJc w:val="left"/>
      <w:pPr>
        <w:tabs>
          <w:tab w:val="num" w:pos="1440"/>
        </w:tabs>
        <w:ind w:left="1440" w:hanging="360"/>
      </w:pPr>
      <w:rPr>
        <w:rFonts w:ascii="Arial,Sans-Serif" w:hAnsi="Arial,Sans-Serif" w:hint="default"/>
      </w:rPr>
    </w:lvl>
    <w:lvl w:ilvl="2" w:tplc="AD1E007C" w:tentative="1">
      <w:start w:val="1"/>
      <w:numFmt w:val="bullet"/>
      <w:lvlText w:val="•"/>
      <w:lvlJc w:val="left"/>
      <w:pPr>
        <w:tabs>
          <w:tab w:val="num" w:pos="2160"/>
        </w:tabs>
        <w:ind w:left="2160" w:hanging="360"/>
      </w:pPr>
      <w:rPr>
        <w:rFonts w:ascii="Arial,Sans-Serif" w:hAnsi="Arial,Sans-Serif" w:hint="default"/>
      </w:rPr>
    </w:lvl>
    <w:lvl w:ilvl="3" w:tplc="E5FA52D4" w:tentative="1">
      <w:start w:val="1"/>
      <w:numFmt w:val="bullet"/>
      <w:lvlText w:val="•"/>
      <w:lvlJc w:val="left"/>
      <w:pPr>
        <w:tabs>
          <w:tab w:val="num" w:pos="2880"/>
        </w:tabs>
        <w:ind w:left="2880" w:hanging="360"/>
      </w:pPr>
      <w:rPr>
        <w:rFonts w:ascii="Arial,Sans-Serif" w:hAnsi="Arial,Sans-Serif" w:hint="default"/>
      </w:rPr>
    </w:lvl>
    <w:lvl w:ilvl="4" w:tplc="01BA99F2" w:tentative="1">
      <w:start w:val="1"/>
      <w:numFmt w:val="bullet"/>
      <w:lvlText w:val="•"/>
      <w:lvlJc w:val="left"/>
      <w:pPr>
        <w:tabs>
          <w:tab w:val="num" w:pos="3600"/>
        </w:tabs>
        <w:ind w:left="3600" w:hanging="360"/>
      </w:pPr>
      <w:rPr>
        <w:rFonts w:ascii="Arial,Sans-Serif" w:hAnsi="Arial,Sans-Serif" w:hint="default"/>
      </w:rPr>
    </w:lvl>
    <w:lvl w:ilvl="5" w:tplc="587CEA02" w:tentative="1">
      <w:start w:val="1"/>
      <w:numFmt w:val="bullet"/>
      <w:lvlText w:val="•"/>
      <w:lvlJc w:val="left"/>
      <w:pPr>
        <w:tabs>
          <w:tab w:val="num" w:pos="4320"/>
        </w:tabs>
        <w:ind w:left="4320" w:hanging="360"/>
      </w:pPr>
      <w:rPr>
        <w:rFonts w:ascii="Arial,Sans-Serif" w:hAnsi="Arial,Sans-Serif" w:hint="default"/>
      </w:rPr>
    </w:lvl>
    <w:lvl w:ilvl="6" w:tplc="0CE27FA8" w:tentative="1">
      <w:start w:val="1"/>
      <w:numFmt w:val="bullet"/>
      <w:lvlText w:val="•"/>
      <w:lvlJc w:val="left"/>
      <w:pPr>
        <w:tabs>
          <w:tab w:val="num" w:pos="5040"/>
        </w:tabs>
        <w:ind w:left="5040" w:hanging="360"/>
      </w:pPr>
      <w:rPr>
        <w:rFonts w:ascii="Arial,Sans-Serif" w:hAnsi="Arial,Sans-Serif" w:hint="default"/>
      </w:rPr>
    </w:lvl>
    <w:lvl w:ilvl="7" w:tplc="F3F6D702" w:tentative="1">
      <w:start w:val="1"/>
      <w:numFmt w:val="bullet"/>
      <w:lvlText w:val="•"/>
      <w:lvlJc w:val="left"/>
      <w:pPr>
        <w:tabs>
          <w:tab w:val="num" w:pos="5760"/>
        </w:tabs>
        <w:ind w:left="5760" w:hanging="360"/>
      </w:pPr>
      <w:rPr>
        <w:rFonts w:ascii="Arial,Sans-Serif" w:hAnsi="Arial,Sans-Serif" w:hint="default"/>
      </w:rPr>
    </w:lvl>
    <w:lvl w:ilvl="8" w:tplc="E26A90E2"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631868AB"/>
    <w:multiLevelType w:val="hybridMultilevel"/>
    <w:tmpl w:val="910A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4482F"/>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716C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E175A"/>
    <w:multiLevelType w:val="hybridMultilevel"/>
    <w:tmpl w:val="E38C1344"/>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C14457"/>
    <w:multiLevelType w:val="hybridMultilevel"/>
    <w:tmpl w:val="FDA6963C"/>
    <w:lvl w:ilvl="0" w:tplc="001EFB0E">
      <w:start w:val="1"/>
      <w:numFmt w:val="bullet"/>
      <w:lvlText w:val="•"/>
      <w:lvlJc w:val="left"/>
      <w:pPr>
        <w:tabs>
          <w:tab w:val="num" w:pos="720"/>
        </w:tabs>
        <w:ind w:left="720" w:hanging="360"/>
      </w:pPr>
      <w:rPr>
        <w:rFonts w:ascii="Arial,Sans-Serif" w:hAnsi="Arial,Sans-Serif" w:hint="default"/>
      </w:rPr>
    </w:lvl>
    <w:lvl w:ilvl="1" w:tplc="E76A931E" w:tentative="1">
      <w:start w:val="1"/>
      <w:numFmt w:val="bullet"/>
      <w:lvlText w:val="•"/>
      <w:lvlJc w:val="left"/>
      <w:pPr>
        <w:tabs>
          <w:tab w:val="num" w:pos="1440"/>
        </w:tabs>
        <w:ind w:left="1440" w:hanging="360"/>
      </w:pPr>
      <w:rPr>
        <w:rFonts w:ascii="Arial,Sans-Serif" w:hAnsi="Arial,Sans-Serif" w:hint="default"/>
      </w:rPr>
    </w:lvl>
    <w:lvl w:ilvl="2" w:tplc="56160CB2" w:tentative="1">
      <w:start w:val="1"/>
      <w:numFmt w:val="bullet"/>
      <w:lvlText w:val="•"/>
      <w:lvlJc w:val="left"/>
      <w:pPr>
        <w:tabs>
          <w:tab w:val="num" w:pos="2160"/>
        </w:tabs>
        <w:ind w:left="2160" w:hanging="360"/>
      </w:pPr>
      <w:rPr>
        <w:rFonts w:ascii="Arial,Sans-Serif" w:hAnsi="Arial,Sans-Serif" w:hint="default"/>
      </w:rPr>
    </w:lvl>
    <w:lvl w:ilvl="3" w:tplc="478C2E4E" w:tentative="1">
      <w:start w:val="1"/>
      <w:numFmt w:val="bullet"/>
      <w:lvlText w:val="•"/>
      <w:lvlJc w:val="left"/>
      <w:pPr>
        <w:tabs>
          <w:tab w:val="num" w:pos="2880"/>
        </w:tabs>
        <w:ind w:left="2880" w:hanging="360"/>
      </w:pPr>
      <w:rPr>
        <w:rFonts w:ascii="Arial,Sans-Serif" w:hAnsi="Arial,Sans-Serif" w:hint="default"/>
      </w:rPr>
    </w:lvl>
    <w:lvl w:ilvl="4" w:tplc="ACAA9046" w:tentative="1">
      <w:start w:val="1"/>
      <w:numFmt w:val="bullet"/>
      <w:lvlText w:val="•"/>
      <w:lvlJc w:val="left"/>
      <w:pPr>
        <w:tabs>
          <w:tab w:val="num" w:pos="3600"/>
        </w:tabs>
        <w:ind w:left="3600" w:hanging="360"/>
      </w:pPr>
      <w:rPr>
        <w:rFonts w:ascii="Arial,Sans-Serif" w:hAnsi="Arial,Sans-Serif" w:hint="default"/>
      </w:rPr>
    </w:lvl>
    <w:lvl w:ilvl="5" w:tplc="4D4E2172" w:tentative="1">
      <w:start w:val="1"/>
      <w:numFmt w:val="bullet"/>
      <w:lvlText w:val="•"/>
      <w:lvlJc w:val="left"/>
      <w:pPr>
        <w:tabs>
          <w:tab w:val="num" w:pos="4320"/>
        </w:tabs>
        <w:ind w:left="4320" w:hanging="360"/>
      </w:pPr>
      <w:rPr>
        <w:rFonts w:ascii="Arial,Sans-Serif" w:hAnsi="Arial,Sans-Serif" w:hint="default"/>
      </w:rPr>
    </w:lvl>
    <w:lvl w:ilvl="6" w:tplc="8634086C" w:tentative="1">
      <w:start w:val="1"/>
      <w:numFmt w:val="bullet"/>
      <w:lvlText w:val="•"/>
      <w:lvlJc w:val="left"/>
      <w:pPr>
        <w:tabs>
          <w:tab w:val="num" w:pos="5040"/>
        </w:tabs>
        <w:ind w:left="5040" w:hanging="360"/>
      </w:pPr>
      <w:rPr>
        <w:rFonts w:ascii="Arial,Sans-Serif" w:hAnsi="Arial,Sans-Serif" w:hint="default"/>
      </w:rPr>
    </w:lvl>
    <w:lvl w:ilvl="7" w:tplc="583C541E" w:tentative="1">
      <w:start w:val="1"/>
      <w:numFmt w:val="bullet"/>
      <w:lvlText w:val="•"/>
      <w:lvlJc w:val="left"/>
      <w:pPr>
        <w:tabs>
          <w:tab w:val="num" w:pos="5760"/>
        </w:tabs>
        <w:ind w:left="5760" w:hanging="360"/>
      </w:pPr>
      <w:rPr>
        <w:rFonts w:ascii="Arial,Sans-Serif" w:hAnsi="Arial,Sans-Serif" w:hint="default"/>
      </w:rPr>
    </w:lvl>
    <w:lvl w:ilvl="8" w:tplc="6E485F00" w:tentative="1">
      <w:start w:val="1"/>
      <w:numFmt w:val="bullet"/>
      <w:lvlText w:val="•"/>
      <w:lvlJc w:val="left"/>
      <w:pPr>
        <w:tabs>
          <w:tab w:val="num" w:pos="6480"/>
        </w:tabs>
        <w:ind w:left="6480" w:hanging="360"/>
      </w:pPr>
      <w:rPr>
        <w:rFonts w:ascii="Arial,Sans-Serif" w:hAnsi="Arial,Sans-Serif" w:hint="default"/>
      </w:rPr>
    </w:lvl>
  </w:abstractNum>
  <w:num w:numId="1" w16cid:durableId="63337918">
    <w:abstractNumId w:val="3"/>
  </w:num>
  <w:num w:numId="2" w16cid:durableId="1842282592">
    <w:abstractNumId w:val="5"/>
  </w:num>
  <w:num w:numId="3" w16cid:durableId="1079868173">
    <w:abstractNumId w:val="1"/>
  </w:num>
  <w:num w:numId="4" w16cid:durableId="827095951">
    <w:abstractNumId w:val="11"/>
  </w:num>
  <w:num w:numId="5" w16cid:durableId="646785776">
    <w:abstractNumId w:val="10"/>
  </w:num>
  <w:num w:numId="6" w16cid:durableId="1355421041">
    <w:abstractNumId w:val="6"/>
  </w:num>
  <w:num w:numId="7" w16cid:durableId="311325339">
    <w:abstractNumId w:val="12"/>
  </w:num>
  <w:num w:numId="8" w16cid:durableId="1886289784">
    <w:abstractNumId w:val="0"/>
  </w:num>
  <w:num w:numId="9" w16cid:durableId="1076591712">
    <w:abstractNumId w:val="13"/>
  </w:num>
  <w:num w:numId="10" w16cid:durableId="143277841">
    <w:abstractNumId w:val="8"/>
  </w:num>
  <w:num w:numId="11" w16cid:durableId="1981692741">
    <w:abstractNumId w:val="4"/>
  </w:num>
  <w:num w:numId="12" w16cid:durableId="1705902674">
    <w:abstractNumId w:val="7"/>
  </w:num>
  <w:num w:numId="13" w16cid:durableId="1950694342">
    <w:abstractNumId w:val="9"/>
  </w:num>
  <w:num w:numId="14" w16cid:durableId="60188735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13B94"/>
    <w:rsid w:val="00020F7D"/>
    <w:rsid w:val="000324CA"/>
    <w:rsid w:val="00032AA7"/>
    <w:rsid w:val="00034AA4"/>
    <w:rsid w:val="00054DDF"/>
    <w:rsid w:val="00060B38"/>
    <w:rsid w:val="00062545"/>
    <w:rsid w:val="00065ED9"/>
    <w:rsid w:val="000734E0"/>
    <w:rsid w:val="00073910"/>
    <w:rsid w:val="00076E2B"/>
    <w:rsid w:val="00082791"/>
    <w:rsid w:val="00085CA1"/>
    <w:rsid w:val="00085CA8"/>
    <w:rsid w:val="00090853"/>
    <w:rsid w:val="00090B16"/>
    <w:rsid w:val="000A1363"/>
    <w:rsid w:val="000A2F2D"/>
    <w:rsid w:val="000A42B8"/>
    <w:rsid w:val="000A5CA7"/>
    <w:rsid w:val="000C1675"/>
    <w:rsid w:val="000D236A"/>
    <w:rsid w:val="000E051E"/>
    <w:rsid w:val="000E237D"/>
    <w:rsid w:val="00104C5C"/>
    <w:rsid w:val="0010712E"/>
    <w:rsid w:val="00113C51"/>
    <w:rsid w:val="001209D7"/>
    <w:rsid w:val="0012423C"/>
    <w:rsid w:val="0012430C"/>
    <w:rsid w:val="00126EB3"/>
    <w:rsid w:val="00137B82"/>
    <w:rsid w:val="00146CD9"/>
    <w:rsid w:val="00151776"/>
    <w:rsid w:val="0015372A"/>
    <w:rsid w:val="0016475D"/>
    <w:rsid w:val="0016554E"/>
    <w:rsid w:val="0017195E"/>
    <w:rsid w:val="00174608"/>
    <w:rsid w:val="00174E0C"/>
    <w:rsid w:val="001756DD"/>
    <w:rsid w:val="00180106"/>
    <w:rsid w:val="00197660"/>
    <w:rsid w:val="001A22B4"/>
    <w:rsid w:val="001A2DE7"/>
    <w:rsid w:val="001B03EB"/>
    <w:rsid w:val="001C49BD"/>
    <w:rsid w:val="001C616D"/>
    <w:rsid w:val="001C7C84"/>
    <w:rsid w:val="001E1B4A"/>
    <w:rsid w:val="001E242B"/>
    <w:rsid w:val="001E69BC"/>
    <w:rsid w:val="001F5488"/>
    <w:rsid w:val="00200DF7"/>
    <w:rsid w:val="00201B89"/>
    <w:rsid w:val="00204323"/>
    <w:rsid w:val="00210B6A"/>
    <w:rsid w:val="00214A63"/>
    <w:rsid w:val="002155AE"/>
    <w:rsid w:val="002214C8"/>
    <w:rsid w:val="00221955"/>
    <w:rsid w:val="002253A8"/>
    <w:rsid w:val="002253E1"/>
    <w:rsid w:val="00230E9A"/>
    <w:rsid w:val="0023469D"/>
    <w:rsid w:val="00240CBE"/>
    <w:rsid w:val="00241962"/>
    <w:rsid w:val="00243126"/>
    <w:rsid w:val="00251368"/>
    <w:rsid w:val="00254A28"/>
    <w:rsid w:val="0025526C"/>
    <w:rsid w:val="00255A23"/>
    <w:rsid w:val="00275AE1"/>
    <w:rsid w:val="00276029"/>
    <w:rsid w:val="0027623C"/>
    <w:rsid w:val="00280B3D"/>
    <w:rsid w:val="00283CF1"/>
    <w:rsid w:val="002939DD"/>
    <w:rsid w:val="00295B56"/>
    <w:rsid w:val="002A3618"/>
    <w:rsid w:val="002A4300"/>
    <w:rsid w:val="002B4FF0"/>
    <w:rsid w:val="002B7731"/>
    <w:rsid w:val="002C1BE2"/>
    <w:rsid w:val="002C2431"/>
    <w:rsid w:val="002C2F6F"/>
    <w:rsid w:val="002D0873"/>
    <w:rsid w:val="002D0E06"/>
    <w:rsid w:val="002E036B"/>
    <w:rsid w:val="002F54EE"/>
    <w:rsid w:val="003021A1"/>
    <w:rsid w:val="003055E0"/>
    <w:rsid w:val="00311BE2"/>
    <w:rsid w:val="0031605E"/>
    <w:rsid w:val="00325772"/>
    <w:rsid w:val="00332568"/>
    <w:rsid w:val="00335836"/>
    <w:rsid w:val="00347AF5"/>
    <w:rsid w:val="003734C8"/>
    <w:rsid w:val="00390858"/>
    <w:rsid w:val="003913F5"/>
    <w:rsid w:val="003950A1"/>
    <w:rsid w:val="003A4E7F"/>
    <w:rsid w:val="003B081E"/>
    <w:rsid w:val="003B36CF"/>
    <w:rsid w:val="003B6BD7"/>
    <w:rsid w:val="003C0EEA"/>
    <w:rsid w:val="003C395A"/>
    <w:rsid w:val="003D71DE"/>
    <w:rsid w:val="003D74DC"/>
    <w:rsid w:val="003E40CF"/>
    <w:rsid w:val="003E5743"/>
    <w:rsid w:val="003F5A83"/>
    <w:rsid w:val="003F7B5F"/>
    <w:rsid w:val="0040554D"/>
    <w:rsid w:val="0040758B"/>
    <w:rsid w:val="004229BD"/>
    <w:rsid w:val="0042553C"/>
    <w:rsid w:val="00434824"/>
    <w:rsid w:val="00445B51"/>
    <w:rsid w:val="00446054"/>
    <w:rsid w:val="00451EC3"/>
    <w:rsid w:val="00455A0A"/>
    <w:rsid w:val="00455F75"/>
    <w:rsid w:val="00462AAC"/>
    <w:rsid w:val="004637D3"/>
    <w:rsid w:val="004646E3"/>
    <w:rsid w:val="00475060"/>
    <w:rsid w:val="004750AF"/>
    <w:rsid w:val="00476871"/>
    <w:rsid w:val="00477202"/>
    <w:rsid w:val="00481B05"/>
    <w:rsid w:val="00495796"/>
    <w:rsid w:val="004A2643"/>
    <w:rsid w:val="004A37D9"/>
    <w:rsid w:val="004A3CE2"/>
    <w:rsid w:val="004C122B"/>
    <w:rsid w:val="004C5F21"/>
    <w:rsid w:val="004C6771"/>
    <w:rsid w:val="004C6A4B"/>
    <w:rsid w:val="004D00D7"/>
    <w:rsid w:val="004D5865"/>
    <w:rsid w:val="004E5333"/>
    <w:rsid w:val="004F4D8B"/>
    <w:rsid w:val="004F53B2"/>
    <w:rsid w:val="00503822"/>
    <w:rsid w:val="00505741"/>
    <w:rsid w:val="00505BF0"/>
    <w:rsid w:val="005073DA"/>
    <w:rsid w:val="005119DC"/>
    <w:rsid w:val="005174E5"/>
    <w:rsid w:val="0052488E"/>
    <w:rsid w:val="0053191B"/>
    <w:rsid w:val="00532D2F"/>
    <w:rsid w:val="005338D2"/>
    <w:rsid w:val="005430E1"/>
    <w:rsid w:val="00543795"/>
    <w:rsid w:val="0055479E"/>
    <w:rsid w:val="005619EE"/>
    <w:rsid w:val="00567D4F"/>
    <w:rsid w:val="00567DDF"/>
    <w:rsid w:val="00571271"/>
    <w:rsid w:val="005831C3"/>
    <w:rsid w:val="00585EBD"/>
    <w:rsid w:val="005945A1"/>
    <w:rsid w:val="005974B9"/>
    <w:rsid w:val="005A04B0"/>
    <w:rsid w:val="005A12A6"/>
    <w:rsid w:val="005C5A80"/>
    <w:rsid w:val="005C6684"/>
    <w:rsid w:val="005D37E9"/>
    <w:rsid w:val="005D5D74"/>
    <w:rsid w:val="005D631A"/>
    <w:rsid w:val="005F3748"/>
    <w:rsid w:val="005F40B5"/>
    <w:rsid w:val="005F54EB"/>
    <w:rsid w:val="005F740B"/>
    <w:rsid w:val="005F7623"/>
    <w:rsid w:val="006018A5"/>
    <w:rsid w:val="0060724C"/>
    <w:rsid w:val="00622F43"/>
    <w:rsid w:val="00636469"/>
    <w:rsid w:val="006404CF"/>
    <w:rsid w:val="00642355"/>
    <w:rsid w:val="00645582"/>
    <w:rsid w:val="00650F52"/>
    <w:rsid w:val="00652733"/>
    <w:rsid w:val="00655CD7"/>
    <w:rsid w:val="00663078"/>
    <w:rsid w:val="006648F4"/>
    <w:rsid w:val="006734B1"/>
    <w:rsid w:val="0069161E"/>
    <w:rsid w:val="00694F12"/>
    <w:rsid w:val="006A4A9A"/>
    <w:rsid w:val="006A6935"/>
    <w:rsid w:val="006C0415"/>
    <w:rsid w:val="006C1377"/>
    <w:rsid w:val="006C1CE8"/>
    <w:rsid w:val="006C3FAA"/>
    <w:rsid w:val="006C4B00"/>
    <w:rsid w:val="006D693D"/>
    <w:rsid w:val="006E1013"/>
    <w:rsid w:val="006E6CB9"/>
    <w:rsid w:val="006F0022"/>
    <w:rsid w:val="007006DA"/>
    <w:rsid w:val="0070099B"/>
    <w:rsid w:val="00705968"/>
    <w:rsid w:val="0070716F"/>
    <w:rsid w:val="0071677C"/>
    <w:rsid w:val="00722187"/>
    <w:rsid w:val="00726D98"/>
    <w:rsid w:val="00727121"/>
    <w:rsid w:val="0073604F"/>
    <w:rsid w:val="007374C8"/>
    <w:rsid w:val="00740DFF"/>
    <w:rsid w:val="0074208E"/>
    <w:rsid w:val="00742485"/>
    <w:rsid w:val="00742737"/>
    <w:rsid w:val="00756B8F"/>
    <w:rsid w:val="0077429B"/>
    <w:rsid w:val="00776191"/>
    <w:rsid w:val="007761ED"/>
    <w:rsid w:val="00796A8B"/>
    <w:rsid w:val="0079751F"/>
    <w:rsid w:val="007A0553"/>
    <w:rsid w:val="007A5396"/>
    <w:rsid w:val="007A7987"/>
    <w:rsid w:val="007B17F2"/>
    <w:rsid w:val="007B2D0E"/>
    <w:rsid w:val="007B30F9"/>
    <w:rsid w:val="007C1A6F"/>
    <w:rsid w:val="007C5A5D"/>
    <w:rsid w:val="007C5E64"/>
    <w:rsid w:val="007D22D3"/>
    <w:rsid w:val="007D4973"/>
    <w:rsid w:val="007D7509"/>
    <w:rsid w:val="007F1553"/>
    <w:rsid w:val="007F4A51"/>
    <w:rsid w:val="007F5DB1"/>
    <w:rsid w:val="007F78A3"/>
    <w:rsid w:val="00800191"/>
    <w:rsid w:val="00810E1F"/>
    <w:rsid w:val="00821526"/>
    <w:rsid w:val="0082483F"/>
    <w:rsid w:val="00830530"/>
    <w:rsid w:val="008305C0"/>
    <w:rsid w:val="00830930"/>
    <w:rsid w:val="0083688C"/>
    <w:rsid w:val="00836BAC"/>
    <w:rsid w:val="00842278"/>
    <w:rsid w:val="00842359"/>
    <w:rsid w:val="0084664D"/>
    <w:rsid w:val="00852100"/>
    <w:rsid w:val="00854C05"/>
    <w:rsid w:val="008658B0"/>
    <w:rsid w:val="00871D28"/>
    <w:rsid w:val="00874CDF"/>
    <w:rsid w:val="00890781"/>
    <w:rsid w:val="00892862"/>
    <w:rsid w:val="00893F16"/>
    <w:rsid w:val="008A2B80"/>
    <w:rsid w:val="008A2E50"/>
    <w:rsid w:val="008A3827"/>
    <w:rsid w:val="008A6439"/>
    <w:rsid w:val="008A64DF"/>
    <w:rsid w:val="008B4411"/>
    <w:rsid w:val="008B689F"/>
    <w:rsid w:val="008D4025"/>
    <w:rsid w:val="008D5BBF"/>
    <w:rsid w:val="008E0AF7"/>
    <w:rsid w:val="008F7D71"/>
    <w:rsid w:val="00903FEB"/>
    <w:rsid w:val="009053DB"/>
    <w:rsid w:val="00915412"/>
    <w:rsid w:val="009166C8"/>
    <w:rsid w:val="009200FC"/>
    <w:rsid w:val="00925CC5"/>
    <w:rsid w:val="00926B78"/>
    <w:rsid w:val="009334DA"/>
    <w:rsid w:val="009371FD"/>
    <w:rsid w:val="009418EF"/>
    <w:rsid w:val="00945FA5"/>
    <w:rsid w:val="00946089"/>
    <w:rsid w:val="009511B0"/>
    <w:rsid w:val="00955478"/>
    <w:rsid w:val="009572AE"/>
    <w:rsid w:val="009630CA"/>
    <w:rsid w:val="009777B7"/>
    <w:rsid w:val="00986D35"/>
    <w:rsid w:val="00990DA6"/>
    <w:rsid w:val="00992259"/>
    <w:rsid w:val="009938F6"/>
    <w:rsid w:val="009B2A2C"/>
    <w:rsid w:val="009C08E3"/>
    <w:rsid w:val="009D12C3"/>
    <w:rsid w:val="009E1472"/>
    <w:rsid w:val="009E45DE"/>
    <w:rsid w:val="009F0874"/>
    <w:rsid w:val="009F1A94"/>
    <w:rsid w:val="00A07D0F"/>
    <w:rsid w:val="00A209AD"/>
    <w:rsid w:val="00A219E5"/>
    <w:rsid w:val="00A22481"/>
    <w:rsid w:val="00A3634F"/>
    <w:rsid w:val="00A37736"/>
    <w:rsid w:val="00A63654"/>
    <w:rsid w:val="00A64DDB"/>
    <w:rsid w:val="00A70627"/>
    <w:rsid w:val="00A71FAD"/>
    <w:rsid w:val="00A77AED"/>
    <w:rsid w:val="00A77D87"/>
    <w:rsid w:val="00A80F1E"/>
    <w:rsid w:val="00A87B15"/>
    <w:rsid w:val="00A94531"/>
    <w:rsid w:val="00A94552"/>
    <w:rsid w:val="00A97F1A"/>
    <w:rsid w:val="00AA3E33"/>
    <w:rsid w:val="00AA4B95"/>
    <w:rsid w:val="00AD0B36"/>
    <w:rsid w:val="00AD2975"/>
    <w:rsid w:val="00AD5484"/>
    <w:rsid w:val="00AD557D"/>
    <w:rsid w:val="00AE3555"/>
    <w:rsid w:val="00AE6E5C"/>
    <w:rsid w:val="00AF09E1"/>
    <w:rsid w:val="00AF21F6"/>
    <w:rsid w:val="00B029AB"/>
    <w:rsid w:val="00B02AFD"/>
    <w:rsid w:val="00B10234"/>
    <w:rsid w:val="00B1106B"/>
    <w:rsid w:val="00B12967"/>
    <w:rsid w:val="00B13048"/>
    <w:rsid w:val="00B15AC9"/>
    <w:rsid w:val="00B2610D"/>
    <w:rsid w:val="00B41BEE"/>
    <w:rsid w:val="00B45913"/>
    <w:rsid w:val="00B467B6"/>
    <w:rsid w:val="00B512EF"/>
    <w:rsid w:val="00B56A60"/>
    <w:rsid w:val="00B63498"/>
    <w:rsid w:val="00B6428B"/>
    <w:rsid w:val="00B67450"/>
    <w:rsid w:val="00B6787A"/>
    <w:rsid w:val="00B71922"/>
    <w:rsid w:val="00B765BE"/>
    <w:rsid w:val="00B80DE9"/>
    <w:rsid w:val="00B81161"/>
    <w:rsid w:val="00B85331"/>
    <w:rsid w:val="00BC5B24"/>
    <w:rsid w:val="00BD1C88"/>
    <w:rsid w:val="00BD23E6"/>
    <w:rsid w:val="00BD2A1D"/>
    <w:rsid w:val="00BD38B1"/>
    <w:rsid w:val="00BF3921"/>
    <w:rsid w:val="00BF747A"/>
    <w:rsid w:val="00C10B17"/>
    <w:rsid w:val="00C1147C"/>
    <w:rsid w:val="00C14D94"/>
    <w:rsid w:val="00C171BB"/>
    <w:rsid w:val="00C2336D"/>
    <w:rsid w:val="00C268BA"/>
    <w:rsid w:val="00C31C26"/>
    <w:rsid w:val="00C3470E"/>
    <w:rsid w:val="00C34A3E"/>
    <w:rsid w:val="00C4023C"/>
    <w:rsid w:val="00C45A59"/>
    <w:rsid w:val="00C5360B"/>
    <w:rsid w:val="00C54652"/>
    <w:rsid w:val="00C558E9"/>
    <w:rsid w:val="00C564CD"/>
    <w:rsid w:val="00C63E3C"/>
    <w:rsid w:val="00C66EF1"/>
    <w:rsid w:val="00C70CFF"/>
    <w:rsid w:val="00C73EC1"/>
    <w:rsid w:val="00C77233"/>
    <w:rsid w:val="00C82C0E"/>
    <w:rsid w:val="00C9685D"/>
    <w:rsid w:val="00CA1F02"/>
    <w:rsid w:val="00CA2E5B"/>
    <w:rsid w:val="00CA5467"/>
    <w:rsid w:val="00CA64F9"/>
    <w:rsid w:val="00CB0447"/>
    <w:rsid w:val="00CB16BE"/>
    <w:rsid w:val="00CC16D1"/>
    <w:rsid w:val="00CD49EE"/>
    <w:rsid w:val="00CE07A2"/>
    <w:rsid w:val="00CF0893"/>
    <w:rsid w:val="00D0248B"/>
    <w:rsid w:val="00D071FD"/>
    <w:rsid w:val="00D100E9"/>
    <w:rsid w:val="00D1082B"/>
    <w:rsid w:val="00D12BD4"/>
    <w:rsid w:val="00D21B73"/>
    <w:rsid w:val="00D24D27"/>
    <w:rsid w:val="00D27588"/>
    <w:rsid w:val="00D31FBB"/>
    <w:rsid w:val="00D43391"/>
    <w:rsid w:val="00D45B51"/>
    <w:rsid w:val="00D51B50"/>
    <w:rsid w:val="00D526CE"/>
    <w:rsid w:val="00D605A6"/>
    <w:rsid w:val="00D62705"/>
    <w:rsid w:val="00D62F38"/>
    <w:rsid w:val="00D65A3D"/>
    <w:rsid w:val="00D666A9"/>
    <w:rsid w:val="00D67D05"/>
    <w:rsid w:val="00D70E27"/>
    <w:rsid w:val="00D7416F"/>
    <w:rsid w:val="00D77C66"/>
    <w:rsid w:val="00D91282"/>
    <w:rsid w:val="00D914FB"/>
    <w:rsid w:val="00D96CC2"/>
    <w:rsid w:val="00DA1A48"/>
    <w:rsid w:val="00DB0414"/>
    <w:rsid w:val="00DC47BF"/>
    <w:rsid w:val="00DC6DC8"/>
    <w:rsid w:val="00DD54FD"/>
    <w:rsid w:val="00DE123F"/>
    <w:rsid w:val="00DE42A2"/>
    <w:rsid w:val="00DE6F63"/>
    <w:rsid w:val="00DF1989"/>
    <w:rsid w:val="00DF2CCB"/>
    <w:rsid w:val="00DF2E2C"/>
    <w:rsid w:val="00DF5B4E"/>
    <w:rsid w:val="00DF7F57"/>
    <w:rsid w:val="00E205DD"/>
    <w:rsid w:val="00E327A8"/>
    <w:rsid w:val="00E34EBB"/>
    <w:rsid w:val="00E43E62"/>
    <w:rsid w:val="00E47EF8"/>
    <w:rsid w:val="00E51562"/>
    <w:rsid w:val="00E561A8"/>
    <w:rsid w:val="00E568C3"/>
    <w:rsid w:val="00E63A80"/>
    <w:rsid w:val="00E660DD"/>
    <w:rsid w:val="00E70630"/>
    <w:rsid w:val="00E724E0"/>
    <w:rsid w:val="00E728AA"/>
    <w:rsid w:val="00E75A57"/>
    <w:rsid w:val="00E8010C"/>
    <w:rsid w:val="00E86484"/>
    <w:rsid w:val="00E86D93"/>
    <w:rsid w:val="00E90C9E"/>
    <w:rsid w:val="00E92007"/>
    <w:rsid w:val="00E97B75"/>
    <w:rsid w:val="00EC6590"/>
    <w:rsid w:val="00EC6FC4"/>
    <w:rsid w:val="00ED1F92"/>
    <w:rsid w:val="00ED3CD0"/>
    <w:rsid w:val="00ED48C0"/>
    <w:rsid w:val="00ED5B73"/>
    <w:rsid w:val="00EE237A"/>
    <w:rsid w:val="00EE34CF"/>
    <w:rsid w:val="00EE5C71"/>
    <w:rsid w:val="00EF2F4D"/>
    <w:rsid w:val="00EF594F"/>
    <w:rsid w:val="00F013FB"/>
    <w:rsid w:val="00F06021"/>
    <w:rsid w:val="00F177D9"/>
    <w:rsid w:val="00F21582"/>
    <w:rsid w:val="00F476FB"/>
    <w:rsid w:val="00F5698A"/>
    <w:rsid w:val="00F606EB"/>
    <w:rsid w:val="00F63B5C"/>
    <w:rsid w:val="00F7253B"/>
    <w:rsid w:val="00F7757B"/>
    <w:rsid w:val="00F80CD2"/>
    <w:rsid w:val="00F857CD"/>
    <w:rsid w:val="00F87C2A"/>
    <w:rsid w:val="00F907A1"/>
    <w:rsid w:val="00F95B3E"/>
    <w:rsid w:val="00FA2B7E"/>
    <w:rsid w:val="00FA5709"/>
    <w:rsid w:val="00FA5B68"/>
    <w:rsid w:val="00FC13A2"/>
    <w:rsid w:val="00FD6F36"/>
    <w:rsid w:val="00FE277B"/>
    <w:rsid w:val="00FE2B18"/>
    <w:rsid w:val="00FE3070"/>
    <w:rsid w:val="00FE39D6"/>
    <w:rsid w:val="00FE5F63"/>
    <w:rsid w:val="00FE75EA"/>
    <w:rsid w:val="00FF33E8"/>
    <w:rsid w:val="00FF5EEC"/>
    <w:rsid w:val="00FF628C"/>
    <w:rsid w:val="036F4A9A"/>
    <w:rsid w:val="03C646A9"/>
    <w:rsid w:val="08266295"/>
    <w:rsid w:val="0D9C0A5A"/>
    <w:rsid w:val="0F13BA70"/>
    <w:rsid w:val="10E7C862"/>
    <w:rsid w:val="1394E3CE"/>
    <w:rsid w:val="13B7DAC9"/>
    <w:rsid w:val="17B73C4F"/>
    <w:rsid w:val="17D032A7"/>
    <w:rsid w:val="181BD61E"/>
    <w:rsid w:val="19D60A22"/>
    <w:rsid w:val="1AA94EAA"/>
    <w:rsid w:val="1D9878C2"/>
    <w:rsid w:val="1F6066A5"/>
    <w:rsid w:val="2051DE60"/>
    <w:rsid w:val="20DD3BEB"/>
    <w:rsid w:val="23BAA8F2"/>
    <w:rsid w:val="25448B5B"/>
    <w:rsid w:val="26C160A1"/>
    <w:rsid w:val="29AAC0BA"/>
    <w:rsid w:val="2B78789C"/>
    <w:rsid w:val="2CAE803E"/>
    <w:rsid w:val="2DDF2D6C"/>
    <w:rsid w:val="2E6A8AF7"/>
    <w:rsid w:val="30E9F0A6"/>
    <w:rsid w:val="32AC8658"/>
    <w:rsid w:val="36826006"/>
    <w:rsid w:val="3835732E"/>
    <w:rsid w:val="38C0D0B9"/>
    <w:rsid w:val="3F6368B3"/>
    <w:rsid w:val="43A3F467"/>
    <w:rsid w:val="469606C2"/>
    <w:rsid w:val="4DC72470"/>
    <w:rsid w:val="4EB967ED"/>
    <w:rsid w:val="55A28325"/>
    <w:rsid w:val="5746FD81"/>
    <w:rsid w:val="57B33F7A"/>
    <w:rsid w:val="601D3492"/>
    <w:rsid w:val="6020F570"/>
    <w:rsid w:val="63155994"/>
    <w:rsid w:val="64D44C8D"/>
    <w:rsid w:val="656E258F"/>
    <w:rsid w:val="65EC8804"/>
    <w:rsid w:val="670B614E"/>
    <w:rsid w:val="68F6A50E"/>
    <w:rsid w:val="695B3EDD"/>
    <w:rsid w:val="69E81CC9"/>
    <w:rsid w:val="6B4445CE"/>
    <w:rsid w:val="6F72794C"/>
    <w:rsid w:val="70D9F718"/>
    <w:rsid w:val="7198A101"/>
    <w:rsid w:val="73606DF6"/>
    <w:rsid w:val="76A3B9D4"/>
    <w:rsid w:val="78BF3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C8"/>
    <w:pPr>
      <w:spacing w:before="90" w:after="180" w:line="240" w:lineRule="auto"/>
    </w:pPr>
    <w:rPr>
      <w:sz w:val="24"/>
    </w:rPr>
  </w:style>
  <w:style w:type="paragraph" w:styleId="Heading1">
    <w:name w:val="heading 1"/>
    <w:basedOn w:val="Normal"/>
    <w:link w:val="Heading1Char"/>
    <w:uiPriority w:val="9"/>
    <w:qFormat/>
    <w:rsid w:val="003734C8"/>
    <w:pPr>
      <w:pBdr>
        <w:bottom w:val="single" w:sz="24" w:space="2" w:color="7030A0" w:themeColor="accent6"/>
      </w:pBdr>
      <w:spacing w:before="100" w:beforeAutospacing="1" w:after="100" w:afterAutospacing="1" w:line="276" w:lineRule="auto"/>
      <w:jc w:val="center"/>
      <w:outlineLvl w:val="0"/>
    </w:pPr>
    <w:rPr>
      <w:rFonts w:ascii="Arial" w:eastAsia="Times New Roman" w:hAnsi="Arial" w:cs="Times New Roman"/>
      <w:b/>
      <w:bCs/>
      <w:kern w:val="36"/>
      <w:sz w:val="52"/>
      <w:szCs w:val="52"/>
    </w:rPr>
  </w:style>
  <w:style w:type="paragraph" w:styleId="Heading2">
    <w:name w:val="heading 2"/>
    <w:basedOn w:val="Normal"/>
    <w:link w:val="Heading2Char"/>
    <w:uiPriority w:val="9"/>
    <w:qFormat/>
    <w:rsid w:val="00E86D93"/>
    <w:pPr>
      <w:pBdr>
        <w:left w:val="single" w:sz="48" w:space="4" w:color="7030A0" w:themeColor="accent6"/>
      </w:pBdr>
      <w:shd w:val="clear" w:color="auto" w:fill="F8F4FB" w:themeFill="accent4"/>
      <w:spacing w:before="360" w:after="240"/>
      <w:outlineLvl w:val="1"/>
    </w:pPr>
    <w:rPr>
      <w:rFonts w:ascii="Arial" w:eastAsia="Times New Roman" w:hAnsi="Arial" w:cs="Arial"/>
      <w:b/>
      <w:sz w:val="40"/>
      <w:szCs w:val="40"/>
    </w:rPr>
  </w:style>
  <w:style w:type="paragraph" w:styleId="Heading3">
    <w:name w:val="heading 3"/>
    <w:basedOn w:val="Normal"/>
    <w:link w:val="Heading3Char"/>
    <w:uiPriority w:val="9"/>
    <w:qFormat/>
    <w:rsid w:val="00CB16BE"/>
    <w:pPr>
      <w:keepNext/>
      <w:keepLines/>
      <w:pBdr>
        <w:bottom w:val="single" w:sz="12" w:space="2" w:color="7030A0" w:themeColor="accent6"/>
      </w:pBdr>
      <w:spacing w:before="360" w:after="120"/>
      <w:outlineLvl w:val="2"/>
    </w:pPr>
    <w:rPr>
      <w:rFonts w:ascii="Arial" w:eastAsia="Times New Roman" w:hAnsi="Arial" w:cs="Arial"/>
      <w:b/>
      <w:bCs/>
      <w:color w:val="000000"/>
      <w:sz w:val="28"/>
      <w:szCs w:val="24"/>
    </w:rPr>
  </w:style>
  <w:style w:type="paragraph" w:styleId="Heading4">
    <w:name w:val="heading 4"/>
    <w:basedOn w:val="Normal"/>
    <w:link w:val="Heading4Char"/>
    <w:uiPriority w:val="9"/>
    <w:qFormat/>
    <w:rsid w:val="00842278"/>
    <w:pPr>
      <w:spacing w:before="100" w:beforeAutospacing="1" w:after="100" w:afterAutospacing="1"/>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8422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4C8"/>
    <w:rPr>
      <w:rFonts w:ascii="Arial" w:eastAsia="Times New Roman" w:hAnsi="Arial" w:cs="Times New Roman"/>
      <w:b/>
      <w:bCs/>
      <w:kern w:val="36"/>
      <w:sz w:val="52"/>
      <w:szCs w:val="52"/>
    </w:rPr>
  </w:style>
  <w:style w:type="character" w:customStyle="1" w:styleId="Heading2Char">
    <w:name w:val="Heading 2 Char"/>
    <w:basedOn w:val="DefaultParagraphFont"/>
    <w:link w:val="Heading2"/>
    <w:uiPriority w:val="9"/>
    <w:rsid w:val="00E86D93"/>
    <w:rPr>
      <w:rFonts w:ascii="Arial" w:eastAsia="Times New Roman" w:hAnsi="Arial" w:cs="Arial"/>
      <w:b/>
      <w:sz w:val="40"/>
      <w:szCs w:val="40"/>
      <w:shd w:val="clear" w:color="auto" w:fill="F8F4FB" w:themeFill="accent4"/>
    </w:rPr>
  </w:style>
  <w:style w:type="character" w:customStyle="1" w:styleId="Heading3Char">
    <w:name w:val="Heading 3 Char"/>
    <w:basedOn w:val="DefaultParagraphFont"/>
    <w:link w:val="Heading3"/>
    <w:uiPriority w:val="9"/>
    <w:rsid w:val="00CB16BE"/>
    <w:rPr>
      <w:rFonts w:ascii="Arial" w:eastAsia="Times New Roman" w:hAnsi="Arial" w:cs="Arial"/>
      <w:b/>
      <w:bCs/>
      <w:color w:val="000000"/>
      <w:sz w:val="28"/>
      <w:szCs w:val="24"/>
    </w:rPr>
  </w:style>
  <w:style w:type="character" w:customStyle="1" w:styleId="Heading4Char">
    <w:name w:val="Heading 4 Char"/>
    <w:basedOn w:val="DefaultParagraphFont"/>
    <w:link w:val="Heading4"/>
    <w:uiPriority w:val="9"/>
    <w:rsid w:val="0084227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character" w:styleId="Strong">
    <w:name w:val="Strong"/>
    <w:basedOn w:val="DefaultParagraphFont"/>
    <w:uiPriority w:val="22"/>
    <w:qFormat/>
    <w:rsid w:val="00903FEB"/>
    <w:rPr>
      <w:b/>
      <w:bCs/>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semiHidden/>
    <w:unhideWhenUsed/>
    <w:rsid w:val="00DF5B4E"/>
    <w:rPr>
      <w:sz w:val="20"/>
      <w:szCs w:val="20"/>
    </w:rPr>
  </w:style>
  <w:style w:type="character" w:customStyle="1" w:styleId="CommentTextChar">
    <w:name w:val="Comment Text Char"/>
    <w:basedOn w:val="DefaultParagraphFont"/>
    <w:link w:val="CommentText"/>
    <w:uiPriority w:val="99"/>
    <w:semiHidden/>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uiPriority w:val="34"/>
    <w:qFormat/>
    <w:rsid w:val="00A07D0F"/>
    <w:pPr>
      <w:numPr>
        <w:numId w:val="2"/>
      </w:numPr>
      <w:adjustRightInd w:val="0"/>
      <w:spacing w:before="60" w:after="120" w:line="245" w:lineRule="auto"/>
      <w:ind w:right="300"/>
    </w:pPr>
  </w:style>
  <w:style w:type="paragraph" w:styleId="Revision">
    <w:name w:val="Revision"/>
    <w:hidden/>
    <w:uiPriority w:val="99"/>
    <w:semiHidden/>
    <w:rsid w:val="00CA5467"/>
    <w:pPr>
      <w:spacing w:after="0" w:line="240" w:lineRule="auto"/>
    </w:pPr>
  </w:style>
  <w:style w:type="table" w:styleId="GridTable4-Accent2">
    <w:name w:val="Grid Table 4 Accent 2"/>
    <w:basedOn w:val="TableNormal"/>
    <w:uiPriority w:val="49"/>
    <w:rsid w:val="007F78A3"/>
    <w:pPr>
      <w:spacing w:after="0" w:line="240" w:lineRule="auto"/>
    </w:pPr>
    <w:tblPr>
      <w:tblStyleRowBandSize w:val="1"/>
      <w:tblStyleColBandSize w:val="1"/>
      <w:tblBorders>
        <w:top w:val="single" w:sz="4" w:space="0" w:color="AB73D5" w:themeColor="accent2" w:themeTint="99"/>
        <w:left w:val="single" w:sz="4" w:space="0" w:color="AB73D5" w:themeColor="accent2" w:themeTint="99"/>
        <w:bottom w:val="single" w:sz="4" w:space="0" w:color="AB73D5" w:themeColor="accent2" w:themeTint="99"/>
        <w:right w:val="single" w:sz="4" w:space="0" w:color="AB73D5" w:themeColor="accent2" w:themeTint="99"/>
        <w:insideH w:val="single" w:sz="4" w:space="0" w:color="AB73D5" w:themeColor="accent2" w:themeTint="99"/>
        <w:insideV w:val="single" w:sz="4" w:space="0" w:color="AB73D5" w:themeColor="accent2" w:themeTint="99"/>
      </w:tblBorders>
    </w:tblPr>
    <w:tblStylePr w:type="firstRow">
      <w:rPr>
        <w:b/>
        <w:bCs/>
        <w:color w:val="FFFFFF" w:themeColor="background1"/>
      </w:rPr>
      <w:tblPr/>
      <w:tcPr>
        <w:tcBorders>
          <w:top w:val="single" w:sz="4" w:space="0" w:color="7030A0" w:themeColor="accent2"/>
          <w:left w:val="single" w:sz="4" w:space="0" w:color="7030A0" w:themeColor="accent2"/>
          <w:bottom w:val="single" w:sz="4" w:space="0" w:color="7030A0" w:themeColor="accent2"/>
          <w:right w:val="single" w:sz="4" w:space="0" w:color="7030A0" w:themeColor="accent2"/>
          <w:insideH w:val="nil"/>
          <w:insideV w:val="nil"/>
        </w:tcBorders>
        <w:shd w:val="clear" w:color="auto" w:fill="7030A0" w:themeFill="accent2"/>
      </w:tcPr>
    </w:tblStylePr>
    <w:tblStylePr w:type="lastRow">
      <w:rPr>
        <w:b/>
        <w:bCs/>
      </w:rPr>
      <w:tblPr/>
      <w:tcPr>
        <w:tcBorders>
          <w:top w:val="double" w:sz="4" w:space="0" w:color="7030A0" w:themeColor="accent2"/>
        </w:tcBorders>
      </w:tcPr>
    </w:tblStylePr>
    <w:tblStylePr w:type="firstCol">
      <w:rPr>
        <w:b/>
        <w:bCs/>
      </w:rPr>
    </w:tblStylePr>
    <w:tblStylePr w:type="lastCol">
      <w:rPr>
        <w:b/>
        <w:bCs/>
      </w:rPr>
    </w:tblStylePr>
    <w:tblStylePr w:type="band1Vert">
      <w:tblPr/>
      <w:tcPr>
        <w:shd w:val="clear" w:color="auto" w:fill="E2D0F1" w:themeFill="accent2" w:themeFillTint="33"/>
      </w:tcPr>
    </w:tblStylePr>
    <w:tblStylePr w:type="band1Horz">
      <w:tblPr/>
      <w:tcPr>
        <w:shd w:val="clear" w:color="auto" w:fill="E2D0F1" w:themeFill="accent2" w:themeFillTint="33"/>
      </w:tcPr>
    </w:tblStylePr>
  </w:style>
  <w:style w:type="table" w:styleId="ListTable6Colorful-Accent5">
    <w:name w:val="List Table 6 Colorful Accent 5"/>
    <w:basedOn w:val="TableNormal"/>
    <w:uiPriority w:val="51"/>
    <w:rsid w:val="007F78A3"/>
    <w:pPr>
      <w:spacing w:after="0" w:line="240" w:lineRule="auto"/>
    </w:pPr>
    <w:rPr>
      <w:color w:val="532477" w:themeColor="accent5" w:themeShade="BF"/>
    </w:rPr>
    <w:tblPr>
      <w:tblStyleRowBandSize w:val="1"/>
      <w:tblStyleColBandSize w:val="1"/>
      <w:tblBorders>
        <w:top w:val="single" w:sz="4" w:space="0" w:color="7030A0" w:themeColor="accent5"/>
        <w:bottom w:val="single" w:sz="4" w:space="0" w:color="7030A0" w:themeColor="accent5"/>
      </w:tblBorders>
    </w:tblPr>
    <w:tblStylePr w:type="firstRow">
      <w:rPr>
        <w:b/>
        <w:bCs/>
      </w:rPr>
      <w:tblPr/>
      <w:tcPr>
        <w:tcBorders>
          <w:bottom w:val="single" w:sz="4" w:space="0" w:color="7030A0" w:themeColor="accent5"/>
        </w:tcBorders>
      </w:tcPr>
    </w:tblStylePr>
    <w:tblStylePr w:type="lastRow">
      <w:rPr>
        <w:b/>
        <w:bCs/>
      </w:rPr>
      <w:tblPr/>
      <w:tcPr>
        <w:tcBorders>
          <w:top w:val="double" w:sz="4" w:space="0" w:color="7030A0" w:themeColor="accent5"/>
        </w:tcBorders>
      </w:tcPr>
    </w:tblStylePr>
    <w:tblStylePr w:type="firstCol">
      <w:rPr>
        <w:b/>
        <w:bCs/>
      </w:rPr>
    </w:tblStylePr>
    <w:tblStylePr w:type="lastCol">
      <w:rPr>
        <w:b/>
        <w:bCs/>
      </w:rPr>
    </w:tblStylePr>
    <w:tblStylePr w:type="band1Vert">
      <w:tblPr/>
      <w:tcPr>
        <w:shd w:val="clear" w:color="auto" w:fill="E2D0F1" w:themeFill="accent5" w:themeFillTint="33"/>
      </w:tcPr>
    </w:tblStylePr>
    <w:tblStylePr w:type="band1Horz">
      <w:tblPr/>
      <w:tcPr>
        <w:shd w:val="clear" w:color="auto" w:fill="E2D0F1" w:themeFill="accent5" w:themeFillTint="33"/>
      </w:tcPr>
    </w:tblStylePr>
  </w:style>
  <w:style w:type="table" w:styleId="TableGrid">
    <w:name w:val="Table Grid"/>
    <w:basedOn w:val="TableNormal"/>
    <w:uiPriority w:val="39"/>
    <w:rsid w:val="0018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94181440">
      <w:bodyDiv w:val="1"/>
      <w:marLeft w:val="0"/>
      <w:marRight w:val="0"/>
      <w:marTop w:val="0"/>
      <w:marBottom w:val="0"/>
      <w:divBdr>
        <w:top w:val="none" w:sz="0" w:space="0" w:color="auto"/>
        <w:left w:val="none" w:sz="0" w:space="0" w:color="auto"/>
        <w:bottom w:val="none" w:sz="0" w:space="0" w:color="auto"/>
        <w:right w:val="none" w:sz="0" w:space="0" w:color="auto"/>
      </w:divBdr>
      <w:divsChild>
        <w:div w:id="622618698">
          <w:marLeft w:val="446"/>
          <w:marRight w:val="0"/>
          <w:marTop w:val="120"/>
          <w:marBottom w:val="120"/>
          <w:divBdr>
            <w:top w:val="none" w:sz="0" w:space="0" w:color="auto"/>
            <w:left w:val="none" w:sz="0" w:space="0" w:color="auto"/>
            <w:bottom w:val="none" w:sz="0" w:space="0" w:color="auto"/>
            <w:right w:val="none" w:sz="0" w:space="0" w:color="auto"/>
          </w:divBdr>
        </w:div>
      </w:divsChild>
    </w:div>
    <w:div w:id="99306140">
      <w:bodyDiv w:val="1"/>
      <w:marLeft w:val="0"/>
      <w:marRight w:val="0"/>
      <w:marTop w:val="0"/>
      <w:marBottom w:val="0"/>
      <w:divBdr>
        <w:top w:val="none" w:sz="0" w:space="0" w:color="auto"/>
        <w:left w:val="none" w:sz="0" w:space="0" w:color="auto"/>
        <w:bottom w:val="none" w:sz="0" w:space="0" w:color="auto"/>
        <w:right w:val="none" w:sz="0" w:space="0" w:color="auto"/>
      </w:divBdr>
      <w:divsChild>
        <w:div w:id="1721515939">
          <w:marLeft w:val="446"/>
          <w:marRight w:val="0"/>
          <w:marTop w:val="120"/>
          <w:marBottom w:val="120"/>
          <w:divBdr>
            <w:top w:val="none" w:sz="0" w:space="0" w:color="auto"/>
            <w:left w:val="none" w:sz="0" w:space="0" w:color="auto"/>
            <w:bottom w:val="none" w:sz="0" w:space="0" w:color="auto"/>
            <w:right w:val="none" w:sz="0" w:space="0" w:color="auto"/>
          </w:divBdr>
        </w:div>
        <w:div w:id="1806120614">
          <w:marLeft w:val="44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 w:id="424620943">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301468331">
      <w:bodyDiv w:val="1"/>
      <w:marLeft w:val="0"/>
      <w:marRight w:val="0"/>
      <w:marTop w:val="0"/>
      <w:marBottom w:val="0"/>
      <w:divBdr>
        <w:top w:val="none" w:sz="0" w:space="0" w:color="auto"/>
        <w:left w:val="none" w:sz="0" w:space="0" w:color="auto"/>
        <w:bottom w:val="none" w:sz="0" w:space="0" w:color="auto"/>
        <w:right w:val="none" w:sz="0" w:space="0" w:color="auto"/>
      </w:divBdr>
    </w:div>
    <w:div w:id="314574568">
      <w:bodyDiv w:val="1"/>
      <w:marLeft w:val="0"/>
      <w:marRight w:val="0"/>
      <w:marTop w:val="0"/>
      <w:marBottom w:val="0"/>
      <w:divBdr>
        <w:top w:val="none" w:sz="0" w:space="0" w:color="auto"/>
        <w:left w:val="none" w:sz="0" w:space="0" w:color="auto"/>
        <w:bottom w:val="none" w:sz="0" w:space="0" w:color="auto"/>
        <w:right w:val="none" w:sz="0" w:space="0" w:color="auto"/>
      </w:divBdr>
    </w:div>
    <w:div w:id="391542877">
      <w:bodyDiv w:val="1"/>
      <w:marLeft w:val="0"/>
      <w:marRight w:val="0"/>
      <w:marTop w:val="0"/>
      <w:marBottom w:val="0"/>
      <w:divBdr>
        <w:top w:val="none" w:sz="0" w:space="0" w:color="auto"/>
        <w:left w:val="none" w:sz="0" w:space="0" w:color="auto"/>
        <w:bottom w:val="none" w:sz="0" w:space="0" w:color="auto"/>
        <w:right w:val="none" w:sz="0" w:space="0" w:color="auto"/>
      </w:divBdr>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446704169">
      <w:bodyDiv w:val="1"/>
      <w:marLeft w:val="0"/>
      <w:marRight w:val="0"/>
      <w:marTop w:val="0"/>
      <w:marBottom w:val="0"/>
      <w:divBdr>
        <w:top w:val="none" w:sz="0" w:space="0" w:color="auto"/>
        <w:left w:val="none" w:sz="0" w:space="0" w:color="auto"/>
        <w:bottom w:val="none" w:sz="0" w:space="0" w:color="auto"/>
        <w:right w:val="none" w:sz="0" w:space="0" w:color="auto"/>
      </w:divBdr>
    </w:div>
    <w:div w:id="507913790">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521404622">
      <w:bodyDiv w:val="1"/>
      <w:marLeft w:val="0"/>
      <w:marRight w:val="0"/>
      <w:marTop w:val="0"/>
      <w:marBottom w:val="0"/>
      <w:divBdr>
        <w:top w:val="none" w:sz="0" w:space="0" w:color="auto"/>
        <w:left w:val="none" w:sz="0" w:space="0" w:color="auto"/>
        <w:bottom w:val="none" w:sz="0" w:space="0" w:color="auto"/>
        <w:right w:val="none" w:sz="0" w:space="0" w:color="auto"/>
      </w:divBdr>
    </w:div>
    <w:div w:id="553658430">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58797032">
      <w:bodyDiv w:val="1"/>
      <w:marLeft w:val="0"/>
      <w:marRight w:val="0"/>
      <w:marTop w:val="0"/>
      <w:marBottom w:val="0"/>
      <w:divBdr>
        <w:top w:val="none" w:sz="0" w:space="0" w:color="auto"/>
        <w:left w:val="none" w:sz="0" w:space="0" w:color="auto"/>
        <w:bottom w:val="none" w:sz="0" w:space="0" w:color="auto"/>
        <w:right w:val="none" w:sz="0" w:space="0" w:color="auto"/>
      </w:divBdr>
      <w:divsChild>
        <w:div w:id="1628662085">
          <w:marLeft w:val="446"/>
          <w:marRight w:val="0"/>
          <w:marTop w:val="120"/>
          <w:marBottom w:val="120"/>
          <w:divBdr>
            <w:top w:val="none" w:sz="0" w:space="0" w:color="auto"/>
            <w:left w:val="none" w:sz="0" w:space="0" w:color="auto"/>
            <w:bottom w:val="none" w:sz="0" w:space="0" w:color="auto"/>
            <w:right w:val="none" w:sz="0" w:space="0" w:color="auto"/>
          </w:divBdr>
        </w:div>
      </w:divsChild>
    </w:div>
    <w:div w:id="776025976">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591040916">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402825463">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sChild>
    </w:div>
    <w:div w:id="840894770">
      <w:bodyDiv w:val="1"/>
      <w:marLeft w:val="0"/>
      <w:marRight w:val="0"/>
      <w:marTop w:val="0"/>
      <w:marBottom w:val="0"/>
      <w:divBdr>
        <w:top w:val="none" w:sz="0" w:space="0" w:color="auto"/>
        <w:left w:val="none" w:sz="0" w:space="0" w:color="auto"/>
        <w:bottom w:val="none" w:sz="0" w:space="0" w:color="auto"/>
        <w:right w:val="none" w:sz="0" w:space="0" w:color="auto"/>
      </w:divBdr>
    </w:div>
    <w:div w:id="868760001">
      <w:bodyDiv w:val="1"/>
      <w:marLeft w:val="0"/>
      <w:marRight w:val="0"/>
      <w:marTop w:val="0"/>
      <w:marBottom w:val="0"/>
      <w:divBdr>
        <w:top w:val="none" w:sz="0" w:space="0" w:color="auto"/>
        <w:left w:val="none" w:sz="0" w:space="0" w:color="auto"/>
        <w:bottom w:val="none" w:sz="0" w:space="0" w:color="auto"/>
        <w:right w:val="none" w:sz="0" w:space="0" w:color="auto"/>
      </w:divBdr>
      <w:divsChild>
        <w:div w:id="173615276">
          <w:marLeft w:val="576"/>
          <w:marRight w:val="0"/>
          <w:marTop w:val="120"/>
          <w:marBottom w:val="120"/>
          <w:divBdr>
            <w:top w:val="none" w:sz="0" w:space="0" w:color="auto"/>
            <w:left w:val="none" w:sz="0" w:space="0" w:color="auto"/>
            <w:bottom w:val="none" w:sz="0" w:space="0" w:color="auto"/>
            <w:right w:val="none" w:sz="0" w:space="0" w:color="auto"/>
          </w:divBdr>
        </w:div>
        <w:div w:id="1366713868">
          <w:marLeft w:val="1008"/>
          <w:marRight w:val="0"/>
          <w:marTop w:val="0"/>
          <w:marBottom w:val="120"/>
          <w:divBdr>
            <w:top w:val="none" w:sz="0" w:space="0" w:color="auto"/>
            <w:left w:val="none" w:sz="0" w:space="0" w:color="auto"/>
            <w:bottom w:val="none" w:sz="0" w:space="0" w:color="auto"/>
            <w:right w:val="none" w:sz="0" w:space="0" w:color="auto"/>
          </w:divBdr>
        </w:div>
        <w:div w:id="985818653">
          <w:marLeft w:val="576"/>
          <w:marRight w:val="0"/>
          <w:marTop w:val="120"/>
          <w:marBottom w:val="120"/>
          <w:divBdr>
            <w:top w:val="none" w:sz="0" w:space="0" w:color="auto"/>
            <w:left w:val="none" w:sz="0" w:space="0" w:color="auto"/>
            <w:bottom w:val="none" w:sz="0" w:space="0" w:color="auto"/>
            <w:right w:val="none" w:sz="0" w:space="0" w:color="auto"/>
          </w:divBdr>
        </w:div>
        <w:div w:id="97336335">
          <w:marLeft w:val="576"/>
          <w:marRight w:val="0"/>
          <w:marTop w:val="120"/>
          <w:marBottom w:val="120"/>
          <w:divBdr>
            <w:top w:val="none" w:sz="0" w:space="0" w:color="auto"/>
            <w:left w:val="none" w:sz="0" w:space="0" w:color="auto"/>
            <w:bottom w:val="none" w:sz="0" w:space="0" w:color="auto"/>
            <w:right w:val="none" w:sz="0" w:space="0" w:color="auto"/>
          </w:divBdr>
        </w:div>
        <w:div w:id="805194958">
          <w:marLeft w:val="576"/>
          <w:marRight w:val="0"/>
          <w:marTop w:val="120"/>
          <w:marBottom w:val="120"/>
          <w:divBdr>
            <w:top w:val="none" w:sz="0" w:space="0" w:color="auto"/>
            <w:left w:val="none" w:sz="0" w:space="0" w:color="auto"/>
            <w:bottom w:val="none" w:sz="0" w:space="0" w:color="auto"/>
            <w:right w:val="none" w:sz="0" w:space="0" w:color="auto"/>
          </w:divBdr>
        </w:div>
        <w:div w:id="1564171872">
          <w:marLeft w:val="576"/>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1541819026">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782965725">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174609924">
      <w:bodyDiv w:val="1"/>
      <w:marLeft w:val="0"/>
      <w:marRight w:val="0"/>
      <w:marTop w:val="0"/>
      <w:marBottom w:val="0"/>
      <w:divBdr>
        <w:top w:val="none" w:sz="0" w:space="0" w:color="auto"/>
        <w:left w:val="none" w:sz="0" w:space="0" w:color="auto"/>
        <w:bottom w:val="none" w:sz="0" w:space="0" w:color="auto"/>
        <w:right w:val="none" w:sz="0" w:space="0" w:color="auto"/>
      </w:divBdr>
      <w:divsChild>
        <w:div w:id="2080132750">
          <w:marLeft w:val="446"/>
          <w:marRight w:val="0"/>
          <w:marTop w:val="120"/>
          <w:marBottom w:val="120"/>
          <w:divBdr>
            <w:top w:val="none" w:sz="0" w:space="0" w:color="auto"/>
            <w:left w:val="none" w:sz="0" w:space="0" w:color="auto"/>
            <w:bottom w:val="none" w:sz="0" w:space="0" w:color="auto"/>
            <w:right w:val="none" w:sz="0" w:space="0" w:color="auto"/>
          </w:divBdr>
        </w:div>
      </w:divsChild>
    </w:div>
    <w:div w:id="1295597450">
      <w:bodyDiv w:val="1"/>
      <w:marLeft w:val="0"/>
      <w:marRight w:val="0"/>
      <w:marTop w:val="0"/>
      <w:marBottom w:val="0"/>
      <w:divBdr>
        <w:top w:val="none" w:sz="0" w:space="0" w:color="auto"/>
        <w:left w:val="none" w:sz="0" w:space="0" w:color="auto"/>
        <w:bottom w:val="none" w:sz="0" w:space="0" w:color="auto"/>
        <w:right w:val="none" w:sz="0" w:space="0" w:color="auto"/>
      </w:divBdr>
      <w:divsChild>
        <w:div w:id="1085497286">
          <w:marLeft w:val="446"/>
          <w:marRight w:val="0"/>
          <w:marTop w:val="120"/>
          <w:marBottom w:val="120"/>
          <w:divBdr>
            <w:top w:val="none" w:sz="0" w:space="0" w:color="auto"/>
            <w:left w:val="none" w:sz="0" w:space="0" w:color="auto"/>
            <w:bottom w:val="none" w:sz="0" w:space="0" w:color="auto"/>
            <w:right w:val="none" w:sz="0" w:space="0" w:color="auto"/>
          </w:divBdr>
        </w:div>
      </w:divsChild>
    </w:div>
    <w:div w:id="1374233130">
      <w:bodyDiv w:val="1"/>
      <w:marLeft w:val="0"/>
      <w:marRight w:val="0"/>
      <w:marTop w:val="0"/>
      <w:marBottom w:val="0"/>
      <w:divBdr>
        <w:top w:val="none" w:sz="0" w:space="0" w:color="auto"/>
        <w:left w:val="none" w:sz="0" w:space="0" w:color="auto"/>
        <w:bottom w:val="none" w:sz="0" w:space="0" w:color="auto"/>
        <w:right w:val="none" w:sz="0" w:space="0" w:color="auto"/>
      </w:divBdr>
    </w:div>
    <w:div w:id="1404526055">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1748108301">
          <w:marLeft w:val="-108"/>
          <w:marRight w:val="0"/>
          <w:marTop w:val="0"/>
          <w:marBottom w:val="0"/>
          <w:divBdr>
            <w:top w:val="none" w:sz="0" w:space="0" w:color="auto"/>
            <w:left w:val="none" w:sz="0" w:space="0" w:color="auto"/>
            <w:bottom w:val="none" w:sz="0" w:space="0" w:color="auto"/>
            <w:right w:val="none" w:sz="0" w:space="0" w:color="auto"/>
          </w:divBdr>
        </w:div>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sChild>
    </w:div>
    <w:div w:id="1537157512">
      <w:bodyDiv w:val="1"/>
      <w:marLeft w:val="0"/>
      <w:marRight w:val="0"/>
      <w:marTop w:val="0"/>
      <w:marBottom w:val="0"/>
      <w:divBdr>
        <w:top w:val="none" w:sz="0" w:space="0" w:color="auto"/>
        <w:left w:val="none" w:sz="0" w:space="0" w:color="auto"/>
        <w:bottom w:val="none" w:sz="0" w:space="0" w:color="auto"/>
        <w:right w:val="none" w:sz="0" w:space="0" w:color="auto"/>
      </w:divBdr>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693147608">
      <w:bodyDiv w:val="1"/>
      <w:marLeft w:val="0"/>
      <w:marRight w:val="0"/>
      <w:marTop w:val="0"/>
      <w:marBottom w:val="0"/>
      <w:divBdr>
        <w:top w:val="none" w:sz="0" w:space="0" w:color="auto"/>
        <w:left w:val="none" w:sz="0" w:space="0" w:color="auto"/>
        <w:bottom w:val="none" w:sz="0" w:space="0" w:color="auto"/>
        <w:right w:val="none" w:sz="0" w:space="0" w:color="auto"/>
      </w:divBdr>
    </w:div>
    <w:div w:id="1705710162">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825001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5630">
          <w:marLeft w:val="446"/>
          <w:marRight w:val="0"/>
          <w:marTop w:val="200"/>
          <w:marBottom w:val="0"/>
          <w:divBdr>
            <w:top w:val="none" w:sz="0" w:space="0" w:color="auto"/>
            <w:left w:val="none" w:sz="0" w:space="0" w:color="auto"/>
            <w:bottom w:val="none" w:sz="0" w:space="0" w:color="auto"/>
            <w:right w:val="none" w:sz="0" w:space="0" w:color="auto"/>
          </w:divBdr>
        </w:div>
        <w:div w:id="1585606769">
          <w:marLeft w:val="446"/>
          <w:marRight w:val="0"/>
          <w:marTop w:val="200"/>
          <w:marBottom w:val="0"/>
          <w:divBdr>
            <w:top w:val="none" w:sz="0" w:space="0" w:color="auto"/>
            <w:left w:val="none" w:sz="0" w:space="0" w:color="auto"/>
            <w:bottom w:val="none" w:sz="0" w:space="0" w:color="auto"/>
            <w:right w:val="none" w:sz="0" w:space="0" w:color="auto"/>
          </w:divBdr>
        </w:div>
        <w:div w:id="2169617">
          <w:marLeft w:val="446"/>
          <w:marRight w:val="0"/>
          <w:marTop w:val="200"/>
          <w:marBottom w:val="0"/>
          <w:divBdr>
            <w:top w:val="none" w:sz="0" w:space="0" w:color="auto"/>
            <w:left w:val="none" w:sz="0" w:space="0" w:color="auto"/>
            <w:bottom w:val="none" w:sz="0" w:space="0" w:color="auto"/>
            <w:right w:val="none" w:sz="0" w:space="0" w:color="auto"/>
          </w:divBdr>
        </w:div>
      </w:divsChild>
    </w:div>
    <w:div w:id="1853765934">
      <w:bodyDiv w:val="1"/>
      <w:marLeft w:val="0"/>
      <w:marRight w:val="0"/>
      <w:marTop w:val="0"/>
      <w:marBottom w:val="0"/>
      <w:divBdr>
        <w:top w:val="none" w:sz="0" w:space="0" w:color="auto"/>
        <w:left w:val="none" w:sz="0" w:space="0" w:color="auto"/>
        <w:bottom w:val="none" w:sz="0" w:space="0" w:color="auto"/>
        <w:right w:val="none" w:sz="0" w:space="0" w:color="auto"/>
      </w:divBdr>
    </w:div>
    <w:div w:id="1857187656">
      <w:bodyDiv w:val="1"/>
      <w:marLeft w:val="0"/>
      <w:marRight w:val="0"/>
      <w:marTop w:val="0"/>
      <w:marBottom w:val="0"/>
      <w:divBdr>
        <w:top w:val="none" w:sz="0" w:space="0" w:color="auto"/>
        <w:left w:val="none" w:sz="0" w:space="0" w:color="auto"/>
        <w:bottom w:val="none" w:sz="0" w:space="0" w:color="auto"/>
        <w:right w:val="none" w:sz="0" w:space="0" w:color="auto"/>
      </w:divBdr>
    </w:div>
    <w:div w:id="2012370777">
      <w:bodyDiv w:val="1"/>
      <w:marLeft w:val="0"/>
      <w:marRight w:val="0"/>
      <w:marTop w:val="0"/>
      <w:marBottom w:val="0"/>
      <w:divBdr>
        <w:top w:val="none" w:sz="0" w:space="0" w:color="auto"/>
        <w:left w:val="none" w:sz="0" w:space="0" w:color="auto"/>
        <w:bottom w:val="none" w:sz="0" w:space="0" w:color="auto"/>
        <w:right w:val="none" w:sz="0" w:space="0" w:color="auto"/>
      </w:divBdr>
      <w:divsChild>
        <w:div w:id="1536889326">
          <w:marLeft w:val="576"/>
          <w:marRight w:val="0"/>
          <w:marTop w:val="0"/>
          <w:marBottom w:val="160"/>
          <w:divBdr>
            <w:top w:val="none" w:sz="0" w:space="0" w:color="auto"/>
            <w:left w:val="none" w:sz="0" w:space="0" w:color="auto"/>
            <w:bottom w:val="none" w:sz="0" w:space="0" w:color="auto"/>
            <w:right w:val="none" w:sz="0" w:space="0" w:color="auto"/>
          </w:divBdr>
        </w:div>
        <w:div w:id="869338049">
          <w:marLeft w:val="1008"/>
          <w:marRight w:val="0"/>
          <w:marTop w:val="0"/>
          <w:marBottom w:val="120"/>
          <w:divBdr>
            <w:top w:val="none" w:sz="0" w:space="0" w:color="auto"/>
            <w:left w:val="none" w:sz="0" w:space="0" w:color="auto"/>
            <w:bottom w:val="none" w:sz="0" w:space="0" w:color="auto"/>
            <w:right w:val="none" w:sz="0" w:space="0" w:color="auto"/>
          </w:divBdr>
        </w:div>
        <w:div w:id="1829395865">
          <w:marLeft w:val="1008"/>
          <w:marRight w:val="0"/>
          <w:marTop w:val="0"/>
          <w:marBottom w:val="120"/>
          <w:divBdr>
            <w:top w:val="none" w:sz="0" w:space="0" w:color="auto"/>
            <w:left w:val="none" w:sz="0" w:space="0" w:color="auto"/>
            <w:bottom w:val="none" w:sz="0" w:space="0" w:color="auto"/>
            <w:right w:val="none" w:sz="0" w:space="0" w:color="auto"/>
          </w:divBdr>
        </w:div>
        <w:div w:id="1283342855">
          <w:marLeft w:val="1008"/>
          <w:marRight w:val="0"/>
          <w:marTop w:val="0"/>
          <w:marBottom w:val="120"/>
          <w:divBdr>
            <w:top w:val="none" w:sz="0" w:space="0" w:color="auto"/>
            <w:left w:val="none" w:sz="0" w:space="0" w:color="auto"/>
            <w:bottom w:val="none" w:sz="0" w:space="0" w:color="auto"/>
            <w:right w:val="none" w:sz="0" w:space="0" w:color="auto"/>
          </w:divBdr>
        </w:div>
        <w:div w:id="1605771060">
          <w:marLeft w:val="576"/>
          <w:marRight w:val="0"/>
          <w:marTop w:val="120"/>
          <w:marBottom w:val="120"/>
          <w:divBdr>
            <w:top w:val="none" w:sz="0" w:space="0" w:color="auto"/>
            <w:left w:val="none" w:sz="0" w:space="0" w:color="auto"/>
            <w:bottom w:val="none" w:sz="0" w:space="0" w:color="auto"/>
            <w:right w:val="none" w:sz="0" w:space="0" w:color="auto"/>
          </w:divBdr>
        </w:div>
        <w:div w:id="1289970271">
          <w:marLeft w:val="576"/>
          <w:marRight w:val="0"/>
          <w:marTop w:val="120"/>
          <w:marBottom w:val="120"/>
          <w:divBdr>
            <w:top w:val="none" w:sz="0" w:space="0" w:color="auto"/>
            <w:left w:val="none" w:sz="0" w:space="0" w:color="auto"/>
            <w:bottom w:val="none" w:sz="0" w:space="0" w:color="auto"/>
            <w:right w:val="none" w:sz="0" w:space="0" w:color="auto"/>
          </w:divBdr>
        </w:div>
      </w:divsChild>
    </w:div>
    <w:div w:id="2067995715">
      <w:bodyDiv w:val="1"/>
      <w:marLeft w:val="0"/>
      <w:marRight w:val="0"/>
      <w:marTop w:val="0"/>
      <w:marBottom w:val="0"/>
      <w:divBdr>
        <w:top w:val="none" w:sz="0" w:space="0" w:color="auto"/>
        <w:left w:val="none" w:sz="0" w:space="0" w:color="auto"/>
        <w:bottom w:val="none" w:sz="0" w:space="0" w:color="auto"/>
        <w:right w:val="none" w:sz="0" w:space="0" w:color="auto"/>
      </w:divBdr>
      <w:divsChild>
        <w:div w:id="106632156">
          <w:marLeft w:val="432"/>
          <w:marRight w:val="0"/>
          <w:marTop w:val="120"/>
          <w:marBottom w:val="120"/>
          <w:divBdr>
            <w:top w:val="none" w:sz="0" w:space="0" w:color="auto"/>
            <w:left w:val="none" w:sz="0" w:space="0" w:color="auto"/>
            <w:bottom w:val="none" w:sz="0" w:space="0" w:color="auto"/>
            <w:right w:val="none" w:sz="0" w:space="0" w:color="auto"/>
          </w:divBdr>
        </w:div>
        <w:div w:id="1501386581">
          <w:marLeft w:val="432"/>
          <w:marRight w:val="0"/>
          <w:marTop w:val="240"/>
          <w:marBottom w:val="0"/>
          <w:divBdr>
            <w:top w:val="none" w:sz="0" w:space="0" w:color="auto"/>
            <w:left w:val="none" w:sz="0" w:space="0" w:color="auto"/>
            <w:bottom w:val="none" w:sz="0" w:space="0" w:color="auto"/>
            <w:right w:val="none" w:sz="0" w:space="0" w:color="auto"/>
          </w:divBdr>
        </w:div>
        <w:div w:id="298849798">
          <w:marLeft w:val="43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ashboardtoolkit.asp" TargetMode="External"/><Relationship Id="rId13" Type="http://schemas.openxmlformats.org/officeDocument/2006/relationships/hyperlink" Target="https://www.cde.ca.gov/ta/ac/cm/documents/academicindicator22.pdf" TargetMode="External"/><Relationship Id="rId18" Type="http://schemas.openxmlformats.org/officeDocument/2006/relationships/hyperlink" Target="https://www.cde.ca.gov/ta/ac/cm/dashboardtoolkit.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ta/ac/cm/documents/reportcurrentyear22.pdf" TargetMode="External"/><Relationship Id="rId7" Type="http://schemas.openxmlformats.org/officeDocument/2006/relationships/endnotes" Target="endnotes.xml"/><Relationship Id="rId12" Type="http://schemas.openxmlformats.org/officeDocument/2006/relationships/hyperlink" Target="https://www.cde.ca.gov/ta/ac/cm/dashboardtoolkit.asp" TargetMode="External"/><Relationship Id="rId17" Type="http://schemas.openxmlformats.org/officeDocument/2006/relationships/hyperlink" Target="https://www.cde.ca.gov/ta/ac/cm/documents/suspensionrate2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e.ca.gov/ta/ac/cm/documents/chronicabsenteeism22.pdf" TargetMode="External"/><Relationship Id="rId20" Type="http://schemas.openxmlformats.org/officeDocument/2006/relationships/hyperlink" Target="https://www.cde.ca.gov/ta/ac/cm/documents/gettingtoknowmeasures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shboard@cde.ca.gov" TargetMode="External"/><Relationship Id="rId24" Type="http://schemas.openxmlformats.org/officeDocument/2006/relationships/hyperlink" Target="https://twitter.com/cdedashboard?lang=en" TargetMode="External"/><Relationship Id="rId5" Type="http://schemas.openxmlformats.org/officeDocument/2006/relationships/webSettings" Target="webSettings.xml"/><Relationship Id="rId15" Type="http://schemas.openxmlformats.org/officeDocument/2006/relationships/hyperlink" Target="https://www.cde.ca.gov/ta/ac/cm/documents/graduationrate22.pdf" TargetMode="External"/><Relationship Id="rId23" Type="http://schemas.openxmlformats.org/officeDocument/2006/relationships/hyperlink" Target="mailto:dashboard@cde.ca.gov" TargetMode="External"/><Relationship Id="rId10" Type="http://schemas.openxmlformats.org/officeDocument/2006/relationships/image" Target="media/image1.png"/><Relationship Id="rId19" Type="http://schemas.openxmlformats.org/officeDocument/2006/relationships/hyperlink" Target="https://www.cde.ca.gov/ta/ac/cm/documents/gettingknowdashboard22.pdf" TargetMode="External"/><Relationship Id="rId4" Type="http://schemas.openxmlformats.org/officeDocument/2006/relationships/settings" Target="settings.xml"/><Relationship Id="rId9" Type="http://schemas.openxmlformats.org/officeDocument/2006/relationships/hyperlink" Target="https://www.cde.ca.gov/ta/ac/cm/documents/reportcurrentyear22.pdf" TargetMode="External"/><Relationship Id="rId14" Type="http://schemas.openxmlformats.org/officeDocument/2006/relationships/hyperlink" Target="https://www.cde.ca.gov/ta/ac/cm/documents/changesacademicpart22.pdf" TargetMode="External"/><Relationship Id="rId22" Type="http://schemas.openxmlformats.org/officeDocument/2006/relationships/hyperlink" Target="https://www.cde.ca.gov/ta/ac/cm/documents/dashboardguide1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ashboard Toolk,it">
      <a:dk1>
        <a:srgbClr val="44546A"/>
      </a:dk1>
      <a:lt1>
        <a:sysClr val="window" lastClr="FFFFFF"/>
      </a:lt1>
      <a:dk2>
        <a:srgbClr val="7030A0"/>
      </a:dk2>
      <a:lt2>
        <a:srgbClr val="F8F4FB"/>
      </a:lt2>
      <a:accent1>
        <a:srgbClr val="7030A0"/>
      </a:accent1>
      <a:accent2>
        <a:srgbClr val="7030A0"/>
      </a:accent2>
      <a:accent3>
        <a:srgbClr val="F8F4FB"/>
      </a:accent3>
      <a:accent4>
        <a:srgbClr val="F8F4FB"/>
      </a:accent4>
      <a:accent5>
        <a:srgbClr val="7030A0"/>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2654</Words>
  <Characters>15583</Characters>
  <Application>Microsoft Office Word</Application>
  <DocSecurity>0</DocSecurity>
  <Lines>445</Lines>
  <Paragraphs>344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17893</CharactersWithSpaces>
  <SharedDoc>false</SharedDoc>
  <HLinks>
    <vt:vector size="78" baseType="variant">
      <vt:variant>
        <vt:i4>3539026</vt:i4>
      </vt:variant>
      <vt:variant>
        <vt:i4>36</vt:i4>
      </vt:variant>
      <vt:variant>
        <vt:i4>0</vt:i4>
      </vt:variant>
      <vt:variant>
        <vt:i4>5</vt:i4>
      </vt:variant>
      <vt:variant>
        <vt:lpwstr>mailto:Dashboard@cde.ca.gov</vt:lpwstr>
      </vt:variant>
      <vt:variant>
        <vt:lpwstr/>
      </vt:variant>
      <vt:variant>
        <vt:i4>327684</vt:i4>
      </vt:variant>
      <vt:variant>
        <vt:i4>33</vt:i4>
      </vt:variant>
      <vt:variant>
        <vt:i4>0</vt:i4>
      </vt:variant>
      <vt:variant>
        <vt:i4>5</vt:i4>
      </vt:variant>
      <vt:variant>
        <vt:lpwstr>https://www.cde.ca.gov/ta/ac/cm/documents/changesacademicpart.pdf</vt:lpwstr>
      </vt:variant>
      <vt:variant>
        <vt:lpwstr/>
      </vt:variant>
      <vt:variant>
        <vt:i4>8126582</vt:i4>
      </vt:variant>
      <vt:variant>
        <vt:i4>30</vt:i4>
      </vt:variant>
      <vt:variant>
        <vt:i4>0</vt:i4>
      </vt:variant>
      <vt:variant>
        <vt:i4>5</vt:i4>
      </vt:variant>
      <vt:variant>
        <vt:lpwstr>https://www.cde.ca.gov/ta/ac/cm/documents/districtresidencerule.pdf</vt:lpwstr>
      </vt:variant>
      <vt:variant>
        <vt:lpwstr/>
      </vt:variant>
      <vt:variant>
        <vt:i4>5570651</vt:i4>
      </vt:variant>
      <vt:variant>
        <vt:i4>27</vt:i4>
      </vt:variant>
      <vt:variant>
        <vt:i4>0</vt:i4>
      </vt:variant>
      <vt:variant>
        <vt:i4>5</vt:i4>
      </vt:variant>
      <vt:variant>
        <vt:lpwstr>https://www.cde.ca.gov/ta/ac/cm/documents/reportcurrentyear22.pdf</vt:lpwstr>
      </vt:variant>
      <vt:variant>
        <vt:lpwstr/>
      </vt:variant>
      <vt:variant>
        <vt:i4>4784192</vt:i4>
      </vt:variant>
      <vt:variant>
        <vt:i4>24</vt:i4>
      </vt:variant>
      <vt:variant>
        <vt:i4>0</vt:i4>
      </vt:variant>
      <vt:variant>
        <vt:i4>5</vt:i4>
      </vt:variant>
      <vt:variant>
        <vt:lpwstr>https://www.cde.ca.gov/ta/ac/cm/documents/gettingtoknowmeasures22.pdf</vt:lpwstr>
      </vt:variant>
      <vt:variant>
        <vt:lpwstr/>
      </vt:variant>
      <vt:variant>
        <vt:i4>7209081</vt:i4>
      </vt:variant>
      <vt:variant>
        <vt:i4>21</vt:i4>
      </vt:variant>
      <vt:variant>
        <vt:i4>0</vt:i4>
      </vt:variant>
      <vt:variant>
        <vt:i4>5</vt:i4>
      </vt:variant>
      <vt:variant>
        <vt:lpwstr>https://www.cde.ca.gov/ta/ac/cm/documents/suspensionrate22.pdf</vt:lpwstr>
      </vt:variant>
      <vt:variant>
        <vt:lpwstr/>
      </vt:variant>
      <vt:variant>
        <vt:i4>7667839</vt:i4>
      </vt:variant>
      <vt:variant>
        <vt:i4>18</vt:i4>
      </vt:variant>
      <vt:variant>
        <vt:i4>0</vt:i4>
      </vt:variant>
      <vt:variant>
        <vt:i4>5</vt:i4>
      </vt:variant>
      <vt:variant>
        <vt:lpwstr>https://www.cde.ca.gov/ta/ac/cm/documents/chronicabsenteeism22.pdf</vt:lpwstr>
      </vt:variant>
      <vt:variant>
        <vt:lpwstr/>
      </vt:variant>
      <vt:variant>
        <vt:i4>327684</vt:i4>
      </vt:variant>
      <vt:variant>
        <vt:i4>15</vt:i4>
      </vt:variant>
      <vt:variant>
        <vt:i4>0</vt:i4>
      </vt:variant>
      <vt:variant>
        <vt:i4>5</vt:i4>
      </vt:variant>
      <vt:variant>
        <vt:lpwstr>https://www.cde.ca.gov/ta/ac/cm/documents/changesacademicpart.pdf</vt:lpwstr>
      </vt:variant>
      <vt:variant>
        <vt:lpwstr/>
      </vt:variant>
      <vt:variant>
        <vt:i4>5898328</vt:i4>
      </vt:variant>
      <vt:variant>
        <vt:i4>12</vt:i4>
      </vt:variant>
      <vt:variant>
        <vt:i4>0</vt:i4>
      </vt:variant>
      <vt:variant>
        <vt:i4>5</vt:i4>
      </vt:variant>
      <vt:variant>
        <vt:lpwstr>https://www.cde.ca.gov/ta/ac/cm/documents/academicindicator22.pdf</vt:lpwstr>
      </vt:variant>
      <vt:variant>
        <vt:lpwstr/>
      </vt:variant>
      <vt:variant>
        <vt:i4>3539026</vt:i4>
      </vt:variant>
      <vt:variant>
        <vt:i4>9</vt:i4>
      </vt:variant>
      <vt:variant>
        <vt:i4>0</vt:i4>
      </vt:variant>
      <vt:variant>
        <vt:i4>5</vt:i4>
      </vt:variant>
      <vt:variant>
        <vt:lpwstr>mailto:Dashboard@cde.ca.gov</vt:lpwstr>
      </vt:variant>
      <vt:variant>
        <vt:lpwstr/>
      </vt:variant>
      <vt:variant>
        <vt:i4>7143523</vt:i4>
      </vt:variant>
      <vt:variant>
        <vt:i4>6</vt:i4>
      </vt:variant>
      <vt:variant>
        <vt:i4>0</vt:i4>
      </vt:variant>
      <vt:variant>
        <vt:i4>5</vt:i4>
      </vt:variant>
      <vt:variant>
        <vt:lpwstr>https://www.caaspp.org/training/training-opportunities-archive.html</vt:lpwstr>
      </vt:variant>
      <vt:variant>
        <vt:lpwstr/>
      </vt:variant>
      <vt:variant>
        <vt:i4>6750322</vt:i4>
      </vt:variant>
      <vt:variant>
        <vt:i4>3</vt:i4>
      </vt:variant>
      <vt:variant>
        <vt:i4>0</vt:i4>
      </vt:variant>
      <vt:variant>
        <vt:i4>5</vt:i4>
      </vt:variant>
      <vt:variant>
        <vt:lpwstr>https://bit.ly/3zROkrb</vt:lpwstr>
      </vt:variant>
      <vt:variant>
        <vt:lpwstr/>
      </vt:variant>
      <vt:variant>
        <vt:i4>4128827</vt:i4>
      </vt:variant>
      <vt:variant>
        <vt:i4>0</vt:i4>
      </vt:variant>
      <vt:variant>
        <vt:i4>0</vt:i4>
      </vt:variant>
      <vt:variant>
        <vt:i4>5</vt:i4>
      </vt:variant>
      <vt:variant>
        <vt:lpwstr>https://forms.gle/to5SBeTr95xVyjQC6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 Dashboard Webinar 1 Notetaking Guide - Dashboard 101 - California School Dashboard and System of Support</dc:title>
  <dc:subject>This notetaking guide accompanies the California School Dashboard (Dashboard) webinar series number one which took place in November 2022.</dc:subject>
  <cp:keywords/>
  <dc:description/>
  <cp:lastModifiedBy/>
  <cp:revision>1</cp:revision>
  <dcterms:created xsi:type="dcterms:W3CDTF">2024-02-21T19:23:00Z</dcterms:created>
  <dcterms:modified xsi:type="dcterms:W3CDTF">2024-02-21T19:24:00Z</dcterms:modified>
  <dc:language/>
</cp:coreProperties>
</file>