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A2B4" w14:textId="16A28010" w:rsidR="00F76153" w:rsidRPr="00B032F6" w:rsidRDefault="00F76153" w:rsidP="00944FAE">
      <w:pPr>
        <w:pStyle w:val="Heading1"/>
        <w:jc w:val="center"/>
        <w:rPr>
          <w:rFonts w:ascii="Arial" w:eastAsia="Arial" w:hAnsi="Arial" w:cs="Arial"/>
          <w:b/>
          <w:bCs/>
          <w:iCs/>
        </w:rPr>
      </w:pPr>
      <w:r w:rsidRPr="00B032F6">
        <w:rPr>
          <w:rFonts w:ascii="Arial" w:eastAsia="Arial" w:hAnsi="Arial" w:cs="Arial"/>
          <w:b/>
          <w:bCs/>
        </w:rPr>
        <w:t>State High School Graduation Rate (Four-Year Cohort)</w:t>
      </w:r>
    </w:p>
    <w:p w14:paraId="49A0AF07" w14:textId="77777777" w:rsidR="00F76153" w:rsidRPr="003C3F2C" w:rsidRDefault="00F76153" w:rsidP="00F76153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C3F2C">
        <w:rPr>
          <w:rFonts w:ascii="Arial" w:hAnsi="Arial" w:cs="Arial"/>
          <w:sz w:val="24"/>
          <w:szCs w:val="24"/>
        </w:rPr>
        <w:t>The Four-Year Adjusted Cohort Graduation Rate (ACGR) is the number of students who graduate from high school in four years with a regular high school diploma, divided by the number of students who form the adjusted cohort for the graduating class.</w:t>
      </w:r>
    </w:p>
    <w:p w14:paraId="34677F01" w14:textId="77777777" w:rsidR="00F76153" w:rsidRPr="003C3F2C" w:rsidRDefault="00F76153" w:rsidP="00F76153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C3F2C">
        <w:rPr>
          <w:rFonts w:ascii="Arial" w:hAnsi="Arial" w:cs="Arial"/>
          <w:sz w:val="24"/>
          <w:szCs w:val="24"/>
        </w:rPr>
        <w:t>The four-year cohort is based on the number of students who enter grade 9 for the first time adjusted by adding into the cohort any student who transfers in later during grade 9 or during the next three years and subtracting any student from the cohort who transfers out, emigrates to another country, transfers to a prison or juvenile facility, or dies during that same period.</w:t>
      </w:r>
    </w:p>
    <w:p w14:paraId="01800C94" w14:textId="77777777" w:rsidR="00F76153" w:rsidRPr="002663BA" w:rsidRDefault="00F76153" w:rsidP="00F76153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3C3F2C">
        <w:rPr>
          <w:rFonts w:ascii="Arial" w:hAnsi="Arial" w:cs="Arial"/>
          <w:sz w:val="24"/>
          <w:szCs w:val="24"/>
        </w:rPr>
        <w:t xml:space="preserve">For more information on the ACGR, visit the </w:t>
      </w:r>
      <w:r w:rsidRPr="00F467E1">
        <w:rPr>
          <w:rFonts w:ascii="Arial" w:hAnsi="Arial" w:cs="Arial"/>
          <w:sz w:val="24"/>
          <w:szCs w:val="24"/>
        </w:rPr>
        <w:t xml:space="preserve">Information about Adjusted Cohort Graduation </w:t>
      </w:r>
      <w:r w:rsidRPr="002663BA">
        <w:rPr>
          <w:rFonts w:ascii="Arial" w:hAnsi="Arial" w:cs="Arial"/>
          <w:sz w:val="24"/>
          <w:szCs w:val="24"/>
        </w:rPr>
        <w:t xml:space="preserve">Rate web page at </w:t>
      </w:r>
      <w:hyperlink r:id="rId6" w:tooltip="Information about Adjusted Cohort Graduation Rate web page." w:history="1">
        <w:r w:rsidRPr="002663BA">
          <w:rPr>
            <w:rStyle w:val="Hyperlink"/>
            <w:rFonts w:ascii="Arial" w:hAnsi="Arial" w:cs="Arial"/>
            <w:sz w:val="24"/>
            <w:szCs w:val="24"/>
          </w:rPr>
          <w:t>https://www.cde.ca.gov/ds/ad/acgrinfo.asp</w:t>
        </w:r>
      </w:hyperlink>
      <w:r w:rsidRPr="002663BA">
        <w:rPr>
          <w:rFonts w:ascii="Arial" w:hAnsi="Arial" w:cs="Arial"/>
          <w:sz w:val="24"/>
          <w:szCs w:val="24"/>
        </w:rPr>
        <w:t>.</w:t>
      </w:r>
    </w:p>
    <w:p w14:paraId="286F3A9F" w14:textId="77777777" w:rsidR="00F76153" w:rsidRPr="00B032F6" w:rsidRDefault="00F76153" w:rsidP="00944FAE">
      <w:pPr>
        <w:pStyle w:val="Heading2"/>
        <w:rPr>
          <w:rFonts w:ascii="Arial" w:eastAsia="Arial" w:hAnsi="Arial" w:cs="Arial"/>
          <w:b/>
          <w:bCs/>
        </w:rPr>
      </w:pPr>
      <w:r w:rsidRPr="00B032F6">
        <w:rPr>
          <w:rFonts w:ascii="Arial" w:eastAsia="Arial" w:hAnsi="Arial" w:cs="Arial"/>
          <w:b/>
          <w:bCs/>
        </w:rPr>
        <w:lastRenderedPageBreak/>
        <w:t>2021–22 State High School Graduation Rate (Four-Year Cohort) by Student Group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  <w:tblDescription w:val="This table displays the 2021-22 state graduation rate (four-year cohort) by student group."/>
      </w:tblPr>
      <w:tblGrid>
        <w:gridCol w:w="4585"/>
        <w:gridCol w:w="1710"/>
        <w:gridCol w:w="1710"/>
        <w:gridCol w:w="1620"/>
      </w:tblGrid>
      <w:tr w:rsidR="00F76153" w:rsidRPr="002663BA" w14:paraId="7898EBEE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4E28A9B9" w14:textId="77777777" w:rsidR="00F76153" w:rsidRPr="002663BA" w:rsidRDefault="00F76153" w:rsidP="000C3C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Student Group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903F9E3" w14:textId="77777777" w:rsidR="00F76153" w:rsidRPr="002663BA" w:rsidRDefault="00F76153" w:rsidP="000C3C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Number of Students in Cohort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9622D2" w14:textId="77777777" w:rsidR="00F76153" w:rsidRPr="002663BA" w:rsidRDefault="00F76153" w:rsidP="000C3C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Number of Cohort Graduates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2C2DCAF" w14:textId="77777777" w:rsidR="00F76153" w:rsidRPr="002663BA" w:rsidRDefault="00F76153" w:rsidP="000C3C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Cohort Graduation Rate</w:t>
            </w:r>
          </w:p>
        </w:tc>
      </w:tr>
      <w:tr w:rsidR="00F76153" w:rsidRPr="002663BA" w14:paraId="615AEEDE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1D9FF8CF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Statewide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18CDAE" w14:textId="77777777" w:rsidR="00F76153" w:rsidRPr="002663BA" w:rsidRDefault="00F76153" w:rsidP="000C3C96">
            <w:pPr>
              <w:widowControl/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497,884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9753B1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433,339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729214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87.0%</w:t>
            </w:r>
          </w:p>
        </w:tc>
      </w:tr>
      <w:tr w:rsidR="00F76153" w:rsidRPr="002663BA" w14:paraId="37E8C4F7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788AA02C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92FBCE7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241,220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76EF31D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216,558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671697E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89.8%</w:t>
            </w:r>
          </w:p>
        </w:tc>
      </w:tr>
      <w:tr w:rsidR="00F76153" w:rsidRPr="002663BA" w14:paraId="5136C1E0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77D9086D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252F7D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256,160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BABD9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216,381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1C6AB8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84.5%</w:t>
            </w:r>
          </w:p>
        </w:tc>
      </w:tr>
      <w:tr w:rsidR="00F76153" w:rsidRPr="002663BA" w14:paraId="6F9126F6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3CB88E95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Non-Binary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F42CCAA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0B243C4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1DE7DE9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79.4%</w:t>
            </w:r>
          </w:p>
        </w:tc>
      </w:tr>
      <w:tr w:rsidR="00F76153" w:rsidRPr="002663BA" w14:paraId="130373E3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2E90AAF9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American Indian or Alaska Native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FBD2D1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2,580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D39D41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2,032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48DDE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78.8%</w:t>
            </w:r>
          </w:p>
        </w:tc>
      </w:tr>
      <w:tr w:rsidR="00F76153" w:rsidRPr="002663BA" w14:paraId="4F0ECD45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06819712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48D4B95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47,100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9955E4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44,836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480DF99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95.2%</w:t>
            </w:r>
          </w:p>
        </w:tc>
      </w:tr>
      <w:tr w:rsidR="00F76153" w:rsidRPr="002663BA" w14:paraId="2B4A996F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05E59DFF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Black or African American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4EAEF84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26,811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F3776A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21,063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38FCE4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78.6%</w:t>
            </w:r>
          </w:p>
        </w:tc>
      </w:tr>
      <w:tr w:rsidR="00F76153" w:rsidRPr="002663BA" w14:paraId="09980B5F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67ED12A9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Filipino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CF1C759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13,587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2794EAA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12,968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2CBA579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95.4%</w:t>
            </w:r>
          </w:p>
        </w:tc>
      </w:tr>
      <w:tr w:rsidR="00F76153" w:rsidRPr="002663BA" w14:paraId="792E56EE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28F8EB18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Hispanic or Latino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FB84E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273,928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2E7835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232,030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64413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84.7%</w:t>
            </w:r>
          </w:p>
        </w:tc>
      </w:tr>
      <w:tr w:rsidR="00F76153" w:rsidRPr="002663BA" w14:paraId="0E5E3E26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01C9D3FD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Native Hawaiian or Pacific Islander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6D63733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2,390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3107266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2,028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9019FDA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84.9%</w:t>
            </w:r>
          </w:p>
        </w:tc>
      </w:tr>
      <w:tr w:rsidR="00F76153" w:rsidRPr="002663BA" w14:paraId="51EEC1B0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5082E403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Two or More Races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2275F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16,874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5D5102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15,085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F9B057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89.4%</w:t>
            </w:r>
          </w:p>
        </w:tc>
      </w:tr>
      <w:tr w:rsidR="00F76153" w:rsidRPr="002663BA" w14:paraId="3D8D7CB8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4F894CBC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White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151B34B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111,065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6582CC6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100,600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FBA6A51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90.6%</w:t>
            </w:r>
          </w:p>
        </w:tc>
      </w:tr>
      <w:tr w:rsidR="00F76153" w:rsidRPr="002663BA" w14:paraId="57BA3E07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77F669C5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English Learners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449CFB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70,376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47311C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50,524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3D68A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71.8%</w:t>
            </w:r>
          </w:p>
        </w:tc>
      </w:tr>
      <w:tr w:rsidR="00F76153" w:rsidRPr="002663BA" w14:paraId="2E17E471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1EEA80D7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Foster Youth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55D79F8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497,884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E1CEBF9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433,339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69570E0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87.0%</w:t>
            </w:r>
          </w:p>
        </w:tc>
      </w:tr>
      <w:tr w:rsidR="00F76153" w:rsidRPr="002663BA" w14:paraId="780A7E50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65A39D30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Homeless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227FB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33,764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54B774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24,629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EACDE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72.9%</w:t>
            </w:r>
          </w:p>
        </w:tc>
      </w:tr>
      <w:tr w:rsidR="00F76153" w:rsidRPr="002663BA" w14:paraId="36FD2250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459CAFB5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Socioeconomically Disadvantaged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70D9B48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347,030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00ADB8B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293,404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4B953ACA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84.5%</w:t>
            </w:r>
          </w:p>
        </w:tc>
      </w:tr>
      <w:tr w:rsidR="00F76153" w:rsidRPr="002663BA" w14:paraId="5C286064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281A231E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Not Socioeconomically Disadvantaged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C1F764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150,854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C615C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139,935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002CD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92.8%</w:t>
            </w:r>
          </w:p>
        </w:tc>
      </w:tr>
      <w:tr w:rsidR="00F76153" w:rsidRPr="002663BA" w14:paraId="402365FE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1406C814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Students Receiving Migrant Education Services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3366262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5,305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8692F81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4,511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65042E7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85.0%</w:t>
            </w:r>
          </w:p>
        </w:tc>
      </w:tr>
      <w:tr w:rsidR="00F76153" w:rsidRPr="002663BA" w14:paraId="72DBB54B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auto"/>
          </w:tcPr>
          <w:p w14:paraId="290CA574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Students with Disabilities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34275C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63,360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D6D48F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46,744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A52725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73.8%</w:t>
            </w:r>
          </w:p>
        </w:tc>
      </w:tr>
      <w:tr w:rsidR="00F76153" w:rsidRPr="002663BA" w14:paraId="7710F4C6" w14:textId="77777777" w:rsidTr="00F76153">
        <w:trPr>
          <w:cantSplit/>
          <w:tblHeader/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71C6EC03" w14:textId="77777777" w:rsidR="00F76153" w:rsidRPr="002663BA" w:rsidRDefault="00F76153" w:rsidP="000C3C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2663B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Students with No Reported Disabilities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7593356" w14:textId="77777777" w:rsidR="00F76153" w:rsidRPr="002663BA" w:rsidRDefault="00F76153" w:rsidP="000C3C96">
            <w:pPr>
              <w:tabs>
                <w:tab w:val="right" w:pos="1236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434,524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4135B03" w14:textId="77777777" w:rsidR="00F76153" w:rsidRPr="002663BA" w:rsidRDefault="00F76153" w:rsidP="000C3C96">
            <w:pPr>
              <w:tabs>
                <w:tab w:val="right" w:pos="1242"/>
              </w:tabs>
              <w:spacing w:after="0" w:line="240" w:lineRule="auto"/>
              <w:ind w:right="252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386,595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59743CD" w14:textId="77777777" w:rsidR="00F76153" w:rsidRPr="002663BA" w:rsidRDefault="00F76153" w:rsidP="000C3C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63BA">
              <w:rPr>
                <w:rFonts w:ascii="Arial" w:hAnsi="Arial" w:cs="Arial"/>
                <w:color w:val="000000"/>
                <w:sz w:val="24"/>
                <w:szCs w:val="24"/>
              </w:rPr>
              <w:t>89.0%</w:t>
            </w:r>
          </w:p>
        </w:tc>
      </w:tr>
    </w:tbl>
    <w:p w14:paraId="608B3FF2" w14:textId="77777777" w:rsidR="00F76153" w:rsidRPr="002663BA" w:rsidRDefault="00F76153" w:rsidP="00F76153">
      <w:pPr>
        <w:spacing w:before="60" w:after="0" w:line="240" w:lineRule="auto"/>
        <w:ind w:left="-86" w:right="-90"/>
        <w:rPr>
          <w:rFonts w:ascii="Arial" w:eastAsia="Arial" w:hAnsi="Arial" w:cs="Arial"/>
          <w:sz w:val="24"/>
          <w:szCs w:val="24"/>
        </w:rPr>
      </w:pPr>
      <w:r w:rsidRPr="002663BA">
        <w:rPr>
          <w:rFonts w:ascii="Arial" w:eastAsia="Arial" w:hAnsi="Arial" w:cs="Arial"/>
          <w:sz w:val="24"/>
          <w:szCs w:val="24"/>
        </w:rPr>
        <w:t>Note 1: Due</w:t>
      </w:r>
      <w:r w:rsidRPr="002663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z w:val="24"/>
          <w:szCs w:val="24"/>
        </w:rPr>
        <w:t>to</w:t>
      </w:r>
      <w:r w:rsidRPr="002663B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z w:val="24"/>
          <w:szCs w:val="24"/>
        </w:rPr>
        <w:t>r</w:t>
      </w:r>
      <w:r w:rsidRPr="002663BA">
        <w:rPr>
          <w:rFonts w:ascii="Arial" w:eastAsia="Arial" w:hAnsi="Arial" w:cs="Arial"/>
          <w:spacing w:val="-1"/>
          <w:sz w:val="24"/>
          <w:szCs w:val="24"/>
        </w:rPr>
        <w:t>o</w:t>
      </w:r>
      <w:r w:rsidRPr="002663BA">
        <w:rPr>
          <w:rFonts w:ascii="Arial" w:eastAsia="Arial" w:hAnsi="Arial" w:cs="Arial"/>
          <w:spacing w:val="1"/>
          <w:sz w:val="24"/>
          <w:szCs w:val="24"/>
        </w:rPr>
        <w:t>un</w:t>
      </w:r>
      <w:r w:rsidRPr="002663BA">
        <w:rPr>
          <w:rFonts w:ascii="Arial" w:eastAsia="Arial" w:hAnsi="Arial" w:cs="Arial"/>
          <w:spacing w:val="-2"/>
          <w:sz w:val="24"/>
          <w:szCs w:val="24"/>
        </w:rPr>
        <w:t>d</w:t>
      </w:r>
      <w:r w:rsidRPr="002663BA">
        <w:rPr>
          <w:rFonts w:ascii="Arial" w:eastAsia="Arial" w:hAnsi="Arial" w:cs="Arial"/>
          <w:spacing w:val="1"/>
          <w:sz w:val="24"/>
          <w:szCs w:val="24"/>
        </w:rPr>
        <w:t>ing</w:t>
      </w:r>
      <w:r w:rsidRPr="002663BA">
        <w:rPr>
          <w:rFonts w:ascii="Arial" w:eastAsia="Arial" w:hAnsi="Arial" w:cs="Arial"/>
          <w:sz w:val="24"/>
          <w:szCs w:val="24"/>
        </w:rPr>
        <w:t>,</w:t>
      </w:r>
      <w:r w:rsidRPr="002663B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z w:val="24"/>
          <w:szCs w:val="24"/>
        </w:rPr>
        <w:t>t</w:t>
      </w:r>
      <w:r w:rsidRPr="002663BA">
        <w:rPr>
          <w:rFonts w:ascii="Arial" w:eastAsia="Arial" w:hAnsi="Arial" w:cs="Arial"/>
          <w:spacing w:val="1"/>
          <w:sz w:val="24"/>
          <w:szCs w:val="24"/>
        </w:rPr>
        <w:t>h</w:t>
      </w:r>
      <w:r w:rsidRPr="002663BA">
        <w:rPr>
          <w:rFonts w:ascii="Arial" w:eastAsia="Arial" w:hAnsi="Arial" w:cs="Arial"/>
          <w:sz w:val="24"/>
          <w:szCs w:val="24"/>
        </w:rPr>
        <w:t>e</w:t>
      </w:r>
      <w:r w:rsidRPr="002663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pacing w:val="1"/>
          <w:sz w:val="24"/>
          <w:szCs w:val="24"/>
        </w:rPr>
        <w:t>s</w:t>
      </w:r>
      <w:r w:rsidRPr="002663BA">
        <w:rPr>
          <w:rFonts w:ascii="Arial" w:eastAsia="Arial" w:hAnsi="Arial" w:cs="Arial"/>
          <w:spacing w:val="-2"/>
          <w:sz w:val="24"/>
          <w:szCs w:val="24"/>
        </w:rPr>
        <w:t>u</w:t>
      </w:r>
      <w:r w:rsidRPr="002663BA">
        <w:rPr>
          <w:rFonts w:ascii="Arial" w:eastAsia="Arial" w:hAnsi="Arial" w:cs="Arial"/>
          <w:sz w:val="24"/>
          <w:szCs w:val="24"/>
        </w:rPr>
        <w:t>m</w:t>
      </w:r>
      <w:r w:rsidRPr="002663B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2663BA">
        <w:rPr>
          <w:rFonts w:ascii="Arial" w:eastAsia="Arial" w:hAnsi="Arial" w:cs="Arial"/>
          <w:sz w:val="24"/>
          <w:szCs w:val="24"/>
        </w:rPr>
        <w:t>f</w:t>
      </w:r>
      <w:r w:rsidRPr="002663B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pacing w:val="1"/>
          <w:sz w:val="24"/>
          <w:szCs w:val="24"/>
        </w:rPr>
        <w:t>the cohort graduation rate</w:t>
      </w:r>
      <w:r w:rsidRPr="002663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pacing w:val="1"/>
          <w:sz w:val="24"/>
          <w:szCs w:val="24"/>
        </w:rPr>
        <w:t>ma</w:t>
      </w:r>
      <w:r w:rsidRPr="002663BA">
        <w:rPr>
          <w:rFonts w:ascii="Arial" w:eastAsia="Arial" w:hAnsi="Arial" w:cs="Arial"/>
          <w:sz w:val="24"/>
          <w:szCs w:val="24"/>
        </w:rPr>
        <w:t>y</w:t>
      </w:r>
      <w:r w:rsidRPr="002663B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pacing w:val="1"/>
          <w:sz w:val="24"/>
          <w:szCs w:val="24"/>
        </w:rPr>
        <w:t>no</w:t>
      </w:r>
      <w:r w:rsidRPr="002663BA">
        <w:rPr>
          <w:rFonts w:ascii="Arial" w:eastAsia="Arial" w:hAnsi="Arial" w:cs="Arial"/>
          <w:sz w:val="24"/>
          <w:szCs w:val="24"/>
        </w:rPr>
        <w:t>t</w:t>
      </w:r>
      <w:r w:rsidRPr="002663B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z w:val="24"/>
          <w:szCs w:val="24"/>
        </w:rPr>
        <w:t>total</w:t>
      </w:r>
      <w:r w:rsidRPr="002663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pacing w:val="1"/>
          <w:sz w:val="24"/>
          <w:szCs w:val="24"/>
        </w:rPr>
        <w:t>10</w:t>
      </w:r>
      <w:r w:rsidRPr="002663BA">
        <w:rPr>
          <w:rFonts w:ascii="Arial" w:eastAsia="Arial" w:hAnsi="Arial" w:cs="Arial"/>
          <w:sz w:val="24"/>
          <w:szCs w:val="24"/>
        </w:rPr>
        <w:t>0</w:t>
      </w:r>
      <w:r w:rsidRPr="002663B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663BA">
        <w:rPr>
          <w:rFonts w:ascii="Arial" w:eastAsia="Arial" w:hAnsi="Arial" w:cs="Arial"/>
          <w:spacing w:val="1"/>
          <w:sz w:val="24"/>
          <w:szCs w:val="24"/>
        </w:rPr>
        <w:t>pe</w:t>
      </w:r>
      <w:r w:rsidRPr="002663BA">
        <w:rPr>
          <w:rFonts w:ascii="Arial" w:eastAsia="Arial" w:hAnsi="Arial" w:cs="Arial"/>
          <w:sz w:val="24"/>
          <w:szCs w:val="24"/>
        </w:rPr>
        <w:t>r</w:t>
      </w:r>
      <w:r w:rsidRPr="002663BA">
        <w:rPr>
          <w:rFonts w:ascii="Arial" w:eastAsia="Arial" w:hAnsi="Arial" w:cs="Arial"/>
          <w:spacing w:val="-1"/>
          <w:sz w:val="24"/>
          <w:szCs w:val="24"/>
        </w:rPr>
        <w:t>c</w:t>
      </w:r>
      <w:r w:rsidRPr="002663BA">
        <w:rPr>
          <w:rFonts w:ascii="Arial" w:eastAsia="Arial" w:hAnsi="Arial" w:cs="Arial"/>
          <w:spacing w:val="1"/>
          <w:sz w:val="24"/>
          <w:szCs w:val="24"/>
        </w:rPr>
        <w:t>en</w:t>
      </w:r>
      <w:r w:rsidRPr="002663BA">
        <w:rPr>
          <w:rFonts w:ascii="Arial" w:eastAsia="Arial" w:hAnsi="Arial" w:cs="Arial"/>
          <w:sz w:val="24"/>
          <w:szCs w:val="24"/>
        </w:rPr>
        <w:t>t.</w:t>
      </w:r>
    </w:p>
    <w:p w14:paraId="0BC8B866" w14:textId="65FC71E4" w:rsidR="00F76153" w:rsidRDefault="00F76153" w:rsidP="00944FAE">
      <w:pPr>
        <w:spacing w:before="60" w:after="0" w:line="240" w:lineRule="auto"/>
        <w:ind w:left="-86" w:right="216"/>
      </w:pPr>
      <w:r w:rsidRPr="002663BA">
        <w:rPr>
          <w:rFonts w:ascii="Arial" w:eastAsia="Arial" w:hAnsi="Arial" w:cs="Arial"/>
          <w:sz w:val="24"/>
          <w:szCs w:val="24"/>
        </w:rPr>
        <w:t>Note 2: Socioeconomically disadvantaged (SED) students are defined as students</w:t>
      </w:r>
      <w:r w:rsidRPr="007D372E">
        <w:rPr>
          <w:rFonts w:ascii="Arial" w:eastAsia="Arial" w:hAnsi="Arial" w:cs="Arial"/>
          <w:sz w:val="24"/>
          <w:szCs w:val="24"/>
        </w:rPr>
        <w:t>: (1) who are eligible for the free or reduced-price lunch program (also known as the National School Lunch Program, or NSLP), or have a direct certification for free or reduced-price meals, or (2) who are migrant, homeless, or foster youth, or (3) where neither of the parents were a high school graduate.</w:t>
      </w:r>
    </w:p>
    <w:sectPr w:rsidR="00F76153" w:rsidSect="00731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95ADA" w14:textId="77777777" w:rsidR="002E1E3D" w:rsidRDefault="002E1E3D" w:rsidP="002E1E3D">
      <w:pPr>
        <w:spacing w:after="0" w:line="240" w:lineRule="auto"/>
      </w:pPr>
      <w:r>
        <w:separator/>
      </w:r>
    </w:p>
  </w:endnote>
  <w:endnote w:type="continuationSeparator" w:id="0">
    <w:p w14:paraId="3A211910" w14:textId="77777777" w:rsidR="002E1E3D" w:rsidRDefault="002E1E3D" w:rsidP="002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E81A8" w14:textId="77777777" w:rsidR="002E1E3D" w:rsidRDefault="002E1E3D" w:rsidP="002E1E3D">
      <w:pPr>
        <w:spacing w:after="0" w:line="240" w:lineRule="auto"/>
      </w:pPr>
      <w:r>
        <w:separator/>
      </w:r>
    </w:p>
  </w:footnote>
  <w:footnote w:type="continuationSeparator" w:id="0">
    <w:p w14:paraId="254858FC" w14:textId="77777777" w:rsidR="002E1E3D" w:rsidRDefault="002E1E3D" w:rsidP="002E1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53"/>
    <w:rsid w:val="002E1E3D"/>
    <w:rsid w:val="0073188E"/>
    <w:rsid w:val="00944FAE"/>
    <w:rsid w:val="00B032F6"/>
    <w:rsid w:val="00EC5DE3"/>
    <w:rsid w:val="00F7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73F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153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15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15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15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15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15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153"/>
    <w:pPr>
      <w:keepNext/>
      <w:keepLines/>
      <w:widowControl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153"/>
    <w:pPr>
      <w:keepNext/>
      <w:keepLines/>
      <w:widowControl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153"/>
    <w:pPr>
      <w:keepNext/>
      <w:keepLines/>
      <w:widowControl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153"/>
    <w:pPr>
      <w:keepNext/>
      <w:keepLines/>
      <w:widowControl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76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761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1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1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1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1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1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153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15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6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15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61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15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61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1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1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1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76153"/>
    <w:rPr>
      <w:color w:val="0000FF"/>
      <w:u w:val="single"/>
    </w:rPr>
  </w:style>
  <w:style w:type="table" w:styleId="TableGrid">
    <w:name w:val="Table Grid"/>
    <w:basedOn w:val="TableNormal"/>
    <w:rsid w:val="00F761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7615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3D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1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3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e.ca.gov/ds/ad/acgrinfo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Rate - STARC Report Card (CA Dept of Education)</dc:title>
  <dc:subject>Graduation Rate annual report card that summarizes data of students statewide and disaggregated by student groups.</dc:subject>
  <dc:creator/>
  <cp:keywords/>
  <dc:description/>
  <cp:lastModifiedBy/>
  <cp:revision>1</cp:revision>
  <dcterms:created xsi:type="dcterms:W3CDTF">2024-06-21T15:58:00Z</dcterms:created>
  <dcterms:modified xsi:type="dcterms:W3CDTF">2024-06-21T15:59:00Z</dcterms:modified>
</cp:coreProperties>
</file>