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279F" w14:textId="77777777" w:rsidR="006E06C6" w:rsidRPr="00FB463B" w:rsidRDefault="00D5115F" w:rsidP="00B723BE">
      <w:bookmarkStart w:id="0" w:name="_Hlk133342453"/>
      <w:r w:rsidRPr="00FB463B">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FB463B" w:rsidRDefault="00FC1FCE" w:rsidP="00B723BE">
      <w:pPr>
        <w:jc w:val="right"/>
      </w:pPr>
      <w:r w:rsidRPr="00FB463B">
        <w:t>California Department of Education</w:t>
      </w:r>
    </w:p>
    <w:p w14:paraId="423227A1" w14:textId="77777777" w:rsidR="00B723BE" w:rsidRPr="00FB463B" w:rsidRDefault="00FC1FCE" w:rsidP="00B723BE">
      <w:pPr>
        <w:jc w:val="right"/>
      </w:pPr>
      <w:r w:rsidRPr="00FB463B">
        <w:t>Executive Office</w:t>
      </w:r>
    </w:p>
    <w:p w14:paraId="423227A2" w14:textId="77777777" w:rsidR="002B4B14" w:rsidRPr="00FB463B" w:rsidRDefault="00692300" w:rsidP="00B723BE">
      <w:pPr>
        <w:jc w:val="right"/>
      </w:pPr>
      <w:r w:rsidRPr="00FB463B">
        <w:t>SBE-00</w:t>
      </w:r>
      <w:r w:rsidR="000324AD" w:rsidRPr="00FB463B">
        <w:t>3</w:t>
      </w:r>
      <w:r w:rsidRPr="00FB463B">
        <w:t xml:space="preserve"> (REV. 1</w:t>
      </w:r>
      <w:r w:rsidR="00C27D57" w:rsidRPr="00FB463B">
        <w:t>1</w:t>
      </w:r>
      <w:r w:rsidRPr="00FB463B">
        <w:t>/2017</w:t>
      </w:r>
      <w:r w:rsidR="00FC1FCE" w:rsidRPr="00FB463B">
        <w:t>)</w:t>
      </w:r>
    </w:p>
    <w:p w14:paraId="423227A3" w14:textId="65E32964" w:rsidR="00B723BE" w:rsidRPr="00FB463B" w:rsidRDefault="64370FA4" w:rsidP="00B723BE">
      <w:pPr>
        <w:jc w:val="right"/>
      </w:pPr>
      <w:r w:rsidRPr="00FB463B">
        <w:t>i</w:t>
      </w:r>
      <w:r w:rsidR="00E23745" w:rsidRPr="00FB463B">
        <w:t>t</w:t>
      </w:r>
      <w:r w:rsidRPr="00FB463B">
        <w:t>b</w:t>
      </w:r>
      <w:r w:rsidR="00820B71" w:rsidRPr="00FB463B">
        <w:t>-amard-</w:t>
      </w:r>
      <w:r w:rsidR="00024A11" w:rsidRPr="00FB463B">
        <w:t>sep</w:t>
      </w:r>
      <w:r w:rsidR="00552355" w:rsidRPr="00FB463B">
        <w:t>23</w:t>
      </w:r>
      <w:r w:rsidR="00820B71" w:rsidRPr="00FB463B">
        <w:t>item</w:t>
      </w:r>
      <w:r w:rsidR="0015127F" w:rsidRPr="00FB463B">
        <w:t>01</w:t>
      </w:r>
    </w:p>
    <w:p w14:paraId="423227A4" w14:textId="77777777" w:rsidR="00B723BE" w:rsidRPr="00FB463B" w:rsidRDefault="00B723BE" w:rsidP="000A324A">
      <w:pPr>
        <w:keepNext/>
        <w:keepLines/>
        <w:spacing w:before="120" w:after="120"/>
        <w:jc w:val="center"/>
        <w:outlineLvl w:val="0"/>
        <w:rPr>
          <w:b/>
          <w:sz w:val="40"/>
        </w:rPr>
        <w:sectPr w:rsidR="00B723BE" w:rsidRPr="00FB463B"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423227A5" w14:textId="77777777" w:rsidR="006E06C6" w:rsidRPr="00FB463B" w:rsidRDefault="006E06C6" w:rsidP="000A324A">
      <w:pPr>
        <w:keepNext/>
        <w:keepLines/>
        <w:spacing w:before="120" w:after="120"/>
        <w:jc w:val="center"/>
        <w:outlineLvl w:val="0"/>
        <w:rPr>
          <w:b/>
          <w:sz w:val="40"/>
        </w:rPr>
        <w:sectPr w:rsidR="006E06C6" w:rsidRPr="00FB463B"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23227A6" w14:textId="603491B1" w:rsidR="00FC1FCE" w:rsidRPr="008E3A16" w:rsidRDefault="0091117B" w:rsidP="008E3A16">
      <w:pPr>
        <w:pStyle w:val="Heading1"/>
        <w:spacing w:after="0"/>
      </w:pPr>
      <w:r w:rsidRPr="00FB463B">
        <w:t>Californ</w:t>
      </w:r>
      <w:r w:rsidR="00693951" w:rsidRPr="00FB463B">
        <w:t>ia State Board of Education</w:t>
      </w:r>
      <w:r w:rsidR="008E3A16">
        <w:br/>
      </w:r>
      <w:r w:rsidR="00024A11" w:rsidRPr="00FB463B">
        <w:t>September</w:t>
      </w:r>
      <w:r w:rsidR="00820B71" w:rsidRPr="00FB463B">
        <w:t xml:space="preserve"> 20</w:t>
      </w:r>
      <w:r w:rsidR="00FA14A3" w:rsidRPr="00FB463B">
        <w:t>23</w:t>
      </w:r>
      <w:r w:rsidRPr="00FB463B">
        <w:t xml:space="preserve"> Agenda</w:t>
      </w:r>
      <w:r w:rsidR="008E3A16">
        <w:br/>
      </w:r>
      <w:r w:rsidR="00FC1FCE" w:rsidRPr="00230DFC">
        <w:t>Item</w:t>
      </w:r>
      <w:r w:rsidR="00692300" w:rsidRPr="00230DFC">
        <w:rPr>
          <w:szCs w:val="40"/>
        </w:rPr>
        <w:t xml:space="preserve"> #</w:t>
      </w:r>
      <w:r w:rsidR="00230DFC" w:rsidRPr="00230DFC">
        <w:rPr>
          <w:szCs w:val="40"/>
        </w:rPr>
        <w:t>08</w:t>
      </w:r>
    </w:p>
    <w:p w14:paraId="423227A7" w14:textId="5A9294AC" w:rsidR="00FC1FCE" w:rsidRPr="00FB463B" w:rsidRDefault="00FC1FCE" w:rsidP="000A324A">
      <w:pPr>
        <w:pStyle w:val="Heading2"/>
        <w:spacing w:before="240" w:after="240"/>
        <w:rPr>
          <w:szCs w:val="36"/>
        </w:rPr>
      </w:pPr>
      <w:r w:rsidRPr="00FB463B">
        <w:t>Subject</w:t>
      </w:r>
    </w:p>
    <w:p w14:paraId="60DCCBE1" w14:textId="134F60FD" w:rsidR="2644CA10" w:rsidRPr="00FB463B" w:rsidRDefault="2644CA10" w:rsidP="58DDD3A2">
      <w:pPr>
        <w:spacing w:after="240"/>
        <w:rPr>
          <w:rFonts w:ascii="Helvetica" w:eastAsia="Helvetica" w:hAnsi="Helvetica" w:cs="Helvetica"/>
          <w:color w:val="000000" w:themeColor="text1"/>
        </w:rPr>
      </w:pPr>
      <w:r w:rsidRPr="00FB463B">
        <w:rPr>
          <w:rFonts w:ascii="Helvetica" w:eastAsia="Helvetica" w:hAnsi="Helvetica" w:cs="Helvetica"/>
          <w:color w:val="000000" w:themeColor="text1"/>
        </w:rPr>
        <w:t xml:space="preserve">Update on the Implementation of the Integrated Local, State, and Federal Accountability and Continuous Improvement System: </w:t>
      </w:r>
      <w:r w:rsidR="50C76667" w:rsidRPr="00FB463B">
        <w:rPr>
          <w:rFonts w:ascii="Helvetica" w:eastAsia="Helvetica" w:hAnsi="Helvetica" w:cs="Helvetica"/>
        </w:rPr>
        <w:t>Action to Implement the 2023 Dashboard Workplan and E</w:t>
      </w:r>
      <w:r w:rsidR="001F3525" w:rsidRPr="00FB463B">
        <w:rPr>
          <w:rFonts w:ascii="Helvetica" w:eastAsia="Helvetica" w:hAnsi="Helvetica" w:cs="Helvetica"/>
        </w:rPr>
        <w:t>SSA</w:t>
      </w:r>
      <w:r w:rsidR="50C76667" w:rsidRPr="00FB463B">
        <w:rPr>
          <w:rFonts w:ascii="Helvetica" w:eastAsia="Helvetica" w:hAnsi="Helvetica" w:cs="Helvetica"/>
        </w:rPr>
        <w:t xml:space="preserve"> Amendments and Updates on Continuing Work for Future Dashboards.</w:t>
      </w:r>
    </w:p>
    <w:p w14:paraId="423227A9" w14:textId="77777777" w:rsidR="00FC1FCE" w:rsidRPr="00FB463B" w:rsidRDefault="00FC1FCE" w:rsidP="00B73105">
      <w:pPr>
        <w:pStyle w:val="Heading2"/>
        <w:spacing w:before="0" w:after="240"/>
        <w:rPr>
          <w:szCs w:val="36"/>
        </w:rPr>
      </w:pPr>
      <w:r w:rsidRPr="00FB463B">
        <w:rPr>
          <w:szCs w:val="36"/>
        </w:rPr>
        <w:t>Type of Action</w:t>
      </w:r>
    </w:p>
    <w:p w14:paraId="423227AA" w14:textId="4C57161A" w:rsidR="0091117B" w:rsidRPr="00FB463B" w:rsidRDefault="7CF75581" w:rsidP="1F9EBCF6">
      <w:pPr>
        <w:spacing w:after="240"/>
        <w:rPr>
          <w:rFonts w:cs="Arial"/>
        </w:rPr>
      </w:pPr>
      <w:r w:rsidRPr="00FB463B">
        <w:rPr>
          <w:rFonts w:cs="Arial"/>
        </w:rPr>
        <w:t xml:space="preserve">Action, </w:t>
      </w:r>
      <w:r w:rsidR="5EE6913F" w:rsidRPr="00FB463B">
        <w:rPr>
          <w:rFonts w:cs="Arial"/>
        </w:rPr>
        <w:t>Information</w:t>
      </w:r>
    </w:p>
    <w:p w14:paraId="423227AB" w14:textId="4E2178CA" w:rsidR="00FC1FCE" w:rsidRPr="00FB463B" w:rsidRDefault="00FC1FCE" w:rsidP="00FD1D1C">
      <w:pPr>
        <w:pStyle w:val="Heading2"/>
        <w:spacing w:before="0" w:after="240"/>
        <w:rPr>
          <w:szCs w:val="36"/>
        </w:rPr>
      </w:pPr>
      <w:r w:rsidRPr="00FB463B">
        <w:t>Summary of the Issue(s)</w:t>
      </w:r>
    </w:p>
    <w:p w14:paraId="09B14661" w14:textId="5F42EE20" w:rsidR="00302990" w:rsidRPr="00FB463B" w:rsidRDefault="00573E80" w:rsidP="343A2935">
      <w:pPr>
        <w:spacing w:after="240"/>
        <w:rPr>
          <w:rFonts w:eastAsia="Arial" w:cs="Arial"/>
        </w:rPr>
      </w:pPr>
      <w:r w:rsidRPr="00FB463B">
        <w:rPr>
          <w:rFonts w:eastAsia="Arial" w:cs="Arial"/>
        </w:rPr>
        <w:t xml:space="preserve">This item is a follow up to the annual workplan that was presented to </w:t>
      </w:r>
      <w:r w:rsidR="00302990" w:rsidRPr="00FB463B">
        <w:rPr>
          <w:rFonts w:eastAsia="Arial" w:cs="Arial"/>
        </w:rPr>
        <w:t xml:space="preserve">the State Board of Education (SBE) </w:t>
      </w:r>
      <w:r w:rsidRPr="00FB463B">
        <w:rPr>
          <w:rFonts w:eastAsia="Arial" w:cs="Arial"/>
        </w:rPr>
        <w:t>at their March 2023</w:t>
      </w:r>
      <w:r w:rsidR="003768DF" w:rsidRPr="00FB463B">
        <w:rPr>
          <w:rFonts w:eastAsia="Arial" w:cs="Arial"/>
        </w:rPr>
        <w:t xml:space="preserve"> meeting </w:t>
      </w:r>
      <w:r w:rsidR="00302990" w:rsidRPr="00FB463B">
        <w:rPr>
          <w:rFonts w:eastAsia="Arial" w:cs="Arial"/>
        </w:rPr>
        <w:t xml:space="preserve">for </w:t>
      </w:r>
      <w:r w:rsidR="00B25585" w:rsidRPr="00FB463B">
        <w:rPr>
          <w:rFonts w:eastAsia="Arial" w:cs="Arial"/>
        </w:rPr>
        <w:t xml:space="preserve">consideration in </w:t>
      </w:r>
      <w:r w:rsidR="00302990" w:rsidRPr="00FB463B">
        <w:rPr>
          <w:rFonts w:eastAsia="Arial" w:cs="Arial"/>
        </w:rPr>
        <w:t xml:space="preserve">the 2023 California School Dashboard (Dashboard). </w:t>
      </w:r>
      <w:r w:rsidR="0045355B" w:rsidRPr="00FB463B">
        <w:rPr>
          <w:rFonts w:eastAsia="Arial" w:cs="Arial"/>
        </w:rPr>
        <w:t>T</w:t>
      </w:r>
      <w:r w:rsidR="499D08A1" w:rsidRPr="00FB463B">
        <w:rPr>
          <w:rFonts w:eastAsia="Arial" w:cs="Arial"/>
        </w:rPr>
        <w:t xml:space="preserve">he </w:t>
      </w:r>
      <w:r w:rsidR="00B25585" w:rsidRPr="00FB463B">
        <w:rPr>
          <w:rFonts w:eastAsia="Arial" w:cs="Arial"/>
        </w:rPr>
        <w:t>annual w</w:t>
      </w:r>
      <w:r w:rsidR="499D08A1" w:rsidRPr="00FB463B">
        <w:rPr>
          <w:rFonts w:eastAsia="Arial" w:cs="Arial"/>
        </w:rPr>
        <w:t xml:space="preserve">orkplan </w:t>
      </w:r>
      <w:r w:rsidR="0045355B" w:rsidRPr="00FB463B">
        <w:rPr>
          <w:rFonts w:eastAsia="Arial" w:cs="Arial"/>
        </w:rPr>
        <w:t>include</w:t>
      </w:r>
      <w:r w:rsidR="00447AF6" w:rsidRPr="00FB463B">
        <w:rPr>
          <w:rFonts w:eastAsia="Arial" w:cs="Arial"/>
        </w:rPr>
        <w:t>d</w:t>
      </w:r>
      <w:r w:rsidR="0045355B" w:rsidRPr="00FB463B">
        <w:rPr>
          <w:rFonts w:eastAsia="Arial" w:cs="Arial"/>
        </w:rPr>
        <w:t xml:space="preserve"> proposals</w:t>
      </w:r>
      <w:r w:rsidR="610D7A0E" w:rsidRPr="00FB463B">
        <w:rPr>
          <w:rFonts w:eastAsia="Arial" w:cs="Arial"/>
        </w:rPr>
        <w:t xml:space="preserve"> </w:t>
      </w:r>
      <w:r w:rsidR="0045355B" w:rsidRPr="00FB463B">
        <w:rPr>
          <w:rFonts w:eastAsia="Arial" w:cs="Arial"/>
        </w:rPr>
        <w:t xml:space="preserve">related to </w:t>
      </w:r>
      <w:r w:rsidR="00447AF6" w:rsidRPr="00FB463B">
        <w:rPr>
          <w:rFonts w:eastAsia="Arial" w:cs="Arial"/>
        </w:rPr>
        <w:t>establishing</w:t>
      </w:r>
      <w:r w:rsidR="0045355B" w:rsidRPr="00FB463B">
        <w:rPr>
          <w:rFonts w:eastAsia="Arial" w:cs="Arial"/>
        </w:rPr>
        <w:t xml:space="preserve"> change cut points</w:t>
      </w:r>
      <w:r w:rsidR="00447AF6" w:rsidRPr="00FB463B">
        <w:rPr>
          <w:rFonts w:eastAsia="Arial" w:cs="Arial"/>
        </w:rPr>
        <w:t>,</w:t>
      </w:r>
      <w:r w:rsidR="0045355B" w:rsidRPr="00FB463B">
        <w:rPr>
          <w:rFonts w:eastAsia="Arial" w:cs="Arial"/>
        </w:rPr>
        <w:t xml:space="preserve"> a</w:t>
      </w:r>
      <w:r w:rsidR="00447AF6" w:rsidRPr="00FB463B">
        <w:rPr>
          <w:rFonts w:eastAsia="Arial" w:cs="Arial"/>
        </w:rPr>
        <w:t xml:space="preserve"> f</w:t>
      </w:r>
      <w:r w:rsidR="0045355B" w:rsidRPr="00FB463B">
        <w:rPr>
          <w:rFonts w:eastAsia="Arial" w:cs="Arial"/>
        </w:rPr>
        <w:t>ive-by-</w:t>
      </w:r>
      <w:r w:rsidR="00447AF6" w:rsidRPr="00FB463B">
        <w:rPr>
          <w:rFonts w:eastAsia="Arial" w:cs="Arial"/>
        </w:rPr>
        <w:t>f</w:t>
      </w:r>
      <w:r w:rsidR="0045355B" w:rsidRPr="00FB463B">
        <w:rPr>
          <w:rFonts w:eastAsia="Arial" w:cs="Arial"/>
        </w:rPr>
        <w:t>ive color scheme</w:t>
      </w:r>
      <w:r w:rsidR="00447AF6" w:rsidRPr="00FB463B">
        <w:rPr>
          <w:rFonts w:eastAsia="Arial" w:cs="Arial"/>
        </w:rPr>
        <w:t>,</w:t>
      </w:r>
      <w:r w:rsidR="0045355B" w:rsidRPr="00FB463B">
        <w:rPr>
          <w:rFonts w:eastAsia="Arial" w:cs="Arial"/>
        </w:rPr>
        <w:t xml:space="preserve"> and methodology to include the Summative Alternate English Language Proficiency Assessment</w:t>
      </w:r>
      <w:r w:rsidR="00C16E8E" w:rsidRPr="00FB463B">
        <w:rPr>
          <w:rFonts w:eastAsia="Arial" w:cs="Arial"/>
        </w:rPr>
        <w:t>s</w:t>
      </w:r>
      <w:r w:rsidR="0045355B" w:rsidRPr="00FB463B">
        <w:rPr>
          <w:rFonts w:eastAsia="Arial" w:cs="Arial"/>
        </w:rPr>
        <w:t xml:space="preserve"> for California (ELPAC) </w:t>
      </w:r>
      <w:r w:rsidR="00447AF6" w:rsidRPr="00FB463B">
        <w:rPr>
          <w:rFonts w:eastAsia="Arial" w:cs="Arial"/>
        </w:rPr>
        <w:t>into</w:t>
      </w:r>
      <w:r w:rsidR="0045355B" w:rsidRPr="00FB463B">
        <w:rPr>
          <w:rFonts w:eastAsia="Arial" w:cs="Arial"/>
        </w:rPr>
        <w:t xml:space="preserve"> the </w:t>
      </w:r>
      <w:r w:rsidR="7193CBE1" w:rsidRPr="00FB463B">
        <w:rPr>
          <w:rFonts w:eastAsia="Arial" w:cs="Arial"/>
        </w:rPr>
        <w:t>English Learner Progress Indicator (ELPI)</w:t>
      </w:r>
      <w:r w:rsidR="0045355B" w:rsidRPr="00FB463B">
        <w:rPr>
          <w:rFonts w:eastAsia="Arial" w:cs="Arial"/>
        </w:rPr>
        <w:t>. The workplan for the College/Career Indicator (CCI) include</w:t>
      </w:r>
      <w:r w:rsidR="003E7AED" w:rsidRPr="00FB463B">
        <w:rPr>
          <w:rFonts w:eastAsia="Arial" w:cs="Arial"/>
        </w:rPr>
        <w:t>d</w:t>
      </w:r>
      <w:r w:rsidR="0045355B" w:rsidRPr="00FB463B">
        <w:rPr>
          <w:rFonts w:eastAsia="Arial" w:cs="Arial"/>
        </w:rPr>
        <w:t xml:space="preserve"> a review of the Non-Registered Pre-Apprenticeship measure</w:t>
      </w:r>
      <w:r w:rsidR="0086049B" w:rsidRPr="00FB463B">
        <w:rPr>
          <w:rFonts w:eastAsia="Arial" w:cs="Arial"/>
        </w:rPr>
        <w:t xml:space="preserve"> and</w:t>
      </w:r>
      <w:r w:rsidR="0045355B" w:rsidRPr="00FB463B">
        <w:rPr>
          <w:rFonts w:eastAsia="Arial" w:cs="Arial"/>
        </w:rPr>
        <w:t xml:space="preserve"> use of modified criteria for Differentiated Assistance </w:t>
      </w:r>
      <w:r w:rsidR="0086049B" w:rsidRPr="00FB463B">
        <w:rPr>
          <w:rFonts w:eastAsia="Arial" w:cs="Arial"/>
        </w:rPr>
        <w:t>to incorporate the</w:t>
      </w:r>
      <w:r w:rsidR="0045355B" w:rsidRPr="00FB463B">
        <w:rPr>
          <w:rFonts w:eastAsia="Arial" w:cs="Arial"/>
        </w:rPr>
        <w:t xml:space="preserve"> </w:t>
      </w:r>
      <w:r w:rsidR="0086049B" w:rsidRPr="00FB463B">
        <w:rPr>
          <w:rFonts w:eastAsia="Arial" w:cs="Arial"/>
        </w:rPr>
        <w:t xml:space="preserve">inclusion of </w:t>
      </w:r>
      <w:r w:rsidR="0045355B" w:rsidRPr="00FB463B">
        <w:rPr>
          <w:rFonts w:eastAsia="Arial" w:cs="Arial"/>
        </w:rPr>
        <w:t>CCI status only for the 2023 Dashboard.</w:t>
      </w:r>
      <w:r w:rsidR="2708041D" w:rsidRPr="00FB463B">
        <w:rPr>
          <w:rFonts w:eastAsia="Arial" w:cs="Arial"/>
        </w:rPr>
        <w:t xml:space="preserve"> </w:t>
      </w:r>
      <w:r w:rsidR="0045355B" w:rsidRPr="00FB463B">
        <w:rPr>
          <w:rFonts w:eastAsia="Arial" w:cs="Arial"/>
        </w:rPr>
        <w:t>A</w:t>
      </w:r>
      <w:r w:rsidR="084861AE" w:rsidRPr="00FB463B">
        <w:rPr>
          <w:rFonts w:eastAsia="Arial" w:cs="Arial"/>
        </w:rPr>
        <w:t>dditional</w:t>
      </w:r>
      <w:r w:rsidR="0045355B" w:rsidRPr="00FB463B">
        <w:rPr>
          <w:rFonts w:eastAsia="Arial" w:cs="Arial"/>
        </w:rPr>
        <w:t>ly, this item provides</w:t>
      </w:r>
      <w:r w:rsidR="7193CBE1" w:rsidRPr="00FB463B">
        <w:rPr>
          <w:rFonts w:eastAsia="Arial" w:cs="Arial"/>
        </w:rPr>
        <w:t xml:space="preserve"> information </w:t>
      </w:r>
      <w:r w:rsidR="0045355B" w:rsidRPr="00FB463B">
        <w:rPr>
          <w:rFonts w:eastAsia="Arial" w:cs="Arial"/>
        </w:rPr>
        <w:t>related to</w:t>
      </w:r>
      <w:r w:rsidR="0086049B" w:rsidRPr="00FB463B">
        <w:rPr>
          <w:rFonts w:eastAsia="Arial" w:cs="Arial"/>
        </w:rPr>
        <w:t xml:space="preserve"> </w:t>
      </w:r>
      <w:r w:rsidR="1F0E92B1" w:rsidRPr="00FB463B">
        <w:rPr>
          <w:rFonts w:eastAsia="Arial" w:cs="Arial"/>
        </w:rPr>
        <w:t xml:space="preserve">the </w:t>
      </w:r>
      <w:r w:rsidR="75ED2937" w:rsidRPr="00FB463B">
        <w:rPr>
          <w:rFonts w:eastAsia="Arial" w:cs="Arial"/>
        </w:rPr>
        <w:t xml:space="preserve">Chronic Absenteeism Indicator, </w:t>
      </w:r>
      <w:r w:rsidR="0045355B" w:rsidRPr="00FB463B">
        <w:rPr>
          <w:rFonts w:eastAsia="Arial" w:cs="Arial"/>
        </w:rPr>
        <w:t xml:space="preserve">setting objective criteria for </w:t>
      </w:r>
      <w:r w:rsidR="75ED2937" w:rsidRPr="00FB463B">
        <w:rPr>
          <w:rFonts w:eastAsia="Arial" w:cs="Arial"/>
        </w:rPr>
        <w:t>Priority 1 Teacher Data</w:t>
      </w:r>
      <w:r w:rsidR="0045355B" w:rsidRPr="00FB463B">
        <w:rPr>
          <w:rFonts w:eastAsia="Arial" w:cs="Arial"/>
        </w:rPr>
        <w:t>,</w:t>
      </w:r>
      <w:r w:rsidR="75ED2937" w:rsidRPr="00FB463B">
        <w:rPr>
          <w:rFonts w:eastAsia="Arial" w:cs="Arial"/>
        </w:rPr>
        <w:t xml:space="preserve"> and the </w:t>
      </w:r>
      <w:r w:rsidR="0045355B" w:rsidRPr="00FB463B">
        <w:rPr>
          <w:rFonts w:eastAsia="Arial" w:cs="Arial"/>
        </w:rPr>
        <w:t xml:space="preserve">reporting of the </w:t>
      </w:r>
      <w:r w:rsidR="75ED2937" w:rsidRPr="00FB463B">
        <w:rPr>
          <w:rFonts w:eastAsia="Arial" w:cs="Arial"/>
        </w:rPr>
        <w:t xml:space="preserve">Science </w:t>
      </w:r>
      <w:r w:rsidR="0045355B" w:rsidRPr="00FB463B">
        <w:rPr>
          <w:rFonts w:eastAsia="Arial" w:cs="Arial"/>
        </w:rPr>
        <w:t>a</w:t>
      </w:r>
      <w:r w:rsidR="75ED2937" w:rsidRPr="00FB463B">
        <w:rPr>
          <w:rFonts w:eastAsia="Arial" w:cs="Arial"/>
        </w:rPr>
        <w:t>ssessment</w:t>
      </w:r>
      <w:r w:rsidR="0045355B" w:rsidRPr="00FB463B">
        <w:rPr>
          <w:rFonts w:eastAsia="Arial" w:cs="Arial"/>
        </w:rPr>
        <w:t xml:space="preserve"> </w:t>
      </w:r>
      <w:r w:rsidR="0090745B" w:rsidRPr="00FB463B">
        <w:rPr>
          <w:rFonts w:eastAsia="Arial" w:cs="Arial"/>
        </w:rPr>
        <w:t xml:space="preserve">and Least Restrictive Environment data </w:t>
      </w:r>
      <w:r w:rsidR="0045355B" w:rsidRPr="00FB463B">
        <w:rPr>
          <w:rFonts w:eastAsia="Arial" w:cs="Arial"/>
        </w:rPr>
        <w:t>for informational purposes</w:t>
      </w:r>
      <w:r w:rsidR="75ED2937" w:rsidRPr="00FB463B">
        <w:rPr>
          <w:rFonts w:eastAsia="Arial" w:cs="Arial"/>
        </w:rPr>
        <w:t>.</w:t>
      </w:r>
    </w:p>
    <w:p w14:paraId="57F55717" w14:textId="42BD69B7" w:rsidR="00D74EE3" w:rsidRPr="00FB463B" w:rsidRDefault="004D5B10" w:rsidP="001D174D">
      <w:pPr>
        <w:spacing w:after="240"/>
        <w:rPr>
          <w:rFonts w:cs="Arial"/>
        </w:rPr>
      </w:pPr>
      <w:r w:rsidRPr="00FB463B">
        <w:rPr>
          <w:rFonts w:eastAsia="Arial" w:cs="Arial"/>
        </w:rPr>
        <w:t xml:space="preserve">Attachment </w:t>
      </w:r>
      <w:r w:rsidR="001440D2" w:rsidRPr="00FB463B">
        <w:rPr>
          <w:rFonts w:eastAsia="Arial" w:cs="Arial"/>
        </w:rPr>
        <w:t xml:space="preserve">1 </w:t>
      </w:r>
      <w:r w:rsidR="00DC4480" w:rsidRPr="00FB463B">
        <w:rPr>
          <w:rFonts w:eastAsia="Arial" w:cs="Arial"/>
        </w:rPr>
        <w:t xml:space="preserve">summarizes the workplan progress in preparation of the </w:t>
      </w:r>
      <w:r w:rsidR="007B567C" w:rsidRPr="00FB463B">
        <w:rPr>
          <w:rFonts w:eastAsia="Arial" w:cs="Arial"/>
        </w:rPr>
        <w:t xml:space="preserve">release of the </w:t>
      </w:r>
      <w:r w:rsidR="00DC4480" w:rsidRPr="00FB463B">
        <w:rPr>
          <w:rFonts w:eastAsia="Arial" w:cs="Arial"/>
        </w:rPr>
        <w:t>2023 Dashboard</w:t>
      </w:r>
      <w:r w:rsidR="419F0E79" w:rsidRPr="00FB463B">
        <w:rPr>
          <w:rFonts w:eastAsia="Arial" w:cs="Arial"/>
        </w:rPr>
        <w:t>. Following a review</w:t>
      </w:r>
      <w:r w:rsidR="00051717" w:rsidRPr="00FB463B">
        <w:rPr>
          <w:rFonts w:eastAsia="Arial" w:cs="Arial"/>
        </w:rPr>
        <w:t xml:space="preserve"> of an </w:t>
      </w:r>
      <w:r w:rsidR="00661267" w:rsidRPr="00FB463B">
        <w:rPr>
          <w:rFonts w:eastAsia="Arial" w:cs="Arial"/>
        </w:rPr>
        <w:t>extended-year graduation rate</w:t>
      </w:r>
      <w:r w:rsidR="61572C23" w:rsidRPr="00FB463B">
        <w:rPr>
          <w:rFonts w:eastAsia="Arial" w:cs="Arial"/>
        </w:rPr>
        <w:t xml:space="preserve">, </w:t>
      </w:r>
      <w:r w:rsidR="007415A1" w:rsidRPr="00FB463B">
        <w:rPr>
          <w:rFonts w:eastAsia="Arial" w:cs="Arial"/>
        </w:rPr>
        <w:t xml:space="preserve">the </w:t>
      </w:r>
      <w:r w:rsidR="61572C23" w:rsidRPr="00FB463B">
        <w:rPr>
          <w:rFonts w:eastAsia="Arial" w:cs="Arial"/>
        </w:rPr>
        <w:t xml:space="preserve">CDE </w:t>
      </w:r>
      <w:r w:rsidR="007415A1" w:rsidRPr="00FB463B">
        <w:rPr>
          <w:rFonts w:eastAsia="Arial" w:cs="Arial"/>
        </w:rPr>
        <w:t xml:space="preserve">is </w:t>
      </w:r>
      <w:r w:rsidR="61572C23" w:rsidRPr="00FB463B">
        <w:rPr>
          <w:rFonts w:eastAsia="Arial" w:cs="Arial"/>
        </w:rPr>
        <w:t>not recommend</w:t>
      </w:r>
      <w:r w:rsidR="007415A1" w:rsidRPr="00FB463B">
        <w:rPr>
          <w:rFonts w:eastAsia="Arial" w:cs="Arial"/>
        </w:rPr>
        <w:t>ing</w:t>
      </w:r>
      <w:r w:rsidR="61572C23" w:rsidRPr="00FB463B">
        <w:rPr>
          <w:rFonts w:eastAsia="Arial" w:cs="Arial"/>
        </w:rPr>
        <w:t xml:space="preserve"> changes to the current combined graduation rate on the Dashboard.</w:t>
      </w:r>
      <w:r w:rsidR="00C9701C" w:rsidRPr="00FB463B">
        <w:rPr>
          <w:rFonts w:eastAsia="Arial" w:cs="Arial"/>
        </w:rPr>
        <w:t xml:space="preserve"> T</w:t>
      </w:r>
      <w:r w:rsidR="00661267" w:rsidRPr="00FB463B">
        <w:rPr>
          <w:rFonts w:eastAsia="Arial" w:cs="Arial"/>
        </w:rPr>
        <w:t xml:space="preserve">he attachment </w:t>
      </w:r>
      <w:r w:rsidR="00BA5530" w:rsidRPr="00FB463B">
        <w:rPr>
          <w:rFonts w:eastAsia="Arial" w:cs="Arial"/>
        </w:rPr>
        <w:t xml:space="preserve">describes </w:t>
      </w:r>
      <w:r w:rsidR="00222F4F" w:rsidRPr="00FB463B">
        <w:rPr>
          <w:rFonts w:eastAsia="Arial" w:cs="Arial"/>
        </w:rPr>
        <w:t xml:space="preserve">the </w:t>
      </w:r>
      <w:r w:rsidR="00305148" w:rsidRPr="00FB463B">
        <w:rPr>
          <w:rFonts w:eastAsia="Arial" w:cs="Arial"/>
        </w:rPr>
        <w:t>work conducted</w:t>
      </w:r>
      <w:r w:rsidR="754A41B0" w:rsidRPr="00FB463B">
        <w:rPr>
          <w:rFonts w:eastAsia="Arial" w:cs="Arial"/>
        </w:rPr>
        <w:t xml:space="preserve"> </w:t>
      </w:r>
      <w:r w:rsidR="00305148" w:rsidRPr="00FB463B">
        <w:rPr>
          <w:rFonts w:eastAsia="Arial" w:cs="Arial"/>
        </w:rPr>
        <w:t xml:space="preserve">on the new </w:t>
      </w:r>
      <w:r w:rsidR="00A65F3B" w:rsidRPr="00FB463B">
        <w:rPr>
          <w:rFonts w:eastAsia="Arial" w:cs="Arial"/>
        </w:rPr>
        <w:t xml:space="preserve">and existing </w:t>
      </w:r>
      <w:r w:rsidR="00305148" w:rsidRPr="00FB463B">
        <w:rPr>
          <w:rFonts w:eastAsia="Arial" w:cs="Arial"/>
        </w:rPr>
        <w:t xml:space="preserve">career measures </w:t>
      </w:r>
      <w:r w:rsidR="00760015" w:rsidRPr="00FB463B">
        <w:rPr>
          <w:rFonts w:eastAsia="Arial" w:cs="Arial"/>
        </w:rPr>
        <w:t xml:space="preserve">developed for the </w:t>
      </w:r>
      <w:r w:rsidR="00C9701C" w:rsidRPr="00FB463B">
        <w:rPr>
          <w:rFonts w:eastAsia="Arial" w:cs="Arial"/>
        </w:rPr>
        <w:t>CCI</w:t>
      </w:r>
      <w:r w:rsidR="00D86F4F" w:rsidRPr="00FB463B">
        <w:rPr>
          <w:rFonts w:eastAsia="Arial" w:cs="Arial"/>
        </w:rPr>
        <w:t xml:space="preserve"> and</w:t>
      </w:r>
      <w:r w:rsidR="00C9701C" w:rsidRPr="00FB463B">
        <w:rPr>
          <w:rFonts w:eastAsia="Arial" w:cs="Arial"/>
        </w:rPr>
        <w:t xml:space="preserve"> </w:t>
      </w:r>
      <w:r w:rsidR="00DC4480" w:rsidRPr="00FB463B">
        <w:rPr>
          <w:rFonts w:cs="Arial"/>
        </w:rPr>
        <w:t xml:space="preserve">provides an update on the </w:t>
      </w:r>
      <w:r w:rsidR="00D74EE3" w:rsidRPr="00FB463B">
        <w:rPr>
          <w:rFonts w:cs="Arial"/>
        </w:rPr>
        <w:t>continu</w:t>
      </w:r>
      <w:r w:rsidR="00BA5530" w:rsidRPr="00FB463B">
        <w:rPr>
          <w:rFonts w:cs="Arial"/>
        </w:rPr>
        <w:t>ed</w:t>
      </w:r>
      <w:r w:rsidR="00D74EE3" w:rsidRPr="00FB463B">
        <w:rPr>
          <w:rFonts w:cs="Arial"/>
        </w:rPr>
        <w:t xml:space="preserve"> work </w:t>
      </w:r>
      <w:r w:rsidR="00BA5530" w:rsidRPr="00FB463B">
        <w:rPr>
          <w:rFonts w:cs="Arial"/>
        </w:rPr>
        <w:t>on the</w:t>
      </w:r>
      <w:r w:rsidR="00D74EE3" w:rsidRPr="00FB463B">
        <w:rPr>
          <w:rFonts w:cs="Arial"/>
        </w:rPr>
        <w:t xml:space="preserve"> student level growth model</w:t>
      </w:r>
      <w:r w:rsidR="25951E91" w:rsidRPr="00FB463B">
        <w:rPr>
          <w:rFonts w:cs="Arial"/>
        </w:rPr>
        <w:t xml:space="preserve"> </w:t>
      </w:r>
      <w:r w:rsidR="00BA5530" w:rsidRPr="00FB463B">
        <w:rPr>
          <w:rFonts w:cs="Arial"/>
        </w:rPr>
        <w:t xml:space="preserve">with </w:t>
      </w:r>
      <w:r w:rsidR="00D74EE3" w:rsidRPr="00FB463B">
        <w:rPr>
          <w:rFonts w:cs="Arial"/>
        </w:rPr>
        <w:t xml:space="preserve">the development of visualizations </w:t>
      </w:r>
      <w:r w:rsidR="00BA5530" w:rsidRPr="00FB463B">
        <w:rPr>
          <w:rFonts w:cs="Arial"/>
        </w:rPr>
        <w:t xml:space="preserve">that will </w:t>
      </w:r>
      <w:r w:rsidR="00D74EE3" w:rsidRPr="00FB463B">
        <w:rPr>
          <w:rFonts w:cs="Arial"/>
        </w:rPr>
        <w:t>accompany the release of the 2024 student level growth data.</w:t>
      </w:r>
    </w:p>
    <w:p w14:paraId="318E3EE2" w14:textId="25BC52AE" w:rsidR="00472275" w:rsidRPr="00FB463B" w:rsidRDefault="00BA1370" w:rsidP="00A1527D">
      <w:pPr>
        <w:spacing w:after="240"/>
      </w:pPr>
      <w:r w:rsidRPr="00FB463B">
        <w:lastRenderedPageBreak/>
        <w:t xml:space="preserve">Attachment 2 </w:t>
      </w:r>
      <w:r w:rsidR="00A1527D" w:rsidRPr="00FB463B">
        <w:t xml:space="preserve">provides an overview of the </w:t>
      </w:r>
      <w:r w:rsidRPr="00FB463B">
        <w:t xml:space="preserve">amendments </w:t>
      </w:r>
      <w:r w:rsidR="00A1527D" w:rsidRPr="00FB463B">
        <w:t>proposed to California’s Elementary and Secondary Education Act (ESEA) Consolidated State Plan (State Plan) under</w:t>
      </w:r>
      <w:r w:rsidRPr="00FB463B">
        <w:t xml:space="preserve"> </w:t>
      </w:r>
      <w:proofErr w:type="gramStart"/>
      <w:r w:rsidRPr="00FB463B">
        <w:t>the Every</w:t>
      </w:r>
      <w:proofErr w:type="gramEnd"/>
      <w:r w:rsidRPr="00FB463B">
        <w:t xml:space="preserve"> Student Succeeds Act </w:t>
      </w:r>
      <w:r w:rsidR="00A1527D" w:rsidRPr="00FB463B">
        <w:t>(ESSA).</w:t>
      </w:r>
    </w:p>
    <w:p w14:paraId="4EC433CA" w14:textId="1C8C204B" w:rsidR="00A1527D" w:rsidRPr="00FB463B" w:rsidRDefault="00472275" w:rsidP="005F04B6">
      <w:pPr>
        <w:spacing w:after="240"/>
      </w:pPr>
      <w:r w:rsidRPr="00FB463B">
        <w:t xml:space="preserve">Attachment 3 is the amended State Plan which </w:t>
      </w:r>
      <w:r w:rsidR="008301AD" w:rsidRPr="00FB463B">
        <w:t>conform</w:t>
      </w:r>
      <w:r w:rsidR="0043557C" w:rsidRPr="00FB463B">
        <w:t>s</w:t>
      </w:r>
      <w:r w:rsidR="008301AD" w:rsidRPr="00FB463B">
        <w:t xml:space="preserve"> </w:t>
      </w:r>
      <w:r w:rsidR="00A1527D" w:rsidRPr="00FB463B">
        <w:t xml:space="preserve">to </w:t>
      </w:r>
      <w:r w:rsidR="00CE7B84" w:rsidRPr="00FB463B">
        <w:t xml:space="preserve">previous action from </w:t>
      </w:r>
      <w:r w:rsidR="00380C64" w:rsidRPr="00FB463B">
        <w:t xml:space="preserve">the </w:t>
      </w:r>
      <w:r w:rsidR="00CE7B84" w:rsidRPr="00FB463B">
        <w:t xml:space="preserve">March 2022 </w:t>
      </w:r>
      <w:r w:rsidR="00380C64" w:rsidRPr="00FB463B">
        <w:t xml:space="preserve">meeting </w:t>
      </w:r>
      <w:r w:rsidR="00CE7B84" w:rsidRPr="00FB463B">
        <w:t xml:space="preserve">in which the SBE </w:t>
      </w:r>
      <w:r w:rsidR="00510796" w:rsidRPr="00FB463B">
        <w:t xml:space="preserve">approved </w:t>
      </w:r>
      <w:r w:rsidR="00510796" w:rsidRPr="00FB463B">
        <w:rPr>
          <w:rFonts w:cs="Arial"/>
        </w:rPr>
        <w:t xml:space="preserve">the flexibilities offered by the </w:t>
      </w:r>
      <w:bookmarkStart w:id="1" w:name="_Hlk95306781"/>
      <w:r w:rsidR="00F415B2" w:rsidRPr="00FB463B">
        <w:rPr>
          <w:rFonts w:cs="Arial"/>
        </w:rPr>
        <w:t xml:space="preserve">2021–22 </w:t>
      </w:r>
      <w:bookmarkStart w:id="2" w:name="_Hlk94856714"/>
      <w:r w:rsidR="00F415B2" w:rsidRPr="00FB463B">
        <w:rPr>
          <w:rFonts w:cs="Arial"/>
        </w:rPr>
        <w:t>Addendum Template</w:t>
      </w:r>
      <w:bookmarkEnd w:id="2"/>
      <w:r w:rsidR="00F415B2" w:rsidRPr="00FB463B">
        <w:rPr>
          <w:rFonts w:cs="Arial"/>
        </w:rPr>
        <w:t xml:space="preserve"> for the Consolidated State Plan</w:t>
      </w:r>
      <w:bookmarkEnd w:id="1"/>
      <w:r w:rsidR="00F415B2" w:rsidRPr="00FB463B">
        <w:rPr>
          <w:rFonts w:cs="Arial"/>
        </w:rPr>
        <w:t xml:space="preserve"> due to COVID-19 </w:t>
      </w:r>
      <w:r w:rsidR="00510796" w:rsidRPr="00FB463B">
        <w:rPr>
          <w:rFonts w:cs="Arial"/>
        </w:rPr>
        <w:t xml:space="preserve">in the following ways: 1) revising the state’s long-term goals and interim progress by shifting the timeline forward by two years for measurements of interim progress; 2) shifting forward timelines by one year for identifying schools; and </w:t>
      </w:r>
      <w:r w:rsidR="00F625FC" w:rsidRPr="00FB463B">
        <w:rPr>
          <w:rFonts w:cs="Arial"/>
        </w:rPr>
        <w:t>3</w:t>
      </w:r>
      <w:r w:rsidR="00510796" w:rsidRPr="00FB463B">
        <w:rPr>
          <w:rFonts w:cs="Arial"/>
        </w:rPr>
        <w:t>) revising the exit criteria for schools identified for support.</w:t>
      </w:r>
      <w:r w:rsidR="00F625FC" w:rsidRPr="00FB463B">
        <w:rPr>
          <w:rFonts w:cs="Arial"/>
        </w:rPr>
        <w:t xml:space="preserve"> Additionally, th</w:t>
      </w:r>
      <w:r w:rsidR="00380C64" w:rsidRPr="00FB463B">
        <w:rPr>
          <w:rFonts w:cs="Arial"/>
        </w:rPr>
        <w:t>e State Plan includes the proposed updates for</w:t>
      </w:r>
      <w:r w:rsidR="00BA1370" w:rsidRPr="00FB463B">
        <w:rPr>
          <w:rFonts w:cs="Arial"/>
        </w:rPr>
        <w:t xml:space="preserve"> the ELPI change cut scores</w:t>
      </w:r>
      <w:r w:rsidR="005F04B6" w:rsidRPr="00FB463B">
        <w:rPr>
          <w:rFonts w:cs="Arial"/>
        </w:rPr>
        <w:t xml:space="preserve">, adoption of the </w:t>
      </w:r>
      <w:r w:rsidR="00BA1370" w:rsidRPr="00FB463B">
        <w:rPr>
          <w:rFonts w:cs="Arial"/>
        </w:rPr>
        <w:t>five-by-five grid</w:t>
      </w:r>
      <w:r w:rsidR="005F04B6" w:rsidRPr="00FB463B">
        <w:rPr>
          <w:rFonts w:cs="Arial"/>
        </w:rPr>
        <w:t>, and incorporation of the alternative ELPAC into the indicator</w:t>
      </w:r>
      <w:r w:rsidR="00380C64" w:rsidRPr="00FB463B">
        <w:rPr>
          <w:rFonts w:cs="Arial"/>
        </w:rPr>
        <w:t>.</w:t>
      </w:r>
    </w:p>
    <w:p w14:paraId="475CF320" w14:textId="4E76DE19" w:rsidR="00BA1370" w:rsidRPr="00FB463B" w:rsidRDefault="00853E46" w:rsidP="38EBE9DB">
      <w:pPr>
        <w:spacing w:after="240"/>
        <w:textAlignment w:val="baseline"/>
        <w:rPr>
          <w:rFonts w:cs="Arial"/>
        </w:rPr>
      </w:pPr>
      <w:r w:rsidRPr="00FB463B">
        <w:rPr>
          <w:rFonts w:cs="Arial"/>
        </w:rPr>
        <w:t xml:space="preserve">Attachment </w:t>
      </w:r>
      <w:r w:rsidR="005F04B6" w:rsidRPr="00FB463B">
        <w:rPr>
          <w:rFonts w:cs="Arial"/>
        </w:rPr>
        <w:t>4</w:t>
      </w:r>
      <w:r w:rsidRPr="00FB463B">
        <w:rPr>
          <w:rFonts w:cs="Arial"/>
        </w:rPr>
        <w:t xml:space="preserve"> provides a summary of outreach work conducted </w:t>
      </w:r>
      <w:r w:rsidR="000A5EA3" w:rsidRPr="00FB463B">
        <w:rPr>
          <w:rFonts w:cs="Arial"/>
        </w:rPr>
        <w:t>to support the Dashboard.</w:t>
      </w:r>
      <w:r w:rsidR="00BA1370" w:rsidRPr="00FB463B">
        <w:rPr>
          <w:rFonts w:cs="Arial"/>
        </w:rPr>
        <w:t xml:space="preserve"> </w:t>
      </w:r>
    </w:p>
    <w:p w14:paraId="423227AD" w14:textId="77777777" w:rsidR="003E4DF7" w:rsidRPr="00FB463B" w:rsidRDefault="1B584877" w:rsidP="00FD1D1C">
      <w:pPr>
        <w:pStyle w:val="Heading2"/>
        <w:spacing w:before="0" w:after="240"/>
        <w:rPr>
          <w:szCs w:val="36"/>
        </w:rPr>
      </w:pPr>
      <w:r w:rsidRPr="00FB463B">
        <w:t>Recommendation</w:t>
      </w:r>
    </w:p>
    <w:p w14:paraId="4ADBE311" w14:textId="3CA8BE5F" w:rsidR="2828E098" w:rsidRPr="00FB463B" w:rsidRDefault="644AF7AE" w:rsidP="00A7789A">
      <w:pPr>
        <w:spacing w:after="240"/>
        <w:rPr>
          <w:rFonts w:eastAsia="Arial" w:cs="Arial"/>
        </w:rPr>
      </w:pPr>
      <w:r w:rsidRPr="00FB463B">
        <w:rPr>
          <w:rFonts w:eastAsia="Arial" w:cs="Arial"/>
        </w:rPr>
        <w:t xml:space="preserve">The CDE recommends that the SBE approves: (1) cut </w:t>
      </w:r>
      <w:r w:rsidR="538FA952" w:rsidRPr="00FB463B">
        <w:rPr>
          <w:rFonts w:eastAsia="Arial" w:cs="Arial"/>
        </w:rPr>
        <w:t xml:space="preserve">points </w:t>
      </w:r>
      <w:r w:rsidRPr="00FB463B">
        <w:rPr>
          <w:rFonts w:eastAsia="Arial" w:cs="Arial"/>
        </w:rPr>
        <w:t>for ELPI Change</w:t>
      </w:r>
      <w:r w:rsidR="2F9061F9" w:rsidRPr="00FB463B">
        <w:rPr>
          <w:rFonts w:eastAsia="Arial" w:cs="Arial"/>
        </w:rPr>
        <w:t>,</w:t>
      </w:r>
      <w:r w:rsidR="548344E9" w:rsidRPr="00FB463B">
        <w:rPr>
          <w:rFonts w:eastAsia="Arial" w:cs="Arial"/>
        </w:rPr>
        <w:t xml:space="preserve"> </w:t>
      </w:r>
      <w:r w:rsidRPr="00FB463B">
        <w:rPr>
          <w:rFonts w:eastAsia="Arial" w:cs="Arial"/>
        </w:rPr>
        <w:t xml:space="preserve">(2) re-establishing </w:t>
      </w:r>
      <w:r w:rsidR="166FA2B0" w:rsidRPr="00FB463B">
        <w:rPr>
          <w:rFonts w:eastAsia="Arial" w:cs="Arial"/>
        </w:rPr>
        <w:t>five-by-five</w:t>
      </w:r>
      <w:r w:rsidRPr="00FB463B">
        <w:rPr>
          <w:rFonts w:eastAsia="Arial" w:cs="Arial"/>
        </w:rPr>
        <w:t xml:space="preserve"> color scheme for </w:t>
      </w:r>
      <w:r w:rsidR="4652E341" w:rsidRPr="00FB463B">
        <w:rPr>
          <w:rFonts w:eastAsia="Arial" w:cs="Arial"/>
        </w:rPr>
        <w:t xml:space="preserve">ELPI </w:t>
      </w:r>
      <w:r w:rsidRPr="00FB463B">
        <w:rPr>
          <w:rFonts w:eastAsia="Arial" w:cs="Arial"/>
        </w:rPr>
        <w:t xml:space="preserve">performance colors </w:t>
      </w:r>
      <w:r w:rsidR="535808E0" w:rsidRPr="00FB463B">
        <w:rPr>
          <w:rFonts w:eastAsia="Arial" w:cs="Arial"/>
        </w:rPr>
        <w:t xml:space="preserve">on </w:t>
      </w:r>
      <w:r w:rsidRPr="00FB463B">
        <w:rPr>
          <w:rFonts w:eastAsia="Arial" w:cs="Arial"/>
        </w:rPr>
        <w:t>the 2023 Dashboard</w:t>
      </w:r>
      <w:r w:rsidR="2F9061F9" w:rsidRPr="00FB463B">
        <w:rPr>
          <w:rFonts w:eastAsia="Arial" w:cs="Arial"/>
        </w:rPr>
        <w:t>,</w:t>
      </w:r>
      <w:r w:rsidRPr="00FB463B">
        <w:rPr>
          <w:rFonts w:eastAsia="Arial" w:cs="Arial"/>
        </w:rPr>
        <w:t xml:space="preserve"> (3) the inclusion of </w:t>
      </w:r>
      <w:r w:rsidR="1EA60F10" w:rsidRPr="00FB463B">
        <w:rPr>
          <w:rFonts w:eastAsia="Arial" w:cs="Arial"/>
        </w:rPr>
        <w:t xml:space="preserve">Summative </w:t>
      </w:r>
      <w:r w:rsidR="2815E3BB" w:rsidRPr="00FB463B">
        <w:rPr>
          <w:rFonts w:eastAsia="Arial" w:cs="Arial"/>
        </w:rPr>
        <w:t>Alternate</w:t>
      </w:r>
      <w:r w:rsidRPr="00FB463B">
        <w:rPr>
          <w:rFonts w:eastAsia="Arial" w:cs="Arial"/>
        </w:rPr>
        <w:t xml:space="preserve"> ELPAC in the ELPI</w:t>
      </w:r>
      <w:r w:rsidR="72BCBF99" w:rsidRPr="00FB463B">
        <w:rPr>
          <w:rFonts w:eastAsia="Arial" w:cs="Arial"/>
        </w:rPr>
        <w:t xml:space="preserve">, </w:t>
      </w:r>
      <w:r w:rsidR="1618DB0F" w:rsidRPr="00FB463B">
        <w:rPr>
          <w:rFonts w:eastAsia="Arial" w:cs="Arial"/>
        </w:rPr>
        <w:t xml:space="preserve">(4) removal of the Non-Registered Pre-Apprenticeship measure </w:t>
      </w:r>
      <w:r w:rsidR="305512CA" w:rsidRPr="00FB463B">
        <w:rPr>
          <w:rFonts w:eastAsia="Arial" w:cs="Arial"/>
        </w:rPr>
        <w:t>from</w:t>
      </w:r>
      <w:r w:rsidR="1618DB0F" w:rsidRPr="00FB463B">
        <w:rPr>
          <w:rFonts w:eastAsia="Arial" w:cs="Arial"/>
        </w:rPr>
        <w:t xml:space="preserve"> the CCI </w:t>
      </w:r>
      <w:r w:rsidR="657A5282" w:rsidRPr="00FB463B">
        <w:rPr>
          <w:rFonts w:eastAsia="Arial" w:cs="Arial"/>
        </w:rPr>
        <w:t xml:space="preserve">beginning with </w:t>
      </w:r>
      <w:r w:rsidR="1618DB0F" w:rsidRPr="00FB463B">
        <w:rPr>
          <w:rFonts w:eastAsia="Arial" w:cs="Arial"/>
        </w:rPr>
        <w:t>the 2023–24 school year</w:t>
      </w:r>
      <w:r w:rsidR="4361B6EA" w:rsidRPr="00FB463B">
        <w:rPr>
          <w:rFonts w:eastAsia="Arial" w:cs="Arial"/>
        </w:rPr>
        <w:t>, (5) the eligibility criteria for Differentiated Assistance based on the 2023 Dashboard</w:t>
      </w:r>
      <w:r w:rsidR="4FABE4F7" w:rsidRPr="00FB463B">
        <w:rPr>
          <w:rFonts w:eastAsia="Arial" w:cs="Arial"/>
        </w:rPr>
        <w:t>, and (6)</w:t>
      </w:r>
      <w:r w:rsidR="2CBEA8B9" w:rsidRPr="00FB463B">
        <w:rPr>
          <w:rFonts w:eastAsia="Arial" w:cs="Arial"/>
        </w:rPr>
        <w:t xml:space="preserve"> </w:t>
      </w:r>
      <w:r w:rsidR="7CA8F7AD" w:rsidRPr="00FB463B">
        <w:rPr>
          <w:rFonts w:eastAsia="Arial" w:cs="Arial"/>
        </w:rPr>
        <w:t xml:space="preserve">objective criteria for the </w:t>
      </w:r>
      <w:r w:rsidR="2CBEA8B9" w:rsidRPr="00FB463B">
        <w:rPr>
          <w:rFonts w:eastAsia="Arial" w:cs="Arial"/>
        </w:rPr>
        <w:t>2021</w:t>
      </w:r>
      <w:r w:rsidR="147498EE" w:rsidRPr="00FB463B">
        <w:rPr>
          <w:rFonts w:eastAsia="Arial" w:cs="Arial"/>
        </w:rPr>
        <w:t>–</w:t>
      </w:r>
      <w:r w:rsidR="2CBEA8B9" w:rsidRPr="00FB463B">
        <w:rPr>
          <w:rFonts w:eastAsia="Arial" w:cs="Arial"/>
        </w:rPr>
        <w:t>22 Teacher Assignment Outcomes within Priority 1, and (7)</w:t>
      </w:r>
      <w:r w:rsidR="4FABE4F7" w:rsidRPr="00FB463B">
        <w:rPr>
          <w:rFonts w:eastAsia="Arial" w:cs="Arial"/>
        </w:rPr>
        <w:t xml:space="preserve"> </w:t>
      </w:r>
      <w:r w:rsidR="555363D6" w:rsidRPr="00FB463B">
        <w:rPr>
          <w:rFonts w:eastAsia="Arial" w:cs="Arial"/>
        </w:rPr>
        <w:t xml:space="preserve">links to additional data </w:t>
      </w:r>
      <w:r w:rsidR="73CA5ACA" w:rsidRPr="00FB463B">
        <w:rPr>
          <w:rFonts w:eastAsia="Arial" w:cs="Arial"/>
        </w:rPr>
        <w:t xml:space="preserve">outside of the Dashboard </w:t>
      </w:r>
      <w:r w:rsidR="5FE6EE3E" w:rsidRPr="00FB463B">
        <w:rPr>
          <w:rFonts w:eastAsia="Arial" w:cs="Arial"/>
        </w:rPr>
        <w:t>for the Chronic Absenteeism</w:t>
      </w:r>
      <w:r w:rsidR="3996FE46" w:rsidRPr="00FB463B">
        <w:rPr>
          <w:rFonts w:eastAsia="Arial" w:cs="Arial"/>
        </w:rPr>
        <w:t xml:space="preserve">, </w:t>
      </w:r>
      <w:r w:rsidR="4652E341" w:rsidRPr="00FB463B">
        <w:rPr>
          <w:rFonts w:eastAsia="Arial" w:cs="Arial"/>
        </w:rPr>
        <w:t>the Science assessment</w:t>
      </w:r>
      <w:r w:rsidR="3996FE46" w:rsidRPr="00FB463B">
        <w:rPr>
          <w:rFonts w:eastAsia="Arial" w:cs="Arial"/>
        </w:rPr>
        <w:t>, and Least Restrictive Environment data</w:t>
      </w:r>
      <w:r w:rsidR="6F4B7694" w:rsidRPr="00FB463B">
        <w:rPr>
          <w:rFonts w:eastAsia="Arial" w:cs="Arial"/>
        </w:rPr>
        <w:t xml:space="preserve">. </w:t>
      </w:r>
      <w:r w:rsidR="0086049B" w:rsidRPr="00FB463B">
        <w:rPr>
          <w:rFonts w:eastAsia="Arial" w:cs="Arial"/>
        </w:rPr>
        <w:t xml:space="preserve">Additionally, the CDE recommends </w:t>
      </w:r>
      <w:r w:rsidR="00297220" w:rsidRPr="00FB463B">
        <w:t xml:space="preserve">that the SBE approve the amendments to the State Plan, pending the SBE Executive Director approval of final revisions requested by the SBE, correction of any typographical errors, and </w:t>
      </w:r>
      <w:r w:rsidR="00297220" w:rsidRPr="00FB463B">
        <w:rPr>
          <w:iCs/>
        </w:rPr>
        <w:t>necessary, non-substantive clarifying edits</w:t>
      </w:r>
      <w:r w:rsidR="00297220" w:rsidRPr="00FB463B">
        <w:t>.</w:t>
      </w:r>
    </w:p>
    <w:p w14:paraId="423227AF" w14:textId="4993E632" w:rsidR="00F40510" w:rsidRPr="00FB463B" w:rsidRDefault="003E4DF7" w:rsidP="00FD1D1C">
      <w:pPr>
        <w:pStyle w:val="Heading2"/>
        <w:spacing w:before="0" w:after="240"/>
        <w:rPr>
          <w:szCs w:val="36"/>
        </w:rPr>
      </w:pPr>
      <w:r w:rsidRPr="00FB463B">
        <w:rPr>
          <w:szCs w:val="36"/>
        </w:rPr>
        <w:t>Brief History of Key Issues</w:t>
      </w:r>
    </w:p>
    <w:p w14:paraId="22E2BB14" w14:textId="009D8B04" w:rsidR="00E95ABC" w:rsidRPr="00FB463B" w:rsidRDefault="009B60A5" w:rsidP="0081393D">
      <w:pPr>
        <w:pStyle w:val="Heading3"/>
      </w:pPr>
      <w:r w:rsidRPr="00FB463B">
        <w:t>Background</w:t>
      </w:r>
    </w:p>
    <w:p w14:paraId="3CBDE1E2" w14:textId="0185938B" w:rsidR="7E42ABE2" w:rsidRPr="00FB463B" w:rsidRDefault="3DCBA003" w:rsidP="00A7789A">
      <w:pPr>
        <w:spacing w:after="240"/>
        <w:rPr>
          <w:rFonts w:eastAsia="Arial" w:cs="Arial"/>
        </w:rPr>
      </w:pPr>
      <w:r w:rsidRPr="00FB463B">
        <w:rPr>
          <w:rFonts w:eastAsia="Arial" w:cs="Arial"/>
        </w:rPr>
        <w:t xml:space="preserve">Following the </w:t>
      </w:r>
      <w:r w:rsidR="001D7A3B" w:rsidRPr="00FB463B">
        <w:rPr>
          <w:rFonts w:eastAsia="Arial" w:cs="Arial"/>
        </w:rPr>
        <w:t xml:space="preserve">SBE’s </w:t>
      </w:r>
      <w:r w:rsidR="00BA5530" w:rsidRPr="00FB463B">
        <w:rPr>
          <w:rFonts w:eastAsia="Arial" w:cs="Arial"/>
        </w:rPr>
        <w:t xml:space="preserve">approval of the </w:t>
      </w:r>
      <w:r w:rsidR="005824EA" w:rsidRPr="00FB463B">
        <w:rPr>
          <w:rFonts w:eastAsia="Arial" w:cs="Arial"/>
        </w:rPr>
        <w:t>annual</w:t>
      </w:r>
      <w:r w:rsidR="001D7A3B" w:rsidRPr="00FB463B">
        <w:rPr>
          <w:rFonts w:eastAsia="Arial" w:cs="Arial"/>
        </w:rPr>
        <w:t xml:space="preserve"> workplan at the March 2023 meeting, CDE has worked to complete the analysis and educational partner engagement necessary to bring recommendations to the SBE</w:t>
      </w:r>
      <w:r w:rsidR="00ED5722" w:rsidRPr="00FB463B">
        <w:rPr>
          <w:rFonts w:eastAsia="Arial" w:cs="Arial"/>
        </w:rPr>
        <w:t xml:space="preserve"> at their September 2023 meeting</w:t>
      </w:r>
      <w:r w:rsidR="001D7A3B" w:rsidRPr="00FB463B">
        <w:rPr>
          <w:rFonts w:eastAsia="Arial" w:cs="Arial"/>
        </w:rPr>
        <w:t xml:space="preserve">. </w:t>
      </w:r>
      <w:r w:rsidR="000A5EA3" w:rsidRPr="00FB463B">
        <w:rPr>
          <w:rFonts w:eastAsia="Arial" w:cs="Arial"/>
        </w:rPr>
        <w:t>Approval of</w:t>
      </w:r>
      <w:r w:rsidR="001D7A3B" w:rsidRPr="00FB463B">
        <w:rPr>
          <w:rFonts w:eastAsia="Arial" w:cs="Arial"/>
        </w:rPr>
        <w:t xml:space="preserve"> </w:t>
      </w:r>
      <w:r w:rsidRPr="00FB463B">
        <w:rPr>
          <w:rFonts w:eastAsia="Arial" w:cs="Arial"/>
        </w:rPr>
        <w:t xml:space="preserve">the </w:t>
      </w:r>
      <w:r w:rsidR="6947D653" w:rsidRPr="00FB463B">
        <w:rPr>
          <w:rFonts w:eastAsia="Arial" w:cs="Arial"/>
        </w:rPr>
        <w:t>components of the 2023</w:t>
      </w:r>
      <w:r w:rsidRPr="00FB463B">
        <w:rPr>
          <w:rFonts w:eastAsia="Arial" w:cs="Arial"/>
        </w:rPr>
        <w:t xml:space="preserve"> </w:t>
      </w:r>
      <w:r w:rsidR="001D7A3B" w:rsidRPr="00FB463B">
        <w:rPr>
          <w:rFonts w:eastAsia="Arial" w:cs="Arial"/>
        </w:rPr>
        <w:t xml:space="preserve">workplan must be made </w:t>
      </w:r>
      <w:r w:rsidR="000A5EA3" w:rsidRPr="00FB463B">
        <w:rPr>
          <w:rFonts w:eastAsia="Arial" w:cs="Arial"/>
        </w:rPr>
        <w:t>at the SBE</w:t>
      </w:r>
      <w:r w:rsidR="001D7A3B" w:rsidRPr="00FB463B">
        <w:rPr>
          <w:rFonts w:eastAsia="Arial" w:cs="Arial"/>
        </w:rPr>
        <w:t xml:space="preserve"> September </w:t>
      </w:r>
      <w:r w:rsidR="000A5EA3" w:rsidRPr="00FB463B">
        <w:rPr>
          <w:rFonts w:eastAsia="Arial" w:cs="Arial"/>
        </w:rPr>
        <w:t xml:space="preserve">meeting </w:t>
      </w:r>
      <w:r w:rsidR="001D7A3B" w:rsidRPr="00FB463B">
        <w:rPr>
          <w:rFonts w:eastAsia="Arial" w:cs="Arial"/>
        </w:rPr>
        <w:t>to allow for implementation o</w:t>
      </w:r>
      <w:r w:rsidR="006500A2" w:rsidRPr="00FB463B">
        <w:rPr>
          <w:rFonts w:eastAsia="Arial" w:cs="Arial"/>
        </w:rPr>
        <w:t>n</w:t>
      </w:r>
      <w:r w:rsidR="001D7A3B" w:rsidRPr="00FB463B">
        <w:rPr>
          <w:rFonts w:eastAsia="Arial" w:cs="Arial"/>
        </w:rPr>
        <w:t xml:space="preserve"> the 2023 Dashboard</w:t>
      </w:r>
      <w:r w:rsidR="00DC4480" w:rsidRPr="00FB463B">
        <w:rPr>
          <w:rFonts w:eastAsia="Arial" w:cs="Arial"/>
        </w:rPr>
        <w:t xml:space="preserve"> by the newly established December 15, 2023, reporting deadline pursuant to Senate Bill 114 (</w:t>
      </w:r>
      <w:r w:rsidR="000A5EA3" w:rsidRPr="00FB463B">
        <w:rPr>
          <w:rFonts w:eastAsia="Arial" w:cs="Arial"/>
        </w:rPr>
        <w:t xml:space="preserve">Chapter </w:t>
      </w:r>
      <w:r w:rsidR="008F001D" w:rsidRPr="00FB463B">
        <w:rPr>
          <w:rFonts w:eastAsia="Arial" w:cs="Arial"/>
        </w:rPr>
        <w:t>48,</w:t>
      </w:r>
      <w:r w:rsidR="000A5EA3" w:rsidRPr="00FB463B">
        <w:rPr>
          <w:rFonts w:eastAsia="Arial" w:cs="Arial"/>
        </w:rPr>
        <w:t xml:space="preserve"> Statu</w:t>
      </w:r>
      <w:r w:rsidR="008F001D" w:rsidRPr="00FB463B">
        <w:rPr>
          <w:rFonts w:eastAsia="Arial" w:cs="Arial"/>
        </w:rPr>
        <w:t>t</w:t>
      </w:r>
      <w:r w:rsidR="000A5EA3" w:rsidRPr="00FB463B">
        <w:rPr>
          <w:rFonts w:eastAsia="Arial" w:cs="Arial"/>
        </w:rPr>
        <w:t xml:space="preserve">es of 2023) </w:t>
      </w:r>
      <w:r w:rsidR="001D7A3B" w:rsidRPr="00FB463B">
        <w:rPr>
          <w:rFonts w:eastAsia="Arial" w:cs="Arial"/>
        </w:rPr>
        <w:t xml:space="preserve">and </w:t>
      </w:r>
      <w:r w:rsidR="00CF62A5" w:rsidRPr="00FB463B">
        <w:rPr>
          <w:rFonts w:eastAsia="Arial" w:cs="Arial"/>
        </w:rPr>
        <w:t xml:space="preserve">to use for inclusion in </w:t>
      </w:r>
      <w:r w:rsidR="4CECEFBA" w:rsidRPr="00FB463B">
        <w:rPr>
          <w:rFonts w:eastAsia="Arial" w:cs="Arial"/>
        </w:rPr>
        <w:t xml:space="preserve">the designation of schools for </w:t>
      </w:r>
      <w:r w:rsidR="6DD7A5BC" w:rsidRPr="00FB463B">
        <w:rPr>
          <w:rFonts w:eastAsia="Arial" w:cs="Arial"/>
        </w:rPr>
        <w:t>federal support under both</w:t>
      </w:r>
      <w:r w:rsidRPr="00FB463B">
        <w:rPr>
          <w:rFonts w:eastAsia="Arial" w:cs="Arial"/>
        </w:rPr>
        <w:t xml:space="preserve"> Comprehensive Support and Improvement</w:t>
      </w:r>
      <w:r w:rsidR="658F015D" w:rsidRPr="00FB463B">
        <w:rPr>
          <w:rFonts w:eastAsia="Arial" w:cs="Arial"/>
        </w:rPr>
        <w:t xml:space="preserve"> (CSI)</w:t>
      </w:r>
      <w:r w:rsidRPr="00FB463B">
        <w:rPr>
          <w:rFonts w:eastAsia="Arial" w:cs="Arial"/>
        </w:rPr>
        <w:t xml:space="preserve"> and Additional Targeted Support and Improvement</w:t>
      </w:r>
      <w:r w:rsidR="15F1559C" w:rsidRPr="00FB463B">
        <w:rPr>
          <w:rFonts w:eastAsia="Arial" w:cs="Arial"/>
        </w:rPr>
        <w:t xml:space="preserve"> (ATSI)</w:t>
      </w:r>
      <w:r w:rsidR="7544D7A1" w:rsidRPr="00FB463B">
        <w:rPr>
          <w:rFonts w:eastAsia="Arial" w:cs="Arial"/>
        </w:rPr>
        <w:t>.</w:t>
      </w:r>
    </w:p>
    <w:p w14:paraId="10F1A30C" w14:textId="75431EE8" w:rsidR="230463FE" w:rsidRPr="00FB463B" w:rsidRDefault="001D7A3B" w:rsidP="00A7789A">
      <w:pPr>
        <w:spacing w:after="240"/>
        <w:rPr>
          <w:rFonts w:eastAsia="Arial" w:cs="Arial"/>
        </w:rPr>
      </w:pPr>
      <w:r w:rsidRPr="00FB463B">
        <w:rPr>
          <w:rFonts w:eastAsia="Arial" w:cs="Arial"/>
        </w:rPr>
        <w:lastRenderedPageBreak/>
        <w:t>T</w:t>
      </w:r>
      <w:r w:rsidR="230463FE" w:rsidRPr="00FB463B">
        <w:rPr>
          <w:rFonts w:eastAsia="Arial" w:cs="Arial"/>
        </w:rPr>
        <w:t>he Dashboard was released in 2017, 2018, and 2019,</w:t>
      </w:r>
      <w:r w:rsidRPr="00FB463B">
        <w:rPr>
          <w:rFonts w:eastAsia="Arial" w:cs="Arial"/>
        </w:rPr>
        <w:t xml:space="preserve"> </w:t>
      </w:r>
      <w:r w:rsidR="003A64BC" w:rsidRPr="00FB463B">
        <w:rPr>
          <w:rFonts w:eastAsia="Arial" w:cs="Arial"/>
        </w:rPr>
        <w:t>and</w:t>
      </w:r>
      <w:r w:rsidRPr="00FB463B">
        <w:rPr>
          <w:rFonts w:eastAsia="Arial" w:cs="Arial"/>
        </w:rPr>
        <w:t xml:space="preserve"> paused in 2020 and 2021</w:t>
      </w:r>
      <w:r w:rsidR="230463FE" w:rsidRPr="00FB463B">
        <w:rPr>
          <w:rFonts w:eastAsia="Arial" w:cs="Arial"/>
        </w:rPr>
        <w:t xml:space="preserve"> due to the 2019 novel coronavirus disease (COVID-19) pandemic</w:t>
      </w:r>
      <w:r w:rsidRPr="00FB463B">
        <w:rPr>
          <w:rFonts w:eastAsia="Arial" w:cs="Arial"/>
        </w:rPr>
        <w:t xml:space="preserve">. </w:t>
      </w:r>
      <w:r w:rsidR="230463FE" w:rsidRPr="00FB463B">
        <w:rPr>
          <w:rFonts w:eastAsia="Arial" w:cs="Arial"/>
        </w:rPr>
        <w:t>The requirement</w:t>
      </w:r>
      <w:r w:rsidRPr="00FB463B">
        <w:rPr>
          <w:rFonts w:eastAsia="Arial" w:cs="Arial"/>
        </w:rPr>
        <w:t xml:space="preserve">s of </w:t>
      </w:r>
      <w:r w:rsidR="230463FE" w:rsidRPr="00FB463B">
        <w:rPr>
          <w:rFonts w:eastAsia="Arial" w:cs="Arial"/>
        </w:rPr>
        <w:t>federal and state accountability returned with the release of the 2022 Dashboard</w:t>
      </w:r>
      <w:r w:rsidR="004135C6" w:rsidRPr="00FB463B">
        <w:rPr>
          <w:rFonts w:eastAsia="Arial" w:cs="Arial"/>
        </w:rPr>
        <w:t xml:space="preserve"> </w:t>
      </w:r>
      <w:r w:rsidR="00A570BA" w:rsidRPr="00FB463B">
        <w:rPr>
          <w:rFonts w:eastAsia="Arial" w:cs="Arial"/>
        </w:rPr>
        <w:t>and</w:t>
      </w:r>
      <w:r w:rsidR="004135C6" w:rsidRPr="00FB463B">
        <w:rPr>
          <w:rFonts w:eastAsia="Arial" w:cs="Arial"/>
        </w:rPr>
        <w:t xml:space="preserve"> was limited to current year performance </w:t>
      </w:r>
      <w:r w:rsidR="00CD24A6" w:rsidRPr="00FB463B">
        <w:rPr>
          <w:rFonts w:eastAsia="Arial" w:cs="Arial"/>
        </w:rPr>
        <w:t xml:space="preserve">under the provisions of </w:t>
      </w:r>
      <w:r w:rsidR="230463FE" w:rsidRPr="00FB463B">
        <w:rPr>
          <w:rFonts w:eastAsia="Arial" w:cs="Arial"/>
        </w:rPr>
        <w:t>Assembly Bill (AB) 130</w:t>
      </w:r>
      <w:r w:rsidR="000A5EA3" w:rsidRPr="00FB463B">
        <w:rPr>
          <w:rFonts w:eastAsia="Arial" w:cs="Arial"/>
        </w:rPr>
        <w:t xml:space="preserve"> (Chapter </w:t>
      </w:r>
      <w:r w:rsidR="00022994" w:rsidRPr="00FB463B">
        <w:rPr>
          <w:rFonts w:eastAsia="Arial" w:cs="Arial"/>
        </w:rPr>
        <w:t>44</w:t>
      </w:r>
      <w:r w:rsidR="000A5EA3" w:rsidRPr="00FB463B">
        <w:rPr>
          <w:rFonts w:eastAsia="Arial" w:cs="Arial"/>
        </w:rPr>
        <w:t>, Statu</w:t>
      </w:r>
      <w:r w:rsidR="00B73B81" w:rsidRPr="00FB463B">
        <w:rPr>
          <w:rFonts w:eastAsia="Arial" w:cs="Arial"/>
        </w:rPr>
        <w:t>t</w:t>
      </w:r>
      <w:r w:rsidR="000A5EA3" w:rsidRPr="00FB463B">
        <w:rPr>
          <w:rFonts w:eastAsia="Arial" w:cs="Arial"/>
        </w:rPr>
        <w:t xml:space="preserve">es of </w:t>
      </w:r>
      <w:r w:rsidR="230463FE" w:rsidRPr="00FB463B">
        <w:rPr>
          <w:rFonts w:eastAsia="Arial" w:cs="Arial"/>
        </w:rPr>
        <w:t>2021</w:t>
      </w:r>
      <w:r w:rsidR="000A5EA3" w:rsidRPr="00FB463B">
        <w:rPr>
          <w:rFonts w:eastAsia="Arial" w:cs="Arial"/>
        </w:rPr>
        <w:t>)</w:t>
      </w:r>
      <w:r w:rsidR="004135C6" w:rsidRPr="00FB463B">
        <w:rPr>
          <w:rFonts w:eastAsia="Arial" w:cs="Arial"/>
        </w:rPr>
        <w:t>.</w:t>
      </w:r>
    </w:p>
    <w:p w14:paraId="1326E76D" w14:textId="170510A6" w:rsidR="230463FE" w:rsidRPr="00FB463B" w:rsidRDefault="00952EBD" w:rsidP="00A7789A">
      <w:pPr>
        <w:spacing w:after="240"/>
        <w:rPr>
          <w:rFonts w:eastAsia="Arial" w:cs="Arial"/>
        </w:rPr>
      </w:pPr>
      <w:r w:rsidRPr="00FB463B">
        <w:rPr>
          <w:rFonts w:eastAsia="Arial" w:cs="Arial"/>
        </w:rPr>
        <w:t>T</w:t>
      </w:r>
      <w:r w:rsidR="230463FE" w:rsidRPr="00FB463B">
        <w:rPr>
          <w:rFonts w:eastAsia="Arial" w:cs="Arial"/>
        </w:rPr>
        <w:t xml:space="preserve">he 2023 Dashboard </w:t>
      </w:r>
      <w:r w:rsidRPr="00FB463B">
        <w:rPr>
          <w:rFonts w:eastAsia="Arial" w:cs="Arial"/>
        </w:rPr>
        <w:t>include</w:t>
      </w:r>
      <w:r w:rsidR="00CD24A6" w:rsidRPr="00FB463B">
        <w:rPr>
          <w:rFonts w:eastAsia="Arial" w:cs="Arial"/>
        </w:rPr>
        <w:t>s</w:t>
      </w:r>
      <w:r w:rsidRPr="00FB463B">
        <w:rPr>
          <w:rFonts w:eastAsia="Arial" w:cs="Arial"/>
        </w:rPr>
        <w:t xml:space="preserve"> </w:t>
      </w:r>
      <w:r w:rsidR="230463FE" w:rsidRPr="00FB463B">
        <w:rPr>
          <w:rFonts w:eastAsia="Arial" w:cs="Arial"/>
        </w:rPr>
        <w:t>“Status” (current student performance) and “Change” (difference of student performance from prior year) for most indicators. This includes the return of “</w:t>
      </w:r>
      <w:r w:rsidR="00556C6F" w:rsidRPr="00FB463B">
        <w:rPr>
          <w:rFonts w:eastAsia="Arial" w:cs="Arial"/>
        </w:rPr>
        <w:t>Performance Levels</w:t>
      </w:r>
      <w:r w:rsidR="230463FE" w:rsidRPr="00FB463B">
        <w:rPr>
          <w:rFonts w:eastAsia="Arial" w:cs="Arial"/>
        </w:rPr>
        <w:t xml:space="preserve">” </w:t>
      </w:r>
      <w:r w:rsidR="000309F7" w:rsidRPr="00FB463B">
        <w:rPr>
          <w:rFonts w:eastAsia="Arial" w:cs="Arial"/>
        </w:rPr>
        <w:t xml:space="preserve">in the form of </w:t>
      </w:r>
      <w:r w:rsidR="230463FE" w:rsidRPr="00FB463B">
        <w:rPr>
          <w:rFonts w:eastAsia="Arial" w:cs="Arial"/>
        </w:rPr>
        <w:t>colors for five indicators: Academic Indicator</w:t>
      </w:r>
      <w:r w:rsidR="00744DE2" w:rsidRPr="00FB463B">
        <w:rPr>
          <w:rFonts w:eastAsia="Arial" w:cs="Arial"/>
        </w:rPr>
        <w:t>s</w:t>
      </w:r>
      <w:r w:rsidR="230463FE" w:rsidRPr="00FB463B">
        <w:rPr>
          <w:rFonts w:eastAsia="Arial" w:cs="Arial"/>
        </w:rPr>
        <w:t xml:space="preserve"> (</w:t>
      </w:r>
      <w:r w:rsidR="008E3530" w:rsidRPr="00FB463B">
        <w:rPr>
          <w:rFonts w:eastAsia="Arial" w:cs="Arial"/>
        </w:rPr>
        <w:t>English</w:t>
      </w:r>
      <w:r w:rsidR="00744DE2" w:rsidRPr="00FB463B">
        <w:rPr>
          <w:rFonts w:eastAsia="Arial" w:cs="Arial"/>
        </w:rPr>
        <w:t xml:space="preserve"> Language Arts/Literacy (ELA) </w:t>
      </w:r>
      <w:r w:rsidR="230463FE" w:rsidRPr="00FB463B">
        <w:rPr>
          <w:rFonts w:eastAsia="Arial" w:cs="Arial"/>
        </w:rPr>
        <w:t xml:space="preserve">and Math), Suspension </w:t>
      </w:r>
      <w:r w:rsidR="00744DE2" w:rsidRPr="00FB463B">
        <w:rPr>
          <w:rFonts w:eastAsia="Arial" w:cs="Arial"/>
        </w:rPr>
        <w:t>Rate Indicator</w:t>
      </w:r>
      <w:r w:rsidR="230463FE" w:rsidRPr="00FB463B">
        <w:rPr>
          <w:rFonts w:eastAsia="Arial" w:cs="Arial"/>
        </w:rPr>
        <w:t xml:space="preserve">, ELPI, Graduation Rate Indicator, and Chronic Absenteeism Indicator. The only indicator that will report “Status” only on the </w:t>
      </w:r>
      <w:r w:rsidRPr="00FB463B">
        <w:rPr>
          <w:rFonts w:eastAsia="Arial" w:cs="Arial"/>
        </w:rPr>
        <w:t xml:space="preserve">2023 </w:t>
      </w:r>
      <w:r w:rsidR="230463FE" w:rsidRPr="00FB463B">
        <w:rPr>
          <w:rFonts w:eastAsia="Arial" w:cs="Arial"/>
        </w:rPr>
        <w:t xml:space="preserve">Dashboard is the </w:t>
      </w:r>
      <w:r w:rsidR="00F14F07" w:rsidRPr="00FB463B">
        <w:rPr>
          <w:rFonts w:eastAsia="Arial" w:cs="Arial"/>
        </w:rPr>
        <w:t>CCI</w:t>
      </w:r>
      <w:r w:rsidRPr="00FB463B">
        <w:rPr>
          <w:rFonts w:eastAsia="Arial" w:cs="Arial"/>
        </w:rPr>
        <w:t>. The CCI was not</w:t>
      </w:r>
      <w:r w:rsidR="00DF14F4" w:rsidRPr="00FB463B">
        <w:rPr>
          <w:rFonts w:eastAsia="Arial" w:cs="Arial"/>
        </w:rPr>
        <w:t xml:space="preserve"> able to be</w:t>
      </w:r>
      <w:r w:rsidRPr="00FB463B">
        <w:rPr>
          <w:rFonts w:eastAsia="Arial" w:cs="Arial"/>
        </w:rPr>
        <w:t xml:space="preserve"> included on the 2022 Dashboard</w:t>
      </w:r>
      <w:r w:rsidR="3968AE7D" w:rsidRPr="00FB463B">
        <w:rPr>
          <w:rFonts w:eastAsia="Arial" w:cs="Arial"/>
        </w:rPr>
        <w:t xml:space="preserve"> b</w:t>
      </w:r>
      <w:r w:rsidR="230463FE" w:rsidRPr="00FB463B">
        <w:rPr>
          <w:rFonts w:eastAsia="Arial" w:cs="Arial"/>
        </w:rPr>
        <w:t xml:space="preserve">ecause </w:t>
      </w:r>
      <w:r w:rsidRPr="00FB463B">
        <w:rPr>
          <w:rFonts w:eastAsia="Arial" w:cs="Arial"/>
        </w:rPr>
        <w:t xml:space="preserve">of </w:t>
      </w:r>
      <w:r w:rsidR="230463FE" w:rsidRPr="00FB463B">
        <w:rPr>
          <w:rFonts w:eastAsia="Arial" w:cs="Arial"/>
        </w:rPr>
        <w:t>limited results from the 2021 statewide summative assessments for grade eleven students.</w:t>
      </w:r>
    </w:p>
    <w:p w14:paraId="700F74B5" w14:textId="7BFC7DED" w:rsidR="3D752859" w:rsidRPr="00FB463B" w:rsidRDefault="0C8F6A52" w:rsidP="3D752859">
      <w:pPr>
        <w:rPr>
          <w:rFonts w:eastAsia="Arial" w:cs="Arial"/>
          <w:sz w:val="32"/>
          <w:szCs w:val="32"/>
        </w:rPr>
      </w:pPr>
      <w:r w:rsidRPr="00FB463B">
        <w:rPr>
          <w:rFonts w:eastAsiaTheme="majorEastAsia" w:cstheme="majorBidi"/>
          <w:b/>
          <w:sz w:val="32"/>
          <w:szCs w:val="32"/>
        </w:rPr>
        <w:t>English Learner Progress Indicator</w:t>
      </w:r>
    </w:p>
    <w:p w14:paraId="5D18244F" w14:textId="5950A42A" w:rsidR="00164565" w:rsidRPr="00FB463B" w:rsidRDefault="00164565" w:rsidP="00164565">
      <w:pPr>
        <w:spacing w:before="240" w:after="240"/>
      </w:pPr>
      <w:r w:rsidRPr="00FB463B">
        <w:rPr>
          <w:rFonts w:cs="Arial"/>
        </w:rPr>
        <w:t>At its July 2018 meeting, the SBE adopted the three-year plan</w:t>
      </w:r>
      <w:r w:rsidR="00952EBD" w:rsidRPr="00FB463B">
        <w:rPr>
          <w:rFonts w:cs="Arial"/>
        </w:rPr>
        <w:t xml:space="preserve"> and methodology</w:t>
      </w:r>
      <w:r w:rsidRPr="00FB463B">
        <w:rPr>
          <w:rFonts w:cs="Arial"/>
        </w:rPr>
        <w:t xml:space="preserve"> for the ELPI</w:t>
      </w:r>
      <w:r w:rsidR="000A5EA3" w:rsidRPr="00FB463B">
        <w:rPr>
          <w:rFonts w:cs="Arial"/>
        </w:rPr>
        <w:t xml:space="preserve">. </w:t>
      </w:r>
      <w:r w:rsidRPr="00FB463B">
        <w:rPr>
          <w:rFonts w:cs="Arial"/>
        </w:rPr>
        <w:t xml:space="preserve">ELPI Status </w:t>
      </w:r>
      <w:r w:rsidR="00952EBD" w:rsidRPr="00FB463B">
        <w:rPr>
          <w:rFonts w:cs="Arial"/>
        </w:rPr>
        <w:t>was</w:t>
      </w:r>
      <w:r w:rsidRPr="00FB463B">
        <w:rPr>
          <w:rFonts w:cs="Arial"/>
        </w:rPr>
        <w:t xml:space="preserve"> reported using two years of ELPAC Summative Assessment results on the 2019 Dashboard</w:t>
      </w:r>
      <w:r w:rsidR="00952EBD" w:rsidRPr="00FB463B">
        <w:rPr>
          <w:rFonts w:cs="Arial"/>
        </w:rPr>
        <w:t xml:space="preserve"> based on the </w:t>
      </w:r>
      <w:r w:rsidR="00C16E8E" w:rsidRPr="00FB463B">
        <w:rPr>
          <w:rFonts w:cs="Arial"/>
        </w:rPr>
        <w:t>SBE’s</w:t>
      </w:r>
      <w:r w:rsidR="00952EBD" w:rsidRPr="00FB463B">
        <w:rPr>
          <w:rFonts w:cs="Arial"/>
        </w:rPr>
        <w:t xml:space="preserve"> action in November 2019 to</w:t>
      </w:r>
      <w:r w:rsidRPr="00FB463B">
        <w:t xml:space="preserve"> approve the Status cut scores</w:t>
      </w:r>
      <w:r w:rsidR="00952EBD" w:rsidRPr="00FB463B">
        <w:t>.</w:t>
      </w:r>
      <w:r w:rsidR="000A5EA3" w:rsidRPr="00FB463B">
        <w:t xml:space="preserve"> </w:t>
      </w:r>
      <w:r w:rsidRPr="00FB463B">
        <w:t xml:space="preserve">Due to the COVID-19 pandemic and </w:t>
      </w:r>
      <w:r w:rsidR="000A5EA3" w:rsidRPr="00FB463B">
        <w:t xml:space="preserve">provisions of </w:t>
      </w:r>
      <w:r w:rsidRPr="00FB463B">
        <w:t xml:space="preserve">AB 130, all state indicators for the Dashboard were suspended. For the 2022 Dashboard, the ELPI, along with the other state indicators, </w:t>
      </w:r>
      <w:r w:rsidR="00952EBD" w:rsidRPr="00FB463B">
        <w:t xml:space="preserve">again </w:t>
      </w:r>
      <w:r w:rsidRPr="00FB463B">
        <w:t>reported Status only.</w:t>
      </w:r>
    </w:p>
    <w:p w14:paraId="44E7E4BE" w14:textId="12C9C99C" w:rsidR="00001AC6" w:rsidRPr="00FB463B" w:rsidRDefault="008472C4" w:rsidP="00A7789A">
      <w:pPr>
        <w:spacing w:after="240"/>
        <w:rPr>
          <w:rFonts w:eastAsia="Arial" w:cs="Arial"/>
        </w:rPr>
      </w:pPr>
      <w:r w:rsidRPr="00FB463B">
        <w:rPr>
          <w:rFonts w:eastAsia="Arial" w:cs="Arial"/>
        </w:rPr>
        <w:t xml:space="preserve">The </w:t>
      </w:r>
      <w:r w:rsidR="60F2F272" w:rsidRPr="00FB463B">
        <w:rPr>
          <w:rFonts w:eastAsia="Arial" w:cs="Arial"/>
        </w:rPr>
        <w:t xml:space="preserve">2023 </w:t>
      </w:r>
      <w:r w:rsidRPr="00FB463B">
        <w:rPr>
          <w:rFonts w:eastAsia="Arial" w:cs="Arial"/>
        </w:rPr>
        <w:t>workplan</w:t>
      </w:r>
      <w:r w:rsidR="00D458E0" w:rsidRPr="00FB463B">
        <w:rPr>
          <w:rFonts w:eastAsia="Arial" w:cs="Arial"/>
        </w:rPr>
        <w:t xml:space="preserve"> </w:t>
      </w:r>
      <w:r w:rsidRPr="00FB463B">
        <w:rPr>
          <w:rFonts w:eastAsia="Arial" w:cs="Arial"/>
        </w:rPr>
        <w:t xml:space="preserve">proposed </w:t>
      </w:r>
      <w:r w:rsidR="00D458E0" w:rsidRPr="00FB463B">
        <w:rPr>
          <w:rFonts w:eastAsia="Arial" w:cs="Arial"/>
        </w:rPr>
        <w:t xml:space="preserve">the completion of the ELPI </w:t>
      </w:r>
      <w:r w:rsidR="60F2F272" w:rsidRPr="00FB463B">
        <w:rPr>
          <w:rFonts w:eastAsia="Arial" w:cs="Arial"/>
        </w:rPr>
        <w:t xml:space="preserve">by establishing both Change cut scores and </w:t>
      </w:r>
      <w:r w:rsidR="00D40B46" w:rsidRPr="00FB463B">
        <w:rPr>
          <w:rFonts w:eastAsia="Arial" w:cs="Arial"/>
        </w:rPr>
        <w:t>the five-by-five</w:t>
      </w:r>
      <w:r w:rsidR="00B73B81" w:rsidRPr="00FB463B">
        <w:rPr>
          <w:rFonts w:eastAsia="Arial" w:cs="Arial"/>
        </w:rPr>
        <w:t xml:space="preserve"> </w:t>
      </w:r>
      <w:r w:rsidRPr="00FB463B">
        <w:rPr>
          <w:rFonts w:eastAsia="Arial" w:cs="Arial"/>
        </w:rPr>
        <w:t xml:space="preserve">color </w:t>
      </w:r>
      <w:r w:rsidR="60F2F272" w:rsidRPr="00FB463B">
        <w:rPr>
          <w:rFonts w:eastAsia="Arial" w:cs="Arial"/>
        </w:rPr>
        <w:t xml:space="preserve">grid. </w:t>
      </w:r>
      <w:r w:rsidR="00B34BEB" w:rsidRPr="00FB463B">
        <w:rPr>
          <w:rFonts w:eastAsia="Arial" w:cs="Arial"/>
        </w:rPr>
        <w:t xml:space="preserve">The </w:t>
      </w:r>
      <w:r w:rsidRPr="00FB463B">
        <w:rPr>
          <w:rFonts w:eastAsia="Arial" w:cs="Arial"/>
        </w:rPr>
        <w:t>indicator</w:t>
      </w:r>
      <w:r w:rsidR="00B34BEB" w:rsidRPr="00FB463B">
        <w:rPr>
          <w:rFonts w:eastAsia="Arial" w:cs="Arial"/>
        </w:rPr>
        <w:t xml:space="preserve"> use</w:t>
      </w:r>
      <w:r w:rsidR="00C16E8E" w:rsidRPr="00FB463B">
        <w:rPr>
          <w:rFonts w:eastAsia="Arial" w:cs="Arial"/>
        </w:rPr>
        <w:t>s</w:t>
      </w:r>
      <w:r w:rsidR="00B34BEB" w:rsidRPr="00FB463B">
        <w:rPr>
          <w:rFonts w:eastAsia="Arial" w:cs="Arial"/>
        </w:rPr>
        <w:t xml:space="preserve"> </w:t>
      </w:r>
      <w:r w:rsidR="00DA5355" w:rsidRPr="00FB463B">
        <w:rPr>
          <w:rFonts w:eastAsia="Arial" w:cs="Arial"/>
        </w:rPr>
        <w:t>2020–21, 202</w:t>
      </w:r>
      <w:r w:rsidR="00145B79" w:rsidRPr="00FB463B">
        <w:rPr>
          <w:rFonts w:eastAsia="Arial" w:cs="Arial"/>
        </w:rPr>
        <w:t>1</w:t>
      </w:r>
      <w:r w:rsidR="00DA5355" w:rsidRPr="00FB463B">
        <w:rPr>
          <w:rFonts w:eastAsia="Arial" w:cs="Arial"/>
        </w:rPr>
        <w:t>–2</w:t>
      </w:r>
      <w:r w:rsidR="00145B79" w:rsidRPr="00FB463B">
        <w:rPr>
          <w:rFonts w:eastAsia="Arial" w:cs="Arial"/>
        </w:rPr>
        <w:t>2</w:t>
      </w:r>
      <w:r w:rsidR="00DA5355" w:rsidRPr="00FB463B">
        <w:rPr>
          <w:rFonts w:eastAsia="Arial" w:cs="Arial"/>
        </w:rPr>
        <w:t>, and 202</w:t>
      </w:r>
      <w:r w:rsidR="00145B79" w:rsidRPr="00FB463B">
        <w:rPr>
          <w:rFonts w:eastAsia="Arial" w:cs="Arial"/>
        </w:rPr>
        <w:t>2</w:t>
      </w:r>
      <w:r w:rsidR="00DA5355" w:rsidRPr="00FB463B">
        <w:rPr>
          <w:rFonts w:eastAsia="Arial" w:cs="Arial"/>
        </w:rPr>
        <w:t>–2</w:t>
      </w:r>
      <w:r w:rsidR="00145B79" w:rsidRPr="00FB463B">
        <w:rPr>
          <w:rFonts w:eastAsia="Arial" w:cs="Arial"/>
        </w:rPr>
        <w:t>3</w:t>
      </w:r>
      <w:r w:rsidR="00DA5355" w:rsidRPr="00FB463B">
        <w:rPr>
          <w:rFonts w:eastAsia="Arial" w:cs="Arial"/>
        </w:rPr>
        <w:t xml:space="preserve"> Summative </w:t>
      </w:r>
      <w:r w:rsidR="00145B79" w:rsidRPr="00FB463B">
        <w:rPr>
          <w:rFonts w:eastAsia="Arial" w:cs="Arial"/>
        </w:rPr>
        <w:t>ELPAC results</w:t>
      </w:r>
      <w:r w:rsidR="00433526" w:rsidRPr="00FB463B">
        <w:rPr>
          <w:rFonts w:eastAsia="Arial" w:cs="Arial"/>
        </w:rPr>
        <w:t xml:space="preserve"> to report Status, Change, and overall Performance color for the ELPI on the 2023</w:t>
      </w:r>
      <w:r w:rsidR="00D423B6" w:rsidRPr="00FB463B">
        <w:rPr>
          <w:rFonts w:eastAsia="Arial" w:cs="Arial"/>
        </w:rPr>
        <w:t xml:space="preserve"> Dashboard. </w:t>
      </w:r>
      <w:r w:rsidR="60F2F272" w:rsidRPr="00FB463B">
        <w:rPr>
          <w:rFonts w:eastAsia="Arial" w:cs="Arial"/>
        </w:rPr>
        <w:t xml:space="preserve">Additionally, the CDE </w:t>
      </w:r>
      <w:r w:rsidRPr="00FB463B">
        <w:rPr>
          <w:rFonts w:eastAsia="Arial" w:cs="Arial"/>
        </w:rPr>
        <w:t>proposes to</w:t>
      </w:r>
      <w:r w:rsidR="60F2F272" w:rsidRPr="00FB463B">
        <w:rPr>
          <w:rFonts w:eastAsia="Arial" w:cs="Arial"/>
        </w:rPr>
        <w:t xml:space="preserve"> incorporate the performance of students who take the</w:t>
      </w:r>
      <w:r w:rsidR="00D40B46" w:rsidRPr="00FB463B">
        <w:rPr>
          <w:rFonts w:eastAsia="Arial" w:cs="Arial"/>
        </w:rPr>
        <w:t xml:space="preserve"> Summative Alternate ELPAC</w:t>
      </w:r>
      <w:r w:rsidR="60F2F272" w:rsidRPr="00FB463B">
        <w:rPr>
          <w:rFonts w:eastAsia="Arial" w:cs="Arial"/>
        </w:rPr>
        <w:t xml:space="preserve"> into the ELPI</w:t>
      </w:r>
      <w:r w:rsidR="00D40B46" w:rsidRPr="00FB463B">
        <w:rPr>
          <w:rFonts w:eastAsia="Arial" w:cs="Arial"/>
        </w:rPr>
        <w:t xml:space="preserve"> for the 2023 Dashboard</w:t>
      </w:r>
      <w:r w:rsidR="00C16E8E" w:rsidRPr="00FB463B">
        <w:rPr>
          <w:rFonts w:eastAsia="Arial" w:cs="Arial"/>
        </w:rPr>
        <w:t xml:space="preserve"> as required by </w:t>
      </w:r>
      <w:r w:rsidR="000A5EA3" w:rsidRPr="00FB463B">
        <w:rPr>
          <w:rFonts w:eastAsia="Arial" w:cs="Arial"/>
        </w:rPr>
        <w:t xml:space="preserve">the </w:t>
      </w:r>
      <w:r w:rsidR="00C16E8E" w:rsidRPr="00FB463B">
        <w:rPr>
          <w:rFonts w:eastAsia="Arial" w:cs="Arial"/>
        </w:rPr>
        <w:t>ESSA</w:t>
      </w:r>
      <w:r w:rsidR="60F2F272" w:rsidRPr="00FB463B">
        <w:rPr>
          <w:rFonts w:eastAsia="Arial" w:cs="Arial"/>
        </w:rPr>
        <w:t>.</w:t>
      </w:r>
    </w:p>
    <w:p w14:paraId="7227C681" w14:textId="7F96DC19" w:rsidR="0E6FD0FF" w:rsidRPr="00FB463B" w:rsidRDefault="001A14D4" w:rsidP="3788372A">
      <w:pPr>
        <w:spacing w:after="240"/>
        <w:rPr>
          <w:rFonts w:eastAsiaTheme="majorEastAsia" w:cstheme="majorBidi"/>
          <w:b/>
          <w:bCs/>
          <w:sz w:val="32"/>
          <w:szCs w:val="32"/>
        </w:rPr>
      </w:pPr>
      <w:r w:rsidRPr="00FB463B">
        <w:rPr>
          <w:rFonts w:eastAsiaTheme="majorEastAsia" w:cstheme="majorBidi"/>
          <w:b/>
          <w:bCs/>
          <w:sz w:val="32"/>
          <w:szCs w:val="32"/>
        </w:rPr>
        <w:t>Graduation Rate</w:t>
      </w:r>
    </w:p>
    <w:p w14:paraId="4DC5955C" w14:textId="62EF28D3" w:rsidR="001A14D4" w:rsidRPr="00FB463B" w:rsidRDefault="001A14D4" w:rsidP="00A7789A">
      <w:pPr>
        <w:spacing w:after="240"/>
        <w:rPr>
          <w:rFonts w:eastAsia="Arial" w:cs="Arial"/>
          <w:color w:val="000000" w:themeColor="text1"/>
        </w:rPr>
      </w:pPr>
      <w:r w:rsidRPr="00FB463B">
        <w:rPr>
          <w:rFonts w:eastAsia="Arial" w:cs="Arial"/>
          <w:color w:val="000000" w:themeColor="text1"/>
        </w:rPr>
        <w:t xml:space="preserve">In July 2022, California received a letter from the </w:t>
      </w:r>
      <w:r w:rsidR="00827D35" w:rsidRPr="00FB463B">
        <w:rPr>
          <w:rFonts w:eastAsia="Arial" w:cs="Arial"/>
        </w:rPr>
        <w:t>U.S. Department of Education (ED)</w:t>
      </w:r>
      <w:r w:rsidRPr="00FB463B">
        <w:rPr>
          <w:rFonts w:eastAsia="Arial" w:cs="Arial"/>
          <w:color w:val="000000" w:themeColor="text1"/>
        </w:rPr>
        <w:t xml:space="preserve"> that denied the state's waiver request to continue the use of modified methods for </w:t>
      </w:r>
      <w:r w:rsidR="00277BFD" w:rsidRPr="00FB463B">
        <w:rPr>
          <w:rFonts w:eastAsia="Arial" w:cs="Arial"/>
          <w:color w:val="000000" w:themeColor="text1"/>
        </w:rPr>
        <w:t>Dashboard Alternative School Status (</w:t>
      </w:r>
      <w:r w:rsidRPr="00FB463B">
        <w:rPr>
          <w:rFonts w:eastAsia="Arial" w:cs="Arial"/>
          <w:color w:val="000000" w:themeColor="text1"/>
        </w:rPr>
        <w:t>DASS</w:t>
      </w:r>
      <w:r w:rsidR="00277BFD" w:rsidRPr="00FB463B">
        <w:rPr>
          <w:rFonts w:eastAsia="Arial" w:cs="Arial"/>
          <w:color w:val="000000" w:themeColor="text1"/>
        </w:rPr>
        <w:t>)</w:t>
      </w:r>
      <w:r w:rsidRPr="00FB463B">
        <w:rPr>
          <w:rFonts w:eastAsia="Arial" w:cs="Arial"/>
          <w:color w:val="000000" w:themeColor="text1"/>
        </w:rPr>
        <w:t xml:space="preserve"> schools. The </w:t>
      </w:r>
      <w:r w:rsidR="00530B79" w:rsidRPr="00FB463B">
        <w:rPr>
          <w:rFonts w:eastAsia="Arial" w:cs="Arial"/>
          <w:color w:val="000000" w:themeColor="text1"/>
        </w:rPr>
        <w:t xml:space="preserve">ED </w:t>
      </w:r>
      <w:r w:rsidRPr="00FB463B">
        <w:rPr>
          <w:rFonts w:eastAsia="Arial" w:cs="Arial"/>
          <w:color w:val="000000" w:themeColor="text1"/>
        </w:rPr>
        <w:t>letter described options that could be considered in lieu of using modified methods, such as a multi-year adjusted cohort graduation rate which would give credit to schools when students receive a regular high school diploma within six years or more. The letter further described that any application of a multi-year adjusted cohort graduation rate would need to be universally applied across all high schools and could be used to identify any high school for Comprehensive Support and Improvement (CSI).</w:t>
      </w:r>
      <w:r w:rsidR="00C633B3" w:rsidRPr="00FB463B">
        <w:rPr>
          <w:rFonts w:cs="Arial"/>
          <w:color w:val="000000"/>
          <w:shd w:val="clear" w:color="auto" w:fill="FFFFFF"/>
        </w:rPr>
        <w:t xml:space="preserve"> In </w:t>
      </w:r>
      <w:r w:rsidR="00C633B3" w:rsidRPr="00FB463B">
        <w:rPr>
          <w:rFonts w:eastAsia="Arial" w:cs="Arial"/>
          <w:color w:val="000000" w:themeColor="text1"/>
        </w:rPr>
        <w:t>September 2022, the CDE presented to the SBE short-term and long-term options</w:t>
      </w:r>
      <w:r w:rsidR="00F71F51" w:rsidRPr="00FB463B">
        <w:rPr>
          <w:rFonts w:eastAsia="Arial" w:cs="Arial"/>
          <w:color w:val="000000" w:themeColor="text1"/>
        </w:rPr>
        <w:t>. O</w:t>
      </w:r>
      <w:r w:rsidR="00C633B3" w:rsidRPr="00FB463B">
        <w:rPr>
          <w:rFonts w:eastAsia="Arial" w:cs="Arial"/>
          <w:color w:val="000000" w:themeColor="text1"/>
        </w:rPr>
        <w:t xml:space="preserve">ne </w:t>
      </w:r>
      <w:r w:rsidR="00EE310C" w:rsidRPr="00FB463B">
        <w:rPr>
          <w:rFonts w:eastAsia="Arial" w:cs="Arial"/>
          <w:color w:val="000000" w:themeColor="text1"/>
        </w:rPr>
        <w:t xml:space="preserve">short-term option that the CDE </w:t>
      </w:r>
      <w:r w:rsidR="00C633B3" w:rsidRPr="00FB463B">
        <w:rPr>
          <w:rFonts w:cs="Arial"/>
        </w:rPr>
        <w:t>explor</w:t>
      </w:r>
      <w:r w:rsidR="00EE310C" w:rsidRPr="00FB463B">
        <w:rPr>
          <w:rFonts w:cs="Arial"/>
        </w:rPr>
        <w:t>ed is the use</w:t>
      </w:r>
      <w:r w:rsidR="00C633B3" w:rsidRPr="00FB463B">
        <w:rPr>
          <w:rFonts w:cs="Arial"/>
        </w:rPr>
        <w:t xml:space="preserve"> of a multi-year adjusted cohort graduation rate.</w:t>
      </w:r>
    </w:p>
    <w:p w14:paraId="06D3774A" w14:textId="55B63E40" w:rsidR="001A14D4" w:rsidRPr="00FB463B" w:rsidRDefault="00C633B3" w:rsidP="00A7789A">
      <w:pPr>
        <w:spacing w:after="240"/>
        <w:rPr>
          <w:rFonts w:eastAsia="Arial" w:cs="Arial"/>
          <w:color w:val="000000" w:themeColor="text1"/>
        </w:rPr>
      </w:pPr>
      <w:r w:rsidRPr="00FB463B">
        <w:rPr>
          <w:rFonts w:eastAsia="Arial" w:cs="Arial"/>
          <w:color w:val="000000" w:themeColor="text1"/>
        </w:rPr>
        <w:lastRenderedPageBreak/>
        <w:t xml:space="preserve">The elimination of the DASS one year graduation rate </w:t>
      </w:r>
      <w:r w:rsidR="001A14D4" w:rsidRPr="00FB463B">
        <w:rPr>
          <w:rFonts w:eastAsia="Arial" w:cs="Arial"/>
          <w:color w:val="000000" w:themeColor="text1"/>
        </w:rPr>
        <w:t>result</w:t>
      </w:r>
      <w:r w:rsidR="002E7C93" w:rsidRPr="00FB463B">
        <w:rPr>
          <w:rFonts w:eastAsia="Arial" w:cs="Arial"/>
          <w:color w:val="000000" w:themeColor="text1"/>
        </w:rPr>
        <w:t>ed</w:t>
      </w:r>
      <w:r w:rsidR="001A14D4" w:rsidRPr="00FB463B">
        <w:rPr>
          <w:rFonts w:eastAsia="Arial" w:cs="Arial"/>
          <w:color w:val="000000" w:themeColor="text1"/>
        </w:rPr>
        <w:t xml:space="preserve"> in an overidentification of DASS schools </w:t>
      </w:r>
      <w:r w:rsidR="00E457E0" w:rsidRPr="00FB463B">
        <w:rPr>
          <w:rFonts w:eastAsia="Arial" w:cs="Arial"/>
          <w:color w:val="000000" w:themeColor="text1"/>
        </w:rPr>
        <w:t>for CSI – Low Graduation</w:t>
      </w:r>
      <w:r w:rsidRPr="00FB463B">
        <w:rPr>
          <w:rFonts w:eastAsia="Arial" w:cs="Arial"/>
          <w:color w:val="000000" w:themeColor="text1"/>
        </w:rPr>
        <w:t xml:space="preserve"> on the 2022 Dashboard</w:t>
      </w:r>
      <w:r w:rsidR="00E457E0" w:rsidRPr="00FB463B">
        <w:rPr>
          <w:rFonts w:eastAsia="Arial" w:cs="Arial"/>
          <w:color w:val="000000" w:themeColor="text1"/>
        </w:rPr>
        <w:t xml:space="preserve">. </w:t>
      </w:r>
      <w:proofErr w:type="gramStart"/>
      <w:r w:rsidR="003F2453" w:rsidRPr="00FB463B">
        <w:rPr>
          <w:rFonts w:eastAsia="Arial" w:cs="Arial"/>
          <w:color w:val="000000" w:themeColor="text1"/>
        </w:rPr>
        <w:t>In light of</w:t>
      </w:r>
      <w:proofErr w:type="gramEnd"/>
      <w:r w:rsidR="003F2453" w:rsidRPr="00FB463B">
        <w:rPr>
          <w:rFonts w:eastAsia="Arial" w:cs="Arial"/>
          <w:color w:val="000000" w:themeColor="text1"/>
        </w:rPr>
        <w:t xml:space="preserve"> th</w:t>
      </w:r>
      <w:r w:rsidR="00F9432E" w:rsidRPr="00FB463B">
        <w:rPr>
          <w:rFonts w:eastAsia="Arial" w:cs="Arial"/>
          <w:color w:val="000000" w:themeColor="text1"/>
        </w:rPr>
        <w:t>e</w:t>
      </w:r>
      <w:r w:rsidR="00D657F4" w:rsidRPr="00FB463B">
        <w:rPr>
          <w:rFonts w:eastAsia="Arial" w:cs="Arial"/>
          <w:color w:val="000000" w:themeColor="text1"/>
        </w:rPr>
        <w:t>se results,</w:t>
      </w:r>
      <w:r w:rsidRPr="00FB463B">
        <w:rPr>
          <w:rFonts w:eastAsia="Arial" w:cs="Arial"/>
          <w:color w:val="000000" w:themeColor="text1"/>
        </w:rPr>
        <w:t xml:space="preserve"> and considering the </w:t>
      </w:r>
      <w:r w:rsidR="001538E5" w:rsidRPr="00FB463B">
        <w:rPr>
          <w:rFonts w:eastAsia="Arial" w:cs="Arial"/>
          <w:color w:val="000000" w:themeColor="text1"/>
        </w:rPr>
        <w:t>SBE</w:t>
      </w:r>
      <w:r w:rsidRPr="00FB463B">
        <w:rPr>
          <w:rFonts w:eastAsia="Arial" w:cs="Arial"/>
          <w:color w:val="000000" w:themeColor="text1"/>
        </w:rPr>
        <w:t xml:space="preserve">’s feedback from September 2022, </w:t>
      </w:r>
      <w:r w:rsidR="008F2CA5" w:rsidRPr="00FB463B">
        <w:rPr>
          <w:rFonts w:eastAsia="Arial" w:cs="Arial"/>
          <w:color w:val="000000" w:themeColor="text1"/>
        </w:rPr>
        <w:t xml:space="preserve">the </w:t>
      </w:r>
      <w:r w:rsidR="008F2CA5" w:rsidRPr="00FB463B">
        <w:t xml:space="preserve">2023 </w:t>
      </w:r>
      <w:r w:rsidR="001538E5" w:rsidRPr="00FB463B">
        <w:t>w</w:t>
      </w:r>
      <w:r w:rsidR="008F2CA5" w:rsidRPr="00FB463B">
        <w:t>orkplan</w:t>
      </w:r>
      <w:r w:rsidR="0090745B" w:rsidRPr="00FB463B">
        <w:t xml:space="preserve"> </w:t>
      </w:r>
      <w:r w:rsidR="00B72D30" w:rsidRPr="00FB463B">
        <w:t xml:space="preserve">included </w:t>
      </w:r>
      <w:r w:rsidR="00E95ED6" w:rsidRPr="00FB463B">
        <w:t>a</w:t>
      </w:r>
      <w:r w:rsidR="0014281B" w:rsidRPr="00FB463B">
        <w:t xml:space="preserve"> </w:t>
      </w:r>
      <w:r w:rsidR="008A6CA6" w:rsidRPr="00FB463B">
        <w:t xml:space="preserve">proposal to review the impact of </w:t>
      </w:r>
      <w:r w:rsidR="00491C6D" w:rsidRPr="00FB463B">
        <w:t>a multi</w:t>
      </w:r>
      <w:r w:rsidR="00E95ED6" w:rsidRPr="00FB463B">
        <w:t>-year graduation rate</w:t>
      </w:r>
      <w:r w:rsidR="00865316" w:rsidRPr="00FB463B">
        <w:t xml:space="preserve">. </w:t>
      </w:r>
      <w:r w:rsidR="21A823E0" w:rsidRPr="00FB463B">
        <w:t xml:space="preserve">Simulations were conducted to broaden the current combined methodology, as seen on the Dashboard in the </w:t>
      </w:r>
      <w:r w:rsidR="008E50ED" w:rsidRPr="00FB463B">
        <w:t>four-and five</w:t>
      </w:r>
      <w:r w:rsidR="21A823E0" w:rsidRPr="00FB463B">
        <w:t xml:space="preserve">-year combination rate, to include </w:t>
      </w:r>
      <w:r w:rsidR="55FA9F87" w:rsidRPr="00FB463B">
        <w:t>graduations completed within</w:t>
      </w:r>
      <w:r w:rsidR="21A823E0" w:rsidRPr="00FB463B">
        <w:t xml:space="preserve"> </w:t>
      </w:r>
      <w:r w:rsidR="008E50ED" w:rsidRPr="00FB463B">
        <w:t>six</w:t>
      </w:r>
      <w:r w:rsidR="21A823E0" w:rsidRPr="00FB463B">
        <w:t xml:space="preserve"> or </w:t>
      </w:r>
      <w:r w:rsidR="008E50ED" w:rsidRPr="00FB463B">
        <w:t>seven</w:t>
      </w:r>
      <w:r w:rsidR="21A823E0" w:rsidRPr="00FB463B">
        <w:t xml:space="preserve"> years. </w:t>
      </w:r>
      <w:r w:rsidR="004069FE" w:rsidRPr="00FB463B">
        <w:t xml:space="preserve">The results of the </w:t>
      </w:r>
      <w:r w:rsidR="00243C25" w:rsidRPr="00FB463B">
        <w:t xml:space="preserve">data simulations </w:t>
      </w:r>
      <w:r w:rsidR="00E42A79" w:rsidRPr="00FB463B">
        <w:t>were provided in a June 2023 Information Memorandum</w:t>
      </w:r>
      <w:r w:rsidR="00D36775" w:rsidRPr="00FB463B">
        <w:t xml:space="preserve"> to the SBE</w:t>
      </w:r>
      <w:r w:rsidR="00C5564C" w:rsidRPr="00FB463B">
        <w:t xml:space="preserve">. </w:t>
      </w:r>
      <w:r w:rsidR="00104221" w:rsidRPr="00FB463B">
        <w:t xml:space="preserve">Attachment 1 </w:t>
      </w:r>
      <w:r w:rsidR="00095D34" w:rsidRPr="00FB463B">
        <w:t xml:space="preserve">provides a </w:t>
      </w:r>
      <w:r w:rsidR="00B258D6" w:rsidRPr="00FB463B">
        <w:t xml:space="preserve">summary of the work completed and the feedback received from </w:t>
      </w:r>
      <w:r w:rsidR="00DB50D2" w:rsidRPr="00FB463B">
        <w:t>educational partners.</w:t>
      </w:r>
    </w:p>
    <w:p w14:paraId="3DB3B4FC" w14:textId="51914C74" w:rsidR="001A14D4" w:rsidRPr="00FB463B" w:rsidRDefault="001A14D4" w:rsidP="00B06474">
      <w:pPr>
        <w:spacing w:after="240"/>
      </w:pPr>
      <w:r w:rsidRPr="00FB463B">
        <w:rPr>
          <w:rFonts w:eastAsiaTheme="majorEastAsia" w:cstheme="majorBidi"/>
          <w:b/>
          <w:sz w:val="32"/>
          <w:szCs w:val="32"/>
        </w:rPr>
        <w:t xml:space="preserve">College/Career </w:t>
      </w:r>
      <w:r w:rsidRPr="00FB463B">
        <w:rPr>
          <w:rFonts w:eastAsiaTheme="majorEastAsia" w:cstheme="majorBidi"/>
          <w:b/>
          <w:bCs/>
          <w:sz w:val="32"/>
          <w:szCs w:val="32"/>
        </w:rPr>
        <w:t>Indicator</w:t>
      </w:r>
    </w:p>
    <w:p w14:paraId="00AA9836" w14:textId="15040B9E" w:rsidR="00A13ABE" w:rsidRPr="00FB463B" w:rsidRDefault="00576D84" w:rsidP="00A7789A">
      <w:pPr>
        <w:spacing w:after="240"/>
        <w:rPr>
          <w:rFonts w:eastAsiaTheme="majorEastAsia" w:cstheme="majorBidi"/>
          <w:bCs/>
        </w:rPr>
      </w:pPr>
      <w:r w:rsidRPr="00FB463B">
        <w:rPr>
          <w:rFonts w:eastAsiaTheme="majorEastAsia" w:cstheme="majorBidi"/>
          <w:bCs/>
        </w:rPr>
        <w:t>For t</w:t>
      </w:r>
      <w:r w:rsidR="008C15F3" w:rsidRPr="00FB463B">
        <w:rPr>
          <w:rFonts w:eastAsiaTheme="majorEastAsia" w:cstheme="majorBidi"/>
          <w:bCs/>
        </w:rPr>
        <w:t xml:space="preserve">he </w:t>
      </w:r>
      <w:r w:rsidRPr="00FB463B">
        <w:rPr>
          <w:rFonts w:eastAsiaTheme="majorEastAsia" w:cstheme="majorBidi"/>
          <w:bCs/>
        </w:rPr>
        <w:t>past several years</w:t>
      </w:r>
      <w:r w:rsidR="00C0262C" w:rsidRPr="00FB463B">
        <w:rPr>
          <w:rFonts w:eastAsiaTheme="majorEastAsia" w:cstheme="majorBidi"/>
          <w:bCs/>
        </w:rPr>
        <w:t xml:space="preserve"> the SBE</w:t>
      </w:r>
      <w:r w:rsidR="008A6CA6" w:rsidRPr="00FB463B">
        <w:rPr>
          <w:rFonts w:eastAsiaTheme="majorEastAsia" w:cstheme="majorBidi"/>
          <w:bCs/>
        </w:rPr>
        <w:t xml:space="preserve"> and</w:t>
      </w:r>
      <w:r w:rsidR="000A5EA3" w:rsidRPr="00FB463B">
        <w:rPr>
          <w:rFonts w:eastAsiaTheme="majorEastAsia" w:cstheme="majorBidi"/>
          <w:bCs/>
        </w:rPr>
        <w:t xml:space="preserve"> </w:t>
      </w:r>
      <w:r w:rsidRPr="00FB463B">
        <w:rPr>
          <w:rFonts w:eastAsiaTheme="majorEastAsia" w:cstheme="majorBidi"/>
          <w:bCs/>
        </w:rPr>
        <w:t>CDE ha</w:t>
      </w:r>
      <w:r w:rsidR="008A6CA6" w:rsidRPr="00FB463B">
        <w:rPr>
          <w:rFonts w:eastAsiaTheme="majorEastAsia" w:cstheme="majorBidi"/>
          <w:bCs/>
        </w:rPr>
        <w:t>ve</w:t>
      </w:r>
      <w:r w:rsidR="000A5EA3" w:rsidRPr="00FB463B">
        <w:rPr>
          <w:rFonts w:eastAsiaTheme="majorEastAsia" w:cstheme="majorBidi"/>
          <w:bCs/>
        </w:rPr>
        <w:t xml:space="preserve"> </w:t>
      </w:r>
      <w:r w:rsidRPr="00FB463B">
        <w:rPr>
          <w:rFonts w:eastAsiaTheme="majorEastAsia" w:cstheme="majorBidi"/>
          <w:bCs/>
        </w:rPr>
        <w:t>work</w:t>
      </w:r>
      <w:r w:rsidR="008A6CA6" w:rsidRPr="00FB463B">
        <w:rPr>
          <w:rFonts w:eastAsiaTheme="majorEastAsia" w:cstheme="majorBidi"/>
          <w:bCs/>
        </w:rPr>
        <w:t>ed</w:t>
      </w:r>
      <w:r w:rsidRPr="00FB463B">
        <w:rPr>
          <w:rFonts w:eastAsiaTheme="majorEastAsia" w:cstheme="majorBidi"/>
          <w:bCs/>
        </w:rPr>
        <w:t xml:space="preserve"> </w:t>
      </w:r>
      <w:r w:rsidR="008A6CA6" w:rsidRPr="00FB463B">
        <w:rPr>
          <w:rFonts w:eastAsiaTheme="majorEastAsia" w:cstheme="majorBidi"/>
          <w:bCs/>
        </w:rPr>
        <w:t>to</w:t>
      </w:r>
      <w:r w:rsidRPr="00FB463B">
        <w:rPr>
          <w:rFonts w:eastAsiaTheme="majorEastAsia" w:cstheme="majorBidi"/>
          <w:bCs/>
        </w:rPr>
        <w:t xml:space="preserve"> expand the</w:t>
      </w:r>
      <w:r w:rsidR="00360EFB" w:rsidRPr="00FB463B">
        <w:rPr>
          <w:rFonts w:eastAsiaTheme="majorEastAsia" w:cstheme="majorBidi"/>
          <w:bCs/>
        </w:rPr>
        <w:t xml:space="preserve"> CCI to incorporate more career measures</w:t>
      </w:r>
      <w:r w:rsidR="0090745B" w:rsidRPr="00FB463B">
        <w:rPr>
          <w:rFonts w:eastAsiaTheme="majorEastAsia" w:cstheme="majorBidi"/>
          <w:bCs/>
        </w:rPr>
        <w:t xml:space="preserve"> into the indicator</w:t>
      </w:r>
      <w:r w:rsidR="002139B0" w:rsidRPr="00FB463B">
        <w:rPr>
          <w:rFonts w:eastAsiaTheme="majorEastAsia" w:cstheme="majorBidi"/>
          <w:bCs/>
        </w:rPr>
        <w:t xml:space="preserve">. In </w:t>
      </w:r>
      <w:r w:rsidR="001B509C" w:rsidRPr="00FB463B">
        <w:rPr>
          <w:rFonts w:eastAsiaTheme="majorEastAsia" w:cstheme="majorBidi"/>
          <w:bCs/>
        </w:rPr>
        <w:t xml:space="preserve">September 2020, the SBE approved the following career measures for inclusion into the CCI: (1) </w:t>
      </w:r>
      <w:r w:rsidR="002A6A6C" w:rsidRPr="00FB463B">
        <w:rPr>
          <w:rFonts w:eastAsiaTheme="majorEastAsia" w:cstheme="majorBidi"/>
          <w:bCs/>
        </w:rPr>
        <w:t xml:space="preserve">registered pre-apprenticeships; (2) non-registered pre-apprenticeships; (3) </w:t>
      </w:r>
      <w:r w:rsidR="00DC5E83" w:rsidRPr="00FB463B">
        <w:rPr>
          <w:rFonts w:cs="Arial"/>
          <w:color w:val="000000" w:themeColor="text1"/>
        </w:rPr>
        <w:t xml:space="preserve">State or Federal Job Program; (4) </w:t>
      </w:r>
      <w:r w:rsidR="00DA66C2" w:rsidRPr="00FB463B">
        <w:rPr>
          <w:rFonts w:cs="Arial"/>
          <w:color w:val="000000" w:themeColor="text1"/>
          <w:lang w:val="en"/>
        </w:rPr>
        <w:t xml:space="preserve">Transition Program: Classroom-Based Learning Experiences; and (5) Transition Program: Work-Based Learning Experiences. </w:t>
      </w:r>
      <w:r w:rsidR="00A13ABE" w:rsidRPr="00FB463B">
        <w:rPr>
          <w:rFonts w:eastAsiaTheme="majorEastAsia" w:cstheme="majorBidi"/>
          <w:bCs/>
        </w:rPr>
        <w:t>In</w:t>
      </w:r>
      <w:r w:rsidR="007B0FAB" w:rsidRPr="00FB463B">
        <w:rPr>
          <w:rFonts w:cs="Arial"/>
        </w:rPr>
        <w:t xml:space="preserve"> September 2020, while adopting </w:t>
      </w:r>
      <w:r w:rsidR="00A13ABE" w:rsidRPr="00FB463B">
        <w:t>State Seal of Civic Engagement (SSCE)</w:t>
      </w:r>
      <w:r w:rsidR="00A13ABE" w:rsidRPr="00FB463B">
        <w:rPr>
          <w:rFonts w:eastAsiaTheme="majorEastAsia" w:cstheme="majorBidi"/>
          <w:bCs/>
        </w:rPr>
        <w:t xml:space="preserve"> </w:t>
      </w:r>
      <w:r w:rsidR="007B0FAB" w:rsidRPr="00FB463B">
        <w:rPr>
          <w:rFonts w:cs="Arial"/>
        </w:rPr>
        <w:t xml:space="preserve">statewide criteria, the SBE directed the CDE to incorporate </w:t>
      </w:r>
      <w:r w:rsidR="003816FE" w:rsidRPr="00FB463B">
        <w:rPr>
          <w:rFonts w:cs="Arial"/>
        </w:rPr>
        <w:t>the SSCE</w:t>
      </w:r>
      <w:r w:rsidR="007B0FAB" w:rsidRPr="00FB463B">
        <w:rPr>
          <w:rFonts w:cs="Arial"/>
        </w:rPr>
        <w:t xml:space="preserve"> into the CCI.</w:t>
      </w:r>
      <w:r w:rsidR="00A13ABE" w:rsidRPr="00FB463B">
        <w:rPr>
          <w:rFonts w:eastAsiaTheme="majorEastAsia" w:cstheme="majorBidi"/>
          <w:bCs/>
        </w:rPr>
        <w:t xml:space="preserve"> </w:t>
      </w:r>
      <w:r w:rsidR="008A6CA6" w:rsidRPr="00FB463B">
        <w:rPr>
          <w:rFonts w:eastAsiaTheme="majorEastAsia" w:cstheme="majorBidi"/>
          <w:bCs/>
        </w:rPr>
        <w:t>T</w:t>
      </w:r>
      <w:r w:rsidR="00A13ABE" w:rsidRPr="00FB463B">
        <w:rPr>
          <w:rFonts w:eastAsiaTheme="majorEastAsia" w:cstheme="majorBidi"/>
          <w:bCs/>
        </w:rPr>
        <w:t xml:space="preserve">he CDE began exploring the incorporation </w:t>
      </w:r>
      <w:r w:rsidR="003816FE" w:rsidRPr="00FB463B">
        <w:rPr>
          <w:rFonts w:eastAsiaTheme="majorEastAsia" w:cstheme="majorBidi"/>
          <w:bCs/>
        </w:rPr>
        <w:t xml:space="preserve">of this metric </w:t>
      </w:r>
      <w:r w:rsidR="00A13ABE" w:rsidRPr="00FB463B">
        <w:rPr>
          <w:rFonts w:eastAsiaTheme="majorEastAsia" w:cstheme="majorBidi"/>
          <w:bCs/>
        </w:rPr>
        <w:t xml:space="preserve">and convened a </w:t>
      </w:r>
      <w:r w:rsidR="00A13ABE" w:rsidRPr="00FB463B">
        <w:rPr>
          <w:rFonts w:ascii="Helvetica" w:hAnsi="Helvetica" w:cs="Helvetica"/>
          <w:color w:val="000000"/>
          <w:shd w:val="clear" w:color="auto" w:fill="FFFFFF"/>
        </w:rPr>
        <w:t>Civic Engagement Work Group</w:t>
      </w:r>
      <w:r w:rsidR="00A13ABE" w:rsidRPr="00FB463B">
        <w:rPr>
          <w:rFonts w:eastAsiaTheme="majorEastAsia" w:cstheme="majorBidi"/>
          <w:bCs/>
        </w:rPr>
        <w:t xml:space="preserve"> starting in 2020</w:t>
      </w:r>
      <w:r w:rsidR="00C170FD" w:rsidRPr="00FB463B">
        <w:rPr>
          <w:rFonts w:eastAsiaTheme="majorEastAsia" w:cstheme="majorBidi"/>
          <w:bCs/>
        </w:rPr>
        <w:t>. Th</w:t>
      </w:r>
      <w:r w:rsidR="00BA0FA1" w:rsidRPr="00FB463B">
        <w:rPr>
          <w:rFonts w:eastAsiaTheme="majorEastAsia" w:cstheme="majorBidi"/>
          <w:bCs/>
        </w:rPr>
        <w:t>e</w:t>
      </w:r>
      <w:r w:rsidR="00C170FD" w:rsidRPr="00FB463B">
        <w:rPr>
          <w:rFonts w:eastAsiaTheme="majorEastAsia" w:cstheme="majorBidi"/>
          <w:bCs/>
        </w:rPr>
        <w:t xml:space="preserve"> work</w:t>
      </w:r>
      <w:r w:rsidR="0090745B" w:rsidRPr="00FB463B">
        <w:rPr>
          <w:rFonts w:eastAsiaTheme="majorEastAsia" w:cstheme="majorBidi"/>
          <w:bCs/>
        </w:rPr>
        <w:t xml:space="preserve"> t</w:t>
      </w:r>
      <w:r w:rsidR="00455ED5" w:rsidRPr="00FB463B">
        <w:rPr>
          <w:rFonts w:eastAsiaTheme="majorEastAsia" w:cstheme="majorBidi"/>
          <w:bCs/>
        </w:rPr>
        <w:t xml:space="preserve">o </w:t>
      </w:r>
      <w:r w:rsidR="0090745B" w:rsidRPr="00FB463B">
        <w:rPr>
          <w:rFonts w:eastAsiaTheme="majorEastAsia" w:cstheme="majorBidi"/>
          <w:bCs/>
        </w:rPr>
        <w:t>inclu</w:t>
      </w:r>
      <w:r w:rsidR="00455ED5" w:rsidRPr="00FB463B">
        <w:rPr>
          <w:rFonts w:eastAsiaTheme="majorEastAsia" w:cstheme="majorBidi"/>
          <w:bCs/>
        </w:rPr>
        <w:t>de</w:t>
      </w:r>
      <w:r w:rsidR="0090745B" w:rsidRPr="00FB463B">
        <w:rPr>
          <w:rFonts w:eastAsiaTheme="majorEastAsia" w:cstheme="majorBidi"/>
          <w:bCs/>
        </w:rPr>
        <w:t xml:space="preserve"> this metric in a future Dashboard</w:t>
      </w:r>
      <w:r w:rsidR="00BA0FA1" w:rsidRPr="00FB463B">
        <w:rPr>
          <w:rFonts w:eastAsiaTheme="majorEastAsia" w:cstheme="majorBidi"/>
          <w:bCs/>
        </w:rPr>
        <w:t xml:space="preserve"> continues to </w:t>
      </w:r>
      <w:r w:rsidR="004F4B06" w:rsidRPr="00FB463B">
        <w:rPr>
          <w:rFonts w:eastAsiaTheme="majorEastAsia" w:cstheme="majorBidi"/>
          <w:bCs/>
        </w:rPr>
        <w:t>the present</w:t>
      </w:r>
      <w:r w:rsidR="00BA0FA1" w:rsidRPr="00FB463B">
        <w:rPr>
          <w:rFonts w:eastAsiaTheme="majorEastAsia" w:cstheme="majorBidi"/>
          <w:bCs/>
        </w:rPr>
        <w:t xml:space="preserve"> day</w:t>
      </w:r>
      <w:r w:rsidR="00A13ABE" w:rsidRPr="00FB463B">
        <w:rPr>
          <w:rFonts w:eastAsiaTheme="majorEastAsia" w:cstheme="majorBidi"/>
          <w:bCs/>
        </w:rPr>
        <w:t>.</w:t>
      </w:r>
      <w:r w:rsidR="00A13ABE" w:rsidRPr="00FB463B">
        <w:rPr>
          <w:rFonts w:ascii="Helvetica" w:hAnsi="Helvetica" w:cs="Helvetica"/>
          <w:color w:val="000000"/>
          <w:shd w:val="clear" w:color="auto" w:fill="FFFFFF"/>
        </w:rPr>
        <w:t xml:space="preserve"> </w:t>
      </w:r>
      <w:r w:rsidR="008C15F3" w:rsidRPr="00FB463B">
        <w:rPr>
          <w:rFonts w:eastAsiaTheme="majorEastAsia" w:cstheme="majorBidi"/>
          <w:bCs/>
        </w:rPr>
        <w:t xml:space="preserve">Beginning in 2020–21, </w:t>
      </w:r>
      <w:r w:rsidR="0004466C" w:rsidRPr="00FB463B">
        <w:rPr>
          <w:rFonts w:eastAsiaTheme="majorEastAsia" w:cstheme="majorBidi"/>
          <w:bCs/>
        </w:rPr>
        <w:t>after developing additional care</w:t>
      </w:r>
      <w:r w:rsidR="002955B2" w:rsidRPr="00FB463B">
        <w:rPr>
          <w:rFonts w:eastAsiaTheme="majorEastAsia" w:cstheme="majorBidi"/>
          <w:bCs/>
        </w:rPr>
        <w:t xml:space="preserve">er measures with </w:t>
      </w:r>
      <w:r w:rsidR="0008672E" w:rsidRPr="00FB463B">
        <w:rPr>
          <w:rFonts w:eastAsiaTheme="majorEastAsia" w:cstheme="majorBidi"/>
          <w:bCs/>
        </w:rPr>
        <w:t xml:space="preserve">our educational partners, </w:t>
      </w:r>
      <w:r w:rsidR="008C15F3" w:rsidRPr="00FB463B">
        <w:rPr>
          <w:rFonts w:eastAsiaTheme="majorEastAsia" w:cstheme="majorBidi"/>
          <w:bCs/>
        </w:rPr>
        <w:t>the CDE began collecting data on the following four new career measures</w:t>
      </w:r>
      <w:r w:rsidR="0008672E" w:rsidRPr="00FB463B">
        <w:rPr>
          <w:rFonts w:eastAsiaTheme="majorEastAsia" w:cstheme="majorBidi"/>
          <w:bCs/>
        </w:rPr>
        <w:t xml:space="preserve">: (1) internships; (2) student-led enterprise; (3) simulated work-based learning; and (4) </w:t>
      </w:r>
      <w:r w:rsidR="0008672E" w:rsidRPr="00FB463B">
        <w:rPr>
          <w:rFonts w:eastAsiaTheme="majorEastAsia" w:cstheme="majorBidi"/>
        </w:rPr>
        <w:t xml:space="preserve">Armed </w:t>
      </w:r>
      <w:r w:rsidR="0076432C" w:rsidRPr="00FB463B">
        <w:rPr>
          <w:rFonts w:eastAsiaTheme="majorEastAsia" w:cstheme="majorBidi"/>
          <w:bCs/>
        </w:rPr>
        <w:t>Services Vocational Aptitude Battery</w:t>
      </w:r>
      <w:r w:rsidR="00B62198" w:rsidRPr="00FB463B">
        <w:rPr>
          <w:rFonts w:eastAsiaTheme="majorEastAsia" w:cstheme="majorBidi"/>
          <w:bCs/>
        </w:rPr>
        <w:t xml:space="preserve"> (ASV</w:t>
      </w:r>
      <w:r w:rsidR="00EF57AA" w:rsidRPr="00FB463B">
        <w:rPr>
          <w:rFonts w:eastAsiaTheme="majorEastAsia" w:cstheme="majorBidi"/>
          <w:bCs/>
        </w:rPr>
        <w:t>AB).</w:t>
      </w:r>
    </w:p>
    <w:p w14:paraId="69EE69C1" w14:textId="238AD4A4" w:rsidR="002D308A" w:rsidRPr="00FB463B" w:rsidRDefault="008A6CA6" w:rsidP="00A7789A">
      <w:pPr>
        <w:spacing w:after="240"/>
        <w:rPr>
          <w:rFonts w:cs="Arial"/>
          <w:color w:val="000000" w:themeColor="text1"/>
        </w:rPr>
      </w:pPr>
      <w:r w:rsidRPr="00FB463B">
        <w:rPr>
          <w:rFonts w:ascii="Helvetica" w:hAnsi="Helvetica" w:cs="Helvetica"/>
          <w:color w:val="000000"/>
          <w:shd w:val="clear" w:color="auto" w:fill="FFFFFF"/>
        </w:rPr>
        <w:t>The 2023 workplan</w:t>
      </w:r>
      <w:r w:rsidR="00296577" w:rsidRPr="00FB463B">
        <w:rPr>
          <w:rFonts w:ascii="Helvetica" w:hAnsi="Helvetica" w:cs="Helvetica"/>
          <w:color w:val="000000"/>
          <w:shd w:val="clear" w:color="auto" w:fill="FFFFFF"/>
        </w:rPr>
        <w:t xml:space="preserve"> included the</w:t>
      </w:r>
      <w:r w:rsidR="00466216" w:rsidRPr="00FB463B">
        <w:rPr>
          <w:rFonts w:ascii="Helvetica" w:hAnsi="Helvetica" w:cs="Helvetica"/>
          <w:color w:val="000000"/>
          <w:shd w:val="clear" w:color="auto" w:fill="FFFFFF"/>
        </w:rPr>
        <w:t>: (1)</w:t>
      </w:r>
      <w:r w:rsidR="00296577" w:rsidRPr="00FB463B">
        <w:rPr>
          <w:rFonts w:ascii="Helvetica" w:hAnsi="Helvetica" w:cs="Helvetica"/>
          <w:color w:val="000000"/>
          <w:shd w:val="clear" w:color="auto" w:fill="FFFFFF"/>
        </w:rPr>
        <w:t xml:space="preserve"> </w:t>
      </w:r>
      <w:r w:rsidR="00296577" w:rsidRPr="00FB463B">
        <w:rPr>
          <w:rFonts w:ascii="Helvetica" w:eastAsiaTheme="majorEastAsia" w:hAnsi="Helvetica" w:cs="Helvetica"/>
          <w:color w:val="000000"/>
          <w:shd w:val="clear" w:color="auto" w:fill="FFFFFF"/>
        </w:rPr>
        <w:t xml:space="preserve">review of </w:t>
      </w:r>
      <w:r w:rsidR="009A35A3" w:rsidRPr="00FB463B">
        <w:rPr>
          <w:rFonts w:eastAsiaTheme="majorEastAsia" w:cstheme="majorBidi"/>
          <w:bCs/>
        </w:rPr>
        <w:t>data for</w:t>
      </w:r>
      <w:r w:rsidR="00296577" w:rsidRPr="00FB463B">
        <w:rPr>
          <w:rFonts w:eastAsiaTheme="majorEastAsia" w:cstheme="majorBidi"/>
          <w:bCs/>
        </w:rPr>
        <w:t xml:space="preserve"> the</w:t>
      </w:r>
      <w:r w:rsidR="009A35A3" w:rsidRPr="00FB463B">
        <w:rPr>
          <w:rFonts w:eastAsiaTheme="majorEastAsia" w:cstheme="majorBidi"/>
          <w:bCs/>
        </w:rPr>
        <w:t xml:space="preserve"> four new career measures</w:t>
      </w:r>
      <w:r w:rsidR="00466216" w:rsidRPr="00FB463B">
        <w:rPr>
          <w:rFonts w:eastAsiaTheme="majorEastAsia" w:cstheme="majorBidi"/>
          <w:bCs/>
        </w:rPr>
        <w:t xml:space="preserve"> mentioned above</w:t>
      </w:r>
      <w:r w:rsidR="009A35A3" w:rsidRPr="00FB463B">
        <w:rPr>
          <w:rFonts w:eastAsiaTheme="majorEastAsia" w:cstheme="majorBidi"/>
          <w:bCs/>
        </w:rPr>
        <w:t xml:space="preserve">, </w:t>
      </w:r>
      <w:r w:rsidR="00466216" w:rsidRPr="00FB463B">
        <w:rPr>
          <w:rFonts w:eastAsiaTheme="majorEastAsia" w:cstheme="majorBidi"/>
          <w:bCs/>
        </w:rPr>
        <w:t xml:space="preserve">(2) </w:t>
      </w:r>
      <w:r w:rsidR="00296577" w:rsidRPr="00FB463B">
        <w:rPr>
          <w:rFonts w:eastAsiaTheme="majorEastAsia" w:cstheme="majorBidi"/>
          <w:bCs/>
        </w:rPr>
        <w:t xml:space="preserve">the </w:t>
      </w:r>
      <w:r w:rsidR="006732EC" w:rsidRPr="00FB463B">
        <w:rPr>
          <w:rFonts w:eastAsiaTheme="majorEastAsia" w:cstheme="majorBidi"/>
          <w:bCs/>
        </w:rPr>
        <w:t xml:space="preserve">continued </w:t>
      </w:r>
      <w:r w:rsidR="002D3129" w:rsidRPr="00FB463B">
        <w:rPr>
          <w:rFonts w:eastAsiaTheme="majorEastAsia" w:cstheme="majorBidi"/>
          <w:bCs/>
        </w:rPr>
        <w:t xml:space="preserve">work on </w:t>
      </w:r>
      <w:r w:rsidR="00E80466" w:rsidRPr="00FB463B">
        <w:rPr>
          <w:rFonts w:eastAsiaTheme="majorEastAsia" w:cstheme="majorBidi"/>
          <w:bCs/>
        </w:rPr>
        <w:t xml:space="preserve">exploring </w:t>
      </w:r>
      <w:r w:rsidR="00676716" w:rsidRPr="00FB463B">
        <w:rPr>
          <w:rFonts w:eastAsiaTheme="majorEastAsia" w:cstheme="majorBidi"/>
          <w:bCs/>
        </w:rPr>
        <w:t xml:space="preserve">the development of a </w:t>
      </w:r>
      <w:r w:rsidR="00E80466" w:rsidRPr="00FB463B">
        <w:rPr>
          <w:rFonts w:eastAsiaTheme="majorEastAsia" w:cstheme="majorBidi"/>
          <w:bCs/>
        </w:rPr>
        <w:t xml:space="preserve">civic engagement </w:t>
      </w:r>
      <w:r w:rsidR="00676716" w:rsidRPr="00FB463B">
        <w:rPr>
          <w:rFonts w:eastAsiaTheme="majorEastAsia" w:cstheme="majorBidi"/>
          <w:bCs/>
        </w:rPr>
        <w:t xml:space="preserve">measure </w:t>
      </w:r>
      <w:r w:rsidR="00E80466" w:rsidRPr="00FB463B">
        <w:rPr>
          <w:rFonts w:eastAsiaTheme="majorEastAsia" w:cstheme="majorBidi"/>
          <w:bCs/>
        </w:rPr>
        <w:t xml:space="preserve">as well as </w:t>
      </w:r>
      <w:r w:rsidR="00676716" w:rsidRPr="00FB463B">
        <w:rPr>
          <w:rFonts w:eastAsiaTheme="majorEastAsia" w:cstheme="majorBidi"/>
          <w:bCs/>
        </w:rPr>
        <w:t xml:space="preserve">an </w:t>
      </w:r>
      <w:r w:rsidR="00E80466" w:rsidRPr="00FB463B">
        <w:rPr>
          <w:rFonts w:eastAsiaTheme="majorEastAsia" w:cstheme="majorBidi"/>
          <w:bCs/>
        </w:rPr>
        <w:t>industry certification</w:t>
      </w:r>
      <w:r w:rsidR="00676716" w:rsidRPr="00FB463B">
        <w:rPr>
          <w:rFonts w:eastAsiaTheme="majorEastAsia" w:cstheme="majorBidi"/>
          <w:bCs/>
        </w:rPr>
        <w:t xml:space="preserve"> measure</w:t>
      </w:r>
      <w:r w:rsidR="00673914" w:rsidRPr="00FB463B">
        <w:rPr>
          <w:rFonts w:eastAsiaTheme="majorEastAsia" w:cstheme="majorBidi"/>
          <w:bCs/>
        </w:rPr>
        <w:t xml:space="preserve">, and </w:t>
      </w:r>
      <w:r w:rsidR="00676716" w:rsidRPr="00FB463B">
        <w:rPr>
          <w:rFonts w:eastAsiaTheme="majorEastAsia" w:cstheme="majorBidi"/>
          <w:bCs/>
        </w:rPr>
        <w:t xml:space="preserve">(3) </w:t>
      </w:r>
      <w:r w:rsidR="00673914" w:rsidRPr="00FB463B">
        <w:rPr>
          <w:rFonts w:eastAsiaTheme="majorEastAsia" w:cstheme="majorBidi"/>
          <w:bCs/>
        </w:rPr>
        <w:t>the review of existing CCI measures</w:t>
      </w:r>
      <w:r w:rsidR="0035323C" w:rsidRPr="00FB463B">
        <w:rPr>
          <w:rFonts w:eastAsiaTheme="majorEastAsia" w:cstheme="majorBidi"/>
          <w:bCs/>
        </w:rPr>
        <w:t xml:space="preserve">, especially on </w:t>
      </w:r>
      <w:r w:rsidR="00C30138" w:rsidRPr="00FB463B">
        <w:rPr>
          <w:rFonts w:eastAsiaTheme="majorEastAsia" w:cstheme="majorBidi"/>
          <w:bCs/>
        </w:rPr>
        <w:t xml:space="preserve">how schools have been able to implement </w:t>
      </w:r>
      <w:r w:rsidR="0035323C" w:rsidRPr="00FB463B">
        <w:rPr>
          <w:rFonts w:eastAsiaTheme="majorEastAsia" w:cstheme="majorBidi"/>
          <w:bCs/>
        </w:rPr>
        <w:t>career</w:t>
      </w:r>
      <w:r w:rsidR="00C30138" w:rsidRPr="00FB463B">
        <w:rPr>
          <w:rFonts w:eastAsiaTheme="majorEastAsia" w:cstheme="majorBidi"/>
          <w:bCs/>
        </w:rPr>
        <w:t xml:space="preserve"> programs in light of </w:t>
      </w:r>
      <w:r w:rsidR="00FF076C" w:rsidRPr="00FB463B">
        <w:rPr>
          <w:rFonts w:eastAsiaTheme="majorEastAsia" w:cstheme="majorBidi"/>
          <w:bCs/>
        </w:rPr>
        <w:t xml:space="preserve">the COVID-19 pandemic and </w:t>
      </w:r>
      <w:r w:rsidR="00F12750" w:rsidRPr="00FB463B">
        <w:rPr>
          <w:rFonts w:eastAsiaTheme="majorEastAsia" w:cstheme="majorBidi"/>
          <w:bCs/>
        </w:rPr>
        <w:t xml:space="preserve">the </w:t>
      </w:r>
      <w:r w:rsidR="006F5A3A" w:rsidRPr="00FB463B">
        <w:rPr>
          <w:rFonts w:eastAsiaTheme="majorEastAsia" w:cstheme="majorBidi"/>
          <w:bCs/>
        </w:rPr>
        <w:t xml:space="preserve">ever-evolving changes to work-based learning activities. </w:t>
      </w:r>
      <w:r w:rsidR="00ED19D5" w:rsidRPr="00FB463B">
        <w:rPr>
          <w:rFonts w:cs="Arial"/>
          <w:color w:val="000000" w:themeColor="text1"/>
        </w:rPr>
        <w:t xml:space="preserve">Attachment 1 contains </w:t>
      </w:r>
      <w:r w:rsidR="009F0364" w:rsidRPr="00FB463B">
        <w:rPr>
          <w:rFonts w:cs="Arial"/>
          <w:color w:val="000000" w:themeColor="text1"/>
        </w:rPr>
        <w:t xml:space="preserve">an update </w:t>
      </w:r>
      <w:r w:rsidR="005E1873" w:rsidRPr="00FB463B">
        <w:rPr>
          <w:rFonts w:cs="Arial"/>
          <w:color w:val="000000" w:themeColor="text1"/>
        </w:rPr>
        <w:t>on th</w:t>
      </w:r>
      <w:r w:rsidR="004962A6" w:rsidRPr="00FB463B">
        <w:rPr>
          <w:rFonts w:cs="Arial"/>
          <w:color w:val="000000" w:themeColor="text1"/>
        </w:rPr>
        <w:t>ese activities</w:t>
      </w:r>
      <w:r w:rsidR="005E1873" w:rsidRPr="00FB463B">
        <w:rPr>
          <w:rFonts w:cs="Arial"/>
          <w:color w:val="000000" w:themeColor="text1"/>
        </w:rPr>
        <w:t>.</w:t>
      </w:r>
    </w:p>
    <w:p w14:paraId="574BFD34" w14:textId="4209A204" w:rsidR="002D308A" w:rsidRPr="00FB463B" w:rsidRDefault="172D9B5D" w:rsidP="00A7789A">
      <w:pPr>
        <w:spacing w:after="240"/>
        <w:rPr>
          <w:rFonts w:eastAsiaTheme="majorEastAsia" w:cstheme="majorBidi"/>
          <w:b/>
          <w:bCs/>
          <w:sz w:val="32"/>
          <w:szCs w:val="32"/>
        </w:rPr>
      </w:pPr>
      <w:r w:rsidRPr="00FB463B">
        <w:rPr>
          <w:rFonts w:eastAsiaTheme="majorEastAsia" w:cstheme="majorBidi"/>
          <w:b/>
          <w:bCs/>
          <w:sz w:val="32"/>
          <w:szCs w:val="32"/>
        </w:rPr>
        <w:t>Chronic Absenteeism Indicator</w:t>
      </w:r>
    </w:p>
    <w:p w14:paraId="7F93951F" w14:textId="68531FB7" w:rsidR="6386A697" w:rsidRPr="00FB463B" w:rsidRDefault="6386A697" w:rsidP="004962A6">
      <w:pPr>
        <w:spacing w:after="160"/>
        <w:rPr>
          <w:rFonts w:eastAsia="Arial" w:cs="Arial"/>
        </w:rPr>
      </w:pPr>
      <w:r w:rsidRPr="00FB463B">
        <w:rPr>
          <w:rFonts w:eastAsia="Arial" w:cs="Arial"/>
          <w:color w:val="000000" w:themeColor="text1"/>
        </w:rPr>
        <w:t>At the July 2023 SBE meeting, the 2023 workplan</w:t>
      </w:r>
      <w:r w:rsidR="005E1873" w:rsidRPr="00FB463B">
        <w:rPr>
          <w:rFonts w:eastAsia="Arial" w:cs="Arial"/>
          <w:color w:val="000000" w:themeColor="text1"/>
        </w:rPr>
        <w:t xml:space="preserve"> was re-opened to discuss options for modifying</w:t>
      </w:r>
      <w:r w:rsidRPr="00FB463B">
        <w:rPr>
          <w:rFonts w:eastAsia="Arial" w:cs="Arial"/>
          <w:color w:val="000000" w:themeColor="text1"/>
        </w:rPr>
        <w:t xml:space="preserve"> the Chronic Absenteeism Indicator</w:t>
      </w:r>
      <w:r w:rsidRPr="00FB463B">
        <w:rPr>
          <w:rFonts w:eastAsia="Arial" w:cs="Arial"/>
        </w:rPr>
        <w:t>.</w:t>
      </w:r>
      <w:r w:rsidR="1EDA90AB" w:rsidRPr="00FB463B">
        <w:rPr>
          <w:rFonts w:eastAsia="Arial" w:cs="Arial"/>
        </w:rPr>
        <w:t xml:space="preserve"> Currently, the Chronic Absenteeism Indicator</w:t>
      </w:r>
      <w:r w:rsidR="2559D948" w:rsidRPr="00FB463B">
        <w:rPr>
          <w:rFonts w:eastAsia="Arial" w:cs="Arial"/>
        </w:rPr>
        <w:t xml:space="preserve"> is</w:t>
      </w:r>
      <w:r w:rsidR="1EDA90AB" w:rsidRPr="00FB463B">
        <w:rPr>
          <w:rFonts w:eastAsia="Arial" w:cs="Arial"/>
        </w:rPr>
        <w:t xml:space="preserve"> </w:t>
      </w:r>
      <w:r w:rsidR="4F03BE65" w:rsidRPr="00FB463B">
        <w:rPr>
          <w:rFonts w:eastAsia="Arial" w:cs="Arial"/>
        </w:rPr>
        <w:t>defined as the percentage of students who were absent for 10 percent or more of the instructional days they were expected to attend</w:t>
      </w:r>
      <w:r w:rsidR="005E1873" w:rsidRPr="00FB463B">
        <w:rPr>
          <w:rFonts w:eastAsia="Arial" w:cs="Arial"/>
        </w:rPr>
        <w:t xml:space="preserve"> for any reason</w:t>
      </w:r>
      <w:r w:rsidR="1EDA90AB" w:rsidRPr="00FB463B">
        <w:rPr>
          <w:rFonts w:eastAsia="Arial" w:cs="Arial"/>
        </w:rPr>
        <w:t>.</w:t>
      </w:r>
      <w:r w:rsidR="07F6CFF7" w:rsidRPr="00FB463B">
        <w:rPr>
          <w:rFonts w:eastAsia="Arial" w:cs="Arial"/>
        </w:rPr>
        <w:t xml:space="preserve"> </w:t>
      </w:r>
      <w:r w:rsidR="005E1873" w:rsidRPr="00FB463B">
        <w:rPr>
          <w:rFonts w:eastAsia="Arial" w:cs="Arial"/>
        </w:rPr>
        <w:t>T</w:t>
      </w:r>
      <w:r w:rsidRPr="00FB463B">
        <w:rPr>
          <w:rFonts w:eastAsia="Arial" w:cs="Arial"/>
        </w:rPr>
        <w:t>he SBE directed the CDE</w:t>
      </w:r>
      <w:r w:rsidR="2BE9D2F1" w:rsidRPr="00FB463B">
        <w:rPr>
          <w:rFonts w:eastAsia="Arial" w:cs="Arial"/>
        </w:rPr>
        <w:t xml:space="preserve"> to explore the disaggregation of reasons for student absences collected </w:t>
      </w:r>
      <w:r w:rsidR="3D5D5BF2" w:rsidRPr="00FB463B">
        <w:rPr>
          <w:rFonts w:eastAsia="Arial" w:cs="Arial"/>
        </w:rPr>
        <w:t>by CALPADS</w:t>
      </w:r>
      <w:r w:rsidR="2BE9D2F1" w:rsidRPr="00FB463B">
        <w:rPr>
          <w:rFonts w:eastAsia="Arial" w:cs="Arial"/>
        </w:rPr>
        <w:t xml:space="preserve"> and</w:t>
      </w:r>
      <w:r w:rsidRPr="00FB463B">
        <w:rPr>
          <w:rFonts w:eastAsia="Arial" w:cs="Arial"/>
        </w:rPr>
        <w:t xml:space="preserve"> </w:t>
      </w:r>
      <w:r w:rsidR="005E1873" w:rsidRPr="00FB463B">
        <w:rPr>
          <w:rFonts w:eastAsia="Arial" w:cs="Arial"/>
        </w:rPr>
        <w:t xml:space="preserve">in the short term, </w:t>
      </w:r>
      <w:r w:rsidRPr="00FB463B">
        <w:rPr>
          <w:rFonts w:eastAsia="Arial" w:cs="Arial"/>
        </w:rPr>
        <w:t xml:space="preserve">to place a link on the Dashboard to the Absenteeism by Reason report on CDE’s data reporting website, </w:t>
      </w:r>
      <w:proofErr w:type="spellStart"/>
      <w:r w:rsidRPr="00FB463B">
        <w:rPr>
          <w:rFonts w:eastAsia="Arial" w:cs="Arial"/>
        </w:rPr>
        <w:t>DataQuest</w:t>
      </w:r>
      <w:proofErr w:type="spellEnd"/>
      <w:r w:rsidRPr="00FB463B">
        <w:rPr>
          <w:rFonts w:eastAsia="Arial" w:cs="Arial"/>
        </w:rPr>
        <w:t>.</w:t>
      </w:r>
    </w:p>
    <w:p w14:paraId="6B44BBA7" w14:textId="5F8EEF0F" w:rsidR="002D308A" w:rsidRPr="00FB463B" w:rsidRDefault="172D9B5D" w:rsidP="004962A6">
      <w:pPr>
        <w:spacing w:after="240"/>
        <w:rPr>
          <w:rFonts w:eastAsia="Arial" w:cs="Arial"/>
        </w:rPr>
      </w:pPr>
      <w:r w:rsidRPr="00FB463B">
        <w:rPr>
          <w:rFonts w:eastAsia="Arial" w:cs="Arial"/>
        </w:rPr>
        <w:t xml:space="preserve">The CDE solicited feedback from the California Practitioners Advisory Group </w:t>
      </w:r>
      <w:r w:rsidR="7348A273" w:rsidRPr="00FB463B">
        <w:rPr>
          <w:rFonts w:eastAsia="Arial" w:cs="Arial"/>
        </w:rPr>
        <w:t xml:space="preserve">at their August 2023 meeting </w:t>
      </w:r>
      <w:r w:rsidR="005E1873" w:rsidRPr="00FB463B">
        <w:rPr>
          <w:rFonts w:eastAsia="Arial" w:cs="Arial"/>
        </w:rPr>
        <w:t>regarding</w:t>
      </w:r>
      <w:r w:rsidRPr="00FB463B">
        <w:rPr>
          <w:rFonts w:eastAsia="Arial" w:cs="Arial"/>
        </w:rPr>
        <w:t xml:space="preserve"> the link to the </w:t>
      </w:r>
      <w:r w:rsidR="5E1094B2" w:rsidRPr="00FB463B">
        <w:rPr>
          <w:rFonts w:eastAsia="Arial" w:cs="Arial"/>
        </w:rPr>
        <w:t xml:space="preserve">Absenteeism by Reason </w:t>
      </w:r>
      <w:r w:rsidRPr="00FB463B">
        <w:rPr>
          <w:rFonts w:eastAsia="Arial" w:cs="Arial"/>
        </w:rPr>
        <w:t>report</w:t>
      </w:r>
      <w:r w:rsidR="7E69A9C5" w:rsidRPr="00FB463B">
        <w:rPr>
          <w:rFonts w:eastAsia="Arial" w:cs="Arial"/>
        </w:rPr>
        <w:t xml:space="preserve"> on </w:t>
      </w:r>
      <w:proofErr w:type="spellStart"/>
      <w:r w:rsidR="7E69A9C5" w:rsidRPr="00FB463B">
        <w:rPr>
          <w:rFonts w:eastAsia="Arial" w:cs="Arial"/>
        </w:rPr>
        <w:lastRenderedPageBreak/>
        <w:t>DataQuest</w:t>
      </w:r>
      <w:proofErr w:type="spellEnd"/>
      <w:r w:rsidRPr="00FB463B">
        <w:rPr>
          <w:rFonts w:eastAsia="Arial" w:cs="Arial"/>
        </w:rPr>
        <w:t>. The propos</w:t>
      </w:r>
      <w:r w:rsidR="005E1873" w:rsidRPr="00FB463B">
        <w:rPr>
          <w:rFonts w:eastAsia="Arial" w:cs="Arial"/>
        </w:rPr>
        <w:t>al on adding</w:t>
      </w:r>
      <w:r w:rsidRPr="00FB463B">
        <w:rPr>
          <w:rFonts w:eastAsia="Arial" w:cs="Arial"/>
        </w:rPr>
        <w:t xml:space="preserve"> the </w:t>
      </w:r>
      <w:proofErr w:type="spellStart"/>
      <w:r w:rsidRPr="00FB463B">
        <w:rPr>
          <w:rFonts w:eastAsia="Arial" w:cs="Arial"/>
        </w:rPr>
        <w:t>DataQuest</w:t>
      </w:r>
      <w:proofErr w:type="spellEnd"/>
      <w:r w:rsidRPr="00FB463B">
        <w:rPr>
          <w:rFonts w:eastAsia="Arial" w:cs="Arial"/>
        </w:rPr>
        <w:t xml:space="preserve"> report and link are presented in Attachment 1</w:t>
      </w:r>
      <w:r w:rsidR="0C99B0F1" w:rsidRPr="00FB463B">
        <w:rPr>
          <w:rFonts w:eastAsia="Arial" w:cs="Arial"/>
        </w:rPr>
        <w:t>.</w:t>
      </w:r>
    </w:p>
    <w:p w14:paraId="6F6C6D98" w14:textId="01522F40" w:rsidR="009B4376" w:rsidRPr="00FB463B" w:rsidRDefault="009B4376" w:rsidP="004962A6">
      <w:pPr>
        <w:spacing w:after="240"/>
        <w:rPr>
          <w:rFonts w:eastAsia="Arial" w:cs="Arial"/>
          <w:b/>
          <w:bCs/>
          <w:sz w:val="32"/>
          <w:szCs w:val="32"/>
        </w:rPr>
      </w:pPr>
      <w:r w:rsidRPr="00FB463B">
        <w:rPr>
          <w:rFonts w:eastAsia="Arial" w:cs="Arial"/>
          <w:b/>
          <w:bCs/>
          <w:sz w:val="32"/>
          <w:szCs w:val="32"/>
        </w:rPr>
        <w:t>Every Student Succeeds Act</w:t>
      </w:r>
    </w:p>
    <w:p w14:paraId="1D3C929B" w14:textId="38BC2F9C" w:rsidR="00B65003" w:rsidRPr="00FB463B" w:rsidRDefault="00B65003" w:rsidP="00AB19DA">
      <w:pPr>
        <w:spacing w:after="240"/>
        <w:rPr>
          <w:rFonts w:cs="Arial"/>
        </w:rPr>
      </w:pPr>
      <w:r w:rsidRPr="00FB463B">
        <w:rPr>
          <w:rFonts w:cs="Arial"/>
        </w:rPr>
        <w:t>ESSA was signed into law by President Barack Obama on December 10, 2015, and went into effect in the 2017–18 school year. The ESSA reauthorize</w:t>
      </w:r>
      <w:r w:rsidR="00AB19DA" w:rsidRPr="00FB463B">
        <w:rPr>
          <w:rFonts w:cs="Arial"/>
        </w:rPr>
        <w:t>d</w:t>
      </w:r>
      <w:r w:rsidRPr="00FB463B">
        <w:rPr>
          <w:rFonts w:cs="Arial"/>
        </w:rPr>
        <w:t xml:space="preserve"> the ESEA, the nation’s federal education law, and replaces the No Child Left Behind Act (NCLB). The SBE most recently submitted an amendment for California’s ESSA State Plan in November 2021. The ESSA State Plan was subsequently approved by the U.S. Department of Education in January 2022 and is available on the ESSA webpage at </w:t>
      </w:r>
      <w:hyperlink r:id="rId17" w:history="1">
        <w:r w:rsidR="00312DE1" w:rsidRPr="00FB463B">
          <w:rPr>
            <w:rStyle w:val="Hyperlink"/>
            <w:rFonts w:eastAsiaTheme="majorEastAsia" w:cs="Arial"/>
          </w:rPr>
          <w:t>https://www.cde.ca.gov/essa</w:t>
        </w:r>
      </w:hyperlink>
      <w:r w:rsidRPr="00FB463B">
        <w:rPr>
          <w:rFonts w:cs="Arial"/>
        </w:rPr>
        <w:t>.</w:t>
      </w:r>
    </w:p>
    <w:p w14:paraId="32A56F34" w14:textId="77777777" w:rsidR="004C307D" w:rsidRPr="00FB463B" w:rsidRDefault="004C307D" w:rsidP="004C307D">
      <w:pPr>
        <w:pStyle w:val="NormalWeb"/>
        <w:shd w:val="clear" w:color="auto" w:fill="FFFFFF"/>
        <w:spacing w:before="0" w:beforeAutospacing="0" w:after="240" w:afterAutospacing="0"/>
        <w:rPr>
          <w:rFonts w:ascii="Helvetica" w:hAnsi="Helvetica" w:cs="Helvetica"/>
          <w:color w:val="000000"/>
        </w:rPr>
      </w:pPr>
      <w:r w:rsidRPr="00FB463B">
        <w:rPr>
          <w:rFonts w:ascii="Helvetica" w:hAnsi="Helvetica" w:cs="Helvetica"/>
          <w:color w:val="000000"/>
        </w:rPr>
        <w:t>In December 2021, ED released the 2021–22 Addendum Template for the Consolidated State Plan due to COVID-19 to provide states a streamlined process to modify state plans for the 2021–22 school year as they implement accountability and school identification requirements under section 1111 of the ESEA to make accountability determinations and identify schools in Fall 2022.</w:t>
      </w:r>
    </w:p>
    <w:p w14:paraId="0954D04A" w14:textId="3B30530D" w:rsidR="009B4376" w:rsidRPr="00FB463B" w:rsidRDefault="004C307D" w:rsidP="00011666">
      <w:pPr>
        <w:pStyle w:val="NormalWeb"/>
        <w:shd w:val="clear" w:color="auto" w:fill="FFFFFF"/>
        <w:spacing w:before="0" w:beforeAutospacing="0" w:after="240" w:afterAutospacing="0"/>
        <w:rPr>
          <w:rFonts w:eastAsia="Arial" w:cs="Arial"/>
          <w:b/>
          <w:bCs/>
          <w:sz w:val="32"/>
          <w:szCs w:val="32"/>
        </w:rPr>
      </w:pPr>
      <w:r w:rsidRPr="00FB463B">
        <w:rPr>
          <w:rFonts w:ascii="Helvetica" w:hAnsi="Helvetica" w:cs="Helvetica"/>
          <w:color w:val="000000"/>
        </w:rPr>
        <w:t>On March 9, 2022, the SBE approved California’s submission to ED of the 2021–22 Addendum Template for the Consolidated State Plan due to COVID-19. The purpose of th</w:t>
      </w:r>
      <w:r w:rsidR="003F32F9" w:rsidRPr="00FB463B">
        <w:rPr>
          <w:rFonts w:ascii="Helvetica" w:hAnsi="Helvetica" w:cs="Helvetica"/>
          <w:color w:val="000000"/>
        </w:rPr>
        <w:t>e</w:t>
      </w:r>
      <w:r w:rsidRPr="00FB463B">
        <w:rPr>
          <w:rFonts w:ascii="Helvetica" w:hAnsi="Helvetica" w:cs="Helvetica"/>
          <w:color w:val="000000"/>
        </w:rPr>
        <w:t xml:space="preserve"> addendum </w:t>
      </w:r>
      <w:r w:rsidR="003F32F9" w:rsidRPr="00FB463B">
        <w:rPr>
          <w:rFonts w:ascii="Helvetica" w:hAnsi="Helvetica" w:cs="Helvetica"/>
          <w:color w:val="000000"/>
        </w:rPr>
        <w:t>wa</w:t>
      </w:r>
      <w:r w:rsidRPr="00FB463B">
        <w:rPr>
          <w:rFonts w:ascii="Helvetica" w:hAnsi="Helvetica" w:cs="Helvetica"/>
          <w:color w:val="000000"/>
        </w:rPr>
        <w:t>s to provide states a streamlined process to modify state plans for the 2021–22 school year as they implement</w:t>
      </w:r>
      <w:r w:rsidR="003F32F9" w:rsidRPr="00FB463B">
        <w:rPr>
          <w:rFonts w:ascii="Helvetica" w:hAnsi="Helvetica" w:cs="Helvetica"/>
          <w:color w:val="000000"/>
        </w:rPr>
        <w:t>ed</w:t>
      </w:r>
      <w:r w:rsidRPr="00FB463B">
        <w:rPr>
          <w:rFonts w:ascii="Helvetica" w:hAnsi="Helvetica" w:cs="Helvetica"/>
          <w:color w:val="000000"/>
        </w:rPr>
        <w:t xml:space="preserve"> accountability and school identification requirements under the ESEA in Fall 2022. ED formally approved California’s submission of the 2021–22 Addendum Template for the Consolidated State Plan due to COVID-19 on August 12, 2022.</w:t>
      </w:r>
      <w:r w:rsidR="00FC6908" w:rsidRPr="00FB463B">
        <w:rPr>
          <w:rFonts w:ascii="Helvetica" w:hAnsi="Helvetica" w:cs="Helvetica"/>
          <w:color w:val="000000"/>
        </w:rPr>
        <w:t xml:space="preserve"> The overview of the proposed amendments is provided in Attachment 2 and the full State Plan is included in Attachment 3.</w:t>
      </w:r>
    </w:p>
    <w:p w14:paraId="78AD2666" w14:textId="303B1D5B" w:rsidR="00287D20" w:rsidRPr="00FB463B" w:rsidRDefault="003E4DF7" w:rsidP="5A98B660">
      <w:pPr>
        <w:pStyle w:val="Heading2"/>
        <w:spacing w:before="0" w:after="240"/>
      </w:pPr>
      <w:r w:rsidRPr="00FB463B">
        <w:t>Summary of Previous State Board of Education Discussion and Action</w:t>
      </w:r>
    </w:p>
    <w:p w14:paraId="64B83BAE" w14:textId="45D2F347" w:rsidR="004A68BF" w:rsidRPr="00FB463B" w:rsidRDefault="004A68BF" w:rsidP="0081393D">
      <w:pPr>
        <w:pStyle w:val="Heading3"/>
      </w:pPr>
      <w:r w:rsidRPr="00FB463B">
        <w:t>California Science Test Results</w:t>
      </w:r>
    </w:p>
    <w:p w14:paraId="0AD65C34" w14:textId="7A15544D" w:rsidR="004A68BF" w:rsidRPr="00FB463B" w:rsidRDefault="004A68BF" w:rsidP="0074456B">
      <w:pPr>
        <w:spacing w:after="240"/>
        <w:rPr>
          <w:rFonts w:eastAsia="Arial" w:cs="Arial"/>
          <w:u w:val="single"/>
        </w:rPr>
      </w:pPr>
      <w:r w:rsidRPr="00FB463B">
        <w:rPr>
          <w:rFonts w:eastAsia="Calibri" w:cs="Arial"/>
          <w:szCs w:val="22"/>
        </w:rPr>
        <w:t>In March 2020, the SBE received the annual Dashboard update, which included potential revisions that the CDE was considering for the Dashboard beyond 2020</w:t>
      </w:r>
      <w:r w:rsidR="007634C2" w:rsidRPr="00FB463B">
        <w:rPr>
          <w:rFonts w:eastAsia="Calibri" w:cs="Arial"/>
          <w:szCs w:val="22"/>
        </w:rPr>
        <w:t xml:space="preserve">, including the inclusion of the </w:t>
      </w:r>
      <w:r w:rsidRPr="00FB463B">
        <w:rPr>
          <w:rFonts w:eastAsia="Calibri" w:cs="Arial"/>
          <w:szCs w:val="22"/>
        </w:rPr>
        <w:t xml:space="preserve">science </w:t>
      </w:r>
      <w:r w:rsidR="007634C2" w:rsidRPr="00FB463B">
        <w:rPr>
          <w:rFonts w:eastAsia="Calibri" w:cs="Arial"/>
          <w:szCs w:val="22"/>
        </w:rPr>
        <w:t xml:space="preserve">assessment </w:t>
      </w:r>
      <w:r w:rsidRPr="00FB463B">
        <w:rPr>
          <w:rFonts w:eastAsia="Calibri" w:cs="Arial"/>
          <w:szCs w:val="22"/>
        </w:rPr>
        <w:t>results (</w:t>
      </w:r>
      <w:hyperlink r:id="rId18" w:tooltip="California State Board March 2020 Item" w:history="1">
        <w:r w:rsidRPr="00FB463B">
          <w:rPr>
            <w:rFonts w:eastAsia="Arial" w:cs="Arial"/>
            <w:color w:val="0000FF"/>
            <w:u w:val="single"/>
          </w:rPr>
          <w:t>https://www.cde.ca.gov/be/ag/ag/yr20/documents/mar20item05.docx</w:t>
        </w:r>
      </w:hyperlink>
      <w:r w:rsidRPr="00FB463B">
        <w:rPr>
          <w:rFonts w:eastAsia="Arial" w:cs="Arial"/>
        </w:rPr>
        <w:t>)</w:t>
      </w:r>
      <w:r w:rsidR="009F2E78" w:rsidRPr="00FB463B">
        <w:rPr>
          <w:rFonts w:eastAsia="Arial" w:cs="Arial"/>
        </w:rPr>
        <w:t>.</w:t>
      </w:r>
    </w:p>
    <w:p w14:paraId="5C9BF022" w14:textId="62BD0C35" w:rsidR="004A68BF" w:rsidRPr="00FB463B" w:rsidRDefault="004A68BF" w:rsidP="0074456B">
      <w:pPr>
        <w:spacing w:after="240"/>
        <w:rPr>
          <w:rFonts w:eastAsia="Calibri" w:cs="Arial"/>
          <w:szCs w:val="22"/>
        </w:rPr>
      </w:pPr>
      <w:r w:rsidRPr="00FB463B">
        <w:rPr>
          <w:rFonts w:eastAsia="Calibri" w:cs="Arial"/>
          <w:szCs w:val="22"/>
        </w:rPr>
        <w:t>In March 2022, the CDE provided an update on the feasibility of when the science results could be incorporated into the Dashboard given the low participation on the science test during 2020–21, the use of the revised blueprint for the 2021–22 administration of the California Science Test (CAST), and the gaps in implementing the science instructional materials due to the challenges that schools faced because of COVID-19. (</w:t>
      </w:r>
      <w:hyperlink r:id="rId19" w:tooltip="California State Board March 2022 Item" w:history="1">
        <w:r w:rsidRPr="00FB463B">
          <w:rPr>
            <w:rFonts w:eastAsia="Arial" w:cs="Arial"/>
            <w:color w:val="0000FF"/>
            <w:u w:val="single"/>
          </w:rPr>
          <w:t>https://www.cde.ca.gov/be/ag/ag/yr22/documents/mar22item04.docx</w:t>
        </w:r>
      </w:hyperlink>
      <w:r w:rsidRPr="00FB463B">
        <w:rPr>
          <w:rFonts w:eastAsia="Calibri" w:cs="Arial"/>
          <w:szCs w:val="22"/>
        </w:rPr>
        <w:t>).</w:t>
      </w:r>
    </w:p>
    <w:p w14:paraId="0498922A" w14:textId="77777777" w:rsidR="00C57C96" w:rsidRPr="00FB463B" w:rsidRDefault="00C57C96" w:rsidP="0074456B">
      <w:pPr>
        <w:pStyle w:val="Heading3"/>
      </w:pPr>
      <w:r w:rsidRPr="00FB463B">
        <w:lastRenderedPageBreak/>
        <w:t>Student Growth Model</w:t>
      </w:r>
    </w:p>
    <w:p w14:paraId="6C2BFBB2" w14:textId="279F693C" w:rsidR="00C57C96" w:rsidRPr="00FB463B" w:rsidRDefault="00C57C96" w:rsidP="0074456B">
      <w:pPr>
        <w:spacing w:after="240"/>
        <w:rPr>
          <w:rFonts w:eastAsia="Calibri" w:cs="Arial"/>
          <w:szCs w:val="22"/>
        </w:rPr>
      </w:pPr>
      <w:r w:rsidRPr="00FB463B">
        <w:rPr>
          <w:rFonts w:eastAsia="Calibri" w:cs="Arial"/>
          <w:szCs w:val="22"/>
        </w:rPr>
        <w:t>In a June 2016 Information Memorandum, the CDE provided a progress update and clarified key issues related to the design of a school- and district-level accountability model, as opposed to reporting individual student-level growth and performance (</w:t>
      </w:r>
      <w:hyperlink r:id="rId20" w:tooltip="June 2016 Information Memorandum" w:history="1">
        <w:r w:rsidRPr="00FB463B">
          <w:rPr>
            <w:rFonts w:eastAsia="Calibri" w:cs="Arial"/>
            <w:color w:val="0000FF"/>
            <w:szCs w:val="22"/>
            <w:u w:val="single"/>
          </w:rPr>
          <w:t>https://www.cde.ca.gov/be/pn/im/documents/memo-dsib-amard-jun16item01.doc</w:t>
        </w:r>
      </w:hyperlink>
      <w:r w:rsidRPr="00FB463B">
        <w:rPr>
          <w:rFonts w:eastAsia="Calibri" w:cs="Arial"/>
          <w:color w:val="0000FF"/>
          <w:szCs w:val="22"/>
          <w:u w:val="single"/>
        </w:rPr>
        <w:t>)</w:t>
      </w:r>
      <w:r w:rsidRPr="00FB463B">
        <w:rPr>
          <w:rFonts w:eastAsia="Calibri" w:cs="Arial"/>
          <w:szCs w:val="22"/>
        </w:rPr>
        <w:t>.</w:t>
      </w:r>
    </w:p>
    <w:p w14:paraId="6E63BC78" w14:textId="30891A0E" w:rsidR="00C57C96" w:rsidRPr="00FB463B" w:rsidRDefault="00C57C96" w:rsidP="0074456B">
      <w:pPr>
        <w:spacing w:after="240"/>
        <w:rPr>
          <w:rFonts w:eastAsia="Calibri" w:cs="Arial"/>
          <w:szCs w:val="22"/>
        </w:rPr>
      </w:pPr>
      <w:r w:rsidRPr="00FB463B">
        <w:rPr>
          <w:rFonts w:eastAsia="Calibri" w:cs="Arial"/>
          <w:szCs w:val="22"/>
        </w:rPr>
        <w:t>In February 2016, the SBE received an Information Memorandum that provided an overview of student-level growth models that can be used to communicate Smarter Balanced Summative Assessment results (</w:t>
      </w:r>
      <w:hyperlink r:id="rId21" w:tooltip="Smarter Balanced Summative Assessment results" w:history="1">
        <w:r w:rsidRPr="00FB463B">
          <w:rPr>
            <w:rFonts w:eastAsia="Calibri" w:cs="Arial"/>
            <w:color w:val="0000FF"/>
            <w:szCs w:val="22"/>
            <w:u w:val="single"/>
          </w:rPr>
          <w:t>https://www.cde.ca.gov/be/pn/im/documents/memo-dsib-amard-feb16item01.doc</w:t>
        </w:r>
      </w:hyperlink>
      <w:r w:rsidRPr="00FB463B">
        <w:rPr>
          <w:rFonts w:eastAsia="Calibri" w:cs="Arial"/>
          <w:szCs w:val="22"/>
        </w:rPr>
        <w:t>).</w:t>
      </w:r>
    </w:p>
    <w:p w14:paraId="03423B83" w14:textId="11E72D2A" w:rsidR="00C57C96" w:rsidRPr="00FB463B" w:rsidRDefault="00C57C96" w:rsidP="0074456B">
      <w:pPr>
        <w:spacing w:after="240"/>
        <w:rPr>
          <w:rFonts w:eastAsia="Calibri" w:cs="Arial"/>
          <w:szCs w:val="22"/>
        </w:rPr>
      </w:pPr>
      <w:r w:rsidRPr="00FB463B">
        <w:rPr>
          <w:rFonts w:eastAsia="Calibri" w:cs="Arial"/>
          <w:szCs w:val="22"/>
        </w:rPr>
        <w:t>In January 2017, the SBE discussed criteria for selecting a growth model used for school and district accountability (</w:t>
      </w:r>
      <w:hyperlink r:id="rId22" w:tooltip="January 2017 SBE Meeting" w:history="1">
        <w:r w:rsidRPr="00FB463B">
          <w:rPr>
            <w:rFonts w:eastAsia="Calibri" w:cs="Arial"/>
            <w:color w:val="0000FF"/>
            <w:szCs w:val="22"/>
            <w:u w:val="single"/>
          </w:rPr>
          <w:t>https://www.cde.ca.gov/be/ag/ag/yr17/documents/jan17item02.doc</w:t>
        </w:r>
      </w:hyperlink>
      <w:r w:rsidRPr="00FB463B">
        <w:rPr>
          <w:rFonts w:eastAsia="Calibri" w:cs="Arial"/>
          <w:szCs w:val="22"/>
        </w:rPr>
        <w:t>).</w:t>
      </w:r>
    </w:p>
    <w:p w14:paraId="1EF1C411" w14:textId="38792519" w:rsidR="00C57C96" w:rsidRPr="00FB463B" w:rsidRDefault="00C57C96" w:rsidP="0074456B">
      <w:pPr>
        <w:spacing w:after="240"/>
        <w:rPr>
          <w:rFonts w:eastAsia="Calibri" w:cs="Arial"/>
          <w:szCs w:val="22"/>
        </w:rPr>
      </w:pPr>
      <w:r w:rsidRPr="00FB463B">
        <w:rPr>
          <w:rFonts w:eastAsia="Calibri" w:cs="Arial"/>
          <w:szCs w:val="22"/>
        </w:rPr>
        <w:t>Following the SBE discussion in January 2017, the CDE further consulted with Educational Testing Service (ETS), the Technical Design Group, the California Assessment of Student Performance and Progress (CAASPP)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23" w:tooltip="June 2017 Information Memorandum" w:history="1">
        <w:r w:rsidRPr="00FB463B">
          <w:rPr>
            <w:rFonts w:eastAsia="Calibri" w:cs="Arial"/>
            <w:color w:val="0000FF"/>
            <w:szCs w:val="22"/>
            <w:u w:val="single"/>
          </w:rPr>
          <w:t>https://www.cde.ca.gov/be/pn/im/documents/memo-asb-adad-jun17item03.doc</w:t>
        </w:r>
      </w:hyperlink>
      <w:r w:rsidRPr="00FB463B">
        <w:rPr>
          <w:rFonts w:eastAsia="Calibri" w:cs="Arial"/>
          <w:szCs w:val="22"/>
        </w:rPr>
        <w:t>).</w:t>
      </w:r>
    </w:p>
    <w:p w14:paraId="3BFB91DA" w14:textId="11ED727F" w:rsidR="00C57C96" w:rsidRPr="00FB463B" w:rsidRDefault="00C57C96" w:rsidP="0074456B">
      <w:pPr>
        <w:spacing w:after="240"/>
        <w:rPr>
          <w:rFonts w:eastAsia="Calibri" w:cs="Arial"/>
          <w:szCs w:val="22"/>
        </w:rPr>
      </w:pPr>
      <w:r w:rsidRPr="00FB463B">
        <w:rPr>
          <w:rFonts w:eastAsia="Calibri" w:cs="Arial"/>
          <w:szCs w:val="22"/>
        </w:rPr>
        <w:t>In February 2018, the SBE received an Information Memorandum with the results of the ETS Growth Study, which provided a statistical analysis of three proposed growth models (</w:t>
      </w:r>
      <w:hyperlink r:id="rId24" w:tooltip="February 2018 Information Memorandum" w:history="1">
        <w:r w:rsidRPr="00FB463B">
          <w:rPr>
            <w:rFonts w:cs="Arial"/>
            <w:color w:val="0000FF"/>
            <w:szCs w:val="22"/>
            <w:u w:val="single"/>
          </w:rPr>
          <w:t>https://www.cde.ca.gov/be/pn/im/documents/memo-pptb-amard-feb18item01.docx</w:t>
        </w:r>
      </w:hyperlink>
      <w:r w:rsidRPr="00FB463B">
        <w:rPr>
          <w:rFonts w:eastAsia="Calibri" w:cs="Arial"/>
          <w:szCs w:val="22"/>
        </w:rPr>
        <w:t>).</w:t>
      </w:r>
    </w:p>
    <w:p w14:paraId="3D17223A" w14:textId="2EA2BA28" w:rsidR="00C57C96" w:rsidRPr="00FB463B" w:rsidRDefault="00C57C96" w:rsidP="0074456B">
      <w:pPr>
        <w:spacing w:after="240"/>
        <w:rPr>
          <w:rFonts w:eastAsia="Calibri" w:cs="Arial"/>
          <w:szCs w:val="22"/>
        </w:rPr>
      </w:pPr>
      <w:r w:rsidRPr="00FB463B">
        <w:rPr>
          <w:rFonts w:eastAsia="Calibri" w:cs="Arial"/>
          <w:szCs w:val="22"/>
        </w:rPr>
        <w:t>In May 2018, the SBE reviewed analyses of the three student-level growth models conducted by ETS and directed the CDE to further explore the Residual Gain model for possible inclusion in the Dashboard (</w:t>
      </w:r>
      <w:hyperlink r:id="rId25" w:tooltip="March 2018 SBE Meeting" w:history="1">
        <w:r w:rsidRPr="00FB463B">
          <w:rPr>
            <w:rFonts w:cs="Arial"/>
            <w:color w:val="0000FF"/>
            <w:szCs w:val="22"/>
            <w:u w:val="single"/>
          </w:rPr>
          <w:t>https://www.cde.ca.gov/be/ag/ag/yr18/documents/may18item02.docx</w:t>
        </w:r>
      </w:hyperlink>
      <w:r w:rsidRPr="00FB463B">
        <w:rPr>
          <w:rFonts w:eastAsia="Calibri" w:cs="Arial"/>
          <w:szCs w:val="22"/>
        </w:rPr>
        <w:t>).</w:t>
      </w:r>
    </w:p>
    <w:p w14:paraId="3B88D03B" w14:textId="7BEAE021" w:rsidR="00C57C96" w:rsidRPr="00FB463B" w:rsidRDefault="00C57C96" w:rsidP="0074456B">
      <w:pPr>
        <w:spacing w:after="240"/>
        <w:rPr>
          <w:rFonts w:eastAsia="Calibri" w:cs="Arial"/>
          <w:szCs w:val="22"/>
        </w:rPr>
      </w:pPr>
      <w:r w:rsidRPr="00FB463B">
        <w:rPr>
          <w:rFonts w:eastAsia="Calibri" w:cs="Arial"/>
          <w:szCs w:val="22"/>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26" w:tooltip="July 2018 SBE Meeting" w:history="1">
        <w:r w:rsidRPr="00FB463B">
          <w:rPr>
            <w:rFonts w:cs="Arial"/>
            <w:color w:val="0000FF"/>
            <w:szCs w:val="22"/>
            <w:u w:val="single"/>
          </w:rPr>
          <w:t>https://www.cde.ca.gov/be/ag/ag/yr18/documents/jul18item01.docx</w:t>
        </w:r>
      </w:hyperlink>
      <w:r w:rsidRPr="00FB463B">
        <w:rPr>
          <w:rFonts w:eastAsia="Calibri" w:cs="Arial"/>
          <w:szCs w:val="22"/>
        </w:rPr>
        <w:t>).</w:t>
      </w:r>
    </w:p>
    <w:p w14:paraId="0AA93404" w14:textId="18C6FE3D" w:rsidR="00C57C96" w:rsidRPr="00FB463B" w:rsidRDefault="00C57C96" w:rsidP="0074456B">
      <w:pPr>
        <w:spacing w:before="240" w:after="240"/>
        <w:rPr>
          <w:rFonts w:eastAsia="Calibri" w:cs="Arial"/>
          <w:szCs w:val="22"/>
        </w:rPr>
      </w:pPr>
      <w:r w:rsidRPr="00FB463B">
        <w:rPr>
          <w:rFonts w:eastAsia="Calibri" w:cs="Arial"/>
          <w:color w:val="000000"/>
          <w:szCs w:val="22"/>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27" w:tooltip="February 209 Information Memorandum" w:history="1">
        <w:r w:rsidRPr="00FB463B">
          <w:rPr>
            <w:rFonts w:cs="Arial"/>
            <w:color w:val="0000FF"/>
            <w:szCs w:val="22"/>
            <w:u w:val="single"/>
          </w:rPr>
          <w:t>https://www.cde.ca.gov/be/pn/im/documents/memo-pptb-amard-feb19item03.docx</w:t>
        </w:r>
      </w:hyperlink>
      <w:r w:rsidRPr="00FB463B">
        <w:rPr>
          <w:rFonts w:eastAsia="Calibri" w:cs="Arial"/>
          <w:color w:val="000000"/>
          <w:szCs w:val="22"/>
        </w:rPr>
        <w:t>).</w:t>
      </w:r>
    </w:p>
    <w:p w14:paraId="183D22FF" w14:textId="00FA1B06" w:rsidR="00C57C96" w:rsidRPr="00FB463B" w:rsidRDefault="00C57C96" w:rsidP="0074456B">
      <w:pPr>
        <w:spacing w:before="240" w:after="240"/>
        <w:rPr>
          <w:rFonts w:eastAsia="Calibri" w:cs="Arial"/>
          <w:color w:val="000000"/>
          <w:szCs w:val="22"/>
        </w:rPr>
      </w:pPr>
      <w:r w:rsidRPr="00FB463B">
        <w:rPr>
          <w:rFonts w:eastAsia="Calibri" w:cs="Arial"/>
          <w:color w:val="000000"/>
          <w:szCs w:val="22"/>
        </w:rPr>
        <w:lastRenderedPageBreak/>
        <w:t>In April 2019, the SBE received an Information Memorandum, providing a summary of the second growth model stakeholder feedback group meeting (</w:t>
      </w:r>
      <w:hyperlink r:id="rId28" w:tooltip="April 2019 Information Memorandum" w:history="1">
        <w:r w:rsidRPr="00FB463B">
          <w:rPr>
            <w:rFonts w:cs="Arial"/>
            <w:color w:val="0000FF"/>
            <w:szCs w:val="22"/>
            <w:u w:val="single"/>
          </w:rPr>
          <w:t>https://www.cde.ca.gov/be/pn/im/documents/memo-pptb-amard-apr19item02.docx</w:t>
        </w:r>
      </w:hyperlink>
      <w:r w:rsidRPr="00FB463B">
        <w:rPr>
          <w:rFonts w:eastAsia="Calibri" w:cs="Arial"/>
          <w:color w:val="000000"/>
          <w:szCs w:val="22"/>
        </w:rPr>
        <w:t>).</w:t>
      </w:r>
    </w:p>
    <w:p w14:paraId="7C74442F" w14:textId="2EC53BF7" w:rsidR="00C57C96" w:rsidRPr="00FB463B" w:rsidRDefault="00C57C96" w:rsidP="0074456B">
      <w:pPr>
        <w:spacing w:before="240" w:after="240"/>
        <w:rPr>
          <w:rFonts w:eastAsia="Calibri" w:cs="Arial"/>
          <w:color w:val="000000"/>
          <w:szCs w:val="22"/>
        </w:rPr>
      </w:pPr>
      <w:r w:rsidRPr="00FB463B">
        <w:rPr>
          <w:rFonts w:eastAsia="Calibri" w:cs="Arial"/>
          <w:color w:val="000000"/>
          <w:szCs w:val="22"/>
        </w:rPr>
        <w:t>In November 2019, the SBE received an Information Memorandum, providing a summary of the growth model stakeholder feedback group process (</w:t>
      </w:r>
      <w:hyperlink r:id="rId29" w:tooltip="November 2019 Information Memorandum" w:history="1">
        <w:r w:rsidRPr="00FB463B">
          <w:rPr>
            <w:rFonts w:cs="Arial"/>
            <w:color w:val="0000FF"/>
            <w:szCs w:val="22"/>
            <w:u w:val="single"/>
            <w:shd w:val="clear" w:color="auto" w:fill="FFFFFF"/>
          </w:rPr>
          <w:t>https://www.cde.ca.gov/be/pn/im/documents/nov19memoamard01.docx</w:t>
        </w:r>
      </w:hyperlink>
      <w:r w:rsidRPr="00FB463B">
        <w:rPr>
          <w:rFonts w:eastAsia="Calibri" w:cs="Arial"/>
          <w:color w:val="000000"/>
          <w:szCs w:val="22"/>
        </w:rPr>
        <w:t>).</w:t>
      </w:r>
    </w:p>
    <w:p w14:paraId="1368BE15" w14:textId="597D4A03" w:rsidR="00C57C96" w:rsidRPr="00FB463B" w:rsidRDefault="00C57C96" w:rsidP="0074456B">
      <w:pPr>
        <w:spacing w:after="100" w:afterAutospacing="1"/>
        <w:rPr>
          <w:rFonts w:eastAsia="Calibri" w:cs="Arial"/>
          <w:szCs w:val="22"/>
        </w:rPr>
      </w:pPr>
      <w:r w:rsidRPr="00FB463B">
        <w:rPr>
          <w:rFonts w:eastAsia="Calibri" w:cs="Arial"/>
          <w:color w:val="000000" w:themeColor="text1"/>
        </w:rPr>
        <w:t xml:space="preserve">At the March 2020 meeting, the SBE directed the CDE to provide a presentation at the May 2020 meeting regarding the work conducted to date on the development of a student-level growth model. </w:t>
      </w:r>
      <w:r w:rsidR="7396C725" w:rsidRPr="00FB463B">
        <w:rPr>
          <w:rFonts w:eastAsia="Calibri" w:cs="Arial"/>
          <w:color w:val="000000" w:themeColor="text1"/>
        </w:rPr>
        <w:t>Due to the national health crisis, this presentation was postponed until the July 2020 SBE meeting (</w:t>
      </w:r>
      <w:hyperlink r:id="rId30" w:tooltip="March 2020 SBE Meeting">
        <w:r w:rsidR="7396C725" w:rsidRPr="00FB463B">
          <w:rPr>
            <w:rFonts w:cs="Arial"/>
            <w:color w:val="0000FF"/>
            <w:u w:val="single"/>
          </w:rPr>
          <w:t>https://www.cde.ca.gov/be/ag/ag/yr20/documents/mar20item05.docx</w:t>
        </w:r>
      </w:hyperlink>
      <w:r w:rsidR="7396C725" w:rsidRPr="00FB463B">
        <w:rPr>
          <w:rFonts w:eastAsia="Calibri" w:cs="Arial"/>
        </w:rPr>
        <w:t>).</w:t>
      </w:r>
    </w:p>
    <w:p w14:paraId="3450DA9C" w14:textId="28C6F1FE" w:rsidR="00C57C96" w:rsidRPr="00FB463B" w:rsidRDefault="7396C725" w:rsidP="0074456B">
      <w:pPr>
        <w:spacing w:after="100" w:afterAutospacing="1"/>
        <w:rPr>
          <w:rFonts w:eastAsia="Calibri" w:cs="Arial"/>
        </w:rPr>
      </w:pPr>
      <w:r w:rsidRPr="00FB463B">
        <w:rPr>
          <w:rFonts w:eastAsia="Calibri" w:cs="Arial"/>
          <w:color w:val="000000" w:themeColor="text1"/>
        </w:rPr>
        <w:t xml:space="preserve">In June 2020, the SBE received an Information Memorandum, </w:t>
      </w:r>
      <w:r w:rsidRPr="00FB463B">
        <w:rPr>
          <w:rFonts w:eastAsia="Calibri" w:cs="Arial"/>
        </w:rPr>
        <w:t>providing the history and background on the student growth model work to date (</w:t>
      </w:r>
      <w:hyperlink r:id="rId31" w:tooltip="June 2020 SBE Information Memorandum">
        <w:r w:rsidRPr="00FB463B">
          <w:rPr>
            <w:rStyle w:val="Hyperlink"/>
            <w:rFonts w:cs="Arial"/>
          </w:rPr>
          <w:t>https://www.cde.ca.gov/be/pn/im/documents/memo-imb-amard-june20item01.docx</w:t>
        </w:r>
      </w:hyperlink>
      <w:r w:rsidRPr="00FB463B">
        <w:rPr>
          <w:rFonts w:eastAsia="Calibri" w:cs="Arial"/>
        </w:rPr>
        <w:t>).</w:t>
      </w:r>
    </w:p>
    <w:p w14:paraId="1CDF683E" w14:textId="7962E3EB" w:rsidR="00C57C96" w:rsidRPr="00FB463B" w:rsidRDefault="00C57C96" w:rsidP="0074456B">
      <w:pPr>
        <w:spacing w:after="100" w:afterAutospacing="1"/>
        <w:rPr>
          <w:rFonts w:eastAsia="Calibri" w:cs="Arial"/>
        </w:rPr>
      </w:pPr>
      <w:r w:rsidRPr="00FB463B">
        <w:rPr>
          <w:rFonts w:eastAsia="Calibri" w:cs="Arial"/>
        </w:rPr>
        <w:t>At the July 2020 SBE meeting, the CDE provided a presentation regarding the work conducted to data on the development of a student-level growth model (</w:t>
      </w:r>
      <w:hyperlink r:id="rId32" w:tooltip="July 2020 SBE Meeting">
        <w:r w:rsidR="7396C725" w:rsidRPr="00FB463B">
          <w:rPr>
            <w:rStyle w:val="Hyperlink"/>
            <w:rFonts w:cs="Arial"/>
          </w:rPr>
          <w:t>https://www.cde.ca.gov/be/ag/ag/yr20/documents/jul20item02.docx</w:t>
        </w:r>
      </w:hyperlink>
      <w:r w:rsidRPr="00FB463B">
        <w:rPr>
          <w:rFonts w:eastAsia="Calibri" w:cs="Arial"/>
        </w:rPr>
        <w:t>).</w:t>
      </w:r>
    </w:p>
    <w:p w14:paraId="41AED6A2" w14:textId="460B3DA4" w:rsidR="00C57C96" w:rsidRPr="00FB463B" w:rsidRDefault="00C57C96" w:rsidP="0074456B">
      <w:pPr>
        <w:spacing w:after="240"/>
        <w:rPr>
          <w:rFonts w:eastAsia="Calibri" w:cs="Arial"/>
        </w:rPr>
      </w:pPr>
      <w:r w:rsidRPr="00FB463B">
        <w:rPr>
          <w:rFonts w:eastAsia="Calibri" w:cs="Arial"/>
        </w:rPr>
        <w:t xml:space="preserve">In September 2020, the CDE presented </w:t>
      </w:r>
      <w:r w:rsidRPr="00FB463B">
        <w:rPr>
          <w:rFonts w:cs="Arial"/>
          <w:color w:val="000000"/>
          <w:bdr w:val="none" w:sz="0" w:space="0" w:color="auto" w:frame="1"/>
        </w:rPr>
        <w:t xml:space="preserve">an update on the progress by the CDE on refining the statistical methodology used to develop a student growth model. In addition, the ETS presented the results of its study on the potential of the </w:t>
      </w:r>
      <w:r w:rsidRPr="00FB463B">
        <w:rPr>
          <w:rFonts w:cs="Arial"/>
          <w:color w:val="000000"/>
          <w:shd w:val="clear" w:color="auto" w:fill="FFFFFF"/>
        </w:rPr>
        <w:t xml:space="preserve">EBLP method to estimate aggregate growth measures for LEAs and schools </w:t>
      </w:r>
      <w:r w:rsidRPr="00FB463B">
        <w:rPr>
          <w:rFonts w:eastAsia="Calibri" w:cs="Arial"/>
        </w:rPr>
        <w:t>(</w:t>
      </w:r>
      <w:hyperlink r:id="rId33" w:tooltip="September 2020 SBE Meeting">
        <w:r w:rsidR="7396C725" w:rsidRPr="00FB463B">
          <w:rPr>
            <w:rStyle w:val="Hyperlink"/>
            <w:rFonts w:eastAsia="Calibri" w:cs="Arial"/>
          </w:rPr>
          <w:t>https://www.cde.ca.gov/be/ag/ag/yr20/documents/sep20item02.docx</w:t>
        </w:r>
      </w:hyperlink>
      <w:r w:rsidR="7396C725" w:rsidRPr="00FB463B">
        <w:rPr>
          <w:rFonts w:eastAsia="Calibri" w:cs="Arial"/>
        </w:rPr>
        <w:t>).</w:t>
      </w:r>
    </w:p>
    <w:p w14:paraId="6B6CE2F6" w14:textId="00134984" w:rsidR="00C57C96" w:rsidRPr="00FB463B" w:rsidRDefault="00C57C96" w:rsidP="0074456B">
      <w:pPr>
        <w:spacing w:after="240"/>
        <w:rPr>
          <w:rFonts w:eastAsia="Calibri" w:cs="Arial"/>
          <w:szCs w:val="22"/>
        </w:rPr>
      </w:pPr>
      <w:r w:rsidRPr="00FB463B">
        <w:rPr>
          <w:rFonts w:eastAsia="Calibri" w:cs="Arial"/>
          <w:szCs w:val="22"/>
        </w:rPr>
        <w:t xml:space="preserve">In November 2020, the CDE presented an item recommending that the SBE adopt a single subject </w:t>
      </w:r>
      <w:r w:rsidRPr="00FB463B">
        <w:rPr>
          <w:rFonts w:eastAsia="Arial" w:cs="Arial"/>
          <w:color w:val="000000"/>
          <w:szCs w:val="22"/>
        </w:rPr>
        <w:t>Empirical Best Linear Prediction (EBLP)</w:t>
      </w:r>
      <w:r w:rsidRPr="00FB463B">
        <w:rPr>
          <w:rFonts w:eastAsia="Calibri" w:cs="Arial"/>
          <w:szCs w:val="22"/>
        </w:rPr>
        <w:t xml:space="preserve"> methodology to improve growth model communication (</w:t>
      </w:r>
      <w:hyperlink r:id="rId34" w:tooltip="November 2020 SBE Meeting" w:history="1">
        <w:r w:rsidRPr="00FB463B">
          <w:rPr>
            <w:rFonts w:cs="Arial"/>
            <w:color w:val="0000FF"/>
            <w:szCs w:val="22"/>
            <w:u w:val="single"/>
          </w:rPr>
          <w:t>https://www.cde.ca.gov/be/ag/ag/yr20/documents/nov20item06.docx</w:t>
        </w:r>
      </w:hyperlink>
      <w:r w:rsidRPr="00FB463B">
        <w:rPr>
          <w:rFonts w:eastAsia="Calibri" w:cs="Arial"/>
          <w:szCs w:val="22"/>
        </w:rPr>
        <w:t>).</w:t>
      </w:r>
    </w:p>
    <w:p w14:paraId="4B4BD69A" w14:textId="05C72A38" w:rsidR="00C57C96" w:rsidRPr="00FB463B" w:rsidRDefault="00C57C96" w:rsidP="0074456B">
      <w:pPr>
        <w:spacing w:after="100" w:afterAutospacing="1"/>
        <w:rPr>
          <w:rFonts w:eastAsia="Calibri" w:cs="Arial"/>
          <w:szCs w:val="22"/>
        </w:rPr>
      </w:pPr>
      <w:r w:rsidRPr="00FB463B">
        <w:rPr>
          <w:rFonts w:eastAsia="Calibri" w:cs="Arial"/>
        </w:rPr>
        <w:t xml:space="preserve">In February 2021, the SBE received an Information Memorandum, providing the final ETS report on the student growth model and recommendations for criteria for determining the assignment of the EBLP or simple average </w:t>
      </w:r>
      <w:r w:rsidR="7396C725" w:rsidRPr="00FB463B">
        <w:rPr>
          <w:rFonts w:eastAsia="Calibri" w:cs="Arial"/>
        </w:rPr>
        <w:t>(</w:t>
      </w:r>
      <w:hyperlink r:id="rId35" w:tooltip="February 2021 SBE Information Memorandum">
        <w:r w:rsidR="7396C725" w:rsidRPr="00FB463B">
          <w:rPr>
            <w:rFonts w:eastAsia="Calibri" w:cs="Arial"/>
            <w:color w:val="0000FF"/>
            <w:u w:val="single"/>
          </w:rPr>
          <w:t>https://www.cde.ca.gov/be/pn/im/documents/feb21memoamard02.docx</w:t>
        </w:r>
      </w:hyperlink>
      <w:r w:rsidR="7396C725" w:rsidRPr="00FB463B">
        <w:rPr>
          <w:rFonts w:eastAsia="Calibri" w:cs="Arial"/>
        </w:rPr>
        <w:t>).</w:t>
      </w:r>
    </w:p>
    <w:p w14:paraId="5E7548B6" w14:textId="24A4F0A8" w:rsidR="00C57C96" w:rsidRPr="00FB463B" w:rsidRDefault="7396C725" w:rsidP="0074456B">
      <w:pPr>
        <w:spacing w:after="240" w:afterAutospacing="1"/>
        <w:rPr>
          <w:rFonts w:eastAsia="Calibri" w:cs="Arial"/>
        </w:rPr>
      </w:pPr>
      <w:r w:rsidRPr="00FB463B">
        <w:rPr>
          <w:rFonts w:eastAsia="Calibri" w:cs="Arial"/>
        </w:rPr>
        <w:t xml:space="preserve">In May 2021, the SBE adopted the student growth model methodology, which includes using residual gain (RG) scores and the EBLP hybrid approach to report aggregated student growth </w:t>
      </w:r>
      <w:r w:rsidRPr="00FB463B">
        <w:rPr>
          <w:rFonts w:eastAsia="Arial" w:cs="Arial"/>
          <w:color w:val="000000" w:themeColor="text1"/>
        </w:rPr>
        <w:t>(</w:t>
      </w:r>
      <w:hyperlink r:id="rId36" w:tooltip="May 2021 Student Growth Model Methodology">
        <w:r w:rsidRPr="00FB463B">
          <w:rPr>
            <w:rStyle w:val="Hyperlink"/>
            <w:rFonts w:eastAsia="Arial" w:cs="Arial"/>
          </w:rPr>
          <w:t>https://www.cde.ca.gov/be/ag/ag/yr21/documents/may21item03.docx</w:t>
        </w:r>
      </w:hyperlink>
      <w:r w:rsidRPr="00FB463B">
        <w:rPr>
          <w:rFonts w:eastAsia="Arial" w:cs="Arial"/>
          <w:color w:val="000000" w:themeColor="text1"/>
        </w:rPr>
        <w:t>).</w:t>
      </w:r>
    </w:p>
    <w:p w14:paraId="26A4CC84" w14:textId="767BB6E9" w:rsidR="00C57C96" w:rsidRPr="00FB463B" w:rsidRDefault="7396C725" w:rsidP="0074456B">
      <w:pPr>
        <w:spacing w:after="240" w:afterAutospacing="1"/>
        <w:rPr>
          <w:rFonts w:eastAsia="Calibri" w:cs="Arial"/>
        </w:rPr>
      </w:pPr>
      <w:r w:rsidRPr="00FB463B">
        <w:rPr>
          <w:rFonts w:eastAsia="Calibri" w:cs="Arial"/>
        </w:rPr>
        <w:t>In October 2021, the SBE received an Information Memorandum with information on CDE’s September 2021 release of historical growth scores from 2016–19, as well as a timeline for next release of growth scores from 2021–24</w:t>
      </w:r>
      <w:r w:rsidR="7E13A82A" w:rsidRPr="00FB463B">
        <w:rPr>
          <w:rFonts w:eastAsia="Calibri" w:cs="Arial"/>
        </w:rPr>
        <w:t xml:space="preserve"> </w:t>
      </w:r>
      <w:r w:rsidRPr="00FB463B">
        <w:rPr>
          <w:rFonts w:eastAsia="Calibri" w:cs="Arial"/>
        </w:rPr>
        <w:t>(</w:t>
      </w:r>
      <w:hyperlink r:id="rId37" w:tooltip="October 2021 SBE Information Memorandum">
        <w:r w:rsidRPr="00FB463B">
          <w:rPr>
            <w:rStyle w:val="Hyperlink"/>
            <w:rFonts w:eastAsia="Calibri" w:cs="Arial"/>
          </w:rPr>
          <w:t>https://www.cde.ca.gov/be/pn/im/documents/oct21memoamard01.docx</w:t>
        </w:r>
      </w:hyperlink>
      <w:r w:rsidRPr="00FB463B">
        <w:rPr>
          <w:rFonts w:eastAsia="Calibri" w:cs="Arial"/>
        </w:rPr>
        <w:t>).</w:t>
      </w:r>
    </w:p>
    <w:p w14:paraId="222AA535" w14:textId="7D421C8B" w:rsidR="00C57C96" w:rsidRPr="00FB463B" w:rsidRDefault="1A99CCE0" w:rsidP="0074456B">
      <w:r w:rsidRPr="00FB463B">
        <w:rPr>
          <w:rFonts w:eastAsia="Arial" w:cs="Arial"/>
        </w:rPr>
        <w:lastRenderedPageBreak/>
        <w:t xml:space="preserve">In January 2022, the SBE was provided a December 2021 Information Memorandum on data reporting for the 2020–21 school </w:t>
      </w:r>
      <w:proofErr w:type="gramStart"/>
      <w:r w:rsidRPr="00FB463B">
        <w:rPr>
          <w:rFonts w:eastAsia="Arial" w:cs="Arial"/>
        </w:rPr>
        <w:t>year</w:t>
      </w:r>
      <w:proofErr w:type="gramEnd"/>
    </w:p>
    <w:p w14:paraId="01A9FF0E" w14:textId="3C07D4A8" w:rsidR="00C57C96" w:rsidRPr="00FB463B" w:rsidRDefault="1A99CCE0" w:rsidP="0074456B">
      <w:r w:rsidRPr="00FB463B">
        <w:rPr>
          <w:rFonts w:eastAsia="Arial" w:cs="Arial"/>
        </w:rPr>
        <w:t>(</w:t>
      </w:r>
      <w:hyperlink r:id="rId38" w:tooltip="January 2022 SBE Information Memorandum" w:history="1">
        <w:r w:rsidRPr="00FB463B">
          <w:rPr>
            <w:rStyle w:val="Hyperlink"/>
            <w:rFonts w:eastAsia="Arial" w:cs="Arial"/>
          </w:rPr>
          <w:t>https://www.cde.ca.gov/be/pn/im/documents/dec21memoamard01.docx</w:t>
        </w:r>
      </w:hyperlink>
      <w:r w:rsidRPr="00FB463B">
        <w:rPr>
          <w:rFonts w:eastAsia="Arial" w:cs="Arial"/>
        </w:rPr>
        <w:t>)</w:t>
      </w:r>
    </w:p>
    <w:p w14:paraId="340F50BD" w14:textId="24981D8A" w:rsidR="00C57C96" w:rsidRPr="00FB463B" w:rsidRDefault="00C57C96" w:rsidP="0074456B">
      <w:pPr>
        <w:spacing w:before="240" w:after="100" w:afterAutospacing="1"/>
        <w:rPr>
          <w:rFonts w:eastAsia="Calibri" w:cs="Arial"/>
        </w:rPr>
      </w:pPr>
      <w:r w:rsidRPr="00FB463B">
        <w:rPr>
          <w:rFonts w:eastAsia="Calibri" w:cs="Arial"/>
        </w:rPr>
        <w:t>In February 2022, the SBE received an update on the exploration</w:t>
      </w:r>
      <w:r w:rsidRPr="00FB463B">
        <w:rPr>
          <w:rFonts w:cs="Arial"/>
          <w:color w:val="000000" w:themeColor="text1"/>
          <w:lang w:val="en"/>
        </w:rPr>
        <w:t xml:space="preserve"> into reporting academic student growth by English Language Proficiency Assessments for California Achievement Level (</w:t>
      </w:r>
      <w:hyperlink r:id="rId39" w:tooltip="English Language Proficiency Assessments for California Achievement Level">
        <w:r w:rsidRPr="00FB463B">
          <w:rPr>
            <w:rStyle w:val="Hyperlink"/>
            <w:rFonts w:eastAsia="Calibri" w:cs="Arial"/>
          </w:rPr>
          <w:t>https://www.cde.ca.gov/be/pn/im/infomemofeb2022.asp</w:t>
        </w:r>
      </w:hyperlink>
      <w:r w:rsidRPr="00FB463B">
        <w:rPr>
          <w:rFonts w:eastAsia="Calibri" w:cs="Arial"/>
        </w:rPr>
        <w:t>)</w:t>
      </w:r>
      <w:r w:rsidR="00FE4378" w:rsidRPr="00FB463B">
        <w:rPr>
          <w:rFonts w:eastAsia="Calibri" w:cs="Arial"/>
        </w:rPr>
        <w:t>.</w:t>
      </w:r>
    </w:p>
    <w:p w14:paraId="2C8D6577" w14:textId="5846F5F4" w:rsidR="1C0F02AB" w:rsidRPr="00FB463B" w:rsidRDefault="1C0F02AB" w:rsidP="0074456B">
      <w:pPr>
        <w:spacing w:after="240"/>
        <w:rPr>
          <w:rFonts w:cs="Arial"/>
        </w:rPr>
      </w:pPr>
      <w:r w:rsidRPr="00FB463B">
        <w:rPr>
          <w:rFonts w:eastAsia="Arial" w:cs="Arial"/>
        </w:rPr>
        <w:t xml:space="preserve">In March 2022, the SBE </w:t>
      </w:r>
      <w:r w:rsidRPr="00FB463B">
        <w:rPr>
          <w:rFonts w:eastAsia="Arial" w:cs="Arial"/>
          <w:color w:val="000000" w:themeColor="text1"/>
        </w:rPr>
        <w:t>received an annual update on items that were being considered by the CDE for the 2022 Dashboard (</w:t>
      </w:r>
      <w:hyperlink r:id="rId40" w:tooltip="March 2022 SBE Meeting" w:history="1">
        <w:r w:rsidRPr="00FB463B">
          <w:rPr>
            <w:rStyle w:val="Hyperlink"/>
            <w:rFonts w:eastAsia="Arial" w:cs="Arial"/>
          </w:rPr>
          <w:t>https://www.cde.ca.gov/be/ag/ag/yr22/documents/mar22item04.docx</w:t>
        </w:r>
      </w:hyperlink>
      <w:r w:rsidRPr="00FB463B">
        <w:rPr>
          <w:rFonts w:eastAsia="Arial" w:cs="Arial"/>
          <w:color w:val="000000" w:themeColor="text1"/>
        </w:rPr>
        <w:t>)</w:t>
      </w:r>
      <w:r w:rsidR="005E119F" w:rsidRPr="00FB463B">
        <w:rPr>
          <w:rFonts w:eastAsia="Arial" w:cs="Arial"/>
          <w:color w:val="000000" w:themeColor="text1"/>
        </w:rPr>
        <w:t>.</w:t>
      </w:r>
    </w:p>
    <w:p w14:paraId="2C83DF39" w14:textId="0C32DD94" w:rsidR="1C0F02AB" w:rsidRPr="00FB463B" w:rsidRDefault="1C0F02AB" w:rsidP="0074456B">
      <w:r w:rsidRPr="00FB463B">
        <w:rPr>
          <w:rFonts w:eastAsia="Arial" w:cs="Arial"/>
        </w:rPr>
        <w:t xml:space="preserve">In July 2022, the CDE presented </w:t>
      </w:r>
      <w:r w:rsidRPr="00FB463B">
        <w:rPr>
          <w:rFonts w:eastAsia="Arial" w:cs="Arial"/>
          <w:color w:val="000000" w:themeColor="text1"/>
        </w:rPr>
        <w:t>an update on</w:t>
      </w:r>
      <w:r w:rsidRPr="00FB463B">
        <w:rPr>
          <w:rFonts w:eastAsia="Arial" w:cs="Arial"/>
        </w:rPr>
        <w:t xml:space="preserve"> </w:t>
      </w:r>
      <w:r w:rsidRPr="00FB463B">
        <w:rPr>
          <w:rFonts w:eastAsia="Arial" w:cs="Arial"/>
          <w:color w:val="000000" w:themeColor="text1"/>
        </w:rPr>
        <w:t>the Implementation of the Integrated Local, State, and Federal Accountability and Continuous Improvement System</w:t>
      </w:r>
    </w:p>
    <w:p w14:paraId="4FC81763" w14:textId="1991046A" w:rsidR="1C0F02AB" w:rsidRPr="00FB463B" w:rsidRDefault="1C0F02AB" w:rsidP="0074456B">
      <w:r w:rsidRPr="00FB463B">
        <w:rPr>
          <w:rFonts w:eastAsia="Arial" w:cs="Arial"/>
        </w:rPr>
        <w:t>(</w:t>
      </w:r>
      <w:hyperlink r:id="rId41" w:tooltip="July 2022 SBE Meeting" w:history="1">
        <w:r w:rsidRPr="00FB463B">
          <w:rPr>
            <w:rStyle w:val="Hyperlink"/>
            <w:rFonts w:eastAsia="Arial" w:cs="Arial"/>
          </w:rPr>
          <w:t>https://www.cde.ca.gov/be/ag/ag/yr22/documents/jul22item02.docx</w:t>
        </w:r>
      </w:hyperlink>
      <w:r w:rsidRPr="00FB463B">
        <w:rPr>
          <w:rFonts w:eastAsia="Arial" w:cs="Arial"/>
        </w:rPr>
        <w:t>)</w:t>
      </w:r>
      <w:r w:rsidR="005E119F" w:rsidRPr="00FB463B">
        <w:rPr>
          <w:rFonts w:eastAsia="Arial" w:cs="Arial"/>
        </w:rPr>
        <w:t>.</w:t>
      </w:r>
    </w:p>
    <w:p w14:paraId="574152D8" w14:textId="1D7312EC" w:rsidR="00C57C96" w:rsidRPr="00FB463B" w:rsidRDefault="00C57C96" w:rsidP="0074456B">
      <w:pPr>
        <w:pStyle w:val="Heading3"/>
      </w:pPr>
      <w:r w:rsidRPr="00FB463B">
        <w:t>College/Career Indicator</w:t>
      </w:r>
    </w:p>
    <w:p w14:paraId="0014054F" w14:textId="77777777" w:rsidR="00C57C96" w:rsidRPr="00FB463B" w:rsidRDefault="00C57C96" w:rsidP="0074456B">
      <w:pPr>
        <w:spacing w:after="240"/>
        <w:rPr>
          <w:rFonts w:cs="Arial"/>
        </w:rPr>
      </w:pPr>
      <w:r w:rsidRPr="00FB463B">
        <w:rPr>
          <w:rFonts w:cs="Arial"/>
        </w:rPr>
        <w:t>In July 2016, the SBE reviewed and approved the College/Career Indicator (CCI) as a state indicator. (</w:t>
      </w:r>
      <w:hyperlink r:id="rId42" w:tooltip="July 2016 SBE Minutes">
        <w:r w:rsidRPr="00FB463B">
          <w:rPr>
            <w:rFonts w:eastAsia="MS Gothic" w:cs="Arial"/>
            <w:color w:val="0000FF"/>
            <w:u w:val="single"/>
          </w:rPr>
          <w:t>https://www.cde.ca.gov/be/mt/ms/documents/finalminutes1314jul2016.doc</w:t>
        </w:r>
      </w:hyperlink>
      <w:r w:rsidRPr="00FB463B">
        <w:rPr>
          <w:rFonts w:cs="Arial"/>
        </w:rPr>
        <w:t>).</w:t>
      </w:r>
    </w:p>
    <w:p w14:paraId="1B1C5D33" w14:textId="60C341CA" w:rsidR="00C57C96" w:rsidRPr="00FB463B" w:rsidRDefault="00C57C96" w:rsidP="0074456B">
      <w:pPr>
        <w:spacing w:after="240"/>
        <w:rPr>
          <w:rFonts w:cs="Arial"/>
        </w:rPr>
      </w:pPr>
      <w:r w:rsidRPr="00FB463B">
        <w:rPr>
          <w:rFonts w:cs="Arial"/>
        </w:rPr>
        <w:t xml:space="preserve">In September 2016, the SBE reviewed and approved Status performance levels for the CCI based on the 2013–14 cohort data </w:t>
      </w:r>
      <w:r w:rsidR="002C03DD" w:rsidRPr="00FB463B">
        <w:rPr>
          <w:rFonts w:cs="Arial"/>
        </w:rPr>
        <w:t>file and</w:t>
      </w:r>
      <w:r w:rsidRPr="00FB463B">
        <w:rPr>
          <w:rFonts w:cs="Arial"/>
        </w:rPr>
        <w:t xml:space="preserve"> approved the re-evaluation of the performance levels in September 2017 once the first year of results of Smarter Balanced assessment were included in the CCI. The SBE also directed the removal of the </w:t>
      </w:r>
      <w:r w:rsidRPr="00FB463B">
        <w:rPr>
          <w:rFonts w:cs="Arial"/>
          <w:color w:val="000000"/>
        </w:rPr>
        <w:t xml:space="preserve">“Well Prepared” category until additional data on career readiness becomes available </w:t>
      </w:r>
      <w:r w:rsidRPr="00FB463B">
        <w:rPr>
          <w:rFonts w:cs="Arial"/>
        </w:rPr>
        <w:t>(</w:t>
      </w:r>
      <w:hyperlink r:id="rId43" w:tooltip="September 16 SBE Item 01">
        <w:r w:rsidRPr="00FB463B">
          <w:rPr>
            <w:rFonts w:eastAsia="MS Gothic" w:cs="Arial"/>
            <w:color w:val="0000FF"/>
            <w:u w:val="single"/>
          </w:rPr>
          <w:t>https://www.cde.ca.gov/be/ag/ag/yr16/documents/sep16item01.doc</w:t>
        </w:r>
      </w:hyperlink>
      <w:r w:rsidRPr="00FB463B">
        <w:rPr>
          <w:rFonts w:cs="Arial"/>
        </w:rPr>
        <w:t>).</w:t>
      </w:r>
    </w:p>
    <w:p w14:paraId="2A303B88" w14:textId="46AAC3A2" w:rsidR="00C57C96" w:rsidRPr="00FB463B" w:rsidRDefault="00C57C96" w:rsidP="0074456B">
      <w:pPr>
        <w:spacing w:before="240" w:after="240"/>
      </w:pPr>
      <w:r w:rsidRPr="00FB463B">
        <w:rPr>
          <w:rFonts w:cs="Arial"/>
        </w:rPr>
        <w:t>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44" w:tooltip="September 17 SBE Item 02" w:history="1">
        <w:r w:rsidRPr="00FB463B">
          <w:rPr>
            <w:rFonts w:eastAsia="MS Gothic" w:cs="Arial"/>
            <w:color w:val="0000FF"/>
            <w:u w:val="single"/>
          </w:rPr>
          <w:t>https://www.cde.ca.gov/be/ag/ag/yr17/documents/sep17item02.doc</w:t>
        </w:r>
      </w:hyperlink>
      <w:r w:rsidRPr="00FB463B">
        <w:rPr>
          <w:rFonts w:eastAsia="MS Gothic"/>
        </w:rPr>
        <w:t>)</w:t>
      </w:r>
      <w:r w:rsidR="003B4EA2" w:rsidRPr="00FB463B">
        <w:rPr>
          <w:rFonts w:eastAsia="MS Gothic"/>
        </w:rPr>
        <w:t>.</w:t>
      </w:r>
    </w:p>
    <w:p w14:paraId="176894E5" w14:textId="64A01143" w:rsidR="00C57C96" w:rsidRPr="00FB463B" w:rsidRDefault="00C57C96" w:rsidP="0074456B">
      <w:pPr>
        <w:spacing w:before="240" w:after="240"/>
        <w:rPr>
          <w:rFonts w:cs="Arial"/>
        </w:rPr>
      </w:pPr>
      <w:r w:rsidRPr="00FB463B">
        <w:rPr>
          <w:rFonts w:cs="Arial"/>
        </w:rPr>
        <w:t>In February 2018, the SBE received an Information Memorandum that provided an update on the status of the three-year CCI timeline and the development of new career measures, including Leadership/Military Science (</w:t>
      </w:r>
      <w:hyperlink r:id="rId45" w:tooltip="February 18 SBE Memo" w:history="1">
        <w:r w:rsidRPr="00FB463B">
          <w:rPr>
            <w:rFonts w:eastAsia="MS Gothic" w:cs="Arial"/>
            <w:color w:val="0000FF"/>
            <w:u w:val="single"/>
          </w:rPr>
          <w:t>https://www.cde.ca.gov/be/pn/im/documents/memo-pptb-amard-feb18item02.docx</w:t>
        </w:r>
      </w:hyperlink>
      <w:r w:rsidRPr="00FB463B">
        <w:rPr>
          <w:rFonts w:cs="Arial"/>
        </w:rPr>
        <w:t>).</w:t>
      </w:r>
    </w:p>
    <w:p w14:paraId="2224C96B" w14:textId="77777777" w:rsidR="00C57C96" w:rsidRPr="00FB463B" w:rsidRDefault="00C57C96" w:rsidP="0074456B">
      <w:pPr>
        <w:spacing w:before="240" w:after="240"/>
        <w:rPr>
          <w:rFonts w:cs="Arial"/>
        </w:rPr>
      </w:pPr>
      <w:r w:rsidRPr="00FB463B">
        <w:rPr>
          <w:rFonts w:cs="Arial"/>
        </w:rPr>
        <w:t xml:space="preserve">In March 2018, the SBE was informed of the revisions made to the Fall 2017 Dashboard, including items that were being prepared for the 2018 Dashboard release, such as the potential use of the following three CCI measures: State Seal of Biliteracy, </w:t>
      </w:r>
      <w:r w:rsidRPr="00FB463B">
        <w:rPr>
          <w:rFonts w:cs="Arial"/>
        </w:rPr>
        <w:lastRenderedPageBreak/>
        <w:t>Golden State Seal Merit Diploma, and Articulated Career Technical Education Courses (</w:t>
      </w:r>
      <w:hyperlink r:id="rId46" w:tooltip="March 18 SBE Item 01">
        <w:r w:rsidRPr="00FB463B">
          <w:rPr>
            <w:rFonts w:eastAsia="MS Gothic" w:cs="Arial"/>
            <w:color w:val="0000FF"/>
            <w:u w:val="single"/>
          </w:rPr>
          <w:t>https://www.cde.ca.gov/be/ag/ag/yr18/documents/mar18item01.docx</w:t>
        </w:r>
      </w:hyperlink>
      <w:r w:rsidRPr="00FB463B">
        <w:rPr>
          <w:rFonts w:cs="Arial"/>
        </w:rPr>
        <w:t>).</w:t>
      </w:r>
    </w:p>
    <w:p w14:paraId="784FD87F" w14:textId="052ED5D2" w:rsidR="00C57C96" w:rsidRPr="00FB463B" w:rsidRDefault="00C57C96" w:rsidP="0074456B">
      <w:pPr>
        <w:spacing w:before="240" w:after="240"/>
        <w:rPr>
          <w:rFonts w:eastAsia="MS Gothic"/>
        </w:rPr>
      </w:pPr>
      <w:r w:rsidRPr="00FB463B">
        <w:rPr>
          <w:rFonts w:cs="Arial"/>
        </w:rPr>
        <w:t>In April 2018, the SBE received an Information Memorandum that provided an overview of the research conducted in the development of the CCI and the rigorous vetting criteria and processes that were applied to select CCI measures (</w:t>
      </w:r>
      <w:hyperlink r:id="rId47" w:tooltip="April 18 SBE Memo" w:history="1">
        <w:r w:rsidRPr="00FB463B">
          <w:rPr>
            <w:rFonts w:eastAsia="MS Gothic" w:cs="Arial"/>
            <w:color w:val="0000FF"/>
            <w:u w:val="single"/>
          </w:rPr>
          <w:t>https://www.cde.ca.gov/be/pn/im/documents/memo-pptb-amard-apr18item02.docx</w:t>
        </w:r>
      </w:hyperlink>
      <w:r w:rsidRPr="00FB463B">
        <w:rPr>
          <w:rFonts w:eastAsia="MS Gothic"/>
        </w:rPr>
        <w:t>)</w:t>
      </w:r>
      <w:r w:rsidR="003B4EA2" w:rsidRPr="00FB463B">
        <w:rPr>
          <w:rFonts w:eastAsia="MS Gothic"/>
        </w:rPr>
        <w:t>.</w:t>
      </w:r>
    </w:p>
    <w:p w14:paraId="2A317D0B" w14:textId="1AA37599" w:rsidR="00C57C96" w:rsidRPr="00FB463B" w:rsidRDefault="00C57C96" w:rsidP="0074456B">
      <w:pPr>
        <w:spacing w:before="240" w:after="240"/>
        <w:rPr>
          <w:rFonts w:cs="Arial"/>
        </w:rPr>
      </w:pPr>
      <w:r w:rsidRPr="00FB463B">
        <w:rPr>
          <w:rFonts w:cs="Arial"/>
        </w:rPr>
        <w:t>In May 2018, the SBE held a Study Session on the CCI and received an overview of the indicator and presentation from an LEA on their local use of the CCI (</w:t>
      </w:r>
      <w:hyperlink r:id="rId48" w:tooltip="May 18 SBE Item 02 Slides">
        <w:r w:rsidRPr="00FB463B">
          <w:rPr>
            <w:rFonts w:eastAsia="MS Gothic" w:cs="Arial"/>
            <w:color w:val="0000FF"/>
            <w:u w:val="single"/>
          </w:rPr>
          <w:t>https://www.cde.ca.gov/be/ag/ag/yr18/documents/may18item02slides.pdf</w:t>
        </w:r>
      </w:hyperlink>
      <w:r w:rsidRPr="00FB463B">
        <w:rPr>
          <w:rFonts w:cs="Arial"/>
        </w:rPr>
        <w:t>)</w:t>
      </w:r>
      <w:r w:rsidR="003B4EA2" w:rsidRPr="00FB463B">
        <w:rPr>
          <w:rFonts w:cs="Arial"/>
        </w:rPr>
        <w:t>.</w:t>
      </w:r>
    </w:p>
    <w:p w14:paraId="4796E10B" w14:textId="0BE33B3D" w:rsidR="00C57C96" w:rsidRPr="00FB463B" w:rsidRDefault="00C57C96" w:rsidP="0074456B">
      <w:pPr>
        <w:spacing w:before="240" w:after="240"/>
        <w:rPr>
          <w:rFonts w:cs="Arial"/>
        </w:rPr>
      </w:pPr>
      <w:r w:rsidRPr="00FB463B">
        <w:rPr>
          <w:rFonts w:cs="Arial"/>
        </w:rPr>
        <w:t>In August 2018, the SBE received an Information Memorandum on the additional measures proposed for the CCI for the 2019 Dashboard</w:t>
      </w:r>
      <w:r w:rsidRPr="00FB463B">
        <w:rPr>
          <w:rFonts w:cs="Arial"/>
        </w:rPr>
        <w:br/>
        <w:t>(</w:t>
      </w:r>
      <w:hyperlink r:id="rId49" w:tooltip="August 18 SBE Memo" w:history="1">
        <w:r w:rsidRPr="00FB463B">
          <w:rPr>
            <w:rFonts w:eastAsia="MS Gothic" w:cs="Arial"/>
            <w:color w:val="0000FF"/>
            <w:u w:val="single"/>
          </w:rPr>
          <w:t>https://www.cde.ca.gov/be/pn/im/documents/memo-pptb-amard-aug18item02.docx</w:t>
        </w:r>
      </w:hyperlink>
      <w:r w:rsidRPr="00FB463B">
        <w:rPr>
          <w:rFonts w:cs="Arial"/>
        </w:rPr>
        <w:t>)</w:t>
      </w:r>
      <w:r w:rsidR="003B4EA2" w:rsidRPr="00FB463B">
        <w:rPr>
          <w:rFonts w:cs="Arial"/>
        </w:rPr>
        <w:t>.</w:t>
      </w:r>
    </w:p>
    <w:p w14:paraId="024438DE" w14:textId="47DCB319" w:rsidR="00C57C96" w:rsidRPr="00FB463B" w:rsidRDefault="00C57C96" w:rsidP="0074456B">
      <w:pPr>
        <w:spacing w:before="240" w:after="240"/>
        <w:rPr>
          <w:rFonts w:cs="Arial"/>
        </w:rPr>
      </w:pPr>
      <w:r w:rsidRPr="00FB463B">
        <w:rPr>
          <w:rFonts w:cs="Arial"/>
        </w:rPr>
        <w:t>In September 2018, the SBE approved the State Seal of Biliteracy and Leadership/Military Science for inclusion in the CCI. In addition, the SBE approved placement criteria for the two new measures (</w:t>
      </w:r>
      <w:hyperlink r:id="rId50" w:tooltip="September 18 SBE Item 01" w:history="1">
        <w:r w:rsidRPr="00FB463B">
          <w:rPr>
            <w:rFonts w:eastAsia="MS Gothic" w:cs="Arial"/>
            <w:color w:val="0000FF"/>
            <w:u w:val="single"/>
          </w:rPr>
          <w:t>https://www.cde.ca.gov/be/ag/ag/yr18/documents/sep18item01.docx</w:t>
        </w:r>
      </w:hyperlink>
      <w:r w:rsidRPr="00FB463B">
        <w:rPr>
          <w:rFonts w:cs="Arial"/>
        </w:rPr>
        <w:t>).</w:t>
      </w:r>
    </w:p>
    <w:p w14:paraId="0E465646" w14:textId="166B3DBA" w:rsidR="00C57C96" w:rsidRPr="00FB463B" w:rsidRDefault="00C57C96" w:rsidP="0074456B">
      <w:pPr>
        <w:spacing w:after="240"/>
        <w:rPr>
          <w:rFonts w:eastAsia="MS Gothic" w:cs="Arial"/>
          <w:color w:val="000000"/>
          <w:u w:val="single"/>
        </w:rPr>
      </w:pPr>
      <w:r w:rsidRPr="00FB463B">
        <w:rPr>
          <w:rFonts w:cs="Arial"/>
        </w:rPr>
        <w:t>In November 2018, the SBE approved Status and Change cut scores for the CCI (</w:t>
      </w:r>
      <w:hyperlink r:id="rId51" w:tooltip="November 18 SBE Item 04" w:history="1">
        <w:r w:rsidRPr="00FB463B">
          <w:rPr>
            <w:rFonts w:eastAsia="MS Gothic" w:cs="Arial"/>
            <w:color w:val="0000FF"/>
            <w:u w:val="single"/>
          </w:rPr>
          <w:t>https://www.cde.ca.gov/be/ag/ag/yr18/documents/nov18item04.docx</w:t>
        </w:r>
      </w:hyperlink>
      <w:r w:rsidRPr="00FB463B">
        <w:rPr>
          <w:rFonts w:eastAsia="MS Gothic" w:cs="Arial"/>
          <w:color w:val="000000"/>
        </w:rPr>
        <w:t>)</w:t>
      </w:r>
      <w:r w:rsidR="007B6A7F" w:rsidRPr="00FB463B">
        <w:rPr>
          <w:rFonts w:eastAsia="MS Gothic" w:cs="Arial"/>
          <w:color w:val="000000"/>
        </w:rPr>
        <w:t>.</w:t>
      </w:r>
    </w:p>
    <w:p w14:paraId="3B6862B2" w14:textId="52397B42" w:rsidR="00C57C96" w:rsidRPr="00FB463B" w:rsidRDefault="00C57C96" w:rsidP="0074456B">
      <w:pPr>
        <w:spacing w:after="240"/>
        <w:rPr>
          <w:rFonts w:cs="Arial"/>
        </w:rPr>
      </w:pPr>
      <w:r w:rsidRPr="00FB463B">
        <w:rPr>
          <w:rFonts w:cs="Arial"/>
        </w:rPr>
        <w:t>In April 2019, the CDE provided an Information Memorandum on the history, implementation, and purpose of the CCI in the Accountability System which was used for the May Study Session (</w:t>
      </w:r>
      <w:hyperlink r:id="rId52" w:tooltip="April 19 SBE Memo" w:history="1">
        <w:r w:rsidRPr="00FB463B">
          <w:rPr>
            <w:rFonts w:eastAsia="MS Gothic" w:cs="Arial"/>
            <w:color w:val="0000FF"/>
            <w:u w:val="single"/>
          </w:rPr>
          <w:t>https://www.cde.ca.gov/be/pn/im/documents/memo-pptb-amard-apr19item01.docx</w:t>
        </w:r>
      </w:hyperlink>
      <w:r w:rsidRPr="00FB463B">
        <w:rPr>
          <w:rFonts w:cs="Arial"/>
        </w:rPr>
        <w:t>).</w:t>
      </w:r>
    </w:p>
    <w:p w14:paraId="2E9F180A" w14:textId="023A63AE" w:rsidR="00C57C96" w:rsidRPr="00FB463B" w:rsidRDefault="00C57C96" w:rsidP="0074456B">
      <w:pPr>
        <w:spacing w:after="240"/>
        <w:rPr>
          <w:rFonts w:cs="Arial"/>
        </w:rPr>
      </w:pPr>
      <w:r w:rsidRPr="00FB463B">
        <w:rPr>
          <w:rFonts w:cs="Arial"/>
        </w:rPr>
        <w:t>In May 2019, the SBE held a study session on the CCI (</w:t>
      </w:r>
      <w:hyperlink r:id="rId53" w:tooltip="May 19 SBE Item 01 Study Session" w:history="1">
        <w:r w:rsidRPr="00FB463B">
          <w:rPr>
            <w:rFonts w:eastAsia="MS Gothic" w:cs="Arial"/>
            <w:color w:val="0000FF"/>
            <w:u w:val="single"/>
          </w:rPr>
          <w:t>https://www.cde.ca.gov/be/ag/ag/yr19/documents/may19item01studysession.docx</w:t>
        </w:r>
      </w:hyperlink>
      <w:r w:rsidRPr="00FB463B">
        <w:rPr>
          <w:rFonts w:cs="Arial"/>
        </w:rPr>
        <w:t>).</w:t>
      </w:r>
    </w:p>
    <w:p w14:paraId="2869F527" w14:textId="150EAF61" w:rsidR="00C57C96" w:rsidRPr="00FB463B" w:rsidRDefault="00C57C96" w:rsidP="0074456B">
      <w:pPr>
        <w:spacing w:after="240"/>
        <w:rPr>
          <w:rFonts w:cs="Arial"/>
        </w:rPr>
      </w:pPr>
      <w:r w:rsidRPr="00FB463B">
        <w:rPr>
          <w:rFonts w:cs="Arial"/>
        </w:rPr>
        <w:t>In June 2019, the SBE received an Information Memorandum providing an update on the definitions used in California Longitudinal Pupil Achievement Data System (CALPADS) and California Special Education Management Information System (CASEMIS) for career measures collected in 2018–19 and 2019–2020 for possible inclusion in the CCI (</w:t>
      </w:r>
      <w:hyperlink r:id="rId54" w:tooltip="June 19 SBE Memo" w:history="1">
        <w:r w:rsidRPr="00FB463B">
          <w:rPr>
            <w:rFonts w:eastAsia="MS Gothic" w:cs="Arial"/>
            <w:color w:val="0000FF"/>
            <w:u w:val="single"/>
          </w:rPr>
          <w:t>https://www.cde.ca.gov/be/pn/im/infomemojun2019.asp</w:t>
        </w:r>
      </w:hyperlink>
      <w:r w:rsidRPr="00FB463B">
        <w:rPr>
          <w:rFonts w:cs="Arial"/>
        </w:rPr>
        <w:t>).</w:t>
      </w:r>
    </w:p>
    <w:p w14:paraId="03EE9185" w14:textId="6F6AD34F" w:rsidR="00C57C96" w:rsidRPr="00FB463B" w:rsidRDefault="00C57C96" w:rsidP="0074456B">
      <w:pPr>
        <w:spacing w:after="240"/>
        <w:rPr>
          <w:rFonts w:cs="Arial"/>
        </w:rPr>
      </w:pPr>
      <w:r w:rsidRPr="00FB463B">
        <w:rPr>
          <w:rFonts w:eastAsia="MS Gothic" w:cs="Arial"/>
        </w:rPr>
        <w:t>As shared with the SBE in an August 2019 Information Memorandum, the CDE is examining the inclusion of civic engagement as a potential career measure in the CCI (</w:t>
      </w:r>
      <w:hyperlink r:id="rId55" w:tooltip="August 19 SBE Memo" w:history="1">
        <w:r w:rsidRPr="00FB463B">
          <w:rPr>
            <w:rFonts w:eastAsia="MS Gothic" w:cs="Arial"/>
            <w:color w:val="0000FF"/>
            <w:u w:val="single"/>
          </w:rPr>
          <w:t>https://www.cde.ca.gov/be/pn/im/documents/memo-branch-eeed-aug19item02.docx</w:t>
        </w:r>
      </w:hyperlink>
      <w:r w:rsidRPr="00FB463B">
        <w:rPr>
          <w:rFonts w:eastAsia="MS Gothic" w:cs="Arial"/>
        </w:rPr>
        <w:t>).</w:t>
      </w:r>
    </w:p>
    <w:p w14:paraId="46164027" w14:textId="38AE758A" w:rsidR="00C57C96" w:rsidRPr="00FB463B" w:rsidRDefault="00C57C96" w:rsidP="0074456B">
      <w:pPr>
        <w:spacing w:after="240"/>
        <w:rPr>
          <w:rFonts w:cs="Arial"/>
          <w:color w:val="000000"/>
        </w:rPr>
      </w:pPr>
      <w:r w:rsidRPr="00FB463B">
        <w:rPr>
          <w:rFonts w:eastAsia="MS Gothic" w:cs="Arial"/>
        </w:rPr>
        <w:t xml:space="preserve">In September 2020, the SBE adopted four career measures for inclusion in the CCI: Pre-Apprenticeships, State or Federal Job Programs, Transition Work-Based Learning Experiences, and </w:t>
      </w:r>
      <w:r w:rsidRPr="00FB463B">
        <w:rPr>
          <w:rFonts w:cs="Arial"/>
          <w:color w:val="000000"/>
        </w:rPr>
        <w:t>Transition Classroom-Based Learning Experiences (</w:t>
      </w:r>
      <w:hyperlink r:id="rId56" w:tooltip="September 20 SBE Item 02" w:history="1">
        <w:r w:rsidRPr="00FB463B">
          <w:rPr>
            <w:rFonts w:cs="Arial"/>
            <w:color w:val="0000FF"/>
            <w:u w:val="single"/>
          </w:rPr>
          <w:t>https://www.cde.ca.gov/be/ag/ag/yr20/documents/sep20item02.docx</w:t>
        </w:r>
      </w:hyperlink>
      <w:r w:rsidRPr="00FB463B">
        <w:rPr>
          <w:rFonts w:cs="Arial"/>
          <w:color w:val="000000"/>
        </w:rPr>
        <w:t>).</w:t>
      </w:r>
    </w:p>
    <w:p w14:paraId="6BC358F5" w14:textId="703981F2" w:rsidR="00C109C1" w:rsidRPr="00FB463B" w:rsidRDefault="00C109C1" w:rsidP="0074456B">
      <w:pPr>
        <w:spacing w:before="240" w:after="240"/>
        <w:rPr>
          <w:rFonts w:cs="Arial"/>
        </w:rPr>
      </w:pPr>
      <w:r w:rsidRPr="00FB463B">
        <w:rPr>
          <w:rFonts w:cs="Arial"/>
          <w:color w:val="000000"/>
        </w:rPr>
        <w:lastRenderedPageBreak/>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FB463B">
        <w:rPr>
          <w:rFonts w:cs="Arial"/>
        </w:rPr>
        <w:t>(</w:t>
      </w:r>
      <w:hyperlink r:id="rId57" w:tooltip="March 20 SBE Item 05" w:history="1">
        <w:r w:rsidRPr="00FB463B">
          <w:rPr>
            <w:rFonts w:eastAsia="MS Gothic" w:cs="Arial"/>
            <w:color w:val="0000FF"/>
            <w:u w:val="single"/>
          </w:rPr>
          <w:t>https://www.cde.ca.gov/be/ag/ag/yr20/documents/mar20item05.docx</w:t>
        </w:r>
      </w:hyperlink>
      <w:r w:rsidRPr="00FB463B">
        <w:rPr>
          <w:rFonts w:cs="Arial"/>
        </w:rPr>
        <w:t>).</w:t>
      </w:r>
    </w:p>
    <w:p w14:paraId="20A2E4DA" w14:textId="693B11AE" w:rsidR="00C109C1" w:rsidRPr="00FB463B" w:rsidRDefault="00C109C1" w:rsidP="0074456B">
      <w:pPr>
        <w:spacing w:before="240" w:after="240"/>
        <w:rPr>
          <w:rFonts w:cs="Arial"/>
        </w:rPr>
      </w:pPr>
      <w:r w:rsidRPr="00FB463B">
        <w:rPr>
          <w:rFonts w:cs="Arial"/>
        </w:rPr>
        <w:t>At the May 2020 SBE meeting, the CDE shared its data analyses on several new career measures currently being collected in CALPADS for future incorporation into the CCI. (</w:t>
      </w:r>
      <w:hyperlink r:id="rId58" w:tooltip="May 20 SBE Item 02" w:history="1">
        <w:r w:rsidRPr="00FB463B">
          <w:rPr>
            <w:rFonts w:eastAsia="MS Gothic" w:cs="Arial"/>
            <w:color w:val="0000FF"/>
            <w:u w:val="single"/>
          </w:rPr>
          <w:t>https://www.cde.ca.gov/be/ag/ag/yr20/documents/may20item02.docx</w:t>
        </w:r>
      </w:hyperlink>
      <w:r w:rsidRPr="00FB463B">
        <w:rPr>
          <w:rFonts w:cs="Arial"/>
          <w:color w:val="000000"/>
        </w:rPr>
        <w:t>).</w:t>
      </w:r>
    </w:p>
    <w:p w14:paraId="5EA7F321" w14:textId="1A22284A" w:rsidR="00C57C96" w:rsidRPr="00FB463B" w:rsidRDefault="00C57C96" w:rsidP="0074456B">
      <w:pPr>
        <w:spacing w:after="240"/>
        <w:rPr>
          <w:rFonts w:cs="Arial"/>
          <w:color w:val="000000"/>
        </w:rPr>
      </w:pPr>
      <w:r w:rsidRPr="00FB463B">
        <w:rPr>
          <w:rFonts w:cs="Arial"/>
          <w:color w:val="000000"/>
        </w:rPr>
        <w:t>In</w:t>
      </w:r>
      <w:r w:rsidRPr="00FB463B" w:rsidDel="00246955">
        <w:rPr>
          <w:rFonts w:cs="Arial"/>
          <w:color w:val="000000"/>
        </w:rPr>
        <w:t xml:space="preserve"> </w:t>
      </w:r>
      <w:r w:rsidRPr="00FB463B">
        <w:rPr>
          <w:rFonts w:cs="Arial"/>
          <w:color w:val="000000"/>
        </w:rPr>
        <w:t>September 2020, the SBE adopted the State Seal of Civic Engagement (SSCE), and the SBE directed the CDE to determine how to incorporate civic engagement into the CCI. (</w:t>
      </w:r>
      <w:hyperlink r:id="rId59" w:tooltip="September 20 SBE Item 05" w:history="1">
        <w:r w:rsidRPr="00FB463B">
          <w:rPr>
            <w:rFonts w:cs="Arial"/>
            <w:color w:val="0000FF"/>
            <w:u w:val="single"/>
          </w:rPr>
          <w:t>https://www.cde.ca.gov/be/ag/ag/yr20/documents/sep20item05rev.docx</w:t>
        </w:r>
      </w:hyperlink>
      <w:r w:rsidRPr="00FB463B">
        <w:rPr>
          <w:rFonts w:cs="Arial"/>
          <w:color w:val="000000"/>
        </w:rPr>
        <w:t>).</w:t>
      </w:r>
    </w:p>
    <w:p w14:paraId="6C272675" w14:textId="47EE0920" w:rsidR="00C57C96" w:rsidRPr="00FB463B" w:rsidRDefault="00C57C96" w:rsidP="0074456B">
      <w:pPr>
        <w:spacing w:before="240" w:after="240"/>
        <w:rPr>
          <w:rFonts w:cs="Arial"/>
        </w:rPr>
      </w:pPr>
      <w:r w:rsidRPr="00FB463B">
        <w:rPr>
          <w:rFonts w:cs="Arial"/>
        </w:rPr>
        <w:t>At the January 2021 SBE meeting, the CDE submitted revisions to the ESSA Consolidated State Plan (via the COVID-19 State Plan Addendum) to request that the CCI not be reported on the 2021 Dashboard due to the suspension of the CAASPP in March 2020, which is one of the key measures in the CCI. (</w:t>
      </w:r>
      <w:hyperlink r:id="rId60" w:tooltip="January 21 SBE Item 04">
        <w:r w:rsidRPr="00FB463B">
          <w:rPr>
            <w:rFonts w:eastAsia="MS Gothic" w:cs="Arial"/>
            <w:color w:val="0000FF"/>
            <w:u w:val="single"/>
          </w:rPr>
          <w:t>https://www.cde.ca.gov/be/ag/ag/yr21/documents/jan21item04.docx</w:t>
        </w:r>
      </w:hyperlink>
      <w:r w:rsidRPr="00FB463B">
        <w:rPr>
          <w:rFonts w:cs="Arial"/>
        </w:rPr>
        <w:t>).</w:t>
      </w:r>
    </w:p>
    <w:p w14:paraId="34FB3ECE" w14:textId="11E0F389" w:rsidR="00C57C96" w:rsidRPr="00FB463B" w:rsidRDefault="00C57C96" w:rsidP="0074456B">
      <w:pPr>
        <w:spacing w:after="240"/>
        <w:rPr>
          <w:rFonts w:cs="Arial"/>
        </w:rPr>
      </w:pPr>
      <w:r w:rsidRPr="00FB463B">
        <w:t xml:space="preserve">At the May 2021 SBE meeting, the CDE reviewed the </w:t>
      </w:r>
      <w:r w:rsidRPr="00FB463B">
        <w:rPr>
          <w:rFonts w:eastAsia="MS Gothic"/>
        </w:rPr>
        <w:t xml:space="preserve">work conducted thus far on two new measures for possible inclusion in the CCI: civic engagement and industry certifications. The CDE also proposed the production of </w:t>
      </w:r>
      <w:r w:rsidRPr="00FB463B">
        <w:t>student-level data files for the CCI that can be shared with authorized LEA staff</w:t>
      </w:r>
      <w:r w:rsidRPr="00FB463B">
        <w:rPr>
          <w:rFonts w:cs="Arial"/>
        </w:rPr>
        <w:t xml:space="preserve"> (</w:t>
      </w:r>
      <w:hyperlink r:id="rId61" w:tooltip="May 21 SBE Item 04" w:history="1">
        <w:r w:rsidRPr="00FB463B">
          <w:rPr>
            <w:rFonts w:eastAsia="MS Gothic" w:cs="Arial"/>
            <w:color w:val="0000FF"/>
            <w:u w:val="single"/>
          </w:rPr>
          <w:t>https://www.cde.ca.gov/be/ag/ag/yr21/documents/may21item04.docx</w:t>
        </w:r>
      </w:hyperlink>
      <w:r w:rsidRPr="00FB463B">
        <w:rPr>
          <w:rFonts w:cs="Arial"/>
        </w:rPr>
        <w:t>)</w:t>
      </w:r>
      <w:r w:rsidR="00745922" w:rsidRPr="00FB463B">
        <w:rPr>
          <w:rFonts w:cs="Arial"/>
        </w:rPr>
        <w:t>.</w:t>
      </w:r>
    </w:p>
    <w:p w14:paraId="25A538AF" w14:textId="0FFA5795" w:rsidR="00C57C96" w:rsidRPr="00FB463B" w:rsidRDefault="00C57C96" w:rsidP="0074456B">
      <w:pPr>
        <w:rPr>
          <w:rFonts w:cs="Arial"/>
        </w:rPr>
      </w:pPr>
      <w:r w:rsidRPr="00FB463B">
        <w:t xml:space="preserve">In March 2022, the SBE </w:t>
      </w:r>
      <w:r w:rsidRPr="00FB463B">
        <w:rPr>
          <w:color w:val="000000"/>
        </w:rPr>
        <w:t xml:space="preserve">received </w:t>
      </w:r>
      <w:r w:rsidR="002010B9" w:rsidRPr="00FB463B">
        <w:rPr>
          <w:color w:val="000000"/>
        </w:rPr>
        <w:t>a statu</w:t>
      </w:r>
      <w:r w:rsidR="00034ABA" w:rsidRPr="00FB463B">
        <w:rPr>
          <w:color w:val="000000"/>
        </w:rPr>
        <w:t>s</w:t>
      </w:r>
      <w:r w:rsidR="002010B9" w:rsidRPr="00FB463B">
        <w:rPr>
          <w:color w:val="000000"/>
        </w:rPr>
        <w:t xml:space="preserve"> update on two new career</w:t>
      </w:r>
      <w:r w:rsidRPr="00FB463B">
        <w:rPr>
          <w:color w:val="000000"/>
        </w:rPr>
        <w:t xml:space="preserve"> measures–civic engagement and industry certifications–that are being </w:t>
      </w:r>
      <w:r w:rsidR="00930CA6" w:rsidRPr="00FB463B">
        <w:rPr>
          <w:color w:val="000000"/>
        </w:rPr>
        <w:t>developed</w:t>
      </w:r>
      <w:r w:rsidR="00616E52" w:rsidRPr="00FB463B">
        <w:rPr>
          <w:color w:val="000000"/>
        </w:rPr>
        <w:t xml:space="preserve"> for </w:t>
      </w:r>
      <w:r w:rsidR="008A0A45" w:rsidRPr="00FB463B">
        <w:rPr>
          <w:color w:val="000000"/>
        </w:rPr>
        <w:t>future</w:t>
      </w:r>
      <w:r w:rsidR="00A011CE" w:rsidRPr="00FB463B">
        <w:rPr>
          <w:color w:val="000000"/>
        </w:rPr>
        <w:t xml:space="preserve"> potential inclusion in the CCI</w:t>
      </w:r>
      <w:r w:rsidRPr="00FB463B">
        <w:rPr>
          <w:color w:val="000000"/>
        </w:rPr>
        <w:t xml:space="preserve"> (</w:t>
      </w:r>
      <w:hyperlink r:id="rId62" w:tooltip="March 22 SBE Item 04" w:history="1">
        <w:r w:rsidRPr="00FB463B">
          <w:rPr>
            <w:color w:val="0000FF"/>
            <w:u w:val="single"/>
          </w:rPr>
          <w:t>https://www.cde.ca.gov/be/ag/ag/yr22/documents/mar22item04.docx</w:t>
        </w:r>
      </w:hyperlink>
      <w:r w:rsidRPr="00FB463B">
        <w:rPr>
          <w:rFonts w:cs="Arial"/>
        </w:rPr>
        <w:t>)</w:t>
      </w:r>
      <w:r w:rsidR="00745922" w:rsidRPr="00FB463B">
        <w:rPr>
          <w:rFonts w:cs="Arial"/>
        </w:rPr>
        <w:t>.</w:t>
      </w:r>
    </w:p>
    <w:p w14:paraId="6E522550" w14:textId="77777777" w:rsidR="00B14817" w:rsidRPr="00FB463B" w:rsidRDefault="00B14817" w:rsidP="0074456B">
      <w:pPr>
        <w:rPr>
          <w:rFonts w:cs="Arial"/>
        </w:rPr>
      </w:pPr>
    </w:p>
    <w:p w14:paraId="07B136A5" w14:textId="4F0F18BD" w:rsidR="00B14817" w:rsidRPr="00FB463B" w:rsidRDefault="00B14817" w:rsidP="0074456B">
      <w:pPr>
        <w:rPr>
          <w:rFonts w:cs="Arial"/>
        </w:rPr>
      </w:pPr>
      <w:r w:rsidRPr="00FB463B">
        <w:rPr>
          <w:rFonts w:cs="Arial"/>
        </w:rPr>
        <w:t xml:space="preserve">In March 2023, the </w:t>
      </w:r>
      <w:r w:rsidR="00551ED9" w:rsidRPr="00FB463B">
        <w:rPr>
          <w:rFonts w:cs="Arial"/>
        </w:rPr>
        <w:t xml:space="preserve">CDE </w:t>
      </w:r>
      <w:r w:rsidR="007E2E29" w:rsidRPr="00FB463B">
        <w:rPr>
          <w:rFonts w:cs="Arial"/>
        </w:rPr>
        <w:t>shared</w:t>
      </w:r>
      <w:r w:rsidR="005D39CC" w:rsidRPr="00FB463B">
        <w:rPr>
          <w:rFonts w:cs="Arial"/>
        </w:rPr>
        <w:t xml:space="preserve"> with the SBE the accountability </w:t>
      </w:r>
      <w:r w:rsidR="007E2E29" w:rsidRPr="00FB463B">
        <w:rPr>
          <w:rFonts w:cs="Arial"/>
        </w:rPr>
        <w:t xml:space="preserve">workplan </w:t>
      </w:r>
      <w:r w:rsidR="00974EBE" w:rsidRPr="00FB463B">
        <w:rPr>
          <w:rFonts w:cs="Arial"/>
        </w:rPr>
        <w:t xml:space="preserve">for the 2022–23 school year, which </w:t>
      </w:r>
      <w:r w:rsidR="005D39CC" w:rsidRPr="00FB463B">
        <w:rPr>
          <w:rFonts w:cs="Arial"/>
        </w:rPr>
        <w:t xml:space="preserve">included, for the CCI, the: </w:t>
      </w:r>
      <w:r w:rsidR="00AA1EEE" w:rsidRPr="00FB463B">
        <w:rPr>
          <w:rFonts w:eastAsiaTheme="majorEastAsia" w:cstheme="majorBidi"/>
        </w:rPr>
        <w:t>(1) review and analy</w:t>
      </w:r>
      <w:r w:rsidR="005D39CC" w:rsidRPr="00FB463B">
        <w:rPr>
          <w:rFonts w:eastAsiaTheme="majorEastAsia" w:cstheme="majorBidi"/>
        </w:rPr>
        <w:t>sis of</w:t>
      </w:r>
      <w:r w:rsidR="00974EBE" w:rsidRPr="00FB463B">
        <w:rPr>
          <w:rFonts w:eastAsiaTheme="majorEastAsia" w:cstheme="majorBidi"/>
        </w:rPr>
        <w:t xml:space="preserve"> </w:t>
      </w:r>
      <w:r w:rsidR="00AA1EEE" w:rsidRPr="00FB463B">
        <w:rPr>
          <w:rFonts w:eastAsiaTheme="majorEastAsia" w:cstheme="majorBidi"/>
        </w:rPr>
        <w:t xml:space="preserve">data collected on four new career measures, (2) </w:t>
      </w:r>
      <w:r w:rsidR="005D39CC" w:rsidRPr="00FB463B">
        <w:rPr>
          <w:rFonts w:eastAsiaTheme="majorEastAsia" w:cstheme="majorBidi"/>
        </w:rPr>
        <w:t>review of</w:t>
      </w:r>
      <w:r w:rsidR="005B5C40" w:rsidRPr="00FB463B">
        <w:rPr>
          <w:rFonts w:eastAsiaTheme="majorEastAsia" w:cstheme="majorBidi"/>
        </w:rPr>
        <w:t xml:space="preserve"> </w:t>
      </w:r>
      <w:r w:rsidR="00AA1EEE" w:rsidRPr="00FB463B">
        <w:rPr>
          <w:rFonts w:eastAsiaTheme="majorEastAsia" w:cstheme="majorBidi"/>
        </w:rPr>
        <w:t xml:space="preserve">current measures approved by the SBE, and (3) </w:t>
      </w:r>
      <w:r w:rsidR="005B5C40" w:rsidRPr="00FB463B">
        <w:rPr>
          <w:rFonts w:eastAsiaTheme="majorEastAsia" w:cstheme="majorBidi"/>
        </w:rPr>
        <w:t>continu</w:t>
      </w:r>
      <w:r w:rsidR="005D39CC" w:rsidRPr="00FB463B">
        <w:rPr>
          <w:rFonts w:eastAsiaTheme="majorEastAsia" w:cstheme="majorBidi"/>
        </w:rPr>
        <w:t>ation of</w:t>
      </w:r>
      <w:r w:rsidR="005B5C40" w:rsidRPr="00FB463B">
        <w:rPr>
          <w:rFonts w:eastAsiaTheme="majorEastAsia" w:cstheme="majorBidi"/>
        </w:rPr>
        <w:t xml:space="preserve"> conversations and development</w:t>
      </w:r>
      <w:r w:rsidR="00AA1EEE" w:rsidRPr="00FB463B">
        <w:rPr>
          <w:rFonts w:eastAsiaTheme="majorEastAsia" w:cstheme="majorBidi"/>
        </w:rPr>
        <w:t xml:space="preserve"> of two new career measures</w:t>
      </w:r>
      <w:r w:rsidR="00282598" w:rsidRPr="00FB463B">
        <w:rPr>
          <w:rFonts w:eastAsiaTheme="majorEastAsia" w:cstheme="majorBidi"/>
        </w:rPr>
        <w:t xml:space="preserve"> (</w:t>
      </w:r>
      <w:hyperlink r:id="rId63" w:history="1">
        <w:r w:rsidR="00282598" w:rsidRPr="00FB463B">
          <w:rPr>
            <w:rStyle w:val="Hyperlink"/>
            <w:rFonts w:eastAsiaTheme="majorEastAsia" w:cstheme="majorBidi"/>
          </w:rPr>
          <w:t>https://www.cde.ca.gov/be/ag/ag/yr23/documents/mar23item03.docx</w:t>
        </w:r>
      </w:hyperlink>
      <w:r w:rsidR="00282598" w:rsidRPr="00FB463B">
        <w:rPr>
          <w:rFonts w:eastAsiaTheme="majorEastAsia" w:cstheme="majorBidi"/>
        </w:rPr>
        <w:t>)</w:t>
      </w:r>
      <w:r w:rsidR="00AA1EEE" w:rsidRPr="00FB463B">
        <w:rPr>
          <w:rFonts w:eastAsiaTheme="majorEastAsia" w:cstheme="majorBidi"/>
        </w:rPr>
        <w:t>.</w:t>
      </w:r>
    </w:p>
    <w:p w14:paraId="6F4C7BD8" w14:textId="21DB116A" w:rsidR="00C57C96" w:rsidRPr="00FB463B" w:rsidRDefault="718FE4DE" w:rsidP="0074456B">
      <w:pPr>
        <w:pStyle w:val="Heading3"/>
        <w:rPr>
          <w:lang w:bidi="he-IL"/>
        </w:rPr>
      </w:pPr>
      <w:r w:rsidRPr="00FB463B">
        <w:rPr>
          <w:lang w:bidi="he-IL"/>
        </w:rPr>
        <w:t>English Learner Progress Indicator</w:t>
      </w:r>
    </w:p>
    <w:p w14:paraId="232A1D45" w14:textId="2D1136D2" w:rsidR="00C109C1" w:rsidRPr="00FB463B" w:rsidRDefault="00C109C1" w:rsidP="0074456B">
      <w:pPr>
        <w:spacing w:after="240"/>
        <w:textAlignment w:val="baseline"/>
        <w:rPr>
          <w:rFonts w:cs="Arial"/>
          <w:sz w:val="18"/>
          <w:szCs w:val="18"/>
          <w:lang w:bidi="he-IL"/>
        </w:rPr>
      </w:pPr>
      <w:r w:rsidRPr="00FB463B">
        <w:rPr>
          <w:rFonts w:cs="Arial"/>
          <w:lang w:bidi="he-IL"/>
        </w:rPr>
        <w:t>In July 2018, the SBE adopted the CDE’s recommendation for the ELPI three-year plan (</w:t>
      </w:r>
      <w:hyperlink r:id="rId64" w:tgtFrame="_blank" w:tooltip="July 2018 Recommendation for the ELPI 3-year plan" w:history="1">
        <w:r w:rsidRPr="00FB463B">
          <w:rPr>
            <w:rFonts w:cs="Arial"/>
            <w:color w:val="0000FF"/>
            <w:u w:val="single"/>
            <w:lang w:bidi="he-IL"/>
          </w:rPr>
          <w:t>https://www.cde.ca.gov/be/ag/ag/yr18/documents/jul18item01.docx</w:t>
        </w:r>
      </w:hyperlink>
      <w:r w:rsidRPr="00FB463B">
        <w:rPr>
          <w:rFonts w:cs="Arial"/>
          <w:lang w:bidi="he-IL"/>
        </w:rPr>
        <w:t>).</w:t>
      </w:r>
    </w:p>
    <w:p w14:paraId="103C89EA" w14:textId="3A375C83" w:rsidR="00594F19" w:rsidRPr="00FB463B" w:rsidRDefault="00C57C96" w:rsidP="0074456B">
      <w:pPr>
        <w:spacing w:after="240"/>
        <w:textAlignment w:val="baseline"/>
        <w:rPr>
          <w:rFonts w:cs="Arial"/>
          <w:lang w:bidi="he-IL"/>
        </w:rPr>
      </w:pPr>
      <w:r w:rsidRPr="00FB463B">
        <w:rPr>
          <w:rFonts w:cs="Arial"/>
          <w:lang w:bidi="he-IL"/>
        </w:rPr>
        <w:t>In September 2016, the SBE adopted the methodology for the ELPI using the results of the California English Language Development Test (</w:t>
      </w:r>
      <w:hyperlink r:id="rId65" w:tgtFrame="_blank" w:tooltip="California English Language Development Test" w:history="1">
        <w:r w:rsidRPr="00FB463B">
          <w:rPr>
            <w:rFonts w:cs="Arial"/>
            <w:color w:val="0000FF"/>
            <w:u w:val="single"/>
            <w:lang w:bidi="he-IL"/>
          </w:rPr>
          <w:t>https://www.cde.ca.gov/be/ag/ag/yr16/documents/sep16item01.doc</w:t>
        </w:r>
      </w:hyperlink>
      <w:r w:rsidRPr="00FB463B">
        <w:rPr>
          <w:rFonts w:cs="Arial"/>
          <w:lang w:bidi="he-IL"/>
        </w:rPr>
        <w:t>).</w:t>
      </w:r>
    </w:p>
    <w:p w14:paraId="48C6AF68" w14:textId="2E40F376" w:rsidR="00C109C1" w:rsidRPr="00FB463B" w:rsidRDefault="00C109C1" w:rsidP="0074456B">
      <w:pPr>
        <w:spacing w:after="240"/>
        <w:rPr>
          <w:rFonts w:cs="Arial"/>
          <w:lang w:bidi="he-IL"/>
        </w:rPr>
      </w:pPr>
      <w:r w:rsidRPr="00FB463B">
        <w:rPr>
          <w:rFonts w:cs="Arial"/>
          <w:lang w:bidi="he-IL"/>
        </w:rPr>
        <w:lastRenderedPageBreak/>
        <w:t>In November, 2018, the SBE approved the use of the ELPI Status for 2019 LCFF differentiated assistance and ESSA school assistance eligibility determinations (</w:t>
      </w:r>
      <w:hyperlink r:id="rId66" w:tgtFrame="_blank" w:tooltip="November 2018 SBE Meeting" w:history="1">
        <w:r w:rsidRPr="00FB463B">
          <w:rPr>
            <w:rFonts w:cs="Arial"/>
            <w:color w:val="0000FF"/>
            <w:u w:val="single"/>
            <w:lang w:bidi="he-IL"/>
          </w:rPr>
          <w:t>https://www.cde.ca.gov/be/ag/ag/yr18/documents/nov18item04.docx</w:t>
        </w:r>
      </w:hyperlink>
      <w:r w:rsidRPr="00FB463B">
        <w:rPr>
          <w:rFonts w:cs="Arial"/>
          <w:lang w:bidi="he-IL"/>
        </w:rPr>
        <w:t>).</w:t>
      </w:r>
    </w:p>
    <w:p w14:paraId="0615758A" w14:textId="7DC8F308" w:rsidR="00C57C96" w:rsidRPr="00FB463B" w:rsidRDefault="00C57C96" w:rsidP="0074456B">
      <w:pPr>
        <w:spacing w:after="240"/>
        <w:rPr>
          <w:rFonts w:cs="Arial"/>
          <w:lang w:bidi="he-IL"/>
        </w:rPr>
      </w:pPr>
      <w:r w:rsidRPr="00FB463B">
        <w:rPr>
          <w:rFonts w:cs="Arial"/>
          <w:lang w:bidi="he-IL"/>
        </w:rPr>
        <w:t xml:space="preserve">In August 2019, the CDE provided the SBE with an Information Memorandum on the inclusion of English Learners (ELs) in the Academic Indicator, availability of At-Risk and Long-Term English Learner Reports in </w:t>
      </w:r>
      <w:proofErr w:type="spellStart"/>
      <w:r w:rsidRPr="00FB463B">
        <w:rPr>
          <w:rFonts w:cs="Arial"/>
          <w:lang w:bidi="he-IL"/>
        </w:rPr>
        <w:t>DataQuest</w:t>
      </w:r>
      <w:proofErr w:type="spellEnd"/>
      <w:r w:rsidRPr="00FB463B">
        <w:rPr>
          <w:rFonts w:cs="Arial"/>
          <w:lang w:bidi="he-IL"/>
        </w:rPr>
        <w:t>, and the incorporation of the ELPI Status into school and LEA assistance eligibility determinations (</w:t>
      </w:r>
      <w:hyperlink r:id="rId67" w:tgtFrame="_blank" w:tooltip="August 2019 SBE Information Memorandum" w:history="1">
        <w:r w:rsidRPr="00FB463B">
          <w:rPr>
            <w:rFonts w:cs="Arial"/>
            <w:color w:val="0000FF"/>
            <w:u w:val="single"/>
            <w:lang w:bidi="he-IL"/>
          </w:rPr>
          <w:t>https://www.cde.ca.gov/be/pn/im/documents/memo-pptb-amard-aug19item02.docx</w:t>
        </w:r>
      </w:hyperlink>
      <w:r w:rsidRPr="00FB463B">
        <w:rPr>
          <w:rFonts w:cs="Arial"/>
          <w:lang w:bidi="he-IL"/>
        </w:rPr>
        <w:t>).</w:t>
      </w:r>
    </w:p>
    <w:p w14:paraId="004AEF20" w14:textId="250F8FF6" w:rsidR="00C57C96" w:rsidRPr="00FB463B" w:rsidRDefault="00C57C96" w:rsidP="0074456B">
      <w:pPr>
        <w:spacing w:after="240"/>
        <w:rPr>
          <w:rFonts w:cs="Arial"/>
          <w:lang w:bidi="he-IL"/>
        </w:rPr>
      </w:pPr>
      <w:r w:rsidRPr="00FB463B">
        <w:rPr>
          <w:rFonts w:cs="Arial"/>
          <w:lang w:bidi="he-IL"/>
        </w:rPr>
        <w:t>In September 2019, the CDE updated the SBE on the progress and status of developing the ELPI Status methodology for the 2019 Dashboard (</w:t>
      </w:r>
      <w:hyperlink r:id="rId68" w:tgtFrame="_blank" w:tooltip="ELPI Status methodology for the 2019 Dashboard" w:history="1">
        <w:r w:rsidRPr="00FB463B">
          <w:rPr>
            <w:rFonts w:cs="Arial"/>
            <w:color w:val="0000FF"/>
            <w:u w:val="single"/>
            <w:lang w:bidi="he-IL"/>
          </w:rPr>
          <w:t>https://www.cde.ca.gov/be/ag/ag/yr19/documents/sep19item01.docx</w:t>
        </w:r>
      </w:hyperlink>
      <w:r w:rsidRPr="00FB463B">
        <w:rPr>
          <w:rFonts w:cs="Arial"/>
          <w:lang w:bidi="he-IL"/>
        </w:rPr>
        <w:t>).</w:t>
      </w:r>
    </w:p>
    <w:p w14:paraId="55C456BF" w14:textId="57C6DC5A" w:rsidR="00C57C96" w:rsidRPr="00FB463B" w:rsidRDefault="00C57C96" w:rsidP="0074456B">
      <w:pPr>
        <w:spacing w:after="240"/>
        <w:rPr>
          <w:rFonts w:cs="Arial"/>
          <w:lang w:bidi="he-IL"/>
        </w:rPr>
      </w:pPr>
      <w:r w:rsidRPr="00FB463B">
        <w:rPr>
          <w:rFonts w:cs="Arial"/>
          <w:lang w:bidi="he-IL"/>
        </w:rPr>
        <w:t>In November 2019, the SBE approved: (1) the methodology and cut scores for ELPI Status by splitting levels 2 and 3 of the English Learner Proficiency Assessments for California (ELPAC) Summative Assessment thereby creating six ELPI levels based on the ELPAC, and (2) use the “Very Low” Status to determine LEA and school eligibility for support (</w:t>
      </w:r>
      <w:hyperlink r:id="rId69" w:tgtFrame="_blank" w:tooltip="November 2019 SBE Meeting" w:history="1">
        <w:r w:rsidRPr="00FB463B">
          <w:rPr>
            <w:rFonts w:cs="Arial"/>
            <w:color w:val="0000FF"/>
            <w:u w:val="single"/>
            <w:lang w:bidi="he-IL"/>
          </w:rPr>
          <w:t>https://www.cde.ca.gov/be/ag/ag/yr19/documents/nov19item04.docx</w:t>
        </w:r>
      </w:hyperlink>
      <w:r w:rsidRPr="00FB463B">
        <w:rPr>
          <w:rFonts w:cs="Arial"/>
          <w:lang w:bidi="he-IL"/>
        </w:rPr>
        <w:t>).</w:t>
      </w:r>
    </w:p>
    <w:p w14:paraId="2AB5FD8F" w14:textId="0975EA7E" w:rsidR="00AC2B31" w:rsidRPr="00FB463B" w:rsidRDefault="00AC2B31" w:rsidP="0074456B">
      <w:pPr>
        <w:spacing w:after="240"/>
      </w:pPr>
      <w:r w:rsidRPr="00FB463B">
        <w:t xml:space="preserve">In March 2023, the CDE presented the 2023 Dashboard Workplan that included the </w:t>
      </w:r>
      <w:r w:rsidR="00F84B6D" w:rsidRPr="00FB463B">
        <w:t xml:space="preserve">completion of the ELPI with the setting of </w:t>
      </w:r>
      <w:r w:rsidR="00987003" w:rsidRPr="00FB463B">
        <w:t xml:space="preserve">change cut points and </w:t>
      </w:r>
      <w:r w:rsidR="00B02AD1" w:rsidRPr="00FB463B">
        <w:t xml:space="preserve">adoption of a color scheme for the five-by-five color </w:t>
      </w:r>
      <w:r w:rsidR="002460EA" w:rsidRPr="00FB463B">
        <w:t xml:space="preserve">grid. Additionally, the workplan included the incorporation of the Summative </w:t>
      </w:r>
      <w:r w:rsidR="008B44C3" w:rsidRPr="00FB463B">
        <w:t>Alternat</w:t>
      </w:r>
      <w:r w:rsidR="001322DC" w:rsidRPr="00FB463B">
        <w:t>e</w:t>
      </w:r>
      <w:r w:rsidR="008B44C3" w:rsidRPr="00FB463B">
        <w:t xml:space="preserve"> </w:t>
      </w:r>
      <w:r w:rsidR="002460EA" w:rsidRPr="00FB463B">
        <w:t xml:space="preserve">ELPAC </w:t>
      </w:r>
      <w:r w:rsidRPr="00FB463B">
        <w:t>(</w:t>
      </w:r>
      <w:hyperlink r:id="rId70" w:tooltip="In March 2023, the CDE presented the 2023 Dashboard Workplan that included the development of a multi-year graduation rate" w:history="1">
        <w:r w:rsidRPr="00FB463B">
          <w:rPr>
            <w:rStyle w:val="Hyperlink"/>
            <w:rFonts w:eastAsiaTheme="majorEastAsia"/>
          </w:rPr>
          <w:t>https://www.cde.ca.gov/be/ag/ag/yr23/documents/mar23item03.docx</w:t>
        </w:r>
      </w:hyperlink>
      <w:r w:rsidRPr="00FB463B">
        <w:t>).</w:t>
      </w:r>
    </w:p>
    <w:p w14:paraId="53523441" w14:textId="74F2410A" w:rsidR="00C57C96" w:rsidRPr="00FB463B" w:rsidRDefault="00C57C96" w:rsidP="0074456B">
      <w:pPr>
        <w:pStyle w:val="Heading3"/>
      </w:pPr>
      <w:r w:rsidRPr="00FB463B">
        <w:t>Graduation Rate Indicator</w:t>
      </w:r>
    </w:p>
    <w:p w14:paraId="13AB8C64" w14:textId="25EDC0E2"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In May 2016, the SBE approved the Graduation Rate as a state indicator (</w:t>
      </w:r>
      <w:hyperlink r:id="rId71" w:tgtFrame="_blank" w:tooltip="Graduation Rate approved as a state indicator" w:history="1">
        <w:r w:rsidRPr="00FB463B">
          <w:rPr>
            <w:rStyle w:val="normaltextrun"/>
            <w:rFonts w:asciiTheme="minorBidi" w:eastAsiaTheme="majorEastAsia" w:hAnsiTheme="minorBidi" w:cstheme="minorBidi"/>
            <w:color w:val="0000FF"/>
            <w:u w:val="single"/>
          </w:rPr>
          <w:t>https://www.cde.ca.gov/be/ag/ag/yr16/documents/may16item02revised.doc</w:t>
        </w:r>
      </w:hyperlink>
      <w:r w:rsidRPr="00FB463B">
        <w:rPr>
          <w:rStyle w:val="normaltextrun"/>
          <w:rFonts w:asciiTheme="minorBidi" w:eastAsiaTheme="majorEastAsia" w:hAnsiTheme="minorBidi" w:cstheme="minorBidi"/>
        </w:rPr>
        <w:t>)</w:t>
      </w:r>
      <w:r w:rsidR="00D73E14" w:rsidRPr="00FB463B">
        <w:rPr>
          <w:rStyle w:val="normaltextrun"/>
          <w:rFonts w:asciiTheme="minorBidi" w:eastAsiaTheme="majorEastAsia" w:hAnsiTheme="minorBidi" w:cstheme="minorBidi"/>
        </w:rPr>
        <w:t>.</w:t>
      </w:r>
    </w:p>
    <w:p w14:paraId="37358596" w14:textId="12F77D99"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In September 2016, the SBE approved Status and Change cut scores for the Graduation Rate Indicator, based on the four-year graduation cohort (</w:t>
      </w:r>
      <w:hyperlink r:id="rId72" w:tgtFrame="_blank" w:tooltip="Status and Change cut scores for the Graduation Rate Indicator" w:history="1">
        <w:r w:rsidRPr="00FB463B">
          <w:rPr>
            <w:rStyle w:val="normaltextrun"/>
            <w:rFonts w:asciiTheme="minorBidi" w:eastAsiaTheme="majorEastAsia" w:hAnsiTheme="minorBidi" w:cstheme="minorBidi"/>
            <w:color w:val="0000FF"/>
            <w:u w:val="single"/>
          </w:rPr>
          <w:t>https://www.cde.ca.gov/be/ag/ag/yr16/documents/sep16item01.doc</w:t>
        </w:r>
      </w:hyperlink>
      <w:r w:rsidRPr="00FB463B">
        <w:rPr>
          <w:rStyle w:val="normaltextrun"/>
          <w:rFonts w:asciiTheme="minorBidi" w:eastAsiaTheme="majorEastAsia" w:hAnsiTheme="minorBidi" w:cstheme="minorBidi"/>
        </w:rPr>
        <w:t>)</w:t>
      </w:r>
      <w:r w:rsidR="00D73E14" w:rsidRPr="00FB463B">
        <w:rPr>
          <w:rStyle w:val="normaltextrun"/>
          <w:rFonts w:asciiTheme="minorBidi" w:eastAsiaTheme="majorEastAsia" w:hAnsiTheme="minorBidi" w:cstheme="minorBidi"/>
        </w:rPr>
        <w:t>.</w:t>
      </w:r>
    </w:p>
    <w:p w14:paraId="1B529A3F" w14:textId="3C6D1409"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In March 2018, the SBE reviewed proposed revisions for the 2018 Dashboard, including the incorporation of modified methods for schools with Dashboard Alternative School Status (</w:t>
      </w:r>
      <w:hyperlink r:id="rId73" w:tgtFrame="_blank" w:tooltip="March 2018 Dashboard Alternative School Status" w:history="1">
        <w:r w:rsidRPr="00FB463B">
          <w:rPr>
            <w:rStyle w:val="normaltextrun"/>
            <w:rFonts w:asciiTheme="minorBidi" w:eastAsiaTheme="majorEastAsia" w:hAnsiTheme="minorBidi" w:cstheme="minorBidi"/>
            <w:color w:val="0000FF"/>
            <w:u w:val="single"/>
          </w:rPr>
          <w:t>https://www.cde.ca.gov/be/ag/ag/yr18/documents/mar18item01.docx</w:t>
        </w:r>
      </w:hyperlink>
      <w:r w:rsidRPr="00FB463B">
        <w:rPr>
          <w:rStyle w:val="normaltextrun"/>
          <w:rFonts w:asciiTheme="minorBidi" w:eastAsiaTheme="majorEastAsia" w:hAnsiTheme="minorBidi" w:cstheme="minorBidi"/>
        </w:rPr>
        <w:t>)</w:t>
      </w:r>
      <w:r w:rsidR="00D73E14" w:rsidRPr="00FB463B">
        <w:rPr>
          <w:rStyle w:val="normaltextrun"/>
          <w:rFonts w:asciiTheme="minorBidi" w:eastAsiaTheme="majorEastAsia" w:hAnsiTheme="minorBidi" w:cstheme="minorBidi"/>
        </w:rPr>
        <w:t>.</w:t>
      </w:r>
    </w:p>
    <w:p w14:paraId="4AF412B1" w14:textId="03B33BB6"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 xml:space="preserve">In May 2018, the SBE approved </w:t>
      </w:r>
      <w:r w:rsidR="009B096C" w:rsidRPr="00FB463B">
        <w:rPr>
          <w:rStyle w:val="normaltextrun"/>
          <w:rFonts w:asciiTheme="minorBidi" w:eastAsiaTheme="majorEastAsia" w:hAnsiTheme="minorBidi" w:cstheme="minorBidi"/>
        </w:rPr>
        <w:t xml:space="preserve">the </w:t>
      </w:r>
      <w:r w:rsidRPr="00FB463B">
        <w:rPr>
          <w:rStyle w:val="normaltextrun"/>
          <w:rFonts w:asciiTheme="minorBidi" w:eastAsiaTheme="majorEastAsia" w:hAnsiTheme="minorBidi" w:cstheme="minorBidi"/>
        </w:rPr>
        <w:t xml:space="preserve">methodology for calculating the one-year </w:t>
      </w:r>
      <w:r w:rsidR="00C01825" w:rsidRPr="00FB463B">
        <w:rPr>
          <w:rStyle w:val="normaltextrun"/>
          <w:rFonts w:asciiTheme="minorBidi" w:eastAsiaTheme="majorEastAsia" w:hAnsiTheme="minorBidi" w:cstheme="minorBidi"/>
        </w:rPr>
        <w:t xml:space="preserve">DASS </w:t>
      </w:r>
      <w:r w:rsidRPr="00FB463B">
        <w:rPr>
          <w:rStyle w:val="normaltextrun"/>
          <w:rFonts w:asciiTheme="minorBidi" w:eastAsiaTheme="majorEastAsia" w:hAnsiTheme="minorBidi" w:cstheme="minorBidi"/>
        </w:rPr>
        <w:t>graduation rate (</w:t>
      </w:r>
      <w:hyperlink r:id="rId74" w:tgtFrame="_blank" w:tooltip="May 2018 Methodology for calculating 1-year DASS graduation rate" w:history="1">
        <w:r w:rsidRPr="00FB463B">
          <w:rPr>
            <w:rStyle w:val="normaltextrun"/>
            <w:rFonts w:asciiTheme="minorBidi" w:eastAsiaTheme="majorEastAsia" w:hAnsiTheme="minorBidi" w:cstheme="minorBidi"/>
            <w:color w:val="0000FF"/>
            <w:u w:val="single"/>
          </w:rPr>
          <w:t>https://www.cde.ca.gov/be/ag/ag/yr18/documents/may18item02.docx</w:t>
        </w:r>
      </w:hyperlink>
      <w:r w:rsidRPr="00FB463B">
        <w:rPr>
          <w:rStyle w:val="normaltextrun"/>
          <w:rFonts w:asciiTheme="minorBidi" w:eastAsiaTheme="majorEastAsia" w:hAnsiTheme="minorBidi" w:cstheme="minorBidi"/>
        </w:rPr>
        <w:t>)</w:t>
      </w:r>
      <w:r w:rsidR="00D73E14" w:rsidRPr="00FB463B">
        <w:rPr>
          <w:rStyle w:val="normaltextrun"/>
          <w:rFonts w:asciiTheme="minorBidi" w:eastAsiaTheme="majorEastAsia" w:hAnsiTheme="minorBidi" w:cstheme="minorBidi"/>
        </w:rPr>
        <w:t>.</w:t>
      </w:r>
    </w:p>
    <w:p w14:paraId="107DE5CC" w14:textId="2EE30F01"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In June 2018, the SBE received an Information Memorandum on the revisions made to the calculation of the four-year cohort graduation rate to address audit findings from the (ED) Office of Inspector General (OIG) (</w:t>
      </w:r>
      <w:hyperlink r:id="rId75" w:tooltip="Information Memorandum on the revisions made to the calculation of the four-year cohort graduation rate to address audit findings from the (ED) Office of Inspector General">
        <w:r w:rsidR="00D663DB" w:rsidRPr="00FB463B">
          <w:rPr>
            <w:rStyle w:val="normaltextrun"/>
            <w:rFonts w:eastAsiaTheme="majorEastAsia" w:cs="Arial"/>
            <w:color w:val="0000FF"/>
            <w:u w:val="single"/>
          </w:rPr>
          <w:t>https://www.cde.ca.gov/be/pn/im/documents/memo-pptb-amard-jun18item02.docx</w:t>
        </w:r>
      </w:hyperlink>
      <w:r w:rsidRPr="00FB463B">
        <w:rPr>
          <w:rStyle w:val="normaltextrun"/>
          <w:rFonts w:asciiTheme="minorBidi" w:eastAsiaTheme="majorEastAsia" w:hAnsiTheme="minorBidi" w:cstheme="minorBidi"/>
        </w:rPr>
        <w:t>)</w:t>
      </w:r>
      <w:r w:rsidR="003928EC" w:rsidRPr="00FB463B">
        <w:rPr>
          <w:rStyle w:val="normaltextrun"/>
          <w:rFonts w:asciiTheme="minorBidi" w:eastAsiaTheme="majorEastAsia" w:hAnsiTheme="minorBidi" w:cstheme="minorBidi"/>
        </w:rPr>
        <w:t>.</w:t>
      </w:r>
    </w:p>
    <w:p w14:paraId="48E58040" w14:textId="290DEEF6"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lastRenderedPageBreak/>
        <w:t>In August 2018, the SBE received an Information Memorandum on the proposed Status and Change Cut scores for the one-year graduation rate for DASS schools</w:t>
      </w:r>
      <w:r w:rsidRPr="00FB463B">
        <w:rPr>
          <w:rFonts w:asciiTheme="minorBidi" w:hAnsiTheme="minorBidi" w:cstheme="minorBidi"/>
        </w:rPr>
        <w:br/>
      </w:r>
      <w:r w:rsidRPr="00FB463B">
        <w:rPr>
          <w:rStyle w:val="normaltextrun"/>
          <w:rFonts w:asciiTheme="minorBidi" w:eastAsiaTheme="majorEastAsia" w:hAnsiTheme="minorBidi" w:cstheme="minorBidi"/>
        </w:rPr>
        <w:t>(</w:t>
      </w:r>
      <w:hyperlink r:id="rId76" w:tgtFrame="_blank" w:tooltip="August 2018 Information Memorandum" w:history="1">
        <w:r w:rsidRPr="00FB463B">
          <w:rPr>
            <w:rStyle w:val="normaltextrun"/>
            <w:rFonts w:asciiTheme="minorBidi" w:eastAsiaTheme="majorEastAsia" w:hAnsiTheme="minorBidi" w:cstheme="minorBidi"/>
            <w:color w:val="0000FF"/>
            <w:u w:val="single"/>
          </w:rPr>
          <w:t>https://www.cde.ca.gov/be/pn/im/documents/memo-pptb-amard-aug18item02.docx</w:t>
        </w:r>
      </w:hyperlink>
      <w:r w:rsidRPr="00FB463B">
        <w:rPr>
          <w:rStyle w:val="normaltextrun"/>
          <w:rFonts w:asciiTheme="minorBidi" w:eastAsiaTheme="majorEastAsia" w:hAnsiTheme="minorBidi" w:cstheme="minorBidi"/>
        </w:rPr>
        <w:t>)</w:t>
      </w:r>
      <w:r w:rsidR="003928EC" w:rsidRPr="00FB463B">
        <w:rPr>
          <w:rStyle w:val="normaltextrun"/>
          <w:rFonts w:asciiTheme="minorBidi" w:eastAsiaTheme="majorEastAsia" w:hAnsiTheme="minorBidi" w:cstheme="minorBidi"/>
        </w:rPr>
        <w:t>.</w:t>
      </w:r>
    </w:p>
    <w:p w14:paraId="2775F97C" w14:textId="2B243F5F"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In September 2018, the SBE approved Status and Change cut scores for the one-year graduation rate for DASS schools (</w:t>
      </w:r>
      <w:hyperlink r:id="rId77" w:tgtFrame="_blank" w:tooltip="September 2018 SBE approved Status and Change cut scores" w:history="1">
        <w:r w:rsidRPr="00FB463B">
          <w:rPr>
            <w:rStyle w:val="normaltextrun"/>
            <w:rFonts w:asciiTheme="minorBidi" w:eastAsiaTheme="majorEastAsia" w:hAnsiTheme="minorBidi" w:cstheme="minorBidi"/>
            <w:color w:val="0000FF"/>
            <w:u w:val="single"/>
          </w:rPr>
          <w:t>https://www.cde.ca.gov/be/ag/ag/yr18/documents/sep18item01.docx</w:t>
        </w:r>
      </w:hyperlink>
      <w:r w:rsidRPr="00FB463B">
        <w:rPr>
          <w:rStyle w:val="normaltextrun"/>
          <w:rFonts w:asciiTheme="minorBidi" w:eastAsiaTheme="majorEastAsia" w:hAnsiTheme="minorBidi" w:cstheme="minorBidi"/>
        </w:rPr>
        <w:t>)</w:t>
      </w:r>
      <w:r w:rsidR="003928EC" w:rsidRPr="00FB463B">
        <w:rPr>
          <w:rStyle w:val="normaltextrun"/>
          <w:rFonts w:asciiTheme="minorBidi" w:eastAsiaTheme="majorEastAsia" w:hAnsiTheme="minorBidi" w:cstheme="minorBidi"/>
        </w:rPr>
        <w:t>.</w:t>
      </w:r>
    </w:p>
    <w:p w14:paraId="73F0C28A" w14:textId="2BB6ADD7" w:rsidR="00C57C96" w:rsidRPr="00FB463B" w:rsidRDefault="00C57C96" w:rsidP="0074456B">
      <w:pPr>
        <w:spacing w:after="240"/>
        <w:rPr>
          <w:rStyle w:val="eop"/>
          <w:rFonts w:asciiTheme="minorBidi" w:hAnsiTheme="minorBidi" w:cstheme="minorBidi"/>
        </w:rPr>
      </w:pPr>
      <w:r w:rsidRPr="00FB463B">
        <w:rPr>
          <w:rStyle w:val="normaltextrun"/>
          <w:rFonts w:asciiTheme="minorBidi" w:eastAsiaTheme="majorEastAsia" w:hAnsiTheme="minorBidi" w:cstheme="minorBidi"/>
        </w:rPr>
        <w:t>In November 2018, the SBE approved modification to the Status cut scores for the Graduation Rate Indicator based on the inclusion of DASS schools for the first time within the calculation of the indicator and business rule changes to the calculation of the four-year cohort graduation rate based on audit findings from the ED OIG (</w:t>
      </w:r>
      <w:hyperlink r:id="rId78" w:tgtFrame="_blank" w:tooltip="November 2018 Modification to Status cut scores for Graduation Rate Indicator" w:history="1">
        <w:r w:rsidRPr="00FB463B">
          <w:rPr>
            <w:rStyle w:val="normaltextrun"/>
            <w:rFonts w:asciiTheme="minorBidi" w:eastAsiaTheme="majorEastAsia" w:hAnsiTheme="minorBidi" w:cstheme="minorBidi"/>
            <w:color w:val="0000FF"/>
            <w:u w:val="single"/>
          </w:rPr>
          <w:t>https://www.cde.ca.gov/be/ag/ag/yr18/documents/nov18item04.docx</w:t>
        </w:r>
      </w:hyperlink>
      <w:r w:rsidRPr="00FB463B">
        <w:rPr>
          <w:rStyle w:val="normaltextrun"/>
          <w:rFonts w:asciiTheme="minorBidi" w:eastAsiaTheme="majorEastAsia" w:hAnsiTheme="minorBidi" w:cstheme="minorBidi"/>
        </w:rPr>
        <w:t>)</w:t>
      </w:r>
      <w:r w:rsidR="003928EC" w:rsidRPr="00FB463B">
        <w:rPr>
          <w:rStyle w:val="normaltextrun"/>
          <w:rFonts w:asciiTheme="minorBidi" w:eastAsiaTheme="majorEastAsia" w:hAnsiTheme="minorBidi" w:cstheme="minorBidi"/>
        </w:rPr>
        <w:t>.</w:t>
      </w:r>
    </w:p>
    <w:p w14:paraId="766426AF" w14:textId="028BE4AA" w:rsidR="00C57C96" w:rsidRPr="00FB463B" w:rsidRDefault="004B30B5" w:rsidP="0074456B">
      <w:pPr>
        <w:spacing w:after="240"/>
        <w:rPr>
          <w:rStyle w:val="eop"/>
          <w:rFonts w:asciiTheme="minorBidi" w:hAnsiTheme="minorBidi" w:cstheme="minorBidi"/>
        </w:rPr>
      </w:pPr>
      <w:r w:rsidRPr="00FB463B">
        <w:rPr>
          <w:rStyle w:val="eop"/>
          <w:rFonts w:asciiTheme="minorBidi" w:hAnsiTheme="minorBidi" w:cstheme="minorBidi"/>
        </w:rPr>
        <w:t xml:space="preserve">In July 2019, the SBE approved the </w:t>
      </w:r>
      <w:r w:rsidRPr="00FB463B">
        <w:rPr>
          <w:rStyle w:val="normaltextrun"/>
          <w:rFonts w:asciiTheme="minorBidi" w:eastAsiaTheme="majorEastAsia" w:hAnsiTheme="minorBidi" w:cstheme="minorBidi"/>
        </w:rPr>
        <w:t xml:space="preserve">implementation of the combined graduation rate for all comprehensive non-DASS high schools </w:t>
      </w:r>
      <w:r w:rsidR="00C57C96" w:rsidRPr="00FB463B">
        <w:rPr>
          <w:rStyle w:val="normaltextrun"/>
          <w:rFonts w:asciiTheme="minorBidi" w:eastAsiaTheme="majorEastAsia" w:hAnsiTheme="minorBidi" w:cstheme="minorBidi"/>
        </w:rPr>
        <w:t>(</w:t>
      </w:r>
      <w:hyperlink r:id="rId79" w:tgtFrame="_blank" w:tooltip="July 2019 approved implementation of combined graduation rate for non-DASS schools" w:history="1">
        <w:r w:rsidR="00C57C96" w:rsidRPr="00FB463B">
          <w:rPr>
            <w:rStyle w:val="normaltextrun"/>
            <w:rFonts w:asciiTheme="minorBidi" w:eastAsiaTheme="majorEastAsia" w:hAnsiTheme="minorBidi" w:cstheme="minorBidi"/>
            <w:color w:val="0000FF"/>
            <w:u w:val="single"/>
          </w:rPr>
          <w:t>https://www.cde.ca.gov/be/ag/ag/yr19/documents/jul19item01.docx</w:t>
        </w:r>
      </w:hyperlink>
      <w:r w:rsidR="00C57C96" w:rsidRPr="00FB463B">
        <w:rPr>
          <w:rStyle w:val="normaltextrun"/>
          <w:rFonts w:asciiTheme="minorBidi" w:eastAsiaTheme="majorEastAsia" w:hAnsiTheme="minorBidi" w:cstheme="minorBidi"/>
          <w:color w:val="000000"/>
        </w:rPr>
        <w:t>)</w:t>
      </w:r>
      <w:r w:rsidR="003928EC" w:rsidRPr="00FB463B">
        <w:rPr>
          <w:rStyle w:val="normaltextrun"/>
          <w:rFonts w:asciiTheme="minorBidi" w:eastAsiaTheme="majorEastAsia" w:hAnsiTheme="minorBidi" w:cstheme="minorBidi"/>
          <w:color w:val="000000"/>
        </w:rPr>
        <w:t>.</w:t>
      </w:r>
    </w:p>
    <w:p w14:paraId="7B2CFFD5" w14:textId="4382B309" w:rsidR="00C57C96" w:rsidRPr="00FB463B" w:rsidRDefault="00C57C96" w:rsidP="0074456B">
      <w:pPr>
        <w:spacing w:after="240"/>
        <w:rPr>
          <w:rStyle w:val="eop"/>
          <w:rFonts w:asciiTheme="minorBidi" w:hAnsiTheme="minorBidi" w:cstheme="minorBidi"/>
          <w:color w:val="000000"/>
        </w:rPr>
      </w:pPr>
      <w:r w:rsidRPr="00FB463B">
        <w:rPr>
          <w:rStyle w:val="normaltextrun"/>
          <w:rFonts w:asciiTheme="minorBidi" w:eastAsiaTheme="majorEastAsia" w:hAnsiTheme="minorBidi" w:cstheme="minorBidi"/>
          <w:color w:val="000000"/>
        </w:rPr>
        <w:t>In September 2019, the SBE approved raising the Very Low Status level from “below 67 percent” to “below 68 percent” due to the addition of fifth-year graduates increasing the graduation rates (</w:t>
      </w:r>
      <w:hyperlink r:id="rId80" w:tgtFrame="_blank" w:tooltip="September 2019 SBE approved raising the Very Low Status level" w:history="1">
        <w:r w:rsidRPr="00FB463B">
          <w:rPr>
            <w:rStyle w:val="normaltextrun"/>
            <w:rFonts w:asciiTheme="minorBidi" w:eastAsiaTheme="majorEastAsia" w:hAnsiTheme="minorBidi" w:cstheme="minorBidi"/>
            <w:color w:val="0000FF"/>
            <w:u w:val="single"/>
          </w:rPr>
          <w:t>https://www.cde.ca.gov/be/ag/ag/yr19/documents/sep19item01.docx</w:t>
        </w:r>
      </w:hyperlink>
      <w:r w:rsidRPr="00FB463B">
        <w:rPr>
          <w:rStyle w:val="normaltextrun"/>
          <w:rFonts w:asciiTheme="minorBidi" w:eastAsiaTheme="majorEastAsia" w:hAnsiTheme="minorBidi" w:cstheme="minorBidi"/>
          <w:color w:val="000000"/>
        </w:rPr>
        <w:t>)</w:t>
      </w:r>
      <w:r w:rsidR="003928EC" w:rsidRPr="00FB463B">
        <w:rPr>
          <w:rStyle w:val="normaltextrun"/>
          <w:rFonts w:asciiTheme="minorBidi" w:eastAsiaTheme="majorEastAsia" w:hAnsiTheme="minorBidi" w:cstheme="minorBidi"/>
          <w:color w:val="000000"/>
        </w:rPr>
        <w:t>.</w:t>
      </w:r>
    </w:p>
    <w:p w14:paraId="085F7CC1" w14:textId="25FF8042" w:rsidR="00C57C96" w:rsidRPr="00FB463B" w:rsidRDefault="00C57C96" w:rsidP="0074456B">
      <w:pPr>
        <w:spacing w:after="240"/>
        <w:rPr>
          <w:rStyle w:val="eop"/>
          <w:rFonts w:asciiTheme="minorBidi" w:hAnsiTheme="minorBidi" w:cstheme="minorBidi"/>
          <w:color w:val="000000"/>
        </w:rPr>
      </w:pPr>
      <w:r w:rsidRPr="00FB463B">
        <w:rPr>
          <w:rStyle w:val="normaltextrun"/>
          <w:rFonts w:asciiTheme="minorBidi" w:eastAsiaTheme="majorEastAsia" w:hAnsiTheme="minorBidi" w:cstheme="minorBidi"/>
          <w:color w:val="000000"/>
        </w:rPr>
        <w:t>In November 2019, with the long-term goal increasing to 90.5 percent from 90 percent as required via the federal ESSA State Plan, the SBE approved the revisions to the High and Medium Status cut scores for comprehensive non-DASS high schools and the High and Very High Status cut scores for DASS schools (</w:t>
      </w:r>
      <w:hyperlink r:id="rId81" w:tgtFrame="_blank" w:tooltip="November 2019 approved revisions to Status levels for DASS and non-DASS schools" w:history="1">
        <w:r w:rsidRPr="00FB463B">
          <w:rPr>
            <w:rStyle w:val="normaltextrun"/>
            <w:rFonts w:asciiTheme="minorBidi" w:eastAsiaTheme="majorEastAsia" w:hAnsiTheme="minorBidi" w:cstheme="minorBidi"/>
            <w:color w:val="0000FF"/>
            <w:u w:val="single"/>
          </w:rPr>
          <w:t>https://www.cde.ca.gov/be/ag/ag/yr19/documents/nov19item05rev.docx</w:t>
        </w:r>
      </w:hyperlink>
      <w:r w:rsidRPr="00FB463B">
        <w:rPr>
          <w:rStyle w:val="normaltextrun"/>
          <w:rFonts w:asciiTheme="minorBidi" w:eastAsiaTheme="majorEastAsia" w:hAnsiTheme="minorBidi" w:cstheme="minorBidi"/>
          <w:color w:val="000000"/>
        </w:rPr>
        <w:t>)</w:t>
      </w:r>
      <w:r w:rsidR="003928EC" w:rsidRPr="00FB463B">
        <w:rPr>
          <w:rStyle w:val="normaltextrun"/>
          <w:rFonts w:asciiTheme="minorBidi" w:eastAsiaTheme="majorEastAsia" w:hAnsiTheme="minorBidi" w:cstheme="minorBidi"/>
          <w:color w:val="000000"/>
        </w:rPr>
        <w:t>.</w:t>
      </w:r>
    </w:p>
    <w:p w14:paraId="0D5A4B5F" w14:textId="0548BC4B" w:rsidR="009229F8" w:rsidRPr="00FB463B" w:rsidRDefault="009229F8" w:rsidP="0074456B">
      <w:pPr>
        <w:spacing w:after="240"/>
      </w:pPr>
      <w:r w:rsidRPr="00FB463B">
        <w:t>In January 2021, the SBE approved an update to California’s ESSA Plan to use modified methods for DASS for the Academic and Graduation Rate Indicators. The item also provided an overview of the COVID-19 State Plan Addendum, which is a streamlined process offered by ED for use in the 2020–21 school year in response to the COVID-19 waivers approved by ED in March 2020 (</w:t>
      </w:r>
      <w:hyperlink r:id="rId82" w:tooltip="January 2021 approved an update to California's ESSA Plan" w:history="1">
        <w:r w:rsidRPr="00FB463B">
          <w:rPr>
            <w:rStyle w:val="Hyperlink"/>
          </w:rPr>
          <w:t>https://www.cde.ca.gov/be/ag/ag/yr21/documents/jan21item04.docx</w:t>
        </w:r>
      </w:hyperlink>
      <w:r w:rsidRPr="00FB463B">
        <w:t>)</w:t>
      </w:r>
      <w:r w:rsidR="003928EC" w:rsidRPr="00FB463B">
        <w:t>.</w:t>
      </w:r>
    </w:p>
    <w:p w14:paraId="3BDB4DD2" w14:textId="2C2E8355" w:rsidR="009229F8" w:rsidRPr="00FB463B" w:rsidRDefault="009229F8" w:rsidP="0074456B">
      <w:pPr>
        <w:spacing w:after="240"/>
      </w:pPr>
      <w:r w:rsidRPr="00FB463B">
        <w:t xml:space="preserve">In February 2022, the CDE presented the SBE with an Information Memorandum, </w:t>
      </w:r>
      <w:bookmarkStart w:id="3" w:name="_Hlk112066263"/>
      <w:r w:rsidRPr="00FB463B">
        <w:t>which provided information on the letter from ED that denied the</w:t>
      </w:r>
      <w:bookmarkEnd w:id="3"/>
      <w:r w:rsidRPr="00FB463B">
        <w:t xml:space="preserve"> State Plan amendments related to clarifying the DASS program (</w:t>
      </w:r>
      <w:hyperlink r:id="rId83" w:tooltip="February 2022 SBE Information Memorandum">
        <w:r w:rsidRPr="00FB463B">
          <w:rPr>
            <w:rStyle w:val="Hyperlink"/>
          </w:rPr>
          <w:t>https://www.cde.ca.gov/be/pn/im/documents/feb22memogad01.docx</w:t>
        </w:r>
      </w:hyperlink>
      <w:r w:rsidRPr="00FB463B">
        <w:t>).</w:t>
      </w:r>
    </w:p>
    <w:p w14:paraId="660A1D8F" w14:textId="7233CAB4" w:rsidR="009229F8" w:rsidRPr="00FB463B" w:rsidRDefault="009229F8" w:rsidP="0074456B">
      <w:pPr>
        <w:spacing w:after="240"/>
        <w:rPr>
          <w:rFonts w:eastAsia="Arial" w:cs="Arial"/>
        </w:rPr>
      </w:pPr>
      <w:r w:rsidRPr="00FB463B">
        <w:rPr>
          <w:rFonts w:eastAsia="Arial" w:cs="Arial"/>
        </w:rPr>
        <w:t>In March 2022, the SBE approved the submission of a waiver to the ED to allow the application of the DASS modified methods to continue for the Academic and Graduation Rate Indicators (</w:t>
      </w:r>
      <w:hyperlink r:id="rId84" w:tooltip="March 2022 SBE Meeting" w:history="1">
        <w:r w:rsidRPr="00FB463B">
          <w:rPr>
            <w:rFonts w:eastAsia="Arial" w:cs="Arial"/>
            <w:color w:val="0000FF"/>
            <w:u w:val="single"/>
          </w:rPr>
          <w:t>https://www.cde.ca.gov/be/ag/ag/yr22/documents/mar22item04.docx</w:t>
        </w:r>
      </w:hyperlink>
      <w:r w:rsidR="00B32693" w:rsidRPr="00FB463B">
        <w:rPr>
          <w:rFonts w:eastAsia="Arial" w:cs="Arial"/>
        </w:rPr>
        <w:t>).</w:t>
      </w:r>
    </w:p>
    <w:p w14:paraId="1D4F7C25" w14:textId="52F0FD98" w:rsidR="009229F8" w:rsidRPr="00FB463B" w:rsidRDefault="009229F8" w:rsidP="0074456B">
      <w:pPr>
        <w:spacing w:after="240"/>
        <w:rPr>
          <w:rStyle w:val="eop"/>
          <w:rFonts w:cs="Arial"/>
          <w:color w:val="000000"/>
        </w:rPr>
      </w:pPr>
      <w:r w:rsidRPr="00FB463B">
        <w:rPr>
          <w:rFonts w:eastAsia="Arial"/>
        </w:rPr>
        <w:t xml:space="preserve">In August 2022, the CDE presented the SBE with an Information Memorandum which provided information on the letter from ED that denied the waiver request to maintain </w:t>
      </w:r>
      <w:r w:rsidRPr="00FB463B">
        <w:rPr>
          <w:rFonts w:eastAsia="Arial"/>
        </w:rPr>
        <w:lastRenderedPageBreak/>
        <w:t>DASS modified methods business rules for calculating the Academic and Graduation Rate Indicators (</w:t>
      </w:r>
      <w:hyperlink r:id="rId85" w:tooltip="August 2022 SBE Information Memorandum" w:history="1">
        <w:r w:rsidRPr="00FB463B">
          <w:rPr>
            <w:rStyle w:val="Hyperlink"/>
            <w:rFonts w:eastAsia="Arial" w:cs="Arial"/>
          </w:rPr>
          <w:t>https://www.cde.ca.gov/be/pn/im/documents/aug22memogad01.docx</w:t>
        </w:r>
      </w:hyperlink>
      <w:r w:rsidRPr="00FB463B">
        <w:rPr>
          <w:rFonts w:eastAsia="Arial"/>
        </w:rPr>
        <w:t>).</w:t>
      </w:r>
    </w:p>
    <w:p w14:paraId="1657AC60" w14:textId="03D0B1DB" w:rsidR="0001752C" w:rsidRPr="00FB463B" w:rsidRDefault="00F414E8" w:rsidP="0074456B">
      <w:pPr>
        <w:spacing w:after="240"/>
        <w:rPr>
          <w:rStyle w:val="eop"/>
          <w:rFonts w:asciiTheme="minorBidi" w:hAnsiTheme="minorBidi" w:cstheme="minorBidi"/>
        </w:rPr>
      </w:pPr>
      <w:r w:rsidRPr="00FB463B">
        <w:rPr>
          <w:rStyle w:val="eop"/>
          <w:rFonts w:asciiTheme="minorBidi" w:hAnsiTheme="minorBidi" w:cstheme="minorBidi"/>
        </w:rPr>
        <w:t xml:space="preserve">In </w:t>
      </w:r>
      <w:r w:rsidR="0001752C" w:rsidRPr="00FB463B">
        <w:rPr>
          <w:rStyle w:val="eop"/>
          <w:rFonts w:asciiTheme="minorBidi" w:hAnsiTheme="minorBidi" w:cstheme="minorBidi"/>
        </w:rPr>
        <w:t>September 2022</w:t>
      </w:r>
      <w:r w:rsidRPr="00FB463B">
        <w:rPr>
          <w:rStyle w:val="eop"/>
          <w:rFonts w:asciiTheme="minorBidi" w:hAnsiTheme="minorBidi" w:cstheme="minorBidi"/>
        </w:rPr>
        <w:t xml:space="preserve">, the </w:t>
      </w:r>
      <w:r w:rsidR="00426E9E" w:rsidRPr="00FB463B">
        <w:rPr>
          <w:rStyle w:val="eop"/>
          <w:rFonts w:asciiTheme="minorBidi" w:hAnsiTheme="minorBidi" w:cstheme="minorBidi"/>
        </w:rPr>
        <w:t xml:space="preserve">SBE was provided short-term and long-term options on </w:t>
      </w:r>
      <w:r w:rsidR="007870ED" w:rsidRPr="00FB463B">
        <w:rPr>
          <w:rStyle w:val="eop"/>
          <w:rFonts w:asciiTheme="minorBidi" w:hAnsiTheme="minorBidi" w:cstheme="minorBidi"/>
        </w:rPr>
        <w:t>how</w:t>
      </w:r>
      <w:r w:rsidR="00F14CF9" w:rsidRPr="00FB463B">
        <w:rPr>
          <w:rStyle w:val="eop"/>
          <w:rFonts w:asciiTheme="minorBidi" w:hAnsiTheme="minorBidi" w:cstheme="minorBidi"/>
        </w:rPr>
        <w:t xml:space="preserve"> California can continue </w:t>
      </w:r>
      <w:r w:rsidR="008A0A45" w:rsidRPr="00FB463B">
        <w:rPr>
          <w:rStyle w:val="eop"/>
          <w:rFonts w:asciiTheme="minorBidi" w:hAnsiTheme="minorBidi" w:cstheme="minorBidi"/>
        </w:rPr>
        <w:t>implementing</w:t>
      </w:r>
      <w:r w:rsidR="00F14CF9" w:rsidRPr="00FB463B">
        <w:rPr>
          <w:rStyle w:val="eop"/>
          <w:rFonts w:asciiTheme="minorBidi" w:hAnsiTheme="minorBidi" w:cstheme="minorBidi"/>
        </w:rPr>
        <w:t xml:space="preserve"> DASS </w:t>
      </w:r>
      <w:r w:rsidR="002F1FE7" w:rsidRPr="00FB463B">
        <w:rPr>
          <w:rStyle w:val="eop"/>
          <w:rFonts w:asciiTheme="minorBidi" w:hAnsiTheme="minorBidi" w:cstheme="minorBidi"/>
        </w:rPr>
        <w:t xml:space="preserve">for the 2022 Dashboard and beyond </w:t>
      </w:r>
      <w:r w:rsidR="001D47E2" w:rsidRPr="00FB463B">
        <w:rPr>
          <w:rStyle w:val="eop"/>
          <w:rFonts w:asciiTheme="minorBidi" w:hAnsiTheme="minorBidi" w:cstheme="minorBidi"/>
        </w:rPr>
        <w:t>(</w:t>
      </w:r>
      <w:hyperlink r:id="rId86" w:tooltip="September 2022 DASS for the 2022 Dashboard and beyond" w:history="1">
        <w:r w:rsidR="001D47E2" w:rsidRPr="00FB463B">
          <w:rPr>
            <w:rStyle w:val="Hyperlink"/>
            <w:rFonts w:asciiTheme="minorBidi" w:hAnsiTheme="minorBidi" w:cstheme="minorBidi"/>
          </w:rPr>
          <w:t>https://www.cde.ca.gov/be/ag/ag/yr22/documents/sep22item03.docx</w:t>
        </w:r>
      </w:hyperlink>
      <w:r w:rsidR="001D47E2" w:rsidRPr="00FB463B">
        <w:rPr>
          <w:rStyle w:val="eop"/>
          <w:rFonts w:asciiTheme="minorBidi" w:hAnsiTheme="minorBidi" w:cstheme="minorBidi"/>
        </w:rPr>
        <w:t>)</w:t>
      </w:r>
      <w:r w:rsidR="003D37FD" w:rsidRPr="00FB463B">
        <w:rPr>
          <w:rStyle w:val="eop"/>
          <w:rFonts w:asciiTheme="minorBidi" w:hAnsiTheme="minorBidi" w:cstheme="minorBidi"/>
        </w:rPr>
        <w:t>.</w:t>
      </w:r>
    </w:p>
    <w:p w14:paraId="73FC7BA9" w14:textId="2C738664" w:rsidR="00A440A1" w:rsidRPr="00FB463B" w:rsidRDefault="007F5B7A" w:rsidP="0074456B">
      <w:pPr>
        <w:spacing w:after="240"/>
      </w:pPr>
      <w:r w:rsidRPr="00FB463B">
        <w:t>In March 2023, the CDE presented the 2023 Dashboard Workplan that included the development of a multi-year graduation rate (</w:t>
      </w:r>
      <w:hyperlink r:id="rId87" w:tooltip="In March 2023, the CDE presented the 2023 Dashboard Workplan that included the development of a multi-year graduation rate" w:history="1">
        <w:r w:rsidRPr="00FB463B">
          <w:rPr>
            <w:rStyle w:val="Hyperlink"/>
            <w:rFonts w:eastAsiaTheme="majorEastAsia"/>
          </w:rPr>
          <w:t>https://www.cde.ca.gov/be/ag/ag/yr23/documents/mar23item03.docx</w:t>
        </w:r>
      </w:hyperlink>
      <w:r w:rsidRPr="00FB463B">
        <w:t>).</w:t>
      </w:r>
    </w:p>
    <w:p w14:paraId="25237CE1" w14:textId="7843C42B" w:rsidR="007F5B7A" w:rsidRPr="00FB463B" w:rsidRDefault="00C022EB" w:rsidP="0074456B">
      <w:pPr>
        <w:spacing w:after="240"/>
        <w:rPr>
          <w:rStyle w:val="eop"/>
          <w:rFonts w:asciiTheme="minorBidi" w:hAnsiTheme="minorBidi" w:cstheme="minorBidi"/>
        </w:rPr>
      </w:pPr>
      <w:r w:rsidRPr="00FB463B">
        <w:rPr>
          <w:rFonts w:cs="Arial"/>
        </w:rPr>
        <w:t xml:space="preserve">In June 2023, the SBE was provided with </w:t>
      </w:r>
      <w:r w:rsidR="00596ED8" w:rsidRPr="00FB463B">
        <w:rPr>
          <w:rFonts w:eastAsia="Arial"/>
        </w:rPr>
        <w:t xml:space="preserve">an Information Memorandum </w:t>
      </w:r>
      <w:r w:rsidR="00890865" w:rsidRPr="00FB463B">
        <w:rPr>
          <w:rFonts w:eastAsia="Arial"/>
        </w:rPr>
        <w:t xml:space="preserve">on the calculation and analysis of a multi-year extended graduation rate and its impact on </w:t>
      </w:r>
      <w:r w:rsidR="00890865" w:rsidRPr="00FB463B">
        <w:rPr>
          <w:rFonts w:cs="Arial"/>
        </w:rPr>
        <w:t>Dashboard Alternative School Status (DASS) and non-DASS schools (</w:t>
      </w:r>
      <w:hyperlink r:id="rId88" w:tooltip="Information Memorandum on the calculation and analysis of a multi-year extended graduation rate and its impact on DASS and non-DASS schools">
        <w:r w:rsidR="005C794D" w:rsidRPr="00FB463B">
          <w:rPr>
            <w:rStyle w:val="Hyperlink"/>
            <w:rFonts w:cs="Arial"/>
          </w:rPr>
          <w:t>https://www.cde.ca.gov/be/pn/im/documents/jun23memoamard02.docx</w:t>
        </w:r>
      </w:hyperlink>
      <w:r w:rsidR="005C794D" w:rsidRPr="00FB463B">
        <w:rPr>
          <w:rFonts w:cs="Arial"/>
        </w:rPr>
        <w:t>).</w:t>
      </w:r>
    </w:p>
    <w:p w14:paraId="7BB747BF" w14:textId="48166F15" w:rsidR="48C1AC09" w:rsidRPr="00FB463B" w:rsidRDefault="48C1AC09" w:rsidP="0074456B">
      <w:pPr>
        <w:pStyle w:val="Heading3"/>
        <w:rPr>
          <w:rFonts w:eastAsia="Arial" w:cs="Arial"/>
          <w:szCs w:val="32"/>
        </w:rPr>
      </w:pPr>
      <w:r w:rsidRPr="00FB463B">
        <w:rPr>
          <w:rFonts w:eastAsia="Arial" w:cs="Arial"/>
          <w:szCs w:val="32"/>
        </w:rPr>
        <w:t>Chronic Absenteeism Indicator</w:t>
      </w:r>
    </w:p>
    <w:p w14:paraId="1B8A031F" w14:textId="3F121331" w:rsidR="48C1AC09" w:rsidRPr="00FB463B" w:rsidRDefault="48C1AC09" w:rsidP="0074456B">
      <w:pPr>
        <w:spacing w:after="240"/>
      </w:pPr>
      <w:r w:rsidRPr="00FB463B">
        <w:rPr>
          <w:rFonts w:eastAsia="Arial" w:cs="Arial"/>
          <w:color w:val="000000" w:themeColor="text1"/>
        </w:rPr>
        <w:t>In November 2014, the SBE adopted the LCAP template, which included the formula for calculating the Chronic Absenteeism rate. (</w:t>
      </w:r>
      <w:hyperlink r:id="rId89" w:tooltip="LCAP template, which included the formula for calculating the Chronic Absenteeism rate">
        <w:r w:rsidRPr="00FB463B">
          <w:rPr>
            <w:rStyle w:val="Hyperlink"/>
            <w:rFonts w:eastAsia="Arial" w:cs="Arial"/>
          </w:rPr>
          <w:t>https://www.cde.ca.gov/be/ag/ag/yr14/documents/nov14item14.doc</w:t>
        </w:r>
      </w:hyperlink>
      <w:r w:rsidRPr="00FB463B">
        <w:rPr>
          <w:rFonts w:eastAsia="Arial" w:cs="Arial"/>
          <w:color w:val="0000FF"/>
          <w:u w:val="single"/>
        </w:rPr>
        <w:t>)</w:t>
      </w:r>
    </w:p>
    <w:p w14:paraId="6DD28EC3" w14:textId="126E5748" w:rsidR="48C1AC09" w:rsidRPr="00FB463B" w:rsidRDefault="48C1AC09" w:rsidP="0074456B">
      <w:pPr>
        <w:spacing w:after="240"/>
      </w:pPr>
      <w:r w:rsidRPr="00FB463B">
        <w:rPr>
          <w:rFonts w:eastAsia="Arial" w:cs="Arial"/>
          <w:color w:val="000000" w:themeColor="text1"/>
        </w:rPr>
        <w:t>In May 2016, the SBE adopted Chronic Absenteeism as a state indicator. (</w:t>
      </w:r>
      <w:hyperlink r:id="rId90" w:tooltip="In May 2016, the SBE adopted Chronic Absenteeism as a state indicator">
        <w:r w:rsidRPr="00FB463B">
          <w:rPr>
            <w:rStyle w:val="Hyperlink"/>
            <w:rFonts w:eastAsia="Arial" w:cs="Arial"/>
          </w:rPr>
          <w:t>https://www.cde.ca.gov/be/ag/ag/yr16/documents/may16item02revised.doc</w:t>
        </w:r>
      </w:hyperlink>
      <w:r w:rsidRPr="00FB463B">
        <w:rPr>
          <w:rFonts w:eastAsia="Arial" w:cs="Arial"/>
          <w:color w:val="000000" w:themeColor="text1"/>
        </w:rPr>
        <w:t>)</w:t>
      </w:r>
    </w:p>
    <w:p w14:paraId="18A27FBC" w14:textId="7CD11DFD" w:rsidR="48C1AC09" w:rsidRPr="00FB463B" w:rsidRDefault="48C1AC09" w:rsidP="0074456B">
      <w:pPr>
        <w:spacing w:after="240"/>
      </w:pPr>
      <w:r w:rsidRPr="00FB463B">
        <w:rPr>
          <w:rFonts w:eastAsia="Arial" w:cs="Arial"/>
          <w:color w:val="000000" w:themeColor="text1"/>
        </w:rPr>
        <w:t>At the September 2017 SBE meeting, the CDE provided an update on the Chronic Absenteeism Indicator and the collection of chronic absenteeism data. (</w:t>
      </w:r>
      <w:hyperlink r:id="rId91" w:tooltip="CDE provided an update on the Chronic Absenteeism Indicator and the collection of chronic absenteeism data">
        <w:r w:rsidRPr="00FB463B">
          <w:rPr>
            <w:rStyle w:val="Hyperlink"/>
            <w:rFonts w:eastAsia="Arial" w:cs="Arial"/>
          </w:rPr>
          <w:t>https://www.cde.ca.gov/be/ag/ag/yr17/documents/sep17item02.doc</w:t>
        </w:r>
      </w:hyperlink>
      <w:r w:rsidRPr="00FB463B">
        <w:rPr>
          <w:rFonts w:eastAsia="Arial" w:cs="Arial"/>
          <w:color w:val="000000" w:themeColor="text1"/>
        </w:rPr>
        <w:t>)</w:t>
      </w:r>
    </w:p>
    <w:p w14:paraId="397C2620" w14:textId="047BC8D6" w:rsidR="48C1AC09" w:rsidRPr="00FB463B" w:rsidRDefault="48C1AC09" w:rsidP="0074456B">
      <w:pPr>
        <w:spacing w:after="240"/>
      </w:pPr>
      <w:r w:rsidRPr="00FB463B">
        <w:rPr>
          <w:rFonts w:eastAsia="Arial" w:cs="Arial"/>
          <w:color w:val="000000" w:themeColor="text1"/>
        </w:rPr>
        <w:t xml:space="preserve">At the November 2017 SBE meeting, the CDE provided extensive background on the Chronic Absenteeism Indicator and requested that the SBE: (1) include information in the Fall 2017 Dashboard to redirect users to the Chronic Absenteeism reports on </w:t>
      </w:r>
      <w:proofErr w:type="spellStart"/>
      <w:r w:rsidRPr="00FB463B">
        <w:rPr>
          <w:rFonts w:eastAsia="Arial" w:cs="Arial"/>
          <w:color w:val="000000" w:themeColor="text1"/>
        </w:rPr>
        <w:t>DataQuest</w:t>
      </w:r>
      <w:proofErr w:type="spellEnd"/>
      <w:r w:rsidRPr="00FB463B">
        <w:rPr>
          <w:rFonts w:eastAsia="Arial" w:cs="Arial"/>
          <w:color w:val="000000" w:themeColor="text1"/>
        </w:rPr>
        <w:t>;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Change cut scores. (</w:t>
      </w:r>
      <w:hyperlink r:id="rId92" w:tooltip="CDE staff to develop a recommendation for the September or November 2018 SBE meeting on proposed Change cut scores">
        <w:r w:rsidRPr="00FB463B">
          <w:rPr>
            <w:rStyle w:val="Hyperlink"/>
            <w:rFonts w:eastAsia="Arial" w:cs="Arial"/>
          </w:rPr>
          <w:t>https://www.cde.ca.gov/be/ag/ag/yr17/documents/nov17item03.doc</w:t>
        </w:r>
      </w:hyperlink>
      <w:r w:rsidRPr="00FB463B">
        <w:rPr>
          <w:rFonts w:eastAsia="Arial" w:cs="Arial"/>
          <w:color w:val="000000" w:themeColor="text1"/>
        </w:rPr>
        <w:t>)</w:t>
      </w:r>
    </w:p>
    <w:p w14:paraId="2DA19378" w14:textId="4F9C30B3" w:rsidR="48C1AC09" w:rsidRPr="00FB463B" w:rsidRDefault="48C1AC09" w:rsidP="0074456B">
      <w:pPr>
        <w:spacing w:after="240"/>
      </w:pPr>
      <w:r w:rsidRPr="00FB463B">
        <w:rPr>
          <w:rFonts w:eastAsia="Arial" w:cs="Arial"/>
          <w:color w:val="000000" w:themeColor="text1"/>
        </w:rPr>
        <w:t>In March 2018, the SBE was provided an update on proposed changes to the Dashboard for the 2018 Dashboard release, including an update on the development of the Chronic Absenteeism Indicator. (</w:t>
      </w:r>
      <w:hyperlink r:id="rId93" w:tooltip="2018 Dashboard release, including an update on the development of the Chronic Absenteeism Indicator">
        <w:r w:rsidRPr="00FB463B">
          <w:rPr>
            <w:rStyle w:val="Hyperlink"/>
            <w:rFonts w:eastAsia="Arial" w:cs="Arial"/>
          </w:rPr>
          <w:t>https://www.cde.ca.gov/be/ag/ag/yr18/documents/mar18item01.docx</w:t>
        </w:r>
      </w:hyperlink>
      <w:r w:rsidRPr="00FB463B">
        <w:rPr>
          <w:rFonts w:eastAsia="Arial" w:cs="Arial"/>
          <w:color w:val="000000" w:themeColor="text1"/>
        </w:rPr>
        <w:t>)</w:t>
      </w:r>
    </w:p>
    <w:p w14:paraId="02EE57D5" w14:textId="1F64E2EC" w:rsidR="48C1AC09" w:rsidRPr="00FB463B" w:rsidRDefault="48C1AC09" w:rsidP="0074456B">
      <w:pPr>
        <w:spacing w:after="240"/>
      </w:pPr>
      <w:r w:rsidRPr="00FB463B">
        <w:rPr>
          <w:rFonts w:eastAsia="Arial" w:cs="Arial"/>
          <w:color w:val="000000" w:themeColor="text1"/>
        </w:rPr>
        <w:lastRenderedPageBreak/>
        <w:t>In August 2018, the SBE received an Information Memorandum on the proposed methodology for calculating the chronic absenteeism rate. (</w:t>
      </w:r>
      <w:hyperlink r:id="rId94" w:tooltip="Information Memorandum on the proposed methodology for calculating the chronic absenteeism rate">
        <w:r w:rsidRPr="00FB463B">
          <w:rPr>
            <w:rStyle w:val="Hyperlink"/>
            <w:rFonts w:eastAsia="Arial" w:cs="Arial"/>
          </w:rPr>
          <w:t>https://www.cde.ca.gov/be/pn/im/documents/memo-pptb-amard-aug18item02.docx</w:t>
        </w:r>
      </w:hyperlink>
      <w:r w:rsidRPr="00FB463B">
        <w:rPr>
          <w:rFonts w:eastAsia="Arial" w:cs="Arial"/>
          <w:color w:val="000000" w:themeColor="text1"/>
        </w:rPr>
        <w:t>)</w:t>
      </w:r>
    </w:p>
    <w:p w14:paraId="3D1739CA" w14:textId="5187512A" w:rsidR="48C1AC09" w:rsidRPr="00FB463B" w:rsidRDefault="48C1AC09" w:rsidP="0074456B">
      <w:pPr>
        <w:spacing w:after="240"/>
      </w:pPr>
      <w:r w:rsidRPr="00FB463B">
        <w:rPr>
          <w:rFonts w:eastAsia="Arial" w:cs="Arial"/>
          <w:color w:val="000000" w:themeColor="text1"/>
        </w:rPr>
        <w:t>In September 2018, the SBE approved the methodology for calculating the Chronic Absenteeism Indicator. (</w:t>
      </w:r>
      <w:hyperlink r:id="rId95" w:tooltip="SBE approved the methodology for calculating the Chronic Absenteeism Indicator">
        <w:r w:rsidRPr="00FB463B">
          <w:rPr>
            <w:rStyle w:val="Hyperlink"/>
            <w:rFonts w:eastAsia="Arial" w:cs="Arial"/>
          </w:rPr>
          <w:t>https://www.cde.ca.gov/be/ag/ag/yr18/documents/sep18item01.docx</w:t>
        </w:r>
      </w:hyperlink>
      <w:r w:rsidRPr="00FB463B">
        <w:rPr>
          <w:rFonts w:eastAsia="Arial" w:cs="Arial"/>
          <w:color w:val="000000" w:themeColor="text1"/>
        </w:rPr>
        <w:t>)</w:t>
      </w:r>
    </w:p>
    <w:p w14:paraId="1F910F21" w14:textId="66730F4C" w:rsidR="48C1AC09" w:rsidRPr="00FB463B" w:rsidRDefault="48C1AC09" w:rsidP="0074456B">
      <w:pPr>
        <w:spacing w:after="240"/>
      </w:pPr>
      <w:r w:rsidRPr="00FB463B">
        <w:rPr>
          <w:rFonts w:eastAsia="Arial" w:cs="Arial"/>
          <w:color w:val="000000" w:themeColor="text1"/>
        </w:rPr>
        <w:t>In November 2018, the SBE approved Status and Change cut scores for the Chronic Indicator. (</w:t>
      </w:r>
      <w:hyperlink r:id="rId96" w:tooltip="In November 2018, the SBE approved Status and Change cut scores for the Chronic Indicator">
        <w:r w:rsidRPr="00FB463B">
          <w:rPr>
            <w:rStyle w:val="Hyperlink"/>
            <w:rFonts w:eastAsia="Arial" w:cs="Arial"/>
          </w:rPr>
          <w:t>https://www.cde.ca.gov/be/ag/ag/yr18/documents/nov18item04.docx</w:t>
        </w:r>
      </w:hyperlink>
      <w:r w:rsidRPr="00FB463B">
        <w:rPr>
          <w:rFonts w:eastAsia="Arial" w:cs="Arial"/>
          <w:color w:val="000000" w:themeColor="text1"/>
        </w:rPr>
        <w:t>)</w:t>
      </w:r>
    </w:p>
    <w:p w14:paraId="5112C3F4" w14:textId="0BB1A7A9" w:rsidR="48C1AC09" w:rsidRPr="00FB463B" w:rsidRDefault="48C1AC09" w:rsidP="0074456B">
      <w:pPr>
        <w:spacing w:after="240"/>
        <w:rPr>
          <w:rFonts w:eastAsia="Arial" w:cs="Arial"/>
        </w:rPr>
      </w:pPr>
      <w:r w:rsidRPr="00FB463B">
        <w:rPr>
          <w:rFonts w:eastAsia="Arial" w:cs="Arial"/>
          <w:color w:val="000000" w:themeColor="text1"/>
        </w:rPr>
        <w:t xml:space="preserve">In July 2023, the SBE reopened the 2023 workplan </w:t>
      </w:r>
      <w:r w:rsidR="00483205" w:rsidRPr="00FB463B">
        <w:rPr>
          <w:rFonts w:eastAsia="Arial" w:cs="Arial"/>
          <w:color w:val="000000" w:themeColor="text1"/>
        </w:rPr>
        <w:t>to add Chronic Absenteeism</w:t>
      </w:r>
      <w:r w:rsidR="00D846DF" w:rsidRPr="00FB463B">
        <w:rPr>
          <w:rFonts w:eastAsia="Arial" w:cs="Arial"/>
          <w:color w:val="000000" w:themeColor="text1"/>
        </w:rPr>
        <w:t xml:space="preserve"> to this year’s </w:t>
      </w:r>
      <w:r w:rsidR="00210954" w:rsidRPr="00FB463B">
        <w:rPr>
          <w:rFonts w:eastAsia="Arial" w:cs="Arial"/>
          <w:color w:val="000000" w:themeColor="text1"/>
        </w:rPr>
        <w:t>work and</w:t>
      </w:r>
      <w:r w:rsidR="00483205" w:rsidRPr="00FB463B">
        <w:rPr>
          <w:rFonts w:eastAsia="Arial" w:cs="Arial"/>
          <w:color w:val="000000" w:themeColor="text1"/>
        </w:rPr>
        <w:t xml:space="preserve"> discuss </w:t>
      </w:r>
      <w:r w:rsidR="000A5EA3" w:rsidRPr="00FB463B">
        <w:rPr>
          <w:rFonts w:eastAsia="Arial" w:cs="Arial"/>
          <w:color w:val="000000" w:themeColor="text1"/>
        </w:rPr>
        <w:t>short- and long-term</w:t>
      </w:r>
      <w:r w:rsidR="00483205" w:rsidRPr="00FB463B">
        <w:rPr>
          <w:rFonts w:eastAsia="Arial" w:cs="Arial"/>
          <w:color w:val="000000" w:themeColor="text1"/>
        </w:rPr>
        <w:t xml:space="preserve"> options for modifications to the Chronic Absenteeism Indicator</w:t>
      </w:r>
      <w:r w:rsidRPr="00FB463B">
        <w:rPr>
          <w:rFonts w:eastAsia="Arial" w:cs="Arial"/>
          <w:color w:val="000000" w:themeColor="text1"/>
        </w:rPr>
        <w:t>. (</w:t>
      </w:r>
      <w:hyperlink r:id="rId97" w:tooltip="Discuss short and long term options for modifications to the Chronic Absenteeism Indicator">
        <w:r w:rsidRPr="00FB463B">
          <w:rPr>
            <w:rStyle w:val="Hyperlink"/>
            <w:rFonts w:eastAsia="Arial" w:cs="Arial"/>
          </w:rPr>
          <w:t>https://www.cde.ca.gov/be/ag/ag/yr23/documents/jul23item02.docx</w:t>
        </w:r>
      </w:hyperlink>
      <w:r w:rsidRPr="00FB463B">
        <w:rPr>
          <w:rFonts w:eastAsia="Arial" w:cs="Arial"/>
          <w:color w:val="000000" w:themeColor="text1"/>
        </w:rPr>
        <w:t>)</w:t>
      </w:r>
    </w:p>
    <w:p w14:paraId="74C852C6" w14:textId="1D10A49E" w:rsidR="00C57C96" w:rsidRPr="00FB463B" w:rsidRDefault="00D846DF" w:rsidP="0074456B">
      <w:pPr>
        <w:pStyle w:val="Heading3"/>
      </w:pPr>
      <w:r w:rsidRPr="00FB463B">
        <w:t xml:space="preserve">Priority 1 </w:t>
      </w:r>
      <w:r w:rsidR="006F2F3C" w:rsidRPr="00FB463B">
        <w:t>Assignment of</w:t>
      </w:r>
      <w:r w:rsidR="718FE4DE" w:rsidRPr="00FB463B">
        <w:t xml:space="preserve"> Teachers</w:t>
      </w:r>
    </w:p>
    <w:p w14:paraId="441C5A42" w14:textId="77777777" w:rsidR="00C57C96" w:rsidRPr="00FB463B" w:rsidRDefault="00C57C96" w:rsidP="0074456B">
      <w:pPr>
        <w:spacing w:after="240"/>
        <w:rPr>
          <w:rFonts w:eastAsia="Calibri" w:cs="Arial"/>
          <w:szCs w:val="22"/>
        </w:rPr>
      </w:pPr>
      <w:r w:rsidRPr="00FB463B">
        <w:rPr>
          <w:rFonts w:eastAsia="Calibri" w:cs="Arial"/>
          <w:szCs w:val="22"/>
        </w:rPr>
        <w:t>In November 2019, the SBE adopted updated teacher equity definitions under Every Student Succeeds Act and state reporting requirements based on feedback from LEAs (</w:t>
      </w:r>
      <w:hyperlink r:id="rId98" w:tooltip="California State Board November 2019 Item">
        <w:r w:rsidRPr="00FB463B">
          <w:rPr>
            <w:rFonts w:eastAsia="Calibri" w:cs="Arial"/>
            <w:color w:val="0000FF"/>
            <w:szCs w:val="22"/>
            <w:u w:val="single"/>
          </w:rPr>
          <w:t>https://www.cde.ca.gov/be/ag/ag/yr19/documents/nov19item05rev.docx</w:t>
        </w:r>
      </w:hyperlink>
      <w:r w:rsidRPr="00FB463B">
        <w:rPr>
          <w:rFonts w:eastAsia="Calibri" w:cs="Arial"/>
          <w:color w:val="0000FF"/>
          <w:szCs w:val="22"/>
          <w:u w:val="single"/>
        </w:rPr>
        <w:t>)</w:t>
      </w:r>
      <w:r w:rsidRPr="00FB463B">
        <w:rPr>
          <w:rFonts w:eastAsia="Calibri" w:cs="Arial"/>
          <w:szCs w:val="22"/>
        </w:rPr>
        <w:t>.</w:t>
      </w:r>
    </w:p>
    <w:p w14:paraId="0EBF7836" w14:textId="77777777" w:rsidR="00C57C96" w:rsidRPr="00FB463B" w:rsidRDefault="00C57C96" w:rsidP="0074456B">
      <w:pPr>
        <w:spacing w:after="240"/>
        <w:rPr>
          <w:rFonts w:eastAsia="Arial" w:cs="Arial"/>
          <w:szCs w:val="22"/>
        </w:rPr>
      </w:pPr>
      <w:r w:rsidRPr="00FB463B">
        <w:rPr>
          <w:rFonts w:eastAsia="Arial" w:cs="Arial"/>
          <w:szCs w:val="22"/>
        </w:rPr>
        <w:t>In August 2020, the SBE received an Information Memorandum which provided b</w:t>
      </w:r>
      <w:r w:rsidRPr="00FB463B">
        <w:rPr>
          <w:rFonts w:eastAsia="Calibri" w:cs="Arial"/>
          <w:color w:val="000000"/>
          <w:szCs w:val="22"/>
          <w:shd w:val="clear" w:color="auto" w:fill="FFFFFF"/>
        </w:rPr>
        <w:t xml:space="preserve">ackground information and an implementation plan for </w:t>
      </w:r>
      <w:r w:rsidRPr="00FB463B">
        <w:rPr>
          <w:rFonts w:eastAsia="Calibri" w:cs="Arial"/>
          <w:i/>
          <w:iCs/>
          <w:color w:val="000000"/>
          <w:szCs w:val="22"/>
          <w:shd w:val="clear" w:color="auto" w:fill="FFFFFF"/>
        </w:rPr>
        <w:t>Education Code</w:t>
      </w:r>
      <w:r w:rsidRPr="00FB463B">
        <w:rPr>
          <w:rFonts w:eastAsia="Calibri" w:cs="Arial"/>
          <w:color w:val="000000"/>
          <w:szCs w:val="22"/>
          <w:shd w:val="clear" w:color="auto" w:fill="FFFFFF"/>
        </w:rPr>
        <w:t xml:space="preserve"> 52064.5 r</w:t>
      </w:r>
      <w:r w:rsidRPr="00FB463B">
        <w:rPr>
          <w:rFonts w:eastAsia="Calibri" w:cs="Arial"/>
          <w:szCs w:val="22"/>
          <w:shd w:val="clear" w:color="auto" w:fill="FFFFFF"/>
        </w:rPr>
        <w:t>elated to the Standards for Local Indicators</w:t>
      </w:r>
      <w:r w:rsidRPr="00FB463B" w:rsidDel="00427029">
        <w:rPr>
          <w:rFonts w:eastAsia="Arial" w:cs="Arial"/>
          <w:szCs w:val="22"/>
        </w:rPr>
        <w:t xml:space="preserve"> </w:t>
      </w:r>
      <w:r w:rsidRPr="00FB463B">
        <w:rPr>
          <w:rFonts w:eastAsia="Arial" w:cs="Arial"/>
          <w:szCs w:val="22"/>
        </w:rPr>
        <w:t>(</w:t>
      </w:r>
      <w:hyperlink r:id="rId99" w:tooltip="California State Board August 2020 Memo">
        <w:r w:rsidRPr="00FB463B">
          <w:rPr>
            <w:rFonts w:eastAsia="Arial" w:cs="Arial"/>
            <w:color w:val="0000FF"/>
            <w:szCs w:val="22"/>
            <w:u w:val="single"/>
          </w:rPr>
          <w:t>https://www.cde.ca.gov/be/pn/im/documents/aug20amard01.docx</w:t>
        </w:r>
      </w:hyperlink>
      <w:r w:rsidRPr="00FB463B">
        <w:rPr>
          <w:rFonts w:eastAsia="Arial" w:cs="Arial"/>
          <w:szCs w:val="22"/>
        </w:rPr>
        <w:t>).</w:t>
      </w:r>
    </w:p>
    <w:p w14:paraId="6273681D" w14:textId="5AAD875A" w:rsidR="00C57C96" w:rsidRPr="00FB463B" w:rsidRDefault="00C57C96" w:rsidP="0074456B">
      <w:pPr>
        <w:spacing w:after="240"/>
        <w:rPr>
          <w:rFonts w:cs="Arial"/>
          <w:szCs w:val="22"/>
        </w:rPr>
      </w:pPr>
      <w:r w:rsidRPr="00FB463B">
        <w:rPr>
          <w:rFonts w:cs="Arial"/>
          <w:szCs w:val="22"/>
        </w:rPr>
        <w:t xml:space="preserve">In September 2020, the CDE presented </w:t>
      </w:r>
      <w:r w:rsidRPr="00FB463B">
        <w:rPr>
          <w:rFonts w:eastAsia="MS Gothic" w:cs="Arial"/>
          <w:color w:val="000000"/>
          <w:szCs w:val="22"/>
          <w:bdr w:val="none" w:sz="0" w:space="0" w:color="auto" w:frame="1"/>
        </w:rPr>
        <w:t xml:space="preserve">an update on the implementation of </w:t>
      </w:r>
      <w:r w:rsidRPr="00FB463B">
        <w:rPr>
          <w:rFonts w:eastAsia="MS Gothic" w:cs="Arial"/>
          <w:i/>
          <w:iCs/>
          <w:color w:val="000000"/>
          <w:szCs w:val="22"/>
          <w:bdr w:val="none" w:sz="0" w:space="0" w:color="auto" w:frame="1"/>
        </w:rPr>
        <w:t>Education Code</w:t>
      </w:r>
      <w:r w:rsidRPr="00FB463B">
        <w:rPr>
          <w:rFonts w:eastAsia="MS Gothic" w:cs="Arial"/>
          <w:color w:val="000000"/>
          <w:szCs w:val="22"/>
          <w:bdr w:val="none" w:sz="0" w:space="0" w:color="auto" w:frame="1"/>
        </w:rPr>
        <w:t xml:space="preserve"> (</w:t>
      </w:r>
      <w:r w:rsidRPr="00FB463B">
        <w:rPr>
          <w:rFonts w:eastAsia="MS Gothic" w:cs="Arial"/>
          <w:i/>
          <w:iCs/>
          <w:color w:val="000000"/>
          <w:szCs w:val="22"/>
          <w:bdr w:val="none" w:sz="0" w:space="0" w:color="auto" w:frame="1"/>
        </w:rPr>
        <w:t>EC</w:t>
      </w:r>
      <w:r w:rsidRPr="00FB463B">
        <w:rPr>
          <w:rFonts w:eastAsia="MS Gothic" w:cs="Arial"/>
          <w:color w:val="000000"/>
          <w:szCs w:val="22"/>
          <w:bdr w:val="none" w:sz="0" w:space="0" w:color="auto" w:frame="1"/>
        </w:rPr>
        <w:t xml:space="preserve">) Section 52064.5, related to local indicators. </w:t>
      </w:r>
      <w:r w:rsidRPr="00FB463B">
        <w:rPr>
          <w:rFonts w:cs="Arial"/>
          <w:szCs w:val="22"/>
        </w:rPr>
        <w:t>(</w:t>
      </w:r>
      <w:hyperlink r:id="rId100" w:tooltip="California State Board September 2020 Item" w:history="1">
        <w:r w:rsidRPr="00FB463B">
          <w:rPr>
            <w:rFonts w:cs="Arial"/>
            <w:color w:val="0000FF"/>
            <w:szCs w:val="22"/>
            <w:u w:val="single"/>
          </w:rPr>
          <w:t>https://www.cde.ca.gov/be/ag/ag/yr20/documents/sep20item02.docx</w:t>
        </w:r>
      </w:hyperlink>
      <w:r w:rsidRPr="00FB463B">
        <w:rPr>
          <w:rFonts w:cs="Arial"/>
          <w:szCs w:val="22"/>
        </w:rPr>
        <w:t>).</w:t>
      </w:r>
    </w:p>
    <w:p w14:paraId="006DF8BB" w14:textId="77777777" w:rsidR="00C57C96" w:rsidRPr="00FB463B" w:rsidRDefault="00C57C96" w:rsidP="0074456B">
      <w:pPr>
        <w:spacing w:after="240"/>
        <w:rPr>
          <w:rFonts w:eastAsia="Calibri" w:cs="Arial"/>
          <w:szCs w:val="22"/>
        </w:rPr>
      </w:pPr>
      <w:r w:rsidRPr="00FB463B">
        <w:rPr>
          <w:rFonts w:eastAsia="Calibri" w:cs="Arial"/>
          <w:color w:val="000000"/>
          <w:szCs w:val="22"/>
        </w:rPr>
        <w:t xml:space="preserve">In November 2021, the CDE presented an update on ESSA state plan amendments and proposed changes to </w:t>
      </w:r>
      <w:r w:rsidRPr="00FB463B">
        <w:rPr>
          <w:rFonts w:eastAsia="Calibri" w:cs="Arial"/>
          <w:szCs w:val="22"/>
        </w:rPr>
        <w:t>data tables related to ineffective teachers. (</w:t>
      </w:r>
      <w:hyperlink r:id="rId101" w:tooltip="California State Board November 2021 Item">
        <w:r w:rsidRPr="00FB463B">
          <w:rPr>
            <w:rFonts w:eastAsia="Calibri" w:cs="Arial"/>
            <w:color w:val="0000FF"/>
            <w:szCs w:val="22"/>
            <w:u w:val="single"/>
          </w:rPr>
          <w:t>https://www.cde.ca.gov/be/ag/ag/yr21/documents/nov21item06.docx</w:t>
        </w:r>
      </w:hyperlink>
      <w:r w:rsidRPr="00FB463B">
        <w:rPr>
          <w:rFonts w:eastAsia="Calibri" w:cs="Arial"/>
          <w:szCs w:val="22"/>
        </w:rPr>
        <w:t>).</w:t>
      </w:r>
    </w:p>
    <w:p w14:paraId="1BC250FD" w14:textId="7B3EE66C" w:rsidR="00EF28BA" w:rsidRPr="00FB463B" w:rsidRDefault="00C57C96" w:rsidP="0074456B">
      <w:pPr>
        <w:spacing w:after="240"/>
        <w:rPr>
          <w:rFonts w:eastAsia="Arial" w:cs="Arial"/>
          <w:color w:val="201F1E"/>
          <w:szCs w:val="22"/>
        </w:rPr>
      </w:pPr>
      <w:r w:rsidRPr="00FB463B">
        <w:rPr>
          <w:rFonts w:eastAsia="Calibri" w:cs="Arial"/>
          <w:szCs w:val="22"/>
        </w:rPr>
        <w:t xml:space="preserve">In June 2022, the SBE received an Information Memorandum that announced the release of the </w:t>
      </w:r>
      <w:r w:rsidRPr="00FB463B">
        <w:rPr>
          <w:rFonts w:eastAsia="Arial" w:cs="Arial"/>
          <w:color w:val="201F1E"/>
          <w:szCs w:val="22"/>
        </w:rPr>
        <w:t xml:space="preserve">Teaching Assignment Monitoring Outcome (AMO) by Full-Time Equivalency (FTE) reports on </w:t>
      </w:r>
      <w:proofErr w:type="spellStart"/>
      <w:r w:rsidRPr="00FB463B">
        <w:rPr>
          <w:rFonts w:eastAsia="Arial" w:cs="Arial"/>
          <w:color w:val="201F1E"/>
          <w:szCs w:val="22"/>
        </w:rPr>
        <w:t>DataQuest</w:t>
      </w:r>
      <w:proofErr w:type="spellEnd"/>
      <w:r w:rsidRPr="00FB463B">
        <w:rPr>
          <w:rFonts w:eastAsia="Arial" w:cs="Arial"/>
          <w:color w:val="201F1E"/>
          <w:szCs w:val="22"/>
        </w:rPr>
        <w:t xml:space="preserve">. </w:t>
      </w:r>
      <w:r w:rsidR="00F20FDB" w:rsidRPr="00FB463B">
        <w:rPr>
          <w:rFonts w:eastAsia="Calibri" w:cs="Arial"/>
          <w:szCs w:val="22"/>
        </w:rPr>
        <w:t>(</w:t>
      </w:r>
      <w:hyperlink r:id="rId102" w:tooltip="California State Board June 2022 Memo" w:history="1">
        <w:r w:rsidR="00F20FDB" w:rsidRPr="00FB463B">
          <w:rPr>
            <w:rFonts w:eastAsia="Calibri" w:cs="Arial"/>
            <w:color w:val="0000FF"/>
            <w:szCs w:val="22"/>
            <w:u w:val="single"/>
          </w:rPr>
          <w:t>https://www.cde.ca.gov/be/pn/im/documents/jun22memoamard01.docx</w:t>
        </w:r>
      </w:hyperlink>
      <w:r w:rsidR="00F20FDB" w:rsidRPr="00FB463B">
        <w:rPr>
          <w:rFonts w:eastAsia="Calibri" w:cs="Arial"/>
          <w:szCs w:val="22"/>
        </w:rPr>
        <w:t>)</w:t>
      </w:r>
    </w:p>
    <w:p w14:paraId="15EBC965" w14:textId="26FD058B" w:rsidR="00C57C96" w:rsidRPr="00FB463B" w:rsidRDefault="00EF28BA" w:rsidP="0074456B">
      <w:pPr>
        <w:rPr>
          <w:rFonts w:eastAsia="Calibri" w:cs="Arial"/>
          <w:szCs w:val="22"/>
        </w:rPr>
      </w:pPr>
      <w:r w:rsidRPr="00FB463B">
        <w:rPr>
          <w:rStyle w:val="eop"/>
          <w:rFonts w:asciiTheme="minorBidi" w:hAnsiTheme="minorBidi" w:cstheme="minorBidi"/>
        </w:rPr>
        <w:t xml:space="preserve">In September 2022, the SBE adopted the inclusion of a link to the Teacher Assignment Monitoring Outcomes data on the </w:t>
      </w:r>
      <w:proofErr w:type="gramStart"/>
      <w:r w:rsidRPr="00FB463B">
        <w:rPr>
          <w:rStyle w:val="eop"/>
          <w:rFonts w:asciiTheme="minorBidi" w:hAnsiTheme="minorBidi" w:cstheme="minorBidi"/>
        </w:rPr>
        <w:t>Dashboard</w:t>
      </w:r>
      <w:proofErr w:type="gramEnd"/>
    </w:p>
    <w:p w14:paraId="0F016C44" w14:textId="7B7A72FE" w:rsidR="00B650BE" w:rsidRPr="00FB463B" w:rsidRDefault="00C57C96" w:rsidP="0074456B">
      <w:pPr>
        <w:spacing w:after="240"/>
        <w:rPr>
          <w:rFonts w:eastAsia="Calibri" w:cs="Arial"/>
          <w:szCs w:val="22"/>
        </w:rPr>
      </w:pPr>
      <w:r w:rsidRPr="00FB463B">
        <w:rPr>
          <w:rFonts w:eastAsia="Calibri" w:cs="Arial"/>
        </w:rPr>
        <w:t>(</w:t>
      </w:r>
      <w:hyperlink r:id="rId103" w:tooltip="In September 2022, the SBE adopted the inclusion of a link to the Teacher Assignment Monitoring Outcomes data on the Dashboard">
        <w:r w:rsidRPr="00FB463B">
          <w:rPr>
            <w:rFonts w:eastAsia="Calibri" w:cs="Arial"/>
            <w:color w:val="0000FF"/>
            <w:u w:val="single"/>
          </w:rPr>
          <w:t>https://www.cde.ca.gov/be/pn/im/documents/jun22memoamard01.docx</w:t>
        </w:r>
      </w:hyperlink>
      <w:r w:rsidRPr="00FB463B">
        <w:rPr>
          <w:rFonts w:eastAsia="Calibri" w:cs="Arial"/>
        </w:rPr>
        <w:t xml:space="preserve">) </w:t>
      </w:r>
      <w:r w:rsidR="00B650BE" w:rsidRPr="00FB463B">
        <w:rPr>
          <w:rFonts w:eastAsia="Calibri" w:cs="Arial"/>
        </w:rPr>
        <w:t>(</w:t>
      </w:r>
      <w:hyperlink r:id="rId104" w:tooltip="In September 2022, the SBE adopted the inclusion of a link to the Teacher Assignment Monitoring Outcomes data on the Dashboard">
        <w:r w:rsidR="00B650BE" w:rsidRPr="00FB463B">
          <w:rPr>
            <w:rStyle w:val="Hyperlink"/>
            <w:rFonts w:eastAsia="Calibri" w:cs="Arial"/>
          </w:rPr>
          <w:t>https://www.cde.ca.gov/be/ag/ag/yr22/documents/sep22item02rev.docx</w:t>
        </w:r>
      </w:hyperlink>
      <w:r w:rsidR="00B650BE" w:rsidRPr="00FB463B">
        <w:rPr>
          <w:rFonts w:eastAsia="Calibri" w:cs="Arial"/>
        </w:rPr>
        <w:t>)</w:t>
      </w:r>
    </w:p>
    <w:p w14:paraId="48243661" w14:textId="77777777" w:rsidR="00C57C96" w:rsidRPr="00FB463B" w:rsidRDefault="00C57C96" w:rsidP="00446753">
      <w:pPr>
        <w:pStyle w:val="Heading3"/>
        <w:spacing w:before="0"/>
      </w:pPr>
      <w:r w:rsidRPr="00FB463B">
        <w:lastRenderedPageBreak/>
        <w:t>Eligibility Criteria for Differentiated Assistance</w:t>
      </w:r>
    </w:p>
    <w:p w14:paraId="70E76CE2" w14:textId="239A693F" w:rsidR="007E307A" w:rsidRPr="00FB463B" w:rsidRDefault="007E307A" w:rsidP="00446753">
      <w:pPr>
        <w:spacing w:after="240"/>
        <w:rPr>
          <w:rFonts w:eastAsia="Calibri" w:cs="Arial"/>
          <w:szCs w:val="22"/>
        </w:rPr>
      </w:pPr>
      <w:r w:rsidRPr="00FB463B">
        <w:rPr>
          <w:rFonts w:eastAsia="Calibri" w:cs="Arial"/>
          <w:szCs w:val="22"/>
        </w:rPr>
        <w:t>In August 2016, an information memorandum provided a proposal for how the proposed performance levels on state indicators and local performance indicators will assist in identifying LEAs eligible for differentiated assistance and intensive intervention. (</w:t>
      </w:r>
      <w:hyperlink r:id="rId105" w:tooltip="California State Board August 2016 Item" w:history="1">
        <w:r w:rsidRPr="00FB463B">
          <w:rPr>
            <w:rFonts w:eastAsia="Calibri" w:cs="Arial"/>
            <w:color w:val="0000FF"/>
            <w:szCs w:val="22"/>
            <w:u w:val="single"/>
          </w:rPr>
          <w:t>http://www.cde.ca.gov/be/pn/im/documents/memo-sbe-aug16item02.doc</w:t>
        </w:r>
      </w:hyperlink>
      <w:r w:rsidRPr="00FB463B">
        <w:rPr>
          <w:rFonts w:eastAsia="Calibri" w:cs="Arial"/>
          <w:szCs w:val="22"/>
        </w:rPr>
        <w:t>).</w:t>
      </w:r>
    </w:p>
    <w:p w14:paraId="2EF2CE96" w14:textId="58B85539" w:rsidR="00C57C96" w:rsidRPr="00FB463B" w:rsidRDefault="00C57C96" w:rsidP="00446753">
      <w:pPr>
        <w:spacing w:after="240"/>
        <w:rPr>
          <w:rFonts w:eastAsia="Calibri" w:cs="Arial"/>
          <w:szCs w:val="22"/>
        </w:rPr>
      </w:pPr>
      <w:r w:rsidRPr="00FB463B">
        <w:rPr>
          <w:rFonts w:eastAsia="Calibri" w:cs="Arial"/>
          <w:szCs w:val="22"/>
        </w:rPr>
        <w:t xml:space="preserve">In September 2016, the SBE adopts the Local Control Funding Formula Evaluation Rubrics and Update on Local Control and Accountability Plan and Annual Update Template Revisions and Progress on </w:t>
      </w:r>
      <w:proofErr w:type="gramStart"/>
      <w:r w:rsidRPr="00FB463B">
        <w:rPr>
          <w:rFonts w:eastAsia="Calibri" w:cs="Arial"/>
          <w:szCs w:val="22"/>
        </w:rPr>
        <w:t>the Every</w:t>
      </w:r>
      <w:proofErr w:type="gramEnd"/>
      <w:r w:rsidRPr="00FB463B">
        <w:rPr>
          <w:rFonts w:eastAsia="Calibri" w:cs="Arial"/>
          <w:szCs w:val="22"/>
        </w:rPr>
        <w:t xml:space="preserve"> Student Succeeds Act State Plan.</w:t>
      </w:r>
      <w:r w:rsidR="00446753" w:rsidRPr="00FB463B">
        <w:rPr>
          <w:rFonts w:eastAsia="Calibri" w:cs="Arial"/>
          <w:szCs w:val="22"/>
        </w:rPr>
        <w:t xml:space="preserve"> </w:t>
      </w:r>
      <w:r w:rsidRPr="00FB463B">
        <w:rPr>
          <w:rFonts w:eastAsia="Calibri" w:cs="Arial"/>
          <w:color w:val="0000FF"/>
          <w:szCs w:val="22"/>
          <w:u w:val="single"/>
        </w:rPr>
        <w:t>(</w:t>
      </w:r>
      <w:hyperlink r:id="rId106" w:tooltip="California State Board September 2016 Item" w:history="1">
        <w:r w:rsidRPr="00FB463B">
          <w:rPr>
            <w:rFonts w:eastAsia="Calibri" w:cs="Arial"/>
            <w:color w:val="0000FF"/>
            <w:szCs w:val="22"/>
            <w:u w:val="single"/>
          </w:rPr>
          <w:t>https://www.cde.ca.gov/be/ag/ag/yr16/documents/sep16item01.doc</w:t>
        </w:r>
      </w:hyperlink>
      <w:r w:rsidRPr="00FB463B">
        <w:rPr>
          <w:rFonts w:eastAsia="Calibri" w:cs="Arial"/>
          <w:color w:val="0000FF"/>
          <w:szCs w:val="22"/>
          <w:u w:val="single"/>
        </w:rPr>
        <w:t>)</w:t>
      </w:r>
    </w:p>
    <w:p w14:paraId="03664FFB" w14:textId="14A40CCA" w:rsidR="00C57C96" w:rsidRPr="00FB463B" w:rsidRDefault="00C57C96" w:rsidP="00446753">
      <w:pPr>
        <w:spacing w:after="240"/>
        <w:rPr>
          <w:rFonts w:eastAsia="Arial" w:cs="Arial"/>
          <w:szCs w:val="22"/>
        </w:rPr>
      </w:pPr>
      <w:r w:rsidRPr="00FB463B">
        <w:rPr>
          <w:rFonts w:eastAsia="Calibri" w:cs="Arial"/>
          <w:szCs w:val="22"/>
        </w:rPr>
        <w:t xml:space="preserve">In November 2016, </w:t>
      </w:r>
      <w:r w:rsidR="00594F19" w:rsidRPr="00FB463B">
        <w:rPr>
          <w:rFonts w:eastAsia="Calibri" w:cs="Arial"/>
          <w:szCs w:val="22"/>
        </w:rPr>
        <w:t>t</w:t>
      </w:r>
      <w:r w:rsidRPr="00FB463B">
        <w:rPr>
          <w:rFonts w:eastAsia="Calibri" w:cs="Arial"/>
          <w:szCs w:val="22"/>
        </w:rPr>
        <w:t>he SBE further clarified the applicability of the criteria to charter schools</w:t>
      </w:r>
      <w:r w:rsidR="00594F19" w:rsidRPr="00FB463B">
        <w:rPr>
          <w:rFonts w:eastAsia="Calibri" w:cs="Arial"/>
          <w:szCs w:val="22"/>
        </w:rPr>
        <w:t>.</w:t>
      </w:r>
      <w:r w:rsidR="00446753" w:rsidRPr="00FB463B">
        <w:rPr>
          <w:rFonts w:eastAsia="Calibri" w:cs="Arial"/>
          <w:szCs w:val="22"/>
        </w:rPr>
        <w:t xml:space="preserve"> </w:t>
      </w:r>
      <w:r w:rsidRPr="00FB463B">
        <w:rPr>
          <w:rFonts w:eastAsia="Calibri" w:cs="Arial"/>
          <w:szCs w:val="22"/>
          <w:u w:val="single"/>
        </w:rPr>
        <w:t>(</w:t>
      </w:r>
      <w:hyperlink r:id="rId107" w:tooltip="California State Board November 2016 Item" w:history="1">
        <w:r w:rsidRPr="00FB463B">
          <w:rPr>
            <w:rFonts w:eastAsia="Calibri" w:cs="Arial"/>
            <w:color w:val="0000FF"/>
            <w:szCs w:val="22"/>
            <w:u w:val="single"/>
          </w:rPr>
          <w:t>https://www.cde.ca.gov/be/ag/ag/yr16/documents/nov16item03.doc)</w:t>
        </w:r>
      </w:hyperlink>
    </w:p>
    <w:p w14:paraId="197B55FE" w14:textId="010298A5" w:rsidR="00C57C96" w:rsidRPr="00FB463B" w:rsidRDefault="00C57C96" w:rsidP="00446753">
      <w:pPr>
        <w:spacing w:after="240"/>
        <w:rPr>
          <w:rFonts w:eastAsia="Arial" w:cs="Arial"/>
        </w:rPr>
      </w:pPr>
      <w:r w:rsidRPr="00FB463B">
        <w:rPr>
          <w:rFonts w:eastAsia="Arial" w:cs="Arial"/>
        </w:rPr>
        <w:t>In December 2017, the California Department of Education identified, in an Information Memorandum for the SBE, 228 LEAs that were eligible for differentiated assistance based on the Fall 2017 California School Dashboard (Dashboard) release. (</w:t>
      </w:r>
      <w:hyperlink r:id="rId108" w:tooltip="California State Board December 2017 Item" w:history="1">
        <w:r w:rsidRPr="00FB463B">
          <w:rPr>
            <w:rFonts w:eastAsia="Calibri" w:cs="Arial"/>
            <w:color w:val="0000FF"/>
            <w:szCs w:val="22"/>
            <w:u w:val="single"/>
          </w:rPr>
          <w:t>https://www.cde.ca.gov/be/pn/im/documents/memo-pptb-amard-dec17item02rev.docx</w:t>
        </w:r>
      </w:hyperlink>
      <w:r w:rsidRPr="00FB463B">
        <w:rPr>
          <w:rFonts w:eastAsia="Arial" w:cs="Arial"/>
        </w:rPr>
        <w:t>)</w:t>
      </w:r>
    </w:p>
    <w:p w14:paraId="05ED2ACF" w14:textId="3C0EBEAC" w:rsidR="007E307A" w:rsidRPr="00FB463B" w:rsidRDefault="007E307A" w:rsidP="005331F7">
      <w:pPr>
        <w:spacing w:after="240"/>
        <w:rPr>
          <w:rFonts w:eastAsia="Arial" w:cs="Arial"/>
        </w:rPr>
      </w:pPr>
      <w:r w:rsidRPr="00FB463B">
        <w:rPr>
          <w:rFonts w:eastAsia="Arial" w:cs="Arial"/>
        </w:rPr>
        <w:t>In March 2018, the CDE provided an update on the Implementation of the Local, State and Federal Accountability and Continuous Improvement System: Local Control Funding Formula Identification of Local Educational Agencies for Differentiated Assistance.</w:t>
      </w:r>
      <w:r w:rsidR="00446753" w:rsidRPr="00FB463B">
        <w:rPr>
          <w:rFonts w:eastAsia="Arial" w:cs="Arial"/>
        </w:rPr>
        <w:t xml:space="preserve"> </w:t>
      </w:r>
      <w:r w:rsidRPr="00FB463B">
        <w:rPr>
          <w:rFonts w:eastAsia="Calibri" w:cs="Arial"/>
          <w:szCs w:val="22"/>
        </w:rPr>
        <w:t>(</w:t>
      </w:r>
      <w:hyperlink r:id="rId109" w:tooltip="California State Board March 2018 Item" w:history="1">
        <w:r w:rsidRPr="00FB463B">
          <w:rPr>
            <w:rFonts w:eastAsia="Calibri" w:cs="Arial"/>
            <w:color w:val="0000FF"/>
            <w:szCs w:val="22"/>
            <w:u w:val="single"/>
          </w:rPr>
          <w:t>https://www.cde.ca.gov/be/ag/ag/yr18/documents/mar18item01.docx</w:t>
        </w:r>
      </w:hyperlink>
      <w:r w:rsidRPr="00FB463B">
        <w:rPr>
          <w:rFonts w:eastAsia="Calibri" w:cs="Arial"/>
          <w:szCs w:val="22"/>
        </w:rPr>
        <w:t>)</w:t>
      </w:r>
    </w:p>
    <w:p w14:paraId="2B9EA26E" w14:textId="253638C4" w:rsidR="00C57C96" w:rsidRPr="00FB463B" w:rsidRDefault="00C57C96" w:rsidP="00C57C96">
      <w:pPr>
        <w:tabs>
          <w:tab w:val="left" w:pos="450"/>
        </w:tabs>
        <w:spacing w:after="240"/>
        <w:rPr>
          <w:rFonts w:cs="Arial"/>
        </w:rPr>
      </w:pPr>
      <w:r w:rsidRPr="00FB463B">
        <w:rPr>
          <w:rFonts w:eastAsia="Arial" w:cs="Arial"/>
        </w:rPr>
        <w:t xml:space="preserve">In November 2018, the SBE approved the use of the ELPI Status for 2019 Local Control Funding Formula differentiated assistance and Every Student Succeeds Act (ESSA) school assistance eligibility </w:t>
      </w:r>
      <w:bookmarkStart w:id="4" w:name="_Int_oSjAT05a"/>
      <w:r w:rsidRPr="00FB463B">
        <w:rPr>
          <w:rFonts w:eastAsia="Arial" w:cs="Arial"/>
        </w:rPr>
        <w:t>determinations</w:t>
      </w:r>
      <w:bookmarkEnd w:id="4"/>
      <w:r w:rsidRPr="00FB463B">
        <w:rPr>
          <w:rFonts w:eastAsia="Arial" w:cs="Arial"/>
        </w:rPr>
        <w:t xml:space="preserve"> (</w:t>
      </w:r>
      <w:hyperlink r:id="rId110" w:tooltip="California State Board November 2018 Item">
        <w:r w:rsidRPr="00FB463B">
          <w:rPr>
            <w:rFonts w:eastAsia="Arial" w:cs="Arial"/>
            <w:color w:val="0000FF"/>
            <w:u w:val="single"/>
          </w:rPr>
          <w:t>https://www.cde.ca.gov/be/ag/ag/yr18/documents/nov18item04.docx</w:t>
        </w:r>
      </w:hyperlink>
      <w:r w:rsidRPr="00FB463B">
        <w:rPr>
          <w:rFonts w:eastAsia="Arial" w:cs="Arial"/>
        </w:rPr>
        <w:t>).</w:t>
      </w:r>
    </w:p>
    <w:p w14:paraId="04FEBD38" w14:textId="247ADC28" w:rsidR="00C57C96" w:rsidRPr="00FB463B" w:rsidRDefault="00C57C96" w:rsidP="00446753">
      <w:pPr>
        <w:spacing w:after="240"/>
        <w:rPr>
          <w:rFonts w:eastAsia="Arial" w:cs="Arial"/>
        </w:rPr>
      </w:pPr>
      <w:r w:rsidRPr="00FB463B">
        <w:rPr>
          <w:rFonts w:eastAsia="Arial" w:cs="Arial"/>
        </w:rPr>
        <w:t>In September 2019, the SBE approved the criteria for determining LEA eligibility for differentiated assistance at its September 2016 meeting. (</w:t>
      </w:r>
      <w:hyperlink r:id="rId111" w:tooltip="California State Board September 2019 Item" w:history="1">
        <w:r w:rsidRPr="00FB463B">
          <w:rPr>
            <w:rFonts w:eastAsia="Calibri" w:cs="Arial"/>
            <w:color w:val="0000FF"/>
            <w:szCs w:val="22"/>
            <w:u w:val="single"/>
          </w:rPr>
          <w:t>https://www.cde.ca.gov/be/ag/ag/yr16/documents/sep16item01.doc</w:t>
        </w:r>
      </w:hyperlink>
      <w:r w:rsidRPr="00FB463B">
        <w:rPr>
          <w:rFonts w:eastAsia="Arial" w:cs="Arial"/>
        </w:rPr>
        <w:t>)</w:t>
      </w:r>
    </w:p>
    <w:p w14:paraId="3BADBAC0" w14:textId="77777777" w:rsidR="00C57C96" w:rsidRPr="00FB463B" w:rsidRDefault="00C57C96" w:rsidP="00446753">
      <w:pPr>
        <w:spacing w:after="240"/>
        <w:rPr>
          <w:rFonts w:eastAsia="Arial" w:cs="Arial"/>
        </w:rPr>
      </w:pPr>
      <w:r w:rsidRPr="00FB463B">
        <w:rPr>
          <w:rFonts w:eastAsia="Arial" w:cs="Arial"/>
        </w:rPr>
        <w:t>In December 2019, the CDE provided an update regarding LEAs that were eligible for differentiated assistance under Local Control Funding Formula (LCFF) in 2019 (</w:t>
      </w:r>
      <w:hyperlink r:id="rId112" w:tooltip="California State Board December 2019 Item">
        <w:r w:rsidRPr="00FB463B">
          <w:rPr>
            <w:rFonts w:eastAsia="Arial" w:cs="Arial"/>
            <w:color w:val="0000FF"/>
            <w:u w:val="single"/>
          </w:rPr>
          <w:t>https://www.cde.ca.gov/be/pn/im/documents/apr20memoamard01.docx</w:t>
        </w:r>
      </w:hyperlink>
      <w:r w:rsidRPr="00FB463B">
        <w:rPr>
          <w:rFonts w:eastAsia="Arial" w:cs="Arial"/>
        </w:rPr>
        <w:t>).</w:t>
      </w:r>
    </w:p>
    <w:p w14:paraId="0B027A9E" w14:textId="6E6B30E1" w:rsidR="00C57C96" w:rsidRPr="00FB463B" w:rsidRDefault="00C57C96" w:rsidP="00446753">
      <w:pPr>
        <w:spacing w:after="240"/>
        <w:rPr>
          <w:rFonts w:eastAsia="Arial" w:cs="Arial"/>
          <w:szCs w:val="22"/>
        </w:rPr>
      </w:pPr>
      <w:r w:rsidRPr="00FB463B">
        <w:rPr>
          <w:rFonts w:eastAsia="Arial" w:cs="Arial"/>
          <w:szCs w:val="22"/>
        </w:rPr>
        <w:t>In March 2020, the CDE provided an update on the Implementation of the Local, State and Federal Accountability and Continuous Improvement System: Local Control Funding Formula Eligibility for Differentiated Assistance for Districts, County Offices of Education, and Charter Schools (</w:t>
      </w:r>
      <w:hyperlink r:id="rId113" w:tooltip="California State Board March 2020 Item" w:history="1">
        <w:r w:rsidRPr="00FB463B">
          <w:rPr>
            <w:rFonts w:eastAsia="Arial" w:cs="Arial"/>
            <w:color w:val="0000FF"/>
            <w:szCs w:val="22"/>
            <w:u w:val="single"/>
          </w:rPr>
          <w:t>https://www.cde.ca.gov/be/ag/ag/yr20/documents/mar20item05.docx</w:t>
        </w:r>
      </w:hyperlink>
      <w:r w:rsidRPr="00FB463B">
        <w:rPr>
          <w:rFonts w:eastAsia="Arial" w:cs="Arial"/>
          <w:szCs w:val="22"/>
        </w:rPr>
        <w:t>)</w:t>
      </w:r>
    </w:p>
    <w:p w14:paraId="7926AF46" w14:textId="561901A8" w:rsidR="00C57C96" w:rsidRPr="00FB463B" w:rsidRDefault="00C57C96" w:rsidP="00446753">
      <w:pPr>
        <w:spacing w:after="240"/>
        <w:rPr>
          <w:rFonts w:eastAsia="Arial" w:cs="Arial"/>
          <w:szCs w:val="22"/>
        </w:rPr>
      </w:pPr>
      <w:r w:rsidRPr="00FB463B">
        <w:rPr>
          <w:rFonts w:eastAsia="Arial" w:cs="Arial"/>
          <w:szCs w:val="22"/>
        </w:rPr>
        <w:lastRenderedPageBreak/>
        <w:t xml:space="preserve">In October 2021, the CDE Consistently Low-Performing Student Groups Per California Education Code Section 52064(e)(6)(A) and Consistently Low-Performing Schools Per California </w:t>
      </w:r>
      <w:r w:rsidRPr="00FB463B">
        <w:rPr>
          <w:rFonts w:eastAsia="Arial" w:cs="Arial"/>
          <w:i/>
          <w:szCs w:val="22"/>
        </w:rPr>
        <w:t>Education Code</w:t>
      </w:r>
      <w:r w:rsidRPr="00FB463B">
        <w:rPr>
          <w:rFonts w:eastAsia="Arial" w:cs="Arial"/>
          <w:szCs w:val="22"/>
        </w:rPr>
        <w:t xml:space="preserve"> Section 52064(e)(6)(B)</w:t>
      </w:r>
    </w:p>
    <w:p w14:paraId="5C1F1341" w14:textId="370C2308" w:rsidR="00C57C96" w:rsidRPr="00FB463B" w:rsidRDefault="00C57C96" w:rsidP="00446753">
      <w:pPr>
        <w:spacing w:after="240"/>
        <w:rPr>
          <w:rFonts w:eastAsia="Calibri" w:cs="Arial"/>
          <w:szCs w:val="22"/>
        </w:rPr>
      </w:pPr>
      <w:r w:rsidRPr="00FB463B">
        <w:rPr>
          <w:rFonts w:eastAsia="Arial" w:cs="Arial"/>
          <w:szCs w:val="22"/>
        </w:rPr>
        <w:t>(</w:t>
      </w:r>
      <w:hyperlink r:id="rId114" w:tooltip="California State Board October 2021 Item" w:history="1">
        <w:r w:rsidRPr="00FB463B">
          <w:rPr>
            <w:rFonts w:eastAsia="Calibri" w:cs="Arial"/>
            <w:color w:val="0000FF"/>
            <w:szCs w:val="22"/>
            <w:u w:val="single"/>
          </w:rPr>
          <w:t>https://www.cde.ca.gov/be/pn/im/documents/oct21memoamard01.docx</w:t>
        </w:r>
      </w:hyperlink>
      <w:r w:rsidRPr="00FB463B">
        <w:rPr>
          <w:rFonts w:eastAsia="Calibri" w:cs="Arial"/>
          <w:szCs w:val="22"/>
        </w:rPr>
        <w:t>)</w:t>
      </w:r>
    </w:p>
    <w:p w14:paraId="5827651C" w14:textId="0F30C4CF" w:rsidR="001B32A8" w:rsidRPr="00FB463B" w:rsidRDefault="001B32A8" w:rsidP="00446753">
      <w:pPr>
        <w:spacing w:after="240"/>
        <w:rPr>
          <w:rStyle w:val="Hyperlink"/>
          <w:rFonts w:asciiTheme="minorBidi" w:hAnsiTheme="minorBidi" w:cstheme="minorBidi"/>
          <w:color w:val="auto"/>
          <w:u w:val="none"/>
        </w:rPr>
      </w:pPr>
      <w:r w:rsidRPr="00FB463B">
        <w:rPr>
          <w:rFonts w:eastAsia="Calibri" w:cs="Arial"/>
          <w:szCs w:val="22"/>
        </w:rPr>
        <w:t>In September</w:t>
      </w:r>
      <w:r w:rsidR="003C0654" w:rsidRPr="00FB463B">
        <w:rPr>
          <w:rFonts w:eastAsia="Calibri" w:cs="Arial"/>
          <w:szCs w:val="22"/>
        </w:rPr>
        <w:t xml:space="preserve"> 2022, </w:t>
      </w:r>
      <w:r w:rsidR="00677ABE" w:rsidRPr="00FB463B">
        <w:rPr>
          <w:rFonts w:eastAsia="Calibri" w:cs="Arial"/>
          <w:szCs w:val="22"/>
        </w:rPr>
        <w:t xml:space="preserve">the SBE adopted the </w:t>
      </w:r>
      <w:r w:rsidR="00677ABE" w:rsidRPr="00FB463B">
        <w:t>use of the lowest Status level as a proxy for Red as reported on the 2022 Dashboard to determine county offices of education and districts eligible for Differentiated Assistance</w:t>
      </w:r>
      <w:r w:rsidR="0044190F" w:rsidRPr="00FB463B">
        <w:t xml:space="preserve"> </w:t>
      </w:r>
      <w:r w:rsidR="00A35090" w:rsidRPr="00FB463B">
        <w:t>(</w:t>
      </w:r>
      <w:hyperlink r:id="rId115" w:tooltip="County offices of education and districts eligible for Differentiated Assistance" w:history="1">
        <w:r w:rsidR="00A4151B" w:rsidRPr="00FB463B">
          <w:rPr>
            <w:rStyle w:val="Hyperlink"/>
            <w:rFonts w:asciiTheme="minorBidi" w:hAnsiTheme="minorBidi" w:cstheme="minorBidi"/>
          </w:rPr>
          <w:t>https://www.cde.ca.gov/be/ag/ag/yr22/documents/sep22item03.docx</w:t>
        </w:r>
      </w:hyperlink>
      <w:r w:rsidR="00A4151B" w:rsidRPr="00FB463B">
        <w:rPr>
          <w:rStyle w:val="Hyperlink"/>
          <w:rFonts w:asciiTheme="minorBidi" w:hAnsiTheme="minorBidi" w:cstheme="minorBidi"/>
          <w:color w:val="auto"/>
          <w:u w:val="none"/>
        </w:rPr>
        <w:t>).</w:t>
      </w:r>
    </w:p>
    <w:p w14:paraId="4C856026" w14:textId="6E472790" w:rsidR="00A4151B" w:rsidRPr="00FB463B" w:rsidRDefault="00A4151B" w:rsidP="00446753">
      <w:pPr>
        <w:spacing w:after="240"/>
        <w:rPr>
          <w:rFonts w:eastAsia="Arial" w:cs="Arial"/>
        </w:rPr>
      </w:pPr>
      <w:r w:rsidRPr="00FB463B">
        <w:rPr>
          <w:rFonts w:eastAsia="Arial" w:cs="Arial"/>
        </w:rPr>
        <w:t>In December 2022, the CDE provided an update regarding LEAs that were eligible for differentiated assistance under LCFF in 2022</w:t>
      </w:r>
      <w:r w:rsidR="00604426" w:rsidRPr="00FB463B">
        <w:rPr>
          <w:rFonts w:eastAsia="Arial" w:cs="Arial"/>
        </w:rPr>
        <w:t>. A revised update to this memo was provided to the SBE in February 2023</w:t>
      </w:r>
      <w:r w:rsidRPr="00FB463B">
        <w:rPr>
          <w:rFonts w:eastAsia="Arial" w:cs="Arial"/>
        </w:rPr>
        <w:t xml:space="preserve"> (</w:t>
      </w:r>
      <w:hyperlink r:id="rId116" w:tooltip="CSI/ATSI SBE Information Memorandum February 2023" w:history="1">
        <w:r w:rsidR="00604426" w:rsidRPr="00FB463B">
          <w:rPr>
            <w:rStyle w:val="Hyperlink"/>
          </w:rPr>
          <w:t>https://www.cde.ca.gov/be/pn/im/documents/feb23memoamard01revb.docx</w:t>
        </w:r>
      </w:hyperlink>
      <w:r w:rsidRPr="00FB463B">
        <w:rPr>
          <w:rFonts w:eastAsia="Arial" w:cs="Arial"/>
        </w:rPr>
        <w:t>).</w:t>
      </w:r>
    </w:p>
    <w:p w14:paraId="230CF90A" w14:textId="59146E5A" w:rsidR="00D05780" w:rsidRPr="00FB463B" w:rsidRDefault="00D05780" w:rsidP="00D05780">
      <w:pPr>
        <w:pStyle w:val="Heading3"/>
      </w:pPr>
      <w:r w:rsidRPr="00FB463B">
        <w:t>Every Student Succeeds Act</w:t>
      </w:r>
    </w:p>
    <w:p w14:paraId="3E718286" w14:textId="4A85C0CB" w:rsidR="00446753" w:rsidRPr="00FB463B" w:rsidRDefault="00446753" w:rsidP="00446753">
      <w:pPr>
        <w:spacing w:after="240"/>
      </w:pPr>
      <w:r w:rsidRPr="00FB463B">
        <w:rPr>
          <w:rFonts w:ascii="Helvetica" w:hAnsi="Helvetica" w:cs="Helvetica"/>
          <w:color w:val="000000"/>
          <w:shd w:val="clear" w:color="auto" w:fill="FFFFFF"/>
        </w:rPr>
        <w:t>In March 2022, the SBE approved California’s submission to ED of the 2021–22 Addendum Template for the Consolidated State Plan due to COVID-19. The Addendum included: 1) revising the state’s long-term goals and interim progress by shifting the timeline forward by two years for measurements of interim progress; 2) excluding the College/Career Indicator from the state’s accountability system for the 2021–22 school year due to the limitations of 2021 statewide grade eleven assessment data; 3) shifting forward timelines by one year for identifying schools; and 4) revising the entrance and exit criteria for schools identified for support. (</w:t>
      </w:r>
      <w:hyperlink r:id="rId117" w:tooltip="March 2022 SBE Item 3" w:history="1">
        <w:r w:rsidRPr="00FB463B">
          <w:rPr>
            <w:rStyle w:val="Hyperlink"/>
            <w:rFonts w:ascii="Helvetica" w:eastAsiaTheme="majorEastAsia" w:hAnsi="Helvetica" w:cs="Helvetica"/>
            <w:shd w:val="clear" w:color="auto" w:fill="FFFFFF"/>
          </w:rPr>
          <w:t>https://www.cde.ca.gov/be/ag/ag/yr22/documents/mar22item03rev.docx</w:t>
        </w:r>
      </w:hyperlink>
      <w:r w:rsidRPr="00FB463B">
        <w:rPr>
          <w:rFonts w:ascii="Helvetica" w:hAnsi="Helvetica" w:cs="Helvetica"/>
          <w:color w:val="000000"/>
          <w:shd w:val="clear" w:color="auto" w:fill="FFFFFF"/>
        </w:rPr>
        <w:t>)</w:t>
      </w:r>
    </w:p>
    <w:p w14:paraId="23A9115E" w14:textId="7E7580DB" w:rsidR="00446753" w:rsidRPr="00FB463B" w:rsidRDefault="00446753" w:rsidP="00446753">
      <w:pPr>
        <w:spacing w:after="240"/>
      </w:pPr>
      <w:r w:rsidRPr="00FB463B">
        <w:t xml:space="preserve">In November 2021, the SBE adopted a new definition that allowed </w:t>
      </w:r>
      <w:r w:rsidRPr="00FB463B">
        <w:rPr>
          <w:rFonts w:cs="Arial"/>
        </w:rPr>
        <w:t xml:space="preserve">Local Assignment Options (LAOs) authorized in </w:t>
      </w:r>
      <w:r w:rsidRPr="00FB463B">
        <w:rPr>
          <w:rFonts w:cs="Arial"/>
          <w:i/>
        </w:rPr>
        <w:t xml:space="preserve">California Code of Regulations </w:t>
      </w:r>
      <w:r w:rsidRPr="00FB463B">
        <w:rPr>
          <w:rFonts w:cs="Arial"/>
        </w:rPr>
        <w:t>Title 5 (</w:t>
      </w:r>
      <w:r w:rsidRPr="00FB463B">
        <w:rPr>
          <w:rFonts w:cs="Arial"/>
          <w:i/>
          <w:iCs/>
        </w:rPr>
        <w:t>5 CCR</w:t>
      </w:r>
      <w:r w:rsidRPr="00FB463B">
        <w:rPr>
          <w:rFonts w:cs="Arial"/>
          <w:iCs/>
        </w:rPr>
        <w:t>)</w:t>
      </w:r>
      <w:r w:rsidRPr="00FB463B">
        <w:rPr>
          <w:rFonts w:cs="Arial"/>
        </w:rPr>
        <w:t xml:space="preserve"> Section 80005(b) which allow kindergarten through grade twelve staff to teach electives within their grade level authorization to be exempt from the out-of-field designation. </w:t>
      </w:r>
      <w:r w:rsidRPr="00FB463B">
        <w:t>(</w:t>
      </w:r>
      <w:hyperlink r:id="rId118" w:tooltip="November 2021 SBE Item 6" w:history="1">
        <w:r w:rsidRPr="00FB463B">
          <w:rPr>
            <w:rStyle w:val="Hyperlink"/>
            <w:rFonts w:eastAsiaTheme="majorEastAsia"/>
          </w:rPr>
          <w:t>https://www.cde.ca.gov/be/ag/ag/yr21/documents/nov21item06.docx</w:t>
        </w:r>
      </w:hyperlink>
      <w:r w:rsidRPr="00FB463B">
        <w:t>)</w:t>
      </w:r>
    </w:p>
    <w:p w14:paraId="280C0FF4" w14:textId="77777777" w:rsidR="00446753" w:rsidRPr="00FB463B" w:rsidRDefault="00446753" w:rsidP="00446753">
      <w:pPr>
        <w:spacing w:after="240"/>
      </w:pPr>
      <w:r w:rsidRPr="00FB463B">
        <w:t xml:space="preserve">In June 2021, the CDE provided the SBE with an Information Memorandum that provided an overview of LAOs. </w:t>
      </w:r>
      <w:r w:rsidRPr="00FB463B">
        <w:rPr>
          <w:rFonts w:cs="Arial"/>
        </w:rPr>
        <w:t>(</w:t>
      </w:r>
      <w:hyperlink r:id="rId119" w:tooltip="Overview of Local Assignment Options - June 2021 Memorandum to the State Board of Education" w:history="1">
        <w:r w:rsidRPr="00FB463B">
          <w:rPr>
            <w:rStyle w:val="Hyperlink"/>
            <w:rFonts w:eastAsiaTheme="majorEastAsia" w:cs="Arial"/>
          </w:rPr>
          <w:t>https://www.cde.ca.gov/be/pn/im/documents/jun21memoeeed01.docx</w:t>
        </w:r>
      </w:hyperlink>
      <w:r w:rsidRPr="00FB463B">
        <w:rPr>
          <w:rFonts w:cs="Arial"/>
        </w:rPr>
        <w:t>)</w:t>
      </w:r>
    </w:p>
    <w:p w14:paraId="71CCBE15" w14:textId="3BB3DEC2" w:rsidR="00446753" w:rsidRPr="00FB463B" w:rsidRDefault="00446753" w:rsidP="00446753">
      <w:pPr>
        <w:spacing w:after="240"/>
      </w:pPr>
      <w:r w:rsidRPr="00FB463B">
        <w:t>In December 2020, t</w:t>
      </w:r>
      <w:r w:rsidRPr="00FB463B">
        <w:rPr>
          <w:rFonts w:eastAsia="Arial" w:cs="Arial"/>
        </w:rPr>
        <w:t>he CDE provided the SBE with an Information Memorandum that provided information on the October 5, 2020, letter from the ED which raised concerns that using modified methods to calculate state indicators for</w:t>
      </w:r>
      <w:r w:rsidRPr="00FB463B">
        <w:t xml:space="preserve"> </w:t>
      </w:r>
      <w:r w:rsidRPr="00FB463B">
        <w:rPr>
          <w:rFonts w:eastAsia="Arial" w:cs="Arial"/>
        </w:rPr>
        <w:t>Dashboard Alternative School Status schools is not permissible under the ESSA. The Information Memorandum also included the response from the CDE asking for more time to bring the issue before the SBE. (</w:t>
      </w:r>
      <w:hyperlink r:id="rId120" w:tooltip="December 2020 SBE Information Memorandum ESSA" w:history="1">
        <w:r w:rsidRPr="00FB463B">
          <w:rPr>
            <w:rStyle w:val="Hyperlink"/>
            <w:rFonts w:eastAsia="Arial" w:cs="Arial"/>
          </w:rPr>
          <w:t>https://www.cde.ca.gov/be/pn/im/documents/dec20gad01.docx</w:t>
        </w:r>
      </w:hyperlink>
      <w:r w:rsidRPr="00FB463B">
        <w:rPr>
          <w:rFonts w:eastAsia="Arial" w:cs="Arial"/>
        </w:rPr>
        <w:t>)</w:t>
      </w:r>
    </w:p>
    <w:p w14:paraId="56A51F8B" w14:textId="6A50E025" w:rsidR="00446753" w:rsidRPr="00FB463B" w:rsidRDefault="00446753" w:rsidP="00446753">
      <w:pPr>
        <w:spacing w:after="240"/>
      </w:pPr>
      <w:r w:rsidRPr="00FB463B">
        <w:lastRenderedPageBreak/>
        <w:t>In January 2020, the SBE approved the adoption of the amended State Plan which (1) updated the long-term goal and revised status cut scores for the Graduation Rate Indicator, (2) approved the methodology for using the English Learner Progress Indicator (ELPI) for school identification, (3) approved status cut scores for the ELPI, (4) clarified the definitions of ineffective teacher and out of field teacher, (5) raised the low graduation threshold to below 68 percent, (6) refined a combined four-and five-year graduation rate for the Graduation Rate Indicator, and (7) reinserted the Academic Indicator State Level Data by Student Group Tables. The plan was submitted to the ED on January 31, 2020. (</w:t>
      </w:r>
      <w:hyperlink r:id="rId121" w:tooltip="January 2020 SBE Item 7" w:history="1">
        <w:r w:rsidRPr="00FB463B">
          <w:rPr>
            <w:rStyle w:val="Hyperlink"/>
            <w:rFonts w:eastAsiaTheme="majorEastAsia"/>
          </w:rPr>
          <w:t>https://www.cde.ca.gov/be/ag/ag/yr20/documents/jan20item07.docx</w:t>
        </w:r>
      </w:hyperlink>
      <w:r w:rsidRPr="00FB463B">
        <w:t>)</w:t>
      </w:r>
    </w:p>
    <w:p w14:paraId="17B7F157" w14:textId="16A8F1CC" w:rsidR="00446753" w:rsidRPr="00FB463B" w:rsidRDefault="00446753" w:rsidP="00446753">
      <w:pPr>
        <w:spacing w:after="240"/>
      </w:pPr>
      <w:r w:rsidRPr="00FB463B">
        <w:t>In November 2019, The SBE (1) clarified the definitions of ineffective teacher and out-of-field teacher, (2) updated long-term goal and revised status cut scores for the Graduation Rate Indicator, (3) approved status cut scores for the ELPI, and (4) approved the methodology for using the ELPI for school and LEA identification. (</w:t>
      </w:r>
      <w:hyperlink r:id="rId122" w:tooltip="November 2019 SBE Meeting Item 5" w:history="1">
        <w:r w:rsidRPr="00FB463B">
          <w:rPr>
            <w:rStyle w:val="Hyperlink"/>
            <w:rFonts w:eastAsiaTheme="majorEastAsia"/>
          </w:rPr>
          <w:t>https://www.cde.ca.gov/be/ag/ag/yr19/documents/nov19item05rev.docx</w:t>
        </w:r>
      </w:hyperlink>
      <w:r w:rsidRPr="00FB463B">
        <w:t>)</w:t>
      </w:r>
    </w:p>
    <w:p w14:paraId="06B241EB" w14:textId="0C077F3D" w:rsidR="00446753" w:rsidRPr="00FB463B" w:rsidRDefault="00446753" w:rsidP="00446753">
      <w:pPr>
        <w:spacing w:after="240"/>
        <w:rPr>
          <w:rFonts w:cs="Arial"/>
        </w:rPr>
      </w:pPr>
      <w:r w:rsidRPr="00FB463B">
        <w:t xml:space="preserve">In July 2018, the revised version of the State Plan based on the </w:t>
      </w:r>
      <w:r w:rsidRPr="00FB463B">
        <w:rPr>
          <w:rFonts w:cs="Arial"/>
        </w:rPr>
        <w:t>June 11, 2018, feedback from ED was posted as a part of the item. The SBE approved a revised State Plan. The revised State Plan was submitted to the ED on July 11, 2018. (</w:t>
      </w:r>
      <w:hyperlink r:id="rId123" w:tooltip="July 2018 SBE Meeting Item 2" w:history="1">
        <w:r w:rsidRPr="00FB463B">
          <w:rPr>
            <w:rStyle w:val="Hyperlink"/>
            <w:rFonts w:eastAsiaTheme="majorEastAsia" w:cs="Arial"/>
          </w:rPr>
          <w:t>https://www.cde.ca.gov/be/ag/ag/yr18/documents/jul18item02.docx</w:t>
        </w:r>
      </w:hyperlink>
      <w:r w:rsidRPr="00FB463B">
        <w:rPr>
          <w:rFonts w:cs="Arial"/>
        </w:rPr>
        <w:t>)</w:t>
      </w:r>
    </w:p>
    <w:p w14:paraId="7F978765" w14:textId="60F40242" w:rsidR="00446753" w:rsidRPr="00FB463B" w:rsidRDefault="00446753" w:rsidP="00446753">
      <w:pPr>
        <w:spacing w:after="240"/>
      </w:pPr>
      <w:r w:rsidRPr="00FB463B">
        <w:t>In April 2018, the revised version of the State Plan based on the February 14, 2018, feedback from the ED was posted as a part of the item. The SBE approved a revised State Plan and directed the CDE to pursue a waiver related to the ELPI. The revised State Plan was resubmitted to the ED the week of April 16, 2018, and the waiver request was submitted on May 16, 2018. (</w:t>
      </w:r>
      <w:hyperlink r:id="rId124" w:tooltip="April 2018 SBE Meeting Item 1" w:history="1">
        <w:r w:rsidRPr="00FB463B">
          <w:rPr>
            <w:rStyle w:val="Hyperlink"/>
            <w:rFonts w:eastAsiaTheme="majorEastAsia"/>
          </w:rPr>
          <w:t>https://www.cde.ca.gov/be/ag/ag/yr18/documents/apr18item01.docx</w:t>
        </w:r>
      </w:hyperlink>
      <w:r w:rsidRPr="00FB463B">
        <w:t>)</w:t>
      </w:r>
    </w:p>
    <w:p w14:paraId="73322247" w14:textId="3D3CCF93" w:rsidR="00446753" w:rsidRPr="00FB463B" w:rsidRDefault="00446753" w:rsidP="00446753">
      <w:pPr>
        <w:spacing w:after="240"/>
      </w:pPr>
      <w:r w:rsidRPr="00FB463B">
        <w:t xml:space="preserve">In March 2018, the revised version of the State Plan based on the February 14, 2018, feedback from the ED was posted as a part of the item, and the SBE was asked to </w:t>
      </w:r>
      <w:proofErr w:type="gramStart"/>
      <w:r w:rsidRPr="00FB463B">
        <w:t>take action</w:t>
      </w:r>
      <w:proofErr w:type="gramEnd"/>
      <w:r w:rsidRPr="00FB463B">
        <w:t xml:space="preserve"> on the full revised version. However, due to ongoing negotiations with the ED, the full item was posted only days prior to the March 2018 SBE meeting. Due to this fact, the CDE staff presented, and the SBE approved, the following sections of the State Plan: A.5, E.1, and I.7.g. The SBE announced plans to hold an additional meeting to </w:t>
      </w:r>
      <w:proofErr w:type="gramStart"/>
      <w:r w:rsidRPr="00FB463B">
        <w:t>take action</w:t>
      </w:r>
      <w:proofErr w:type="gramEnd"/>
      <w:r w:rsidRPr="00FB463B">
        <w:t xml:space="preserve"> on the remaining Title I accountability sections of the revised State Plan. (</w:t>
      </w:r>
      <w:hyperlink r:id="rId125" w:tooltip="March 2018 SBE Meeting Item 4" w:history="1">
        <w:r w:rsidRPr="00FB463B">
          <w:rPr>
            <w:rStyle w:val="Hyperlink"/>
            <w:rFonts w:eastAsiaTheme="majorEastAsia"/>
          </w:rPr>
          <w:t>https://www.cde.ca.gov/be/ag/ag/yr18/documents/mar18item04.docx</w:t>
        </w:r>
      </w:hyperlink>
      <w:r w:rsidRPr="00FB463B">
        <w:t>)</w:t>
      </w:r>
    </w:p>
    <w:p w14:paraId="6559EFE8" w14:textId="4FDD0367" w:rsidR="00446753" w:rsidRPr="00FB463B" w:rsidRDefault="00446753" w:rsidP="00446753">
      <w:pPr>
        <w:spacing w:after="240"/>
      </w:pPr>
      <w:r w:rsidRPr="00FB463B">
        <w:t>In January 2018, the CDE staff presented to the SBE a revised version of the State Plan based on the content of the interim feedback letter from the ED. The SBE discussed and approved the revised State Plan for submission to the ED, with a revision to replace the proposal related to the identification of the lowest performing schools with revised language indicating the SBE will consider a proposed State Plan supplement at its March 2018 meeting for submission to the ED that further describes the approach. (</w:t>
      </w:r>
      <w:hyperlink r:id="rId126" w:tooltip="January 2018 SBE Meeting Item 5" w:history="1">
        <w:r w:rsidRPr="00FB463B">
          <w:rPr>
            <w:rStyle w:val="Hyperlink"/>
            <w:rFonts w:eastAsiaTheme="majorEastAsia"/>
          </w:rPr>
          <w:t>https://www.cde.ca.gov/be/ag/ag/yr18/documents/jan18item05.docx</w:t>
        </w:r>
      </w:hyperlink>
      <w:r w:rsidRPr="00FB463B">
        <w:t>)</w:t>
      </w:r>
    </w:p>
    <w:p w14:paraId="465589B2" w14:textId="4E559A60" w:rsidR="00446753" w:rsidRPr="00FB463B" w:rsidRDefault="00446753" w:rsidP="00446753">
      <w:pPr>
        <w:spacing w:after="240"/>
        <w:rPr>
          <w:rFonts w:cs="Arial"/>
        </w:rPr>
      </w:pPr>
      <w:r w:rsidRPr="00FB463B">
        <w:rPr>
          <w:rFonts w:cs="Arial"/>
        </w:rPr>
        <w:lastRenderedPageBreak/>
        <w:t>In September 2017, the CDE staff presented to the SBE a summary of the feedback from stakeholders and a set of proposed revisions to the draft August 2017 State Plan. The SBE discussed and approved the State Plan for submission to the ED. (</w:t>
      </w:r>
      <w:hyperlink r:id="rId127" w:tooltip="State Plan for submission to the ED" w:history="1">
        <w:r w:rsidRPr="00FB463B">
          <w:rPr>
            <w:rStyle w:val="Hyperlink"/>
            <w:rFonts w:eastAsiaTheme="majorEastAsia" w:cs="Arial"/>
          </w:rPr>
          <w:t>https://www.cde.ca.gov/be/ag/ag/yr17/documents/sep17item04.doc</w:t>
        </w:r>
      </w:hyperlink>
      <w:r w:rsidRPr="00FB463B">
        <w:rPr>
          <w:rFonts w:cs="Arial"/>
        </w:rPr>
        <w:t>)</w:t>
      </w:r>
    </w:p>
    <w:p w14:paraId="5A905983" w14:textId="116AF8F2" w:rsidR="00446753" w:rsidRPr="00FB463B" w:rsidRDefault="00446753" w:rsidP="00446753">
      <w:pPr>
        <w:spacing w:after="240"/>
        <w:rPr>
          <w:rFonts w:cs="Arial"/>
        </w:rPr>
      </w:pPr>
      <w:r w:rsidRPr="00FB463B">
        <w:rPr>
          <w:rFonts w:cs="Arial"/>
        </w:rPr>
        <w:t>In July 2017, The 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additional adjustments to the State Plan. (</w:t>
      </w:r>
      <w:hyperlink r:id="rId128" w:tooltip="July 2017 SBE Meeting Item 3" w:history="1">
        <w:r w:rsidRPr="00FB463B">
          <w:rPr>
            <w:rStyle w:val="Hyperlink"/>
            <w:rFonts w:eastAsiaTheme="majorEastAsia" w:cs="Arial"/>
          </w:rPr>
          <w:t>https://www.cde.ca.gov/be/ag/ag/yr17/documents/jul17item03rev.doc</w:t>
        </w:r>
      </w:hyperlink>
      <w:r w:rsidRPr="00FB463B">
        <w:rPr>
          <w:rFonts w:cs="Arial"/>
        </w:rPr>
        <w:t>)</w:t>
      </w:r>
    </w:p>
    <w:p w14:paraId="6EC6ED59" w14:textId="4B6C3646" w:rsidR="00446753" w:rsidRPr="00FB463B" w:rsidRDefault="00446753" w:rsidP="00446753">
      <w:pPr>
        <w:spacing w:after="240"/>
        <w:rPr>
          <w:rFonts w:cs="Arial"/>
        </w:rPr>
      </w:pPr>
      <w:r w:rsidRPr="00FB463B">
        <w:rPr>
          <w:rFonts w:cs="Arial"/>
        </w:rPr>
        <w:t>In May 2017, the CDE staff presented to the SBE the first complete draft of the State Plan. (</w:t>
      </w:r>
      <w:hyperlink r:id="rId129" w:tooltip="May 2017 SBE Meeting Item 3" w:history="1">
        <w:r w:rsidRPr="00FB463B">
          <w:rPr>
            <w:rStyle w:val="Hyperlink"/>
            <w:rFonts w:eastAsiaTheme="majorEastAsia" w:cs="Arial"/>
          </w:rPr>
          <w:t>https://www.cde.ca.gov/be/ag/ag/yr17/documents/may17item03.doc</w:t>
        </w:r>
      </w:hyperlink>
      <w:r w:rsidRPr="00FB463B">
        <w:rPr>
          <w:rFonts w:cs="Arial"/>
        </w:rPr>
        <w:t>)</w:t>
      </w:r>
    </w:p>
    <w:p w14:paraId="608C6BB6" w14:textId="0C80FCBA" w:rsidR="00446753" w:rsidRPr="00FB463B" w:rsidRDefault="00446753" w:rsidP="00446753">
      <w:pPr>
        <w:spacing w:after="240"/>
        <w:rPr>
          <w:rFonts w:cs="Arial"/>
        </w:rPr>
      </w:pPr>
      <w:r w:rsidRPr="00FB463B">
        <w:rPr>
          <w:rFonts w:cs="Arial"/>
        </w:rPr>
        <w:t>In March 2017, the CDE staff presented to the SBE an update on the development of the State Plan including a status update on issues that need to be addressed in the State Plan and stakeholder feedback regarding State Plan policy decisions. Additionally, the SBE unanimously approved the CDE recommendation to authorize the SBE President to sign and submit any required ESSA assurances to the ED by the due date established by the ED. (</w:t>
      </w:r>
      <w:hyperlink r:id="rId130" w:tooltip="March 2017 SBE Meeting Item 4" w:history="1">
        <w:r w:rsidRPr="00FB463B">
          <w:rPr>
            <w:rStyle w:val="Hyperlink"/>
            <w:rFonts w:eastAsiaTheme="majorEastAsia" w:cs="Arial"/>
          </w:rPr>
          <w:t>https://www.cde.ca.gov/be/ag/ag/yr17/documents/mar17item04.doc</w:t>
        </w:r>
      </w:hyperlink>
      <w:r w:rsidRPr="00FB463B">
        <w:rPr>
          <w:rFonts w:cs="Arial"/>
        </w:rPr>
        <w:t>)</w:t>
      </w:r>
    </w:p>
    <w:p w14:paraId="060D130A" w14:textId="5289D36E" w:rsidR="00446753" w:rsidRPr="00FB463B" w:rsidRDefault="00446753" w:rsidP="00446753">
      <w:pPr>
        <w:spacing w:after="240"/>
        <w:rPr>
          <w:rFonts w:cs="Arial"/>
        </w:rPr>
      </w:pPr>
      <w:r w:rsidRPr="00FB463B">
        <w:rPr>
          <w:rFonts w:cs="Arial"/>
        </w:rPr>
        <w:t>In January 2017, the CDE staff presented to the SBE an update on the development of the State Plan including proposed guiding principles and recommended approach for the State Plan development. The SBE unanimously approved the guiding principles. (</w:t>
      </w:r>
      <w:hyperlink r:id="rId131" w:tooltip="January 2017 SBE Meeting Item 4" w:history="1">
        <w:r w:rsidRPr="00FB463B">
          <w:rPr>
            <w:rStyle w:val="Hyperlink"/>
            <w:rFonts w:eastAsiaTheme="majorEastAsia" w:cs="Arial"/>
          </w:rPr>
          <w:t>https://www.cde.ca.gov/be/ag/ag/yr17/documents/jan17item04.doc</w:t>
        </w:r>
      </w:hyperlink>
      <w:r w:rsidRPr="00FB463B">
        <w:rPr>
          <w:rFonts w:cs="Arial"/>
        </w:rPr>
        <w:t>)</w:t>
      </w:r>
    </w:p>
    <w:p w14:paraId="3EA02C04" w14:textId="267ADD55" w:rsidR="00446753" w:rsidRPr="00FB463B" w:rsidRDefault="00446753" w:rsidP="00446753">
      <w:pPr>
        <w:spacing w:after="240"/>
        <w:rPr>
          <w:rFonts w:cs="Arial"/>
        </w:rPr>
      </w:pPr>
      <w:r w:rsidRPr="00FB463B">
        <w:rPr>
          <w:rFonts w:cs="Arial"/>
        </w:rPr>
        <w:t>In November 2016, the CDE staff presented to the SBE an update on the development of the State Plan including the ESSA Consolidated State Plan Development Draft Timeline; the first draft sections of the State Plan; and the communication, outreach, and consultation CDE staff conducted in September and October 2016. SBE members approved CDE staff recommendations to authorize the SBE President to submit a joint letter with the State Superintendent of Public Instruction (SSPI) in response to ESSA regulations for supplement, not supplant under Title I, Part A. (</w:t>
      </w:r>
      <w:hyperlink r:id="rId132" w:tooltip="November 2016 SBE Meeting Item 5" w:history="1">
        <w:r w:rsidRPr="00FB463B">
          <w:rPr>
            <w:rStyle w:val="Hyperlink"/>
            <w:rFonts w:eastAsiaTheme="majorEastAsia" w:cs="Arial"/>
          </w:rPr>
          <w:t>https://www.cde.ca.gov/be/ag/ag/yr16/documents/nov16item05.doc</w:t>
        </w:r>
      </w:hyperlink>
      <w:r w:rsidRPr="00FB463B">
        <w:rPr>
          <w:rFonts w:cs="Arial"/>
        </w:rPr>
        <w:t>)</w:t>
      </w:r>
    </w:p>
    <w:p w14:paraId="21C576F0" w14:textId="47085A3E" w:rsidR="00446753" w:rsidRPr="00FB463B" w:rsidRDefault="00446753" w:rsidP="00446753">
      <w:pPr>
        <w:spacing w:after="240"/>
        <w:rPr>
          <w:rFonts w:cs="Arial"/>
        </w:rPr>
      </w:pPr>
      <w:r w:rsidRPr="00FB463B">
        <w:rPr>
          <w:rFonts w:cs="Arial"/>
        </w:rPr>
        <w:t>In September 2016, the CDE staff presented to the SBE an update on the development of the State Plan including an overview of ESSA programs, an overview of State Plan requirements and related decision points, a preliminary status of various decisions, and areas where final regulations will be needed to address plan requirements. (</w:t>
      </w:r>
      <w:hyperlink r:id="rId133" w:tooltip="September 2016 SBE Meeting Item 2" w:history="1">
        <w:r w:rsidRPr="00FB463B">
          <w:rPr>
            <w:rStyle w:val="Hyperlink"/>
            <w:rFonts w:eastAsiaTheme="majorEastAsia" w:cs="Arial"/>
          </w:rPr>
          <w:t>https://www.cde.ca.gov/be/ag/ag/yr16/documents/sep16item02.doc</w:t>
        </w:r>
      </w:hyperlink>
      <w:r w:rsidRPr="00FB463B">
        <w:rPr>
          <w:rFonts w:cs="Arial"/>
        </w:rPr>
        <w:t>)</w:t>
      </w:r>
    </w:p>
    <w:p w14:paraId="2F7094BA" w14:textId="50CBC3F8" w:rsidR="00446753" w:rsidRPr="00FB463B" w:rsidRDefault="00446753" w:rsidP="00446753">
      <w:pPr>
        <w:spacing w:after="240"/>
        <w:rPr>
          <w:rFonts w:cs="Arial"/>
        </w:rPr>
      </w:pPr>
      <w:r w:rsidRPr="00FB463B">
        <w:rPr>
          <w:rFonts w:cs="Arial"/>
        </w:rPr>
        <w:t xml:space="preserve">In July 2016, the CDE staff presented to the SBE an update on the development of the State Plan including opportunities in the ESSA to support California’s accountability and </w:t>
      </w:r>
      <w:r w:rsidRPr="00FB463B">
        <w:rPr>
          <w:rFonts w:cs="Arial"/>
        </w:rPr>
        <w:lastRenderedPageBreak/>
        <w:t>continuous improvement system, an update on proposed ESSA regulations, and a description of stakeholder outreach and communications activities. SBE members approved CDE staff recommendations to authorize the SBE President to submit joint letters with the SSPI in response to ESSA regulations for accountability, data reporting, submission of state plans, and assessments. (</w:t>
      </w:r>
      <w:hyperlink r:id="rId134" w:tooltip="July 2016 SBE Meeting Item 4" w:history="1">
        <w:r w:rsidRPr="00FB463B">
          <w:rPr>
            <w:rStyle w:val="Hyperlink"/>
            <w:rFonts w:eastAsiaTheme="majorEastAsia" w:cs="Arial"/>
          </w:rPr>
          <w:t>https://www.cde.ca.gov/be/ag/ag/yr16/documents/jul16item04.doc</w:t>
        </w:r>
      </w:hyperlink>
      <w:r w:rsidRPr="00FB463B">
        <w:rPr>
          <w:rFonts w:cs="Arial"/>
        </w:rPr>
        <w:t>)</w:t>
      </w:r>
    </w:p>
    <w:p w14:paraId="0D067E9D" w14:textId="3429EA25" w:rsidR="00446753" w:rsidRPr="00FB463B" w:rsidRDefault="00446753" w:rsidP="00446753">
      <w:pPr>
        <w:spacing w:after="240"/>
        <w:rPr>
          <w:rFonts w:cs="Arial"/>
        </w:rPr>
      </w:pPr>
      <w:r w:rsidRPr="00FB463B">
        <w:rPr>
          <w:rFonts w:cs="Arial"/>
        </w:rPr>
        <w:t>In May 2016, the CDE staff presented to the SBE an update on the development of the State Plan including Title I State Plan requirements described in the ESSA, outreach and consultation with stakeholders, and a draft State Plan development timeline. The SBE also approved the ESSA 2016–17 School Year Transition Plan and two federal ESSA waiver requests to address double testing in science and speaking and listening assessment requirements. (</w:t>
      </w:r>
      <w:hyperlink r:id="rId135" w:tooltip="May 2016 SBE Item 5" w:history="1">
        <w:r w:rsidRPr="00FB463B">
          <w:rPr>
            <w:rStyle w:val="Hyperlink"/>
            <w:rFonts w:eastAsiaTheme="majorEastAsia" w:cs="Arial"/>
          </w:rPr>
          <w:t>https://www.cde.ca.gov/be/ag/ag/yr16/documents/may16item05.doc</w:t>
        </w:r>
      </w:hyperlink>
      <w:r w:rsidRPr="00FB463B">
        <w:rPr>
          <w:rFonts w:cs="Arial"/>
        </w:rPr>
        <w:t>)</w:t>
      </w:r>
    </w:p>
    <w:p w14:paraId="243B7B4D" w14:textId="4D33F4BF" w:rsidR="00D05780" w:rsidRPr="00FB463B" w:rsidRDefault="00446753" w:rsidP="00446753">
      <w:pPr>
        <w:spacing w:after="240"/>
        <w:rPr>
          <w:rFonts w:eastAsia="Calibri"/>
        </w:rPr>
      </w:pPr>
      <w:r w:rsidRPr="00FB463B">
        <w:rPr>
          <w:rFonts w:cs="Arial"/>
        </w:rPr>
        <w:t>In January 2016, the CDE staff presented to the SBE an update on issues related to California’s implementation of the ESEA, including information regarding ESSA, and the implications for state accountability and state plans. (</w:t>
      </w:r>
      <w:hyperlink r:id="rId136" w:tooltip="SBE January 2016 Item 1" w:history="1">
        <w:r w:rsidRPr="00FB463B">
          <w:rPr>
            <w:rStyle w:val="Hyperlink"/>
            <w:rFonts w:eastAsiaTheme="majorEastAsia" w:cs="Arial"/>
          </w:rPr>
          <w:t>https://www.cde.ca.gov/be/ag/ag/yr16/documents/jan16item01.doc</w:t>
        </w:r>
      </w:hyperlink>
      <w:r w:rsidRPr="00FB463B">
        <w:rPr>
          <w:rFonts w:cs="Arial"/>
        </w:rPr>
        <w:t>)</w:t>
      </w:r>
    </w:p>
    <w:p w14:paraId="423227C9" w14:textId="5B51A23F" w:rsidR="003E4DF7" w:rsidRPr="00FB463B" w:rsidRDefault="003E4DF7" w:rsidP="00B73105">
      <w:pPr>
        <w:pStyle w:val="Heading2"/>
        <w:spacing w:before="0" w:after="240"/>
        <w:rPr>
          <w:szCs w:val="36"/>
        </w:rPr>
      </w:pPr>
      <w:r w:rsidRPr="00FB463B">
        <w:t>Fiscal Analysis (as appropriate)</w:t>
      </w:r>
    </w:p>
    <w:p w14:paraId="157CACEF" w14:textId="672F8DCF" w:rsidR="001F5146" w:rsidRPr="00FB463B" w:rsidRDefault="00D74F47" w:rsidP="001F5146">
      <w:pPr>
        <w:pStyle w:val="xmsonormal"/>
        <w:shd w:val="clear" w:color="auto" w:fill="FFFFFF" w:themeFill="background1"/>
        <w:spacing w:after="240"/>
        <w:rPr>
          <w:rStyle w:val="xcontentpasted0"/>
          <w:rFonts w:ascii="Arial" w:eastAsiaTheme="majorEastAsia" w:hAnsi="Arial" w:cs="Arial"/>
          <w:color w:val="000000" w:themeColor="text1"/>
        </w:rPr>
      </w:pPr>
      <w:r w:rsidRPr="00FB463B">
        <w:rPr>
          <w:rStyle w:val="xcontentpasted0"/>
          <w:rFonts w:ascii="Arial" w:eastAsiaTheme="majorEastAsia" w:hAnsi="Arial" w:cs="Arial"/>
          <w:color w:val="000000" w:themeColor="text1"/>
        </w:rPr>
        <w:t>California’s total kindergarten through grade twelve funding within the</w:t>
      </w:r>
      <w:r w:rsidR="001F5146" w:rsidRPr="00FB463B">
        <w:rPr>
          <w:rStyle w:val="xcontentpasted0"/>
          <w:rFonts w:ascii="Arial" w:eastAsiaTheme="majorEastAsia" w:hAnsi="Arial" w:cs="Arial"/>
          <w:color w:val="000000" w:themeColor="text1"/>
        </w:rPr>
        <w:t xml:space="preserve"> 2023–24 California Budget Act is $127.8 billion from the following sources:</w:t>
      </w:r>
    </w:p>
    <w:p w14:paraId="6B03183D" w14:textId="648D0621" w:rsidR="001F5146" w:rsidRPr="00FB463B" w:rsidRDefault="001F5146" w:rsidP="006C7CC2">
      <w:pPr>
        <w:pStyle w:val="xmsonormal"/>
        <w:numPr>
          <w:ilvl w:val="0"/>
          <w:numId w:val="46"/>
        </w:numPr>
        <w:shd w:val="clear" w:color="auto" w:fill="FFFFFF" w:themeFill="background1"/>
        <w:spacing w:after="240"/>
        <w:rPr>
          <w:rStyle w:val="xcontentpasted0"/>
          <w:rFonts w:ascii="Arial" w:eastAsiaTheme="majorEastAsia" w:hAnsi="Arial" w:cs="Arial"/>
          <w:color w:val="000000" w:themeColor="text1"/>
        </w:rPr>
      </w:pPr>
      <w:r w:rsidRPr="00FB463B">
        <w:rPr>
          <w:rStyle w:val="xcontentpasted0"/>
          <w:rFonts w:ascii="Arial" w:eastAsiaTheme="majorEastAsia" w:hAnsi="Arial" w:cs="Arial"/>
          <w:color w:val="000000" w:themeColor="text1"/>
        </w:rPr>
        <w:t>State: $80.0 billion (62.6 percent)</w:t>
      </w:r>
    </w:p>
    <w:p w14:paraId="70C5C252" w14:textId="11310BF7" w:rsidR="001F5146" w:rsidRPr="00FB463B" w:rsidRDefault="001F5146" w:rsidP="006C7CC2">
      <w:pPr>
        <w:pStyle w:val="xmsonormal"/>
        <w:numPr>
          <w:ilvl w:val="0"/>
          <w:numId w:val="46"/>
        </w:numPr>
        <w:shd w:val="clear" w:color="auto" w:fill="FFFFFF" w:themeFill="background1"/>
        <w:spacing w:after="240"/>
        <w:rPr>
          <w:rStyle w:val="xcontentpasted0"/>
          <w:rFonts w:ascii="Arial" w:eastAsiaTheme="majorEastAsia" w:hAnsi="Arial" w:cs="Arial"/>
          <w:color w:val="000000" w:themeColor="text1"/>
        </w:rPr>
      </w:pPr>
      <w:r w:rsidRPr="00FB463B">
        <w:rPr>
          <w:rStyle w:val="xcontentpasted0"/>
          <w:rFonts w:ascii="Arial" w:eastAsiaTheme="majorEastAsia" w:hAnsi="Arial" w:cs="Arial"/>
          <w:color w:val="000000" w:themeColor="text1"/>
        </w:rPr>
        <w:t>Federal: $8.4 billion (6.6 percent)</w:t>
      </w:r>
    </w:p>
    <w:p w14:paraId="6DBCCA6F" w14:textId="21A4AC65" w:rsidR="001F5146" w:rsidRPr="00FB463B" w:rsidRDefault="001F5146" w:rsidP="006C7CC2">
      <w:pPr>
        <w:pStyle w:val="xmsonormal"/>
        <w:numPr>
          <w:ilvl w:val="0"/>
          <w:numId w:val="46"/>
        </w:numPr>
        <w:shd w:val="clear" w:color="auto" w:fill="FFFFFF" w:themeFill="background1"/>
        <w:spacing w:after="240"/>
        <w:rPr>
          <w:rStyle w:val="xcontentpasted0"/>
          <w:rFonts w:ascii="Arial" w:eastAsiaTheme="majorEastAsia" w:hAnsi="Arial" w:cs="Arial"/>
          <w:color w:val="000000" w:themeColor="text1"/>
        </w:rPr>
      </w:pPr>
      <w:r w:rsidRPr="00FB463B">
        <w:rPr>
          <w:rStyle w:val="xcontentpasted0"/>
          <w:rFonts w:ascii="Arial" w:eastAsiaTheme="majorEastAsia" w:hAnsi="Arial" w:cs="Arial"/>
          <w:color w:val="000000" w:themeColor="text1"/>
        </w:rPr>
        <w:t>Local: $38.0 billion (29.7 percent)</w:t>
      </w:r>
    </w:p>
    <w:p w14:paraId="7EAEEDE5" w14:textId="457651DE" w:rsidR="001F5146" w:rsidRPr="00FB463B" w:rsidRDefault="001F5146" w:rsidP="006C7CC2">
      <w:pPr>
        <w:pStyle w:val="xmsonormal"/>
        <w:numPr>
          <w:ilvl w:val="0"/>
          <w:numId w:val="46"/>
        </w:numPr>
        <w:shd w:val="clear" w:color="auto" w:fill="FFFFFF" w:themeFill="background1"/>
        <w:spacing w:after="240"/>
        <w:rPr>
          <w:rStyle w:val="xcontentpasted0"/>
          <w:rFonts w:ascii="Arial" w:eastAsiaTheme="majorEastAsia" w:hAnsi="Arial" w:cs="Arial"/>
          <w:color w:val="000000" w:themeColor="text1"/>
        </w:rPr>
      </w:pPr>
      <w:r w:rsidRPr="00FB463B">
        <w:rPr>
          <w:rStyle w:val="xcontentpasted0"/>
          <w:rFonts w:ascii="Arial" w:eastAsiaTheme="majorEastAsia" w:hAnsi="Arial" w:cs="Arial"/>
          <w:color w:val="000000" w:themeColor="text1"/>
        </w:rPr>
        <w:t>Lottery $1.4 (1.1 percent)</w:t>
      </w:r>
    </w:p>
    <w:p w14:paraId="532426DB" w14:textId="17E967D9" w:rsidR="00D74F47" w:rsidRPr="00FB463B" w:rsidRDefault="00D74F47" w:rsidP="001F5146">
      <w:pPr>
        <w:pStyle w:val="xmsonormal"/>
        <w:shd w:val="clear" w:color="auto" w:fill="FFFFFF" w:themeFill="background1"/>
        <w:spacing w:before="0" w:beforeAutospacing="0" w:after="240" w:afterAutospacing="0"/>
        <w:rPr>
          <w:rFonts w:ascii="Arial" w:hAnsi="Arial" w:cs="Arial"/>
          <w:color w:val="242424"/>
          <w:sz w:val="22"/>
          <w:szCs w:val="22"/>
        </w:rPr>
      </w:pPr>
      <w:proofErr w:type="gramStart"/>
      <w:r w:rsidRPr="00FB463B">
        <w:rPr>
          <w:rStyle w:val="xcontentpasted0"/>
          <w:rFonts w:ascii="Arial" w:eastAsiaTheme="majorEastAsia" w:hAnsi="Arial" w:cs="Arial"/>
          <w:color w:val="000000"/>
          <w:bdr w:val="none" w:sz="0" w:space="0" w:color="auto" w:frame="1"/>
        </w:rPr>
        <w:t>The Every</w:t>
      </w:r>
      <w:proofErr w:type="gramEnd"/>
      <w:r w:rsidRPr="00FB463B">
        <w:rPr>
          <w:rStyle w:val="xcontentpasted0"/>
          <w:rFonts w:ascii="Arial" w:eastAsiaTheme="majorEastAsia" w:hAnsi="Arial" w:cs="Arial"/>
          <w:color w:val="000000"/>
          <w:bdr w:val="none" w:sz="0" w:space="0" w:color="auto" w:frame="1"/>
        </w:rPr>
        <w:t xml:space="preserve"> Student Succeeds Act funds are also typically a portion of the total federal funding amount.</w:t>
      </w:r>
    </w:p>
    <w:p w14:paraId="423227CB" w14:textId="7236D909" w:rsidR="00406F50" w:rsidRPr="00FB463B" w:rsidRDefault="00406F50" w:rsidP="00B73105">
      <w:pPr>
        <w:pStyle w:val="Heading2"/>
        <w:spacing w:before="0" w:after="240"/>
        <w:rPr>
          <w:szCs w:val="36"/>
        </w:rPr>
      </w:pPr>
      <w:r w:rsidRPr="00FB463B">
        <w:rPr>
          <w:szCs w:val="36"/>
        </w:rPr>
        <w:t>Attachment(s)</w:t>
      </w:r>
    </w:p>
    <w:p w14:paraId="53FCCD2C" w14:textId="24AEA9EE" w:rsidR="006E5AC7" w:rsidRPr="00FB463B" w:rsidRDefault="00820B71" w:rsidP="00C237F4">
      <w:pPr>
        <w:pStyle w:val="ListParagraph"/>
        <w:numPr>
          <w:ilvl w:val="0"/>
          <w:numId w:val="6"/>
        </w:numPr>
        <w:rPr>
          <w:rFonts w:cs="Arial"/>
        </w:rPr>
      </w:pPr>
      <w:r w:rsidRPr="00FB463B">
        <w:rPr>
          <w:rFonts w:cs="Arial"/>
        </w:rPr>
        <w:t xml:space="preserve">Attachment </w:t>
      </w:r>
      <w:r w:rsidR="00924C86" w:rsidRPr="00FB463B">
        <w:rPr>
          <w:rFonts w:cs="Arial"/>
        </w:rPr>
        <w:t>1</w:t>
      </w:r>
      <w:r w:rsidRPr="00FB463B">
        <w:rPr>
          <w:rFonts w:cs="Arial"/>
        </w:rPr>
        <w:t xml:space="preserve">: </w:t>
      </w:r>
      <w:r w:rsidR="0048193C" w:rsidRPr="00FB463B">
        <w:t>Revisions Under Consideration for the 2023 California School Dashboard (</w:t>
      </w:r>
      <w:r w:rsidR="0059063A" w:rsidRPr="00FB463B">
        <w:t>3</w:t>
      </w:r>
      <w:r w:rsidR="00E956B3" w:rsidRPr="00FB463B">
        <w:t>8</w:t>
      </w:r>
      <w:r w:rsidR="0048193C" w:rsidRPr="00FB463B">
        <w:t xml:space="preserve"> Pages)</w:t>
      </w:r>
    </w:p>
    <w:p w14:paraId="0DE3A633" w14:textId="7A0693CE" w:rsidR="00446753" w:rsidRPr="00FB463B" w:rsidRDefault="0022192A" w:rsidP="00C237F4">
      <w:pPr>
        <w:pStyle w:val="ListParagraph"/>
        <w:numPr>
          <w:ilvl w:val="0"/>
          <w:numId w:val="6"/>
        </w:numPr>
        <w:rPr>
          <w:rFonts w:cs="Arial"/>
        </w:rPr>
      </w:pPr>
      <w:r w:rsidRPr="00FB463B">
        <w:t xml:space="preserve">Attachment 2: </w:t>
      </w:r>
      <w:r w:rsidR="00D55528" w:rsidRPr="00FB463B">
        <w:t xml:space="preserve">Overview of the Proposed </w:t>
      </w:r>
      <w:r w:rsidR="00897401" w:rsidRPr="00FB463B">
        <w:t xml:space="preserve">Amendments to California’s </w:t>
      </w:r>
      <w:r w:rsidR="00D55528" w:rsidRPr="00FB463B">
        <w:t>Every Student Succeeds Act Consolidated State Plan</w:t>
      </w:r>
      <w:r w:rsidR="00446753" w:rsidRPr="00FB463B">
        <w:t xml:space="preserve"> (</w:t>
      </w:r>
      <w:r w:rsidR="0090548C" w:rsidRPr="00FB463B">
        <w:t>2</w:t>
      </w:r>
      <w:r w:rsidR="00446753" w:rsidRPr="00FB463B">
        <w:t xml:space="preserve"> Pages)</w:t>
      </w:r>
    </w:p>
    <w:p w14:paraId="74896B41" w14:textId="045A97EF" w:rsidR="0022192A" w:rsidRPr="00FB463B" w:rsidRDefault="00446753" w:rsidP="00C237F4">
      <w:pPr>
        <w:pStyle w:val="ListParagraph"/>
        <w:numPr>
          <w:ilvl w:val="0"/>
          <w:numId w:val="6"/>
        </w:numPr>
        <w:rPr>
          <w:rFonts w:cs="Arial"/>
        </w:rPr>
      </w:pPr>
      <w:r w:rsidRPr="00FB463B">
        <w:t xml:space="preserve">Attachment 3: </w:t>
      </w:r>
      <w:r w:rsidR="00897401" w:rsidRPr="00FB463B">
        <w:t>Amendments to California’s E</w:t>
      </w:r>
      <w:r w:rsidR="00D55528" w:rsidRPr="00FB463B">
        <w:t xml:space="preserve">very </w:t>
      </w:r>
      <w:r w:rsidR="00897401" w:rsidRPr="00FB463B">
        <w:t>S</w:t>
      </w:r>
      <w:r w:rsidR="00D55528" w:rsidRPr="00FB463B">
        <w:t xml:space="preserve">tudent </w:t>
      </w:r>
      <w:r w:rsidR="00897401" w:rsidRPr="00FB463B">
        <w:t>S</w:t>
      </w:r>
      <w:r w:rsidR="00D55528" w:rsidRPr="00FB463B">
        <w:t xml:space="preserve">ucceeds </w:t>
      </w:r>
      <w:r w:rsidR="00897401" w:rsidRPr="00FB463B">
        <w:t>A</w:t>
      </w:r>
      <w:r w:rsidR="00D55528" w:rsidRPr="00FB463B">
        <w:t>ct</w:t>
      </w:r>
      <w:r w:rsidR="00897401" w:rsidRPr="00FB463B">
        <w:t xml:space="preserve"> State Plan (</w:t>
      </w:r>
      <w:r w:rsidR="00EA58E6" w:rsidRPr="00FB463B">
        <w:t>17</w:t>
      </w:r>
      <w:r w:rsidR="00960701" w:rsidRPr="00FB463B">
        <w:t>4</w:t>
      </w:r>
      <w:r w:rsidR="00897401" w:rsidRPr="00FB463B">
        <w:t xml:space="preserve"> Pages)</w:t>
      </w:r>
    </w:p>
    <w:p w14:paraId="3499C505" w14:textId="71642CBA" w:rsidR="00897401" w:rsidRPr="00FB463B" w:rsidRDefault="00897401" w:rsidP="00C237F4">
      <w:pPr>
        <w:pStyle w:val="ListParagraph"/>
        <w:numPr>
          <w:ilvl w:val="0"/>
          <w:numId w:val="6"/>
        </w:numPr>
        <w:rPr>
          <w:rFonts w:cs="Arial"/>
        </w:rPr>
      </w:pPr>
      <w:r w:rsidRPr="00FB463B">
        <w:lastRenderedPageBreak/>
        <w:t xml:space="preserve">Attachment </w:t>
      </w:r>
      <w:r w:rsidR="00446753" w:rsidRPr="00FB463B">
        <w:t>4</w:t>
      </w:r>
      <w:r w:rsidRPr="00FB463B">
        <w:t>: California School Dashboard Educational Outreach Activities (</w:t>
      </w:r>
      <w:r w:rsidR="000336AD" w:rsidRPr="00FB463B">
        <w:t>9</w:t>
      </w:r>
      <w:r w:rsidRPr="00FB463B">
        <w:t xml:space="preserve"> Pages)</w:t>
      </w:r>
    </w:p>
    <w:p w14:paraId="01FCEEBE" w14:textId="085BDA64" w:rsidR="1617F7B0" w:rsidRPr="00FB463B" w:rsidRDefault="1617F7B0" w:rsidP="00D36334">
      <w:pPr>
        <w:pStyle w:val="ListParagraph"/>
      </w:pPr>
    </w:p>
    <w:p w14:paraId="3E990CC5" w14:textId="09A4A4D8" w:rsidR="006E5AC7" w:rsidRPr="00FB463B" w:rsidRDefault="006E5AC7" w:rsidP="7762B286">
      <w:pPr>
        <w:spacing w:after="240"/>
        <w:rPr>
          <w:color w:val="FF0000"/>
        </w:rPr>
        <w:sectPr w:rsidR="006E5AC7" w:rsidRPr="00FB463B" w:rsidSect="000A324A">
          <w:headerReference w:type="default" r:id="rId137"/>
          <w:footerReference w:type="default" r:id="rId138"/>
          <w:headerReference w:type="first" r:id="rId139"/>
          <w:footerReference w:type="first" r:id="rId140"/>
          <w:type w:val="continuous"/>
          <w:pgSz w:w="12240" w:h="15840"/>
          <w:pgMar w:top="1440" w:right="1440" w:bottom="1440" w:left="1440" w:header="720" w:footer="720" w:gutter="0"/>
          <w:cols w:space="720"/>
          <w:titlePg/>
          <w:docGrid w:linePitch="360"/>
        </w:sectPr>
      </w:pPr>
    </w:p>
    <w:p w14:paraId="133F405B" w14:textId="11D8B02F" w:rsidR="00641D67" w:rsidRPr="00FB463B" w:rsidRDefault="001B695E" w:rsidP="007871ED">
      <w:pPr>
        <w:pStyle w:val="Heading1"/>
        <w:jc w:val="left"/>
        <w:rPr>
          <w:rFonts w:cs="Arial"/>
          <w:szCs w:val="36"/>
        </w:rPr>
      </w:pPr>
      <w:r w:rsidRPr="00FB463B">
        <w:lastRenderedPageBreak/>
        <w:t xml:space="preserve">Attachment </w:t>
      </w:r>
      <w:r w:rsidR="00924C86" w:rsidRPr="00FB463B">
        <w:t>1</w:t>
      </w:r>
    </w:p>
    <w:p w14:paraId="423227D0" w14:textId="2A3AC73F" w:rsidR="001B695E" w:rsidRPr="00FB463B" w:rsidRDefault="001B695E" w:rsidP="00571C31">
      <w:pPr>
        <w:pStyle w:val="Heading2"/>
      </w:pPr>
      <w:r w:rsidRPr="00FB463B">
        <w:t xml:space="preserve">Revisions </w:t>
      </w:r>
      <w:r w:rsidR="0048148B" w:rsidRPr="00FB463B">
        <w:t>U</w:t>
      </w:r>
      <w:r w:rsidR="00DE31B0" w:rsidRPr="00FB463B">
        <w:t>nder</w:t>
      </w:r>
      <w:r w:rsidR="004F09A1" w:rsidRPr="00FB463B">
        <w:t xml:space="preserve"> Consideration for </w:t>
      </w:r>
      <w:r w:rsidRPr="00FB463B">
        <w:t>the 20</w:t>
      </w:r>
      <w:r w:rsidR="00D501AA" w:rsidRPr="00FB463B">
        <w:t>23</w:t>
      </w:r>
      <w:r w:rsidRPr="00FB463B">
        <w:t xml:space="preserve"> California School Dashboard</w:t>
      </w:r>
    </w:p>
    <w:p w14:paraId="423227D1" w14:textId="62CE9028" w:rsidR="001B695E" w:rsidRPr="00FB463B" w:rsidRDefault="1602B04C" w:rsidP="00B73105">
      <w:pPr>
        <w:spacing w:after="240"/>
        <w:rPr>
          <w:rFonts w:cs="Arial"/>
        </w:rPr>
      </w:pPr>
      <w:r w:rsidRPr="00FB463B">
        <w:rPr>
          <w:rFonts w:cs="Arial"/>
        </w:rPr>
        <w:t xml:space="preserve">The State Board of Education (SBE) annually reviews the California School Dashboard (Dashboard) indicators and performance standards to consider whether changes or improvements are needed based on newly available data, recent research, and feedback from </w:t>
      </w:r>
      <w:r w:rsidR="00D74CBA" w:rsidRPr="00FB463B">
        <w:rPr>
          <w:rFonts w:cs="Arial"/>
        </w:rPr>
        <w:t>educational partners</w:t>
      </w:r>
      <w:r w:rsidRPr="00FB463B">
        <w:rPr>
          <w:rFonts w:cs="Arial"/>
        </w:rPr>
        <w:t xml:space="preserve">. The annual review process requires that the California Department of Education (CDE) update the SBE at their March meeting on which indicators are under consideration for review and/or revisions for action </w:t>
      </w:r>
      <w:r w:rsidR="63830301" w:rsidRPr="00FB463B">
        <w:rPr>
          <w:rFonts w:cs="Arial"/>
        </w:rPr>
        <w:t xml:space="preserve">by </w:t>
      </w:r>
      <w:r w:rsidRPr="00FB463B">
        <w:rPr>
          <w:rFonts w:cs="Arial"/>
        </w:rPr>
        <w:t xml:space="preserve">the SBE. The CDE </w:t>
      </w:r>
      <w:r w:rsidR="001B2EB6" w:rsidRPr="00FB463B">
        <w:rPr>
          <w:rFonts w:cs="Arial"/>
        </w:rPr>
        <w:t xml:space="preserve">proposed and the SBE approved </w:t>
      </w:r>
      <w:r w:rsidRPr="00FB463B">
        <w:rPr>
          <w:rFonts w:cs="Arial"/>
        </w:rPr>
        <w:t>the following</w:t>
      </w:r>
      <w:r w:rsidR="00EA7D44" w:rsidRPr="00FB463B">
        <w:rPr>
          <w:rFonts w:cs="Arial"/>
        </w:rPr>
        <w:t xml:space="preserve"> indicators and topics</w:t>
      </w:r>
      <w:r w:rsidR="001B2EB6" w:rsidRPr="00FB463B">
        <w:rPr>
          <w:rFonts w:cs="Arial"/>
        </w:rPr>
        <w:t xml:space="preserve"> for</w:t>
      </w:r>
      <w:r w:rsidR="40AA9451" w:rsidRPr="00FB463B">
        <w:rPr>
          <w:rFonts w:cs="Arial"/>
        </w:rPr>
        <w:t xml:space="preserve"> </w:t>
      </w:r>
      <w:r w:rsidRPr="00FB463B">
        <w:rPr>
          <w:rFonts w:cs="Arial"/>
        </w:rPr>
        <w:t xml:space="preserve">the </w:t>
      </w:r>
      <w:r w:rsidR="00D414CB" w:rsidRPr="00FB463B">
        <w:rPr>
          <w:rFonts w:cs="Arial"/>
        </w:rPr>
        <w:t xml:space="preserve">annual workplan for inclusion on the </w:t>
      </w:r>
      <w:r w:rsidRPr="00FB463B">
        <w:rPr>
          <w:rFonts w:cs="Arial"/>
        </w:rPr>
        <w:t>20</w:t>
      </w:r>
      <w:r w:rsidR="654770E4" w:rsidRPr="00FB463B">
        <w:rPr>
          <w:rFonts w:cs="Arial"/>
        </w:rPr>
        <w:t>23</w:t>
      </w:r>
      <w:r w:rsidRPr="00FB463B">
        <w:rPr>
          <w:rFonts w:cs="Arial"/>
        </w:rPr>
        <w:t xml:space="preserve"> Dashboard:</w:t>
      </w:r>
    </w:p>
    <w:p w14:paraId="5709F699" w14:textId="3514CBE9" w:rsidR="00CF03FE" w:rsidRPr="00FB463B" w:rsidRDefault="662757DE" w:rsidP="00C237F4">
      <w:pPr>
        <w:pStyle w:val="ListParagraph"/>
        <w:numPr>
          <w:ilvl w:val="0"/>
          <w:numId w:val="19"/>
        </w:numPr>
      </w:pPr>
      <w:r w:rsidRPr="00FB463B">
        <w:t>English Learner Progress Indicator (ELPI)</w:t>
      </w:r>
    </w:p>
    <w:p w14:paraId="5B10D418" w14:textId="4ED4E1ED" w:rsidR="0046501B" w:rsidRPr="00FB463B" w:rsidRDefault="662757DE" w:rsidP="00C237F4">
      <w:pPr>
        <w:pStyle w:val="ListParagraph"/>
        <w:numPr>
          <w:ilvl w:val="0"/>
          <w:numId w:val="19"/>
        </w:numPr>
      </w:pPr>
      <w:r w:rsidRPr="00FB463B">
        <w:t>Graduation Rate Indicator</w:t>
      </w:r>
    </w:p>
    <w:p w14:paraId="7CF278E4" w14:textId="361AA6B6" w:rsidR="0046501B" w:rsidRPr="00FB463B" w:rsidRDefault="662757DE" w:rsidP="00C237F4">
      <w:pPr>
        <w:pStyle w:val="ListParagraph"/>
        <w:numPr>
          <w:ilvl w:val="0"/>
          <w:numId w:val="19"/>
        </w:numPr>
      </w:pPr>
      <w:r w:rsidRPr="00FB463B">
        <w:t>College/Career Indicator (CCI)</w:t>
      </w:r>
    </w:p>
    <w:p w14:paraId="5E482700" w14:textId="73508DC4" w:rsidR="7230CB5A" w:rsidRPr="00FB463B" w:rsidRDefault="7230CB5A" w:rsidP="00C237F4">
      <w:pPr>
        <w:pStyle w:val="ListParagraph"/>
        <w:numPr>
          <w:ilvl w:val="0"/>
          <w:numId w:val="19"/>
        </w:numPr>
      </w:pPr>
      <w:r w:rsidRPr="00FB463B">
        <w:t>Chronic Absenteeism</w:t>
      </w:r>
    </w:p>
    <w:p w14:paraId="2DA90D7A" w14:textId="6E14E6B0" w:rsidR="662757DE" w:rsidRPr="00FB463B" w:rsidRDefault="00DD0578" w:rsidP="00C237F4">
      <w:pPr>
        <w:pStyle w:val="ListParagraph"/>
        <w:numPr>
          <w:ilvl w:val="0"/>
          <w:numId w:val="19"/>
        </w:numPr>
      </w:pPr>
      <w:r w:rsidRPr="00FB463B">
        <w:t xml:space="preserve">Priority 1: </w:t>
      </w:r>
      <w:r w:rsidR="001B2EB6" w:rsidRPr="00FB463B">
        <w:t>Teacher Data</w:t>
      </w:r>
    </w:p>
    <w:p w14:paraId="7859E0EE" w14:textId="4C53C1DA" w:rsidR="662757DE" w:rsidRPr="00FB463B" w:rsidRDefault="00E43967" w:rsidP="00C237F4">
      <w:pPr>
        <w:pStyle w:val="ListParagraph"/>
        <w:numPr>
          <w:ilvl w:val="0"/>
          <w:numId w:val="19"/>
        </w:numPr>
        <w:rPr>
          <w:rFonts w:cs="Arial"/>
        </w:rPr>
      </w:pPr>
      <w:r w:rsidRPr="00FB463B">
        <w:rPr>
          <w:rFonts w:cs="Arial"/>
        </w:rPr>
        <w:t>D</w:t>
      </w:r>
      <w:r w:rsidR="662757DE" w:rsidRPr="00FB463B">
        <w:rPr>
          <w:rFonts w:cs="Arial"/>
        </w:rPr>
        <w:t>evelopment of student level growth model visualizations</w:t>
      </w:r>
    </w:p>
    <w:p w14:paraId="3880D8AE" w14:textId="36DE8FCF" w:rsidR="662757DE" w:rsidRPr="00FB463B" w:rsidRDefault="001B2EB6" w:rsidP="00C237F4">
      <w:pPr>
        <w:pStyle w:val="ListParagraph"/>
        <w:numPr>
          <w:ilvl w:val="0"/>
          <w:numId w:val="19"/>
        </w:numPr>
        <w:rPr>
          <w:rFonts w:cs="Arial"/>
        </w:rPr>
      </w:pPr>
      <w:r w:rsidRPr="00FB463B">
        <w:rPr>
          <w:rFonts w:cs="Arial"/>
        </w:rPr>
        <w:t>Uniformity of</w:t>
      </w:r>
      <w:r w:rsidR="662757DE" w:rsidRPr="00FB463B">
        <w:rPr>
          <w:rFonts w:cs="Arial"/>
        </w:rPr>
        <w:t xml:space="preserve"> data quality and participation issues </w:t>
      </w:r>
    </w:p>
    <w:p w14:paraId="1A638512" w14:textId="57A8FE5A" w:rsidR="690C283E" w:rsidRPr="00FB463B" w:rsidRDefault="690C283E" w:rsidP="00571C31">
      <w:pPr>
        <w:pStyle w:val="Heading3"/>
      </w:pPr>
      <w:r w:rsidRPr="00FB463B">
        <w:t xml:space="preserve">English Learner Progress </w:t>
      </w:r>
      <w:r w:rsidR="269B8CA7" w:rsidRPr="00FB463B">
        <w:t>Indicator</w:t>
      </w:r>
    </w:p>
    <w:p w14:paraId="4F914710" w14:textId="467AE8BF" w:rsidR="690C283E" w:rsidRPr="00FB463B" w:rsidRDefault="06F08A92" w:rsidP="00AF3ADC">
      <w:pPr>
        <w:spacing w:after="240"/>
        <w:rPr>
          <w:rFonts w:cs="Arial"/>
        </w:rPr>
      </w:pPr>
      <w:r w:rsidRPr="00FB463B">
        <w:t>The</w:t>
      </w:r>
      <w:r w:rsidR="16A6252D" w:rsidRPr="00FB463B">
        <w:t xml:space="preserve"> CDE work</w:t>
      </w:r>
      <w:r w:rsidR="28EF8713" w:rsidRPr="00FB463B">
        <w:t>ed</w:t>
      </w:r>
      <w:r w:rsidR="16A6252D" w:rsidRPr="00FB463B">
        <w:t xml:space="preserve"> </w:t>
      </w:r>
      <w:r w:rsidR="003C1E0A" w:rsidRPr="00FB463B">
        <w:t>to</w:t>
      </w:r>
      <w:r w:rsidR="16A6252D" w:rsidRPr="00FB463B">
        <w:t xml:space="preserve"> complet</w:t>
      </w:r>
      <w:r w:rsidR="003C1E0A" w:rsidRPr="00FB463B">
        <w:t>e</w:t>
      </w:r>
      <w:r w:rsidR="16A6252D" w:rsidRPr="00FB463B">
        <w:t xml:space="preserve"> the ELPI </w:t>
      </w:r>
      <w:r w:rsidR="73D782C6" w:rsidRPr="00FB463B">
        <w:t xml:space="preserve">in 2023 </w:t>
      </w:r>
      <w:r w:rsidR="00195361" w:rsidRPr="00FB463B">
        <w:t>through the</w:t>
      </w:r>
      <w:r w:rsidR="31880570" w:rsidRPr="00FB463B">
        <w:t xml:space="preserve"> </w:t>
      </w:r>
      <w:r w:rsidR="00195361" w:rsidRPr="00FB463B">
        <w:t>development</w:t>
      </w:r>
      <w:r w:rsidR="31880570" w:rsidRPr="00FB463B">
        <w:t xml:space="preserve"> of </w:t>
      </w:r>
      <w:r w:rsidR="16A6252D" w:rsidRPr="00FB463B">
        <w:t xml:space="preserve">both Change cut </w:t>
      </w:r>
      <w:r w:rsidR="0C56E70C" w:rsidRPr="00FB463B">
        <w:t>points</w:t>
      </w:r>
      <w:r w:rsidR="16A6252D" w:rsidRPr="00FB463B">
        <w:t xml:space="preserve"> and a </w:t>
      </w:r>
      <w:r w:rsidR="00890E2D" w:rsidRPr="00FB463B">
        <w:t>five-by-five</w:t>
      </w:r>
      <w:r w:rsidR="16A6252D" w:rsidRPr="00FB463B">
        <w:t xml:space="preserve"> color </w:t>
      </w:r>
      <w:r w:rsidR="521A4B97" w:rsidRPr="00FB463B">
        <w:t>scheme</w:t>
      </w:r>
      <w:r w:rsidR="16A6252D" w:rsidRPr="00FB463B">
        <w:t xml:space="preserve">. Additionally, </w:t>
      </w:r>
      <w:r w:rsidR="00CE217E" w:rsidRPr="00FB463B">
        <w:t xml:space="preserve">a </w:t>
      </w:r>
      <w:r w:rsidR="00873268" w:rsidRPr="00FB463B">
        <w:t xml:space="preserve">proposed </w:t>
      </w:r>
      <w:r w:rsidR="00CE217E" w:rsidRPr="00FB463B">
        <w:t>methodology</w:t>
      </w:r>
      <w:r w:rsidR="00873268" w:rsidRPr="00FB463B">
        <w:t xml:space="preserve"> was developed</w:t>
      </w:r>
      <w:r w:rsidR="00CE217E" w:rsidRPr="00FB463B">
        <w:t xml:space="preserve"> to</w:t>
      </w:r>
      <w:r w:rsidR="16A6252D" w:rsidRPr="00FB463B">
        <w:t xml:space="preserve"> incorporate the</w:t>
      </w:r>
      <w:r w:rsidR="1FB4B814" w:rsidRPr="00FB463B">
        <w:t xml:space="preserve"> </w:t>
      </w:r>
      <w:r w:rsidR="261B4E78" w:rsidRPr="00FB463B">
        <w:t xml:space="preserve">performance of </w:t>
      </w:r>
      <w:r w:rsidR="1FB4B814" w:rsidRPr="00FB463B">
        <w:t>students who take the</w:t>
      </w:r>
      <w:r w:rsidR="16A6252D" w:rsidRPr="00FB463B">
        <w:t xml:space="preserve"> Alt</w:t>
      </w:r>
      <w:r w:rsidR="7C4AB8F8" w:rsidRPr="00FB463B">
        <w:t>-</w:t>
      </w:r>
      <w:r w:rsidR="00FD58B6" w:rsidRPr="00FB463B">
        <w:t>English Language Proficiency Assessments for California (</w:t>
      </w:r>
      <w:r w:rsidR="7C4AB8F8" w:rsidRPr="00FB463B">
        <w:t>ELPAC</w:t>
      </w:r>
      <w:r w:rsidR="00FD58B6" w:rsidRPr="00FB463B">
        <w:t>)</w:t>
      </w:r>
      <w:r w:rsidR="7C4AB8F8" w:rsidRPr="00FB463B">
        <w:t xml:space="preserve"> into the</w:t>
      </w:r>
      <w:r w:rsidR="63896C33" w:rsidRPr="00FB463B">
        <w:t xml:space="preserve"> ELPI.</w:t>
      </w:r>
    </w:p>
    <w:p w14:paraId="3718628B" w14:textId="6DDAF0F4" w:rsidR="690C283E" w:rsidRPr="00FB463B" w:rsidRDefault="690C283E" w:rsidP="289DEC07">
      <w:pPr>
        <w:pStyle w:val="Heading3"/>
      </w:pPr>
      <w:r w:rsidRPr="00FB463B">
        <w:t>Dashboard Principles</w:t>
      </w:r>
    </w:p>
    <w:p w14:paraId="7BD8CF00" w14:textId="65C111C2" w:rsidR="00BA4F1A" w:rsidRPr="00FB463B" w:rsidRDefault="00BA4F1A" w:rsidP="00BA4F1A">
      <w:r w:rsidRPr="00FB463B">
        <w:t>The work on this state indicator aligns with the following Dashboard Principles:</w:t>
      </w:r>
    </w:p>
    <w:p w14:paraId="0F696819" w14:textId="7B1E25F0" w:rsidR="00BA4F1A" w:rsidRPr="00FB463B" w:rsidRDefault="00BA4F1A" w:rsidP="00B12CB1"/>
    <w:p w14:paraId="223E8627" w14:textId="3D7A0E57" w:rsidR="690C283E" w:rsidRPr="00FB463B" w:rsidRDefault="690C283E" w:rsidP="00C237F4">
      <w:pPr>
        <w:pStyle w:val="Default"/>
        <w:numPr>
          <w:ilvl w:val="0"/>
          <w:numId w:val="5"/>
        </w:numPr>
        <w:spacing w:after="240"/>
      </w:pPr>
      <w:r w:rsidRPr="00FB463B">
        <w:t>Principle 2: Promotes coherence between data reporting and support/improvement programs.</w:t>
      </w:r>
    </w:p>
    <w:p w14:paraId="1A22E868" w14:textId="692A0B1C" w:rsidR="690C283E" w:rsidRPr="00FB463B" w:rsidRDefault="690C283E" w:rsidP="00C237F4">
      <w:pPr>
        <w:pStyle w:val="Default"/>
        <w:numPr>
          <w:ilvl w:val="0"/>
          <w:numId w:val="5"/>
        </w:numPr>
        <w:spacing w:after="240"/>
      </w:pPr>
      <w:r w:rsidRPr="00FB463B">
        <w:t>Principle 3: Reports each indicator separately.</w:t>
      </w:r>
    </w:p>
    <w:p w14:paraId="0F5A39B9" w14:textId="63F8A08C" w:rsidR="690C283E" w:rsidRPr="00FB463B" w:rsidRDefault="690C283E" w:rsidP="00C237F4">
      <w:pPr>
        <w:pStyle w:val="Default"/>
        <w:numPr>
          <w:ilvl w:val="0"/>
          <w:numId w:val="5"/>
        </w:numPr>
        <w:spacing w:after="240"/>
        <w:rPr>
          <w:color w:val="auto"/>
        </w:rPr>
      </w:pPr>
      <w:r w:rsidRPr="00FB463B">
        <w:rPr>
          <w:color w:val="auto"/>
        </w:rPr>
        <w:lastRenderedPageBreak/>
        <w:t>Principle 5: Values high performance and growth equally.</w:t>
      </w:r>
    </w:p>
    <w:p w14:paraId="474735CF" w14:textId="09F265F2" w:rsidR="690C283E" w:rsidRPr="00FB463B" w:rsidRDefault="364A625A" w:rsidP="00C237F4">
      <w:pPr>
        <w:pStyle w:val="Default"/>
        <w:numPr>
          <w:ilvl w:val="0"/>
          <w:numId w:val="5"/>
        </w:numPr>
        <w:spacing w:after="240"/>
      </w:pPr>
      <w:r w:rsidRPr="00FB463B">
        <w:t>Principle 8: Reports opportunity and performance gaps among student groups through the Equity Report that is available for each state indicator.</w:t>
      </w:r>
    </w:p>
    <w:p w14:paraId="5D5513F0" w14:textId="521E4317" w:rsidR="351A7EBB" w:rsidRPr="00FB463B" w:rsidRDefault="351A7EBB" w:rsidP="289DEC07">
      <w:pPr>
        <w:pStyle w:val="Heading3"/>
      </w:pPr>
      <w:r w:rsidRPr="00FB463B">
        <w:t>2023 Workplan for ELPI</w:t>
      </w:r>
    </w:p>
    <w:p w14:paraId="3B840943" w14:textId="4C865A39" w:rsidR="41C5944B" w:rsidRPr="00FB463B" w:rsidRDefault="41C5944B" w:rsidP="1353701E">
      <w:pPr>
        <w:spacing w:after="160" w:line="257" w:lineRule="auto"/>
        <w:rPr>
          <w:rFonts w:eastAsia="Arial" w:cs="Arial"/>
          <w:b/>
          <w:bCs/>
        </w:rPr>
      </w:pPr>
      <w:r w:rsidRPr="00FB463B">
        <w:rPr>
          <w:rFonts w:eastAsia="Arial" w:cs="Arial"/>
          <w:b/>
          <w:bCs/>
        </w:rPr>
        <w:t xml:space="preserve">ELPI </w:t>
      </w:r>
      <w:r w:rsidR="3CF314CE" w:rsidRPr="00FB463B">
        <w:rPr>
          <w:rFonts w:eastAsia="Arial" w:cs="Arial"/>
          <w:b/>
          <w:bCs/>
        </w:rPr>
        <w:t xml:space="preserve">Change </w:t>
      </w:r>
      <w:r w:rsidRPr="00FB463B">
        <w:rPr>
          <w:rFonts w:eastAsia="Arial" w:cs="Arial"/>
          <w:b/>
          <w:bCs/>
        </w:rPr>
        <w:t xml:space="preserve">Cut </w:t>
      </w:r>
      <w:r w:rsidR="13DE8DF8" w:rsidRPr="00FB463B">
        <w:rPr>
          <w:rFonts w:eastAsia="Arial" w:cs="Arial"/>
          <w:b/>
          <w:bCs/>
        </w:rPr>
        <w:t>Points</w:t>
      </w:r>
    </w:p>
    <w:p w14:paraId="234119EE" w14:textId="63814840" w:rsidR="008E0B98" w:rsidRPr="00FB463B" w:rsidRDefault="6E99E5F6" w:rsidP="00917AA5">
      <w:pPr>
        <w:spacing w:after="240"/>
        <w:rPr>
          <w:rFonts w:eastAsia="Arial" w:cs="Arial"/>
        </w:rPr>
      </w:pPr>
      <w:r w:rsidRPr="00FB463B">
        <w:rPr>
          <w:rFonts w:eastAsia="Arial" w:cs="Arial"/>
        </w:rPr>
        <w:t xml:space="preserve">ELPI Change measures the year-to-year change in the rate that schools and </w:t>
      </w:r>
      <w:r w:rsidR="00FD58B6" w:rsidRPr="00FB463B">
        <w:rPr>
          <w:rFonts w:eastAsia="Arial" w:cs="Arial"/>
        </w:rPr>
        <w:t>local educational agencies (</w:t>
      </w:r>
      <w:r w:rsidRPr="00FB463B">
        <w:rPr>
          <w:rFonts w:eastAsia="Arial" w:cs="Arial"/>
        </w:rPr>
        <w:t>LEAs</w:t>
      </w:r>
      <w:r w:rsidR="00FD58B6" w:rsidRPr="00FB463B">
        <w:rPr>
          <w:rFonts w:eastAsia="Arial" w:cs="Arial"/>
        </w:rPr>
        <w:t>)</w:t>
      </w:r>
      <w:r w:rsidRPr="00FB463B">
        <w:rPr>
          <w:rFonts w:eastAsia="Arial" w:cs="Arial"/>
        </w:rPr>
        <w:t xml:space="preserve"> move E</w:t>
      </w:r>
      <w:r w:rsidR="00F40F2A" w:rsidRPr="00FB463B">
        <w:rPr>
          <w:rFonts w:eastAsia="Arial" w:cs="Arial"/>
        </w:rPr>
        <w:t xml:space="preserve">nglish </w:t>
      </w:r>
      <w:r w:rsidR="00890E2D" w:rsidRPr="00FB463B">
        <w:rPr>
          <w:rFonts w:eastAsia="Arial" w:cs="Arial"/>
        </w:rPr>
        <w:t>l</w:t>
      </w:r>
      <w:r w:rsidR="00F40F2A" w:rsidRPr="00FB463B">
        <w:rPr>
          <w:rFonts w:eastAsia="Arial" w:cs="Arial"/>
        </w:rPr>
        <w:t>earners</w:t>
      </w:r>
      <w:r w:rsidRPr="00FB463B">
        <w:rPr>
          <w:rFonts w:eastAsia="Arial" w:cs="Arial"/>
        </w:rPr>
        <w:t xml:space="preserve"> </w:t>
      </w:r>
      <w:r w:rsidR="006E77F3" w:rsidRPr="00FB463B">
        <w:rPr>
          <w:rFonts w:eastAsia="Arial" w:cs="Arial"/>
        </w:rPr>
        <w:t xml:space="preserve">(ELs) </w:t>
      </w:r>
      <w:r w:rsidRPr="00FB463B">
        <w:rPr>
          <w:rFonts w:eastAsia="Arial" w:cs="Arial"/>
        </w:rPr>
        <w:t>toward E</w:t>
      </w:r>
      <w:r w:rsidR="5E86E6A1" w:rsidRPr="00FB463B">
        <w:rPr>
          <w:rFonts w:eastAsia="Arial" w:cs="Arial"/>
        </w:rPr>
        <w:t xml:space="preserve">nglish </w:t>
      </w:r>
      <w:r w:rsidRPr="00FB463B">
        <w:rPr>
          <w:rFonts w:eastAsia="Arial" w:cs="Arial"/>
        </w:rPr>
        <w:t>L</w:t>
      </w:r>
      <w:r w:rsidR="5E86E6A1" w:rsidRPr="00FB463B">
        <w:rPr>
          <w:rFonts w:eastAsia="Arial" w:cs="Arial"/>
        </w:rPr>
        <w:t xml:space="preserve">anguage </w:t>
      </w:r>
      <w:r w:rsidRPr="00FB463B">
        <w:rPr>
          <w:rFonts w:eastAsia="Arial" w:cs="Arial"/>
        </w:rPr>
        <w:t>P</w:t>
      </w:r>
      <w:r w:rsidR="1C51B0CD" w:rsidRPr="00FB463B">
        <w:rPr>
          <w:rFonts w:eastAsia="Arial" w:cs="Arial"/>
        </w:rPr>
        <w:t>rogress (ELP)</w:t>
      </w:r>
      <w:r w:rsidRPr="00FB463B">
        <w:rPr>
          <w:rFonts w:eastAsia="Arial" w:cs="Arial"/>
        </w:rPr>
        <w:t xml:space="preserve">. </w:t>
      </w:r>
      <w:r w:rsidR="00F40F2A" w:rsidRPr="00FB463B">
        <w:rPr>
          <w:rFonts w:eastAsia="Arial" w:cs="Arial"/>
        </w:rPr>
        <w:t xml:space="preserve">Establishing </w:t>
      </w:r>
      <w:r w:rsidRPr="00FB463B">
        <w:rPr>
          <w:rFonts w:eastAsia="Arial" w:cs="Arial"/>
        </w:rPr>
        <w:t xml:space="preserve">Change </w:t>
      </w:r>
      <w:r w:rsidR="00F40F2A" w:rsidRPr="00FB463B">
        <w:rPr>
          <w:rFonts w:eastAsia="Arial" w:cs="Arial"/>
        </w:rPr>
        <w:t xml:space="preserve">on the ELPI </w:t>
      </w:r>
      <w:r w:rsidRPr="00FB463B">
        <w:rPr>
          <w:rFonts w:eastAsia="Arial" w:cs="Arial"/>
        </w:rPr>
        <w:t xml:space="preserve">requires a minimum of three consecutive years of Summative </w:t>
      </w:r>
      <w:r w:rsidR="4A297AFB" w:rsidRPr="00FB463B">
        <w:rPr>
          <w:rFonts w:eastAsia="Arial" w:cs="Arial"/>
        </w:rPr>
        <w:t>ELPAC</w:t>
      </w:r>
      <w:r w:rsidR="4A297AFB" w:rsidRPr="00FB463B">
        <w:rPr>
          <w:rFonts w:eastAsia="Arial" w:cs="Arial"/>
          <w:b/>
          <w:bCs/>
          <w:i/>
          <w:iCs/>
        </w:rPr>
        <w:t xml:space="preserve"> </w:t>
      </w:r>
      <w:r w:rsidRPr="00FB463B">
        <w:rPr>
          <w:rFonts w:eastAsia="Arial" w:cs="Arial"/>
        </w:rPr>
        <w:t>results.</w:t>
      </w:r>
    </w:p>
    <w:p w14:paraId="1C4D36DB" w14:textId="0FE824A7" w:rsidR="00807E96" w:rsidRPr="00FB463B" w:rsidRDefault="00E34EDF" w:rsidP="00807E96">
      <w:pPr>
        <w:rPr>
          <w:rFonts w:eastAsia="Arial" w:cs="Arial"/>
        </w:rPr>
      </w:pPr>
      <w:r w:rsidRPr="00FB463B">
        <w:rPr>
          <w:rFonts w:eastAsia="Arial" w:cs="Arial"/>
        </w:rPr>
        <w:t xml:space="preserve">Initially, the CDE planned to use </w:t>
      </w:r>
      <w:r w:rsidR="00CC272B" w:rsidRPr="00FB463B">
        <w:rPr>
          <w:rFonts w:eastAsia="Arial" w:cs="Arial"/>
        </w:rPr>
        <w:t xml:space="preserve">Summative </w:t>
      </w:r>
      <w:r w:rsidR="00660679" w:rsidRPr="00FB463B">
        <w:rPr>
          <w:rFonts w:eastAsia="Arial" w:cs="Arial"/>
        </w:rPr>
        <w:t xml:space="preserve">ELPAC </w:t>
      </w:r>
      <w:r w:rsidR="00CC272B" w:rsidRPr="00FB463B">
        <w:rPr>
          <w:rFonts w:eastAsia="Arial" w:cs="Arial"/>
        </w:rPr>
        <w:t xml:space="preserve">results from </w:t>
      </w:r>
      <w:r w:rsidR="00807E96" w:rsidRPr="00FB463B">
        <w:rPr>
          <w:rFonts w:eastAsia="Arial" w:cs="Arial"/>
        </w:rPr>
        <w:t>2019–</w:t>
      </w:r>
      <w:proofErr w:type="gramStart"/>
      <w:r w:rsidR="00807E96" w:rsidRPr="00FB463B">
        <w:rPr>
          <w:rFonts w:eastAsia="Arial" w:cs="Arial"/>
        </w:rPr>
        <w:t>20</w:t>
      </w:r>
      <w:proofErr w:type="gramEnd"/>
    </w:p>
    <w:p w14:paraId="049505B1" w14:textId="1D4097E7" w:rsidR="000E2D81" w:rsidRPr="00FB463B" w:rsidRDefault="00CC272B" w:rsidP="00917AA5">
      <w:pPr>
        <w:spacing w:after="240"/>
        <w:rPr>
          <w:rFonts w:eastAsia="Arial" w:cs="Arial"/>
        </w:rPr>
      </w:pPr>
      <w:r w:rsidRPr="00FB463B">
        <w:rPr>
          <w:rFonts w:eastAsia="Arial" w:cs="Arial"/>
        </w:rPr>
        <w:t xml:space="preserve">2020–21, </w:t>
      </w:r>
      <w:r w:rsidR="00807E96" w:rsidRPr="00FB463B">
        <w:rPr>
          <w:rFonts w:eastAsia="Arial" w:cs="Arial"/>
        </w:rPr>
        <w:t xml:space="preserve">and </w:t>
      </w:r>
      <w:r w:rsidRPr="00FB463B">
        <w:rPr>
          <w:rFonts w:eastAsia="Arial" w:cs="Arial"/>
        </w:rPr>
        <w:t xml:space="preserve">2021–22 </w:t>
      </w:r>
      <w:r w:rsidR="00807E96" w:rsidRPr="00FB463B">
        <w:rPr>
          <w:rFonts w:eastAsia="Arial" w:cs="Arial"/>
        </w:rPr>
        <w:t xml:space="preserve">to conduct </w:t>
      </w:r>
      <w:r w:rsidR="00504BAA" w:rsidRPr="00FB463B">
        <w:rPr>
          <w:rFonts w:eastAsia="Arial" w:cs="Arial"/>
        </w:rPr>
        <w:t xml:space="preserve">data simulations on ELPI Change. </w:t>
      </w:r>
      <w:r w:rsidR="7CA07C65" w:rsidRPr="00FB463B">
        <w:rPr>
          <w:rFonts w:eastAsia="Arial" w:cs="Arial"/>
        </w:rPr>
        <w:t>The 2019</w:t>
      </w:r>
      <w:r w:rsidR="00FD58B6" w:rsidRPr="00FB463B">
        <w:rPr>
          <w:rFonts w:eastAsia="Arial" w:cs="Arial"/>
        </w:rPr>
        <w:t>–</w:t>
      </w:r>
      <w:r w:rsidR="7CA07C65" w:rsidRPr="00FB463B">
        <w:rPr>
          <w:rFonts w:eastAsia="Arial" w:cs="Arial"/>
        </w:rPr>
        <w:t xml:space="preserve">20 Summative ELPAC </w:t>
      </w:r>
      <w:r w:rsidR="4E744CD1" w:rsidRPr="00FB463B">
        <w:rPr>
          <w:rFonts w:eastAsia="Arial" w:cs="Arial"/>
        </w:rPr>
        <w:t>was administered under unique circumstances d</w:t>
      </w:r>
      <w:r w:rsidR="00292585" w:rsidRPr="00FB463B">
        <w:rPr>
          <w:rFonts w:eastAsia="Arial" w:cs="Arial"/>
        </w:rPr>
        <w:t xml:space="preserve">ue the COVID-19 pandemic, </w:t>
      </w:r>
      <w:r w:rsidR="7EF1000C" w:rsidRPr="00FB463B">
        <w:rPr>
          <w:rFonts w:eastAsia="Arial" w:cs="Arial"/>
        </w:rPr>
        <w:t xml:space="preserve">as </w:t>
      </w:r>
      <w:r w:rsidR="00292585" w:rsidRPr="00FB463B">
        <w:rPr>
          <w:rFonts w:eastAsia="Arial" w:cs="Arial"/>
        </w:rPr>
        <w:t xml:space="preserve">2019–20 Summative </w:t>
      </w:r>
      <w:r w:rsidR="00660679" w:rsidRPr="00FB463B">
        <w:rPr>
          <w:rFonts w:eastAsia="Arial" w:cs="Arial"/>
        </w:rPr>
        <w:t xml:space="preserve">ELPAC </w:t>
      </w:r>
      <w:r w:rsidR="00292585" w:rsidRPr="00FB463B">
        <w:rPr>
          <w:rFonts w:eastAsia="Arial" w:cs="Arial"/>
        </w:rPr>
        <w:t xml:space="preserve">testing </w:t>
      </w:r>
      <w:r w:rsidR="2B9EDB48" w:rsidRPr="00FB463B">
        <w:rPr>
          <w:rFonts w:eastAsia="Arial" w:cs="Arial"/>
        </w:rPr>
        <w:t xml:space="preserve">began in February 2020 but </w:t>
      </w:r>
      <w:r w:rsidR="00292585" w:rsidRPr="00FB463B">
        <w:rPr>
          <w:rFonts w:eastAsia="Arial" w:cs="Arial"/>
        </w:rPr>
        <w:t xml:space="preserve">was </w:t>
      </w:r>
      <w:r w:rsidR="38BFF75F" w:rsidRPr="00FB463B">
        <w:rPr>
          <w:rFonts w:eastAsia="Arial" w:cs="Arial"/>
        </w:rPr>
        <w:t xml:space="preserve">abruptly </w:t>
      </w:r>
      <w:r w:rsidR="00292585" w:rsidRPr="00FB463B">
        <w:rPr>
          <w:rFonts w:eastAsia="Arial" w:cs="Arial"/>
        </w:rPr>
        <w:t xml:space="preserve">halted in March 2020. </w:t>
      </w:r>
      <w:r w:rsidR="00F40F2A" w:rsidRPr="00FB463B">
        <w:rPr>
          <w:rFonts w:eastAsia="Arial" w:cs="Arial"/>
        </w:rPr>
        <w:t>T</w:t>
      </w:r>
      <w:r w:rsidR="36AB553C" w:rsidRPr="00FB463B">
        <w:rPr>
          <w:rFonts w:eastAsia="Arial" w:cs="Arial"/>
        </w:rPr>
        <w:t xml:space="preserve">he 2019–20 Summative </w:t>
      </w:r>
      <w:r w:rsidR="00660679" w:rsidRPr="00FB463B">
        <w:rPr>
          <w:rFonts w:eastAsia="Arial" w:cs="Arial"/>
        </w:rPr>
        <w:t xml:space="preserve">ELPAC </w:t>
      </w:r>
      <w:r w:rsidR="36AB553C" w:rsidRPr="00FB463B">
        <w:rPr>
          <w:rFonts w:eastAsia="Arial" w:cs="Arial"/>
        </w:rPr>
        <w:t>file</w:t>
      </w:r>
      <w:r w:rsidR="00FD58B6" w:rsidRPr="00FB463B">
        <w:rPr>
          <w:rFonts w:eastAsia="Arial" w:cs="Arial"/>
        </w:rPr>
        <w:t xml:space="preserve"> </w:t>
      </w:r>
      <w:r w:rsidR="66CC33F0" w:rsidRPr="00FB463B">
        <w:rPr>
          <w:rFonts w:eastAsia="Arial" w:cs="Arial"/>
        </w:rPr>
        <w:t xml:space="preserve">contained </w:t>
      </w:r>
      <w:r w:rsidR="00961EEA" w:rsidRPr="00FB463B">
        <w:rPr>
          <w:rFonts w:eastAsia="Arial" w:cs="Arial"/>
        </w:rPr>
        <w:t>457,410</w:t>
      </w:r>
      <w:r w:rsidR="66CC33F0" w:rsidRPr="00FB463B">
        <w:rPr>
          <w:rFonts w:eastAsia="Arial" w:cs="Arial"/>
        </w:rPr>
        <w:t xml:space="preserve"> test records, but they were limited to only </w:t>
      </w:r>
      <w:r w:rsidR="36AB553C" w:rsidRPr="00FB463B">
        <w:rPr>
          <w:rFonts w:eastAsia="Arial" w:cs="Arial"/>
        </w:rPr>
        <w:t xml:space="preserve">805 LEAs, </w:t>
      </w:r>
      <w:r w:rsidR="26147EC5" w:rsidRPr="00FB463B">
        <w:rPr>
          <w:rFonts w:eastAsia="Arial" w:cs="Arial"/>
        </w:rPr>
        <w:t xml:space="preserve">and </w:t>
      </w:r>
      <w:r w:rsidR="36AB553C" w:rsidRPr="00FB463B">
        <w:rPr>
          <w:rFonts w:eastAsia="Arial" w:cs="Arial"/>
        </w:rPr>
        <w:t xml:space="preserve">more than 300 LEAs did not have any results. Additionally, the CDE was only able to match 344,846 </w:t>
      </w:r>
      <w:r w:rsidR="39D1D9E2" w:rsidRPr="00FB463B">
        <w:rPr>
          <w:rFonts w:eastAsia="Arial" w:cs="Arial"/>
        </w:rPr>
        <w:t xml:space="preserve">student </w:t>
      </w:r>
      <w:r w:rsidR="36AB553C" w:rsidRPr="00FB463B">
        <w:rPr>
          <w:rFonts w:eastAsia="Arial" w:cs="Arial"/>
        </w:rPr>
        <w:t xml:space="preserve">records </w:t>
      </w:r>
      <w:r w:rsidR="5C4E1AB0" w:rsidRPr="00FB463B">
        <w:rPr>
          <w:rFonts w:eastAsia="Arial" w:cs="Arial"/>
        </w:rPr>
        <w:t>between</w:t>
      </w:r>
      <w:r w:rsidR="36AB553C" w:rsidRPr="00FB463B">
        <w:rPr>
          <w:rFonts w:eastAsia="Arial" w:cs="Arial"/>
        </w:rPr>
        <w:t xml:space="preserve"> the </w:t>
      </w:r>
      <w:r w:rsidR="1F764686" w:rsidRPr="00FB463B">
        <w:rPr>
          <w:rFonts w:eastAsia="Arial" w:cs="Arial"/>
        </w:rPr>
        <w:t>2019</w:t>
      </w:r>
      <w:r w:rsidR="00FD58B6" w:rsidRPr="00FB463B">
        <w:rPr>
          <w:rFonts w:eastAsia="Arial" w:cs="Arial"/>
        </w:rPr>
        <w:t>–</w:t>
      </w:r>
      <w:r w:rsidR="1F764686" w:rsidRPr="00FB463B">
        <w:rPr>
          <w:rFonts w:eastAsia="Arial" w:cs="Arial"/>
        </w:rPr>
        <w:t>20 and</w:t>
      </w:r>
      <w:r w:rsidR="36AB553C" w:rsidRPr="00FB463B">
        <w:rPr>
          <w:rFonts w:eastAsia="Arial" w:cs="Arial"/>
        </w:rPr>
        <w:t xml:space="preserve"> 2020–21 Summative </w:t>
      </w:r>
      <w:r w:rsidR="00660679" w:rsidRPr="00FB463B">
        <w:rPr>
          <w:rFonts w:eastAsia="Arial" w:cs="Arial"/>
        </w:rPr>
        <w:t>ELPAC</w:t>
      </w:r>
      <w:r w:rsidR="00660679" w:rsidRPr="00FB463B">
        <w:rPr>
          <w:rFonts w:eastAsia="Arial" w:cs="Arial"/>
          <w:b/>
          <w:bCs/>
          <w:i/>
          <w:iCs/>
        </w:rPr>
        <w:t xml:space="preserve"> </w:t>
      </w:r>
      <w:r w:rsidR="36AB553C" w:rsidRPr="00FB463B">
        <w:rPr>
          <w:rFonts w:eastAsia="Arial" w:cs="Arial"/>
        </w:rPr>
        <w:t>records.</w:t>
      </w:r>
    </w:p>
    <w:p w14:paraId="28FD87AA" w14:textId="2118D35E" w:rsidR="001038D7" w:rsidRPr="00FB463B" w:rsidRDefault="008E0B98" w:rsidP="00917AA5">
      <w:pPr>
        <w:spacing w:after="240"/>
        <w:rPr>
          <w:rFonts w:eastAsia="Arial" w:cs="Arial"/>
        </w:rPr>
      </w:pPr>
      <w:r w:rsidRPr="00FB463B">
        <w:rPr>
          <w:rFonts w:eastAsia="Arial" w:cs="Arial"/>
        </w:rPr>
        <w:t xml:space="preserve">In June 2023, the CDE </w:t>
      </w:r>
      <w:r w:rsidR="00910F2D" w:rsidRPr="00FB463B">
        <w:rPr>
          <w:rFonts w:eastAsia="Arial" w:cs="Arial"/>
        </w:rPr>
        <w:t>receive</w:t>
      </w:r>
      <w:r w:rsidRPr="00FB463B">
        <w:rPr>
          <w:rFonts w:eastAsia="Arial" w:cs="Arial"/>
        </w:rPr>
        <w:t xml:space="preserve">d </w:t>
      </w:r>
      <w:r w:rsidR="30717505" w:rsidRPr="00FB463B">
        <w:rPr>
          <w:rFonts w:eastAsia="Arial" w:cs="Arial"/>
        </w:rPr>
        <w:t>preliminary</w:t>
      </w:r>
      <w:r w:rsidRPr="00FB463B">
        <w:rPr>
          <w:rFonts w:eastAsia="Arial" w:cs="Arial"/>
        </w:rPr>
        <w:t xml:space="preserve"> 2022</w:t>
      </w:r>
      <w:r w:rsidR="00FD58B6" w:rsidRPr="00FB463B">
        <w:rPr>
          <w:rFonts w:eastAsia="Arial" w:cs="Arial"/>
        </w:rPr>
        <w:t>–</w:t>
      </w:r>
      <w:r w:rsidRPr="00FB463B">
        <w:rPr>
          <w:rFonts w:eastAsia="Arial" w:cs="Arial"/>
        </w:rPr>
        <w:t>23 Summative</w:t>
      </w:r>
      <w:r w:rsidR="586154F6" w:rsidRPr="00FB463B">
        <w:rPr>
          <w:rFonts w:eastAsia="Arial" w:cs="Arial"/>
        </w:rPr>
        <w:t xml:space="preserve"> </w:t>
      </w:r>
      <w:r w:rsidRPr="00FB463B">
        <w:rPr>
          <w:rFonts w:eastAsia="Arial" w:cs="Arial"/>
        </w:rPr>
        <w:t>ELPAC results from</w:t>
      </w:r>
      <w:r w:rsidR="00810C61" w:rsidRPr="00FB463B">
        <w:rPr>
          <w:rFonts w:eastAsia="Arial" w:cs="Arial"/>
        </w:rPr>
        <w:t xml:space="preserve"> </w:t>
      </w:r>
      <w:r w:rsidR="1252227B" w:rsidRPr="00FB463B">
        <w:rPr>
          <w:rFonts w:eastAsia="Arial" w:cs="Arial"/>
        </w:rPr>
        <w:t xml:space="preserve">students who took the assessment between </w:t>
      </w:r>
      <w:r w:rsidR="001038D7" w:rsidRPr="00FB463B">
        <w:rPr>
          <w:rFonts w:eastAsia="Arial" w:cs="Arial"/>
        </w:rPr>
        <w:t xml:space="preserve">February 1, </w:t>
      </w:r>
      <w:r w:rsidR="2EEB4D4E" w:rsidRPr="00FB463B">
        <w:rPr>
          <w:rFonts w:eastAsia="Arial" w:cs="Arial"/>
        </w:rPr>
        <w:t>and</w:t>
      </w:r>
      <w:r w:rsidR="001038D7" w:rsidRPr="00FB463B">
        <w:rPr>
          <w:rFonts w:eastAsia="Arial" w:cs="Arial"/>
        </w:rPr>
        <w:t xml:space="preserve"> May 9, 2023. Overall, the </w:t>
      </w:r>
      <w:r w:rsidR="4524FE12" w:rsidRPr="00FB463B">
        <w:rPr>
          <w:rFonts w:eastAsia="Arial" w:cs="Arial"/>
        </w:rPr>
        <w:t>preliminary</w:t>
      </w:r>
      <w:r w:rsidR="001038D7" w:rsidRPr="00FB463B">
        <w:rPr>
          <w:rFonts w:eastAsia="Arial" w:cs="Arial"/>
        </w:rPr>
        <w:t xml:space="preserve"> </w:t>
      </w:r>
      <w:r w:rsidR="4524FE12" w:rsidRPr="00FB463B">
        <w:rPr>
          <w:rFonts w:eastAsia="Arial" w:cs="Arial"/>
        </w:rPr>
        <w:t>2022</w:t>
      </w:r>
      <w:r w:rsidR="00FD58B6" w:rsidRPr="00FB463B">
        <w:rPr>
          <w:rFonts w:eastAsia="Arial" w:cs="Arial"/>
        </w:rPr>
        <w:t>–</w:t>
      </w:r>
      <w:r w:rsidR="001038D7" w:rsidRPr="00FB463B">
        <w:rPr>
          <w:rFonts w:eastAsia="Arial" w:cs="Arial"/>
        </w:rPr>
        <w:t>23 Summative ELPAC file contained 746,544 test records. Out of these test records, the CDE match</w:t>
      </w:r>
      <w:r w:rsidR="00FD58B6" w:rsidRPr="00FB463B">
        <w:rPr>
          <w:rFonts w:eastAsia="Arial" w:cs="Arial"/>
        </w:rPr>
        <w:t>ed</w:t>
      </w:r>
      <w:r w:rsidR="001038D7" w:rsidRPr="00FB463B">
        <w:rPr>
          <w:rFonts w:eastAsia="Arial" w:cs="Arial"/>
        </w:rPr>
        <w:t xml:space="preserve"> 654,571 test records to 2022 Summative ELPAC results. </w:t>
      </w:r>
      <w:r w:rsidR="00FD10E8" w:rsidRPr="00FB463B">
        <w:rPr>
          <w:rFonts w:eastAsia="Arial" w:cs="Arial"/>
        </w:rPr>
        <w:t xml:space="preserve">The CDE presented this data, along with the partial 2019–20 Summative ELPAC results discussed above, to the TDG in June 2023. The TDG supported the CDE’s recommendation to use </w:t>
      </w:r>
      <w:r w:rsidR="00B80A4B" w:rsidRPr="00FB463B">
        <w:rPr>
          <w:rFonts w:eastAsia="Arial" w:cs="Arial"/>
        </w:rPr>
        <w:t xml:space="preserve">2020–21, 2021–22 and 2022–23 Summative ELPAC results to conduct the data simulations for ELPI Change cut </w:t>
      </w:r>
      <w:r w:rsidR="5CDCE61F" w:rsidRPr="00FB463B">
        <w:rPr>
          <w:rFonts w:eastAsia="Arial" w:cs="Arial"/>
        </w:rPr>
        <w:t>points</w:t>
      </w:r>
      <w:r w:rsidR="00B80A4B" w:rsidRPr="00FB463B">
        <w:rPr>
          <w:rFonts w:eastAsia="Arial" w:cs="Arial"/>
        </w:rPr>
        <w:t>.</w:t>
      </w:r>
    </w:p>
    <w:p w14:paraId="044AFA50" w14:textId="0CAE149F" w:rsidR="40C75AC6" w:rsidRPr="00FB463B" w:rsidRDefault="2908FE8D" w:rsidP="00917AA5">
      <w:pPr>
        <w:spacing w:after="240"/>
      </w:pPr>
      <w:r w:rsidRPr="00FB463B">
        <w:rPr>
          <w:rFonts w:eastAsia="Arial" w:cs="Arial"/>
          <w:b/>
          <w:bCs/>
        </w:rPr>
        <w:t xml:space="preserve">Distributions of </w:t>
      </w:r>
      <w:r w:rsidR="40C75AC6" w:rsidRPr="00FB463B">
        <w:rPr>
          <w:rFonts w:eastAsia="Arial" w:cs="Arial"/>
          <w:b/>
          <w:bCs/>
        </w:rPr>
        <w:t>Change</w:t>
      </w:r>
    </w:p>
    <w:p w14:paraId="09A441AC" w14:textId="58464485" w:rsidR="00964E2D" w:rsidRPr="00FB463B" w:rsidRDefault="6DE54F04" w:rsidP="00917AA5">
      <w:pPr>
        <w:spacing w:after="240"/>
        <w:rPr>
          <w:rFonts w:eastAsia="Arial"/>
        </w:rPr>
      </w:pPr>
      <w:r w:rsidRPr="00FB463B">
        <w:rPr>
          <w:rFonts w:eastAsia="Arial" w:cs="Arial"/>
        </w:rPr>
        <w:t>The</w:t>
      </w:r>
      <w:r w:rsidR="00124C40" w:rsidRPr="00FB463B">
        <w:rPr>
          <w:rFonts w:eastAsia="Arial" w:cs="Arial"/>
        </w:rPr>
        <w:t xml:space="preserve"> SBE previously approved all </w:t>
      </w:r>
      <w:r w:rsidR="00331ACD" w:rsidRPr="00FB463B">
        <w:rPr>
          <w:rFonts w:eastAsia="Arial" w:cs="Arial"/>
        </w:rPr>
        <w:t>components for the</w:t>
      </w:r>
      <w:r w:rsidRPr="00FB463B">
        <w:rPr>
          <w:rFonts w:eastAsia="Arial" w:cs="Arial"/>
        </w:rPr>
        <w:t xml:space="preserve"> ELPI</w:t>
      </w:r>
      <w:r w:rsidR="0090077B" w:rsidRPr="00FB463B">
        <w:rPr>
          <w:rFonts w:eastAsia="Arial" w:cs="Arial"/>
        </w:rPr>
        <w:t xml:space="preserve"> inclusive of</w:t>
      </w:r>
      <w:r w:rsidRPr="00FB463B">
        <w:rPr>
          <w:rFonts w:eastAsia="Arial" w:cs="Arial"/>
        </w:rPr>
        <w:t xml:space="preserve"> status, change and a five-by-five color scheme</w:t>
      </w:r>
      <w:r w:rsidR="00DF393E" w:rsidRPr="00FB463B">
        <w:rPr>
          <w:rFonts w:eastAsia="Arial" w:cs="Arial"/>
        </w:rPr>
        <w:t xml:space="preserve">; </w:t>
      </w:r>
      <w:r w:rsidR="00D93140" w:rsidRPr="00FB463B">
        <w:rPr>
          <w:rFonts w:eastAsia="Arial" w:cs="Arial"/>
        </w:rPr>
        <w:t>however</w:t>
      </w:r>
      <w:r w:rsidR="00DF393E" w:rsidRPr="00FB463B">
        <w:rPr>
          <w:rFonts w:eastAsia="Arial" w:cs="Arial"/>
        </w:rPr>
        <w:t>,</w:t>
      </w:r>
      <w:r w:rsidR="00D93140" w:rsidRPr="00FB463B">
        <w:rPr>
          <w:rFonts w:eastAsia="Arial" w:cs="Arial"/>
        </w:rPr>
        <w:t xml:space="preserve"> these were based on the </w:t>
      </w:r>
      <w:r w:rsidR="00DF393E" w:rsidRPr="00FB463B">
        <w:rPr>
          <w:rFonts w:eastAsia="Arial" w:cs="Arial"/>
        </w:rPr>
        <w:t xml:space="preserve">prior </w:t>
      </w:r>
      <w:r w:rsidR="00447D34" w:rsidRPr="00FB463B">
        <w:rPr>
          <w:rFonts w:eastAsia="Arial"/>
        </w:rPr>
        <w:t>California</w:t>
      </w:r>
      <w:r w:rsidR="00447D34" w:rsidRPr="00FB463B">
        <w:rPr>
          <w:rFonts w:eastAsia="Roboto"/>
        </w:rPr>
        <w:t xml:space="preserve"> English Language Development Test</w:t>
      </w:r>
      <w:r w:rsidR="00447D34" w:rsidRPr="00FB463B">
        <w:rPr>
          <w:rFonts w:eastAsia="Arial"/>
        </w:rPr>
        <w:t xml:space="preserve"> (CELDT).</w:t>
      </w:r>
      <w:r w:rsidR="00DF393E" w:rsidRPr="00FB463B">
        <w:rPr>
          <w:rFonts w:eastAsia="Arial"/>
        </w:rPr>
        <w:t xml:space="preserve"> A</w:t>
      </w:r>
      <w:r w:rsidR="00FB69A2" w:rsidRPr="00FB463B">
        <w:rPr>
          <w:rFonts w:eastAsia="Arial"/>
        </w:rPr>
        <w:t xml:space="preserve">t the time of the SBE’s adoption of the ELPI Change cut </w:t>
      </w:r>
      <w:r w:rsidR="1A469D17" w:rsidRPr="00FB463B">
        <w:rPr>
          <w:rFonts w:eastAsia="Arial"/>
        </w:rPr>
        <w:t>points</w:t>
      </w:r>
      <w:r w:rsidR="00277CCE" w:rsidRPr="00FB463B">
        <w:rPr>
          <w:rFonts w:eastAsia="Arial"/>
        </w:rPr>
        <w:t xml:space="preserve"> in September 2016</w:t>
      </w:r>
      <w:r w:rsidR="00142AAB" w:rsidRPr="00FB463B">
        <w:rPr>
          <w:rFonts w:eastAsia="Arial"/>
        </w:rPr>
        <w:t xml:space="preserve">, </w:t>
      </w:r>
      <w:r w:rsidR="152BB477" w:rsidRPr="00FB463B">
        <w:rPr>
          <w:rFonts w:eastAsia="Arial"/>
        </w:rPr>
        <w:t xml:space="preserve">students who </w:t>
      </w:r>
      <w:r w:rsidR="517341CF" w:rsidRPr="00FB463B">
        <w:rPr>
          <w:rFonts w:eastAsia="Arial"/>
        </w:rPr>
        <w:t xml:space="preserve">advanced from being </w:t>
      </w:r>
      <w:r w:rsidR="49610CAD" w:rsidRPr="00FB463B">
        <w:rPr>
          <w:rFonts w:eastAsia="Arial"/>
        </w:rPr>
        <w:t>ELs to being re</w:t>
      </w:r>
      <w:r w:rsidR="152BB477" w:rsidRPr="00FB463B">
        <w:rPr>
          <w:rFonts w:eastAsia="Arial"/>
        </w:rPr>
        <w:t xml:space="preserve">classified as Fluent English Proficient </w:t>
      </w:r>
      <w:r w:rsidR="6A50BFB3" w:rsidRPr="00FB463B">
        <w:rPr>
          <w:rFonts w:eastAsia="Arial"/>
        </w:rPr>
        <w:t>(</w:t>
      </w:r>
      <w:r w:rsidR="00142AAB" w:rsidRPr="00FB463B">
        <w:rPr>
          <w:rFonts w:eastAsia="Arial"/>
        </w:rPr>
        <w:t>RFEPs</w:t>
      </w:r>
      <w:r w:rsidR="70321FDB" w:rsidRPr="00FB463B">
        <w:rPr>
          <w:rFonts w:eastAsia="Arial"/>
        </w:rPr>
        <w:t>)</w:t>
      </w:r>
      <w:r w:rsidR="00142AAB" w:rsidRPr="00FB463B">
        <w:rPr>
          <w:rFonts w:eastAsia="Arial"/>
        </w:rPr>
        <w:t xml:space="preserve"> were included </w:t>
      </w:r>
      <w:r w:rsidR="469D26C4" w:rsidRPr="00FB463B">
        <w:rPr>
          <w:rFonts w:eastAsia="Arial"/>
        </w:rPr>
        <w:t>as making progress</w:t>
      </w:r>
      <w:r w:rsidR="00784BEA" w:rsidRPr="00FB463B">
        <w:rPr>
          <w:rFonts w:eastAsia="Arial"/>
        </w:rPr>
        <w:t xml:space="preserve"> the ELPI </w:t>
      </w:r>
      <w:r w:rsidR="04766BE9" w:rsidRPr="00FB463B">
        <w:rPr>
          <w:rFonts w:eastAsia="Arial"/>
        </w:rPr>
        <w:t xml:space="preserve">calculation </w:t>
      </w:r>
      <w:r w:rsidR="00784BEA" w:rsidRPr="00FB463B">
        <w:rPr>
          <w:rFonts w:eastAsia="Arial"/>
        </w:rPr>
        <w:t>methodology</w:t>
      </w:r>
      <w:r w:rsidR="00A81AD8" w:rsidRPr="00FB463B">
        <w:rPr>
          <w:rFonts w:eastAsia="Arial"/>
        </w:rPr>
        <w:t>.</w:t>
      </w:r>
      <w:r w:rsidR="56C71FEA" w:rsidRPr="00FB463B">
        <w:rPr>
          <w:rFonts w:eastAsia="Arial"/>
        </w:rPr>
        <w:t xml:space="preserve"> In </w:t>
      </w:r>
      <w:r w:rsidR="757051AD" w:rsidRPr="00FB463B">
        <w:rPr>
          <w:rFonts w:eastAsia="Arial"/>
        </w:rPr>
        <w:t xml:space="preserve">the </w:t>
      </w:r>
      <w:r w:rsidR="56C71FEA" w:rsidRPr="00FB463B">
        <w:rPr>
          <w:rFonts w:eastAsia="Arial"/>
        </w:rPr>
        <w:t>201</w:t>
      </w:r>
      <w:r w:rsidR="227E4E10" w:rsidRPr="00FB463B">
        <w:rPr>
          <w:rFonts w:eastAsia="Arial"/>
        </w:rPr>
        <w:t>7</w:t>
      </w:r>
      <w:r w:rsidR="003D59E2" w:rsidRPr="00FB463B">
        <w:rPr>
          <w:rFonts w:eastAsia="Arial" w:cs="Arial"/>
        </w:rPr>
        <w:t>–</w:t>
      </w:r>
      <w:r w:rsidR="227E4E10" w:rsidRPr="00FB463B">
        <w:rPr>
          <w:rFonts w:eastAsia="Arial"/>
        </w:rPr>
        <w:t>18</w:t>
      </w:r>
      <w:r w:rsidR="02008F7B" w:rsidRPr="00FB463B">
        <w:rPr>
          <w:rFonts w:eastAsia="Arial"/>
        </w:rPr>
        <w:t xml:space="preserve"> school year</w:t>
      </w:r>
      <w:r w:rsidR="56C71FEA" w:rsidRPr="00FB463B">
        <w:rPr>
          <w:rFonts w:eastAsia="Arial"/>
        </w:rPr>
        <w:t>, the state transitioned to using the English Language Proficiency Assessment for California (ELPAC) as its state ELP assessment, and</w:t>
      </w:r>
      <w:r w:rsidR="00523B4D" w:rsidRPr="00FB463B">
        <w:rPr>
          <w:rFonts w:eastAsia="Arial"/>
        </w:rPr>
        <w:t>,</w:t>
      </w:r>
      <w:r w:rsidR="56C71FEA" w:rsidRPr="00FB463B">
        <w:rPr>
          <w:rFonts w:eastAsia="Arial"/>
        </w:rPr>
        <w:t xml:space="preserve"> as a result, the ELPI needed to be reconstructed </w:t>
      </w:r>
      <w:r w:rsidR="22678393" w:rsidRPr="00FB463B">
        <w:rPr>
          <w:rFonts w:eastAsia="Arial"/>
        </w:rPr>
        <w:t>for future Dashboard using the</w:t>
      </w:r>
      <w:r w:rsidR="56C71FEA" w:rsidRPr="00FB463B">
        <w:rPr>
          <w:rFonts w:eastAsia="Arial"/>
        </w:rPr>
        <w:t xml:space="preserve"> results from the new assessments.</w:t>
      </w:r>
    </w:p>
    <w:p w14:paraId="6DEFC7C5" w14:textId="32E76C7B" w:rsidR="008F55EB" w:rsidRPr="00FB463B" w:rsidRDefault="0069177C" w:rsidP="00917AA5">
      <w:pPr>
        <w:spacing w:after="240"/>
        <w:rPr>
          <w:rFonts w:eastAsia="Arial"/>
        </w:rPr>
      </w:pPr>
      <w:r w:rsidRPr="00FB463B">
        <w:rPr>
          <w:rFonts w:eastAsia="Arial"/>
        </w:rPr>
        <w:lastRenderedPageBreak/>
        <w:t xml:space="preserve">Table </w:t>
      </w:r>
      <w:r w:rsidR="007527CD" w:rsidRPr="00FB463B">
        <w:rPr>
          <w:rFonts w:eastAsia="Arial"/>
        </w:rPr>
        <w:t xml:space="preserve">1 provides the percentile statewide LEA distribution </w:t>
      </w:r>
      <w:r w:rsidR="004A5CE5" w:rsidRPr="00FB463B">
        <w:rPr>
          <w:rFonts w:eastAsia="Arial"/>
        </w:rPr>
        <w:t xml:space="preserve">used to set the ELPI Change cut </w:t>
      </w:r>
      <w:r w:rsidR="7D4130AB" w:rsidRPr="00FB463B">
        <w:rPr>
          <w:rFonts w:eastAsia="Arial"/>
        </w:rPr>
        <w:t>points</w:t>
      </w:r>
      <w:r w:rsidR="00F06D09" w:rsidRPr="00FB463B">
        <w:rPr>
          <w:rFonts w:eastAsia="Arial"/>
        </w:rPr>
        <w:t xml:space="preserve"> </w:t>
      </w:r>
      <w:r w:rsidR="6971685A" w:rsidRPr="00FB463B">
        <w:rPr>
          <w:rFonts w:eastAsia="Arial"/>
        </w:rPr>
        <w:t xml:space="preserve">used on the </w:t>
      </w:r>
      <w:r w:rsidR="00F06D09" w:rsidRPr="00FB463B">
        <w:rPr>
          <w:rFonts w:eastAsia="Arial"/>
        </w:rPr>
        <w:t>2017</w:t>
      </w:r>
      <w:r w:rsidR="41A31A30" w:rsidRPr="00FB463B">
        <w:rPr>
          <w:rFonts w:eastAsia="Arial"/>
        </w:rPr>
        <w:t xml:space="preserve"> Dashboard</w:t>
      </w:r>
      <w:r w:rsidR="004A5CE5" w:rsidRPr="00FB463B">
        <w:rPr>
          <w:rFonts w:eastAsia="Arial"/>
        </w:rPr>
        <w:t>.</w:t>
      </w:r>
    </w:p>
    <w:p w14:paraId="4935326C" w14:textId="17B09F54" w:rsidR="68B52D87" w:rsidRPr="00FB463B" w:rsidRDefault="0471141E" w:rsidP="00765930">
      <w:pPr>
        <w:spacing w:after="240"/>
        <w:rPr>
          <w:rFonts w:eastAsia="Arial" w:cs="Arial"/>
          <w:b/>
          <w:bCs/>
        </w:rPr>
      </w:pPr>
      <w:r w:rsidRPr="00FB463B">
        <w:rPr>
          <w:rFonts w:eastAsia="Arial" w:cs="Arial"/>
          <w:b/>
          <w:bCs/>
        </w:rPr>
        <w:t xml:space="preserve">Table </w:t>
      </w:r>
      <w:r w:rsidR="6861A292" w:rsidRPr="00FB463B">
        <w:rPr>
          <w:rFonts w:eastAsia="Arial" w:cs="Arial"/>
          <w:b/>
          <w:bCs/>
        </w:rPr>
        <w:t>1</w:t>
      </w:r>
      <w:r w:rsidRPr="00FB463B">
        <w:rPr>
          <w:rFonts w:eastAsia="Arial" w:cs="Arial"/>
          <w:b/>
          <w:bCs/>
        </w:rPr>
        <w:t xml:space="preserve">: </w:t>
      </w:r>
      <w:r w:rsidR="00FD58B6" w:rsidRPr="00FB463B">
        <w:rPr>
          <w:rFonts w:eastAsia="Arial" w:cs="Arial"/>
          <w:b/>
          <w:bCs/>
        </w:rPr>
        <w:t>2017</w:t>
      </w:r>
      <w:r w:rsidR="00FD58B6" w:rsidRPr="00FB463B">
        <w:rPr>
          <w:rFonts w:eastAsia="Arial" w:cs="Arial"/>
          <w:b/>
        </w:rPr>
        <w:t xml:space="preserve"> </w:t>
      </w:r>
      <w:r w:rsidR="7DB4AC2D" w:rsidRPr="00FB463B">
        <w:rPr>
          <w:rFonts w:eastAsia="Arial" w:cs="Arial"/>
          <w:b/>
          <w:bCs/>
        </w:rPr>
        <w:t>Dashboard</w:t>
      </w:r>
      <w:r w:rsidR="00FD58B6" w:rsidRPr="00FB463B">
        <w:rPr>
          <w:rFonts w:eastAsia="Arial" w:cs="Arial"/>
          <w:b/>
          <w:bCs/>
        </w:rPr>
        <w:t xml:space="preserve"> </w:t>
      </w:r>
      <w:r w:rsidR="5C93B909" w:rsidRPr="00FB463B">
        <w:rPr>
          <w:rFonts w:eastAsia="Arial" w:cs="Arial"/>
          <w:b/>
          <w:bCs/>
        </w:rPr>
        <w:t xml:space="preserve">ELPI </w:t>
      </w:r>
      <w:r w:rsidR="00AF26C7" w:rsidRPr="00FB463B">
        <w:rPr>
          <w:rFonts w:eastAsia="Arial" w:cs="Arial"/>
          <w:b/>
          <w:bCs/>
        </w:rPr>
        <w:t>Change</w:t>
      </w:r>
      <w:r w:rsidR="5C93B909" w:rsidRPr="00FB463B">
        <w:rPr>
          <w:rFonts w:eastAsia="Arial" w:cs="Arial"/>
          <w:b/>
          <w:bCs/>
        </w:rPr>
        <w:t xml:space="preserve"> Distribution</w:t>
      </w:r>
      <w:r w:rsidR="00FD58B6" w:rsidRPr="00FB463B">
        <w:rPr>
          <w:rFonts w:eastAsia="Arial" w:cs="Arial"/>
          <w:b/>
          <w:bCs/>
        </w:rPr>
        <w:t>,</w:t>
      </w:r>
      <w:r w:rsidR="4288F95D" w:rsidRPr="00FB463B">
        <w:rPr>
          <w:rFonts w:eastAsia="Arial" w:cs="Arial"/>
          <w:b/>
          <w:bCs/>
        </w:rPr>
        <w:t xml:space="preserve"> </w:t>
      </w:r>
      <w:r w:rsidR="52CE8E7D" w:rsidRPr="00FB463B">
        <w:rPr>
          <w:rFonts w:eastAsia="Arial" w:cs="Arial"/>
          <w:b/>
          <w:bCs/>
        </w:rPr>
        <w:t>I</w:t>
      </w:r>
      <w:r w:rsidR="4288F95D" w:rsidRPr="00FB463B">
        <w:rPr>
          <w:rFonts w:eastAsia="Arial" w:cs="Arial"/>
          <w:b/>
          <w:bCs/>
        </w:rPr>
        <w:t>nclud</w:t>
      </w:r>
      <w:r w:rsidR="52CE8E7D" w:rsidRPr="00FB463B">
        <w:rPr>
          <w:rFonts w:eastAsia="Arial" w:cs="Arial"/>
          <w:b/>
          <w:bCs/>
        </w:rPr>
        <w:t>ing</w:t>
      </w:r>
      <w:r w:rsidR="4288F95D" w:rsidRPr="00FB463B">
        <w:rPr>
          <w:rFonts w:eastAsia="Arial" w:cs="Arial"/>
          <w:b/>
          <w:bCs/>
        </w:rPr>
        <w:t xml:space="preserve"> RFEPs </w:t>
      </w:r>
      <w:r w:rsidR="006D05A7" w:rsidRPr="00FB463B">
        <w:rPr>
          <w:rFonts w:eastAsia="Arial" w:cs="Arial"/>
          <w:b/>
          <w:bCs/>
        </w:rPr>
        <w:t>(LEAs)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1: ELPI Change Distribution in 2017 Including RFEPs (LEAs)"/>
        <w:tblDescription w:val="ELPI Change Distribution in 2017 Including RFEPs (LEAs)"/>
      </w:tblPr>
      <w:tblGrid>
        <w:gridCol w:w="1434"/>
        <w:gridCol w:w="1896"/>
      </w:tblGrid>
      <w:tr w:rsidR="4E7F4BF9" w:rsidRPr="00FB463B" w14:paraId="149CBFF6" w14:textId="77777777" w:rsidTr="007871ED">
        <w:trPr>
          <w:cantSplit/>
          <w:trHeight w:val="300"/>
          <w:tblHeader/>
        </w:trPr>
        <w:tc>
          <w:tcPr>
            <w:tcW w:w="1434" w:type="dxa"/>
            <w:tcBorders>
              <w:top w:val="single" w:sz="8" w:space="0" w:color="auto"/>
              <w:left w:val="single" w:sz="8" w:space="0" w:color="auto"/>
              <w:bottom w:val="single" w:sz="8" w:space="0" w:color="auto"/>
              <w:right w:val="single" w:sz="8" w:space="0" w:color="auto"/>
            </w:tcBorders>
            <w:vAlign w:val="bottom"/>
          </w:tcPr>
          <w:p w14:paraId="04ABA2AC" w14:textId="2F452929" w:rsidR="14DB9AD2" w:rsidRPr="00FB463B" w:rsidRDefault="14DB9AD2" w:rsidP="14DB9AD2">
            <w:pPr>
              <w:spacing w:after="160" w:line="257" w:lineRule="auto"/>
              <w:jc w:val="center"/>
              <w:rPr>
                <w:rFonts w:eastAsia="Arial"/>
                <w:b/>
                <w:bCs/>
              </w:rPr>
            </w:pPr>
            <w:r w:rsidRPr="00FB463B">
              <w:rPr>
                <w:rFonts w:eastAsia="Arial"/>
                <w:b/>
                <w:bCs/>
              </w:rPr>
              <w:t xml:space="preserve">Percentile </w:t>
            </w:r>
          </w:p>
        </w:tc>
        <w:tc>
          <w:tcPr>
            <w:tcW w:w="1896" w:type="dxa"/>
            <w:tcBorders>
              <w:top w:val="single" w:sz="8" w:space="0" w:color="auto"/>
              <w:left w:val="single" w:sz="8" w:space="0" w:color="auto"/>
              <w:bottom w:val="single" w:sz="8" w:space="0" w:color="auto"/>
              <w:right w:val="single" w:sz="8" w:space="0" w:color="auto"/>
            </w:tcBorders>
            <w:vAlign w:val="center"/>
          </w:tcPr>
          <w:p w14:paraId="00C3A4E9" w14:textId="70266BE7" w:rsidR="14DB9AD2" w:rsidRPr="00FB463B" w:rsidRDefault="14DB9AD2" w:rsidP="14DB9AD2">
            <w:pPr>
              <w:spacing w:after="160" w:line="257" w:lineRule="auto"/>
              <w:jc w:val="center"/>
              <w:rPr>
                <w:rFonts w:eastAsia="Arial"/>
                <w:b/>
                <w:bCs/>
              </w:rPr>
            </w:pPr>
            <w:r w:rsidRPr="00FB463B">
              <w:rPr>
                <w:rFonts w:eastAsia="Arial"/>
                <w:b/>
                <w:bCs/>
              </w:rPr>
              <w:t>2017 ELPI Change</w:t>
            </w:r>
          </w:p>
        </w:tc>
      </w:tr>
      <w:tr w:rsidR="4E7F4BF9" w:rsidRPr="00FB463B" w14:paraId="6AEA96AB"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55DDD155" w14:textId="6BCD0B36" w:rsidR="14DB9AD2" w:rsidRPr="00FB463B" w:rsidRDefault="14DB9AD2" w:rsidP="14DB9AD2">
            <w:pPr>
              <w:spacing w:after="160" w:line="257" w:lineRule="auto"/>
              <w:jc w:val="center"/>
              <w:rPr>
                <w:rFonts w:eastAsia="Arial"/>
                <w:b/>
                <w:bCs/>
              </w:rPr>
            </w:pPr>
            <w:r w:rsidRPr="00FB463B">
              <w:rPr>
                <w:rFonts w:eastAsia="Arial"/>
                <w:b/>
                <w:bCs/>
              </w:rPr>
              <w:t>5</w:t>
            </w:r>
          </w:p>
        </w:tc>
        <w:tc>
          <w:tcPr>
            <w:tcW w:w="1896" w:type="dxa"/>
            <w:tcBorders>
              <w:top w:val="single" w:sz="8" w:space="0" w:color="auto"/>
              <w:left w:val="single" w:sz="8" w:space="0" w:color="auto"/>
              <w:bottom w:val="single" w:sz="8" w:space="0" w:color="auto"/>
              <w:right w:val="single" w:sz="8" w:space="0" w:color="auto"/>
            </w:tcBorders>
            <w:vAlign w:val="center"/>
          </w:tcPr>
          <w:p w14:paraId="6CFE2637" w14:textId="3433FED8" w:rsidR="14DB9AD2" w:rsidRPr="00FB463B" w:rsidRDefault="14DB9AD2" w:rsidP="14DB9AD2">
            <w:pPr>
              <w:spacing w:after="160" w:line="257" w:lineRule="auto"/>
              <w:jc w:val="center"/>
              <w:rPr>
                <w:rFonts w:eastAsia="Arial"/>
              </w:rPr>
            </w:pPr>
            <w:r w:rsidRPr="00FB463B">
              <w:rPr>
                <w:rFonts w:eastAsia="Arial"/>
              </w:rPr>
              <w:t>-18.88</w:t>
            </w:r>
          </w:p>
        </w:tc>
      </w:tr>
      <w:tr w:rsidR="4E7F4BF9" w:rsidRPr="00FB463B" w14:paraId="27CE6BB4"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07816EDB" w14:textId="49C4716B" w:rsidR="14DB9AD2" w:rsidRPr="00FB463B" w:rsidRDefault="14DB9AD2" w:rsidP="14DB9AD2">
            <w:pPr>
              <w:spacing w:after="160" w:line="257" w:lineRule="auto"/>
              <w:jc w:val="center"/>
              <w:rPr>
                <w:rFonts w:eastAsia="Arial"/>
                <w:b/>
                <w:bCs/>
              </w:rPr>
            </w:pPr>
            <w:r w:rsidRPr="00FB463B">
              <w:rPr>
                <w:rFonts w:eastAsia="Arial"/>
                <w:b/>
                <w:bCs/>
              </w:rPr>
              <w:t>10</w:t>
            </w:r>
          </w:p>
        </w:tc>
        <w:tc>
          <w:tcPr>
            <w:tcW w:w="1896" w:type="dxa"/>
            <w:tcBorders>
              <w:top w:val="single" w:sz="8" w:space="0" w:color="auto"/>
              <w:left w:val="single" w:sz="8" w:space="0" w:color="auto"/>
              <w:bottom w:val="single" w:sz="8" w:space="0" w:color="auto"/>
              <w:right w:val="single" w:sz="8" w:space="0" w:color="auto"/>
            </w:tcBorders>
            <w:vAlign w:val="center"/>
          </w:tcPr>
          <w:p w14:paraId="2127E0C7" w14:textId="405295E1" w:rsidR="14DB9AD2" w:rsidRPr="00FB463B" w:rsidRDefault="14DB9AD2" w:rsidP="14DB9AD2">
            <w:pPr>
              <w:spacing w:after="160" w:line="257" w:lineRule="auto"/>
              <w:jc w:val="center"/>
              <w:rPr>
                <w:rFonts w:eastAsia="Arial"/>
              </w:rPr>
            </w:pPr>
            <w:r w:rsidRPr="00FB463B">
              <w:rPr>
                <w:rFonts w:eastAsia="Arial"/>
              </w:rPr>
              <w:t>-11.60</w:t>
            </w:r>
          </w:p>
        </w:tc>
      </w:tr>
      <w:tr w:rsidR="4E7F4BF9" w:rsidRPr="00FB463B" w14:paraId="296391C9"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25DAF545" w14:textId="1040049E" w:rsidR="14DB9AD2" w:rsidRPr="00FB463B" w:rsidRDefault="14DB9AD2" w:rsidP="14DB9AD2">
            <w:pPr>
              <w:spacing w:after="160" w:line="257" w:lineRule="auto"/>
              <w:jc w:val="center"/>
              <w:rPr>
                <w:rFonts w:eastAsia="Arial"/>
                <w:b/>
                <w:bCs/>
              </w:rPr>
            </w:pPr>
            <w:r w:rsidRPr="00FB463B">
              <w:rPr>
                <w:rFonts w:eastAsia="Arial"/>
                <w:b/>
                <w:bCs/>
              </w:rPr>
              <w:t>15</w:t>
            </w:r>
          </w:p>
        </w:tc>
        <w:tc>
          <w:tcPr>
            <w:tcW w:w="1896" w:type="dxa"/>
            <w:tcBorders>
              <w:top w:val="single" w:sz="8" w:space="0" w:color="auto"/>
              <w:left w:val="single" w:sz="8" w:space="0" w:color="auto"/>
              <w:bottom w:val="single" w:sz="8" w:space="0" w:color="auto"/>
              <w:right w:val="single" w:sz="8" w:space="0" w:color="auto"/>
            </w:tcBorders>
            <w:vAlign w:val="center"/>
          </w:tcPr>
          <w:p w14:paraId="386C9125" w14:textId="3B4CAC6F" w:rsidR="14DB9AD2" w:rsidRPr="00FB463B" w:rsidRDefault="14DB9AD2" w:rsidP="14DB9AD2">
            <w:pPr>
              <w:spacing w:after="160" w:line="257" w:lineRule="auto"/>
              <w:jc w:val="center"/>
              <w:rPr>
                <w:rFonts w:eastAsia="Arial"/>
              </w:rPr>
            </w:pPr>
            <w:r w:rsidRPr="00FB463B">
              <w:rPr>
                <w:rFonts w:eastAsia="Arial"/>
              </w:rPr>
              <w:t>-8.54</w:t>
            </w:r>
          </w:p>
        </w:tc>
      </w:tr>
      <w:tr w:rsidR="4E7F4BF9" w:rsidRPr="00FB463B" w14:paraId="2939D14F"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3E6BB89B" w14:textId="02FDE6B6" w:rsidR="14DB9AD2" w:rsidRPr="00FB463B" w:rsidRDefault="14DB9AD2" w:rsidP="14DB9AD2">
            <w:pPr>
              <w:spacing w:after="160" w:line="257" w:lineRule="auto"/>
              <w:jc w:val="center"/>
              <w:rPr>
                <w:rFonts w:eastAsia="Arial"/>
                <w:b/>
                <w:bCs/>
              </w:rPr>
            </w:pPr>
            <w:r w:rsidRPr="00FB463B">
              <w:rPr>
                <w:rFonts w:eastAsia="Arial"/>
                <w:b/>
                <w:bCs/>
              </w:rPr>
              <w:t>20</w:t>
            </w:r>
          </w:p>
        </w:tc>
        <w:tc>
          <w:tcPr>
            <w:tcW w:w="1896" w:type="dxa"/>
            <w:tcBorders>
              <w:top w:val="single" w:sz="8" w:space="0" w:color="auto"/>
              <w:left w:val="single" w:sz="8" w:space="0" w:color="auto"/>
              <w:bottom w:val="single" w:sz="8" w:space="0" w:color="auto"/>
              <w:right w:val="single" w:sz="8" w:space="0" w:color="auto"/>
            </w:tcBorders>
            <w:vAlign w:val="center"/>
          </w:tcPr>
          <w:p w14:paraId="6EBCCD14" w14:textId="077FF40C" w:rsidR="14DB9AD2" w:rsidRPr="00FB463B" w:rsidRDefault="14DB9AD2" w:rsidP="14DB9AD2">
            <w:pPr>
              <w:spacing w:after="160" w:line="257" w:lineRule="auto"/>
              <w:jc w:val="center"/>
              <w:rPr>
                <w:rFonts w:eastAsia="Arial"/>
              </w:rPr>
            </w:pPr>
            <w:r w:rsidRPr="00FB463B">
              <w:rPr>
                <w:rFonts w:eastAsia="Arial"/>
              </w:rPr>
              <w:t>-6.20</w:t>
            </w:r>
          </w:p>
        </w:tc>
      </w:tr>
      <w:tr w:rsidR="4E7F4BF9" w:rsidRPr="00FB463B" w14:paraId="4C04B499"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0C7B8180" w14:textId="61888844" w:rsidR="14DB9AD2" w:rsidRPr="00FB463B" w:rsidRDefault="14DB9AD2" w:rsidP="14DB9AD2">
            <w:pPr>
              <w:spacing w:after="160" w:line="257" w:lineRule="auto"/>
              <w:jc w:val="center"/>
              <w:rPr>
                <w:rFonts w:eastAsia="Arial"/>
                <w:b/>
                <w:bCs/>
              </w:rPr>
            </w:pPr>
            <w:r w:rsidRPr="00FB463B">
              <w:rPr>
                <w:rFonts w:eastAsia="Arial"/>
                <w:b/>
                <w:bCs/>
              </w:rPr>
              <w:t>25</w:t>
            </w:r>
          </w:p>
        </w:tc>
        <w:tc>
          <w:tcPr>
            <w:tcW w:w="1896" w:type="dxa"/>
            <w:tcBorders>
              <w:top w:val="single" w:sz="8" w:space="0" w:color="auto"/>
              <w:left w:val="single" w:sz="8" w:space="0" w:color="auto"/>
              <w:bottom w:val="single" w:sz="8" w:space="0" w:color="auto"/>
              <w:right w:val="single" w:sz="8" w:space="0" w:color="auto"/>
            </w:tcBorders>
            <w:vAlign w:val="center"/>
          </w:tcPr>
          <w:p w14:paraId="79AB0F4B" w14:textId="52C21C0B" w:rsidR="14DB9AD2" w:rsidRPr="00FB463B" w:rsidRDefault="14DB9AD2" w:rsidP="14DB9AD2">
            <w:pPr>
              <w:spacing w:after="160" w:line="257" w:lineRule="auto"/>
              <w:jc w:val="center"/>
              <w:rPr>
                <w:rFonts w:eastAsia="Arial"/>
              </w:rPr>
            </w:pPr>
            <w:r w:rsidRPr="00FB463B">
              <w:rPr>
                <w:rFonts w:eastAsia="Arial"/>
              </w:rPr>
              <w:t>-4.75</w:t>
            </w:r>
          </w:p>
        </w:tc>
      </w:tr>
      <w:tr w:rsidR="4E7F4BF9" w:rsidRPr="00FB463B" w14:paraId="6E4DAF17"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73068ED3" w14:textId="7A0FD68A" w:rsidR="14DB9AD2" w:rsidRPr="00FB463B" w:rsidRDefault="14DB9AD2" w:rsidP="14DB9AD2">
            <w:pPr>
              <w:spacing w:after="160" w:line="257" w:lineRule="auto"/>
              <w:jc w:val="center"/>
              <w:rPr>
                <w:rFonts w:eastAsia="Arial"/>
                <w:b/>
                <w:bCs/>
              </w:rPr>
            </w:pPr>
            <w:r w:rsidRPr="00FB463B">
              <w:rPr>
                <w:rFonts w:eastAsia="Arial"/>
                <w:b/>
                <w:bCs/>
              </w:rPr>
              <w:t>30</w:t>
            </w:r>
          </w:p>
        </w:tc>
        <w:tc>
          <w:tcPr>
            <w:tcW w:w="1896" w:type="dxa"/>
            <w:tcBorders>
              <w:top w:val="single" w:sz="8" w:space="0" w:color="auto"/>
              <w:left w:val="single" w:sz="8" w:space="0" w:color="auto"/>
              <w:bottom w:val="single" w:sz="8" w:space="0" w:color="auto"/>
              <w:right w:val="single" w:sz="8" w:space="0" w:color="auto"/>
            </w:tcBorders>
            <w:vAlign w:val="center"/>
          </w:tcPr>
          <w:p w14:paraId="6F2BB76D" w14:textId="7BBAA7DC" w:rsidR="14DB9AD2" w:rsidRPr="00FB463B" w:rsidRDefault="14DB9AD2" w:rsidP="14DB9AD2">
            <w:pPr>
              <w:spacing w:after="160" w:line="257" w:lineRule="auto"/>
              <w:jc w:val="center"/>
              <w:rPr>
                <w:rFonts w:eastAsia="Arial"/>
              </w:rPr>
            </w:pPr>
            <w:r w:rsidRPr="00FB463B">
              <w:rPr>
                <w:rFonts w:eastAsia="Arial"/>
              </w:rPr>
              <w:t>-3.54</w:t>
            </w:r>
          </w:p>
        </w:tc>
      </w:tr>
      <w:tr w:rsidR="4E7F4BF9" w:rsidRPr="00FB463B" w14:paraId="18929F76"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58D92F69" w14:textId="4CA665BE" w:rsidR="14DB9AD2" w:rsidRPr="00FB463B" w:rsidRDefault="14DB9AD2" w:rsidP="14DB9AD2">
            <w:pPr>
              <w:spacing w:after="160" w:line="257" w:lineRule="auto"/>
              <w:jc w:val="center"/>
              <w:rPr>
                <w:rFonts w:eastAsia="Arial"/>
                <w:b/>
                <w:bCs/>
              </w:rPr>
            </w:pPr>
            <w:r w:rsidRPr="00FB463B">
              <w:rPr>
                <w:rFonts w:eastAsia="Arial"/>
                <w:b/>
                <w:bCs/>
              </w:rPr>
              <w:t>35</w:t>
            </w:r>
          </w:p>
        </w:tc>
        <w:tc>
          <w:tcPr>
            <w:tcW w:w="1896" w:type="dxa"/>
            <w:tcBorders>
              <w:top w:val="single" w:sz="8" w:space="0" w:color="auto"/>
              <w:left w:val="single" w:sz="8" w:space="0" w:color="auto"/>
              <w:bottom w:val="single" w:sz="8" w:space="0" w:color="auto"/>
              <w:right w:val="single" w:sz="8" w:space="0" w:color="auto"/>
            </w:tcBorders>
            <w:vAlign w:val="center"/>
          </w:tcPr>
          <w:p w14:paraId="1BDD6944" w14:textId="42C6A945" w:rsidR="14DB9AD2" w:rsidRPr="00FB463B" w:rsidRDefault="14DB9AD2" w:rsidP="14DB9AD2">
            <w:pPr>
              <w:spacing w:after="160" w:line="257" w:lineRule="auto"/>
              <w:jc w:val="center"/>
              <w:rPr>
                <w:rFonts w:eastAsia="Arial"/>
              </w:rPr>
            </w:pPr>
            <w:r w:rsidRPr="00FB463B">
              <w:rPr>
                <w:rFonts w:eastAsia="Arial"/>
              </w:rPr>
              <w:t>-2.40</w:t>
            </w:r>
          </w:p>
        </w:tc>
      </w:tr>
      <w:tr w:rsidR="4E7F4BF9" w:rsidRPr="00FB463B" w14:paraId="1E1157D2"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62CD0657" w14:textId="35889E13" w:rsidR="14DB9AD2" w:rsidRPr="00FB463B" w:rsidRDefault="14DB9AD2" w:rsidP="14DB9AD2">
            <w:pPr>
              <w:spacing w:after="160" w:line="257" w:lineRule="auto"/>
              <w:jc w:val="center"/>
              <w:rPr>
                <w:rFonts w:eastAsia="Arial"/>
                <w:b/>
                <w:bCs/>
              </w:rPr>
            </w:pPr>
            <w:r w:rsidRPr="00FB463B">
              <w:rPr>
                <w:rFonts w:eastAsia="Arial"/>
                <w:b/>
                <w:bCs/>
              </w:rPr>
              <w:t>40</w:t>
            </w:r>
          </w:p>
        </w:tc>
        <w:tc>
          <w:tcPr>
            <w:tcW w:w="1896" w:type="dxa"/>
            <w:tcBorders>
              <w:top w:val="single" w:sz="8" w:space="0" w:color="auto"/>
              <w:left w:val="single" w:sz="8" w:space="0" w:color="auto"/>
              <w:bottom w:val="single" w:sz="8" w:space="0" w:color="auto"/>
              <w:right w:val="single" w:sz="8" w:space="0" w:color="auto"/>
            </w:tcBorders>
            <w:vAlign w:val="center"/>
          </w:tcPr>
          <w:p w14:paraId="7B3A26D5" w14:textId="5A5889C4" w:rsidR="14DB9AD2" w:rsidRPr="00FB463B" w:rsidRDefault="14DB9AD2" w:rsidP="14DB9AD2">
            <w:pPr>
              <w:spacing w:after="160" w:line="257" w:lineRule="auto"/>
              <w:jc w:val="center"/>
              <w:rPr>
                <w:rFonts w:eastAsia="Arial"/>
              </w:rPr>
            </w:pPr>
            <w:r w:rsidRPr="00FB463B">
              <w:rPr>
                <w:rFonts w:eastAsia="Arial"/>
              </w:rPr>
              <w:t>-1.42</w:t>
            </w:r>
          </w:p>
        </w:tc>
      </w:tr>
      <w:tr w:rsidR="4E7F4BF9" w:rsidRPr="00FB463B" w14:paraId="4C32F095"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516BEEF3" w14:textId="552514B2" w:rsidR="14DB9AD2" w:rsidRPr="00FB463B" w:rsidRDefault="14DB9AD2" w:rsidP="14DB9AD2">
            <w:pPr>
              <w:spacing w:after="160" w:line="257" w:lineRule="auto"/>
              <w:jc w:val="center"/>
              <w:rPr>
                <w:rFonts w:eastAsia="Arial"/>
                <w:b/>
                <w:bCs/>
              </w:rPr>
            </w:pPr>
            <w:r w:rsidRPr="00FB463B">
              <w:rPr>
                <w:rFonts w:eastAsia="Arial"/>
                <w:b/>
                <w:bCs/>
              </w:rPr>
              <w:t>45</w:t>
            </w:r>
          </w:p>
        </w:tc>
        <w:tc>
          <w:tcPr>
            <w:tcW w:w="1896" w:type="dxa"/>
            <w:tcBorders>
              <w:top w:val="single" w:sz="8" w:space="0" w:color="auto"/>
              <w:left w:val="single" w:sz="8" w:space="0" w:color="auto"/>
              <w:bottom w:val="single" w:sz="8" w:space="0" w:color="auto"/>
              <w:right w:val="single" w:sz="8" w:space="0" w:color="auto"/>
            </w:tcBorders>
            <w:vAlign w:val="center"/>
          </w:tcPr>
          <w:p w14:paraId="506833FD" w14:textId="11AA0BE8" w:rsidR="14DB9AD2" w:rsidRPr="00FB463B" w:rsidRDefault="14DB9AD2" w:rsidP="14DB9AD2">
            <w:pPr>
              <w:spacing w:after="160" w:line="257" w:lineRule="auto"/>
              <w:jc w:val="center"/>
              <w:rPr>
                <w:rFonts w:eastAsia="Arial"/>
              </w:rPr>
            </w:pPr>
            <w:r w:rsidRPr="00FB463B">
              <w:rPr>
                <w:rFonts w:eastAsia="Arial"/>
              </w:rPr>
              <w:t>-0.70</w:t>
            </w:r>
          </w:p>
        </w:tc>
      </w:tr>
      <w:tr w:rsidR="4E7F4BF9" w:rsidRPr="00FB463B" w14:paraId="756BD5E4"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3A50DF08" w14:textId="0A97C9AF" w:rsidR="14DB9AD2" w:rsidRPr="00FB463B" w:rsidRDefault="14DB9AD2" w:rsidP="14DB9AD2">
            <w:pPr>
              <w:spacing w:after="160" w:line="257" w:lineRule="auto"/>
              <w:jc w:val="center"/>
              <w:rPr>
                <w:rFonts w:eastAsia="Arial"/>
                <w:b/>
                <w:bCs/>
              </w:rPr>
            </w:pPr>
            <w:r w:rsidRPr="00FB463B">
              <w:rPr>
                <w:rFonts w:eastAsia="Arial"/>
                <w:b/>
                <w:bCs/>
              </w:rPr>
              <w:t>50</w:t>
            </w:r>
          </w:p>
        </w:tc>
        <w:tc>
          <w:tcPr>
            <w:tcW w:w="1896" w:type="dxa"/>
            <w:tcBorders>
              <w:top w:val="single" w:sz="8" w:space="0" w:color="auto"/>
              <w:left w:val="single" w:sz="8" w:space="0" w:color="auto"/>
              <w:bottom w:val="single" w:sz="8" w:space="0" w:color="auto"/>
              <w:right w:val="single" w:sz="8" w:space="0" w:color="auto"/>
            </w:tcBorders>
            <w:vAlign w:val="center"/>
          </w:tcPr>
          <w:p w14:paraId="7B36037A" w14:textId="439785BE" w:rsidR="14DB9AD2" w:rsidRPr="00FB463B" w:rsidRDefault="14DB9AD2" w:rsidP="14DB9AD2">
            <w:pPr>
              <w:spacing w:after="160" w:line="257" w:lineRule="auto"/>
              <w:jc w:val="center"/>
              <w:rPr>
                <w:rFonts w:eastAsia="Arial"/>
              </w:rPr>
            </w:pPr>
            <w:r w:rsidRPr="00FB463B">
              <w:rPr>
                <w:rFonts w:eastAsia="Arial"/>
              </w:rPr>
              <w:t>0.00</w:t>
            </w:r>
          </w:p>
        </w:tc>
      </w:tr>
      <w:tr w:rsidR="4E7F4BF9" w:rsidRPr="00FB463B" w14:paraId="0B8468AD"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74B4A7C1" w14:textId="7C20E9F4" w:rsidR="14DB9AD2" w:rsidRPr="00FB463B" w:rsidRDefault="14DB9AD2" w:rsidP="14DB9AD2">
            <w:pPr>
              <w:spacing w:after="160" w:line="257" w:lineRule="auto"/>
              <w:jc w:val="center"/>
              <w:rPr>
                <w:rFonts w:eastAsia="Arial"/>
                <w:b/>
                <w:bCs/>
              </w:rPr>
            </w:pPr>
            <w:r w:rsidRPr="00FB463B">
              <w:rPr>
                <w:rFonts w:eastAsia="Arial"/>
                <w:b/>
                <w:bCs/>
              </w:rPr>
              <w:t>55</w:t>
            </w:r>
          </w:p>
        </w:tc>
        <w:tc>
          <w:tcPr>
            <w:tcW w:w="1896" w:type="dxa"/>
            <w:tcBorders>
              <w:top w:val="single" w:sz="8" w:space="0" w:color="auto"/>
              <w:left w:val="single" w:sz="8" w:space="0" w:color="auto"/>
              <w:bottom w:val="single" w:sz="8" w:space="0" w:color="auto"/>
              <w:right w:val="single" w:sz="8" w:space="0" w:color="auto"/>
            </w:tcBorders>
            <w:vAlign w:val="center"/>
          </w:tcPr>
          <w:p w14:paraId="0F4CD91C" w14:textId="26F2A849" w:rsidR="14DB9AD2" w:rsidRPr="00FB463B" w:rsidRDefault="14DB9AD2" w:rsidP="14DB9AD2">
            <w:pPr>
              <w:spacing w:after="160" w:line="257" w:lineRule="auto"/>
              <w:jc w:val="center"/>
              <w:rPr>
                <w:rFonts w:eastAsia="Arial"/>
              </w:rPr>
            </w:pPr>
            <w:r w:rsidRPr="00FB463B">
              <w:rPr>
                <w:rFonts w:eastAsia="Arial"/>
              </w:rPr>
              <w:t>0.71</w:t>
            </w:r>
          </w:p>
        </w:tc>
      </w:tr>
      <w:tr w:rsidR="4E7F4BF9" w:rsidRPr="00FB463B" w14:paraId="0E2BF5E2"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3C2D8E6E" w14:textId="15BC3C5D" w:rsidR="14DB9AD2" w:rsidRPr="00FB463B" w:rsidRDefault="14DB9AD2" w:rsidP="14DB9AD2">
            <w:pPr>
              <w:spacing w:after="160" w:line="257" w:lineRule="auto"/>
              <w:jc w:val="center"/>
              <w:rPr>
                <w:rFonts w:eastAsia="Arial"/>
                <w:b/>
                <w:bCs/>
              </w:rPr>
            </w:pPr>
            <w:r w:rsidRPr="00FB463B">
              <w:rPr>
                <w:rFonts w:eastAsia="Arial"/>
                <w:b/>
                <w:bCs/>
              </w:rPr>
              <w:t>60</w:t>
            </w:r>
          </w:p>
        </w:tc>
        <w:tc>
          <w:tcPr>
            <w:tcW w:w="1896" w:type="dxa"/>
            <w:tcBorders>
              <w:top w:val="single" w:sz="8" w:space="0" w:color="auto"/>
              <w:left w:val="single" w:sz="8" w:space="0" w:color="auto"/>
              <w:bottom w:val="single" w:sz="8" w:space="0" w:color="auto"/>
              <w:right w:val="single" w:sz="8" w:space="0" w:color="auto"/>
            </w:tcBorders>
            <w:vAlign w:val="center"/>
          </w:tcPr>
          <w:p w14:paraId="21162F96" w14:textId="462EBF54" w:rsidR="14DB9AD2" w:rsidRPr="00FB463B" w:rsidRDefault="14DB9AD2" w:rsidP="14DB9AD2">
            <w:pPr>
              <w:spacing w:after="160" w:line="257" w:lineRule="auto"/>
              <w:jc w:val="center"/>
              <w:rPr>
                <w:rFonts w:eastAsia="Arial"/>
              </w:rPr>
            </w:pPr>
            <w:r w:rsidRPr="00FB463B">
              <w:rPr>
                <w:rFonts w:eastAsia="Arial"/>
              </w:rPr>
              <w:t>1.40</w:t>
            </w:r>
          </w:p>
        </w:tc>
      </w:tr>
      <w:tr w:rsidR="4E7F4BF9" w:rsidRPr="00FB463B" w14:paraId="2091544B"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4794DE40" w14:textId="5265C36F" w:rsidR="14DB9AD2" w:rsidRPr="00FB463B" w:rsidRDefault="14DB9AD2" w:rsidP="14DB9AD2">
            <w:pPr>
              <w:spacing w:after="160" w:line="257" w:lineRule="auto"/>
              <w:jc w:val="center"/>
              <w:rPr>
                <w:rFonts w:eastAsia="Arial"/>
                <w:b/>
                <w:bCs/>
              </w:rPr>
            </w:pPr>
            <w:r w:rsidRPr="00FB463B">
              <w:rPr>
                <w:rFonts w:eastAsia="Arial"/>
                <w:b/>
                <w:bCs/>
              </w:rPr>
              <w:t>65</w:t>
            </w:r>
          </w:p>
        </w:tc>
        <w:tc>
          <w:tcPr>
            <w:tcW w:w="1896" w:type="dxa"/>
            <w:tcBorders>
              <w:top w:val="single" w:sz="8" w:space="0" w:color="auto"/>
              <w:left w:val="single" w:sz="8" w:space="0" w:color="auto"/>
              <w:bottom w:val="single" w:sz="8" w:space="0" w:color="auto"/>
              <w:right w:val="single" w:sz="8" w:space="0" w:color="auto"/>
            </w:tcBorders>
            <w:vAlign w:val="center"/>
          </w:tcPr>
          <w:p w14:paraId="39EA924F" w14:textId="6569AE38" w:rsidR="14DB9AD2" w:rsidRPr="00FB463B" w:rsidRDefault="14DB9AD2" w:rsidP="14DB9AD2">
            <w:pPr>
              <w:spacing w:after="160" w:line="257" w:lineRule="auto"/>
              <w:jc w:val="center"/>
              <w:rPr>
                <w:rFonts w:eastAsia="Arial"/>
              </w:rPr>
            </w:pPr>
            <w:r w:rsidRPr="00FB463B">
              <w:rPr>
                <w:rFonts w:eastAsia="Arial"/>
              </w:rPr>
              <w:t>2.30</w:t>
            </w:r>
          </w:p>
        </w:tc>
      </w:tr>
      <w:tr w:rsidR="4E7F4BF9" w:rsidRPr="00FB463B" w14:paraId="439F7FDA"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74A61EE3" w14:textId="25074AD9" w:rsidR="14DB9AD2" w:rsidRPr="00FB463B" w:rsidRDefault="14DB9AD2" w:rsidP="14DB9AD2">
            <w:pPr>
              <w:spacing w:after="160" w:line="257" w:lineRule="auto"/>
              <w:jc w:val="center"/>
              <w:rPr>
                <w:rFonts w:eastAsia="Arial"/>
                <w:b/>
                <w:bCs/>
              </w:rPr>
            </w:pPr>
            <w:r w:rsidRPr="00FB463B">
              <w:rPr>
                <w:rFonts w:eastAsia="Arial"/>
                <w:b/>
                <w:bCs/>
              </w:rPr>
              <w:t>70</w:t>
            </w:r>
          </w:p>
        </w:tc>
        <w:tc>
          <w:tcPr>
            <w:tcW w:w="1896" w:type="dxa"/>
            <w:tcBorders>
              <w:top w:val="single" w:sz="8" w:space="0" w:color="auto"/>
              <w:left w:val="single" w:sz="8" w:space="0" w:color="auto"/>
              <w:bottom w:val="single" w:sz="8" w:space="0" w:color="auto"/>
              <w:right w:val="single" w:sz="8" w:space="0" w:color="auto"/>
            </w:tcBorders>
            <w:vAlign w:val="center"/>
          </w:tcPr>
          <w:p w14:paraId="3F9AB617" w14:textId="224D8ABD" w:rsidR="14DB9AD2" w:rsidRPr="00FB463B" w:rsidRDefault="14DB9AD2" w:rsidP="14DB9AD2">
            <w:pPr>
              <w:spacing w:after="160" w:line="257" w:lineRule="auto"/>
              <w:jc w:val="center"/>
              <w:rPr>
                <w:rFonts w:eastAsia="Arial"/>
              </w:rPr>
            </w:pPr>
            <w:r w:rsidRPr="00FB463B">
              <w:rPr>
                <w:rFonts w:eastAsia="Arial"/>
              </w:rPr>
              <w:t>3.20</w:t>
            </w:r>
          </w:p>
        </w:tc>
      </w:tr>
      <w:tr w:rsidR="4E7F4BF9" w:rsidRPr="00FB463B" w14:paraId="1DE216FE"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530E72AF" w14:textId="23CF3249" w:rsidR="14DB9AD2" w:rsidRPr="00FB463B" w:rsidRDefault="14DB9AD2" w:rsidP="14DB9AD2">
            <w:pPr>
              <w:spacing w:after="160" w:line="257" w:lineRule="auto"/>
              <w:jc w:val="center"/>
              <w:rPr>
                <w:rFonts w:eastAsia="Arial"/>
                <w:b/>
                <w:bCs/>
              </w:rPr>
            </w:pPr>
            <w:r w:rsidRPr="00FB463B">
              <w:rPr>
                <w:rFonts w:eastAsia="Arial"/>
                <w:b/>
                <w:bCs/>
              </w:rPr>
              <w:t>75</w:t>
            </w:r>
          </w:p>
        </w:tc>
        <w:tc>
          <w:tcPr>
            <w:tcW w:w="1896" w:type="dxa"/>
            <w:tcBorders>
              <w:top w:val="single" w:sz="8" w:space="0" w:color="auto"/>
              <w:left w:val="single" w:sz="8" w:space="0" w:color="auto"/>
              <w:bottom w:val="single" w:sz="8" w:space="0" w:color="auto"/>
              <w:right w:val="single" w:sz="8" w:space="0" w:color="auto"/>
            </w:tcBorders>
            <w:vAlign w:val="center"/>
          </w:tcPr>
          <w:p w14:paraId="4A902A69" w14:textId="13D039D2" w:rsidR="14DB9AD2" w:rsidRPr="00FB463B" w:rsidRDefault="14DB9AD2" w:rsidP="14DB9AD2">
            <w:pPr>
              <w:spacing w:after="160" w:line="257" w:lineRule="auto"/>
              <w:jc w:val="center"/>
              <w:rPr>
                <w:rFonts w:eastAsia="Arial"/>
              </w:rPr>
            </w:pPr>
            <w:r w:rsidRPr="00FB463B">
              <w:rPr>
                <w:rFonts w:eastAsia="Arial"/>
              </w:rPr>
              <w:t>4.70</w:t>
            </w:r>
          </w:p>
        </w:tc>
      </w:tr>
      <w:tr w:rsidR="4E7F4BF9" w:rsidRPr="00FB463B" w14:paraId="18E6668E"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4EE8B718" w14:textId="5EC8F0FC" w:rsidR="14DB9AD2" w:rsidRPr="00FB463B" w:rsidRDefault="14DB9AD2" w:rsidP="14DB9AD2">
            <w:pPr>
              <w:spacing w:after="160" w:line="257" w:lineRule="auto"/>
              <w:jc w:val="center"/>
              <w:rPr>
                <w:rFonts w:eastAsia="Arial"/>
                <w:b/>
                <w:bCs/>
              </w:rPr>
            </w:pPr>
            <w:r w:rsidRPr="00FB463B">
              <w:rPr>
                <w:rFonts w:eastAsia="Arial"/>
                <w:b/>
                <w:bCs/>
              </w:rPr>
              <w:t>80</w:t>
            </w:r>
          </w:p>
        </w:tc>
        <w:tc>
          <w:tcPr>
            <w:tcW w:w="1896" w:type="dxa"/>
            <w:tcBorders>
              <w:top w:val="single" w:sz="8" w:space="0" w:color="auto"/>
              <w:left w:val="single" w:sz="8" w:space="0" w:color="auto"/>
              <w:bottom w:val="single" w:sz="8" w:space="0" w:color="auto"/>
              <w:right w:val="single" w:sz="8" w:space="0" w:color="auto"/>
            </w:tcBorders>
            <w:vAlign w:val="center"/>
          </w:tcPr>
          <w:p w14:paraId="3A346DB5" w14:textId="3646F9DE" w:rsidR="14DB9AD2" w:rsidRPr="00FB463B" w:rsidRDefault="005048C8" w:rsidP="14DB9AD2">
            <w:pPr>
              <w:spacing w:after="160" w:line="257" w:lineRule="auto"/>
              <w:jc w:val="center"/>
              <w:rPr>
                <w:rFonts w:eastAsia="Arial"/>
              </w:rPr>
            </w:pPr>
            <w:r w:rsidRPr="00FB463B">
              <w:rPr>
                <w:rFonts w:eastAsia="Arial"/>
              </w:rPr>
              <w:t>.</w:t>
            </w:r>
            <w:r w:rsidR="14DB9AD2" w:rsidRPr="00FB463B">
              <w:rPr>
                <w:rFonts w:eastAsia="Arial"/>
              </w:rPr>
              <w:t>5.90</w:t>
            </w:r>
          </w:p>
        </w:tc>
      </w:tr>
      <w:tr w:rsidR="4E7F4BF9" w:rsidRPr="00FB463B" w14:paraId="3ECA6F78"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524BDB62" w14:textId="5DD1E4E9" w:rsidR="14DB9AD2" w:rsidRPr="00FB463B" w:rsidRDefault="14DB9AD2" w:rsidP="14DB9AD2">
            <w:pPr>
              <w:spacing w:after="160" w:line="257" w:lineRule="auto"/>
              <w:jc w:val="center"/>
              <w:rPr>
                <w:rFonts w:eastAsia="Arial"/>
                <w:b/>
                <w:bCs/>
              </w:rPr>
            </w:pPr>
            <w:r w:rsidRPr="00FB463B">
              <w:rPr>
                <w:rFonts w:eastAsia="Arial"/>
                <w:b/>
                <w:bCs/>
              </w:rPr>
              <w:t>85</w:t>
            </w:r>
          </w:p>
        </w:tc>
        <w:tc>
          <w:tcPr>
            <w:tcW w:w="1896" w:type="dxa"/>
            <w:tcBorders>
              <w:top w:val="single" w:sz="8" w:space="0" w:color="auto"/>
              <w:left w:val="single" w:sz="8" w:space="0" w:color="auto"/>
              <w:bottom w:val="single" w:sz="8" w:space="0" w:color="auto"/>
              <w:right w:val="single" w:sz="8" w:space="0" w:color="auto"/>
            </w:tcBorders>
            <w:vAlign w:val="center"/>
          </w:tcPr>
          <w:p w14:paraId="19BCFEF9" w14:textId="5BEC858D" w:rsidR="14DB9AD2" w:rsidRPr="00FB463B" w:rsidRDefault="14DB9AD2" w:rsidP="14DB9AD2">
            <w:pPr>
              <w:spacing w:after="160" w:line="257" w:lineRule="auto"/>
              <w:jc w:val="center"/>
              <w:rPr>
                <w:rFonts w:eastAsia="Arial"/>
              </w:rPr>
            </w:pPr>
            <w:r w:rsidRPr="00FB463B">
              <w:rPr>
                <w:rFonts w:eastAsia="Arial"/>
              </w:rPr>
              <w:t>8.40</w:t>
            </w:r>
          </w:p>
        </w:tc>
      </w:tr>
      <w:tr w:rsidR="4E7F4BF9" w:rsidRPr="00FB463B" w14:paraId="4A6B72D8"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2681FA19" w14:textId="5847B807" w:rsidR="14DB9AD2" w:rsidRPr="00FB463B" w:rsidRDefault="14DB9AD2" w:rsidP="14DB9AD2">
            <w:pPr>
              <w:spacing w:after="160" w:line="257" w:lineRule="auto"/>
              <w:jc w:val="center"/>
              <w:rPr>
                <w:rFonts w:eastAsia="Arial"/>
                <w:b/>
                <w:bCs/>
              </w:rPr>
            </w:pPr>
            <w:r w:rsidRPr="00FB463B">
              <w:rPr>
                <w:rFonts w:eastAsia="Arial"/>
                <w:b/>
                <w:bCs/>
              </w:rPr>
              <w:t>90</w:t>
            </w:r>
          </w:p>
        </w:tc>
        <w:tc>
          <w:tcPr>
            <w:tcW w:w="1896" w:type="dxa"/>
            <w:tcBorders>
              <w:top w:val="single" w:sz="8" w:space="0" w:color="auto"/>
              <w:left w:val="single" w:sz="8" w:space="0" w:color="auto"/>
              <w:bottom w:val="single" w:sz="8" w:space="0" w:color="auto"/>
              <w:right w:val="single" w:sz="8" w:space="0" w:color="auto"/>
            </w:tcBorders>
            <w:vAlign w:val="center"/>
          </w:tcPr>
          <w:p w14:paraId="4C2916E6" w14:textId="1BCC4C24" w:rsidR="14DB9AD2" w:rsidRPr="00FB463B" w:rsidRDefault="14DB9AD2" w:rsidP="14DB9AD2">
            <w:pPr>
              <w:spacing w:after="160" w:line="257" w:lineRule="auto"/>
              <w:jc w:val="center"/>
              <w:rPr>
                <w:rFonts w:eastAsia="Arial"/>
              </w:rPr>
            </w:pPr>
            <w:r w:rsidRPr="00FB463B">
              <w:rPr>
                <w:rFonts w:eastAsia="Arial"/>
              </w:rPr>
              <w:t>12.00</w:t>
            </w:r>
          </w:p>
        </w:tc>
      </w:tr>
      <w:tr w:rsidR="4E7F4BF9" w:rsidRPr="00FB463B" w14:paraId="50A8E748" w14:textId="77777777" w:rsidTr="007871ED">
        <w:trPr>
          <w:cantSplit/>
          <w:trHeight w:val="300"/>
        </w:trPr>
        <w:tc>
          <w:tcPr>
            <w:tcW w:w="1434" w:type="dxa"/>
            <w:tcBorders>
              <w:top w:val="single" w:sz="8" w:space="0" w:color="auto"/>
              <w:left w:val="single" w:sz="8" w:space="0" w:color="auto"/>
              <w:bottom w:val="single" w:sz="8" w:space="0" w:color="auto"/>
              <w:right w:val="single" w:sz="8" w:space="0" w:color="auto"/>
            </w:tcBorders>
            <w:vAlign w:val="center"/>
          </w:tcPr>
          <w:p w14:paraId="10739D63" w14:textId="526BC846" w:rsidR="14DB9AD2" w:rsidRPr="00FB463B" w:rsidRDefault="14DB9AD2" w:rsidP="14DB9AD2">
            <w:pPr>
              <w:spacing w:after="160" w:line="257" w:lineRule="auto"/>
              <w:jc w:val="center"/>
              <w:rPr>
                <w:rFonts w:eastAsia="Arial"/>
                <w:b/>
                <w:bCs/>
              </w:rPr>
            </w:pPr>
            <w:r w:rsidRPr="00FB463B">
              <w:rPr>
                <w:rFonts w:eastAsia="Arial"/>
                <w:b/>
                <w:bCs/>
              </w:rPr>
              <w:t>95</w:t>
            </w:r>
          </w:p>
        </w:tc>
        <w:tc>
          <w:tcPr>
            <w:tcW w:w="1896" w:type="dxa"/>
            <w:tcBorders>
              <w:top w:val="single" w:sz="8" w:space="0" w:color="auto"/>
              <w:left w:val="single" w:sz="8" w:space="0" w:color="auto"/>
              <w:bottom w:val="single" w:sz="8" w:space="0" w:color="auto"/>
              <w:right w:val="single" w:sz="8" w:space="0" w:color="auto"/>
            </w:tcBorders>
            <w:vAlign w:val="center"/>
          </w:tcPr>
          <w:p w14:paraId="548291A0" w14:textId="500B3228" w:rsidR="14DB9AD2" w:rsidRPr="00FB463B" w:rsidRDefault="14DB9AD2" w:rsidP="14DB9AD2">
            <w:pPr>
              <w:spacing w:after="160" w:line="257" w:lineRule="auto"/>
              <w:jc w:val="center"/>
              <w:rPr>
                <w:rFonts w:eastAsia="Arial"/>
              </w:rPr>
            </w:pPr>
            <w:r w:rsidRPr="00FB463B">
              <w:rPr>
                <w:rFonts w:eastAsia="Arial"/>
              </w:rPr>
              <w:t>18.30</w:t>
            </w:r>
          </w:p>
        </w:tc>
      </w:tr>
    </w:tbl>
    <w:p w14:paraId="336F2233" w14:textId="6DD73331" w:rsidR="4E7F4BF9" w:rsidRPr="00FB463B" w:rsidRDefault="4E7F4BF9" w:rsidP="4E7F4BF9">
      <w:pPr>
        <w:spacing w:after="160" w:line="257" w:lineRule="auto"/>
        <w:rPr>
          <w:rFonts w:ascii="Calibri" w:eastAsia="Calibri" w:hAnsi="Calibri" w:cs="Calibri"/>
          <w:sz w:val="22"/>
          <w:szCs w:val="22"/>
        </w:rPr>
      </w:pPr>
    </w:p>
    <w:p w14:paraId="657F080A" w14:textId="130484BB" w:rsidR="00AA3ADC" w:rsidRPr="00FB463B" w:rsidRDefault="00AA3ADC" w:rsidP="00AA3ADC">
      <w:pPr>
        <w:spacing w:after="240"/>
        <w:rPr>
          <w:rFonts w:eastAsia="Arial" w:cs="Arial"/>
        </w:rPr>
      </w:pPr>
      <w:r w:rsidRPr="00FB463B">
        <w:rPr>
          <w:rFonts w:eastAsia="Arial" w:cs="Arial"/>
        </w:rPr>
        <w:t>Based on Statewide LEA Distribution</w:t>
      </w:r>
      <w:r w:rsidR="006B6A45" w:rsidRPr="00FB463B">
        <w:rPr>
          <w:rFonts w:eastAsia="Arial" w:cs="Arial"/>
        </w:rPr>
        <w:t xml:space="preserve"> outlined in Table 1, the </w:t>
      </w:r>
      <w:r w:rsidR="7159AD60" w:rsidRPr="00FB463B">
        <w:rPr>
          <w:rFonts w:eastAsia="Arial" w:cs="Arial"/>
        </w:rPr>
        <w:t>SBE approved</w:t>
      </w:r>
      <w:r w:rsidR="00C13951" w:rsidRPr="00FB463B">
        <w:rPr>
          <w:rFonts w:eastAsia="Arial" w:cs="Arial"/>
        </w:rPr>
        <w:t xml:space="preserve"> the ELPI Change cut </w:t>
      </w:r>
      <w:r w:rsidR="7D4130AB" w:rsidRPr="00FB463B">
        <w:rPr>
          <w:rFonts w:eastAsia="Arial" w:cs="Arial"/>
        </w:rPr>
        <w:t>points</w:t>
      </w:r>
      <w:r w:rsidR="00C13951" w:rsidRPr="00FB463B">
        <w:rPr>
          <w:rFonts w:eastAsia="Arial" w:cs="Arial"/>
        </w:rPr>
        <w:t xml:space="preserve"> </w:t>
      </w:r>
      <w:r w:rsidR="00076AED" w:rsidRPr="00FB463B">
        <w:rPr>
          <w:rFonts w:eastAsia="Arial" w:cs="Arial"/>
        </w:rPr>
        <w:t>a</w:t>
      </w:r>
      <w:r w:rsidR="0051770C" w:rsidRPr="00FB463B">
        <w:rPr>
          <w:rFonts w:eastAsia="Arial" w:cs="Arial"/>
        </w:rPr>
        <w:t>s outlined in Table 2.</w:t>
      </w:r>
    </w:p>
    <w:p w14:paraId="7924508D" w14:textId="586350D3" w:rsidR="4EACC77D" w:rsidRPr="00FB463B" w:rsidRDefault="2EDFB302" w:rsidP="4E7F4BF9">
      <w:pPr>
        <w:spacing w:after="160" w:line="257" w:lineRule="auto"/>
        <w:rPr>
          <w:rFonts w:eastAsia="Arial" w:cs="Arial"/>
        </w:rPr>
      </w:pPr>
      <w:r w:rsidRPr="00FB463B">
        <w:rPr>
          <w:rFonts w:eastAsia="Arial" w:cs="Arial"/>
          <w:b/>
          <w:bCs/>
        </w:rPr>
        <w:lastRenderedPageBreak/>
        <w:t>Table</w:t>
      </w:r>
      <w:r w:rsidR="005C29E1" w:rsidRPr="00FB463B">
        <w:rPr>
          <w:rFonts w:eastAsia="Arial" w:cs="Arial"/>
          <w:b/>
          <w:bCs/>
        </w:rPr>
        <w:t xml:space="preserve"> </w:t>
      </w:r>
      <w:r w:rsidR="7D0D21B1" w:rsidRPr="00FB463B">
        <w:rPr>
          <w:rFonts w:eastAsia="Arial" w:cs="Arial"/>
          <w:b/>
          <w:bCs/>
        </w:rPr>
        <w:t>2</w:t>
      </w:r>
      <w:r w:rsidRPr="00FB463B">
        <w:rPr>
          <w:rFonts w:eastAsia="Arial" w:cs="Arial"/>
          <w:b/>
          <w:bCs/>
        </w:rPr>
        <w:t>:</w:t>
      </w:r>
      <w:r w:rsidRPr="00FB463B">
        <w:rPr>
          <w:rFonts w:eastAsia="Arial" w:cs="Arial"/>
        </w:rPr>
        <w:t xml:space="preserve"> </w:t>
      </w:r>
      <w:r w:rsidR="00FD58B6" w:rsidRPr="00FB463B">
        <w:rPr>
          <w:rFonts w:eastAsia="Arial" w:cs="Arial"/>
          <w:b/>
          <w:bCs/>
        </w:rPr>
        <w:t xml:space="preserve">2017 </w:t>
      </w:r>
      <w:r w:rsidR="3AFAFC51" w:rsidRPr="00FB463B">
        <w:rPr>
          <w:rFonts w:eastAsia="Arial" w:cs="Arial"/>
          <w:b/>
          <w:bCs/>
        </w:rPr>
        <w:t xml:space="preserve">Change </w:t>
      </w:r>
      <w:r w:rsidR="0059036C" w:rsidRPr="00FB463B">
        <w:rPr>
          <w:rFonts w:eastAsia="Arial" w:cs="Arial"/>
          <w:b/>
          <w:bCs/>
        </w:rPr>
        <w:t>C</w:t>
      </w:r>
      <w:r w:rsidR="3AFAFC51" w:rsidRPr="00FB463B">
        <w:rPr>
          <w:rFonts w:eastAsia="Arial" w:cs="Arial"/>
          <w:b/>
          <w:bCs/>
        </w:rPr>
        <w:t xml:space="preserve">ut </w:t>
      </w:r>
      <w:r w:rsidR="0059036C" w:rsidRPr="00FB463B">
        <w:rPr>
          <w:rFonts w:eastAsia="Arial" w:cs="Arial"/>
          <w:b/>
          <w:bCs/>
        </w:rPr>
        <w:t>P</w:t>
      </w:r>
      <w:r w:rsidR="613DA2EC" w:rsidRPr="00FB463B">
        <w:rPr>
          <w:rFonts w:eastAsia="Arial" w:cs="Arial"/>
          <w:b/>
          <w:bCs/>
        </w:rPr>
        <w:t>oints</w:t>
      </w:r>
      <w:r w:rsidR="3AFAFC51" w:rsidRPr="00FB463B">
        <w:rPr>
          <w:rFonts w:eastAsia="Arial" w:cs="Arial"/>
          <w:b/>
          <w:bCs/>
        </w:rPr>
        <w:t xml:space="preserve"> </w:t>
      </w:r>
      <w:r w:rsidR="0059036C" w:rsidRPr="00FB463B">
        <w:rPr>
          <w:rFonts w:eastAsia="Arial" w:cs="Arial"/>
          <w:b/>
          <w:bCs/>
        </w:rPr>
        <w:t>A</w:t>
      </w:r>
      <w:r w:rsidR="3AFAFC51" w:rsidRPr="00FB463B">
        <w:rPr>
          <w:rFonts w:eastAsia="Arial" w:cs="Arial"/>
          <w:b/>
          <w:bCs/>
        </w:rPr>
        <w:t>pproved by the SBE</w:t>
      </w:r>
    </w:p>
    <w:tbl>
      <w:tblPr>
        <w:tblStyle w:val="TableGrid"/>
        <w:tblW w:w="0" w:type="auto"/>
        <w:tblLayout w:type="fixed"/>
        <w:tblLook w:val="04A0" w:firstRow="1" w:lastRow="0" w:firstColumn="1" w:lastColumn="0" w:noHBand="0" w:noVBand="1"/>
        <w:tblCaption w:val="Table 2: Change Cut Points Approved by the SBE in 2017"/>
        <w:tblDescription w:val="Change Cut Points Approved by the SBE in 2017"/>
      </w:tblPr>
      <w:tblGrid>
        <w:gridCol w:w="3081"/>
        <w:gridCol w:w="6279"/>
      </w:tblGrid>
      <w:tr w:rsidR="4E7F4BF9" w:rsidRPr="00FB463B" w14:paraId="61DC5A1D" w14:textId="77777777" w:rsidTr="007871ED">
        <w:trPr>
          <w:cantSplit/>
          <w:trHeight w:val="210"/>
          <w:tblHeader/>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3F5165" w14:textId="6A987E63" w:rsidR="4E7F4BF9" w:rsidRPr="00FB463B" w:rsidRDefault="4E7F4BF9" w:rsidP="00C06400">
            <w:pPr>
              <w:jc w:val="center"/>
            </w:pPr>
            <w:r w:rsidRPr="00FB463B">
              <w:rPr>
                <w:rFonts w:eastAsia="Arial" w:cs="Arial"/>
                <w:b/>
                <w:bCs/>
              </w:rPr>
              <w:t>Change Level</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AC3BA4" w14:textId="4361CA76" w:rsidR="4E7F4BF9" w:rsidRPr="00FB463B" w:rsidRDefault="4E7F4BF9" w:rsidP="00C06400">
            <w:pPr>
              <w:jc w:val="center"/>
            </w:pPr>
            <w:r w:rsidRPr="00FB463B">
              <w:rPr>
                <w:rFonts w:eastAsia="Arial" w:cs="Arial"/>
                <w:b/>
                <w:bCs/>
              </w:rPr>
              <w:t xml:space="preserve">Change Cut Score </w:t>
            </w:r>
          </w:p>
        </w:tc>
      </w:tr>
      <w:tr w:rsidR="4E7F4BF9" w:rsidRPr="00FB463B" w14:paraId="2A16EC18" w14:textId="77777777" w:rsidTr="007871ED">
        <w:trPr>
          <w:cantSplit/>
          <w:trHeight w:val="195"/>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3E9A5829" w14:textId="7735951F" w:rsidR="4E7F4BF9" w:rsidRPr="00FB463B" w:rsidRDefault="4E7F4BF9" w:rsidP="00C06400">
            <w:pPr>
              <w:jc w:val="center"/>
            </w:pPr>
            <w:r w:rsidRPr="00FB463B">
              <w:rPr>
                <w:rFonts w:eastAsia="Arial" w:cs="Arial"/>
              </w:rPr>
              <w:t>Declined Significantly</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2192C9A8" w14:textId="2F64B727" w:rsidR="4E7F4BF9" w:rsidRPr="00FB463B" w:rsidRDefault="4E7F4BF9" w:rsidP="00C06400">
            <w:pPr>
              <w:jc w:val="center"/>
            </w:pPr>
            <w:r w:rsidRPr="00FB463B">
              <w:rPr>
                <w:rFonts w:eastAsia="Arial" w:cs="Arial"/>
              </w:rPr>
              <w:t>ELPI status declined by more than 10%.</w:t>
            </w:r>
          </w:p>
        </w:tc>
      </w:tr>
      <w:tr w:rsidR="4E7F4BF9" w:rsidRPr="00FB463B" w14:paraId="5B2F0922" w14:textId="77777777" w:rsidTr="007871ED">
        <w:trPr>
          <w:cantSplit/>
          <w:trHeight w:val="165"/>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4EE4F7DC" w14:textId="5DA6BB73" w:rsidR="4E7F4BF9" w:rsidRPr="00FB463B" w:rsidRDefault="4E7F4BF9" w:rsidP="00C06400">
            <w:pPr>
              <w:jc w:val="center"/>
            </w:pPr>
            <w:r w:rsidRPr="00FB463B">
              <w:rPr>
                <w:rFonts w:eastAsia="Arial" w:cs="Arial"/>
              </w:rPr>
              <w:t>Declined</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7600EEDC" w14:textId="45D31601" w:rsidR="4E7F4BF9" w:rsidRPr="00FB463B" w:rsidRDefault="4E7F4BF9" w:rsidP="00C06400">
            <w:pPr>
              <w:jc w:val="center"/>
            </w:pPr>
            <w:r w:rsidRPr="00FB463B">
              <w:rPr>
                <w:rFonts w:eastAsia="Arial" w:cs="Arial"/>
              </w:rPr>
              <w:t>ELPI status declined 1.5% to 10%.</w:t>
            </w:r>
          </w:p>
        </w:tc>
      </w:tr>
      <w:tr w:rsidR="4E7F4BF9" w:rsidRPr="00FB463B" w14:paraId="44262E6A" w14:textId="77777777" w:rsidTr="007871ED">
        <w:trPr>
          <w:cantSplit/>
          <w:trHeight w:val="165"/>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1A82D33E" w14:textId="607207E9" w:rsidR="4E7F4BF9" w:rsidRPr="00FB463B" w:rsidRDefault="4E7F4BF9" w:rsidP="00C06400">
            <w:pPr>
              <w:jc w:val="center"/>
            </w:pPr>
            <w:r w:rsidRPr="00FB463B">
              <w:rPr>
                <w:rFonts w:eastAsia="Arial" w:cs="Arial"/>
              </w:rPr>
              <w:t>Maintained</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40C2DFCC" w14:textId="4DFFFF1A" w:rsidR="4E7F4BF9" w:rsidRPr="00FB463B" w:rsidRDefault="4E7F4BF9" w:rsidP="00C06400">
            <w:pPr>
              <w:jc w:val="center"/>
            </w:pPr>
            <w:r w:rsidRPr="00FB463B">
              <w:rPr>
                <w:rFonts w:eastAsia="Arial" w:cs="Arial"/>
              </w:rPr>
              <w:t>ELPI status declined or increased by less than 1.5%.</w:t>
            </w:r>
          </w:p>
        </w:tc>
      </w:tr>
      <w:tr w:rsidR="4E7F4BF9" w:rsidRPr="00FB463B" w14:paraId="52F8539C" w14:textId="77777777" w:rsidTr="007871ED">
        <w:trPr>
          <w:cantSplit/>
          <w:trHeight w:val="180"/>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795A1282" w14:textId="11A66D62" w:rsidR="4E7F4BF9" w:rsidRPr="00FB463B" w:rsidRDefault="4E7F4BF9" w:rsidP="00C06400">
            <w:pPr>
              <w:jc w:val="center"/>
            </w:pPr>
            <w:r w:rsidRPr="00FB463B">
              <w:rPr>
                <w:rFonts w:eastAsia="Arial" w:cs="Arial"/>
              </w:rPr>
              <w:t>Increased</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6EB1E61B" w14:textId="70EA6102" w:rsidR="4E7F4BF9" w:rsidRPr="00FB463B" w:rsidRDefault="4E7F4BF9" w:rsidP="00C06400">
            <w:pPr>
              <w:jc w:val="center"/>
            </w:pPr>
            <w:r w:rsidRPr="00FB463B">
              <w:rPr>
                <w:rFonts w:eastAsia="Arial" w:cs="Arial"/>
              </w:rPr>
              <w:t>ELPI status increased by 1.5% to less than 10%.</w:t>
            </w:r>
          </w:p>
        </w:tc>
      </w:tr>
      <w:tr w:rsidR="4E7F4BF9" w:rsidRPr="00FB463B" w14:paraId="6F7336F3" w14:textId="77777777" w:rsidTr="007871ED">
        <w:trPr>
          <w:cantSplit/>
          <w:trHeight w:val="142"/>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362033F2" w14:textId="38BF061E" w:rsidR="4E7F4BF9" w:rsidRPr="00FB463B" w:rsidRDefault="4E7F4BF9" w:rsidP="00C06400">
            <w:pPr>
              <w:jc w:val="center"/>
            </w:pPr>
            <w:r w:rsidRPr="00FB463B">
              <w:rPr>
                <w:rFonts w:eastAsia="Arial" w:cs="Arial"/>
              </w:rPr>
              <w:t>Increased Significantly</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37E7E182" w14:textId="696D76FD" w:rsidR="4E7F4BF9" w:rsidRPr="00FB463B" w:rsidRDefault="4E7F4BF9" w:rsidP="00C06400">
            <w:pPr>
              <w:jc w:val="center"/>
            </w:pPr>
            <w:r w:rsidRPr="00FB463B">
              <w:rPr>
                <w:rFonts w:eastAsia="Arial" w:cs="Arial"/>
              </w:rPr>
              <w:t>ELPI status increased by 10% or more.</w:t>
            </w:r>
          </w:p>
        </w:tc>
      </w:tr>
    </w:tbl>
    <w:p w14:paraId="54BF9747" w14:textId="2E462A99" w:rsidR="003665DE" w:rsidRPr="00FB463B" w:rsidRDefault="003B4338" w:rsidP="00C06400">
      <w:pPr>
        <w:spacing w:before="240" w:after="240"/>
        <w:rPr>
          <w:rFonts w:eastAsia="Arial" w:cs="Arial"/>
        </w:rPr>
      </w:pPr>
      <w:r w:rsidRPr="00FB463B">
        <w:rPr>
          <w:rFonts w:eastAsia="Arial" w:cs="Arial"/>
        </w:rPr>
        <w:t>At the September 2017 SBE meeting (</w:t>
      </w:r>
      <w:hyperlink r:id="rId141" w:tooltip="September 2017 SBE meeting">
        <w:r w:rsidR="00735F71" w:rsidRPr="00FB463B">
          <w:rPr>
            <w:rStyle w:val="Hyperlink"/>
            <w:rFonts w:eastAsia="Arial" w:cs="Arial"/>
          </w:rPr>
          <w:t>https://www.cde.ca.gov/be/ag/ag/yr17/documents/sep17item02.doc</w:t>
        </w:r>
      </w:hyperlink>
      <w:r w:rsidR="00735F71" w:rsidRPr="00FB463B">
        <w:rPr>
          <w:rFonts w:eastAsia="Arial" w:cs="Arial"/>
        </w:rPr>
        <w:t>)</w:t>
      </w:r>
      <w:r w:rsidRPr="00FB463B">
        <w:rPr>
          <w:rFonts w:eastAsia="Arial" w:cs="Arial"/>
        </w:rPr>
        <w:t xml:space="preserve">, the SBE approved </w:t>
      </w:r>
      <w:r w:rsidR="25E8E990" w:rsidRPr="00FB463B">
        <w:rPr>
          <w:rFonts w:eastAsia="Arial" w:cs="Arial"/>
        </w:rPr>
        <w:t xml:space="preserve">an additional </w:t>
      </w:r>
      <w:r w:rsidR="00053C6E" w:rsidRPr="00FB463B">
        <w:rPr>
          <w:rFonts w:eastAsia="Arial" w:cs="Arial"/>
        </w:rPr>
        <w:t xml:space="preserve">bonus </w:t>
      </w:r>
      <w:r w:rsidR="00F40F2A" w:rsidRPr="00FB463B">
        <w:rPr>
          <w:rFonts w:eastAsia="Arial" w:cs="Arial"/>
        </w:rPr>
        <w:t>criteria</w:t>
      </w:r>
      <w:r w:rsidR="289895AD" w:rsidRPr="00FB463B">
        <w:rPr>
          <w:rFonts w:eastAsia="Arial" w:cs="Arial"/>
        </w:rPr>
        <w:t xml:space="preserve"> to the calculation methodology for </w:t>
      </w:r>
      <w:r w:rsidR="00053C6E" w:rsidRPr="00FB463B">
        <w:rPr>
          <w:rFonts w:eastAsia="Arial" w:cs="Arial"/>
        </w:rPr>
        <w:t xml:space="preserve">schools and LEAs moving LTEL students </w:t>
      </w:r>
      <w:r w:rsidR="001D1515" w:rsidRPr="00FB463B">
        <w:rPr>
          <w:rFonts w:eastAsia="Arial" w:cs="Arial"/>
        </w:rPr>
        <w:t xml:space="preserve">towards ELP. </w:t>
      </w:r>
      <w:r w:rsidR="7DDBF34A" w:rsidRPr="00FB463B">
        <w:rPr>
          <w:rFonts w:eastAsia="Arial" w:cs="Arial"/>
        </w:rPr>
        <w:t>T</w:t>
      </w:r>
      <w:r w:rsidR="00B21E65" w:rsidRPr="00FB463B">
        <w:rPr>
          <w:rFonts w:eastAsia="Arial" w:cs="Arial"/>
        </w:rPr>
        <w:t>he SBE</w:t>
      </w:r>
      <w:r w:rsidR="00A20DB9" w:rsidRPr="00FB463B">
        <w:rPr>
          <w:rFonts w:eastAsia="Arial" w:cs="Arial"/>
        </w:rPr>
        <w:t xml:space="preserve"> approved </w:t>
      </w:r>
      <w:r w:rsidR="005E31BD" w:rsidRPr="00FB463B">
        <w:rPr>
          <w:rFonts w:eastAsia="Arial" w:cs="Arial"/>
        </w:rPr>
        <w:t xml:space="preserve">revisions to </w:t>
      </w:r>
      <w:proofErr w:type="gramStart"/>
      <w:r w:rsidR="005E31BD" w:rsidRPr="00FB463B">
        <w:rPr>
          <w:rFonts w:eastAsia="Arial" w:cs="Arial"/>
        </w:rPr>
        <w:t xml:space="preserve">the </w:t>
      </w:r>
      <w:r w:rsidR="00174A27" w:rsidRPr="00FB463B">
        <w:rPr>
          <w:rFonts w:eastAsia="Arial" w:cs="Arial"/>
        </w:rPr>
        <w:t>Every</w:t>
      </w:r>
      <w:proofErr w:type="gramEnd"/>
      <w:r w:rsidR="00174A27" w:rsidRPr="00FB463B">
        <w:rPr>
          <w:rFonts w:eastAsia="Arial" w:cs="Arial"/>
        </w:rPr>
        <w:t xml:space="preserve"> Student Succeeds Act (ESSA) </w:t>
      </w:r>
      <w:r w:rsidR="005E31BD" w:rsidRPr="00FB463B">
        <w:rPr>
          <w:rFonts w:eastAsia="Arial" w:cs="Arial"/>
        </w:rPr>
        <w:t xml:space="preserve">State Plan </w:t>
      </w:r>
      <w:r w:rsidR="212E0952" w:rsidRPr="00FB463B">
        <w:rPr>
          <w:rFonts w:eastAsia="Arial" w:cs="Arial"/>
        </w:rPr>
        <w:t>in April 2018</w:t>
      </w:r>
      <w:r w:rsidR="005E31BD" w:rsidRPr="00FB463B">
        <w:rPr>
          <w:rFonts w:eastAsia="Arial" w:cs="Arial"/>
        </w:rPr>
        <w:t xml:space="preserve"> and </w:t>
      </w:r>
      <w:r w:rsidR="00941631" w:rsidRPr="00FB463B">
        <w:rPr>
          <w:rFonts w:eastAsia="Arial" w:cs="Arial"/>
        </w:rPr>
        <w:t xml:space="preserve">subsequently </w:t>
      </w:r>
      <w:r w:rsidR="005E31BD" w:rsidRPr="00FB463B">
        <w:rPr>
          <w:rFonts w:eastAsia="Arial" w:cs="Arial"/>
        </w:rPr>
        <w:t xml:space="preserve">submitted the State Plan to the U.S. Department of Education (ED) for review and approval. The ED rejected California’s </w:t>
      </w:r>
      <w:r w:rsidR="00941631" w:rsidRPr="00FB463B">
        <w:rPr>
          <w:rFonts w:eastAsia="Arial" w:cs="Arial"/>
        </w:rPr>
        <w:t xml:space="preserve">amended </w:t>
      </w:r>
      <w:r w:rsidR="00164430" w:rsidRPr="00FB463B">
        <w:rPr>
          <w:rFonts w:eastAsia="Arial" w:cs="Arial"/>
        </w:rPr>
        <w:t>ESSA State Plan</w:t>
      </w:r>
      <w:r w:rsidR="54934DCB" w:rsidRPr="00FB463B">
        <w:rPr>
          <w:rFonts w:eastAsia="Arial" w:cs="Arial"/>
        </w:rPr>
        <w:t xml:space="preserve">, pointing to issues specifically with </w:t>
      </w:r>
      <w:r w:rsidR="00164430" w:rsidRPr="00FB463B">
        <w:rPr>
          <w:rFonts w:eastAsia="Arial" w:cs="Arial"/>
        </w:rPr>
        <w:t xml:space="preserve">the inclusion of RFEPs and </w:t>
      </w:r>
      <w:r w:rsidR="00546231" w:rsidRPr="00FB463B">
        <w:rPr>
          <w:rFonts w:eastAsia="Arial" w:cs="Arial"/>
        </w:rPr>
        <w:t>the L</w:t>
      </w:r>
      <w:r w:rsidR="00FD58B6" w:rsidRPr="00FB463B">
        <w:rPr>
          <w:rFonts w:eastAsia="Arial" w:cs="Arial"/>
        </w:rPr>
        <w:t xml:space="preserve">ong-term </w:t>
      </w:r>
      <w:r w:rsidR="00546231" w:rsidRPr="00FB463B">
        <w:rPr>
          <w:rFonts w:eastAsia="Arial" w:cs="Arial"/>
        </w:rPr>
        <w:t>E</w:t>
      </w:r>
      <w:r w:rsidR="00FD58B6" w:rsidRPr="00FB463B">
        <w:rPr>
          <w:rFonts w:eastAsia="Arial" w:cs="Arial"/>
        </w:rPr>
        <w:t xml:space="preserve">nglish </w:t>
      </w:r>
      <w:r w:rsidR="00546231" w:rsidRPr="00FB463B">
        <w:rPr>
          <w:rFonts w:eastAsia="Arial" w:cs="Arial"/>
        </w:rPr>
        <w:t>L</w:t>
      </w:r>
      <w:r w:rsidR="00FD58B6" w:rsidRPr="00FB463B">
        <w:rPr>
          <w:rFonts w:eastAsia="Arial" w:cs="Arial"/>
        </w:rPr>
        <w:t>earners (LTEL)</w:t>
      </w:r>
      <w:r w:rsidR="00546231" w:rsidRPr="00FB463B">
        <w:rPr>
          <w:rFonts w:eastAsia="Arial" w:cs="Arial"/>
        </w:rPr>
        <w:t xml:space="preserve"> bonus </w:t>
      </w:r>
      <w:r w:rsidR="007728E7" w:rsidRPr="00FB463B">
        <w:rPr>
          <w:rFonts w:eastAsia="Arial" w:cs="Arial"/>
        </w:rPr>
        <w:t xml:space="preserve">criteria </w:t>
      </w:r>
      <w:r w:rsidR="00546231" w:rsidRPr="00FB463B">
        <w:rPr>
          <w:rFonts w:eastAsia="Arial" w:cs="Arial"/>
        </w:rPr>
        <w:t xml:space="preserve">into the </w:t>
      </w:r>
      <w:r w:rsidR="3FAB4C75" w:rsidRPr="00FB463B">
        <w:rPr>
          <w:rFonts w:eastAsia="Arial" w:cs="Arial"/>
        </w:rPr>
        <w:t>calculation methodology</w:t>
      </w:r>
      <w:r w:rsidR="00546231" w:rsidRPr="00FB463B">
        <w:rPr>
          <w:rFonts w:eastAsia="Arial" w:cs="Arial"/>
        </w:rPr>
        <w:t xml:space="preserve">. </w:t>
      </w:r>
      <w:r w:rsidR="000E7696" w:rsidRPr="00FB463B">
        <w:rPr>
          <w:rFonts w:eastAsia="Arial" w:cs="Arial"/>
        </w:rPr>
        <w:t>At</w:t>
      </w:r>
      <w:r w:rsidR="00B21E65" w:rsidRPr="00FB463B">
        <w:rPr>
          <w:rFonts w:eastAsia="Arial" w:cs="Arial"/>
        </w:rPr>
        <w:t xml:space="preserve"> the </w:t>
      </w:r>
      <w:r w:rsidR="000E7696" w:rsidRPr="00FB463B">
        <w:rPr>
          <w:rFonts w:eastAsia="Arial" w:cs="Arial"/>
        </w:rPr>
        <w:t xml:space="preserve">request of the ED, the SBE and </w:t>
      </w:r>
      <w:r w:rsidR="00B21E65" w:rsidRPr="00FB463B">
        <w:rPr>
          <w:rFonts w:eastAsia="Arial" w:cs="Arial"/>
        </w:rPr>
        <w:t xml:space="preserve">the CDE submitted a waiver </w:t>
      </w:r>
      <w:r w:rsidR="00FC430B" w:rsidRPr="00FB463B">
        <w:rPr>
          <w:rFonts w:eastAsia="Arial" w:cs="Arial"/>
        </w:rPr>
        <w:t xml:space="preserve">to the </w:t>
      </w:r>
      <w:r w:rsidR="002831CF" w:rsidRPr="00FB463B">
        <w:rPr>
          <w:rFonts w:eastAsia="Arial" w:cs="Arial"/>
        </w:rPr>
        <w:t xml:space="preserve">ED </w:t>
      </w:r>
      <w:r w:rsidR="00A15C23" w:rsidRPr="00FB463B">
        <w:rPr>
          <w:rFonts w:eastAsia="Arial" w:cs="Arial"/>
        </w:rPr>
        <w:t xml:space="preserve">to include </w:t>
      </w:r>
      <w:r w:rsidR="002831CF" w:rsidRPr="00FB463B">
        <w:rPr>
          <w:rFonts w:eastAsia="Arial" w:cs="Arial"/>
        </w:rPr>
        <w:t>RFEPs and LTEL</w:t>
      </w:r>
      <w:r w:rsidR="00145E41" w:rsidRPr="00FB463B">
        <w:rPr>
          <w:rFonts w:eastAsia="Arial" w:cs="Arial"/>
        </w:rPr>
        <w:t xml:space="preserve"> </w:t>
      </w:r>
      <w:r w:rsidR="0009436A" w:rsidRPr="00FB463B">
        <w:rPr>
          <w:rFonts w:eastAsia="Arial" w:cs="Arial"/>
        </w:rPr>
        <w:t xml:space="preserve">criteria </w:t>
      </w:r>
      <w:r w:rsidR="00145E41" w:rsidRPr="00FB463B">
        <w:rPr>
          <w:rFonts w:eastAsia="Arial" w:cs="Arial"/>
        </w:rPr>
        <w:t>bonus</w:t>
      </w:r>
      <w:r w:rsidR="002831CF" w:rsidRPr="00FB463B">
        <w:rPr>
          <w:rFonts w:eastAsia="Arial" w:cs="Arial"/>
        </w:rPr>
        <w:t xml:space="preserve"> into the ELPI</w:t>
      </w:r>
      <w:r w:rsidR="00284B1D" w:rsidRPr="00FB463B">
        <w:rPr>
          <w:rFonts w:eastAsia="Arial" w:cs="Arial"/>
        </w:rPr>
        <w:t xml:space="preserve"> </w:t>
      </w:r>
      <w:r w:rsidR="31E28797" w:rsidRPr="00FB463B">
        <w:rPr>
          <w:rFonts w:eastAsia="Arial" w:cs="Arial"/>
        </w:rPr>
        <w:t>(</w:t>
      </w:r>
      <w:hyperlink r:id="rId142" w:tooltip="CDE submitted a waiver to the ED to include RFEPs and LTEL bonus into the ELPI">
        <w:r w:rsidR="007A52AC" w:rsidRPr="00FB463B">
          <w:rPr>
            <w:rStyle w:val="Hyperlink"/>
            <w:rFonts w:eastAsia="Arial" w:cs="Arial"/>
          </w:rPr>
          <w:t>https://www.cde.ca.gov/be/pn/im/memo-pptb-amard-apr18item01a1.asp</w:t>
        </w:r>
        <w:r w:rsidR="468C826A" w:rsidRPr="00FB463B">
          <w:rPr>
            <w:rStyle w:val="Hyperlink"/>
            <w:rFonts w:eastAsia="Arial" w:cs="Arial"/>
          </w:rPr>
          <w:t>)</w:t>
        </w:r>
      </w:hyperlink>
      <w:r w:rsidR="007A52AC" w:rsidRPr="00FB463B">
        <w:rPr>
          <w:rFonts w:eastAsia="Arial" w:cs="Arial"/>
        </w:rPr>
        <w:t xml:space="preserve">. </w:t>
      </w:r>
      <w:r w:rsidR="06C98C51" w:rsidRPr="00FB463B">
        <w:rPr>
          <w:rFonts w:eastAsia="Arial" w:cs="Arial"/>
        </w:rPr>
        <w:t>T</w:t>
      </w:r>
      <w:r w:rsidR="002831CF" w:rsidRPr="00FB463B">
        <w:rPr>
          <w:rFonts w:eastAsia="Arial" w:cs="Arial"/>
        </w:rPr>
        <w:t xml:space="preserve">he ED </w:t>
      </w:r>
      <w:r w:rsidR="00FF5354" w:rsidRPr="00FB463B">
        <w:rPr>
          <w:rFonts w:eastAsia="Arial" w:cs="Arial"/>
        </w:rPr>
        <w:t>rejected the waiver</w:t>
      </w:r>
      <w:r w:rsidR="410225E7" w:rsidRPr="00FB463B">
        <w:rPr>
          <w:rFonts w:eastAsia="Arial" w:cs="Arial"/>
        </w:rPr>
        <w:t>, and a</w:t>
      </w:r>
      <w:r w:rsidR="00FF5354" w:rsidRPr="00FB463B">
        <w:rPr>
          <w:rFonts w:eastAsia="Arial" w:cs="Arial"/>
        </w:rPr>
        <w:t xml:space="preserve">s a result, </w:t>
      </w:r>
      <w:r w:rsidR="00145E41" w:rsidRPr="00FB463B">
        <w:rPr>
          <w:rFonts w:eastAsia="Arial" w:cs="Arial"/>
        </w:rPr>
        <w:t xml:space="preserve">RFEPs and the LTEL bonus </w:t>
      </w:r>
      <w:r w:rsidR="00FD58B6" w:rsidRPr="00FB463B">
        <w:rPr>
          <w:rFonts w:eastAsia="Arial" w:cs="Arial"/>
        </w:rPr>
        <w:t xml:space="preserve">criteria </w:t>
      </w:r>
      <w:r w:rsidR="00145E41" w:rsidRPr="00FB463B">
        <w:rPr>
          <w:rFonts w:eastAsia="Arial" w:cs="Arial"/>
        </w:rPr>
        <w:t xml:space="preserve">could not be </w:t>
      </w:r>
      <w:r w:rsidR="00E17771" w:rsidRPr="00FB463B">
        <w:rPr>
          <w:rFonts w:eastAsia="Arial" w:cs="Arial"/>
        </w:rPr>
        <w:t>included in the ELPI in subsequent years.</w:t>
      </w:r>
    </w:p>
    <w:p w14:paraId="51D94F31" w14:textId="5A8EAE28" w:rsidR="003665DE" w:rsidRPr="00FB463B" w:rsidRDefault="2B89B5EF" w:rsidP="79664735">
      <w:pPr>
        <w:spacing w:after="240"/>
        <w:rPr>
          <w:rFonts w:eastAsia="Arial" w:cs="Arial"/>
        </w:rPr>
      </w:pPr>
      <w:r w:rsidRPr="00FB463B">
        <w:rPr>
          <w:rFonts w:eastAsia="Arial" w:cs="Arial"/>
        </w:rPr>
        <w:t>Due to these changes in the calculation methodology, it was important to</w:t>
      </w:r>
      <w:r w:rsidR="00A21C3C" w:rsidRPr="00FB463B">
        <w:rPr>
          <w:rFonts w:eastAsia="Arial" w:cs="Arial"/>
        </w:rPr>
        <w:t xml:space="preserve"> revisit and</w:t>
      </w:r>
      <w:r w:rsidRPr="00FB463B">
        <w:rPr>
          <w:rFonts w:eastAsia="Arial" w:cs="Arial"/>
        </w:rPr>
        <w:t xml:space="preserve"> </w:t>
      </w:r>
      <w:r w:rsidR="19B8C5A6" w:rsidRPr="00FB463B">
        <w:rPr>
          <w:rFonts w:eastAsia="Arial" w:cs="Arial"/>
        </w:rPr>
        <w:t xml:space="preserve">revise the 2017 </w:t>
      </w:r>
      <w:r w:rsidR="5292349E" w:rsidRPr="00FB463B">
        <w:rPr>
          <w:rFonts w:eastAsia="Arial" w:cs="Arial"/>
        </w:rPr>
        <w:t xml:space="preserve">Dashboard </w:t>
      </w:r>
      <w:r w:rsidR="19B8C5A6" w:rsidRPr="00FB463B">
        <w:rPr>
          <w:rFonts w:eastAsia="Arial" w:cs="Arial"/>
        </w:rPr>
        <w:t>distribution to allow an</w:t>
      </w:r>
      <w:r w:rsidR="00BA2F91" w:rsidRPr="00FB463B">
        <w:rPr>
          <w:rFonts w:eastAsia="Arial" w:cs="Arial"/>
        </w:rPr>
        <w:t xml:space="preserve"> accurate comparison between </w:t>
      </w:r>
      <w:r w:rsidR="00145E41" w:rsidRPr="00FB463B">
        <w:rPr>
          <w:rFonts w:eastAsia="Arial" w:cs="Arial"/>
        </w:rPr>
        <w:t xml:space="preserve">the 2017 ELPI distribution </w:t>
      </w:r>
      <w:r w:rsidR="00AC3F26" w:rsidRPr="00FB463B">
        <w:rPr>
          <w:rFonts w:eastAsia="Arial" w:cs="Arial"/>
        </w:rPr>
        <w:t>and</w:t>
      </w:r>
      <w:r w:rsidR="00145E41" w:rsidRPr="00FB463B">
        <w:rPr>
          <w:rFonts w:eastAsia="Arial" w:cs="Arial"/>
        </w:rPr>
        <w:t xml:space="preserve"> the 2023 ELPI Distribution</w:t>
      </w:r>
      <w:r w:rsidR="00E1638E" w:rsidRPr="00FB463B">
        <w:rPr>
          <w:rFonts w:eastAsia="Arial" w:cs="Arial"/>
        </w:rPr>
        <w:t>.</w:t>
      </w:r>
      <w:r w:rsidR="00145E41" w:rsidRPr="00FB463B">
        <w:rPr>
          <w:rFonts w:eastAsia="Arial" w:cs="Arial"/>
        </w:rPr>
        <w:t xml:space="preserve"> </w:t>
      </w:r>
      <w:r w:rsidR="00E1638E" w:rsidRPr="00FB463B">
        <w:rPr>
          <w:rFonts w:eastAsia="Arial" w:cs="Arial"/>
        </w:rPr>
        <w:t>T</w:t>
      </w:r>
      <w:r w:rsidR="00E17771" w:rsidRPr="00FB463B">
        <w:rPr>
          <w:rFonts w:eastAsia="Arial" w:cs="Arial"/>
        </w:rPr>
        <w:t>he</w:t>
      </w:r>
      <w:r w:rsidR="00FC16BD" w:rsidRPr="00FB463B">
        <w:rPr>
          <w:rFonts w:eastAsia="Arial" w:cs="Arial"/>
        </w:rPr>
        <w:t>refore, the</w:t>
      </w:r>
      <w:r w:rsidR="00E17771" w:rsidRPr="00FB463B">
        <w:rPr>
          <w:rFonts w:eastAsia="Arial" w:cs="Arial"/>
        </w:rPr>
        <w:t xml:space="preserve"> CDE removed the </w:t>
      </w:r>
      <w:r w:rsidR="00145E41" w:rsidRPr="00FB463B">
        <w:rPr>
          <w:rFonts w:eastAsia="Arial" w:cs="Arial"/>
        </w:rPr>
        <w:t xml:space="preserve">RFEPs </w:t>
      </w:r>
      <w:r w:rsidR="00FC16BD" w:rsidRPr="00FB463B">
        <w:rPr>
          <w:rFonts w:eastAsia="Arial" w:cs="Arial"/>
        </w:rPr>
        <w:t xml:space="preserve">that made progress </w:t>
      </w:r>
      <w:r w:rsidR="00BA2F91" w:rsidRPr="00FB463B">
        <w:rPr>
          <w:rFonts w:eastAsia="Arial" w:cs="Arial"/>
        </w:rPr>
        <w:t>from the</w:t>
      </w:r>
      <w:r w:rsidR="00FC16BD" w:rsidRPr="00FB463B">
        <w:rPr>
          <w:rFonts w:eastAsia="Arial" w:cs="Arial"/>
        </w:rPr>
        <w:t xml:space="preserve"> </w:t>
      </w:r>
      <w:r w:rsidR="003C3CE1" w:rsidRPr="00FB463B">
        <w:rPr>
          <w:rFonts w:eastAsia="Arial" w:cs="Arial"/>
        </w:rPr>
        <w:t xml:space="preserve">2017 </w:t>
      </w:r>
      <w:r w:rsidR="00F05E88" w:rsidRPr="00FB463B">
        <w:rPr>
          <w:rFonts w:eastAsia="Arial" w:cs="Arial"/>
        </w:rPr>
        <w:t xml:space="preserve">calculation </w:t>
      </w:r>
      <w:r w:rsidR="009E5614" w:rsidRPr="00FB463B">
        <w:rPr>
          <w:rFonts w:eastAsia="Arial" w:cs="Arial"/>
        </w:rPr>
        <w:t xml:space="preserve">to </w:t>
      </w:r>
      <w:r w:rsidR="003C3CE1" w:rsidRPr="00FB463B">
        <w:rPr>
          <w:rFonts w:eastAsia="Arial" w:cs="Arial"/>
        </w:rPr>
        <w:t>revise the</w:t>
      </w:r>
      <w:r w:rsidR="00BA2F91" w:rsidRPr="00FB463B">
        <w:rPr>
          <w:rFonts w:eastAsia="Arial" w:cs="Arial"/>
        </w:rPr>
        <w:t xml:space="preserve"> distribution</w:t>
      </w:r>
      <w:r w:rsidR="003C3CE1" w:rsidRPr="00FB463B">
        <w:rPr>
          <w:rFonts w:eastAsia="Arial" w:cs="Arial"/>
        </w:rPr>
        <w:t xml:space="preserve"> </w:t>
      </w:r>
      <w:r w:rsidR="009E5614" w:rsidRPr="00FB463B">
        <w:rPr>
          <w:rFonts w:eastAsia="Arial" w:cs="Arial"/>
        </w:rPr>
        <w:t xml:space="preserve">using </w:t>
      </w:r>
      <w:r w:rsidR="00B17ACE" w:rsidRPr="00FB463B">
        <w:rPr>
          <w:rFonts w:eastAsia="Arial" w:cs="Arial"/>
        </w:rPr>
        <w:t xml:space="preserve">methodology </w:t>
      </w:r>
      <w:r w:rsidR="00AA6486" w:rsidRPr="00FB463B">
        <w:rPr>
          <w:rFonts w:eastAsia="Arial" w:cs="Arial"/>
        </w:rPr>
        <w:t>parallel to the current ELPI methodology</w:t>
      </w:r>
      <w:r w:rsidR="00BA2F91" w:rsidRPr="00FB463B">
        <w:rPr>
          <w:rFonts w:eastAsia="Arial" w:cs="Arial"/>
        </w:rPr>
        <w:t>.</w:t>
      </w:r>
      <w:r w:rsidR="00AC3F26" w:rsidRPr="00FB463B">
        <w:rPr>
          <w:rFonts w:eastAsia="Arial" w:cs="Arial"/>
        </w:rPr>
        <w:t xml:space="preserve"> Table 3 </w:t>
      </w:r>
      <w:r w:rsidR="00AA6486" w:rsidRPr="00FB463B">
        <w:rPr>
          <w:rFonts w:eastAsia="Arial" w:cs="Arial"/>
        </w:rPr>
        <w:t>shows</w:t>
      </w:r>
      <w:r w:rsidR="008B7110" w:rsidRPr="00FB463B">
        <w:rPr>
          <w:rFonts w:eastAsia="Arial" w:cs="Arial"/>
        </w:rPr>
        <w:t xml:space="preserve"> th</w:t>
      </w:r>
      <w:r w:rsidR="006D05A7" w:rsidRPr="00FB463B">
        <w:rPr>
          <w:rFonts w:eastAsia="Arial" w:cs="Arial"/>
        </w:rPr>
        <w:t>is revised</w:t>
      </w:r>
      <w:r w:rsidR="008B7110" w:rsidRPr="00FB463B">
        <w:rPr>
          <w:rFonts w:eastAsia="Arial" w:cs="Arial"/>
        </w:rPr>
        <w:t xml:space="preserve"> </w:t>
      </w:r>
      <w:r w:rsidR="00C05D2B" w:rsidRPr="00FB463B">
        <w:rPr>
          <w:rFonts w:eastAsia="Arial" w:cs="Arial"/>
        </w:rPr>
        <w:t>statewide LEA distr</w:t>
      </w:r>
      <w:r w:rsidR="00F55EEA" w:rsidRPr="00FB463B">
        <w:rPr>
          <w:rFonts w:eastAsia="Arial" w:cs="Arial"/>
        </w:rPr>
        <w:t>ibution without RFEPs</w:t>
      </w:r>
      <w:r w:rsidR="00FD0654" w:rsidRPr="00FB463B">
        <w:rPr>
          <w:rFonts w:eastAsia="Arial" w:cs="Arial"/>
        </w:rPr>
        <w:t>.</w:t>
      </w:r>
    </w:p>
    <w:p w14:paraId="7BAE83D2" w14:textId="77777777" w:rsidR="007D73AF" w:rsidRPr="00FB463B" w:rsidRDefault="007D73AF" w:rsidP="033C011E">
      <w:pPr>
        <w:spacing w:after="240"/>
        <w:rPr>
          <w:rFonts w:eastAsia="Arial" w:cs="Arial"/>
          <w:b/>
          <w:bCs/>
        </w:rPr>
        <w:sectPr w:rsidR="007D73AF" w:rsidRPr="00FB463B" w:rsidSect="002E3989">
          <w:headerReference w:type="even" r:id="rId143"/>
          <w:headerReference w:type="default" r:id="rId144"/>
          <w:footerReference w:type="even" r:id="rId145"/>
          <w:footerReference w:type="default" r:id="rId146"/>
          <w:headerReference w:type="first" r:id="rId147"/>
          <w:footerReference w:type="first" r:id="rId148"/>
          <w:pgSz w:w="12240" w:h="15840"/>
          <w:pgMar w:top="1440" w:right="1440" w:bottom="1440" w:left="1440" w:header="720" w:footer="720" w:gutter="0"/>
          <w:pgNumType w:start="1"/>
          <w:cols w:space="720"/>
          <w:docGrid w:linePitch="360"/>
        </w:sectPr>
      </w:pPr>
    </w:p>
    <w:p w14:paraId="1A352B5B" w14:textId="0CD5251B" w:rsidR="38A04F8A" w:rsidRPr="00FB463B" w:rsidRDefault="7A2D9337" w:rsidP="033C011E">
      <w:pPr>
        <w:spacing w:after="240"/>
        <w:rPr>
          <w:rFonts w:eastAsia="Arial" w:cs="Arial"/>
          <w:b/>
          <w:bCs/>
        </w:rPr>
      </w:pPr>
      <w:r w:rsidRPr="00FB463B">
        <w:rPr>
          <w:rFonts w:eastAsia="Arial" w:cs="Arial"/>
          <w:b/>
          <w:bCs/>
        </w:rPr>
        <w:lastRenderedPageBreak/>
        <w:t xml:space="preserve">Table 3: ELPI </w:t>
      </w:r>
      <w:r w:rsidR="006D05A7" w:rsidRPr="00FB463B">
        <w:rPr>
          <w:rFonts w:eastAsia="Arial" w:cs="Arial"/>
          <w:b/>
          <w:bCs/>
        </w:rPr>
        <w:t>Change</w:t>
      </w:r>
      <w:r w:rsidRPr="00FB463B">
        <w:rPr>
          <w:rFonts w:eastAsia="Arial" w:cs="Arial"/>
          <w:b/>
          <w:bCs/>
        </w:rPr>
        <w:t xml:space="preserve"> Distribution in 2017</w:t>
      </w:r>
      <w:r w:rsidR="7544D56E" w:rsidRPr="00FB463B">
        <w:rPr>
          <w:rFonts w:eastAsia="Arial" w:cs="Arial"/>
          <w:b/>
          <w:bCs/>
        </w:rPr>
        <w:t xml:space="preserve"> Excluding RFEPs</w:t>
      </w:r>
      <w:r w:rsidR="006D05A7" w:rsidRPr="00FB463B">
        <w:rPr>
          <w:rFonts w:eastAsia="Arial" w:cs="Arial"/>
          <w:b/>
          <w:bCs/>
        </w:rPr>
        <w:t xml:space="preserve"> (LEAs)</w:t>
      </w:r>
    </w:p>
    <w:tbl>
      <w:tblPr>
        <w:tblW w:w="33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3: ELPI Change Distribution in 2017 Excluding RFEPs (LEAs)"/>
        <w:tblDescription w:val="ELPI Change Distribution in 2017 Excluding RFEPs (LEAs)"/>
      </w:tblPr>
      <w:tblGrid>
        <w:gridCol w:w="1472"/>
        <w:gridCol w:w="1858"/>
      </w:tblGrid>
      <w:tr w:rsidR="4E7F4BF9" w:rsidRPr="00FB463B" w14:paraId="3479BBD9" w14:textId="77777777" w:rsidTr="007871ED">
        <w:trPr>
          <w:cantSplit/>
          <w:trHeight w:val="300"/>
          <w:tblHeader/>
        </w:trPr>
        <w:tc>
          <w:tcPr>
            <w:tcW w:w="1472" w:type="dxa"/>
            <w:tcBorders>
              <w:top w:val="single" w:sz="8" w:space="0" w:color="auto"/>
              <w:left w:val="single" w:sz="8" w:space="0" w:color="auto"/>
              <w:bottom w:val="single" w:sz="8" w:space="0" w:color="auto"/>
              <w:right w:val="single" w:sz="8" w:space="0" w:color="auto"/>
            </w:tcBorders>
            <w:vAlign w:val="center"/>
          </w:tcPr>
          <w:p w14:paraId="6CF86315" w14:textId="2325EFAD" w:rsidR="4E7F4BF9" w:rsidRPr="00FB463B" w:rsidRDefault="4E7F4BF9" w:rsidP="44327CFA">
            <w:pPr>
              <w:jc w:val="center"/>
            </w:pPr>
            <w:r w:rsidRPr="00FB463B">
              <w:rPr>
                <w:rFonts w:eastAsia="Arial" w:cs="Arial"/>
                <w:b/>
                <w:bCs/>
              </w:rPr>
              <w:t>Percentile</w:t>
            </w:r>
          </w:p>
        </w:tc>
        <w:tc>
          <w:tcPr>
            <w:tcW w:w="1858" w:type="dxa"/>
            <w:tcBorders>
              <w:top w:val="single" w:sz="8" w:space="0" w:color="auto"/>
              <w:left w:val="single" w:sz="8" w:space="0" w:color="auto"/>
              <w:bottom w:val="single" w:sz="8" w:space="0" w:color="auto"/>
              <w:right w:val="single" w:sz="8" w:space="0" w:color="auto"/>
            </w:tcBorders>
          </w:tcPr>
          <w:p w14:paraId="6363C830" w14:textId="3C0D0DD8" w:rsidR="4E7F4BF9" w:rsidRPr="00FB463B" w:rsidRDefault="4E7F4BF9" w:rsidP="4E7F4BF9">
            <w:pPr>
              <w:jc w:val="center"/>
            </w:pPr>
            <w:r w:rsidRPr="00FB463B">
              <w:rPr>
                <w:rFonts w:eastAsia="Arial" w:cs="Arial"/>
                <w:b/>
                <w:bCs/>
              </w:rPr>
              <w:t xml:space="preserve">2017 </w:t>
            </w:r>
            <w:r w:rsidR="006D05A7" w:rsidRPr="00FB463B">
              <w:rPr>
                <w:rFonts w:eastAsia="Arial" w:cs="Arial"/>
                <w:b/>
                <w:bCs/>
              </w:rPr>
              <w:t>Change</w:t>
            </w:r>
            <w:r w:rsidRPr="00FB463B">
              <w:rPr>
                <w:rFonts w:eastAsia="Arial" w:cs="Arial"/>
                <w:b/>
                <w:bCs/>
              </w:rPr>
              <w:t xml:space="preserve"> (excluding RFEPs and LTELs)</w:t>
            </w:r>
          </w:p>
        </w:tc>
      </w:tr>
      <w:tr w:rsidR="4E7F4BF9" w:rsidRPr="00FB463B" w14:paraId="039E3462"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2309C238" w14:textId="4E86E2B9" w:rsidR="4E7F4BF9" w:rsidRPr="00FB463B" w:rsidRDefault="4E7F4BF9" w:rsidP="4E7F4BF9">
            <w:r w:rsidRPr="00FB463B">
              <w:rPr>
                <w:rFonts w:eastAsia="Arial" w:cs="Arial"/>
                <w:b/>
                <w:bCs/>
              </w:rPr>
              <w:t>5</w:t>
            </w:r>
          </w:p>
        </w:tc>
        <w:tc>
          <w:tcPr>
            <w:tcW w:w="1858" w:type="dxa"/>
            <w:tcBorders>
              <w:top w:val="single" w:sz="8" w:space="0" w:color="auto"/>
              <w:left w:val="single" w:sz="8" w:space="0" w:color="auto"/>
              <w:bottom w:val="single" w:sz="8" w:space="0" w:color="auto"/>
              <w:right w:val="single" w:sz="8" w:space="0" w:color="auto"/>
            </w:tcBorders>
          </w:tcPr>
          <w:p w14:paraId="7D3FEE30" w14:textId="66303E97" w:rsidR="4E7F4BF9" w:rsidRPr="00FB463B" w:rsidRDefault="4E7F4BF9" w:rsidP="4E7F4BF9">
            <w:pPr>
              <w:jc w:val="center"/>
            </w:pPr>
            <w:r w:rsidRPr="00FB463B">
              <w:rPr>
                <w:rFonts w:eastAsia="Arial" w:cs="Arial"/>
              </w:rPr>
              <w:t>-15.50</w:t>
            </w:r>
          </w:p>
        </w:tc>
      </w:tr>
      <w:tr w:rsidR="4E7F4BF9" w:rsidRPr="00FB463B" w14:paraId="783FC78A"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1F69A8A7" w14:textId="27B4ACD3" w:rsidR="4E7F4BF9" w:rsidRPr="00FB463B" w:rsidRDefault="4E7F4BF9" w:rsidP="4E7F4BF9">
            <w:r w:rsidRPr="00FB463B">
              <w:rPr>
                <w:rFonts w:eastAsia="Arial" w:cs="Arial"/>
                <w:b/>
                <w:bCs/>
              </w:rPr>
              <w:t>10</w:t>
            </w:r>
          </w:p>
        </w:tc>
        <w:tc>
          <w:tcPr>
            <w:tcW w:w="1858" w:type="dxa"/>
            <w:tcBorders>
              <w:top w:val="single" w:sz="8" w:space="0" w:color="auto"/>
              <w:left w:val="single" w:sz="8" w:space="0" w:color="auto"/>
              <w:bottom w:val="single" w:sz="8" w:space="0" w:color="auto"/>
              <w:right w:val="single" w:sz="8" w:space="0" w:color="auto"/>
            </w:tcBorders>
          </w:tcPr>
          <w:p w14:paraId="5D2918E4" w14:textId="712219B7" w:rsidR="4E7F4BF9" w:rsidRPr="00FB463B" w:rsidRDefault="4E7F4BF9" w:rsidP="4E7F4BF9">
            <w:pPr>
              <w:jc w:val="center"/>
            </w:pPr>
            <w:r w:rsidRPr="00FB463B">
              <w:rPr>
                <w:rFonts w:eastAsia="Arial" w:cs="Arial"/>
              </w:rPr>
              <w:t>-10.45</w:t>
            </w:r>
          </w:p>
        </w:tc>
      </w:tr>
      <w:tr w:rsidR="4E7F4BF9" w:rsidRPr="00FB463B" w14:paraId="78F174EB"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49267D11" w14:textId="5956D76B" w:rsidR="4E7F4BF9" w:rsidRPr="00FB463B" w:rsidRDefault="4E7F4BF9" w:rsidP="4E7F4BF9">
            <w:r w:rsidRPr="00FB463B">
              <w:rPr>
                <w:rFonts w:eastAsia="Arial" w:cs="Arial"/>
                <w:b/>
                <w:bCs/>
              </w:rPr>
              <w:t>15</w:t>
            </w:r>
          </w:p>
        </w:tc>
        <w:tc>
          <w:tcPr>
            <w:tcW w:w="1858" w:type="dxa"/>
            <w:tcBorders>
              <w:top w:val="single" w:sz="8" w:space="0" w:color="auto"/>
              <w:left w:val="single" w:sz="8" w:space="0" w:color="auto"/>
              <w:bottom w:val="single" w:sz="8" w:space="0" w:color="auto"/>
              <w:right w:val="single" w:sz="8" w:space="0" w:color="auto"/>
            </w:tcBorders>
          </w:tcPr>
          <w:p w14:paraId="70FAB139" w14:textId="5FADB66D" w:rsidR="4E7F4BF9" w:rsidRPr="00FB463B" w:rsidRDefault="4E7F4BF9" w:rsidP="4E7F4BF9">
            <w:pPr>
              <w:jc w:val="center"/>
            </w:pPr>
            <w:r w:rsidRPr="00FB463B">
              <w:rPr>
                <w:rFonts w:eastAsia="Arial" w:cs="Arial"/>
              </w:rPr>
              <w:t>-7.52</w:t>
            </w:r>
          </w:p>
        </w:tc>
      </w:tr>
      <w:tr w:rsidR="4E7F4BF9" w:rsidRPr="00FB463B" w14:paraId="22724246"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5ED8B8BF" w14:textId="7393099F" w:rsidR="4E7F4BF9" w:rsidRPr="00FB463B" w:rsidRDefault="4E7F4BF9" w:rsidP="4E7F4BF9">
            <w:r w:rsidRPr="00FB463B">
              <w:rPr>
                <w:rFonts w:eastAsia="Arial" w:cs="Arial"/>
                <w:b/>
                <w:bCs/>
              </w:rPr>
              <w:t>20</w:t>
            </w:r>
          </w:p>
        </w:tc>
        <w:tc>
          <w:tcPr>
            <w:tcW w:w="1858" w:type="dxa"/>
            <w:tcBorders>
              <w:top w:val="single" w:sz="8" w:space="0" w:color="auto"/>
              <w:left w:val="single" w:sz="8" w:space="0" w:color="auto"/>
              <w:bottom w:val="single" w:sz="8" w:space="0" w:color="auto"/>
              <w:right w:val="single" w:sz="8" w:space="0" w:color="auto"/>
            </w:tcBorders>
          </w:tcPr>
          <w:p w14:paraId="5FB620AC" w14:textId="01EC7F98" w:rsidR="4E7F4BF9" w:rsidRPr="00FB463B" w:rsidRDefault="4E7F4BF9" w:rsidP="4E7F4BF9">
            <w:pPr>
              <w:jc w:val="center"/>
            </w:pPr>
            <w:r w:rsidRPr="00FB463B">
              <w:rPr>
                <w:rFonts w:eastAsia="Arial" w:cs="Arial"/>
              </w:rPr>
              <w:t>-5.90</w:t>
            </w:r>
          </w:p>
        </w:tc>
      </w:tr>
      <w:tr w:rsidR="4E7F4BF9" w:rsidRPr="00FB463B" w14:paraId="5077DC16"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1218947C" w14:textId="6AE50C39" w:rsidR="4E7F4BF9" w:rsidRPr="00FB463B" w:rsidRDefault="4E7F4BF9" w:rsidP="4E7F4BF9">
            <w:r w:rsidRPr="00FB463B">
              <w:rPr>
                <w:rFonts w:eastAsia="Arial" w:cs="Arial"/>
                <w:b/>
                <w:bCs/>
              </w:rPr>
              <w:t>25</w:t>
            </w:r>
          </w:p>
        </w:tc>
        <w:tc>
          <w:tcPr>
            <w:tcW w:w="1858" w:type="dxa"/>
            <w:tcBorders>
              <w:top w:val="single" w:sz="8" w:space="0" w:color="auto"/>
              <w:left w:val="single" w:sz="8" w:space="0" w:color="auto"/>
              <w:bottom w:val="single" w:sz="8" w:space="0" w:color="auto"/>
              <w:right w:val="single" w:sz="8" w:space="0" w:color="auto"/>
            </w:tcBorders>
          </w:tcPr>
          <w:p w14:paraId="15B17266" w14:textId="7CD702BD" w:rsidR="4E7F4BF9" w:rsidRPr="00FB463B" w:rsidRDefault="4E7F4BF9" w:rsidP="4E7F4BF9">
            <w:pPr>
              <w:jc w:val="center"/>
            </w:pPr>
            <w:r w:rsidRPr="00FB463B">
              <w:rPr>
                <w:rFonts w:eastAsia="Arial" w:cs="Arial"/>
              </w:rPr>
              <w:t>-4.10</w:t>
            </w:r>
          </w:p>
        </w:tc>
      </w:tr>
      <w:tr w:rsidR="4E7F4BF9" w:rsidRPr="00FB463B" w14:paraId="0C367BFD"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54161E9A" w14:textId="7012E376" w:rsidR="4E7F4BF9" w:rsidRPr="00FB463B" w:rsidRDefault="4E7F4BF9" w:rsidP="4E7F4BF9">
            <w:r w:rsidRPr="00FB463B">
              <w:rPr>
                <w:rFonts w:eastAsia="Arial" w:cs="Arial"/>
                <w:b/>
                <w:bCs/>
              </w:rPr>
              <w:t>30</w:t>
            </w:r>
          </w:p>
        </w:tc>
        <w:tc>
          <w:tcPr>
            <w:tcW w:w="1858" w:type="dxa"/>
            <w:tcBorders>
              <w:top w:val="single" w:sz="8" w:space="0" w:color="auto"/>
              <w:left w:val="single" w:sz="8" w:space="0" w:color="auto"/>
              <w:bottom w:val="single" w:sz="8" w:space="0" w:color="auto"/>
              <w:right w:val="single" w:sz="8" w:space="0" w:color="auto"/>
            </w:tcBorders>
          </w:tcPr>
          <w:p w14:paraId="78EB9A1F" w14:textId="543C41B5" w:rsidR="4E7F4BF9" w:rsidRPr="00FB463B" w:rsidRDefault="4E7F4BF9" w:rsidP="4E7F4BF9">
            <w:pPr>
              <w:jc w:val="center"/>
            </w:pPr>
            <w:r w:rsidRPr="00FB463B">
              <w:rPr>
                <w:rFonts w:eastAsia="Arial" w:cs="Arial"/>
              </w:rPr>
              <w:t>-3.00</w:t>
            </w:r>
          </w:p>
        </w:tc>
      </w:tr>
      <w:tr w:rsidR="4E7F4BF9" w:rsidRPr="00FB463B" w14:paraId="6A074F6C"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3415B6A3" w14:textId="1FAD1058" w:rsidR="4E7F4BF9" w:rsidRPr="00FB463B" w:rsidRDefault="4E7F4BF9" w:rsidP="4E7F4BF9">
            <w:r w:rsidRPr="00FB463B">
              <w:rPr>
                <w:rFonts w:eastAsia="Arial" w:cs="Arial"/>
                <w:b/>
                <w:bCs/>
              </w:rPr>
              <w:t>35</w:t>
            </w:r>
          </w:p>
        </w:tc>
        <w:tc>
          <w:tcPr>
            <w:tcW w:w="1858" w:type="dxa"/>
            <w:tcBorders>
              <w:top w:val="single" w:sz="8" w:space="0" w:color="auto"/>
              <w:left w:val="single" w:sz="8" w:space="0" w:color="auto"/>
              <w:bottom w:val="single" w:sz="8" w:space="0" w:color="auto"/>
              <w:right w:val="single" w:sz="8" w:space="0" w:color="auto"/>
            </w:tcBorders>
          </w:tcPr>
          <w:p w14:paraId="3A6F8443" w14:textId="5D886172" w:rsidR="4E7F4BF9" w:rsidRPr="00FB463B" w:rsidRDefault="4E7F4BF9" w:rsidP="4E7F4BF9">
            <w:pPr>
              <w:jc w:val="center"/>
            </w:pPr>
            <w:r w:rsidRPr="00FB463B">
              <w:rPr>
                <w:rFonts w:eastAsia="Arial" w:cs="Arial"/>
              </w:rPr>
              <w:t>-2.10</w:t>
            </w:r>
          </w:p>
        </w:tc>
      </w:tr>
      <w:tr w:rsidR="4E7F4BF9" w:rsidRPr="00FB463B" w14:paraId="0AF1B0DA"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1B760EED" w14:textId="4D58B7CA" w:rsidR="4E7F4BF9" w:rsidRPr="00FB463B" w:rsidRDefault="4E7F4BF9" w:rsidP="4E7F4BF9">
            <w:r w:rsidRPr="00FB463B">
              <w:rPr>
                <w:rFonts w:eastAsia="Arial" w:cs="Arial"/>
                <w:b/>
                <w:bCs/>
              </w:rPr>
              <w:t>40</w:t>
            </w:r>
          </w:p>
        </w:tc>
        <w:tc>
          <w:tcPr>
            <w:tcW w:w="1858" w:type="dxa"/>
            <w:tcBorders>
              <w:top w:val="single" w:sz="8" w:space="0" w:color="auto"/>
              <w:left w:val="single" w:sz="8" w:space="0" w:color="auto"/>
              <w:bottom w:val="single" w:sz="8" w:space="0" w:color="auto"/>
              <w:right w:val="single" w:sz="8" w:space="0" w:color="auto"/>
            </w:tcBorders>
          </w:tcPr>
          <w:p w14:paraId="6FB7EA6F" w14:textId="68304E7F" w:rsidR="4E7F4BF9" w:rsidRPr="00FB463B" w:rsidRDefault="4E7F4BF9" w:rsidP="4E7F4BF9">
            <w:pPr>
              <w:jc w:val="center"/>
            </w:pPr>
            <w:r w:rsidRPr="00FB463B">
              <w:rPr>
                <w:rFonts w:eastAsia="Arial" w:cs="Arial"/>
              </w:rPr>
              <w:t>-1.10</w:t>
            </w:r>
          </w:p>
        </w:tc>
      </w:tr>
      <w:tr w:rsidR="4E7F4BF9" w:rsidRPr="00FB463B" w14:paraId="67399B0F"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1DAAC73D" w14:textId="5F8FA695" w:rsidR="4E7F4BF9" w:rsidRPr="00FB463B" w:rsidRDefault="4E7F4BF9" w:rsidP="4E7F4BF9">
            <w:r w:rsidRPr="00FB463B">
              <w:rPr>
                <w:rFonts w:eastAsia="Arial" w:cs="Arial"/>
                <w:b/>
                <w:bCs/>
              </w:rPr>
              <w:t>45</w:t>
            </w:r>
          </w:p>
        </w:tc>
        <w:tc>
          <w:tcPr>
            <w:tcW w:w="1858" w:type="dxa"/>
            <w:tcBorders>
              <w:top w:val="single" w:sz="8" w:space="0" w:color="auto"/>
              <w:left w:val="single" w:sz="8" w:space="0" w:color="auto"/>
              <w:bottom w:val="single" w:sz="8" w:space="0" w:color="auto"/>
              <w:right w:val="single" w:sz="8" w:space="0" w:color="auto"/>
            </w:tcBorders>
          </w:tcPr>
          <w:p w14:paraId="3D41AA28" w14:textId="67CC679E" w:rsidR="4E7F4BF9" w:rsidRPr="00FB463B" w:rsidRDefault="4E7F4BF9" w:rsidP="4E7F4BF9">
            <w:pPr>
              <w:jc w:val="center"/>
            </w:pPr>
            <w:r w:rsidRPr="00FB463B">
              <w:rPr>
                <w:rFonts w:eastAsia="Arial" w:cs="Arial"/>
              </w:rPr>
              <w:t>-.0.50</w:t>
            </w:r>
          </w:p>
        </w:tc>
      </w:tr>
      <w:tr w:rsidR="4E7F4BF9" w:rsidRPr="00FB463B" w14:paraId="7728A735"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762C0B35" w14:textId="24F6990B" w:rsidR="4E7F4BF9" w:rsidRPr="00FB463B" w:rsidRDefault="4E7F4BF9" w:rsidP="4E7F4BF9">
            <w:r w:rsidRPr="00FB463B">
              <w:rPr>
                <w:rFonts w:eastAsia="Arial" w:cs="Arial"/>
                <w:b/>
                <w:bCs/>
              </w:rPr>
              <w:t>50</w:t>
            </w:r>
          </w:p>
        </w:tc>
        <w:tc>
          <w:tcPr>
            <w:tcW w:w="1858" w:type="dxa"/>
            <w:tcBorders>
              <w:top w:val="single" w:sz="8" w:space="0" w:color="auto"/>
              <w:left w:val="single" w:sz="8" w:space="0" w:color="auto"/>
              <w:bottom w:val="single" w:sz="8" w:space="0" w:color="auto"/>
              <w:right w:val="single" w:sz="8" w:space="0" w:color="auto"/>
            </w:tcBorders>
          </w:tcPr>
          <w:p w14:paraId="6C719483" w14:textId="493271C7" w:rsidR="4E7F4BF9" w:rsidRPr="00FB463B" w:rsidRDefault="4E7F4BF9" w:rsidP="4E7F4BF9">
            <w:pPr>
              <w:jc w:val="center"/>
            </w:pPr>
            <w:r w:rsidRPr="00FB463B">
              <w:rPr>
                <w:rFonts w:eastAsia="Arial" w:cs="Arial"/>
              </w:rPr>
              <w:t>-0.40</w:t>
            </w:r>
          </w:p>
        </w:tc>
      </w:tr>
      <w:tr w:rsidR="4E7F4BF9" w:rsidRPr="00FB463B" w14:paraId="7B9D65D7"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796F8270" w14:textId="2359F897" w:rsidR="4E7F4BF9" w:rsidRPr="00FB463B" w:rsidRDefault="4E7F4BF9" w:rsidP="4E7F4BF9">
            <w:r w:rsidRPr="00FB463B">
              <w:rPr>
                <w:rFonts w:eastAsia="Arial" w:cs="Arial"/>
                <w:b/>
                <w:bCs/>
              </w:rPr>
              <w:t>55</w:t>
            </w:r>
          </w:p>
        </w:tc>
        <w:tc>
          <w:tcPr>
            <w:tcW w:w="1858" w:type="dxa"/>
            <w:tcBorders>
              <w:top w:val="single" w:sz="8" w:space="0" w:color="auto"/>
              <w:left w:val="single" w:sz="8" w:space="0" w:color="auto"/>
              <w:bottom w:val="single" w:sz="8" w:space="0" w:color="auto"/>
              <w:right w:val="single" w:sz="8" w:space="0" w:color="auto"/>
            </w:tcBorders>
          </w:tcPr>
          <w:p w14:paraId="128822F9" w14:textId="2A855798" w:rsidR="4E7F4BF9" w:rsidRPr="00FB463B" w:rsidRDefault="4E7F4BF9" w:rsidP="4E7F4BF9">
            <w:pPr>
              <w:jc w:val="center"/>
            </w:pPr>
            <w:r w:rsidRPr="00FB463B">
              <w:rPr>
                <w:rFonts w:eastAsia="Arial" w:cs="Arial"/>
              </w:rPr>
              <w:t>1.08</w:t>
            </w:r>
          </w:p>
        </w:tc>
      </w:tr>
      <w:tr w:rsidR="4E7F4BF9" w:rsidRPr="00FB463B" w14:paraId="2A350A4D"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2A9B3EAE" w14:textId="4DA2782B" w:rsidR="4E7F4BF9" w:rsidRPr="00FB463B" w:rsidRDefault="4E7F4BF9" w:rsidP="4E7F4BF9">
            <w:r w:rsidRPr="00FB463B">
              <w:rPr>
                <w:rFonts w:eastAsia="Arial" w:cs="Arial"/>
                <w:b/>
                <w:bCs/>
              </w:rPr>
              <w:t>60</w:t>
            </w:r>
          </w:p>
        </w:tc>
        <w:tc>
          <w:tcPr>
            <w:tcW w:w="1858" w:type="dxa"/>
            <w:tcBorders>
              <w:top w:val="single" w:sz="8" w:space="0" w:color="auto"/>
              <w:left w:val="single" w:sz="8" w:space="0" w:color="auto"/>
              <w:bottom w:val="single" w:sz="8" w:space="0" w:color="auto"/>
              <w:right w:val="single" w:sz="8" w:space="0" w:color="auto"/>
            </w:tcBorders>
          </w:tcPr>
          <w:p w14:paraId="0AAB8097" w14:textId="72F0CB39" w:rsidR="4E7F4BF9" w:rsidRPr="00FB463B" w:rsidRDefault="4E7F4BF9" w:rsidP="4E7F4BF9">
            <w:pPr>
              <w:jc w:val="center"/>
            </w:pPr>
            <w:r w:rsidRPr="00FB463B">
              <w:rPr>
                <w:rFonts w:eastAsia="Arial" w:cs="Arial"/>
              </w:rPr>
              <w:t>2.00</w:t>
            </w:r>
          </w:p>
        </w:tc>
      </w:tr>
      <w:tr w:rsidR="4E7F4BF9" w:rsidRPr="00FB463B" w14:paraId="483D6833"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33CECAD0" w14:textId="6CE8F61D" w:rsidR="4E7F4BF9" w:rsidRPr="00FB463B" w:rsidRDefault="4E7F4BF9" w:rsidP="4E7F4BF9">
            <w:r w:rsidRPr="00FB463B">
              <w:rPr>
                <w:rFonts w:eastAsia="Arial" w:cs="Arial"/>
                <w:b/>
                <w:bCs/>
              </w:rPr>
              <w:t>65</w:t>
            </w:r>
          </w:p>
        </w:tc>
        <w:tc>
          <w:tcPr>
            <w:tcW w:w="1858" w:type="dxa"/>
            <w:tcBorders>
              <w:top w:val="single" w:sz="8" w:space="0" w:color="auto"/>
              <w:left w:val="single" w:sz="8" w:space="0" w:color="auto"/>
              <w:bottom w:val="single" w:sz="8" w:space="0" w:color="auto"/>
              <w:right w:val="single" w:sz="8" w:space="0" w:color="auto"/>
            </w:tcBorders>
          </w:tcPr>
          <w:p w14:paraId="1E0343CA" w14:textId="5608D49B" w:rsidR="4E7F4BF9" w:rsidRPr="00FB463B" w:rsidRDefault="4E7F4BF9" w:rsidP="4E7F4BF9">
            <w:pPr>
              <w:jc w:val="center"/>
            </w:pPr>
            <w:r w:rsidRPr="00FB463B">
              <w:rPr>
                <w:rFonts w:eastAsia="Arial" w:cs="Arial"/>
              </w:rPr>
              <w:t>2.70</w:t>
            </w:r>
          </w:p>
        </w:tc>
      </w:tr>
      <w:tr w:rsidR="4E7F4BF9" w:rsidRPr="00FB463B" w14:paraId="1AB9A5F2"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5FE69855" w14:textId="4036B756" w:rsidR="4E7F4BF9" w:rsidRPr="00FB463B" w:rsidRDefault="4E7F4BF9" w:rsidP="4E7F4BF9">
            <w:r w:rsidRPr="00FB463B">
              <w:rPr>
                <w:rFonts w:eastAsia="Arial" w:cs="Arial"/>
                <w:b/>
                <w:bCs/>
              </w:rPr>
              <w:t>70</w:t>
            </w:r>
          </w:p>
        </w:tc>
        <w:tc>
          <w:tcPr>
            <w:tcW w:w="1858" w:type="dxa"/>
            <w:tcBorders>
              <w:top w:val="single" w:sz="8" w:space="0" w:color="auto"/>
              <w:left w:val="single" w:sz="8" w:space="0" w:color="auto"/>
              <w:bottom w:val="single" w:sz="8" w:space="0" w:color="auto"/>
              <w:right w:val="single" w:sz="8" w:space="0" w:color="auto"/>
            </w:tcBorders>
          </w:tcPr>
          <w:p w14:paraId="49E4D68D" w14:textId="0103F21A" w:rsidR="4E7F4BF9" w:rsidRPr="00FB463B" w:rsidRDefault="4E7F4BF9" w:rsidP="4E7F4BF9">
            <w:pPr>
              <w:jc w:val="center"/>
            </w:pPr>
            <w:r w:rsidRPr="00FB463B">
              <w:rPr>
                <w:rFonts w:eastAsia="Arial" w:cs="Arial"/>
              </w:rPr>
              <w:t>3.70</w:t>
            </w:r>
          </w:p>
        </w:tc>
      </w:tr>
      <w:tr w:rsidR="4E7F4BF9" w:rsidRPr="00FB463B" w14:paraId="6B128873"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156CC627" w14:textId="0E244160" w:rsidR="4E7F4BF9" w:rsidRPr="00FB463B" w:rsidRDefault="4E7F4BF9" w:rsidP="4E7F4BF9">
            <w:r w:rsidRPr="00FB463B">
              <w:rPr>
                <w:rFonts w:eastAsia="Arial" w:cs="Arial"/>
                <w:b/>
                <w:bCs/>
              </w:rPr>
              <w:t>75</w:t>
            </w:r>
          </w:p>
        </w:tc>
        <w:tc>
          <w:tcPr>
            <w:tcW w:w="1858" w:type="dxa"/>
            <w:tcBorders>
              <w:top w:val="single" w:sz="8" w:space="0" w:color="auto"/>
              <w:left w:val="single" w:sz="8" w:space="0" w:color="auto"/>
              <w:bottom w:val="single" w:sz="8" w:space="0" w:color="auto"/>
              <w:right w:val="single" w:sz="8" w:space="0" w:color="auto"/>
            </w:tcBorders>
          </w:tcPr>
          <w:p w14:paraId="4E6CD0A0" w14:textId="15849E99" w:rsidR="4E7F4BF9" w:rsidRPr="00FB463B" w:rsidRDefault="4E7F4BF9" w:rsidP="4E7F4BF9">
            <w:pPr>
              <w:jc w:val="center"/>
            </w:pPr>
            <w:r w:rsidRPr="00FB463B">
              <w:rPr>
                <w:rFonts w:eastAsia="Arial" w:cs="Arial"/>
              </w:rPr>
              <w:t>5.10</w:t>
            </w:r>
          </w:p>
        </w:tc>
      </w:tr>
      <w:tr w:rsidR="4E7F4BF9" w:rsidRPr="00FB463B" w14:paraId="46548D70"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4412D180" w14:textId="1FECBF44" w:rsidR="4E7F4BF9" w:rsidRPr="00FB463B" w:rsidRDefault="4E7F4BF9" w:rsidP="4E7F4BF9">
            <w:r w:rsidRPr="00FB463B">
              <w:rPr>
                <w:rFonts w:eastAsia="Arial" w:cs="Arial"/>
                <w:b/>
                <w:bCs/>
              </w:rPr>
              <w:t>80</w:t>
            </w:r>
          </w:p>
        </w:tc>
        <w:tc>
          <w:tcPr>
            <w:tcW w:w="1858" w:type="dxa"/>
            <w:tcBorders>
              <w:top w:val="single" w:sz="8" w:space="0" w:color="auto"/>
              <w:left w:val="single" w:sz="8" w:space="0" w:color="auto"/>
              <w:bottom w:val="single" w:sz="8" w:space="0" w:color="auto"/>
              <w:right w:val="single" w:sz="8" w:space="0" w:color="auto"/>
            </w:tcBorders>
          </w:tcPr>
          <w:p w14:paraId="0FD3C6E5" w14:textId="6188F894" w:rsidR="4E7F4BF9" w:rsidRPr="00FB463B" w:rsidRDefault="4E7F4BF9" w:rsidP="4E7F4BF9">
            <w:pPr>
              <w:jc w:val="center"/>
            </w:pPr>
            <w:r w:rsidRPr="00FB463B">
              <w:rPr>
                <w:rFonts w:eastAsia="Arial" w:cs="Arial"/>
              </w:rPr>
              <w:t>6.60</w:t>
            </w:r>
          </w:p>
        </w:tc>
      </w:tr>
      <w:tr w:rsidR="4E7F4BF9" w:rsidRPr="00FB463B" w14:paraId="0EDE7D48"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31338F64" w14:textId="587260CE" w:rsidR="4E7F4BF9" w:rsidRPr="00FB463B" w:rsidRDefault="4E7F4BF9" w:rsidP="4E7F4BF9">
            <w:r w:rsidRPr="00FB463B">
              <w:rPr>
                <w:rFonts w:eastAsia="Arial" w:cs="Arial"/>
                <w:b/>
                <w:bCs/>
              </w:rPr>
              <w:t>85</w:t>
            </w:r>
          </w:p>
        </w:tc>
        <w:tc>
          <w:tcPr>
            <w:tcW w:w="1858" w:type="dxa"/>
            <w:tcBorders>
              <w:top w:val="single" w:sz="8" w:space="0" w:color="auto"/>
              <w:left w:val="single" w:sz="8" w:space="0" w:color="auto"/>
              <w:bottom w:val="single" w:sz="8" w:space="0" w:color="auto"/>
              <w:right w:val="single" w:sz="8" w:space="0" w:color="auto"/>
            </w:tcBorders>
          </w:tcPr>
          <w:p w14:paraId="54B4C3DA" w14:textId="7C4090C1" w:rsidR="4E7F4BF9" w:rsidRPr="00FB463B" w:rsidRDefault="4E7F4BF9" w:rsidP="4E7F4BF9">
            <w:pPr>
              <w:jc w:val="center"/>
            </w:pPr>
            <w:r w:rsidRPr="00FB463B">
              <w:rPr>
                <w:rFonts w:eastAsia="Arial" w:cs="Arial"/>
              </w:rPr>
              <w:t>8.53</w:t>
            </w:r>
          </w:p>
        </w:tc>
      </w:tr>
      <w:tr w:rsidR="4E7F4BF9" w:rsidRPr="00FB463B" w14:paraId="0C78B68A"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55BC8E5E" w14:textId="168BAC58" w:rsidR="4E7F4BF9" w:rsidRPr="00FB463B" w:rsidRDefault="4E7F4BF9" w:rsidP="4E7F4BF9">
            <w:r w:rsidRPr="00FB463B">
              <w:rPr>
                <w:rFonts w:eastAsia="Arial" w:cs="Arial"/>
                <w:b/>
                <w:bCs/>
              </w:rPr>
              <w:t>90</w:t>
            </w:r>
          </w:p>
        </w:tc>
        <w:tc>
          <w:tcPr>
            <w:tcW w:w="1858" w:type="dxa"/>
            <w:tcBorders>
              <w:top w:val="single" w:sz="8" w:space="0" w:color="auto"/>
              <w:left w:val="single" w:sz="8" w:space="0" w:color="auto"/>
              <w:bottom w:val="single" w:sz="8" w:space="0" w:color="auto"/>
              <w:right w:val="single" w:sz="8" w:space="0" w:color="auto"/>
            </w:tcBorders>
          </w:tcPr>
          <w:p w14:paraId="3109B078" w14:textId="2886AAE2" w:rsidR="4E7F4BF9" w:rsidRPr="00FB463B" w:rsidRDefault="4E7F4BF9" w:rsidP="4E7F4BF9">
            <w:pPr>
              <w:jc w:val="center"/>
            </w:pPr>
            <w:r w:rsidRPr="00FB463B">
              <w:rPr>
                <w:rFonts w:eastAsia="Arial" w:cs="Arial"/>
              </w:rPr>
              <w:t>12.25</w:t>
            </w:r>
          </w:p>
        </w:tc>
      </w:tr>
      <w:tr w:rsidR="4E7F4BF9" w:rsidRPr="00FB463B" w14:paraId="77C4D7EA" w14:textId="77777777" w:rsidTr="007871ED">
        <w:trPr>
          <w:cantSplit/>
          <w:trHeight w:val="300"/>
        </w:trPr>
        <w:tc>
          <w:tcPr>
            <w:tcW w:w="1472" w:type="dxa"/>
            <w:tcBorders>
              <w:top w:val="single" w:sz="8" w:space="0" w:color="auto"/>
              <w:left w:val="single" w:sz="8" w:space="0" w:color="auto"/>
              <w:bottom w:val="single" w:sz="8" w:space="0" w:color="auto"/>
              <w:right w:val="single" w:sz="8" w:space="0" w:color="auto"/>
            </w:tcBorders>
            <w:vAlign w:val="center"/>
          </w:tcPr>
          <w:p w14:paraId="47A899DB" w14:textId="075F6B36" w:rsidR="4E7F4BF9" w:rsidRPr="00FB463B" w:rsidRDefault="4E7F4BF9" w:rsidP="4E7F4BF9">
            <w:r w:rsidRPr="00FB463B">
              <w:rPr>
                <w:rFonts w:eastAsia="Arial" w:cs="Arial"/>
                <w:b/>
                <w:bCs/>
              </w:rPr>
              <w:t>95</w:t>
            </w:r>
          </w:p>
        </w:tc>
        <w:tc>
          <w:tcPr>
            <w:tcW w:w="1858" w:type="dxa"/>
            <w:tcBorders>
              <w:top w:val="single" w:sz="8" w:space="0" w:color="auto"/>
              <w:left w:val="single" w:sz="8" w:space="0" w:color="auto"/>
              <w:bottom w:val="single" w:sz="8" w:space="0" w:color="auto"/>
              <w:right w:val="single" w:sz="8" w:space="0" w:color="auto"/>
            </w:tcBorders>
          </w:tcPr>
          <w:p w14:paraId="74BA6A14" w14:textId="09B16833" w:rsidR="4E7F4BF9" w:rsidRPr="00FB463B" w:rsidRDefault="4E7F4BF9" w:rsidP="4E7F4BF9">
            <w:pPr>
              <w:jc w:val="center"/>
            </w:pPr>
            <w:r w:rsidRPr="00FB463B">
              <w:rPr>
                <w:rFonts w:eastAsia="Arial" w:cs="Arial"/>
              </w:rPr>
              <w:t>16.68</w:t>
            </w:r>
          </w:p>
        </w:tc>
      </w:tr>
    </w:tbl>
    <w:p w14:paraId="3A116303" w14:textId="7F1B6712" w:rsidR="38A04F8A" w:rsidRPr="00FB463B" w:rsidRDefault="38A04F8A" w:rsidP="4E7F4BF9">
      <w:pPr>
        <w:spacing w:after="160" w:line="257" w:lineRule="auto"/>
      </w:pPr>
    </w:p>
    <w:p w14:paraId="2650EBE5" w14:textId="1C629C58" w:rsidR="00105654" w:rsidRPr="00FB463B" w:rsidRDefault="000A6DF7" w:rsidP="001D174D">
      <w:pPr>
        <w:spacing w:after="240"/>
        <w:rPr>
          <w:rFonts w:eastAsia="Arial" w:cs="Arial"/>
        </w:rPr>
      </w:pPr>
      <w:r w:rsidRPr="00FB463B">
        <w:rPr>
          <w:rFonts w:eastAsia="Arial" w:cs="Arial"/>
        </w:rPr>
        <w:t xml:space="preserve">As discussed above, the CDE </w:t>
      </w:r>
      <w:r w:rsidR="001C2B8A" w:rsidRPr="00FB463B">
        <w:rPr>
          <w:rFonts w:eastAsia="Arial" w:cs="Arial"/>
        </w:rPr>
        <w:t xml:space="preserve">used </w:t>
      </w:r>
      <w:r w:rsidR="00105654" w:rsidRPr="00FB463B">
        <w:rPr>
          <w:rFonts w:eastAsia="Arial" w:cs="Arial"/>
        </w:rPr>
        <w:t>2020–21, 2021–22</w:t>
      </w:r>
      <w:r w:rsidR="00E26067" w:rsidRPr="00FB463B">
        <w:rPr>
          <w:rFonts w:eastAsia="Arial" w:cs="Arial"/>
        </w:rPr>
        <w:t>, and 2022–23</w:t>
      </w:r>
      <w:r w:rsidR="00105654" w:rsidRPr="00FB463B">
        <w:rPr>
          <w:rFonts w:eastAsia="Arial" w:cs="Arial"/>
        </w:rPr>
        <w:t xml:space="preserve"> Summative </w:t>
      </w:r>
      <w:r w:rsidR="00660679" w:rsidRPr="00FB463B">
        <w:rPr>
          <w:rFonts w:eastAsia="Arial" w:cs="Arial"/>
        </w:rPr>
        <w:t xml:space="preserve">ELPAC </w:t>
      </w:r>
      <w:r w:rsidR="00105654" w:rsidRPr="00FB463B">
        <w:rPr>
          <w:rFonts w:eastAsia="Arial" w:cs="Arial"/>
        </w:rPr>
        <w:t>assessments</w:t>
      </w:r>
      <w:r w:rsidR="00E26067" w:rsidRPr="00FB463B">
        <w:rPr>
          <w:rFonts w:eastAsia="Arial" w:cs="Arial"/>
        </w:rPr>
        <w:t xml:space="preserve"> to</w:t>
      </w:r>
      <w:r w:rsidR="00105654" w:rsidRPr="00FB463B">
        <w:rPr>
          <w:rFonts w:eastAsia="Arial" w:cs="Arial"/>
        </w:rPr>
        <w:t xml:space="preserve"> </w:t>
      </w:r>
      <w:r w:rsidR="00C45CE3" w:rsidRPr="00FB463B">
        <w:rPr>
          <w:rFonts w:eastAsia="Arial" w:cs="Arial"/>
        </w:rPr>
        <w:t xml:space="preserve">determine the statewide LEA distribution for the ELPI Change cut </w:t>
      </w:r>
      <w:r w:rsidR="245116C3" w:rsidRPr="00FB463B">
        <w:rPr>
          <w:rFonts w:eastAsia="Arial" w:cs="Arial"/>
        </w:rPr>
        <w:t>points</w:t>
      </w:r>
      <w:r w:rsidR="00C45CE3" w:rsidRPr="00FB463B">
        <w:rPr>
          <w:rFonts w:eastAsia="Arial" w:cs="Arial"/>
        </w:rPr>
        <w:t xml:space="preserve">. Table 4 provides the results of the state LEA distribution </w:t>
      </w:r>
      <w:r w:rsidR="008E182E" w:rsidRPr="00FB463B">
        <w:rPr>
          <w:rFonts w:eastAsia="Arial" w:cs="Arial"/>
        </w:rPr>
        <w:t>of ELPI Change.</w:t>
      </w:r>
    </w:p>
    <w:p w14:paraId="6A419B5F" w14:textId="77777777" w:rsidR="005048C8" w:rsidRPr="00FB463B" w:rsidRDefault="005048C8" w:rsidP="033C011E">
      <w:pPr>
        <w:spacing w:after="160" w:line="257" w:lineRule="auto"/>
        <w:rPr>
          <w:rFonts w:eastAsia="Arial" w:cs="Arial"/>
          <w:b/>
          <w:bCs/>
        </w:rPr>
        <w:sectPr w:rsidR="005048C8" w:rsidRPr="00FB463B" w:rsidSect="007D73AF">
          <w:pgSz w:w="12240" w:h="15840"/>
          <w:pgMar w:top="1440" w:right="1440" w:bottom="1440" w:left="1440" w:header="720" w:footer="720" w:gutter="0"/>
          <w:cols w:space="720"/>
          <w:docGrid w:linePitch="360"/>
        </w:sectPr>
      </w:pPr>
    </w:p>
    <w:p w14:paraId="63FD15EC" w14:textId="234565E1" w:rsidR="38A04F8A" w:rsidRPr="00FB463B" w:rsidRDefault="0471141E" w:rsidP="033C011E">
      <w:pPr>
        <w:spacing w:after="160" w:line="257" w:lineRule="auto"/>
        <w:rPr>
          <w:rFonts w:eastAsia="Arial" w:cs="Arial"/>
          <w:b/>
          <w:bCs/>
        </w:rPr>
      </w:pPr>
      <w:r w:rsidRPr="00FB463B">
        <w:rPr>
          <w:rFonts w:eastAsia="Arial" w:cs="Arial"/>
          <w:b/>
          <w:bCs/>
        </w:rPr>
        <w:lastRenderedPageBreak/>
        <w:t xml:space="preserve">Table </w:t>
      </w:r>
      <w:r w:rsidR="3790D94A" w:rsidRPr="00FB463B">
        <w:rPr>
          <w:rFonts w:eastAsia="Arial" w:cs="Arial"/>
          <w:b/>
          <w:bCs/>
        </w:rPr>
        <w:t>4</w:t>
      </w:r>
      <w:r w:rsidRPr="00FB463B">
        <w:rPr>
          <w:rFonts w:eastAsia="Arial" w:cs="Arial"/>
          <w:b/>
          <w:bCs/>
        </w:rPr>
        <w:t xml:space="preserve">: </w:t>
      </w:r>
      <w:r w:rsidR="0F8A5552" w:rsidRPr="00FB463B">
        <w:rPr>
          <w:rFonts w:eastAsia="Arial" w:cs="Arial"/>
          <w:b/>
          <w:bCs/>
        </w:rPr>
        <w:t xml:space="preserve">2023 ELPI </w:t>
      </w:r>
      <w:r w:rsidR="003B1343" w:rsidRPr="00FB463B">
        <w:rPr>
          <w:rFonts w:eastAsia="Arial" w:cs="Arial"/>
          <w:b/>
          <w:bCs/>
        </w:rPr>
        <w:t xml:space="preserve">Change </w:t>
      </w:r>
      <w:r w:rsidR="00020EE3" w:rsidRPr="00FB463B">
        <w:rPr>
          <w:rFonts w:eastAsia="Arial" w:cs="Arial"/>
          <w:b/>
          <w:bCs/>
        </w:rPr>
        <w:t xml:space="preserve">Simulation </w:t>
      </w:r>
      <w:r w:rsidR="003B1343" w:rsidRPr="00FB463B">
        <w:rPr>
          <w:rFonts w:eastAsia="Arial" w:cs="Arial"/>
          <w:b/>
          <w:bCs/>
        </w:rPr>
        <w:t>Distribution (</w:t>
      </w:r>
      <w:r w:rsidR="300DC9E7" w:rsidRPr="00FB463B">
        <w:rPr>
          <w:rFonts w:eastAsia="Arial" w:cs="Arial"/>
          <w:b/>
          <w:bCs/>
        </w:rPr>
        <w:t>LEA</w:t>
      </w:r>
      <w:r w:rsidR="003B1343" w:rsidRPr="00FB463B">
        <w:rPr>
          <w:rFonts w:eastAsia="Arial" w:cs="Arial"/>
          <w:b/>
          <w:bCs/>
        </w:rPr>
        <w:t>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Table 4: 2023 ELPI Change Simulation Distribution (LEAs)"/>
        <w:tblDescription w:val="2023 ELPI Change Simulation Distribution (LEAs)"/>
      </w:tblPr>
      <w:tblGrid>
        <w:gridCol w:w="1890"/>
        <w:gridCol w:w="1890"/>
      </w:tblGrid>
      <w:tr w:rsidR="1E8A0274" w:rsidRPr="00FB463B" w14:paraId="35630BAA" w14:textId="77777777" w:rsidTr="007871ED">
        <w:trPr>
          <w:cantSplit/>
          <w:trHeight w:val="420"/>
          <w:tblHeader/>
        </w:trPr>
        <w:tc>
          <w:tcPr>
            <w:tcW w:w="1890" w:type="dxa"/>
            <w:tcBorders>
              <w:top w:val="single" w:sz="8" w:space="0" w:color="auto"/>
              <w:left w:val="single" w:sz="8" w:space="0" w:color="auto"/>
              <w:bottom w:val="single" w:sz="8" w:space="0" w:color="auto"/>
              <w:right w:val="single" w:sz="8" w:space="0" w:color="auto"/>
            </w:tcBorders>
            <w:vAlign w:val="center"/>
          </w:tcPr>
          <w:p w14:paraId="173815B5" w14:textId="0168968B" w:rsidR="003D5A1B" w:rsidRPr="00FB463B" w:rsidRDefault="003D5A1B" w:rsidP="003D5A1B">
            <w:pPr>
              <w:jc w:val="center"/>
              <w:rPr>
                <w:rFonts w:eastAsia="Arial" w:cs="Arial"/>
                <w:b/>
                <w:bCs/>
              </w:rPr>
            </w:pPr>
            <w:r w:rsidRPr="00FB463B">
              <w:rPr>
                <w:rFonts w:eastAsia="Arial" w:cs="Arial"/>
                <w:b/>
                <w:bCs/>
              </w:rPr>
              <w:t>Percentile</w:t>
            </w:r>
          </w:p>
        </w:tc>
        <w:tc>
          <w:tcPr>
            <w:tcW w:w="1890" w:type="dxa"/>
            <w:tcBorders>
              <w:top w:val="single" w:sz="8" w:space="0" w:color="auto"/>
              <w:left w:val="single" w:sz="8" w:space="0" w:color="auto"/>
              <w:bottom w:val="single" w:sz="8" w:space="0" w:color="auto"/>
              <w:right w:val="single" w:sz="8" w:space="0" w:color="auto"/>
            </w:tcBorders>
          </w:tcPr>
          <w:p w14:paraId="553827F1" w14:textId="35202296" w:rsidR="1E8A0274" w:rsidRPr="00FB463B" w:rsidRDefault="00196467" w:rsidP="1E8A0274">
            <w:pPr>
              <w:jc w:val="center"/>
              <w:rPr>
                <w:rFonts w:eastAsia="Arial" w:cs="Arial"/>
                <w:b/>
                <w:bCs/>
              </w:rPr>
            </w:pPr>
            <w:r w:rsidRPr="00FB463B">
              <w:rPr>
                <w:rFonts w:eastAsia="Arial" w:cs="Arial"/>
                <w:b/>
                <w:bCs/>
              </w:rPr>
              <w:t>2023 ELPI</w:t>
            </w:r>
            <w:r w:rsidR="1E8A0274" w:rsidRPr="00FB463B">
              <w:rPr>
                <w:rFonts w:eastAsia="Arial" w:cs="Arial"/>
                <w:b/>
                <w:bCs/>
              </w:rPr>
              <w:t xml:space="preserve"> Simulation</w:t>
            </w:r>
          </w:p>
        </w:tc>
      </w:tr>
      <w:tr w:rsidR="1E8A0274" w:rsidRPr="00FB463B" w14:paraId="24BB8A08"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14EDCA2D" w14:textId="3862243B" w:rsidR="003D5A1B" w:rsidRPr="00FB463B" w:rsidRDefault="003D5A1B" w:rsidP="003D5A1B">
            <w:pPr>
              <w:jc w:val="center"/>
              <w:rPr>
                <w:rFonts w:eastAsia="Arial" w:cs="Arial"/>
                <w:b/>
                <w:bCs/>
              </w:rPr>
            </w:pPr>
            <w:r w:rsidRPr="00FB463B">
              <w:rPr>
                <w:rFonts w:eastAsia="Arial" w:cs="Arial"/>
                <w:b/>
                <w:bCs/>
              </w:rPr>
              <w:t>5</w:t>
            </w:r>
          </w:p>
        </w:tc>
        <w:tc>
          <w:tcPr>
            <w:tcW w:w="1890" w:type="dxa"/>
            <w:tcBorders>
              <w:top w:val="single" w:sz="8" w:space="0" w:color="auto"/>
              <w:left w:val="single" w:sz="8" w:space="0" w:color="auto"/>
              <w:bottom w:val="single" w:sz="8" w:space="0" w:color="auto"/>
              <w:right w:val="single" w:sz="8" w:space="0" w:color="auto"/>
            </w:tcBorders>
          </w:tcPr>
          <w:p w14:paraId="5C1DD33A" w14:textId="5CACB628" w:rsidR="1E8A0274" w:rsidRPr="00FB463B" w:rsidRDefault="1E8A0274" w:rsidP="1E8A0274">
            <w:pPr>
              <w:jc w:val="center"/>
              <w:rPr>
                <w:rFonts w:eastAsia="Arial" w:cs="Arial"/>
              </w:rPr>
            </w:pPr>
            <w:r w:rsidRPr="00FB463B">
              <w:rPr>
                <w:rFonts w:eastAsia="Arial" w:cs="Arial"/>
              </w:rPr>
              <w:t>-20.200</w:t>
            </w:r>
          </w:p>
        </w:tc>
      </w:tr>
      <w:tr w:rsidR="1E8A0274" w:rsidRPr="00FB463B" w14:paraId="4A723DB7"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354EB136" w14:textId="2814CDD1" w:rsidR="003D5A1B" w:rsidRPr="00FB463B" w:rsidRDefault="003D5A1B" w:rsidP="003D5A1B">
            <w:pPr>
              <w:jc w:val="center"/>
              <w:rPr>
                <w:rFonts w:eastAsia="Arial" w:cs="Arial"/>
                <w:b/>
                <w:bCs/>
              </w:rPr>
            </w:pPr>
            <w:r w:rsidRPr="00FB463B">
              <w:rPr>
                <w:rFonts w:eastAsia="Arial" w:cs="Arial"/>
                <w:b/>
                <w:bCs/>
              </w:rPr>
              <w:t>10</w:t>
            </w:r>
          </w:p>
        </w:tc>
        <w:tc>
          <w:tcPr>
            <w:tcW w:w="1890" w:type="dxa"/>
            <w:tcBorders>
              <w:top w:val="single" w:sz="8" w:space="0" w:color="auto"/>
              <w:left w:val="single" w:sz="8" w:space="0" w:color="auto"/>
              <w:bottom w:val="single" w:sz="8" w:space="0" w:color="auto"/>
              <w:right w:val="single" w:sz="8" w:space="0" w:color="auto"/>
            </w:tcBorders>
          </w:tcPr>
          <w:p w14:paraId="149ACF04" w14:textId="68D50A86" w:rsidR="1E8A0274" w:rsidRPr="00FB463B" w:rsidRDefault="1E8A0274" w:rsidP="1E8A0274">
            <w:pPr>
              <w:jc w:val="center"/>
              <w:rPr>
                <w:rFonts w:eastAsia="Arial" w:cs="Arial"/>
              </w:rPr>
            </w:pPr>
            <w:r w:rsidRPr="00FB463B">
              <w:rPr>
                <w:rFonts w:eastAsia="Arial" w:cs="Arial"/>
              </w:rPr>
              <w:t>-14.600</w:t>
            </w:r>
          </w:p>
        </w:tc>
      </w:tr>
      <w:tr w:rsidR="1E8A0274" w:rsidRPr="00FB463B" w14:paraId="38E10AAC"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4F476D3D" w14:textId="4128915C" w:rsidR="003D5A1B" w:rsidRPr="00FB463B" w:rsidRDefault="003D5A1B" w:rsidP="003D5A1B">
            <w:pPr>
              <w:jc w:val="center"/>
              <w:rPr>
                <w:rFonts w:eastAsia="Arial" w:cs="Arial"/>
                <w:b/>
                <w:bCs/>
              </w:rPr>
            </w:pPr>
            <w:r w:rsidRPr="00FB463B">
              <w:rPr>
                <w:rFonts w:eastAsia="Arial" w:cs="Arial"/>
                <w:b/>
                <w:bCs/>
              </w:rPr>
              <w:t>15</w:t>
            </w:r>
          </w:p>
        </w:tc>
        <w:tc>
          <w:tcPr>
            <w:tcW w:w="1890" w:type="dxa"/>
            <w:tcBorders>
              <w:top w:val="single" w:sz="8" w:space="0" w:color="auto"/>
              <w:left w:val="single" w:sz="8" w:space="0" w:color="auto"/>
              <w:bottom w:val="single" w:sz="8" w:space="0" w:color="auto"/>
              <w:right w:val="single" w:sz="8" w:space="0" w:color="auto"/>
            </w:tcBorders>
          </w:tcPr>
          <w:p w14:paraId="4543AD82" w14:textId="5001A965" w:rsidR="1E8A0274" w:rsidRPr="00FB463B" w:rsidRDefault="1E8A0274" w:rsidP="1E8A0274">
            <w:pPr>
              <w:jc w:val="center"/>
              <w:rPr>
                <w:rFonts w:eastAsia="Arial" w:cs="Arial"/>
              </w:rPr>
            </w:pPr>
            <w:r w:rsidRPr="00FB463B">
              <w:rPr>
                <w:rFonts w:eastAsia="Arial" w:cs="Arial"/>
              </w:rPr>
              <w:t>-10.600</w:t>
            </w:r>
          </w:p>
        </w:tc>
      </w:tr>
      <w:tr w:rsidR="1E8A0274" w:rsidRPr="00FB463B" w14:paraId="2A3EA6B2"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72261C52" w14:textId="4C5D465F" w:rsidR="003D5A1B" w:rsidRPr="00FB463B" w:rsidRDefault="003D5A1B" w:rsidP="003D5A1B">
            <w:pPr>
              <w:jc w:val="center"/>
              <w:rPr>
                <w:rFonts w:eastAsia="Arial" w:cs="Arial"/>
                <w:b/>
                <w:bCs/>
              </w:rPr>
            </w:pPr>
            <w:r w:rsidRPr="00FB463B">
              <w:rPr>
                <w:rFonts w:eastAsia="Arial" w:cs="Arial"/>
                <w:b/>
                <w:bCs/>
              </w:rPr>
              <w:t>20</w:t>
            </w:r>
          </w:p>
        </w:tc>
        <w:tc>
          <w:tcPr>
            <w:tcW w:w="1890" w:type="dxa"/>
            <w:tcBorders>
              <w:top w:val="single" w:sz="8" w:space="0" w:color="auto"/>
              <w:left w:val="single" w:sz="8" w:space="0" w:color="auto"/>
              <w:bottom w:val="single" w:sz="8" w:space="0" w:color="auto"/>
              <w:right w:val="single" w:sz="8" w:space="0" w:color="auto"/>
            </w:tcBorders>
          </w:tcPr>
          <w:p w14:paraId="306CE032" w14:textId="6ACC650D" w:rsidR="1E8A0274" w:rsidRPr="00FB463B" w:rsidRDefault="1E8A0274" w:rsidP="1E8A0274">
            <w:pPr>
              <w:jc w:val="center"/>
              <w:rPr>
                <w:rFonts w:eastAsia="Arial" w:cs="Arial"/>
              </w:rPr>
            </w:pPr>
            <w:r w:rsidRPr="00FB463B">
              <w:rPr>
                <w:rFonts w:eastAsia="Arial" w:cs="Arial"/>
              </w:rPr>
              <w:t>-8.300</w:t>
            </w:r>
          </w:p>
        </w:tc>
      </w:tr>
      <w:tr w:rsidR="1E8A0274" w:rsidRPr="00FB463B" w14:paraId="0CAC6D3D"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70CD8BE4" w14:textId="31617D15" w:rsidR="003D5A1B" w:rsidRPr="00FB463B" w:rsidRDefault="003D5A1B" w:rsidP="003D5A1B">
            <w:pPr>
              <w:jc w:val="center"/>
              <w:rPr>
                <w:rFonts w:eastAsia="Arial" w:cs="Arial"/>
                <w:b/>
                <w:bCs/>
              </w:rPr>
            </w:pPr>
            <w:r w:rsidRPr="00FB463B">
              <w:rPr>
                <w:rFonts w:eastAsia="Arial" w:cs="Arial"/>
                <w:b/>
                <w:bCs/>
              </w:rPr>
              <w:t>25</w:t>
            </w:r>
          </w:p>
        </w:tc>
        <w:tc>
          <w:tcPr>
            <w:tcW w:w="1890" w:type="dxa"/>
            <w:tcBorders>
              <w:top w:val="single" w:sz="8" w:space="0" w:color="auto"/>
              <w:left w:val="single" w:sz="8" w:space="0" w:color="auto"/>
              <w:bottom w:val="single" w:sz="8" w:space="0" w:color="auto"/>
              <w:right w:val="single" w:sz="8" w:space="0" w:color="auto"/>
            </w:tcBorders>
          </w:tcPr>
          <w:p w14:paraId="6D89B074" w14:textId="3E4D8A00" w:rsidR="1E8A0274" w:rsidRPr="00FB463B" w:rsidRDefault="1E8A0274" w:rsidP="1E8A0274">
            <w:pPr>
              <w:jc w:val="center"/>
              <w:rPr>
                <w:rFonts w:eastAsia="Arial" w:cs="Arial"/>
              </w:rPr>
            </w:pPr>
            <w:r w:rsidRPr="00FB463B">
              <w:rPr>
                <w:rFonts w:eastAsia="Arial" w:cs="Arial"/>
              </w:rPr>
              <w:t>-6.350</w:t>
            </w:r>
          </w:p>
        </w:tc>
      </w:tr>
      <w:tr w:rsidR="1E8A0274" w:rsidRPr="00FB463B" w14:paraId="3D7E0438"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225A045A" w14:textId="04086EEA" w:rsidR="003D5A1B" w:rsidRPr="00FB463B" w:rsidRDefault="003D5A1B" w:rsidP="003D5A1B">
            <w:pPr>
              <w:jc w:val="center"/>
              <w:rPr>
                <w:rFonts w:eastAsia="Arial" w:cs="Arial"/>
                <w:b/>
                <w:bCs/>
              </w:rPr>
            </w:pPr>
            <w:r w:rsidRPr="00FB463B">
              <w:rPr>
                <w:rFonts w:eastAsia="Arial" w:cs="Arial"/>
                <w:b/>
                <w:bCs/>
              </w:rPr>
              <w:t>30</w:t>
            </w:r>
          </w:p>
        </w:tc>
        <w:tc>
          <w:tcPr>
            <w:tcW w:w="1890" w:type="dxa"/>
            <w:tcBorders>
              <w:top w:val="single" w:sz="8" w:space="0" w:color="auto"/>
              <w:left w:val="single" w:sz="8" w:space="0" w:color="auto"/>
              <w:bottom w:val="single" w:sz="8" w:space="0" w:color="auto"/>
              <w:right w:val="single" w:sz="8" w:space="0" w:color="auto"/>
            </w:tcBorders>
          </w:tcPr>
          <w:p w14:paraId="31D86CCC" w14:textId="3FB3F997" w:rsidR="1E8A0274" w:rsidRPr="00FB463B" w:rsidRDefault="1E8A0274" w:rsidP="1E8A0274">
            <w:pPr>
              <w:jc w:val="center"/>
              <w:rPr>
                <w:rFonts w:eastAsia="Arial" w:cs="Arial"/>
              </w:rPr>
            </w:pPr>
            <w:r w:rsidRPr="00FB463B">
              <w:rPr>
                <w:rFonts w:eastAsia="Arial" w:cs="Arial"/>
              </w:rPr>
              <w:t>-4.700</w:t>
            </w:r>
          </w:p>
        </w:tc>
      </w:tr>
      <w:tr w:rsidR="1E8A0274" w:rsidRPr="00FB463B" w14:paraId="7561FE89"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475DCE5C" w14:textId="5293CA25" w:rsidR="003D5A1B" w:rsidRPr="00FB463B" w:rsidRDefault="003D5A1B" w:rsidP="003D5A1B">
            <w:pPr>
              <w:jc w:val="center"/>
              <w:rPr>
                <w:rFonts w:eastAsia="Arial" w:cs="Arial"/>
                <w:b/>
                <w:bCs/>
              </w:rPr>
            </w:pPr>
            <w:r w:rsidRPr="00FB463B">
              <w:rPr>
                <w:rFonts w:eastAsia="Arial" w:cs="Arial"/>
                <w:b/>
                <w:bCs/>
              </w:rPr>
              <w:t>35</w:t>
            </w:r>
          </w:p>
        </w:tc>
        <w:tc>
          <w:tcPr>
            <w:tcW w:w="1890" w:type="dxa"/>
            <w:tcBorders>
              <w:top w:val="single" w:sz="8" w:space="0" w:color="auto"/>
              <w:left w:val="single" w:sz="8" w:space="0" w:color="auto"/>
              <w:bottom w:val="single" w:sz="8" w:space="0" w:color="auto"/>
              <w:right w:val="single" w:sz="8" w:space="0" w:color="auto"/>
            </w:tcBorders>
          </w:tcPr>
          <w:p w14:paraId="74DAA0E8" w14:textId="767AFCA7" w:rsidR="1E8A0274" w:rsidRPr="00FB463B" w:rsidRDefault="1E8A0274" w:rsidP="1E8A0274">
            <w:pPr>
              <w:jc w:val="center"/>
              <w:rPr>
                <w:rFonts w:eastAsia="Arial" w:cs="Arial"/>
              </w:rPr>
            </w:pPr>
            <w:r w:rsidRPr="00FB463B">
              <w:rPr>
                <w:rFonts w:eastAsia="Arial" w:cs="Arial"/>
              </w:rPr>
              <w:t>-3.300</w:t>
            </w:r>
          </w:p>
        </w:tc>
      </w:tr>
      <w:tr w:rsidR="1E8A0274" w:rsidRPr="00FB463B" w14:paraId="3DB299EB"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13429136" w14:textId="0ABEBDB1" w:rsidR="003D5A1B" w:rsidRPr="00FB463B" w:rsidRDefault="003D5A1B" w:rsidP="003D5A1B">
            <w:pPr>
              <w:jc w:val="center"/>
              <w:rPr>
                <w:rFonts w:eastAsia="Arial" w:cs="Arial"/>
                <w:b/>
                <w:bCs/>
              </w:rPr>
            </w:pPr>
            <w:r w:rsidRPr="00FB463B">
              <w:rPr>
                <w:rFonts w:eastAsia="Arial" w:cs="Arial"/>
                <w:b/>
                <w:bCs/>
              </w:rPr>
              <w:t>40</w:t>
            </w:r>
          </w:p>
        </w:tc>
        <w:tc>
          <w:tcPr>
            <w:tcW w:w="1890" w:type="dxa"/>
            <w:tcBorders>
              <w:top w:val="single" w:sz="8" w:space="0" w:color="auto"/>
              <w:left w:val="single" w:sz="8" w:space="0" w:color="auto"/>
              <w:bottom w:val="single" w:sz="8" w:space="0" w:color="auto"/>
              <w:right w:val="single" w:sz="8" w:space="0" w:color="auto"/>
            </w:tcBorders>
          </w:tcPr>
          <w:p w14:paraId="0645FE47" w14:textId="673B9AF6" w:rsidR="1E8A0274" w:rsidRPr="00FB463B" w:rsidRDefault="1E8A0274" w:rsidP="1E8A0274">
            <w:pPr>
              <w:jc w:val="center"/>
              <w:rPr>
                <w:rFonts w:eastAsia="Arial" w:cs="Arial"/>
              </w:rPr>
            </w:pPr>
            <w:r w:rsidRPr="00FB463B">
              <w:rPr>
                <w:rFonts w:eastAsia="Arial" w:cs="Arial"/>
              </w:rPr>
              <w:t>-1.900</w:t>
            </w:r>
          </w:p>
        </w:tc>
      </w:tr>
      <w:tr w:rsidR="1E8A0274" w:rsidRPr="00FB463B" w14:paraId="5BBE9927"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7B6E9F3D" w14:textId="527FF762" w:rsidR="003D5A1B" w:rsidRPr="00FB463B" w:rsidRDefault="003D5A1B" w:rsidP="003D5A1B">
            <w:pPr>
              <w:jc w:val="center"/>
              <w:rPr>
                <w:rFonts w:eastAsia="Arial" w:cs="Arial"/>
                <w:b/>
                <w:bCs/>
              </w:rPr>
            </w:pPr>
            <w:r w:rsidRPr="00FB463B">
              <w:rPr>
                <w:rFonts w:eastAsia="Arial" w:cs="Arial"/>
                <w:b/>
                <w:bCs/>
              </w:rPr>
              <w:t>45</w:t>
            </w:r>
          </w:p>
        </w:tc>
        <w:tc>
          <w:tcPr>
            <w:tcW w:w="1890" w:type="dxa"/>
            <w:tcBorders>
              <w:top w:val="single" w:sz="8" w:space="0" w:color="auto"/>
              <w:left w:val="single" w:sz="8" w:space="0" w:color="auto"/>
              <w:bottom w:val="single" w:sz="8" w:space="0" w:color="auto"/>
              <w:right w:val="single" w:sz="8" w:space="0" w:color="auto"/>
            </w:tcBorders>
          </w:tcPr>
          <w:p w14:paraId="29B59A4C" w14:textId="74B4B8CA" w:rsidR="1E8A0274" w:rsidRPr="00FB463B" w:rsidRDefault="1E8A0274" w:rsidP="1E8A0274">
            <w:pPr>
              <w:jc w:val="center"/>
              <w:rPr>
                <w:rFonts w:eastAsia="Arial" w:cs="Arial"/>
              </w:rPr>
            </w:pPr>
            <w:r w:rsidRPr="00FB463B">
              <w:rPr>
                <w:rFonts w:eastAsia="Arial" w:cs="Arial"/>
              </w:rPr>
              <w:t>-0.900</w:t>
            </w:r>
          </w:p>
        </w:tc>
      </w:tr>
      <w:tr w:rsidR="1E8A0274" w:rsidRPr="00FB463B" w14:paraId="06886AC1"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05F45A7F" w14:textId="12423A67" w:rsidR="003D5A1B" w:rsidRPr="00FB463B" w:rsidRDefault="003D5A1B" w:rsidP="003D5A1B">
            <w:pPr>
              <w:jc w:val="center"/>
              <w:rPr>
                <w:rFonts w:eastAsia="Arial" w:cs="Arial"/>
                <w:b/>
                <w:bCs/>
              </w:rPr>
            </w:pPr>
            <w:r w:rsidRPr="00FB463B">
              <w:rPr>
                <w:rFonts w:eastAsia="Arial" w:cs="Arial"/>
                <w:b/>
                <w:bCs/>
              </w:rPr>
              <w:t>50</w:t>
            </w:r>
          </w:p>
        </w:tc>
        <w:tc>
          <w:tcPr>
            <w:tcW w:w="1890" w:type="dxa"/>
            <w:tcBorders>
              <w:top w:val="single" w:sz="8" w:space="0" w:color="auto"/>
              <w:left w:val="single" w:sz="8" w:space="0" w:color="auto"/>
              <w:bottom w:val="single" w:sz="8" w:space="0" w:color="auto"/>
              <w:right w:val="single" w:sz="8" w:space="0" w:color="auto"/>
            </w:tcBorders>
          </w:tcPr>
          <w:p w14:paraId="3DD97D40" w14:textId="54220D06" w:rsidR="1E8A0274" w:rsidRPr="00FB463B" w:rsidRDefault="1E8A0274" w:rsidP="1E8A0274">
            <w:pPr>
              <w:jc w:val="center"/>
              <w:rPr>
                <w:rFonts w:eastAsia="Arial" w:cs="Arial"/>
              </w:rPr>
            </w:pPr>
            <w:r w:rsidRPr="00FB463B">
              <w:rPr>
                <w:rFonts w:eastAsia="Arial" w:cs="Arial"/>
              </w:rPr>
              <w:t>0.000</w:t>
            </w:r>
          </w:p>
        </w:tc>
      </w:tr>
      <w:tr w:rsidR="1E8A0274" w:rsidRPr="00FB463B" w14:paraId="7377AC5C"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54A3DB26" w14:textId="11C7460E" w:rsidR="003D5A1B" w:rsidRPr="00FB463B" w:rsidRDefault="003D5A1B" w:rsidP="003D5A1B">
            <w:pPr>
              <w:jc w:val="center"/>
              <w:rPr>
                <w:rFonts w:eastAsia="Arial" w:cs="Arial"/>
                <w:b/>
                <w:bCs/>
              </w:rPr>
            </w:pPr>
            <w:r w:rsidRPr="00FB463B">
              <w:rPr>
                <w:rFonts w:eastAsia="Arial" w:cs="Arial"/>
                <w:b/>
                <w:bCs/>
              </w:rPr>
              <w:t>55</w:t>
            </w:r>
          </w:p>
        </w:tc>
        <w:tc>
          <w:tcPr>
            <w:tcW w:w="1890" w:type="dxa"/>
            <w:tcBorders>
              <w:top w:val="single" w:sz="8" w:space="0" w:color="auto"/>
              <w:left w:val="single" w:sz="8" w:space="0" w:color="auto"/>
              <w:bottom w:val="single" w:sz="8" w:space="0" w:color="auto"/>
              <w:right w:val="single" w:sz="8" w:space="0" w:color="auto"/>
            </w:tcBorders>
          </w:tcPr>
          <w:p w14:paraId="35FA1FBE" w14:textId="395A91E5" w:rsidR="1E8A0274" w:rsidRPr="00FB463B" w:rsidRDefault="1E8A0274" w:rsidP="1E8A0274">
            <w:pPr>
              <w:jc w:val="center"/>
              <w:rPr>
                <w:rFonts w:eastAsia="Arial" w:cs="Arial"/>
              </w:rPr>
            </w:pPr>
            <w:r w:rsidRPr="00FB463B">
              <w:rPr>
                <w:rFonts w:eastAsia="Arial" w:cs="Arial"/>
              </w:rPr>
              <w:t>1.050</w:t>
            </w:r>
          </w:p>
        </w:tc>
      </w:tr>
      <w:tr w:rsidR="1E8A0274" w:rsidRPr="00FB463B" w14:paraId="44A2DE63"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5643D3D4" w14:textId="24D74940" w:rsidR="003D5A1B" w:rsidRPr="00FB463B" w:rsidRDefault="003D5A1B" w:rsidP="003D5A1B">
            <w:pPr>
              <w:jc w:val="center"/>
              <w:rPr>
                <w:rFonts w:eastAsia="Arial" w:cs="Arial"/>
                <w:b/>
                <w:bCs/>
              </w:rPr>
            </w:pPr>
            <w:r w:rsidRPr="00FB463B">
              <w:rPr>
                <w:rFonts w:eastAsia="Arial" w:cs="Arial"/>
                <w:b/>
                <w:bCs/>
              </w:rPr>
              <w:t>60</w:t>
            </w:r>
          </w:p>
        </w:tc>
        <w:tc>
          <w:tcPr>
            <w:tcW w:w="1890" w:type="dxa"/>
            <w:tcBorders>
              <w:top w:val="single" w:sz="8" w:space="0" w:color="auto"/>
              <w:left w:val="single" w:sz="8" w:space="0" w:color="auto"/>
              <w:bottom w:val="single" w:sz="8" w:space="0" w:color="auto"/>
              <w:right w:val="single" w:sz="8" w:space="0" w:color="auto"/>
            </w:tcBorders>
          </w:tcPr>
          <w:p w14:paraId="550D8540" w14:textId="629BDB8D" w:rsidR="1E8A0274" w:rsidRPr="00FB463B" w:rsidRDefault="1E8A0274" w:rsidP="1E8A0274">
            <w:pPr>
              <w:jc w:val="center"/>
              <w:rPr>
                <w:rFonts w:eastAsia="Arial" w:cs="Arial"/>
              </w:rPr>
            </w:pPr>
            <w:r w:rsidRPr="00FB463B">
              <w:rPr>
                <w:rFonts w:eastAsia="Arial" w:cs="Arial"/>
              </w:rPr>
              <w:t>2.400</w:t>
            </w:r>
          </w:p>
        </w:tc>
      </w:tr>
      <w:tr w:rsidR="1E8A0274" w:rsidRPr="00FB463B" w14:paraId="1975905E"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7CB3EF90" w14:textId="7221DEA2" w:rsidR="003D5A1B" w:rsidRPr="00FB463B" w:rsidRDefault="003D5A1B" w:rsidP="003D5A1B">
            <w:pPr>
              <w:jc w:val="center"/>
              <w:rPr>
                <w:rFonts w:eastAsia="Arial" w:cs="Arial"/>
                <w:b/>
                <w:bCs/>
              </w:rPr>
            </w:pPr>
            <w:r w:rsidRPr="00FB463B">
              <w:rPr>
                <w:rFonts w:eastAsia="Arial" w:cs="Arial"/>
                <w:b/>
                <w:bCs/>
              </w:rPr>
              <w:t>65</w:t>
            </w:r>
          </w:p>
        </w:tc>
        <w:tc>
          <w:tcPr>
            <w:tcW w:w="1890" w:type="dxa"/>
            <w:tcBorders>
              <w:top w:val="single" w:sz="8" w:space="0" w:color="auto"/>
              <w:left w:val="single" w:sz="8" w:space="0" w:color="auto"/>
              <w:bottom w:val="single" w:sz="8" w:space="0" w:color="auto"/>
              <w:right w:val="single" w:sz="8" w:space="0" w:color="auto"/>
            </w:tcBorders>
          </w:tcPr>
          <w:p w14:paraId="42DEC284" w14:textId="10429681" w:rsidR="1E8A0274" w:rsidRPr="00FB463B" w:rsidRDefault="1E8A0274" w:rsidP="1E8A0274">
            <w:pPr>
              <w:jc w:val="center"/>
              <w:rPr>
                <w:rFonts w:eastAsia="Arial" w:cs="Arial"/>
              </w:rPr>
            </w:pPr>
            <w:r w:rsidRPr="00FB463B">
              <w:rPr>
                <w:rFonts w:eastAsia="Arial" w:cs="Arial"/>
              </w:rPr>
              <w:t>3.600</w:t>
            </w:r>
          </w:p>
        </w:tc>
      </w:tr>
      <w:tr w:rsidR="1E8A0274" w:rsidRPr="00FB463B" w14:paraId="31A41DD9"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1221671B" w14:textId="1866EA82" w:rsidR="003D5A1B" w:rsidRPr="00FB463B" w:rsidRDefault="003D5A1B" w:rsidP="003D5A1B">
            <w:pPr>
              <w:jc w:val="center"/>
              <w:rPr>
                <w:rFonts w:eastAsia="Arial" w:cs="Arial"/>
                <w:b/>
                <w:bCs/>
              </w:rPr>
            </w:pPr>
            <w:r w:rsidRPr="00FB463B">
              <w:rPr>
                <w:rFonts w:eastAsia="Arial" w:cs="Arial"/>
                <w:b/>
                <w:bCs/>
              </w:rPr>
              <w:t>70</w:t>
            </w:r>
          </w:p>
        </w:tc>
        <w:tc>
          <w:tcPr>
            <w:tcW w:w="1890" w:type="dxa"/>
            <w:tcBorders>
              <w:top w:val="single" w:sz="8" w:space="0" w:color="auto"/>
              <w:left w:val="single" w:sz="8" w:space="0" w:color="auto"/>
              <w:bottom w:val="single" w:sz="8" w:space="0" w:color="auto"/>
              <w:right w:val="single" w:sz="8" w:space="0" w:color="auto"/>
            </w:tcBorders>
          </w:tcPr>
          <w:p w14:paraId="1CB68EBF" w14:textId="65948404" w:rsidR="1E8A0274" w:rsidRPr="00FB463B" w:rsidRDefault="1E8A0274" w:rsidP="1E8A0274">
            <w:pPr>
              <w:jc w:val="center"/>
              <w:rPr>
                <w:rFonts w:eastAsia="Arial" w:cs="Arial"/>
              </w:rPr>
            </w:pPr>
            <w:r w:rsidRPr="00FB463B">
              <w:rPr>
                <w:rFonts w:eastAsia="Arial" w:cs="Arial"/>
              </w:rPr>
              <w:t>4.800</w:t>
            </w:r>
          </w:p>
        </w:tc>
      </w:tr>
      <w:tr w:rsidR="1E8A0274" w:rsidRPr="00FB463B" w14:paraId="6C8BE688"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480EA8DF" w14:textId="3F3F483B" w:rsidR="003D5A1B" w:rsidRPr="00FB463B" w:rsidRDefault="003D5A1B" w:rsidP="003D5A1B">
            <w:pPr>
              <w:jc w:val="center"/>
              <w:rPr>
                <w:rFonts w:eastAsia="Arial" w:cs="Arial"/>
                <w:b/>
                <w:bCs/>
              </w:rPr>
            </w:pPr>
            <w:r w:rsidRPr="00FB463B">
              <w:rPr>
                <w:rFonts w:eastAsia="Arial" w:cs="Arial"/>
                <w:b/>
                <w:bCs/>
              </w:rPr>
              <w:t>75</w:t>
            </w:r>
          </w:p>
        </w:tc>
        <w:tc>
          <w:tcPr>
            <w:tcW w:w="1890" w:type="dxa"/>
            <w:tcBorders>
              <w:top w:val="single" w:sz="8" w:space="0" w:color="auto"/>
              <w:left w:val="single" w:sz="8" w:space="0" w:color="auto"/>
              <w:bottom w:val="single" w:sz="8" w:space="0" w:color="auto"/>
              <w:right w:val="single" w:sz="8" w:space="0" w:color="auto"/>
            </w:tcBorders>
          </w:tcPr>
          <w:p w14:paraId="38215C78" w14:textId="0D996D4A" w:rsidR="1E8A0274" w:rsidRPr="00FB463B" w:rsidRDefault="1E8A0274" w:rsidP="1E8A0274">
            <w:pPr>
              <w:jc w:val="center"/>
              <w:rPr>
                <w:rFonts w:eastAsia="Arial" w:cs="Arial"/>
              </w:rPr>
            </w:pPr>
            <w:r w:rsidRPr="00FB463B">
              <w:rPr>
                <w:rFonts w:eastAsia="Arial" w:cs="Arial"/>
              </w:rPr>
              <w:t>6.100</w:t>
            </w:r>
          </w:p>
        </w:tc>
      </w:tr>
      <w:tr w:rsidR="1E8A0274" w:rsidRPr="00FB463B" w14:paraId="7908DC48"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452A5D5E" w14:textId="79C2D273" w:rsidR="003D5A1B" w:rsidRPr="00FB463B" w:rsidRDefault="003D5A1B" w:rsidP="003D5A1B">
            <w:pPr>
              <w:jc w:val="center"/>
              <w:rPr>
                <w:rFonts w:eastAsia="Arial" w:cs="Arial"/>
                <w:b/>
                <w:bCs/>
              </w:rPr>
            </w:pPr>
            <w:r w:rsidRPr="00FB463B">
              <w:rPr>
                <w:rFonts w:eastAsia="Arial" w:cs="Arial"/>
                <w:b/>
                <w:bCs/>
              </w:rPr>
              <w:t>80</w:t>
            </w:r>
          </w:p>
        </w:tc>
        <w:tc>
          <w:tcPr>
            <w:tcW w:w="1890" w:type="dxa"/>
            <w:tcBorders>
              <w:top w:val="single" w:sz="8" w:space="0" w:color="auto"/>
              <w:left w:val="single" w:sz="8" w:space="0" w:color="auto"/>
              <w:bottom w:val="single" w:sz="8" w:space="0" w:color="auto"/>
              <w:right w:val="single" w:sz="8" w:space="0" w:color="auto"/>
            </w:tcBorders>
          </w:tcPr>
          <w:p w14:paraId="5E511352" w14:textId="52026F92" w:rsidR="1E8A0274" w:rsidRPr="00FB463B" w:rsidRDefault="1E8A0274" w:rsidP="1E8A0274">
            <w:pPr>
              <w:jc w:val="center"/>
              <w:rPr>
                <w:rFonts w:eastAsia="Arial" w:cs="Arial"/>
              </w:rPr>
            </w:pPr>
            <w:r w:rsidRPr="00FB463B">
              <w:rPr>
                <w:rFonts w:eastAsia="Arial" w:cs="Arial"/>
              </w:rPr>
              <w:t>8.300</w:t>
            </w:r>
          </w:p>
        </w:tc>
      </w:tr>
      <w:tr w:rsidR="1E8A0274" w:rsidRPr="00FB463B" w14:paraId="443C1AA3"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00C944B7" w14:textId="42108FDF" w:rsidR="003D5A1B" w:rsidRPr="00FB463B" w:rsidRDefault="003D5A1B" w:rsidP="003D5A1B">
            <w:pPr>
              <w:jc w:val="center"/>
              <w:rPr>
                <w:rFonts w:eastAsia="Arial" w:cs="Arial"/>
                <w:b/>
                <w:bCs/>
              </w:rPr>
            </w:pPr>
            <w:r w:rsidRPr="00FB463B">
              <w:rPr>
                <w:rFonts w:eastAsia="Arial" w:cs="Arial"/>
                <w:b/>
                <w:bCs/>
              </w:rPr>
              <w:t>85</w:t>
            </w:r>
          </w:p>
        </w:tc>
        <w:tc>
          <w:tcPr>
            <w:tcW w:w="1890" w:type="dxa"/>
            <w:tcBorders>
              <w:top w:val="single" w:sz="8" w:space="0" w:color="auto"/>
              <w:left w:val="single" w:sz="8" w:space="0" w:color="auto"/>
              <w:bottom w:val="single" w:sz="8" w:space="0" w:color="auto"/>
              <w:right w:val="single" w:sz="8" w:space="0" w:color="auto"/>
            </w:tcBorders>
          </w:tcPr>
          <w:p w14:paraId="3B9EE264" w14:textId="427F1D04" w:rsidR="1E8A0274" w:rsidRPr="00FB463B" w:rsidRDefault="1E8A0274" w:rsidP="1E8A0274">
            <w:pPr>
              <w:jc w:val="center"/>
              <w:rPr>
                <w:rFonts w:eastAsia="Arial" w:cs="Arial"/>
              </w:rPr>
            </w:pPr>
            <w:r w:rsidRPr="00FB463B">
              <w:rPr>
                <w:rFonts w:eastAsia="Arial" w:cs="Arial"/>
              </w:rPr>
              <w:t>9.950</w:t>
            </w:r>
          </w:p>
        </w:tc>
      </w:tr>
      <w:tr w:rsidR="1E8A0274" w:rsidRPr="00FB463B" w14:paraId="3901C008"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33104D0E" w14:textId="106C2EDD" w:rsidR="003D5A1B" w:rsidRPr="00FB463B" w:rsidRDefault="003D5A1B" w:rsidP="003D5A1B">
            <w:pPr>
              <w:jc w:val="center"/>
              <w:rPr>
                <w:rFonts w:eastAsia="Arial" w:cs="Arial"/>
                <w:b/>
                <w:bCs/>
              </w:rPr>
            </w:pPr>
            <w:r w:rsidRPr="00FB463B">
              <w:rPr>
                <w:rFonts w:eastAsia="Arial" w:cs="Arial"/>
                <w:b/>
                <w:bCs/>
              </w:rPr>
              <w:t>90</w:t>
            </w:r>
          </w:p>
        </w:tc>
        <w:tc>
          <w:tcPr>
            <w:tcW w:w="1890" w:type="dxa"/>
            <w:tcBorders>
              <w:top w:val="single" w:sz="8" w:space="0" w:color="auto"/>
              <w:left w:val="single" w:sz="8" w:space="0" w:color="auto"/>
              <w:bottom w:val="single" w:sz="8" w:space="0" w:color="auto"/>
              <w:right w:val="single" w:sz="8" w:space="0" w:color="auto"/>
            </w:tcBorders>
          </w:tcPr>
          <w:p w14:paraId="5E1CC5EE" w14:textId="2188E84A" w:rsidR="1E8A0274" w:rsidRPr="00FB463B" w:rsidRDefault="1E8A0274" w:rsidP="1E8A0274">
            <w:pPr>
              <w:jc w:val="center"/>
              <w:rPr>
                <w:rFonts w:eastAsia="Arial" w:cs="Arial"/>
              </w:rPr>
            </w:pPr>
            <w:r w:rsidRPr="00FB463B">
              <w:rPr>
                <w:rFonts w:eastAsia="Arial" w:cs="Arial"/>
              </w:rPr>
              <w:t>13.200</w:t>
            </w:r>
          </w:p>
        </w:tc>
      </w:tr>
      <w:tr w:rsidR="1E8A0274" w:rsidRPr="00FB463B" w14:paraId="7E9AA007" w14:textId="77777777" w:rsidTr="007871ED">
        <w:trPr>
          <w:cantSplit/>
          <w:trHeight w:val="300"/>
        </w:trPr>
        <w:tc>
          <w:tcPr>
            <w:tcW w:w="1890" w:type="dxa"/>
            <w:tcBorders>
              <w:top w:val="single" w:sz="8" w:space="0" w:color="auto"/>
              <w:left w:val="single" w:sz="8" w:space="0" w:color="auto"/>
              <w:bottom w:val="single" w:sz="8" w:space="0" w:color="auto"/>
              <w:right w:val="single" w:sz="8" w:space="0" w:color="auto"/>
            </w:tcBorders>
            <w:vAlign w:val="center"/>
          </w:tcPr>
          <w:p w14:paraId="073073E1" w14:textId="214E8763" w:rsidR="003D5A1B" w:rsidRPr="00FB463B" w:rsidRDefault="003D5A1B" w:rsidP="003D5A1B">
            <w:pPr>
              <w:jc w:val="center"/>
              <w:rPr>
                <w:rFonts w:eastAsia="Arial" w:cs="Arial"/>
                <w:b/>
                <w:bCs/>
              </w:rPr>
            </w:pPr>
            <w:r w:rsidRPr="00FB463B">
              <w:rPr>
                <w:rFonts w:eastAsia="Arial" w:cs="Arial"/>
                <w:b/>
                <w:bCs/>
              </w:rPr>
              <w:t>95</w:t>
            </w:r>
          </w:p>
        </w:tc>
        <w:tc>
          <w:tcPr>
            <w:tcW w:w="1890" w:type="dxa"/>
            <w:tcBorders>
              <w:top w:val="single" w:sz="8" w:space="0" w:color="auto"/>
              <w:left w:val="single" w:sz="8" w:space="0" w:color="auto"/>
              <w:bottom w:val="single" w:sz="8" w:space="0" w:color="auto"/>
              <w:right w:val="single" w:sz="8" w:space="0" w:color="auto"/>
            </w:tcBorders>
          </w:tcPr>
          <w:p w14:paraId="7A6C0888" w14:textId="1C441D73" w:rsidR="1E8A0274" w:rsidRPr="00FB463B" w:rsidRDefault="1E8A0274" w:rsidP="1E8A0274">
            <w:pPr>
              <w:jc w:val="center"/>
              <w:rPr>
                <w:rFonts w:eastAsia="Arial" w:cs="Arial"/>
              </w:rPr>
            </w:pPr>
            <w:r w:rsidRPr="00FB463B">
              <w:rPr>
                <w:rFonts w:eastAsia="Arial" w:cs="Arial"/>
              </w:rPr>
              <w:t>19.950</w:t>
            </w:r>
          </w:p>
        </w:tc>
      </w:tr>
    </w:tbl>
    <w:p w14:paraId="14BC337C" w14:textId="73ECA09D" w:rsidR="4E7F4BF9" w:rsidRPr="00FB463B" w:rsidRDefault="4E7F4BF9" w:rsidP="1E8A0274">
      <w:pPr>
        <w:spacing w:after="160" w:line="257" w:lineRule="auto"/>
        <w:rPr>
          <w:rFonts w:ascii="Calibri" w:eastAsia="Calibri" w:hAnsi="Calibri" w:cs="Calibri"/>
          <w:sz w:val="22"/>
          <w:szCs w:val="22"/>
        </w:rPr>
      </w:pPr>
    </w:p>
    <w:p w14:paraId="53EB622A" w14:textId="7E5215A3" w:rsidR="00F90B7C" w:rsidRPr="00FB463B" w:rsidRDefault="00720168" w:rsidP="1E8A0274">
      <w:pPr>
        <w:spacing w:after="160" w:line="257" w:lineRule="auto"/>
        <w:rPr>
          <w:rFonts w:eastAsia="Calibri" w:cs="Arial"/>
          <w:i/>
          <w:iCs/>
        </w:rPr>
      </w:pPr>
      <w:r w:rsidRPr="00FB463B">
        <w:rPr>
          <w:rFonts w:eastAsia="Calibri" w:cs="Arial"/>
          <w:i/>
          <w:iCs/>
        </w:rPr>
        <w:t>Feedback from Educational Partners</w:t>
      </w:r>
    </w:p>
    <w:p w14:paraId="3A9634FD" w14:textId="301B0198" w:rsidR="7C5D334E" w:rsidRPr="00FB463B" w:rsidRDefault="7C5D334E" w:rsidP="5442B7D8">
      <w:pPr>
        <w:spacing w:after="160" w:line="257" w:lineRule="auto"/>
        <w:rPr>
          <w:rFonts w:eastAsia="Arial" w:cs="Arial"/>
        </w:rPr>
      </w:pPr>
      <w:r w:rsidRPr="00FB463B">
        <w:rPr>
          <w:rFonts w:eastAsia="Arial" w:cs="Arial"/>
        </w:rPr>
        <w:t>T</w:t>
      </w:r>
      <w:r w:rsidR="00020EE3" w:rsidRPr="00FB463B">
        <w:rPr>
          <w:rFonts w:eastAsia="Arial" w:cs="Arial"/>
        </w:rPr>
        <w:t>hese distributions</w:t>
      </w:r>
      <w:r w:rsidR="0E3AD847" w:rsidRPr="00FB463B">
        <w:rPr>
          <w:rFonts w:eastAsia="Arial" w:cs="Arial"/>
        </w:rPr>
        <w:t xml:space="preserve"> w</w:t>
      </w:r>
      <w:r w:rsidR="00020EE3" w:rsidRPr="00FB463B">
        <w:rPr>
          <w:rFonts w:eastAsia="Arial" w:cs="Arial"/>
        </w:rPr>
        <w:t>ere</w:t>
      </w:r>
      <w:r w:rsidR="0E3AD847" w:rsidRPr="00FB463B">
        <w:rPr>
          <w:rFonts w:eastAsia="Arial" w:cs="Arial"/>
        </w:rPr>
        <w:t xml:space="preserve"> presented to the Technical Design Group (TDG) to solicit feedback. The </w:t>
      </w:r>
      <w:r w:rsidR="00452C36" w:rsidRPr="00FB463B">
        <w:rPr>
          <w:rFonts w:eastAsia="Arial" w:cs="Arial"/>
        </w:rPr>
        <w:t>TDG</w:t>
      </w:r>
      <w:r w:rsidR="0E3AD847" w:rsidRPr="00FB463B">
        <w:rPr>
          <w:rFonts w:eastAsia="Arial" w:cs="Arial"/>
        </w:rPr>
        <w:t xml:space="preserve"> recommended </w:t>
      </w:r>
      <w:r w:rsidR="000579FF" w:rsidRPr="00FB463B">
        <w:rPr>
          <w:rFonts w:eastAsia="Arial" w:cs="Arial"/>
        </w:rPr>
        <w:t xml:space="preserve">that the </w:t>
      </w:r>
      <w:r w:rsidR="0E3AD847" w:rsidRPr="00FB463B">
        <w:rPr>
          <w:rFonts w:eastAsia="Arial" w:cs="Arial"/>
        </w:rPr>
        <w:t xml:space="preserve">methodology for setting cut </w:t>
      </w:r>
      <w:r w:rsidR="72763012" w:rsidRPr="00FB463B">
        <w:rPr>
          <w:rFonts w:eastAsia="Arial" w:cs="Arial"/>
        </w:rPr>
        <w:t>points</w:t>
      </w:r>
      <w:r w:rsidR="0E3AD847" w:rsidRPr="00FB463B">
        <w:rPr>
          <w:rFonts w:eastAsia="Arial" w:cs="Arial"/>
        </w:rPr>
        <w:t xml:space="preserve"> </w:t>
      </w:r>
      <w:r w:rsidR="005D4ED3" w:rsidRPr="00FB463B">
        <w:rPr>
          <w:rFonts w:eastAsia="Arial" w:cs="Arial"/>
        </w:rPr>
        <w:t xml:space="preserve">be </w:t>
      </w:r>
      <w:r w:rsidR="0E3AD847" w:rsidRPr="00FB463B">
        <w:rPr>
          <w:rFonts w:eastAsia="Arial" w:cs="Arial"/>
        </w:rPr>
        <w:t>based on the 2023 data for accountability purposes</w:t>
      </w:r>
      <w:r w:rsidR="00905295" w:rsidRPr="00FB463B">
        <w:rPr>
          <w:rFonts w:eastAsia="Arial" w:cs="Arial"/>
        </w:rPr>
        <w:t xml:space="preserve"> and </w:t>
      </w:r>
      <w:r w:rsidR="000579FF" w:rsidRPr="00FB463B">
        <w:rPr>
          <w:rFonts w:eastAsia="Arial" w:cs="Arial"/>
        </w:rPr>
        <w:t>supported</w:t>
      </w:r>
      <w:r w:rsidR="0E3AD847" w:rsidRPr="00FB463B">
        <w:rPr>
          <w:rFonts w:eastAsia="Arial" w:cs="Arial"/>
        </w:rPr>
        <w:t xml:space="preserve"> </w:t>
      </w:r>
      <w:r w:rsidR="00C7786E" w:rsidRPr="00FB463B">
        <w:rPr>
          <w:rFonts w:eastAsia="Arial" w:cs="Arial"/>
        </w:rPr>
        <w:t>ELPI Change cut points</w:t>
      </w:r>
      <w:r w:rsidR="3D8F43F0" w:rsidRPr="00FB463B">
        <w:rPr>
          <w:rFonts w:eastAsia="Arial" w:cs="Arial"/>
        </w:rPr>
        <w:t xml:space="preserve"> be set as shown in Table 5</w:t>
      </w:r>
      <w:r w:rsidR="0E3AD847" w:rsidRPr="00FB463B">
        <w:rPr>
          <w:rFonts w:eastAsia="Arial" w:cs="Arial"/>
        </w:rPr>
        <w:t xml:space="preserve">. </w:t>
      </w:r>
    </w:p>
    <w:p w14:paraId="798B2125" w14:textId="75666229" w:rsidR="624F62CF" w:rsidRPr="00FB463B" w:rsidRDefault="624F62CF" w:rsidP="5442B7D8">
      <w:pPr>
        <w:spacing w:after="160" w:line="257" w:lineRule="auto"/>
        <w:rPr>
          <w:rFonts w:eastAsia="Arial" w:cs="Arial"/>
        </w:rPr>
      </w:pPr>
      <w:r w:rsidRPr="00FB463B">
        <w:rPr>
          <w:rFonts w:eastAsia="Arial" w:cs="Arial"/>
        </w:rPr>
        <w:t>Additionally, the CDE presented these distributions to the ELPI Workgroup to solicit their feedback. Overall, the ELPI Workgroup could not reach a consensus on the methodology for setting cut points</w:t>
      </w:r>
      <w:r w:rsidR="00BE3E82" w:rsidRPr="00FB463B">
        <w:rPr>
          <w:rFonts w:eastAsia="Arial" w:cs="Arial"/>
        </w:rPr>
        <w:t>;</w:t>
      </w:r>
      <w:r w:rsidRPr="00FB463B">
        <w:rPr>
          <w:rFonts w:eastAsia="Arial" w:cs="Arial"/>
        </w:rPr>
        <w:t xml:space="preserve"> however, they noted it did follow the established methodology for setting the cut points for the other state indicators on the Dashboard.</w:t>
      </w:r>
      <w:r w:rsidR="09E04CC2" w:rsidRPr="00FB463B">
        <w:rPr>
          <w:rFonts w:eastAsia="Arial" w:cs="Arial"/>
        </w:rPr>
        <w:t xml:space="preserve"> Lastly, the CDE also presented this methodology to the California Practitioners Advisory Group (CPAG) whose feedback was positive overall for the proposed methodology.</w:t>
      </w:r>
    </w:p>
    <w:p w14:paraId="7E6B8FE0" w14:textId="72106F9D" w:rsidR="4150EF74" w:rsidRPr="00FB463B" w:rsidRDefault="4150EF74" w:rsidP="4E7F4BF9">
      <w:pPr>
        <w:spacing w:after="240"/>
        <w:rPr>
          <w:rFonts w:eastAsia="Arial" w:cs="Arial"/>
          <w:color w:val="000000" w:themeColor="text1"/>
        </w:rPr>
      </w:pPr>
      <w:r w:rsidRPr="00FB463B">
        <w:rPr>
          <w:rFonts w:eastAsia="Arial" w:cs="Arial"/>
          <w:color w:val="000000" w:themeColor="text1"/>
        </w:rPr>
        <w:t xml:space="preserve">Based on 2023 data and simulations </w:t>
      </w:r>
      <w:r w:rsidRPr="00FB463B">
        <w:rPr>
          <w:rFonts w:eastAsia="Arial" w:cs="Arial"/>
        </w:rPr>
        <w:t xml:space="preserve">presented </w:t>
      </w:r>
      <w:r w:rsidR="00002979" w:rsidRPr="00FB463B">
        <w:rPr>
          <w:rFonts w:eastAsia="Arial" w:cs="Arial"/>
        </w:rPr>
        <w:t>above</w:t>
      </w:r>
      <w:r w:rsidRPr="00FB463B">
        <w:rPr>
          <w:rFonts w:eastAsia="Arial" w:cs="Arial"/>
          <w:color w:val="000000" w:themeColor="text1"/>
        </w:rPr>
        <w:t>, the CDE recomme</w:t>
      </w:r>
      <w:r w:rsidR="00002979" w:rsidRPr="00FB463B">
        <w:rPr>
          <w:rFonts w:eastAsia="Arial" w:cs="Arial"/>
          <w:color w:val="000000" w:themeColor="text1"/>
        </w:rPr>
        <w:t>nds</w:t>
      </w:r>
      <w:r w:rsidRPr="00FB463B">
        <w:rPr>
          <w:rFonts w:eastAsia="Arial" w:cs="Arial"/>
          <w:color w:val="000000" w:themeColor="text1"/>
        </w:rPr>
        <w:t xml:space="preserve"> setting Change cut </w:t>
      </w:r>
      <w:r w:rsidR="325FECAA" w:rsidRPr="00FB463B">
        <w:rPr>
          <w:rFonts w:eastAsia="Arial" w:cs="Arial"/>
          <w:color w:val="000000" w:themeColor="text1"/>
        </w:rPr>
        <w:t>points</w:t>
      </w:r>
      <w:r w:rsidRPr="00FB463B">
        <w:rPr>
          <w:rFonts w:eastAsia="Arial" w:cs="Arial"/>
          <w:color w:val="000000" w:themeColor="text1"/>
        </w:rPr>
        <w:t xml:space="preserve"> for ELPI as shown in Table </w:t>
      </w:r>
      <w:r w:rsidR="5DDAE39C" w:rsidRPr="00FB463B">
        <w:rPr>
          <w:rFonts w:eastAsia="Arial" w:cs="Arial"/>
          <w:color w:val="000000" w:themeColor="text1"/>
        </w:rPr>
        <w:t>5</w:t>
      </w:r>
      <w:r w:rsidRPr="00FB463B">
        <w:rPr>
          <w:rFonts w:eastAsia="Arial" w:cs="Arial"/>
          <w:color w:val="000000" w:themeColor="text1"/>
        </w:rPr>
        <w:t>:</w:t>
      </w:r>
    </w:p>
    <w:p w14:paraId="0F784F9A" w14:textId="4D361C8A" w:rsidR="0E3AD847" w:rsidRPr="00FB463B" w:rsidRDefault="1709956F" w:rsidP="1353701E">
      <w:pPr>
        <w:spacing w:after="240"/>
      </w:pPr>
      <w:r w:rsidRPr="00FB463B">
        <w:rPr>
          <w:rFonts w:eastAsia="Arial" w:cs="Arial"/>
          <w:b/>
          <w:bCs/>
        </w:rPr>
        <w:lastRenderedPageBreak/>
        <w:t xml:space="preserve">Table </w:t>
      </w:r>
      <w:r w:rsidR="16CF27E7" w:rsidRPr="00FB463B">
        <w:rPr>
          <w:rFonts w:eastAsia="Arial" w:cs="Arial"/>
          <w:b/>
          <w:bCs/>
        </w:rPr>
        <w:t>5</w:t>
      </w:r>
      <w:r w:rsidRPr="00FB463B">
        <w:rPr>
          <w:rFonts w:eastAsia="Arial" w:cs="Arial"/>
          <w:b/>
          <w:bCs/>
        </w:rPr>
        <w:t>:</w:t>
      </w:r>
      <w:r w:rsidRPr="00FB463B">
        <w:rPr>
          <w:rFonts w:eastAsia="Arial" w:cs="Arial"/>
        </w:rPr>
        <w:t xml:space="preserve"> </w:t>
      </w:r>
      <w:r w:rsidRPr="00FB463B">
        <w:rPr>
          <w:rFonts w:eastAsia="Arial" w:cs="Arial"/>
          <w:b/>
          <w:bCs/>
        </w:rPr>
        <w:t>Proposed</w:t>
      </w:r>
      <w:r w:rsidRPr="00FB463B">
        <w:rPr>
          <w:rFonts w:eastAsia="Arial" w:cs="Arial"/>
        </w:rPr>
        <w:t xml:space="preserve"> </w:t>
      </w:r>
      <w:r w:rsidRPr="00FB463B">
        <w:rPr>
          <w:rFonts w:eastAsia="Arial" w:cs="Arial"/>
          <w:b/>
          <w:bCs/>
        </w:rPr>
        <w:t xml:space="preserve">Change Cut </w:t>
      </w:r>
      <w:r w:rsidR="17BE3FD6" w:rsidRPr="00FB463B">
        <w:rPr>
          <w:rFonts w:eastAsia="Arial" w:cs="Arial"/>
          <w:b/>
          <w:bCs/>
        </w:rPr>
        <w:t>points</w:t>
      </w:r>
      <w:r w:rsidRPr="00FB463B">
        <w:rPr>
          <w:rFonts w:eastAsia="Arial" w:cs="Arial"/>
          <w:b/>
          <w:bCs/>
        </w:rPr>
        <w:t xml:space="preserve"> for the ELPI</w:t>
      </w:r>
    </w:p>
    <w:tbl>
      <w:tblPr>
        <w:tblStyle w:val="TableGrid"/>
        <w:tblW w:w="0" w:type="auto"/>
        <w:tblLayout w:type="fixed"/>
        <w:tblLook w:val="04A0" w:firstRow="1" w:lastRow="0" w:firstColumn="1" w:lastColumn="0" w:noHBand="0" w:noVBand="1"/>
        <w:tblCaption w:val="Table 5: Proposed Change Cut points for the ELPI"/>
        <w:tblDescription w:val="Proposed Change Cut points for the ELPI"/>
      </w:tblPr>
      <w:tblGrid>
        <w:gridCol w:w="3081"/>
        <w:gridCol w:w="6279"/>
      </w:tblGrid>
      <w:tr w:rsidR="1353701E" w:rsidRPr="00FB463B" w14:paraId="52974B07" w14:textId="77777777" w:rsidTr="007871ED">
        <w:trPr>
          <w:cantSplit/>
          <w:trHeight w:val="210"/>
          <w:tblHeader/>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278947" w14:textId="45165DC8" w:rsidR="1353701E" w:rsidRPr="00FB463B" w:rsidRDefault="1353701E" w:rsidP="00A84FE5">
            <w:pPr>
              <w:jc w:val="center"/>
            </w:pPr>
            <w:r w:rsidRPr="00FB463B">
              <w:rPr>
                <w:rFonts w:eastAsia="Arial" w:cs="Arial"/>
                <w:b/>
                <w:bCs/>
              </w:rPr>
              <w:t>Change Level</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2AEE3C" w14:textId="06189A73" w:rsidR="1353701E" w:rsidRPr="00FB463B" w:rsidRDefault="1353701E" w:rsidP="00A84FE5">
            <w:pPr>
              <w:jc w:val="center"/>
            </w:pPr>
            <w:r w:rsidRPr="00FB463B">
              <w:rPr>
                <w:rFonts w:eastAsia="Arial" w:cs="Arial"/>
                <w:b/>
                <w:bCs/>
              </w:rPr>
              <w:t>Change Cut Score</w:t>
            </w:r>
          </w:p>
        </w:tc>
      </w:tr>
      <w:tr w:rsidR="1353701E" w:rsidRPr="00FB463B" w14:paraId="5A3C5AC0" w14:textId="77777777" w:rsidTr="007871ED">
        <w:trPr>
          <w:cantSplit/>
          <w:trHeight w:val="195"/>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7795D444" w14:textId="2FF1A9C8" w:rsidR="1353701E" w:rsidRPr="00FB463B" w:rsidRDefault="1353701E" w:rsidP="00A84FE5">
            <w:pPr>
              <w:jc w:val="center"/>
            </w:pPr>
            <w:r w:rsidRPr="00FB463B">
              <w:rPr>
                <w:rFonts w:eastAsia="Arial" w:cs="Arial"/>
              </w:rPr>
              <w:t>Declined Significantly</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7A2AAD0A" w14:textId="5634E33F" w:rsidR="1353701E" w:rsidRPr="00FB463B" w:rsidRDefault="1353701E" w:rsidP="00A84FE5">
            <w:pPr>
              <w:jc w:val="center"/>
            </w:pPr>
            <w:r w:rsidRPr="00FB463B">
              <w:rPr>
                <w:rFonts w:eastAsia="Arial" w:cs="Arial"/>
              </w:rPr>
              <w:t>ELPI status declined by more than 10%.</w:t>
            </w:r>
          </w:p>
        </w:tc>
      </w:tr>
      <w:tr w:rsidR="1353701E" w:rsidRPr="00FB463B" w14:paraId="4A80E484" w14:textId="77777777" w:rsidTr="007871ED">
        <w:trPr>
          <w:cantSplit/>
          <w:trHeight w:val="165"/>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3FC14B93" w14:textId="650B3AB7" w:rsidR="1353701E" w:rsidRPr="00FB463B" w:rsidRDefault="1353701E" w:rsidP="00A84FE5">
            <w:pPr>
              <w:jc w:val="center"/>
            </w:pPr>
            <w:r w:rsidRPr="00FB463B">
              <w:rPr>
                <w:rFonts w:eastAsia="Arial" w:cs="Arial"/>
              </w:rPr>
              <w:t>Declined</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5835858C" w14:textId="45FED68E" w:rsidR="1353701E" w:rsidRPr="00FB463B" w:rsidRDefault="1353701E" w:rsidP="00A84FE5">
            <w:pPr>
              <w:jc w:val="center"/>
            </w:pPr>
            <w:r w:rsidRPr="00FB463B">
              <w:rPr>
                <w:rFonts w:eastAsia="Arial" w:cs="Arial"/>
              </w:rPr>
              <w:t>ELPI status declined 2% to 10%.</w:t>
            </w:r>
          </w:p>
        </w:tc>
      </w:tr>
      <w:tr w:rsidR="1353701E" w:rsidRPr="00FB463B" w14:paraId="30796342" w14:textId="77777777" w:rsidTr="007871ED">
        <w:trPr>
          <w:cantSplit/>
          <w:trHeight w:val="165"/>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14AE5868" w14:textId="7AD86F3F" w:rsidR="1353701E" w:rsidRPr="00FB463B" w:rsidRDefault="1353701E" w:rsidP="00A84FE5">
            <w:pPr>
              <w:jc w:val="center"/>
            </w:pPr>
            <w:r w:rsidRPr="00FB463B">
              <w:rPr>
                <w:rFonts w:eastAsia="Arial" w:cs="Arial"/>
              </w:rPr>
              <w:t>Maintained</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00BC2BAA" w14:textId="5C79EA4A" w:rsidR="1353701E" w:rsidRPr="00FB463B" w:rsidRDefault="1353701E" w:rsidP="00A84FE5">
            <w:pPr>
              <w:jc w:val="center"/>
            </w:pPr>
            <w:r w:rsidRPr="00FB463B">
              <w:rPr>
                <w:rFonts w:eastAsia="Arial" w:cs="Arial"/>
              </w:rPr>
              <w:t>ELPI status declined or increased by less than 2%.</w:t>
            </w:r>
          </w:p>
        </w:tc>
      </w:tr>
      <w:tr w:rsidR="1353701E" w:rsidRPr="00FB463B" w14:paraId="131D3FD4" w14:textId="77777777" w:rsidTr="007871ED">
        <w:trPr>
          <w:cantSplit/>
          <w:trHeight w:val="180"/>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57F4AD71" w14:textId="5C30ABE3" w:rsidR="1353701E" w:rsidRPr="00FB463B" w:rsidRDefault="1353701E" w:rsidP="00A84FE5">
            <w:pPr>
              <w:jc w:val="center"/>
            </w:pPr>
            <w:r w:rsidRPr="00FB463B">
              <w:rPr>
                <w:rFonts w:eastAsia="Arial" w:cs="Arial"/>
              </w:rPr>
              <w:t>Increased</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096C767D" w14:textId="4C1DF784" w:rsidR="1353701E" w:rsidRPr="00FB463B" w:rsidRDefault="1353701E" w:rsidP="00A84FE5">
            <w:pPr>
              <w:jc w:val="center"/>
            </w:pPr>
            <w:r w:rsidRPr="00FB463B">
              <w:rPr>
                <w:rFonts w:eastAsia="Arial" w:cs="Arial"/>
              </w:rPr>
              <w:t>ELPI status increased by 2% to less than 10%.</w:t>
            </w:r>
          </w:p>
        </w:tc>
      </w:tr>
      <w:tr w:rsidR="1353701E" w:rsidRPr="00FB463B" w14:paraId="704293A6" w14:textId="77777777" w:rsidTr="007871ED">
        <w:trPr>
          <w:cantSplit/>
          <w:trHeight w:val="322"/>
        </w:trPr>
        <w:tc>
          <w:tcPr>
            <w:tcW w:w="3081" w:type="dxa"/>
            <w:tcBorders>
              <w:top w:val="single" w:sz="8" w:space="0" w:color="auto"/>
              <w:left w:val="single" w:sz="8" w:space="0" w:color="auto"/>
              <w:bottom w:val="single" w:sz="8" w:space="0" w:color="auto"/>
              <w:right w:val="single" w:sz="8" w:space="0" w:color="auto"/>
            </w:tcBorders>
            <w:tcMar>
              <w:left w:w="108" w:type="dxa"/>
              <w:right w:w="108" w:type="dxa"/>
            </w:tcMar>
          </w:tcPr>
          <w:p w14:paraId="6878036F" w14:textId="523F01CC" w:rsidR="1353701E" w:rsidRPr="00FB463B" w:rsidRDefault="1353701E" w:rsidP="00A84FE5">
            <w:pPr>
              <w:jc w:val="center"/>
            </w:pPr>
            <w:r w:rsidRPr="00FB463B">
              <w:rPr>
                <w:rFonts w:eastAsia="Arial" w:cs="Arial"/>
              </w:rPr>
              <w:t>Increased Significantly</w:t>
            </w:r>
          </w:p>
        </w:tc>
        <w:tc>
          <w:tcPr>
            <w:tcW w:w="6279" w:type="dxa"/>
            <w:tcBorders>
              <w:top w:val="single" w:sz="8" w:space="0" w:color="auto"/>
              <w:left w:val="single" w:sz="8" w:space="0" w:color="auto"/>
              <w:bottom w:val="single" w:sz="8" w:space="0" w:color="auto"/>
              <w:right w:val="single" w:sz="8" w:space="0" w:color="auto"/>
            </w:tcBorders>
            <w:tcMar>
              <w:left w:w="108" w:type="dxa"/>
              <w:right w:w="108" w:type="dxa"/>
            </w:tcMar>
          </w:tcPr>
          <w:p w14:paraId="24177D4E" w14:textId="34AD6C9A" w:rsidR="1353701E" w:rsidRPr="00FB463B" w:rsidRDefault="1353701E" w:rsidP="00A84FE5">
            <w:pPr>
              <w:jc w:val="center"/>
            </w:pPr>
            <w:r w:rsidRPr="00FB463B">
              <w:rPr>
                <w:rFonts w:eastAsia="Arial" w:cs="Arial"/>
              </w:rPr>
              <w:t>ELPI status increased by 10% or more.</w:t>
            </w:r>
          </w:p>
        </w:tc>
      </w:tr>
    </w:tbl>
    <w:p w14:paraId="61B4C48A" w14:textId="7C2C2E20" w:rsidR="0E3AD847" w:rsidRPr="00FB463B" w:rsidRDefault="00DB4DA3" w:rsidP="00DB206E">
      <w:pPr>
        <w:spacing w:before="240" w:after="160"/>
        <w:rPr>
          <w:rFonts w:eastAsia="Arial" w:cs="Arial"/>
          <w:b/>
          <w:bCs/>
        </w:rPr>
      </w:pPr>
      <w:r w:rsidRPr="00FB463B">
        <w:rPr>
          <w:rFonts w:eastAsia="Arial" w:cs="Arial"/>
          <w:b/>
          <w:bCs/>
        </w:rPr>
        <w:t xml:space="preserve">Dashboard </w:t>
      </w:r>
      <w:r w:rsidR="46C26D15" w:rsidRPr="00FB463B">
        <w:rPr>
          <w:rFonts w:eastAsia="Arial" w:cs="Arial"/>
          <w:b/>
          <w:bCs/>
        </w:rPr>
        <w:t xml:space="preserve">Five-by-Five Color </w:t>
      </w:r>
      <w:r w:rsidR="5AFD5CA4" w:rsidRPr="00FB463B">
        <w:rPr>
          <w:rFonts w:eastAsia="Arial" w:cs="Arial"/>
          <w:b/>
          <w:bCs/>
        </w:rPr>
        <w:t>Scheme</w:t>
      </w:r>
    </w:p>
    <w:p w14:paraId="2BD2B4EF" w14:textId="2183D6F9" w:rsidR="46C26D15" w:rsidRPr="00FB463B" w:rsidRDefault="46C26D15" w:rsidP="1353701E">
      <w:pPr>
        <w:spacing w:after="240"/>
      </w:pPr>
      <w:r w:rsidRPr="00FB463B">
        <w:rPr>
          <w:rFonts w:eastAsia="Arial" w:cs="Arial"/>
        </w:rPr>
        <w:t>California’s ESSA State Plan adopted by the SBE established an expectation that the performance levels for state indicators would be revised every seven years based on new distributions and established an annual review process to assess progress on all indicators statewide. This timeframe allows for stability in the Dashboard calculations and assists LEAs</w:t>
      </w:r>
      <w:r w:rsidR="00D10983" w:rsidRPr="00FB463B">
        <w:rPr>
          <w:rFonts w:eastAsia="Arial" w:cs="Arial"/>
        </w:rPr>
        <w:t xml:space="preserve"> and</w:t>
      </w:r>
      <w:r w:rsidR="00863860" w:rsidRPr="00FB463B">
        <w:rPr>
          <w:rFonts w:eastAsia="Arial" w:cs="Arial"/>
        </w:rPr>
        <w:t xml:space="preserve"> </w:t>
      </w:r>
      <w:r w:rsidRPr="00FB463B">
        <w:rPr>
          <w:rFonts w:eastAsia="Arial" w:cs="Arial"/>
        </w:rPr>
        <w:t xml:space="preserve">schools </w:t>
      </w:r>
      <w:r w:rsidR="00D10983" w:rsidRPr="00FB463B">
        <w:rPr>
          <w:rFonts w:eastAsia="Arial" w:cs="Arial"/>
        </w:rPr>
        <w:t xml:space="preserve">in </w:t>
      </w:r>
      <w:r w:rsidRPr="00FB463B">
        <w:rPr>
          <w:rFonts w:eastAsia="Arial" w:cs="Arial"/>
        </w:rPr>
        <w:t>meeting their year-over-year growth expectations</w:t>
      </w:r>
      <w:r w:rsidR="00D10983" w:rsidRPr="00FB463B">
        <w:rPr>
          <w:rFonts w:eastAsia="Arial" w:cs="Arial"/>
        </w:rPr>
        <w:t xml:space="preserve"> for their students</w:t>
      </w:r>
      <w:r w:rsidRPr="00FB463B">
        <w:rPr>
          <w:rFonts w:eastAsia="Arial" w:cs="Arial"/>
        </w:rPr>
        <w:t xml:space="preserve">. During the adoption of the ESSA State Plan, the SBE expressed that constantly resetting the cut </w:t>
      </w:r>
      <w:r w:rsidR="363332D0" w:rsidRPr="00FB463B">
        <w:rPr>
          <w:rFonts w:eastAsia="Arial" w:cs="Arial"/>
        </w:rPr>
        <w:t>points</w:t>
      </w:r>
      <w:r w:rsidRPr="00FB463B">
        <w:rPr>
          <w:rFonts w:eastAsia="Arial" w:cs="Arial"/>
        </w:rPr>
        <w:t xml:space="preserve"> could cause confusion in the field as to what the objectives are for success across all indicators on the Dashboard.</w:t>
      </w:r>
      <w:r w:rsidR="00D10983" w:rsidRPr="00FB463B">
        <w:rPr>
          <w:rFonts w:eastAsia="Arial" w:cs="Arial"/>
        </w:rPr>
        <w:t xml:space="preserve"> Additionally, resetting the cut scores too often</w:t>
      </w:r>
      <w:r w:rsidR="009F3B83" w:rsidRPr="00FB463B">
        <w:rPr>
          <w:rFonts w:eastAsia="Arial" w:cs="Arial"/>
        </w:rPr>
        <w:t xml:space="preserve"> </w:t>
      </w:r>
      <w:r w:rsidR="00D10983" w:rsidRPr="00FB463B">
        <w:rPr>
          <w:rFonts w:eastAsia="Arial" w:cs="Arial"/>
        </w:rPr>
        <w:t xml:space="preserve">makes it </w:t>
      </w:r>
      <w:r w:rsidR="009F3B83" w:rsidRPr="00FB463B">
        <w:rPr>
          <w:rFonts w:eastAsia="Arial" w:cs="Arial"/>
        </w:rPr>
        <w:t>challenging</w:t>
      </w:r>
      <w:r w:rsidR="00D10983" w:rsidRPr="00FB463B">
        <w:rPr>
          <w:rFonts w:eastAsia="Arial" w:cs="Arial"/>
        </w:rPr>
        <w:t xml:space="preserve"> for LEAs and schools to determine </w:t>
      </w:r>
      <w:r w:rsidR="009F3B83" w:rsidRPr="00FB463B">
        <w:rPr>
          <w:rFonts w:eastAsia="Arial" w:cs="Arial"/>
        </w:rPr>
        <w:t xml:space="preserve">if </w:t>
      </w:r>
      <w:r w:rsidR="00D10983" w:rsidRPr="00FB463B">
        <w:rPr>
          <w:rFonts w:eastAsia="Arial" w:cs="Arial"/>
        </w:rPr>
        <w:t>their work to improve student outcomes</w:t>
      </w:r>
      <w:r w:rsidR="009F3B83" w:rsidRPr="00FB463B">
        <w:rPr>
          <w:rFonts w:eastAsia="Arial" w:cs="Arial"/>
        </w:rPr>
        <w:t xml:space="preserve"> is having an impact and moving them toward the goals established by the Dashboard</w:t>
      </w:r>
      <w:r w:rsidR="00D10983" w:rsidRPr="00FB463B">
        <w:rPr>
          <w:rFonts w:eastAsia="Arial" w:cs="Arial"/>
        </w:rPr>
        <w:t>.</w:t>
      </w:r>
    </w:p>
    <w:p w14:paraId="55B84B75" w14:textId="6E8EE272" w:rsidR="1353701E" w:rsidRPr="00FB463B" w:rsidRDefault="22BCCF99" w:rsidP="1D9B2659">
      <w:pPr>
        <w:spacing w:after="240"/>
      </w:pPr>
      <w:r w:rsidRPr="00FB463B">
        <w:rPr>
          <w:rFonts w:eastAsia="Arial" w:cs="Arial"/>
          <w:b/>
          <w:bCs/>
          <w:sz w:val="28"/>
          <w:szCs w:val="28"/>
        </w:rPr>
        <w:t>How Performance Levels are Determined</w:t>
      </w:r>
    </w:p>
    <w:p w14:paraId="0CC7C3BD" w14:textId="537A2D6F" w:rsidR="1353701E" w:rsidRPr="00FB463B" w:rsidRDefault="22BCCF99" w:rsidP="1D9B2659">
      <w:pPr>
        <w:spacing w:after="160"/>
      </w:pPr>
      <w:r w:rsidRPr="00FB463B">
        <w:rPr>
          <w:rFonts w:eastAsia="Arial" w:cs="Arial"/>
          <w:color w:val="000000" w:themeColor="text1"/>
        </w:rPr>
        <w:t>The combination of an LEA’s or school’s “Status” and “Change” determines the performance category, which are represented by five ranked colors or Performance Levels:</w:t>
      </w:r>
    </w:p>
    <w:p w14:paraId="1882A980" w14:textId="22D38D21" w:rsidR="1353701E" w:rsidRPr="00FB463B" w:rsidRDefault="22BCCF99" w:rsidP="008F719C">
      <w:pPr>
        <w:pStyle w:val="ListParagraph"/>
        <w:numPr>
          <w:ilvl w:val="0"/>
          <w:numId w:val="10"/>
        </w:numPr>
        <w:spacing w:after="0"/>
        <w:rPr>
          <w:rFonts w:eastAsia="Arial" w:cs="Arial"/>
          <w:color w:val="000000" w:themeColor="text1"/>
        </w:rPr>
      </w:pPr>
      <w:r w:rsidRPr="00FB463B">
        <w:rPr>
          <w:rFonts w:eastAsia="Arial" w:cs="Arial"/>
          <w:color w:val="000000" w:themeColor="text1"/>
        </w:rPr>
        <w:t>Blue (highest)</w:t>
      </w:r>
    </w:p>
    <w:p w14:paraId="04A9D678" w14:textId="217C61CB" w:rsidR="1353701E" w:rsidRPr="00FB463B" w:rsidRDefault="22BCCF99" w:rsidP="008F719C">
      <w:pPr>
        <w:pStyle w:val="ListParagraph"/>
        <w:numPr>
          <w:ilvl w:val="0"/>
          <w:numId w:val="10"/>
        </w:numPr>
        <w:spacing w:after="0"/>
        <w:rPr>
          <w:rFonts w:eastAsia="Arial" w:cs="Arial"/>
          <w:color w:val="000000" w:themeColor="text1"/>
        </w:rPr>
      </w:pPr>
      <w:r w:rsidRPr="00FB463B">
        <w:rPr>
          <w:rFonts w:eastAsia="Arial" w:cs="Arial"/>
          <w:color w:val="000000" w:themeColor="text1"/>
        </w:rPr>
        <w:t>Green</w:t>
      </w:r>
    </w:p>
    <w:p w14:paraId="2C8DDEF6" w14:textId="26DC7247" w:rsidR="1353701E" w:rsidRPr="00FB463B" w:rsidRDefault="22BCCF99" w:rsidP="008F719C">
      <w:pPr>
        <w:pStyle w:val="ListParagraph"/>
        <w:numPr>
          <w:ilvl w:val="0"/>
          <w:numId w:val="10"/>
        </w:numPr>
        <w:spacing w:after="0"/>
        <w:rPr>
          <w:rFonts w:eastAsia="Arial" w:cs="Arial"/>
          <w:color w:val="000000" w:themeColor="text1"/>
        </w:rPr>
      </w:pPr>
      <w:r w:rsidRPr="00FB463B">
        <w:rPr>
          <w:rFonts w:eastAsia="Arial" w:cs="Arial"/>
          <w:color w:val="000000" w:themeColor="text1"/>
        </w:rPr>
        <w:t>Yellow</w:t>
      </w:r>
    </w:p>
    <w:p w14:paraId="68C58753" w14:textId="4F7A7D69" w:rsidR="1353701E" w:rsidRPr="00FB463B" w:rsidRDefault="22BCCF99" w:rsidP="008F719C">
      <w:pPr>
        <w:pStyle w:val="ListParagraph"/>
        <w:numPr>
          <w:ilvl w:val="0"/>
          <w:numId w:val="10"/>
        </w:numPr>
        <w:spacing w:after="0"/>
        <w:rPr>
          <w:rFonts w:eastAsia="Arial" w:cs="Arial"/>
          <w:color w:val="000000" w:themeColor="text1"/>
        </w:rPr>
      </w:pPr>
      <w:r w:rsidRPr="00FB463B">
        <w:rPr>
          <w:rFonts w:eastAsia="Arial" w:cs="Arial"/>
          <w:color w:val="000000" w:themeColor="text1"/>
        </w:rPr>
        <w:t>Orange</w:t>
      </w:r>
    </w:p>
    <w:p w14:paraId="0C889824" w14:textId="185D27F8" w:rsidR="1353701E" w:rsidRPr="00FB463B" w:rsidRDefault="22BCCF99" w:rsidP="00D06FCD">
      <w:pPr>
        <w:pStyle w:val="ListParagraph"/>
        <w:numPr>
          <w:ilvl w:val="0"/>
          <w:numId w:val="10"/>
        </w:numPr>
        <w:rPr>
          <w:rFonts w:eastAsia="Arial" w:cs="Arial"/>
          <w:color w:val="000000" w:themeColor="text1"/>
        </w:rPr>
      </w:pPr>
      <w:r w:rsidRPr="00FB463B">
        <w:rPr>
          <w:rFonts w:eastAsia="Arial" w:cs="Arial"/>
          <w:color w:val="000000" w:themeColor="text1"/>
        </w:rPr>
        <w:t>Red (lowest)</w:t>
      </w:r>
    </w:p>
    <w:p w14:paraId="4266D515" w14:textId="09ACB9CE" w:rsidR="00D06FCD" w:rsidRPr="00FB463B" w:rsidRDefault="00B55D0C" w:rsidP="1D9B2659">
      <w:pPr>
        <w:spacing w:after="240"/>
        <w:rPr>
          <w:rFonts w:eastAsia="Arial" w:cs="Arial"/>
          <w:color w:val="000000" w:themeColor="text1"/>
        </w:rPr>
      </w:pPr>
      <w:proofErr w:type="gramStart"/>
      <w:r w:rsidRPr="00FB463B">
        <w:rPr>
          <w:rFonts w:eastAsia="Arial" w:cs="Arial"/>
          <w:color w:val="000000" w:themeColor="text1"/>
        </w:rPr>
        <w:t>Similar to</w:t>
      </w:r>
      <w:proofErr w:type="gramEnd"/>
      <w:r w:rsidRPr="00FB463B">
        <w:rPr>
          <w:rFonts w:eastAsia="Arial" w:cs="Arial"/>
          <w:color w:val="000000" w:themeColor="text1"/>
        </w:rPr>
        <w:t xml:space="preserve"> other</w:t>
      </w:r>
      <w:r w:rsidR="006C6B08" w:rsidRPr="00FB463B">
        <w:rPr>
          <w:rFonts w:eastAsia="Arial" w:cs="Arial"/>
          <w:color w:val="000000" w:themeColor="text1"/>
        </w:rPr>
        <w:t xml:space="preserve"> state indicators, t</w:t>
      </w:r>
      <w:r w:rsidR="2A3F5355" w:rsidRPr="00FB463B">
        <w:rPr>
          <w:rFonts w:eastAsia="Arial" w:cs="Arial"/>
          <w:color w:val="000000" w:themeColor="text1"/>
        </w:rPr>
        <w:t xml:space="preserve">he </w:t>
      </w:r>
      <w:r w:rsidR="000C0EAA" w:rsidRPr="00FB463B">
        <w:rPr>
          <w:rFonts w:eastAsia="Arial" w:cs="Arial"/>
          <w:color w:val="000000" w:themeColor="text1"/>
        </w:rPr>
        <w:t>CDE is proposing a</w:t>
      </w:r>
      <w:r w:rsidR="22BCCF99" w:rsidRPr="00FB463B">
        <w:rPr>
          <w:rFonts w:eastAsia="Arial" w:cs="Arial"/>
          <w:color w:val="000000" w:themeColor="text1"/>
        </w:rPr>
        <w:t xml:space="preserve"> distinct </w:t>
      </w:r>
      <w:r w:rsidR="0097288C" w:rsidRPr="00FB463B">
        <w:rPr>
          <w:rFonts w:eastAsia="Arial" w:cs="Arial"/>
          <w:color w:val="000000" w:themeColor="text1"/>
        </w:rPr>
        <w:t>five-by-five</w:t>
      </w:r>
      <w:r w:rsidR="22BCCF99" w:rsidRPr="00FB463B">
        <w:rPr>
          <w:rFonts w:eastAsia="Arial" w:cs="Arial"/>
        </w:rPr>
        <w:t xml:space="preserve"> color scheme</w:t>
      </w:r>
      <w:r w:rsidRPr="00FB463B">
        <w:rPr>
          <w:rFonts w:eastAsia="Arial" w:cs="Arial"/>
        </w:rPr>
        <w:t xml:space="preserve"> for the ELPI</w:t>
      </w:r>
      <w:r w:rsidR="00DE46CB" w:rsidRPr="00FB463B">
        <w:rPr>
          <w:rFonts w:eastAsia="Arial" w:cs="Arial"/>
          <w:color w:val="000000" w:themeColor="text1"/>
        </w:rPr>
        <w:t>.</w:t>
      </w:r>
    </w:p>
    <w:p w14:paraId="099BC00E" w14:textId="3EBF3905" w:rsidR="1353701E" w:rsidRPr="00FB463B" w:rsidRDefault="22BCCF99" w:rsidP="1D9B2659">
      <w:pPr>
        <w:spacing w:after="240"/>
      </w:pPr>
      <w:r w:rsidRPr="00FB463B">
        <w:rPr>
          <w:rFonts w:eastAsia="Arial" w:cs="Arial"/>
          <w:b/>
          <w:bCs/>
        </w:rPr>
        <w:t xml:space="preserve">Revisiting </w:t>
      </w:r>
      <w:r w:rsidR="00B2555D" w:rsidRPr="00FB463B">
        <w:rPr>
          <w:rFonts w:eastAsia="Arial" w:cs="Arial"/>
          <w:b/>
          <w:bCs/>
        </w:rPr>
        <w:t xml:space="preserve">the </w:t>
      </w:r>
      <w:r w:rsidR="00511312" w:rsidRPr="00FB463B">
        <w:rPr>
          <w:rFonts w:eastAsia="Arial" w:cs="Arial"/>
          <w:b/>
          <w:bCs/>
        </w:rPr>
        <w:t>A</w:t>
      </w:r>
      <w:r w:rsidR="00B2555D" w:rsidRPr="00FB463B">
        <w:rPr>
          <w:rFonts w:eastAsia="Arial" w:cs="Arial"/>
          <w:b/>
          <w:bCs/>
        </w:rPr>
        <w:t xml:space="preserve">doption of the ELPI </w:t>
      </w:r>
      <w:r w:rsidR="0097288C" w:rsidRPr="00FB463B">
        <w:rPr>
          <w:rFonts w:eastAsia="Arial" w:cs="Arial"/>
          <w:b/>
          <w:bCs/>
        </w:rPr>
        <w:t xml:space="preserve">Five-by-Five </w:t>
      </w:r>
      <w:r w:rsidR="00B2555D" w:rsidRPr="00FB463B">
        <w:rPr>
          <w:rFonts w:eastAsia="Arial" w:cs="Arial"/>
          <w:b/>
          <w:bCs/>
        </w:rPr>
        <w:t>Color Scheme</w:t>
      </w:r>
    </w:p>
    <w:p w14:paraId="25AC415E" w14:textId="01735217" w:rsidR="1353701E" w:rsidRPr="00FB463B" w:rsidRDefault="22BCCF99" w:rsidP="007D497A">
      <w:pPr>
        <w:spacing w:after="240"/>
        <w:rPr>
          <w:rFonts w:eastAsia="Arial" w:cs="Arial"/>
          <w:color w:val="000000" w:themeColor="text1"/>
        </w:rPr>
      </w:pPr>
      <w:r w:rsidRPr="00FB463B">
        <w:rPr>
          <w:rFonts w:eastAsia="Arial" w:cs="Arial"/>
          <w:color w:val="000000" w:themeColor="text1"/>
        </w:rPr>
        <w:t xml:space="preserve">The SBE </w:t>
      </w:r>
      <w:r w:rsidR="00D5486C" w:rsidRPr="00FB463B">
        <w:rPr>
          <w:rFonts w:eastAsia="Arial" w:cs="Arial"/>
          <w:color w:val="000000" w:themeColor="text1"/>
        </w:rPr>
        <w:t xml:space="preserve">previously </w:t>
      </w:r>
      <w:r w:rsidRPr="00FB463B">
        <w:rPr>
          <w:rFonts w:eastAsia="Arial" w:cs="Arial"/>
          <w:color w:val="000000" w:themeColor="text1"/>
        </w:rPr>
        <w:t>adopted the ELPI</w:t>
      </w:r>
      <w:r w:rsidR="00B2555D" w:rsidRPr="00FB463B">
        <w:rPr>
          <w:rFonts w:eastAsia="Arial" w:cs="Arial"/>
        </w:rPr>
        <w:t xml:space="preserve"> </w:t>
      </w:r>
      <w:r w:rsidR="0097288C" w:rsidRPr="00FB463B">
        <w:rPr>
          <w:rFonts w:eastAsia="Arial" w:cs="Arial"/>
          <w:color w:val="000000" w:themeColor="text1"/>
        </w:rPr>
        <w:t>five-by-five</w:t>
      </w:r>
      <w:r w:rsidRPr="00FB463B">
        <w:rPr>
          <w:rFonts w:eastAsia="Arial" w:cs="Arial"/>
        </w:rPr>
        <w:t xml:space="preserve"> color scheme</w:t>
      </w:r>
      <w:r w:rsidRPr="00FB463B">
        <w:rPr>
          <w:rFonts w:eastAsia="Arial" w:cs="Arial"/>
          <w:color w:val="000000" w:themeColor="text1"/>
        </w:rPr>
        <w:t xml:space="preserve"> shown in Table</w:t>
      </w:r>
      <w:r w:rsidR="00F83E91" w:rsidRPr="00FB463B">
        <w:rPr>
          <w:rFonts w:eastAsia="Arial" w:cs="Arial"/>
          <w:color w:val="000000" w:themeColor="text1"/>
        </w:rPr>
        <w:t xml:space="preserve"> 6</w:t>
      </w:r>
      <w:r w:rsidR="6BA33D60" w:rsidRPr="00FB463B">
        <w:rPr>
          <w:rFonts w:eastAsia="Arial" w:cs="Arial"/>
          <w:color w:val="000000" w:themeColor="text1"/>
        </w:rPr>
        <w:t xml:space="preserve"> for use on the 2017 Dashboard</w:t>
      </w:r>
      <w:r w:rsidRPr="00FB463B">
        <w:rPr>
          <w:rFonts w:eastAsia="Arial" w:cs="Arial"/>
          <w:color w:val="000000" w:themeColor="text1"/>
        </w:rPr>
        <w:t>.</w:t>
      </w:r>
      <w:r w:rsidR="007D497A" w:rsidRPr="00FB463B">
        <w:rPr>
          <w:rFonts w:eastAsia="Arial" w:cs="Arial"/>
          <w:color w:val="000000" w:themeColor="text1"/>
        </w:rPr>
        <w:t xml:space="preserve"> </w:t>
      </w:r>
      <w:r w:rsidRPr="00FB463B">
        <w:rPr>
          <w:rFonts w:eastAsia="Arial" w:cs="Arial"/>
          <w:color w:val="000000" w:themeColor="text1"/>
        </w:rPr>
        <w:t xml:space="preserve">Based on this scheme, the SBE made the requirements for LEAs, </w:t>
      </w:r>
      <w:proofErr w:type="gramStart"/>
      <w:r w:rsidRPr="00FB463B">
        <w:rPr>
          <w:rFonts w:eastAsia="Arial" w:cs="Arial"/>
          <w:color w:val="000000" w:themeColor="text1"/>
        </w:rPr>
        <w:t>schools</w:t>
      </w:r>
      <w:proofErr w:type="gramEnd"/>
      <w:r w:rsidRPr="00FB463B">
        <w:rPr>
          <w:rFonts w:eastAsia="Arial" w:cs="Arial"/>
          <w:color w:val="000000" w:themeColor="text1"/>
        </w:rPr>
        <w:t xml:space="preserve"> and student groups to receive a blue Performance Level either a status of very high and a change level of maintained, increased or increased significantly, or a status of high and a change level of increased significantly. Conversely, an LEA, school </w:t>
      </w:r>
      <w:r w:rsidRPr="00FB463B">
        <w:rPr>
          <w:rFonts w:eastAsia="Arial" w:cs="Arial"/>
          <w:color w:val="000000" w:themeColor="text1"/>
        </w:rPr>
        <w:lastRenderedPageBreak/>
        <w:t xml:space="preserve">or student group would receive a red Performance Level with a status level of low and a change level of decreased significantly, or a status level of very low and </w:t>
      </w:r>
      <w:r w:rsidR="445DDCC5" w:rsidRPr="00FB463B">
        <w:rPr>
          <w:rFonts w:eastAsia="Arial" w:cs="Arial"/>
          <w:color w:val="000000" w:themeColor="text1"/>
        </w:rPr>
        <w:t xml:space="preserve">change level of maintained, </w:t>
      </w:r>
      <w:proofErr w:type="gramStart"/>
      <w:r w:rsidR="445DDCC5" w:rsidRPr="00FB463B">
        <w:rPr>
          <w:rFonts w:eastAsia="Arial" w:cs="Arial"/>
          <w:color w:val="000000" w:themeColor="text1"/>
        </w:rPr>
        <w:t>declined</w:t>
      </w:r>
      <w:proofErr w:type="gramEnd"/>
      <w:r w:rsidR="445DDCC5" w:rsidRPr="00FB463B">
        <w:rPr>
          <w:rFonts w:eastAsia="Arial" w:cs="Arial"/>
          <w:color w:val="000000" w:themeColor="text1"/>
        </w:rPr>
        <w:t xml:space="preserve"> or declined significantly</w:t>
      </w:r>
      <w:r w:rsidRPr="00FB463B">
        <w:rPr>
          <w:rFonts w:eastAsia="Arial" w:cs="Arial"/>
          <w:color w:val="000000" w:themeColor="text1"/>
        </w:rPr>
        <w:t>.</w:t>
      </w:r>
    </w:p>
    <w:p w14:paraId="5E83FE78" w14:textId="475B176E" w:rsidR="0008744E" w:rsidRPr="00FB463B" w:rsidRDefault="0008744E" w:rsidP="1D9B2659">
      <w:pPr>
        <w:spacing w:after="240"/>
        <w:rPr>
          <w:rFonts w:eastAsia="Arial"/>
          <w:b/>
          <w:bCs/>
        </w:rPr>
      </w:pPr>
      <w:r w:rsidRPr="00FB463B">
        <w:rPr>
          <w:rFonts w:eastAsia="Arial"/>
          <w:b/>
          <w:bCs/>
        </w:rPr>
        <w:t xml:space="preserve">Table </w:t>
      </w:r>
      <w:r w:rsidR="00966EDE" w:rsidRPr="00FB463B">
        <w:rPr>
          <w:rFonts w:eastAsia="Arial"/>
          <w:b/>
          <w:bCs/>
        </w:rPr>
        <w:t>6</w:t>
      </w:r>
      <w:r w:rsidRPr="00FB463B">
        <w:rPr>
          <w:rFonts w:eastAsia="Arial"/>
          <w:b/>
          <w:bCs/>
        </w:rPr>
        <w:t xml:space="preserve">: Traditional </w:t>
      </w:r>
      <w:r w:rsidRPr="00FB463B">
        <w:rPr>
          <w:rFonts w:eastAsia="Arial" w:cs="Arial"/>
          <w:b/>
          <w:bCs/>
        </w:rPr>
        <w:t>Five-by-Five Color Scheme (Used for the ELPI</w:t>
      </w:r>
      <w:r w:rsidR="008A19ED" w:rsidRPr="00FB463B">
        <w:rPr>
          <w:rFonts w:eastAsia="Arial" w:cs="Arial"/>
          <w:b/>
          <w:bCs/>
        </w:rPr>
        <w:t xml:space="preserve"> on the 2017 Dashboard</w:t>
      </w:r>
      <w:r w:rsidRPr="00FB463B">
        <w:rPr>
          <w:rFonts w:eastAsia="Arial" w:cs="Arial"/>
          <w:b/>
          <w:bCs/>
        </w:rPr>
        <w:t>)</w:t>
      </w:r>
    </w:p>
    <w:tbl>
      <w:tblPr>
        <w:tblW w:w="0" w:type="auto"/>
        <w:tblLayout w:type="fixed"/>
        <w:tblLook w:val="04A0" w:firstRow="1" w:lastRow="0" w:firstColumn="1" w:lastColumn="0" w:noHBand="0" w:noVBand="1"/>
      </w:tblPr>
      <w:tblGrid>
        <w:gridCol w:w="1635"/>
        <w:gridCol w:w="1582"/>
        <w:gridCol w:w="1456"/>
        <w:gridCol w:w="1463"/>
        <w:gridCol w:w="1612"/>
        <w:gridCol w:w="1612"/>
      </w:tblGrid>
      <w:tr w:rsidR="0382C840" w:rsidRPr="00FB463B" w14:paraId="3FAAF2CF" w14:textId="77777777" w:rsidTr="0382C840">
        <w:trPr>
          <w:trHeight w:val="181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429AA2F3" w14:textId="4D1823E6" w:rsidR="0382C840" w:rsidRPr="00FB463B" w:rsidRDefault="0382C840" w:rsidP="0382C840">
            <w:pPr>
              <w:jc w:val="center"/>
              <w:rPr>
                <w:rFonts w:eastAsia="Arial" w:cs="Arial"/>
                <w:b/>
                <w:bCs/>
                <w:color w:val="354052"/>
                <w:sz w:val="20"/>
                <w:szCs w:val="20"/>
              </w:rPr>
            </w:pPr>
            <w:r w:rsidRPr="00FB463B">
              <w:rPr>
                <w:rFonts w:eastAsia="Arial" w:cs="Arial"/>
                <w:b/>
                <w:bCs/>
                <w:color w:val="354052"/>
                <w:sz w:val="20"/>
                <w:szCs w:val="20"/>
              </w:rPr>
              <w:t>Performance Level</w:t>
            </w:r>
          </w:p>
        </w:tc>
        <w:tc>
          <w:tcPr>
            <w:tcW w:w="158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A71CD7F" w14:textId="7C4A4455" w:rsidR="0382C840" w:rsidRPr="00FB463B" w:rsidRDefault="0382C840" w:rsidP="0382C840">
            <w:pPr>
              <w:jc w:val="center"/>
              <w:rPr>
                <w:rFonts w:eastAsia="Arial" w:cs="Arial"/>
                <w:b/>
                <w:bCs/>
                <w:color w:val="354052"/>
                <w:sz w:val="22"/>
                <w:szCs w:val="22"/>
              </w:rPr>
            </w:pPr>
            <w:r w:rsidRPr="00FB463B">
              <w:rPr>
                <w:rFonts w:eastAsia="Arial" w:cs="Arial"/>
                <w:b/>
                <w:bCs/>
                <w:color w:val="354052"/>
                <w:sz w:val="22"/>
                <w:szCs w:val="22"/>
              </w:rPr>
              <w:t xml:space="preserve">Change: </w:t>
            </w:r>
            <w:r w:rsidRPr="00FB463B">
              <w:rPr>
                <w:rFonts w:eastAsia="Arial" w:cs="Arial"/>
                <w:b/>
                <w:bCs/>
                <w:color w:val="354052"/>
                <w:sz w:val="20"/>
                <w:szCs w:val="20"/>
              </w:rPr>
              <w:t>Significantly Declined</w:t>
            </w:r>
          </w:p>
        </w:tc>
        <w:tc>
          <w:tcPr>
            <w:tcW w:w="1456"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5076CC1" w14:textId="43F52507" w:rsidR="0382C840" w:rsidRPr="00FB463B" w:rsidRDefault="0382C840" w:rsidP="0382C840">
            <w:pPr>
              <w:jc w:val="center"/>
              <w:rPr>
                <w:rFonts w:eastAsia="Arial" w:cs="Arial"/>
                <w:b/>
                <w:bCs/>
                <w:color w:val="354052"/>
                <w:sz w:val="22"/>
                <w:szCs w:val="22"/>
              </w:rPr>
            </w:pPr>
            <w:r w:rsidRPr="00FB463B">
              <w:rPr>
                <w:rFonts w:eastAsia="Arial" w:cs="Arial"/>
                <w:b/>
                <w:bCs/>
                <w:color w:val="354052"/>
                <w:sz w:val="22"/>
                <w:szCs w:val="22"/>
              </w:rPr>
              <w:t>Change: Declined</w:t>
            </w:r>
          </w:p>
        </w:tc>
        <w:tc>
          <w:tcPr>
            <w:tcW w:w="1463"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76F640E9" w14:textId="171ED64F" w:rsidR="0382C840" w:rsidRPr="00FB463B" w:rsidRDefault="0382C840" w:rsidP="0382C840">
            <w:pPr>
              <w:jc w:val="center"/>
              <w:rPr>
                <w:rFonts w:eastAsia="Arial" w:cs="Arial"/>
                <w:b/>
                <w:bCs/>
                <w:color w:val="354052"/>
                <w:sz w:val="22"/>
                <w:szCs w:val="22"/>
              </w:rPr>
            </w:pPr>
            <w:r w:rsidRPr="00FB463B">
              <w:rPr>
                <w:rFonts w:eastAsia="Arial" w:cs="Arial"/>
                <w:b/>
                <w:bCs/>
                <w:color w:val="354052"/>
                <w:sz w:val="22"/>
                <w:szCs w:val="22"/>
              </w:rPr>
              <w:t xml:space="preserve">Change: </w:t>
            </w:r>
            <w:r w:rsidRPr="00FB463B">
              <w:rPr>
                <w:rFonts w:eastAsia="Arial" w:cs="Arial"/>
                <w:b/>
                <w:bCs/>
                <w:color w:val="354052"/>
                <w:sz w:val="21"/>
                <w:szCs w:val="21"/>
              </w:rPr>
              <w:t>Maintaine</w:t>
            </w:r>
            <w:r w:rsidR="4E1327CB" w:rsidRPr="00FB463B">
              <w:rPr>
                <w:rFonts w:eastAsia="Arial" w:cs="Arial"/>
                <w:b/>
                <w:bCs/>
                <w:color w:val="354052"/>
                <w:sz w:val="21"/>
                <w:szCs w:val="21"/>
              </w:rPr>
              <w:t>d</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3E65BC78" w14:textId="6DCF2A5E" w:rsidR="0382C840" w:rsidRPr="00FB463B" w:rsidRDefault="0382C840" w:rsidP="0382C840">
            <w:pPr>
              <w:jc w:val="center"/>
              <w:rPr>
                <w:rFonts w:eastAsia="Arial" w:cs="Arial"/>
                <w:b/>
                <w:bCs/>
                <w:color w:val="354052"/>
                <w:sz w:val="22"/>
                <w:szCs w:val="22"/>
              </w:rPr>
            </w:pPr>
            <w:r w:rsidRPr="00FB463B">
              <w:rPr>
                <w:rFonts w:eastAsia="Arial" w:cs="Arial"/>
                <w:b/>
                <w:bCs/>
                <w:color w:val="354052"/>
                <w:sz w:val="22"/>
                <w:szCs w:val="22"/>
              </w:rPr>
              <w:t>Change: Increased</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BCCBD02" w14:textId="21FE207B" w:rsidR="0382C840" w:rsidRPr="00FB463B" w:rsidRDefault="0382C840" w:rsidP="0382C840">
            <w:pPr>
              <w:jc w:val="center"/>
              <w:rPr>
                <w:rFonts w:eastAsia="Arial" w:cs="Arial"/>
                <w:b/>
                <w:bCs/>
                <w:color w:val="354052"/>
                <w:sz w:val="22"/>
                <w:szCs w:val="22"/>
              </w:rPr>
            </w:pPr>
            <w:r w:rsidRPr="00FB463B">
              <w:rPr>
                <w:rFonts w:eastAsia="Arial" w:cs="Arial"/>
                <w:b/>
                <w:bCs/>
                <w:color w:val="354052"/>
                <w:sz w:val="22"/>
                <w:szCs w:val="22"/>
              </w:rPr>
              <w:t>Change: Significantly Increased</w:t>
            </w:r>
          </w:p>
        </w:tc>
      </w:tr>
      <w:tr w:rsidR="0382C840" w:rsidRPr="00FB463B" w14:paraId="5A5A5397" w14:textId="77777777" w:rsidTr="0382C840">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05FD43F1" w14:textId="1031EF28" w:rsidR="0382C840" w:rsidRPr="00FB463B" w:rsidRDefault="0382C840" w:rsidP="0382C840">
            <w:pPr>
              <w:jc w:val="center"/>
              <w:rPr>
                <w:rFonts w:eastAsia="Arial" w:cs="Arial"/>
                <w:b/>
                <w:bCs/>
                <w:color w:val="354052"/>
              </w:rPr>
            </w:pPr>
            <w:r w:rsidRPr="00FB463B">
              <w:rPr>
                <w:rFonts w:eastAsia="Arial" w:cs="Arial"/>
                <w:b/>
                <w:bCs/>
                <w:color w:val="354052"/>
              </w:rPr>
              <w:t>Status:</w:t>
            </w:r>
            <w:r w:rsidRPr="00FB463B">
              <w:br/>
            </w:r>
            <w:r w:rsidRPr="00FB463B">
              <w:rPr>
                <w:rFonts w:eastAsia="Arial" w:cs="Arial"/>
                <w:b/>
                <w:bCs/>
                <w:color w:val="354052"/>
              </w:rPr>
              <w:t xml:space="preserve"> Very High</w:t>
            </w:r>
          </w:p>
        </w:tc>
        <w:tc>
          <w:tcPr>
            <w:tcW w:w="158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574B0364" w14:textId="18E52CD0" w:rsidR="0382C840" w:rsidRPr="00FB463B" w:rsidRDefault="0382C840" w:rsidP="0382C840">
            <w:pPr>
              <w:jc w:val="center"/>
              <w:rPr>
                <w:rFonts w:eastAsia="Arial" w:cs="Arial"/>
                <w:color w:val="354052"/>
              </w:rPr>
            </w:pPr>
            <w:r w:rsidRPr="00FB463B">
              <w:rPr>
                <w:rFonts w:eastAsia="Arial" w:cs="Arial"/>
                <w:color w:val="354052"/>
              </w:rPr>
              <w:t>Yellow</w:t>
            </w:r>
          </w:p>
        </w:tc>
        <w:tc>
          <w:tcPr>
            <w:tcW w:w="1456"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31D09048" w14:textId="692C456B"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Green</w:t>
            </w:r>
          </w:p>
        </w:tc>
        <w:tc>
          <w:tcPr>
            <w:tcW w:w="1463"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757820DE" w14:textId="246659B5"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50376F90" w14:textId="2D8F9EDB"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3332C59F" w14:textId="4A06F698"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Blue</w:t>
            </w:r>
          </w:p>
        </w:tc>
      </w:tr>
      <w:tr w:rsidR="0382C840" w:rsidRPr="00FB463B" w14:paraId="1DB2E3F1" w14:textId="77777777" w:rsidTr="0382C840">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027F2C89" w14:textId="04CAA099" w:rsidR="0382C840" w:rsidRPr="00FB463B" w:rsidRDefault="0382C840" w:rsidP="0382C840">
            <w:pPr>
              <w:jc w:val="center"/>
              <w:rPr>
                <w:rFonts w:eastAsia="Arial" w:cs="Arial"/>
                <w:b/>
                <w:bCs/>
                <w:color w:val="354052"/>
              </w:rPr>
            </w:pPr>
            <w:r w:rsidRPr="00FB463B">
              <w:rPr>
                <w:rFonts w:eastAsia="Arial" w:cs="Arial"/>
                <w:b/>
                <w:bCs/>
                <w:color w:val="354052"/>
              </w:rPr>
              <w:t>Status:</w:t>
            </w:r>
          </w:p>
          <w:p w14:paraId="1B9FBE16" w14:textId="21ABB500" w:rsidR="0382C840" w:rsidRPr="00FB463B" w:rsidRDefault="0382C840" w:rsidP="0382C840">
            <w:pPr>
              <w:jc w:val="center"/>
              <w:rPr>
                <w:rFonts w:eastAsia="Arial" w:cs="Arial"/>
                <w:b/>
                <w:bCs/>
                <w:color w:val="354052"/>
              </w:rPr>
            </w:pPr>
            <w:r w:rsidRPr="00FB463B">
              <w:rPr>
                <w:rFonts w:eastAsia="Arial" w:cs="Arial"/>
                <w:b/>
                <w:bCs/>
                <w:color w:val="354052"/>
              </w:rPr>
              <w:t>High</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6756B666" w14:textId="005607E9" w:rsidR="0382C840" w:rsidRPr="00FB463B" w:rsidRDefault="0382C840" w:rsidP="0382C840">
            <w:pPr>
              <w:jc w:val="center"/>
              <w:rPr>
                <w:rFonts w:eastAsia="Arial" w:cs="Arial"/>
                <w:color w:val="354052"/>
              </w:rPr>
            </w:pPr>
            <w:r w:rsidRPr="00FB463B">
              <w:rPr>
                <w:rFonts w:eastAsia="Arial" w:cs="Arial"/>
                <w:color w:val="354052"/>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252AD7AC" w14:textId="5B59D9B7" w:rsidR="0382C840" w:rsidRPr="00FB463B" w:rsidRDefault="0382C840" w:rsidP="0382C840">
            <w:pPr>
              <w:jc w:val="center"/>
              <w:rPr>
                <w:rFonts w:eastAsia="Arial" w:cs="Arial"/>
                <w:color w:val="354052"/>
              </w:rPr>
            </w:pPr>
            <w:r w:rsidRPr="00FB463B">
              <w:rPr>
                <w:rFonts w:eastAsia="Arial" w:cs="Arial"/>
                <w:color w:val="354052"/>
              </w:rPr>
              <w:t>Yellow</w:t>
            </w:r>
          </w:p>
        </w:tc>
        <w:tc>
          <w:tcPr>
            <w:tcW w:w="1463"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4F53C826" w14:textId="431FD5AC"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549F426D" w14:textId="7A024467"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77143E50" w14:textId="7274E267"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Blue</w:t>
            </w:r>
          </w:p>
        </w:tc>
      </w:tr>
      <w:tr w:rsidR="0382C840" w:rsidRPr="00FB463B" w14:paraId="43BDEB09" w14:textId="77777777" w:rsidTr="0382C840">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704D2E7B" w14:textId="5CC55370" w:rsidR="0382C840" w:rsidRPr="00FB463B" w:rsidRDefault="0382C840" w:rsidP="0382C840">
            <w:pPr>
              <w:jc w:val="center"/>
              <w:rPr>
                <w:rFonts w:eastAsia="Arial" w:cs="Arial"/>
                <w:b/>
                <w:bCs/>
                <w:color w:val="354052"/>
              </w:rPr>
            </w:pPr>
            <w:r w:rsidRPr="00FB463B">
              <w:rPr>
                <w:rFonts w:eastAsia="Arial" w:cs="Arial"/>
                <w:b/>
                <w:bCs/>
                <w:color w:val="354052"/>
              </w:rPr>
              <w:t>Status:</w:t>
            </w:r>
          </w:p>
          <w:p w14:paraId="61B8FDAD" w14:textId="4845CE67" w:rsidR="0382C840" w:rsidRPr="00FB463B" w:rsidRDefault="0382C840" w:rsidP="0382C840">
            <w:pPr>
              <w:jc w:val="center"/>
              <w:rPr>
                <w:rFonts w:eastAsia="Arial" w:cs="Arial"/>
                <w:b/>
                <w:bCs/>
                <w:color w:val="354052"/>
              </w:rPr>
            </w:pPr>
            <w:r w:rsidRPr="00FB463B">
              <w:rPr>
                <w:rFonts w:eastAsia="Arial" w:cs="Arial"/>
                <w:b/>
                <w:bCs/>
                <w:color w:val="354052"/>
              </w:rPr>
              <w:t>Medium</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08E7B06B" w14:textId="52427C95" w:rsidR="0382C840" w:rsidRPr="00FB463B" w:rsidRDefault="0382C840" w:rsidP="0382C840">
            <w:pPr>
              <w:jc w:val="center"/>
              <w:rPr>
                <w:rFonts w:eastAsia="Arial" w:cs="Arial"/>
                <w:color w:val="354052"/>
              </w:rPr>
            </w:pPr>
            <w:r w:rsidRPr="00FB463B">
              <w:rPr>
                <w:rFonts w:eastAsia="Arial" w:cs="Arial"/>
                <w:color w:val="354052"/>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121802F5" w14:textId="2ACF93D1" w:rsidR="0382C840" w:rsidRPr="00FB463B" w:rsidRDefault="0382C840" w:rsidP="0382C840">
            <w:pPr>
              <w:jc w:val="center"/>
              <w:rPr>
                <w:rFonts w:eastAsia="Arial" w:cs="Arial"/>
                <w:color w:val="354052"/>
              </w:rPr>
            </w:pPr>
            <w:r w:rsidRPr="00FB463B">
              <w:rPr>
                <w:rFonts w:eastAsia="Arial" w:cs="Arial"/>
                <w:color w:val="354052"/>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16697406" w14:textId="4447B8D7" w:rsidR="0382C840" w:rsidRPr="00FB463B" w:rsidRDefault="0382C840" w:rsidP="0382C840">
            <w:pPr>
              <w:jc w:val="center"/>
              <w:rPr>
                <w:rFonts w:eastAsia="Arial" w:cs="Arial"/>
                <w:color w:val="354052"/>
              </w:rPr>
            </w:pPr>
            <w:r w:rsidRPr="00FB463B">
              <w:rPr>
                <w:rFonts w:eastAsia="Arial" w:cs="Arial"/>
                <w:color w:val="354052"/>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767C89D1" w14:textId="6917CC0D"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028BA80B" w14:textId="07BCDF73"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Green</w:t>
            </w:r>
          </w:p>
        </w:tc>
      </w:tr>
      <w:tr w:rsidR="0382C840" w:rsidRPr="00FB463B" w14:paraId="1EB9A982" w14:textId="77777777" w:rsidTr="0382C840">
        <w:trPr>
          <w:trHeight w:val="127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7915669E" w14:textId="6E0F7224" w:rsidR="0382C840" w:rsidRPr="00FB463B" w:rsidRDefault="0382C840" w:rsidP="0382C840">
            <w:pPr>
              <w:jc w:val="center"/>
              <w:rPr>
                <w:rFonts w:eastAsia="Arial" w:cs="Arial"/>
                <w:b/>
                <w:bCs/>
                <w:color w:val="354052"/>
              </w:rPr>
            </w:pPr>
            <w:r w:rsidRPr="00FB463B">
              <w:rPr>
                <w:rFonts w:eastAsia="Arial" w:cs="Arial"/>
                <w:b/>
                <w:bCs/>
                <w:color w:val="354052"/>
              </w:rPr>
              <w:t>Status:</w:t>
            </w:r>
          </w:p>
          <w:p w14:paraId="6B900ED4" w14:textId="564FE175" w:rsidR="0382C840" w:rsidRPr="00FB463B" w:rsidRDefault="0382C840" w:rsidP="0382C840">
            <w:pPr>
              <w:jc w:val="center"/>
              <w:rPr>
                <w:rFonts w:eastAsia="Arial" w:cs="Arial"/>
                <w:b/>
                <w:bCs/>
                <w:color w:val="354052"/>
              </w:rPr>
            </w:pPr>
            <w:r w:rsidRPr="00FB463B">
              <w:rPr>
                <w:rFonts w:eastAsia="Arial" w:cs="Arial"/>
                <w:b/>
                <w:bCs/>
                <w:color w:val="354052"/>
              </w:rPr>
              <w:t>Low</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2BFB2A42" w14:textId="480BBACF"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661DDA84" w14:textId="7486379B" w:rsidR="0382C840" w:rsidRPr="00FB463B" w:rsidRDefault="0382C840" w:rsidP="0382C840">
            <w:pPr>
              <w:jc w:val="center"/>
              <w:rPr>
                <w:rFonts w:eastAsia="Arial" w:cs="Arial"/>
                <w:color w:val="354052"/>
              </w:rPr>
            </w:pPr>
            <w:r w:rsidRPr="00FB463B">
              <w:rPr>
                <w:rFonts w:eastAsia="Arial" w:cs="Arial"/>
                <w:color w:val="354052"/>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5CAE1622" w14:textId="722927C0" w:rsidR="0382C840" w:rsidRPr="00FB463B" w:rsidRDefault="0382C840" w:rsidP="0382C840">
            <w:pPr>
              <w:jc w:val="center"/>
              <w:rPr>
                <w:rFonts w:eastAsia="Arial" w:cs="Arial"/>
                <w:color w:val="354052"/>
              </w:rPr>
            </w:pPr>
            <w:r w:rsidRPr="00FB463B">
              <w:rPr>
                <w:rFonts w:eastAsia="Arial" w:cs="Arial"/>
                <w:color w:val="354052"/>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292F1A0A" w14:textId="661F27A2" w:rsidR="0382C840" w:rsidRPr="00FB463B" w:rsidRDefault="0382C840" w:rsidP="0382C840">
            <w:pPr>
              <w:jc w:val="center"/>
              <w:rPr>
                <w:rFonts w:eastAsia="Arial" w:cs="Arial"/>
                <w:color w:val="354052"/>
              </w:rPr>
            </w:pPr>
            <w:r w:rsidRPr="00FB463B">
              <w:rPr>
                <w:rFonts w:eastAsia="Arial" w:cs="Arial"/>
                <w:color w:val="354052"/>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1C5B5338" w14:textId="2A4BD1F8" w:rsidR="0382C840" w:rsidRPr="00FB463B" w:rsidRDefault="0382C840" w:rsidP="0382C840">
            <w:pPr>
              <w:jc w:val="center"/>
              <w:rPr>
                <w:rFonts w:eastAsia="Arial" w:cs="Arial"/>
                <w:color w:val="354052"/>
              </w:rPr>
            </w:pPr>
            <w:r w:rsidRPr="00FB463B">
              <w:rPr>
                <w:rFonts w:eastAsia="Arial" w:cs="Arial"/>
                <w:color w:val="354052"/>
              </w:rPr>
              <w:t>Yellow</w:t>
            </w:r>
          </w:p>
        </w:tc>
      </w:tr>
      <w:tr w:rsidR="0382C840" w:rsidRPr="00FB463B" w14:paraId="31958CD9" w14:textId="77777777" w:rsidTr="0382C840">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124C40B3" w14:textId="58617917" w:rsidR="0382C840" w:rsidRPr="00FB463B" w:rsidRDefault="0382C840" w:rsidP="0382C840">
            <w:pPr>
              <w:jc w:val="center"/>
              <w:rPr>
                <w:rFonts w:eastAsia="Arial" w:cs="Arial"/>
                <w:b/>
                <w:bCs/>
                <w:color w:val="354052"/>
              </w:rPr>
            </w:pPr>
            <w:r w:rsidRPr="00FB463B">
              <w:rPr>
                <w:rFonts w:eastAsia="Arial" w:cs="Arial"/>
                <w:b/>
                <w:bCs/>
                <w:color w:val="354052"/>
              </w:rPr>
              <w:t>Status:</w:t>
            </w:r>
            <w:r w:rsidRPr="00FB463B">
              <w:br/>
            </w:r>
            <w:r w:rsidRPr="00FB463B">
              <w:rPr>
                <w:rFonts w:eastAsia="Arial" w:cs="Arial"/>
                <w:b/>
                <w:bCs/>
                <w:color w:val="354052"/>
              </w:rPr>
              <w:t xml:space="preserve"> Very Low</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46C134C8" w14:textId="7640E14C"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1124608C" w14:textId="35E6887A"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Red</w:t>
            </w:r>
          </w:p>
        </w:tc>
        <w:tc>
          <w:tcPr>
            <w:tcW w:w="1463"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7ECC9F5A" w14:textId="59816FF7" w:rsidR="0382C840" w:rsidRPr="00FB463B" w:rsidRDefault="0382C840" w:rsidP="0382C840">
            <w:pPr>
              <w:jc w:val="center"/>
              <w:rPr>
                <w:rFonts w:eastAsia="Arial" w:cs="Arial"/>
                <w:color w:val="FFFFFF" w:themeColor="background1"/>
              </w:rPr>
            </w:pPr>
            <w:r w:rsidRPr="00FB463B">
              <w:rPr>
                <w:rFonts w:eastAsia="Arial" w:cs="Arial"/>
                <w:color w:val="FFFFFF" w:themeColor="background1"/>
              </w:rPr>
              <w:t>Red</w:t>
            </w:r>
          </w:p>
        </w:tc>
        <w:tc>
          <w:tcPr>
            <w:tcW w:w="161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6B3CC895" w14:textId="7E98D60B" w:rsidR="0382C840" w:rsidRPr="00FB463B" w:rsidRDefault="0382C840" w:rsidP="0382C840">
            <w:pPr>
              <w:jc w:val="center"/>
              <w:rPr>
                <w:rFonts w:eastAsia="Arial" w:cs="Arial"/>
                <w:color w:val="354052"/>
              </w:rPr>
            </w:pPr>
            <w:r w:rsidRPr="00FB463B">
              <w:rPr>
                <w:rFonts w:eastAsia="Arial" w:cs="Arial"/>
                <w:color w:val="354052"/>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1B1ED68A" w14:textId="2DDB6BA8" w:rsidR="0382C840" w:rsidRPr="00FB463B" w:rsidRDefault="0382C840" w:rsidP="0382C840">
            <w:pPr>
              <w:jc w:val="center"/>
              <w:rPr>
                <w:rFonts w:eastAsia="Arial" w:cs="Arial"/>
                <w:color w:val="354052"/>
              </w:rPr>
            </w:pPr>
            <w:r w:rsidRPr="00FB463B">
              <w:rPr>
                <w:rFonts w:eastAsia="Arial" w:cs="Arial"/>
                <w:color w:val="354052"/>
              </w:rPr>
              <w:t>Yellow</w:t>
            </w:r>
          </w:p>
        </w:tc>
      </w:tr>
    </w:tbl>
    <w:p w14:paraId="23F09545" w14:textId="1E611099" w:rsidR="532F476E" w:rsidRPr="00FB463B" w:rsidRDefault="532F476E" w:rsidP="006D2E84">
      <w:pPr>
        <w:spacing w:before="240" w:after="240"/>
        <w:rPr>
          <w:rFonts w:eastAsia="Arial" w:cs="Arial"/>
        </w:rPr>
      </w:pPr>
      <w:r w:rsidRPr="00FB463B">
        <w:rPr>
          <w:rFonts w:eastAsia="Arial" w:cs="Arial"/>
        </w:rPr>
        <w:lastRenderedPageBreak/>
        <w:t xml:space="preserve">Following the implementation of the Traditional color scheme, LEAs and schools </w:t>
      </w:r>
      <w:r w:rsidR="4AF559E2" w:rsidRPr="00FB463B">
        <w:rPr>
          <w:rFonts w:eastAsia="Arial" w:cs="Arial"/>
        </w:rPr>
        <w:t xml:space="preserve">observed year over year instability in the change metric. </w:t>
      </w:r>
      <w:r w:rsidR="75237121" w:rsidRPr="00FB463B">
        <w:rPr>
          <w:rFonts w:eastAsia="Arial" w:cs="Arial"/>
        </w:rPr>
        <w:t xml:space="preserve">The CDE and SBE took action to adopt the Balanced color scheme for the Academic Indicators to negate this instability, </w:t>
      </w:r>
      <w:proofErr w:type="gramStart"/>
      <w:r w:rsidR="75237121" w:rsidRPr="00FB463B">
        <w:rPr>
          <w:rFonts w:eastAsia="Arial" w:cs="Arial"/>
        </w:rPr>
        <w:t>and also</w:t>
      </w:r>
      <w:proofErr w:type="gramEnd"/>
      <w:r w:rsidR="75237121" w:rsidRPr="00FB463B">
        <w:rPr>
          <w:rFonts w:eastAsia="Arial" w:cs="Arial"/>
        </w:rPr>
        <w:t xml:space="preserve"> adopted a “Three by Five” amendment to the “Five by Five” </w:t>
      </w:r>
      <w:r w:rsidR="62FF98AE" w:rsidRPr="00FB463B">
        <w:rPr>
          <w:rFonts w:eastAsia="Arial" w:cs="Arial"/>
        </w:rPr>
        <w:t>for small n-size populations.</w:t>
      </w:r>
    </w:p>
    <w:p w14:paraId="23CA9BB4" w14:textId="3F6D8732" w:rsidR="62FF98AE" w:rsidRPr="00FB463B" w:rsidRDefault="62FF98AE" w:rsidP="0382C840">
      <w:pPr>
        <w:spacing w:after="240"/>
        <w:rPr>
          <w:rFonts w:eastAsia="Arial" w:cs="Arial"/>
          <w:color w:val="000000" w:themeColor="text1"/>
        </w:rPr>
      </w:pPr>
      <w:r w:rsidRPr="00FB463B">
        <w:rPr>
          <w:rFonts w:eastAsia="Arial" w:cs="Arial"/>
          <w:color w:val="000000" w:themeColor="text1"/>
        </w:rPr>
        <w:t xml:space="preserve">Based on the Balanced color scheme, the SBE made the requirements for LEAs, </w:t>
      </w:r>
      <w:proofErr w:type="gramStart"/>
      <w:r w:rsidRPr="00FB463B">
        <w:rPr>
          <w:rFonts w:eastAsia="Arial" w:cs="Arial"/>
          <w:color w:val="000000" w:themeColor="text1"/>
        </w:rPr>
        <w:t>schools</w:t>
      </w:r>
      <w:proofErr w:type="gramEnd"/>
      <w:r w:rsidRPr="00FB463B">
        <w:rPr>
          <w:rFonts w:eastAsia="Arial" w:cs="Arial"/>
          <w:color w:val="000000" w:themeColor="text1"/>
        </w:rPr>
        <w:t xml:space="preserve"> and student groups to receive a blue Performance Level either a status of very high and a change level of maintained, increased or increased significantly, or a status of high and a change level of increased significantly. Conversely, an LEA, school or student group would receive a red Performance Level with a status level of very low and </w:t>
      </w:r>
      <w:r w:rsidR="75C7DBF1" w:rsidRPr="00FB463B">
        <w:rPr>
          <w:rFonts w:eastAsia="Arial" w:cs="Arial"/>
          <w:color w:val="000000" w:themeColor="text1"/>
        </w:rPr>
        <w:t xml:space="preserve">a </w:t>
      </w:r>
      <w:r w:rsidRPr="00FB463B">
        <w:rPr>
          <w:rFonts w:eastAsia="Arial" w:cs="Arial"/>
          <w:color w:val="000000" w:themeColor="text1"/>
        </w:rPr>
        <w:t>change level</w:t>
      </w:r>
      <w:r w:rsidR="0A3EA9E4" w:rsidRPr="00FB463B">
        <w:rPr>
          <w:rFonts w:eastAsia="Arial" w:cs="Arial"/>
          <w:color w:val="000000" w:themeColor="text1"/>
        </w:rPr>
        <w:t xml:space="preserve"> of maintained, declined, or declined significantly</w:t>
      </w:r>
      <w:r w:rsidRPr="00FB463B">
        <w:rPr>
          <w:rFonts w:eastAsia="Arial" w:cs="Arial"/>
          <w:color w:val="000000" w:themeColor="text1"/>
        </w:rPr>
        <w:t>.</w:t>
      </w:r>
    </w:p>
    <w:p w14:paraId="65433105" w14:textId="27E5D89F" w:rsidR="00DC1808" w:rsidRPr="00FB463B" w:rsidRDefault="00DC1808" w:rsidP="1D9B2659">
      <w:pPr>
        <w:spacing w:after="240"/>
        <w:rPr>
          <w:rFonts w:eastAsia="Arial" w:cs="Arial"/>
          <w:b/>
        </w:rPr>
      </w:pPr>
      <w:r w:rsidRPr="00FB463B">
        <w:rPr>
          <w:rFonts w:eastAsia="Arial" w:cs="Arial"/>
          <w:b/>
        </w:rPr>
        <w:t xml:space="preserve">Table 7: Balanced </w:t>
      </w:r>
      <w:r w:rsidR="00720B2A" w:rsidRPr="00FB463B">
        <w:rPr>
          <w:rFonts w:eastAsia="Arial" w:cs="Arial"/>
          <w:b/>
        </w:rPr>
        <w:t xml:space="preserve">Five-by-Five </w:t>
      </w:r>
      <w:r w:rsidRPr="00FB463B">
        <w:rPr>
          <w:rFonts w:eastAsia="Arial" w:cs="Arial"/>
          <w:b/>
        </w:rPr>
        <w:t>Color Scheme</w:t>
      </w:r>
    </w:p>
    <w:tbl>
      <w:tblPr>
        <w:tblW w:w="0" w:type="auto"/>
        <w:tblInd w:w="13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Table 6: Traditional Five-by-Five Color Scheme (Used for the ELPI on the 2017 Dashboard)"/>
        <w:tblDescription w:val="Traditional Five-by-Five Color Scheme (Used for the ELPI on the 2017 Dashboard)"/>
      </w:tblPr>
      <w:tblGrid>
        <w:gridCol w:w="1644"/>
        <w:gridCol w:w="1525"/>
        <w:gridCol w:w="1440"/>
        <w:gridCol w:w="1533"/>
        <w:gridCol w:w="1513"/>
        <w:gridCol w:w="1550"/>
      </w:tblGrid>
      <w:tr w:rsidR="7F34EEDC" w:rsidRPr="00FB463B" w14:paraId="6F03F84C" w14:textId="77777777" w:rsidTr="7F34EEDC">
        <w:trPr>
          <w:trHeight w:val="1560"/>
        </w:trPr>
        <w:tc>
          <w:tcPr>
            <w:tcW w:w="1655" w:type="dxa"/>
            <w:tcBorders>
              <w:top w:val="single" w:sz="8" w:space="0" w:color="auto"/>
              <w:left w:val="single" w:sz="8" w:space="0" w:color="auto"/>
              <w:bottom w:val="single" w:sz="8" w:space="0" w:color="auto"/>
              <w:right w:val="single" w:sz="8" w:space="0" w:color="auto"/>
            </w:tcBorders>
            <w:vAlign w:val="center"/>
          </w:tcPr>
          <w:p w14:paraId="0B75776B" w14:textId="4EACA2AA" w:rsidR="7F34EEDC" w:rsidRPr="00FB463B" w:rsidRDefault="7F34EEDC" w:rsidP="7F34EEDC">
            <w:pPr>
              <w:jc w:val="center"/>
              <w:rPr>
                <w:rFonts w:eastAsia="Arial" w:cs="Arial"/>
              </w:rPr>
            </w:pPr>
            <w:r w:rsidRPr="00FB463B">
              <w:rPr>
                <w:rFonts w:eastAsia="Arial" w:cs="Arial"/>
              </w:rPr>
              <w:t>Performance Level</w:t>
            </w:r>
          </w:p>
        </w:tc>
        <w:tc>
          <w:tcPr>
            <w:tcW w:w="1530" w:type="dxa"/>
            <w:tcBorders>
              <w:top w:val="single" w:sz="8" w:space="0" w:color="auto"/>
              <w:left w:val="single" w:sz="8" w:space="0" w:color="auto"/>
              <w:bottom w:val="single" w:sz="8" w:space="0" w:color="auto"/>
              <w:right w:val="single" w:sz="8" w:space="0" w:color="auto"/>
            </w:tcBorders>
            <w:vAlign w:val="center"/>
          </w:tcPr>
          <w:p w14:paraId="58774D6C" w14:textId="496CEC3D" w:rsidR="7F34EEDC" w:rsidRPr="00FB463B" w:rsidRDefault="7F34EEDC" w:rsidP="7F34EEDC">
            <w:pPr>
              <w:jc w:val="center"/>
              <w:rPr>
                <w:rFonts w:eastAsia="Arial" w:cs="Arial"/>
              </w:rPr>
            </w:pPr>
            <w:r w:rsidRPr="00FB463B">
              <w:rPr>
                <w:rFonts w:eastAsia="Arial" w:cs="Arial"/>
              </w:rPr>
              <w:t>Change:</w:t>
            </w:r>
          </w:p>
          <w:p w14:paraId="2C77C178" w14:textId="7BEFAA73" w:rsidR="7F34EEDC" w:rsidRPr="00FB463B" w:rsidRDefault="7F34EEDC" w:rsidP="7F34EEDC">
            <w:pPr>
              <w:jc w:val="center"/>
              <w:rPr>
                <w:rFonts w:eastAsia="Arial" w:cs="Arial"/>
              </w:rPr>
            </w:pPr>
            <w:r w:rsidRPr="00FB463B">
              <w:rPr>
                <w:rFonts w:eastAsia="Arial" w:cs="Arial"/>
              </w:rPr>
              <w:t>Declined Significantly</w:t>
            </w:r>
          </w:p>
        </w:tc>
        <w:tc>
          <w:tcPr>
            <w:tcW w:w="1495" w:type="dxa"/>
            <w:tcBorders>
              <w:top w:val="single" w:sz="8" w:space="0" w:color="auto"/>
              <w:left w:val="single" w:sz="8" w:space="0" w:color="auto"/>
              <w:bottom w:val="single" w:sz="8" w:space="0" w:color="auto"/>
              <w:right w:val="single" w:sz="8" w:space="0" w:color="auto"/>
            </w:tcBorders>
            <w:vAlign w:val="center"/>
          </w:tcPr>
          <w:p w14:paraId="63AAF0B1" w14:textId="58407D89" w:rsidR="7F34EEDC" w:rsidRPr="00FB463B" w:rsidRDefault="7F34EEDC" w:rsidP="7F34EEDC">
            <w:pPr>
              <w:jc w:val="center"/>
              <w:rPr>
                <w:rFonts w:eastAsia="Arial" w:cs="Arial"/>
              </w:rPr>
            </w:pPr>
            <w:r w:rsidRPr="00FB463B">
              <w:rPr>
                <w:rFonts w:eastAsia="Arial" w:cs="Arial"/>
              </w:rPr>
              <w:t>Change:</w:t>
            </w:r>
          </w:p>
          <w:p w14:paraId="6ABF5B0A" w14:textId="4FE922F5" w:rsidR="7F34EEDC" w:rsidRPr="00FB463B" w:rsidRDefault="7F34EEDC" w:rsidP="7F34EEDC">
            <w:pPr>
              <w:jc w:val="center"/>
              <w:rPr>
                <w:rFonts w:eastAsia="Arial" w:cs="Arial"/>
              </w:rPr>
            </w:pPr>
            <w:r w:rsidRPr="00FB463B">
              <w:rPr>
                <w:rFonts w:eastAsia="Arial" w:cs="Arial"/>
              </w:rPr>
              <w:t>Declined</w:t>
            </w:r>
          </w:p>
        </w:tc>
        <w:tc>
          <w:tcPr>
            <w:tcW w:w="1560" w:type="dxa"/>
            <w:tcBorders>
              <w:top w:val="single" w:sz="8" w:space="0" w:color="auto"/>
              <w:left w:val="single" w:sz="8" w:space="0" w:color="auto"/>
              <w:bottom w:val="single" w:sz="8" w:space="0" w:color="auto"/>
              <w:right w:val="single" w:sz="8" w:space="0" w:color="auto"/>
            </w:tcBorders>
            <w:vAlign w:val="center"/>
          </w:tcPr>
          <w:p w14:paraId="0C4D1C06" w14:textId="1752F4CA" w:rsidR="7F34EEDC" w:rsidRPr="00FB463B" w:rsidRDefault="7F34EEDC" w:rsidP="7F34EEDC">
            <w:pPr>
              <w:jc w:val="center"/>
              <w:rPr>
                <w:rFonts w:eastAsia="Arial" w:cs="Arial"/>
              </w:rPr>
            </w:pPr>
            <w:r w:rsidRPr="00FB463B">
              <w:rPr>
                <w:rFonts w:eastAsia="Arial" w:cs="Arial"/>
              </w:rPr>
              <w:t>Change:</w:t>
            </w:r>
          </w:p>
          <w:p w14:paraId="3136B2A2" w14:textId="2FF89AF7" w:rsidR="7F34EEDC" w:rsidRPr="00FB463B" w:rsidRDefault="7F34EEDC" w:rsidP="7F34EEDC">
            <w:pPr>
              <w:jc w:val="center"/>
              <w:rPr>
                <w:rFonts w:eastAsia="Arial" w:cs="Arial"/>
              </w:rPr>
            </w:pPr>
            <w:r w:rsidRPr="00FB463B">
              <w:rPr>
                <w:rFonts w:eastAsia="Arial" w:cs="Arial"/>
              </w:rPr>
              <w:t>Maintained</w:t>
            </w:r>
          </w:p>
        </w:tc>
        <w:tc>
          <w:tcPr>
            <w:tcW w:w="1560" w:type="dxa"/>
            <w:tcBorders>
              <w:top w:val="single" w:sz="8" w:space="0" w:color="auto"/>
              <w:left w:val="single" w:sz="8" w:space="0" w:color="auto"/>
              <w:bottom w:val="single" w:sz="8" w:space="0" w:color="auto"/>
              <w:right w:val="single" w:sz="8" w:space="0" w:color="auto"/>
            </w:tcBorders>
            <w:vAlign w:val="center"/>
          </w:tcPr>
          <w:p w14:paraId="51847FD4" w14:textId="7957821E" w:rsidR="7F34EEDC" w:rsidRPr="00FB463B" w:rsidRDefault="7F34EEDC" w:rsidP="7F34EEDC">
            <w:pPr>
              <w:jc w:val="center"/>
              <w:rPr>
                <w:rFonts w:eastAsia="Arial" w:cs="Arial"/>
              </w:rPr>
            </w:pPr>
            <w:r w:rsidRPr="00FB463B">
              <w:rPr>
                <w:rFonts w:eastAsia="Arial" w:cs="Arial"/>
              </w:rPr>
              <w:t>Change:</w:t>
            </w:r>
          </w:p>
          <w:p w14:paraId="49BD3DE7" w14:textId="2DF2A301" w:rsidR="7F34EEDC" w:rsidRPr="00FB463B" w:rsidRDefault="7F34EEDC" w:rsidP="7F34EEDC">
            <w:pPr>
              <w:jc w:val="center"/>
              <w:rPr>
                <w:rFonts w:eastAsia="Arial" w:cs="Arial"/>
              </w:rPr>
            </w:pPr>
            <w:r w:rsidRPr="00FB463B">
              <w:rPr>
                <w:rFonts w:eastAsia="Arial" w:cs="Arial"/>
              </w:rPr>
              <w:t>Increased</w:t>
            </w:r>
          </w:p>
        </w:tc>
        <w:tc>
          <w:tcPr>
            <w:tcW w:w="1560" w:type="dxa"/>
            <w:tcBorders>
              <w:top w:val="single" w:sz="8" w:space="0" w:color="auto"/>
              <w:left w:val="single" w:sz="8" w:space="0" w:color="auto"/>
              <w:bottom w:val="single" w:sz="8" w:space="0" w:color="auto"/>
              <w:right w:val="single" w:sz="8" w:space="0" w:color="auto"/>
            </w:tcBorders>
            <w:vAlign w:val="center"/>
          </w:tcPr>
          <w:p w14:paraId="6E8D0D86" w14:textId="694DDCAC" w:rsidR="7F34EEDC" w:rsidRPr="00FB463B" w:rsidRDefault="7F34EEDC" w:rsidP="7F34EEDC">
            <w:pPr>
              <w:jc w:val="center"/>
              <w:rPr>
                <w:rFonts w:eastAsia="Arial" w:cs="Arial"/>
              </w:rPr>
            </w:pPr>
            <w:r w:rsidRPr="00FB463B">
              <w:rPr>
                <w:rFonts w:eastAsia="Arial" w:cs="Arial"/>
              </w:rPr>
              <w:t>Change:</w:t>
            </w:r>
          </w:p>
          <w:p w14:paraId="579E0BAF" w14:textId="030A2B56" w:rsidR="7F34EEDC" w:rsidRPr="00FB463B" w:rsidRDefault="7F34EEDC" w:rsidP="7F34EEDC">
            <w:pPr>
              <w:jc w:val="center"/>
              <w:rPr>
                <w:rFonts w:eastAsia="Arial" w:cs="Arial"/>
              </w:rPr>
            </w:pPr>
            <w:r w:rsidRPr="00FB463B">
              <w:rPr>
                <w:rFonts w:eastAsia="Arial" w:cs="Arial"/>
              </w:rPr>
              <w:t>Increased Significantly</w:t>
            </w:r>
          </w:p>
        </w:tc>
      </w:tr>
      <w:tr w:rsidR="7F34EEDC" w:rsidRPr="00FB463B" w14:paraId="73408547" w14:textId="77777777" w:rsidTr="7F34EEDC">
        <w:trPr>
          <w:trHeight w:val="1125"/>
        </w:trPr>
        <w:tc>
          <w:tcPr>
            <w:tcW w:w="1655" w:type="dxa"/>
            <w:tcBorders>
              <w:top w:val="single" w:sz="8" w:space="0" w:color="auto"/>
              <w:left w:val="single" w:sz="8" w:space="0" w:color="auto"/>
              <w:bottom w:val="single" w:sz="8" w:space="0" w:color="auto"/>
              <w:right w:val="single" w:sz="8" w:space="0" w:color="auto"/>
            </w:tcBorders>
            <w:vAlign w:val="center"/>
          </w:tcPr>
          <w:p w14:paraId="1A40B0C3" w14:textId="4F3940FC" w:rsidR="7F34EEDC" w:rsidRPr="00FB463B" w:rsidRDefault="7F34EEDC" w:rsidP="7F34EEDC">
            <w:pPr>
              <w:jc w:val="center"/>
              <w:rPr>
                <w:rFonts w:eastAsia="Arial" w:cs="Arial"/>
              </w:rPr>
            </w:pPr>
            <w:r w:rsidRPr="00FB463B">
              <w:rPr>
                <w:rFonts w:eastAsia="Arial" w:cs="Arial"/>
              </w:rPr>
              <w:t>Status: Very High</w:t>
            </w:r>
          </w:p>
        </w:tc>
        <w:tc>
          <w:tcPr>
            <w:tcW w:w="1530" w:type="dxa"/>
            <w:tcBorders>
              <w:top w:val="single" w:sz="8" w:space="0" w:color="auto"/>
              <w:left w:val="single" w:sz="8" w:space="0" w:color="auto"/>
              <w:bottom w:val="single" w:sz="8" w:space="0" w:color="auto"/>
              <w:right w:val="single" w:sz="8" w:space="0" w:color="auto"/>
            </w:tcBorders>
            <w:shd w:val="clear" w:color="auto" w:fill="006500"/>
            <w:vAlign w:val="center"/>
          </w:tcPr>
          <w:p w14:paraId="5B24C885" w14:textId="13A5686E"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495" w:type="dxa"/>
            <w:tcBorders>
              <w:top w:val="single" w:sz="8" w:space="0" w:color="auto"/>
              <w:left w:val="single" w:sz="8" w:space="0" w:color="auto"/>
              <w:bottom w:val="single" w:sz="8" w:space="0" w:color="auto"/>
              <w:right w:val="single" w:sz="8" w:space="0" w:color="auto"/>
            </w:tcBorders>
            <w:shd w:val="clear" w:color="auto" w:fill="006500"/>
            <w:vAlign w:val="center"/>
          </w:tcPr>
          <w:p w14:paraId="7053D5E8" w14:textId="4BA3F7BC"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560" w:type="dxa"/>
            <w:tcBorders>
              <w:top w:val="single" w:sz="8" w:space="0" w:color="auto"/>
              <w:left w:val="single" w:sz="8" w:space="0" w:color="auto"/>
              <w:bottom w:val="single" w:sz="8" w:space="0" w:color="auto"/>
              <w:right w:val="single" w:sz="8" w:space="0" w:color="auto"/>
            </w:tcBorders>
            <w:shd w:val="clear" w:color="auto" w:fill="0000FF"/>
            <w:vAlign w:val="center"/>
          </w:tcPr>
          <w:p w14:paraId="06320270" w14:textId="6C63D4D7"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Blue</w:t>
            </w:r>
          </w:p>
        </w:tc>
        <w:tc>
          <w:tcPr>
            <w:tcW w:w="1560" w:type="dxa"/>
            <w:tcBorders>
              <w:top w:val="single" w:sz="8" w:space="0" w:color="auto"/>
              <w:left w:val="single" w:sz="8" w:space="0" w:color="auto"/>
              <w:bottom w:val="single" w:sz="8" w:space="0" w:color="auto"/>
              <w:right w:val="single" w:sz="8" w:space="0" w:color="auto"/>
            </w:tcBorders>
            <w:shd w:val="clear" w:color="auto" w:fill="0000FF"/>
            <w:vAlign w:val="center"/>
          </w:tcPr>
          <w:p w14:paraId="4677CE71" w14:textId="4CE92B60"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Blue</w:t>
            </w:r>
          </w:p>
        </w:tc>
        <w:tc>
          <w:tcPr>
            <w:tcW w:w="1560" w:type="dxa"/>
            <w:tcBorders>
              <w:top w:val="single" w:sz="8" w:space="0" w:color="auto"/>
              <w:left w:val="single" w:sz="8" w:space="0" w:color="auto"/>
              <w:bottom w:val="single" w:sz="8" w:space="0" w:color="auto"/>
              <w:right w:val="single" w:sz="8" w:space="0" w:color="auto"/>
            </w:tcBorders>
            <w:shd w:val="clear" w:color="auto" w:fill="0000FF"/>
            <w:vAlign w:val="center"/>
          </w:tcPr>
          <w:p w14:paraId="676AD9F2" w14:textId="2831D1AD"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Blue</w:t>
            </w:r>
          </w:p>
        </w:tc>
      </w:tr>
      <w:tr w:rsidR="7F34EEDC" w:rsidRPr="00FB463B" w14:paraId="00A28009" w14:textId="77777777" w:rsidTr="7F34EEDC">
        <w:trPr>
          <w:trHeight w:val="1125"/>
        </w:trPr>
        <w:tc>
          <w:tcPr>
            <w:tcW w:w="1655" w:type="dxa"/>
            <w:tcBorders>
              <w:top w:val="single" w:sz="8" w:space="0" w:color="auto"/>
              <w:left w:val="single" w:sz="8" w:space="0" w:color="auto"/>
              <w:bottom w:val="single" w:sz="8" w:space="0" w:color="auto"/>
              <w:right w:val="single" w:sz="8" w:space="0" w:color="auto"/>
            </w:tcBorders>
            <w:vAlign w:val="center"/>
          </w:tcPr>
          <w:p w14:paraId="7B679BBD" w14:textId="77777777" w:rsidR="7F34EEDC" w:rsidRPr="00FB463B" w:rsidRDefault="7F34EEDC" w:rsidP="7F34EEDC">
            <w:pPr>
              <w:jc w:val="center"/>
              <w:rPr>
                <w:rFonts w:eastAsia="Arial" w:cs="Arial"/>
              </w:rPr>
            </w:pPr>
            <w:r w:rsidRPr="00FB463B">
              <w:rPr>
                <w:rFonts w:eastAsia="Arial" w:cs="Arial"/>
              </w:rPr>
              <w:t>Status:</w:t>
            </w:r>
          </w:p>
          <w:p w14:paraId="4BCBB050" w14:textId="5A394263" w:rsidR="7F34EEDC" w:rsidRPr="00FB463B" w:rsidRDefault="7F34EEDC" w:rsidP="7F34EEDC">
            <w:pPr>
              <w:jc w:val="center"/>
              <w:rPr>
                <w:rFonts w:eastAsia="Arial" w:cs="Arial"/>
              </w:rPr>
            </w:pPr>
            <w:r w:rsidRPr="00FB463B">
              <w:rPr>
                <w:rFonts w:eastAsia="Arial" w:cs="Arial"/>
              </w:rPr>
              <w:t>High</w:t>
            </w:r>
          </w:p>
        </w:tc>
        <w:tc>
          <w:tcPr>
            <w:tcW w:w="1530" w:type="dxa"/>
            <w:tcBorders>
              <w:top w:val="single" w:sz="8" w:space="0" w:color="auto"/>
              <w:left w:val="single" w:sz="8" w:space="0" w:color="auto"/>
              <w:bottom w:val="single" w:sz="8" w:space="0" w:color="auto"/>
              <w:right w:val="single" w:sz="8" w:space="0" w:color="auto"/>
            </w:tcBorders>
            <w:shd w:val="clear" w:color="auto" w:fill="006500"/>
            <w:vAlign w:val="center"/>
          </w:tcPr>
          <w:p w14:paraId="5B65D646" w14:textId="04F96C35"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495" w:type="dxa"/>
            <w:tcBorders>
              <w:top w:val="single" w:sz="8" w:space="0" w:color="auto"/>
              <w:left w:val="single" w:sz="8" w:space="0" w:color="auto"/>
              <w:bottom w:val="single" w:sz="8" w:space="0" w:color="auto"/>
              <w:right w:val="single" w:sz="8" w:space="0" w:color="auto"/>
            </w:tcBorders>
            <w:shd w:val="clear" w:color="auto" w:fill="006500"/>
            <w:vAlign w:val="center"/>
          </w:tcPr>
          <w:p w14:paraId="4DBD167B" w14:textId="18BF7BB4"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560" w:type="dxa"/>
            <w:tcBorders>
              <w:top w:val="single" w:sz="8" w:space="0" w:color="auto"/>
              <w:left w:val="single" w:sz="8" w:space="0" w:color="auto"/>
              <w:bottom w:val="single" w:sz="8" w:space="0" w:color="auto"/>
              <w:right w:val="single" w:sz="8" w:space="0" w:color="auto"/>
            </w:tcBorders>
            <w:shd w:val="clear" w:color="auto" w:fill="006500"/>
            <w:vAlign w:val="center"/>
          </w:tcPr>
          <w:p w14:paraId="2CC8E496" w14:textId="029E94CF"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560" w:type="dxa"/>
            <w:tcBorders>
              <w:top w:val="single" w:sz="8" w:space="0" w:color="auto"/>
              <w:left w:val="single" w:sz="8" w:space="0" w:color="auto"/>
              <w:bottom w:val="single" w:sz="8" w:space="0" w:color="auto"/>
              <w:right w:val="single" w:sz="8" w:space="0" w:color="auto"/>
            </w:tcBorders>
            <w:shd w:val="clear" w:color="auto" w:fill="006500"/>
            <w:vAlign w:val="center"/>
          </w:tcPr>
          <w:p w14:paraId="769D1885" w14:textId="04B08302"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560" w:type="dxa"/>
            <w:tcBorders>
              <w:top w:val="single" w:sz="8" w:space="0" w:color="auto"/>
              <w:left w:val="single" w:sz="8" w:space="0" w:color="auto"/>
              <w:bottom w:val="single" w:sz="8" w:space="0" w:color="auto"/>
              <w:right w:val="single" w:sz="8" w:space="0" w:color="auto"/>
            </w:tcBorders>
            <w:shd w:val="clear" w:color="auto" w:fill="0000FF"/>
            <w:vAlign w:val="center"/>
          </w:tcPr>
          <w:p w14:paraId="034ACC25" w14:textId="7BDDBD35"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Blue</w:t>
            </w:r>
          </w:p>
        </w:tc>
      </w:tr>
      <w:tr w:rsidR="7F34EEDC" w:rsidRPr="00FB463B" w14:paraId="2F6A957E" w14:textId="77777777" w:rsidTr="7F34EEDC">
        <w:trPr>
          <w:trHeight w:val="990"/>
        </w:trPr>
        <w:tc>
          <w:tcPr>
            <w:tcW w:w="1655" w:type="dxa"/>
            <w:tcBorders>
              <w:top w:val="single" w:sz="8" w:space="0" w:color="auto"/>
              <w:left w:val="single" w:sz="8" w:space="0" w:color="auto"/>
              <w:bottom w:val="single" w:sz="8" w:space="0" w:color="auto"/>
              <w:right w:val="single" w:sz="8" w:space="0" w:color="auto"/>
            </w:tcBorders>
            <w:vAlign w:val="center"/>
          </w:tcPr>
          <w:p w14:paraId="200EF278" w14:textId="387DF9F7" w:rsidR="7F34EEDC" w:rsidRPr="00FB463B" w:rsidRDefault="7F34EEDC" w:rsidP="7F34EEDC">
            <w:pPr>
              <w:jc w:val="center"/>
              <w:rPr>
                <w:rFonts w:eastAsia="Arial" w:cs="Arial"/>
              </w:rPr>
            </w:pPr>
            <w:r w:rsidRPr="00FB463B">
              <w:rPr>
                <w:rFonts w:eastAsia="Arial" w:cs="Arial"/>
              </w:rPr>
              <w:t>Status:</w:t>
            </w:r>
          </w:p>
          <w:p w14:paraId="6279F3E3" w14:textId="3ED9F7FA" w:rsidR="7F34EEDC" w:rsidRPr="00FB463B" w:rsidRDefault="7F34EEDC" w:rsidP="7F34EEDC">
            <w:pPr>
              <w:jc w:val="center"/>
              <w:rPr>
                <w:rFonts w:eastAsia="Arial" w:cs="Arial"/>
              </w:rPr>
            </w:pPr>
            <w:r w:rsidRPr="00FB463B">
              <w:rPr>
                <w:rFonts w:eastAsia="Arial" w:cs="Arial"/>
              </w:rPr>
              <w:t>Medium</w:t>
            </w:r>
          </w:p>
        </w:tc>
        <w:tc>
          <w:tcPr>
            <w:tcW w:w="1530" w:type="dxa"/>
            <w:tcBorders>
              <w:top w:val="single" w:sz="8" w:space="0" w:color="auto"/>
              <w:left w:val="single" w:sz="8" w:space="0" w:color="auto"/>
              <w:bottom w:val="single" w:sz="8" w:space="0" w:color="auto"/>
              <w:right w:val="single" w:sz="8" w:space="0" w:color="auto"/>
            </w:tcBorders>
            <w:shd w:val="clear" w:color="auto" w:fill="FFFF00"/>
            <w:vAlign w:val="center"/>
          </w:tcPr>
          <w:p w14:paraId="2E34352F" w14:textId="6FB8E021" w:rsidR="7F34EEDC" w:rsidRPr="00FB463B" w:rsidRDefault="7F34EEDC" w:rsidP="7F34EEDC">
            <w:pPr>
              <w:jc w:val="center"/>
              <w:rPr>
                <w:rFonts w:eastAsia="Arial" w:cs="Arial"/>
                <w:color w:val="000000" w:themeColor="text1"/>
              </w:rPr>
            </w:pPr>
            <w:r w:rsidRPr="00FB463B">
              <w:rPr>
                <w:rFonts w:eastAsia="Arial" w:cs="Arial"/>
                <w:color w:val="000000" w:themeColor="text1"/>
              </w:rPr>
              <w:t>Yellow</w:t>
            </w:r>
          </w:p>
        </w:tc>
        <w:tc>
          <w:tcPr>
            <w:tcW w:w="1495" w:type="dxa"/>
            <w:tcBorders>
              <w:top w:val="single" w:sz="8" w:space="0" w:color="auto"/>
              <w:left w:val="single" w:sz="8" w:space="0" w:color="auto"/>
              <w:bottom w:val="single" w:sz="8" w:space="0" w:color="auto"/>
              <w:right w:val="single" w:sz="8" w:space="0" w:color="auto"/>
            </w:tcBorders>
            <w:shd w:val="clear" w:color="auto" w:fill="FFFF00"/>
            <w:vAlign w:val="center"/>
          </w:tcPr>
          <w:p w14:paraId="1C7A779E" w14:textId="227B38A4" w:rsidR="7F34EEDC" w:rsidRPr="00FB463B" w:rsidRDefault="7F34EEDC" w:rsidP="7F34EEDC">
            <w:pPr>
              <w:jc w:val="center"/>
              <w:rPr>
                <w:rFonts w:eastAsia="Arial" w:cs="Arial"/>
                <w:color w:val="000000" w:themeColor="text1"/>
              </w:rPr>
            </w:pPr>
            <w:r w:rsidRPr="00FB463B">
              <w:rPr>
                <w:rFonts w:eastAsia="Arial" w:cs="Arial"/>
                <w:color w:val="000000" w:themeColor="text1"/>
              </w:rPr>
              <w:t>Yellow</w:t>
            </w:r>
          </w:p>
        </w:tc>
        <w:tc>
          <w:tcPr>
            <w:tcW w:w="1560" w:type="dxa"/>
            <w:tcBorders>
              <w:top w:val="single" w:sz="8" w:space="0" w:color="auto"/>
              <w:left w:val="single" w:sz="8" w:space="0" w:color="auto"/>
              <w:bottom w:val="single" w:sz="8" w:space="0" w:color="auto"/>
              <w:right w:val="single" w:sz="8" w:space="0" w:color="auto"/>
            </w:tcBorders>
            <w:shd w:val="clear" w:color="auto" w:fill="FFFF00"/>
            <w:vAlign w:val="center"/>
          </w:tcPr>
          <w:p w14:paraId="73418532" w14:textId="6C38BFB8" w:rsidR="7F34EEDC" w:rsidRPr="00FB463B" w:rsidRDefault="7F34EEDC" w:rsidP="7F34EEDC">
            <w:pPr>
              <w:jc w:val="center"/>
              <w:rPr>
                <w:rFonts w:eastAsia="Arial" w:cs="Arial"/>
                <w:color w:val="000000" w:themeColor="text1"/>
              </w:rPr>
            </w:pPr>
            <w:r w:rsidRPr="00FB463B">
              <w:rPr>
                <w:rFonts w:eastAsia="Arial" w:cs="Arial"/>
                <w:color w:val="000000" w:themeColor="text1"/>
              </w:rPr>
              <w:t>Yellow</w:t>
            </w:r>
          </w:p>
        </w:tc>
        <w:tc>
          <w:tcPr>
            <w:tcW w:w="1560" w:type="dxa"/>
            <w:tcBorders>
              <w:top w:val="single" w:sz="8" w:space="0" w:color="auto"/>
              <w:left w:val="single" w:sz="8" w:space="0" w:color="auto"/>
              <w:bottom w:val="single" w:sz="8" w:space="0" w:color="auto"/>
              <w:right w:val="single" w:sz="8" w:space="0" w:color="auto"/>
            </w:tcBorders>
            <w:shd w:val="clear" w:color="auto" w:fill="006500"/>
            <w:vAlign w:val="center"/>
          </w:tcPr>
          <w:p w14:paraId="18A50EE1" w14:textId="581FF55F"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c>
          <w:tcPr>
            <w:tcW w:w="1560" w:type="dxa"/>
            <w:tcBorders>
              <w:top w:val="single" w:sz="8" w:space="0" w:color="auto"/>
              <w:left w:val="single" w:sz="8" w:space="0" w:color="auto"/>
              <w:bottom w:val="single" w:sz="8" w:space="0" w:color="auto"/>
              <w:right w:val="single" w:sz="8" w:space="0" w:color="auto"/>
            </w:tcBorders>
            <w:shd w:val="clear" w:color="auto" w:fill="006500"/>
            <w:vAlign w:val="center"/>
          </w:tcPr>
          <w:p w14:paraId="4A902171" w14:textId="5D151D58"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Green</w:t>
            </w:r>
          </w:p>
        </w:tc>
      </w:tr>
      <w:tr w:rsidR="7F34EEDC" w:rsidRPr="00FB463B" w14:paraId="787A0FBD" w14:textId="77777777" w:rsidTr="7F34EEDC">
        <w:trPr>
          <w:trHeight w:val="1125"/>
        </w:trPr>
        <w:tc>
          <w:tcPr>
            <w:tcW w:w="1655" w:type="dxa"/>
            <w:tcBorders>
              <w:top w:val="single" w:sz="8" w:space="0" w:color="auto"/>
              <w:left w:val="single" w:sz="8" w:space="0" w:color="auto"/>
              <w:bottom w:val="single" w:sz="8" w:space="0" w:color="auto"/>
              <w:right w:val="single" w:sz="8" w:space="0" w:color="auto"/>
            </w:tcBorders>
            <w:vAlign w:val="center"/>
          </w:tcPr>
          <w:p w14:paraId="62159B56" w14:textId="5DB78012" w:rsidR="7F34EEDC" w:rsidRPr="00FB463B" w:rsidRDefault="7F34EEDC" w:rsidP="7F34EEDC">
            <w:pPr>
              <w:jc w:val="center"/>
              <w:rPr>
                <w:rFonts w:eastAsia="Arial" w:cs="Arial"/>
              </w:rPr>
            </w:pPr>
            <w:r w:rsidRPr="00FB463B">
              <w:rPr>
                <w:rFonts w:eastAsia="Arial" w:cs="Arial"/>
              </w:rPr>
              <w:t>Status:</w:t>
            </w:r>
          </w:p>
          <w:p w14:paraId="73C98D8B" w14:textId="3BC69B54" w:rsidR="7F34EEDC" w:rsidRPr="00FB463B" w:rsidRDefault="7F34EEDC" w:rsidP="7F34EEDC">
            <w:pPr>
              <w:jc w:val="center"/>
              <w:rPr>
                <w:rFonts w:eastAsia="Arial" w:cs="Arial"/>
              </w:rPr>
            </w:pPr>
            <w:r w:rsidRPr="00FB463B">
              <w:rPr>
                <w:rFonts w:eastAsia="Arial" w:cs="Arial"/>
              </w:rPr>
              <w:t>Low</w:t>
            </w:r>
          </w:p>
        </w:tc>
        <w:tc>
          <w:tcPr>
            <w:tcW w:w="1530" w:type="dxa"/>
            <w:tcBorders>
              <w:top w:val="single" w:sz="8" w:space="0" w:color="auto"/>
              <w:left w:val="single" w:sz="8" w:space="0" w:color="auto"/>
              <w:bottom w:val="single" w:sz="8" w:space="0" w:color="auto"/>
              <w:right w:val="single" w:sz="8" w:space="0" w:color="auto"/>
            </w:tcBorders>
            <w:shd w:val="clear" w:color="auto" w:fill="FFA500"/>
            <w:vAlign w:val="center"/>
          </w:tcPr>
          <w:p w14:paraId="6CE6899C" w14:textId="602993D7" w:rsidR="7F34EEDC" w:rsidRPr="00FB463B" w:rsidRDefault="7F34EEDC" w:rsidP="7F34EEDC">
            <w:pPr>
              <w:jc w:val="center"/>
              <w:rPr>
                <w:rFonts w:eastAsia="Arial" w:cs="Arial"/>
                <w:color w:val="000000" w:themeColor="text1"/>
              </w:rPr>
            </w:pPr>
            <w:r w:rsidRPr="00FB463B">
              <w:rPr>
                <w:rFonts w:eastAsia="Arial" w:cs="Arial"/>
                <w:color w:val="000000" w:themeColor="text1"/>
              </w:rPr>
              <w:t>Orange</w:t>
            </w:r>
          </w:p>
        </w:tc>
        <w:tc>
          <w:tcPr>
            <w:tcW w:w="1495" w:type="dxa"/>
            <w:tcBorders>
              <w:top w:val="single" w:sz="8" w:space="0" w:color="auto"/>
              <w:left w:val="single" w:sz="8" w:space="0" w:color="auto"/>
              <w:bottom w:val="single" w:sz="8" w:space="0" w:color="auto"/>
              <w:right w:val="single" w:sz="8" w:space="0" w:color="auto"/>
            </w:tcBorders>
            <w:shd w:val="clear" w:color="auto" w:fill="FFA500"/>
            <w:vAlign w:val="center"/>
          </w:tcPr>
          <w:p w14:paraId="0A552E95" w14:textId="3574E2B2" w:rsidR="7F34EEDC" w:rsidRPr="00FB463B" w:rsidRDefault="7F34EEDC" w:rsidP="7F34EEDC">
            <w:pPr>
              <w:jc w:val="center"/>
              <w:rPr>
                <w:rFonts w:eastAsia="Arial" w:cs="Arial"/>
                <w:color w:val="000000" w:themeColor="text1"/>
              </w:rPr>
            </w:pPr>
            <w:r w:rsidRPr="00FB463B">
              <w:rPr>
                <w:rFonts w:eastAsia="Arial" w:cs="Arial"/>
                <w:color w:val="000000" w:themeColor="text1"/>
              </w:rPr>
              <w:t>Orange</w:t>
            </w:r>
          </w:p>
        </w:tc>
        <w:tc>
          <w:tcPr>
            <w:tcW w:w="1560" w:type="dxa"/>
            <w:tcBorders>
              <w:top w:val="single" w:sz="8" w:space="0" w:color="auto"/>
              <w:left w:val="single" w:sz="8" w:space="0" w:color="auto"/>
              <w:bottom w:val="single" w:sz="8" w:space="0" w:color="auto"/>
              <w:right w:val="single" w:sz="8" w:space="0" w:color="auto"/>
            </w:tcBorders>
            <w:shd w:val="clear" w:color="auto" w:fill="FFA500"/>
            <w:vAlign w:val="center"/>
          </w:tcPr>
          <w:p w14:paraId="4395DFAC" w14:textId="20DC1095" w:rsidR="7F34EEDC" w:rsidRPr="00FB463B" w:rsidRDefault="7F34EEDC" w:rsidP="7F34EEDC">
            <w:pPr>
              <w:jc w:val="center"/>
              <w:rPr>
                <w:rFonts w:eastAsia="Arial" w:cs="Arial"/>
                <w:color w:val="000000" w:themeColor="text1"/>
              </w:rPr>
            </w:pPr>
            <w:r w:rsidRPr="00FB463B">
              <w:rPr>
                <w:rFonts w:eastAsia="Arial" w:cs="Arial"/>
                <w:color w:val="000000" w:themeColor="text1"/>
              </w:rPr>
              <w:t>Orange</w:t>
            </w:r>
          </w:p>
        </w:tc>
        <w:tc>
          <w:tcPr>
            <w:tcW w:w="1560" w:type="dxa"/>
            <w:tcBorders>
              <w:top w:val="single" w:sz="8" w:space="0" w:color="auto"/>
              <w:left w:val="single" w:sz="8" w:space="0" w:color="auto"/>
              <w:bottom w:val="single" w:sz="8" w:space="0" w:color="auto"/>
              <w:right w:val="single" w:sz="8" w:space="0" w:color="auto"/>
            </w:tcBorders>
            <w:shd w:val="clear" w:color="auto" w:fill="FFFF00"/>
            <w:vAlign w:val="center"/>
          </w:tcPr>
          <w:p w14:paraId="1A1E27CE" w14:textId="21C86BCB" w:rsidR="7F34EEDC" w:rsidRPr="00FB463B" w:rsidRDefault="7F34EEDC" w:rsidP="7F34EEDC">
            <w:pPr>
              <w:jc w:val="center"/>
              <w:rPr>
                <w:rFonts w:eastAsia="Arial" w:cs="Arial"/>
                <w:color w:val="000000" w:themeColor="text1"/>
              </w:rPr>
            </w:pPr>
            <w:r w:rsidRPr="00FB463B">
              <w:rPr>
                <w:rFonts w:eastAsia="Arial" w:cs="Arial"/>
                <w:color w:val="000000" w:themeColor="text1"/>
              </w:rPr>
              <w:t>Yellow</w:t>
            </w:r>
          </w:p>
        </w:tc>
        <w:tc>
          <w:tcPr>
            <w:tcW w:w="1560" w:type="dxa"/>
            <w:tcBorders>
              <w:top w:val="single" w:sz="8" w:space="0" w:color="auto"/>
              <w:left w:val="single" w:sz="8" w:space="0" w:color="auto"/>
              <w:bottom w:val="single" w:sz="8" w:space="0" w:color="auto"/>
              <w:right w:val="single" w:sz="8" w:space="0" w:color="auto"/>
            </w:tcBorders>
            <w:shd w:val="clear" w:color="auto" w:fill="FFFF00"/>
            <w:vAlign w:val="center"/>
          </w:tcPr>
          <w:p w14:paraId="147AA113" w14:textId="0E139F06" w:rsidR="7F34EEDC" w:rsidRPr="00FB463B" w:rsidRDefault="7F34EEDC" w:rsidP="7F34EEDC">
            <w:pPr>
              <w:jc w:val="center"/>
              <w:rPr>
                <w:rFonts w:eastAsia="Arial" w:cs="Arial"/>
                <w:color w:val="000000" w:themeColor="text1"/>
              </w:rPr>
            </w:pPr>
            <w:r w:rsidRPr="00FB463B">
              <w:rPr>
                <w:rFonts w:eastAsia="Arial" w:cs="Arial"/>
                <w:color w:val="000000" w:themeColor="text1"/>
              </w:rPr>
              <w:t>Yellow</w:t>
            </w:r>
          </w:p>
        </w:tc>
      </w:tr>
      <w:tr w:rsidR="7F34EEDC" w:rsidRPr="00FB463B" w14:paraId="3998F6C4" w14:textId="77777777" w:rsidTr="7F34EEDC">
        <w:trPr>
          <w:trHeight w:val="1245"/>
        </w:trPr>
        <w:tc>
          <w:tcPr>
            <w:tcW w:w="1655" w:type="dxa"/>
            <w:tcBorders>
              <w:top w:val="single" w:sz="8" w:space="0" w:color="auto"/>
              <w:left w:val="single" w:sz="8" w:space="0" w:color="auto"/>
              <w:bottom w:val="single" w:sz="8" w:space="0" w:color="auto"/>
              <w:right w:val="single" w:sz="8" w:space="0" w:color="auto"/>
            </w:tcBorders>
            <w:vAlign w:val="center"/>
          </w:tcPr>
          <w:p w14:paraId="70022DB4" w14:textId="4F449E14" w:rsidR="7F34EEDC" w:rsidRPr="00FB463B" w:rsidRDefault="7F34EEDC" w:rsidP="7F34EEDC">
            <w:pPr>
              <w:jc w:val="center"/>
              <w:rPr>
                <w:rFonts w:eastAsia="Arial" w:cs="Arial"/>
              </w:rPr>
            </w:pPr>
            <w:r w:rsidRPr="00FB463B">
              <w:rPr>
                <w:rFonts w:eastAsia="Arial" w:cs="Arial"/>
              </w:rPr>
              <w:t>Status:</w:t>
            </w:r>
          </w:p>
          <w:p w14:paraId="386B798D" w14:textId="16714D0B" w:rsidR="7F34EEDC" w:rsidRPr="00FB463B" w:rsidRDefault="7F34EEDC" w:rsidP="7F34EEDC">
            <w:pPr>
              <w:jc w:val="center"/>
              <w:rPr>
                <w:rFonts w:eastAsia="Arial" w:cs="Arial"/>
              </w:rPr>
            </w:pPr>
            <w:r w:rsidRPr="00FB463B">
              <w:rPr>
                <w:rFonts w:eastAsia="Arial" w:cs="Arial"/>
              </w:rPr>
              <w:t>Very Low</w:t>
            </w:r>
          </w:p>
        </w:tc>
        <w:tc>
          <w:tcPr>
            <w:tcW w:w="1530" w:type="dxa"/>
            <w:tcBorders>
              <w:top w:val="single" w:sz="8" w:space="0" w:color="auto"/>
              <w:left w:val="single" w:sz="8" w:space="0" w:color="auto"/>
              <w:bottom w:val="single" w:sz="8" w:space="0" w:color="auto"/>
              <w:right w:val="single" w:sz="8" w:space="0" w:color="auto"/>
            </w:tcBorders>
            <w:shd w:val="clear" w:color="auto" w:fill="A20000"/>
            <w:vAlign w:val="center"/>
          </w:tcPr>
          <w:p w14:paraId="6DA2994A" w14:textId="36197C64"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Red</w:t>
            </w:r>
          </w:p>
        </w:tc>
        <w:tc>
          <w:tcPr>
            <w:tcW w:w="1495" w:type="dxa"/>
            <w:tcBorders>
              <w:top w:val="single" w:sz="8" w:space="0" w:color="auto"/>
              <w:left w:val="single" w:sz="8" w:space="0" w:color="auto"/>
              <w:bottom w:val="single" w:sz="8" w:space="0" w:color="auto"/>
              <w:right w:val="single" w:sz="8" w:space="0" w:color="auto"/>
            </w:tcBorders>
            <w:shd w:val="clear" w:color="auto" w:fill="A20000"/>
            <w:vAlign w:val="center"/>
          </w:tcPr>
          <w:p w14:paraId="2355C985" w14:textId="0AC5E7A4"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Red</w:t>
            </w:r>
          </w:p>
        </w:tc>
        <w:tc>
          <w:tcPr>
            <w:tcW w:w="1560" w:type="dxa"/>
            <w:tcBorders>
              <w:top w:val="single" w:sz="8" w:space="0" w:color="auto"/>
              <w:left w:val="single" w:sz="8" w:space="0" w:color="auto"/>
              <w:bottom w:val="single" w:sz="8" w:space="0" w:color="auto"/>
              <w:right w:val="single" w:sz="8" w:space="0" w:color="auto"/>
            </w:tcBorders>
            <w:shd w:val="clear" w:color="auto" w:fill="A20000"/>
            <w:vAlign w:val="center"/>
          </w:tcPr>
          <w:p w14:paraId="083AF069" w14:textId="655433DA" w:rsidR="7F34EEDC" w:rsidRPr="00FB463B" w:rsidRDefault="7F34EEDC" w:rsidP="7F34EEDC">
            <w:pPr>
              <w:jc w:val="center"/>
              <w:rPr>
                <w:rFonts w:eastAsia="Arial" w:cs="Arial"/>
                <w:color w:val="FFFFFF" w:themeColor="background1"/>
              </w:rPr>
            </w:pPr>
            <w:r w:rsidRPr="00FB463B">
              <w:rPr>
                <w:rFonts w:eastAsia="Arial" w:cs="Arial"/>
                <w:color w:val="FFFFFF" w:themeColor="background1"/>
              </w:rPr>
              <w:t>Red</w:t>
            </w:r>
          </w:p>
        </w:tc>
        <w:tc>
          <w:tcPr>
            <w:tcW w:w="1560" w:type="dxa"/>
            <w:tcBorders>
              <w:top w:val="single" w:sz="8" w:space="0" w:color="auto"/>
              <w:left w:val="single" w:sz="8" w:space="0" w:color="auto"/>
              <w:bottom w:val="single" w:sz="8" w:space="0" w:color="auto"/>
              <w:right w:val="single" w:sz="8" w:space="0" w:color="auto"/>
            </w:tcBorders>
            <w:shd w:val="clear" w:color="auto" w:fill="FFA500"/>
            <w:vAlign w:val="center"/>
          </w:tcPr>
          <w:p w14:paraId="22FC5666" w14:textId="6A5611A7" w:rsidR="7F34EEDC" w:rsidRPr="00FB463B" w:rsidRDefault="7F34EEDC" w:rsidP="7F34EEDC">
            <w:pPr>
              <w:jc w:val="center"/>
              <w:rPr>
                <w:rFonts w:eastAsia="Arial" w:cs="Arial"/>
                <w:color w:val="000000" w:themeColor="text1"/>
              </w:rPr>
            </w:pPr>
            <w:r w:rsidRPr="00FB463B">
              <w:rPr>
                <w:rFonts w:eastAsia="Arial" w:cs="Arial"/>
                <w:color w:val="000000" w:themeColor="text1"/>
              </w:rPr>
              <w:t>Orange</w:t>
            </w:r>
          </w:p>
        </w:tc>
        <w:tc>
          <w:tcPr>
            <w:tcW w:w="1560" w:type="dxa"/>
            <w:tcBorders>
              <w:top w:val="single" w:sz="8" w:space="0" w:color="auto"/>
              <w:left w:val="single" w:sz="8" w:space="0" w:color="auto"/>
              <w:bottom w:val="single" w:sz="8" w:space="0" w:color="auto"/>
              <w:right w:val="single" w:sz="8" w:space="0" w:color="auto"/>
            </w:tcBorders>
            <w:shd w:val="clear" w:color="auto" w:fill="FFA500"/>
            <w:vAlign w:val="center"/>
          </w:tcPr>
          <w:p w14:paraId="0028F503" w14:textId="515CBEBA" w:rsidR="7F34EEDC" w:rsidRPr="00FB463B" w:rsidRDefault="7F34EEDC" w:rsidP="7F34EEDC">
            <w:pPr>
              <w:jc w:val="center"/>
              <w:rPr>
                <w:rFonts w:eastAsia="Arial" w:cs="Arial"/>
                <w:color w:val="000000" w:themeColor="text1"/>
              </w:rPr>
            </w:pPr>
            <w:r w:rsidRPr="00FB463B">
              <w:rPr>
                <w:rFonts w:eastAsia="Arial" w:cs="Arial"/>
                <w:color w:val="000000" w:themeColor="text1"/>
              </w:rPr>
              <w:t>Orange</w:t>
            </w:r>
          </w:p>
        </w:tc>
      </w:tr>
    </w:tbl>
    <w:p w14:paraId="3D0A1F12" w14:textId="0A7C9169" w:rsidR="7F34EEDC" w:rsidRPr="00FB463B" w:rsidRDefault="7F34EEDC" w:rsidP="7F34EEDC">
      <w:pPr>
        <w:spacing w:after="240"/>
      </w:pPr>
    </w:p>
    <w:p w14:paraId="0F76CD26" w14:textId="77777777" w:rsidR="00164C8C" w:rsidRPr="00FB463B" w:rsidRDefault="00164C8C" w:rsidP="00764BE0">
      <w:pPr>
        <w:spacing w:after="240"/>
        <w:rPr>
          <w:i/>
          <w:iCs/>
        </w:rPr>
        <w:sectPr w:rsidR="00164C8C" w:rsidRPr="00FB463B" w:rsidSect="00AC6887">
          <w:pgSz w:w="12240" w:h="15840"/>
          <w:pgMar w:top="1440" w:right="1440" w:bottom="1440" w:left="1440" w:header="720" w:footer="720" w:gutter="0"/>
          <w:cols w:space="720"/>
          <w:docGrid w:linePitch="360"/>
        </w:sectPr>
      </w:pPr>
    </w:p>
    <w:p w14:paraId="0526CB60" w14:textId="750ADD1E" w:rsidR="008D6DF8" w:rsidRPr="00FB463B" w:rsidRDefault="00F90B7C" w:rsidP="00764BE0">
      <w:pPr>
        <w:spacing w:after="240"/>
        <w:rPr>
          <w:i/>
        </w:rPr>
      </w:pPr>
      <w:r w:rsidRPr="00FB463B">
        <w:rPr>
          <w:i/>
        </w:rPr>
        <w:lastRenderedPageBreak/>
        <w:t>Feedback from Educational Partners</w:t>
      </w:r>
    </w:p>
    <w:p w14:paraId="56D359B3" w14:textId="172FD2F3" w:rsidR="0074672E" w:rsidRPr="00FB463B" w:rsidRDefault="1127A2C1" w:rsidP="5442B7D8">
      <w:pPr>
        <w:spacing w:after="240"/>
      </w:pPr>
      <w:r w:rsidRPr="00FB463B">
        <w:t>T</w:t>
      </w:r>
      <w:r w:rsidR="00BA5DCE" w:rsidRPr="00FB463B">
        <w:t xml:space="preserve">he CDE presented </w:t>
      </w:r>
      <w:r w:rsidR="007B39FA" w:rsidRPr="00FB463B">
        <w:t xml:space="preserve">the simulation results for the traditional and balanced </w:t>
      </w:r>
      <w:r w:rsidR="00F33EFA" w:rsidRPr="00FB463B">
        <w:t>color scheme t</w:t>
      </w:r>
      <w:r w:rsidR="00B17365" w:rsidRPr="00FB463B">
        <w:t xml:space="preserve">o </w:t>
      </w:r>
      <w:r w:rsidR="00577572" w:rsidRPr="00FB463B">
        <w:t xml:space="preserve">the </w:t>
      </w:r>
      <w:r w:rsidR="589AC3F7" w:rsidRPr="00FB463B">
        <w:t xml:space="preserve">TDG, the </w:t>
      </w:r>
      <w:r w:rsidR="00577572" w:rsidRPr="00FB463B">
        <w:t xml:space="preserve">ELPI Workgroup, and the CPAG. The </w:t>
      </w:r>
      <w:r w:rsidR="0052011E" w:rsidRPr="00FB463B">
        <w:t xml:space="preserve">ELPI Workgroup could not come to consensus </w:t>
      </w:r>
      <w:r w:rsidR="00EA59C8" w:rsidRPr="00FB463B">
        <w:t xml:space="preserve">on </w:t>
      </w:r>
      <w:r w:rsidR="00B07F26" w:rsidRPr="00FB463B">
        <w:t xml:space="preserve">the preferred </w:t>
      </w:r>
      <w:r w:rsidR="00976729" w:rsidRPr="00FB463B">
        <w:t>color scheme</w:t>
      </w:r>
      <w:r w:rsidR="00B07F26" w:rsidRPr="00FB463B">
        <w:t>; h</w:t>
      </w:r>
      <w:r w:rsidR="004B5727" w:rsidRPr="00FB463B">
        <w:t>owever, the</w:t>
      </w:r>
      <w:r w:rsidR="00B07F26" w:rsidRPr="00FB463B">
        <w:t>y</w:t>
      </w:r>
      <w:r w:rsidR="009F73CE" w:rsidRPr="00FB463B">
        <w:t xml:space="preserve"> discussed that the balance</w:t>
      </w:r>
      <w:r w:rsidR="00CD3CD0" w:rsidRPr="00FB463B">
        <w:t>d</w:t>
      </w:r>
      <w:r w:rsidR="009F73CE" w:rsidRPr="00FB463B">
        <w:t xml:space="preserve"> color scheme </w:t>
      </w:r>
      <w:r w:rsidR="00F856EF" w:rsidRPr="00FB463B">
        <w:t>provided</w:t>
      </w:r>
      <w:r w:rsidR="00084291" w:rsidRPr="00FB463B">
        <w:t xml:space="preserve"> more </w:t>
      </w:r>
      <w:r w:rsidR="00F856EF" w:rsidRPr="00FB463B">
        <w:t>stability</w:t>
      </w:r>
      <w:r w:rsidR="00084291" w:rsidRPr="00FB463B">
        <w:t xml:space="preserve"> for smaller LEAs and </w:t>
      </w:r>
      <w:r w:rsidR="00764FBC" w:rsidRPr="00FB463B">
        <w:t xml:space="preserve">schools while the traditional </w:t>
      </w:r>
      <w:r w:rsidR="00F856EF" w:rsidRPr="00FB463B">
        <w:t xml:space="preserve">color scheme </w:t>
      </w:r>
      <w:r w:rsidR="005F3369" w:rsidRPr="00FB463B">
        <w:t>gives</w:t>
      </w:r>
      <w:r w:rsidR="00033CED" w:rsidRPr="00FB463B">
        <w:t xml:space="preserve"> more weight </w:t>
      </w:r>
      <w:r w:rsidR="0018004C" w:rsidRPr="00FB463B">
        <w:t xml:space="preserve">to </w:t>
      </w:r>
      <w:r w:rsidR="00C04014" w:rsidRPr="00FB463B">
        <w:t>the impact of c</w:t>
      </w:r>
      <w:r w:rsidR="0018004C" w:rsidRPr="00FB463B">
        <w:t xml:space="preserve">hange on the overall </w:t>
      </w:r>
      <w:r w:rsidR="00401967" w:rsidRPr="00FB463B">
        <w:t xml:space="preserve">performance color. </w:t>
      </w:r>
      <w:r w:rsidR="00221D4A" w:rsidRPr="00FB463B">
        <w:t>Conversely</w:t>
      </w:r>
      <w:r w:rsidR="00D1380D" w:rsidRPr="00FB463B">
        <w:t>, t</w:t>
      </w:r>
      <w:r w:rsidR="0074672E" w:rsidRPr="00FB463B">
        <w:t xml:space="preserve">he TDG </w:t>
      </w:r>
      <w:r w:rsidR="00D1380D" w:rsidRPr="00FB463B">
        <w:t xml:space="preserve">supported the use of the balanced color scheme because it provided greater stability for small LEAs and schools. Lastly, the </w:t>
      </w:r>
      <w:r w:rsidR="00443223" w:rsidRPr="00FB463B">
        <w:t>CP</w:t>
      </w:r>
      <w:r w:rsidR="00AD0A08" w:rsidRPr="00FB463B">
        <w:t xml:space="preserve">AG supported the use of the </w:t>
      </w:r>
      <w:r w:rsidR="00070C49" w:rsidRPr="00FB463B">
        <w:t xml:space="preserve">traditional </w:t>
      </w:r>
      <w:r w:rsidR="00E64DFE" w:rsidRPr="00FB463B">
        <w:t>color sche</w:t>
      </w:r>
      <w:r w:rsidR="001B03B9" w:rsidRPr="00FB463B">
        <w:t>me</w:t>
      </w:r>
      <w:r w:rsidR="00E64DFE" w:rsidRPr="00FB463B">
        <w:t xml:space="preserve"> because it gives more weight to Change on the overall performance color.</w:t>
      </w:r>
    </w:p>
    <w:p w14:paraId="18F74BEE" w14:textId="0B3AEDF3" w:rsidR="001A6E6F" w:rsidRPr="00FB463B" w:rsidRDefault="001A6E6F" w:rsidP="5442B7D8">
      <w:pPr>
        <w:spacing w:after="240"/>
      </w:pPr>
      <w:r w:rsidRPr="00FB463B">
        <w:t xml:space="preserve">Based on the </w:t>
      </w:r>
      <w:r w:rsidR="003438E2" w:rsidRPr="00FB463B">
        <w:t xml:space="preserve">discussion from the TDG, ELPI Workgroup, and the CPAG, the </w:t>
      </w:r>
      <w:r w:rsidR="004652C7" w:rsidRPr="00FB463B">
        <w:t xml:space="preserve">CDE recommends the </w:t>
      </w:r>
      <w:r w:rsidR="000456C8" w:rsidRPr="00FB463B">
        <w:t xml:space="preserve">SBE adopt the </w:t>
      </w:r>
      <w:r w:rsidR="285340CC" w:rsidRPr="00FB463B">
        <w:t xml:space="preserve">Traditional </w:t>
      </w:r>
      <w:r w:rsidR="000456C8" w:rsidRPr="00FB463B">
        <w:t>color scheme.</w:t>
      </w:r>
    </w:p>
    <w:p w14:paraId="49341B04" w14:textId="47D6D768" w:rsidR="5BE2045A" w:rsidRPr="00FB463B" w:rsidRDefault="003020DA" w:rsidP="1353701E">
      <w:pPr>
        <w:spacing w:after="160" w:line="257" w:lineRule="auto"/>
      </w:pPr>
      <w:r w:rsidRPr="00FB463B">
        <w:rPr>
          <w:rFonts w:eastAsia="Arial" w:cs="Arial"/>
          <w:b/>
          <w:bCs/>
        </w:rPr>
        <w:t xml:space="preserve">Summative </w:t>
      </w:r>
      <w:r w:rsidR="5BE2045A" w:rsidRPr="00FB463B">
        <w:rPr>
          <w:rFonts w:eastAsia="Arial" w:cs="Arial"/>
          <w:b/>
          <w:bCs/>
        </w:rPr>
        <w:t>Alternat</w:t>
      </w:r>
      <w:r w:rsidR="00BF78D0" w:rsidRPr="00FB463B">
        <w:rPr>
          <w:rFonts w:eastAsia="Arial" w:cs="Arial"/>
          <w:b/>
          <w:bCs/>
        </w:rPr>
        <w:t>e</w:t>
      </w:r>
      <w:r w:rsidR="5BE2045A" w:rsidRPr="00FB463B">
        <w:rPr>
          <w:rFonts w:eastAsia="Arial" w:cs="Arial"/>
          <w:b/>
          <w:bCs/>
        </w:rPr>
        <w:t xml:space="preserve"> ELPAC</w:t>
      </w:r>
    </w:p>
    <w:p w14:paraId="09E764C6" w14:textId="3154A49D" w:rsidR="00B03D6B" w:rsidRPr="00FB463B" w:rsidRDefault="00B03D6B" w:rsidP="0382C840">
      <w:pPr>
        <w:pStyle w:val="NormalWeb"/>
        <w:shd w:val="clear" w:color="auto" w:fill="FFFFFF" w:themeFill="background1"/>
        <w:spacing w:before="0" w:beforeAutospacing="0" w:after="240" w:afterAutospacing="0"/>
        <w:rPr>
          <w:rFonts w:ascii="Helvetica" w:hAnsi="Helvetica" w:cs="Helvetica"/>
          <w:color w:val="000000"/>
        </w:rPr>
      </w:pPr>
      <w:r w:rsidRPr="00FB463B">
        <w:rPr>
          <w:rFonts w:ascii="Helvetica" w:hAnsi="Helvetica" w:cs="Helvetica"/>
          <w:color w:val="000000" w:themeColor="text1"/>
        </w:rPr>
        <w:t xml:space="preserve">The </w:t>
      </w:r>
      <w:r w:rsidR="78880CF4" w:rsidRPr="00FB463B">
        <w:rPr>
          <w:rFonts w:ascii="Helvetica" w:hAnsi="Helvetica" w:cs="Helvetica"/>
          <w:color w:val="000000" w:themeColor="text1"/>
        </w:rPr>
        <w:t xml:space="preserve">Summative </w:t>
      </w:r>
      <w:r w:rsidRPr="00FB463B">
        <w:rPr>
          <w:rFonts w:ascii="Helvetica" w:hAnsi="Helvetica" w:cs="Helvetica"/>
          <w:color w:val="000000" w:themeColor="text1"/>
        </w:rPr>
        <w:t>Alternate ELPAC provides information on student annual progress toward ELP and support decisions for students to be RFEP.</w:t>
      </w:r>
      <w:r w:rsidR="7E325A1F" w:rsidRPr="00FB463B">
        <w:rPr>
          <w:rFonts w:ascii="Helvetica" w:hAnsi="Helvetica" w:cs="Helvetica"/>
          <w:color w:val="000000" w:themeColor="text1"/>
        </w:rPr>
        <w:t xml:space="preserve"> It</w:t>
      </w:r>
      <w:r w:rsidRPr="00FB463B">
        <w:rPr>
          <w:rFonts w:ascii="Helvetica" w:hAnsi="Helvetica" w:cs="Helvetica"/>
          <w:color w:val="000000" w:themeColor="text1"/>
        </w:rPr>
        <w:t xml:space="preserve"> is aligned with 2012 California English Language Development Standards via the</w:t>
      </w:r>
      <w:r w:rsidR="009B1757" w:rsidRPr="00FB463B">
        <w:rPr>
          <w:rFonts w:ascii="Helvetica" w:hAnsi="Helvetica" w:cs="Helvetica"/>
          <w:color w:val="000000" w:themeColor="text1"/>
        </w:rPr>
        <w:t xml:space="preserve"> English Language Development Connectors (</w:t>
      </w:r>
      <w:hyperlink r:id="rId149" w:tooltip="2012 California English Language Development Standards via the English Language Development Connectors">
        <w:r w:rsidR="009B1757" w:rsidRPr="00FB463B">
          <w:rPr>
            <w:rStyle w:val="Hyperlink"/>
            <w:rFonts w:ascii="Helvetica" w:hAnsi="Helvetica" w:cs="Helvetica"/>
          </w:rPr>
          <w:t>https://www.cde.ca.gov/ta/tg/ep/documents/eldconnectorsaltelpac.docx</w:t>
        </w:r>
      </w:hyperlink>
      <w:r w:rsidR="009B1757" w:rsidRPr="00FB463B">
        <w:rPr>
          <w:rFonts w:ascii="Helvetica" w:hAnsi="Helvetica" w:cs="Helvetica"/>
          <w:color w:val="000000" w:themeColor="text1"/>
        </w:rPr>
        <w:t xml:space="preserve">) </w:t>
      </w:r>
      <w:r w:rsidRPr="00FB463B">
        <w:rPr>
          <w:rFonts w:ascii="Helvetica" w:hAnsi="Helvetica" w:cs="Helvetica"/>
          <w:color w:val="000000" w:themeColor="text1"/>
        </w:rPr>
        <w:t>which are reduced in depth, breadth, and complexity for this population.</w:t>
      </w:r>
    </w:p>
    <w:p w14:paraId="0D11BC07" w14:textId="4292C6A2" w:rsidR="00B03D6B" w:rsidRPr="00FB463B" w:rsidRDefault="00B03D6B" w:rsidP="0382C840">
      <w:pPr>
        <w:pStyle w:val="NormalWeb"/>
        <w:shd w:val="clear" w:color="auto" w:fill="FFFFFF" w:themeFill="background1"/>
        <w:spacing w:before="0" w:beforeAutospacing="0" w:after="240" w:afterAutospacing="0"/>
        <w:rPr>
          <w:rFonts w:ascii="Helvetica" w:hAnsi="Helvetica" w:cs="Helvetica"/>
          <w:color w:val="000000"/>
        </w:rPr>
      </w:pPr>
      <w:r w:rsidRPr="00FB463B">
        <w:rPr>
          <w:rFonts w:ascii="Helvetica" w:hAnsi="Helvetica" w:cs="Helvetica"/>
          <w:color w:val="000000" w:themeColor="text1"/>
        </w:rPr>
        <w:t xml:space="preserve">The Alternate ELPAC </w:t>
      </w:r>
      <w:r w:rsidR="036EEE0E" w:rsidRPr="00FB463B">
        <w:rPr>
          <w:rFonts w:ascii="Helvetica" w:hAnsi="Helvetica" w:cs="Helvetica"/>
          <w:color w:val="000000" w:themeColor="text1"/>
        </w:rPr>
        <w:t>(both Initial and Summative)</w:t>
      </w:r>
      <w:r w:rsidRPr="00FB463B">
        <w:rPr>
          <w:rFonts w:ascii="Helvetica" w:hAnsi="Helvetica" w:cs="Helvetica"/>
          <w:color w:val="000000" w:themeColor="text1"/>
        </w:rPr>
        <w:t xml:space="preserve"> replaces all locally determined alternate assessments and provides a consistent, standardized measurement of ELP across the state for students with the most significant cognitive disabilities.</w:t>
      </w:r>
    </w:p>
    <w:p w14:paraId="0F6ADA51" w14:textId="38736907" w:rsidR="690C283E" w:rsidRPr="00FB463B" w:rsidRDefault="00E621E7" w:rsidP="00764BE0">
      <w:pPr>
        <w:spacing w:after="240"/>
        <w:rPr>
          <w:rFonts w:eastAsia="Arial" w:cs="Arial"/>
        </w:rPr>
      </w:pPr>
      <w:r w:rsidRPr="00FB463B">
        <w:rPr>
          <w:rFonts w:eastAsia="Arial" w:cs="Arial"/>
        </w:rPr>
        <w:t>T</w:t>
      </w:r>
      <w:r w:rsidR="5BE2045A" w:rsidRPr="00FB463B">
        <w:rPr>
          <w:rFonts w:eastAsia="Arial" w:cs="Arial"/>
        </w:rPr>
        <w:t>he</w:t>
      </w:r>
      <w:r w:rsidR="364A625A" w:rsidRPr="00FB463B">
        <w:rPr>
          <w:rFonts w:eastAsia="Arial" w:cs="Arial"/>
        </w:rPr>
        <w:t xml:space="preserve"> </w:t>
      </w:r>
      <w:r w:rsidR="1263786C" w:rsidRPr="00FB463B">
        <w:rPr>
          <w:rFonts w:eastAsia="Arial" w:cs="Arial"/>
        </w:rPr>
        <w:t>2021</w:t>
      </w:r>
      <w:r w:rsidR="000021BB" w:rsidRPr="00FB463B">
        <w:rPr>
          <w:rFonts w:eastAsia="Arial" w:cs="Arial"/>
        </w:rPr>
        <w:t>–</w:t>
      </w:r>
      <w:r w:rsidR="1263786C" w:rsidRPr="00FB463B">
        <w:rPr>
          <w:rFonts w:eastAsia="Arial" w:cs="Arial"/>
        </w:rPr>
        <w:t>22 and 2022</w:t>
      </w:r>
      <w:r w:rsidR="000021BB" w:rsidRPr="00FB463B">
        <w:rPr>
          <w:rFonts w:eastAsia="Arial" w:cs="Arial"/>
        </w:rPr>
        <w:t>–</w:t>
      </w:r>
      <w:r w:rsidR="1263786C" w:rsidRPr="00FB463B">
        <w:rPr>
          <w:rFonts w:eastAsia="Arial" w:cs="Arial"/>
        </w:rPr>
        <w:t xml:space="preserve">23 administrations of the </w:t>
      </w:r>
      <w:r w:rsidR="564CF818" w:rsidRPr="00FB463B">
        <w:rPr>
          <w:rFonts w:eastAsia="Arial" w:cs="Arial"/>
        </w:rPr>
        <w:t xml:space="preserve">Summative </w:t>
      </w:r>
      <w:r w:rsidR="00BF78D0" w:rsidRPr="00FB463B">
        <w:rPr>
          <w:rFonts w:eastAsia="Arial" w:cs="Arial"/>
        </w:rPr>
        <w:t>Alternate</w:t>
      </w:r>
      <w:r w:rsidR="6518A012" w:rsidRPr="00FB463B">
        <w:rPr>
          <w:rFonts w:eastAsia="Arial" w:cs="Arial"/>
        </w:rPr>
        <w:t xml:space="preserve"> </w:t>
      </w:r>
      <w:r w:rsidR="1263786C" w:rsidRPr="00FB463B">
        <w:rPr>
          <w:rFonts w:eastAsia="Arial" w:cs="Arial"/>
        </w:rPr>
        <w:t>ELPAC</w:t>
      </w:r>
      <w:r w:rsidR="2FA708BD" w:rsidRPr="00FB463B">
        <w:rPr>
          <w:rFonts w:eastAsia="Arial" w:cs="Arial"/>
        </w:rPr>
        <w:t xml:space="preserve"> Assessment</w:t>
      </w:r>
      <w:r w:rsidR="1263786C" w:rsidRPr="00FB463B">
        <w:rPr>
          <w:rFonts w:eastAsia="Arial" w:cs="Arial"/>
        </w:rPr>
        <w:t xml:space="preserve"> provide</w:t>
      </w:r>
      <w:r w:rsidR="00A93D9C" w:rsidRPr="00FB463B">
        <w:rPr>
          <w:rFonts w:eastAsia="Arial" w:cs="Arial"/>
        </w:rPr>
        <w:t>d</w:t>
      </w:r>
      <w:r w:rsidR="000E0E4C" w:rsidRPr="00FB463B">
        <w:rPr>
          <w:rFonts w:eastAsia="Arial" w:cs="Arial"/>
        </w:rPr>
        <w:t xml:space="preserve"> CDE with</w:t>
      </w:r>
      <w:r w:rsidR="1263786C" w:rsidRPr="00FB463B">
        <w:rPr>
          <w:rFonts w:eastAsia="Arial" w:cs="Arial"/>
        </w:rPr>
        <w:t xml:space="preserve"> </w:t>
      </w:r>
      <w:r w:rsidR="364A625A" w:rsidRPr="00FB463B">
        <w:rPr>
          <w:rFonts w:eastAsia="Arial" w:cs="Arial"/>
        </w:rPr>
        <w:t xml:space="preserve">two years of results </w:t>
      </w:r>
      <w:r w:rsidR="5D434CA6" w:rsidRPr="00FB463B">
        <w:rPr>
          <w:rFonts w:eastAsia="Arial" w:cs="Arial"/>
        </w:rPr>
        <w:t xml:space="preserve">for </w:t>
      </w:r>
      <w:r w:rsidR="00787BA1" w:rsidRPr="00FB463B">
        <w:rPr>
          <w:rFonts w:eastAsia="Arial" w:cs="Arial"/>
        </w:rPr>
        <w:t xml:space="preserve">the </w:t>
      </w:r>
      <w:r w:rsidR="5D434CA6" w:rsidRPr="00FB463B">
        <w:rPr>
          <w:rFonts w:eastAsia="Arial" w:cs="Arial"/>
        </w:rPr>
        <w:t>technical analysis</w:t>
      </w:r>
      <w:r w:rsidR="007216DB" w:rsidRPr="00FB463B">
        <w:rPr>
          <w:rFonts w:eastAsia="Arial" w:cs="Arial"/>
        </w:rPr>
        <w:t xml:space="preserve"> necessary</w:t>
      </w:r>
      <w:r w:rsidR="00C00D38" w:rsidRPr="00FB463B">
        <w:rPr>
          <w:rFonts w:eastAsia="Arial" w:cs="Arial"/>
        </w:rPr>
        <w:t xml:space="preserve"> for </w:t>
      </w:r>
      <w:r w:rsidR="00B603C8" w:rsidRPr="00FB463B">
        <w:rPr>
          <w:rFonts w:eastAsia="Arial" w:cs="Arial"/>
        </w:rPr>
        <w:t xml:space="preserve">evaluating the inclusion of the </w:t>
      </w:r>
      <w:r w:rsidR="001047F8" w:rsidRPr="00FB463B">
        <w:rPr>
          <w:rFonts w:eastAsia="Arial" w:cs="Arial"/>
        </w:rPr>
        <w:t xml:space="preserve">assessment </w:t>
      </w:r>
      <w:r w:rsidR="00B603C8" w:rsidRPr="00FB463B">
        <w:rPr>
          <w:rFonts w:eastAsia="Arial" w:cs="Arial"/>
        </w:rPr>
        <w:t xml:space="preserve">into the </w:t>
      </w:r>
      <w:r w:rsidR="001047F8" w:rsidRPr="00FB463B">
        <w:rPr>
          <w:rFonts w:eastAsia="Arial" w:cs="Arial"/>
        </w:rPr>
        <w:t>ELPI indicator</w:t>
      </w:r>
      <w:r w:rsidR="00C85642" w:rsidRPr="00FB463B">
        <w:rPr>
          <w:rFonts w:eastAsia="Arial" w:cs="Arial"/>
        </w:rPr>
        <w:t>.</w:t>
      </w:r>
      <w:r w:rsidR="5F363BD0" w:rsidRPr="00FB463B">
        <w:rPr>
          <w:rFonts w:eastAsia="Arial" w:cs="Arial"/>
        </w:rPr>
        <w:t xml:space="preserve"> </w:t>
      </w:r>
      <w:r w:rsidR="00374C7B" w:rsidRPr="00FB463B">
        <w:rPr>
          <w:rFonts w:eastAsia="Arial" w:cs="Arial"/>
        </w:rPr>
        <w:t xml:space="preserve">As previously noted, </w:t>
      </w:r>
      <w:r w:rsidR="364A625A" w:rsidRPr="00FB463B">
        <w:rPr>
          <w:rFonts w:eastAsia="Arial" w:cs="Arial"/>
        </w:rPr>
        <w:t xml:space="preserve">two years of </w:t>
      </w:r>
      <w:r w:rsidR="00DB71F6" w:rsidRPr="00FB463B">
        <w:rPr>
          <w:rFonts w:eastAsia="Arial" w:cs="Arial"/>
        </w:rPr>
        <w:t>results for the</w:t>
      </w:r>
      <w:r w:rsidR="003020DA" w:rsidRPr="00FB463B">
        <w:rPr>
          <w:rFonts w:eastAsia="Arial" w:cs="Arial"/>
        </w:rPr>
        <w:t xml:space="preserve"> ELPAC </w:t>
      </w:r>
      <w:r w:rsidR="364A625A" w:rsidRPr="00FB463B">
        <w:rPr>
          <w:rFonts w:eastAsia="Arial" w:cs="Arial"/>
        </w:rPr>
        <w:t>are required for Status</w:t>
      </w:r>
      <w:r w:rsidR="00A92461" w:rsidRPr="00FB463B">
        <w:rPr>
          <w:rFonts w:eastAsia="Arial" w:cs="Arial"/>
        </w:rPr>
        <w:t xml:space="preserve"> and</w:t>
      </w:r>
      <w:r w:rsidR="364A625A" w:rsidRPr="00FB463B">
        <w:rPr>
          <w:rFonts w:eastAsia="Arial" w:cs="Arial"/>
        </w:rPr>
        <w:t xml:space="preserve"> three years are required for Change</w:t>
      </w:r>
      <w:r w:rsidR="001047F8" w:rsidRPr="00FB463B">
        <w:rPr>
          <w:rFonts w:eastAsia="Arial" w:cs="Arial"/>
        </w:rPr>
        <w:t xml:space="preserve"> for both the Summative ELPAC and the Summative Alternate ELPAC</w:t>
      </w:r>
      <w:r w:rsidR="364A625A" w:rsidRPr="00FB463B">
        <w:rPr>
          <w:rFonts w:eastAsia="Arial" w:cs="Arial"/>
        </w:rPr>
        <w:t>.</w:t>
      </w:r>
      <w:r w:rsidR="009B0D51" w:rsidRPr="00FB463B">
        <w:rPr>
          <w:rFonts w:eastAsia="Arial" w:cs="Arial"/>
        </w:rPr>
        <w:t xml:space="preserve"> </w:t>
      </w:r>
      <w:r w:rsidR="00A34160" w:rsidRPr="00FB463B">
        <w:rPr>
          <w:rFonts w:eastAsia="Arial" w:cs="Arial"/>
        </w:rPr>
        <w:t>T</w:t>
      </w:r>
      <w:r w:rsidR="009B0D51" w:rsidRPr="00FB463B">
        <w:rPr>
          <w:rFonts w:eastAsia="Arial" w:cs="Arial"/>
        </w:rPr>
        <w:t xml:space="preserve">hree years of </w:t>
      </w:r>
      <w:r w:rsidR="003020DA" w:rsidRPr="00FB463B">
        <w:rPr>
          <w:rFonts w:eastAsia="Arial" w:cs="Arial"/>
        </w:rPr>
        <w:t xml:space="preserve">Summative </w:t>
      </w:r>
      <w:r w:rsidR="009B0D51" w:rsidRPr="00FB463B">
        <w:rPr>
          <w:rFonts w:eastAsia="Arial" w:cs="Arial"/>
        </w:rPr>
        <w:t>Alternate ELPAC results</w:t>
      </w:r>
      <w:r w:rsidR="001047F8" w:rsidRPr="00FB463B">
        <w:rPr>
          <w:rFonts w:eastAsia="Arial" w:cs="Arial"/>
        </w:rPr>
        <w:t xml:space="preserve"> </w:t>
      </w:r>
      <w:r w:rsidR="009B0D51" w:rsidRPr="00FB463B">
        <w:rPr>
          <w:rFonts w:eastAsia="Arial" w:cs="Arial"/>
        </w:rPr>
        <w:t xml:space="preserve">will be available </w:t>
      </w:r>
      <w:r w:rsidR="003726A4" w:rsidRPr="00FB463B">
        <w:rPr>
          <w:rFonts w:eastAsia="Arial" w:cs="Arial"/>
        </w:rPr>
        <w:t>with the release of</w:t>
      </w:r>
      <w:r w:rsidR="00FC28E7" w:rsidRPr="00FB463B">
        <w:rPr>
          <w:rFonts w:eastAsia="Arial" w:cs="Arial"/>
        </w:rPr>
        <w:t xml:space="preserve"> </w:t>
      </w:r>
      <w:r w:rsidR="009B0D51" w:rsidRPr="00FB463B">
        <w:rPr>
          <w:rFonts w:eastAsia="Arial" w:cs="Arial"/>
        </w:rPr>
        <w:t>the 2024 Dashboard.</w:t>
      </w:r>
    </w:p>
    <w:p w14:paraId="09B3F8E3" w14:textId="71008F02" w:rsidR="00357009" w:rsidRPr="00FB463B" w:rsidRDefault="008322AB" w:rsidP="00D47802">
      <w:pPr>
        <w:spacing w:after="480"/>
        <w:rPr>
          <w:rFonts w:eastAsia="Arial" w:cs="Arial"/>
        </w:rPr>
      </w:pPr>
      <w:r w:rsidRPr="00FB463B">
        <w:rPr>
          <w:rFonts w:cs="Arial"/>
        </w:rPr>
        <w:t xml:space="preserve">In preparation for the September </w:t>
      </w:r>
      <w:r w:rsidR="00C80245" w:rsidRPr="00FB463B">
        <w:rPr>
          <w:rFonts w:cs="Arial"/>
        </w:rPr>
        <w:t xml:space="preserve">2023 </w:t>
      </w:r>
      <w:r w:rsidRPr="00FB463B">
        <w:rPr>
          <w:rFonts w:cs="Arial"/>
        </w:rPr>
        <w:t>SBE meeting, the</w:t>
      </w:r>
      <w:r w:rsidR="00E836CF" w:rsidRPr="00FB463B">
        <w:rPr>
          <w:rFonts w:cs="Arial"/>
        </w:rPr>
        <w:t xml:space="preserve"> CDE </w:t>
      </w:r>
      <w:r w:rsidR="00195D76" w:rsidRPr="00FB463B">
        <w:rPr>
          <w:rFonts w:cs="Arial"/>
        </w:rPr>
        <w:t>conducted</w:t>
      </w:r>
      <w:r w:rsidR="00E836CF" w:rsidRPr="00FB463B">
        <w:rPr>
          <w:rFonts w:cs="Arial"/>
        </w:rPr>
        <w:t xml:space="preserve"> </w:t>
      </w:r>
      <w:r w:rsidR="00411A2E" w:rsidRPr="00FB463B">
        <w:rPr>
          <w:rFonts w:cs="Arial"/>
        </w:rPr>
        <w:t xml:space="preserve">preliminary data </w:t>
      </w:r>
      <w:r w:rsidR="00E836CF" w:rsidRPr="00FB463B">
        <w:rPr>
          <w:rFonts w:cs="Arial"/>
        </w:rPr>
        <w:t xml:space="preserve">simulations </w:t>
      </w:r>
      <w:r w:rsidR="00D720A6" w:rsidRPr="00FB463B">
        <w:rPr>
          <w:rFonts w:cs="Arial"/>
        </w:rPr>
        <w:t>to evaluate the</w:t>
      </w:r>
      <w:r w:rsidR="00E836CF" w:rsidRPr="00FB463B">
        <w:rPr>
          <w:rFonts w:cs="Arial"/>
        </w:rPr>
        <w:t xml:space="preserve"> progress </w:t>
      </w:r>
      <w:r w:rsidR="00AC57A5" w:rsidRPr="00FB463B">
        <w:rPr>
          <w:rFonts w:cs="Arial"/>
        </w:rPr>
        <w:t>of</w:t>
      </w:r>
      <w:r w:rsidR="00E836CF" w:rsidRPr="00FB463B">
        <w:rPr>
          <w:rFonts w:cs="Arial"/>
        </w:rPr>
        <w:t xml:space="preserve"> students taking the </w:t>
      </w:r>
      <w:r w:rsidR="00CF4A7A" w:rsidRPr="00FB463B">
        <w:rPr>
          <w:rFonts w:cs="Arial"/>
        </w:rPr>
        <w:t xml:space="preserve">Summative </w:t>
      </w:r>
      <w:r w:rsidR="00E836CF" w:rsidRPr="00FB463B">
        <w:rPr>
          <w:rFonts w:cs="Arial"/>
        </w:rPr>
        <w:t xml:space="preserve">Alternate ELPAC </w:t>
      </w:r>
      <w:r w:rsidR="00411A2E" w:rsidRPr="00FB463B">
        <w:rPr>
          <w:rFonts w:cs="Arial"/>
        </w:rPr>
        <w:t>utilizing a full data set from 2022 and a partial data set from 2023</w:t>
      </w:r>
      <w:r w:rsidR="00E836CF" w:rsidRPr="00FB463B">
        <w:rPr>
          <w:rFonts w:cs="Arial"/>
        </w:rPr>
        <w:t xml:space="preserve">. </w:t>
      </w:r>
      <w:r w:rsidR="00411A2E" w:rsidRPr="00FB463B">
        <w:rPr>
          <w:rFonts w:cs="Arial"/>
        </w:rPr>
        <w:t>Unfortunately</w:t>
      </w:r>
      <w:r w:rsidR="00244C10" w:rsidRPr="00FB463B">
        <w:rPr>
          <w:rFonts w:cs="Arial"/>
        </w:rPr>
        <w:t xml:space="preserve">, </w:t>
      </w:r>
      <w:r w:rsidR="00411A2E" w:rsidRPr="00FB463B">
        <w:rPr>
          <w:rFonts w:cs="Arial"/>
        </w:rPr>
        <w:t xml:space="preserve">outside of this early look at the data, </w:t>
      </w:r>
      <w:r w:rsidR="003F402A" w:rsidRPr="00FB463B">
        <w:rPr>
          <w:rFonts w:eastAsia="Arial" w:cs="Arial"/>
        </w:rPr>
        <w:t xml:space="preserve">CDE </w:t>
      </w:r>
      <w:r w:rsidR="00412D59" w:rsidRPr="00FB463B">
        <w:rPr>
          <w:rFonts w:eastAsia="Arial" w:cs="Arial"/>
        </w:rPr>
        <w:t xml:space="preserve">has limited </w:t>
      </w:r>
      <w:r w:rsidR="000E23C1" w:rsidRPr="00FB463B">
        <w:rPr>
          <w:rFonts w:eastAsia="Arial" w:cs="Arial"/>
        </w:rPr>
        <w:t>information</w:t>
      </w:r>
      <w:r w:rsidR="00244C10" w:rsidRPr="00FB463B">
        <w:rPr>
          <w:rFonts w:eastAsia="Arial" w:cs="Arial"/>
        </w:rPr>
        <w:t xml:space="preserve"> regarding the growth trajectory for </w:t>
      </w:r>
      <w:r w:rsidR="00493F59" w:rsidRPr="00FB463B">
        <w:rPr>
          <w:rFonts w:eastAsia="Arial" w:cs="Arial"/>
        </w:rPr>
        <w:t>California</w:t>
      </w:r>
      <w:r w:rsidR="00244C10" w:rsidRPr="00FB463B">
        <w:rPr>
          <w:rFonts w:eastAsia="Arial" w:cs="Arial"/>
        </w:rPr>
        <w:t xml:space="preserve"> EL students with severe cognitive disabilities</w:t>
      </w:r>
      <w:r w:rsidR="00493F59" w:rsidRPr="00FB463B">
        <w:rPr>
          <w:rFonts w:eastAsia="Arial" w:cs="Arial"/>
        </w:rPr>
        <w:t xml:space="preserve"> on the Summative Alternate ELPAC</w:t>
      </w:r>
      <w:r w:rsidR="00244C10" w:rsidRPr="00FB463B">
        <w:rPr>
          <w:rFonts w:eastAsia="Arial" w:cs="Arial"/>
        </w:rPr>
        <w:t>.</w:t>
      </w:r>
    </w:p>
    <w:p w14:paraId="26F27E2C" w14:textId="2639F185" w:rsidR="00411A2E" w:rsidRPr="00FB463B" w:rsidRDefault="3F6A01CA" w:rsidP="00D47802">
      <w:pPr>
        <w:spacing w:before="960" w:after="240"/>
        <w:rPr>
          <w:rFonts w:eastAsia="Arial" w:cs="Arial"/>
          <w:i/>
        </w:rPr>
      </w:pPr>
      <w:r w:rsidRPr="00FB463B">
        <w:rPr>
          <w:rFonts w:eastAsia="Arial" w:cs="Arial"/>
          <w:i/>
          <w:iCs/>
        </w:rPr>
        <w:lastRenderedPageBreak/>
        <w:t>Progress Methodology for</w:t>
      </w:r>
      <w:r w:rsidR="00411A2E" w:rsidRPr="00FB463B">
        <w:rPr>
          <w:rFonts w:eastAsia="Arial" w:cs="Arial"/>
          <w:i/>
        </w:rPr>
        <w:t xml:space="preserve"> Summative Alternate ELPAC</w:t>
      </w:r>
    </w:p>
    <w:p w14:paraId="69C3479A" w14:textId="6F2187E3" w:rsidR="00411A2E" w:rsidRPr="00FB463B" w:rsidRDefault="34096775" w:rsidP="00764BE0">
      <w:pPr>
        <w:spacing w:after="240"/>
        <w:rPr>
          <w:rFonts w:cs="Arial"/>
        </w:rPr>
      </w:pPr>
      <w:r w:rsidRPr="00FB463B">
        <w:rPr>
          <w:rFonts w:cs="Arial"/>
        </w:rPr>
        <w:t>D</w:t>
      </w:r>
      <w:r w:rsidR="00411A2E" w:rsidRPr="00FB463B">
        <w:rPr>
          <w:rFonts w:cs="Arial"/>
        </w:rPr>
        <w:t>iffering characteristics of the Summative ELPAC and Summative Alternate ELPAC require</w:t>
      </w:r>
      <w:r w:rsidR="001E6BD5" w:rsidRPr="00FB463B">
        <w:rPr>
          <w:rFonts w:cs="Arial"/>
        </w:rPr>
        <w:t xml:space="preserve"> </w:t>
      </w:r>
      <w:r w:rsidR="00411A2E" w:rsidRPr="00FB463B">
        <w:rPr>
          <w:rFonts w:cs="Arial"/>
        </w:rPr>
        <w:t xml:space="preserve">that CDE establish a new methodology </w:t>
      </w:r>
      <w:r w:rsidR="001E6BD5" w:rsidRPr="00FB463B">
        <w:rPr>
          <w:rFonts w:cs="Arial"/>
        </w:rPr>
        <w:t xml:space="preserve">of </w:t>
      </w:r>
      <w:r w:rsidR="00411A2E" w:rsidRPr="00FB463B">
        <w:rPr>
          <w:rFonts w:cs="Arial"/>
        </w:rPr>
        <w:t xml:space="preserve">how to measure progress </w:t>
      </w:r>
      <w:r w:rsidR="001E6BD5" w:rsidRPr="00FB463B">
        <w:rPr>
          <w:rFonts w:cs="Arial"/>
        </w:rPr>
        <w:t>with the ELPI for these students. Most notably, the two assessments have different</w:t>
      </w:r>
      <w:r w:rsidR="001E6BD5" w:rsidRPr="00FB463B">
        <w:t xml:space="preserve"> categories of performance</w:t>
      </w:r>
      <w:r w:rsidR="001E6BD5" w:rsidRPr="00FB463B">
        <w:rPr>
          <w:rFonts w:cs="Arial"/>
        </w:rPr>
        <w:t xml:space="preserve"> levels.</w:t>
      </w:r>
    </w:p>
    <w:p w14:paraId="695F2842" w14:textId="108F6FDE" w:rsidR="00590DA8" w:rsidRPr="00FB463B" w:rsidRDefault="00590DA8" w:rsidP="00764BE0">
      <w:pPr>
        <w:spacing w:after="240"/>
        <w:rPr>
          <w:rFonts w:cs="Arial"/>
        </w:rPr>
      </w:pPr>
      <w:r w:rsidRPr="00FB463B">
        <w:rPr>
          <w:rFonts w:cs="Arial"/>
        </w:rPr>
        <w:t xml:space="preserve">The Summative </w:t>
      </w:r>
      <w:r w:rsidR="00660679" w:rsidRPr="00FB463B">
        <w:rPr>
          <w:rFonts w:cs="Arial"/>
        </w:rPr>
        <w:t xml:space="preserve">ELPAC </w:t>
      </w:r>
      <w:r w:rsidRPr="00FB463B">
        <w:rPr>
          <w:rFonts w:cs="Arial"/>
        </w:rPr>
        <w:t>has four performance levels:</w:t>
      </w:r>
    </w:p>
    <w:p w14:paraId="3E974F49" w14:textId="559F569C" w:rsidR="00EE41E4" w:rsidRPr="00FB463B" w:rsidRDefault="00EE41E4" w:rsidP="00BC17A5">
      <w:pPr>
        <w:pStyle w:val="ListParagraph"/>
        <w:numPr>
          <w:ilvl w:val="0"/>
          <w:numId w:val="15"/>
        </w:numPr>
        <w:spacing w:after="0"/>
        <w:rPr>
          <w:rFonts w:cs="Arial"/>
        </w:rPr>
      </w:pPr>
      <w:r w:rsidRPr="00FB463B">
        <w:rPr>
          <w:rFonts w:cs="Arial"/>
        </w:rPr>
        <w:t xml:space="preserve">Minimally </w:t>
      </w:r>
      <w:r w:rsidR="00707C20" w:rsidRPr="00FB463B">
        <w:rPr>
          <w:rFonts w:cs="Arial"/>
        </w:rPr>
        <w:t>D</w:t>
      </w:r>
      <w:r w:rsidRPr="00FB463B">
        <w:rPr>
          <w:rFonts w:cs="Arial"/>
        </w:rPr>
        <w:t>eveloped</w:t>
      </w:r>
    </w:p>
    <w:p w14:paraId="649EAB2D" w14:textId="5CCA7A9C" w:rsidR="00EE41E4" w:rsidRPr="00FB463B" w:rsidRDefault="00EE41E4" w:rsidP="00BC17A5">
      <w:pPr>
        <w:pStyle w:val="ListParagraph"/>
        <w:numPr>
          <w:ilvl w:val="0"/>
          <w:numId w:val="15"/>
        </w:numPr>
        <w:spacing w:after="0"/>
        <w:rPr>
          <w:rFonts w:cs="Arial"/>
        </w:rPr>
      </w:pPr>
      <w:r w:rsidRPr="00FB463B">
        <w:rPr>
          <w:rFonts w:cs="Arial"/>
        </w:rPr>
        <w:t xml:space="preserve">Somewhat </w:t>
      </w:r>
      <w:r w:rsidR="00707C20" w:rsidRPr="00FB463B">
        <w:rPr>
          <w:rFonts w:cs="Arial"/>
        </w:rPr>
        <w:t>D</w:t>
      </w:r>
      <w:r w:rsidRPr="00FB463B">
        <w:rPr>
          <w:rFonts w:cs="Arial"/>
        </w:rPr>
        <w:t>eveloped</w:t>
      </w:r>
    </w:p>
    <w:p w14:paraId="6D82F75D" w14:textId="343677AB" w:rsidR="00EE41E4" w:rsidRPr="00FB463B" w:rsidRDefault="00707C20" w:rsidP="00BC17A5">
      <w:pPr>
        <w:pStyle w:val="ListParagraph"/>
        <w:numPr>
          <w:ilvl w:val="0"/>
          <w:numId w:val="15"/>
        </w:numPr>
        <w:spacing w:after="0"/>
        <w:rPr>
          <w:rFonts w:cs="Arial"/>
        </w:rPr>
      </w:pPr>
      <w:r w:rsidRPr="00FB463B">
        <w:rPr>
          <w:rFonts w:cs="Arial"/>
        </w:rPr>
        <w:t>M</w:t>
      </w:r>
      <w:r w:rsidR="00EE41E4" w:rsidRPr="00FB463B">
        <w:rPr>
          <w:rFonts w:cs="Arial"/>
        </w:rPr>
        <w:t xml:space="preserve">oderately </w:t>
      </w:r>
      <w:r w:rsidRPr="00FB463B">
        <w:rPr>
          <w:rFonts w:cs="Arial"/>
        </w:rPr>
        <w:t>D</w:t>
      </w:r>
      <w:r w:rsidR="00EE41E4" w:rsidRPr="00FB463B">
        <w:rPr>
          <w:rFonts w:cs="Arial"/>
        </w:rPr>
        <w:t>eveloped</w:t>
      </w:r>
    </w:p>
    <w:p w14:paraId="78511ABF" w14:textId="2899B3D7" w:rsidR="00EE41E4" w:rsidRPr="00FB463B" w:rsidRDefault="00EE41E4" w:rsidP="00764BE0">
      <w:pPr>
        <w:pStyle w:val="ListParagraph"/>
        <w:numPr>
          <w:ilvl w:val="0"/>
          <w:numId w:val="15"/>
        </w:numPr>
        <w:rPr>
          <w:rFonts w:cs="Arial"/>
        </w:rPr>
      </w:pPr>
      <w:r w:rsidRPr="00FB463B">
        <w:rPr>
          <w:rFonts w:cs="Arial"/>
        </w:rPr>
        <w:t xml:space="preserve">Well </w:t>
      </w:r>
      <w:r w:rsidR="00707C20" w:rsidRPr="00FB463B">
        <w:rPr>
          <w:rFonts w:cs="Arial"/>
        </w:rPr>
        <w:t>D</w:t>
      </w:r>
      <w:r w:rsidRPr="00FB463B">
        <w:rPr>
          <w:rFonts w:cs="Arial"/>
        </w:rPr>
        <w:t>eveloped</w:t>
      </w:r>
    </w:p>
    <w:p w14:paraId="69392A6E" w14:textId="6D79AC2A" w:rsidR="00555DE3" w:rsidRPr="00FB463B" w:rsidRDefault="001E6BD5" w:rsidP="00764BE0">
      <w:pPr>
        <w:spacing w:after="240"/>
        <w:rPr>
          <w:rFonts w:eastAsia="Arial" w:cs="Arial"/>
        </w:rPr>
      </w:pPr>
      <w:r w:rsidRPr="00FB463B">
        <w:rPr>
          <w:rFonts w:eastAsia="Arial" w:cs="Arial"/>
        </w:rPr>
        <w:t>T</w:t>
      </w:r>
      <w:r w:rsidR="0048474B" w:rsidRPr="00FB463B">
        <w:rPr>
          <w:rFonts w:eastAsia="Arial" w:cs="Arial"/>
        </w:rPr>
        <w:t>he</w:t>
      </w:r>
      <w:r w:rsidR="00555DE3" w:rsidRPr="00FB463B">
        <w:rPr>
          <w:rFonts w:eastAsia="Arial" w:cs="Arial"/>
        </w:rPr>
        <w:t xml:space="preserve"> Summative Alternate ELPAC</w:t>
      </w:r>
      <w:r w:rsidR="0048474B" w:rsidRPr="00FB463B">
        <w:rPr>
          <w:rFonts w:eastAsia="Arial" w:cs="Arial"/>
        </w:rPr>
        <w:t xml:space="preserve"> is limited to only </w:t>
      </w:r>
      <w:r w:rsidR="00555DE3" w:rsidRPr="00FB463B">
        <w:rPr>
          <w:rFonts w:eastAsia="Arial" w:cs="Arial"/>
        </w:rPr>
        <w:t>three performance levels</w:t>
      </w:r>
      <w:r w:rsidR="00815899" w:rsidRPr="00FB463B">
        <w:rPr>
          <w:rFonts w:eastAsia="Arial" w:cs="Arial"/>
        </w:rPr>
        <w:t xml:space="preserve">, which are also </w:t>
      </w:r>
      <w:r w:rsidR="00815899" w:rsidRPr="00FB463B">
        <w:rPr>
          <w:rFonts w:cs="Arial"/>
        </w:rPr>
        <w:t>narrower than those of the Summative ELPAC</w:t>
      </w:r>
      <w:r w:rsidR="00555DE3" w:rsidRPr="00FB463B">
        <w:rPr>
          <w:rFonts w:eastAsia="Arial" w:cs="Arial"/>
        </w:rPr>
        <w:t>:</w:t>
      </w:r>
    </w:p>
    <w:p w14:paraId="78B6F53C" w14:textId="3161C09E" w:rsidR="00555DE3" w:rsidRPr="00FB463B" w:rsidRDefault="00555DE3" w:rsidP="00BC17A5">
      <w:pPr>
        <w:pStyle w:val="ListParagraph"/>
        <w:numPr>
          <w:ilvl w:val="0"/>
          <w:numId w:val="14"/>
        </w:numPr>
        <w:spacing w:after="0"/>
        <w:rPr>
          <w:rFonts w:cs="Arial"/>
        </w:rPr>
      </w:pPr>
      <w:r w:rsidRPr="00FB463B">
        <w:rPr>
          <w:rFonts w:eastAsia="Arial" w:cs="Arial"/>
        </w:rPr>
        <w:t>Novice</w:t>
      </w:r>
    </w:p>
    <w:p w14:paraId="1DEAF663" w14:textId="77777777" w:rsidR="00555DE3" w:rsidRPr="00FB463B" w:rsidRDefault="00555DE3" w:rsidP="00BC17A5">
      <w:pPr>
        <w:pStyle w:val="ListParagraph"/>
        <w:numPr>
          <w:ilvl w:val="0"/>
          <w:numId w:val="14"/>
        </w:numPr>
        <w:spacing w:after="0"/>
        <w:rPr>
          <w:rFonts w:cs="Arial"/>
        </w:rPr>
      </w:pPr>
      <w:r w:rsidRPr="00FB463B">
        <w:rPr>
          <w:rFonts w:eastAsia="Arial" w:cs="Arial"/>
        </w:rPr>
        <w:t>Intermediate</w:t>
      </w:r>
    </w:p>
    <w:p w14:paraId="39412E24" w14:textId="7BE851FA" w:rsidR="001E6BD5" w:rsidRPr="00FB463B" w:rsidRDefault="00555DE3" w:rsidP="001E6BD5">
      <w:pPr>
        <w:numPr>
          <w:ilvl w:val="0"/>
          <w:numId w:val="14"/>
        </w:numPr>
        <w:spacing w:after="240"/>
        <w:rPr>
          <w:rFonts w:cs="Arial"/>
        </w:rPr>
      </w:pPr>
      <w:r w:rsidRPr="00FB463B">
        <w:rPr>
          <w:rFonts w:cs="Arial"/>
        </w:rPr>
        <w:t>Fluent English Proficient</w:t>
      </w:r>
    </w:p>
    <w:p w14:paraId="384A829C" w14:textId="74A610A8" w:rsidR="00815899" w:rsidRPr="00FB463B" w:rsidRDefault="001E6BD5" w:rsidP="00764BE0">
      <w:pPr>
        <w:spacing w:after="240"/>
        <w:rPr>
          <w:rFonts w:cs="Arial"/>
        </w:rPr>
      </w:pPr>
      <w:r w:rsidRPr="00FB463B">
        <w:rPr>
          <w:rFonts w:cs="Arial"/>
        </w:rPr>
        <w:t xml:space="preserve">At the November 2019 SBE meeting, the SBE </w:t>
      </w:r>
      <w:r w:rsidR="00815899" w:rsidRPr="00FB463B">
        <w:rPr>
          <w:rFonts w:cs="Arial"/>
        </w:rPr>
        <w:t xml:space="preserve">adopted a </w:t>
      </w:r>
      <w:r w:rsidR="1C6A3263" w:rsidRPr="00FB463B">
        <w:rPr>
          <w:rFonts w:cs="Arial"/>
        </w:rPr>
        <w:t xml:space="preserve">progress </w:t>
      </w:r>
      <w:r w:rsidR="00815899" w:rsidRPr="00FB463B">
        <w:rPr>
          <w:rFonts w:cs="Arial"/>
        </w:rPr>
        <w:t xml:space="preserve">methodology </w:t>
      </w:r>
      <w:r w:rsidR="209BBC3B" w:rsidRPr="00FB463B">
        <w:rPr>
          <w:rFonts w:cs="Arial"/>
        </w:rPr>
        <w:t>for the Summative ELPAC</w:t>
      </w:r>
      <w:r w:rsidR="00815899" w:rsidRPr="00FB463B">
        <w:rPr>
          <w:rFonts w:cs="Arial"/>
        </w:rPr>
        <w:t xml:space="preserve"> that defined progress on the ELPI as advancing at least one performance level or maintaining level 4. The SBE also </w:t>
      </w:r>
      <w:r w:rsidRPr="00FB463B">
        <w:rPr>
          <w:rFonts w:cs="Arial"/>
        </w:rPr>
        <w:t xml:space="preserve">approved splitting </w:t>
      </w:r>
      <w:r w:rsidR="00815899" w:rsidRPr="00FB463B">
        <w:rPr>
          <w:rFonts w:cs="Arial"/>
        </w:rPr>
        <w:t xml:space="preserve">Summative </w:t>
      </w:r>
      <w:r w:rsidRPr="00FB463B">
        <w:rPr>
          <w:rFonts w:cs="Arial"/>
        </w:rPr>
        <w:t>ELPAC levels 2 and 3 to create levels 2L (Low), 2H (High), 3L, and 3H for use in determining progress towards ELP for the ELPI. The splitting of ELPAC levels 2 and 3 allowed the CDE to measure progress mirror the vast body of research on the five to seven years it takes an EL student to become proficient in English.</w:t>
      </w:r>
    </w:p>
    <w:p w14:paraId="5F33BA3E" w14:textId="136D973D" w:rsidR="607AADF3" w:rsidRPr="00FB463B" w:rsidRDefault="607AADF3" w:rsidP="2D91CDB8">
      <w:pPr>
        <w:spacing w:after="240"/>
        <w:rPr>
          <w:rFonts w:cs="Arial"/>
        </w:rPr>
      </w:pPr>
      <w:r w:rsidRPr="00FB463B">
        <w:rPr>
          <w:rFonts w:cs="Arial"/>
          <w:i/>
          <w:iCs/>
        </w:rPr>
        <w:t>Option 1: Performance Level Methodology</w:t>
      </w:r>
    </w:p>
    <w:p w14:paraId="652C791A" w14:textId="78DAE06D" w:rsidR="00445E9C" w:rsidRPr="00FB463B" w:rsidRDefault="00815899" w:rsidP="00764BE0">
      <w:pPr>
        <w:spacing w:after="240"/>
        <w:rPr>
          <w:rFonts w:cs="Arial"/>
        </w:rPr>
      </w:pPr>
      <w:r w:rsidRPr="00FB463B">
        <w:rPr>
          <w:rFonts w:cs="Arial"/>
        </w:rPr>
        <w:t>For the Summative Alternate ELPAC, CDE evaluated the number of students who made progress by advancing at least performance level or remained at Level 3.</w:t>
      </w:r>
      <w:r w:rsidR="006E764F" w:rsidRPr="00FB463B">
        <w:rPr>
          <w:rFonts w:cs="Arial"/>
        </w:rPr>
        <w:t xml:space="preserve"> B</w:t>
      </w:r>
      <w:r w:rsidRPr="00FB463B">
        <w:rPr>
          <w:rFonts w:cs="Arial"/>
        </w:rPr>
        <w:t xml:space="preserve">ased on the narrow bands of the Summative Alternate ELPAC </w:t>
      </w:r>
      <w:r w:rsidR="00D6069F" w:rsidRPr="00FB463B">
        <w:rPr>
          <w:rFonts w:cs="Arial"/>
        </w:rPr>
        <w:t xml:space="preserve">and </w:t>
      </w:r>
      <w:r w:rsidR="00F6298C" w:rsidRPr="00FB463B">
        <w:rPr>
          <w:rFonts w:cs="Arial"/>
        </w:rPr>
        <w:t>limited</w:t>
      </w:r>
      <w:r w:rsidR="00D6069F" w:rsidRPr="00FB463B">
        <w:rPr>
          <w:rFonts w:cs="Arial"/>
        </w:rPr>
        <w:t xml:space="preserve"> research for the growth trajectories of this EL population, the ELPI Workgroup and the TDG recommend </w:t>
      </w:r>
      <w:r w:rsidRPr="00FB463B">
        <w:rPr>
          <w:rFonts w:cs="Arial"/>
        </w:rPr>
        <w:t xml:space="preserve">against </w:t>
      </w:r>
      <w:r w:rsidR="00E836CF" w:rsidRPr="00FB463B">
        <w:rPr>
          <w:rFonts w:cs="Arial"/>
        </w:rPr>
        <w:t xml:space="preserve">splitting the </w:t>
      </w:r>
      <w:r w:rsidR="40E73171" w:rsidRPr="00FB463B">
        <w:rPr>
          <w:rFonts w:cs="Arial"/>
        </w:rPr>
        <w:t>Summative</w:t>
      </w:r>
      <w:r w:rsidR="00E836CF" w:rsidRPr="00FB463B">
        <w:rPr>
          <w:rFonts w:cs="Arial"/>
        </w:rPr>
        <w:t xml:space="preserve"> Alternate ELPAC levels </w:t>
      </w:r>
      <w:r w:rsidR="003E18F7" w:rsidRPr="00FB463B">
        <w:rPr>
          <w:rFonts w:cs="Arial"/>
        </w:rPr>
        <w:t xml:space="preserve">in the same way </w:t>
      </w:r>
      <w:r w:rsidR="00C3164F" w:rsidRPr="00FB463B">
        <w:rPr>
          <w:rFonts w:cs="Arial"/>
        </w:rPr>
        <w:t>that</w:t>
      </w:r>
      <w:r w:rsidR="00E836CF" w:rsidRPr="00FB463B">
        <w:rPr>
          <w:rFonts w:cs="Arial"/>
        </w:rPr>
        <w:t xml:space="preserve"> was </w:t>
      </w:r>
      <w:r w:rsidR="00C3164F" w:rsidRPr="00FB463B">
        <w:rPr>
          <w:rFonts w:cs="Arial"/>
        </w:rPr>
        <w:t>previously established</w:t>
      </w:r>
      <w:r w:rsidR="00E836CF" w:rsidRPr="00FB463B">
        <w:rPr>
          <w:rFonts w:cs="Arial"/>
        </w:rPr>
        <w:t xml:space="preserve"> with the Summative</w:t>
      </w:r>
      <w:r w:rsidR="7713ED95" w:rsidRPr="00FB463B">
        <w:rPr>
          <w:rFonts w:cs="Arial"/>
        </w:rPr>
        <w:t xml:space="preserve"> </w:t>
      </w:r>
      <w:r w:rsidR="00E836CF" w:rsidRPr="00FB463B">
        <w:rPr>
          <w:rFonts w:cs="Arial"/>
        </w:rPr>
        <w:t>ELPAC.</w:t>
      </w:r>
      <w:r w:rsidRPr="00FB463B">
        <w:rPr>
          <w:rFonts w:cs="Arial"/>
        </w:rPr>
        <w:t xml:space="preserve"> </w:t>
      </w:r>
    </w:p>
    <w:p w14:paraId="18F6E186" w14:textId="6A123BCB" w:rsidR="4615B796" w:rsidRPr="00FB463B" w:rsidRDefault="4615B796" w:rsidP="2D91CDB8">
      <w:pPr>
        <w:spacing w:after="240"/>
        <w:rPr>
          <w:rFonts w:cs="Arial"/>
          <w:i/>
          <w:iCs/>
        </w:rPr>
      </w:pPr>
      <w:r w:rsidRPr="00FB463B">
        <w:rPr>
          <w:rFonts w:cs="Arial"/>
          <w:i/>
          <w:iCs/>
        </w:rPr>
        <w:t>Option 2: Scale Score Point Methodology</w:t>
      </w:r>
    </w:p>
    <w:p w14:paraId="58F6648B" w14:textId="6AC02C4D" w:rsidR="008C349D" w:rsidRPr="00FB463B" w:rsidRDefault="00707C20" w:rsidP="00764BE0">
      <w:pPr>
        <w:spacing w:after="240"/>
        <w:rPr>
          <w:rFonts w:cs="Arial"/>
        </w:rPr>
      </w:pPr>
      <w:r w:rsidRPr="00FB463B">
        <w:rPr>
          <w:rFonts w:cs="Arial"/>
        </w:rPr>
        <w:t xml:space="preserve">Given the limited opportunities to show progress through the performance level methodology, </w:t>
      </w:r>
      <w:r w:rsidR="003D12C4" w:rsidRPr="00FB463B">
        <w:rPr>
          <w:rFonts w:cs="Arial"/>
        </w:rPr>
        <w:t>CDE worked with the A</w:t>
      </w:r>
      <w:r w:rsidR="00C717DF" w:rsidRPr="00FB463B">
        <w:rPr>
          <w:rFonts w:cs="Arial"/>
        </w:rPr>
        <w:t>ssessment Development and Administration Division (</w:t>
      </w:r>
      <w:r w:rsidR="003D12C4" w:rsidRPr="00FB463B">
        <w:rPr>
          <w:rFonts w:cs="Arial"/>
        </w:rPr>
        <w:t>A</w:t>
      </w:r>
      <w:r w:rsidR="000803B5" w:rsidRPr="00FB463B">
        <w:rPr>
          <w:rFonts w:cs="Arial"/>
        </w:rPr>
        <w:t>DAD</w:t>
      </w:r>
      <w:r w:rsidR="00C717DF" w:rsidRPr="00FB463B">
        <w:rPr>
          <w:rFonts w:cs="Arial"/>
        </w:rPr>
        <w:t>)</w:t>
      </w:r>
      <w:r w:rsidR="00914C77" w:rsidRPr="00FB463B">
        <w:rPr>
          <w:rFonts w:cs="Arial"/>
        </w:rPr>
        <w:t xml:space="preserve"> </w:t>
      </w:r>
      <w:r w:rsidR="00B5675A" w:rsidRPr="00FB463B">
        <w:rPr>
          <w:rFonts w:cs="Arial"/>
        </w:rPr>
        <w:t xml:space="preserve">to </w:t>
      </w:r>
      <w:r w:rsidR="159613C8" w:rsidRPr="00FB463B">
        <w:rPr>
          <w:rFonts w:cs="Arial"/>
        </w:rPr>
        <w:t xml:space="preserve">explore </w:t>
      </w:r>
      <w:r w:rsidRPr="00FB463B">
        <w:rPr>
          <w:rFonts w:cs="Arial"/>
        </w:rPr>
        <w:t>how</w:t>
      </w:r>
      <w:r w:rsidR="205FAEF1" w:rsidRPr="00FB463B">
        <w:rPr>
          <w:rFonts w:cs="Arial"/>
        </w:rPr>
        <w:t xml:space="preserve"> </w:t>
      </w:r>
      <w:r w:rsidRPr="00FB463B">
        <w:rPr>
          <w:rFonts w:cs="Arial"/>
        </w:rPr>
        <w:t xml:space="preserve">scale score </w:t>
      </w:r>
      <w:r w:rsidR="00372C42" w:rsidRPr="00FB463B">
        <w:rPr>
          <w:rFonts w:cs="Arial"/>
        </w:rPr>
        <w:t xml:space="preserve">point </w:t>
      </w:r>
      <w:r w:rsidR="00002A78" w:rsidRPr="00FB463B">
        <w:rPr>
          <w:rFonts w:cs="Arial"/>
        </w:rPr>
        <w:t>change</w:t>
      </w:r>
      <w:r w:rsidR="00372C42" w:rsidRPr="00FB463B">
        <w:rPr>
          <w:rFonts w:cs="Arial"/>
        </w:rPr>
        <w:t xml:space="preserve"> </w:t>
      </w:r>
      <w:r w:rsidR="003F2AD7" w:rsidRPr="00FB463B">
        <w:rPr>
          <w:rFonts w:cs="Arial"/>
        </w:rPr>
        <w:t xml:space="preserve">on the </w:t>
      </w:r>
      <w:r w:rsidR="720E2BA6" w:rsidRPr="00FB463B">
        <w:rPr>
          <w:rFonts w:cs="Arial"/>
        </w:rPr>
        <w:t xml:space="preserve">Summative </w:t>
      </w:r>
      <w:r w:rsidR="003F2AD7" w:rsidRPr="00FB463B">
        <w:rPr>
          <w:rFonts w:cs="Arial"/>
        </w:rPr>
        <w:t xml:space="preserve">Alternate ELPAC </w:t>
      </w:r>
      <w:r w:rsidR="00026CC4" w:rsidRPr="00FB463B">
        <w:rPr>
          <w:rFonts w:cs="Arial"/>
        </w:rPr>
        <w:t xml:space="preserve">from </w:t>
      </w:r>
      <w:r w:rsidR="00B44994" w:rsidRPr="00FB463B">
        <w:rPr>
          <w:rFonts w:cs="Arial"/>
        </w:rPr>
        <w:t xml:space="preserve">the prior year to the current year </w:t>
      </w:r>
      <w:r w:rsidRPr="00FB463B">
        <w:rPr>
          <w:rFonts w:cs="Arial"/>
        </w:rPr>
        <w:t xml:space="preserve">could be incorporated as a measure of </w:t>
      </w:r>
      <w:r w:rsidR="00B44994" w:rsidRPr="00FB463B">
        <w:rPr>
          <w:rFonts w:cs="Arial"/>
        </w:rPr>
        <w:t xml:space="preserve">progress towards ELP. </w:t>
      </w:r>
      <w:r w:rsidR="00103404" w:rsidRPr="00FB463B">
        <w:rPr>
          <w:rFonts w:cs="Arial"/>
        </w:rPr>
        <w:t>The CDE</w:t>
      </w:r>
      <w:r w:rsidRPr="00FB463B">
        <w:rPr>
          <w:rFonts w:cs="Arial"/>
        </w:rPr>
        <w:t xml:space="preserve"> evaluated multiple options </w:t>
      </w:r>
      <w:r w:rsidR="00C542DA" w:rsidRPr="00FB463B">
        <w:rPr>
          <w:rFonts w:cs="Arial"/>
        </w:rPr>
        <w:t>and</w:t>
      </w:r>
      <w:r w:rsidR="2036A126" w:rsidRPr="00FB463B">
        <w:rPr>
          <w:rFonts w:cs="Arial"/>
        </w:rPr>
        <w:t xml:space="preserve"> </w:t>
      </w:r>
      <w:r w:rsidR="004A5B1D" w:rsidRPr="00FB463B">
        <w:rPr>
          <w:rFonts w:cs="Arial"/>
        </w:rPr>
        <w:t>recommend</w:t>
      </w:r>
      <w:r w:rsidR="00103404" w:rsidRPr="00FB463B">
        <w:rPr>
          <w:rFonts w:cs="Arial"/>
        </w:rPr>
        <w:t>ed</w:t>
      </w:r>
      <w:r w:rsidR="005F751A" w:rsidRPr="00FB463B">
        <w:rPr>
          <w:rFonts w:cs="Arial"/>
        </w:rPr>
        <w:t xml:space="preserve"> </w:t>
      </w:r>
      <w:r w:rsidRPr="00FB463B">
        <w:rPr>
          <w:rFonts w:cs="Arial"/>
        </w:rPr>
        <w:t xml:space="preserve">simulations using </w:t>
      </w:r>
      <w:r w:rsidR="005F751A" w:rsidRPr="00FB463B">
        <w:rPr>
          <w:rFonts w:cs="Arial"/>
        </w:rPr>
        <w:t xml:space="preserve">a ten-point </w:t>
      </w:r>
      <w:r w:rsidRPr="00FB463B">
        <w:rPr>
          <w:rFonts w:cs="Arial"/>
        </w:rPr>
        <w:t xml:space="preserve">scale score </w:t>
      </w:r>
      <w:r w:rsidR="007C1068" w:rsidRPr="00FB463B">
        <w:rPr>
          <w:rFonts w:cs="Arial"/>
        </w:rPr>
        <w:t>change</w:t>
      </w:r>
      <w:r w:rsidR="005F751A" w:rsidRPr="00FB463B">
        <w:rPr>
          <w:rFonts w:cs="Arial"/>
        </w:rPr>
        <w:t xml:space="preserve"> on the Summative Alternate ELPAC </w:t>
      </w:r>
      <w:r w:rsidRPr="00FB463B">
        <w:rPr>
          <w:rFonts w:cs="Arial"/>
        </w:rPr>
        <w:lastRenderedPageBreak/>
        <w:t xml:space="preserve">from the prior year’s assessment. This </w:t>
      </w:r>
      <w:r w:rsidR="00846D8F" w:rsidRPr="00FB463B">
        <w:rPr>
          <w:rFonts w:cs="Arial"/>
        </w:rPr>
        <w:t>change</w:t>
      </w:r>
      <w:r w:rsidRPr="00FB463B">
        <w:rPr>
          <w:rFonts w:cs="Arial"/>
        </w:rPr>
        <w:t xml:space="preserve"> could take place at any point along the scale. Ten points were selected as a minimum threshold, as it </w:t>
      </w:r>
      <w:r w:rsidR="005F751A" w:rsidRPr="00FB463B">
        <w:rPr>
          <w:rFonts w:cs="Arial"/>
        </w:rPr>
        <w:t xml:space="preserve">decreases the likelihood that the </w:t>
      </w:r>
      <w:r w:rsidR="00DB3E57" w:rsidRPr="00FB463B">
        <w:rPr>
          <w:rFonts w:cs="Arial"/>
        </w:rPr>
        <w:t>change</w:t>
      </w:r>
      <w:r w:rsidR="005F751A" w:rsidRPr="00FB463B">
        <w:rPr>
          <w:rFonts w:cs="Arial"/>
        </w:rPr>
        <w:t xml:space="preserve"> is due to measurement error.</w:t>
      </w:r>
    </w:p>
    <w:p w14:paraId="6970603F" w14:textId="3324B475" w:rsidR="6BB2585C" w:rsidRPr="00FB463B" w:rsidRDefault="6BB2585C" w:rsidP="2D91CDB8">
      <w:pPr>
        <w:spacing w:after="240"/>
        <w:rPr>
          <w:rFonts w:cs="Arial"/>
          <w:i/>
          <w:iCs/>
        </w:rPr>
      </w:pPr>
      <w:r w:rsidRPr="00FB463B">
        <w:rPr>
          <w:rFonts w:cs="Arial"/>
          <w:i/>
          <w:iCs/>
        </w:rPr>
        <w:t>Option 3: Combination of Performance Level and Scale Score Point Methodology</w:t>
      </w:r>
    </w:p>
    <w:p w14:paraId="5EDA4DCB" w14:textId="2AE75EB1" w:rsidR="018EF6CA" w:rsidRPr="00FB463B" w:rsidRDefault="018EF6CA" w:rsidP="2D91CDB8">
      <w:pPr>
        <w:spacing w:after="240"/>
        <w:rPr>
          <w:rFonts w:cs="Arial"/>
        </w:rPr>
      </w:pPr>
      <w:r w:rsidRPr="00FB463B">
        <w:rPr>
          <w:rFonts w:cs="Arial"/>
        </w:rPr>
        <w:t xml:space="preserve">After looking at preliminary simulations, CDE noticed that certain students were excluded from making progress when using either methodology. </w:t>
      </w:r>
      <w:r w:rsidR="5AA1683A" w:rsidRPr="00FB463B">
        <w:rPr>
          <w:rFonts w:cs="Arial"/>
        </w:rPr>
        <w:t xml:space="preserve">Most markedly, </w:t>
      </w:r>
      <w:r w:rsidR="4B6C95D1" w:rsidRPr="00FB463B">
        <w:rPr>
          <w:rFonts w:cs="Arial"/>
        </w:rPr>
        <w:t xml:space="preserve">there were </w:t>
      </w:r>
      <w:proofErr w:type="gramStart"/>
      <w:r w:rsidR="4B6C95D1" w:rsidRPr="00FB463B">
        <w:rPr>
          <w:rFonts w:cs="Arial"/>
        </w:rPr>
        <w:t xml:space="preserve">a </w:t>
      </w:r>
      <w:r w:rsidR="5AA1683A" w:rsidRPr="00FB463B">
        <w:rPr>
          <w:rFonts w:cs="Arial"/>
        </w:rPr>
        <w:t>number of</w:t>
      </w:r>
      <w:proofErr w:type="gramEnd"/>
      <w:r w:rsidR="5AA1683A" w:rsidRPr="00FB463B">
        <w:rPr>
          <w:rFonts w:cs="Arial"/>
        </w:rPr>
        <w:t xml:space="preserve"> </w:t>
      </w:r>
      <w:r w:rsidRPr="00FB463B">
        <w:rPr>
          <w:rFonts w:cs="Arial"/>
        </w:rPr>
        <w:t>students</w:t>
      </w:r>
      <w:r w:rsidR="4CEDBE25" w:rsidRPr="00FB463B">
        <w:rPr>
          <w:rFonts w:cs="Arial"/>
        </w:rPr>
        <w:t xml:space="preserve"> that would</w:t>
      </w:r>
      <w:r w:rsidRPr="00FB463B">
        <w:rPr>
          <w:rFonts w:cs="Arial"/>
        </w:rPr>
        <w:t xml:space="preserve"> </w:t>
      </w:r>
      <w:r w:rsidR="1A973B35" w:rsidRPr="00FB463B">
        <w:rPr>
          <w:rFonts w:cs="Arial"/>
        </w:rPr>
        <w:t>advanc</w:t>
      </w:r>
      <w:r w:rsidR="2BC5A3EB" w:rsidRPr="00FB463B">
        <w:rPr>
          <w:rFonts w:cs="Arial"/>
        </w:rPr>
        <w:t>e</w:t>
      </w:r>
      <w:r w:rsidR="1A973B35" w:rsidRPr="00FB463B">
        <w:rPr>
          <w:rFonts w:cs="Arial"/>
        </w:rPr>
        <w:t xml:space="preserve"> a performance </w:t>
      </w:r>
      <w:r w:rsidR="00C542DA" w:rsidRPr="00FB463B">
        <w:rPr>
          <w:rFonts w:cs="Arial"/>
        </w:rPr>
        <w:t>level but</w:t>
      </w:r>
      <w:r w:rsidR="5F9B3055" w:rsidRPr="00FB463B">
        <w:rPr>
          <w:rFonts w:cs="Arial"/>
        </w:rPr>
        <w:t xml:space="preserve"> </w:t>
      </w:r>
      <w:r w:rsidR="509E7503" w:rsidRPr="00FB463B">
        <w:rPr>
          <w:rFonts w:cs="Arial"/>
        </w:rPr>
        <w:t xml:space="preserve">did not </w:t>
      </w:r>
      <w:r w:rsidR="22E63C22" w:rsidRPr="00FB463B">
        <w:rPr>
          <w:rFonts w:cs="Arial"/>
        </w:rPr>
        <w:t xml:space="preserve">show </w:t>
      </w:r>
      <w:r w:rsidR="0A679174" w:rsidRPr="00FB463B">
        <w:rPr>
          <w:rFonts w:cs="Arial"/>
        </w:rPr>
        <w:t xml:space="preserve">growth of 10 scale score points to get marked as making progress in the scale score methodology. Therefore, </w:t>
      </w:r>
      <w:r w:rsidRPr="00FB463B">
        <w:rPr>
          <w:rFonts w:cs="Arial"/>
        </w:rPr>
        <w:t>t</w:t>
      </w:r>
      <w:r w:rsidR="164BBED6" w:rsidRPr="00FB463B">
        <w:rPr>
          <w:rFonts w:cs="Arial"/>
        </w:rPr>
        <w:t xml:space="preserve">he CDE explored a joint methodology that would recognize progress </w:t>
      </w:r>
      <w:r w:rsidR="53072A11" w:rsidRPr="00FB463B">
        <w:rPr>
          <w:rFonts w:cs="Arial"/>
        </w:rPr>
        <w:t xml:space="preserve">through either </w:t>
      </w:r>
      <w:r w:rsidR="547C3825" w:rsidRPr="00FB463B">
        <w:rPr>
          <w:rFonts w:cs="Arial"/>
        </w:rPr>
        <w:t xml:space="preserve">a performance level increase or a 10-point scale score </w:t>
      </w:r>
      <w:r w:rsidR="00DA3957" w:rsidRPr="00FB463B">
        <w:rPr>
          <w:rFonts w:cs="Arial"/>
        </w:rPr>
        <w:t>change</w:t>
      </w:r>
      <w:r w:rsidR="547C3825" w:rsidRPr="00FB463B">
        <w:rPr>
          <w:rFonts w:cs="Arial"/>
        </w:rPr>
        <w:t>.</w:t>
      </w:r>
    </w:p>
    <w:p w14:paraId="5CF2CFEC" w14:textId="2B7198BC" w:rsidR="688B17B4" w:rsidRPr="00FB463B" w:rsidRDefault="688B17B4" w:rsidP="2D91CDB8">
      <w:pPr>
        <w:spacing w:after="240"/>
        <w:rPr>
          <w:rFonts w:cs="Arial"/>
        </w:rPr>
      </w:pPr>
      <w:r w:rsidRPr="00FB463B">
        <w:rPr>
          <w:rFonts w:cs="Arial"/>
        </w:rPr>
        <w:t>The</w:t>
      </w:r>
      <w:r w:rsidR="3A074D13" w:rsidRPr="00FB463B">
        <w:rPr>
          <w:rFonts w:cs="Arial"/>
        </w:rPr>
        <w:t xml:space="preserve"> results of the simulations for all three of the above options are shown in Table </w:t>
      </w:r>
      <w:r w:rsidR="00726BD1" w:rsidRPr="00FB463B">
        <w:rPr>
          <w:rFonts w:cs="Arial"/>
        </w:rPr>
        <w:t>A</w:t>
      </w:r>
      <w:r w:rsidR="3A074D13" w:rsidRPr="00FB463B">
        <w:rPr>
          <w:rFonts w:cs="Arial"/>
        </w:rPr>
        <w:t xml:space="preserve"> below.</w:t>
      </w:r>
    </w:p>
    <w:p w14:paraId="5E0CB1C0" w14:textId="6EAD8077" w:rsidR="547C3825" w:rsidRPr="00FB463B" w:rsidRDefault="547C3825" w:rsidP="2D91CDB8">
      <w:pPr>
        <w:spacing w:after="240"/>
        <w:rPr>
          <w:rFonts w:cs="Arial"/>
        </w:rPr>
      </w:pPr>
      <w:r w:rsidRPr="00FB463B">
        <w:rPr>
          <w:rFonts w:cs="Arial"/>
        </w:rPr>
        <w:t xml:space="preserve">Table </w:t>
      </w:r>
      <w:r w:rsidR="00726BD1" w:rsidRPr="00FB463B">
        <w:rPr>
          <w:rFonts w:cs="Arial"/>
        </w:rPr>
        <w:t>A</w:t>
      </w:r>
      <w:r w:rsidRPr="00FB463B">
        <w:rPr>
          <w:rFonts w:cs="Arial"/>
        </w:rPr>
        <w:t xml:space="preserve">: </w:t>
      </w:r>
      <w:r w:rsidR="72B06273" w:rsidRPr="00FB463B">
        <w:rPr>
          <w:rFonts w:cs="Arial"/>
        </w:rPr>
        <w:t xml:space="preserve">Summative Alternate ELPAC Progress Methodology </w:t>
      </w:r>
      <w:r w:rsidRPr="00FB463B">
        <w:rPr>
          <w:rFonts w:cs="Arial"/>
        </w:rPr>
        <w:t>Simulation Results</w:t>
      </w:r>
    </w:p>
    <w:tbl>
      <w:tblPr>
        <w:tblStyle w:val="TableGrid"/>
        <w:tblW w:w="0" w:type="auto"/>
        <w:tblLayout w:type="fixed"/>
        <w:tblLook w:val="06A0" w:firstRow="1" w:lastRow="0" w:firstColumn="1" w:lastColumn="0" w:noHBand="1" w:noVBand="1"/>
      </w:tblPr>
      <w:tblGrid>
        <w:gridCol w:w="4665"/>
        <w:gridCol w:w="2550"/>
        <w:gridCol w:w="2258"/>
      </w:tblGrid>
      <w:tr w:rsidR="2D91CDB8" w:rsidRPr="00FB463B" w14:paraId="1817F5B7" w14:textId="77777777" w:rsidTr="007871ED">
        <w:trPr>
          <w:cantSplit/>
          <w:trHeight w:val="300"/>
          <w:tblHeader/>
        </w:trPr>
        <w:tc>
          <w:tcPr>
            <w:tcW w:w="4665" w:type="dxa"/>
          </w:tcPr>
          <w:p w14:paraId="46CA2D5F" w14:textId="04BF69D0" w:rsidR="547C3825" w:rsidRPr="00FB463B" w:rsidRDefault="547C3825" w:rsidP="00533850">
            <w:pPr>
              <w:jc w:val="center"/>
              <w:rPr>
                <w:rFonts w:cs="Arial"/>
                <w:b/>
                <w:bCs/>
              </w:rPr>
            </w:pPr>
            <w:r w:rsidRPr="00FB463B">
              <w:rPr>
                <w:rFonts w:cs="Arial"/>
                <w:b/>
                <w:bCs/>
              </w:rPr>
              <w:t>Option</w:t>
            </w:r>
          </w:p>
        </w:tc>
        <w:tc>
          <w:tcPr>
            <w:tcW w:w="2550" w:type="dxa"/>
          </w:tcPr>
          <w:p w14:paraId="44A1349C" w14:textId="469F6DE1" w:rsidR="1382663D" w:rsidRPr="00FB463B" w:rsidRDefault="1382663D" w:rsidP="00533850">
            <w:pPr>
              <w:jc w:val="center"/>
              <w:rPr>
                <w:rFonts w:cs="Arial"/>
                <w:b/>
                <w:bCs/>
              </w:rPr>
            </w:pPr>
            <w:r w:rsidRPr="00FB463B">
              <w:rPr>
                <w:rFonts w:cs="Arial"/>
                <w:b/>
                <w:bCs/>
              </w:rPr>
              <w:t>Number of Summative Alt-ELPAC Students That Progressed</w:t>
            </w:r>
          </w:p>
        </w:tc>
        <w:tc>
          <w:tcPr>
            <w:tcW w:w="2258" w:type="dxa"/>
          </w:tcPr>
          <w:p w14:paraId="20563900" w14:textId="7628EAA7" w:rsidR="1382663D" w:rsidRPr="00FB463B" w:rsidRDefault="1382663D" w:rsidP="00533850">
            <w:pPr>
              <w:jc w:val="center"/>
              <w:rPr>
                <w:rFonts w:cs="Arial"/>
                <w:b/>
                <w:bCs/>
              </w:rPr>
            </w:pPr>
            <w:r w:rsidRPr="00FB463B">
              <w:rPr>
                <w:rFonts w:cs="Arial"/>
                <w:b/>
                <w:bCs/>
              </w:rPr>
              <w:t>Number of Students That Did Not Progress</w:t>
            </w:r>
          </w:p>
        </w:tc>
      </w:tr>
      <w:tr w:rsidR="2D91CDB8" w:rsidRPr="00FB463B" w14:paraId="7F121832" w14:textId="77777777" w:rsidTr="007871ED">
        <w:trPr>
          <w:cantSplit/>
          <w:trHeight w:val="300"/>
        </w:trPr>
        <w:tc>
          <w:tcPr>
            <w:tcW w:w="4665" w:type="dxa"/>
          </w:tcPr>
          <w:p w14:paraId="1AC0595C" w14:textId="41391A07" w:rsidR="4D6032CF" w:rsidRPr="00FB463B" w:rsidRDefault="4D6032CF" w:rsidP="2D91CDB8">
            <w:pPr>
              <w:rPr>
                <w:rFonts w:cs="Arial"/>
              </w:rPr>
            </w:pPr>
            <w:r w:rsidRPr="00FB463B">
              <w:rPr>
                <w:rFonts w:cs="Arial"/>
              </w:rPr>
              <w:t>Option 1: Performance Level Increase</w:t>
            </w:r>
          </w:p>
        </w:tc>
        <w:tc>
          <w:tcPr>
            <w:tcW w:w="2550" w:type="dxa"/>
          </w:tcPr>
          <w:p w14:paraId="41893C48" w14:textId="3FAB2008" w:rsidR="2D91CDB8" w:rsidRPr="00FB463B" w:rsidRDefault="2D91CDB8" w:rsidP="2D91CDB8">
            <w:pPr>
              <w:spacing w:line="240" w:lineRule="exact"/>
              <w:jc w:val="center"/>
              <w:rPr>
                <w:rFonts w:eastAsia="Arial" w:cs="Arial"/>
              </w:rPr>
            </w:pPr>
            <w:r w:rsidRPr="00FB463B">
              <w:rPr>
                <w:rFonts w:eastAsia="Arial" w:cs="Arial"/>
              </w:rPr>
              <w:t>3,926 (35.6%)</w:t>
            </w:r>
          </w:p>
        </w:tc>
        <w:tc>
          <w:tcPr>
            <w:tcW w:w="2258" w:type="dxa"/>
          </w:tcPr>
          <w:p w14:paraId="7279338A" w14:textId="38BBDBBC" w:rsidR="2D91CDB8" w:rsidRPr="00FB463B" w:rsidRDefault="1208625C" w:rsidP="2D91CDB8">
            <w:pPr>
              <w:spacing w:line="240" w:lineRule="exact"/>
              <w:jc w:val="center"/>
              <w:rPr>
                <w:rFonts w:eastAsia="Arial" w:cs="Arial"/>
              </w:rPr>
            </w:pPr>
            <w:r w:rsidRPr="00FB463B">
              <w:rPr>
                <w:rStyle w:val="ui-provider"/>
                <w:rFonts w:eastAsiaTheme="majorEastAsia"/>
              </w:rPr>
              <w:t>7,</w:t>
            </w:r>
            <w:r w:rsidR="5C2D5D60" w:rsidRPr="00FB463B">
              <w:rPr>
                <w:rStyle w:val="ui-provider"/>
                <w:rFonts w:eastAsiaTheme="majorEastAsia"/>
              </w:rPr>
              <w:t>095 (64</w:t>
            </w:r>
            <w:r w:rsidRPr="00FB463B">
              <w:rPr>
                <w:rStyle w:val="ui-provider"/>
                <w:rFonts w:eastAsiaTheme="majorEastAsia"/>
              </w:rPr>
              <w:t>.4%)</w:t>
            </w:r>
          </w:p>
        </w:tc>
      </w:tr>
      <w:tr w:rsidR="2D91CDB8" w:rsidRPr="00FB463B" w14:paraId="598BBB7D" w14:textId="77777777" w:rsidTr="007871ED">
        <w:trPr>
          <w:cantSplit/>
          <w:trHeight w:val="300"/>
        </w:trPr>
        <w:tc>
          <w:tcPr>
            <w:tcW w:w="4665" w:type="dxa"/>
          </w:tcPr>
          <w:p w14:paraId="2C63A1FA" w14:textId="7BB19762" w:rsidR="4D6032CF" w:rsidRPr="00FB463B" w:rsidRDefault="4D6032CF" w:rsidP="2D91CDB8">
            <w:pPr>
              <w:rPr>
                <w:rFonts w:cs="Arial"/>
              </w:rPr>
            </w:pPr>
            <w:r w:rsidRPr="00FB463B">
              <w:rPr>
                <w:rFonts w:cs="Arial"/>
              </w:rPr>
              <w:t>Option 2:</w:t>
            </w:r>
            <w:r w:rsidRPr="00FB463B">
              <w:br/>
            </w:r>
            <w:r w:rsidR="729F36AF" w:rsidRPr="00FB463B">
              <w:rPr>
                <w:rFonts w:cs="Arial"/>
              </w:rPr>
              <w:t xml:space="preserve">Scale Score Point </w:t>
            </w:r>
            <w:r w:rsidR="00783E1C" w:rsidRPr="00FB463B">
              <w:rPr>
                <w:rFonts w:cs="Arial"/>
              </w:rPr>
              <w:t>Change</w:t>
            </w:r>
          </w:p>
        </w:tc>
        <w:tc>
          <w:tcPr>
            <w:tcW w:w="2550" w:type="dxa"/>
          </w:tcPr>
          <w:p w14:paraId="0D80DFA9" w14:textId="4BF875BA" w:rsidR="2D91CDB8" w:rsidRPr="00FB463B" w:rsidRDefault="2D91CDB8" w:rsidP="2D91CDB8">
            <w:pPr>
              <w:spacing w:line="240" w:lineRule="exact"/>
              <w:jc w:val="center"/>
              <w:rPr>
                <w:rFonts w:eastAsia="Arial" w:cs="Arial"/>
              </w:rPr>
            </w:pPr>
            <w:r w:rsidRPr="00FB463B">
              <w:rPr>
                <w:rFonts w:eastAsia="Arial" w:cs="Arial"/>
              </w:rPr>
              <w:t>3,815 (34.6%)</w:t>
            </w:r>
          </w:p>
        </w:tc>
        <w:tc>
          <w:tcPr>
            <w:tcW w:w="2258" w:type="dxa"/>
          </w:tcPr>
          <w:p w14:paraId="3EB516F3" w14:textId="10D2E2FA" w:rsidR="2D91CDB8" w:rsidRPr="00FB463B" w:rsidRDefault="2D91CDB8" w:rsidP="2D91CDB8">
            <w:pPr>
              <w:spacing w:line="240" w:lineRule="exact"/>
              <w:jc w:val="center"/>
              <w:rPr>
                <w:rFonts w:eastAsia="Arial" w:cs="Arial"/>
              </w:rPr>
            </w:pPr>
            <w:r w:rsidRPr="00FB463B">
              <w:rPr>
                <w:rFonts w:eastAsia="Arial" w:cs="Arial"/>
              </w:rPr>
              <w:t>7,206 (65.4%)</w:t>
            </w:r>
          </w:p>
        </w:tc>
      </w:tr>
      <w:tr w:rsidR="2D91CDB8" w:rsidRPr="00FB463B" w14:paraId="30C7482D" w14:textId="77777777" w:rsidTr="007871ED">
        <w:trPr>
          <w:cantSplit/>
          <w:trHeight w:val="300"/>
        </w:trPr>
        <w:tc>
          <w:tcPr>
            <w:tcW w:w="4665" w:type="dxa"/>
          </w:tcPr>
          <w:p w14:paraId="7D915D6F" w14:textId="2181FAD8" w:rsidR="729F36AF" w:rsidRPr="00FB463B" w:rsidRDefault="729F36AF" w:rsidP="2D91CDB8">
            <w:pPr>
              <w:rPr>
                <w:rFonts w:cs="Arial"/>
              </w:rPr>
            </w:pPr>
            <w:r w:rsidRPr="00FB463B">
              <w:rPr>
                <w:rFonts w:cs="Arial"/>
              </w:rPr>
              <w:t>Option 3:</w:t>
            </w:r>
          </w:p>
          <w:p w14:paraId="472C1A22" w14:textId="101736BE" w:rsidR="729F36AF" w:rsidRPr="00FB463B" w:rsidRDefault="729F36AF" w:rsidP="2D91CDB8">
            <w:pPr>
              <w:rPr>
                <w:rFonts w:cs="Arial"/>
              </w:rPr>
            </w:pPr>
            <w:r w:rsidRPr="00FB463B">
              <w:rPr>
                <w:rFonts w:cs="Arial"/>
              </w:rPr>
              <w:t xml:space="preserve">Combination of Performance Level Increase and Scale Score Point </w:t>
            </w:r>
            <w:r w:rsidR="00261342" w:rsidRPr="00FB463B">
              <w:rPr>
                <w:rFonts w:cs="Arial"/>
              </w:rPr>
              <w:t>Change</w:t>
            </w:r>
          </w:p>
        </w:tc>
        <w:tc>
          <w:tcPr>
            <w:tcW w:w="2550" w:type="dxa"/>
          </w:tcPr>
          <w:p w14:paraId="735D74CD" w14:textId="1189A34B" w:rsidR="2D91CDB8" w:rsidRPr="00FB463B" w:rsidRDefault="2D91CDB8" w:rsidP="2D91CDB8">
            <w:pPr>
              <w:spacing w:line="240" w:lineRule="exact"/>
              <w:jc w:val="center"/>
              <w:rPr>
                <w:rFonts w:eastAsia="Arial" w:cs="Arial"/>
              </w:rPr>
            </w:pPr>
            <w:r w:rsidRPr="00FB463B">
              <w:rPr>
                <w:rFonts w:eastAsia="Arial" w:cs="Arial"/>
              </w:rPr>
              <w:t>4,641 (42.1%)</w:t>
            </w:r>
          </w:p>
        </w:tc>
        <w:tc>
          <w:tcPr>
            <w:tcW w:w="2258" w:type="dxa"/>
          </w:tcPr>
          <w:p w14:paraId="262666C8" w14:textId="130C760B" w:rsidR="2D91CDB8" w:rsidRPr="00FB463B" w:rsidRDefault="2D91CDB8" w:rsidP="2D91CDB8">
            <w:pPr>
              <w:spacing w:line="240" w:lineRule="exact"/>
              <w:jc w:val="center"/>
              <w:rPr>
                <w:rFonts w:eastAsia="Arial" w:cs="Arial"/>
              </w:rPr>
            </w:pPr>
            <w:r w:rsidRPr="00FB463B">
              <w:rPr>
                <w:rFonts w:eastAsia="Arial" w:cs="Arial"/>
              </w:rPr>
              <w:t>6,380 (57.9%)</w:t>
            </w:r>
          </w:p>
        </w:tc>
      </w:tr>
    </w:tbl>
    <w:p w14:paraId="234BEE83" w14:textId="5B7A12EA" w:rsidR="00565450" w:rsidRPr="00FB463B" w:rsidRDefault="00565450" w:rsidP="00240849">
      <w:pPr>
        <w:spacing w:before="240" w:after="240"/>
        <w:rPr>
          <w:rFonts w:cs="Arial"/>
          <w:i/>
          <w:iCs/>
        </w:rPr>
      </w:pPr>
      <w:r w:rsidRPr="00FB463B">
        <w:rPr>
          <w:rFonts w:cs="Arial"/>
          <w:i/>
          <w:iCs/>
        </w:rPr>
        <w:t>Feedback from Educational Partners</w:t>
      </w:r>
    </w:p>
    <w:p w14:paraId="635818EC" w14:textId="397C4FA2" w:rsidR="002B744B" w:rsidRPr="00FB463B" w:rsidRDefault="00036EB2" w:rsidP="5442B7D8">
      <w:pPr>
        <w:spacing w:after="240"/>
        <w:rPr>
          <w:rFonts w:cs="Arial"/>
        </w:rPr>
      </w:pPr>
      <w:r w:rsidRPr="00FB463B">
        <w:rPr>
          <w:rFonts w:cs="Arial"/>
        </w:rPr>
        <w:t>In August 2023, t</w:t>
      </w:r>
      <w:r w:rsidR="002B744B" w:rsidRPr="00FB463B">
        <w:rPr>
          <w:rFonts w:cs="Arial"/>
        </w:rPr>
        <w:t>he CDE presented th</w:t>
      </w:r>
      <w:r w:rsidR="00E13812" w:rsidRPr="00FB463B">
        <w:rPr>
          <w:rFonts w:cs="Arial"/>
        </w:rPr>
        <w:t>ese options, out</w:t>
      </w:r>
      <w:r w:rsidR="009566AA" w:rsidRPr="00FB463B">
        <w:rPr>
          <w:rFonts w:cs="Arial"/>
        </w:rPr>
        <w:t>lines in Table A above,</w:t>
      </w:r>
      <w:r w:rsidR="002B744B" w:rsidRPr="00FB463B">
        <w:rPr>
          <w:rFonts w:cs="Arial"/>
        </w:rPr>
        <w:t xml:space="preserve"> to the ELPI Workgroup, the TDG, and the CPAG</w:t>
      </w:r>
      <w:r w:rsidRPr="00FB463B">
        <w:rPr>
          <w:rFonts w:cs="Arial"/>
        </w:rPr>
        <w:t xml:space="preserve">. The ELPI Workgroup did not come to a </w:t>
      </w:r>
      <w:r w:rsidR="00630221" w:rsidRPr="00FB463B">
        <w:rPr>
          <w:rFonts w:cs="Arial"/>
        </w:rPr>
        <w:t xml:space="preserve">consensus </w:t>
      </w:r>
      <w:r w:rsidR="0078482B" w:rsidRPr="00FB463B">
        <w:rPr>
          <w:rFonts w:cs="Arial"/>
        </w:rPr>
        <w:t xml:space="preserve">on </w:t>
      </w:r>
      <w:r w:rsidR="00106E9B" w:rsidRPr="00FB463B">
        <w:rPr>
          <w:rFonts w:cs="Arial"/>
        </w:rPr>
        <w:t xml:space="preserve">which of the three options to </w:t>
      </w:r>
      <w:r w:rsidR="00AD5B97" w:rsidRPr="00FB463B">
        <w:rPr>
          <w:rFonts w:cs="Arial"/>
        </w:rPr>
        <w:t>recommend</w:t>
      </w:r>
      <w:r w:rsidR="00BA284D" w:rsidRPr="00FB463B">
        <w:rPr>
          <w:rFonts w:cs="Arial"/>
        </w:rPr>
        <w:t xml:space="preserve"> </w:t>
      </w:r>
      <w:r w:rsidR="00753B0F" w:rsidRPr="00FB463B">
        <w:rPr>
          <w:rFonts w:cs="Arial"/>
        </w:rPr>
        <w:t xml:space="preserve">for </w:t>
      </w:r>
      <w:r w:rsidR="00AD5B97" w:rsidRPr="00FB463B">
        <w:rPr>
          <w:rFonts w:cs="Arial"/>
        </w:rPr>
        <w:t>inclusion</w:t>
      </w:r>
      <w:r w:rsidR="00753B0F" w:rsidRPr="00FB463B">
        <w:rPr>
          <w:rFonts w:cs="Arial"/>
        </w:rPr>
        <w:t xml:space="preserve"> in</w:t>
      </w:r>
      <w:r w:rsidR="00496D94" w:rsidRPr="00FB463B">
        <w:rPr>
          <w:rFonts w:cs="Arial"/>
        </w:rPr>
        <w:t>to</w:t>
      </w:r>
      <w:r w:rsidR="00753B0F" w:rsidRPr="00FB463B">
        <w:rPr>
          <w:rFonts w:cs="Arial"/>
        </w:rPr>
        <w:t xml:space="preserve"> the ELPI. </w:t>
      </w:r>
      <w:r w:rsidR="000C3AD3" w:rsidRPr="00FB463B">
        <w:rPr>
          <w:rFonts w:cs="Arial"/>
        </w:rPr>
        <w:t xml:space="preserve">Conversely, the TDG supported </w:t>
      </w:r>
      <w:r w:rsidR="0001686A" w:rsidRPr="00FB463B">
        <w:rPr>
          <w:rFonts w:cs="Arial"/>
        </w:rPr>
        <w:t xml:space="preserve">the </w:t>
      </w:r>
      <w:r w:rsidR="00106E9B" w:rsidRPr="00FB463B">
        <w:rPr>
          <w:rFonts w:cs="Arial"/>
        </w:rPr>
        <w:t>Option 3</w:t>
      </w:r>
      <w:r w:rsidR="00496D94" w:rsidRPr="00FB463B">
        <w:rPr>
          <w:rFonts w:cs="Arial"/>
        </w:rPr>
        <w:t xml:space="preserve"> because</w:t>
      </w:r>
      <w:r w:rsidR="001D4A82" w:rsidRPr="00FB463B">
        <w:rPr>
          <w:rFonts w:cs="Arial"/>
        </w:rPr>
        <w:t xml:space="preserve"> this </w:t>
      </w:r>
      <w:r w:rsidR="000748E1" w:rsidRPr="00FB463B">
        <w:rPr>
          <w:rFonts w:cs="Arial"/>
        </w:rPr>
        <w:t>methodology</w:t>
      </w:r>
      <w:r w:rsidR="001D4A82" w:rsidRPr="00FB463B">
        <w:rPr>
          <w:rFonts w:cs="Arial"/>
        </w:rPr>
        <w:t xml:space="preserve"> allowed two </w:t>
      </w:r>
      <w:r w:rsidR="005B2F4E" w:rsidRPr="00FB463B">
        <w:rPr>
          <w:rFonts w:cs="Arial"/>
        </w:rPr>
        <w:t xml:space="preserve">paths for this EL population to </w:t>
      </w:r>
      <w:r w:rsidR="00486194" w:rsidRPr="00FB463B">
        <w:rPr>
          <w:rFonts w:cs="Arial"/>
        </w:rPr>
        <w:t>demonstrate progress towards English language proficiency.</w:t>
      </w:r>
      <w:r w:rsidR="005B2F4E" w:rsidRPr="00FB463B">
        <w:rPr>
          <w:rFonts w:cs="Arial"/>
        </w:rPr>
        <w:t xml:space="preserve"> </w:t>
      </w:r>
      <w:r w:rsidR="000748E1" w:rsidRPr="00FB463B">
        <w:rPr>
          <w:rFonts w:cs="Arial"/>
        </w:rPr>
        <w:t xml:space="preserve">Lastly, the CPAG did not </w:t>
      </w:r>
      <w:r w:rsidR="00A01C6A" w:rsidRPr="00FB463B">
        <w:rPr>
          <w:rFonts w:cs="Arial"/>
        </w:rPr>
        <w:t>provide feedback</w:t>
      </w:r>
      <w:r w:rsidR="000748E1" w:rsidRPr="00FB463B">
        <w:rPr>
          <w:rFonts w:cs="Arial"/>
        </w:rPr>
        <w:t xml:space="preserve"> on the </w:t>
      </w:r>
      <w:r w:rsidR="009B0CEC" w:rsidRPr="00FB463B">
        <w:rPr>
          <w:rFonts w:cs="Arial"/>
        </w:rPr>
        <w:t xml:space="preserve">three options to include Summative Alternate ELPAC results into </w:t>
      </w:r>
      <w:r w:rsidR="00D31E4C" w:rsidRPr="00FB463B">
        <w:rPr>
          <w:rFonts w:cs="Arial"/>
        </w:rPr>
        <w:t>the ELPI</w:t>
      </w:r>
      <w:r w:rsidR="000748E1" w:rsidRPr="00FB463B">
        <w:rPr>
          <w:rFonts w:cs="Arial"/>
        </w:rPr>
        <w:t>.</w:t>
      </w:r>
    </w:p>
    <w:p w14:paraId="3501B915" w14:textId="30AF3A4F" w:rsidR="000210BA" w:rsidRPr="00FB463B" w:rsidRDefault="00AD3917" w:rsidP="005D0FA9">
      <w:pPr>
        <w:spacing w:after="1200"/>
        <w:rPr>
          <w:rFonts w:cs="Arial"/>
        </w:rPr>
      </w:pPr>
      <w:r w:rsidRPr="00FB463B">
        <w:rPr>
          <w:rFonts w:cs="Arial"/>
        </w:rPr>
        <w:t>T</w:t>
      </w:r>
      <w:r w:rsidR="003D1F0C" w:rsidRPr="00FB463B">
        <w:rPr>
          <w:rFonts w:cs="Arial"/>
        </w:rPr>
        <w:t xml:space="preserve">he </w:t>
      </w:r>
      <w:r w:rsidR="00525162" w:rsidRPr="00FB463B">
        <w:rPr>
          <w:rFonts w:cs="Arial"/>
        </w:rPr>
        <w:t xml:space="preserve">CDE </w:t>
      </w:r>
      <w:r w:rsidRPr="00FB463B">
        <w:rPr>
          <w:rFonts w:cs="Arial"/>
        </w:rPr>
        <w:t>recommends</w:t>
      </w:r>
      <w:r w:rsidR="00525162" w:rsidRPr="00FB463B">
        <w:rPr>
          <w:rFonts w:cs="Arial"/>
        </w:rPr>
        <w:t xml:space="preserve"> the</w:t>
      </w:r>
      <w:r w:rsidR="00C73920" w:rsidRPr="00FB463B">
        <w:rPr>
          <w:rFonts w:cs="Arial"/>
        </w:rPr>
        <w:t xml:space="preserve"> SBE adopt the</w:t>
      </w:r>
      <w:r w:rsidR="00525162" w:rsidRPr="00FB463B">
        <w:rPr>
          <w:rFonts w:cs="Arial"/>
        </w:rPr>
        <w:t xml:space="preserve"> f</w:t>
      </w:r>
      <w:r w:rsidR="001C1A39" w:rsidRPr="00FB463B">
        <w:rPr>
          <w:rFonts w:cs="Arial"/>
        </w:rPr>
        <w:t xml:space="preserve">ollowing formula </w:t>
      </w:r>
      <w:r w:rsidR="00C12CB1" w:rsidRPr="00FB463B">
        <w:rPr>
          <w:rFonts w:cs="Arial"/>
        </w:rPr>
        <w:t xml:space="preserve">for </w:t>
      </w:r>
      <w:r w:rsidR="7040EED5" w:rsidRPr="00FB463B">
        <w:rPr>
          <w:rFonts w:cs="Arial"/>
        </w:rPr>
        <w:t xml:space="preserve">the ELPI to </w:t>
      </w:r>
      <w:r w:rsidR="00C12CB1" w:rsidRPr="00FB463B">
        <w:rPr>
          <w:rFonts w:cs="Arial"/>
        </w:rPr>
        <w:t>inc</w:t>
      </w:r>
      <w:r w:rsidRPr="00FB463B">
        <w:rPr>
          <w:rFonts w:cs="Arial"/>
        </w:rPr>
        <w:t>orporate</w:t>
      </w:r>
      <w:r w:rsidR="00C12CB1" w:rsidRPr="00FB463B">
        <w:rPr>
          <w:rFonts w:cs="Arial"/>
        </w:rPr>
        <w:t xml:space="preserve"> the </w:t>
      </w:r>
      <w:r w:rsidR="003020DA" w:rsidRPr="00FB463B">
        <w:rPr>
          <w:rFonts w:cs="Arial"/>
        </w:rPr>
        <w:t xml:space="preserve">Summative </w:t>
      </w:r>
      <w:r w:rsidR="00C12CB1" w:rsidRPr="00FB463B">
        <w:rPr>
          <w:rFonts w:cs="Arial"/>
        </w:rPr>
        <w:t>Alternate ELPAC results into the ELPI:</w:t>
      </w:r>
    </w:p>
    <w:p w14:paraId="3E24D31B" w14:textId="6774FBDD" w:rsidR="42329F83" w:rsidRPr="00FB463B" w:rsidRDefault="42329F83" w:rsidP="5442B7D8">
      <w:pPr>
        <w:spacing w:after="120"/>
        <w:ind w:left="1350"/>
        <w:jc w:val="center"/>
        <w:rPr>
          <w:rFonts w:eastAsia="Arial" w:cs="Arial"/>
          <w:color w:val="000000" w:themeColor="text1"/>
        </w:rPr>
      </w:pPr>
      <w:r w:rsidRPr="00FB463B">
        <w:rPr>
          <w:rFonts w:eastAsia="Arial" w:cs="Arial"/>
          <w:color w:val="000000" w:themeColor="text1"/>
        </w:rPr>
        <w:lastRenderedPageBreak/>
        <w:t>Annual ELPAC Test Takers Who Increased at least 1 ELPI Level</w:t>
      </w:r>
    </w:p>
    <w:p w14:paraId="1DF2603E" w14:textId="1F14B0EB" w:rsidR="42329F83" w:rsidRPr="00FB463B" w:rsidRDefault="42329F83" w:rsidP="5442B7D8">
      <w:pPr>
        <w:spacing w:after="120"/>
        <w:ind w:left="1350"/>
        <w:jc w:val="center"/>
        <w:rPr>
          <w:rFonts w:eastAsia="Arial" w:cs="Arial"/>
          <w:color w:val="000000" w:themeColor="text1"/>
        </w:rPr>
      </w:pPr>
      <w:r w:rsidRPr="00FB463B">
        <w:rPr>
          <w:rFonts w:eastAsia="Arial" w:cs="Arial"/>
          <w:i/>
          <w:iCs/>
          <w:color w:val="000000" w:themeColor="text1"/>
        </w:rPr>
        <w:t>plus</w:t>
      </w:r>
    </w:p>
    <w:p w14:paraId="46801468" w14:textId="2A82D12D" w:rsidR="42329F83" w:rsidRPr="00FB463B" w:rsidRDefault="42329F83" w:rsidP="5442B7D8">
      <w:pPr>
        <w:spacing w:after="120"/>
        <w:ind w:left="1350"/>
        <w:jc w:val="center"/>
        <w:rPr>
          <w:rFonts w:eastAsia="Arial" w:cs="Arial"/>
          <w:color w:val="000000" w:themeColor="text1"/>
        </w:rPr>
      </w:pPr>
      <w:r w:rsidRPr="00FB463B">
        <w:rPr>
          <w:rFonts w:eastAsia="Arial" w:cs="Arial"/>
          <w:color w:val="000000" w:themeColor="text1"/>
        </w:rPr>
        <w:t>Annual ELPAC Test Takers Who Maintained Level 4 on the ELPAC</w:t>
      </w:r>
    </w:p>
    <w:p w14:paraId="4D1BE117" w14:textId="674BE9CC" w:rsidR="42329F83" w:rsidRPr="00FB463B" w:rsidRDefault="42329F83" w:rsidP="5442B7D8">
      <w:pPr>
        <w:spacing w:after="120"/>
        <w:ind w:left="1350"/>
        <w:jc w:val="center"/>
        <w:rPr>
          <w:rFonts w:eastAsia="Arial" w:cs="Arial"/>
          <w:b/>
          <w:bCs/>
          <w:color w:val="000000" w:themeColor="text1"/>
        </w:rPr>
      </w:pPr>
      <w:r w:rsidRPr="00FB463B">
        <w:rPr>
          <w:rFonts w:eastAsia="Arial" w:cs="Arial"/>
          <w:b/>
          <w:bCs/>
          <w:i/>
          <w:iCs/>
          <w:color w:val="000000" w:themeColor="text1"/>
        </w:rPr>
        <w:t>plus</w:t>
      </w:r>
    </w:p>
    <w:p w14:paraId="434BF01A" w14:textId="2AEAC518" w:rsidR="42329F83" w:rsidRPr="00FB463B" w:rsidRDefault="42329F83" w:rsidP="5442B7D8">
      <w:pPr>
        <w:spacing w:after="120"/>
        <w:ind w:left="1350"/>
        <w:jc w:val="center"/>
        <w:rPr>
          <w:rFonts w:eastAsia="Arial" w:cs="Arial"/>
          <w:b/>
          <w:bCs/>
          <w:strike/>
          <w:color w:val="000000" w:themeColor="text1"/>
        </w:rPr>
      </w:pPr>
      <w:r w:rsidRPr="00FB463B">
        <w:rPr>
          <w:rFonts w:eastAsia="Arial" w:cs="Arial"/>
          <w:b/>
          <w:bCs/>
          <w:color w:val="000000" w:themeColor="text1"/>
        </w:rPr>
        <w:t>Annual Summative Alternate ELPAC Test Takers Who Had a Scale Score Change of Ten or More Points or Who Increase at least 1 Summative Alternate ELPAC Performance Level or Who Maintained Level 3 on the Summative Alternate ELPAC</w:t>
      </w:r>
    </w:p>
    <w:p w14:paraId="2D3FC4B1" w14:textId="484DDFF6" w:rsidR="42329F83" w:rsidRPr="00FB463B" w:rsidRDefault="42329F83" w:rsidP="5442B7D8">
      <w:pPr>
        <w:spacing w:after="120"/>
        <w:ind w:left="1350"/>
        <w:jc w:val="center"/>
        <w:rPr>
          <w:rFonts w:eastAsia="Arial" w:cs="Arial"/>
          <w:color w:val="000000" w:themeColor="text1"/>
        </w:rPr>
      </w:pPr>
      <w:r w:rsidRPr="00FB463B">
        <w:rPr>
          <w:rFonts w:eastAsia="Arial" w:cs="Arial"/>
          <w:color w:val="000000" w:themeColor="text1"/>
        </w:rPr>
        <w:t>divided by</w:t>
      </w:r>
    </w:p>
    <w:p w14:paraId="1D186D64" w14:textId="4BB44F49" w:rsidR="0F8905F4" w:rsidRPr="00FB463B" w:rsidRDefault="0F8905F4" w:rsidP="5442B7D8">
      <w:pPr>
        <w:spacing w:after="120"/>
        <w:ind w:left="1350"/>
        <w:jc w:val="center"/>
        <w:rPr>
          <w:rFonts w:eastAsia="Arial" w:cs="Arial"/>
        </w:rPr>
      </w:pPr>
      <w:r w:rsidRPr="00FB463B">
        <w:rPr>
          <w:rFonts w:eastAsia="Arial" w:cs="Arial"/>
          <w:color w:val="000000" w:themeColor="text1"/>
        </w:rPr>
        <w:t>The Number of Annual ELPAC Test Takers</w:t>
      </w:r>
      <w:r w:rsidRPr="00FB463B">
        <w:rPr>
          <w:rFonts w:eastAsia="Arial" w:cs="Arial"/>
          <w:b/>
          <w:bCs/>
          <w:color w:val="000000" w:themeColor="text1"/>
        </w:rPr>
        <w:t xml:space="preserve"> and Summative Alternate ELPAC</w:t>
      </w:r>
      <w:r w:rsidRPr="00FB463B">
        <w:rPr>
          <w:rFonts w:eastAsia="Arial" w:cs="Arial"/>
          <w:color w:val="000000" w:themeColor="text1"/>
        </w:rPr>
        <w:t xml:space="preserve"> Test Takers with Scores in both the Current and Prior</w:t>
      </w:r>
      <w:r w:rsidRPr="00FB463B">
        <w:rPr>
          <w:rFonts w:eastAsia="Arial" w:cs="Arial"/>
          <w:color w:val="498205"/>
          <w:u w:val="single"/>
        </w:rPr>
        <w:t xml:space="preserve"> </w:t>
      </w:r>
      <w:r w:rsidRPr="00FB463B">
        <w:rPr>
          <w:rFonts w:eastAsia="Arial" w:cs="Arial"/>
          <w:color w:val="000000" w:themeColor="text1"/>
        </w:rPr>
        <w:t>Year</w:t>
      </w:r>
    </w:p>
    <w:p w14:paraId="5BCC77E4" w14:textId="1FF94706" w:rsidR="2038EA36" w:rsidRPr="00FB463B" w:rsidRDefault="1B42D7AA" w:rsidP="00313B3A">
      <w:pPr>
        <w:pStyle w:val="Heading3"/>
      </w:pPr>
      <w:r w:rsidRPr="00FB463B">
        <w:t>Graduation Rate Indicator</w:t>
      </w:r>
    </w:p>
    <w:p w14:paraId="4BD38B31" w14:textId="5B3D2767" w:rsidR="00351507" w:rsidRPr="00FB463B" w:rsidRDefault="00DD07B8" w:rsidP="51F33447">
      <w:pPr>
        <w:rPr>
          <w:rFonts w:eastAsia="Arial" w:cs="Arial"/>
          <w:color w:val="000000" w:themeColor="text1"/>
        </w:rPr>
      </w:pPr>
      <w:r w:rsidRPr="00FB463B">
        <w:rPr>
          <w:rFonts w:cs="Arial"/>
        </w:rPr>
        <w:t xml:space="preserve">Beginning with the 2022 Dashboard, all schools receive the combined four-and five-year </w:t>
      </w:r>
      <w:r w:rsidR="756BD1AD" w:rsidRPr="00FB463B">
        <w:rPr>
          <w:rFonts w:cs="Arial"/>
        </w:rPr>
        <w:t xml:space="preserve">graduation </w:t>
      </w:r>
      <w:r w:rsidRPr="00FB463B">
        <w:rPr>
          <w:rFonts w:cs="Arial"/>
        </w:rPr>
        <w:t xml:space="preserve">rate for the Graduation Rate Indicator. </w:t>
      </w:r>
      <w:r w:rsidR="00092121" w:rsidRPr="00FB463B">
        <w:t xml:space="preserve">As </w:t>
      </w:r>
      <w:r w:rsidR="0075483E" w:rsidRPr="00FB463B">
        <w:t xml:space="preserve">noted in </w:t>
      </w:r>
      <w:r w:rsidR="00092121" w:rsidRPr="00FB463B">
        <w:t>the</w:t>
      </w:r>
      <w:r w:rsidR="00B24D5B" w:rsidRPr="00FB463B">
        <w:t xml:space="preserve"> March 2023 SBE Item and the</w:t>
      </w:r>
      <w:r w:rsidR="00092121" w:rsidRPr="00FB463B">
        <w:t xml:space="preserve"> June 2023 SBE Information Memorandum</w:t>
      </w:r>
      <w:r w:rsidR="0075483E" w:rsidRPr="00FB463B">
        <w:t xml:space="preserve">, the CDE </w:t>
      </w:r>
      <w:r w:rsidR="00A273BF" w:rsidRPr="00FB463B">
        <w:t>ran data simulations on</w:t>
      </w:r>
      <w:r w:rsidR="00B274A9" w:rsidRPr="00FB463B">
        <w:rPr>
          <w:rFonts w:cs="Arial"/>
        </w:rPr>
        <w:t xml:space="preserve"> a multi-year extended graduation rate that could be used to </w:t>
      </w:r>
      <w:r w:rsidR="00B274A9" w:rsidRPr="00FB463B">
        <w:rPr>
          <w:rFonts w:eastAsia="Arial" w:cs="Arial"/>
          <w:color w:val="000000" w:themeColor="text1"/>
        </w:rPr>
        <w:t>extend the current combined four- and five-year graduation rate</w:t>
      </w:r>
      <w:r w:rsidR="006A6465" w:rsidRPr="00FB463B">
        <w:rPr>
          <w:rFonts w:eastAsia="Arial" w:cs="Arial"/>
          <w:color w:val="000000" w:themeColor="text1"/>
        </w:rPr>
        <w:t>. This work was conducted</w:t>
      </w:r>
      <w:r w:rsidR="00316F7C" w:rsidRPr="00FB463B">
        <w:rPr>
          <w:rFonts w:eastAsia="Arial" w:cs="Arial"/>
          <w:color w:val="000000" w:themeColor="text1"/>
        </w:rPr>
        <w:t xml:space="preserve"> after </w:t>
      </w:r>
      <w:r w:rsidR="002814FA" w:rsidRPr="00FB463B">
        <w:rPr>
          <w:rFonts w:eastAsia="Arial" w:cs="Arial"/>
          <w:color w:val="000000" w:themeColor="text1"/>
        </w:rPr>
        <w:t xml:space="preserve">ED </w:t>
      </w:r>
      <w:r w:rsidR="00316F7C" w:rsidRPr="00FB463B">
        <w:rPr>
          <w:rFonts w:eastAsia="Arial" w:cs="Arial"/>
          <w:color w:val="000000" w:themeColor="text1"/>
        </w:rPr>
        <w:t>required the removal of</w:t>
      </w:r>
      <w:r w:rsidR="00283BE6" w:rsidRPr="00FB463B">
        <w:rPr>
          <w:rFonts w:eastAsia="Arial" w:cs="Arial"/>
          <w:color w:val="000000" w:themeColor="text1"/>
        </w:rPr>
        <w:t xml:space="preserve"> the one-year </w:t>
      </w:r>
      <w:r w:rsidR="00AC1F2B" w:rsidRPr="00FB463B">
        <w:rPr>
          <w:rFonts w:eastAsia="Arial" w:cs="Arial"/>
          <w:color w:val="000000" w:themeColor="text1"/>
        </w:rPr>
        <w:t>Dashboard Alternative Status School (DASS)</w:t>
      </w:r>
      <w:r w:rsidR="00283BE6" w:rsidRPr="00FB463B">
        <w:rPr>
          <w:rFonts w:eastAsia="Arial" w:cs="Arial"/>
          <w:color w:val="000000" w:themeColor="text1"/>
        </w:rPr>
        <w:t xml:space="preserve"> rate from the Graduation Rate Indicator</w:t>
      </w:r>
      <w:r w:rsidR="00C65661" w:rsidRPr="00FB463B">
        <w:rPr>
          <w:rFonts w:eastAsia="Arial" w:cs="Arial"/>
          <w:color w:val="000000" w:themeColor="text1"/>
        </w:rPr>
        <w:t xml:space="preserve"> </w:t>
      </w:r>
      <w:r w:rsidR="00283BE6" w:rsidRPr="00FB463B">
        <w:rPr>
          <w:rFonts w:eastAsia="Arial" w:cs="Arial"/>
          <w:color w:val="000000" w:themeColor="text1"/>
        </w:rPr>
        <w:t xml:space="preserve">for </w:t>
      </w:r>
      <w:r w:rsidR="00AC1F2B" w:rsidRPr="00FB463B">
        <w:rPr>
          <w:rFonts w:eastAsia="Arial" w:cs="Arial"/>
          <w:color w:val="000000" w:themeColor="text1"/>
        </w:rPr>
        <w:t>DASS schools</w:t>
      </w:r>
      <w:r w:rsidR="00351507" w:rsidRPr="00FB463B">
        <w:rPr>
          <w:rFonts w:eastAsia="Arial" w:cs="Arial"/>
          <w:color w:val="000000" w:themeColor="text1"/>
        </w:rPr>
        <w:t xml:space="preserve"> </w:t>
      </w:r>
      <w:r w:rsidR="001F1994" w:rsidRPr="00FB463B">
        <w:rPr>
          <w:rFonts w:eastAsia="Arial" w:cs="Arial"/>
          <w:color w:val="000000" w:themeColor="text1"/>
        </w:rPr>
        <w:t>which resulted</w:t>
      </w:r>
      <w:r w:rsidR="000B5621" w:rsidRPr="00FB463B">
        <w:rPr>
          <w:rFonts w:eastAsia="Arial" w:cs="Arial"/>
          <w:color w:val="000000" w:themeColor="text1"/>
        </w:rPr>
        <w:t xml:space="preserve"> in </w:t>
      </w:r>
      <w:r w:rsidR="00C82DD2" w:rsidRPr="00FB463B">
        <w:rPr>
          <w:rFonts w:eastAsia="Arial" w:cs="Arial"/>
          <w:color w:val="000000" w:themeColor="text1"/>
        </w:rPr>
        <w:t>an overidentification</w:t>
      </w:r>
      <w:r w:rsidR="000B5621" w:rsidRPr="00FB463B">
        <w:rPr>
          <w:rFonts w:eastAsia="Arial" w:cs="Arial"/>
          <w:color w:val="000000" w:themeColor="text1"/>
        </w:rPr>
        <w:t xml:space="preserve"> of DASS schools eligible for </w:t>
      </w:r>
      <w:r w:rsidR="001F1994" w:rsidRPr="00FB463B">
        <w:rPr>
          <w:rFonts w:eastAsia="Arial" w:cs="Arial"/>
          <w:color w:val="000000" w:themeColor="text1"/>
        </w:rPr>
        <w:t xml:space="preserve">Comprehensive </w:t>
      </w:r>
      <w:r w:rsidR="00785FEF" w:rsidRPr="00FB463B">
        <w:rPr>
          <w:rFonts w:eastAsia="Arial" w:cs="Arial"/>
          <w:color w:val="000000" w:themeColor="text1"/>
        </w:rPr>
        <w:t>Support and</w:t>
      </w:r>
      <w:r w:rsidR="001F1994" w:rsidRPr="00FB463B">
        <w:rPr>
          <w:rFonts w:eastAsia="Arial" w:cs="Arial"/>
          <w:color w:val="000000" w:themeColor="text1"/>
        </w:rPr>
        <w:t xml:space="preserve"> Improvement </w:t>
      </w:r>
      <w:r w:rsidR="00785FEF" w:rsidRPr="00FB463B">
        <w:rPr>
          <w:rFonts w:eastAsia="Arial" w:cs="Arial"/>
          <w:color w:val="000000" w:themeColor="text1"/>
        </w:rPr>
        <w:t xml:space="preserve">(CSI) – Low </w:t>
      </w:r>
      <w:r w:rsidR="001B7247" w:rsidRPr="00FB463B">
        <w:rPr>
          <w:rFonts w:eastAsia="Arial" w:cs="Arial"/>
          <w:color w:val="000000" w:themeColor="text1"/>
        </w:rPr>
        <w:t>Graduation.</w:t>
      </w:r>
    </w:p>
    <w:p w14:paraId="630ED474" w14:textId="5B91C721" w:rsidR="2038EA36" w:rsidRPr="00FB463B" w:rsidRDefault="1B42D7AA" w:rsidP="0C50CAC2">
      <w:pPr>
        <w:pStyle w:val="Heading3"/>
      </w:pPr>
      <w:r w:rsidRPr="00FB463B">
        <w:t>Dashboard Principles</w:t>
      </w:r>
    </w:p>
    <w:p w14:paraId="33113D17" w14:textId="77777777" w:rsidR="007C74EC" w:rsidRPr="00FB463B" w:rsidRDefault="007C74EC" w:rsidP="007C74EC">
      <w:pPr>
        <w:spacing w:after="240"/>
      </w:pPr>
      <w:r w:rsidRPr="00FB463B">
        <w:t>The work on this state indicator aligns with the following Dashboard Principles:</w:t>
      </w:r>
    </w:p>
    <w:p w14:paraId="312826B5" w14:textId="3729ACC7" w:rsidR="2038EA36" w:rsidRPr="00FB463B" w:rsidRDefault="1B42D7AA" w:rsidP="00633D1F">
      <w:pPr>
        <w:pStyle w:val="Default"/>
        <w:numPr>
          <w:ilvl w:val="0"/>
          <w:numId w:val="5"/>
        </w:numPr>
        <w:spacing w:after="240"/>
      </w:pPr>
      <w:r w:rsidRPr="00FB463B">
        <w:t>Principle 2: Reports opportunity and performance gaps among student groups through the Equity Report that is available for each state indicator.</w:t>
      </w:r>
    </w:p>
    <w:p w14:paraId="0F724CEC" w14:textId="0CA47619" w:rsidR="2038EA36" w:rsidRPr="00FB463B" w:rsidRDefault="1B42D7AA" w:rsidP="00633D1F">
      <w:pPr>
        <w:pStyle w:val="Default"/>
        <w:numPr>
          <w:ilvl w:val="0"/>
          <w:numId w:val="5"/>
        </w:numPr>
        <w:spacing w:after="240"/>
      </w:pPr>
      <w:r w:rsidRPr="00FB463B">
        <w:t>Principle 3: Reports each indicator separately.</w:t>
      </w:r>
    </w:p>
    <w:p w14:paraId="5AB4222E" w14:textId="53D339E6" w:rsidR="2038EA36" w:rsidRPr="00FB463B" w:rsidRDefault="1B42D7AA" w:rsidP="00633D1F">
      <w:pPr>
        <w:pStyle w:val="Default"/>
        <w:numPr>
          <w:ilvl w:val="0"/>
          <w:numId w:val="5"/>
        </w:numPr>
        <w:spacing w:after="240"/>
      </w:pPr>
      <w:r w:rsidRPr="00FB463B">
        <w:t>Principle 4: Values each indicator equally.</w:t>
      </w:r>
    </w:p>
    <w:p w14:paraId="3D948574" w14:textId="4082822E" w:rsidR="2038EA36" w:rsidRPr="00FB463B" w:rsidRDefault="1B42D7AA" w:rsidP="00313B3A">
      <w:pPr>
        <w:pStyle w:val="Heading4"/>
        <w:rPr>
          <w:i w:val="0"/>
          <w:iCs w:val="0"/>
        </w:rPr>
      </w:pPr>
      <w:r w:rsidRPr="00FB463B">
        <w:rPr>
          <w:i w:val="0"/>
          <w:iCs w:val="0"/>
        </w:rPr>
        <w:t>2023 Workplan for the Graduation Rate Indicator</w:t>
      </w:r>
    </w:p>
    <w:p w14:paraId="0EE8DB91" w14:textId="2080966E" w:rsidR="00982AA0" w:rsidRPr="00FB463B" w:rsidRDefault="00207E28" w:rsidP="00764BE0">
      <w:pPr>
        <w:spacing w:after="240"/>
        <w:rPr>
          <w:rFonts w:eastAsia="Arial" w:cs="Arial"/>
          <w:color w:val="000000" w:themeColor="text1"/>
        </w:rPr>
      </w:pPr>
      <w:r w:rsidRPr="00FB463B">
        <w:rPr>
          <w:rFonts w:eastAsia="Arial" w:cs="Arial"/>
          <w:color w:val="000000" w:themeColor="text1"/>
        </w:rPr>
        <w:t>In July 2022, California received a letter from the ED</w:t>
      </w:r>
      <w:r w:rsidR="00523D2B" w:rsidRPr="00FB463B">
        <w:rPr>
          <w:rFonts w:cs="Arial"/>
        </w:rPr>
        <w:t xml:space="preserve"> </w:t>
      </w:r>
      <w:r w:rsidR="00766BD6" w:rsidRPr="00FB463B">
        <w:rPr>
          <w:rFonts w:eastAsia="Arial" w:cs="Arial"/>
          <w:color w:val="000000" w:themeColor="text1"/>
        </w:rPr>
        <w:t>denying</w:t>
      </w:r>
      <w:r w:rsidR="00982AA0" w:rsidRPr="00FB463B">
        <w:rPr>
          <w:rFonts w:eastAsia="Arial" w:cs="Arial"/>
          <w:color w:val="000000" w:themeColor="text1"/>
        </w:rPr>
        <w:t xml:space="preserve"> the state's waiver request to continue the use of modified methods for DASS schools</w:t>
      </w:r>
      <w:r w:rsidR="00E30927" w:rsidRPr="00FB463B">
        <w:rPr>
          <w:rFonts w:eastAsia="Arial" w:cs="Arial"/>
          <w:color w:val="000000" w:themeColor="text1"/>
        </w:rPr>
        <w:t xml:space="preserve"> thus removing the use of the DASS one-year graduation rate</w:t>
      </w:r>
      <w:r w:rsidR="00982AA0" w:rsidRPr="00FB463B">
        <w:rPr>
          <w:rFonts w:eastAsia="Arial" w:cs="Arial"/>
          <w:color w:val="000000" w:themeColor="text1"/>
        </w:rPr>
        <w:t xml:space="preserve">. The letter from </w:t>
      </w:r>
      <w:r w:rsidR="00E03D63" w:rsidRPr="00FB463B">
        <w:rPr>
          <w:rFonts w:eastAsia="Arial" w:cs="Arial"/>
          <w:color w:val="000000" w:themeColor="text1"/>
        </w:rPr>
        <w:t xml:space="preserve">the </w:t>
      </w:r>
      <w:r w:rsidR="00982AA0" w:rsidRPr="00FB463B">
        <w:rPr>
          <w:rFonts w:eastAsia="Arial" w:cs="Arial"/>
          <w:color w:val="000000" w:themeColor="text1"/>
        </w:rPr>
        <w:t xml:space="preserve">ED described options that could be considered in lieu of using </w:t>
      </w:r>
      <w:r w:rsidR="00E64BFA" w:rsidRPr="00FB463B">
        <w:rPr>
          <w:rFonts w:eastAsia="Arial" w:cs="Arial"/>
          <w:color w:val="000000" w:themeColor="text1"/>
        </w:rPr>
        <w:t>the one-year graduation rate</w:t>
      </w:r>
      <w:r w:rsidR="00982AA0" w:rsidRPr="00FB463B">
        <w:rPr>
          <w:rFonts w:eastAsia="Arial" w:cs="Arial"/>
          <w:color w:val="000000" w:themeColor="text1"/>
        </w:rPr>
        <w:t xml:space="preserve">, such as a multi-year adjusted cohort graduation rate which would give credit to schools when students receive a </w:t>
      </w:r>
      <w:r w:rsidR="00982AA0" w:rsidRPr="00FB463B">
        <w:rPr>
          <w:rFonts w:eastAsia="Arial" w:cs="Arial"/>
          <w:color w:val="000000" w:themeColor="text1"/>
        </w:rPr>
        <w:lastRenderedPageBreak/>
        <w:t xml:space="preserve">regular high school diploma within six years or more. The letter further explained that this multi-year adjusted cohort graduation rate can be universally applied across all high schools and be used to identify any high school for </w:t>
      </w:r>
      <w:r w:rsidR="00E84083" w:rsidRPr="00FB463B">
        <w:rPr>
          <w:rFonts w:eastAsia="Arial" w:cs="Arial"/>
          <w:color w:val="000000" w:themeColor="text1"/>
        </w:rPr>
        <w:t>CSI</w:t>
      </w:r>
      <w:r w:rsidR="00982AA0" w:rsidRPr="00FB463B">
        <w:rPr>
          <w:rFonts w:eastAsia="Arial" w:cs="Arial"/>
          <w:color w:val="000000" w:themeColor="text1"/>
        </w:rPr>
        <w:t>.</w:t>
      </w:r>
    </w:p>
    <w:p w14:paraId="1F36512B" w14:textId="072ABFFE" w:rsidR="00C41DFD" w:rsidRPr="00FB463B" w:rsidRDefault="00995AE8" w:rsidP="00764BE0">
      <w:pPr>
        <w:spacing w:after="240"/>
      </w:pPr>
      <w:r w:rsidRPr="00FB463B">
        <w:t xml:space="preserve">Provided with </w:t>
      </w:r>
      <w:r w:rsidR="00E47512" w:rsidRPr="00FB463B">
        <w:t>th</w:t>
      </w:r>
      <w:r w:rsidR="00C63B54" w:rsidRPr="00FB463B">
        <w:t xml:space="preserve">e option </w:t>
      </w:r>
      <w:r w:rsidR="006D6621" w:rsidRPr="00FB463B">
        <w:t xml:space="preserve">of </w:t>
      </w:r>
      <w:r w:rsidR="005F511D" w:rsidRPr="00FB463B">
        <w:t>using a</w:t>
      </w:r>
      <w:r w:rsidR="00617CE3" w:rsidRPr="00FB463B">
        <w:t xml:space="preserve"> multi-year adjusted cohort graduation rate</w:t>
      </w:r>
      <w:r w:rsidRPr="00FB463B">
        <w:t>, the CDE ran simulations that</w:t>
      </w:r>
      <w:r w:rsidR="00C41DFD" w:rsidRPr="00FB463B">
        <w:t xml:space="preserve"> were designed to respond to </w:t>
      </w:r>
      <w:r w:rsidRPr="00FB463B">
        <w:t xml:space="preserve">two </w:t>
      </w:r>
      <w:r w:rsidR="00C41DFD" w:rsidRPr="00FB463B">
        <w:t xml:space="preserve">specific questions, which are noted below along with the </w:t>
      </w:r>
      <w:r w:rsidRPr="00FB463B">
        <w:t xml:space="preserve">simulation </w:t>
      </w:r>
      <w:r w:rsidR="00C41DFD" w:rsidRPr="00FB463B">
        <w:t>results:</w:t>
      </w:r>
    </w:p>
    <w:p w14:paraId="5728AA63" w14:textId="77777777" w:rsidR="00C41DFD" w:rsidRPr="00FB463B" w:rsidRDefault="00C41DFD" w:rsidP="00C237F4">
      <w:pPr>
        <w:pStyle w:val="Body"/>
        <w:numPr>
          <w:ilvl w:val="0"/>
          <w:numId w:val="16"/>
        </w:numPr>
        <w:spacing w:after="240"/>
        <w:rPr>
          <w:rFonts w:eastAsia="Arial" w:cs="Arial"/>
          <w:i/>
          <w:iCs/>
          <w:color w:val="auto"/>
        </w:rPr>
      </w:pPr>
      <w:r w:rsidRPr="00FB463B">
        <w:rPr>
          <w:rFonts w:eastAsia="Arial" w:cs="Arial"/>
          <w:i/>
          <w:iCs/>
          <w:color w:val="auto"/>
        </w:rPr>
        <w:t>What improvement does an extended-year rate make to the Graduation Rate for DASS and non-DASS schools?</w:t>
      </w:r>
    </w:p>
    <w:p w14:paraId="4E1D6A9D" w14:textId="24A29627" w:rsidR="00C41DFD" w:rsidRPr="00FB463B" w:rsidRDefault="003E5BB2" w:rsidP="00C41DFD">
      <w:pPr>
        <w:pStyle w:val="Body"/>
        <w:spacing w:after="240"/>
        <w:ind w:left="720"/>
        <w:rPr>
          <w:rFonts w:eastAsia="Arial" w:cs="Arial"/>
          <w:color w:val="auto"/>
        </w:rPr>
      </w:pPr>
      <w:r w:rsidRPr="00FB463B">
        <w:rPr>
          <w:rFonts w:eastAsia="Arial" w:cs="Arial"/>
          <w:color w:val="auto"/>
        </w:rPr>
        <w:t>For DASS</w:t>
      </w:r>
      <w:r w:rsidRPr="00FB463B">
        <w:rPr>
          <w:rFonts w:eastAsia="Arial" w:cs="Arial"/>
          <w:i/>
          <w:iCs/>
          <w:color w:val="auto"/>
        </w:rPr>
        <w:t xml:space="preserve"> </w:t>
      </w:r>
      <w:r w:rsidRPr="00FB463B">
        <w:rPr>
          <w:rFonts w:eastAsia="Arial" w:cs="Arial"/>
          <w:color w:val="auto"/>
        </w:rPr>
        <w:t>high schools, t</w:t>
      </w:r>
      <w:r w:rsidR="00C41DFD" w:rsidRPr="00FB463B">
        <w:rPr>
          <w:rFonts w:eastAsia="Arial" w:cs="Arial"/>
          <w:color w:val="auto"/>
        </w:rPr>
        <w:t>he application of an extended-year graduation rate improved graduation rates in 285 (35 percent) out of 808 DASS high schools and had no effect on 523 (65 percent) schools.</w:t>
      </w:r>
    </w:p>
    <w:p w14:paraId="543689A4" w14:textId="24A29627" w:rsidR="003E5BB2" w:rsidRPr="00FB463B" w:rsidRDefault="004E4FDF" w:rsidP="00C41DFD">
      <w:pPr>
        <w:pStyle w:val="Body"/>
        <w:spacing w:after="240"/>
        <w:ind w:left="720"/>
        <w:rPr>
          <w:rFonts w:eastAsia="Arial" w:cs="Arial"/>
          <w:color w:val="auto"/>
        </w:rPr>
      </w:pPr>
      <w:r w:rsidRPr="00FB463B">
        <w:rPr>
          <w:rFonts w:eastAsia="Arial" w:cs="Arial"/>
        </w:rPr>
        <w:t xml:space="preserve">For </w:t>
      </w:r>
      <w:r w:rsidRPr="00FB463B">
        <w:rPr>
          <w:rFonts w:eastAsia="Arial" w:cs="Arial"/>
          <w:i/>
          <w:iCs/>
        </w:rPr>
        <w:t xml:space="preserve">non-DASS high schools, </w:t>
      </w:r>
      <w:r w:rsidR="003E5BB2" w:rsidRPr="00FB463B">
        <w:rPr>
          <w:rFonts w:eastAsia="Arial" w:cs="Arial"/>
        </w:rPr>
        <w:t>the application of an extended-year graduation rate improved graduation rates in 125 (7 percent) out of 1,729 non-DASS high schools and had no effect on 1,604 (93 percent) schools.</w:t>
      </w:r>
    </w:p>
    <w:p w14:paraId="598FE0ED" w14:textId="3619D042" w:rsidR="00C41DFD" w:rsidRPr="00FB463B" w:rsidRDefault="00C41DFD" w:rsidP="00C237F4">
      <w:pPr>
        <w:pStyle w:val="Body"/>
        <w:numPr>
          <w:ilvl w:val="0"/>
          <w:numId w:val="16"/>
        </w:numPr>
        <w:spacing w:after="240"/>
        <w:rPr>
          <w:rFonts w:eastAsia="Arial" w:cs="Arial"/>
          <w:i/>
          <w:iCs/>
          <w:color w:val="auto"/>
        </w:rPr>
      </w:pPr>
      <w:r w:rsidRPr="00FB463B">
        <w:rPr>
          <w:rFonts w:eastAsia="Arial" w:cs="Arial"/>
          <w:i/>
          <w:iCs/>
          <w:color w:val="auto"/>
        </w:rPr>
        <w:t>For schools with a 2022 Four and Five-Year Combined Graduation Rate of less than 68 percent, does adding six- and seven-year graduates raise their rate above 68 percent? (i.e.</w:t>
      </w:r>
      <w:r w:rsidR="009F0F6A" w:rsidRPr="00FB463B">
        <w:rPr>
          <w:rFonts w:eastAsia="Arial" w:cs="Arial"/>
          <w:i/>
          <w:iCs/>
          <w:color w:val="auto"/>
        </w:rPr>
        <w:t>,</w:t>
      </w:r>
      <w:r w:rsidRPr="00FB463B">
        <w:rPr>
          <w:rFonts w:eastAsia="Arial" w:cs="Arial"/>
          <w:i/>
          <w:iCs/>
          <w:color w:val="auto"/>
        </w:rPr>
        <w:t xml:space="preserve"> potentially removing them from qualifying for CSI – Low Graduation Rate)</w:t>
      </w:r>
    </w:p>
    <w:p w14:paraId="2941EA7B" w14:textId="04C85D24" w:rsidR="00764BE0" w:rsidRPr="00FB463B" w:rsidRDefault="005175C3" w:rsidP="001D2366">
      <w:pPr>
        <w:pStyle w:val="Body"/>
        <w:spacing w:after="240"/>
        <w:ind w:left="720"/>
        <w:rPr>
          <w:rFonts w:eastAsia="Arial" w:cs="Arial"/>
          <w:color w:val="auto"/>
        </w:rPr>
      </w:pPr>
      <w:r w:rsidRPr="00FB463B">
        <w:rPr>
          <w:rFonts w:eastAsia="Arial" w:cs="Arial"/>
          <w:color w:val="auto"/>
        </w:rPr>
        <w:t xml:space="preserve">The simulations </w:t>
      </w:r>
      <w:r w:rsidR="00A62E3D" w:rsidRPr="00FB463B">
        <w:rPr>
          <w:rFonts w:eastAsia="Arial" w:cs="Arial"/>
          <w:color w:val="auto"/>
        </w:rPr>
        <w:t>did not reveal</w:t>
      </w:r>
      <w:r w:rsidR="00760928" w:rsidRPr="00FB463B">
        <w:rPr>
          <w:rFonts w:eastAsia="Arial" w:cs="Arial"/>
          <w:color w:val="auto"/>
        </w:rPr>
        <w:t xml:space="preserve"> that</w:t>
      </w:r>
      <w:r w:rsidRPr="00FB463B">
        <w:rPr>
          <w:rFonts w:eastAsia="Arial" w:cs="Arial"/>
          <w:color w:val="auto"/>
        </w:rPr>
        <w:t xml:space="preserve"> there is potential for a large reduction in the overidentification of DASS schools for CSI-Low Grad</w:t>
      </w:r>
      <w:r w:rsidR="00760928" w:rsidRPr="00FB463B">
        <w:rPr>
          <w:rFonts w:eastAsia="Arial" w:cs="Arial"/>
          <w:color w:val="auto"/>
        </w:rPr>
        <w:t>uation</w:t>
      </w:r>
      <w:r w:rsidRPr="00FB463B">
        <w:rPr>
          <w:rFonts w:eastAsia="Arial" w:cs="Arial"/>
          <w:color w:val="auto"/>
        </w:rPr>
        <w:t>. While the simulations show that 15 high schools would have a 2022 graduation rate above 68 percent, CSI-Low Grad</w:t>
      </w:r>
      <w:r w:rsidR="00760928" w:rsidRPr="00FB463B">
        <w:rPr>
          <w:rFonts w:eastAsia="Arial" w:cs="Arial"/>
          <w:color w:val="auto"/>
        </w:rPr>
        <w:t>uation</w:t>
      </w:r>
      <w:r w:rsidRPr="00FB463B">
        <w:rPr>
          <w:rFonts w:eastAsia="Arial" w:cs="Arial"/>
          <w:color w:val="auto"/>
        </w:rPr>
        <w:t xml:space="preserve"> requires the average rate over three years to exceed 68 percent. Therefore, it is likely that the number of schools removed from CSI-Low Grad</w:t>
      </w:r>
      <w:r w:rsidR="00407E75" w:rsidRPr="00FB463B">
        <w:rPr>
          <w:rFonts w:eastAsia="Arial" w:cs="Arial"/>
          <w:color w:val="auto"/>
        </w:rPr>
        <w:t>uation</w:t>
      </w:r>
      <w:r w:rsidRPr="00FB463B">
        <w:rPr>
          <w:rFonts w:eastAsia="Arial" w:cs="Arial"/>
          <w:color w:val="auto"/>
        </w:rPr>
        <w:t xml:space="preserve"> with an extended-year rate would be less than 15.</w:t>
      </w:r>
    </w:p>
    <w:p w14:paraId="15EF4F9F" w14:textId="0E27381B" w:rsidR="007B3335" w:rsidRPr="00FB463B" w:rsidRDefault="00CA04B1" w:rsidP="0C50CAC2">
      <w:pPr>
        <w:pStyle w:val="NormalWeb"/>
        <w:rPr>
          <w:rFonts w:ascii="Arial" w:hAnsi="Arial" w:cs="Arial"/>
          <w:i/>
          <w:iCs/>
        </w:rPr>
      </w:pPr>
      <w:r w:rsidRPr="00FB463B">
        <w:rPr>
          <w:rFonts w:ascii="Arial" w:hAnsi="Arial" w:cs="Arial"/>
          <w:i/>
          <w:iCs/>
        </w:rPr>
        <w:t xml:space="preserve">Feedback from </w:t>
      </w:r>
      <w:r w:rsidR="00422D74" w:rsidRPr="00FB463B">
        <w:rPr>
          <w:rFonts w:ascii="Arial" w:hAnsi="Arial" w:cs="Arial"/>
          <w:i/>
          <w:iCs/>
        </w:rPr>
        <w:t>Educational Partners</w:t>
      </w:r>
    </w:p>
    <w:p w14:paraId="09AC8483" w14:textId="69840BD2" w:rsidR="00422D74" w:rsidRPr="00FB463B" w:rsidRDefault="00053350" w:rsidP="00414863">
      <w:pPr>
        <w:pStyle w:val="NormalWeb"/>
        <w:rPr>
          <w:rFonts w:ascii="Arial" w:hAnsi="Arial" w:cs="Arial"/>
        </w:rPr>
      </w:pPr>
      <w:r w:rsidRPr="00FB463B">
        <w:rPr>
          <w:rFonts w:ascii="Arial" w:eastAsia="Arial" w:hAnsi="Arial" w:cs="Arial"/>
        </w:rPr>
        <w:t>The data simulations were conducted by CDE staff in consultation with the Technical Design Group</w:t>
      </w:r>
      <w:r w:rsidR="006445C1" w:rsidRPr="00FB463B">
        <w:rPr>
          <w:rFonts w:ascii="Arial" w:eastAsia="Arial" w:hAnsi="Arial" w:cs="Arial"/>
        </w:rPr>
        <w:t xml:space="preserve"> (TDG)</w:t>
      </w:r>
      <w:r w:rsidRPr="00FB463B">
        <w:rPr>
          <w:rFonts w:ascii="Arial" w:eastAsia="Arial" w:hAnsi="Arial" w:cs="Arial"/>
        </w:rPr>
        <w:t>.</w:t>
      </w:r>
      <w:r w:rsidR="008B0763" w:rsidRPr="00FB463B">
        <w:rPr>
          <w:rFonts w:eastAsia="Arial" w:cs="Arial"/>
        </w:rPr>
        <w:t xml:space="preserve"> </w:t>
      </w:r>
      <w:r w:rsidR="008B0763" w:rsidRPr="00FB463B">
        <w:rPr>
          <w:rFonts w:ascii="Arial" w:eastAsia="Arial" w:hAnsi="Arial" w:cs="Arial"/>
        </w:rPr>
        <w:t xml:space="preserve">Because the </w:t>
      </w:r>
      <w:r w:rsidR="0064279F" w:rsidRPr="00FB463B">
        <w:rPr>
          <w:rFonts w:ascii="Arial" w:eastAsia="Arial" w:hAnsi="Arial" w:cs="Arial"/>
        </w:rPr>
        <w:t xml:space="preserve">extended-year rate </w:t>
      </w:r>
      <w:r w:rsidR="007969B9" w:rsidRPr="00FB463B">
        <w:rPr>
          <w:rFonts w:ascii="Arial" w:eastAsia="Arial" w:hAnsi="Arial" w:cs="Arial"/>
        </w:rPr>
        <w:t>resulted in</w:t>
      </w:r>
      <w:r w:rsidR="005D7D52" w:rsidRPr="00FB463B">
        <w:rPr>
          <w:rFonts w:ascii="Arial" w:eastAsia="Arial" w:hAnsi="Arial" w:cs="Arial"/>
        </w:rPr>
        <w:t xml:space="preserve"> </w:t>
      </w:r>
      <w:r w:rsidR="00354B97" w:rsidRPr="00FB463B">
        <w:rPr>
          <w:rFonts w:ascii="Arial" w:eastAsia="Arial" w:hAnsi="Arial" w:cs="Arial"/>
        </w:rPr>
        <w:t>such</w:t>
      </w:r>
      <w:r w:rsidR="00354B97" w:rsidRPr="00FB463B">
        <w:rPr>
          <w:rFonts w:ascii="Arial" w:hAnsi="Arial" w:cs="Arial"/>
        </w:rPr>
        <w:t xml:space="preserve"> small gains</w:t>
      </w:r>
      <w:r w:rsidR="00AE6C6D" w:rsidRPr="00FB463B">
        <w:rPr>
          <w:rFonts w:ascii="Arial" w:hAnsi="Arial" w:cs="Arial"/>
        </w:rPr>
        <w:t>, a</w:t>
      </w:r>
      <w:r w:rsidRPr="00FB463B">
        <w:rPr>
          <w:rFonts w:ascii="Arial" w:hAnsi="Arial" w:cs="Arial"/>
        </w:rPr>
        <w:t xml:space="preserve">t the </w:t>
      </w:r>
      <w:r w:rsidR="00326E1F" w:rsidRPr="00FB463B">
        <w:rPr>
          <w:rFonts w:ascii="Arial" w:hAnsi="Arial" w:cs="Arial"/>
        </w:rPr>
        <w:t xml:space="preserve">April </w:t>
      </w:r>
      <w:r w:rsidRPr="00FB463B">
        <w:rPr>
          <w:rFonts w:ascii="Arial" w:hAnsi="Arial" w:cs="Arial"/>
        </w:rPr>
        <w:t xml:space="preserve">2023 TDG meeting, </w:t>
      </w:r>
      <w:r w:rsidR="006E11B4" w:rsidRPr="00FB463B">
        <w:rPr>
          <w:rFonts w:ascii="Arial" w:hAnsi="Arial" w:cs="Arial"/>
        </w:rPr>
        <w:t xml:space="preserve">members </w:t>
      </w:r>
      <w:r w:rsidR="00326E1F" w:rsidRPr="00FB463B">
        <w:rPr>
          <w:rFonts w:ascii="Arial" w:hAnsi="Arial" w:cs="Arial"/>
        </w:rPr>
        <w:t xml:space="preserve">recommended </w:t>
      </w:r>
      <w:r w:rsidR="002C2F69" w:rsidRPr="00FB463B">
        <w:rPr>
          <w:rFonts w:ascii="Arial" w:hAnsi="Arial" w:cs="Arial"/>
        </w:rPr>
        <w:t>not to</w:t>
      </w:r>
      <w:r w:rsidR="00AF110D" w:rsidRPr="00FB463B">
        <w:rPr>
          <w:rFonts w:ascii="Arial" w:hAnsi="Arial" w:cs="Arial"/>
        </w:rPr>
        <w:t xml:space="preserve"> move forward with </w:t>
      </w:r>
      <w:r w:rsidR="00BA53C7" w:rsidRPr="00FB463B">
        <w:rPr>
          <w:rFonts w:ascii="Arial" w:hAnsi="Arial" w:cs="Arial"/>
        </w:rPr>
        <w:t>this option</w:t>
      </w:r>
      <w:r w:rsidR="00AE6C6D" w:rsidRPr="00FB463B">
        <w:rPr>
          <w:rFonts w:ascii="Arial" w:hAnsi="Arial" w:cs="Arial"/>
        </w:rPr>
        <w:t>.</w:t>
      </w:r>
    </w:p>
    <w:p w14:paraId="296241F4" w14:textId="58F98EA3" w:rsidR="00A767A6" w:rsidRPr="00FB463B" w:rsidRDefault="005C5521" w:rsidP="5442B7D8">
      <w:pPr>
        <w:pStyle w:val="NormalWeb"/>
        <w:rPr>
          <w:rFonts w:ascii="Arial" w:hAnsi="Arial" w:cs="Arial"/>
        </w:rPr>
      </w:pPr>
      <w:r w:rsidRPr="00FB463B">
        <w:rPr>
          <w:rFonts w:ascii="Arial" w:hAnsi="Arial" w:cs="Arial"/>
        </w:rPr>
        <w:t xml:space="preserve">At the August 2023 </w:t>
      </w:r>
      <w:r w:rsidR="00A767A6" w:rsidRPr="00FB463B">
        <w:rPr>
          <w:rFonts w:ascii="Arial" w:hAnsi="Arial" w:cs="Arial"/>
        </w:rPr>
        <w:t>California Practitioners Advisory Group</w:t>
      </w:r>
      <w:r w:rsidR="00414863" w:rsidRPr="00FB463B">
        <w:rPr>
          <w:rFonts w:ascii="Arial" w:hAnsi="Arial" w:cs="Arial"/>
        </w:rPr>
        <w:t xml:space="preserve"> (CPAG)</w:t>
      </w:r>
      <w:r w:rsidRPr="00FB463B">
        <w:rPr>
          <w:rFonts w:ascii="Arial" w:hAnsi="Arial" w:cs="Arial"/>
        </w:rPr>
        <w:t xml:space="preserve"> meeting, members </w:t>
      </w:r>
      <w:r w:rsidR="0CC84A10" w:rsidRPr="00FB463B">
        <w:rPr>
          <w:rFonts w:ascii="Arial" w:hAnsi="Arial" w:cs="Arial"/>
        </w:rPr>
        <w:t>did not voice any opposition to this action.</w:t>
      </w:r>
    </w:p>
    <w:p w14:paraId="72050169" w14:textId="0DB22476" w:rsidR="001E6DD1" w:rsidRPr="00FB463B" w:rsidRDefault="009208B9" w:rsidP="001E6DD1">
      <w:pPr>
        <w:rPr>
          <w:rFonts w:eastAsia="Arial" w:cs="Arial"/>
        </w:rPr>
      </w:pPr>
      <w:r w:rsidRPr="00FB463B">
        <w:rPr>
          <w:rFonts w:eastAsia="Arial" w:cs="Arial"/>
          <w:color w:val="000000" w:themeColor="text1"/>
        </w:rPr>
        <w:t xml:space="preserve">Although a multi-year adjusted cohort graduation rate would provide </w:t>
      </w:r>
      <w:r w:rsidR="00110445" w:rsidRPr="00FB463B">
        <w:rPr>
          <w:rFonts w:eastAsia="Arial" w:cs="Arial"/>
          <w:color w:val="000000" w:themeColor="text1"/>
        </w:rPr>
        <w:t xml:space="preserve">the opportunity for </w:t>
      </w:r>
      <w:r w:rsidR="00DA02D3" w:rsidRPr="00FB463B">
        <w:rPr>
          <w:rFonts w:eastAsia="Arial" w:cs="Arial"/>
          <w:color w:val="000000" w:themeColor="text1"/>
        </w:rPr>
        <w:t xml:space="preserve">some </w:t>
      </w:r>
      <w:r w:rsidR="00110445" w:rsidRPr="00FB463B">
        <w:rPr>
          <w:rFonts w:eastAsia="Arial" w:cs="Arial"/>
          <w:color w:val="000000" w:themeColor="text1"/>
        </w:rPr>
        <w:t xml:space="preserve">schools to </w:t>
      </w:r>
      <w:r w:rsidR="0091510E" w:rsidRPr="00FB463B">
        <w:rPr>
          <w:rFonts w:eastAsia="Arial" w:cs="Arial"/>
          <w:color w:val="000000" w:themeColor="text1"/>
        </w:rPr>
        <w:t>receive credit for students who graduated within six or seven years, t</w:t>
      </w:r>
      <w:r w:rsidR="00A91B8C" w:rsidRPr="00FB463B">
        <w:rPr>
          <w:rFonts w:eastAsia="Arial" w:cs="Arial"/>
          <w:color w:val="000000" w:themeColor="text1"/>
        </w:rPr>
        <w:t xml:space="preserve">he CDE </w:t>
      </w:r>
      <w:r w:rsidR="009F7E0E" w:rsidRPr="00FB463B">
        <w:rPr>
          <w:rFonts w:eastAsia="Arial" w:cs="Arial"/>
          <w:color w:val="000000" w:themeColor="text1"/>
        </w:rPr>
        <w:t>does not</w:t>
      </w:r>
      <w:r w:rsidR="00B42B1B" w:rsidRPr="00FB463B">
        <w:rPr>
          <w:rFonts w:eastAsia="Arial" w:cs="Arial"/>
          <w:color w:val="000000" w:themeColor="text1"/>
        </w:rPr>
        <w:t xml:space="preserve"> recommend</w:t>
      </w:r>
      <w:r w:rsidR="00BA4DB1" w:rsidRPr="00FB463B">
        <w:rPr>
          <w:rFonts w:eastAsia="Arial" w:cs="Arial"/>
          <w:color w:val="000000" w:themeColor="text1"/>
        </w:rPr>
        <w:t xml:space="preserve"> mov</w:t>
      </w:r>
      <w:r w:rsidR="009F7E0E" w:rsidRPr="00FB463B">
        <w:rPr>
          <w:rFonts w:eastAsia="Arial" w:cs="Arial"/>
          <w:color w:val="000000" w:themeColor="text1"/>
        </w:rPr>
        <w:t>ing</w:t>
      </w:r>
      <w:r w:rsidR="00BA4DB1" w:rsidRPr="00FB463B">
        <w:rPr>
          <w:rFonts w:eastAsia="Arial" w:cs="Arial"/>
          <w:color w:val="000000" w:themeColor="text1"/>
        </w:rPr>
        <w:t xml:space="preserve"> forward with this option </w:t>
      </w:r>
      <w:r w:rsidR="00DF0B77" w:rsidRPr="00FB463B">
        <w:rPr>
          <w:rFonts w:eastAsia="Arial" w:cs="Arial"/>
          <w:color w:val="000000" w:themeColor="text1"/>
        </w:rPr>
        <w:t>as</w:t>
      </w:r>
      <w:r w:rsidR="00802722" w:rsidRPr="00FB463B">
        <w:rPr>
          <w:rFonts w:eastAsia="Arial" w:cs="Arial"/>
          <w:color w:val="000000" w:themeColor="text1"/>
        </w:rPr>
        <w:t xml:space="preserve"> it does not </w:t>
      </w:r>
      <w:r w:rsidR="00B95DB9" w:rsidRPr="00FB463B">
        <w:rPr>
          <w:rFonts w:eastAsia="Arial" w:cs="Arial"/>
          <w:color w:val="000000" w:themeColor="text1"/>
        </w:rPr>
        <w:t xml:space="preserve">significantly decrease the number of DASS schools that </w:t>
      </w:r>
      <w:r w:rsidR="00080AE3" w:rsidRPr="00FB463B">
        <w:rPr>
          <w:rFonts w:eastAsia="Arial" w:cs="Arial"/>
          <w:color w:val="000000" w:themeColor="text1"/>
        </w:rPr>
        <w:t xml:space="preserve">could be eligible for </w:t>
      </w:r>
      <w:r w:rsidR="00080AE3" w:rsidRPr="00FB463B">
        <w:rPr>
          <w:rFonts w:eastAsia="Arial" w:cs="Arial"/>
        </w:rPr>
        <w:t>CSI-Low Graduation</w:t>
      </w:r>
      <w:r w:rsidR="001E6DD1" w:rsidRPr="00FB463B">
        <w:rPr>
          <w:rFonts w:eastAsia="Arial" w:cs="Arial"/>
          <w:color w:val="000000" w:themeColor="text1"/>
        </w:rPr>
        <w:t>.</w:t>
      </w:r>
    </w:p>
    <w:p w14:paraId="0BF4C716" w14:textId="58F33557" w:rsidR="2038EA36" w:rsidRPr="00FB463B" w:rsidRDefault="2038EA36" w:rsidP="0087275B">
      <w:pPr>
        <w:pStyle w:val="Heading3"/>
      </w:pPr>
      <w:r w:rsidRPr="00FB463B">
        <w:lastRenderedPageBreak/>
        <w:t>College/Career Indicator</w:t>
      </w:r>
    </w:p>
    <w:p w14:paraId="44BE8E31" w14:textId="0017B4EF" w:rsidR="00BC1F52" w:rsidRPr="00FB463B" w:rsidRDefault="10A76B5B" w:rsidP="002C7472">
      <w:pPr>
        <w:spacing w:after="240"/>
      </w:pPr>
      <w:r w:rsidRPr="00FB463B">
        <w:t>The CDE is</w:t>
      </w:r>
      <w:r w:rsidR="01069948" w:rsidRPr="00FB463B">
        <w:t xml:space="preserve"> committed to continuous improvement</w:t>
      </w:r>
      <w:r w:rsidR="78D6E8E8" w:rsidRPr="00FB463B">
        <w:t xml:space="preserve"> on the Dashboard</w:t>
      </w:r>
      <w:r w:rsidR="01069948" w:rsidRPr="00FB463B">
        <w:t>, especially w</w:t>
      </w:r>
      <w:r w:rsidR="29F5789B" w:rsidRPr="00FB463B">
        <w:t xml:space="preserve">hen </w:t>
      </w:r>
      <w:r w:rsidR="01069948" w:rsidRPr="00FB463B">
        <w:t>ad</w:t>
      </w:r>
      <w:r w:rsidR="01E43FB4" w:rsidRPr="00FB463B">
        <w:t>a</w:t>
      </w:r>
      <w:r w:rsidR="01069948" w:rsidRPr="00FB463B">
        <w:t xml:space="preserve">pting to the evolving nature of college and career preparation in California’s schools. </w:t>
      </w:r>
      <w:r w:rsidR="005F61E2" w:rsidRPr="00FB463B">
        <w:t xml:space="preserve">Over the past several months, </w:t>
      </w:r>
      <w:r w:rsidR="01069948" w:rsidRPr="00FB463B">
        <w:t xml:space="preserve">the CDE </w:t>
      </w:r>
      <w:r w:rsidR="005F61E2" w:rsidRPr="00FB463B">
        <w:t xml:space="preserve">has </w:t>
      </w:r>
      <w:r w:rsidR="003516E9" w:rsidRPr="00FB463B">
        <w:t>reviewed the</w:t>
      </w:r>
      <w:r w:rsidR="7C42D899" w:rsidRPr="00FB463B">
        <w:t xml:space="preserve"> </w:t>
      </w:r>
      <w:r w:rsidR="004B1C8D" w:rsidRPr="00FB463B">
        <w:t xml:space="preserve">data </w:t>
      </w:r>
      <w:r w:rsidR="00A2611B" w:rsidRPr="00FB463B">
        <w:t>for n</w:t>
      </w:r>
      <w:r w:rsidR="7C42D899" w:rsidRPr="00FB463B">
        <w:t>ew career measures</w:t>
      </w:r>
      <w:r w:rsidR="00A2611B" w:rsidRPr="00FB463B">
        <w:t xml:space="preserve"> </w:t>
      </w:r>
      <w:r w:rsidR="00E72D2D" w:rsidRPr="00FB463B">
        <w:t>that could potentially be included</w:t>
      </w:r>
      <w:r w:rsidR="7C42D899" w:rsidRPr="00FB463B">
        <w:t xml:space="preserve"> </w:t>
      </w:r>
      <w:r w:rsidR="009610CF" w:rsidRPr="00FB463B">
        <w:t>in</w:t>
      </w:r>
      <w:r w:rsidR="7C42D899" w:rsidRPr="00FB463B">
        <w:t xml:space="preserve"> the CCI</w:t>
      </w:r>
      <w:r w:rsidR="00AB220C" w:rsidRPr="00FB463B">
        <w:t>. The CDE has also</w:t>
      </w:r>
      <w:r w:rsidR="00B11064" w:rsidRPr="00FB463B">
        <w:t xml:space="preserve"> continued conversations on the </w:t>
      </w:r>
      <w:r w:rsidR="00D34DE5" w:rsidRPr="00FB463B">
        <w:t>exploration of two new measures,</w:t>
      </w:r>
      <w:r w:rsidR="201C94A6" w:rsidRPr="00FB463B">
        <w:t xml:space="preserve"> as well as </w:t>
      </w:r>
      <w:r w:rsidR="002466FE" w:rsidRPr="00FB463B">
        <w:t xml:space="preserve">investigating any </w:t>
      </w:r>
      <w:r w:rsidR="0033335E" w:rsidRPr="00FB463B">
        <w:t xml:space="preserve">needed </w:t>
      </w:r>
      <w:r w:rsidR="002466FE" w:rsidRPr="00FB463B">
        <w:t>adjustment</w:t>
      </w:r>
      <w:r w:rsidR="00D34DE5" w:rsidRPr="00FB463B">
        <w:t>s</w:t>
      </w:r>
      <w:r w:rsidR="002466FE" w:rsidRPr="00FB463B">
        <w:t xml:space="preserve"> </w:t>
      </w:r>
      <w:r w:rsidR="00A16B61" w:rsidRPr="00FB463B">
        <w:t xml:space="preserve">to </w:t>
      </w:r>
      <w:r w:rsidR="201C94A6" w:rsidRPr="00FB463B">
        <w:t>existing measures</w:t>
      </w:r>
      <w:r w:rsidR="00365758" w:rsidRPr="00FB463B">
        <w:t>.</w:t>
      </w:r>
    </w:p>
    <w:p w14:paraId="750ECE0B" w14:textId="3F798443" w:rsidR="2038EA36" w:rsidRPr="00FB463B" w:rsidRDefault="59A7F7B5">
      <w:pPr>
        <w:pStyle w:val="Heading3"/>
      </w:pPr>
      <w:r w:rsidRPr="00FB463B">
        <w:t>Dashboard Principles</w:t>
      </w:r>
    </w:p>
    <w:p w14:paraId="025CC024" w14:textId="77777777" w:rsidR="003970B1" w:rsidRPr="00FB463B" w:rsidRDefault="003970B1" w:rsidP="003970B1">
      <w:pPr>
        <w:spacing w:after="240"/>
      </w:pPr>
      <w:r w:rsidRPr="00FB463B">
        <w:t>The work on this state indicator aligns with the following Dashboard Principles:</w:t>
      </w:r>
    </w:p>
    <w:p w14:paraId="5048CEE8" w14:textId="2DCB5A27" w:rsidR="2038EA36" w:rsidRPr="00FB463B" w:rsidRDefault="2038EA36" w:rsidP="00C237F4">
      <w:pPr>
        <w:pStyle w:val="Default"/>
        <w:numPr>
          <w:ilvl w:val="0"/>
          <w:numId w:val="5"/>
        </w:numPr>
        <w:spacing w:after="240"/>
      </w:pPr>
      <w:r w:rsidRPr="00FB463B">
        <w:t>Principle 2: Reports opportunity and performance gaps among student groups through the Equity Report that is available for each state indicator.</w:t>
      </w:r>
    </w:p>
    <w:p w14:paraId="2FECC657" w14:textId="549241C8" w:rsidR="2038EA36" w:rsidRPr="00FB463B" w:rsidRDefault="2038EA36" w:rsidP="00C237F4">
      <w:pPr>
        <w:pStyle w:val="Default"/>
        <w:numPr>
          <w:ilvl w:val="0"/>
          <w:numId w:val="5"/>
        </w:numPr>
        <w:spacing w:after="240"/>
      </w:pPr>
      <w:r w:rsidRPr="00FB463B">
        <w:t>Principle 3: Reports each indicator separately.</w:t>
      </w:r>
    </w:p>
    <w:p w14:paraId="3CBC1C37" w14:textId="67099665" w:rsidR="2038EA36" w:rsidRPr="00FB463B" w:rsidRDefault="59A7F7B5" w:rsidP="00C237F4">
      <w:pPr>
        <w:pStyle w:val="Default"/>
        <w:numPr>
          <w:ilvl w:val="0"/>
          <w:numId w:val="5"/>
        </w:numPr>
        <w:spacing w:after="240"/>
      </w:pPr>
      <w:r w:rsidRPr="00FB463B">
        <w:t>Principle 4: Values each indicator equally.</w:t>
      </w:r>
    </w:p>
    <w:p w14:paraId="6BAAF1AF" w14:textId="5ADEC823" w:rsidR="2038EA36" w:rsidRPr="00FB463B" w:rsidRDefault="2038EA36" w:rsidP="00264A04">
      <w:pPr>
        <w:pStyle w:val="Heading3"/>
      </w:pPr>
      <w:r w:rsidRPr="00FB463B">
        <w:t>2023 Workplan for the CCI</w:t>
      </w:r>
    </w:p>
    <w:p w14:paraId="6711544F" w14:textId="5EBF9F9C" w:rsidR="2038EA36" w:rsidRPr="00FB463B" w:rsidRDefault="00607522" w:rsidP="00A615EB">
      <w:pPr>
        <w:spacing w:after="240"/>
        <w:rPr>
          <w:rFonts w:eastAsiaTheme="majorEastAsia" w:cstheme="majorBidi"/>
        </w:rPr>
      </w:pPr>
      <w:r w:rsidRPr="00FB463B">
        <w:rPr>
          <w:rFonts w:eastAsiaTheme="majorEastAsia" w:cstheme="majorBidi"/>
        </w:rPr>
        <w:t>I</w:t>
      </w:r>
      <w:r w:rsidR="00A9020B" w:rsidRPr="00FB463B">
        <w:rPr>
          <w:rFonts w:eastAsiaTheme="majorEastAsia" w:cstheme="majorBidi"/>
        </w:rPr>
        <w:t>n 2021–22</w:t>
      </w:r>
      <w:r w:rsidR="00243E49" w:rsidRPr="00FB463B">
        <w:rPr>
          <w:rFonts w:eastAsiaTheme="majorEastAsia" w:cstheme="majorBidi"/>
        </w:rPr>
        <w:t>, the</w:t>
      </w:r>
      <w:r w:rsidR="2038EA36" w:rsidRPr="00FB463B">
        <w:rPr>
          <w:rFonts w:eastAsiaTheme="majorEastAsia" w:cstheme="majorBidi"/>
        </w:rPr>
        <w:t xml:space="preserve"> </w:t>
      </w:r>
      <w:r w:rsidR="002C7472" w:rsidRPr="00FB463B">
        <w:rPr>
          <w:rFonts w:eastAsiaTheme="majorEastAsia" w:cstheme="majorBidi"/>
        </w:rPr>
        <w:t xml:space="preserve">CCI was not reported on </w:t>
      </w:r>
      <w:r w:rsidR="2038EA36" w:rsidRPr="00FB463B">
        <w:rPr>
          <w:rFonts w:eastAsiaTheme="majorEastAsia" w:cstheme="majorBidi"/>
        </w:rPr>
        <w:t xml:space="preserve">the </w:t>
      </w:r>
      <w:r w:rsidR="002C7472" w:rsidRPr="00FB463B">
        <w:rPr>
          <w:rFonts w:eastAsiaTheme="majorEastAsia" w:cstheme="majorBidi"/>
        </w:rPr>
        <w:t xml:space="preserve">2022 Dashboard due to limited results from the </w:t>
      </w:r>
      <w:r w:rsidR="2038EA36" w:rsidRPr="00FB463B">
        <w:rPr>
          <w:rFonts w:eastAsiaTheme="majorEastAsia" w:cstheme="majorBidi"/>
        </w:rPr>
        <w:t>2021 statewide summative assessments</w:t>
      </w:r>
      <w:r w:rsidR="004B2C6F" w:rsidRPr="00FB463B">
        <w:rPr>
          <w:rFonts w:eastAsiaTheme="majorEastAsia" w:cstheme="majorBidi"/>
        </w:rPr>
        <w:t xml:space="preserve"> for grade </w:t>
      </w:r>
      <w:r w:rsidR="001D571F" w:rsidRPr="00FB463B">
        <w:rPr>
          <w:rFonts w:eastAsiaTheme="majorEastAsia" w:cstheme="majorBidi"/>
        </w:rPr>
        <w:t>eleven</w:t>
      </w:r>
      <w:r w:rsidR="004B2C6F" w:rsidRPr="00FB463B">
        <w:rPr>
          <w:rFonts w:eastAsiaTheme="majorEastAsia" w:cstheme="majorBidi"/>
        </w:rPr>
        <w:t xml:space="preserve"> students</w:t>
      </w:r>
      <w:r w:rsidR="2038EA36" w:rsidRPr="00FB463B">
        <w:rPr>
          <w:rFonts w:eastAsiaTheme="majorEastAsia" w:cstheme="majorBidi"/>
        </w:rPr>
        <w:t xml:space="preserve">. </w:t>
      </w:r>
      <w:r w:rsidR="00243E49" w:rsidRPr="00FB463B">
        <w:rPr>
          <w:rFonts w:eastAsiaTheme="majorEastAsia" w:cstheme="majorBidi"/>
        </w:rPr>
        <w:t>The CDE</w:t>
      </w:r>
      <w:r w:rsidR="006B5761" w:rsidRPr="00FB463B">
        <w:rPr>
          <w:rFonts w:eastAsiaTheme="majorEastAsia" w:cstheme="majorBidi"/>
        </w:rPr>
        <w:t xml:space="preserve"> also</w:t>
      </w:r>
      <w:r w:rsidR="00243E49" w:rsidRPr="00FB463B">
        <w:rPr>
          <w:rFonts w:eastAsiaTheme="majorEastAsia" w:cstheme="majorBidi"/>
        </w:rPr>
        <w:t xml:space="preserve"> received </w:t>
      </w:r>
      <w:r w:rsidR="00CA4AC1" w:rsidRPr="00FB463B">
        <w:rPr>
          <w:rFonts w:eastAsiaTheme="majorEastAsia" w:cstheme="majorBidi"/>
        </w:rPr>
        <w:t>approval</w:t>
      </w:r>
      <w:r w:rsidR="00DE356A" w:rsidRPr="00FB463B">
        <w:rPr>
          <w:rFonts w:eastAsiaTheme="majorEastAsia" w:cstheme="majorBidi"/>
        </w:rPr>
        <w:t xml:space="preserve"> from the ED </w:t>
      </w:r>
      <w:r w:rsidR="00E64BFA" w:rsidRPr="00FB463B">
        <w:rPr>
          <w:rFonts w:eastAsiaTheme="majorEastAsia" w:cstheme="majorBidi"/>
        </w:rPr>
        <w:t>to temporarily pause the use of the CCI</w:t>
      </w:r>
      <w:r w:rsidR="000D6AFD" w:rsidRPr="00FB463B">
        <w:rPr>
          <w:rFonts w:eastAsiaTheme="majorEastAsia" w:cstheme="majorBidi"/>
        </w:rPr>
        <w:t xml:space="preserve"> </w:t>
      </w:r>
      <w:r w:rsidR="00E64BFA" w:rsidRPr="00FB463B">
        <w:rPr>
          <w:rFonts w:eastAsiaTheme="majorEastAsia" w:cstheme="majorBidi"/>
        </w:rPr>
        <w:t>as</w:t>
      </w:r>
      <w:r w:rsidR="00F33C4D" w:rsidRPr="00FB463B">
        <w:rPr>
          <w:rFonts w:eastAsiaTheme="majorEastAsia" w:cstheme="majorBidi"/>
        </w:rPr>
        <w:t xml:space="preserve"> </w:t>
      </w:r>
      <w:r w:rsidR="002373E3" w:rsidRPr="00FB463B">
        <w:rPr>
          <w:rFonts w:eastAsiaTheme="majorEastAsia" w:cstheme="majorBidi"/>
        </w:rPr>
        <w:t xml:space="preserve">an </w:t>
      </w:r>
      <w:r w:rsidR="00A943BC" w:rsidRPr="00FB463B">
        <w:rPr>
          <w:rFonts w:eastAsiaTheme="majorEastAsia" w:cstheme="majorBidi"/>
        </w:rPr>
        <w:t>a</w:t>
      </w:r>
      <w:r w:rsidR="008D362C" w:rsidRPr="00FB463B">
        <w:rPr>
          <w:rFonts w:cs="Arial"/>
          <w:szCs w:val="22"/>
        </w:rPr>
        <w:t xml:space="preserve">dditional indicator of </w:t>
      </w:r>
      <w:r w:rsidR="00B93415" w:rsidRPr="00FB463B">
        <w:rPr>
          <w:rFonts w:cs="Arial"/>
          <w:szCs w:val="22"/>
        </w:rPr>
        <w:t>‘</w:t>
      </w:r>
      <w:r w:rsidR="0033058B" w:rsidRPr="00FB463B">
        <w:rPr>
          <w:rFonts w:cs="Arial"/>
          <w:szCs w:val="22"/>
        </w:rPr>
        <w:t xml:space="preserve">school quality or </w:t>
      </w:r>
      <w:r w:rsidR="008D362C" w:rsidRPr="00FB463B">
        <w:rPr>
          <w:rFonts w:cs="Arial"/>
          <w:szCs w:val="22"/>
        </w:rPr>
        <w:t xml:space="preserve">student </w:t>
      </w:r>
      <w:proofErr w:type="gramStart"/>
      <w:r w:rsidR="008D362C" w:rsidRPr="00FB463B">
        <w:rPr>
          <w:rFonts w:cs="Arial"/>
          <w:szCs w:val="22"/>
        </w:rPr>
        <w:t>success</w:t>
      </w:r>
      <w:r w:rsidR="00B67748" w:rsidRPr="00FB463B">
        <w:rPr>
          <w:rFonts w:cs="Arial"/>
          <w:szCs w:val="22"/>
        </w:rPr>
        <w:t>’</w:t>
      </w:r>
      <w:proofErr w:type="gramEnd"/>
      <w:r w:rsidR="00E64BFA" w:rsidRPr="00FB463B">
        <w:rPr>
          <w:rFonts w:cs="Arial"/>
          <w:szCs w:val="22"/>
        </w:rPr>
        <w:t>.</w:t>
      </w:r>
      <w:r w:rsidR="00F33C4D" w:rsidRPr="00FB463B">
        <w:rPr>
          <w:rFonts w:cs="Arial"/>
          <w:szCs w:val="22"/>
        </w:rPr>
        <w:t xml:space="preserve"> The reporting of the </w:t>
      </w:r>
      <w:r w:rsidR="00181F68" w:rsidRPr="00FB463B">
        <w:rPr>
          <w:rFonts w:cs="Arial"/>
          <w:szCs w:val="22"/>
        </w:rPr>
        <w:t xml:space="preserve">suspension rate </w:t>
      </w:r>
      <w:r w:rsidR="00883794" w:rsidRPr="00FB463B">
        <w:rPr>
          <w:rFonts w:cs="Arial"/>
          <w:szCs w:val="22"/>
        </w:rPr>
        <w:t>fulfill</w:t>
      </w:r>
      <w:r w:rsidR="00E64BFA" w:rsidRPr="00FB463B">
        <w:rPr>
          <w:rFonts w:cs="Arial"/>
          <w:szCs w:val="22"/>
        </w:rPr>
        <w:t>s</w:t>
      </w:r>
      <w:r w:rsidR="00883794" w:rsidRPr="00FB463B">
        <w:rPr>
          <w:rFonts w:cs="Arial"/>
          <w:szCs w:val="22"/>
        </w:rPr>
        <w:t xml:space="preserve"> </w:t>
      </w:r>
      <w:r w:rsidR="00BA7363" w:rsidRPr="00FB463B">
        <w:rPr>
          <w:rFonts w:cs="Arial"/>
          <w:szCs w:val="22"/>
        </w:rPr>
        <w:t>the ED’s</w:t>
      </w:r>
      <w:r w:rsidR="00FA79C7" w:rsidRPr="00FB463B">
        <w:rPr>
          <w:rFonts w:cs="Arial"/>
          <w:szCs w:val="22"/>
        </w:rPr>
        <w:t xml:space="preserve"> </w:t>
      </w:r>
      <w:r w:rsidR="00883794" w:rsidRPr="00FB463B">
        <w:rPr>
          <w:rFonts w:cs="Arial"/>
          <w:szCs w:val="22"/>
        </w:rPr>
        <w:t>requirement under this category</w:t>
      </w:r>
      <w:r w:rsidR="00FA79C7" w:rsidRPr="00FB463B">
        <w:rPr>
          <w:rFonts w:cs="Arial"/>
          <w:szCs w:val="22"/>
        </w:rPr>
        <w:t>.</w:t>
      </w:r>
      <w:r w:rsidR="00FA79C7" w:rsidRPr="00FB463B">
        <w:rPr>
          <w:rFonts w:eastAsiaTheme="majorEastAsia" w:cs="Arial"/>
          <w:szCs w:val="22"/>
        </w:rPr>
        <w:t xml:space="preserve"> </w:t>
      </w:r>
      <w:r w:rsidR="00DE356A" w:rsidRPr="00FB463B">
        <w:rPr>
          <w:rFonts w:eastAsiaTheme="majorEastAsia" w:cstheme="majorBidi"/>
        </w:rPr>
        <w:t xml:space="preserve">However, with the requirement to resume the reporting of </w:t>
      </w:r>
      <w:r w:rsidR="001B6D18" w:rsidRPr="00FB463B">
        <w:rPr>
          <w:rFonts w:eastAsiaTheme="majorEastAsia" w:cstheme="majorBidi"/>
        </w:rPr>
        <w:t>the CCI</w:t>
      </w:r>
      <w:r w:rsidR="00537954" w:rsidRPr="00FB463B">
        <w:rPr>
          <w:rFonts w:eastAsiaTheme="majorEastAsia" w:cstheme="majorBidi"/>
        </w:rPr>
        <w:t xml:space="preserve"> on the 2</w:t>
      </w:r>
      <w:r w:rsidR="00DE356A" w:rsidRPr="00FB463B">
        <w:rPr>
          <w:rFonts w:eastAsiaTheme="majorEastAsia" w:cstheme="majorBidi"/>
        </w:rPr>
        <w:t xml:space="preserve">023 </w:t>
      </w:r>
      <w:r w:rsidR="00537954" w:rsidRPr="00FB463B">
        <w:rPr>
          <w:rFonts w:eastAsiaTheme="majorEastAsia" w:cstheme="majorBidi"/>
        </w:rPr>
        <w:t xml:space="preserve">Dashboard, </w:t>
      </w:r>
      <w:r w:rsidR="001B6D18" w:rsidRPr="00FB463B">
        <w:rPr>
          <w:rFonts w:eastAsiaTheme="majorEastAsia" w:cstheme="majorBidi"/>
        </w:rPr>
        <w:t>this state indicator</w:t>
      </w:r>
      <w:r w:rsidR="00DE356A" w:rsidRPr="00FB463B">
        <w:rPr>
          <w:rFonts w:eastAsiaTheme="majorEastAsia" w:cstheme="majorBidi"/>
        </w:rPr>
        <w:t xml:space="preserve"> will be displayed as </w:t>
      </w:r>
      <w:r w:rsidR="2038EA36" w:rsidRPr="00FB463B">
        <w:rPr>
          <w:rFonts w:eastAsiaTheme="majorEastAsia" w:cstheme="majorBidi"/>
        </w:rPr>
        <w:t>“Status only”</w:t>
      </w:r>
      <w:r w:rsidR="00691805" w:rsidRPr="00FB463B">
        <w:rPr>
          <w:rFonts w:eastAsiaTheme="majorEastAsia" w:cstheme="majorBidi"/>
        </w:rPr>
        <w:t xml:space="preserve">. Change and </w:t>
      </w:r>
      <w:r w:rsidR="006326C2" w:rsidRPr="00FB463B">
        <w:rPr>
          <w:rFonts w:eastAsiaTheme="majorEastAsia" w:cstheme="majorBidi"/>
        </w:rPr>
        <w:t>P</w:t>
      </w:r>
      <w:r w:rsidR="00691805" w:rsidRPr="00FB463B">
        <w:rPr>
          <w:rFonts w:eastAsiaTheme="majorEastAsia" w:cstheme="majorBidi"/>
        </w:rPr>
        <w:t xml:space="preserve">erformance </w:t>
      </w:r>
      <w:r w:rsidR="006326C2" w:rsidRPr="00FB463B">
        <w:rPr>
          <w:rFonts w:eastAsiaTheme="majorEastAsia" w:cstheme="majorBidi"/>
        </w:rPr>
        <w:t>L</w:t>
      </w:r>
      <w:r w:rsidR="00691805" w:rsidRPr="00FB463B">
        <w:rPr>
          <w:rFonts w:eastAsiaTheme="majorEastAsia" w:cstheme="majorBidi"/>
        </w:rPr>
        <w:t>evels (colors) will not be determined</w:t>
      </w:r>
      <w:r w:rsidR="2038EA36" w:rsidRPr="00FB463B">
        <w:rPr>
          <w:rFonts w:eastAsiaTheme="majorEastAsia" w:cstheme="majorBidi"/>
        </w:rPr>
        <w:t xml:space="preserve"> </w:t>
      </w:r>
      <w:r w:rsidR="00C12F67" w:rsidRPr="00FB463B">
        <w:rPr>
          <w:rFonts w:eastAsiaTheme="majorEastAsia" w:cstheme="majorBidi"/>
        </w:rPr>
        <w:t>as</w:t>
      </w:r>
      <w:r w:rsidR="2038EA36" w:rsidRPr="00FB463B">
        <w:rPr>
          <w:rFonts w:eastAsiaTheme="majorEastAsia" w:cstheme="majorBidi"/>
        </w:rPr>
        <w:t xml:space="preserve"> no prior year data is available.</w:t>
      </w:r>
    </w:p>
    <w:p w14:paraId="52D96730" w14:textId="20E04685" w:rsidR="2038EA36" w:rsidRPr="00FB463B" w:rsidRDefault="00E64BFA" w:rsidP="0C50CAC2">
      <w:pPr>
        <w:spacing w:after="240"/>
        <w:rPr>
          <w:rFonts w:eastAsiaTheme="majorEastAsia" w:cstheme="majorBidi"/>
        </w:rPr>
      </w:pPr>
      <w:r w:rsidRPr="00FB463B">
        <w:rPr>
          <w:rFonts w:eastAsiaTheme="majorEastAsia" w:cstheme="majorBidi"/>
        </w:rPr>
        <w:t>T</w:t>
      </w:r>
      <w:r w:rsidR="00CB2B8E" w:rsidRPr="00FB463B">
        <w:rPr>
          <w:rFonts w:eastAsiaTheme="majorEastAsia" w:cstheme="majorBidi"/>
        </w:rPr>
        <w:t xml:space="preserve">he CDE has </w:t>
      </w:r>
      <w:r w:rsidRPr="00FB463B">
        <w:rPr>
          <w:rFonts w:eastAsiaTheme="majorEastAsia" w:cstheme="majorBidi"/>
        </w:rPr>
        <w:t>also</w:t>
      </w:r>
      <w:r w:rsidR="00CB2B8E" w:rsidRPr="00FB463B">
        <w:rPr>
          <w:rFonts w:eastAsiaTheme="majorEastAsia" w:cstheme="majorBidi"/>
        </w:rPr>
        <w:t xml:space="preserve"> </w:t>
      </w:r>
      <w:r w:rsidR="005E6EF8" w:rsidRPr="00FB463B">
        <w:rPr>
          <w:rFonts w:eastAsiaTheme="majorEastAsia" w:cstheme="majorBidi"/>
        </w:rPr>
        <w:t>continu</w:t>
      </w:r>
      <w:r w:rsidRPr="00FB463B">
        <w:rPr>
          <w:rFonts w:eastAsiaTheme="majorEastAsia" w:cstheme="majorBidi"/>
        </w:rPr>
        <w:t>ed</w:t>
      </w:r>
      <w:r w:rsidR="00911FF1" w:rsidRPr="00FB463B">
        <w:rPr>
          <w:rFonts w:eastAsiaTheme="majorEastAsia" w:cstheme="majorBidi"/>
        </w:rPr>
        <w:t xml:space="preserve"> </w:t>
      </w:r>
      <w:r w:rsidRPr="00FB463B">
        <w:rPr>
          <w:rFonts w:eastAsiaTheme="majorEastAsia" w:cstheme="majorBidi"/>
        </w:rPr>
        <w:t xml:space="preserve">working toward the </w:t>
      </w:r>
      <w:r w:rsidR="006726D6" w:rsidRPr="00FB463B">
        <w:rPr>
          <w:rFonts w:eastAsiaTheme="majorEastAsia" w:cstheme="majorBidi"/>
        </w:rPr>
        <w:t>expan</w:t>
      </w:r>
      <w:r w:rsidRPr="00FB463B">
        <w:rPr>
          <w:rFonts w:eastAsiaTheme="majorEastAsia" w:cstheme="majorBidi"/>
        </w:rPr>
        <w:t>sion</w:t>
      </w:r>
      <w:r w:rsidR="006726D6" w:rsidRPr="00FB463B">
        <w:rPr>
          <w:rFonts w:eastAsiaTheme="majorEastAsia" w:cstheme="majorBidi"/>
        </w:rPr>
        <w:t xml:space="preserve"> </w:t>
      </w:r>
      <w:r w:rsidRPr="00FB463B">
        <w:rPr>
          <w:rFonts w:eastAsiaTheme="majorEastAsia" w:cstheme="majorBidi"/>
        </w:rPr>
        <w:t>of</w:t>
      </w:r>
      <w:r w:rsidR="00911FF1" w:rsidRPr="00FB463B">
        <w:rPr>
          <w:rFonts w:eastAsiaTheme="majorEastAsia" w:cstheme="majorBidi"/>
        </w:rPr>
        <w:t xml:space="preserve"> </w:t>
      </w:r>
      <w:r w:rsidR="006726D6" w:rsidRPr="00FB463B">
        <w:rPr>
          <w:rFonts w:eastAsiaTheme="majorEastAsia" w:cstheme="majorBidi"/>
        </w:rPr>
        <w:t xml:space="preserve">CCI </w:t>
      </w:r>
      <w:r w:rsidR="009E7D71" w:rsidRPr="00FB463B">
        <w:rPr>
          <w:rFonts w:eastAsiaTheme="majorEastAsia" w:cstheme="majorBidi"/>
        </w:rPr>
        <w:t>with new career measures</w:t>
      </w:r>
      <w:r w:rsidRPr="00FB463B">
        <w:rPr>
          <w:rFonts w:eastAsiaTheme="majorEastAsia" w:cstheme="majorBidi"/>
        </w:rPr>
        <w:t xml:space="preserve"> and the Seal of Civic Engagement, based on the SBE’s direction</w:t>
      </w:r>
      <w:r w:rsidR="009E7D71" w:rsidRPr="00FB463B">
        <w:rPr>
          <w:rFonts w:eastAsiaTheme="majorEastAsia" w:cstheme="majorBidi"/>
        </w:rPr>
        <w:t xml:space="preserve">. </w:t>
      </w:r>
      <w:r w:rsidR="007902E4" w:rsidRPr="00FB463B">
        <w:rPr>
          <w:rFonts w:eastAsiaTheme="majorEastAsia" w:cstheme="majorBidi"/>
        </w:rPr>
        <w:t>After defining and developing four new career measures with several interest group</w:t>
      </w:r>
      <w:r w:rsidR="002509FF" w:rsidRPr="00FB463B">
        <w:rPr>
          <w:rFonts w:eastAsiaTheme="majorEastAsia" w:cstheme="majorBidi"/>
        </w:rPr>
        <w:t>s</w:t>
      </w:r>
      <w:r w:rsidR="000F02D9" w:rsidRPr="00FB463B">
        <w:rPr>
          <w:rFonts w:eastAsiaTheme="majorEastAsia" w:cstheme="majorBidi"/>
        </w:rPr>
        <w:t xml:space="preserve"> in 2019</w:t>
      </w:r>
      <w:r w:rsidR="0085062D" w:rsidRPr="00FB463B">
        <w:rPr>
          <w:rFonts w:eastAsiaTheme="majorEastAsia" w:cstheme="majorBidi"/>
        </w:rPr>
        <w:t>–20</w:t>
      </w:r>
      <w:r w:rsidR="007902E4" w:rsidRPr="00FB463B">
        <w:rPr>
          <w:rFonts w:eastAsiaTheme="majorEastAsia" w:cstheme="majorBidi"/>
        </w:rPr>
        <w:t xml:space="preserve">, </w:t>
      </w:r>
      <w:r w:rsidR="00D92CDA" w:rsidRPr="00FB463B">
        <w:rPr>
          <w:rFonts w:eastAsiaTheme="majorEastAsia" w:cstheme="majorBidi"/>
        </w:rPr>
        <w:t>the CDE has b</w:t>
      </w:r>
      <w:r w:rsidR="00551687" w:rsidRPr="00FB463B">
        <w:rPr>
          <w:rFonts w:eastAsiaTheme="majorEastAsia" w:cstheme="majorBidi"/>
        </w:rPr>
        <w:t>een</w:t>
      </w:r>
      <w:r w:rsidR="0051781E" w:rsidRPr="00FB463B">
        <w:rPr>
          <w:rFonts w:eastAsiaTheme="majorEastAsia" w:cstheme="majorBidi"/>
        </w:rPr>
        <w:t xml:space="preserve"> collecting data on </w:t>
      </w:r>
      <w:r w:rsidR="00A06EEC" w:rsidRPr="00FB463B">
        <w:rPr>
          <w:rFonts w:eastAsiaTheme="majorEastAsia" w:cstheme="majorBidi"/>
        </w:rPr>
        <w:t xml:space="preserve">these new measures </w:t>
      </w:r>
      <w:r w:rsidR="0089039F" w:rsidRPr="00FB463B">
        <w:rPr>
          <w:rFonts w:eastAsiaTheme="majorEastAsia" w:cstheme="majorBidi"/>
        </w:rPr>
        <w:t>to conduct a</w:t>
      </w:r>
      <w:r w:rsidR="000F02D9" w:rsidRPr="00FB463B">
        <w:rPr>
          <w:rFonts w:eastAsiaTheme="majorEastAsia" w:cstheme="majorBidi"/>
        </w:rPr>
        <w:t xml:space="preserve"> thorough </w:t>
      </w:r>
      <w:r w:rsidR="2038EA36" w:rsidRPr="00FB463B">
        <w:rPr>
          <w:rFonts w:eastAsiaTheme="majorEastAsia" w:cstheme="majorBidi"/>
        </w:rPr>
        <w:t>review and analysis</w:t>
      </w:r>
      <w:r w:rsidR="0027259E" w:rsidRPr="00FB463B">
        <w:rPr>
          <w:rFonts w:eastAsiaTheme="majorEastAsia" w:cstheme="majorBidi"/>
        </w:rPr>
        <w:t xml:space="preserve"> of whether any of these measures should be included or excluded from the CCI</w:t>
      </w:r>
      <w:r w:rsidR="0089039F" w:rsidRPr="00FB463B">
        <w:rPr>
          <w:rFonts w:eastAsiaTheme="majorEastAsia" w:cstheme="majorBidi"/>
        </w:rPr>
        <w:t>. The C</w:t>
      </w:r>
      <w:r w:rsidR="004A723E" w:rsidRPr="00FB463B">
        <w:rPr>
          <w:rFonts w:eastAsiaTheme="majorEastAsia" w:cstheme="majorBidi"/>
        </w:rPr>
        <w:t>DE also explored the addition of</w:t>
      </w:r>
      <w:r w:rsidR="001A379E" w:rsidRPr="00FB463B">
        <w:rPr>
          <w:rFonts w:eastAsiaTheme="majorEastAsia" w:cstheme="majorBidi"/>
        </w:rPr>
        <w:t xml:space="preserve"> two new measures</w:t>
      </w:r>
      <w:r w:rsidR="004A723E" w:rsidRPr="00FB463B">
        <w:rPr>
          <w:rFonts w:eastAsiaTheme="majorEastAsia" w:cstheme="majorBidi"/>
        </w:rPr>
        <w:t>: civic engagement and industry certifications</w:t>
      </w:r>
      <w:r w:rsidR="00411635" w:rsidRPr="00FB463B">
        <w:rPr>
          <w:rFonts w:eastAsiaTheme="majorEastAsia" w:cstheme="majorBidi"/>
        </w:rPr>
        <w:t xml:space="preserve">. </w:t>
      </w:r>
      <w:r w:rsidR="002F138A" w:rsidRPr="00FB463B">
        <w:rPr>
          <w:rFonts w:eastAsiaTheme="majorEastAsia" w:cstheme="majorBidi"/>
        </w:rPr>
        <w:t>Furthermore, with the c</w:t>
      </w:r>
      <w:r w:rsidR="00411635" w:rsidRPr="00FB463B">
        <w:rPr>
          <w:rFonts w:eastAsiaTheme="majorEastAsia" w:cstheme="majorBidi"/>
        </w:rPr>
        <w:t xml:space="preserve">hanging landscape of </w:t>
      </w:r>
      <w:r w:rsidR="00275C71" w:rsidRPr="00FB463B">
        <w:rPr>
          <w:rFonts w:eastAsiaTheme="majorEastAsia" w:cstheme="majorBidi"/>
        </w:rPr>
        <w:t>implementing career activities in high schools</w:t>
      </w:r>
      <w:r w:rsidR="00F94FA6" w:rsidRPr="00FB463B">
        <w:rPr>
          <w:rFonts w:eastAsiaTheme="majorEastAsia" w:cstheme="majorBidi"/>
        </w:rPr>
        <w:t>, the CDE</w:t>
      </w:r>
      <w:r w:rsidR="008F7232" w:rsidRPr="00FB463B">
        <w:rPr>
          <w:rFonts w:eastAsiaTheme="majorEastAsia" w:cstheme="majorBidi"/>
        </w:rPr>
        <w:t xml:space="preserve"> </w:t>
      </w:r>
      <w:r w:rsidR="0010054D" w:rsidRPr="00FB463B">
        <w:rPr>
          <w:rFonts w:eastAsiaTheme="majorEastAsia" w:cstheme="majorBidi"/>
        </w:rPr>
        <w:t xml:space="preserve">reviewed </w:t>
      </w:r>
      <w:r w:rsidR="00A45425" w:rsidRPr="00FB463B">
        <w:rPr>
          <w:rFonts w:eastAsiaTheme="majorEastAsia" w:cstheme="majorBidi"/>
        </w:rPr>
        <w:t xml:space="preserve">the </w:t>
      </w:r>
      <w:r w:rsidR="0010054D" w:rsidRPr="00FB463B">
        <w:rPr>
          <w:rFonts w:eastAsiaTheme="majorEastAsia" w:cstheme="majorBidi"/>
        </w:rPr>
        <w:t xml:space="preserve">current CCI </w:t>
      </w:r>
      <w:r w:rsidR="00F63F03" w:rsidRPr="00FB463B">
        <w:rPr>
          <w:rFonts w:eastAsiaTheme="majorEastAsia" w:cstheme="majorBidi"/>
        </w:rPr>
        <w:t xml:space="preserve">career </w:t>
      </w:r>
      <w:r w:rsidR="0010054D" w:rsidRPr="00FB463B">
        <w:rPr>
          <w:rFonts w:eastAsiaTheme="majorEastAsia" w:cstheme="majorBidi"/>
        </w:rPr>
        <w:t xml:space="preserve">measures to determine </w:t>
      </w:r>
      <w:r w:rsidR="00033CCE" w:rsidRPr="00FB463B">
        <w:rPr>
          <w:rFonts w:eastAsiaTheme="majorEastAsia" w:cstheme="majorBidi"/>
        </w:rPr>
        <w:t xml:space="preserve">if </w:t>
      </w:r>
      <w:r w:rsidR="007818DF" w:rsidRPr="00FB463B">
        <w:rPr>
          <w:rFonts w:eastAsiaTheme="majorEastAsia" w:cstheme="majorBidi"/>
        </w:rPr>
        <w:t>any adjustments</w:t>
      </w:r>
      <w:r w:rsidR="00033CCE" w:rsidRPr="00FB463B">
        <w:rPr>
          <w:rFonts w:eastAsiaTheme="majorEastAsia" w:cstheme="majorBidi"/>
        </w:rPr>
        <w:t xml:space="preserve"> </w:t>
      </w:r>
      <w:r w:rsidR="007B075F" w:rsidRPr="00FB463B">
        <w:rPr>
          <w:rFonts w:eastAsiaTheme="majorEastAsia" w:cstheme="majorBidi"/>
        </w:rPr>
        <w:t>were</w:t>
      </w:r>
      <w:r w:rsidR="00033CCE" w:rsidRPr="00FB463B">
        <w:rPr>
          <w:rFonts w:eastAsiaTheme="majorEastAsia" w:cstheme="majorBidi"/>
        </w:rPr>
        <w:t xml:space="preserve"> needed</w:t>
      </w:r>
      <w:r w:rsidR="00F63F03" w:rsidRPr="00FB463B">
        <w:rPr>
          <w:rFonts w:eastAsiaTheme="majorEastAsia" w:cstheme="majorBidi"/>
        </w:rPr>
        <w:t>.</w:t>
      </w:r>
      <w:r w:rsidR="0010054D" w:rsidRPr="00FB463B">
        <w:rPr>
          <w:rFonts w:eastAsiaTheme="majorEastAsia" w:cstheme="majorBidi"/>
        </w:rPr>
        <w:t xml:space="preserve"> </w:t>
      </w:r>
      <w:r w:rsidR="2038EA36" w:rsidRPr="00FB463B">
        <w:rPr>
          <w:rFonts w:eastAsiaTheme="majorEastAsia" w:cstheme="majorBidi"/>
        </w:rPr>
        <w:t xml:space="preserve">The following </w:t>
      </w:r>
      <w:r w:rsidR="0033407F" w:rsidRPr="00FB463B">
        <w:rPr>
          <w:rFonts w:eastAsiaTheme="majorEastAsia" w:cstheme="majorBidi"/>
        </w:rPr>
        <w:t>provides the latest update</w:t>
      </w:r>
      <w:r w:rsidR="00724652" w:rsidRPr="00FB463B">
        <w:rPr>
          <w:rFonts w:eastAsiaTheme="majorEastAsia" w:cstheme="majorBidi"/>
        </w:rPr>
        <w:t>s</w:t>
      </w:r>
      <w:r w:rsidR="0033407F" w:rsidRPr="00FB463B">
        <w:rPr>
          <w:rFonts w:eastAsiaTheme="majorEastAsia" w:cstheme="majorBidi"/>
        </w:rPr>
        <w:t xml:space="preserve"> </w:t>
      </w:r>
      <w:r w:rsidR="002F53EF" w:rsidRPr="00FB463B">
        <w:rPr>
          <w:rFonts w:eastAsiaTheme="majorEastAsia" w:cstheme="majorBidi"/>
        </w:rPr>
        <w:t>on</w:t>
      </w:r>
      <w:r w:rsidR="00DD5209" w:rsidRPr="00FB463B">
        <w:rPr>
          <w:rFonts w:eastAsiaTheme="majorEastAsia" w:cstheme="majorBidi"/>
        </w:rPr>
        <w:t xml:space="preserve"> this work.</w:t>
      </w:r>
    </w:p>
    <w:p w14:paraId="0D9C0E62" w14:textId="693FF2A6" w:rsidR="2038EA36" w:rsidRPr="00FB463B" w:rsidRDefault="2038EA36" w:rsidP="002419A7">
      <w:pPr>
        <w:spacing w:before="960" w:after="240"/>
        <w:rPr>
          <w:rFonts w:eastAsiaTheme="majorEastAsia" w:cstheme="majorBidi"/>
          <w:i/>
          <w:iCs/>
        </w:rPr>
      </w:pPr>
      <w:r w:rsidRPr="00FB463B">
        <w:rPr>
          <w:rFonts w:eastAsiaTheme="majorEastAsia" w:cstheme="majorBidi"/>
          <w:i/>
          <w:iCs/>
        </w:rPr>
        <w:lastRenderedPageBreak/>
        <w:t>Review and Analysis of Four New Career Measures</w:t>
      </w:r>
    </w:p>
    <w:p w14:paraId="36C9085C" w14:textId="71AF5933" w:rsidR="2038EA36" w:rsidRPr="00FB463B" w:rsidRDefault="00551687" w:rsidP="002C7472">
      <w:pPr>
        <w:spacing w:after="240"/>
        <w:rPr>
          <w:rFonts w:eastAsiaTheme="majorEastAsia" w:cstheme="majorBidi"/>
        </w:rPr>
      </w:pPr>
      <w:r w:rsidRPr="00FB463B">
        <w:rPr>
          <w:rFonts w:eastAsiaTheme="majorEastAsia" w:cstheme="majorBidi"/>
        </w:rPr>
        <w:t>In 2020–21</w:t>
      </w:r>
      <w:r w:rsidR="00C5664D" w:rsidRPr="00FB463B">
        <w:rPr>
          <w:rFonts w:eastAsiaTheme="majorEastAsia" w:cstheme="majorBidi"/>
        </w:rPr>
        <w:t>, t</w:t>
      </w:r>
      <w:r w:rsidR="00435C27" w:rsidRPr="00FB463B">
        <w:rPr>
          <w:rFonts w:eastAsiaTheme="majorEastAsia" w:cstheme="majorBidi"/>
        </w:rPr>
        <w:t xml:space="preserve">he CDE began collecting data on four new career </w:t>
      </w:r>
      <w:r w:rsidR="00DC0E66" w:rsidRPr="00FB463B">
        <w:rPr>
          <w:rFonts w:eastAsiaTheme="majorEastAsia" w:cstheme="majorBidi"/>
        </w:rPr>
        <w:t>measures</w:t>
      </w:r>
      <w:r w:rsidR="00C0353A" w:rsidRPr="00FB463B">
        <w:rPr>
          <w:rFonts w:eastAsiaTheme="majorEastAsia" w:cstheme="majorBidi"/>
        </w:rPr>
        <w:t xml:space="preserve"> that could potentially be included in the CCI</w:t>
      </w:r>
      <w:r w:rsidR="00435C27" w:rsidRPr="00FB463B">
        <w:rPr>
          <w:rFonts w:eastAsiaTheme="majorEastAsia" w:cstheme="majorBidi"/>
        </w:rPr>
        <w:t>. The</w:t>
      </w:r>
      <w:r w:rsidR="0061014F" w:rsidRPr="00FB463B">
        <w:rPr>
          <w:rFonts w:eastAsiaTheme="majorEastAsia" w:cstheme="majorBidi"/>
        </w:rPr>
        <w:t xml:space="preserve"> following</w:t>
      </w:r>
      <w:r w:rsidR="00435C27" w:rsidRPr="00FB463B">
        <w:rPr>
          <w:rFonts w:eastAsiaTheme="majorEastAsia" w:cstheme="majorBidi"/>
        </w:rPr>
        <w:t xml:space="preserve"> </w:t>
      </w:r>
      <w:r w:rsidR="2038EA36" w:rsidRPr="00FB463B">
        <w:rPr>
          <w:rFonts w:eastAsiaTheme="majorEastAsia" w:cstheme="majorBidi"/>
        </w:rPr>
        <w:t xml:space="preserve">career measures were developed with feedback from </w:t>
      </w:r>
      <w:r w:rsidR="00D52FEB" w:rsidRPr="00FB463B">
        <w:rPr>
          <w:rFonts w:eastAsiaTheme="majorEastAsia" w:cstheme="majorBidi"/>
        </w:rPr>
        <w:t xml:space="preserve">the public and educational partners including </w:t>
      </w:r>
      <w:r w:rsidR="2038EA36" w:rsidRPr="00FB463B">
        <w:rPr>
          <w:rFonts w:eastAsiaTheme="majorEastAsia" w:cstheme="majorBidi"/>
        </w:rPr>
        <w:t>the CCI Work Group, Alternative Schools Task Force, T</w:t>
      </w:r>
      <w:r w:rsidR="00A1513A" w:rsidRPr="00FB463B">
        <w:rPr>
          <w:rFonts w:eastAsiaTheme="majorEastAsia" w:cstheme="majorBidi"/>
        </w:rPr>
        <w:t>DG</w:t>
      </w:r>
      <w:r w:rsidR="2038EA36" w:rsidRPr="00FB463B">
        <w:rPr>
          <w:rFonts w:eastAsiaTheme="majorEastAsia" w:cstheme="majorBidi"/>
        </w:rPr>
        <w:t>, and C</w:t>
      </w:r>
      <w:r w:rsidR="00A1513A" w:rsidRPr="00FB463B">
        <w:rPr>
          <w:rFonts w:eastAsiaTheme="majorEastAsia" w:cstheme="majorBidi"/>
        </w:rPr>
        <w:t>PAG</w:t>
      </w:r>
      <w:r w:rsidR="2038EA36" w:rsidRPr="00FB463B">
        <w:rPr>
          <w:rFonts w:eastAsiaTheme="majorEastAsia" w:cstheme="majorBidi"/>
        </w:rPr>
        <w:t xml:space="preserve">: </w:t>
      </w:r>
    </w:p>
    <w:p w14:paraId="09E4757F" w14:textId="77777777" w:rsidR="2038EA36" w:rsidRPr="00FB463B" w:rsidRDefault="2038EA36" w:rsidP="002419A7">
      <w:pPr>
        <w:pStyle w:val="ListParagraph"/>
        <w:numPr>
          <w:ilvl w:val="0"/>
          <w:numId w:val="11"/>
        </w:numPr>
        <w:spacing w:after="0"/>
        <w:rPr>
          <w:rFonts w:eastAsiaTheme="majorEastAsia" w:cstheme="majorBidi"/>
        </w:rPr>
      </w:pPr>
      <w:r w:rsidRPr="00FB463B">
        <w:rPr>
          <w:rFonts w:eastAsiaTheme="majorEastAsia" w:cstheme="majorBidi"/>
        </w:rPr>
        <w:t>Internships</w:t>
      </w:r>
    </w:p>
    <w:p w14:paraId="4722D999" w14:textId="77777777" w:rsidR="2038EA36" w:rsidRPr="00FB463B" w:rsidRDefault="2038EA36" w:rsidP="002419A7">
      <w:pPr>
        <w:pStyle w:val="ListParagraph"/>
        <w:numPr>
          <w:ilvl w:val="0"/>
          <w:numId w:val="11"/>
        </w:numPr>
        <w:spacing w:after="0"/>
        <w:rPr>
          <w:rFonts w:eastAsiaTheme="majorEastAsia" w:cstheme="majorBidi"/>
        </w:rPr>
      </w:pPr>
      <w:r w:rsidRPr="00FB463B">
        <w:rPr>
          <w:rFonts w:eastAsiaTheme="majorEastAsia" w:cstheme="majorBidi"/>
        </w:rPr>
        <w:t>Student-led enterprise</w:t>
      </w:r>
    </w:p>
    <w:p w14:paraId="781C4BD6" w14:textId="5A02442D" w:rsidR="2038EA36" w:rsidRPr="00FB463B" w:rsidRDefault="2038EA36" w:rsidP="002419A7">
      <w:pPr>
        <w:pStyle w:val="ListParagraph"/>
        <w:numPr>
          <w:ilvl w:val="0"/>
          <w:numId w:val="11"/>
        </w:numPr>
        <w:spacing w:after="0"/>
        <w:rPr>
          <w:rFonts w:eastAsiaTheme="majorEastAsia" w:cstheme="majorBidi"/>
        </w:rPr>
      </w:pPr>
      <w:r w:rsidRPr="00FB463B">
        <w:rPr>
          <w:rFonts w:eastAsiaTheme="majorEastAsia" w:cstheme="majorBidi"/>
        </w:rPr>
        <w:t>Simulated work-based learning</w:t>
      </w:r>
      <w:r w:rsidR="00A305E9" w:rsidRPr="00FB463B">
        <w:rPr>
          <w:rFonts w:eastAsiaTheme="majorEastAsia" w:cstheme="majorBidi"/>
        </w:rPr>
        <w:t xml:space="preserve"> (Simulated WBL)</w:t>
      </w:r>
    </w:p>
    <w:p w14:paraId="0609E5A2" w14:textId="4FC96258" w:rsidR="2038EA36" w:rsidRPr="00FB463B" w:rsidRDefault="2038EA36" w:rsidP="002419A7">
      <w:pPr>
        <w:pStyle w:val="ListParagraph"/>
        <w:numPr>
          <w:ilvl w:val="0"/>
          <w:numId w:val="11"/>
        </w:numPr>
        <w:spacing w:after="0"/>
        <w:rPr>
          <w:rFonts w:eastAsiaTheme="majorEastAsia" w:cstheme="majorBidi"/>
        </w:rPr>
      </w:pPr>
      <w:r w:rsidRPr="00FB463B">
        <w:rPr>
          <w:rFonts w:cstheme="majorBidi"/>
        </w:rPr>
        <w:t>Armed Services Vocational Aptitude Battery</w:t>
      </w:r>
      <w:r w:rsidRPr="00FB463B">
        <w:rPr>
          <w:rFonts w:eastAsiaTheme="majorEastAsia" w:cstheme="majorBidi"/>
        </w:rPr>
        <w:t xml:space="preserve"> (ASVAB)</w:t>
      </w:r>
    </w:p>
    <w:p w14:paraId="17767372" w14:textId="66A344DD" w:rsidR="2038EA36" w:rsidRPr="00FB463B" w:rsidRDefault="009D3A00" w:rsidP="002C7472">
      <w:pPr>
        <w:spacing w:before="240" w:after="240"/>
        <w:rPr>
          <w:rFonts w:eastAsiaTheme="majorEastAsia" w:cs="Arial"/>
        </w:rPr>
      </w:pPr>
      <w:r w:rsidRPr="00FB463B">
        <w:rPr>
          <w:rFonts w:eastAsiaTheme="majorEastAsia" w:cstheme="majorBidi"/>
        </w:rPr>
        <w:t>With</w:t>
      </w:r>
      <w:r w:rsidR="00FE626F" w:rsidRPr="00FB463B">
        <w:rPr>
          <w:rFonts w:eastAsiaTheme="majorEastAsia" w:cstheme="majorBidi"/>
        </w:rPr>
        <w:t xml:space="preserve"> </w:t>
      </w:r>
      <w:r w:rsidR="00DD5209" w:rsidRPr="00FB463B">
        <w:rPr>
          <w:rFonts w:eastAsiaTheme="majorEastAsia" w:cstheme="majorBidi"/>
        </w:rPr>
        <w:t>two year</w:t>
      </w:r>
      <w:r w:rsidR="0019474F" w:rsidRPr="00FB463B">
        <w:rPr>
          <w:rFonts w:eastAsiaTheme="majorEastAsia" w:cstheme="majorBidi"/>
        </w:rPr>
        <w:t>s of data</w:t>
      </w:r>
      <w:r w:rsidR="003A4EAE" w:rsidRPr="00FB463B">
        <w:rPr>
          <w:rFonts w:eastAsiaTheme="majorEastAsia" w:cstheme="majorBidi"/>
        </w:rPr>
        <w:t xml:space="preserve"> </w:t>
      </w:r>
      <w:r w:rsidR="007F4B2A" w:rsidRPr="00FB463B">
        <w:rPr>
          <w:rFonts w:eastAsiaTheme="majorEastAsia" w:cstheme="majorBidi"/>
        </w:rPr>
        <w:t xml:space="preserve">(i.e., 2020–21 and 2021–22) </w:t>
      </w:r>
      <w:r w:rsidR="0061014F" w:rsidRPr="00FB463B">
        <w:rPr>
          <w:rFonts w:eastAsiaTheme="majorEastAsia" w:cstheme="majorBidi"/>
        </w:rPr>
        <w:t xml:space="preserve">now </w:t>
      </w:r>
      <w:r w:rsidR="00755165" w:rsidRPr="00FB463B">
        <w:rPr>
          <w:rFonts w:eastAsiaTheme="majorEastAsia" w:cstheme="majorBidi"/>
        </w:rPr>
        <w:t>collected</w:t>
      </w:r>
      <w:r w:rsidR="007F4B2A" w:rsidRPr="00FB463B">
        <w:rPr>
          <w:rFonts w:eastAsiaTheme="majorEastAsia" w:cstheme="majorBidi"/>
        </w:rPr>
        <w:t xml:space="preserve"> for these measures</w:t>
      </w:r>
      <w:r w:rsidR="0019474F" w:rsidRPr="00FB463B">
        <w:rPr>
          <w:rFonts w:eastAsiaTheme="majorEastAsia" w:cstheme="majorBidi"/>
        </w:rPr>
        <w:t xml:space="preserve">, the CDE </w:t>
      </w:r>
      <w:r w:rsidR="00554FB3" w:rsidRPr="00FB463B">
        <w:rPr>
          <w:rFonts w:eastAsiaTheme="majorEastAsia" w:cstheme="majorBidi"/>
        </w:rPr>
        <w:t>was prepared</w:t>
      </w:r>
      <w:r w:rsidR="004538AD" w:rsidRPr="00FB463B">
        <w:rPr>
          <w:rFonts w:eastAsiaTheme="majorEastAsia" w:cstheme="majorBidi"/>
        </w:rPr>
        <w:t xml:space="preserve">, as common </w:t>
      </w:r>
      <w:r w:rsidR="000F63B9" w:rsidRPr="00FB463B">
        <w:rPr>
          <w:rFonts w:eastAsiaTheme="majorEastAsia" w:cstheme="majorBidi"/>
        </w:rPr>
        <w:t>practice</w:t>
      </w:r>
      <w:r w:rsidR="00DA365C" w:rsidRPr="00FB463B">
        <w:rPr>
          <w:rFonts w:eastAsiaTheme="majorEastAsia" w:cstheme="majorBidi"/>
        </w:rPr>
        <w:t>,</w:t>
      </w:r>
      <w:r w:rsidR="00554FB3" w:rsidRPr="00FB463B">
        <w:rPr>
          <w:rFonts w:eastAsiaTheme="majorEastAsia" w:cstheme="majorBidi"/>
        </w:rPr>
        <w:t xml:space="preserve"> to review and analyze </w:t>
      </w:r>
      <w:r w:rsidR="0019474F" w:rsidRPr="00FB463B">
        <w:rPr>
          <w:rFonts w:eastAsiaTheme="majorEastAsia" w:cstheme="majorBidi"/>
        </w:rPr>
        <w:t>the</w:t>
      </w:r>
      <w:r w:rsidR="00033CCE" w:rsidRPr="00FB463B">
        <w:rPr>
          <w:rFonts w:eastAsiaTheme="majorEastAsia" w:cstheme="majorBidi"/>
        </w:rPr>
        <w:t>se</w:t>
      </w:r>
      <w:r w:rsidR="0019474F" w:rsidRPr="00FB463B">
        <w:rPr>
          <w:rFonts w:eastAsiaTheme="majorEastAsia" w:cstheme="majorBidi"/>
        </w:rPr>
        <w:t xml:space="preserve"> data with the </w:t>
      </w:r>
      <w:r w:rsidR="2038EA36" w:rsidRPr="00FB463B">
        <w:rPr>
          <w:rFonts w:eastAsiaTheme="majorEastAsia" w:cstheme="majorBidi"/>
        </w:rPr>
        <w:t>above-mentioned groups to</w:t>
      </w:r>
      <w:r w:rsidR="00DF40C3" w:rsidRPr="00FB463B">
        <w:rPr>
          <w:rFonts w:eastAsiaTheme="majorEastAsia" w:cstheme="majorBidi"/>
        </w:rPr>
        <w:t xml:space="preserve"> receive feedback </w:t>
      </w:r>
      <w:r w:rsidR="0078046A" w:rsidRPr="00FB463B">
        <w:rPr>
          <w:rFonts w:eastAsiaTheme="majorEastAsia" w:cstheme="majorBidi"/>
        </w:rPr>
        <w:t>as to</w:t>
      </w:r>
      <w:r w:rsidR="00DF40C3" w:rsidRPr="00FB463B">
        <w:rPr>
          <w:rFonts w:eastAsiaTheme="majorEastAsia" w:cstheme="majorBidi"/>
        </w:rPr>
        <w:t xml:space="preserve"> whether</w:t>
      </w:r>
      <w:r w:rsidR="2038EA36" w:rsidRPr="00FB463B">
        <w:rPr>
          <w:rFonts w:eastAsiaTheme="majorEastAsia" w:cstheme="majorBidi"/>
        </w:rPr>
        <w:t xml:space="preserve">: (1) these new career measures </w:t>
      </w:r>
      <w:r w:rsidR="00DF40C3" w:rsidRPr="00FB463B">
        <w:rPr>
          <w:rFonts w:eastAsiaTheme="majorEastAsia" w:cstheme="majorBidi"/>
        </w:rPr>
        <w:t>should be included in the CCI an</w:t>
      </w:r>
      <w:r w:rsidR="2038EA36" w:rsidRPr="00FB463B">
        <w:rPr>
          <w:rFonts w:eastAsiaTheme="majorEastAsia" w:cstheme="majorBidi"/>
        </w:rPr>
        <w:t>d (2) what the “prepared” and “approaching prepared” criteria should be for graduates.</w:t>
      </w:r>
    </w:p>
    <w:p w14:paraId="2E0CDE7E" w14:textId="6DCD97CA" w:rsidR="004538AD" w:rsidRPr="00FB463B" w:rsidRDefault="00E06CD2" w:rsidP="004538AD">
      <w:pPr>
        <w:spacing w:before="240" w:after="240"/>
        <w:rPr>
          <w:rFonts w:eastAsiaTheme="majorEastAsia" w:cs="Arial"/>
        </w:rPr>
      </w:pPr>
      <w:r w:rsidRPr="00FB463B">
        <w:rPr>
          <w:rFonts w:eastAsiaTheme="majorEastAsia" w:cstheme="majorBidi"/>
        </w:rPr>
        <w:t xml:space="preserve">However, </w:t>
      </w:r>
      <w:r w:rsidR="003B0F15" w:rsidRPr="00FB463B">
        <w:rPr>
          <w:rFonts w:eastAsiaTheme="majorEastAsia" w:cstheme="majorBidi"/>
        </w:rPr>
        <w:t>an</w:t>
      </w:r>
      <w:r w:rsidR="00663D8B" w:rsidRPr="00FB463B">
        <w:rPr>
          <w:rFonts w:eastAsiaTheme="majorEastAsia" w:cstheme="majorBidi"/>
        </w:rPr>
        <w:t xml:space="preserve"> </w:t>
      </w:r>
      <w:r w:rsidR="0055281F" w:rsidRPr="00FB463B">
        <w:rPr>
          <w:rFonts w:eastAsiaTheme="majorEastAsia" w:cstheme="majorBidi"/>
        </w:rPr>
        <w:t xml:space="preserve">examination of the </w:t>
      </w:r>
      <w:r w:rsidR="0088318E" w:rsidRPr="00FB463B">
        <w:rPr>
          <w:rFonts w:eastAsiaTheme="majorEastAsia" w:cstheme="majorBidi"/>
        </w:rPr>
        <w:t xml:space="preserve">general statewide </w:t>
      </w:r>
      <w:r w:rsidR="00BF593B" w:rsidRPr="00FB463B">
        <w:rPr>
          <w:rFonts w:eastAsiaTheme="majorEastAsia" w:cstheme="majorBidi"/>
        </w:rPr>
        <w:t>completion</w:t>
      </w:r>
      <w:r w:rsidR="00AA1364" w:rsidRPr="00FB463B">
        <w:rPr>
          <w:rFonts w:eastAsiaTheme="majorEastAsia" w:cstheme="majorBidi"/>
        </w:rPr>
        <w:t xml:space="preserve"> </w:t>
      </w:r>
      <w:r w:rsidR="00F921BF" w:rsidRPr="00FB463B">
        <w:rPr>
          <w:rFonts w:eastAsiaTheme="majorEastAsia" w:cstheme="majorBidi"/>
        </w:rPr>
        <w:t>data for</w:t>
      </w:r>
      <w:r w:rsidR="00AA1364" w:rsidRPr="00FB463B">
        <w:rPr>
          <w:rFonts w:eastAsiaTheme="majorEastAsia" w:cstheme="majorBidi"/>
        </w:rPr>
        <w:t xml:space="preserve"> each </w:t>
      </w:r>
      <w:r w:rsidR="00F921BF" w:rsidRPr="00FB463B">
        <w:rPr>
          <w:rFonts w:eastAsiaTheme="majorEastAsia" w:cstheme="majorBidi"/>
        </w:rPr>
        <w:t xml:space="preserve">career measure </w:t>
      </w:r>
      <w:r w:rsidR="00FE730F" w:rsidRPr="00FB463B">
        <w:rPr>
          <w:rFonts w:eastAsiaTheme="majorEastAsia" w:cstheme="majorBidi"/>
        </w:rPr>
        <w:t xml:space="preserve">revealed </w:t>
      </w:r>
      <w:r w:rsidR="00BF593B" w:rsidRPr="00FB463B">
        <w:rPr>
          <w:rFonts w:eastAsiaTheme="majorEastAsia" w:cstheme="majorBidi"/>
        </w:rPr>
        <w:t xml:space="preserve">low counts </w:t>
      </w:r>
      <w:r w:rsidR="00C20D2D" w:rsidRPr="00FB463B">
        <w:rPr>
          <w:rFonts w:eastAsiaTheme="majorEastAsia" w:cstheme="majorBidi"/>
        </w:rPr>
        <w:t>for the</w:t>
      </w:r>
      <w:r w:rsidR="00F47901" w:rsidRPr="00FB463B">
        <w:rPr>
          <w:rFonts w:eastAsiaTheme="majorEastAsia" w:cstheme="majorBidi"/>
        </w:rPr>
        <w:t xml:space="preserve"> </w:t>
      </w:r>
      <w:r w:rsidR="003B0F15" w:rsidRPr="00FB463B">
        <w:rPr>
          <w:rFonts w:eastAsiaTheme="majorEastAsia" w:cstheme="majorBidi"/>
        </w:rPr>
        <w:t>initial data collection (2020–21</w:t>
      </w:r>
      <w:r w:rsidR="0057647D" w:rsidRPr="00FB463B">
        <w:rPr>
          <w:rFonts w:eastAsiaTheme="majorEastAsia" w:cstheme="majorBidi"/>
        </w:rPr>
        <w:t xml:space="preserve"> </w:t>
      </w:r>
      <w:r w:rsidR="00C20D2D" w:rsidRPr="00FB463B">
        <w:rPr>
          <w:rFonts w:eastAsiaTheme="majorEastAsia" w:cstheme="majorBidi"/>
        </w:rPr>
        <w:t>school year</w:t>
      </w:r>
      <w:r w:rsidR="003B0F15" w:rsidRPr="00FB463B">
        <w:rPr>
          <w:rFonts w:eastAsiaTheme="majorEastAsia" w:cstheme="majorBidi"/>
        </w:rPr>
        <w:t xml:space="preserve">) </w:t>
      </w:r>
      <w:r w:rsidR="003A5FBF" w:rsidRPr="00FB463B">
        <w:rPr>
          <w:rFonts w:eastAsiaTheme="majorEastAsia" w:cstheme="majorBidi"/>
        </w:rPr>
        <w:t>compared to the</w:t>
      </w:r>
      <w:r w:rsidR="00C20D2D" w:rsidRPr="00FB463B">
        <w:rPr>
          <w:rFonts w:eastAsiaTheme="majorEastAsia" w:cstheme="majorBidi"/>
        </w:rPr>
        <w:t xml:space="preserve"> </w:t>
      </w:r>
      <w:r w:rsidR="00E64BFA" w:rsidRPr="00FB463B">
        <w:rPr>
          <w:rFonts w:eastAsiaTheme="majorEastAsia" w:cstheme="majorBidi"/>
        </w:rPr>
        <w:t>second-year</w:t>
      </w:r>
      <w:r w:rsidR="003A5FBF" w:rsidRPr="00FB463B">
        <w:rPr>
          <w:rFonts w:eastAsiaTheme="majorEastAsia" w:cstheme="majorBidi"/>
        </w:rPr>
        <w:t xml:space="preserve"> data collection (2021–22) </w:t>
      </w:r>
      <w:r w:rsidR="002901CA" w:rsidRPr="00FB463B">
        <w:rPr>
          <w:rFonts w:eastAsiaTheme="majorEastAsia" w:cstheme="majorBidi"/>
        </w:rPr>
        <w:t xml:space="preserve">as </w:t>
      </w:r>
      <w:r w:rsidR="00515430" w:rsidRPr="00FB463B">
        <w:rPr>
          <w:rFonts w:eastAsiaTheme="majorEastAsia" w:cstheme="majorBidi"/>
        </w:rPr>
        <w:t>shown</w:t>
      </w:r>
      <w:r w:rsidR="002901CA" w:rsidRPr="00FB463B">
        <w:rPr>
          <w:rFonts w:eastAsiaTheme="majorEastAsia" w:cstheme="majorBidi"/>
        </w:rPr>
        <w:t xml:space="preserve"> in Table </w:t>
      </w:r>
      <w:r w:rsidR="00992BCF" w:rsidRPr="00FB463B">
        <w:rPr>
          <w:rFonts w:eastAsiaTheme="majorEastAsia" w:cstheme="majorBidi"/>
        </w:rPr>
        <w:t>8 below</w:t>
      </w:r>
      <w:r w:rsidR="00C20D2D" w:rsidRPr="00FB463B">
        <w:rPr>
          <w:rFonts w:eastAsiaTheme="majorEastAsia" w:cstheme="majorBidi"/>
        </w:rPr>
        <w:t xml:space="preserve">. </w:t>
      </w:r>
      <w:r w:rsidR="00E64BFA" w:rsidRPr="00FB463B">
        <w:rPr>
          <w:rFonts w:eastAsiaTheme="majorEastAsia" w:cstheme="majorBidi"/>
        </w:rPr>
        <w:t xml:space="preserve">This may be due to the challenges </w:t>
      </w:r>
      <w:r w:rsidR="00542938" w:rsidRPr="00FB463B">
        <w:rPr>
          <w:rFonts w:eastAsiaTheme="majorEastAsia" w:cstheme="majorBidi"/>
        </w:rPr>
        <w:t xml:space="preserve">of implementing </w:t>
      </w:r>
      <w:r w:rsidR="00013B23" w:rsidRPr="00FB463B">
        <w:rPr>
          <w:rFonts w:eastAsiaTheme="majorEastAsia" w:cstheme="majorBidi"/>
        </w:rPr>
        <w:t xml:space="preserve">work-based learning activities </w:t>
      </w:r>
      <w:r w:rsidR="00542938" w:rsidRPr="00FB463B">
        <w:rPr>
          <w:rFonts w:eastAsiaTheme="majorEastAsia" w:cstheme="majorBidi"/>
        </w:rPr>
        <w:t>during</w:t>
      </w:r>
      <w:r w:rsidR="00FC5C86" w:rsidRPr="00FB463B">
        <w:rPr>
          <w:rFonts w:eastAsiaTheme="majorEastAsia" w:cstheme="majorBidi"/>
        </w:rPr>
        <w:t xml:space="preserve"> the COVID-19 pandemic</w:t>
      </w:r>
      <w:r w:rsidR="00542938" w:rsidRPr="00FB463B">
        <w:rPr>
          <w:rFonts w:eastAsiaTheme="majorEastAsia" w:cstheme="majorBidi"/>
        </w:rPr>
        <w:t xml:space="preserve"> or of the collection of a new data set.</w:t>
      </w:r>
      <w:r w:rsidR="00FC5C86" w:rsidRPr="00FB463B">
        <w:rPr>
          <w:rFonts w:eastAsiaTheme="majorEastAsia" w:cstheme="majorBidi"/>
        </w:rPr>
        <w:t xml:space="preserve"> </w:t>
      </w:r>
      <w:r w:rsidR="004538AD" w:rsidRPr="00FB463B">
        <w:rPr>
          <w:rFonts w:eastAsiaTheme="majorEastAsia" w:cstheme="majorBidi"/>
        </w:rPr>
        <w:t>(Note that for ASVAB, three years of data were collected [i.e., 2019–20, 2020–21, and 2021–22] as LEAs were provided the opportunity to submit two years of data in the first year.)</w:t>
      </w:r>
    </w:p>
    <w:p w14:paraId="7C00F1DF" w14:textId="360B8E1F" w:rsidR="00F708EF" w:rsidRPr="00FB463B" w:rsidRDefault="00F708EF" w:rsidP="00BC7A36">
      <w:pPr>
        <w:spacing w:before="240"/>
        <w:rPr>
          <w:rFonts w:cs="Arial"/>
          <w:b/>
          <w:bCs/>
        </w:rPr>
      </w:pPr>
      <w:r w:rsidRPr="00FB463B">
        <w:rPr>
          <w:rFonts w:cs="Arial"/>
          <w:b/>
          <w:bCs/>
        </w:rPr>
        <w:t xml:space="preserve">Table </w:t>
      </w:r>
      <w:r w:rsidR="00726BD1" w:rsidRPr="00FB463B">
        <w:rPr>
          <w:rFonts w:cs="Arial"/>
          <w:b/>
          <w:bCs/>
        </w:rPr>
        <w:t>8</w:t>
      </w:r>
      <w:r w:rsidRPr="00FB463B">
        <w:rPr>
          <w:rFonts w:cs="Arial"/>
          <w:b/>
          <w:bCs/>
        </w:rPr>
        <w:t xml:space="preserve">: </w:t>
      </w:r>
      <w:r w:rsidR="00671582" w:rsidRPr="00FB463B">
        <w:rPr>
          <w:rFonts w:cs="Arial"/>
          <w:b/>
          <w:bCs/>
        </w:rPr>
        <w:t xml:space="preserve">Statewide </w:t>
      </w:r>
      <w:r w:rsidR="00AE1C9E" w:rsidRPr="00FB463B">
        <w:rPr>
          <w:rFonts w:cs="Arial"/>
          <w:b/>
          <w:bCs/>
        </w:rPr>
        <w:t>Completion</w:t>
      </w:r>
      <w:r w:rsidR="00671582" w:rsidRPr="00FB463B">
        <w:rPr>
          <w:rFonts w:cs="Arial"/>
          <w:b/>
          <w:bCs/>
        </w:rPr>
        <w:t xml:space="preserve"> on </w:t>
      </w:r>
      <w:r w:rsidR="00BC7A36" w:rsidRPr="00FB463B">
        <w:rPr>
          <w:rFonts w:cs="Arial"/>
          <w:b/>
          <w:bCs/>
        </w:rPr>
        <w:t>Four New Career Measures</w:t>
      </w:r>
    </w:p>
    <w:tbl>
      <w:tblPr>
        <w:tblStyle w:val="TableGrid"/>
        <w:tblW w:w="8905" w:type="dxa"/>
        <w:tblLook w:val="04A0" w:firstRow="1" w:lastRow="0" w:firstColumn="1" w:lastColumn="0" w:noHBand="0" w:noVBand="1"/>
        <w:tblCaption w:val="Table 7: Balanced Five-by-Five Color Scheme"/>
        <w:tblDescription w:val="Balanced Five-by-Five Color Scheme "/>
      </w:tblPr>
      <w:tblGrid>
        <w:gridCol w:w="1870"/>
        <w:gridCol w:w="1455"/>
        <w:gridCol w:w="1890"/>
        <w:gridCol w:w="1890"/>
        <w:gridCol w:w="1800"/>
      </w:tblGrid>
      <w:tr w:rsidR="0051625E" w:rsidRPr="00FB463B" w14:paraId="707C9690" w14:textId="77777777" w:rsidTr="007871ED">
        <w:trPr>
          <w:cantSplit/>
          <w:tblHeader/>
        </w:trPr>
        <w:tc>
          <w:tcPr>
            <w:tcW w:w="1870" w:type="dxa"/>
            <w:shd w:val="clear" w:color="auto" w:fill="D9D9D9" w:themeFill="background1" w:themeFillShade="D9"/>
            <w:vAlign w:val="center"/>
          </w:tcPr>
          <w:p w14:paraId="6A785FBF" w14:textId="09C7DD11" w:rsidR="0051625E" w:rsidRPr="00FB463B" w:rsidRDefault="0051625E" w:rsidP="00406471">
            <w:pPr>
              <w:jc w:val="center"/>
              <w:rPr>
                <w:rFonts w:eastAsiaTheme="majorEastAsia" w:cstheme="majorBidi"/>
              </w:rPr>
            </w:pPr>
            <w:r w:rsidRPr="00FB463B">
              <w:rPr>
                <w:rFonts w:eastAsiaTheme="majorEastAsia" w:cstheme="majorBidi"/>
                <w:b/>
                <w:bCs/>
              </w:rPr>
              <w:t>Year</w:t>
            </w:r>
          </w:p>
        </w:tc>
        <w:tc>
          <w:tcPr>
            <w:tcW w:w="1455" w:type="dxa"/>
            <w:shd w:val="clear" w:color="auto" w:fill="D9D9D9" w:themeFill="background1" w:themeFillShade="D9"/>
            <w:vAlign w:val="center"/>
          </w:tcPr>
          <w:p w14:paraId="26FE1CAC" w14:textId="53789683" w:rsidR="0051625E" w:rsidRPr="00FB463B" w:rsidRDefault="0051625E" w:rsidP="00406471">
            <w:pPr>
              <w:jc w:val="center"/>
              <w:rPr>
                <w:rFonts w:eastAsiaTheme="majorEastAsia" w:cstheme="majorBidi"/>
              </w:rPr>
            </w:pPr>
            <w:r w:rsidRPr="00FB463B">
              <w:rPr>
                <w:rFonts w:eastAsiaTheme="majorEastAsia" w:cstheme="majorBidi"/>
                <w:b/>
                <w:bCs/>
              </w:rPr>
              <w:t>ASVAB</w:t>
            </w:r>
          </w:p>
        </w:tc>
        <w:tc>
          <w:tcPr>
            <w:tcW w:w="1890" w:type="dxa"/>
            <w:shd w:val="clear" w:color="auto" w:fill="D9D9D9" w:themeFill="background1" w:themeFillShade="D9"/>
            <w:vAlign w:val="center"/>
          </w:tcPr>
          <w:p w14:paraId="7D9EB6BE" w14:textId="5433086A" w:rsidR="0051625E" w:rsidRPr="00FB463B" w:rsidRDefault="0051625E" w:rsidP="00406471">
            <w:pPr>
              <w:jc w:val="center"/>
              <w:rPr>
                <w:rFonts w:eastAsiaTheme="majorEastAsia" w:cstheme="majorBidi"/>
              </w:rPr>
            </w:pPr>
            <w:r w:rsidRPr="00FB463B">
              <w:rPr>
                <w:rFonts w:eastAsiaTheme="majorEastAsia" w:cstheme="majorBidi"/>
                <w:b/>
                <w:bCs/>
              </w:rPr>
              <w:t>Internships</w:t>
            </w:r>
          </w:p>
        </w:tc>
        <w:tc>
          <w:tcPr>
            <w:tcW w:w="1890" w:type="dxa"/>
            <w:shd w:val="clear" w:color="auto" w:fill="D9D9D9" w:themeFill="background1" w:themeFillShade="D9"/>
            <w:vAlign w:val="center"/>
          </w:tcPr>
          <w:p w14:paraId="4CD58312" w14:textId="44D6A8C5" w:rsidR="0051625E" w:rsidRPr="00FB463B" w:rsidRDefault="0051625E" w:rsidP="00406471">
            <w:pPr>
              <w:jc w:val="center"/>
              <w:rPr>
                <w:rFonts w:eastAsiaTheme="majorEastAsia" w:cstheme="majorBidi"/>
              </w:rPr>
            </w:pPr>
            <w:r w:rsidRPr="00FB463B">
              <w:rPr>
                <w:rFonts w:eastAsiaTheme="majorEastAsia" w:cstheme="majorBidi"/>
                <w:b/>
                <w:bCs/>
              </w:rPr>
              <w:t>Student-Led Enterprise</w:t>
            </w:r>
          </w:p>
        </w:tc>
        <w:tc>
          <w:tcPr>
            <w:tcW w:w="1800" w:type="dxa"/>
            <w:shd w:val="clear" w:color="auto" w:fill="D9D9D9" w:themeFill="background1" w:themeFillShade="D9"/>
            <w:vAlign w:val="center"/>
          </w:tcPr>
          <w:p w14:paraId="02B0D885" w14:textId="19B73688" w:rsidR="0051625E" w:rsidRPr="00FB463B" w:rsidRDefault="0051625E" w:rsidP="00406471">
            <w:pPr>
              <w:jc w:val="center"/>
              <w:rPr>
                <w:rFonts w:eastAsiaTheme="majorEastAsia" w:cstheme="majorBidi"/>
              </w:rPr>
            </w:pPr>
            <w:r w:rsidRPr="00FB463B">
              <w:rPr>
                <w:rFonts w:eastAsiaTheme="majorEastAsia" w:cstheme="majorBidi"/>
                <w:b/>
                <w:bCs/>
              </w:rPr>
              <w:t>Simulated WBL</w:t>
            </w:r>
          </w:p>
        </w:tc>
      </w:tr>
      <w:tr w:rsidR="0051625E" w:rsidRPr="00FB463B" w14:paraId="1790D9B5" w14:textId="77777777" w:rsidTr="007871ED">
        <w:trPr>
          <w:cantSplit/>
        </w:trPr>
        <w:tc>
          <w:tcPr>
            <w:tcW w:w="1870" w:type="dxa"/>
            <w:vAlign w:val="center"/>
          </w:tcPr>
          <w:p w14:paraId="76A90CF8" w14:textId="79999097" w:rsidR="0051625E" w:rsidRPr="00FB463B" w:rsidRDefault="0051625E" w:rsidP="00406471">
            <w:pPr>
              <w:rPr>
                <w:rFonts w:eastAsiaTheme="majorEastAsia" w:cstheme="majorBidi"/>
              </w:rPr>
            </w:pPr>
            <w:r w:rsidRPr="00FB463B">
              <w:rPr>
                <w:rFonts w:eastAsiaTheme="majorEastAsia" w:cstheme="majorBidi"/>
              </w:rPr>
              <w:t>2019</w:t>
            </w:r>
            <w:r w:rsidR="00BA1FBA" w:rsidRPr="00FB463B">
              <w:rPr>
                <w:rFonts w:eastAsiaTheme="majorEastAsia" w:cstheme="majorBidi"/>
              </w:rPr>
              <w:t>–</w:t>
            </w:r>
            <w:r w:rsidRPr="00FB463B">
              <w:rPr>
                <w:rFonts w:eastAsiaTheme="majorEastAsia" w:cstheme="majorBidi"/>
              </w:rPr>
              <w:t>20</w:t>
            </w:r>
          </w:p>
        </w:tc>
        <w:tc>
          <w:tcPr>
            <w:tcW w:w="1455" w:type="dxa"/>
            <w:vAlign w:val="center"/>
          </w:tcPr>
          <w:p w14:paraId="4E636D45" w14:textId="1F52B34E" w:rsidR="0051625E" w:rsidRPr="00FB463B" w:rsidRDefault="0051625E" w:rsidP="00406471">
            <w:pPr>
              <w:jc w:val="right"/>
              <w:rPr>
                <w:rFonts w:eastAsiaTheme="majorEastAsia" w:cstheme="majorBidi"/>
              </w:rPr>
            </w:pPr>
            <w:r w:rsidRPr="00FB463B">
              <w:rPr>
                <w:rFonts w:eastAsiaTheme="majorEastAsia" w:cstheme="majorBidi"/>
              </w:rPr>
              <w:t>8,628</w:t>
            </w:r>
          </w:p>
        </w:tc>
        <w:tc>
          <w:tcPr>
            <w:tcW w:w="1890" w:type="dxa"/>
            <w:vAlign w:val="center"/>
          </w:tcPr>
          <w:p w14:paraId="5763CE8D" w14:textId="42B5754D" w:rsidR="0051625E" w:rsidRPr="00FB463B" w:rsidRDefault="0051625E" w:rsidP="00406471">
            <w:pPr>
              <w:jc w:val="right"/>
              <w:rPr>
                <w:rFonts w:eastAsiaTheme="majorEastAsia" w:cstheme="majorBidi"/>
              </w:rPr>
            </w:pPr>
            <w:r w:rsidRPr="00FB463B">
              <w:rPr>
                <w:rFonts w:eastAsiaTheme="majorEastAsia" w:cstheme="majorBidi"/>
              </w:rPr>
              <w:t>N/A</w:t>
            </w:r>
          </w:p>
        </w:tc>
        <w:tc>
          <w:tcPr>
            <w:tcW w:w="1890" w:type="dxa"/>
            <w:vAlign w:val="center"/>
          </w:tcPr>
          <w:p w14:paraId="2AF7D2F0" w14:textId="4661ED21" w:rsidR="0051625E" w:rsidRPr="00FB463B" w:rsidRDefault="0051625E" w:rsidP="00406471">
            <w:pPr>
              <w:jc w:val="right"/>
              <w:rPr>
                <w:rFonts w:eastAsiaTheme="majorEastAsia" w:cstheme="majorBidi"/>
              </w:rPr>
            </w:pPr>
            <w:r w:rsidRPr="00FB463B">
              <w:rPr>
                <w:rFonts w:eastAsiaTheme="majorEastAsia" w:cstheme="majorBidi"/>
              </w:rPr>
              <w:t>N/A</w:t>
            </w:r>
          </w:p>
        </w:tc>
        <w:tc>
          <w:tcPr>
            <w:tcW w:w="1800" w:type="dxa"/>
            <w:vAlign w:val="center"/>
          </w:tcPr>
          <w:p w14:paraId="568CF89F" w14:textId="24B3B50F" w:rsidR="0051625E" w:rsidRPr="00FB463B" w:rsidRDefault="0051625E" w:rsidP="00406471">
            <w:pPr>
              <w:jc w:val="right"/>
              <w:rPr>
                <w:rFonts w:eastAsiaTheme="majorEastAsia" w:cstheme="majorBidi"/>
              </w:rPr>
            </w:pPr>
            <w:r w:rsidRPr="00FB463B">
              <w:rPr>
                <w:rFonts w:eastAsiaTheme="majorEastAsia" w:cstheme="majorBidi"/>
              </w:rPr>
              <w:t>N/A</w:t>
            </w:r>
          </w:p>
        </w:tc>
      </w:tr>
      <w:tr w:rsidR="0051625E" w:rsidRPr="00FB463B" w14:paraId="63B9957C" w14:textId="77777777" w:rsidTr="007871ED">
        <w:trPr>
          <w:cantSplit/>
        </w:trPr>
        <w:tc>
          <w:tcPr>
            <w:tcW w:w="1870" w:type="dxa"/>
            <w:vAlign w:val="center"/>
          </w:tcPr>
          <w:p w14:paraId="2AFCA5FC" w14:textId="17069096" w:rsidR="0051625E" w:rsidRPr="00FB463B" w:rsidRDefault="00F47901" w:rsidP="00406471">
            <w:pPr>
              <w:rPr>
                <w:rFonts w:eastAsiaTheme="majorEastAsia" w:cstheme="majorBidi"/>
              </w:rPr>
            </w:pPr>
            <w:r w:rsidRPr="00FB463B">
              <w:rPr>
                <w:rFonts w:eastAsiaTheme="majorEastAsia" w:cstheme="majorBidi"/>
              </w:rPr>
              <w:t>2020–21</w:t>
            </w:r>
          </w:p>
        </w:tc>
        <w:tc>
          <w:tcPr>
            <w:tcW w:w="1455" w:type="dxa"/>
            <w:vAlign w:val="center"/>
          </w:tcPr>
          <w:p w14:paraId="3978835A" w14:textId="7656AE0C" w:rsidR="0051625E" w:rsidRPr="00FB463B" w:rsidRDefault="0051625E" w:rsidP="00406471">
            <w:pPr>
              <w:jc w:val="right"/>
              <w:rPr>
                <w:rFonts w:eastAsiaTheme="majorEastAsia" w:cstheme="majorBidi"/>
              </w:rPr>
            </w:pPr>
            <w:r w:rsidRPr="00FB463B">
              <w:rPr>
                <w:rFonts w:eastAsiaTheme="majorEastAsia" w:cstheme="majorBidi"/>
              </w:rPr>
              <w:t>607</w:t>
            </w:r>
          </w:p>
        </w:tc>
        <w:tc>
          <w:tcPr>
            <w:tcW w:w="1890" w:type="dxa"/>
            <w:vAlign w:val="center"/>
          </w:tcPr>
          <w:p w14:paraId="5F53F8B2" w14:textId="765FFA2B" w:rsidR="0051625E" w:rsidRPr="00FB463B" w:rsidRDefault="0051625E" w:rsidP="00406471">
            <w:pPr>
              <w:jc w:val="right"/>
              <w:rPr>
                <w:rFonts w:eastAsiaTheme="majorEastAsia" w:cstheme="majorBidi"/>
              </w:rPr>
            </w:pPr>
            <w:r w:rsidRPr="00FB463B">
              <w:rPr>
                <w:rFonts w:eastAsiaTheme="majorEastAsia" w:cstheme="majorBidi"/>
              </w:rPr>
              <w:t>9,187</w:t>
            </w:r>
          </w:p>
        </w:tc>
        <w:tc>
          <w:tcPr>
            <w:tcW w:w="1890" w:type="dxa"/>
            <w:vAlign w:val="center"/>
          </w:tcPr>
          <w:p w14:paraId="3378BF2C" w14:textId="5B0D2E8B" w:rsidR="0051625E" w:rsidRPr="00FB463B" w:rsidRDefault="0051625E" w:rsidP="00406471">
            <w:pPr>
              <w:jc w:val="right"/>
              <w:rPr>
                <w:rFonts w:eastAsiaTheme="majorEastAsia" w:cstheme="majorBidi"/>
              </w:rPr>
            </w:pPr>
            <w:r w:rsidRPr="00FB463B">
              <w:rPr>
                <w:rFonts w:eastAsiaTheme="majorEastAsia" w:cstheme="majorBidi"/>
              </w:rPr>
              <w:t>5,040</w:t>
            </w:r>
          </w:p>
        </w:tc>
        <w:tc>
          <w:tcPr>
            <w:tcW w:w="1800" w:type="dxa"/>
            <w:vAlign w:val="center"/>
          </w:tcPr>
          <w:p w14:paraId="61B539D2" w14:textId="1D35B607" w:rsidR="0051625E" w:rsidRPr="00FB463B" w:rsidRDefault="0051625E" w:rsidP="00406471">
            <w:pPr>
              <w:jc w:val="right"/>
              <w:rPr>
                <w:rFonts w:eastAsiaTheme="majorEastAsia" w:cstheme="majorBidi"/>
              </w:rPr>
            </w:pPr>
            <w:r w:rsidRPr="00FB463B">
              <w:rPr>
                <w:rFonts w:eastAsiaTheme="majorEastAsia" w:cstheme="majorBidi"/>
              </w:rPr>
              <w:t>14,023</w:t>
            </w:r>
          </w:p>
        </w:tc>
      </w:tr>
      <w:tr w:rsidR="0051625E" w:rsidRPr="00FB463B" w14:paraId="4AB3AB68" w14:textId="77777777" w:rsidTr="007871ED">
        <w:trPr>
          <w:cantSplit/>
        </w:trPr>
        <w:tc>
          <w:tcPr>
            <w:tcW w:w="1870" w:type="dxa"/>
            <w:vAlign w:val="center"/>
          </w:tcPr>
          <w:p w14:paraId="61A8B486" w14:textId="2B648122" w:rsidR="0051625E" w:rsidRPr="00FB463B" w:rsidRDefault="0051625E" w:rsidP="00406471">
            <w:pPr>
              <w:rPr>
                <w:rFonts w:eastAsiaTheme="majorEastAsia" w:cstheme="majorBidi"/>
              </w:rPr>
            </w:pPr>
            <w:r w:rsidRPr="00FB463B">
              <w:rPr>
                <w:rFonts w:eastAsiaTheme="majorEastAsia" w:cstheme="majorBidi"/>
              </w:rPr>
              <w:t>2021</w:t>
            </w:r>
            <w:r w:rsidR="00BA1FBA" w:rsidRPr="00FB463B">
              <w:rPr>
                <w:rFonts w:eastAsiaTheme="majorEastAsia" w:cstheme="majorBidi"/>
              </w:rPr>
              <w:t>–</w:t>
            </w:r>
            <w:r w:rsidRPr="00FB463B">
              <w:rPr>
                <w:rFonts w:eastAsiaTheme="majorEastAsia" w:cstheme="majorBidi"/>
              </w:rPr>
              <w:t>22</w:t>
            </w:r>
          </w:p>
        </w:tc>
        <w:tc>
          <w:tcPr>
            <w:tcW w:w="1455" w:type="dxa"/>
            <w:vAlign w:val="center"/>
          </w:tcPr>
          <w:p w14:paraId="202269E6" w14:textId="01A3FB78" w:rsidR="0051625E" w:rsidRPr="00FB463B" w:rsidRDefault="0051625E" w:rsidP="00406471">
            <w:pPr>
              <w:jc w:val="right"/>
              <w:rPr>
                <w:rFonts w:eastAsiaTheme="majorEastAsia" w:cstheme="majorBidi"/>
              </w:rPr>
            </w:pPr>
            <w:r w:rsidRPr="00FB463B">
              <w:rPr>
                <w:rFonts w:eastAsiaTheme="majorEastAsia" w:cstheme="majorBidi"/>
              </w:rPr>
              <w:t>6,071</w:t>
            </w:r>
          </w:p>
        </w:tc>
        <w:tc>
          <w:tcPr>
            <w:tcW w:w="1890" w:type="dxa"/>
            <w:vAlign w:val="center"/>
          </w:tcPr>
          <w:p w14:paraId="634561A3" w14:textId="0AF2D708" w:rsidR="0051625E" w:rsidRPr="00FB463B" w:rsidRDefault="0051625E" w:rsidP="00406471">
            <w:pPr>
              <w:jc w:val="right"/>
              <w:rPr>
                <w:rFonts w:eastAsiaTheme="majorEastAsia" w:cstheme="majorBidi"/>
              </w:rPr>
            </w:pPr>
            <w:r w:rsidRPr="00FB463B">
              <w:rPr>
                <w:rFonts w:eastAsiaTheme="majorEastAsia" w:cstheme="majorBidi"/>
              </w:rPr>
              <w:t>18,333</w:t>
            </w:r>
          </w:p>
        </w:tc>
        <w:tc>
          <w:tcPr>
            <w:tcW w:w="1890" w:type="dxa"/>
            <w:vAlign w:val="center"/>
          </w:tcPr>
          <w:p w14:paraId="77BF962F" w14:textId="212FF65F" w:rsidR="0051625E" w:rsidRPr="00FB463B" w:rsidRDefault="0051625E" w:rsidP="00406471">
            <w:pPr>
              <w:jc w:val="right"/>
              <w:rPr>
                <w:rFonts w:eastAsiaTheme="majorEastAsia" w:cstheme="majorBidi"/>
              </w:rPr>
            </w:pPr>
            <w:r w:rsidRPr="00FB463B">
              <w:rPr>
                <w:rFonts w:eastAsiaTheme="majorEastAsia" w:cstheme="majorBidi"/>
              </w:rPr>
              <w:t>6,140</w:t>
            </w:r>
          </w:p>
        </w:tc>
        <w:tc>
          <w:tcPr>
            <w:tcW w:w="1800" w:type="dxa"/>
            <w:vAlign w:val="center"/>
          </w:tcPr>
          <w:p w14:paraId="50CD36D2" w14:textId="3094D926" w:rsidR="0051625E" w:rsidRPr="00FB463B" w:rsidRDefault="0051625E" w:rsidP="00406471">
            <w:pPr>
              <w:jc w:val="right"/>
              <w:rPr>
                <w:rFonts w:eastAsiaTheme="majorEastAsia" w:cstheme="majorBidi"/>
              </w:rPr>
            </w:pPr>
            <w:r w:rsidRPr="00FB463B">
              <w:rPr>
                <w:rFonts w:eastAsiaTheme="majorEastAsia" w:cstheme="majorBidi"/>
              </w:rPr>
              <w:t>21,967</w:t>
            </w:r>
          </w:p>
        </w:tc>
      </w:tr>
      <w:tr w:rsidR="0051625E" w:rsidRPr="00FB463B" w14:paraId="7797DC4D" w14:textId="77777777" w:rsidTr="007871ED">
        <w:trPr>
          <w:cantSplit/>
        </w:trPr>
        <w:tc>
          <w:tcPr>
            <w:tcW w:w="1870" w:type="dxa"/>
            <w:vAlign w:val="center"/>
          </w:tcPr>
          <w:p w14:paraId="69C390F1" w14:textId="480B5CC9" w:rsidR="0051625E" w:rsidRPr="00FB463B" w:rsidRDefault="0051625E" w:rsidP="00406471">
            <w:pPr>
              <w:rPr>
                <w:rFonts w:eastAsiaTheme="majorEastAsia" w:cstheme="majorBidi"/>
                <w:b/>
                <w:bCs/>
              </w:rPr>
            </w:pPr>
            <w:r w:rsidRPr="00FB463B">
              <w:rPr>
                <w:rFonts w:eastAsiaTheme="majorEastAsia" w:cstheme="majorBidi"/>
                <w:b/>
                <w:bCs/>
              </w:rPr>
              <w:t>Total</w:t>
            </w:r>
          </w:p>
        </w:tc>
        <w:tc>
          <w:tcPr>
            <w:tcW w:w="1455" w:type="dxa"/>
            <w:vAlign w:val="center"/>
          </w:tcPr>
          <w:p w14:paraId="0E9C576E" w14:textId="76F36B09" w:rsidR="0051625E" w:rsidRPr="00FB463B" w:rsidRDefault="0051625E" w:rsidP="00406471">
            <w:pPr>
              <w:jc w:val="right"/>
              <w:rPr>
                <w:rFonts w:eastAsiaTheme="majorEastAsia" w:cstheme="majorBidi"/>
                <w:b/>
                <w:bCs/>
              </w:rPr>
            </w:pPr>
            <w:r w:rsidRPr="00FB463B">
              <w:rPr>
                <w:rFonts w:eastAsiaTheme="majorEastAsia" w:cstheme="majorBidi"/>
                <w:b/>
                <w:bCs/>
              </w:rPr>
              <w:t>15,306</w:t>
            </w:r>
          </w:p>
        </w:tc>
        <w:tc>
          <w:tcPr>
            <w:tcW w:w="1890" w:type="dxa"/>
            <w:vAlign w:val="center"/>
          </w:tcPr>
          <w:p w14:paraId="1ED2BD54" w14:textId="735E42E2" w:rsidR="0051625E" w:rsidRPr="00FB463B" w:rsidRDefault="0051625E" w:rsidP="00406471">
            <w:pPr>
              <w:jc w:val="right"/>
              <w:rPr>
                <w:rFonts w:eastAsiaTheme="majorEastAsia" w:cstheme="majorBidi"/>
                <w:b/>
                <w:bCs/>
              </w:rPr>
            </w:pPr>
            <w:r w:rsidRPr="00FB463B">
              <w:rPr>
                <w:rFonts w:eastAsiaTheme="majorEastAsia" w:cstheme="majorBidi"/>
                <w:b/>
                <w:bCs/>
              </w:rPr>
              <w:t>27,520</w:t>
            </w:r>
          </w:p>
        </w:tc>
        <w:tc>
          <w:tcPr>
            <w:tcW w:w="1890" w:type="dxa"/>
            <w:vAlign w:val="center"/>
          </w:tcPr>
          <w:p w14:paraId="15B5F2FF" w14:textId="0238D9CE" w:rsidR="0051625E" w:rsidRPr="00FB463B" w:rsidRDefault="0051625E" w:rsidP="00406471">
            <w:pPr>
              <w:jc w:val="right"/>
              <w:rPr>
                <w:rFonts w:eastAsiaTheme="majorEastAsia" w:cstheme="majorBidi"/>
                <w:b/>
                <w:bCs/>
              </w:rPr>
            </w:pPr>
            <w:r w:rsidRPr="00FB463B">
              <w:rPr>
                <w:rFonts w:eastAsiaTheme="majorEastAsia" w:cstheme="majorBidi"/>
                <w:b/>
                <w:bCs/>
              </w:rPr>
              <w:t>11,180</w:t>
            </w:r>
          </w:p>
        </w:tc>
        <w:tc>
          <w:tcPr>
            <w:tcW w:w="1800" w:type="dxa"/>
            <w:vAlign w:val="center"/>
          </w:tcPr>
          <w:p w14:paraId="0CF52CB1" w14:textId="595B5FE5" w:rsidR="0051625E" w:rsidRPr="00FB463B" w:rsidRDefault="0051625E" w:rsidP="00406471">
            <w:pPr>
              <w:jc w:val="right"/>
              <w:rPr>
                <w:rFonts w:eastAsiaTheme="majorEastAsia" w:cstheme="majorBidi"/>
                <w:b/>
                <w:bCs/>
              </w:rPr>
            </w:pPr>
            <w:r w:rsidRPr="00FB463B">
              <w:rPr>
                <w:rFonts w:eastAsiaTheme="majorEastAsia" w:cstheme="majorBidi"/>
                <w:b/>
                <w:bCs/>
              </w:rPr>
              <w:t>35,990</w:t>
            </w:r>
          </w:p>
        </w:tc>
      </w:tr>
    </w:tbl>
    <w:p w14:paraId="7ADCC032" w14:textId="5543956A" w:rsidR="008F1BAC" w:rsidRPr="00FB463B" w:rsidRDefault="00D5228F" w:rsidP="002419A7">
      <w:pPr>
        <w:spacing w:before="240" w:after="240"/>
        <w:rPr>
          <w:rFonts w:eastAsiaTheme="majorEastAsia" w:cstheme="majorBidi"/>
        </w:rPr>
      </w:pPr>
      <w:r w:rsidRPr="00FB463B">
        <w:rPr>
          <w:rFonts w:eastAsiaTheme="majorEastAsia" w:cstheme="majorBidi"/>
        </w:rPr>
        <w:t xml:space="preserve">While the above table </w:t>
      </w:r>
      <w:r w:rsidR="00845BE9" w:rsidRPr="00FB463B">
        <w:rPr>
          <w:rFonts w:eastAsiaTheme="majorEastAsia" w:cstheme="majorBidi"/>
        </w:rPr>
        <w:t xml:space="preserve">shows general </w:t>
      </w:r>
      <w:r w:rsidR="00B9572F" w:rsidRPr="00FB463B">
        <w:rPr>
          <w:rFonts w:eastAsiaTheme="majorEastAsia" w:cstheme="majorBidi"/>
        </w:rPr>
        <w:t xml:space="preserve">statewide </w:t>
      </w:r>
      <w:r w:rsidR="00284B6E" w:rsidRPr="00FB463B">
        <w:rPr>
          <w:rFonts w:eastAsiaTheme="majorEastAsia" w:cstheme="majorBidi"/>
        </w:rPr>
        <w:t>completion</w:t>
      </w:r>
      <w:r w:rsidR="00265ABB" w:rsidRPr="00FB463B">
        <w:rPr>
          <w:rFonts w:eastAsiaTheme="majorEastAsia" w:cstheme="majorBidi"/>
        </w:rPr>
        <w:t xml:space="preserve"> counts</w:t>
      </w:r>
      <w:r w:rsidR="00B9572F" w:rsidRPr="00FB463B">
        <w:rPr>
          <w:rFonts w:eastAsiaTheme="majorEastAsia" w:cstheme="majorBidi"/>
        </w:rPr>
        <w:t>, t</w:t>
      </w:r>
      <w:r w:rsidR="0075286B" w:rsidRPr="00FB463B">
        <w:rPr>
          <w:rFonts w:eastAsiaTheme="majorEastAsia" w:cstheme="majorBidi"/>
        </w:rPr>
        <w:t xml:space="preserve">he CDE also reviewed the data as part of the 2021–22 four-year cohort </w:t>
      </w:r>
      <w:r w:rsidR="000D362F" w:rsidRPr="00FB463B">
        <w:rPr>
          <w:rFonts w:eastAsiaTheme="majorEastAsia" w:cstheme="majorBidi"/>
        </w:rPr>
        <w:t>since</w:t>
      </w:r>
      <w:r w:rsidR="0045440C" w:rsidRPr="00FB463B">
        <w:rPr>
          <w:rFonts w:eastAsiaTheme="majorEastAsia" w:cstheme="majorBidi"/>
        </w:rPr>
        <w:t xml:space="preserve"> students included in the CCI consist of </w:t>
      </w:r>
      <w:r w:rsidR="00FD27F0" w:rsidRPr="00FB463B">
        <w:rPr>
          <w:rFonts w:eastAsiaTheme="majorEastAsia" w:cstheme="majorBidi"/>
        </w:rPr>
        <w:t>those</w:t>
      </w:r>
      <w:r w:rsidR="000456E3" w:rsidRPr="00FB463B">
        <w:rPr>
          <w:rFonts w:eastAsiaTheme="majorEastAsia" w:cstheme="majorBidi"/>
        </w:rPr>
        <w:t xml:space="preserve"> </w:t>
      </w:r>
      <w:r w:rsidR="00437FBA" w:rsidRPr="00FB463B">
        <w:rPr>
          <w:rFonts w:eastAsiaTheme="majorEastAsia" w:cstheme="majorBidi"/>
        </w:rPr>
        <w:t xml:space="preserve">in the Graduation Rate Indicator. </w:t>
      </w:r>
      <w:r w:rsidR="00D907BF" w:rsidRPr="00FB463B">
        <w:rPr>
          <w:rFonts w:eastAsiaTheme="majorEastAsia" w:cstheme="majorBidi"/>
        </w:rPr>
        <w:t xml:space="preserve">Tables </w:t>
      </w:r>
      <w:r w:rsidR="00074A06" w:rsidRPr="00FB463B">
        <w:rPr>
          <w:rFonts w:eastAsiaTheme="majorEastAsia" w:cstheme="majorBidi"/>
        </w:rPr>
        <w:t>9</w:t>
      </w:r>
      <w:r w:rsidR="00D907BF" w:rsidRPr="00FB463B">
        <w:rPr>
          <w:rFonts w:eastAsiaTheme="majorEastAsia" w:cstheme="majorBidi"/>
        </w:rPr>
        <w:t xml:space="preserve"> through </w:t>
      </w:r>
      <w:r w:rsidR="00074A06" w:rsidRPr="00FB463B">
        <w:rPr>
          <w:rFonts w:eastAsiaTheme="majorEastAsia" w:cstheme="majorBidi"/>
        </w:rPr>
        <w:t>32</w:t>
      </w:r>
      <w:r w:rsidR="00D907BF" w:rsidRPr="00FB463B">
        <w:rPr>
          <w:rFonts w:eastAsiaTheme="majorEastAsia" w:cstheme="majorBidi"/>
        </w:rPr>
        <w:t xml:space="preserve"> </w:t>
      </w:r>
      <w:r w:rsidR="00392A2B" w:rsidRPr="00FB463B">
        <w:rPr>
          <w:rFonts w:eastAsiaTheme="majorEastAsia" w:cstheme="majorBidi"/>
        </w:rPr>
        <w:t xml:space="preserve">identify the </w:t>
      </w:r>
      <w:r w:rsidR="00974479" w:rsidRPr="00FB463B">
        <w:rPr>
          <w:rFonts w:eastAsiaTheme="majorEastAsia" w:cstheme="majorBidi"/>
        </w:rPr>
        <w:t>completion</w:t>
      </w:r>
      <w:r w:rsidR="00371618" w:rsidRPr="00FB463B">
        <w:rPr>
          <w:rFonts w:eastAsiaTheme="majorEastAsia" w:cstheme="majorBidi"/>
        </w:rPr>
        <w:t xml:space="preserve"> </w:t>
      </w:r>
      <w:r w:rsidR="008A4CE0" w:rsidRPr="00FB463B">
        <w:rPr>
          <w:rFonts w:eastAsiaTheme="majorEastAsia" w:cstheme="majorBidi"/>
        </w:rPr>
        <w:t>between</w:t>
      </w:r>
      <w:r w:rsidR="00B74F26" w:rsidRPr="00FB463B">
        <w:rPr>
          <w:rFonts w:eastAsiaTheme="majorEastAsia" w:cstheme="majorBidi"/>
        </w:rPr>
        <w:t xml:space="preserve"> graduates </w:t>
      </w:r>
      <w:r w:rsidR="00A835D1" w:rsidRPr="00FB463B">
        <w:rPr>
          <w:rFonts w:eastAsiaTheme="majorEastAsia" w:cstheme="majorBidi"/>
        </w:rPr>
        <w:t>and</w:t>
      </w:r>
      <w:r w:rsidR="00B74F26" w:rsidRPr="00FB463B">
        <w:rPr>
          <w:rFonts w:eastAsiaTheme="majorEastAsia" w:cstheme="majorBidi"/>
        </w:rPr>
        <w:t xml:space="preserve"> non-graduates </w:t>
      </w:r>
      <w:r w:rsidR="006C63B1" w:rsidRPr="00FB463B">
        <w:rPr>
          <w:rFonts w:eastAsiaTheme="majorEastAsia" w:cstheme="majorBidi"/>
        </w:rPr>
        <w:t>for the Class of 2022 with</w:t>
      </w:r>
      <w:r w:rsidR="00B74F26" w:rsidRPr="00FB463B">
        <w:rPr>
          <w:rFonts w:eastAsiaTheme="majorEastAsia" w:cstheme="majorBidi"/>
        </w:rPr>
        <w:t>in the following school types</w:t>
      </w:r>
      <w:r w:rsidR="008A4CE0" w:rsidRPr="00FB463B">
        <w:rPr>
          <w:rFonts w:eastAsiaTheme="majorEastAsia" w:cstheme="majorBidi"/>
        </w:rPr>
        <w:t>:</w:t>
      </w:r>
    </w:p>
    <w:p w14:paraId="2C3B60A2" w14:textId="7EC8FDCB" w:rsidR="008A4CE0" w:rsidRPr="00FB463B" w:rsidRDefault="008A4CE0" w:rsidP="00A43B0B">
      <w:pPr>
        <w:pStyle w:val="ListParagraph"/>
        <w:numPr>
          <w:ilvl w:val="0"/>
          <w:numId w:val="17"/>
        </w:numPr>
        <w:spacing w:after="0"/>
        <w:rPr>
          <w:rFonts w:cs="Arial"/>
        </w:rPr>
      </w:pPr>
      <w:r w:rsidRPr="00FB463B">
        <w:rPr>
          <w:rFonts w:cs="Arial"/>
        </w:rPr>
        <w:t>DASS and Non-DASS schools</w:t>
      </w:r>
    </w:p>
    <w:p w14:paraId="7CF6F6DF" w14:textId="1CC7F4A7" w:rsidR="008A4CE0" w:rsidRPr="00FB463B" w:rsidRDefault="008A4CE0" w:rsidP="00A43B0B">
      <w:pPr>
        <w:pStyle w:val="ListParagraph"/>
        <w:numPr>
          <w:ilvl w:val="0"/>
          <w:numId w:val="17"/>
        </w:numPr>
        <w:spacing w:after="0"/>
        <w:rPr>
          <w:rFonts w:cs="Arial"/>
        </w:rPr>
      </w:pPr>
      <w:r w:rsidRPr="00FB463B">
        <w:rPr>
          <w:rFonts w:cs="Arial"/>
        </w:rPr>
        <w:t>Charter and non-charter schools</w:t>
      </w:r>
    </w:p>
    <w:p w14:paraId="5A4D953E" w14:textId="4EEC310A" w:rsidR="004D2471" w:rsidRPr="00FB463B" w:rsidRDefault="008A4CE0" w:rsidP="00A43B0B">
      <w:pPr>
        <w:pStyle w:val="ListParagraph"/>
        <w:numPr>
          <w:ilvl w:val="0"/>
          <w:numId w:val="17"/>
        </w:numPr>
        <w:spacing w:after="0"/>
        <w:rPr>
          <w:rFonts w:cs="Arial"/>
        </w:rPr>
      </w:pPr>
      <w:r w:rsidRPr="00FB463B">
        <w:rPr>
          <w:rFonts w:cs="Arial"/>
        </w:rPr>
        <w:t xml:space="preserve">Small and non-small schools </w:t>
      </w:r>
      <w:r w:rsidR="004B0AAC" w:rsidRPr="00FB463B">
        <w:rPr>
          <w:rFonts w:cs="Arial"/>
        </w:rPr>
        <w:t>(</w:t>
      </w:r>
      <w:r w:rsidR="00D43967" w:rsidRPr="00FB463B">
        <w:rPr>
          <w:rFonts w:cs="Arial"/>
        </w:rPr>
        <w:t>Note: a</w:t>
      </w:r>
      <w:r w:rsidRPr="00FB463B">
        <w:rPr>
          <w:rFonts w:cs="Arial"/>
        </w:rPr>
        <w:t xml:space="preserve"> “small” student population size </w:t>
      </w:r>
      <w:r w:rsidR="004121E0" w:rsidRPr="00FB463B">
        <w:rPr>
          <w:rFonts w:cs="Arial"/>
        </w:rPr>
        <w:t>consists of</w:t>
      </w:r>
      <w:r w:rsidRPr="00FB463B">
        <w:rPr>
          <w:rFonts w:cs="Arial"/>
        </w:rPr>
        <w:t xml:space="preserve"> less than 150 students</w:t>
      </w:r>
      <w:r w:rsidR="004B0AAC" w:rsidRPr="00FB463B">
        <w:rPr>
          <w:rFonts w:cs="Arial"/>
        </w:rPr>
        <w:t>.)</w:t>
      </w:r>
    </w:p>
    <w:p w14:paraId="562229B2" w14:textId="77777777" w:rsidR="004D2471" w:rsidRPr="00FB463B" w:rsidRDefault="004D2471">
      <w:pPr>
        <w:spacing w:after="160" w:line="259" w:lineRule="auto"/>
        <w:rPr>
          <w:rFonts w:cs="Arial"/>
        </w:rPr>
      </w:pPr>
      <w:r w:rsidRPr="00FB463B">
        <w:rPr>
          <w:rFonts w:cs="Arial"/>
        </w:rPr>
        <w:br w:type="page"/>
      </w:r>
    </w:p>
    <w:p w14:paraId="19F093C4" w14:textId="11855433" w:rsidR="00F10DD0" w:rsidRPr="00FB463B" w:rsidRDefault="0014556B" w:rsidP="00550FC7">
      <w:pPr>
        <w:spacing w:after="240"/>
        <w:rPr>
          <w:rFonts w:eastAsiaTheme="majorEastAsia" w:cstheme="majorBidi"/>
          <w:b/>
          <w:bCs/>
          <w:i/>
          <w:iCs/>
        </w:rPr>
      </w:pPr>
      <w:r w:rsidRPr="00FB463B">
        <w:rPr>
          <w:rFonts w:eastAsiaTheme="majorEastAsia" w:cstheme="majorBidi"/>
          <w:b/>
          <w:bCs/>
          <w:i/>
          <w:iCs/>
        </w:rPr>
        <w:lastRenderedPageBreak/>
        <w:t>Class of 2022</w:t>
      </w:r>
      <w:r w:rsidR="008A4A6C" w:rsidRPr="00FB463B">
        <w:rPr>
          <w:rFonts w:eastAsiaTheme="majorEastAsia" w:cstheme="majorBidi"/>
          <w:b/>
          <w:bCs/>
          <w:i/>
          <w:iCs/>
        </w:rPr>
        <w:t xml:space="preserve"> Completion of</w:t>
      </w:r>
      <w:r w:rsidR="006C3185" w:rsidRPr="00FB463B">
        <w:rPr>
          <w:rFonts w:eastAsiaTheme="majorEastAsia" w:cstheme="majorBidi"/>
          <w:b/>
          <w:bCs/>
          <w:i/>
          <w:iCs/>
        </w:rPr>
        <w:t xml:space="preserve"> </w:t>
      </w:r>
      <w:r w:rsidR="00EE5F3C" w:rsidRPr="00FB463B">
        <w:rPr>
          <w:rFonts w:eastAsiaTheme="majorEastAsia" w:cstheme="majorBidi"/>
          <w:b/>
          <w:bCs/>
          <w:i/>
          <w:iCs/>
        </w:rPr>
        <w:t>Internship</w:t>
      </w:r>
      <w:r w:rsidR="008A4A6C" w:rsidRPr="00FB463B">
        <w:rPr>
          <w:rFonts w:eastAsiaTheme="majorEastAsia" w:cstheme="majorBidi"/>
          <w:b/>
          <w:bCs/>
          <w:i/>
          <w:iCs/>
        </w:rPr>
        <w:t>s</w:t>
      </w:r>
    </w:p>
    <w:p w14:paraId="46BFC45D" w14:textId="543CA206" w:rsidR="00BD4024" w:rsidRPr="00FB463B" w:rsidRDefault="00BD4024" w:rsidP="00550FC7">
      <w:pPr>
        <w:spacing w:after="240"/>
        <w:rPr>
          <w:rFonts w:eastAsiaTheme="majorEastAsia" w:cstheme="majorBidi"/>
        </w:rPr>
        <w:sectPr w:rsidR="00BD4024" w:rsidRPr="00FB463B" w:rsidSect="00AC6887">
          <w:pgSz w:w="12240" w:h="15840"/>
          <w:pgMar w:top="1440" w:right="1440" w:bottom="1440" w:left="1440" w:header="720" w:footer="720" w:gutter="0"/>
          <w:cols w:space="720"/>
          <w:docGrid w:linePitch="360"/>
        </w:sectPr>
      </w:pPr>
    </w:p>
    <w:p w14:paraId="6288667B" w14:textId="74C679EF" w:rsidR="00EE5F3C" w:rsidRPr="00FB463B" w:rsidRDefault="00EE5F3C" w:rsidP="00EE5F3C">
      <w:pPr>
        <w:rPr>
          <w:rFonts w:cs="Arial"/>
          <w:b/>
          <w:bCs/>
        </w:rPr>
      </w:pPr>
      <w:r w:rsidRPr="00FB463B">
        <w:rPr>
          <w:rFonts w:cs="Arial"/>
          <w:b/>
          <w:bCs/>
        </w:rPr>
        <w:t xml:space="preserve">Table </w:t>
      </w:r>
      <w:r w:rsidR="00726BD1" w:rsidRPr="00FB463B">
        <w:rPr>
          <w:rFonts w:cs="Arial"/>
          <w:b/>
          <w:bCs/>
        </w:rPr>
        <w:t>9</w:t>
      </w:r>
      <w:r w:rsidRPr="00FB463B">
        <w:rPr>
          <w:rFonts w:cs="Arial"/>
          <w:b/>
          <w:bCs/>
        </w:rPr>
        <w:t>: DASS Schools</w:t>
      </w:r>
    </w:p>
    <w:tbl>
      <w:tblPr>
        <w:tblStyle w:val="TableGrid"/>
        <w:tblW w:w="4675" w:type="dxa"/>
        <w:tblLook w:val="04A0" w:firstRow="1" w:lastRow="0" w:firstColumn="1" w:lastColumn="0" w:noHBand="0" w:noVBand="1"/>
        <w:tblCaption w:val="Table 9: DASS Schools"/>
        <w:tblDescription w:val="DASS Schools"/>
      </w:tblPr>
      <w:tblGrid>
        <w:gridCol w:w="1130"/>
        <w:gridCol w:w="1565"/>
        <w:gridCol w:w="1980"/>
      </w:tblGrid>
      <w:tr w:rsidR="00B81334" w:rsidRPr="00FB463B" w14:paraId="269DF9CB" w14:textId="77777777" w:rsidTr="005E0E03">
        <w:trPr>
          <w:cantSplit/>
          <w:tblHeader/>
        </w:trPr>
        <w:tc>
          <w:tcPr>
            <w:tcW w:w="1130" w:type="dxa"/>
            <w:shd w:val="clear" w:color="auto" w:fill="E7E6E6" w:themeFill="background2"/>
            <w:vAlign w:val="center"/>
          </w:tcPr>
          <w:p w14:paraId="25D05B8B" w14:textId="77777777" w:rsidR="00EE5F3C" w:rsidRPr="00FB463B" w:rsidRDefault="00EE5F3C" w:rsidP="00422B00">
            <w:pPr>
              <w:jc w:val="center"/>
              <w:rPr>
                <w:rFonts w:cs="Arial"/>
              </w:rPr>
            </w:pPr>
            <w:r w:rsidRPr="00FB463B">
              <w:rPr>
                <w:rFonts w:eastAsia="BIZ UDGothic" w:cs="Arial"/>
                <w:b/>
                <w:bCs/>
                <w:kern w:val="24"/>
              </w:rPr>
              <w:t>Year</w:t>
            </w:r>
          </w:p>
        </w:tc>
        <w:tc>
          <w:tcPr>
            <w:tcW w:w="1565" w:type="dxa"/>
            <w:shd w:val="clear" w:color="auto" w:fill="E7E6E6" w:themeFill="background2"/>
            <w:vAlign w:val="center"/>
          </w:tcPr>
          <w:p w14:paraId="4554BBB0" w14:textId="77777777" w:rsidR="00EE5F3C" w:rsidRPr="00FB463B" w:rsidRDefault="00EE5F3C"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5EB120C2" w14:textId="77777777" w:rsidR="00EE5F3C" w:rsidRPr="00FB463B" w:rsidRDefault="00EE5F3C" w:rsidP="00422B00">
            <w:pPr>
              <w:jc w:val="center"/>
              <w:rPr>
                <w:rFonts w:cs="Arial"/>
              </w:rPr>
            </w:pPr>
            <w:r w:rsidRPr="00FB463B">
              <w:rPr>
                <w:rFonts w:eastAsia="BIZ UDGothic" w:cs="Arial"/>
                <w:b/>
                <w:bCs/>
                <w:kern w:val="24"/>
              </w:rPr>
              <w:t>(n=33,031)</w:t>
            </w:r>
          </w:p>
        </w:tc>
        <w:tc>
          <w:tcPr>
            <w:tcW w:w="1980" w:type="dxa"/>
            <w:shd w:val="clear" w:color="auto" w:fill="E7E6E6" w:themeFill="background2"/>
            <w:vAlign w:val="center"/>
          </w:tcPr>
          <w:p w14:paraId="4C880BCC" w14:textId="77777777" w:rsidR="00723824" w:rsidRPr="00FB463B" w:rsidRDefault="00EE5F3C" w:rsidP="00422B00">
            <w:pPr>
              <w:pStyle w:val="NormalWeb"/>
              <w:spacing w:before="0" w:beforeAutospacing="0" w:after="0" w:afterAutospacing="0"/>
              <w:jc w:val="center"/>
              <w:rPr>
                <w:rFonts w:ascii="Arial" w:eastAsia="BIZ UDGothic" w:hAnsi="Arial" w:cs="Arial"/>
                <w:b/>
                <w:bCs/>
                <w:kern w:val="24"/>
              </w:rPr>
            </w:pPr>
            <w:r w:rsidRPr="00FB463B">
              <w:rPr>
                <w:rFonts w:ascii="Arial" w:eastAsia="BIZ UDGothic" w:hAnsi="Arial" w:cs="Arial"/>
                <w:b/>
                <w:bCs/>
                <w:kern w:val="24"/>
              </w:rPr>
              <w:t>Non-</w:t>
            </w:r>
          </w:p>
          <w:p w14:paraId="4C4299CD" w14:textId="72AF5CCD" w:rsidR="00EE5F3C" w:rsidRPr="00FB463B" w:rsidRDefault="00EE5F3C"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321339D2" w14:textId="77777777" w:rsidR="00EE5F3C" w:rsidRPr="00FB463B" w:rsidRDefault="00EE5F3C" w:rsidP="00422B00">
            <w:pPr>
              <w:jc w:val="center"/>
              <w:rPr>
                <w:rFonts w:cs="Arial"/>
              </w:rPr>
            </w:pPr>
            <w:r w:rsidRPr="00FB463B">
              <w:rPr>
                <w:rFonts w:eastAsia="BIZ UDGothic" w:cs="Arial"/>
                <w:b/>
                <w:bCs/>
                <w:kern w:val="24"/>
              </w:rPr>
              <w:t>(n=33,903)</w:t>
            </w:r>
          </w:p>
        </w:tc>
      </w:tr>
      <w:tr w:rsidR="00EE5F3C" w:rsidRPr="00FB463B" w14:paraId="2D00A7F6" w14:textId="77777777" w:rsidTr="005E0E03">
        <w:trPr>
          <w:cantSplit/>
          <w:tblHeader/>
        </w:trPr>
        <w:tc>
          <w:tcPr>
            <w:tcW w:w="1130" w:type="dxa"/>
            <w:vAlign w:val="center"/>
          </w:tcPr>
          <w:p w14:paraId="1584A5AF" w14:textId="77777777" w:rsidR="00EE5F3C" w:rsidRPr="00FB463B" w:rsidRDefault="00EE5F3C" w:rsidP="00422B00">
            <w:pPr>
              <w:rPr>
                <w:rFonts w:cs="Arial"/>
              </w:rPr>
            </w:pPr>
            <w:r w:rsidRPr="00FB463B">
              <w:rPr>
                <w:rFonts w:eastAsia="BIZ UDGothic" w:cs="Arial"/>
                <w:kern w:val="24"/>
              </w:rPr>
              <w:t>2020-21</w:t>
            </w:r>
          </w:p>
        </w:tc>
        <w:tc>
          <w:tcPr>
            <w:tcW w:w="1565" w:type="dxa"/>
            <w:vAlign w:val="center"/>
          </w:tcPr>
          <w:p w14:paraId="1CD4E240" w14:textId="36556614" w:rsidR="00EE5F3C" w:rsidRPr="00FB463B" w:rsidRDefault="00EE5F3C" w:rsidP="005D088B">
            <w:pPr>
              <w:jc w:val="center"/>
              <w:rPr>
                <w:rFonts w:cs="Arial"/>
              </w:rPr>
            </w:pPr>
            <w:r w:rsidRPr="00FB463B">
              <w:rPr>
                <w:rFonts w:eastAsia="BIZ UDGothic" w:cs="Arial"/>
                <w:kern w:val="24"/>
              </w:rPr>
              <w:t>76 (0.23%)</w:t>
            </w:r>
          </w:p>
        </w:tc>
        <w:tc>
          <w:tcPr>
            <w:tcW w:w="1980" w:type="dxa"/>
            <w:vAlign w:val="center"/>
          </w:tcPr>
          <w:p w14:paraId="2DF86327" w14:textId="3032F719" w:rsidR="00EE5F3C" w:rsidRPr="00FB463B" w:rsidRDefault="00EE5F3C" w:rsidP="005D088B">
            <w:pPr>
              <w:jc w:val="center"/>
              <w:rPr>
                <w:rFonts w:cs="Arial"/>
              </w:rPr>
            </w:pPr>
            <w:r w:rsidRPr="00FB463B">
              <w:rPr>
                <w:rFonts w:eastAsia="BIZ UDGothic" w:cs="Arial"/>
                <w:kern w:val="24"/>
              </w:rPr>
              <w:t>30 (0.09%)</w:t>
            </w:r>
          </w:p>
        </w:tc>
      </w:tr>
      <w:tr w:rsidR="00EE5F3C" w:rsidRPr="00FB463B" w14:paraId="1652502B" w14:textId="77777777" w:rsidTr="005E0E03">
        <w:trPr>
          <w:cantSplit/>
          <w:tblHeader/>
        </w:trPr>
        <w:tc>
          <w:tcPr>
            <w:tcW w:w="1130" w:type="dxa"/>
            <w:vAlign w:val="center"/>
          </w:tcPr>
          <w:p w14:paraId="0D384536" w14:textId="77777777" w:rsidR="00EE5F3C" w:rsidRPr="00FB463B" w:rsidRDefault="00EE5F3C" w:rsidP="00422B00">
            <w:pPr>
              <w:rPr>
                <w:rFonts w:cs="Arial"/>
              </w:rPr>
            </w:pPr>
            <w:r w:rsidRPr="00FB463B">
              <w:rPr>
                <w:rFonts w:eastAsia="BIZ UDGothic" w:cs="Arial"/>
                <w:kern w:val="24"/>
              </w:rPr>
              <w:t>2021-22</w:t>
            </w:r>
          </w:p>
        </w:tc>
        <w:tc>
          <w:tcPr>
            <w:tcW w:w="1565" w:type="dxa"/>
            <w:vAlign w:val="center"/>
          </w:tcPr>
          <w:p w14:paraId="42C3EEFA" w14:textId="77777777" w:rsidR="00EE5F3C" w:rsidRPr="00FB463B" w:rsidRDefault="00EE5F3C" w:rsidP="00422B00">
            <w:pPr>
              <w:jc w:val="center"/>
              <w:rPr>
                <w:rFonts w:cs="Arial"/>
              </w:rPr>
            </w:pPr>
            <w:r w:rsidRPr="00FB463B">
              <w:rPr>
                <w:rFonts w:eastAsia="BIZ UDGothic" w:cs="Arial"/>
                <w:kern w:val="24"/>
              </w:rPr>
              <w:t>241 (0.73%)</w:t>
            </w:r>
          </w:p>
        </w:tc>
        <w:tc>
          <w:tcPr>
            <w:tcW w:w="1980" w:type="dxa"/>
            <w:vAlign w:val="center"/>
          </w:tcPr>
          <w:p w14:paraId="71B3B5CC" w14:textId="73874347" w:rsidR="00EE5F3C" w:rsidRPr="00FB463B" w:rsidRDefault="00EE5F3C" w:rsidP="005D088B">
            <w:pPr>
              <w:jc w:val="center"/>
              <w:rPr>
                <w:rFonts w:cs="Arial"/>
              </w:rPr>
            </w:pPr>
            <w:r w:rsidRPr="00FB463B">
              <w:rPr>
                <w:rFonts w:eastAsia="BIZ UDGothic" w:cs="Arial"/>
                <w:kern w:val="24"/>
              </w:rPr>
              <w:t>62 (0.20%)</w:t>
            </w:r>
          </w:p>
        </w:tc>
      </w:tr>
      <w:tr w:rsidR="00EE5F3C" w:rsidRPr="00FB463B" w14:paraId="77F87DB6" w14:textId="77777777" w:rsidTr="005E0E03">
        <w:trPr>
          <w:cantSplit/>
          <w:tblHeader/>
        </w:trPr>
        <w:tc>
          <w:tcPr>
            <w:tcW w:w="1130" w:type="dxa"/>
            <w:vAlign w:val="center"/>
          </w:tcPr>
          <w:p w14:paraId="6EDA3B3D" w14:textId="31E19416" w:rsidR="00EE5F3C" w:rsidRPr="00FB463B" w:rsidRDefault="00EE5F3C" w:rsidP="00422B00">
            <w:pPr>
              <w:rPr>
                <w:rFonts w:eastAsia="BIZ UDGothic" w:cs="Arial"/>
                <w:b/>
                <w:bCs/>
                <w:kern w:val="24"/>
              </w:rPr>
            </w:pPr>
            <w:r w:rsidRPr="00FB463B">
              <w:rPr>
                <w:rFonts w:eastAsia="BIZ UDGothic" w:cs="Arial"/>
                <w:b/>
                <w:bCs/>
                <w:kern w:val="24"/>
              </w:rPr>
              <w:t>Total</w:t>
            </w:r>
          </w:p>
        </w:tc>
        <w:tc>
          <w:tcPr>
            <w:tcW w:w="1565" w:type="dxa"/>
            <w:vAlign w:val="center"/>
          </w:tcPr>
          <w:p w14:paraId="451F8726" w14:textId="77777777" w:rsidR="00EE5F3C" w:rsidRPr="00FB463B" w:rsidRDefault="00EE5F3C" w:rsidP="00422B00">
            <w:pPr>
              <w:jc w:val="center"/>
              <w:rPr>
                <w:rFonts w:eastAsia="BIZ UDGothic" w:cs="Arial"/>
                <w:b/>
                <w:bCs/>
                <w:kern w:val="24"/>
              </w:rPr>
            </w:pPr>
            <w:r w:rsidRPr="00FB463B">
              <w:rPr>
                <w:rFonts w:eastAsia="BIZ UDGothic" w:cs="Arial"/>
                <w:b/>
                <w:bCs/>
                <w:kern w:val="24"/>
              </w:rPr>
              <w:t>317 (1.00%)</w:t>
            </w:r>
          </w:p>
        </w:tc>
        <w:tc>
          <w:tcPr>
            <w:tcW w:w="1980" w:type="dxa"/>
            <w:vAlign w:val="center"/>
          </w:tcPr>
          <w:p w14:paraId="65909D89" w14:textId="20B59375" w:rsidR="00EE5F3C" w:rsidRPr="00FB463B" w:rsidRDefault="00EE5F3C" w:rsidP="005D088B">
            <w:pPr>
              <w:jc w:val="center"/>
              <w:rPr>
                <w:rFonts w:eastAsia="BIZ UDGothic" w:cs="Arial"/>
                <w:b/>
                <w:bCs/>
                <w:kern w:val="24"/>
              </w:rPr>
            </w:pPr>
            <w:r w:rsidRPr="00FB463B">
              <w:rPr>
                <w:rFonts w:eastAsia="BIZ UDGothic" w:cs="Arial"/>
                <w:b/>
                <w:bCs/>
                <w:kern w:val="24"/>
              </w:rPr>
              <w:t>92 (0.29%)</w:t>
            </w:r>
          </w:p>
        </w:tc>
      </w:tr>
    </w:tbl>
    <w:p w14:paraId="5D1CE78D" w14:textId="5AA770A5" w:rsidR="00EE5F3C" w:rsidRPr="00FB463B" w:rsidRDefault="002F4BFB" w:rsidP="00EE5F3C">
      <w:pPr>
        <w:rPr>
          <w:rFonts w:cs="Arial"/>
          <w:b/>
          <w:bCs/>
        </w:rPr>
      </w:pPr>
      <w:r w:rsidRPr="00FB463B">
        <w:rPr>
          <w:rFonts w:cs="Arial"/>
        </w:rPr>
        <w:br w:type="column"/>
      </w:r>
      <w:r w:rsidR="00EE5F3C" w:rsidRPr="00FB463B">
        <w:rPr>
          <w:rFonts w:cs="Arial"/>
          <w:b/>
          <w:bCs/>
        </w:rPr>
        <w:t xml:space="preserve">Table </w:t>
      </w:r>
      <w:r w:rsidR="00074A06" w:rsidRPr="00FB463B">
        <w:rPr>
          <w:rFonts w:cs="Arial"/>
          <w:b/>
          <w:bCs/>
        </w:rPr>
        <w:t>10</w:t>
      </w:r>
      <w:r w:rsidR="00EE5F3C" w:rsidRPr="00FB463B">
        <w:rPr>
          <w:rFonts w:cs="Arial"/>
          <w:b/>
          <w:bCs/>
        </w:rPr>
        <w:t>:</w:t>
      </w:r>
      <w:r w:rsidR="00EE5F3C" w:rsidRPr="00FB463B">
        <w:rPr>
          <w:rFonts w:cs="Arial"/>
        </w:rPr>
        <w:t xml:space="preserve"> </w:t>
      </w:r>
      <w:r w:rsidR="00EE5F3C" w:rsidRPr="00FB463B">
        <w:rPr>
          <w:rFonts w:cs="Arial"/>
          <w:b/>
          <w:bCs/>
        </w:rPr>
        <w:t>Non-DASS Schools</w:t>
      </w:r>
    </w:p>
    <w:tbl>
      <w:tblPr>
        <w:tblStyle w:val="TableGrid"/>
        <w:tblW w:w="4855" w:type="dxa"/>
        <w:tblLook w:val="04A0" w:firstRow="1" w:lastRow="0" w:firstColumn="1" w:lastColumn="0" w:noHBand="0" w:noVBand="1"/>
        <w:tblCaption w:val="Table 10: Non-DASS Schools"/>
        <w:tblDescription w:val="Non-DASS Schools"/>
      </w:tblPr>
      <w:tblGrid>
        <w:gridCol w:w="1148"/>
        <w:gridCol w:w="1817"/>
        <w:gridCol w:w="1890"/>
      </w:tblGrid>
      <w:tr w:rsidR="00EE5F3C" w:rsidRPr="00FB463B" w14:paraId="2F131723" w14:textId="77777777" w:rsidTr="005D088B">
        <w:tc>
          <w:tcPr>
            <w:tcW w:w="1148" w:type="dxa"/>
            <w:shd w:val="clear" w:color="auto" w:fill="E7E6E6" w:themeFill="background2"/>
            <w:vAlign w:val="center"/>
          </w:tcPr>
          <w:p w14:paraId="38EBF439" w14:textId="77777777" w:rsidR="00EE5F3C" w:rsidRPr="00FB463B" w:rsidRDefault="00EE5F3C" w:rsidP="00422B00">
            <w:pPr>
              <w:jc w:val="center"/>
              <w:rPr>
                <w:rFonts w:cs="Arial"/>
                <w:b/>
                <w:bCs/>
              </w:rPr>
            </w:pPr>
            <w:r w:rsidRPr="00FB463B">
              <w:rPr>
                <w:rFonts w:eastAsia="BIZ UDGothic" w:cs="Arial"/>
                <w:b/>
                <w:bCs/>
                <w:kern w:val="24"/>
              </w:rPr>
              <w:t>Year</w:t>
            </w:r>
          </w:p>
        </w:tc>
        <w:tc>
          <w:tcPr>
            <w:tcW w:w="1817" w:type="dxa"/>
            <w:shd w:val="clear" w:color="auto" w:fill="E7E6E6" w:themeFill="background2"/>
            <w:vAlign w:val="center"/>
          </w:tcPr>
          <w:p w14:paraId="4F050D0B" w14:textId="77777777" w:rsidR="00EE5F3C" w:rsidRPr="00FB463B" w:rsidRDefault="00EE5F3C"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0FD22CC6" w14:textId="77777777" w:rsidR="00EE5F3C" w:rsidRPr="00FB463B" w:rsidRDefault="00EE5F3C" w:rsidP="00422B00">
            <w:pPr>
              <w:jc w:val="center"/>
              <w:rPr>
                <w:rFonts w:cs="Arial"/>
                <w:b/>
                <w:bCs/>
              </w:rPr>
            </w:pPr>
            <w:r w:rsidRPr="00FB463B">
              <w:rPr>
                <w:rFonts w:eastAsia="BIZ UDGothic" w:cs="Arial"/>
                <w:b/>
                <w:bCs/>
                <w:kern w:val="24"/>
              </w:rPr>
              <w:t>(n=400,324)</w:t>
            </w:r>
          </w:p>
        </w:tc>
        <w:tc>
          <w:tcPr>
            <w:tcW w:w="1890" w:type="dxa"/>
            <w:shd w:val="clear" w:color="auto" w:fill="E7E6E6" w:themeFill="background2"/>
            <w:vAlign w:val="center"/>
          </w:tcPr>
          <w:p w14:paraId="0D0C703D" w14:textId="77777777" w:rsidR="00EE5F3C" w:rsidRPr="00FB463B" w:rsidRDefault="00EE5F3C"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313A9280" w14:textId="77777777" w:rsidR="00EE5F3C" w:rsidRPr="00FB463B" w:rsidRDefault="00EE5F3C" w:rsidP="00422B00">
            <w:pPr>
              <w:jc w:val="center"/>
              <w:rPr>
                <w:rFonts w:cs="Arial"/>
                <w:b/>
                <w:bCs/>
              </w:rPr>
            </w:pPr>
            <w:r w:rsidRPr="00FB463B">
              <w:rPr>
                <w:rFonts w:eastAsia="BIZ UDGothic" w:cs="Arial"/>
                <w:b/>
                <w:bCs/>
                <w:kern w:val="24"/>
              </w:rPr>
              <w:t>(n=57,147)</w:t>
            </w:r>
          </w:p>
        </w:tc>
      </w:tr>
      <w:tr w:rsidR="00EE5F3C" w:rsidRPr="00FB463B" w14:paraId="01DD2058" w14:textId="77777777" w:rsidTr="005D088B">
        <w:tc>
          <w:tcPr>
            <w:tcW w:w="1148" w:type="dxa"/>
            <w:vAlign w:val="center"/>
          </w:tcPr>
          <w:p w14:paraId="0A6B5D01" w14:textId="77777777" w:rsidR="00EE5F3C" w:rsidRPr="00FB463B" w:rsidRDefault="00EE5F3C" w:rsidP="00422B00">
            <w:pPr>
              <w:rPr>
                <w:rFonts w:cs="Arial"/>
                <w:b/>
                <w:bCs/>
              </w:rPr>
            </w:pPr>
            <w:r w:rsidRPr="00FB463B">
              <w:rPr>
                <w:rFonts w:eastAsia="BIZ UDGothic" w:cs="Arial"/>
                <w:color w:val="000000" w:themeColor="dark1"/>
                <w:kern w:val="24"/>
              </w:rPr>
              <w:t>2020-21</w:t>
            </w:r>
          </w:p>
        </w:tc>
        <w:tc>
          <w:tcPr>
            <w:tcW w:w="1817" w:type="dxa"/>
            <w:vAlign w:val="center"/>
          </w:tcPr>
          <w:p w14:paraId="53DBA72F" w14:textId="77777777" w:rsidR="00EE5F3C" w:rsidRPr="00FB463B" w:rsidRDefault="00EE5F3C" w:rsidP="00422B00">
            <w:pPr>
              <w:jc w:val="center"/>
              <w:rPr>
                <w:rFonts w:cs="Arial"/>
                <w:b/>
                <w:bCs/>
              </w:rPr>
            </w:pPr>
            <w:r w:rsidRPr="00FB463B">
              <w:rPr>
                <w:rFonts w:eastAsia="BIZ UDGothic" w:cs="Arial"/>
                <w:color w:val="354052"/>
                <w:kern w:val="24"/>
              </w:rPr>
              <w:t>2,797 (0.70%)</w:t>
            </w:r>
          </w:p>
        </w:tc>
        <w:tc>
          <w:tcPr>
            <w:tcW w:w="1890" w:type="dxa"/>
            <w:vAlign w:val="center"/>
          </w:tcPr>
          <w:p w14:paraId="2CA99C47" w14:textId="2E252A5F" w:rsidR="00EE5F3C" w:rsidRPr="00FB463B" w:rsidRDefault="00EE5F3C" w:rsidP="005D088B">
            <w:pPr>
              <w:jc w:val="center"/>
              <w:rPr>
                <w:rFonts w:cs="Arial"/>
                <w:b/>
                <w:bCs/>
              </w:rPr>
            </w:pPr>
            <w:r w:rsidRPr="00FB463B">
              <w:rPr>
                <w:rFonts w:eastAsia="BIZ UDGothic" w:cs="Arial"/>
                <w:color w:val="354052"/>
                <w:kern w:val="24"/>
              </w:rPr>
              <w:t>64 (0.01%)</w:t>
            </w:r>
          </w:p>
        </w:tc>
      </w:tr>
      <w:tr w:rsidR="00EE5F3C" w:rsidRPr="00FB463B" w14:paraId="246DA080" w14:textId="77777777" w:rsidTr="005D088B">
        <w:tc>
          <w:tcPr>
            <w:tcW w:w="1148" w:type="dxa"/>
            <w:vAlign w:val="center"/>
          </w:tcPr>
          <w:p w14:paraId="1B2E8D90" w14:textId="77777777" w:rsidR="00EE5F3C" w:rsidRPr="00FB463B" w:rsidRDefault="00EE5F3C" w:rsidP="00422B00">
            <w:pPr>
              <w:rPr>
                <w:rFonts w:cs="Arial"/>
                <w:b/>
                <w:bCs/>
              </w:rPr>
            </w:pPr>
            <w:r w:rsidRPr="00FB463B">
              <w:rPr>
                <w:rFonts w:eastAsia="BIZ UDGothic" w:cs="Arial"/>
                <w:color w:val="354052"/>
                <w:kern w:val="24"/>
              </w:rPr>
              <w:t>2021-22</w:t>
            </w:r>
          </w:p>
        </w:tc>
        <w:tc>
          <w:tcPr>
            <w:tcW w:w="1817" w:type="dxa"/>
            <w:vAlign w:val="center"/>
          </w:tcPr>
          <w:p w14:paraId="63F98CA1" w14:textId="77777777" w:rsidR="00EE5F3C" w:rsidRPr="00FB463B" w:rsidRDefault="00EE5F3C" w:rsidP="00422B00">
            <w:pPr>
              <w:jc w:val="center"/>
              <w:rPr>
                <w:rFonts w:cs="Arial"/>
                <w:b/>
                <w:bCs/>
              </w:rPr>
            </w:pPr>
            <w:r w:rsidRPr="00FB463B">
              <w:rPr>
                <w:rFonts w:eastAsia="BIZ UDGothic" w:cs="Arial"/>
                <w:color w:val="354052"/>
                <w:kern w:val="24"/>
              </w:rPr>
              <w:t>8,368 (2.10%)</w:t>
            </w:r>
          </w:p>
        </w:tc>
        <w:tc>
          <w:tcPr>
            <w:tcW w:w="1890" w:type="dxa"/>
            <w:vAlign w:val="center"/>
          </w:tcPr>
          <w:p w14:paraId="7794D99F" w14:textId="4F953CF9" w:rsidR="00EE5F3C" w:rsidRPr="00FB463B" w:rsidRDefault="00EE5F3C" w:rsidP="005D088B">
            <w:pPr>
              <w:jc w:val="center"/>
              <w:rPr>
                <w:rFonts w:cs="Arial"/>
                <w:b/>
                <w:bCs/>
              </w:rPr>
            </w:pPr>
            <w:r w:rsidRPr="00FB463B">
              <w:rPr>
                <w:rFonts w:eastAsia="BIZ UDGothic" w:cs="Arial"/>
                <w:color w:val="354052"/>
                <w:kern w:val="24"/>
              </w:rPr>
              <w:t>82 (0.14%)</w:t>
            </w:r>
          </w:p>
        </w:tc>
      </w:tr>
      <w:tr w:rsidR="00EE5F3C" w:rsidRPr="00FB463B" w14:paraId="58D0310F" w14:textId="77777777" w:rsidTr="005D088B">
        <w:tc>
          <w:tcPr>
            <w:tcW w:w="1148" w:type="dxa"/>
            <w:vAlign w:val="center"/>
          </w:tcPr>
          <w:p w14:paraId="1CB30C2B" w14:textId="77777777" w:rsidR="00EE5F3C" w:rsidRPr="00FB463B" w:rsidRDefault="00EE5F3C" w:rsidP="00422B00">
            <w:pPr>
              <w:rPr>
                <w:rFonts w:cs="Arial"/>
                <w:b/>
                <w:bCs/>
              </w:rPr>
            </w:pPr>
            <w:r w:rsidRPr="00FB463B">
              <w:rPr>
                <w:rFonts w:eastAsia="BIZ UDGothic" w:cs="Arial"/>
                <w:b/>
                <w:color w:val="000000" w:themeColor="dark1"/>
                <w:kern w:val="24"/>
              </w:rPr>
              <w:t>Total</w:t>
            </w:r>
          </w:p>
        </w:tc>
        <w:tc>
          <w:tcPr>
            <w:tcW w:w="1817" w:type="dxa"/>
            <w:vAlign w:val="center"/>
          </w:tcPr>
          <w:p w14:paraId="1BE693E8" w14:textId="77777777" w:rsidR="00EE5F3C" w:rsidRPr="00FB463B" w:rsidRDefault="00EE5F3C" w:rsidP="00422B00">
            <w:pPr>
              <w:jc w:val="center"/>
              <w:rPr>
                <w:rFonts w:cs="Arial"/>
                <w:b/>
                <w:bCs/>
              </w:rPr>
            </w:pPr>
            <w:r w:rsidRPr="00FB463B">
              <w:rPr>
                <w:rFonts w:cs="Arial"/>
                <w:b/>
                <w:bCs/>
              </w:rPr>
              <w:t>11,165 (2.8%)</w:t>
            </w:r>
          </w:p>
        </w:tc>
        <w:tc>
          <w:tcPr>
            <w:tcW w:w="1890" w:type="dxa"/>
            <w:vAlign w:val="center"/>
          </w:tcPr>
          <w:p w14:paraId="77C4ED4A" w14:textId="1DE37C94" w:rsidR="00EE5F3C" w:rsidRPr="00FB463B" w:rsidRDefault="00EE5F3C" w:rsidP="005D088B">
            <w:pPr>
              <w:jc w:val="center"/>
              <w:rPr>
                <w:rFonts w:cs="Arial"/>
                <w:b/>
                <w:bCs/>
              </w:rPr>
            </w:pPr>
            <w:r w:rsidRPr="00FB463B">
              <w:rPr>
                <w:rFonts w:cs="Arial"/>
                <w:b/>
                <w:bCs/>
              </w:rPr>
              <w:t>146 (0.15%)</w:t>
            </w:r>
          </w:p>
        </w:tc>
      </w:tr>
    </w:tbl>
    <w:p w14:paraId="3D18AF00" w14:textId="77777777" w:rsidR="004D2471" w:rsidRPr="00FB463B" w:rsidRDefault="004D2471" w:rsidP="00A64216">
      <w:pPr>
        <w:rPr>
          <w:rFonts w:cs="Arial"/>
          <w:b/>
          <w:bCs/>
        </w:rPr>
        <w:sectPr w:rsidR="004D2471" w:rsidRPr="00FB463B" w:rsidSect="00EE5F3C">
          <w:type w:val="continuous"/>
          <w:pgSz w:w="12240" w:h="15840"/>
          <w:pgMar w:top="1440" w:right="1440" w:bottom="1440" w:left="1440" w:header="720" w:footer="720" w:gutter="0"/>
          <w:cols w:num="2" w:space="720"/>
          <w:docGrid w:linePitch="360"/>
        </w:sectPr>
      </w:pPr>
    </w:p>
    <w:p w14:paraId="7218B19E" w14:textId="61ADADF6" w:rsidR="00A64216" w:rsidRPr="00FB463B" w:rsidRDefault="009434EB" w:rsidP="00A64216">
      <w:pPr>
        <w:rPr>
          <w:rFonts w:cs="Arial"/>
          <w:b/>
          <w:bCs/>
        </w:rPr>
      </w:pPr>
      <w:r w:rsidRPr="00FB463B">
        <w:rPr>
          <w:rFonts w:cs="Arial"/>
          <w:b/>
          <w:bCs/>
        </w:rPr>
        <w:t xml:space="preserve">Table </w:t>
      </w:r>
      <w:r w:rsidR="00074A06" w:rsidRPr="00FB463B">
        <w:rPr>
          <w:rFonts w:cs="Arial"/>
          <w:b/>
          <w:bCs/>
        </w:rPr>
        <w:t>11</w:t>
      </w:r>
      <w:r w:rsidRPr="00FB463B">
        <w:rPr>
          <w:rFonts w:cs="Arial"/>
          <w:b/>
          <w:bCs/>
        </w:rPr>
        <w:t xml:space="preserve"> </w:t>
      </w:r>
      <w:r w:rsidR="00A64216" w:rsidRPr="00FB463B">
        <w:rPr>
          <w:rFonts w:cs="Arial"/>
          <w:b/>
          <w:bCs/>
        </w:rPr>
        <w:t>Charter Schools</w:t>
      </w:r>
    </w:p>
    <w:tbl>
      <w:tblPr>
        <w:tblStyle w:val="TableGrid"/>
        <w:tblW w:w="4495" w:type="dxa"/>
        <w:tblLook w:val="04A0" w:firstRow="1" w:lastRow="0" w:firstColumn="1" w:lastColumn="0" w:noHBand="0" w:noVBand="1"/>
        <w:tblCaption w:val="Table 11: Charter Schools"/>
        <w:tblDescription w:val="Table 11: Charter Schools"/>
      </w:tblPr>
      <w:tblGrid>
        <w:gridCol w:w="1165"/>
        <w:gridCol w:w="1800"/>
        <w:gridCol w:w="1530"/>
      </w:tblGrid>
      <w:tr w:rsidR="00A64216" w:rsidRPr="00FB463B" w14:paraId="3193D98D" w14:textId="77777777" w:rsidTr="002E46A6">
        <w:trPr>
          <w:cantSplit/>
          <w:tblHeader/>
        </w:trPr>
        <w:tc>
          <w:tcPr>
            <w:tcW w:w="1165" w:type="dxa"/>
            <w:shd w:val="clear" w:color="auto" w:fill="E7E6E6" w:themeFill="background2"/>
            <w:vAlign w:val="center"/>
          </w:tcPr>
          <w:p w14:paraId="3862F3B5" w14:textId="77777777" w:rsidR="00A64216" w:rsidRPr="00FB463B" w:rsidRDefault="00A64216" w:rsidP="00422B00">
            <w:pPr>
              <w:jc w:val="center"/>
              <w:rPr>
                <w:rFonts w:cs="Arial"/>
                <w:b/>
                <w:bCs/>
              </w:rPr>
            </w:pPr>
            <w:r w:rsidRPr="00FB463B">
              <w:rPr>
                <w:rFonts w:eastAsia="BIZ UDGothic" w:cs="Arial"/>
                <w:b/>
                <w:bCs/>
                <w:kern w:val="24"/>
              </w:rPr>
              <w:t>Year</w:t>
            </w:r>
          </w:p>
        </w:tc>
        <w:tc>
          <w:tcPr>
            <w:tcW w:w="1800" w:type="dxa"/>
            <w:shd w:val="clear" w:color="auto" w:fill="E7E6E6" w:themeFill="background2"/>
            <w:vAlign w:val="center"/>
          </w:tcPr>
          <w:p w14:paraId="472C4397" w14:textId="77777777" w:rsidR="00A64216" w:rsidRPr="00FB463B" w:rsidRDefault="00A6421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0829D3B9" w14:textId="77777777" w:rsidR="00A64216" w:rsidRPr="00FB463B" w:rsidRDefault="00A64216" w:rsidP="00422B00">
            <w:pPr>
              <w:jc w:val="center"/>
              <w:rPr>
                <w:rFonts w:cs="Arial"/>
                <w:b/>
                <w:bCs/>
              </w:rPr>
            </w:pPr>
            <w:r w:rsidRPr="00FB463B">
              <w:rPr>
                <w:rFonts w:eastAsia="BIZ UDGothic" w:cs="Arial"/>
                <w:b/>
                <w:bCs/>
                <w:kern w:val="24"/>
              </w:rPr>
              <w:t>(n=47,161)</w:t>
            </w:r>
          </w:p>
        </w:tc>
        <w:tc>
          <w:tcPr>
            <w:tcW w:w="1530" w:type="dxa"/>
            <w:shd w:val="clear" w:color="auto" w:fill="E7E6E6" w:themeFill="background2"/>
            <w:vAlign w:val="center"/>
          </w:tcPr>
          <w:p w14:paraId="47AC07D8" w14:textId="77777777" w:rsidR="00A64216" w:rsidRPr="00FB463B" w:rsidRDefault="00A6421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2DB5C6AE" w14:textId="77777777" w:rsidR="00A64216" w:rsidRPr="00FB463B" w:rsidRDefault="00A64216" w:rsidP="00422B00">
            <w:pPr>
              <w:jc w:val="center"/>
              <w:rPr>
                <w:rFonts w:cs="Arial"/>
                <w:b/>
                <w:bCs/>
              </w:rPr>
            </w:pPr>
            <w:r w:rsidRPr="00FB463B">
              <w:rPr>
                <w:rFonts w:eastAsia="BIZ UDGothic" w:cs="Arial"/>
                <w:b/>
                <w:bCs/>
                <w:kern w:val="24"/>
              </w:rPr>
              <w:t>(n=27,253)</w:t>
            </w:r>
          </w:p>
        </w:tc>
      </w:tr>
      <w:tr w:rsidR="00A64216" w:rsidRPr="00FB463B" w14:paraId="32BB8BEF" w14:textId="77777777" w:rsidTr="002E46A6">
        <w:trPr>
          <w:cantSplit/>
          <w:tblHeader/>
        </w:trPr>
        <w:tc>
          <w:tcPr>
            <w:tcW w:w="1165" w:type="dxa"/>
            <w:vAlign w:val="center"/>
          </w:tcPr>
          <w:p w14:paraId="100DD5FC" w14:textId="77777777" w:rsidR="00A64216" w:rsidRPr="00FB463B" w:rsidRDefault="00A64216" w:rsidP="00422B00">
            <w:pPr>
              <w:rPr>
                <w:rFonts w:cs="Arial"/>
                <w:b/>
                <w:bCs/>
              </w:rPr>
            </w:pPr>
            <w:r w:rsidRPr="00FB463B">
              <w:rPr>
                <w:rFonts w:eastAsia="BIZ UDGothic" w:cs="Arial"/>
                <w:color w:val="000000" w:themeColor="dark1"/>
                <w:kern w:val="24"/>
              </w:rPr>
              <w:t>2020-21</w:t>
            </w:r>
          </w:p>
        </w:tc>
        <w:tc>
          <w:tcPr>
            <w:tcW w:w="1800" w:type="dxa"/>
            <w:vAlign w:val="center"/>
          </w:tcPr>
          <w:p w14:paraId="7DD6DD44" w14:textId="77777777" w:rsidR="00A64216" w:rsidRPr="00FB463B" w:rsidRDefault="00A64216" w:rsidP="00422B00">
            <w:pPr>
              <w:jc w:val="center"/>
              <w:rPr>
                <w:rFonts w:cs="Arial"/>
                <w:b/>
                <w:bCs/>
              </w:rPr>
            </w:pPr>
            <w:r w:rsidRPr="00FB463B">
              <w:rPr>
                <w:rFonts w:eastAsia="BIZ UDGothic" w:cs="Arial"/>
                <w:color w:val="354052"/>
                <w:kern w:val="24"/>
              </w:rPr>
              <w:t>356 (0.75%)</w:t>
            </w:r>
          </w:p>
        </w:tc>
        <w:tc>
          <w:tcPr>
            <w:tcW w:w="1530" w:type="dxa"/>
            <w:vAlign w:val="center"/>
          </w:tcPr>
          <w:p w14:paraId="36F366CD" w14:textId="5F689381" w:rsidR="00A64216" w:rsidRPr="00FB463B" w:rsidRDefault="00A64216" w:rsidP="001A4669">
            <w:pPr>
              <w:jc w:val="center"/>
              <w:rPr>
                <w:rFonts w:cs="Arial"/>
                <w:b/>
                <w:bCs/>
              </w:rPr>
            </w:pPr>
            <w:r w:rsidRPr="00FB463B">
              <w:rPr>
                <w:rFonts w:eastAsia="BIZ UDGothic" w:cs="Arial"/>
                <w:color w:val="354052"/>
                <w:kern w:val="24"/>
              </w:rPr>
              <w:t>31 (0.11%)</w:t>
            </w:r>
          </w:p>
        </w:tc>
      </w:tr>
      <w:tr w:rsidR="00A64216" w:rsidRPr="00FB463B" w14:paraId="301D8BA5" w14:textId="77777777" w:rsidTr="002E46A6">
        <w:trPr>
          <w:cantSplit/>
          <w:tblHeader/>
        </w:trPr>
        <w:tc>
          <w:tcPr>
            <w:tcW w:w="1165" w:type="dxa"/>
            <w:vAlign w:val="center"/>
          </w:tcPr>
          <w:p w14:paraId="5FF411E9" w14:textId="77777777" w:rsidR="00A64216" w:rsidRPr="00FB463B" w:rsidRDefault="00A64216" w:rsidP="00422B00">
            <w:pPr>
              <w:rPr>
                <w:rFonts w:cs="Arial"/>
                <w:b/>
                <w:bCs/>
              </w:rPr>
            </w:pPr>
            <w:r w:rsidRPr="00FB463B">
              <w:rPr>
                <w:rFonts w:eastAsia="BIZ UDGothic" w:cs="Arial"/>
                <w:color w:val="354052"/>
                <w:kern w:val="24"/>
              </w:rPr>
              <w:t>2021-22</w:t>
            </w:r>
          </w:p>
        </w:tc>
        <w:tc>
          <w:tcPr>
            <w:tcW w:w="1800" w:type="dxa"/>
            <w:vAlign w:val="center"/>
          </w:tcPr>
          <w:p w14:paraId="315FF96D" w14:textId="77777777" w:rsidR="00A64216" w:rsidRPr="00FB463B" w:rsidRDefault="00A64216" w:rsidP="00422B00">
            <w:pPr>
              <w:jc w:val="center"/>
              <w:rPr>
                <w:rFonts w:cs="Arial"/>
                <w:b/>
                <w:bCs/>
              </w:rPr>
            </w:pPr>
            <w:r w:rsidRPr="00FB463B">
              <w:rPr>
                <w:rFonts w:eastAsia="BIZ UDGothic" w:cs="Arial"/>
                <w:color w:val="354052"/>
                <w:kern w:val="24"/>
              </w:rPr>
              <w:t>934 (1.98%)</w:t>
            </w:r>
          </w:p>
        </w:tc>
        <w:tc>
          <w:tcPr>
            <w:tcW w:w="1530" w:type="dxa"/>
            <w:vAlign w:val="center"/>
          </w:tcPr>
          <w:p w14:paraId="49F0A603" w14:textId="3E84355D" w:rsidR="00A64216" w:rsidRPr="00FB463B" w:rsidRDefault="00A64216" w:rsidP="001A4669">
            <w:pPr>
              <w:jc w:val="center"/>
              <w:rPr>
                <w:rFonts w:cs="Arial"/>
                <w:b/>
                <w:bCs/>
              </w:rPr>
            </w:pPr>
            <w:r w:rsidRPr="00FB463B">
              <w:rPr>
                <w:rFonts w:eastAsia="BIZ UDGothic" w:cs="Arial"/>
                <w:color w:val="354052"/>
                <w:kern w:val="24"/>
              </w:rPr>
              <w:t>43 (0.20%)</w:t>
            </w:r>
          </w:p>
        </w:tc>
      </w:tr>
      <w:tr w:rsidR="00A64216" w:rsidRPr="00FB463B" w14:paraId="2E6CCD99" w14:textId="77777777" w:rsidTr="002E46A6">
        <w:trPr>
          <w:cantSplit/>
          <w:tblHeader/>
        </w:trPr>
        <w:tc>
          <w:tcPr>
            <w:tcW w:w="1165" w:type="dxa"/>
            <w:vAlign w:val="center"/>
          </w:tcPr>
          <w:p w14:paraId="78830883" w14:textId="77777777" w:rsidR="00A64216" w:rsidRPr="00FB463B" w:rsidRDefault="00A64216" w:rsidP="00422B00">
            <w:pPr>
              <w:rPr>
                <w:rFonts w:cs="Arial"/>
                <w:b/>
                <w:bCs/>
              </w:rPr>
            </w:pPr>
            <w:r w:rsidRPr="00FB463B">
              <w:rPr>
                <w:rFonts w:eastAsia="BIZ UDGothic" w:cs="Arial"/>
                <w:b/>
                <w:color w:val="000000" w:themeColor="dark1"/>
                <w:kern w:val="24"/>
              </w:rPr>
              <w:t>Total</w:t>
            </w:r>
          </w:p>
        </w:tc>
        <w:tc>
          <w:tcPr>
            <w:tcW w:w="1800" w:type="dxa"/>
            <w:vAlign w:val="center"/>
          </w:tcPr>
          <w:p w14:paraId="55EA860B" w14:textId="77777777" w:rsidR="00A64216" w:rsidRPr="00FB463B" w:rsidRDefault="00A64216" w:rsidP="00422B00">
            <w:pPr>
              <w:jc w:val="center"/>
              <w:rPr>
                <w:rFonts w:cs="Arial"/>
                <w:b/>
                <w:bCs/>
              </w:rPr>
            </w:pPr>
            <w:r w:rsidRPr="00FB463B">
              <w:rPr>
                <w:rFonts w:cs="Arial"/>
                <w:b/>
                <w:bCs/>
              </w:rPr>
              <w:t>1,290 (2.73%)</w:t>
            </w:r>
          </w:p>
        </w:tc>
        <w:tc>
          <w:tcPr>
            <w:tcW w:w="1530" w:type="dxa"/>
            <w:vAlign w:val="center"/>
          </w:tcPr>
          <w:p w14:paraId="212548F6" w14:textId="2A65424D" w:rsidR="00A64216" w:rsidRPr="00FB463B" w:rsidRDefault="00A64216" w:rsidP="001A4669">
            <w:pPr>
              <w:jc w:val="center"/>
              <w:rPr>
                <w:rFonts w:cs="Arial"/>
                <w:b/>
                <w:bCs/>
              </w:rPr>
            </w:pPr>
            <w:r w:rsidRPr="00FB463B">
              <w:rPr>
                <w:rFonts w:cs="Arial"/>
                <w:b/>
                <w:bCs/>
              </w:rPr>
              <w:t>74 (0.31%)</w:t>
            </w:r>
          </w:p>
        </w:tc>
      </w:tr>
    </w:tbl>
    <w:p w14:paraId="4E964D1A" w14:textId="6324C1C6" w:rsidR="00A64216" w:rsidRPr="00FB463B" w:rsidRDefault="009434EB" w:rsidP="00A64216">
      <w:pPr>
        <w:rPr>
          <w:rFonts w:cs="Arial"/>
          <w:b/>
          <w:bCs/>
        </w:rPr>
      </w:pPr>
      <w:r w:rsidRPr="00FB463B">
        <w:rPr>
          <w:rFonts w:cs="Arial"/>
          <w:b/>
          <w:bCs/>
        </w:rPr>
        <w:t xml:space="preserve">Table </w:t>
      </w:r>
      <w:r w:rsidR="00074A06" w:rsidRPr="00FB463B">
        <w:rPr>
          <w:rFonts w:cs="Arial"/>
          <w:b/>
          <w:bCs/>
        </w:rPr>
        <w:t>12</w:t>
      </w:r>
      <w:r w:rsidRPr="00FB463B">
        <w:rPr>
          <w:rFonts w:cs="Arial"/>
          <w:b/>
          <w:bCs/>
        </w:rPr>
        <w:t xml:space="preserve"> </w:t>
      </w:r>
      <w:r w:rsidR="00A64216" w:rsidRPr="00FB463B">
        <w:rPr>
          <w:rFonts w:cs="Arial"/>
          <w:b/>
          <w:bCs/>
        </w:rPr>
        <w:t>Non-Charter Schools</w:t>
      </w:r>
    </w:p>
    <w:tbl>
      <w:tblPr>
        <w:tblStyle w:val="TableGrid"/>
        <w:tblW w:w="4765" w:type="dxa"/>
        <w:tblLook w:val="04A0" w:firstRow="1" w:lastRow="0" w:firstColumn="1" w:lastColumn="0" w:noHBand="0" w:noVBand="1"/>
        <w:tblCaption w:val="Table 12: Non-Charter Schools"/>
        <w:tblDescription w:val="Table 12: Non-Charter Schools"/>
      </w:tblPr>
      <w:tblGrid>
        <w:gridCol w:w="1165"/>
        <w:gridCol w:w="1800"/>
        <w:gridCol w:w="1800"/>
      </w:tblGrid>
      <w:tr w:rsidR="00A64216" w:rsidRPr="00FB463B" w14:paraId="18E92B79" w14:textId="77777777" w:rsidTr="002E46A6">
        <w:trPr>
          <w:cantSplit/>
          <w:tblHeader/>
        </w:trPr>
        <w:tc>
          <w:tcPr>
            <w:tcW w:w="1165" w:type="dxa"/>
            <w:shd w:val="clear" w:color="auto" w:fill="E7E6E6" w:themeFill="background2"/>
            <w:vAlign w:val="center"/>
          </w:tcPr>
          <w:p w14:paraId="7718C193" w14:textId="77777777" w:rsidR="00A64216" w:rsidRPr="00FB463B" w:rsidRDefault="00A64216" w:rsidP="00422B00">
            <w:pPr>
              <w:jc w:val="center"/>
              <w:rPr>
                <w:rFonts w:cs="Arial"/>
                <w:b/>
                <w:bCs/>
              </w:rPr>
            </w:pPr>
            <w:r w:rsidRPr="00FB463B">
              <w:rPr>
                <w:rFonts w:eastAsia="BIZ UDGothic" w:cs="Arial"/>
                <w:b/>
                <w:bCs/>
                <w:kern w:val="24"/>
              </w:rPr>
              <w:t>Year</w:t>
            </w:r>
          </w:p>
        </w:tc>
        <w:tc>
          <w:tcPr>
            <w:tcW w:w="1800" w:type="dxa"/>
            <w:shd w:val="clear" w:color="auto" w:fill="E7E6E6" w:themeFill="background2"/>
            <w:vAlign w:val="center"/>
          </w:tcPr>
          <w:p w14:paraId="0BC72129" w14:textId="77777777" w:rsidR="00A64216" w:rsidRPr="00FB463B" w:rsidRDefault="00A6421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714FE600" w14:textId="77777777" w:rsidR="00A64216" w:rsidRPr="00FB463B" w:rsidRDefault="00A64216" w:rsidP="00422B00">
            <w:pPr>
              <w:jc w:val="center"/>
              <w:rPr>
                <w:rFonts w:cs="Arial"/>
                <w:b/>
                <w:bCs/>
              </w:rPr>
            </w:pPr>
            <w:r w:rsidRPr="00FB463B">
              <w:rPr>
                <w:rFonts w:eastAsia="BIZ UDGothic" w:cs="Arial"/>
                <w:b/>
                <w:bCs/>
                <w:kern w:val="24"/>
              </w:rPr>
              <w:t>(n=386,194)</w:t>
            </w:r>
          </w:p>
        </w:tc>
        <w:tc>
          <w:tcPr>
            <w:tcW w:w="1800" w:type="dxa"/>
            <w:shd w:val="clear" w:color="auto" w:fill="E7E6E6" w:themeFill="background2"/>
            <w:vAlign w:val="center"/>
          </w:tcPr>
          <w:p w14:paraId="2137927A" w14:textId="77777777" w:rsidR="00A64216" w:rsidRPr="00FB463B" w:rsidRDefault="00A6421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6BFB0B30" w14:textId="77777777" w:rsidR="00A64216" w:rsidRPr="00FB463B" w:rsidRDefault="00A64216" w:rsidP="00422B00">
            <w:pPr>
              <w:jc w:val="center"/>
              <w:rPr>
                <w:rFonts w:cs="Arial"/>
                <w:b/>
                <w:bCs/>
              </w:rPr>
            </w:pPr>
            <w:r w:rsidRPr="00FB463B">
              <w:rPr>
                <w:rFonts w:eastAsia="BIZ UDGothic" w:cs="Arial"/>
                <w:b/>
                <w:bCs/>
                <w:kern w:val="24"/>
              </w:rPr>
              <w:t>(n=63,797)</w:t>
            </w:r>
          </w:p>
        </w:tc>
      </w:tr>
      <w:tr w:rsidR="00A64216" w:rsidRPr="00FB463B" w14:paraId="4D059488" w14:textId="77777777" w:rsidTr="002E46A6">
        <w:trPr>
          <w:cantSplit/>
          <w:tblHeader/>
        </w:trPr>
        <w:tc>
          <w:tcPr>
            <w:tcW w:w="1165" w:type="dxa"/>
            <w:vAlign w:val="center"/>
          </w:tcPr>
          <w:p w14:paraId="44357E53" w14:textId="77777777" w:rsidR="00A64216" w:rsidRPr="00FB463B" w:rsidRDefault="00A64216" w:rsidP="00422B00">
            <w:pPr>
              <w:rPr>
                <w:rFonts w:cs="Arial"/>
                <w:b/>
                <w:bCs/>
              </w:rPr>
            </w:pPr>
            <w:r w:rsidRPr="00FB463B">
              <w:rPr>
                <w:rFonts w:eastAsia="BIZ UDGothic" w:cs="Arial"/>
                <w:color w:val="000000" w:themeColor="dark1"/>
                <w:kern w:val="24"/>
              </w:rPr>
              <w:t>2020-21</w:t>
            </w:r>
          </w:p>
        </w:tc>
        <w:tc>
          <w:tcPr>
            <w:tcW w:w="1800" w:type="dxa"/>
            <w:vAlign w:val="center"/>
          </w:tcPr>
          <w:p w14:paraId="533C06ED" w14:textId="77777777" w:rsidR="00A64216" w:rsidRPr="00FB463B" w:rsidRDefault="00A64216" w:rsidP="00422B00">
            <w:pPr>
              <w:jc w:val="center"/>
              <w:rPr>
                <w:rFonts w:cs="Arial"/>
                <w:b/>
                <w:bCs/>
              </w:rPr>
            </w:pPr>
            <w:r w:rsidRPr="00FB463B">
              <w:rPr>
                <w:rFonts w:eastAsia="BIZ UDGothic" w:cs="Arial"/>
                <w:color w:val="354052"/>
                <w:kern w:val="24"/>
              </w:rPr>
              <w:t>2,517 (0.65%)</w:t>
            </w:r>
          </w:p>
        </w:tc>
        <w:tc>
          <w:tcPr>
            <w:tcW w:w="1800" w:type="dxa"/>
            <w:vAlign w:val="center"/>
          </w:tcPr>
          <w:p w14:paraId="40E28498" w14:textId="34E0FCF8" w:rsidR="00A64216" w:rsidRPr="00FB463B" w:rsidRDefault="00A64216" w:rsidP="001A4669">
            <w:pPr>
              <w:jc w:val="center"/>
              <w:rPr>
                <w:rFonts w:cs="Arial"/>
                <w:b/>
                <w:bCs/>
              </w:rPr>
            </w:pPr>
            <w:r w:rsidRPr="00FB463B">
              <w:rPr>
                <w:rFonts w:eastAsia="BIZ UDGothic" w:cs="Arial"/>
                <w:color w:val="354052"/>
                <w:kern w:val="24"/>
              </w:rPr>
              <w:t>63 (0.09%)</w:t>
            </w:r>
          </w:p>
        </w:tc>
      </w:tr>
      <w:tr w:rsidR="00A64216" w:rsidRPr="00FB463B" w14:paraId="23D62570" w14:textId="77777777" w:rsidTr="002E46A6">
        <w:trPr>
          <w:cantSplit/>
          <w:tblHeader/>
        </w:trPr>
        <w:tc>
          <w:tcPr>
            <w:tcW w:w="1165" w:type="dxa"/>
            <w:vAlign w:val="center"/>
          </w:tcPr>
          <w:p w14:paraId="6A201306" w14:textId="77777777" w:rsidR="00A64216" w:rsidRPr="00FB463B" w:rsidRDefault="00A64216" w:rsidP="00422B00">
            <w:pPr>
              <w:rPr>
                <w:rFonts w:cs="Arial"/>
                <w:b/>
                <w:bCs/>
              </w:rPr>
            </w:pPr>
            <w:r w:rsidRPr="00FB463B">
              <w:rPr>
                <w:rFonts w:eastAsia="BIZ UDGothic" w:cs="Arial"/>
                <w:color w:val="354052"/>
                <w:kern w:val="24"/>
              </w:rPr>
              <w:t>2021-22</w:t>
            </w:r>
          </w:p>
        </w:tc>
        <w:tc>
          <w:tcPr>
            <w:tcW w:w="1800" w:type="dxa"/>
            <w:vAlign w:val="center"/>
          </w:tcPr>
          <w:p w14:paraId="6B86C36A" w14:textId="77777777" w:rsidR="00A64216" w:rsidRPr="00FB463B" w:rsidRDefault="00A64216" w:rsidP="00422B00">
            <w:pPr>
              <w:jc w:val="center"/>
              <w:rPr>
                <w:rFonts w:cs="Arial"/>
                <w:b/>
                <w:bCs/>
              </w:rPr>
            </w:pPr>
            <w:r w:rsidRPr="00FB463B">
              <w:rPr>
                <w:rFonts w:eastAsia="BIZ UDGothic" w:cs="Arial"/>
                <w:color w:val="354052"/>
                <w:kern w:val="24"/>
              </w:rPr>
              <w:t>7,675 (1.98%)</w:t>
            </w:r>
          </w:p>
        </w:tc>
        <w:tc>
          <w:tcPr>
            <w:tcW w:w="1800" w:type="dxa"/>
            <w:vAlign w:val="center"/>
          </w:tcPr>
          <w:p w14:paraId="2C03AB7A" w14:textId="5CAA4E72" w:rsidR="00A64216" w:rsidRPr="00FB463B" w:rsidRDefault="00A64216" w:rsidP="001A4669">
            <w:pPr>
              <w:jc w:val="center"/>
              <w:rPr>
                <w:rFonts w:cs="Arial"/>
                <w:b/>
                <w:bCs/>
              </w:rPr>
            </w:pPr>
            <w:r w:rsidRPr="00FB463B">
              <w:rPr>
                <w:rFonts w:eastAsia="BIZ UDGothic" w:cs="Arial"/>
                <w:color w:val="354052"/>
                <w:kern w:val="24"/>
              </w:rPr>
              <w:t>101 (0.16%)</w:t>
            </w:r>
          </w:p>
        </w:tc>
      </w:tr>
      <w:tr w:rsidR="00A64216" w:rsidRPr="00FB463B" w14:paraId="139FB9A5" w14:textId="77777777" w:rsidTr="002E46A6">
        <w:trPr>
          <w:cantSplit/>
          <w:tblHeader/>
        </w:trPr>
        <w:tc>
          <w:tcPr>
            <w:tcW w:w="1165" w:type="dxa"/>
            <w:vAlign w:val="center"/>
          </w:tcPr>
          <w:p w14:paraId="6967036A" w14:textId="77777777" w:rsidR="00A64216" w:rsidRPr="00FB463B" w:rsidRDefault="00A64216" w:rsidP="00422B00">
            <w:pPr>
              <w:rPr>
                <w:rFonts w:cs="Arial"/>
                <w:b/>
                <w:bCs/>
              </w:rPr>
            </w:pPr>
            <w:r w:rsidRPr="00FB463B">
              <w:rPr>
                <w:rFonts w:eastAsia="BIZ UDGothic" w:cs="Arial"/>
                <w:b/>
                <w:color w:val="000000" w:themeColor="dark1"/>
                <w:kern w:val="24"/>
              </w:rPr>
              <w:t>Total</w:t>
            </w:r>
          </w:p>
        </w:tc>
        <w:tc>
          <w:tcPr>
            <w:tcW w:w="1800" w:type="dxa"/>
            <w:vAlign w:val="center"/>
          </w:tcPr>
          <w:p w14:paraId="2FFAEF85" w14:textId="77777777" w:rsidR="00A64216" w:rsidRPr="00FB463B" w:rsidRDefault="00A64216" w:rsidP="00422B00">
            <w:pPr>
              <w:jc w:val="center"/>
              <w:rPr>
                <w:rFonts w:cs="Arial"/>
                <w:b/>
                <w:bCs/>
              </w:rPr>
            </w:pPr>
            <w:r w:rsidRPr="00FB463B">
              <w:rPr>
                <w:rFonts w:cs="Arial"/>
                <w:b/>
                <w:bCs/>
              </w:rPr>
              <w:t>10,192 (2.63)</w:t>
            </w:r>
          </w:p>
        </w:tc>
        <w:tc>
          <w:tcPr>
            <w:tcW w:w="1800" w:type="dxa"/>
            <w:vAlign w:val="center"/>
          </w:tcPr>
          <w:p w14:paraId="48C39E61" w14:textId="363044A2" w:rsidR="00A64216" w:rsidRPr="00FB463B" w:rsidRDefault="00A64216" w:rsidP="001A4669">
            <w:pPr>
              <w:jc w:val="center"/>
              <w:rPr>
                <w:rFonts w:cs="Arial"/>
                <w:b/>
                <w:bCs/>
              </w:rPr>
            </w:pPr>
            <w:r w:rsidRPr="00FB463B">
              <w:rPr>
                <w:rFonts w:cs="Arial"/>
                <w:b/>
                <w:bCs/>
              </w:rPr>
              <w:t>164 (0.25%)</w:t>
            </w:r>
          </w:p>
        </w:tc>
      </w:tr>
    </w:tbl>
    <w:p w14:paraId="6AD20678" w14:textId="77777777" w:rsidR="00A017BF" w:rsidRPr="00FB463B" w:rsidRDefault="00A017BF" w:rsidP="00550FC7">
      <w:pPr>
        <w:spacing w:after="240"/>
        <w:rPr>
          <w:rFonts w:eastAsiaTheme="majorEastAsia" w:cstheme="majorBidi"/>
          <w:b/>
          <w:bCs/>
        </w:rPr>
        <w:sectPr w:rsidR="00A017BF" w:rsidRPr="00FB463B" w:rsidSect="00EE5F3C">
          <w:type w:val="continuous"/>
          <w:pgSz w:w="12240" w:h="15840"/>
          <w:pgMar w:top="1440" w:right="1440" w:bottom="1440" w:left="1440" w:header="720" w:footer="720" w:gutter="0"/>
          <w:cols w:num="2" w:space="720"/>
          <w:docGrid w:linePitch="360"/>
        </w:sectPr>
      </w:pPr>
    </w:p>
    <w:p w14:paraId="289BDB73" w14:textId="638EFDBD" w:rsidR="003D7EF6" w:rsidRPr="00FB463B" w:rsidRDefault="009434EB" w:rsidP="003D7EF6">
      <w:pPr>
        <w:rPr>
          <w:rFonts w:cs="Arial"/>
          <w:b/>
          <w:bCs/>
        </w:rPr>
      </w:pPr>
      <w:r w:rsidRPr="00FB463B">
        <w:rPr>
          <w:rFonts w:cs="Arial"/>
          <w:b/>
          <w:bCs/>
        </w:rPr>
        <w:t xml:space="preserve">Table </w:t>
      </w:r>
      <w:r w:rsidR="00074A06" w:rsidRPr="00FB463B">
        <w:rPr>
          <w:rFonts w:cs="Arial"/>
          <w:b/>
          <w:bCs/>
        </w:rPr>
        <w:t>13</w:t>
      </w:r>
      <w:r w:rsidRPr="00FB463B">
        <w:rPr>
          <w:rFonts w:cs="Arial"/>
          <w:b/>
          <w:bCs/>
        </w:rPr>
        <w:t xml:space="preserve"> </w:t>
      </w:r>
      <w:r w:rsidR="003D7EF6" w:rsidRPr="00FB463B">
        <w:rPr>
          <w:rFonts w:cs="Arial"/>
          <w:b/>
          <w:bCs/>
        </w:rPr>
        <w:t>Small Schools</w:t>
      </w:r>
    </w:p>
    <w:tbl>
      <w:tblPr>
        <w:tblStyle w:val="TableGrid"/>
        <w:tblW w:w="4585" w:type="dxa"/>
        <w:tblLook w:val="04A0" w:firstRow="1" w:lastRow="0" w:firstColumn="1" w:lastColumn="0" w:noHBand="0" w:noVBand="1"/>
        <w:tblCaption w:val="Table 13: Small Schools"/>
        <w:tblDescription w:val="Table 13: Small Schools"/>
      </w:tblPr>
      <w:tblGrid>
        <w:gridCol w:w="1165"/>
        <w:gridCol w:w="1800"/>
        <w:gridCol w:w="1620"/>
      </w:tblGrid>
      <w:tr w:rsidR="003D7EF6" w:rsidRPr="00FB463B" w14:paraId="067D9099" w14:textId="77777777" w:rsidTr="002E46A6">
        <w:trPr>
          <w:cantSplit/>
          <w:tblHeader/>
        </w:trPr>
        <w:tc>
          <w:tcPr>
            <w:tcW w:w="1165" w:type="dxa"/>
            <w:shd w:val="clear" w:color="auto" w:fill="E7E6E6" w:themeFill="background2"/>
            <w:vAlign w:val="center"/>
          </w:tcPr>
          <w:p w14:paraId="7E3E80A6" w14:textId="77777777" w:rsidR="003D7EF6" w:rsidRPr="00FB463B" w:rsidRDefault="003D7EF6" w:rsidP="00422B00">
            <w:pPr>
              <w:jc w:val="center"/>
              <w:rPr>
                <w:rFonts w:cs="Arial"/>
                <w:b/>
                <w:bCs/>
              </w:rPr>
            </w:pPr>
            <w:r w:rsidRPr="00FB463B">
              <w:rPr>
                <w:rFonts w:eastAsia="BIZ UDGothic" w:cs="Arial"/>
                <w:b/>
                <w:bCs/>
                <w:kern w:val="24"/>
              </w:rPr>
              <w:t>Year</w:t>
            </w:r>
          </w:p>
        </w:tc>
        <w:tc>
          <w:tcPr>
            <w:tcW w:w="1800" w:type="dxa"/>
            <w:shd w:val="clear" w:color="auto" w:fill="E7E6E6" w:themeFill="background2"/>
            <w:vAlign w:val="center"/>
          </w:tcPr>
          <w:p w14:paraId="3EDA5126" w14:textId="77777777" w:rsidR="003D7EF6" w:rsidRPr="00FB463B" w:rsidRDefault="003D7EF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5867E78F" w14:textId="77777777" w:rsidR="003D7EF6" w:rsidRPr="00FB463B" w:rsidRDefault="003D7EF6" w:rsidP="00422B00">
            <w:pPr>
              <w:jc w:val="center"/>
              <w:rPr>
                <w:rFonts w:cs="Arial"/>
                <w:b/>
                <w:bCs/>
              </w:rPr>
            </w:pPr>
            <w:r w:rsidRPr="00FB463B">
              <w:rPr>
                <w:rFonts w:eastAsia="BIZ UDGothic" w:cs="Arial"/>
                <w:b/>
                <w:bCs/>
                <w:kern w:val="24"/>
              </w:rPr>
              <w:t>(n=13,832)</w:t>
            </w:r>
          </w:p>
        </w:tc>
        <w:tc>
          <w:tcPr>
            <w:tcW w:w="1620" w:type="dxa"/>
            <w:shd w:val="clear" w:color="auto" w:fill="E7E6E6" w:themeFill="background2"/>
            <w:vAlign w:val="center"/>
          </w:tcPr>
          <w:p w14:paraId="252B411A" w14:textId="77777777" w:rsidR="003D7EF6" w:rsidRPr="00FB463B" w:rsidRDefault="003D7EF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076D485B" w14:textId="77777777" w:rsidR="003D7EF6" w:rsidRPr="00FB463B" w:rsidRDefault="003D7EF6" w:rsidP="00422B00">
            <w:pPr>
              <w:jc w:val="center"/>
              <w:rPr>
                <w:rFonts w:cs="Arial"/>
                <w:b/>
                <w:bCs/>
              </w:rPr>
            </w:pPr>
            <w:r w:rsidRPr="00FB463B">
              <w:rPr>
                <w:rFonts w:eastAsia="BIZ UDGothic" w:cs="Arial"/>
                <w:b/>
                <w:bCs/>
                <w:kern w:val="24"/>
              </w:rPr>
              <w:t>(n=7,986)</w:t>
            </w:r>
          </w:p>
        </w:tc>
      </w:tr>
      <w:tr w:rsidR="003D7EF6" w:rsidRPr="00FB463B" w14:paraId="15BC7B8D" w14:textId="77777777" w:rsidTr="002E46A6">
        <w:trPr>
          <w:cantSplit/>
          <w:tblHeader/>
        </w:trPr>
        <w:tc>
          <w:tcPr>
            <w:tcW w:w="1165" w:type="dxa"/>
            <w:vAlign w:val="center"/>
          </w:tcPr>
          <w:p w14:paraId="1A20E047" w14:textId="77777777" w:rsidR="003D7EF6" w:rsidRPr="00FB463B" w:rsidRDefault="003D7EF6" w:rsidP="00422B00">
            <w:pPr>
              <w:rPr>
                <w:rFonts w:cs="Arial"/>
                <w:b/>
                <w:bCs/>
              </w:rPr>
            </w:pPr>
            <w:r w:rsidRPr="00FB463B">
              <w:rPr>
                <w:rFonts w:eastAsia="BIZ UDGothic" w:cs="Arial"/>
                <w:color w:val="000000" w:themeColor="dark1"/>
                <w:kern w:val="24"/>
              </w:rPr>
              <w:t>2020-21</w:t>
            </w:r>
          </w:p>
        </w:tc>
        <w:tc>
          <w:tcPr>
            <w:tcW w:w="1800" w:type="dxa"/>
            <w:vAlign w:val="center"/>
          </w:tcPr>
          <w:p w14:paraId="7A48BB16" w14:textId="47374C24" w:rsidR="003D7EF6" w:rsidRPr="00FB463B" w:rsidRDefault="003D7EF6" w:rsidP="00AB7063">
            <w:pPr>
              <w:jc w:val="center"/>
              <w:rPr>
                <w:rFonts w:cs="Arial"/>
                <w:b/>
                <w:bCs/>
              </w:rPr>
            </w:pPr>
            <w:r w:rsidRPr="00FB463B">
              <w:rPr>
                <w:rFonts w:eastAsia="BIZ UDGothic" w:cs="Arial"/>
                <w:color w:val="354052"/>
                <w:kern w:val="24"/>
              </w:rPr>
              <w:t>55 (0.39%)</w:t>
            </w:r>
          </w:p>
        </w:tc>
        <w:tc>
          <w:tcPr>
            <w:tcW w:w="1620" w:type="dxa"/>
            <w:vAlign w:val="center"/>
          </w:tcPr>
          <w:p w14:paraId="533E3D24" w14:textId="39B270B3" w:rsidR="003D7EF6" w:rsidRPr="00FB463B" w:rsidRDefault="003D7EF6" w:rsidP="00AB7063">
            <w:pPr>
              <w:jc w:val="center"/>
              <w:rPr>
                <w:rFonts w:cs="Arial"/>
                <w:b/>
                <w:bCs/>
              </w:rPr>
            </w:pPr>
            <w:r w:rsidRPr="00FB463B">
              <w:rPr>
                <w:rFonts w:eastAsia="BIZ UDGothic" w:cs="Arial"/>
                <w:color w:val="354052"/>
                <w:kern w:val="24"/>
              </w:rPr>
              <w:t>16 (0.20%)</w:t>
            </w:r>
          </w:p>
        </w:tc>
      </w:tr>
      <w:tr w:rsidR="003D7EF6" w:rsidRPr="00FB463B" w14:paraId="7073FD2C" w14:textId="77777777" w:rsidTr="002E46A6">
        <w:trPr>
          <w:cantSplit/>
          <w:tblHeader/>
        </w:trPr>
        <w:tc>
          <w:tcPr>
            <w:tcW w:w="1165" w:type="dxa"/>
            <w:vAlign w:val="center"/>
          </w:tcPr>
          <w:p w14:paraId="7ADC9228" w14:textId="77777777" w:rsidR="003D7EF6" w:rsidRPr="00FB463B" w:rsidRDefault="003D7EF6" w:rsidP="00422B00">
            <w:pPr>
              <w:rPr>
                <w:rFonts w:cs="Arial"/>
                <w:b/>
                <w:bCs/>
              </w:rPr>
            </w:pPr>
            <w:r w:rsidRPr="00FB463B">
              <w:rPr>
                <w:rFonts w:eastAsia="BIZ UDGothic" w:cs="Arial"/>
                <w:color w:val="354052"/>
                <w:kern w:val="24"/>
              </w:rPr>
              <w:t>2021-22</w:t>
            </w:r>
          </w:p>
        </w:tc>
        <w:tc>
          <w:tcPr>
            <w:tcW w:w="1800" w:type="dxa"/>
            <w:vAlign w:val="center"/>
          </w:tcPr>
          <w:p w14:paraId="7AE002BC" w14:textId="77777777" w:rsidR="003D7EF6" w:rsidRPr="00FB463B" w:rsidRDefault="003D7EF6" w:rsidP="00422B00">
            <w:pPr>
              <w:jc w:val="center"/>
              <w:rPr>
                <w:rFonts w:cs="Arial"/>
                <w:b/>
                <w:bCs/>
              </w:rPr>
            </w:pPr>
            <w:r w:rsidRPr="00FB463B">
              <w:rPr>
                <w:rFonts w:eastAsia="BIZ UDGothic" w:cs="Arial"/>
                <w:color w:val="354052"/>
                <w:kern w:val="24"/>
              </w:rPr>
              <w:t>141 (1.01%)</w:t>
            </w:r>
          </w:p>
        </w:tc>
        <w:tc>
          <w:tcPr>
            <w:tcW w:w="1620" w:type="dxa"/>
            <w:vAlign w:val="center"/>
          </w:tcPr>
          <w:p w14:paraId="7ED5F063" w14:textId="551ACBB2" w:rsidR="003D7EF6" w:rsidRPr="00FB463B" w:rsidRDefault="003D7EF6" w:rsidP="00AB7063">
            <w:pPr>
              <w:jc w:val="center"/>
              <w:rPr>
                <w:rFonts w:cs="Arial"/>
                <w:b/>
                <w:bCs/>
              </w:rPr>
            </w:pPr>
            <w:r w:rsidRPr="00FB463B">
              <w:rPr>
                <w:rFonts w:eastAsia="BIZ UDGothic" w:cs="Arial"/>
                <w:color w:val="354052"/>
                <w:kern w:val="24"/>
              </w:rPr>
              <w:t>41 (0.51%)</w:t>
            </w:r>
          </w:p>
        </w:tc>
      </w:tr>
      <w:tr w:rsidR="003D7EF6" w:rsidRPr="00FB463B" w14:paraId="56966A9E" w14:textId="77777777" w:rsidTr="002E46A6">
        <w:trPr>
          <w:cantSplit/>
          <w:tblHeader/>
        </w:trPr>
        <w:tc>
          <w:tcPr>
            <w:tcW w:w="1165" w:type="dxa"/>
            <w:vAlign w:val="center"/>
          </w:tcPr>
          <w:p w14:paraId="2CC480E3" w14:textId="77777777" w:rsidR="003D7EF6" w:rsidRPr="00FB463B" w:rsidRDefault="003D7EF6" w:rsidP="00422B00">
            <w:pPr>
              <w:rPr>
                <w:rFonts w:cs="Arial"/>
                <w:b/>
                <w:bCs/>
              </w:rPr>
            </w:pPr>
            <w:r w:rsidRPr="00FB463B">
              <w:rPr>
                <w:rFonts w:eastAsia="BIZ UDGothic" w:cs="Arial"/>
                <w:b/>
                <w:color w:val="000000" w:themeColor="dark1"/>
                <w:kern w:val="24"/>
              </w:rPr>
              <w:t>Total</w:t>
            </w:r>
          </w:p>
        </w:tc>
        <w:tc>
          <w:tcPr>
            <w:tcW w:w="1800" w:type="dxa"/>
            <w:vAlign w:val="center"/>
          </w:tcPr>
          <w:p w14:paraId="099160B5" w14:textId="77777777" w:rsidR="003D7EF6" w:rsidRPr="00FB463B" w:rsidRDefault="003D7EF6" w:rsidP="00422B00">
            <w:pPr>
              <w:jc w:val="center"/>
              <w:rPr>
                <w:rFonts w:cs="Arial"/>
                <w:b/>
                <w:bCs/>
              </w:rPr>
            </w:pPr>
            <w:r w:rsidRPr="00FB463B">
              <w:rPr>
                <w:rFonts w:cs="Arial"/>
                <w:b/>
                <w:bCs/>
              </w:rPr>
              <w:t>196 (1.4%)</w:t>
            </w:r>
          </w:p>
        </w:tc>
        <w:tc>
          <w:tcPr>
            <w:tcW w:w="1620" w:type="dxa"/>
            <w:vAlign w:val="center"/>
          </w:tcPr>
          <w:p w14:paraId="2937A3DF" w14:textId="5CD93B7C" w:rsidR="003D7EF6" w:rsidRPr="00FB463B" w:rsidRDefault="003D7EF6" w:rsidP="00AB7063">
            <w:pPr>
              <w:jc w:val="center"/>
              <w:rPr>
                <w:rFonts w:cs="Arial"/>
                <w:b/>
                <w:bCs/>
              </w:rPr>
            </w:pPr>
            <w:r w:rsidRPr="00FB463B">
              <w:rPr>
                <w:rFonts w:cs="Arial"/>
                <w:b/>
                <w:bCs/>
              </w:rPr>
              <w:t>57 (0.71%)</w:t>
            </w:r>
          </w:p>
        </w:tc>
      </w:tr>
    </w:tbl>
    <w:p w14:paraId="01CE9A31" w14:textId="70D6D157" w:rsidR="003D7EF6" w:rsidRPr="00FB463B" w:rsidRDefault="003D7EF6" w:rsidP="003D7EF6">
      <w:pPr>
        <w:rPr>
          <w:rFonts w:cs="Arial"/>
          <w:b/>
          <w:bCs/>
        </w:rPr>
      </w:pPr>
      <w:r w:rsidRPr="00FB463B">
        <w:rPr>
          <w:rFonts w:cs="Arial"/>
          <w:b/>
          <w:bCs/>
        </w:rPr>
        <w:br w:type="column"/>
      </w:r>
      <w:r w:rsidR="009434EB" w:rsidRPr="00FB463B">
        <w:rPr>
          <w:rFonts w:cs="Arial"/>
          <w:b/>
          <w:bCs/>
        </w:rPr>
        <w:t xml:space="preserve">Table </w:t>
      </w:r>
      <w:r w:rsidR="00074A06" w:rsidRPr="00FB463B">
        <w:rPr>
          <w:rFonts w:cs="Arial"/>
          <w:b/>
          <w:bCs/>
        </w:rPr>
        <w:t>14</w:t>
      </w:r>
      <w:r w:rsidR="009434EB" w:rsidRPr="00FB463B">
        <w:rPr>
          <w:rFonts w:cs="Arial"/>
          <w:b/>
          <w:bCs/>
        </w:rPr>
        <w:t xml:space="preserve"> </w:t>
      </w:r>
      <w:r w:rsidRPr="00FB463B">
        <w:rPr>
          <w:rFonts w:cs="Arial"/>
          <w:b/>
          <w:bCs/>
        </w:rPr>
        <w:t>Non-Small Schools</w:t>
      </w:r>
    </w:p>
    <w:tbl>
      <w:tblPr>
        <w:tblStyle w:val="TableGrid"/>
        <w:tblW w:w="4765" w:type="dxa"/>
        <w:tblLook w:val="04A0" w:firstRow="1" w:lastRow="0" w:firstColumn="1" w:lastColumn="0" w:noHBand="0" w:noVBand="1"/>
        <w:tblCaption w:val="Table 14: Non-Small Schools"/>
        <w:tblDescription w:val="Table 14: Non-Small Schools"/>
      </w:tblPr>
      <w:tblGrid>
        <w:gridCol w:w="1148"/>
        <w:gridCol w:w="1997"/>
        <w:gridCol w:w="1620"/>
      </w:tblGrid>
      <w:tr w:rsidR="003D7EF6" w:rsidRPr="00FB463B" w14:paraId="61065146" w14:textId="77777777" w:rsidTr="002E46A6">
        <w:trPr>
          <w:cantSplit/>
          <w:tblHeader/>
        </w:trPr>
        <w:tc>
          <w:tcPr>
            <w:tcW w:w="1148" w:type="dxa"/>
            <w:shd w:val="clear" w:color="auto" w:fill="E7E6E6" w:themeFill="background2"/>
            <w:vAlign w:val="center"/>
          </w:tcPr>
          <w:p w14:paraId="6DFDE838" w14:textId="77777777" w:rsidR="003D7EF6" w:rsidRPr="00FB463B" w:rsidRDefault="003D7EF6" w:rsidP="00422B00">
            <w:pPr>
              <w:jc w:val="center"/>
              <w:rPr>
                <w:rFonts w:cs="Arial"/>
                <w:b/>
                <w:bCs/>
              </w:rPr>
            </w:pPr>
            <w:r w:rsidRPr="00FB463B">
              <w:rPr>
                <w:rFonts w:eastAsia="BIZ UDGothic" w:cs="Arial"/>
                <w:b/>
                <w:bCs/>
                <w:kern w:val="24"/>
              </w:rPr>
              <w:t>Year</w:t>
            </w:r>
          </w:p>
        </w:tc>
        <w:tc>
          <w:tcPr>
            <w:tcW w:w="1997" w:type="dxa"/>
            <w:shd w:val="clear" w:color="auto" w:fill="E7E6E6" w:themeFill="background2"/>
            <w:vAlign w:val="center"/>
          </w:tcPr>
          <w:p w14:paraId="40C2A2CF" w14:textId="77777777" w:rsidR="003D7EF6" w:rsidRPr="00FB463B" w:rsidRDefault="003D7EF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05ECB05A" w14:textId="77777777" w:rsidR="003D7EF6" w:rsidRPr="00FB463B" w:rsidRDefault="003D7EF6" w:rsidP="00422B00">
            <w:pPr>
              <w:jc w:val="center"/>
              <w:rPr>
                <w:rFonts w:cs="Arial"/>
                <w:b/>
                <w:bCs/>
              </w:rPr>
            </w:pPr>
            <w:r w:rsidRPr="00FB463B">
              <w:rPr>
                <w:rFonts w:eastAsia="BIZ UDGothic" w:cs="Arial"/>
                <w:b/>
                <w:bCs/>
                <w:kern w:val="24"/>
              </w:rPr>
              <w:t>(n=419,523)</w:t>
            </w:r>
          </w:p>
        </w:tc>
        <w:tc>
          <w:tcPr>
            <w:tcW w:w="1620" w:type="dxa"/>
            <w:shd w:val="clear" w:color="auto" w:fill="E7E6E6" w:themeFill="background2"/>
            <w:vAlign w:val="center"/>
          </w:tcPr>
          <w:p w14:paraId="6436154E" w14:textId="77777777" w:rsidR="003D7EF6" w:rsidRPr="00FB463B" w:rsidRDefault="003D7EF6"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09DC3C69" w14:textId="77777777" w:rsidR="003D7EF6" w:rsidRPr="00FB463B" w:rsidRDefault="003D7EF6" w:rsidP="00422B00">
            <w:pPr>
              <w:jc w:val="center"/>
              <w:rPr>
                <w:rFonts w:cs="Arial"/>
                <w:b/>
                <w:bCs/>
              </w:rPr>
            </w:pPr>
            <w:r w:rsidRPr="00FB463B">
              <w:rPr>
                <w:rFonts w:eastAsia="BIZ UDGothic" w:cs="Arial"/>
                <w:b/>
                <w:bCs/>
                <w:kern w:val="24"/>
              </w:rPr>
              <w:t>(n=83,064)</w:t>
            </w:r>
          </w:p>
        </w:tc>
      </w:tr>
      <w:tr w:rsidR="003D7EF6" w:rsidRPr="00FB463B" w14:paraId="7F5B1625" w14:textId="77777777" w:rsidTr="002E46A6">
        <w:trPr>
          <w:cantSplit/>
          <w:tblHeader/>
        </w:trPr>
        <w:tc>
          <w:tcPr>
            <w:tcW w:w="1148" w:type="dxa"/>
            <w:vAlign w:val="center"/>
          </w:tcPr>
          <w:p w14:paraId="4A68CF0F" w14:textId="77777777" w:rsidR="003D7EF6" w:rsidRPr="00FB463B" w:rsidRDefault="003D7EF6" w:rsidP="00422B00">
            <w:pPr>
              <w:rPr>
                <w:rFonts w:cs="Arial"/>
                <w:b/>
                <w:bCs/>
              </w:rPr>
            </w:pPr>
            <w:r w:rsidRPr="00FB463B">
              <w:rPr>
                <w:rFonts w:eastAsia="BIZ UDGothic" w:cs="Arial"/>
                <w:color w:val="000000" w:themeColor="dark1"/>
                <w:kern w:val="24"/>
              </w:rPr>
              <w:t>2020-21</w:t>
            </w:r>
          </w:p>
        </w:tc>
        <w:tc>
          <w:tcPr>
            <w:tcW w:w="1997" w:type="dxa"/>
            <w:vAlign w:val="center"/>
          </w:tcPr>
          <w:p w14:paraId="31DC4A1E" w14:textId="77777777" w:rsidR="003D7EF6" w:rsidRPr="00FB463B" w:rsidRDefault="003D7EF6" w:rsidP="00422B00">
            <w:pPr>
              <w:jc w:val="center"/>
              <w:rPr>
                <w:rFonts w:cs="Arial"/>
                <w:b/>
                <w:bCs/>
              </w:rPr>
            </w:pPr>
            <w:r w:rsidRPr="00FB463B">
              <w:rPr>
                <w:rFonts w:eastAsia="BIZ UDGothic" w:cs="Arial"/>
                <w:color w:val="354052"/>
                <w:kern w:val="24"/>
              </w:rPr>
              <w:t>2,818 (0.67%)</w:t>
            </w:r>
          </w:p>
        </w:tc>
        <w:tc>
          <w:tcPr>
            <w:tcW w:w="1620" w:type="dxa"/>
            <w:vAlign w:val="center"/>
          </w:tcPr>
          <w:p w14:paraId="6B14284E" w14:textId="225584F6" w:rsidR="003D7EF6" w:rsidRPr="00FB463B" w:rsidRDefault="003D7EF6" w:rsidP="00AB7063">
            <w:pPr>
              <w:jc w:val="center"/>
              <w:rPr>
                <w:rFonts w:cs="Arial"/>
                <w:b/>
                <w:bCs/>
              </w:rPr>
            </w:pPr>
            <w:r w:rsidRPr="00FB463B">
              <w:rPr>
                <w:rFonts w:eastAsia="BIZ UDGothic" w:cs="Arial"/>
                <w:color w:val="354052"/>
                <w:kern w:val="24"/>
              </w:rPr>
              <w:t>78 (0.09%)</w:t>
            </w:r>
          </w:p>
        </w:tc>
      </w:tr>
      <w:tr w:rsidR="003D7EF6" w:rsidRPr="00FB463B" w14:paraId="1FB140E3" w14:textId="77777777" w:rsidTr="002E46A6">
        <w:trPr>
          <w:cantSplit/>
          <w:tblHeader/>
        </w:trPr>
        <w:tc>
          <w:tcPr>
            <w:tcW w:w="1148" w:type="dxa"/>
            <w:vAlign w:val="center"/>
          </w:tcPr>
          <w:p w14:paraId="646D732A" w14:textId="77777777" w:rsidR="003D7EF6" w:rsidRPr="00FB463B" w:rsidRDefault="003D7EF6" w:rsidP="00422B00">
            <w:pPr>
              <w:rPr>
                <w:rFonts w:cs="Arial"/>
                <w:b/>
                <w:bCs/>
              </w:rPr>
            </w:pPr>
            <w:r w:rsidRPr="00FB463B">
              <w:rPr>
                <w:rFonts w:eastAsia="BIZ UDGothic" w:cs="Arial"/>
                <w:color w:val="354052"/>
                <w:kern w:val="24"/>
              </w:rPr>
              <w:t>2021-22</w:t>
            </w:r>
          </w:p>
        </w:tc>
        <w:tc>
          <w:tcPr>
            <w:tcW w:w="1997" w:type="dxa"/>
            <w:vAlign w:val="center"/>
          </w:tcPr>
          <w:p w14:paraId="55E7F77C" w14:textId="77777777" w:rsidR="003D7EF6" w:rsidRPr="00FB463B" w:rsidRDefault="003D7EF6" w:rsidP="00422B00">
            <w:pPr>
              <w:jc w:val="center"/>
              <w:rPr>
                <w:rFonts w:cs="Arial"/>
                <w:b/>
                <w:bCs/>
              </w:rPr>
            </w:pPr>
            <w:r w:rsidRPr="00FB463B">
              <w:rPr>
                <w:rFonts w:eastAsia="BIZ UDGothic" w:cs="Arial"/>
                <w:color w:val="354052"/>
                <w:kern w:val="24"/>
              </w:rPr>
              <w:t>8,468 (2.02%)</w:t>
            </w:r>
          </w:p>
        </w:tc>
        <w:tc>
          <w:tcPr>
            <w:tcW w:w="1620" w:type="dxa"/>
            <w:vAlign w:val="center"/>
          </w:tcPr>
          <w:p w14:paraId="3F0E3919" w14:textId="0E39846F" w:rsidR="003D7EF6" w:rsidRPr="00FB463B" w:rsidRDefault="003D7EF6" w:rsidP="00AB7063">
            <w:pPr>
              <w:jc w:val="center"/>
              <w:rPr>
                <w:rFonts w:cs="Arial"/>
                <w:b/>
                <w:bCs/>
              </w:rPr>
            </w:pPr>
            <w:r w:rsidRPr="00FB463B">
              <w:rPr>
                <w:rFonts w:eastAsia="BIZ UDGothic" w:cs="Arial"/>
                <w:color w:val="354052"/>
                <w:kern w:val="24"/>
              </w:rPr>
              <w:t>103 (0.12%)</w:t>
            </w:r>
          </w:p>
        </w:tc>
      </w:tr>
      <w:tr w:rsidR="003D7EF6" w:rsidRPr="00FB463B" w14:paraId="289F5E09" w14:textId="77777777" w:rsidTr="002E46A6">
        <w:trPr>
          <w:cantSplit/>
          <w:tblHeader/>
        </w:trPr>
        <w:tc>
          <w:tcPr>
            <w:tcW w:w="1148" w:type="dxa"/>
            <w:vAlign w:val="center"/>
          </w:tcPr>
          <w:p w14:paraId="6E12FEE8" w14:textId="77777777" w:rsidR="003D7EF6" w:rsidRPr="00FB463B" w:rsidRDefault="003D7EF6" w:rsidP="00422B00">
            <w:pPr>
              <w:rPr>
                <w:rFonts w:cs="Arial"/>
                <w:b/>
                <w:bCs/>
              </w:rPr>
            </w:pPr>
            <w:r w:rsidRPr="00FB463B">
              <w:rPr>
                <w:rFonts w:eastAsia="BIZ UDGothic" w:cs="Arial"/>
                <w:b/>
                <w:color w:val="000000" w:themeColor="dark1"/>
                <w:kern w:val="24"/>
              </w:rPr>
              <w:t>Total</w:t>
            </w:r>
          </w:p>
        </w:tc>
        <w:tc>
          <w:tcPr>
            <w:tcW w:w="1997" w:type="dxa"/>
            <w:vAlign w:val="center"/>
          </w:tcPr>
          <w:p w14:paraId="69C9FE31" w14:textId="77777777" w:rsidR="003D7EF6" w:rsidRPr="00FB463B" w:rsidRDefault="003D7EF6" w:rsidP="00422B00">
            <w:pPr>
              <w:jc w:val="center"/>
              <w:rPr>
                <w:rFonts w:cs="Arial"/>
                <w:b/>
                <w:bCs/>
              </w:rPr>
            </w:pPr>
            <w:r w:rsidRPr="00FB463B">
              <w:rPr>
                <w:rFonts w:cs="Arial"/>
                <w:b/>
                <w:bCs/>
              </w:rPr>
              <w:t>11,286 (2.69%)</w:t>
            </w:r>
          </w:p>
        </w:tc>
        <w:tc>
          <w:tcPr>
            <w:tcW w:w="1620" w:type="dxa"/>
            <w:vAlign w:val="center"/>
          </w:tcPr>
          <w:p w14:paraId="05299E02" w14:textId="5E9EF857" w:rsidR="003D7EF6" w:rsidRPr="00FB463B" w:rsidRDefault="003D7EF6" w:rsidP="00AB7063">
            <w:pPr>
              <w:jc w:val="center"/>
              <w:rPr>
                <w:rFonts w:cs="Arial"/>
                <w:b/>
                <w:bCs/>
              </w:rPr>
            </w:pPr>
            <w:r w:rsidRPr="00FB463B">
              <w:rPr>
                <w:rFonts w:cs="Arial"/>
                <w:b/>
                <w:bCs/>
              </w:rPr>
              <w:t>181 (0.21%)</w:t>
            </w:r>
          </w:p>
        </w:tc>
      </w:tr>
    </w:tbl>
    <w:p w14:paraId="04E758AA" w14:textId="77777777" w:rsidR="003D7EF6" w:rsidRPr="00FB463B" w:rsidRDefault="003D7EF6" w:rsidP="003D7EF6">
      <w:pPr>
        <w:rPr>
          <w:rFonts w:cs="Arial"/>
          <w:b/>
          <w:bCs/>
        </w:rPr>
      </w:pPr>
    </w:p>
    <w:p w14:paraId="3A41199F" w14:textId="77777777" w:rsidR="003D7EF6" w:rsidRPr="00FB463B" w:rsidRDefault="003D7EF6" w:rsidP="003D7EF6">
      <w:pPr>
        <w:rPr>
          <w:rFonts w:cs="Arial"/>
          <w:b/>
          <w:bCs/>
        </w:rPr>
        <w:sectPr w:rsidR="003D7EF6" w:rsidRPr="00FB463B" w:rsidSect="00A017BF">
          <w:type w:val="continuous"/>
          <w:pgSz w:w="12240" w:h="15840"/>
          <w:pgMar w:top="1440" w:right="1440" w:bottom="1440" w:left="1440" w:header="720" w:footer="720" w:gutter="0"/>
          <w:cols w:num="2" w:space="720"/>
          <w:docGrid w:linePitch="360"/>
        </w:sectPr>
      </w:pPr>
    </w:p>
    <w:p w14:paraId="6E80B483" w14:textId="77777777" w:rsidR="003D7EF6" w:rsidRPr="00FB463B" w:rsidRDefault="003D7EF6" w:rsidP="003D7EF6">
      <w:pPr>
        <w:rPr>
          <w:rFonts w:cs="Arial"/>
          <w:b/>
          <w:bCs/>
        </w:rPr>
      </w:pPr>
    </w:p>
    <w:p w14:paraId="3F0EAC10" w14:textId="6B39FD11" w:rsidR="005B2C4D" w:rsidRPr="00FB463B" w:rsidRDefault="00296BD5" w:rsidP="00550FC7">
      <w:pPr>
        <w:spacing w:after="240"/>
        <w:rPr>
          <w:rFonts w:eastAsiaTheme="majorEastAsia" w:cstheme="majorBidi"/>
          <w:b/>
          <w:bCs/>
          <w:i/>
          <w:iCs/>
        </w:rPr>
      </w:pPr>
      <w:r w:rsidRPr="00FB463B">
        <w:rPr>
          <w:rFonts w:eastAsiaTheme="majorEastAsia" w:cstheme="majorBidi"/>
          <w:b/>
          <w:bCs/>
          <w:i/>
          <w:iCs/>
        </w:rPr>
        <w:t>Class of 2022</w:t>
      </w:r>
      <w:r w:rsidR="008A4A6C" w:rsidRPr="00FB463B">
        <w:rPr>
          <w:rFonts w:eastAsiaTheme="majorEastAsia" w:cstheme="majorBidi"/>
          <w:b/>
          <w:bCs/>
          <w:i/>
          <w:iCs/>
        </w:rPr>
        <w:t xml:space="preserve"> Completion of </w:t>
      </w:r>
      <w:r w:rsidR="00F86289" w:rsidRPr="00FB463B">
        <w:rPr>
          <w:rFonts w:eastAsiaTheme="majorEastAsia" w:cstheme="majorBidi"/>
          <w:b/>
          <w:bCs/>
          <w:i/>
          <w:iCs/>
        </w:rPr>
        <w:t>Student</w:t>
      </w:r>
      <w:r w:rsidR="00AA4D24" w:rsidRPr="00FB463B">
        <w:rPr>
          <w:rFonts w:eastAsiaTheme="majorEastAsia" w:cstheme="majorBidi"/>
          <w:b/>
          <w:bCs/>
          <w:i/>
          <w:iCs/>
        </w:rPr>
        <w:t>-Led Enterprise</w:t>
      </w:r>
    </w:p>
    <w:p w14:paraId="3A9A47E8" w14:textId="77777777" w:rsidR="005B2C4D" w:rsidRPr="00FB463B" w:rsidRDefault="005B2C4D" w:rsidP="00550FC7">
      <w:pPr>
        <w:spacing w:after="240"/>
        <w:rPr>
          <w:rFonts w:eastAsiaTheme="majorEastAsia" w:cstheme="majorBidi"/>
          <w:b/>
          <w:bCs/>
        </w:rPr>
        <w:sectPr w:rsidR="005B2C4D" w:rsidRPr="00FB463B" w:rsidSect="005B2C4D">
          <w:type w:val="continuous"/>
          <w:pgSz w:w="12240" w:h="15840"/>
          <w:pgMar w:top="1440" w:right="1440" w:bottom="1440" w:left="1440" w:header="720" w:footer="720" w:gutter="0"/>
          <w:cols w:space="720"/>
          <w:docGrid w:linePitch="360"/>
        </w:sectPr>
      </w:pPr>
    </w:p>
    <w:p w14:paraId="636C0723" w14:textId="3AF7E971" w:rsidR="00AA4D24" w:rsidRPr="00FB463B" w:rsidRDefault="005B2C4D" w:rsidP="00AA4D24">
      <w:pPr>
        <w:rPr>
          <w:rFonts w:cs="Arial"/>
          <w:b/>
          <w:bCs/>
        </w:rPr>
      </w:pPr>
      <w:r w:rsidRPr="00FB463B">
        <w:rPr>
          <w:rFonts w:cs="Arial"/>
          <w:b/>
          <w:bCs/>
        </w:rPr>
        <w:t xml:space="preserve">Table </w:t>
      </w:r>
      <w:r w:rsidR="00074A06" w:rsidRPr="00FB463B">
        <w:rPr>
          <w:rFonts w:cs="Arial"/>
          <w:b/>
          <w:bCs/>
        </w:rPr>
        <w:t>15</w:t>
      </w:r>
      <w:r w:rsidRPr="00FB463B">
        <w:rPr>
          <w:rFonts w:cs="Arial"/>
          <w:b/>
          <w:bCs/>
        </w:rPr>
        <w:t xml:space="preserve"> </w:t>
      </w:r>
      <w:r w:rsidR="00AA4D24" w:rsidRPr="00FB463B">
        <w:rPr>
          <w:rFonts w:cs="Arial"/>
          <w:b/>
          <w:bCs/>
        </w:rPr>
        <w:t>DASS Schools</w:t>
      </w:r>
    </w:p>
    <w:tbl>
      <w:tblPr>
        <w:tblStyle w:val="TableGrid"/>
        <w:tblW w:w="4585" w:type="dxa"/>
        <w:tblLook w:val="04A0" w:firstRow="1" w:lastRow="0" w:firstColumn="1" w:lastColumn="0" w:noHBand="0" w:noVBand="1"/>
        <w:tblCaption w:val="Table 15: DASS Schools"/>
        <w:tblDescription w:val="Table 15: DASS Schools"/>
      </w:tblPr>
      <w:tblGrid>
        <w:gridCol w:w="1221"/>
        <w:gridCol w:w="1685"/>
        <w:gridCol w:w="1679"/>
      </w:tblGrid>
      <w:tr w:rsidR="00BD4024" w:rsidRPr="00FB463B" w14:paraId="1EDD8380" w14:textId="77777777" w:rsidTr="00443359">
        <w:trPr>
          <w:cantSplit/>
          <w:tblHeader/>
        </w:trPr>
        <w:tc>
          <w:tcPr>
            <w:tcW w:w="1221" w:type="dxa"/>
            <w:shd w:val="clear" w:color="auto" w:fill="FFF2CC" w:themeFill="accent4" w:themeFillTint="33"/>
            <w:vAlign w:val="center"/>
          </w:tcPr>
          <w:p w14:paraId="425AC3A0" w14:textId="77777777" w:rsidR="00AA4D24" w:rsidRPr="00FB463B" w:rsidRDefault="00AA4D24" w:rsidP="00422B00">
            <w:pPr>
              <w:jc w:val="center"/>
              <w:rPr>
                <w:rFonts w:cs="Arial"/>
              </w:rPr>
            </w:pPr>
            <w:r w:rsidRPr="00FB463B">
              <w:rPr>
                <w:rFonts w:eastAsia="BIZ UDGothic" w:cs="Arial"/>
                <w:b/>
                <w:kern w:val="24"/>
              </w:rPr>
              <w:t>Year</w:t>
            </w:r>
          </w:p>
        </w:tc>
        <w:tc>
          <w:tcPr>
            <w:tcW w:w="1685" w:type="dxa"/>
            <w:shd w:val="clear" w:color="auto" w:fill="FFF2CC" w:themeFill="accent4" w:themeFillTint="33"/>
            <w:vAlign w:val="center"/>
          </w:tcPr>
          <w:p w14:paraId="2F0F98E8" w14:textId="77777777" w:rsidR="00AA4D24" w:rsidRPr="00FB463B" w:rsidRDefault="00AA4D24"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Graduates</w:t>
            </w:r>
          </w:p>
          <w:p w14:paraId="0469D693" w14:textId="77777777" w:rsidR="00AA4D24" w:rsidRPr="00FB463B" w:rsidRDefault="00AA4D24" w:rsidP="00422B00">
            <w:pPr>
              <w:jc w:val="center"/>
              <w:rPr>
                <w:rFonts w:cs="Arial"/>
              </w:rPr>
            </w:pPr>
            <w:r w:rsidRPr="00FB463B">
              <w:rPr>
                <w:rFonts w:eastAsia="BIZ UDGothic" w:cs="Arial"/>
                <w:b/>
                <w:kern w:val="24"/>
              </w:rPr>
              <w:t>(n=33,031)</w:t>
            </w:r>
          </w:p>
        </w:tc>
        <w:tc>
          <w:tcPr>
            <w:tcW w:w="1679" w:type="dxa"/>
            <w:shd w:val="clear" w:color="auto" w:fill="FFF2CC" w:themeFill="accent4" w:themeFillTint="33"/>
            <w:vAlign w:val="center"/>
          </w:tcPr>
          <w:p w14:paraId="6B597428" w14:textId="77777777" w:rsidR="00AA4D24" w:rsidRPr="00FB463B" w:rsidRDefault="00AA4D24"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Non-Graduates</w:t>
            </w:r>
          </w:p>
          <w:p w14:paraId="61CA098E" w14:textId="77777777" w:rsidR="00AA4D24" w:rsidRPr="00FB463B" w:rsidRDefault="00AA4D24" w:rsidP="00422B00">
            <w:pPr>
              <w:jc w:val="center"/>
              <w:rPr>
                <w:rFonts w:cs="Arial"/>
              </w:rPr>
            </w:pPr>
            <w:r w:rsidRPr="00FB463B">
              <w:rPr>
                <w:rFonts w:eastAsia="BIZ UDGothic" w:cs="Arial"/>
                <w:b/>
                <w:kern w:val="24"/>
              </w:rPr>
              <w:t>(n=33,903)</w:t>
            </w:r>
          </w:p>
        </w:tc>
      </w:tr>
      <w:tr w:rsidR="00AA4D24" w:rsidRPr="00FB463B" w14:paraId="2F3133DC" w14:textId="77777777" w:rsidTr="00443359">
        <w:trPr>
          <w:cantSplit/>
          <w:tblHeader/>
        </w:trPr>
        <w:tc>
          <w:tcPr>
            <w:tcW w:w="1221" w:type="dxa"/>
            <w:vAlign w:val="center"/>
          </w:tcPr>
          <w:p w14:paraId="330A8318" w14:textId="77777777" w:rsidR="00AA4D24" w:rsidRPr="00FB463B" w:rsidRDefault="00AA4D24" w:rsidP="00422B00">
            <w:pPr>
              <w:rPr>
                <w:rFonts w:cs="Arial"/>
              </w:rPr>
            </w:pPr>
            <w:r w:rsidRPr="00FB463B">
              <w:rPr>
                <w:rFonts w:eastAsia="BIZ UDGothic" w:cs="Arial"/>
                <w:color w:val="000000" w:themeColor="dark1"/>
                <w:kern w:val="24"/>
              </w:rPr>
              <w:t>2020-21</w:t>
            </w:r>
          </w:p>
        </w:tc>
        <w:tc>
          <w:tcPr>
            <w:tcW w:w="1685" w:type="dxa"/>
            <w:vAlign w:val="center"/>
          </w:tcPr>
          <w:p w14:paraId="3553EF09" w14:textId="4FEAB91F" w:rsidR="00AA4D24" w:rsidRPr="00FB463B" w:rsidRDefault="00AA4D24" w:rsidP="005319C8">
            <w:pPr>
              <w:jc w:val="center"/>
              <w:rPr>
                <w:rFonts w:cs="Arial"/>
              </w:rPr>
            </w:pPr>
            <w:r w:rsidRPr="00FB463B">
              <w:rPr>
                <w:rFonts w:eastAsia="BIZ UDGothic" w:cs="Arial"/>
                <w:color w:val="354052"/>
                <w:kern w:val="24"/>
              </w:rPr>
              <w:t>65 (0.20%)</w:t>
            </w:r>
          </w:p>
        </w:tc>
        <w:tc>
          <w:tcPr>
            <w:tcW w:w="1679" w:type="dxa"/>
            <w:vAlign w:val="center"/>
          </w:tcPr>
          <w:p w14:paraId="7005F266" w14:textId="12DE07AE" w:rsidR="00AA4D24" w:rsidRPr="00FB463B" w:rsidRDefault="00AA4D24" w:rsidP="005319C8">
            <w:pPr>
              <w:jc w:val="center"/>
              <w:rPr>
                <w:rFonts w:cs="Arial"/>
              </w:rPr>
            </w:pPr>
            <w:r w:rsidRPr="00FB463B">
              <w:rPr>
                <w:rFonts w:eastAsia="BIZ UDGothic" w:cs="Arial"/>
                <w:color w:val="354052"/>
                <w:kern w:val="24"/>
              </w:rPr>
              <w:t>12 (0.04%)</w:t>
            </w:r>
          </w:p>
        </w:tc>
      </w:tr>
      <w:tr w:rsidR="00AA4D24" w:rsidRPr="00FB463B" w14:paraId="64B1C0BC" w14:textId="77777777" w:rsidTr="00443359">
        <w:trPr>
          <w:cantSplit/>
          <w:tblHeader/>
        </w:trPr>
        <w:tc>
          <w:tcPr>
            <w:tcW w:w="1221" w:type="dxa"/>
            <w:vAlign w:val="center"/>
          </w:tcPr>
          <w:p w14:paraId="0D9F3BB1" w14:textId="77777777" w:rsidR="00AA4D24" w:rsidRPr="00FB463B" w:rsidRDefault="00AA4D24" w:rsidP="00422B00">
            <w:pPr>
              <w:rPr>
                <w:rFonts w:cs="Arial"/>
              </w:rPr>
            </w:pPr>
            <w:r w:rsidRPr="00FB463B">
              <w:rPr>
                <w:rFonts w:eastAsia="BIZ UDGothic" w:cs="Arial"/>
                <w:color w:val="354052"/>
                <w:kern w:val="24"/>
              </w:rPr>
              <w:t>2021-22</w:t>
            </w:r>
          </w:p>
        </w:tc>
        <w:tc>
          <w:tcPr>
            <w:tcW w:w="1685" w:type="dxa"/>
            <w:vAlign w:val="center"/>
          </w:tcPr>
          <w:p w14:paraId="30C1B4B1" w14:textId="1EFB86A5" w:rsidR="00AA4D24" w:rsidRPr="00FB463B" w:rsidRDefault="00AA4D24" w:rsidP="005319C8">
            <w:pPr>
              <w:jc w:val="center"/>
              <w:rPr>
                <w:rFonts w:cs="Arial"/>
              </w:rPr>
            </w:pPr>
            <w:r w:rsidRPr="00FB463B">
              <w:rPr>
                <w:rFonts w:eastAsia="BIZ UDGothic" w:cs="Arial"/>
                <w:color w:val="354052"/>
                <w:kern w:val="24"/>
              </w:rPr>
              <w:t>75 (0.23%)</w:t>
            </w:r>
          </w:p>
        </w:tc>
        <w:tc>
          <w:tcPr>
            <w:tcW w:w="1679" w:type="dxa"/>
            <w:vAlign w:val="center"/>
          </w:tcPr>
          <w:p w14:paraId="123DB768" w14:textId="4CA4B99A" w:rsidR="00AA4D24" w:rsidRPr="00FB463B" w:rsidRDefault="00AA4D24" w:rsidP="005319C8">
            <w:pPr>
              <w:jc w:val="center"/>
              <w:rPr>
                <w:rFonts w:cs="Arial"/>
              </w:rPr>
            </w:pPr>
            <w:r w:rsidRPr="00FB463B">
              <w:rPr>
                <w:rFonts w:eastAsia="BIZ UDGothic" w:cs="Arial"/>
                <w:color w:val="354052"/>
                <w:kern w:val="24"/>
              </w:rPr>
              <w:t>7 (0.02%)</w:t>
            </w:r>
          </w:p>
        </w:tc>
      </w:tr>
      <w:tr w:rsidR="00AA4D24" w:rsidRPr="00FB463B" w14:paraId="7D248C3C" w14:textId="77777777" w:rsidTr="00443359">
        <w:trPr>
          <w:cantSplit/>
          <w:tblHeader/>
        </w:trPr>
        <w:tc>
          <w:tcPr>
            <w:tcW w:w="1221" w:type="dxa"/>
            <w:vAlign w:val="center"/>
          </w:tcPr>
          <w:p w14:paraId="123BCFBB" w14:textId="77777777" w:rsidR="00AA4D24" w:rsidRPr="00FB463B" w:rsidRDefault="00AA4D24" w:rsidP="00422B00">
            <w:pPr>
              <w:rPr>
                <w:rFonts w:eastAsia="BIZ UDGothic" w:cs="Arial"/>
                <w:b/>
                <w:bCs/>
                <w:kern w:val="24"/>
              </w:rPr>
            </w:pPr>
            <w:r w:rsidRPr="00FB463B">
              <w:rPr>
                <w:rFonts w:eastAsia="BIZ UDGothic" w:cs="Arial"/>
                <w:b/>
                <w:color w:val="000000" w:themeColor="dark1"/>
                <w:kern w:val="24"/>
              </w:rPr>
              <w:t>Total</w:t>
            </w:r>
          </w:p>
        </w:tc>
        <w:tc>
          <w:tcPr>
            <w:tcW w:w="1685" w:type="dxa"/>
            <w:vAlign w:val="center"/>
          </w:tcPr>
          <w:p w14:paraId="1B9CEDD6" w14:textId="7D76428F" w:rsidR="00AA4D24" w:rsidRPr="00FB463B" w:rsidRDefault="00AA4D24" w:rsidP="005319C8">
            <w:pPr>
              <w:jc w:val="center"/>
              <w:rPr>
                <w:rFonts w:eastAsia="BIZ UDGothic" w:cs="Arial"/>
                <w:b/>
                <w:bCs/>
                <w:kern w:val="24"/>
              </w:rPr>
            </w:pPr>
            <w:r w:rsidRPr="00FB463B">
              <w:rPr>
                <w:rFonts w:eastAsia="BIZ UDGothic" w:cs="Arial"/>
                <w:b/>
                <w:bCs/>
                <w:kern w:val="24"/>
              </w:rPr>
              <w:t>140 (0.43%)</w:t>
            </w:r>
          </w:p>
        </w:tc>
        <w:tc>
          <w:tcPr>
            <w:tcW w:w="1679" w:type="dxa"/>
            <w:vAlign w:val="center"/>
          </w:tcPr>
          <w:p w14:paraId="6E5CE75B" w14:textId="06D5144E" w:rsidR="00AA4D24" w:rsidRPr="00FB463B" w:rsidRDefault="00AA4D24" w:rsidP="005319C8">
            <w:pPr>
              <w:jc w:val="center"/>
              <w:rPr>
                <w:rFonts w:eastAsia="BIZ UDGothic" w:cs="Arial"/>
                <w:b/>
                <w:bCs/>
                <w:kern w:val="24"/>
              </w:rPr>
            </w:pPr>
            <w:r w:rsidRPr="00FB463B">
              <w:rPr>
                <w:rFonts w:eastAsia="BIZ UDGothic" w:cs="Arial"/>
                <w:b/>
                <w:bCs/>
                <w:kern w:val="24"/>
              </w:rPr>
              <w:t>19 (0.06%)</w:t>
            </w:r>
          </w:p>
        </w:tc>
      </w:tr>
    </w:tbl>
    <w:p w14:paraId="661F8B81" w14:textId="0484CBC6" w:rsidR="00AA4D24" w:rsidRPr="00FB463B" w:rsidRDefault="00AA4D24" w:rsidP="00AA4D24">
      <w:pPr>
        <w:rPr>
          <w:rFonts w:cs="Arial"/>
          <w:b/>
          <w:bCs/>
        </w:rPr>
      </w:pPr>
      <w:r w:rsidRPr="00FB463B">
        <w:rPr>
          <w:rFonts w:cs="Arial"/>
        </w:rPr>
        <w:br w:type="column"/>
      </w:r>
      <w:r w:rsidR="009434EB" w:rsidRPr="00FB463B">
        <w:rPr>
          <w:rFonts w:cs="Arial"/>
          <w:b/>
          <w:bCs/>
        </w:rPr>
        <w:t xml:space="preserve">Table </w:t>
      </w:r>
      <w:r w:rsidR="00074A06" w:rsidRPr="00FB463B">
        <w:rPr>
          <w:rFonts w:cs="Arial"/>
          <w:b/>
          <w:bCs/>
        </w:rPr>
        <w:t>16</w:t>
      </w:r>
      <w:r w:rsidR="009434EB" w:rsidRPr="00FB463B">
        <w:rPr>
          <w:rFonts w:cs="Arial"/>
        </w:rPr>
        <w:t xml:space="preserve"> </w:t>
      </w:r>
      <w:r w:rsidRPr="00FB463B">
        <w:rPr>
          <w:rFonts w:cs="Arial"/>
          <w:b/>
          <w:bCs/>
        </w:rPr>
        <w:t>Non-DASS Schools</w:t>
      </w:r>
    </w:p>
    <w:tbl>
      <w:tblPr>
        <w:tblStyle w:val="TableGrid"/>
        <w:tblW w:w="4765" w:type="dxa"/>
        <w:tblLook w:val="04A0" w:firstRow="1" w:lastRow="0" w:firstColumn="1" w:lastColumn="0" w:noHBand="0" w:noVBand="1"/>
        <w:tblCaption w:val="Table 16: Non-DASS Schools"/>
        <w:tblDescription w:val="Table 16: Non-DASS Schools"/>
      </w:tblPr>
      <w:tblGrid>
        <w:gridCol w:w="1165"/>
        <w:gridCol w:w="1980"/>
        <w:gridCol w:w="1620"/>
      </w:tblGrid>
      <w:tr w:rsidR="005319C8" w:rsidRPr="00FB463B" w14:paraId="2C50F4F9" w14:textId="77777777" w:rsidTr="00443359">
        <w:trPr>
          <w:cantSplit/>
          <w:tblHeader/>
        </w:trPr>
        <w:tc>
          <w:tcPr>
            <w:tcW w:w="1165" w:type="dxa"/>
            <w:shd w:val="clear" w:color="auto" w:fill="FFF2CC" w:themeFill="accent4" w:themeFillTint="33"/>
            <w:vAlign w:val="center"/>
          </w:tcPr>
          <w:p w14:paraId="6337C561" w14:textId="77777777" w:rsidR="00AA4D24" w:rsidRPr="00FB463B" w:rsidRDefault="00AA4D24" w:rsidP="00422B00">
            <w:pPr>
              <w:jc w:val="center"/>
              <w:rPr>
                <w:rFonts w:cs="Arial"/>
                <w:b/>
                <w:bCs/>
              </w:rPr>
            </w:pPr>
            <w:r w:rsidRPr="00FB463B">
              <w:rPr>
                <w:rFonts w:eastAsia="BIZ UDGothic" w:cs="Arial"/>
                <w:b/>
                <w:kern w:val="24"/>
              </w:rPr>
              <w:t>Year</w:t>
            </w:r>
          </w:p>
        </w:tc>
        <w:tc>
          <w:tcPr>
            <w:tcW w:w="1980" w:type="dxa"/>
            <w:shd w:val="clear" w:color="auto" w:fill="FFF2CC" w:themeFill="accent4" w:themeFillTint="33"/>
            <w:vAlign w:val="center"/>
          </w:tcPr>
          <w:p w14:paraId="6D9BFB31" w14:textId="77777777" w:rsidR="00AA4D24" w:rsidRPr="00FB463B" w:rsidRDefault="00AA4D24"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Graduates</w:t>
            </w:r>
          </w:p>
          <w:p w14:paraId="140088A8" w14:textId="77777777" w:rsidR="00AA4D24" w:rsidRPr="00FB463B" w:rsidRDefault="00AA4D24" w:rsidP="00422B00">
            <w:pPr>
              <w:jc w:val="center"/>
              <w:rPr>
                <w:rFonts w:cs="Arial"/>
                <w:b/>
                <w:bCs/>
              </w:rPr>
            </w:pPr>
            <w:r w:rsidRPr="00FB463B">
              <w:rPr>
                <w:rFonts w:eastAsia="BIZ UDGothic" w:cs="Arial"/>
                <w:b/>
                <w:kern w:val="24"/>
              </w:rPr>
              <w:t>(n=400,324)</w:t>
            </w:r>
          </w:p>
        </w:tc>
        <w:tc>
          <w:tcPr>
            <w:tcW w:w="1620" w:type="dxa"/>
            <w:shd w:val="clear" w:color="auto" w:fill="FFF2CC" w:themeFill="accent4" w:themeFillTint="33"/>
            <w:vAlign w:val="center"/>
          </w:tcPr>
          <w:p w14:paraId="73874043" w14:textId="77777777" w:rsidR="00AA4D24" w:rsidRPr="00FB463B" w:rsidRDefault="00AA4D24"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Non-Graduates</w:t>
            </w:r>
          </w:p>
          <w:p w14:paraId="26B94320" w14:textId="77777777" w:rsidR="00AA4D24" w:rsidRPr="00FB463B" w:rsidRDefault="00AA4D24" w:rsidP="00422B00">
            <w:pPr>
              <w:jc w:val="center"/>
              <w:rPr>
                <w:rFonts w:cs="Arial"/>
                <w:b/>
                <w:bCs/>
              </w:rPr>
            </w:pPr>
            <w:r w:rsidRPr="00FB463B">
              <w:rPr>
                <w:rFonts w:eastAsia="BIZ UDGothic" w:cs="Arial"/>
                <w:b/>
                <w:kern w:val="24"/>
              </w:rPr>
              <w:t>(n=57,147)</w:t>
            </w:r>
          </w:p>
        </w:tc>
      </w:tr>
      <w:tr w:rsidR="00AA4D24" w:rsidRPr="00FB463B" w14:paraId="3F922BF3" w14:textId="77777777" w:rsidTr="00443359">
        <w:trPr>
          <w:cantSplit/>
          <w:tblHeader/>
        </w:trPr>
        <w:tc>
          <w:tcPr>
            <w:tcW w:w="1165" w:type="dxa"/>
            <w:vAlign w:val="center"/>
          </w:tcPr>
          <w:p w14:paraId="38D2BFD6" w14:textId="77777777" w:rsidR="00AA4D24" w:rsidRPr="00FB463B" w:rsidRDefault="00AA4D24" w:rsidP="00422B00">
            <w:pPr>
              <w:rPr>
                <w:rFonts w:cs="Arial"/>
                <w:b/>
                <w:bCs/>
              </w:rPr>
            </w:pPr>
            <w:r w:rsidRPr="00FB463B">
              <w:rPr>
                <w:rFonts w:eastAsia="BIZ UDGothic" w:cs="Arial"/>
                <w:color w:val="000000" w:themeColor="dark1"/>
                <w:kern w:val="24"/>
              </w:rPr>
              <w:t>2020-21</w:t>
            </w:r>
          </w:p>
        </w:tc>
        <w:tc>
          <w:tcPr>
            <w:tcW w:w="1980" w:type="dxa"/>
            <w:vAlign w:val="center"/>
          </w:tcPr>
          <w:p w14:paraId="0816443F" w14:textId="77777777" w:rsidR="00AA4D24" w:rsidRPr="00FB463B" w:rsidRDefault="00AA4D24" w:rsidP="00422B00">
            <w:pPr>
              <w:jc w:val="center"/>
              <w:rPr>
                <w:rFonts w:cs="Arial"/>
                <w:b/>
                <w:bCs/>
              </w:rPr>
            </w:pPr>
            <w:r w:rsidRPr="00FB463B">
              <w:rPr>
                <w:rFonts w:eastAsia="BIZ UDGothic" w:cs="Arial"/>
                <w:color w:val="354052"/>
                <w:kern w:val="24"/>
              </w:rPr>
              <w:t>1,468 (0.37%)</w:t>
            </w:r>
          </w:p>
        </w:tc>
        <w:tc>
          <w:tcPr>
            <w:tcW w:w="1620" w:type="dxa"/>
            <w:vAlign w:val="center"/>
          </w:tcPr>
          <w:p w14:paraId="5944CDA6" w14:textId="58A20D01" w:rsidR="00AA4D24" w:rsidRPr="00FB463B" w:rsidRDefault="00AA4D24" w:rsidP="005319C8">
            <w:pPr>
              <w:jc w:val="center"/>
              <w:rPr>
                <w:rFonts w:cs="Arial"/>
                <w:b/>
                <w:bCs/>
              </w:rPr>
            </w:pPr>
            <w:r w:rsidRPr="00FB463B">
              <w:rPr>
                <w:rFonts w:eastAsia="BIZ UDGothic" w:cs="Arial"/>
                <w:color w:val="354052"/>
                <w:kern w:val="24"/>
              </w:rPr>
              <w:t>55 (0.10%)</w:t>
            </w:r>
          </w:p>
        </w:tc>
      </w:tr>
      <w:tr w:rsidR="00AA4D24" w:rsidRPr="00FB463B" w14:paraId="4C132F7B" w14:textId="77777777" w:rsidTr="00443359">
        <w:trPr>
          <w:cantSplit/>
          <w:tblHeader/>
        </w:trPr>
        <w:tc>
          <w:tcPr>
            <w:tcW w:w="1165" w:type="dxa"/>
            <w:vAlign w:val="center"/>
          </w:tcPr>
          <w:p w14:paraId="65ACF087" w14:textId="77777777" w:rsidR="00AA4D24" w:rsidRPr="00FB463B" w:rsidRDefault="00AA4D24" w:rsidP="00422B00">
            <w:pPr>
              <w:rPr>
                <w:rFonts w:cs="Arial"/>
                <w:b/>
                <w:bCs/>
              </w:rPr>
            </w:pPr>
            <w:r w:rsidRPr="00FB463B">
              <w:rPr>
                <w:rFonts w:eastAsia="BIZ UDGothic" w:cs="Arial"/>
                <w:color w:val="354052"/>
                <w:kern w:val="24"/>
              </w:rPr>
              <w:t>2021-22</w:t>
            </w:r>
          </w:p>
        </w:tc>
        <w:tc>
          <w:tcPr>
            <w:tcW w:w="1980" w:type="dxa"/>
            <w:vAlign w:val="center"/>
          </w:tcPr>
          <w:p w14:paraId="3694506C" w14:textId="77777777" w:rsidR="00AA4D24" w:rsidRPr="00FB463B" w:rsidRDefault="00AA4D24" w:rsidP="00422B00">
            <w:pPr>
              <w:jc w:val="center"/>
              <w:rPr>
                <w:rFonts w:cs="Arial"/>
                <w:b/>
                <w:bCs/>
              </w:rPr>
            </w:pPr>
            <w:r w:rsidRPr="00FB463B">
              <w:rPr>
                <w:rFonts w:eastAsia="BIZ UDGothic" w:cs="Arial"/>
                <w:color w:val="354052"/>
                <w:kern w:val="24"/>
              </w:rPr>
              <w:t>2,143 (0.54%)</w:t>
            </w:r>
          </w:p>
        </w:tc>
        <w:tc>
          <w:tcPr>
            <w:tcW w:w="1620" w:type="dxa"/>
            <w:vAlign w:val="center"/>
          </w:tcPr>
          <w:p w14:paraId="72DE0FDB" w14:textId="7E8A6521" w:rsidR="00AA4D24" w:rsidRPr="00FB463B" w:rsidRDefault="00AA4D24" w:rsidP="005319C8">
            <w:pPr>
              <w:jc w:val="center"/>
              <w:rPr>
                <w:rFonts w:cs="Arial"/>
                <w:b/>
                <w:bCs/>
              </w:rPr>
            </w:pPr>
            <w:r w:rsidRPr="00FB463B">
              <w:rPr>
                <w:rFonts w:eastAsia="BIZ UDGothic" w:cs="Arial"/>
                <w:color w:val="354052"/>
                <w:kern w:val="24"/>
              </w:rPr>
              <w:t>31 (0.05%)</w:t>
            </w:r>
          </w:p>
        </w:tc>
      </w:tr>
      <w:tr w:rsidR="00AA4D24" w:rsidRPr="00FB463B" w14:paraId="67774A4E" w14:textId="77777777" w:rsidTr="00443359">
        <w:trPr>
          <w:cantSplit/>
          <w:tblHeader/>
        </w:trPr>
        <w:tc>
          <w:tcPr>
            <w:tcW w:w="1165" w:type="dxa"/>
            <w:vAlign w:val="center"/>
          </w:tcPr>
          <w:p w14:paraId="17116351" w14:textId="77777777" w:rsidR="00AA4D24" w:rsidRPr="00FB463B" w:rsidRDefault="00AA4D24" w:rsidP="00422B00">
            <w:pPr>
              <w:rPr>
                <w:rFonts w:cs="Arial"/>
                <w:b/>
                <w:bCs/>
              </w:rPr>
            </w:pPr>
            <w:r w:rsidRPr="00FB463B">
              <w:rPr>
                <w:rFonts w:eastAsia="BIZ UDGothic" w:cs="Arial"/>
                <w:b/>
                <w:color w:val="000000" w:themeColor="dark1"/>
                <w:kern w:val="24"/>
              </w:rPr>
              <w:t>Total</w:t>
            </w:r>
          </w:p>
        </w:tc>
        <w:tc>
          <w:tcPr>
            <w:tcW w:w="1980" w:type="dxa"/>
            <w:vAlign w:val="center"/>
          </w:tcPr>
          <w:p w14:paraId="111BE7E8" w14:textId="77777777" w:rsidR="00AA4D24" w:rsidRPr="00FB463B" w:rsidRDefault="00AA4D24" w:rsidP="00422B00">
            <w:pPr>
              <w:jc w:val="center"/>
              <w:rPr>
                <w:rFonts w:cs="Arial"/>
                <w:b/>
                <w:bCs/>
              </w:rPr>
            </w:pPr>
            <w:r w:rsidRPr="00FB463B">
              <w:rPr>
                <w:rFonts w:cs="Arial"/>
                <w:b/>
                <w:bCs/>
              </w:rPr>
              <w:t>3,611 (0.91%)</w:t>
            </w:r>
          </w:p>
        </w:tc>
        <w:tc>
          <w:tcPr>
            <w:tcW w:w="1620" w:type="dxa"/>
            <w:vAlign w:val="center"/>
          </w:tcPr>
          <w:p w14:paraId="769C5BB6" w14:textId="7ECA4244" w:rsidR="00AA4D24" w:rsidRPr="00FB463B" w:rsidRDefault="00AA4D24" w:rsidP="005319C8">
            <w:pPr>
              <w:jc w:val="center"/>
              <w:rPr>
                <w:rFonts w:cs="Arial"/>
                <w:b/>
                <w:bCs/>
              </w:rPr>
            </w:pPr>
            <w:r w:rsidRPr="00FB463B">
              <w:rPr>
                <w:rFonts w:cs="Arial"/>
                <w:b/>
                <w:bCs/>
              </w:rPr>
              <w:t>86 (0.15%)</w:t>
            </w:r>
          </w:p>
        </w:tc>
      </w:tr>
    </w:tbl>
    <w:p w14:paraId="454F44F7" w14:textId="77777777" w:rsidR="005B2C4D" w:rsidRPr="00FB463B" w:rsidRDefault="005B2C4D" w:rsidP="00AA4D24">
      <w:pPr>
        <w:rPr>
          <w:rFonts w:cs="Arial"/>
        </w:rPr>
      </w:pPr>
    </w:p>
    <w:p w14:paraId="34323645" w14:textId="77777777" w:rsidR="003A7269" w:rsidRPr="00FB463B" w:rsidRDefault="003A7269" w:rsidP="00AA4D24">
      <w:pPr>
        <w:rPr>
          <w:rFonts w:cs="Arial"/>
        </w:rPr>
        <w:sectPr w:rsidR="003A7269" w:rsidRPr="00FB463B" w:rsidSect="005B2C4D">
          <w:type w:val="continuous"/>
          <w:pgSz w:w="12240" w:h="15840"/>
          <w:pgMar w:top="1440" w:right="1440" w:bottom="1440" w:left="1440" w:header="720" w:footer="720" w:gutter="0"/>
          <w:cols w:num="2" w:space="720"/>
          <w:docGrid w:linePitch="360"/>
        </w:sectPr>
      </w:pPr>
    </w:p>
    <w:p w14:paraId="234CE40A" w14:textId="1C62F5EB" w:rsidR="005B2C4D" w:rsidRPr="00FB463B" w:rsidRDefault="009434EB" w:rsidP="005B2C4D">
      <w:pPr>
        <w:rPr>
          <w:rFonts w:cs="Arial"/>
          <w:b/>
          <w:bCs/>
        </w:rPr>
      </w:pPr>
      <w:r w:rsidRPr="00FB463B">
        <w:rPr>
          <w:rFonts w:cs="Arial"/>
          <w:b/>
          <w:bCs/>
        </w:rPr>
        <w:lastRenderedPageBreak/>
        <w:t xml:space="preserve">Table </w:t>
      </w:r>
      <w:r w:rsidR="00074A06" w:rsidRPr="00FB463B">
        <w:rPr>
          <w:rFonts w:cs="Arial"/>
          <w:b/>
          <w:bCs/>
        </w:rPr>
        <w:t xml:space="preserve">17 </w:t>
      </w:r>
      <w:r w:rsidR="005B2C4D" w:rsidRPr="00FB463B">
        <w:rPr>
          <w:rFonts w:cs="Arial"/>
          <w:b/>
          <w:bCs/>
        </w:rPr>
        <w:t>Charter Schools</w:t>
      </w:r>
    </w:p>
    <w:tbl>
      <w:tblPr>
        <w:tblStyle w:val="TableGrid"/>
        <w:tblW w:w="4585" w:type="dxa"/>
        <w:tblLook w:val="04A0" w:firstRow="1" w:lastRow="0" w:firstColumn="1" w:lastColumn="0" w:noHBand="0" w:noVBand="1"/>
        <w:tblCaption w:val="Table 17: Charter Schools"/>
        <w:tblDescription w:val="Table 17: Charter Schools"/>
      </w:tblPr>
      <w:tblGrid>
        <w:gridCol w:w="1245"/>
        <w:gridCol w:w="1630"/>
        <w:gridCol w:w="1710"/>
      </w:tblGrid>
      <w:tr w:rsidR="0027077E" w:rsidRPr="00FB463B" w14:paraId="7AD70D5D" w14:textId="77777777" w:rsidTr="00BD73C2">
        <w:trPr>
          <w:cantSplit/>
          <w:tblHeader/>
        </w:trPr>
        <w:tc>
          <w:tcPr>
            <w:tcW w:w="1245" w:type="dxa"/>
            <w:shd w:val="clear" w:color="auto" w:fill="FFF2CC" w:themeFill="accent4" w:themeFillTint="33"/>
            <w:vAlign w:val="center"/>
          </w:tcPr>
          <w:p w14:paraId="57D5212F" w14:textId="77777777" w:rsidR="005B2C4D" w:rsidRPr="00FB463B" w:rsidRDefault="005B2C4D" w:rsidP="00422B00">
            <w:pPr>
              <w:jc w:val="center"/>
              <w:rPr>
                <w:rFonts w:cs="Arial"/>
                <w:b/>
                <w:bCs/>
              </w:rPr>
            </w:pPr>
            <w:r w:rsidRPr="00FB463B">
              <w:rPr>
                <w:rFonts w:eastAsia="BIZ UDGothic" w:cs="Arial"/>
                <w:b/>
                <w:bCs/>
                <w:kern w:val="24"/>
              </w:rPr>
              <w:t>Year</w:t>
            </w:r>
          </w:p>
        </w:tc>
        <w:tc>
          <w:tcPr>
            <w:tcW w:w="1630" w:type="dxa"/>
            <w:shd w:val="clear" w:color="auto" w:fill="FFF2CC" w:themeFill="accent4" w:themeFillTint="33"/>
            <w:vAlign w:val="center"/>
          </w:tcPr>
          <w:p w14:paraId="2666E1D7"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53F2BFCF" w14:textId="77777777" w:rsidR="005B2C4D" w:rsidRPr="00FB463B" w:rsidRDefault="005B2C4D" w:rsidP="00422B00">
            <w:pPr>
              <w:jc w:val="center"/>
              <w:rPr>
                <w:rFonts w:cs="Arial"/>
                <w:b/>
                <w:bCs/>
              </w:rPr>
            </w:pPr>
            <w:r w:rsidRPr="00FB463B">
              <w:rPr>
                <w:rFonts w:eastAsia="BIZ UDGothic" w:cs="Arial"/>
                <w:b/>
                <w:bCs/>
                <w:kern w:val="24"/>
              </w:rPr>
              <w:t>(n=47,161)</w:t>
            </w:r>
          </w:p>
        </w:tc>
        <w:tc>
          <w:tcPr>
            <w:tcW w:w="1710" w:type="dxa"/>
            <w:shd w:val="clear" w:color="auto" w:fill="FFF2CC" w:themeFill="accent4" w:themeFillTint="33"/>
            <w:vAlign w:val="center"/>
          </w:tcPr>
          <w:p w14:paraId="22B545B6"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1F4024F8" w14:textId="77777777" w:rsidR="005B2C4D" w:rsidRPr="00FB463B" w:rsidRDefault="005B2C4D" w:rsidP="00422B00">
            <w:pPr>
              <w:jc w:val="center"/>
              <w:rPr>
                <w:rFonts w:cs="Arial"/>
                <w:b/>
                <w:bCs/>
              </w:rPr>
            </w:pPr>
            <w:r w:rsidRPr="00FB463B">
              <w:rPr>
                <w:rFonts w:eastAsia="BIZ UDGothic" w:cs="Arial"/>
                <w:b/>
                <w:bCs/>
                <w:kern w:val="24"/>
              </w:rPr>
              <w:t>(n=27,253)</w:t>
            </w:r>
          </w:p>
        </w:tc>
      </w:tr>
      <w:tr w:rsidR="005B2C4D" w:rsidRPr="00FB463B" w14:paraId="199FCCAF" w14:textId="77777777" w:rsidTr="00BD73C2">
        <w:trPr>
          <w:cantSplit/>
          <w:tblHeader/>
        </w:trPr>
        <w:tc>
          <w:tcPr>
            <w:tcW w:w="1245" w:type="dxa"/>
            <w:vAlign w:val="center"/>
          </w:tcPr>
          <w:p w14:paraId="2728AFBC" w14:textId="77777777" w:rsidR="005B2C4D" w:rsidRPr="00FB463B" w:rsidRDefault="005B2C4D" w:rsidP="00422B00">
            <w:pPr>
              <w:rPr>
                <w:rFonts w:cs="Arial"/>
                <w:b/>
                <w:bCs/>
              </w:rPr>
            </w:pPr>
            <w:r w:rsidRPr="00FB463B">
              <w:rPr>
                <w:rFonts w:eastAsia="BIZ UDGothic" w:cs="Arial"/>
                <w:kern w:val="24"/>
              </w:rPr>
              <w:t>2020-21</w:t>
            </w:r>
          </w:p>
        </w:tc>
        <w:tc>
          <w:tcPr>
            <w:tcW w:w="1630" w:type="dxa"/>
            <w:vAlign w:val="center"/>
          </w:tcPr>
          <w:p w14:paraId="5EEA7804" w14:textId="4A3D4A5B" w:rsidR="005B2C4D" w:rsidRPr="00FB463B" w:rsidRDefault="005B2C4D" w:rsidP="00E16D4F">
            <w:pPr>
              <w:jc w:val="center"/>
              <w:rPr>
                <w:rFonts w:cs="Arial"/>
                <w:b/>
                <w:bCs/>
              </w:rPr>
            </w:pPr>
            <w:r w:rsidRPr="00FB463B">
              <w:rPr>
                <w:rFonts w:eastAsia="BIZ UDGothic" w:cs="Arial"/>
                <w:kern w:val="24"/>
              </w:rPr>
              <w:t>28 (0.06%)</w:t>
            </w:r>
          </w:p>
        </w:tc>
        <w:tc>
          <w:tcPr>
            <w:tcW w:w="1710" w:type="dxa"/>
            <w:vAlign w:val="center"/>
          </w:tcPr>
          <w:p w14:paraId="640B1E8C" w14:textId="1F8AEC35" w:rsidR="005B2C4D" w:rsidRPr="00FB463B" w:rsidRDefault="005B2C4D" w:rsidP="00E16D4F">
            <w:pPr>
              <w:jc w:val="center"/>
              <w:rPr>
                <w:rFonts w:cs="Arial"/>
                <w:b/>
                <w:bCs/>
              </w:rPr>
            </w:pPr>
            <w:r w:rsidRPr="00FB463B">
              <w:rPr>
                <w:rFonts w:eastAsia="BIZ UDGothic" w:cs="Arial"/>
                <w:kern w:val="24"/>
              </w:rPr>
              <w:t>6 (0.02%)</w:t>
            </w:r>
          </w:p>
        </w:tc>
      </w:tr>
      <w:tr w:rsidR="005B2C4D" w:rsidRPr="00FB463B" w14:paraId="7E83A864" w14:textId="77777777" w:rsidTr="00BD73C2">
        <w:trPr>
          <w:cantSplit/>
          <w:tblHeader/>
        </w:trPr>
        <w:tc>
          <w:tcPr>
            <w:tcW w:w="1245" w:type="dxa"/>
            <w:vAlign w:val="center"/>
          </w:tcPr>
          <w:p w14:paraId="227C17AA" w14:textId="77777777" w:rsidR="005B2C4D" w:rsidRPr="00FB463B" w:rsidRDefault="005B2C4D" w:rsidP="00422B00">
            <w:pPr>
              <w:rPr>
                <w:rFonts w:cs="Arial"/>
                <w:b/>
                <w:bCs/>
              </w:rPr>
            </w:pPr>
            <w:r w:rsidRPr="00FB463B">
              <w:rPr>
                <w:rFonts w:eastAsia="BIZ UDGothic" w:cs="Arial"/>
                <w:kern w:val="24"/>
              </w:rPr>
              <w:t>2021-22</w:t>
            </w:r>
          </w:p>
        </w:tc>
        <w:tc>
          <w:tcPr>
            <w:tcW w:w="1630" w:type="dxa"/>
            <w:vAlign w:val="center"/>
          </w:tcPr>
          <w:p w14:paraId="0DA4902E" w14:textId="2847BE03" w:rsidR="005B2C4D" w:rsidRPr="00FB463B" w:rsidRDefault="005B2C4D" w:rsidP="00E16D4F">
            <w:pPr>
              <w:jc w:val="center"/>
              <w:rPr>
                <w:rFonts w:cs="Arial"/>
                <w:b/>
                <w:bCs/>
              </w:rPr>
            </w:pPr>
            <w:r w:rsidRPr="00FB463B">
              <w:rPr>
                <w:rFonts w:eastAsia="BIZ UDGothic" w:cs="Arial"/>
                <w:kern w:val="24"/>
              </w:rPr>
              <w:t>81 (0.17%)</w:t>
            </w:r>
          </w:p>
        </w:tc>
        <w:tc>
          <w:tcPr>
            <w:tcW w:w="1710" w:type="dxa"/>
            <w:vAlign w:val="center"/>
          </w:tcPr>
          <w:p w14:paraId="7D3BE9C2" w14:textId="36080E9E" w:rsidR="005B2C4D" w:rsidRPr="00FB463B" w:rsidRDefault="005B2C4D" w:rsidP="00E16D4F">
            <w:pPr>
              <w:jc w:val="center"/>
              <w:rPr>
                <w:rFonts w:cs="Arial"/>
                <w:b/>
                <w:bCs/>
              </w:rPr>
            </w:pPr>
            <w:r w:rsidRPr="00FB463B">
              <w:rPr>
                <w:rFonts w:eastAsia="BIZ UDGothic" w:cs="Arial"/>
                <w:kern w:val="24"/>
              </w:rPr>
              <w:t>4 (0.01%)</w:t>
            </w:r>
          </w:p>
        </w:tc>
      </w:tr>
      <w:tr w:rsidR="005B2C4D" w:rsidRPr="00FB463B" w14:paraId="2EEB60B9" w14:textId="77777777" w:rsidTr="00BD73C2">
        <w:trPr>
          <w:cantSplit/>
          <w:tblHeader/>
        </w:trPr>
        <w:tc>
          <w:tcPr>
            <w:tcW w:w="1245" w:type="dxa"/>
            <w:vAlign w:val="center"/>
          </w:tcPr>
          <w:p w14:paraId="1BDFFA58" w14:textId="77777777" w:rsidR="005B2C4D" w:rsidRPr="00FB463B" w:rsidRDefault="005B2C4D" w:rsidP="00422B00">
            <w:pPr>
              <w:rPr>
                <w:rFonts w:cs="Arial"/>
                <w:b/>
                <w:bCs/>
              </w:rPr>
            </w:pPr>
            <w:r w:rsidRPr="00FB463B">
              <w:rPr>
                <w:rFonts w:eastAsia="BIZ UDGothic" w:cs="Arial"/>
                <w:b/>
                <w:bCs/>
                <w:kern w:val="24"/>
              </w:rPr>
              <w:t>Total</w:t>
            </w:r>
          </w:p>
        </w:tc>
        <w:tc>
          <w:tcPr>
            <w:tcW w:w="1630" w:type="dxa"/>
            <w:vAlign w:val="center"/>
          </w:tcPr>
          <w:p w14:paraId="7A93B8BD" w14:textId="7A2CDD6C" w:rsidR="005B2C4D" w:rsidRPr="00FB463B" w:rsidRDefault="005B2C4D" w:rsidP="00E16D4F">
            <w:pPr>
              <w:jc w:val="center"/>
              <w:rPr>
                <w:rFonts w:cs="Arial"/>
                <w:b/>
                <w:bCs/>
              </w:rPr>
            </w:pPr>
            <w:r w:rsidRPr="00FB463B">
              <w:rPr>
                <w:rFonts w:cs="Arial"/>
                <w:b/>
                <w:bCs/>
              </w:rPr>
              <w:t>109 (0.23%)</w:t>
            </w:r>
          </w:p>
        </w:tc>
        <w:tc>
          <w:tcPr>
            <w:tcW w:w="1710" w:type="dxa"/>
            <w:vAlign w:val="center"/>
          </w:tcPr>
          <w:p w14:paraId="10232266" w14:textId="5CF57F4A" w:rsidR="005B2C4D" w:rsidRPr="00FB463B" w:rsidRDefault="005B2C4D" w:rsidP="00E16D4F">
            <w:pPr>
              <w:jc w:val="center"/>
              <w:rPr>
                <w:rFonts w:cs="Arial"/>
                <w:b/>
                <w:bCs/>
              </w:rPr>
            </w:pPr>
            <w:r w:rsidRPr="00FB463B">
              <w:rPr>
                <w:rFonts w:cs="Arial"/>
                <w:b/>
                <w:bCs/>
              </w:rPr>
              <w:t>10 (0.03%)</w:t>
            </w:r>
          </w:p>
        </w:tc>
      </w:tr>
    </w:tbl>
    <w:p w14:paraId="0F02C7D6" w14:textId="65B69F32" w:rsidR="005B2C4D" w:rsidRPr="00FB463B" w:rsidRDefault="005B2C4D" w:rsidP="005B2C4D">
      <w:pPr>
        <w:rPr>
          <w:rFonts w:cs="Arial"/>
          <w:b/>
          <w:bCs/>
        </w:rPr>
      </w:pPr>
      <w:r w:rsidRPr="00FB463B">
        <w:rPr>
          <w:rFonts w:cs="Arial"/>
          <w:b/>
          <w:bCs/>
        </w:rPr>
        <w:br w:type="column"/>
      </w:r>
      <w:r w:rsidR="009434EB" w:rsidRPr="00FB463B">
        <w:rPr>
          <w:rFonts w:cs="Arial"/>
          <w:b/>
          <w:bCs/>
        </w:rPr>
        <w:t xml:space="preserve">Table </w:t>
      </w:r>
      <w:r w:rsidR="00074A06" w:rsidRPr="00FB463B">
        <w:rPr>
          <w:rFonts w:cs="Arial"/>
          <w:b/>
          <w:bCs/>
        </w:rPr>
        <w:t>18</w:t>
      </w:r>
      <w:r w:rsidR="009434EB" w:rsidRPr="00FB463B">
        <w:rPr>
          <w:rFonts w:cs="Arial"/>
          <w:b/>
          <w:bCs/>
        </w:rPr>
        <w:t xml:space="preserve"> N</w:t>
      </w:r>
      <w:r w:rsidRPr="00FB463B">
        <w:rPr>
          <w:rFonts w:cs="Arial"/>
          <w:b/>
          <w:bCs/>
        </w:rPr>
        <w:t>on-Charter Schools</w:t>
      </w:r>
    </w:p>
    <w:tbl>
      <w:tblPr>
        <w:tblStyle w:val="TableGrid"/>
        <w:tblW w:w="4765" w:type="dxa"/>
        <w:tblLook w:val="04A0" w:firstRow="1" w:lastRow="0" w:firstColumn="1" w:lastColumn="0" w:noHBand="0" w:noVBand="1"/>
        <w:tblCaption w:val="Table 18: Non-Charter Schools"/>
        <w:tblDescription w:val="Table 18: Non-Charter Schools"/>
      </w:tblPr>
      <w:tblGrid>
        <w:gridCol w:w="1165"/>
        <w:gridCol w:w="1890"/>
        <w:gridCol w:w="1710"/>
      </w:tblGrid>
      <w:tr w:rsidR="0027077E" w:rsidRPr="00FB463B" w14:paraId="39E40009" w14:textId="77777777" w:rsidTr="00BD73C2">
        <w:trPr>
          <w:cantSplit/>
          <w:tblHeader/>
        </w:trPr>
        <w:tc>
          <w:tcPr>
            <w:tcW w:w="1165" w:type="dxa"/>
            <w:shd w:val="clear" w:color="auto" w:fill="FFF2CC" w:themeFill="accent4" w:themeFillTint="33"/>
            <w:vAlign w:val="center"/>
          </w:tcPr>
          <w:p w14:paraId="78B915E9" w14:textId="77777777" w:rsidR="005B2C4D" w:rsidRPr="00FB463B" w:rsidRDefault="005B2C4D" w:rsidP="00422B00">
            <w:pPr>
              <w:jc w:val="center"/>
              <w:rPr>
                <w:rFonts w:cs="Arial"/>
                <w:b/>
                <w:bCs/>
              </w:rPr>
            </w:pPr>
            <w:r w:rsidRPr="00FB463B">
              <w:rPr>
                <w:rFonts w:eastAsia="BIZ UDGothic" w:cs="Arial"/>
                <w:b/>
                <w:bCs/>
                <w:kern w:val="24"/>
              </w:rPr>
              <w:t>Year</w:t>
            </w:r>
          </w:p>
        </w:tc>
        <w:tc>
          <w:tcPr>
            <w:tcW w:w="1890" w:type="dxa"/>
            <w:shd w:val="clear" w:color="auto" w:fill="FFF2CC" w:themeFill="accent4" w:themeFillTint="33"/>
            <w:vAlign w:val="center"/>
          </w:tcPr>
          <w:p w14:paraId="6F8A7C2F"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2ECB10AF" w14:textId="77777777" w:rsidR="005B2C4D" w:rsidRPr="00FB463B" w:rsidRDefault="005B2C4D" w:rsidP="00422B00">
            <w:pPr>
              <w:jc w:val="center"/>
              <w:rPr>
                <w:rFonts w:cs="Arial"/>
                <w:b/>
                <w:bCs/>
              </w:rPr>
            </w:pPr>
            <w:r w:rsidRPr="00FB463B">
              <w:rPr>
                <w:rFonts w:eastAsia="BIZ UDGothic" w:cs="Arial"/>
                <w:b/>
                <w:bCs/>
                <w:kern w:val="24"/>
              </w:rPr>
              <w:t>(n=386,194)</w:t>
            </w:r>
          </w:p>
        </w:tc>
        <w:tc>
          <w:tcPr>
            <w:tcW w:w="1710" w:type="dxa"/>
            <w:shd w:val="clear" w:color="auto" w:fill="FFF2CC" w:themeFill="accent4" w:themeFillTint="33"/>
            <w:vAlign w:val="center"/>
          </w:tcPr>
          <w:p w14:paraId="3F4BDBEC"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5C40B81C" w14:textId="77777777" w:rsidR="005B2C4D" w:rsidRPr="00FB463B" w:rsidRDefault="005B2C4D" w:rsidP="00422B00">
            <w:pPr>
              <w:jc w:val="center"/>
              <w:rPr>
                <w:rFonts w:cs="Arial"/>
                <w:b/>
                <w:bCs/>
              </w:rPr>
            </w:pPr>
            <w:r w:rsidRPr="00FB463B">
              <w:rPr>
                <w:rFonts w:eastAsia="BIZ UDGothic" w:cs="Arial"/>
                <w:b/>
                <w:bCs/>
                <w:kern w:val="24"/>
              </w:rPr>
              <w:t>(n=63,797)</w:t>
            </w:r>
          </w:p>
        </w:tc>
      </w:tr>
      <w:tr w:rsidR="005B2C4D" w:rsidRPr="00FB463B" w14:paraId="0CFC2E07" w14:textId="77777777" w:rsidTr="00BD73C2">
        <w:trPr>
          <w:cantSplit/>
          <w:tblHeader/>
        </w:trPr>
        <w:tc>
          <w:tcPr>
            <w:tcW w:w="1165" w:type="dxa"/>
            <w:vAlign w:val="center"/>
          </w:tcPr>
          <w:p w14:paraId="7AE22864" w14:textId="77777777" w:rsidR="005B2C4D" w:rsidRPr="00FB463B" w:rsidRDefault="005B2C4D" w:rsidP="00422B00">
            <w:pPr>
              <w:rPr>
                <w:rFonts w:cs="Arial"/>
                <w:b/>
                <w:bCs/>
              </w:rPr>
            </w:pPr>
            <w:r w:rsidRPr="00FB463B">
              <w:rPr>
                <w:rFonts w:eastAsia="BIZ UDGothic" w:cs="Arial"/>
                <w:kern w:val="24"/>
              </w:rPr>
              <w:t>2020-21</w:t>
            </w:r>
          </w:p>
        </w:tc>
        <w:tc>
          <w:tcPr>
            <w:tcW w:w="1890" w:type="dxa"/>
            <w:vAlign w:val="center"/>
          </w:tcPr>
          <w:p w14:paraId="51347D56" w14:textId="0799D7AC" w:rsidR="005B2C4D" w:rsidRPr="00FB463B" w:rsidRDefault="005B2C4D" w:rsidP="00E16D4F">
            <w:pPr>
              <w:jc w:val="center"/>
              <w:rPr>
                <w:rFonts w:cs="Arial"/>
                <w:b/>
                <w:bCs/>
              </w:rPr>
            </w:pPr>
            <w:r w:rsidRPr="00FB463B">
              <w:rPr>
                <w:rFonts w:eastAsia="BIZ UDGothic" w:cs="Arial"/>
                <w:kern w:val="24"/>
              </w:rPr>
              <w:t>155 (0.04%)</w:t>
            </w:r>
          </w:p>
        </w:tc>
        <w:tc>
          <w:tcPr>
            <w:tcW w:w="1710" w:type="dxa"/>
            <w:vAlign w:val="center"/>
          </w:tcPr>
          <w:p w14:paraId="65B93391" w14:textId="650E9347" w:rsidR="005B2C4D" w:rsidRPr="00FB463B" w:rsidRDefault="005B2C4D" w:rsidP="00E16D4F">
            <w:pPr>
              <w:jc w:val="center"/>
              <w:rPr>
                <w:rFonts w:cs="Arial"/>
                <w:b/>
                <w:bCs/>
              </w:rPr>
            </w:pPr>
            <w:r w:rsidRPr="00FB463B">
              <w:rPr>
                <w:rFonts w:eastAsia="BIZ UDGothic" w:cs="Arial"/>
                <w:kern w:val="24"/>
              </w:rPr>
              <w:t>61 (0.10%)</w:t>
            </w:r>
          </w:p>
        </w:tc>
      </w:tr>
      <w:tr w:rsidR="005B2C4D" w:rsidRPr="00FB463B" w14:paraId="20E8AD9C" w14:textId="77777777" w:rsidTr="00BD73C2">
        <w:trPr>
          <w:cantSplit/>
          <w:tblHeader/>
        </w:trPr>
        <w:tc>
          <w:tcPr>
            <w:tcW w:w="1165" w:type="dxa"/>
            <w:vAlign w:val="center"/>
          </w:tcPr>
          <w:p w14:paraId="417E68AF" w14:textId="77777777" w:rsidR="005B2C4D" w:rsidRPr="00FB463B" w:rsidRDefault="005B2C4D" w:rsidP="00422B00">
            <w:pPr>
              <w:rPr>
                <w:rFonts w:cs="Arial"/>
                <w:b/>
                <w:bCs/>
              </w:rPr>
            </w:pPr>
            <w:r w:rsidRPr="00FB463B">
              <w:rPr>
                <w:rFonts w:eastAsia="BIZ UDGothic" w:cs="Arial"/>
                <w:kern w:val="24"/>
              </w:rPr>
              <w:t>2021-22</w:t>
            </w:r>
          </w:p>
        </w:tc>
        <w:tc>
          <w:tcPr>
            <w:tcW w:w="1890" w:type="dxa"/>
            <w:vAlign w:val="center"/>
          </w:tcPr>
          <w:p w14:paraId="2982C683" w14:textId="77777777" w:rsidR="005B2C4D" w:rsidRPr="00FB463B" w:rsidRDefault="005B2C4D" w:rsidP="00422B00">
            <w:pPr>
              <w:jc w:val="center"/>
              <w:rPr>
                <w:rFonts w:cs="Arial"/>
                <w:b/>
                <w:bCs/>
              </w:rPr>
            </w:pPr>
            <w:r w:rsidRPr="00FB463B">
              <w:rPr>
                <w:rFonts w:eastAsia="BIZ UDGothic" w:cs="Arial"/>
                <w:kern w:val="24"/>
              </w:rPr>
              <w:t>2,137 (0.60%)</w:t>
            </w:r>
          </w:p>
        </w:tc>
        <w:tc>
          <w:tcPr>
            <w:tcW w:w="1710" w:type="dxa"/>
            <w:vAlign w:val="center"/>
          </w:tcPr>
          <w:p w14:paraId="19064744" w14:textId="382F255C" w:rsidR="005B2C4D" w:rsidRPr="00FB463B" w:rsidRDefault="005B2C4D" w:rsidP="00E16D4F">
            <w:pPr>
              <w:jc w:val="center"/>
              <w:rPr>
                <w:rFonts w:cs="Arial"/>
                <w:b/>
                <w:bCs/>
              </w:rPr>
            </w:pPr>
            <w:r w:rsidRPr="00FB463B">
              <w:rPr>
                <w:rFonts w:eastAsia="BIZ UDGothic" w:cs="Arial"/>
                <w:kern w:val="24"/>
              </w:rPr>
              <w:t>34 (0.05%)</w:t>
            </w:r>
          </w:p>
        </w:tc>
      </w:tr>
      <w:tr w:rsidR="005B2C4D" w:rsidRPr="00FB463B" w14:paraId="5E552A81" w14:textId="77777777" w:rsidTr="00BD73C2">
        <w:trPr>
          <w:cantSplit/>
          <w:tblHeader/>
        </w:trPr>
        <w:tc>
          <w:tcPr>
            <w:tcW w:w="1165" w:type="dxa"/>
            <w:vAlign w:val="center"/>
          </w:tcPr>
          <w:p w14:paraId="1958EC1A" w14:textId="77777777" w:rsidR="005B2C4D" w:rsidRPr="00FB463B" w:rsidRDefault="005B2C4D" w:rsidP="00422B00">
            <w:pPr>
              <w:rPr>
                <w:rFonts w:cs="Arial"/>
                <w:b/>
                <w:bCs/>
              </w:rPr>
            </w:pPr>
            <w:r w:rsidRPr="00FB463B">
              <w:rPr>
                <w:rFonts w:eastAsia="BIZ UDGothic" w:cs="Arial"/>
                <w:b/>
                <w:bCs/>
                <w:kern w:val="24"/>
              </w:rPr>
              <w:t>Total</w:t>
            </w:r>
          </w:p>
        </w:tc>
        <w:tc>
          <w:tcPr>
            <w:tcW w:w="1890" w:type="dxa"/>
            <w:vAlign w:val="center"/>
          </w:tcPr>
          <w:p w14:paraId="03665E4B" w14:textId="77777777" w:rsidR="005B2C4D" w:rsidRPr="00FB463B" w:rsidRDefault="005B2C4D" w:rsidP="00422B00">
            <w:pPr>
              <w:jc w:val="center"/>
              <w:rPr>
                <w:rFonts w:cs="Arial"/>
                <w:b/>
                <w:bCs/>
              </w:rPr>
            </w:pPr>
            <w:r w:rsidRPr="00FB463B">
              <w:rPr>
                <w:rFonts w:cs="Arial"/>
                <w:b/>
                <w:bCs/>
              </w:rPr>
              <w:t>2,292 (0.64%)</w:t>
            </w:r>
          </w:p>
        </w:tc>
        <w:tc>
          <w:tcPr>
            <w:tcW w:w="1710" w:type="dxa"/>
            <w:vAlign w:val="center"/>
          </w:tcPr>
          <w:p w14:paraId="093C033F" w14:textId="379DA7D6" w:rsidR="005B2C4D" w:rsidRPr="00FB463B" w:rsidRDefault="005B2C4D" w:rsidP="00E16D4F">
            <w:pPr>
              <w:jc w:val="center"/>
              <w:rPr>
                <w:rFonts w:cs="Arial"/>
                <w:b/>
                <w:bCs/>
              </w:rPr>
            </w:pPr>
            <w:r w:rsidRPr="00FB463B">
              <w:rPr>
                <w:rFonts w:cs="Arial"/>
                <w:b/>
                <w:bCs/>
              </w:rPr>
              <w:t>95 (0.15%)</w:t>
            </w:r>
          </w:p>
        </w:tc>
      </w:tr>
    </w:tbl>
    <w:p w14:paraId="044C6D8F" w14:textId="77777777" w:rsidR="005B2C4D" w:rsidRPr="00FB463B" w:rsidRDefault="005B2C4D" w:rsidP="005B2C4D">
      <w:pPr>
        <w:rPr>
          <w:rFonts w:cs="Arial"/>
          <w:b/>
          <w:bCs/>
        </w:rPr>
      </w:pPr>
    </w:p>
    <w:p w14:paraId="0923A11D" w14:textId="77777777" w:rsidR="003A7269" w:rsidRPr="00FB463B" w:rsidRDefault="003A7269" w:rsidP="005B2C4D">
      <w:pPr>
        <w:rPr>
          <w:rFonts w:cs="Arial"/>
          <w:b/>
          <w:bCs/>
        </w:rPr>
        <w:sectPr w:rsidR="003A7269" w:rsidRPr="00FB463B" w:rsidSect="00A859F2">
          <w:pgSz w:w="12240" w:h="15840"/>
          <w:pgMar w:top="1440" w:right="1440" w:bottom="1440" w:left="1440" w:header="720" w:footer="720" w:gutter="0"/>
          <w:cols w:num="2" w:space="720"/>
          <w:docGrid w:linePitch="360"/>
        </w:sectPr>
      </w:pPr>
    </w:p>
    <w:p w14:paraId="23DB7E32" w14:textId="526A9C57" w:rsidR="005B2C4D" w:rsidRPr="00FB463B" w:rsidRDefault="009434EB" w:rsidP="005B2C4D">
      <w:pPr>
        <w:rPr>
          <w:rFonts w:cs="Arial"/>
          <w:b/>
          <w:bCs/>
        </w:rPr>
      </w:pPr>
      <w:r w:rsidRPr="00FB463B">
        <w:rPr>
          <w:rFonts w:cs="Arial"/>
          <w:b/>
          <w:bCs/>
        </w:rPr>
        <w:t xml:space="preserve">Table </w:t>
      </w:r>
      <w:r w:rsidR="00074A06" w:rsidRPr="00FB463B">
        <w:rPr>
          <w:rFonts w:cs="Arial"/>
          <w:b/>
          <w:bCs/>
        </w:rPr>
        <w:t>19</w:t>
      </w:r>
      <w:r w:rsidRPr="00FB463B">
        <w:rPr>
          <w:rFonts w:cs="Arial"/>
          <w:b/>
          <w:bCs/>
        </w:rPr>
        <w:t xml:space="preserve"> </w:t>
      </w:r>
      <w:r w:rsidR="005B2C4D" w:rsidRPr="00FB463B">
        <w:rPr>
          <w:rFonts w:cs="Arial"/>
          <w:b/>
          <w:bCs/>
        </w:rPr>
        <w:t>Small School</w:t>
      </w:r>
      <w:r w:rsidRPr="00FB463B">
        <w:rPr>
          <w:rFonts w:cs="Arial"/>
          <w:b/>
          <w:bCs/>
        </w:rPr>
        <w:t>s</w:t>
      </w:r>
    </w:p>
    <w:tbl>
      <w:tblPr>
        <w:tblStyle w:val="TableGrid"/>
        <w:tblW w:w="4405" w:type="dxa"/>
        <w:tblLook w:val="04A0" w:firstRow="1" w:lastRow="0" w:firstColumn="1" w:lastColumn="0" w:noHBand="0" w:noVBand="1"/>
        <w:tblCaption w:val="Table 19: Small Schools"/>
        <w:tblDescription w:val="Table 19 Small Schools"/>
      </w:tblPr>
      <w:tblGrid>
        <w:gridCol w:w="1165"/>
        <w:gridCol w:w="1477"/>
        <w:gridCol w:w="1763"/>
      </w:tblGrid>
      <w:tr w:rsidR="005B2C4D" w:rsidRPr="00FB463B" w14:paraId="34879EF9" w14:textId="77777777" w:rsidTr="00BD73C2">
        <w:trPr>
          <w:cantSplit/>
          <w:tblHeader/>
        </w:trPr>
        <w:tc>
          <w:tcPr>
            <w:tcW w:w="1165" w:type="dxa"/>
            <w:shd w:val="clear" w:color="auto" w:fill="FFF2CC" w:themeFill="accent4" w:themeFillTint="33"/>
            <w:vAlign w:val="center"/>
          </w:tcPr>
          <w:p w14:paraId="3684FFA8" w14:textId="77777777" w:rsidR="005B2C4D" w:rsidRPr="00FB463B" w:rsidRDefault="005B2C4D" w:rsidP="00422B00">
            <w:pPr>
              <w:jc w:val="center"/>
              <w:rPr>
                <w:rFonts w:cs="Arial"/>
                <w:b/>
                <w:bCs/>
              </w:rPr>
            </w:pPr>
            <w:r w:rsidRPr="00FB463B">
              <w:rPr>
                <w:rFonts w:eastAsia="BIZ UDGothic" w:cs="Arial"/>
                <w:b/>
                <w:bCs/>
                <w:kern w:val="24"/>
              </w:rPr>
              <w:t>Year</w:t>
            </w:r>
          </w:p>
        </w:tc>
        <w:tc>
          <w:tcPr>
            <w:tcW w:w="1477" w:type="dxa"/>
            <w:shd w:val="clear" w:color="auto" w:fill="FFF2CC" w:themeFill="accent4" w:themeFillTint="33"/>
            <w:vAlign w:val="center"/>
          </w:tcPr>
          <w:p w14:paraId="2750B26A"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5DD952F0" w14:textId="77777777" w:rsidR="005B2C4D" w:rsidRPr="00FB463B" w:rsidRDefault="005B2C4D" w:rsidP="00422B00">
            <w:pPr>
              <w:jc w:val="center"/>
              <w:rPr>
                <w:rFonts w:cs="Arial"/>
                <w:b/>
                <w:bCs/>
              </w:rPr>
            </w:pPr>
            <w:r w:rsidRPr="00FB463B">
              <w:rPr>
                <w:rFonts w:eastAsia="BIZ UDGothic" w:cs="Arial"/>
                <w:b/>
                <w:bCs/>
                <w:kern w:val="24"/>
              </w:rPr>
              <w:t>(n=13,832)</w:t>
            </w:r>
          </w:p>
        </w:tc>
        <w:tc>
          <w:tcPr>
            <w:tcW w:w="1763" w:type="dxa"/>
            <w:shd w:val="clear" w:color="auto" w:fill="FFF2CC" w:themeFill="accent4" w:themeFillTint="33"/>
            <w:vAlign w:val="center"/>
          </w:tcPr>
          <w:p w14:paraId="754FB77F"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0E3F7C13" w14:textId="77777777" w:rsidR="005B2C4D" w:rsidRPr="00FB463B" w:rsidRDefault="005B2C4D" w:rsidP="00422B00">
            <w:pPr>
              <w:jc w:val="center"/>
              <w:rPr>
                <w:rFonts w:cs="Arial"/>
                <w:b/>
                <w:bCs/>
              </w:rPr>
            </w:pPr>
            <w:r w:rsidRPr="00FB463B">
              <w:rPr>
                <w:rFonts w:eastAsia="BIZ UDGothic" w:cs="Arial"/>
                <w:b/>
                <w:bCs/>
                <w:kern w:val="24"/>
              </w:rPr>
              <w:t>(n=7,986)</w:t>
            </w:r>
          </w:p>
        </w:tc>
      </w:tr>
      <w:tr w:rsidR="005B2C4D" w:rsidRPr="00FB463B" w14:paraId="2D40C55D" w14:textId="77777777" w:rsidTr="00BD73C2">
        <w:trPr>
          <w:cantSplit/>
          <w:tblHeader/>
        </w:trPr>
        <w:tc>
          <w:tcPr>
            <w:tcW w:w="1165" w:type="dxa"/>
            <w:vAlign w:val="center"/>
          </w:tcPr>
          <w:p w14:paraId="51EA8787" w14:textId="77777777" w:rsidR="005B2C4D" w:rsidRPr="00FB463B" w:rsidRDefault="005B2C4D" w:rsidP="00422B00">
            <w:pPr>
              <w:rPr>
                <w:rFonts w:cs="Arial"/>
                <w:b/>
                <w:bCs/>
              </w:rPr>
            </w:pPr>
            <w:r w:rsidRPr="00FB463B">
              <w:rPr>
                <w:rFonts w:eastAsia="BIZ UDGothic" w:cs="Arial"/>
                <w:kern w:val="24"/>
              </w:rPr>
              <w:t>2020-21</w:t>
            </w:r>
          </w:p>
        </w:tc>
        <w:tc>
          <w:tcPr>
            <w:tcW w:w="1477" w:type="dxa"/>
            <w:vAlign w:val="center"/>
          </w:tcPr>
          <w:p w14:paraId="2D5E346A" w14:textId="321E8F82" w:rsidR="005B2C4D" w:rsidRPr="00FB463B" w:rsidRDefault="005B2C4D" w:rsidP="00BB2CF9">
            <w:pPr>
              <w:jc w:val="center"/>
              <w:rPr>
                <w:rFonts w:cs="Arial"/>
                <w:b/>
                <w:bCs/>
              </w:rPr>
            </w:pPr>
            <w:r w:rsidRPr="00FB463B">
              <w:rPr>
                <w:rFonts w:eastAsia="BIZ UDGothic" w:cs="Arial"/>
                <w:kern w:val="24"/>
              </w:rPr>
              <w:t>28 (0.20%)</w:t>
            </w:r>
          </w:p>
        </w:tc>
        <w:tc>
          <w:tcPr>
            <w:tcW w:w="1763" w:type="dxa"/>
            <w:vAlign w:val="center"/>
          </w:tcPr>
          <w:p w14:paraId="120D8F57" w14:textId="47B5826B" w:rsidR="005B2C4D" w:rsidRPr="00FB463B" w:rsidRDefault="005B2C4D" w:rsidP="00BB2CF9">
            <w:pPr>
              <w:jc w:val="center"/>
              <w:rPr>
                <w:rFonts w:cs="Arial"/>
                <w:b/>
                <w:bCs/>
              </w:rPr>
            </w:pPr>
            <w:r w:rsidRPr="00FB463B">
              <w:rPr>
                <w:rFonts w:eastAsia="BIZ UDGothic" w:cs="Arial"/>
                <w:kern w:val="24"/>
              </w:rPr>
              <w:t>3 (0.04%)</w:t>
            </w:r>
          </w:p>
        </w:tc>
      </w:tr>
      <w:tr w:rsidR="005B2C4D" w:rsidRPr="00FB463B" w14:paraId="788B6FA2" w14:textId="77777777" w:rsidTr="00BD73C2">
        <w:trPr>
          <w:cantSplit/>
          <w:tblHeader/>
        </w:trPr>
        <w:tc>
          <w:tcPr>
            <w:tcW w:w="1165" w:type="dxa"/>
            <w:vAlign w:val="center"/>
          </w:tcPr>
          <w:p w14:paraId="28E04293" w14:textId="77777777" w:rsidR="005B2C4D" w:rsidRPr="00FB463B" w:rsidRDefault="005B2C4D" w:rsidP="00422B00">
            <w:pPr>
              <w:rPr>
                <w:rFonts w:cs="Arial"/>
                <w:b/>
                <w:bCs/>
              </w:rPr>
            </w:pPr>
            <w:r w:rsidRPr="00FB463B">
              <w:rPr>
                <w:rFonts w:eastAsia="BIZ UDGothic" w:cs="Arial"/>
                <w:kern w:val="24"/>
              </w:rPr>
              <w:t>2021-22</w:t>
            </w:r>
          </w:p>
        </w:tc>
        <w:tc>
          <w:tcPr>
            <w:tcW w:w="1477" w:type="dxa"/>
            <w:vAlign w:val="center"/>
          </w:tcPr>
          <w:p w14:paraId="3E66C750" w14:textId="24C9306C" w:rsidR="005B2C4D" w:rsidRPr="00FB463B" w:rsidRDefault="005B2C4D" w:rsidP="00BB2CF9">
            <w:pPr>
              <w:jc w:val="center"/>
              <w:rPr>
                <w:rFonts w:cs="Arial"/>
                <w:b/>
                <w:bCs/>
              </w:rPr>
            </w:pPr>
            <w:r w:rsidRPr="00FB463B">
              <w:rPr>
                <w:rFonts w:eastAsia="BIZ UDGothic" w:cs="Arial"/>
                <w:kern w:val="24"/>
              </w:rPr>
              <w:t>4 (0.03%)</w:t>
            </w:r>
          </w:p>
        </w:tc>
        <w:tc>
          <w:tcPr>
            <w:tcW w:w="1763" w:type="dxa"/>
            <w:vAlign w:val="center"/>
          </w:tcPr>
          <w:p w14:paraId="07F90D9A" w14:textId="66F6DAFA" w:rsidR="005B2C4D" w:rsidRPr="00FB463B" w:rsidRDefault="005B2C4D" w:rsidP="00BB2CF9">
            <w:pPr>
              <w:jc w:val="center"/>
              <w:rPr>
                <w:rFonts w:cs="Arial"/>
                <w:b/>
                <w:bCs/>
              </w:rPr>
            </w:pPr>
            <w:r w:rsidRPr="00FB463B">
              <w:rPr>
                <w:rFonts w:eastAsia="BIZ UDGothic" w:cs="Arial"/>
                <w:kern w:val="24"/>
              </w:rPr>
              <w:t>0 (0.00%)</w:t>
            </w:r>
          </w:p>
        </w:tc>
      </w:tr>
      <w:tr w:rsidR="005B2C4D" w:rsidRPr="00FB463B" w14:paraId="1E33FC00" w14:textId="77777777" w:rsidTr="00BD73C2">
        <w:trPr>
          <w:cantSplit/>
          <w:tblHeader/>
        </w:trPr>
        <w:tc>
          <w:tcPr>
            <w:tcW w:w="1165" w:type="dxa"/>
            <w:vAlign w:val="center"/>
          </w:tcPr>
          <w:p w14:paraId="18469DE1" w14:textId="77777777" w:rsidR="005B2C4D" w:rsidRPr="00FB463B" w:rsidRDefault="005B2C4D" w:rsidP="00422B00">
            <w:pPr>
              <w:rPr>
                <w:rFonts w:cs="Arial"/>
                <w:b/>
                <w:bCs/>
              </w:rPr>
            </w:pPr>
            <w:r w:rsidRPr="00FB463B">
              <w:rPr>
                <w:rFonts w:eastAsia="BIZ UDGothic" w:cs="Arial"/>
                <w:b/>
                <w:bCs/>
                <w:kern w:val="24"/>
              </w:rPr>
              <w:t>Total</w:t>
            </w:r>
          </w:p>
        </w:tc>
        <w:tc>
          <w:tcPr>
            <w:tcW w:w="1477" w:type="dxa"/>
            <w:vAlign w:val="center"/>
          </w:tcPr>
          <w:p w14:paraId="6823764F" w14:textId="0FF6D4C0" w:rsidR="005B2C4D" w:rsidRPr="00FB463B" w:rsidRDefault="005B2C4D" w:rsidP="00BB2CF9">
            <w:pPr>
              <w:jc w:val="center"/>
              <w:rPr>
                <w:rFonts w:cs="Arial"/>
                <w:b/>
                <w:bCs/>
              </w:rPr>
            </w:pPr>
            <w:r w:rsidRPr="00FB463B">
              <w:rPr>
                <w:rFonts w:cs="Arial"/>
                <w:b/>
                <w:bCs/>
              </w:rPr>
              <w:t>32 (0.23%)</w:t>
            </w:r>
          </w:p>
        </w:tc>
        <w:tc>
          <w:tcPr>
            <w:tcW w:w="1763" w:type="dxa"/>
            <w:vAlign w:val="center"/>
          </w:tcPr>
          <w:p w14:paraId="337EB008" w14:textId="1661C58E" w:rsidR="005B2C4D" w:rsidRPr="00FB463B" w:rsidRDefault="005B2C4D" w:rsidP="00BB2CF9">
            <w:pPr>
              <w:jc w:val="center"/>
              <w:rPr>
                <w:rFonts w:cs="Arial"/>
                <w:b/>
                <w:bCs/>
              </w:rPr>
            </w:pPr>
            <w:r w:rsidRPr="00FB463B">
              <w:rPr>
                <w:rFonts w:cs="Arial"/>
                <w:b/>
                <w:bCs/>
              </w:rPr>
              <w:t>3 (0.04%)</w:t>
            </w:r>
          </w:p>
        </w:tc>
      </w:tr>
    </w:tbl>
    <w:p w14:paraId="47F8EB79" w14:textId="64D7918A" w:rsidR="005B2C4D" w:rsidRPr="00FB463B" w:rsidRDefault="005B2C4D" w:rsidP="005B2C4D">
      <w:pPr>
        <w:rPr>
          <w:rFonts w:cs="Arial"/>
          <w:b/>
          <w:bCs/>
        </w:rPr>
      </w:pPr>
      <w:r w:rsidRPr="00FB463B">
        <w:rPr>
          <w:rFonts w:cs="Arial"/>
        </w:rPr>
        <w:br w:type="column"/>
      </w:r>
      <w:r w:rsidR="009434EB" w:rsidRPr="00FB463B">
        <w:rPr>
          <w:rFonts w:cs="Arial"/>
          <w:b/>
          <w:bCs/>
        </w:rPr>
        <w:t xml:space="preserve">Table </w:t>
      </w:r>
      <w:r w:rsidR="00074A06" w:rsidRPr="00FB463B">
        <w:rPr>
          <w:rFonts w:cs="Arial"/>
          <w:b/>
          <w:bCs/>
        </w:rPr>
        <w:t>20</w:t>
      </w:r>
      <w:r w:rsidR="009434EB" w:rsidRPr="00FB463B">
        <w:rPr>
          <w:rFonts w:cs="Arial"/>
        </w:rPr>
        <w:t xml:space="preserve"> </w:t>
      </w:r>
      <w:r w:rsidRPr="00FB463B">
        <w:rPr>
          <w:rFonts w:cs="Arial"/>
          <w:b/>
          <w:bCs/>
        </w:rPr>
        <w:t>Non-Small Schools</w:t>
      </w:r>
    </w:p>
    <w:tbl>
      <w:tblPr>
        <w:tblStyle w:val="TableGrid"/>
        <w:tblW w:w="4765" w:type="dxa"/>
        <w:tblLook w:val="04A0" w:firstRow="1" w:lastRow="0" w:firstColumn="1" w:lastColumn="0" w:noHBand="0" w:noVBand="1"/>
        <w:tblCaption w:val="Table 20 Non-Small Schools"/>
        <w:tblDescription w:val="Table 20 Non-Small Schools"/>
      </w:tblPr>
      <w:tblGrid>
        <w:gridCol w:w="1255"/>
        <w:gridCol w:w="1890"/>
        <w:gridCol w:w="1620"/>
      </w:tblGrid>
      <w:tr w:rsidR="0027077E" w:rsidRPr="00FB463B" w14:paraId="47C5A4E5" w14:textId="77777777" w:rsidTr="00BD73C2">
        <w:trPr>
          <w:cantSplit/>
          <w:tblHeader/>
        </w:trPr>
        <w:tc>
          <w:tcPr>
            <w:tcW w:w="1255" w:type="dxa"/>
            <w:shd w:val="clear" w:color="auto" w:fill="FFF2CC" w:themeFill="accent4" w:themeFillTint="33"/>
            <w:vAlign w:val="center"/>
          </w:tcPr>
          <w:p w14:paraId="336E66C9" w14:textId="77777777" w:rsidR="005B2C4D" w:rsidRPr="00FB463B" w:rsidRDefault="005B2C4D" w:rsidP="00422B00">
            <w:pPr>
              <w:jc w:val="center"/>
              <w:rPr>
                <w:rFonts w:cs="Arial"/>
                <w:b/>
                <w:bCs/>
              </w:rPr>
            </w:pPr>
            <w:r w:rsidRPr="00FB463B">
              <w:rPr>
                <w:rFonts w:eastAsia="BIZ UDGothic" w:cs="Arial"/>
                <w:b/>
                <w:bCs/>
                <w:kern w:val="24"/>
              </w:rPr>
              <w:t>Year</w:t>
            </w:r>
          </w:p>
        </w:tc>
        <w:tc>
          <w:tcPr>
            <w:tcW w:w="1890" w:type="dxa"/>
            <w:shd w:val="clear" w:color="auto" w:fill="FFF2CC" w:themeFill="accent4" w:themeFillTint="33"/>
            <w:vAlign w:val="center"/>
          </w:tcPr>
          <w:p w14:paraId="2D6A0117"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56B8A18D" w14:textId="77777777" w:rsidR="005B2C4D" w:rsidRPr="00FB463B" w:rsidRDefault="005B2C4D" w:rsidP="00422B00">
            <w:pPr>
              <w:jc w:val="center"/>
              <w:rPr>
                <w:rFonts w:cs="Arial"/>
                <w:b/>
                <w:bCs/>
              </w:rPr>
            </w:pPr>
            <w:r w:rsidRPr="00FB463B">
              <w:rPr>
                <w:rFonts w:eastAsia="BIZ UDGothic" w:cs="Arial"/>
                <w:b/>
                <w:bCs/>
                <w:kern w:val="24"/>
              </w:rPr>
              <w:t>(n=419,523)</w:t>
            </w:r>
          </w:p>
        </w:tc>
        <w:tc>
          <w:tcPr>
            <w:tcW w:w="1620" w:type="dxa"/>
            <w:shd w:val="clear" w:color="auto" w:fill="FFF2CC" w:themeFill="accent4" w:themeFillTint="33"/>
            <w:vAlign w:val="center"/>
          </w:tcPr>
          <w:p w14:paraId="041A8208" w14:textId="77777777" w:rsidR="005B2C4D" w:rsidRPr="00FB463B" w:rsidRDefault="005B2C4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07FB1E4A" w14:textId="093EA6BC" w:rsidR="005B2C4D" w:rsidRPr="00FB463B" w:rsidRDefault="005B2C4D" w:rsidP="00422B00">
            <w:pPr>
              <w:jc w:val="center"/>
              <w:rPr>
                <w:rFonts w:cs="Arial"/>
                <w:b/>
                <w:bCs/>
              </w:rPr>
            </w:pPr>
            <w:r w:rsidRPr="00FB463B">
              <w:rPr>
                <w:rFonts w:eastAsia="BIZ UDGothic" w:cs="Arial"/>
                <w:b/>
                <w:bCs/>
                <w:kern w:val="24"/>
              </w:rPr>
              <w:t>(n=83,064)</w:t>
            </w:r>
          </w:p>
        </w:tc>
      </w:tr>
      <w:tr w:rsidR="005B2C4D" w:rsidRPr="00FB463B" w14:paraId="260D965A" w14:textId="77777777" w:rsidTr="00BD73C2">
        <w:trPr>
          <w:cantSplit/>
          <w:tblHeader/>
        </w:trPr>
        <w:tc>
          <w:tcPr>
            <w:tcW w:w="1255" w:type="dxa"/>
            <w:vAlign w:val="center"/>
          </w:tcPr>
          <w:p w14:paraId="0453BEE2" w14:textId="77777777" w:rsidR="005B2C4D" w:rsidRPr="00FB463B" w:rsidRDefault="005B2C4D" w:rsidP="00422B00">
            <w:pPr>
              <w:rPr>
                <w:rFonts w:cs="Arial"/>
                <w:b/>
                <w:bCs/>
              </w:rPr>
            </w:pPr>
            <w:r w:rsidRPr="00FB463B">
              <w:rPr>
                <w:rFonts w:eastAsia="BIZ UDGothic" w:cs="Arial"/>
                <w:kern w:val="24"/>
              </w:rPr>
              <w:t>2020-21</w:t>
            </w:r>
          </w:p>
        </w:tc>
        <w:tc>
          <w:tcPr>
            <w:tcW w:w="1890" w:type="dxa"/>
            <w:vAlign w:val="center"/>
          </w:tcPr>
          <w:p w14:paraId="1BCEA7D7" w14:textId="77777777" w:rsidR="005B2C4D" w:rsidRPr="00FB463B" w:rsidRDefault="005B2C4D" w:rsidP="00422B00">
            <w:pPr>
              <w:jc w:val="center"/>
              <w:rPr>
                <w:rFonts w:cs="Arial"/>
                <w:b/>
                <w:bCs/>
              </w:rPr>
            </w:pPr>
            <w:r w:rsidRPr="00FB463B">
              <w:rPr>
                <w:rFonts w:eastAsia="BIZ UDGothic" w:cs="Arial"/>
                <w:kern w:val="24"/>
              </w:rPr>
              <w:t>1,505 (0.36%)</w:t>
            </w:r>
          </w:p>
        </w:tc>
        <w:tc>
          <w:tcPr>
            <w:tcW w:w="1620" w:type="dxa"/>
            <w:vAlign w:val="center"/>
          </w:tcPr>
          <w:p w14:paraId="62099E5F" w14:textId="6ECABBEB" w:rsidR="005B2C4D" w:rsidRPr="00FB463B" w:rsidRDefault="005B2C4D" w:rsidP="00BB2CF9">
            <w:pPr>
              <w:jc w:val="center"/>
              <w:rPr>
                <w:rFonts w:cs="Arial"/>
                <w:b/>
                <w:bCs/>
              </w:rPr>
            </w:pPr>
            <w:r w:rsidRPr="00FB463B">
              <w:rPr>
                <w:rFonts w:eastAsia="BIZ UDGothic" w:cs="Arial"/>
                <w:kern w:val="24"/>
              </w:rPr>
              <w:t>64 (0.08%)</w:t>
            </w:r>
          </w:p>
        </w:tc>
      </w:tr>
      <w:tr w:rsidR="005B2C4D" w:rsidRPr="00FB463B" w14:paraId="42A2F737" w14:textId="77777777" w:rsidTr="00BD73C2">
        <w:trPr>
          <w:cantSplit/>
          <w:tblHeader/>
        </w:trPr>
        <w:tc>
          <w:tcPr>
            <w:tcW w:w="1255" w:type="dxa"/>
            <w:vAlign w:val="center"/>
          </w:tcPr>
          <w:p w14:paraId="724DCD7D" w14:textId="77777777" w:rsidR="005B2C4D" w:rsidRPr="00FB463B" w:rsidRDefault="005B2C4D" w:rsidP="00422B00">
            <w:pPr>
              <w:rPr>
                <w:rFonts w:cs="Arial"/>
                <w:b/>
                <w:bCs/>
              </w:rPr>
            </w:pPr>
            <w:r w:rsidRPr="00FB463B">
              <w:rPr>
                <w:rFonts w:eastAsia="BIZ UDGothic" w:cs="Arial"/>
                <w:kern w:val="24"/>
              </w:rPr>
              <w:t>2021-22</w:t>
            </w:r>
          </w:p>
        </w:tc>
        <w:tc>
          <w:tcPr>
            <w:tcW w:w="1890" w:type="dxa"/>
            <w:vAlign w:val="center"/>
          </w:tcPr>
          <w:p w14:paraId="2DD12999" w14:textId="77777777" w:rsidR="005B2C4D" w:rsidRPr="00FB463B" w:rsidRDefault="005B2C4D" w:rsidP="00422B00">
            <w:pPr>
              <w:jc w:val="center"/>
              <w:rPr>
                <w:rFonts w:cs="Arial"/>
                <w:b/>
                <w:bCs/>
              </w:rPr>
            </w:pPr>
            <w:r w:rsidRPr="00FB463B">
              <w:rPr>
                <w:rFonts w:eastAsia="BIZ UDGothic" w:cs="Arial"/>
                <w:kern w:val="24"/>
              </w:rPr>
              <w:t>2,214 (0.53%)</w:t>
            </w:r>
          </w:p>
        </w:tc>
        <w:tc>
          <w:tcPr>
            <w:tcW w:w="1620" w:type="dxa"/>
            <w:vAlign w:val="center"/>
          </w:tcPr>
          <w:p w14:paraId="4C35AFB8" w14:textId="1583D541" w:rsidR="005B2C4D" w:rsidRPr="00FB463B" w:rsidRDefault="005B2C4D" w:rsidP="00BB2CF9">
            <w:pPr>
              <w:jc w:val="center"/>
              <w:rPr>
                <w:rFonts w:cs="Arial"/>
                <w:b/>
                <w:bCs/>
              </w:rPr>
            </w:pPr>
            <w:r w:rsidRPr="00FB463B">
              <w:rPr>
                <w:rFonts w:eastAsia="BIZ UDGothic" w:cs="Arial"/>
                <w:kern w:val="24"/>
              </w:rPr>
              <w:t>38 (0.05%)</w:t>
            </w:r>
          </w:p>
        </w:tc>
      </w:tr>
      <w:tr w:rsidR="005B2C4D" w:rsidRPr="00FB463B" w14:paraId="64A7705F" w14:textId="77777777" w:rsidTr="00BD73C2">
        <w:trPr>
          <w:cantSplit/>
          <w:tblHeader/>
        </w:trPr>
        <w:tc>
          <w:tcPr>
            <w:tcW w:w="1255" w:type="dxa"/>
            <w:vAlign w:val="center"/>
          </w:tcPr>
          <w:p w14:paraId="00F2DCDD" w14:textId="77777777" w:rsidR="005B2C4D" w:rsidRPr="00FB463B" w:rsidRDefault="005B2C4D" w:rsidP="00422B00">
            <w:pPr>
              <w:rPr>
                <w:rFonts w:cs="Arial"/>
                <w:b/>
                <w:bCs/>
              </w:rPr>
            </w:pPr>
            <w:r w:rsidRPr="00FB463B">
              <w:rPr>
                <w:rFonts w:eastAsia="BIZ UDGothic" w:cs="Arial"/>
                <w:b/>
                <w:bCs/>
                <w:kern w:val="24"/>
              </w:rPr>
              <w:t>Total</w:t>
            </w:r>
          </w:p>
        </w:tc>
        <w:tc>
          <w:tcPr>
            <w:tcW w:w="1890" w:type="dxa"/>
            <w:vAlign w:val="center"/>
          </w:tcPr>
          <w:p w14:paraId="000FC2A3" w14:textId="77777777" w:rsidR="005B2C4D" w:rsidRPr="00FB463B" w:rsidRDefault="005B2C4D" w:rsidP="00422B00">
            <w:pPr>
              <w:jc w:val="center"/>
              <w:rPr>
                <w:rFonts w:cs="Arial"/>
                <w:b/>
                <w:bCs/>
              </w:rPr>
            </w:pPr>
            <w:r w:rsidRPr="00FB463B">
              <w:rPr>
                <w:rFonts w:cs="Arial"/>
                <w:b/>
                <w:bCs/>
              </w:rPr>
              <w:t>3,719 (0.89%)</w:t>
            </w:r>
          </w:p>
        </w:tc>
        <w:tc>
          <w:tcPr>
            <w:tcW w:w="1620" w:type="dxa"/>
            <w:vAlign w:val="center"/>
          </w:tcPr>
          <w:p w14:paraId="77AA8B1B" w14:textId="5406BE41" w:rsidR="005B2C4D" w:rsidRPr="00FB463B" w:rsidRDefault="005B2C4D" w:rsidP="00BB2CF9">
            <w:pPr>
              <w:jc w:val="center"/>
              <w:rPr>
                <w:rFonts w:cs="Arial"/>
                <w:b/>
                <w:bCs/>
              </w:rPr>
            </w:pPr>
            <w:r w:rsidRPr="00FB463B">
              <w:rPr>
                <w:rFonts w:cs="Arial"/>
                <w:b/>
                <w:bCs/>
              </w:rPr>
              <w:t>102 (0.13%)</w:t>
            </w:r>
          </w:p>
        </w:tc>
      </w:tr>
    </w:tbl>
    <w:p w14:paraId="34C058F9" w14:textId="068ECCF3" w:rsidR="005B2C4D" w:rsidRPr="00FB463B" w:rsidRDefault="005B2C4D" w:rsidP="00AA4D24">
      <w:pPr>
        <w:rPr>
          <w:rFonts w:cs="Arial"/>
        </w:rPr>
      </w:pPr>
    </w:p>
    <w:p w14:paraId="3B165F7C" w14:textId="77777777" w:rsidR="00C503C3" w:rsidRPr="00FB463B" w:rsidRDefault="00C503C3" w:rsidP="00AA4D24">
      <w:pPr>
        <w:rPr>
          <w:rFonts w:cs="Arial"/>
        </w:rPr>
        <w:sectPr w:rsidR="00C503C3" w:rsidRPr="00FB463B" w:rsidSect="003A7269">
          <w:type w:val="continuous"/>
          <w:pgSz w:w="12240" w:h="15840"/>
          <w:pgMar w:top="1440" w:right="1440" w:bottom="1440" w:left="1440" w:header="720" w:footer="720" w:gutter="0"/>
          <w:cols w:num="2" w:space="720"/>
          <w:docGrid w:linePitch="360"/>
        </w:sectPr>
      </w:pPr>
    </w:p>
    <w:p w14:paraId="030349DB" w14:textId="5DBB637E" w:rsidR="005B2C4D" w:rsidRPr="00FB463B" w:rsidRDefault="00BB2CF9" w:rsidP="006D0E01">
      <w:pPr>
        <w:spacing w:before="360"/>
        <w:rPr>
          <w:rFonts w:cs="Arial"/>
          <w:b/>
          <w:bCs/>
          <w:i/>
          <w:iCs/>
        </w:rPr>
      </w:pPr>
      <w:r w:rsidRPr="00FB463B">
        <w:rPr>
          <w:rFonts w:cs="Arial"/>
          <w:b/>
          <w:bCs/>
          <w:i/>
          <w:iCs/>
        </w:rPr>
        <w:t xml:space="preserve">Class of 2022 </w:t>
      </w:r>
      <w:r w:rsidR="006D0E01" w:rsidRPr="00FB463B">
        <w:rPr>
          <w:rFonts w:cs="Arial"/>
          <w:b/>
          <w:bCs/>
          <w:i/>
          <w:iCs/>
        </w:rPr>
        <w:t>Completion</w:t>
      </w:r>
      <w:r w:rsidRPr="00FB463B">
        <w:rPr>
          <w:rFonts w:cs="Arial"/>
          <w:b/>
          <w:bCs/>
          <w:i/>
          <w:iCs/>
        </w:rPr>
        <w:t xml:space="preserve"> </w:t>
      </w:r>
      <w:r w:rsidR="00180B6A" w:rsidRPr="00FB463B">
        <w:rPr>
          <w:rFonts w:cs="Arial"/>
          <w:b/>
          <w:bCs/>
          <w:i/>
          <w:iCs/>
        </w:rPr>
        <w:t>of</w:t>
      </w:r>
      <w:r w:rsidRPr="00FB463B">
        <w:rPr>
          <w:rFonts w:cs="Arial"/>
          <w:b/>
          <w:bCs/>
          <w:i/>
          <w:iCs/>
        </w:rPr>
        <w:t xml:space="preserve"> </w:t>
      </w:r>
      <w:r w:rsidR="004D49B2" w:rsidRPr="00FB463B">
        <w:rPr>
          <w:rFonts w:cs="Arial"/>
          <w:b/>
          <w:bCs/>
          <w:i/>
          <w:iCs/>
        </w:rPr>
        <w:t>Simulated Work-Based Learning (WBL)</w:t>
      </w:r>
    </w:p>
    <w:p w14:paraId="32990FCC" w14:textId="77777777" w:rsidR="004D49B2" w:rsidRPr="00FB463B" w:rsidRDefault="004D49B2" w:rsidP="00AA4D24">
      <w:pPr>
        <w:rPr>
          <w:rFonts w:cs="Arial"/>
        </w:rPr>
      </w:pPr>
    </w:p>
    <w:p w14:paraId="50F9CE61" w14:textId="77777777" w:rsidR="004D49B2" w:rsidRPr="00FB463B" w:rsidRDefault="004D49B2" w:rsidP="00AA4D24">
      <w:pPr>
        <w:rPr>
          <w:rFonts w:cs="Arial"/>
        </w:rPr>
        <w:sectPr w:rsidR="004D49B2" w:rsidRPr="00FB463B" w:rsidSect="004D49B2">
          <w:type w:val="continuous"/>
          <w:pgSz w:w="12240" w:h="15840"/>
          <w:pgMar w:top="1440" w:right="1440" w:bottom="1440" w:left="1440" w:header="720" w:footer="720" w:gutter="0"/>
          <w:cols w:space="720"/>
          <w:docGrid w:linePitch="360"/>
        </w:sectPr>
      </w:pPr>
    </w:p>
    <w:p w14:paraId="1F5B190F" w14:textId="6F0E5CFE" w:rsidR="005F192B" w:rsidRPr="00FB463B" w:rsidRDefault="005F192B" w:rsidP="005F192B">
      <w:pPr>
        <w:rPr>
          <w:rFonts w:cs="Arial"/>
          <w:b/>
          <w:bCs/>
        </w:rPr>
      </w:pPr>
      <w:r w:rsidRPr="00FB463B">
        <w:rPr>
          <w:rFonts w:cs="Arial"/>
          <w:b/>
          <w:bCs/>
        </w:rPr>
        <w:t xml:space="preserve">Table </w:t>
      </w:r>
      <w:r w:rsidR="00074A06" w:rsidRPr="00FB463B">
        <w:rPr>
          <w:rFonts w:cs="Arial"/>
          <w:b/>
          <w:bCs/>
        </w:rPr>
        <w:t>21</w:t>
      </w:r>
      <w:r w:rsidRPr="00FB463B">
        <w:rPr>
          <w:rFonts w:cs="Arial"/>
          <w:b/>
          <w:bCs/>
        </w:rPr>
        <w:t xml:space="preserve"> DASS Schools</w:t>
      </w:r>
    </w:p>
    <w:tbl>
      <w:tblPr>
        <w:tblStyle w:val="TableGrid"/>
        <w:tblW w:w="4405" w:type="dxa"/>
        <w:tblLook w:val="04A0" w:firstRow="1" w:lastRow="0" w:firstColumn="1" w:lastColumn="0" w:noHBand="0" w:noVBand="1"/>
        <w:tblCaption w:val="Table 21 DASS Schools"/>
        <w:tblDescription w:val="Table 21 DASS Schools"/>
      </w:tblPr>
      <w:tblGrid>
        <w:gridCol w:w="1165"/>
        <w:gridCol w:w="1530"/>
        <w:gridCol w:w="1710"/>
      </w:tblGrid>
      <w:tr w:rsidR="0027077E" w:rsidRPr="00FB463B" w14:paraId="29E3A5F3" w14:textId="77777777" w:rsidTr="00BD73C2">
        <w:trPr>
          <w:cantSplit/>
          <w:tblHeader/>
        </w:trPr>
        <w:tc>
          <w:tcPr>
            <w:tcW w:w="1165" w:type="dxa"/>
            <w:shd w:val="clear" w:color="auto" w:fill="E2EFD9" w:themeFill="accent6" w:themeFillTint="33"/>
            <w:vAlign w:val="center"/>
          </w:tcPr>
          <w:p w14:paraId="04DD084E" w14:textId="77777777" w:rsidR="005F192B" w:rsidRPr="00FB463B" w:rsidRDefault="005F192B" w:rsidP="00422B00">
            <w:pPr>
              <w:jc w:val="center"/>
              <w:rPr>
                <w:rFonts w:cs="Arial"/>
              </w:rPr>
            </w:pPr>
            <w:r w:rsidRPr="00FB463B">
              <w:rPr>
                <w:rFonts w:eastAsia="BIZ UDGothic" w:cs="Arial"/>
                <w:b/>
                <w:kern w:val="24"/>
              </w:rPr>
              <w:t>Year</w:t>
            </w:r>
          </w:p>
        </w:tc>
        <w:tc>
          <w:tcPr>
            <w:tcW w:w="1530" w:type="dxa"/>
            <w:shd w:val="clear" w:color="auto" w:fill="E2EFD9" w:themeFill="accent6" w:themeFillTint="33"/>
            <w:vAlign w:val="center"/>
          </w:tcPr>
          <w:p w14:paraId="2E944020" w14:textId="77777777" w:rsidR="005F192B" w:rsidRPr="00FB463B" w:rsidRDefault="005F192B"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Graduates</w:t>
            </w:r>
          </w:p>
          <w:p w14:paraId="086CD06A" w14:textId="77777777" w:rsidR="005F192B" w:rsidRPr="00FB463B" w:rsidRDefault="005F192B" w:rsidP="00422B00">
            <w:pPr>
              <w:jc w:val="center"/>
              <w:rPr>
                <w:rFonts w:cs="Arial"/>
              </w:rPr>
            </w:pPr>
            <w:r w:rsidRPr="00FB463B">
              <w:rPr>
                <w:rFonts w:eastAsia="BIZ UDGothic" w:cs="Arial"/>
                <w:b/>
                <w:kern w:val="24"/>
              </w:rPr>
              <w:t>(n=33,031)</w:t>
            </w:r>
          </w:p>
        </w:tc>
        <w:tc>
          <w:tcPr>
            <w:tcW w:w="1710" w:type="dxa"/>
            <w:shd w:val="clear" w:color="auto" w:fill="E2EFD9" w:themeFill="accent6" w:themeFillTint="33"/>
            <w:vAlign w:val="center"/>
          </w:tcPr>
          <w:p w14:paraId="51841C3E" w14:textId="77777777" w:rsidR="005F192B" w:rsidRPr="00FB463B" w:rsidRDefault="005F192B"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Non-Graduates</w:t>
            </w:r>
          </w:p>
          <w:p w14:paraId="543C5708" w14:textId="77777777" w:rsidR="005F192B" w:rsidRPr="00FB463B" w:rsidRDefault="005F192B" w:rsidP="00422B00">
            <w:pPr>
              <w:jc w:val="center"/>
              <w:rPr>
                <w:rFonts w:cs="Arial"/>
              </w:rPr>
            </w:pPr>
            <w:r w:rsidRPr="00FB463B">
              <w:rPr>
                <w:rFonts w:eastAsia="BIZ UDGothic" w:cs="Arial"/>
                <w:b/>
                <w:kern w:val="24"/>
              </w:rPr>
              <w:t>(n=33,903)</w:t>
            </w:r>
          </w:p>
        </w:tc>
      </w:tr>
      <w:tr w:rsidR="005F192B" w:rsidRPr="00FB463B" w14:paraId="0BF9E9C7" w14:textId="77777777" w:rsidTr="00BD73C2">
        <w:trPr>
          <w:cantSplit/>
          <w:tblHeader/>
        </w:trPr>
        <w:tc>
          <w:tcPr>
            <w:tcW w:w="1165" w:type="dxa"/>
            <w:vAlign w:val="center"/>
          </w:tcPr>
          <w:p w14:paraId="1D621F2A" w14:textId="77777777" w:rsidR="005F192B" w:rsidRPr="00FB463B" w:rsidRDefault="005F192B" w:rsidP="00422B00">
            <w:pPr>
              <w:rPr>
                <w:rFonts w:cs="Arial"/>
              </w:rPr>
            </w:pPr>
            <w:r w:rsidRPr="00FB463B">
              <w:rPr>
                <w:rFonts w:eastAsia="BIZ UDGothic" w:cs="Arial"/>
                <w:color w:val="000000" w:themeColor="dark1"/>
                <w:kern w:val="24"/>
              </w:rPr>
              <w:t>2020-21</w:t>
            </w:r>
          </w:p>
        </w:tc>
        <w:tc>
          <w:tcPr>
            <w:tcW w:w="1530" w:type="dxa"/>
            <w:vAlign w:val="center"/>
          </w:tcPr>
          <w:p w14:paraId="58525776" w14:textId="535AB452" w:rsidR="005F192B" w:rsidRPr="00FB463B" w:rsidRDefault="005F192B" w:rsidP="00B27ABC">
            <w:pPr>
              <w:jc w:val="center"/>
              <w:rPr>
                <w:rFonts w:cs="Arial"/>
              </w:rPr>
            </w:pPr>
            <w:r w:rsidRPr="00FB463B">
              <w:rPr>
                <w:rFonts w:eastAsia="BIZ UDGothic" w:cs="Arial"/>
                <w:color w:val="354052"/>
                <w:kern w:val="24"/>
              </w:rPr>
              <w:t>83 (0.25%)</w:t>
            </w:r>
          </w:p>
        </w:tc>
        <w:tc>
          <w:tcPr>
            <w:tcW w:w="1710" w:type="dxa"/>
            <w:vAlign w:val="center"/>
          </w:tcPr>
          <w:p w14:paraId="69F23576" w14:textId="4331AF69" w:rsidR="005F192B" w:rsidRPr="00FB463B" w:rsidRDefault="005F192B" w:rsidP="00B27ABC">
            <w:pPr>
              <w:jc w:val="center"/>
              <w:rPr>
                <w:rFonts w:cs="Arial"/>
              </w:rPr>
            </w:pPr>
            <w:r w:rsidRPr="00FB463B">
              <w:rPr>
                <w:rFonts w:eastAsia="BIZ UDGothic" w:cs="Arial"/>
                <w:color w:val="354052"/>
                <w:kern w:val="24"/>
              </w:rPr>
              <w:t>12 (0.04%)</w:t>
            </w:r>
          </w:p>
        </w:tc>
      </w:tr>
      <w:tr w:rsidR="005F192B" w:rsidRPr="00FB463B" w14:paraId="0571E067" w14:textId="77777777" w:rsidTr="00BD73C2">
        <w:trPr>
          <w:cantSplit/>
          <w:tblHeader/>
        </w:trPr>
        <w:tc>
          <w:tcPr>
            <w:tcW w:w="1165" w:type="dxa"/>
            <w:vAlign w:val="center"/>
          </w:tcPr>
          <w:p w14:paraId="0D8A3F14" w14:textId="77777777" w:rsidR="005F192B" w:rsidRPr="00FB463B" w:rsidRDefault="005F192B" w:rsidP="00422B00">
            <w:pPr>
              <w:rPr>
                <w:rFonts w:cs="Arial"/>
              </w:rPr>
            </w:pPr>
            <w:r w:rsidRPr="00FB463B">
              <w:rPr>
                <w:rFonts w:eastAsia="BIZ UDGothic" w:cs="Arial"/>
                <w:color w:val="354052"/>
                <w:kern w:val="24"/>
              </w:rPr>
              <w:t>2021-22</w:t>
            </w:r>
          </w:p>
        </w:tc>
        <w:tc>
          <w:tcPr>
            <w:tcW w:w="1530" w:type="dxa"/>
            <w:vAlign w:val="center"/>
          </w:tcPr>
          <w:p w14:paraId="0BA29632" w14:textId="77777777" w:rsidR="005F192B" w:rsidRPr="00FB463B" w:rsidRDefault="005F192B" w:rsidP="00422B00">
            <w:pPr>
              <w:jc w:val="center"/>
              <w:rPr>
                <w:rFonts w:cs="Arial"/>
              </w:rPr>
            </w:pPr>
            <w:r w:rsidRPr="00FB463B">
              <w:rPr>
                <w:rFonts w:eastAsia="BIZ UDGothic" w:cs="Arial"/>
                <w:color w:val="354052"/>
                <w:kern w:val="24"/>
              </w:rPr>
              <w:t>198 (0.60%)</w:t>
            </w:r>
          </w:p>
        </w:tc>
        <w:tc>
          <w:tcPr>
            <w:tcW w:w="1710" w:type="dxa"/>
            <w:vAlign w:val="center"/>
          </w:tcPr>
          <w:p w14:paraId="7768AAEB" w14:textId="39189252" w:rsidR="005F192B" w:rsidRPr="00FB463B" w:rsidRDefault="005F192B" w:rsidP="00B27ABC">
            <w:pPr>
              <w:jc w:val="center"/>
              <w:rPr>
                <w:rFonts w:cs="Arial"/>
              </w:rPr>
            </w:pPr>
            <w:r w:rsidRPr="00FB463B">
              <w:rPr>
                <w:rFonts w:eastAsia="BIZ UDGothic" w:cs="Arial"/>
                <w:color w:val="354052"/>
                <w:kern w:val="24"/>
              </w:rPr>
              <w:t>58 (0.17%)</w:t>
            </w:r>
          </w:p>
        </w:tc>
      </w:tr>
      <w:tr w:rsidR="005F192B" w:rsidRPr="00FB463B" w14:paraId="01E298AD" w14:textId="77777777" w:rsidTr="00BD73C2">
        <w:trPr>
          <w:cantSplit/>
          <w:tblHeader/>
        </w:trPr>
        <w:tc>
          <w:tcPr>
            <w:tcW w:w="1165" w:type="dxa"/>
            <w:vAlign w:val="center"/>
          </w:tcPr>
          <w:p w14:paraId="7CBA7999" w14:textId="77777777" w:rsidR="005F192B" w:rsidRPr="00FB463B" w:rsidRDefault="005F192B" w:rsidP="00422B00">
            <w:pPr>
              <w:rPr>
                <w:rFonts w:eastAsia="BIZ UDGothic" w:cs="Arial"/>
                <w:b/>
                <w:bCs/>
                <w:kern w:val="24"/>
              </w:rPr>
            </w:pPr>
            <w:r w:rsidRPr="00FB463B">
              <w:rPr>
                <w:rFonts w:eastAsia="BIZ UDGothic" w:cs="Arial"/>
                <w:b/>
                <w:color w:val="000000" w:themeColor="dark1"/>
                <w:kern w:val="24"/>
              </w:rPr>
              <w:t>Total</w:t>
            </w:r>
          </w:p>
        </w:tc>
        <w:tc>
          <w:tcPr>
            <w:tcW w:w="1530" w:type="dxa"/>
            <w:vAlign w:val="center"/>
          </w:tcPr>
          <w:p w14:paraId="18D7ECE7" w14:textId="77777777" w:rsidR="005F192B" w:rsidRPr="00FB463B" w:rsidRDefault="005F192B" w:rsidP="00422B00">
            <w:pPr>
              <w:jc w:val="center"/>
              <w:rPr>
                <w:rFonts w:eastAsia="BIZ UDGothic" w:cs="Arial"/>
                <w:b/>
                <w:bCs/>
                <w:kern w:val="24"/>
              </w:rPr>
            </w:pPr>
            <w:r w:rsidRPr="00FB463B">
              <w:rPr>
                <w:rFonts w:eastAsia="BIZ UDGothic" w:cs="Arial"/>
                <w:b/>
                <w:bCs/>
                <w:kern w:val="24"/>
              </w:rPr>
              <w:t>281 (0.85%)</w:t>
            </w:r>
          </w:p>
        </w:tc>
        <w:tc>
          <w:tcPr>
            <w:tcW w:w="1710" w:type="dxa"/>
            <w:vAlign w:val="center"/>
          </w:tcPr>
          <w:p w14:paraId="2EA81962" w14:textId="352D8A1F" w:rsidR="005F192B" w:rsidRPr="00FB463B" w:rsidRDefault="005F192B" w:rsidP="00B27ABC">
            <w:pPr>
              <w:jc w:val="center"/>
              <w:rPr>
                <w:rFonts w:eastAsia="BIZ UDGothic" w:cs="Arial"/>
                <w:b/>
                <w:bCs/>
                <w:kern w:val="24"/>
              </w:rPr>
            </w:pPr>
            <w:r w:rsidRPr="00FB463B">
              <w:rPr>
                <w:rFonts w:eastAsia="BIZ UDGothic" w:cs="Arial"/>
                <w:b/>
                <w:bCs/>
                <w:kern w:val="24"/>
              </w:rPr>
              <w:t>70 (0.21%)</w:t>
            </w:r>
          </w:p>
        </w:tc>
      </w:tr>
    </w:tbl>
    <w:p w14:paraId="50919345" w14:textId="0133F4EE" w:rsidR="005F192B" w:rsidRPr="00FB463B" w:rsidRDefault="005F192B" w:rsidP="005F192B">
      <w:pPr>
        <w:rPr>
          <w:rFonts w:cs="Arial"/>
          <w:b/>
          <w:bCs/>
        </w:rPr>
      </w:pPr>
      <w:r w:rsidRPr="00FB463B">
        <w:rPr>
          <w:rFonts w:cs="Arial"/>
        </w:rPr>
        <w:br w:type="column"/>
      </w:r>
      <w:r w:rsidRPr="00FB463B">
        <w:rPr>
          <w:rFonts w:cs="Arial"/>
          <w:b/>
          <w:bCs/>
        </w:rPr>
        <w:t xml:space="preserve">Table </w:t>
      </w:r>
      <w:r w:rsidR="00074A06" w:rsidRPr="00FB463B">
        <w:rPr>
          <w:rFonts w:cs="Arial"/>
          <w:b/>
          <w:bCs/>
        </w:rPr>
        <w:t>22</w:t>
      </w:r>
      <w:r w:rsidRPr="00FB463B">
        <w:rPr>
          <w:rFonts w:cs="Arial"/>
          <w:b/>
          <w:bCs/>
        </w:rPr>
        <w:t xml:space="preserve"> Non-DASS Schools</w:t>
      </w:r>
    </w:p>
    <w:tbl>
      <w:tblPr>
        <w:tblStyle w:val="TableGrid"/>
        <w:tblW w:w="4765" w:type="dxa"/>
        <w:tblLook w:val="04A0" w:firstRow="1" w:lastRow="0" w:firstColumn="1" w:lastColumn="0" w:noHBand="0" w:noVBand="1"/>
        <w:tblCaption w:val="Table 22 Non-DASS Schools"/>
        <w:tblDescription w:val="Table 22 Non-DASS Schools"/>
      </w:tblPr>
      <w:tblGrid>
        <w:gridCol w:w="1184"/>
        <w:gridCol w:w="1961"/>
        <w:gridCol w:w="1620"/>
      </w:tblGrid>
      <w:tr w:rsidR="00FA6EB2" w:rsidRPr="00FB463B" w14:paraId="439AC905" w14:textId="77777777" w:rsidTr="00BD73C2">
        <w:trPr>
          <w:cantSplit/>
          <w:tblHeader/>
        </w:trPr>
        <w:tc>
          <w:tcPr>
            <w:tcW w:w="1184" w:type="dxa"/>
            <w:shd w:val="clear" w:color="auto" w:fill="E2EFD9" w:themeFill="accent6" w:themeFillTint="33"/>
            <w:vAlign w:val="center"/>
          </w:tcPr>
          <w:p w14:paraId="7BCBB0B4" w14:textId="77777777" w:rsidR="005F192B" w:rsidRPr="00FB463B" w:rsidRDefault="005F192B" w:rsidP="00422B00">
            <w:pPr>
              <w:jc w:val="center"/>
              <w:rPr>
                <w:rFonts w:cs="Arial"/>
                <w:b/>
                <w:bCs/>
              </w:rPr>
            </w:pPr>
            <w:r w:rsidRPr="00FB463B">
              <w:rPr>
                <w:rFonts w:eastAsia="BIZ UDGothic" w:cs="Arial"/>
                <w:b/>
                <w:kern w:val="24"/>
              </w:rPr>
              <w:t>Year</w:t>
            </w:r>
          </w:p>
        </w:tc>
        <w:tc>
          <w:tcPr>
            <w:tcW w:w="1961" w:type="dxa"/>
            <w:shd w:val="clear" w:color="auto" w:fill="E2EFD9" w:themeFill="accent6" w:themeFillTint="33"/>
            <w:vAlign w:val="center"/>
          </w:tcPr>
          <w:p w14:paraId="5046E625" w14:textId="77777777" w:rsidR="005F192B" w:rsidRPr="00FB463B" w:rsidRDefault="005F192B"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Graduates</w:t>
            </w:r>
          </w:p>
          <w:p w14:paraId="4AF803EA" w14:textId="77777777" w:rsidR="005F192B" w:rsidRPr="00FB463B" w:rsidRDefault="005F192B" w:rsidP="00422B00">
            <w:pPr>
              <w:jc w:val="center"/>
              <w:rPr>
                <w:rFonts w:cs="Arial"/>
                <w:b/>
                <w:bCs/>
              </w:rPr>
            </w:pPr>
            <w:r w:rsidRPr="00FB463B">
              <w:rPr>
                <w:rFonts w:eastAsia="BIZ UDGothic" w:cs="Arial"/>
                <w:b/>
                <w:kern w:val="24"/>
              </w:rPr>
              <w:t>(n=400,324)</w:t>
            </w:r>
          </w:p>
        </w:tc>
        <w:tc>
          <w:tcPr>
            <w:tcW w:w="1620" w:type="dxa"/>
            <w:shd w:val="clear" w:color="auto" w:fill="E2EFD9" w:themeFill="accent6" w:themeFillTint="33"/>
            <w:vAlign w:val="center"/>
          </w:tcPr>
          <w:p w14:paraId="27BB061F" w14:textId="77777777" w:rsidR="005F192B" w:rsidRPr="00FB463B" w:rsidRDefault="005F192B"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Non-Graduates</w:t>
            </w:r>
          </w:p>
          <w:p w14:paraId="4CE68C22" w14:textId="77777777" w:rsidR="005F192B" w:rsidRPr="00FB463B" w:rsidRDefault="005F192B" w:rsidP="00422B00">
            <w:pPr>
              <w:jc w:val="center"/>
              <w:rPr>
                <w:rFonts w:cs="Arial"/>
                <w:b/>
                <w:bCs/>
              </w:rPr>
            </w:pPr>
            <w:r w:rsidRPr="00FB463B">
              <w:rPr>
                <w:rFonts w:eastAsia="BIZ UDGothic" w:cs="Arial"/>
                <w:b/>
                <w:kern w:val="24"/>
              </w:rPr>
              <w:t>(n=57,147)</w:t>
            </w:r>
          </w:p>
        </w:tc>
      </w:tr>
      <w:tr w:rsidR="005F192B" w:rsidRPr="00FB463B" w14:paraId="47F24F3E" w14:textId="77777777" w:rsidTr="00BD73C2">
        <w:trPr>
          <w:cantSplit/>
          <w:tblHeader/>
        </w:trPr>
        <w:tc>
          <w:tcPr>
            <w:tcW w:w="1184" w:type="dxa"/>
            <w:vAlign w:val="center"/>
          </w:tcPr>
          <w:p w14:paraId="241EA866" w14:textId="77777777" w:rsidR="005F192B" w:rsidRPr="00FB463B" w:rsidRDefault="005F192B" w:rsidP="00422B00">
            <w:pPr>
              <w:rPr>
                <w:rFonts w:cs="Arial"/>
                <w:b/>
                <w:bCs/>
              </w:rPr>
            </w:pPr>
            <w:r w:rsidRPr="00FB463B">
              <w:rPr>
                <w:rFonts w:eastAsia="BIZ UDGothic" w:cs="Arial"/>
                <w:color w:val="000000" w:themeColor="dark1"/>
                <w:kern w:val="24"/>
              </w:rPr>
              <w:t>2020-21</w:t>
            </w:r>
          </w:p>
        </w:tc>
        <w:tc>
          <w:tcPr>
            <w:tcW w:w="1961" w:type="dxa"/>
            <w:vAlign w:val="center"/>
          </w:tcPr>
          <w:p w14:paraId="472F13E4" w14:textId="77777777" w:rsidR="005F192B" w:rsidRPr="00FB463B" w:rsidRDefault="005F192B" w:rsidP="00422B00">
            <w:pPr>
              <w:jc w:val="center"/>
              <w:rPr>
                <w:rFonts w:cs="Arial"/>
                <w:b/>
                <w:bCs/>
              </w:rPr>
            </w:pPr>
            <w:r w:rsidRPr="00FB463B">
              <w:rPr>
                <w:rFonts w:eastAsia="BIZ UDGothic" w:cs="Arial"/>
                <w:color w:val="354052"/>
                <w:kern w:val="24"/>
              </w:rPr>
              <w:t>7,027 (1.76%)</w:t>
            </w:r>
          </w:p>
        </w:tc>
        <w:tc>
          <w:tcPr>
            <w:tcW w:w="1620" w:type="dxa"/>
            <w:vAlign w:val="center"/>
          </w:tcPr>
          <w:p w14:paraId="741AEC90" w14:textId="46EF2A08" w:rsidR="005F192B" w:rsidRPr="00FB463B" w:rsidRDefault="005F192B" w:rsidP="00FA6EB2">
            <w:pPr>
              <w:jc w:val="center"/>
              <w:rPr>
                <w:rFonts w:cs="Arial"/>
                <w:b/>
                <w:bCs/>
              </w:rPr>
            </w:pPr>
            <w:r w:rsidRPr="00FB463B">
              <w:rPr>
                <w:rFonts w:eastAsia="BIZ UDGothic" w:cs="Arial"/>
                <w:color w:val="354052"/>
                <w:kern w:val="24"/>
              </w:rPr>
              <w:t>127 (0.22%)</w:t>
            </w:r>
          </w:p>
        </w:tc>
      </w:tr>
      <w:tr w:rsidR="005F192B" w:rsidRPr="00FB463B" w14:paraId="23F77999" w14:textId="77777777" w:rsidTr="00BD73C2">
        <w:trPr>
          <w:cantSplit/>
          <w:tblHeader/>
        </w:trPr>
        <w:tc>
          <w:tcPr>
            <w:tcW w:w="1184" w:type="dxa"/>
            <w:vAlign w:val="center"/>
          </w:tcPr>
          <w:p w14:paraId="35D6CBF9" w14:textId="77777777" w:rsidR="005F192B" w:rsidRPr="00FB463B" w:rsidRDefault="005F192B" w:rsidP="00422B00">
            <w:pPr>
              <w:rPr>
                <w:rFonts w:cs="Arial"/>
                <w:b/>
                <w:bCs/>
              </w:rPr>
            </w:pPr>
            <w:r w:rsidRPr="00FB463B">
              <w:rPr>
                <w:rFonts w:eastAsia="BIZ UDGothic" w:cs="Arial"/>
                <w:color w:val="354052"/>
                <w:kern w:val="24"/>
              </w:rPr>
              <w:t>2021-22</w:t>
            </w:r>
          </w:p>
        </w:tc>
        <w:tc>
          <w:tcPr>
            <w:tcW w:w="1961" w:type="dxa"/>
            <w:vAlign w:val="center"/>
          </w:tcPr>
          <w:p w14:paraId="0C5BF01E" w14:textId="77777777" w:rsidR="005F192B" w:rsidRPr="00FB463B" w:rsidRDefault="005F192B" w:rsidP="00422B00">
            <w:pPr>
              <w:jc w:val="center"/>
              <w:rPr>
                <w:rFonts w:cs="Arial"/>
                <w:b/>
                <w:bCs/>
              </w:rPr>
            </w:pPr>
            <w:r w:rsidRPr="00FB463B">
              <w:rPr>
                <w:rFonts w:eastAsia="BIZ UDGothic" w:cs="Arial"/>
                <w:color w:val="354052"/>
                <w:kern w:val="24"/>
              </w:rPr>
              <w:t>4,113 (1.03%)</w:t>
            </w:r>
          </w:p>
        </w:tc>
        <w:tc>
          <w:tcPr>
            <w:tcW w:w="1620" w:type="dxa"/>
            <w:vAlign w:val="center"/>
          </w:tcPr>
          <w:p w14:paraId="3E176E83" w14:textId="07FE2875" w:rsidR="005F192B" w:rsidRPr="00FB463B" w:rsidRDefault="005F192B" w:rsidP="00FA6EB2">
            <w:pPr>
              <w:jc w:val="center"/>
              <w:rPr>
                <w:rFonts w:cs="Arial"/>
                <w:b/>
                <w:bCs/>
              </w:rPr>
            </w:pPr>
            <w:r w:rsidRPr="00FB463B">
              <w:rPr>
                <w:rFonts w:eastAsia="BIZ UDGothic" w:cs="Arial"/>
                <w:color w:val="354052"/>
                <w:kern w:val="24"/>
              </w:rPr>
              <w:t>137 (0.24%)</w:t>
            </w:r>
          </w:p>
        </w:tc>
      </w:tr>
      <w:tr w:rsidR="005F192B" w:rsidRPr="00FB463B" w14:paraId="1336DECD" w14:textId="77777777" w:rsidTr="00BD73C2">
        <w:trPr>
          <w:cantSplit/>
          <w:tblHeader/>
        </w:trPr>
        <w:tc>
          <w:tcPr>
            <w:tcW w:w="1184" w:type="dxa"/>
            <w:vAlign w:val="center"/>
          </w:tcPr>
          <w:p w14:paraId="6800AC89" w14:textId="77777777" w:rsidR="005F192B" w:rsidRPr="00FB463B" w:rsidRDefault="005F192B" w:rsidP="00422B00">
            <w:pPr>
              <w:rPr>
                <w:rFonts w:cs="Arial"/>
                <w:b/>
                <w:bCs/>
              </w:rPr>
            </w:pPr>
            <w:r w:rsidRPr="00FB463B">
              <w:rPr>
                <w:rFonts w:eastAsia="BIZ UDGothic" w:cs="Arial"/>
                <w:b/>
                <w:color w:val="000000" w:themeColor="dark1"/>
                <w:kern w:val="24"/>
              </w:rPr>
              <w:t>Total</w:t>
            </w:r>
          </w:p>
        </w:tc>
        <w:tc>
          <w:tcPr>
            <w:tcW w:w="1961" w:type="dxa"/>
            <w:vAlign w:val="center"/>
          </w:tcPr>
          <w:p w14:paraId="7CE7E852" w14:textId="77777777" w:rsidR="005F192B" w:rsidRPr="00FB463B" w:rsidRDefault="005F192B" w:rsidP="00422B00">
            <w:pPr>
              <w:jc w:val="center"/>
              <w:rPr>
                <w:rFonts w:cs="Arial"/>
                <w:b/>
                <w:bCs/>
              </w:rPr>
            </w:pPr>
            <w:r w:rsidRPr="00FB463B">
              <w:rPr>
                <w:rFonts w:cs="Arial"/>
                <w:b/>
                <w:bCs/>
              </w:rPr>
              <w:t>11,140 (2.79%)</w:t>
            </w:r>
          </w:p>
        </w:tc>
        <w:tc>
          <w:tcPr>
            <w:tcW w:w="1620" w:type="dxa"/>
            <w:vAlign w:val="center"/>
          </w:tcPr>
          <w:p w14:paraId="67C888D9" w14:textId="6C8AADF3" w:rsidR="005F192B" w:rsidRPr="00FB463B" w:rsidRDefault="005F192B" w:rsidP="00FA6EB2">
            <w:pPr>
              <w:jc w:val="center"/>
              <w:rPr>
                <w:rFonts w:cs="Arial"/>
                <w:b/>
                <w:bCs/>
              </w:rPr>
            </w:pPr>
            <w:r w:rsidRPr="00FB463B">
              <w:rPr>
                <w:rFonts w:cs="Arial"/>
                <w:b/>
                <w:bCs/>
              </w:rPr>
              <w:t>264 (0.46%)</w:t>
            </w:r>
          </w:p>
        </w:tc>
      </w:tr>
    </w:tbl>
    <w:p w14:paraId="7C8F1988" w14:textId="77777777" w:rsidR="005F192B" w:rsidRPr="00FB463B" w:rsidRDefault="005F192B" w:rsidP="005F192B">
      <w:pPr>
        <w:rPr>
          <w:rFonts w:cs="Arial"/>
        </w:rPr>
        <w:sectPr w:rsidR="005F192B" w:rsidRPr="00FB463B" w:rsidSect="005F192B">
          <w:type w:val="continuous"/>
          <w:pgSz w:w="12240" w:h="15840"/>
          <w:pgMar w:top="1440" w:right="1440" w:bottom="1440" w:left="1440" w:header="720" w:footer="720" w:gutter="0"/>
          <w:cols w:num="2" w:space="720"/>
          <w:docGrid w:linePitch="360"/>
        </w:sectPr>
      </w:pPr>
    </w:p>
    <w:p w14:paraId="3B0E1C84" w14:textId="77777777" w:rsidR="005F192B" w:rsidRPr="00FB463B" w:rsidRDefault="005F192B" w:rsidP="005F192B">
      <w:pPr>
        <w:rPr>
          <w:rFonts w:cs="Arial"/>
        </w:rPr>
      </w:pPr>
    </w:p>
    <w:p w14:paraId="26761769" w14:textId="6D1970BC" w:rsidR="002B38AD" w:rsidRPr="00FB463B" w:rsidRDefault="009434EB" w:rsidP="002B38AD">
      <w:pPr>
        <w:rPr>
          <w:rFonts w:cs="Arial"/>
          <w:b/>
          <w:bCs/>
        </w:rPr>
      </w:pPr>
      <w:r w:rsidRPr="00FB463B">
        <w:rPr>
          <w:rFonts w:cs="Arial"/>
          <w:b/>
          <w:bCs/>
        </w:rPr>
        <w:t xml:space="preserve">Table </w:t>
      </w:r>
      <w:r w:rsidR="00074A06" w:rsidRPr="00FB463B">
        <w:rPr>
          <w:rFonts w:cs="Arial"/>
          <w:b/>
          <w:bCs/>
        </w:rPr>
        <w:t>23</w:t>
      </w:r>
      <w:r w:rsidRPr="00FB463B">
        <w:rPr>
          <w:rFonts w:cs="Arial"/>
          <w:b/>
          <w:bCs/>
        </w:rPr>
        <w:t xml:space="preserve"> </w:t>
      </w:r>
      <w:r w:rsidR="002B38AD" w:rsidRPr="00FB463B">
        <w:rPr>
          <w:rFonts w:cs="Arial"/>
          <w:b/>
          <w:bCs/>
        </w:rPr>
        <w:t>Charter Schools</w:t>
      </w:r>
    </w:p>
    <w:tbl>
      <w:tblPr>
        <w:tblStyle w:val="TableGrid"/>
        <w:tblW w:w="4405" w:type="dxa"/>
        <w:tblLook w:val="04A0" w:firstRow="1" w:lastRow="0" w:firstColumn="1" w:lastColumn="0" w:noHBand="0" w:noVBand="1"/>
        <w:tblCaption w:val="Table 23 Charter Schools"/>
        <w:tblDescription w:val="Table 23 Charter Schools"/>
      </w:tblPr>
      <w:tblGrid>
        <w:gridCol w:w="1165"/>
        <w:gridCol w:w="1620"/>
        <w:gridCol w:w="1620"/>
      </w:tblGrid>
      <w:tr w:rsidR="002B38AD" w:rsidRPr="00FB463B" w14:paraId="705B848D" w14:textId="77777777" w:rsidTr="00D82E78">
        <w:trPr>
          <w:cantSplit/>
          <w:tblHeader/>
        </w:trPr>
        <w:tc>
          <w:tcPr>
            <w:tcW w:w="1165" w:type="dxa"/>
            <w:shd w:val="clear" w:color="auto" w:fill="E2EFD9" w:themeFill="accent6" w:themeFillTint="33"/>
            <w:vAlign w:val="center"/>
          </w:tcPr>
          <w:p w14:paraId="1B6CE4C6" w14:textId="77777777" w:rsidR="002B38AD" w:rsidRPr="00FB463B" w:rsidRDefault="002B38AD" w:rsidP="00422B00">
            <w:pPr>
              <w:jc w:val="center"/>
              <w:rPr>
                <w:rFonts w:cs="Arial"/>
                <w:b/>
                <w:bCs/>
              </w:rPr>
            </w:pPr>
            <w:r w:rsidRPr="00FB463B">
              <w:rPr>
                <w:rFonts w:eastAsia="BIZ UDGothic" w:cs="Arial"/>
                <w:b/>
                <w:bCs/>
                <w:kern w:val="24"/>
              </w:rPr>
              <w:t>Year</w:t>
            </w:r>
          </w:p>
        </w:tc>
        <w:tc>
          <w:tcPr>
            <w:tcW w:w="1620" w:type="dxa"/>
            <w:shd w:val="clear" w:color="auto" w:fill="E2EFD9" w:themeFill="accent6" w:themeFillTint="33"/>
            <w:vAlign w:val="center"/>
          </w:tcPr>
          <w:p w14:paraId="3B913A4D" w14:textId="77777777" w:rsidR="002B38AD" w:rsidRPr="00FB463B" w:rsidRDefault="002B38A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4D76628E" w14:textId="77777777" w:rsidR="002B38AD" w:rsidRPr="00FB463B" w:rsidRDefault="002B38AD" w:rsidP="00422B00">
            <w:pPr>
              <w:jc w:val="center"/>
              <w:rPr>
                <w:rFonts w:cs="Arial"/>
                <w:b/>
                <w:bCs/>
              </w:rPr>
            </w:pPr>
            <w:r w:rsidRPr="00FB463B">
              <w:rPr>
                <w:rFonts w:eastAsia="BIZ UDGothic" w:cs="Arial"/>
                <w:b/>
                <w:bCs/>
                <w:kern w:val="24"/>
              </w:rPr>
              <w:t>(n=47,161)</w:t>
            </w:r>
          </w:p>
        </w:tc>
        <w:tc>
          <w:tcPr>
            <w:tcW w:w="1620" w:type="dxa"/>
            <w:shd w:val="clear" w:color="auto" w:fill="E2EFD9" w:themeFill="accent6" w:themeFillTint="33"/>
            <w:vAlign w:val="center"/>
          </w:tcPr>
          <w:p w14:paraId="51AFBF78" w14:textId="77777777" w:rsidR="002B38AD" w:rsidRPr="00FB463B" w:rsidRDefault="002B38A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5E514F49" w14:textId="77777777" w:rsidR="002B38AD" w:rsidRPr="00FB463B" w:rsidRDefault="002B38AD" w:rsidP="00422B00">
            <w:pPr>
              <w:jc w:val="center"/>
              <w:rPr>
                <w:rFonts w:cs="Arial"/>
                <w:b/>
                <w:bCs/>
              </w:rPr>
            </w:pPr>
            <w:r w:rsidRPr="00FB463B">
              <w:rPr>
                <w:rFonts w:eastAsia="BIZ UDGothic" w:cs="Arial"/>
                <w:b/>
                <w:bCs/>
                <w:kern w:val="24"/>
              </w:rPr>
              <w:t>(n=27,253)</w:t>
            </w:r>
          </w:p>
        </w:tc>
      </w:tr>
      <w:tr w:rsidR="002B38AD" w:rsidRPr="00FB463B" w14:paraId="7CD35903" w14:textId="77777777" w:rsidTr="00D82E78">
        <w:trPr>
          <w:cantSplit/>
          <w:tblHeader/>
        </w:trPr>
        <w:tc>
          <w:tcPr>
            <w:tcW w:w="1165" w:type="dxa"/>
            <w:vAlign w:val="center"/>
          </w:tcPr>
          <w:p w14:paraId="01F8F7AF" w14:textId="77777777" w:rsidR="002B38AD" w:rsidRPr="00FB463B" w:rsidRDefault="002B38AD" w:rsidP="00422B00">
            <w:pPr>
              <w:rPr>
                <w:rFonts w:cs="Arial"/>
                <w:b/>
                <w:bCs/>
              </w:rPr>
            </w:pPr>
            <w:r w:rsidRPr="00FB463B">
              <w:rPr>
                <w:rFonts w:eastAsia="BIZ UDGothic" w:cs="Arial"/>
                <w:kern w:val="24"/>
              </w:rPr>
              <w:t>2020-21</w:t>
            </w:r>
          </w:p>
        </w:tc>
        <w:tc>
          <w:tcPr>
            <w:tcW w:w="1620" w:type="dxa"/>
            <w:vAlign w:val="center"/>
          </w:tcPr>
          <w:p w14:paraId="47429BC3" w14:textId="528DC8CF" w:rsidR="002B38AD" w:rsidRPr="00FB463B" w:rsidRDefault="002B38AD" w:rsidP="009E1F0A">
            <w:pPr>
              <w:jc w:val="center"/>
              <w:rPr>
                <w:rFonts w:cs="Arial"/>
                <w:b/>
                <w:bCs/>
              </w:rPr>
            </w:pPr>
            <w:r w:rsidRPr="00FB463B">
              <w:rPr>
                <w:rFonts w:eastAsia="BIZ UDGothic" w:cs="Arial"/>
                <w:kern w:val="24"/>
              </w:rPr>
              <w:t>151 (0.32%)</w:t>
            </w:r>
          </w:p>
        </w:tc>
        <w:tc>
          <w:tcPr>
            <w:tcW w:w="1620" w:type="dxa"/>
            <w:vAlign w:val="center"/>
          </w:tcPr>
          <w:p w14:paraId="615E619B" w14:textId="60322075" w:rsidR="002B38AD" w:rsidRPr="00FB463B" w:rsidRDefault="002B38AD" w:rsidP="009E1F0A">
            <w:pPr>
              <w:jc w:val="center"/>
              <w:rPr>
                <w:rFonts w:cs="Arial"/>
                <w:b/>
                <w:bCs/>
              </w:rPr>
            </w:pPr>
            <w:r w:rsidRPr="00FB463B">
              <w:rPr>
                <w:rFonts w:eastAsia="BIZ UDGothic" w:cs="Arial"/>
                <w:kern w:val="24"/>
              </w:rPr>
              <w:t>3 (0.01%)</w:t>
            </w:r>
          </w:p>
        </w:tc>
      </w:tr>
      <w:tr w:rsidR="002B38AD" w:rsidRPr="00FB463B" w14:paraId="7C7E985A" w14:textId="77777777" w:rsidTr="00D82E78">
        <w:trPr>
          <w:cantSplit/>
          <w:tblHeader/>
        </w:trPr>
        <w:tc>
          <w:tcPr>
            <w:tcW w:w="1165" w:type="dxa"/>
            <w:vAlign w:val="center"/>
          </w:tcPr>
          <w:p w14:paraId="530AC2E5" w14:textId="77777777" w:rsidR="002B38AD" w:rsidRPr="00FB463B" w:rsidRDefault="002B38AD" w:rsidP="00422B00">
            <w:pPr>
              <w:rPr>
                <w:rFonts w:cs="Arial"/>
                <w:b/>
                <w:bCs/>
              </w:rPr>
            </w:pPr>
            <w:r w:rsidRPr="00FB463B">
              <w:rPr>
                <w:rFonts w:eastAsia="BIZ UDGothic" w:cs="Arial"/>
                <w:kern w:val="24"/>
              </w:rPr>
              <w:t>2021-22</w:t>
            </w:r>
          </w:p>
        </w:tc>
        <w:tc>
          <w:tcPr>
            <w:tcW w:w="1620" w:type="dxa"/>
            <w:vAlign w:val="center"/>
          </w:tcPr>
          <w:p w14:paraId="5EE3C04E" w14:textId="6821199A" w:rsidR="002B38AD" w:rsidRPr="00FB463B" w:rsidRDefault="002B38AD" w:rsidP="009E1F0A">
            <w:pPr>
              <w:jc w:val="center"/>
              <w:rPr>
                <w:rFonts w:cs="Arial"/>
                <w:b/>
                <w:bCs/>
              </w:rPr>
            </w:pPr>
            <w:r w:rsidRPr="00FB463B">
              <w:rPr>
                <w:rFonts w:eastAsia="BIZ UDGothic" w:cs="Arial"/>
                <w:kern w:val="24"/>
              </w:rPr>
              <w:t>151 (0.32%)</w:t>
            </w:r>
          </w:p>
        </w:tc>
        <w:tc>
          <w:tcPr>
            <w:tcW w:w="1620" w:type="dxa"/>
            <w:vAlign w:val="center"/>
          </w:tcPr>
          <w:p w14:paraId="62554680" w14:textId="12199165" w:rsidR="002B38AD" w:rsidRPr="00FB463B" w:rsidRDefault="002B38AD" w:rsidP="009E1F0A">
            <w:pPr>
              <w:jc w:val="center"/>
              <w:rPr>
                <w:rFonts w:cs="Arial"/>
                <w:b/>
                <w:bCs/>
              </w:rPr>
            </w:pPr>
            <w:r w:rsidRPr="00FB463B">
              <w:rPr>
                <w:rFonts w:eastAsia="BIZ UDGothic" w:cs="Arial"/>
                <w:kern w:val="24"/>
              </w:rPr>
              <w:t>32 (0.12%)</w:t>
            </w:r>
          </w:p>
        </w:tc>
      </w:tr>
      <w:tr w:rsidR="002B38AD" w:rsidRPr="00FB463B" w14:paraId="04CDDE41" w14:textId="77777777" w:rsidTr="00D82E78">
        <w:trPr>
          <w:cantSplit/>
          <w:tblHeader/>
        </w:trPr>
        <w:tc>
          <w:tcPr>
            <w:tcW w:w="1165" w:type="dxa"/>
            <w:vAlign w:val="center"/>
          </w:tcPr>
          <w:p w14:paraId="1FA7BE91" w14:textId="77777777" w:rsidR="002B38AD" w:rsidRPr="00FB463B" w:rsidRDefault="002B38AD" w:rsidP="00422B00">
            <w:pPr>
              <w:rPr>
                <w:rFonts w:cs="Arial"/>
                <w:b/>
                <w:bCs/>
              </w:rPr>
            </w:pPr>
            <w:r w:rsidRPr="00FB463B">
              <w:rPr>
                <w:rFonts w:eastAsia="BIZ UDGothic" w:cs="Arial"/>
                <w:b/>
                <w:bCs/>
                <w:kern w:val="24"/>
              </w:rPr>
              <w:t>Total</w:t>
            </w:r>
          </w:p>
        </w:tc>
        <w:tc>
          <w:tcPr>
            <w:tcW w:w="1620" w:type="dxa"/>
            <w:vAlign w:val="center"/>
          </w:tcPr>
          <w:p w14:paraId="01467C8C" w14:textId="0001730E" w:rsidR="002B38AD" w:rsidRPr="00FB463B" w:rsidRDefault="002B38AD" w:rsidP="009E1F0A">
            <w:pPr>
              <w:jc w:val="center"/>
              <w:rPr>
                <w:rFonts w:cs="Arial"/>
                <w:b/>
                <w:bCs/>
              </w:rPr>
            </w:pPr>
            <w:r w:rsidRPr="00FB463B">
              <w:rPr>
                <w:rFonts w:cs="Arial"/>
                <w:b/>
                <w:bCs/>
              </w:rPr>
              <w:t>302 (0.64%)</w:t>
            </w:r>
          </w:p>
        </w:tc>
        <w:tc>
          <w:tcPr>
            <w:tcW w:w="1620" w:type="dxa"/>
            <w:vAlign w:val="center"/>
          </w:tcPr>
          <w:p w14:paraId="0824BF5C" w14:textId="319616B1" w:rsidR="002B38AD" w:rsidRPr="00FB463B" w:rsidRDefault="002B38AD" w:rsidP="009E1F0A">
            <w:pPr>
              <w:jc w:val="center"/>
              <w:rPr>
                <w:rFonts w:cs="Arial"/>
                <w:b/>
                <w:bCs/>
              </w:rPr>
            </w:pPr>
            <w:r w:rsidRPr="00FB463B">
              <w:rPr>
                <w:rFonts w:cs="Arial"/>
                <w:b/>
                <w:bCs/>
              </w:rPr>
              <w:t>35 (0.13%)</w:t>
            </w:r>
          </w:p>
        </w:tc>
      </w:tr>
    </w:tbl>
    <w:p w14:paraId="78A9B1C1" w14:textId="77777777" w:rsidR="009E1F0A" w:rsidRPr="00FB463B" w:rsidRDefault="009434EB" w:rsidP="002B38AD">
      <w:pPr>
        <w:rPr>
          <w:rFonts w:cs="Arial"/>
          <w:b/>
          <w:bCs/>
        </w:rPr>
      </w:pPr>
      <w:r w:rsidRPr="00FB463B">
        <w:rPr>
          <w:rFonts w:cs="Arial"/>
          <w:b/>
          <w:bCs/>
        </w:rPr>
        <w:br w:type="column"/>
      </w:r>
    </w:p>
    <w:p w14:paraId="6E59E4E2" w14:textId="0675D3E8" w:rsidR="002B38AD" w:rsidRPr="00FB463B" w:rsidRDefault="00BE1CC4" w:rsidP="002B38AD">
      <w:pPr>
        <w:rPr>
          <w:rFonts w:cs="Arial"/>
          <w:b/>
          <w:bCs/>
        </w:rPr>
      </w:pPr>
      <w:r w:rsidRPr="00FB463B">
        <w:rPr>
          <w:rFonts w:cs="Arial"/>
          <w:b/>
          <w:bCs/>
        </w:rPr>
        <w:t xml:space="preserve">Table </w:t>
      </w:r>
      <w:r w:rsidR="00074A06" w:rsidRPr="00FB463B">
        <w:rPr>
          <w:rFonts w:cs="Arial"/>
          <w:b/>
          <w:bCs/>
        </w:rPr>
        <w:t>24</w:t>
      </w:r>
      <w:r w:rsidRPr="00FB463B">
        <w:rPr>
          <w:rFonts w:cs="Arial"/>
          <w:b/>
          <w:bCs/>
        </w:rPr>
        <w:t xml:space="preserve"> </w:t>
      </w:r>
      <w:r w:rsidR="002B38AD" w:rsidRPr="00FB463B">
        <w:rPr>
          <w:rFonts w:cs="Arial"/>
          <w:b/>
          <w:bCs/>
        </w:rPr>
        <w:t>Non-Charter Schools</w:t>
      </w:r>
    </w:p>
    <w:tbl>
      <w:tblPr>
        <w:tblStyle w:val="TableGrid"/>
        <w:tblW w:w="4765" w:type="dxa"/>
        <w:tblLook w:val="04A0" w:firstRow="1" w:lastRow="0" w:firstColumn="1" w:lastColumn="0" w:noHBand="0" w:noVBand="1"/>
        <w:tblCaption w:val="Table 24 Non-Charter Schools"/>
        <w:tblDescription w:val="Table 24 Non-Charter Schools"/>
      </w:tblPr>
      <w:tblGrid>
        <w:gridCol w:w="1165"/>
        <w:gridCol w:w="1980"/>
        <w:gridCol w:w="1620"/>
      </w:tblGrid>
      <w:tr w:rsidR="002B38AD" w:rsidRPr="00FB463B" w14:paraId="4FF2A6EF" w14:textId="77777777" w:rsidTr="00304E4F">
        <w:trPr>
          <w:cantSplit/>
          <w:tblHeader/>
        </w:trPr>
        <w:tc>
          <w:tcPr>
            <w:tcW w:w="1165" w:type="dxa"/>
            <w:shd w:val="clear" w:color="auto" w:fill="E2EFD9" w:themeFill="accent6" w:themeFillTint="33"/>
            <w:vAlign w:val="center"/>
          </w:tcPr>
          <w:p w14:paraId="09AEA86B" w14:textId="77777777" w:rsidR="002B38AD" w:rsidRPr="00FB463B" w:rsidRDefault="002B38AD" w:rsidP="00422B00">
            <w:pPr>
              <w:jc w:val="center"/>
              <w:rPr>
                <w:rFonts w:cs="Arial"/>
                <w:b/>
                <w:bCs/>
              </w:rPr>
            </w:pPr>
            <w:r w:rsidRPr="00FB463B">
              <w:rPr>
                <w:rFonts w:eastAsia="BIZ UDGothic" w:cs="Arial"/>
                <w:b/>
                <w:bCs/>
                <w:kern w:val="24"/>
              </w:rPr>
              <w:t>Year</w:t>
            </w:r>
          </w:p>
        </w:tc>
        <w:tc>
          <w:tcPr>
            <w:tcW w:w="1980" w:type="dxa"/>
            <w:shd w:val="clear" w:color="auto" w:fill="E2EFD9" w:themeFill="accent6" w:themeFillTint="33"/>
            <w:vAlign w:val="center"/>
          </w:tcPr>
          <w:p w14:paraId="0C7FBD28" w14:textId="77777777" w:rsidR="002B38AD" w:rsidRPr="00FB463B" w:rsidRDefault="002B38A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1B88686C" w14:textId="77777777" w:rsidR="002B38AD" w:rsidRPr="00FB463B" w:rsidRDefault="002B38AD" w:rsidP="00422B00">
            <w:pPr>
              <w:jc w:val="center"/>
              <w:rPr>
                <w:rFonts w:cs="Arial"/>
                <w:b/>
                <w:bCs/>
              </w:rPr>
            </w:pPr>
            <w:r w:rsidRPr="00FB463B">
              <w:rPr>
                <w:rFonts w:eastAsia="BIZ UDGothic" w:cs="Arial"/>
                <w:b/>
                <w:bCs/>
                <w:kern w:val="24"/>
              </w:rPr>
              <w:t>(n=386,194)</w:t>
            </w:r>
          </w:p>
        </w:tc>
        <w:tc>
          <w:tcPr>
            <w:tcW w:w="1620" w:type="dxa"/>
            <w:shd w:val="clear" w:color="auto" w:fill="E2EFD9" w:themeFill="accent6" w:themeFillTint="33"/>
            <w:vAlign w:val="center"/>
          </w:tcPr>
          <w:p w14:paraId="5B1AB63F" w14:textId="77777777" w:rsidR="002B38AD" w:rsidRPr="00FB463B" w:rsidRDefault="002B38AD"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2ACE85E0" w14:textId="77777777" w:rsidR="002B38AD" w:rsidRPr="00FB463B" w:rsidRDefault="002B38AD" w:rsidP="00422B00">
            <w:pPr>
              <w:jc w:val="center"/>
              <w:rPr>
                <w:rFonts w:cs="Arial"/>
                <w:b/>
                <w:bCs/>
              </w:rPr>
            </w:pPr>
            <w:r w:rsidRPr="00FB463B">
              <w:rPr>
                <w:rFonts w:eastAsia="BIZ UDGothic" w:cs="Arial"/>
                <w:b/>
                <w:bCs/>
                <w:kern w:val="24"/>
              </w:rPr>
              <w:t>(n=63,797)</w:t>
            </w:r>
          </w:p>
        </w:tc>
      </w:tr>
      <w:tr w:rsidR="002B38AD" w:rsidRPr="00FB463B" w14:paraId="7F2B2BCD" w14:textId="77777777" w:rsidTr="00304E4F">
        <w:trPr>
          <w:cantSplit/>
          <w:tblHeader/>
        </w:trPr>
        <w:tc>
          <w:tcPr>
            <w:tcW w:w="1165" w:type="dxa"/>
            <w:vAlign w:val="center"/>
          </w:tcPr>
          <w:p w14:paraId="2AFB0062" w14:textId="77777777" w:rsidR="002B38AD" w:rsidRPr="00FB463B" w:rsidRDefault="002B38AD" w:rsidP="00422B00">
            <w:pPr>
              <w:rPr>
                <w:rFonts w:cs="Arial"/>
                <w:b/>
                <w:bCs/>
              </w:rPr>
            </w:pPr>
            <w:r w:rsidRPr="00FB463B">
              <w:rPr>
                <w:rFonts w:eastAsia="BIZ UDGothic" w:cs="Arial"/>
                <w:kern w:val="24"/>
              </w:rPr>
              <w:t>2020-21</w:t>
            </w:r>
          </w:p>
        </w:tc>
        <w:tc>
          <w:tcPr>
            <w:tcW w:w="1980" w:type="dxa"/>
            <w:vAlign w:val="center"/>
          </w:tcPr>
          <w:p w14:paraId="7A4A761B" w14:textId="77777777" w:rsidR="002B38AD" w:rsidRPr="00FB463B" w:rsidRDefault="002B38AD" w:rsidP="00422B00">
            <w:pPr>
              <w:jc w:val="center"/>
              <w:rPr>
                <w:rFonts w:cs="Arial"/>
                <w:b/>
                <w:bCs/>
              </w:rPr>
            </w:pPr>
            <w:r w:rsidRPr="00FB463B">
              <w:rPr>
                <w:rFonts w:eastAsia="BIZ UDGothic" w:cs="Arial"/>
                <w:kern w:val="24"/>
              </w:rPr>
              <w:t>6,959 (1.80%)</w:t>
            </w:r>
          </w:p>
        </w:tc>
        <w:tc>
          <w:tcPr>
            <w:tcW w:w="1620" w:type="dxa"/>
            <w:vAlign w:val="center"/>
          </w:tcPr>
          <w:p w14:paraId="15A1E717" w14:textId="77777777" w:rsidR="002B38AD" w:rsidRPr="00FB463B" w:rsidRDefault="002B38AD" w:rsidP="00422B00">
            <w:pPr>
              <w:jc w:val="center"/>
              <w:rPr>
                <w:rFonts w:cs="Arial"/>
                <w:b/>
                <w:bCs/>
              </w:rPr>
            </w:pPr>
            <w:r w:rsidRPr="00FB463B">
              <w:rPr>
                <w:rFonts w:eastAsia="BIZ UDGothic" w:cs="Arial"/>
                <w:kern w:val="24"/>
              </w:rPr>
              <w:t>136 (0.21%)</w:t>
            </w:r>
          </w:p>
        </w:tc>
      </w:tr>
      <w:tr w:rsidR="002B38AD" w:rsidRPr="00FB463B" w14:paraId="721E7036" w14:textId="77777777" w:rsidTr="00304E4F">
        <w:trPr>
          <w:cantSplit/>
          <w:tblHeader/>
        </w:trPr>
        <w:tc>
          <w:tcPr>
            <w:tcW w:w="1165" w:type="dxa"/>
            <w:vAlign w:val="center"/>
          </w:tcPr>
          <w:p w14:paraId="363C5E7F" w14:textId="77777777" w:rsidR="002B38AD" w:rsidRPr="00FB463B" w:rsidRDefault="002B38AD" w:rsidP="00422B00">
            <w:pPr>
              <w:rPr>
                <w:rFonts w:cs="Arial"/>
                <w:b/>
                <w:bCs/>
              </w:rPr>
            </w:pPr>
            <w:r w:rsidRPr="00FB463B">
              <w:rPr>
                <w:rFonts w:eastAsia="BIZ UDGothic" w:cs="Arial"/>
                <w:kern w:val="24"/>
              </w:rPr>
              <w:t>2021-22</w:t>
            </w:r>
          </w:p>
        </w:tc>
        <w:tc>
          <w:tcPr>
            <w:tcW w:w="1980" w:type="dxa"/>
            <w:vAlign w:val="center"/>
          </w:tcPr>
          <w:p w14:paraId="4501EDE7" w14:textId="77777777" w:rsidR="002B38AD" w:rsidRPr="00FB463B" w:rsidRDefault="002B38AD" w:rsidP="00422B00">
            <w:pPr>
              <w:jc w:val="center"/>
              <w:rPr>
                <w:rFonts w:cs="Arial"/>
                <w:b/>
                <w:bCs/>
              </w:rPr>
            </w:pPr>
            <w:r w:rsidRPr="00FB463B">
              <w:rPr>
                <w:rFonts w:eastAsia="BIZ UDGothic" w:cs="Arial"/>
                <w:kern w:val="24"/>
              </w:rPr>
              <w:t>4,160 (1.08%)</w:t>
            </w:r>
          </w:p>
        </w:tc>
        <w:tc>
          <w:tcPr>
            <w:tcW w:w="1620" w:type="dxa"/>
            <w:vAlign w:val="center"/>
          </w:tcPr>
          <w:p w14:paraId="7610807F" w14:textId="77777777" w:rsidR="002B38AD" w:rsidRPr="00FB463B" w:rsidRDefault="002B38AD" w:rsidP="00422B00">
            <w:pPr>
              <w:jc w:val="center"/>
              <w:rPr>
                <w:rFonts w:cs="Arial"/>
                <w:b/>
                <w:bCs/>
              </w:rPr>
            </w:pPr>
            <w:r w:rsidRPr="00FB463B">
              <w:rPr>
                <w:rFonts w:eastAsia="BIZ UDGothic" w:cs="Arial"/>
                <w:kern w:val="24"/>
              </w:rPr>
              <w:t>163 (0.26%)</w:t>
            </w:r>
          </w:p>
        </w:tc>
      </w:tr>
      <w:tr w:rsidR="002B38AD" w:rsidRPr="00FB463B" w14:paraId="0DC07401" w14:textId="77777777" w:rsidTr="00304E4F">
        <w:trPr>
          <w:cantSplit/>
          <w:tblHeader/>
        </w:trPr>
        <w:tc>
          <w:tcPr>
            <w:tcW w:w="1165" w:type="dxa"/>
            <w:vAlign w:val="center"/>
          </w:tcPr>
          <w:p w14:paraId="14C3AD00" w14:textId="77777777" w:rsidR="002B38AD" w:rsidRPr="00FB463B" w:rsidRDefault="002B38AD" w:rsidP="00422B00">
            <w:pPr>
              <w:rPr>
                <w:rFonts w:cs="Arial"/>
                <w:b/>
                <w:bCs/>
              </w:rPr>
            </w:pPr>
            <w:r w:rsidRPr="00FB463B">
              <w:rPr>
                <w:rFonts w:eastAsia="BIZ UDGothic" w:cs="Arial"/>
                <w:b/>
                <w:bCs/>
                <w:kern w:val="24"/>
              </w:rPr>
              <w:t>Total</w:t>
            </w:r>
          </w:p>
        </w:tc>
        <w:tc>
          <w:tcPr>
            <w:tcW w:w="1980" w:type="dxa"/>
            <w:vAlign w:val="center"/>
          </w:tcPr>
          <w:p w14:paraId="31D08356" w14:textId="77777777" w:rsidR="002B38AD" w:rsidRPr="00FB463B" w:rsidRDefault="002B38AD" w:rsidP="00422B00">
            <w:pPr>
              <w:jc w:val="center"/>
              <w:rPr>
                <w:rFonts w:cs="Arial"/>
                <w:b/>
                <w:bCs/>
              </w:rPr>
            </w:pPr>
            <w:r w:rsidRPr="00FB463B">
              <w:rPr>
                <w:rFonts w:cs="Arial"/>
                <w:b/>
                <w:bCs/>
              </w:rPr>
              <w:t>11,119 (2.88%)</w:t>
            </w:r>
          </w:p>
        </w:tc>
        <w:tc>
          <w:tcPr>
            <w:tcW w:w="1620" w:type="dxa"/>
            <w:vAlign w:val="center"/>
          </w:tcPr>
          <w:p w14:paraId="274B45C6" w14:textId="77777777" w:rsidR="002B38AD" w:rsidRPr="00FB463B" w:rsidRDefault="002B38AD" w:rsidP="00422B00">
            <w:pPr>
              <w:jc w:val="center"/>
              <w:rPr>
                <w:rFonts w:cs="Arial"/>
                <w:b/>
                <w:bCs/>
              </w:rPr>
            </w:pPr>
            <w:r w:rsidRPr="00FB463B">
              <w:rPr>
                <w:rFonts w:cs="Arial"/>
                <w:b/>
                <w:bCs/>
              </w:rPr>
              <w:t>299 (0.47%)</w:t>
            </w:r>
          </w:p>
        </w:tc>
      </w:tr>
    </w:tbl>
    <w:p w14:paraId="019C7F08" w14:textId="77DD437C" w:rsidR="003A7269" w:rsidRPr="00FB463B" w:rsidRDefault="003A7269" w:rsidP="00AA4D24">
      <w:pPr>
        <w:rPr>
          <w:rFonts w:cs="Arial"/>
        </w:rPr>
      </w:pPr>
    </w:p>
    <w:p w14:paraId="7E72EECB" w14:textId="77777777" w:rsidR="003A7269" w:rsidRPr="00FB463B" w:rsidRDefault="003A7269">
      <w:pPr>
        <w:spacing w:after="160" w:line="259" w:lineRule="auto"/>
        <w:rPr>
          <w:rFonts w:cs="Arial"/>
        </w:rPr>
      </w:pPr>
      <w:r w:rsidRPr="00FB463B">
        <w:rPr>
          <w:rFonts w:cs="Arial"/>
        </w:rPr>
        <w:br w:type="page"/>
      </w:r>
    </w:p>
    <w:p w14:paraId="0FFCFF5D" w14:textId="77777777" w:rsidR="00BE1CC4" w:rsidRPr="00FB463B" w:rsidRDefault="00BE1CC4" w:rsidP="00AA4D24">
      <w:pPr>
        <w:rPr>
          <w:rFonts w:cs="Arial"/>
        </w:rPr>
        <w:sectPr w:rsidR="00BE1CC4" w:rsidRPr="00FB463B" w:rsidSect="005F192B">
          <w:type w:val="continuous"/>
          <w:pgSz w:w="12240" w:h="15840"/>
          <w:pgMar w:top="1440" w:right="1440" w:bottom="1440" w:left="1440" w:header="720" w:footer="720" w:gutter="0"/>
          <w:cols w:num="2" w:space="720"/>
          <w:docGrid w:linePitch="360"/>
        </w:sectPr>
      </w:pPr>
    </w:p>
    <w:p w14:paraId="52EC51D7" w14:textId="0CDB30AB" w:rsidR="004B7F18" w:rsidRPr="00FB463B" w:rsidRDefault="000C3947" w:rsidP="004B7F18">
      <w:pPr>
        <w:rPr>
          <w:rFonts w:cs="Arial"/>
          <w:b/>
          <w:bCs/>
        </w:rPr>
      </w:pPr>
      <w:r w:rsidRPr="00FB463B">
        <w:rPr>
          <w:rFonts w:cs="Arial"/>
          <w:b/>
          <w:bCs/>
        </w:rPr>
        <w:lastRenderedPageBreak/>
        <w:t xml:space="preserve">Table </w:t>
      </w:r>
      <w:r w:rsidR="00074A06" w:rsidRPr="00FB463B">
        <w:rPr>
          <w:rFonts w:cs="Arial"/>
          <w:b/>
          <w:bCs/>
        </w:rPr>
        <w:t>25</w:t>
      </w:r>
      <w:r w:rsidRPr="00FB463B">
        <w:rPr>
          <w:rFonts w:cs="Arial"/>
          <w:b/>
          <w:bCs/>
        </w:rPr>
        <w:t xml:space="preserve"> </w:t>
      </w:r>
      <w:r w:rsidR="004B7F18" w:rsidRPr="00FB463B">
        <w:rPr>
          <w:rFonts w:cs="Arial"/>
          <w:b/>
          <w:bCs/>
        </w:rPr>
        <w:t>Small Schools</w:t>
      </w:r>
    </w:p>
    <w:tbl>
      <w:tblPr>
        <w:tblStyle w:val="TableGrid"/>
        <w:tblW w:w="4405" w:type="dxa"/>
        <w:tblLook w:val="04A0" w:firstRow="1" w:lastRow="0" w:firstColumn="1" w:lastColumn="0" w:noHBand="0" w:noVBand="1"/>
        <w:tblCaption w:val="Table 25: Small Schools"/>
        <w:tblDescription w:val="Small Schools"/>
      </w:tblPr>
      <w:tblGrid>
        <w:gridCol w:w="1165"/>
        <w:gridCol w:w="1620"/>
        <w:gridCol w:w="1620"/>
      </w:tblGrid>
      <w:tr w:rsidR="004B7F18" w:rsidRPr="00FB463B" w14:paraId="104FE0D8" w14:textId="77777777" w:rsidTr="000B6020">
        <w:trPr>
          <w:cantSplit/>
          <w:tblHeader/>
        </w:trPr>
        <w:tc>
          <w:tcPr>
            <w:tcW w:w="1165" w:type="dxa"/>
            <w:shd w:val="clear" w:color="auto" w:fill="E2EFD9" w:themeFill="accent6" w:themeFillTint="33"/>
            <w:vAlign w:val="center"/>
          </w:tcPr>
          <w:p w14:paraId="4F0C9054" w14:textId="77777777" w:rsidR="004B7F18" w:rsidRPr="00FB463B" w:rsidRDefault="004B7F18" w:rsidP="00422B00">
            <w:pPr>
              <w:jc w:val="center"/>
              <w:rPr>
                <w:rFonts w:cs="Arial"/>
                <w:b/>
                <w:bCs/>
              </w:rPr>
            </w:pPr>
            <w:r w:rsidRPr="00FB463B">
              <w:rPr>
                <w:rFonts w:eastAsia="BIZ UDGothic" w:cs="Arial"/>
                <w:b/>
                <w:bCs/>
                <w:kern w:val="24"/>
              </w:rPr>
              <w:t>Year</w:t>
            </w:r>
          </w:p>
        </w:tc>
        <w:tc>
          <w:tcPr>
            <w:tcW w:w="1620" w:type="dxa"/>
            <w:shd w:val="clear" w:color="auto" w:fill="E2EFD9" w:themeFill="accent6" w:themeFillTint="33"/>
            <w:vAlign w:val="center"/>
          </w:tcPr>
          <w:p w14:paraId="3009BD95" w14:textId="77777777" w:rsidR="004B7F18" w:rsidRPr="00FB463B" w:rsidRDefault="004B7F18"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00BAD985" w14:textId="77777777" w:rsidR="004B7F18" w:rsidRPr="00FB463B" w:rsidRDefault="004B7F18" w:rsidP="00422B00">
            <w:pPr>
              <w:jc w:val="center"/>
              <w:rPr>
                <w:rFonts w:cs="Arial"/>
                <w:b/>
                <w:bCs/>
              </w:rPr>
            </w:pPr>
            <w:r w:rsidRPr="00FB463B">
              <w:rPr>
                <w:rFonts w:eastAsia="BIZ UDGothic" w:cs="Arial"/>
                <w:b/>
                <w:bCs/>
                <w:kern w:val="24"/>
              </w:rPr>
              <w:t>(n=13,832)</w:t>
            </w:r>
          </w:p>
        </w:tc>
        <w:tc>
          <w:tcPr>
            <w:tcW w:w="1620" w:type="dxa"/>
            <w:shd w:val="clear" w:color="auto" w:fill="E2EFD9" w:themeFill="accent6" w:themeFillTint="33"/>
            <w:vAlign w:val="center"/>
          </w:tcPr>
          <w:p w14:paraId="1B37755F" w14:textId="77777777" w:rsidR="004B7F18" w:rsidRPr="00FB463B" w:rsidRDefault="004B7F18"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399E7DE1" w14:textId="77777777" w:rsidR="004B7F18" w:rsidRPr="00FB463B" w:rsidRDefault="004B7F18" w:rsidP="00422B00">
            <w:pPr>
              <w:jc w:val="center"/>
              <w:rPr>
                <w:rFonts w:cs="Arial"/>
                <w:b/>
                <w:bCs/>
              </w:rPr>
            </w:pPr>
            <w:r w:rsidRPr="00FB463B">
              <w:rPr>
                <w:rFonts w:eastAsia="BIZ UDGothic" w:cs="Arial"/>
                <w:b/>
                <w:bCs/>
                <w:kern w:val="24"/>
              </w:rPr>
              <w:t>(n=7,986)</w:t>
            </w:r>
          </w:p>
        </w:tc>
      </w:tr>
      <w:tr w:rsidR="004B7F18" w:rsidRPr="00FB463B" w14:paraId="757A4A2C" w14:textId="77777777" w:rsidTr="000B6020">
        <w:trPr>
          <w:cantSplit/>
          <w:tblHeader/>
        </w:trPr>
        <w:tc>
          <w:tcPr>
            <w:tcW w:w="1165" w:type="dxa"/>
            <w:vAlign w:val="center"/>
          </w:tcPr>
          <w:p w14:paraId="63716DD2" w14:textId="77777777" w:rsidR="004B7F18" w:rsidRPr="00FB463B" w:rsidRDefault="004B7F18" w:rsidP="00422B00">
            <w:pPr>
              <w:rPr>
                <w:rFonts w:cs="Arial"/>
                <w:b/>
                <w:bCs/>
              </w:rPr>
            </w:pPr>
            <w:r w:rsidRPr="00FB463B">
              <w:rPr>
                <w:rFonts w:eastAsia="BIZ UDGothic" w:cs="Arial"/>
                <w:kern w:val="24"/>
              </w:rPr>
              <w:t>2020-21</w:t>
            </w:r>
          </w:p>
        </w:tc>
        <w:tc>
          <w:tcPr>
            <w:tcW w:w="1620" w:type="dxa"/>
            <w:vAlign w:val="center"/>
          </w:tcPr>
          <w:p w14:paraId="118F09B4" w14:textId="1E982A08" w:rsidR="004B7F18" w:rsidRPr="00FB463B" w:rsidRDefault="004B7F18" w:rsidP="00133584">
            <w:pPr>
              <w:jc w:val="center"/>
              <w:rPr>
                <w:rFonts w:cs="Arial"/>
                <w:b/>
                <w:bCs/>
              </w:rPr>
            </w:pPr>
            <w:r w:rsidRPr="00FB463B">
              <w:rPr>
                <w:rFonts w:eastAsia="BIZ UDGothic" w:cs="Arial"/>
                <w:kern w:val="24"/>
              </w:rPr>
              <w:t>66 (0.5%)</w:t>
            </w:r>
          </w:p>
        </w:tc>
        <w:tc>
          <w:tcPr>
            <w:tcW w:w="1620" w:type="dxa"/>
            <w:vAlign w:val="center"/>
          </w:tcPr>
          <w:p w14:paraId="3773EDE5" w14:textId="5C5006A6" w:rsidR="004B7F18" w:rsidRPr="00FB463B" w:rsidRDefault="004B7F18" w:rsidP="00133584">
            <w:pPr>
              <w:jc w:val="center"/>
              <w:rPr>
                <w:rFonts w:cs="Arial"/>
                <w:b/>
                <w:bCs/>
              </w:rPr>
            </w:pPr>
            <w:r w:rsidRPr="00FB463B">
              <w:rPr>
                <w:rFonts w:eastAsia="BIZ UDGothic" w:cs="Arial"/>
                <w:kern w:val="24"/>
              </w:rPr>
              <w:t>14 (0.20%)</w:t>
            </w:r>
          </w:p>
        </w:tc>
      </w:tr>
      <w:tr w:rsidR="004B7F18" w:rsidRPr="00FB463B" w14:paraId="1F0CED5C" w14:textId="77777777" w:rsidTr="000B6020">
        <w:trPr>
          <w:cantSplit/>
          <w:tblHeader/>
        </w:trPr>
        <w:tc>
          <w:tcPr>
            <w:tcW w:w="1165" w:type="dxa"/>
            <w:vAlign w:val="center"/>
          </w:tcPr>
          <w:p w14:paraId="6F7C6DF9" w14:textId="77777777" w:rsidR="004B7F18" w:rsidRPr="00FB463B" w:rsidRDefault="004B7F18" w:rsidP="00422B00">
            <w:pPr>
              <w:rPr>
                <w:rFonts w:cs="Arial"/>
                <w:b/>
                <w:bCs/>
              </w:rPr>
            </w:pPr>
            <w:r w:rsidRPr="00FB463B">
              <w:rPr>
                <w:rFonts w:eastAsia="BIZ UDGothic" w:cs="Arial"/>
                <w:kern w:val="24"/>
              </w:rPr>
              <w:t>2021-22</w:t>
            </w:r>
          </w:p>
        </w:tc>
        <w:tc>
          <w:tcPr>
            <w:tcW w:w="1620" w:type="dxa"/>
            <w:vAlign w:val="center"/>
          </w:tcPr>
          <w:p w14:paraId="1393CA31" w14:textId="16235153" w:rsidR="004B7F18" w:rsidRPr="00FB463B" w:rsidRDefault="004B7F18" w:rsidP="00133584">
            <w:pPr>
              <w:jc w:val="center"/>
              <w:rPr>
                <w:rFonts w:cs="Arial"/>
                <w:b/>
                <w:bCs/>
              </w:rPr>
            </w:pPr>
            <w:r w:rsidRPr="00FB463B">
              <w:rPr>
                <w:rFonts w:eastAsia="BIZ UDGothic" w:cs="Arial"/>
                <w:kern w:val="24"/>
              </w:rPr>
              <w:t>21 (0.2%)</w:t>
            </w:r>
          </w:p>
        </w:tc>
        <w:tc>
          <w:tcPr>
            <w:tcW w:w="1620" w:type="dxa"/>
            <w:vAlign w:val="center"/>
          </w:tcPr>
          <w:p w14:paraId="27C08076" w14:textId="01294DFA" w:rsidR="004B7F18" w:rsidRPr="00FB463B" w:rsidRDefault="004B7F18" w:rsidP="00133584">
            <w:pPr>
              <w:jc w:val="center"/>
              <w:rPr>
                <w:rFonts w:cs="Arial"/>
                <w:b/>
                <w:bCs/>
              </w:rPr>
            </w:pPr>
            <w:r w:rsidRPr="00FB463B">
              <w:rPr>
                <w:rFonts w:eastAsia="BIZ UDGothic" w:cs="Arial"/>
                <w:kern w:val="24"/>
              </w:rPr>
              <w:t>5 (0.06%)</w:t>
            </w:r>
          </w:p>
        </w:tc>
      </w:tr>
      <w:tr w:rsidR="004B7F18" w:rsidRPr="00FB463B" w14:paraId="2E462BC9" w14:textId="77777777" w:rsidTr="000B6020">
        <w:trPr>
          <w:cantSplit/>
          <w:tblHeader/>
        </w:trPr>
        <w:tc>
          <w:tcPr>
            <w:tcW w:w="1165" w:type="dxa"/>
            <w:vAlign w:val="center"/>
          </w:tcPr>
          <w:p w14:paraId="4DFAA8A1" w14:textId="77777777" w:rsidR="004B7F18" w:rsidRPr="00FB463B" w:rsidRDefault="004B7F18" w:rsidP="00422B00">
            <w:pPr>
              <w:rPr>
                <w:rFonts w:cs="Arial"/>
                <w:b/>
                <w:bCs/>
              </w:rPr>
            </w:pPr>
            <w:r w:rsidRPr="00FB463B">
              <w:rPr>
                <w:rFonts w:eastAsia="BIZ UDGothic" w:cs="Arial"/>
                <w:b/>
                <w:bCs/>
                <w:kern w:val="24"/>
              </w:rPr>
              <w:t>Total</w:t>
            </w:r>
          </w:p>
        </w:tc>
        <w:tc>
          <w:tcPr>
            <w:tcW w:w="1620" w:type="dxa"/>
            <w:vAlign w:val="center"/>
          </w:tcPr>
          <w:p w14:paraId="242409E6" w14:textId="2E5B66C0" w:rsidR="004B7F18" w:rsidRPr="00FB463B" w:rsidRDefault="004B7F18" w:rsidP="00133584">
            <w:pPr>
              <w:jc w:val="center"/>
              <w:rPr>
                <w:rFonts w:cs="Arial"/>
                <w:b/>
                <w:bCs/>
              </w:rPr>
            </w:pPr>
            <w:r w:rsidRPr="00FB463B">
              <w:rPr>
                <w:rFonts w:cs="Arial"/>
                <w:b/>
                <w:bCs/>
              </w:rPr>
              <w:t>87 (0.7%)</w:t>
            </w:r>
          </w:p>
        </w:tc>
        <w:tc>
          <w:tcPr>
            <w:tcW w:w="1620" w:type="dxa"/>
            <w:vAlign w:val="center"/>
          </w:tcPr>
          <w:p w14:paraId="159C7521" w14:textId="679C253B" w:rsidR="004B7F18" w:rsidRPr="00FB463B" w:rsidRDefault="004B7F18" w:rsidP="00133584">
            <w:pPr>
              <w:jc w:val="center"/>
              <w:rPr>
                <w:rFonts w:cs="Arial"/>
                <w:b/>
                <w:bCs/>
              </w:rPr>
            </w:pPr>
            <w:r w:rsidRPr="00FB463B">
              <w:rPr>
                <w:rFonts w:cs="Arial"/>
                <w:b/>
                <w:bCs/>
              </w:rPr>
              <w:t>19 (0.26%)</w:t>
            </w:r>
          </w:p>
        </w:tc>
      </w:tr>
    </w:tbl>
    <w:p w14:paraId="3DD83252" w14:textId="4E41B6A5" w:rsidR="004B7F18" w:rsidRPr="00FB463B" w:rsidRDefault="004B7F18" w:rsidP="004B7F18">
      <w:pPr>
        <w:rPr>
          <w:rFonts w:cs="Arial"/>
          <w:b/>
          <w:bCs/>
        </w:rPr>
      </w:pPr>
      <w:r w:rsidRPr="00FB463B">
        <w:rPr>
          <w:rFonts w:cs="Arial"/>
          <w:b/>
          <w:bCs/>
        </w:rPr>
        <w:br w:type="column"/>
      </w:r>
      <w:r w:rsidR="000C3947" w:rsidRPr="00FB463B">
        <w:rPr>
          <w:rFonts w:cs="Arial"/>
          <w:b/>
          <w:bCs/>
        </w:rPr>
        <w:t xml:space="preserve">Table </w:t>
      </w:r>
      <w:r w:rsidR="00074A06" w:rsidRPr="00FB463B">
        <w:rPr>
          <w:rFonts w:cs="Arial"/>
          <w:b/>
          <w:bCs/>
        </w:rPr>
        <w:t>26</w:t>
      </w:r>
      <w:r w:rsidR="000C3947" w:rsidRPr="00FB463B">
        <w:rPr>
          <w:rFonts w:cs="Arial"/>
          <w:b/>
          <w:bCs/>
        </w:rPr>
        <w:t xml:space="preserve"> </w:t>
      </w:r>
      <w:r w:rsidRPr="00FB463B">
        <w:rPr>
          <w:rFonts w:cs="Arial"/>
          <w:b/>
          <w:bCs/>
        </w:rPr>
        <w:t>Non-Small Schools</w:t>
      </w:r>
    </w:p>
    <w:tbl>
      <w:tblPr>
        <w:tblStyle w:val="TableGrid"/>
        <w:tblW w:w="4765" w:type="dxa"/>
        <w:tblLook w:val="04A0" w:firstRow="1" w:lastRow="0" w:firstColumn="1" w:lastColumn="0" w:noHBand="0" w:noVBand="1"/>
        <w:tblCaption w:val="Table 26 Non-Small Schools"/>
        <w:tblDescription w:val="Table 26 Non-Small Schools"/>
      </w:tblPr>
      <w:tblGrid>
        <w:gridCol w:w="1155"/>
        <w:gridCol w:w="1990"/>
        <w:gridCol w:w="1620"/>
      </w:tblGrid>
      <w:tr w:rsidR="0027077E" w:rsidRPr="00FB463B" w14:paraId="5E887A89" w14:textId="77777777" w:rsidTr="00420F2D">
        <w:trPr>
          <w:cantSplit/>
          <w:tblHeader/>
        </w:trPr>
        <w:tc>
          <w:tcPr>
            <w:tcW w:w="1155" w:type="dxa"/>
            <w:shd w:val="clear" w:color="auto" w:fill="E2EFD9" w:themeFill="accent6" w:themeFillTint="33"/>
            <w:vAlign w:val="center"/>
          </w:tcPr>
          <w:p w14:paraId="2A0F520D" w14:textId="77777777" w:rsidR="004B7F18" w:rsidRPr="00FB463B" w:rsidRDefault="004B7F18" w:rsidP="00422B00">
            <w:pPr>
              <w:jc w:val="center"/>
              <w:rPr>
                <w:rFonts w:cs="Arial"/>
                <w:b/>
                <w:bCs/>
              </w:rPr>
            </w:pPr>
            <w:r w:rsidRPr="00FB463B">
              <w:rPr>
                <w:rFonts w:eastAsia="BIZ UDGothic" w:cs="Arial"/>
                <w:b/>
                <w:bCs/>
                <w:kern w:val="24"/>
              </w:rPr>
              <w:t>Year</w:t>
            </w:r>
          </w:p>
        </w:tc>
        <w:tc>
          <w:tcPr>
            <w:tcW w:w="1990" w:type="dxa"/>
            <w:shd w:val="clear" w:color="auto" w:fill="E2EFD9" w:themeFill="accent6" w:themeFillTint="33"/>
            <w:vAlign w:val="center"/>
          </w:tcPr>
          <w:p w14:paraId="28CB8388" w14:textId="77777777" w:rsidR="004B7F18" w:rsidRPr="00FB463B" w:rsidRDefault="004B7F18"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2281C4D6" w14:textId="77777777" w:rsidR="004B7F18" w:rsidRPr="00FB463B" w:rsidRDefault="004B7F18" w:rsidP="00422B00">
            <w:pPr>
              <w:jc w:val="center"/>
              <w:rPr>
                <w:rFonts w:cs="Arial"/>
                <w:b/>
                <w:bCs/>
              </w:rPr>
            </w:pPr>
            <w:r w:rsidRPr="00FB463B">
              <w:rPr>
                <w:rFonts w:eastAsia="BIZ UDGothic" w:cs="Arial"/>
                <w:b/>
                <w:bCs/>
                <w:kern w:val="24"/>
              </w:rPr>
              <w:t>(n=419,523)</w:t>
            </w:r>
          </w:p>
        </w:tc>
        <w:tc>
          <w:tcPr>
            <w:tcW w:w="1620" w:type="dxa"/>
            <w:shd w:val="clear" w:color="auto" w:fill="E2EFD9" w:themeFill="accent6" w:themeFillTint="33"/>
            <w:vAlign w:val="center"/>
          </w:tcPr>
          <w:p w14:paraId="676903B5" w14:textId="77777777" w:rsidR="004B7F18" w:rsidRPr="00FB463B" w:rsidRDefault="004B7F18"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42C018E9" w14:textId="77777777" w:rsidR="004B7F18" w:rsidRPr="00FB463B" w:rsidRDefault="004B7F18" w:rsidP="00422B00">
            <w:pPr>
              <w:jc w:val="center"/>
              <w:rPr>
                <w:rFonts w:cs="Arial"/>
                <w:b/>
                <w:bCs/>
              </w:rPr>
            </w:pPr>
            <w:r w:rsidRPr="00FB463B">
              <w:rPr>
                <w:rFonts w:eastAsia="BIZ UDGothic" w:cs="Arial"/>
                <w:b/>
                <w:bCs/>
                <w:kern w:val="24"/>
              </w:rPr>
              <w:t>(n=83,064)</w:t>
            </w:r>
          </w:p>
        </w:tc>
      </w:tr>
      <w:tr w:rsidR="004B7F18" w:rsidRPr="00FB463B" w14:paraId="7901F47C" w14:textId="77777777" w:rsidTr="00420F2D">
        <w:trPr>
          <w:cantSplit/>
          <w:tblHeader/>
        </w:trPr>
        <w:tc>
          <w:tcPr>
            <w:tcW w:w="1155" w:type="dxa"/>
            <w:vAlign w:val="center"/>
          </w:tcPr>
          <w:p w14:paraId="34D1B615" w14:textId="77777777" w:rsidR="004B7F18" w:rsidRPr="00FB463B" w:rsidRDefault="004B7F18" w:rsidP="00422B00">
            <w:pPr>
              <w:rPr>
                <w:rFonts w:cs="Arial"/>
                <w:b/>
                <w:bCs/>
              </w:rPr>
            </w:pPr>
            <w:r w:rsidRPr="00FB463B">
              <w:rPr>
                <w:rFonts w:eastAsia="BIZ UDGothic" w:cs="Arial"/>
                <w:kern w:val="24"/>
              </w:rPr>
              <w:t>2020-21</w:t>
            </w:r>
          </w:p>
        </w:tc>
        <w:tc>
          <w:tcPr>
            <w:tcW w:w="1990" w:type="dxa"/>
            <w:vAlign w:val="center"/>
          </w:tcPr>
          <w:p w14:paraId="6C431513" w14:textId="403B0EC1" w:rsidR="004B7F18" w:rsidRPr="00FB463B" w:rsidRDefault="004B7F18" w:rsidP="00133584">
            <w:pPr>
              <w:jc w:val="center"/>
              <w:rPr>
                <w:rFonts w:cs="Arial"/>
                <w:b/>
                <w:bCs/>
              </w:rPr>
            </w:pPr>
            <w:r w:rsidRPr="00FB463B">
              <w:rPr>
                <w:rFonts w:eastAsia="BIZ UDGothic" w:cs="Arial"/>
                <w:kern w:val="24"/>
              </w:rPr>
              <w:t>4,245 (1.0%)</w:t>
            </w:r>
          </w:p>
        </w:tc>
        <w:tc>
          <w:tcPr>
            <w:tcW w:w="1620" w:type="dxa"/>
            <w:vAlign w:val="center"/>
          </w:tcPr>
          <w:p w14:paraId="648C64C0" w14:textId="7835D773" w:rsidR="004B7F18" w:rsidRPr="00FB463B" w:rsidRDefault="004B7F18" w:rsidP="00133584">
            <w:pPr>
              <w:jc w:val="center"/>
              <w:rPr>
                <w:rFonts w:cs="Arial"/>
                <w:b/>
                <w:bCs/>
              </w:rPr>
            </w:pPr>
            <w:r w:rsidRPr="00FB463B">
              <w:rPr>
                <w:rFonts w:eastAsia="BIZ UDGothic" w:cs="Arial"/>
                <w:kern w:val="24"/>
              </w:rPr>
              <w:t>181 (0.2%)</w:t>
            </w:r>
          </w:p>
        </w:tc>
      </w:tr>
      <w:tr w:rsidR="004B7F18" w:rsidRPr="00FB463B" w14:paraId="4664DA2F" w14:textId="77777777" w:rsidTr="00420F2D">
        <w:trPr>
          <w:cantSplit/>
          <w:tblHeader/>
        </w:trPr>
        <w:tc>
          <w:tcPr>
            <w:tcW w:w="1155" w:type="dxa"/>
            <w:vAlign w:val="center"/>
          </w:tcPr>
          <w:p w14:paraId="5B0D37F9" w14:textId="77777777" w:rsidR="004B7F18" w:rsidRPr="00FB463B" w:rsidRDefault="004B7F18" w:rsidP="00422B00">
            <w:pPr>
              <w:rPr>
                <w:rFonts w:cs="Arial"/>
                <w:b/>
                <w:bCs/>
              </w:rPr>
            </w:pPr>
            <w:r w:rsidRPr="00FB463B">
              <w:rPr>
                <w:rFonts w:eastAsia="BIZ UDGothic" w:cs="Arial"/>
                <w:kern w:val="24"/>
              </w:rPr>
              <w:t>2021-22</w:t>
            </w:r>
          </w:p>
        </w:tc>
        <w:tc>
          <w:tcPr>
            <w:tcW w:w="1990" w:type="dxa"/>
            <w:vAlign w:val="center"/>
          </w:tcPr>
          <w:p w14:paraId="25294046" w14:textId="0575AB9C" w:rsidR="004B7F18" w:rsidRPr="00FB463B" w:rsidRDefault="004B7F18" w:rsidP="00133584">
            <w:pPr>
              <w:jc w:val="center"/>
              <w:rPr>
                <w:rFonts w:cs="Arial"/>
                <w:b/>
                <w:bCs/>
              </w:rPr>
            </w:pPr>
            <w:r w:rsidRPr="00FB463B">
              <w:rPr>
                <w:rFonts w:eastAsia="BIZ UDGothic" w:cs="Arial"/>
                <w:kern w:val="24"/>
              </w:rPr>
              <w:t>7,089 (1.7%)</w:t>
            </w:r>
          </w:p>
        </w:tc>
        <w:tc>
          <w:tcPr>
            <w:tcW w:w="1620" w:type="dxa"/>
            <w:vAlign w:val="center"/>
          </w:tcPr>
          <w:p w14:paraId="3A9377B9" w14:textId="0988BC6F" w:rsidR="004B7F18" w:rsidRPr="00FB463B" w:rsidRDefault="004B7F18" w:rsidP="00133584">
            <w:pPr>
              <w:jc w:val="center"/>
              <w:rPr>
                <w:rFonts w:cs="Arial"/>
                <w:b/>
                <w:bCs/>
              </w:rPr>
            </w:pPr>
            <w:r w:rsidRPr="00FB463B">
              <w:rPr>
                <w:rFonts w:eastAsia="BIZ UDGothic" w:cs="Arial"/>
                <w:kern w:val="24"/>
              </w:rPr>
              <w:t>134 (0.2%)</w:t>
            </w:r>
          </w:p>
        </w:tc>
      </w:tr>
      <w:tr w:rsidR="004B7F18" w:rsidRPr="00FB463B" w14:paraId="40CFA446" w14:textId="77777777" w:rsidTr="00420F2D">
        <w:trPr>
          <w:cantSplit/>
          <w:tblHeader/>
        </w:trPr>
        <w:tc>
          <w:tcPr>
            <w:tcW w:w="1155" w:type="dxa"/>
            <w:vAlign w:val="center"/>
          </w:tcPr>
          <w:p w14:paraId="26131F15" w14:textId="77777777" w:rsidR="004B7F18" w:rsidRPr="00FB463B" w:rsidRDefault="004B7F18" w:rsidP="00422B00">
            <w:pPr>
              <w:rPr>
                <w:rFonts w:cs="Arial"/>
                <w:b/>
                <w:bCs/>
              </w:rPr>
            </w:pPr>
            <w:r w:rsidRPr="00FB463B">
              <w:rPr>
                <w:rFonts w:eastAsia="BIZ UDGothic" w:cs="Arial"/>
                <w:b/>
                <w:bCs/>
                <w:kern w:val="24"/>
              </w:rPr>
              <w:t>Total</w:t>
            </w:r>
          </w:p>
        </w:tc>
        <w:tc>
          <w:tcPr>
            <w:tcW w:w="1990" w:type="dxa"/>
            <w:vAlign w:val="center"/>
          </w:tcPr>
          <w:p w14:paraId="469C3295" w14:textId="77777777" w:rsidR="004B7F18" w:rsidRPr="00FB463B" w:rsidRDefault="004B7F18" w:rsidP="00422B00">
            <w:pPr>
              <w:jc w:val="center"/>
              <w:rPr>
                <w:rFonts w:cs="Arial"/>
                <w:b/>
                <w:bCs/>
              </w:rPr>
            </w:pPr>
            <w:r w:rsidRPr="00FB463B">
              <w:rPr>
                <w:rFonts w:cs="Arial"/>
                <w:b/>
                <w:bCs/>
              </w:rPr>
              <w:t>11,334 (2.7%)</w:t>
            </w:r>
          </w:p>
        </w:tc>
        <w:tc>
          <w:tcPr>
            <w:tcW w:w="1620" w:type="dxa"/>
            <w:vAlign w:val="center"/>
          </w:tcPr>
          <w:p w14:paraId="714D62AE" w14:textId="74B592B5" w:rsidR="004B7F18" w:rsidRPr="00FB463B" w:rsidRDefault="004B7F18" w:rsidP="00133584">
            <w:pPr>
              <w:jc w:val="center"/>
              <w:rPr>
                <w:rFonts w:cs="Arial"/>
                <w:b/>
                <w:bCs/>
              </w:rPr>
            </w:pPr>
            <w:r w:rsidRPr="00FB463B">
              <w:rPr>
                <w:rFonts w:cs="Arial"/>
                <w:b/>
                <w:bCs/>
              </w:rPr>
              <w:t>315 (0.4%)</w:t>
            </w:r>
          </w:p>
        </w:tc>
      </w:tr>
    </w:tbl>
    <w:p w14:paraId="00765673" w14:textId="77777777" w:rsidR="004B7F18" w:rsidRPr="00FB463B" w:rsidRDefault="004B7F18" w:rsidP="00AA4D24">
      <w:pPr>
        <w:rPr>
          <w:rFonts w:cs="Arial"/>
        </w:rPr>
        <w:sectPr w:rsidR="004B7F18" w:rsidRPr="00FB463B" w:rsidSect="005F192B">
          <w:type w:val="continuous"/>
          <w:pgSz w:w="12240" w:h="15840"/>
          <w:pgMar w:top="1440" w:right="1440" w:bottom="1440" w:left="1440" w:header="720" w:footer="720" w:gutter="0"/>
          <w:cols w:num="2" w:space="720"/>
          <w:docGrid w:linePitch="360"/>
        </w:sectPr>
      </w:pPr>
    </w:p>
    <w:p w14:paraId="42A19447" w14:textId="35FAF033" w:rsidR="00BE1CC4" w:rsidRPr="00FB463B" w:rsidRDefault="008A7A7A" w:rsidP="00AA4D24">
      <w:pPr>
        <w:rPr>
          <w:rFonts w:cs="Arial"/>
          <w:b/>
          <w:bCs/>
        </w:rPr>
      </w:pPr>
      <w:r w:rsidRPr="00FB463B">
        <w:rPr>
          <w:rFonts w:cs="Arial"/>
          <w:b/>
          <w:bCs/>
          <w:i/>
          <w:iCs/>
        </w:rPr>
        <w:t xml:space="preserve">Class of 2022 </w:t>
      </w:r>
      <w:r w:rsidR="006D0E01" w:rsidRPr="00FB463B">
        <w:rPr>
          <w:rFonts w:cs="Arial"/>
          <w:b/>
          <w:bCs/>
          <w:i/>
          <w:iCs/>
        </w:rPr>
        <w:t>Completion</w:t>
      </w:r>
      <w:r w:rsidRPr="00FB463B">
        <w:rPr>
          <w:rFonts w:cs="Arial"/>
          <w:b/>
          <w:bCs/>
          <w:i/>
          <w:iCs/>
        </w:rPr>
        <w:t xml:space="preserve"> </w:t>
      </w:r>
      <w:r w:rsidR="00180B6A" w:rsidRPr="00FB463B">
        <w:rPr>
          <w:rFonts w:cs="Arial"/>
          <w:b/>
          <w:bCs/>
          <w:i/>
          <w:iCs/>
        </w:rPr>
        <w:t>of</w:t>
      </w:r>
      <w:r w:rsidR="005F642A" w:rsidRPr="00FB463B">
        <w:rPr>
          <w:rFonts w:cs="Arial"/>
          <w:b/>
          <w:bCs/>
          <w:i/>
          <w:iCs/>
        </w:rPr>
        <w:t xml:space="preserve"> the </w:t>
      </w:r>
      <w:r w:rsidR="00344033" w:rsidRPr="00FB463B">
        <w:rPr>
          <w:rFonts w:cs="Arial"/>
          <w:b/>
          <w:bCs/>
          <w:i/>
          <w:iCs/>
        </w:rPr>
        <w:t>ASVAB</w:t>
      </w:r>
    </w:p>
    <w:p w14:paraId="60FC46E5" w14:textId="77777777" w:rsidR="008B0690" w:rsidRPr="00FB463B" w:rsidRDefault="008B0690" w:rsidP="00AA4D24">
      <w:pPr>
        <w:rPr>
          <w:rFonts w:cs="Arial"/>
        </w:rPr>
        <w:sectPr w:rsidR="008B0690" w:rsidRPr="00FB463B" w:rsidSect="008B0690">
          <w:type w:val="continuous"/>
          <w:pgSz w:w="12240" w:h="15840"/>
          <w:pgMar w:top="1440" w:right="1440" w:bottom="1440" w:left="1440" w:header="720" w:footer="720" w:gutter="0"/>
          <w:cols w:space="720"/>
          <w:docGrid w:linePitch="360"/>
        </w:sectPr>
      </w:pPr>
    </w:p>
    <w:p w14:paraId="303FA554" w14:textId="77777777" w:rsidR="00BE1CC4" w:rsidRPr="00FB463B" w:rsidRDefault="00BE1CC4" w:rsidP="00AA4D24">
      <w:pPr>
        <w:rPr>
          <w:rFonts w:cs="Arial"/>
        </w:rPr>
      </w:pPr>
    </w:p>
    <w:p w14:paraId="523108B2" w14:textId="4C0941F9" w:rsidR="008855BD" w:rsidRPr="00FB463B" w:rsidRDefault="005F642A" w:rsidP="008855BD">
      <w:pPr>
        <w:rPr>
          <w:rFonts w:cs="Arial"/>
          <w:b/>
          <w:bCs/>
        </w:rPr>
      </w:pPr>
      <w:r w:rsidRPr="00FB463B">
        <w:rPr>
          <w:rFonts w:cs="Arial"/>
          <w:b/>
          <w:bCs/>
        </w:rPr>
        <w:t xml:space="preserve">Table </w:t>
      </w:r>
      <w:r w:rsidR="00074A06" w:rsidRPr="00FB463B">
        <w:rPr>
          <w:rFonts w:cs="Arial"/>
          <w:b/>
          <w:bCs/>
        </w:rPr>
        <w:t>27</w:t>
      </w:r>
      <w:r w:rsidRPr="00FB463B">
        <w:rPr>
          <w:rFonts w:cs="Arial"/>
          <w:b/>
          <w:bCs/>
        </w:rPr>
        <w:t xml:space="preserve"> </w:t>
      </w:r>
      <w:r w:rsidR="008855BD" w:rsidRPr="00FB463B">
        <w:rPr>
          <w:rFonts w:cs="Arial"/>
          <w:b/>
          <w:bCs/>
        </w:rPr>
        <w:t>DASS Schools</w:t>
      </w:r>
    </w:p>
    <w:tbl>
      <w:tblPr>
        <w:tblStyle w:val="TableGrid"/>
        <w:tblW w:w="4495" w:type="dxa"/>
        <w:tblLook w:val="04A0" w:firstRow="1" w:lastRow="0" w:firstColumn="1" w:lastColumn="0" w:noHBand="0" w:noVBand="1"/>
        <w:tblCaption w:val="Table 27: DASS Schools"/>
        <w:tblDescription w:val="DASS Schools"/>
      </w:tblPr>
      <w:tblGrid>
        <w:gridCol w:w="1165"/>
        <w:gridCol w:w="1710"/>
        <w:gridCol w:w="1620"/>
      </w:tblGrid>
      <w:tr w:rsidR="008855BD" w:rsidRPr="00FB463B" w14:paraId="15B8ED1C" w14:textId="77777777" w:rsidTr="001412D6">
        <w:trPr>
          <w:cantSplit/>
          <w:tblHeader/>
        </w:trPr>
        <w:tc>
          <w:tcPr>
            <w:tcW w:w="1165" w:type="dxa"/>
            <w:shd w:val="clear" w:color="auto" w:fill="DEEAF6" w:themeFill="accent1" w:themeFillTint="33"/>
            <w:vAlign w:val="center"/>
          </w:tcPr>
          <w:p w14:paraId="3E276AC2" w14:textId="77777777" w:rsidR="008855BD" w:rsidRPr="00FB463B" w:rsidRDefault="008855BD" w:rsidP="00422B00">
            <w:pPr>
              <w:jc w:val="center"/>
              <w:rPr>
                <w:rFonts w:cs="Arial"/>
              </w:rPr>
            </w:pPr>
            <w:r w:rsidRPr="00FB463B">
              <w:rPr>
                <w:rFonts w:eastAsia="BIZ UDGothic" w:cs="Arial"/>
                <w:b/>
                <w:kern w:val="24"/>
              </w:rPr>
              <w:t>Year</w:t>
            </w:r>
          </w:p>
        </w:tc>
        <w:tc>
          <w:tcPr>
            <w:tcW w:w="1710" w:type="dxa"/>
            <w:shd w:val="clear" w:color="auto" w:fill="DEEAF6" w:themeFill="accent1" w:themeFillTint="33"/>
            <w:vAlign w:val="center"/>
          </w:tcPr>
          <w:p w14:paraId="09376301" w14:textId="77777777" w:rsidR="008855BD" w:rsidRPr="00FB463B" w:rsidRDefault="008855BD"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Graduates</w:t>
            </w:r>
          </w:p>
          <w:p w14:paraId="2CDDDEA1" w14:textId="77777777" w:rsidR="008855BD" w:rsidRPr="00FB463B" w:rsidRDefault="008855BD" w:rsidP="00422B00">
            <w:pPr>
              <w:jc w:val="center"/>
              <w:rPr>
                <w:rFonts w:cs="Arial"/>
              </w:rPr>
            </w:pPr>
            <w:r w:rsidRPr="00FB463B">
              <w:rPr>
                <w:rFonts w:eastAsia="BIZ UDGothic" w:cs="Arial"/>
                <w:b/>
                <w:kern w:val="24"/>
              </w:rPr>
              <w:t>(n=33,031)</w:t>
            </w:r>
          </w:p>
        </w:tc>
        <w:tc>
          <w:tcPr>
            <w:tcW w:w="1620" w:type="dxa"/>
            <w:shd w:val="clear" w:color="auto" w:fill="DEEAF6" w:themeFill="accent1" w:themeFillTint="33"/>
            <w:vAlign w:val="center"/>
          </w:tcPr>
          <w:p w14:paraId="56B281FB" w14:textId="77777777" w:rsidR="008855BD" w:rsidRPr="00FB463B" w:rsidRDefault="008855BD"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Non-Graduates</w:t>
            </w:r>
          </w:p>
          <w:p w14:paraId="19315C91" w14:textId="77777777" w:rsidR="008855BD" w:rsidRPr="00FB463B" w:rsidRDefault="008855BD" w:rsidP="00422B00">
            <w:pPr>
              <w:jc w:val="center"/>
              <w:rPr>
                <w:rFonts w:cs="Arial"/>
              </w:rPr>
            </w:pPr>
            <w:r w:rsidRPr="00FB463B">
              <w:rPr>
                <w:rFonts w:eastAsia="BIZ UDGothic" w:cs="Arial"/>
                <w:b/>
                <w:kern w:val="24"/>
              </w:rPr>
              <w:t>(n=33,903)</w:t>
            </w:r>
          </w:p>
        </w:tc>
      </w:tr>
      <w:tr w:rsidR="008855BD" w:rsidRPr="00FB463B" w14:paraId="495EB1A2" w14:textId="77777777" w:rsidTr="001412D6">
        <w:trPr>
          <w:cantSplit/>
          <w:tblHeader/>
        </w:trPr>
        <w:tc>
          <w:tcPr>
            <w:tcW w:w="1165" w:type="dxa"/>
            <w:vAlign w:val="center"/>
          </w:tcPr>
          <w:p w14:paraId="726D1B1E" w14:textId="77777777" w:rsidR="008855BD" w:rsidRPr="00FB463B" w:rsidRDefault="008855BD" w:rsidP="00422B00">
            <w:pPr>
              <w:rPr>
                <w:rFonts w:cs="Arial"/>
              </w:rPr>
            </w:pPr>
            <w:r w:rsidRPr="00FB463B">
              <w:rPr>
                <w:rFonts w:eastAsia="BIZ UDGothic" w:cs="Arial"/>
                <w:color w:val="000000" w:themeColor="dark1"/>
                <w:kern w:val="24"/>
              </w:rPr>
              <w:t>2019-20</w:t>
            </w:r>
          </w:p>
        </w:tc>
        <w:tc>
          <w:tcPr>
            <w:tcW w:w="1710" w:type="dxa"/>
            <w:vAlign w:val="center"/>
          </w:tcPr>
          <w:p w14:paraId="5EB646D5" w14:textId="5F594D75" w:rsidR="008855BD" w:rsidRPr="00FB463B" w:rsidRDefault="008855BD" w:rsidP="005F642A">
            <w:pPr>
              <w:jc w:val="center"/>
              <w:rPr>
                <w:rFonts w:cs="Arial"/>
              </w:rPr>
            </w:pPr>
            <w:r w:rsidRPr="00FB463B">
              <w:rPr>
                <w:rFonts w:eastAsia="BIZ UDGothic" w:cs="Arial"/>
                <w:color w:val="000000" w:themeColor="dark1"/>
                <w:kern w:val="24"/>
              </w:rPr>
              <w:t>84 (0.25%)</w:t>
            </w:r>
          </w:p>
        </w:tc>
        <w:tc>
          <w:tcPr>
            <w:tcW w:w="1620" w:type="dxa"/>
            <w:vAlign w:val="center"/>
          </w:tcPr>
          <w:p w14:paraId="11C839D1" w14:textId="127588E6" w:rsidR="008855BD" w:rsidRPr="00FB463B" w:rsidRDefault="008855BD" w:rsidP="005F642A">
            <w:pPr>
              <w:jc w:val="center"/>
              <w:rPr>
                <w:rFonts w:cs="Arial"/>
              </w:rPr>
            </w:pPr>
            <w:r w:rsidRPr="00FB463B">
              <w:rPr>
                <w:rFonts w:eastAsia="BIZ UDGothic" w:cs="Arial"/>
                <w:color w:val="354052"/>
                <w:kern w:val="24"/>
              </w:rPr>
              <w:t>24 (0.07%)</w:t>
            </w:r>
          </w:p>
        </w:tc>
      </w:tr>
      <w:tr w:rsidR="008855BD" w:rsidRPr="00FB463B" w14:paraId="44877F9D" w14:textId="77777777" w:rsidTr="001412D6">
        <w:trPr>
          <w:cantSplit/>
          <w:tblHeader/>
        </w:trPr>
        <w:tc>
          <w:tcPr>
            <w:tcW w:w="1165" w:type="dxa"/>
            <w:vAlign w:val="center"/>
          </w:tcPr>
          <w:p w14:paraId="50D18238" w14:textId="77777777" w:rsidR="008855BD" w:rsidRPr="00FB463B" w:rsidRDefault="008855BD" w:rsidP="00422B00">
            <w:pPr>
              <w:rPr>
                <w:rFonts w:cs="Arial"/>
              </w:rPr>
            </w:pPr>
            <w:r w:rsidRPr="00FB463B">
              <w:rPr>
                <w:rFonts w:eastAsia="BIZ UDGothic" w:cs="Arial"/>
                <w:color w:val="000000" w:themeColor="dark1"/>
                <w:kern w:val="24"/>
              </w:rPr>
              <w:t>2020-21</w:t>
            </w:r>
          </w:p>
        </w:tc>
        <w:tc>
          <w:tcPr>
            <w:tcW w:w="1710" w:type="dxa"/>
            <w:vAlign w:val="center"/>
          </w:tcPr>
          <w:p w14:paraId="107D8D8A" w14:textId="309017D1" w:rsidR="008855BD" w:rsidRPr="00FB463B" w:rsidRDefault="008855BD" w:rsidP="005F642A">
            <w:pPr>
              <w:jc w:val="center"/>
              <w:rPr>
                <w:rFonts w:cs="Arial"/>
              </w:rPr>
            </w:pPr>
            <w:r w:rsidRPr="00FB463B">
              <w:rPr>
                <w:rFonts w:eastAsia="BIZ UDGothic" w:cs="Arial"/>
                <w:color w:val="354052"/>
                <w:kern w:val="24"/>
              </w:rPr>
              <w:t>20 (0.06%)</w:t>
            </w:r>
          </w:p>
        </w:tc>
        <w:tc>
          <w:tcPr>
            <w:tcW w:w="1620" w:type="dxa"/>
            <w:vAlign w:val="center"/>
          </w:tcPr>
          <w:p w14:paraId="3BABAFE4" w14:textId="4EA8E61A" w:rsidR="008855BD" w:rsidRPr="00FB463B" w:rsidRDefault="008855BD" w:rsidP="005F642A">
            <w:pPr>
              <w:jc w:val="center"/>
              <w:rPr>
                <w:rFonts w:cs="Arial"/>
              </w:rPr>
            </w:pPr>
            <w:r w:rsidRPr="00FB463B">
              <w:rPr>
                <w:rFonts w:eastAsia="BIZ UDGothic" w:cs="Arial"/>
                <w:color w:val="354052"/>
                <w:kern w:val="24"/>
              </w:rPr>
              <w:t>6 (0.02%)</w:t>
            </w:r>
          </w:p>
        </w:tc>
      </w:tr>
      <w:tr w:rsidR="008855BD" w:rsidRPr="00FB463B" w14:paraId="243EE0EF" w14:textId="77777777" w:rsidTr="001412D6">
        <w:trPr>
          <w:cantSplit/>
          <w:tblHeader/>
        </w:trPr>
        <w:tc>
          <w:tcPr>
            <w:tcW w:w="1165" w:type="dxa"/>
            <w:vAlign w:val="center"/>
          </w:tcPr>
          <w:p w14:paraId="1D37964F" w14:textId="77777777" w:rsidR="008855BD" w:rsidRPr="00FB463B" w:rsidRDefault="008855BD" w:rsidP="00422B00">
            <w:pPr>
              <w:rPr>
                <w:rFonts w:cs="Arial"/>
              </w:rPr>
            </w:pPr>
            <w:r w:rsidRPr="00FB463B">
              <w:rPr>
                <w:rFonts w:eastAsia="BIZ UDGothic" w:cs="Arial"/>
                <w:color w:val="354052"/>
                <w:kern w:val="24"/>
              </w:rPr>
              <w:t>2021-22</w:t>
            </w:r>
          </w:p>
        </w:tc>
        <w:tc>
          <w:tcPr>
            <w:tcW w:w="1710" w:type="dxa"/>
            <w:vAlign w:val="center"/>
          </w:tcPr>
          <w:p w14:paraId="788E1A3B" w14:textId="2974D0CF" w:rsidR="008855BD" w:rsidRPr="00FB463B" w:rsidRDefault="008855BD" w:rsidP="005F642A">
            <w:pPr>
              <w:jc w:val="center"/>
              <w:rPr>
                <w:rFonts w:cs="Arial"/>
              </w:rPr>
            </w:pPr>
            <w:r w:rsidRPr="00FB463B">
              <w:rPr>
                <w:rFonts w:eastAsia="BIZ UDGothic" w:cs="Arial"/>
                <w:color w:val="354052"/>
                <w:kern w:val="24"/>
              </w:rPr>
              <w:t>89 (0.27%)</w:t>
            </w:r>
          </w:p>
        </w:tc>
        <w:tc>
          <w:tcPr>
            <w:tcW w:w="1620" w:type="dxa"/>
            <w:vAlign w:val="center"/>
          </w:tcPr>
          <w:p w14:paraId="7E9138D9" w14:textId="1EEC72D5" w:rsidR="008855BD" w:rsidRPr="00FB463B" w:rsidRDefault="008855BD" w:rsidP="005F642A">
            <w:pPr>
              <w:jc w:val="center"/>
              <w:rPr>
                <w:rFonts w:cs="Arial"/>
              </w:rPr>
            </w:pPr>
            <w:r w:rsidRPr="00FB463B">
              <w:rPr>
                <w:rFonts w:eastAsia="BIZ UDGothic" w:cs="Arial"/>
                <w:color w:val="354052"/>
                <w:kern w:val="24"/>
              </w:rPr>
              <w:t>18 (0.05%)</w:t>
            </w:r>
          </w:p>
        </w:tc>
      </w:tr>
      <w:tr w:rsidR="008855BD" w:rsidRPr="00FB463B" w14:paraId="5C2D716F" w14:textId="77777777" w:rsidTr="001412D6">
        <w:trPr>
          <w:cantSplit/>
          <w:tblHeader/>
        </w:trPr>
        <w:tc>
          <w:tcPr>
            <w:tcW w:w="1165" w:type="dxa"/>
            <w:vAlign w:val="center"/>
          </w:tcPr>
          <w:p w14:paraId="1B47ED4B" w14:textId="77777777" w:rsidR="008855BD" w:rsidRPr="00FB463B" w:rsidRDefault="008855BD" w:rsidP="00422B00">
            <w:pPr>
              <w:rPr>
                <w:rFonts w:eastAsia="BIZ UDGothic" w:cs="Arial"/>
                <w:b/>
                <w:bCs/>
                <w:kern w:val="24"/>
              </w:rPr>
            </w:pPr>
            <w:r w:rsidRPr="00FB463B">
              <w:rPr>
                <w:rFonts w:eastAsia="BIZ UDGothic" w:cs="Arial"/>
                <w:b/>
                <w:color w:val="000000" w:themeColor="dark1"/>
                <w:kern w:val="24"/>
              </w:rPr>
              <w:t>Total</w:t>
            </w:r>
          </w:p>
        </w:tc>
        <w:tc>
          <w:tcPr>
            <w:tcW w:w="1710" w:type="dxa"/>
            <w:vAlign w:val="center"/>
          </w:tcPr>
          <w:p w14:paraId="31672020" w14:textId="77777777" w:rsidR="008855BD" w:rsidRPr="00FB463B" w:rsidRDefault="008855BD" w:rsidP="00422B00">
            <w:pPr>
              <w:jc w:val="center"/>
              <w:rPr>
                <w:rFonts w:eastAsia="BIZ UDGothic" w:cs="Arial"/>
                <w:b/>
                <w:bCs/>
                <w:kern w:val="24"/>
              </w:rPr>
            </w:pPr>
            <w:r w:rsidRPr="00FB463B">
              <w:rPr>
                <w:rFonts w:eastAsia="BIZ UDGothic" w:cs="Arial"/>
                <w:b/>
                <w:color w:val="000000" w:themeColor="dark1"/>
                <w:kern w:val="24"/>
              </w:rPr>
              <w:t>193 (0.58%)</w:t>
            </w:r>
          </w:p>
        </w:tc>
        <w:tc>
          <w:tcPr>
            <w:tcW w:w="1620" w:type="dxa"/>
            <w:vAlign w:val="center"/>
          </w:tcPr>
          <w:p w14:paraId="5C484936" w14:textId="31514BE9" w:rsidR="008855BD" w:rsidRPr="00FB463B" w:rsidRDefault="008855BD" w:rsidP="005F642A">
            <w:pPr>
              <w:jc w:val="center"/>
              <w:rPr>
                <w:rFonts w:eastAsia="BIZ UDGothic" w:cs="Arial"/>
                <w:b/>
                <w:bCs/>
                <w:kern w:val="24"/>
              </w:rPr>
            </w:pPr>
            <w:r w:rsidRPr="00FB463B">
              <w:rPr>
                <w:rFonts w:eastAsia="BIZ UDGothic" w:cs="Arial"/>
                <w:b/>
                <w:color w:val="000000" w:themeColor="dark1"/>
                <w:kern w:val="24"/>
              </w:rPr>
              <w:t>48 (0.14%)</w:t>
            </w:r>
          </w:p>
        </w:tc>
      </w:tr>
    </w:tbl>
    <w:p w14:paraId="18597366" w14:textId="77777777" w:rsidR="008B0690" w:rsidRPr="00FB463B" w:rsidRDefault="008B0690" w:rsidP="00EF585F">
      <w:pPr>
        <w:rPr>
          <w:rFonts w:cs="Arial"/>
          <w:b/>
          <w:bCs/>
        </w:rPr>
      </w:pPr>
    </w:p>
    <w:p w14:paraId="11ABFF92" w14:textId="1CD7A81F" w:rsidR="00EF585F" w:rsidRPr="00FB463B" w:rsidRDefault="005F642A" w:rsidP="00EF585F">
      <w:pPr>
        <w:rPr>
          <w:rFonts w:cs="Arial"/>
          <w:b/>
          <w:bCs/>
        </w:rPr>
      </w:pPr>
      <w:r w:rsidRPr="00FB463B">
        <w:rPr>
          <w:rFonts w:cs="Arial"/>
          <w:b/>
          <w:bCs/>
        </w:rPr>
        <w:t xml:space="preserve">Table </w:t>
      </w:r>
      <w:r w:rsidR="00074A06" w:rsidRPr="00FB463B">
        <w:rPr>
          <w:rFonts w:cs="Arial"/>
          <w:b/>
          <w:bCs/>
        </w:rPr>
        <w:t>28</w:t>
      </w:r>
      <w:r w:rsidRPr="00FB463B">
        <w:rPr>
          <w:rFonts w:cs="Arial"/>
          <w:b/>
          <w:bCs/>
        </w:rPr>
        <w:t xml:space="preserve"> </w:t>
      </w:r>
      <w:r w:rsidR="00EF585F" w:rsidRPr="00FB463B">
        <w:rPr>
          <w:rFonts w:cs="Arial"/>
          <w:b/>
          <w:bCs/>
        </w:rPr>
        <w:t>Non-DASS Schools</w:t>
      </w:r>
    </w:p>
    <w:tbl>
      <w:tblPr>
        <w:tblStyle w:val="TableGrid"/>
        <w:tblW w:w="4765" w:type="dxa"/>
        <w:tblLook w:val="04A0" w:firstRow="1" w:lastRow="0" w:firstColumn="1" w:lastColumn="0" w:noHBand="0" w:noVBand="1"/>
        <w:tblCaption w:val="Table 28: Non-DASS Schools"/>
        <w:tblDescription w:val="Table 28: Non-DASS Schools"/>
      </w:tblPr>
      <w:tblGrid>
        <w:gridCol w:w="1255"/>
        <w:gridCol w:w="1800"/>
        <w:gridCol w:w="1710"/>
      </w:tblGrid>
      <w:tr w:rsidR="0027077E" w:rsidRPr="00FB463B" w14:paraId="3F369357" w14:textId="77777777" w:rsidTr="008A3AAD">
        <w:trPr>
          <w:cantSplit/>
          <w:tblHeader/>
        </w:trPr>
        <w:tc>
          <w:tcPr>
            <w:tcW w:w="1255" w:type="dxa"/>
            <w:shd w:val="clear" w:color="auto" w:fill="DEEAF6" w:themeFill="accent1" w:themeFillTint="33"/>
            <w:vAlign w:val="center"/>
          </w:tcPr>
          <w:p w14:paraId="0E78393E" w14:textId="77777777" w:rsidR="00EF585F" w:rsidRPr="00FB463B" w:rsidRDefault="00EF585F" w:rsidP="00422B00">
            <w:pPr>
              <w:jc w:val="center"/>
              <w:rPr>
                <w:rFonts w:cs="Arial"/>
                <w:b/>
                <w:bCs/>
              </w:rPr>
            </w:pPr>
            <w:r w:rsidRPr="00FB463B">
              <w:rPr>
                <w:rFonts w:eastAsia="BIZ UDGothic" w:cs="Arial"/>
                <w:b/>
                <w:kern w:val="24"/>
              </w:rPr>
              <w:t>Year</w:t>
            </w:r>
          </w:p>
        </w:tc>
        <w:tc>
          <w:tcPr>
            <w:tcW w:w="1800" w:type="dxa"/>
            <w:shd w:val="clear" w:color="auto" w:fill="DEEAF6" w:themeFill="accent1" w:themeFillTint="33"/>
            <w:vAlign w:val="center"/>
          </w:tcPr>
          <w:p w14:paraId="3538C8A8" w14:textId="77777777" w:rsidR="00EF585F" w:rsidRPr="00FB463B" w:rsidRDefault="00EF585F"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Graduates</w:t>
            </w:r>
          </w:p>
          <w:p w14:paraId="5E76934C" w14:textId="77777777" w:rsidR="00EF585F" w:rsidRPr="00FB463B" w:rsidRDefault="00EF585F" w:rsidP="00422B00">
            <w:pPr>
              <w:jc w:val="center"/>
              <w:rPr>
                <w:rFonts w:cs="Arial"/>
                <w:b/>
                <w:bCs/>
              </w:rPr>
            </w:pPr>
            <w:r w:rsidRPr="00FB463B">
              <w:rPr>
                <w:rFonts w:eastAsia="BIZ UDGothic" w:cs="Arial"/>
                <w:b/>
                <w:kern w:val="24"/>
              </w:rPr>
              <w:t>(n=400,324)</w:t>
            </w:r>
          </w:p>
        </w:tc>
        <w:tc>
          <w:tcPr>
            <w:tcW w:w="1710" w:type="dxa"/>
            <w:shd w:val="clear" w:color="auto" w:fill="DEEAF6" w:themeFill="accent1" w:themeFillTint="33"/>
            <w:vAlign w:val="center"/>
          </w:tcPr>
          <w:p w14:paraId="05FDA248" w14:textId="77777777" w:rsidR="00EF585F" w:rsidRPr="00FB463B" w:rsidRDefault="00EF585F" w:rsidP="00422B00">
            <w:pPr>
              <w:pStyle w:val="NormalWeb"/>
              <w:spacing w:before="0" w:beforeAutospacing="0" w:after="0" w:afterAutospacing="0"/>
              <w:jc w:val="center"/>
              <w:rPr>
                <w:rFonts w:ascii="Arial" w:hAnsi="Arial" w:cs="Arial"/>
              </w:rPr>
            </w:pPr>
            <w:r w:rsidRPr="00FB463B">
              <w:rPr>
                <w:rFonts w:ascii="Arial" w:eastAsia="BIZ UDGothic" w:hAnsi="Arial" w:cs="Arial"/>
                <w:b/>
                <w:kern w:val="24"/>
              </w:rPr>
              <w:t>Non-Graduates</w:t>
            </w:r>
          </w:p>
          <w:p w14:paraId="6E474532" w14:textId="77777777" w:rsidR="00EF585F" w:rsidRPr="00FB463B" w:rsidRDefault="00EF585F" w:rsidP="00422B00">
            <w:pPr>
              <w:jc w:val="center"/>
              <w:rPr>
                <w:rFonts w:cs="Arial"/>
                <w:b/>
                <w:bCs/>
              </w:rPr>
            </w:pPr>
            <w:r w:rsidRPr="00FB463B">
              <w:rPr>
                <w:rFonts w:eastAsia="BIZ UDGothic" w:cs="Arial"/>
                <w:b/>
                <w:kern w:val="24"/>
              </w:rPr>
              <w:t>(n=57,147)</w:t>
            </w:r>
          </w:p>
        </w:tc>
      </w:tr>
      <w:tr w:rsidR="00EF585F" w:rsidRPr="00FB463B" w14:paraId="799AC2FE" w14:textId="77777777" w:rsidTr="008A3AAD">
        <w:trPr>
          <w:cantSplit/>
          <w:tblHeader/>
        </w:trPr>
        <w:tc>
          <w:tcPr>
            <w:tcW w:w="1255" w:type="dxa"/>
            <w:vAlign w:val="center"/>
          </w:tcPr>
          <w:p w14:paraId="2BBF33F8" w14:textId="77777777" w:rsidR="00EF585F" w:rsidRPr="00FB463B" w:rsidRDefault="00EF585F" w:rsidP="00422B00">
            <w:pPr>
              <w:rPr>
                <w:rFonts w:cs="Arial"/>
                <w:b/>
                <w:bCs/>
              </w:rPr>
            </w:pPr>
            <w:r w:rsidRPr="00FB463B">
              <w:rPr>
                <w:rFonts w:eastAsia="BIZ UDGothic" w:cs="Arial"/>
                <w:color w:val="000000" w:themeColor="dark1"/>
                <w:kern w:val="24"/>
              </w:rPr>
              <w:t>2019-20</w:t>
            </w:r>
          </w:p>
        </w:tc>
        <w:tc>
          <w:tcPr>
            <w:tcW w:w="1800" w:type="dxa"/>
            <w:vAlign w:val="center"/>
          </w:tcPr>
          <w:p w14:paraId="61396FE2" w14:textId="331404F9" w:rsidR="00EF585F" w:rsidRPr="00FB463B" w:rsidRDefault="00EF585F" w:rsidP="00422B00">
            <w:pPr>
              <w:jc w:val="center"/>
              <w:rPr>
                <w:rFonts w:cs="Arial"/>
                <w:b/>
                <w:bCs/>
              </w:rPr>
            </w:pPr>
            <w:r w:rsidRPr="00FB463B">
              <w:rPr>
                <w:rFonts w:eastAsia="BIZ UDGothic" w:cs="Arial"/>
                <w:color w:val="354052"/>
                <w:kern w:val="24"/>
              </w:rPr>
              <w:t>1,322 (0.33%)</w:t>
            </w:r>
          </w:p>
        </w:tc>
        <w:tc>
          <w:tcPr>
            <w:tcW w:w="1710" w:type="dxa"/>
            <w:vAlign w:val="center"/>
          </w:tcPr>
          <w:p w14:paraId="7386132E" w14:textId="249D6AEE" w:rsidR="00EF585F" w:rsidRPr="00FB463B" w:rsidRDefault="00EF585F" w:rsidP="005F642A">
            <w:pPr>
              <w:jc w:val="center"/>
              <w:rPr>
                <w:rFonts w:cs="Arial"/>
                <w:b/>
                <w:bCs/>
              </w:rPr>
            </w:pPr>
            <w:r w:rsidRPr="00FB463B">
              <w:rPr>
                <w:rFonts w:eastAsia="BIZ UDGothic" w:cs="Arial"/>
                <w:color w:val="354052"/>
                <w:kern w:val="24"/>
              </w:rPr>
              <w:t>73 (0.13%)</w:t>
            </w:r>
          </w:p>
        </w:tc>
      </w:tr>
      <w:tr w:rsidR="00EF585F" w:rsidRPr="00FB463B" w14:paraId="6B823BB7" w14:textId="77777777" w:rsidTr="008A3AAD">
        <w:trPr>
          <w:cantSplit/>
          <w:tblHeader/>
        </w:trPr>
        <w:tc>
          <w:tcPr>
            <w:tcW w:w="1255" w:type="dxa"/>
            <w:vAlign w:val="center"/>
          </w:tcPr>
          <w:p w14:paraId="41379112" w14:textId="77777777" w:rsidR="00EF585F" w:rsidRPr="00FB463B" w:rsidRDefault="00EF585F" w:rsidP="00422B00">
            <w:pPr>
              <w:rPr>
                <w:rFonts w:cs="Arial"/>
                <w:b/>
                <w:bCs/>
              </w:rPr>
            </w:pPr>
            <w:r w:rsidRPr="00FB463B">
              <w:rPr>
                <w:rFonts w:eastAsia="BIZ UDGothic" w:cs="Arial"/>
                <w:color w:val="000000" w:themeColor="dark1"/>
                <w:kern w:val="24"/>
              </w:rPr>
              <w:t>2020-21</w:t>
            </w:r>
          </w:p>
        </w:tc>
        <w:tc>
          <w:tcPr>
            <w:tcW w:w="1800" w:type="dxa"/>
            <w:vAlign w:val="center"/>
          </w:tcPr>
          <w:p w14:paraId="0BC530B1" w14:textId="690E489A" w:rsidR="00EF585F" w:rsidRPr="00FB463B" w:rsidRDefault="00EF585F" w:rsidP="005F642A">
            <w:pPr>
              <w:jc w:val="center"/>
              <w:rPr>
                <w:rFonts w:cs="Arial"/>
                <w:b/>
                <w:bCs/>
              </w:rPr>
            </w:pPr>
            <w:r w:rsidRPr="00FB463B">
              <w:rPr>
                <w:rFonts w:eastAsia="BIZ UDGothic" w:cs="Arial"/>
                <w:color w:val="354052"/>
                <w:kern w:val="24"/>
              </w:rPr>
              <w:t>291 (0.07%)</w:t>
            </w:r>
          </w:p>
        </w:tc>
        <w:tc>
          <w:tcPr>
            <w:tcW w:w="1710" w:type="dxa"/>
            <w:vAlign w:val="center"/>
          </w:tcPr>
          <w:p w14:paraId="26E99EEA" w14:textId="611E4A71" w:rsidR="00EF585F" w:rsidRPr="00FB463B" w:rsidRDefault="00EF585F" w:rsidP="005F642A">
            <w:pPr>
              <w:jc w:val="center"/>
              <w:rPr>
                <w:rFonts w:cs="Arial"/>
                <w:b/>
                <w:bCs/>
              </w:rPr>
            </w:pPr>
            <w:r w:rsidRPr="00FB463B">
              <w:rPr>
                <w:rFonts w:eastAsia="BIZ UDGothic" w:cs="Arial"/>
                <w:color w:val="354052"/>
                <w:kern w:val="24"/>
              </w:rPr>
              <w:t>11 (0.02%)</w:t>
            </w:r>
          </w:p>
        </w:tc>
      </w:tr>
      <w:tr w:rsidR="00EF585F" w:rsidRPr="00FB463B" w14:paraId="66B540AB" w14:textId="77777777" w:rsidTr="008A3AAD">
        <w:trPr>
          <w:cantSplit/>
          <w:tblHeader/>
        </w:trPr>
        <w:tc>
          <w:tcPr>
            <w:tcW w:w="1255" w:type="dxa"/>
            <w:vAlign w:val="center"/>
          </w:tcPr>
          <w:p w14:paraId="7E39CAF8" w14:textId="77777777" w:rsidR="00EF585F" w:rsidRPr="00FB463B" w:rsidRDefault="00EF585F" w:rsidP="00422B00">
            <w:pPr>
              <w:rPr>
                <w:rFonts w:cs="Arial"/>
                <w:b/>
                <w:bCs/>
              </w:rPr>
            </w:pPr>
            <w:r w:rsidRPr="00FB463B">
              <w:rPr>
                <w:rFonts w:eastAsia="BIZ UDGothic" w:cs="Arial"/>
                <w:color w:val="354052"/>
                <w:kern w:val="24"/>
              </w:rPr>
              <w:t>2021-22</w:t>
            </w:r>
          </w:p>
        </w:tc>
        <w:tc>
          <w:tcPr>
            <w:tcW w:w="1800" w:type="dxa"/>
            <w:vAlign w:val="center"/>
          </w:tcPr>
          <w:p w14:paraId="0A2C9717" w14:textId="77777777" w:rsidR="00EF585F" w:rsidRPr="00FB463B" w:rsidRDefault="00EF585F" w:rsidP="00422B00">
            <w:pPr>
              <w:jc w:val="center"/>
              <w:rPr>
                <w:rFonts w:cs="Arial"/>
                <w:b/>
                <w:bCs/>
              </w:rPr>
            </w:pPr>
            <w:r w:rsidRPr="00FB463B">
              <w:rPr>
                <w:rFonts w:eastAsia="BIZ UDGothic" w:cs="Arial"/>
                <w:color w:val="354052"/>
                <w:kern w:val="24"/>
              </w:rPr>
              <w:t>1,412 (0.40%)</w:t>
            </w:r>
          </w:p>
        </w:tc>
        <w:tc>
          <w:tcPr>
            <w:tcW w:w="1710" w:type="dxa"/>
            <w:vAlign w:val="center"/>
          </w:tcPr>
          <w:p w14:paraId="6BACFEBB" w14:textId="72A2CB7A" w:rsidR="00EF585F" w:rsidRPr="00FB463B" w:rsidRDefault="00EF585F" w:rsidP="005F642A">
            <w:pPr>
              <w:jc w:val="center"/>
              <w:rPr>
                <w:rFonts w:cs="Arial"/>
                <w:b/>
                <w:bCs/>
              </w:rPr>
            </w:pPr>
            <w:r w:rsidRPr="00FB463B">
              <w:rPr>
                <w:rFonts w:eastAsia="BIZ UDGothic" w:cs="Arial"/>
                <w:color w:val="354052"/>
                <w:kern w:val="24"/>
              </w:rPr>
              <w:t>30 (0.05%)</w:t>
            </w:r>
          </w:p>
        </w:tc>
      </w:tr>
      <w:tr w:rsidR="00EF585F" w:rsidRPr="00FB463B" w14:paraId="5A517538" w14:textId="77777777" w:rsidTr="008A3AAD">
        <w:trPr>
          <w:cantSplit/>
          <w:tblHeader/>
        </w:trPr>
        <w:tc>
          <w:tcPr>
            <w:tcW w:w="1255" w:type="dxa"/>
            <w:vAlign w:val="center"/>
          </w:tcPr>
          <w:p w14:paraId="527EE053" w14:textId="77777777" w:rsidR="00EF585F" w:rsidRPr="00FB463B" w:rsidRDefault="00EF585F" w:rsidP="00422B00">
            <w:pPr>
              <w:rPr>
                <w:rFonts w:cs="Arial"/>
                <w:b/>
                <w:bCs/>
              </w:rPr>
            </w:pPr>
            <w:r w:rsidRPr="00FB463B">
              <w:rPr>
                <w:rFonts w:eastAsia="BIZ UDGothic" w:cs="Arial"/>
                <w:b/>
                <w:color w:val="000000" w:themeColor="dark1"/>
                <w:kern w:val="24"/>
              </w:rPr>
              <w:t>Total</w:t>
            </w:r>
          </w:p>
        </w:tc>
        <w:tc>
          <w:tcPr>
            <w:tcW w:w="1800" w:type="dxa"/>
            <w:vAlign w:val="center"/>
          </w:tcPr>
          <w:p w14:paraId="6870A1D2" w14:textId="77777777" w:rsidR="00EF585F" w:rsidRPr="00FB463B" w:rsidRDefault="00EF585F" w:rsidP="00422B00">
            <w:pPr>
              <w:jc w:val="center"/>
              <w:rPr>
                <w:rFonts w:cs="Arial"/>
                <w:b/>
                <w:bCs/>
              </w:rPr>
            </w:pPr>
            <w:r w:rsidRPr="00FB463B">
              <w:rPr>
                <w:rFonts w:eastAsia="BIZ UDGothic" w:cs="Arial"/>
                <w:b/>
                <w:color w:val="000000" w:themeColor="dark1"/>
                <w:kern w:val="24"/>
              </w:rPr>
              <w:t>3,025 (0.80%)</w:t>
            </w:r>
          </w:p>
        </w:tc>
        <w:tc>
          <w:tcPr>
            <w:tcW w:w="1710" w:type="dxa"/>
            <w:vAlign w:val="center"/>
          </w:tcPr>
          <w:p w14:paraId="43FCF50B" w14:textId="7D8B81CB" w:rsidR="00EF585F" w:rsidRPr="00FB463B" w:rsidRDefault="00EF585F" w:rsidP="005F642A">
            <w:pPr>
              <w:jc w:val="center"/>
              <w:rPr>
                <w:rFonts w:cs="Arial"/>
                <w:b/>
                <w:bCs/>
              </w:rPr>
            </w:pPr>
            <w:r w:rsidRPr="00FB463B">
              <w:rPr>
                <w:rFonts w:eastAsia="BIZ UDGothic" w:cs="Arial"/>
                <w:b/>
                <w:color w:val="000000" w:themeColor="dark1"/>
                <w:kern w:val="24"/>
              </w:rPr>
              <w:t>114 (0.20%)</w:t>
            </w:r>
          </w:p>
        </w:tc>
      </w:tr>
    </w:tbl>
    <w:p w14:paraId="114093FD" w14:textId="77777777" w:rsidR="00574483" w:rsidRPr="00FB463B" w:rsidRDefault="00574483" w:rsidP="00AA4D24">
      <w:pPr>
        <w:rPr>
          <w:rFonts w:cs="Arial"/>
        </w:rPr>
        <w:sectPr w:rsidR="00574483" w:rsidRPr="00FB463B" w:rsidSect="008B0690">
          <w:type w:val="continuous"/>
          <w:pgSz w:w="12240" w:h="15840"/>
          <w:pgMar w:top="1440" w:right="1440" w:bottom="1440" w:left="1440" w:header="720" w:footer="720" w:gutter="0"/>
          <w:cols w:num="2" w:space="720"/>
          <w:docGrid w:linePitch="360"/>
        </w:sectPr>
      </w:pPr>
    </w:p>
    <w:p w14:paraId="3668FED0" w14:textId="77777777" w:rsidR="005B2C4D" w:rsidRPr="00FB463B" w:rsidRDefault="005B2C4D" w:rsidP="00AA4D24">
      <w:pPr>
        <w:rPr>
          <w:rFonts w:cs="Arial"/>
        </w:rPr>
      </w:pPr>
    </w:p>
    <w:p w14:paraId="4F1B88FE" w14:textId="60809A4E" w:rsidR="00B36D4B" w:rsidRPr="00FB463B" w:rsidRDefault="0027077E" w:rsidP="00B36D4B">
      <w:pPr>
        <w:rPr>
          <w:rFonts w:cs="Arial"/>
          <w:b/>
          <w:bCs/>
        </w:rPr>
      </w:pPr>
      <w:r w:rsidRPr="00FB463B">
        <w:rPr>
          <w:rFonts w:cs="Arial"/>
          <w:b/>
          <w:bCs/>
        </w:rPr>
        <w:t xml:space="preserve">Table </w:t>
      </w:r>
      <w:r w:rsidR="00074A06" w:rsidRPr="00FB463B">
        <w:rPr>
          <w:rFonts w:cs="Arial"/>
          <w:b/>
          <w:bCs/>
        </w:rPr>
        <w:t>29</w:t>
      </w:r>
      <w:r w:rsidRPr="00FB463B">
        <w:rPr>
          <w:rFonts w:cs="Arial"/>
          <w:b/>
          <w:bCs/>
        </w:rPr>
        <w:t xml:space="preserve"> </w:t>
      </w:r>
      <w:r w:rsidR="00B36D4B" w:rsidRPr="00FB463B">
        <w:rPr>
          <w:rFonts w:cs="Arial"/>
          <w:b/>
          <w:bCs/>
        </w:rPr>
        <w:t>Charter Schools</w:t>
      </w:r>
    </w:p>
    <w:tbl>
      <w:tblPr>
        <w:tblStyle w:val="TableGrid"/>
        <w:tblW w:w="4495" w:type="dxa"/>
        <w:tblLook w:val="04A0" w:firstRow="1" w:lastRow="0" w:firstColumn="1" w:lastColumn="0" w:noHBand="0" w:noVBand="1"/>
        <w:tblCaption w:val="Table 29: Charter Schools"/>
        <w:tblDescription w:val="Table 29: Charter Schools"/>
      </w:tblPr>
      <w:tblGrid>
        <w:gridCol w:w="1165"/>
        <w:gridCol w:w="1710"/>
        <w:gridCol w:w="1620"/>
      </w:tblGrid>
      <w:tr w:rsidR="00B36D4B" w:rsidRPr="00FB463B" w14:paraId="50953394" w14:textId="77777777" w:rsidTr="006C1E2D">
        <w:trPr>
          <w:cantSplit/>
          <w:tblHeader/>
        </w:trPr>
        <w:tc>
          <w:tcPr>
            <w:tcW w:w="1165" w:type="dxa"/>
            <w:shd w:val="clear" w:color="auto" w:fill="DEEAF6" w:themeFill="accent1" w:themeFillTint="33"/>
            <w:vAlign w:val="center"/>
          </w:tcPr>
          <w:p w14:paraId="6E63631E" w14:textId="77777777" w:rsidR="00B36D4B" w:rsidRPr="00FB463B" w:rsidRDefault="00B36D4B" w:rsidP="00422B00">
            <w:pPr>
              <w:jc w:val="center"/>
              <w:rPr>
                <w:rFonts w:cs="Arial"/>
                <w:b/>
                <w:bCs/>
              </w:rPr>
            </w:pPr>
            <w:r w:rsidRPr="00FB463B">
              <w:rPr>
                <w:rFonts w:eastAsia="BIZ UDGothic" w:cs="Arial"/>
                <w:b/>
                <w:bCs/>
                <w:kern w:val="24"/>
              </w:rPr>
              <w:t>Year</w:t>
            </w:r>
          </w:p>
        </w:tc>
        <w:tc>
          <w:tcPr>
            <w:tcW w:w="1710" w:type="dxa"/>
            <w:shd w:val="clear" w:color="auto" w:fill="DEEAF6" w:themeFill="accent1" w:themeFillTint="33"/>
            <w:vAlign w:val="center"/>
          </w:tcPr>
          <w:p w14:paraId="75DE76D9" w14:textId="77777777" w:rsidR="00B36D4B" w:rsidRPr="00FB463B" w:rsidRDefault="00B36D4B"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728253E5" w14:textId="77777777" w:rsidR="00B36D4B" w:rsidRPr="00FB463B" w:rsidRDefault="00B36D4B" w:rsidP="00422B00">
            <w:pPr>
              <w:jc w:val="center"/>
              <w:rPr>
                <w:rFonts w:cs="Arial"/>
                <w:b/>
                <w:bCs/>
              </w:rPr>
            </w:pPr>
            <w:r w:rsidRPr="00FB463B">
              <w:rPr>
                <w:rFonts w:eastAsia="BIZ UDGothic" w:cs="Arial"/>
                <w:b/>
                <w:bCs/>
                <w:kern w:val="24"/>
              </w:rPr>
              <w:t>(n=47,161)</w:t>
            </w:r>
          </w:p>
        </w:tc>
        <w:tc>
          <w:tcPr>
            <w:tcW w:w="1620" w:type="dxa"/>
            <w:shd w:val="clear" w:color="auto" w:fill="DEEAF6" w:themeFill="accent1" w:themeFillTint="33"/>
            <w:vAlign w:val="center"/>
          </w:tcPr>
          <w:p w14:paraId="0CD97C25" w14:textId="77777777" w:rsidR="00B36D4B" w:rsidRPr="00FB463B" w:rsidRDefault="00B36D4B"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0E7C45FA" w14:textId="77777777" w:rsidR="00B36D4B" w:rsidRPr="00FB463B" w:rsidRDefault="00B36D4B" w:rsidP="00422B00">
            <w:pPr>
              <w:jc w:val="center"/>
              <w:rPr>
                <w:rFonts w:cs="Arial"/>
                <w:b/>
                <w:bCs/>
              </w:rPr>
            </w:pPr>
            <w:r w:rsidRPr="00FB463B">
              <w:rPr>
                <w:rFonts w:eastAsia="BIZ UDGothic" w:cs="Arial"/>
                <w:b/>
                <w:bCs/>
                <w:kern w:val="24"/>
              </w:rPr>
              <w:t>(n=27,253)</w:t>
            </w:r>
          </w:p>
        </w:tc>
      </w:tr>
      <w:tr w:rsidR="00B36D4B" w:rsidRPr="00FB463B" w14:paraId="0792BF01" w14:textId="77777777" w:rsidTr="006C1E2D">
        <w:trPr>
          <w:cantSplit/>
          <w:tblHeader/>
        </w:trPr>
        <w:tc>
          <w:tcPr>
            <w:tcW w:w="1165" w:type="dxa"/>
            <w:vAlign w:val="center"/>
          </w:tcPr>
          <w:p w14:paraId="06E8919B" w14:textId="77777777" w:rsidR="00B36D4B" w:rsidRPr="00FB463B" w:rsidRDefault="00B36D4B" w:rsidP="00422B00">
            <w:pPr>
              <w:rPr>
                <w:rFonts w:cs="Arial"/>
                <w:b/>
                <w:bCs/>
              </w:rPr>
            </w:pPr>
            <w:r w:rsidRPr="00FB463B">
              <w:rPr>
                <w:rFonts w:eastAsia="BIZ UDGothic" w:cs="Arial"/>
                <w:kern w:val="24"/>
              </w:rPr>
              <w:t>2019-20</w:t>
            </w:r>
          </w:p>
        </w:tc>
        <w:tc>
          <w:tcPr>
            <w:tcW w:w="1710" w:type="dxa"/>
            <w:vAlign w:val="center"/>
          </w:tcPr>
          <w:p w14:paraId="1B5A7F34" w14:textId="661CEDB7" w:rsidR="00B36D4B" w:rsidRPr="00FB463B" w:rsidRDefault="00B36D4B" w:rsidP="007C1DCC">
            <w:pPr>
              <w:jc w:val="center"/>
              <w:rPr>
                <w:rFonts w:cs="Arial"/>
                <w:b/>
                <w:bCs/>
              </w:rPr>
            </w:pPr>
            <w:r w:rsidRPr="00FB463B">
              <w:rPr>
                <w:rFonts w:eastAsia="BIZ UDGothic" w:cs="Arial"/>
                <w:kern w:val="24"/>
              </w:rPr>
              <w:t>157 (0.33%)</w:t>
            </w:r>
          </w:p>
        </w:tc>
        <w:tc>
          <w:tcPr>
            <w:tcW w:w="1620" w:type="dxa"/>
            <w:vAlign w:val="center"/>
          </w:tcPr>
          <w:p w14:paraId="79CEA4BC" w14:textId="77777777" w:rsidR="00B36D4B" w:rsidRPr="00FB463B" w:rsidRDefault="00B36D4B" w:rsidP="00422B00">
            <w:pPr>
              <w:jc w:val="center"/>
              <w:rPr>
                <w:rFonts w:cs="Arial"/>
                <w:b/>
                <w:bCs/>
              </w:rPr>
            </w:pPr>
            <w:r w:rsidRPr="00FB463B">
              <w:rPr>
                <w:rFonts w:eastAsia="BIZ UDGothic" w:cs="Arial"/>
                <w:kern w:val="24"/>
              </w:rPr>
              <w:t>18 (0.07%)</w:t>
            </w:r>
          </w:p>
        </w:tc>
      </w:tr>
      <w:tr w:rsidR="00B36D4B" w:rsidRPr="00FB463B" w14:paraId="5B39C8BE" w14:textId="77777777" w:rsidTr="006C1E2D">
        <w:trPr>
          <w:cantSplit/>
          <w:tblHeader/>
        </w:trPr>
        <w:tc>
          <w:tcPr>
            <w:tcW w:w="1165" w:type="dxa"/>
            <w:vAlign w:val="center"/>
          </w:tcPr>
          <w:p w14:paraId="23B642D6" w14:textId="77777777" w:rsidR="00B36D4B" w:rsidRPr="00FB463B" w:rsidRDefault="00B36D4B" w:rsidP="00422B00">
            <w:pPr>
              <w:rPr>
                <w:rFonts w:cs="Arial"/>
                <w:b/>
                <w:bCs/>
              </w:rPr>
            </w:pPr>
            <w:r w:rsidRPr="00FB463B">
              <w:rPr>
                <w:rFonts w:eastAsia="BIZ UDGothic" w:cs="Arial"/>
                <w:kern w:val="24"/>
              </w:rPr>
              <w:t>2020-21</w:t>
            </w:r>
          </w:p>
        </w:tc>
        <w:tc>
          <w:tcPr>
            <w:tcW w:w="1710" w:type="dxa"/>
            <w:vAlign w:val="center"/>
          </w:tcPr>
          <w:p w14:paraId="783F23EF" w14:textId="67F3995A" w:rsidR="00B36D4B" w:rsidRPr="00FB463B" w:rsidRDefault="00B36D4B" w:rsidP="007C1DCC">
            <w:pPr>
              <w:jc w:val="center"/>
              <w:rPr>
                <w:rFonts w:cs="Arial"/>
                <w:b/>
                <w:bCs/>
              </w:rPr>
            </w:pPr>
            <w:r w:rsidRPr="00FB463B">
              <w:rPr>
                <w:rFonts w:eastAsia="BIZ UDGothic" w:cs="Arial"/>
                <w:kern w:val="24"/>
              </w:rPr>
              <w:t>38 (0.08%)</w:t>
            </w:r>
          </w:p>
        </w:tc>
        <w:tc>
          <w:tcPr>
            <w:tcW w:w="1620" w:type="dxa"/>
            <w:vAlign w:val="center"/>
          </w:tcPr>
          <w:p w14:paraId="29527406" w14:textId="77777777" w:rsidR="00B36D4B" w:rsidRPr="00FB463B" w:rsidRDefault="00B36D4B" w:rsidP="00422B00">
            <w:pPr>
              <w:jc w:val="center"/>
              <w:rPr>
                <w:rFonts w:cs="Arial"/>
                <w:b/>
                <w:bCs/>
              </w:rPr>
            </w:pPr>
            <w:r w:rsidRPr="00FB463B">
              <w:rPr>
                <w:rFonts w:eastAsia="BIZ UDGothic" w:cs="Arial"/>
                <w:kern w:val="24"/>
              </w:rPr>
              <w:t>5 (0.02%)</w:t>
            </w:r>
          </w:p>
        </w:tc>
      </w:tr>
      <w:tr w:rsidR="00B36D4B" w:rsidRPr="00FB463B" w14:paraId="246697B1" w14:textId="77777777" w:rsidTr="006C1E2D">
        <w:trPr>
          <w:cantSplit/>
          <w:tblHeader/>
        </w:trPr>
        <w:tc>
          <w:tcPr>
            <w:tcW w:w="1165" w:type="dxa"/>
            <w:vAlign w:val="center"/>
          </w:tcPr>
          <w:p w14:paraId="52D71490" w14:textId="77777777" w:rsidR="00B36D4B" w:rsidRPr="00FB463B" w:rsidRDefault="00B36D4B" w:rsidP="00422B00">
            <w:pPr>
              <w:rPr>
                <w:rFonts w:cs="Arial"/>
                <w:b/>
                <w:bCs/>
              </w:rPr>
            </w:pPr>
            <w:r w:rsidRPr="00FB463B">
              <w:rPr>
                <w:rFonts w:eastAsia="BIZ UDGothic" w:cs="Arial"/>
                <w:kern w:val="24"/>
              </w:rPr>
              <w:t>2021-22</w:t>
            </w:r>
          </w:p>
        </w:tc>
        <w:tc>
          <w:tcPr>
            <w:tcW w:w="1710" w:type="dxa"/>
            <w:vAlign w:val="center"/>
          </w:tcPr>
          <w:p w14:paraId="540F8DE4" w14:textId="0F6E8A4F" w:rsidR="00B36D4B" w:rsidRPr="00FB463B" w:rsidRDefault="00B36D4B" w:rsidP="007C1DCC">
            <w:pPr>
              <w:jc w:val="center"/>
              <w:rPr>
                <w:rFonts w:cs="Arial"/>
                <w:b/>
                <w:bCs/>
              </w:rPr>
            </w:pPr>
            <w:r w:rsidRPr="00FB463B">
              <w:rPr>
                <w:rFonts w:eastAsia="BIZ UDGothic" w:cs="Arial"/>
                <w:kern w:val="24"/>
              </w:rPr>
              <w:t>162 (0.34%)</w:t>
            </w:r>
          </w:p>
        </w:tc>
        <w:tc>
          <w:tcPr>
            <w:tcW w:w="1620" w:type="dxa"/>
            <w:vAlign w:val="center"/>
          </w:tcPr>
          <w:p w14:paraId="73C33F76" w14:textId="77777777" w:rsidR="00B36D4B" w:rsidRPr="00FB463B" w:rsidRDefault="00B36D4B" w:rsidP="00422B00">
            <w:pPr>
              <w:jc w:val="center"/>
              <w:rPr>
                <w:rFonts w:cs="Arial"/>
                <w:b/>
                <w:bCs/>
              </w:rPr>
            </w:pPr>
            <w:r w:rsidRPr="00FB463B">
              <w:rPr>
                <w:rFonts w:eastAsia="BIZ UDGothic" w:cs="Arial"/>
                <w:kern w:val="24"/>
              </w:rPr>
              <w:t>10 (0.04%)</w:t>
            </w:r>
          </w:p>
        </w:tc>
      </w:tr>
      <w:tr w:rsidR="00B36D4B" w:rsidRPr="00FB463B" w14:paraId="0109B065" w14:textId="77777777" w:rsidTr="006C1E2D">
        <w:trPr>
          <w:cantSplit/>
          <w:tblHeader/>
        </w:trPr>
        <w:tc>
          <w:tcPr>
            <w:tcW w:w="1165" w:type="dxa"/>
            <w:vAlign w:val="center"/>
          </w:tcPr>
          <w:p w14:paraId="0ED624AA" w14:textId="77777777" w:rsidR="00B36D4B" w:rsidRPr="00FB463B" w:rsidRDefault="00B36D4B" w:rsidP="00422B00">
            <w:pPr>
              <w:rPr>
                <w:rFonts w:cs="Arial"/>
                <w:b/>
                <w:bCs/>
              </w:rPr>
            </w:pPr>
            <w:r w:rsidRPr="00FB463B">
              <w:rPr>
                <w:rFonts w:eastAsia="BIZ UDGothic" w:cs="Arial"/>
                <w:b/>
                <w:bCs/>
                <w:kern w:val="24"/>
              </w:rPr>
              <w:t>Total</w:t>
            </w:r>
          </w:p>
        </w:tc>
        <w:tc>
          <w:tcPr>
            <w:tcW w:w="1710" w:type="dxa"/>
            <w:vAlign w:val="center"/>
          </w:tcPr>
          <w:p w14:paraId="3F0A78F1" w14:textId="5AD9A173" w:rsidR="00B36D4B" w:rsidRPr="00FB463B" w:rsidRDefault="00B36D4B" w:rsidP="007C1DCC">
            <w:pPr>
              <w:jc w:val="center"/>
              <w:rPr>
                <w:rFonts w:cs="Arial"/>
                <w:b/>
                <w:bCs/>
              </w:rPr>
            </w:pPr>
            <w:r w:rsidRPr="00FB463B">
              <w:rPr>
                <w:rFonts w:eastAsia="BIZ UDGothic" w:cs="Arial"/>
                <w:b/>
                <w:bCs/>
                <w:kern w:val="24"/>
              </w:rPr>
              <w:t>357 (0.75%)</w:t>
            </w:r>
          </w:p>
        </w:tc>
        <w:tc>
          <w:tcPr>
            <w:tcW w:w="1620" w:type="dxa"/>
            <w:vAlign w:val="center"/>
          </w:tcPr>
          <w:p w14:paraId="0FCE867A" w14:textId="77777777" w:rsidR="00B36D4B" w:rsidRPr="00FB463B" w:rsidRDefault="00B36D4B" w:rsidP="00422B00">
            <w:pPr>
              <w:jc w:val="center"/>
              <w:rPr>
                <w:rFonts w:cs="Arial"/>
                <w:b/>
                <w:bCs/>
              </w:rPr>
            </w:pPr>
            <w:r w:rsidRPr="00FB463B">
              <w:rPr>
                <w:rFonts w:eastAsia="BIZ UDGothic" w:cs="Arial"/>
                <w:b/>
                <w:bCs/>
                <w:kern w:val="24"/>
              </w:rPr>
              <w:t>33 (0.13%)</w:t>
            </w:r>
          </w:p>
        </w:tc>
      </w:tr>
    </w:tbl>
    <w:p w14:paraId="0F64C11D" w14:textId="77777777" w:rsidR="007C1DCC" w:rsidRPr="00FB463B" w:rsidRDefault="00B36D4B" w:rsidP="00B36D4B">
      <w:pPr>
        <w:rPr>
          <w:rFonts w:cs="Arial"/>
          <w:b/>
          <w:bCs/>
        </w:rPr>
      </w:pPr>
      <w:r w:rsidRPr="00FB463B">
        <w:rPr>
          <w:rFonts w:cs="Arial"/>
          <w:b/>
          <w:bCs/>
        </w:rPr>
        <w:br w:type="column"/>
      </w:r>
    </w:p>
    <w:p w14:paraId="6BC0BD66" w14:textId="74CD9525" w:rsidR="00B36D4B" w:rsidRPr="00FB463B" w:rsidRDefault="0027077E" w:rsidP="00B36D4B">
      <w:pPr>
        <w:rPr>
          <w:rFonts w:cs="Arial"/>
          <w:b/>
          <w:bCs/>
        </w:rPr>
      </w:pPr>
      <w:r w:rsidRPr="00FB463B">
        <w:rPr>
          <w:rFonts w:cs="Arial"/>
          <w:b/>
          <w:bCs/>
        </w:rPr>
        <w:t xml:space="preserve">Table </w:t>
      </w:r>
      <w:r w:rsidR="00074A06" w:rsidRPr="00FB463B">
        <w:rPr>
          <w:rFonts w:cs="Arial"/>
          <w:b/>
          <w:bCs/>
        </w:rPr>
        <w:t>30</w:t>
      </w:r>
      <w:r w:rsidRPr="00FB463B">
        <w:rPr>
          <w:rFonts w:cs="Arial"/>
          <w:b/>
          <w:bCs/>
        </w:rPr>
        <w:t xml:space="preserve"> </w:t>
      </w:r>
      <w:r w:rsidR="00B36D4B" w:rsidRPr="00FB463B">
        <w:rPr>
          <w:rFonts w:cs="Arial"/>
          <w:b/>
          <w:bCs/>
        </w:rPr>
        <w:t>Non-Charter Schools</w:t>
      </w:r>
    </w:p>
    <w:tbl>
      <w:tblPr>
        <w:tblStyle w:val="TableGrid"/>
        <w:tblW w:w="4675" w:type="dxa"/>
        <w:tblLook w:val="04A0" w:firstRow="1" w:lastRow="0" w:firstColumn="1" w:lastColumn="0" w:noHBand="0" w:noVBand="1"/>
        <w:tblCaption w:val="Table 30: Non-Charter Schools"/>
        <w:tblDescription w:val="Table 30: Non-Charter Schools"/>
      </w:tblPr>
      <w:tblGrid>
        <w:gridCol w:w="1215"/>
        <w:gridCol w:w="1840"/>
        <w:gridCol w:w="1620"/>
      </w:tblGrid>
      <w:tr w:rsidR="00B36D4B" w:rsidRPr="00FB463B" w14:paraId="4DE6E691" w14:textId="77777777" w:rsidTr="003C56D5">
        <w:trPr>
          <w:cantSplit/>
          <w:tblHeader/>
        </w:trPr>
        <w:tc>
          <w:tcPr>
            <w:tcW w:w="1215" w:type="dxa"/>
            <w:shd w:val="clear" w:color="auto" w:fill="DEEAF6" w:themeFill="accent1" w:themeFillTint="33"/>
            <w:vAlign w:val="center"/>
          </w:tcPr>
          <w:p w14:paraId="5C2EE06D" w14:textId="77777777" w:rsidR="00B36D4B" w:rsidRPr="00FB463B" w:rsidRDefault="00B36D4B" w:rsidP="00422B00">
            <w:pPr>
              <w:jc w:val="center"/>
              <w:rPr>
                <w:rFonts w:cs="Arial"/>
                <w:b/>
                <w:bCs/>
              </w:rPr>
            </w:pPr>
            <w:r w:rsidRPr="00FB463B">
              <w:rPr>
                <w:rFonts w:eastAsia="BIZ UDGothic" w:cs="Arial"/>
                <w:b/>
                <w:bCs/>
                <w:kern w:val="24"/>
              </w:rPr>
              <w:t>Year</w:t>
            </w:r>
          </w:p>
        </w:tc>
        <w:tc>
          <w:tcPr>
            <w:tcW w:w="1840" w:type="dxa"/>
            <w:shd w:val="clear" w:color="auto" w:fill="DEEAF6" w:themeFill="accent1" w:themeFillTint="33"/>
            <w:vAlign w:val="center"/>
          </w:tcPr>
          <w:p w14:paraId="0D648A0C" w14:textId="77777777" w:rsidR="00B36D4B" w:rsidRPr="00FB463B" w:rsidRDefault="00B36D4B"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651096AB" w14:textId="77777777" w:rsidR="00B36D4B" w:rsidRPr="00FB463B" w:rsidRDefault="00B36D4B" w:rsidP="00422B00">
            <w:pPr>
              <w:jc w:val="center"/>
              <w:rPr>
                <w:rFonts w:cs="Arial"/>
                <w:b/>
                <w:bCs/>
              </w:rPr>
            </w:pPr>
            <w:r w:rsidRPr="00FB463B">
              <w:rPr>
                <w:rFonts w:eastAsia="BIZ UDGothic" w:cs="Arial"/>
                <w:b/>
                <w:bCs/>
                <w:kern w:val="24"/>
              </w:rPr>
              <w:t>(n=386,194)</w:t>
            </w:r>
          </w:p>
        </w:tc>
        <w:tc>
          <w:tcPr>
            <w:tcW w:w="1620" w:type="dxa"/>
            <w:shd w:val="clear" w:color="auto" w:fill="DEEAF6" w:themeFill="accent1" w:themeFillTint="33"/>
            <w:vAlign w:val="center"/>
          </w:tcPr>
          <w:p w14:paraId="487113AF" w14:textId="77777777" w:rsidR="00B36D4B" w:rsidRPr="00FB463B" w:rsidRDefault="00B36D4B"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350CFA30" w14:textId="77777777" w:rsidR="00B36D4B" w:rsidRPr="00FB463B" w:rsidRDefault="00B36D4B" w:rsidP="00422B00">
            <w:pPr>
              <w:jc w:val="center"/>
              <w:rPr>
                <w:rFonts w:cs="Arial"/>
                <w:b/>
                <w:bCs/>
              </w:rPr>
            </w:pPr>
            <w:r w:rsidRPr="00FB463B">
              <w:rPr>
                <w:rFonts w:eastAsia="BIZ UDGothic" w:cs="Arial"/>
                <w:b/>
                <w:bCs/>
                <w:kern w:val="24"/>
              </w:rPr>
              <w:t>(n=63,797)</w:t>
            </w:r>
          </w:p>
        </w:tc>
      </w:tr>
      <w:tr w:rsidR="00B36D4B" w:rsidRPr="00FB463B" w14:paraId="471ED86B" w14:textId="77777777" w:rsidTr="003C56D5">
        <w:trPr>
          <w:cantSplit/>
          <w:tblHeader/>
        </w:trPr>
        <w:tc>
          <w:tcPr>
            <w:tcW w:w="1215" w:type="dxa"/>
            <w:vAlign w:val="center"/>
          </w:tcPr>
          <w:p w14:paraId="2E282E6E" w14:textId="77777777" w:rsidR="00B36D4B" w:rsidRPr="00FB463B" w:rsidRDefault="00B36D4B" w:rsidP="00422B00">
            <w:pPr>
              <w:rPr>
                <w:rFonts w:cs="Arial"/>
                <w:b/>
                <w:bCs/>
              </w:rPr>
            </w:pPr>
            <w:r w:rsidRPr="00FB463B">
              <w:rPr>
                <w:rFonts w:eastAsia="BIZ UDGothic" w:cs="Arial"/>
                <w:kern w:val="24"/>
              </w:rPr>
              <w:t>2019-20</w:t>
            </w:r>
          </w:p>
        </w:tc>
        <w:tc>
          <w:tcPr>
            <w:tcW w:w="1840" w:type="dxa"/>
            <w:vAlign w:val="center"/>
          </w:tcPr>
          <w:p w14:paraId="5689FF10" w14:textId="77777777" w:rsidR="00B36D4B" w:rsidRPr="00FB463B" w:rsidRDefault="00B36D4B" w:rsidP="00422B00">
            <w:pPr>
              <w:jc w:val="center"/>
              <w:rPr>
                <w:rFonts w:cs="Arial"/>
                <w:b/>
                <w:bCs/>
              </w:rPr>
            </w:pPr>
            <w:r w:rsidRPr="00FB463B">
              <w:rPr>
                <w:rFonts w:eastAsia="BIZ UDGothic" w:cs="Arial"/>
                <w:kern w:val="24"/>
              </w:rPr>
              <w:t>1,249 (0.32%)</w:t>
            </w:r>
          </w:p>
        </w:tc>
        <w:tc>
          <w:tcPr>
            <w:tcW w:w="1620" w:type="dxa"/>
            <w:vAlign w:val="center"/>
          </w:tcPr>
          <w:p w14:paraId="070ADF22" w14:textId="77777777" w:rsidR="00B36D4B" w:rsidRPr="00FB463B" w:rsidRDefault="00B36D4B" w:rsidP="00422B00">
            <w:pPr>
              <w:jc w:val="center"/>
              <w:rPr>
                <w:rFonts w:cs="Arial"/>
                <w:b/>
                <w:bCs/>
              </w:rPr>
            </w:pPr>
            <w:r w:rsidRPr="00FB463B">
              <w:rPr>
                <w:rFonts w:eastAsia="BIZ UDGothic" w:cs="Arial"/>
                <w:kern w:val="24"/>
              </w:rPr>
              <w:t>79 (0.12%)</w:t>
            </w:r>
          </w:p>
        </w:tc>
      </w:tr>
      <w:tr w:rsidR="00B36D4B" w:rsidRPr="00FB463B" w14:paraId="0A9E2503" w14:textId="77777777" w:rsidTr="003C56D5">
        <w:trPr>
          <w:cantSplit/>
          <w:tblHeader/>
        </w:trPr>
        <w:tc>
          <w:tcPr>
            <w:tcW w:w="1215" w:type="dxa"/>
            <w:vAlign w:val="center"/>
          </w:tcPr>
          <w:p w14:paraId="05615C23" w14:textId="77777777" w:rsidR="00B36D4B" w:rsidRPr="00FB463B" w:rsidRDefault="00B36D4B" w:rsidP="00422B00">
            <w:pPr>
              <w:rPr>
                <w:rFonts w:cs="Arial"/>
                <w:b/>
                <w:bCs/>
              </w:rPr>
            </w:pPr>
            <w:r w:rsidRPr="00FB463B">
              <w:rPr>
                <w:rFonts w:eastAsia="BIZ UDGothic" w:cs="Arial"/>
                <w:kern w:val="24"/>
              </w:rPr>
              <w:t>2020-21</w:t>
            </w:r>
          </w:p>
        </w:tc>
        <w:tc>
          <w:tcPr>
            <w:tcW w:w="1840" w:type="dxa"/>
            <w:vAlign w:val="center"/>
          </w:tcPr>
          <w:p w14:paraId="03186756" w14:textId="77777777" w:rsidR="00B36D4B" w:rsidRPr="00FB463B" w:rsidRDefault="00B36D4B" w:rsidP="00422B00">
            <w:pPr>
              <w:jc w:val="center"/>
              <w:rPr>
                <w:rFonts w:cs="Arial"/>
                <w:b/>
                <w:bCs/>
              </w:rPr>
            </w:pPr>
            <w:r w:rsidRPr="00FB463B">
              <w:rPr>
                <w:rFonts w:eastAsia="BIZ UDGothic" w:cs="Arial"/>
                <w:kern w:val="24"/>
              </w:rPr>
              <w:t>273 (0.07%)</w:t>
            </w:r>
          </w:p>
        </w:tc>
        <w:tc>
          <w:tcPr>
            <w:tcW w:w="1620" w:type="dxa"/>
            <w:vAlign w:val="center"/>
          </w:tcPr>
          <w:p w14:paraId="5A40FFB2" w14:textId="77777777" w:rsidR="00B36D4B" w:rsidRPr="00FB463B" w:rsidRDefault="00B36D4B" w:rsidP="00422B00">
            <w:pPr>
              <w:jc w:val="center"/>
              <w:rPr>
                <w:rFonts w:cs="Arial"/>
                <w:b/>
                <w:bCs/>
              </w:rPr>
            </w:pPr>
            <w:r w:rsidRPr="00FB463B">
              <w:rPr>
                <w:rFonts w:eastAsia="BIZ UDGothic" w:cs="Arial"/>
                <w:kern w:val="24"/>
              </w:rPr>
              <w:t>12 (0.02%)</w:t>
            </w:r>
          </w:p>
        </w:tc>
      </w:tr>
      <w:tr w:rsidR="00B36D4B" w:rsidRPr="00FB463B" w14:paraId="5D98CC1F" w14:textId="77777777" w:rsidTr="003C56D5">
        <w:trPr>
          <w:cantSplit/>
          <w:tblHeader/>
        </w:trPr>
        <w:tc>
          <w:tcPr>
            <w:tcW w:w="1215" w:type="dxa"/>
            <w:vAlign w:val="center"/>
          </w:tcPr>
          <w:p w14:paraId="6FFEAA4C" w14:textId="77777777" w:rsidR="00B36D4B" w:rsidRPr="00FB463B" w:rsidRDefault="00B36D4B" w:rsidP="00422B00">
            <w:pPr>
              <w:rPr>
                <w:rFonts w:cs="Arial"/>
                <w:b/>
                <w:bCs/>
              </w:rPr>
            </w:pPr>
            <w:r w:rsidRPr="00FB463B">
              <w:rPr>
                <w:rFonts w:eastAsia="BIZ UDGothic" w:cs="Arial"/>
                <w:kern w:val="24"/>
              </w:rPr>
              <w:t>2021-22</w:t>
            </w:r>
          </w:p>
        </w:tc>
        <w:tc>
          <w:tcPr>
            <w:tcW w:w="1840" w:type="dxa"/>
            <w:vAlign w:val="center"/>
          </w:tcPr>
          <w:p w14:paraId="17D80705" w14:textId="77777777" w:rsidR="00B36D4B" w:rsidRPr="00FB463B" w:rsidRDefault="00B36D4B" w:rsidP="00422B00">
            <w:pPr>
              <w:jc w:val="center"/>
              <w:rPr>
                <w:rFonts w:cs="Arial"/>
                <w:b/>
                <w:bCs/>
              </w:rPr>
            </w:pPr>
            <w:r w:rsidRPr="00FB463B">
              <w:rPr>
                <w:rFonts w:eastAsia="BIZ UDGothic" w:cs="Arial"/>
                <w:kern w:val="24"/>
              </w:rPr>
              <w:t>1,339 (0.35%)</w:t>
            </w:r>
          </w:p>
        </w:tc>
        <w:tc>
          <w:tcPr>
            <w:tcW w:w="1620" w:type="dxa"/>
            <w:vAlign w:val="center"/>
          </w:tcPr>
          <w:p w14:paraId="55920363" w14:textId="77777777" w:rsidR="00B36D4B" w:rsidRPr="00FB463B" w:rsidRDefault="00B36D4B" w:rsidP="00422B00">
            <w:pPr>
              <w:jc w:val="center"/>
              <w:rPr>
                <w:rFonts w:cs="Arial"/>
                <w:b/>
                <w:bCs/>
              </w:rPr>
            </w:pPr>
            <w:r w:rsidRPr="00FB463B">
              <w:rPr>
                <w:rFonts w:eastAsia="BIZ UDGothic" w:cs="Arial"/>
                <w:kern w:val="24"/>
              </w:rPr>
              <w:t>38 (0.06%)</w:t>
            </w:r>
          </w:p>
        </w:tc>
      </w:tr>
      <w:tr w:rsidR="00B36D4B" w:rsidRPr="00FB463B" w14:paraId="69673A13" w14:textId="77777777" w:rsidTr="003C56D5">
        <w:trPr>
          <w:cantSplit/>
          <w:tblHeader/>
        </w:trPr>
        <w:tc>
          <w:tcPr>
            <w:tcW w:w="1215" w:type="dxa"/>
            <w:vAlign w:val="center"/>
          </w:tcPr>
          <w:p w14:paraId="49DBB553" w14:textId="77777777" w:rsidR="00B36D4B" w:rsidRPr="00FB463B" w:rsidRDefault="00B36D4B" w:rsidP="00422B00">
            <w:pPr>
              <w:rPr>
                <w:rFonts w:cs="Arial"/>
                <w:b/>
                <w:bCs/>
              </w:rPr>
            </w:pPr>
            <w:r w:rsidRPr="00FB463B">
              <w:rPr>
                <w:rFonts w:eastAsia="BIZ UDGothic" w:cs="Arial"/>
                <w:b/>
                <w:bCs/>
                <w:kern w:val="24"/>
              </w:rPr>
              <w:t>Total</w:t>
            </w:r>
          </w:p>
        </w:tc>
        <w:tc>
          <w:tcPr>
            <w:tcW w:w="1840" w:type="dxa"/>
            <w:vAlign w:val="center"/>
          </w:tcPr>
          <w:p w14:paraId="0CC818DB" w14:textId="77777777" w:rsidR="00B36D4B" w:rsidRPr="00FB463B" w:rsidRDefault="00B36D4B" w:rsidP="00422B00">
            <w:pPr>
              <w:jc w:val="center"/>
              <w:rPr>
                <w:rFonts w:cs="Arial"/>
                <w:b/>
                <w:bCs/>
              </w:rPr>
            </w:pPr>
            <w:r w:rsidRPr="00FB463B">
              <w:rPr>
                <w:rFonts w:cs="Arial"/>
                <w:b/>
                <w:bCs/>
              </w:rPr>
              <w:t>2,861 (0.74%)</w:t>
            </w:r>
          </w:p>
        </w:tc>
        <w:tc>
          <w:tcPr>
            <w:tcW w:w="1620" w:type="dxa"/>
            <w:vAlign w:val="center"/>
          </w:tcPr>
          <w:p w14:paraId="736E4C04" w14:textId="77777777" w:rsidR="00B36D4B" w:rsidRPr="00FB463B" w:rsidRDefault="00B36D4B" w:rsidP="00422B00">
            <w:pPr>
              <w:jc w:val="center"/>
              <w:rPr>
                <w:rFonts w:cs="Arial"/>
                <w:b/>
                <w:bCs/>
              </w:rPr>
            </w:pPr>
            <w:r w:rsidRPr="00FB463B">
              <w:rPr>
                <w:rFonts w:cs="Arial"/>
                <w:b/>
                <w:bCs/>
              </w:rPr>
              <w:t>129 (0.2%)</w:t>
            </w:r>
          </w:p>
        </w:tc>
      </w:tr>
    </w:tbl>
    <w:p w14:paraId="6BEB34B0" w14:textId="77777777" w:rsidR="00F35A0A" w:rsidRPr="00FB463B" w:rsidRDefault="00F35A0A" w:rsidP="00B36D4B">
      <w:pPr>
        <w:rPr>
          <w:rFonts w:cs="Arial"/>
          <w:b/>
          <w:bCs/>
        </w:rPr>
        <w:sectPr w:rsidR="00F35A0A" w:rsidRPr="00FB463B" w:rsidSect="009C06B5">
          <w:type w:val="continuous"/>
          <w:pgSz w:w="12240" w:h="15840"/>
          <w:pgMar w:top="1440" w:right="1440" w:bottom="1440" w:left="1440" w:header="720" w:footer="720" w:gutter="0"/>
          <w:cols w:num="2" w:space="720"/>
          <w:docGrid w:linePitch="360"/>
        </w:sectPr>
      </w:pPr>
    </w:p>
    <w:p w14:paraId="39514125" w14:textId="77777777" w:rsidR="00F35A0A" w:rsidRPr="00FB463B" w:rsidRDefault="00F35A0A" w:rsidP="00F35A0A">
      <w:pPr>
        <w:rPr>
          <w:rFonts w:cs="Arial"/>
          <w:b/>
          <w:bCs/>
        </w:rPr>
      </w:pPr>
    </w:p>
    <w:p w14:paraId="7D3CEFFF" w14:textId="6B59E8E4" w:rsidR="00F35A0A" w:rsidRPr="00FB463B" w:rsidRDefault="005E0FF8" w:rsidP="00F35A0A">
      <w:pPr>
        <w:rPr>
          <w:rFonts w:cs="Arial"/>
          <w:b/>
          <w:bCs/>
        </w:rPr>
      </w:pPr>
      <w:r w:rsidRPr="00FB463B">
        <w:rPr>
          <w:rFonts w:cs="Arial"/>
          <w:b/>
          <w:bCs/>
        </w:rPr>
        <w:t xml:space="preserve">Table </w:t>
      </w:r>
      <w:r w:rsidR="00074A06" w:rsidRPr="00FB463B">
        <w:rPr>
          <w:rFonts w:cs="Arial"/>
          <w:b/>
          <w:bCs/>
        </w:rPr>
        <w:t>31</w:t>
      </w:r>
      <w:r w:rsidRPr="00FB463B">
        <w:rPr>
          <w:rFonts w:cs="Arial"/>
          <w:b/>
          <w:bCs/>
        </w:rPr>
        <w:t xml:space="preserve"> </w:t>
      </w:r>
      <w:r w:rsidR="00F35A0A" w:rsidRPr="00FB463B">
        <w:rPr>
          <w:rFonts w:cs="Arial"/>
          <w:b/>
          <w:bCs/>
        </w:rPr>
        <w:t>Small Schools</w:t>
      </w:r>
    </w:p>
    <w:tbl>
      <w:tblPr>
        <w:tblStyle w:val="TableGrid"/>
        <w:tblW w:w="4495" w:type="dxa"/>
        <w:tblLook w:val="04A0" w:firstRow="1" w:lastRow="0" w:firstColumn="1" w:lastColumn="0" w:noHBand="0" w:noVBand="1"/>
        <w:tblCaption w:val="Table 31: Small Schools"/>
        <w:tblDescription w:val="Table 31 Small Schools"/>
      </w:tblPr>
      <w:tblGrid>
        <w:gridCol w:w="1165"/>
        <w:gridCol w:w="1710"/>
        <w:gridCol w:w="1620"/>
      </w:tblGrid>
      <w:tr w:rsidR="00F35A0A" w:rsidRPr="00FB463B" w14:paraId="45854A54" w14:textId="77777777" w:rsidTr="0087494C">
        <w:trPr>
          <w:cantSplit/>
          <w:tblHeader/>
        </w:trPr>
        <w:tc>
          <w:tcPr>
            <w:tcW w:w="1165" w:type="dxa"/>
            <w:shd w:val="clear" w:color="auto" w:fill="DEEAF6" w:themeFill="accent1" w:themeFillTint="33"/>
            <w:vAlign w:val="center"/>
          </w:tcPr>
          <w:p w14:paraId="25CFF563" w14:textId="77777777" w:rsidR="00F35A0A" w:rsidRPr="00FB463B" w:rsidRDefault="00F35A0A" w:rsidP="00422B00">
            <w:pPr>
              <w:jc w:val="center"/>
              <w:rPr>
                <w:rFonts w:cs="Arial"/>
                <w:b/>
                <w:bCs/>
              </w:rPr>
            </w:pPr>
            <w:r w:rsidRPr="00FB463B">
              <w:rPr>
                <w:rFonts w:eastAsia="BIZ UDGothic" w:cs="Arial"/>
                <w:b/>
                <w:bCs/>
                <w:kern w:val="24"/>
              </w:rPr>
              <w:t>Year</w:t>
            </w:r>
          </w:p>
        </w:tc>
        <w:tc>
          <w:tcPr>
            <w:tcW w:w="1710" w:type="dxa"/>
            <w:shd w:val="clear" w:color="auto" w:fill="DEEAF6" w:themeFill="accent1" w:themeFillTint="33"/>
            <w:vAlign w:val="center"/>
          </w:tcPr>
          <w:p w14:paraId="3605923C" w14:textId="77777777" w:rsidR="00F35A0A" w:rsidRPr="00FB463B" w:rsidRDefault="00F35A0A"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0EC7D547" w14:textId="77777777" w:rsidR="00F35A0A" w:rsidRPr="00FB463B" w:rsidRDefault="00F35A0A" w:rsidP="00422B00">
            <w:pPr>
              <w:jc w:val="center"/>
              <w:rPr>
                <w:rFonts w:cs="Arial"/>
                <w:b/>
                <w:bCs/>
              </w:rPr>
            </w:pPr>
            <w:r w:rsidRPr="00FB463B">
              <w:rPr>
                <w:rFonts w:eastAsia="BIZ UDGothic" w:cs="Arial"/>
                <w:b/>
                <w:bCs/>
                <w:kern w:val="24"/>
              </w:rPr>
              <w:t>(n=13,832)</w:t>
            </w:r>
          </w:p>
        </w:tc>
        <w:tc>
          <w:tcPr>
            <w:tcW w:w="1620" w:type="dxa"/>
            <w:shd w:val="clear" w:color="auto" w:fill="DEEAF6" w:themeFill="accent1" w:themeFillTint="33"/>
            <w:vAlign w:val="center"/>
          </w:tcPr>
          <w:p w14:paraId="234DB13A" w14:textId="77777777" w:rsidR="00F35A0A" w:rsidRPr="00FB463B" w:rsidRDefault="00F35A0A"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7694CCE4" w14:textId="77777777" w:rsidR="00F35A0A" w:rsidRPr="00FB463B" w:rsidRDefault="00F35A0A" w:rsidP="00422B00">
            <w:pPr>
              <w:jc w:val="center"/>
              <w:rPr>
                <w:rFonts w:cs="Arial"/>
                <w:b/>
                <w:bCs/>
              </w:rPr>
            </w:pPr>
            <w:r w:rsidRPr="00FB463B">
              <w:rPr>
                <w:rFonts w:eastAsia="BIZ UDGothic" w:cs="Arial"/>
                <w:b/>
                <w:bCs/>
                <w:kern w:val="24"/>
              </w:rPr>
              <w:t>(n=7,986)</w:t>
            </w:r>
          </w:p>
        </w:tc>
      </w:tr>
      <w:tr w:rsidR="00F35A0A" w:rsidRPr="00FB463B" w14:paraId="4DA8D8BE" w14:textId="77777777" w:rsidTr="0087494C">
        <w:trPr>
          <w:cantSplit/>
          <w:tblHeader/>
        </w:trPr>
        <w:tc>
          <w:tcPr>
            <w:tcW w:w="1165" w:type="dxa"/>
            <w:vAlign w:val="center"/>
          </w:tcPr>
          <w:p w14:paraId="258149F7" w14:textId="77777777" w:rsidR="00F35A0A" w:rsidRPr="00FB463B" w:rsidRDefault="00F35A0A" w:rsidP="00422B00">
            <w:pPr>
              <w:rPr>
                <w:rFonts w:cs="Arial"/>
                <w:b/>
                <w:bCs/>
              </w:rPr>
            </w:pPr>
            <w:r w:rsidRPr="00FB463B">
              <w:rPr>
                <w:rFonts w:eastAsia="BIZ UDGothic" w:cs="Arial"/>
                <w:kern w:val="24"/>
              </w:rPr>
              <w:t>2019-20</w:t>
            </w:r>
          </w:p>
        </w:tc>
        <w:tc>
          <w:tcPr>
            <w:tcW w:w="1710" w:type="dxa"/>
            <w:vAlign w:val="center"/>
          </w:tcPr>
          <w:p w14:paraId="6BFF4D36" w14:textId="77777777" w:rsidR="00F35A0A" w:rsidRPr="00FB463B" w:rsidRDefault="00F35A0A" w:rsidP="00422B00">
            <w:pPr>
              <w:jc w:val="center"/>
              <w:rPr>
                <w:rFonts w:cs="Arial"/>
                <w:b/>
                <w:bCs/>
              </w:rPr>
            </w:pPr>
            <w:r w:rsidRPr="00FB463B">
              <w:rPr>
                <w:rFonts w:eastAsia="BIZ UDGothic" w:cs="Arial"/>
                <w:kern w:val="24"/>
              </w:rPr>
              <w:t>42 (0.03%)</w:t>
            </w:r>
          </w:p>
        </w:tc>
        <w:tc>
          <w:tcPr>
            <w:tcW w:w="1620" w:type="dxa"/>
            <w:vAlign w:val="center"/>
          </w:tcPr>
          <w:p w14:paraId="3C421192" w14:textId="77777777" w:rsidR="00F35A0A" w:rsidRPr="00FB463B" w:rsidRDefault="00F35A0A" w:rsidP="00422B00">
            <w:pPr>
              <w:jc w:val="center"/>
              <w:rPr>
                <w:rFonts w:cs="Arial"/>
                <w:b/>
                <w:bCs/>
              </w:rPr>
            </w:pPr>
            <w:r w:rsidRPr="00FB463B">
              <w:rPr>
                <w:rFonts w:eastAsia="BIZ UDGothic" w:cs="Arial"/>
                <w:kern w:val="24"/>
              </w:rPr>
              <w:t>6 (0.08%)</w:t>
            </w:r>
          </w:p>
        </w:tc>
      </w:tr>
      <w:tr w:rsidR="00F35A0A" w:rsidRPr="00FB463B" w14:paraId="463B33DA" w14:textId="77777777" w:rsidTr="0087494C">
        <w:trPr>
          <w:cantSplit/>
          <w:tblHeader/>
        </w:trPr>
        <w:tc>
          <w:tcPr>
            <w:tcW w:w="1165" w:type="dxa"/>
            <w:vAlign w:val="center"/>
          </w:tcPr>
          <w:p w14:paraId="618FCE88" w14:textId="77777777" w:rsidR="00F35A0A" w:rsidRPr="00FB463B" w:rsidRDefault="00F35A0A" w:rsidP="00422B00">
            <w:pPr>
              <w:rPr>
                <w:rFonts w:cs="Arial"/>
                <w:b/>
                <w:bCs/>
              </w:rPr>
            </w:pPr>
            <w:r w:rsidRPr="00FB463B">
              <w:rPr>
                <w:rFonts w:eastAsia="BIZ UDGothic" w:cs="Arial"/>
                <w:kern w:val="24"/>
              </w:rPr>
              <w:t>2020-21</w:t>
            </w:r>
          </w:p>
        </w:tc>
        <w:tc>
          <w:tcPr>
            <w:tcW w:w="1710" w:type="dxa"/>
            <w:vAlign w:val="center"/>
          </w:tcPr>
          <w:p w14:paraId="64F32B9E" w14:textId="77777777" w:rsidR="00F35A0A" w:rsidRPr="00FB463B" w:rsidRDefault="00F35A0A" w:rsidP="00422B00">
            <w:pPr>
              <w:jc w:val="center"/>
              <w:rPr>
                <w:rFonts w:cs="Arial"/>
                <w:b/>
                <w:bCs/>
              </w:rPr>
            </w:pPr>
            <w:r w:rsidRPr="00FB463B">
              <w:rPr>
                <w:rFonts w:eastAsia="BIZ UDGothic" w:cs="Arial"/>
                <w:kern w:val="24"/>
              </w:rPr>
              <w:t>30 (0.21%)</w:t>
            </w:r>
          </w:p>
        </w:tc>
        <w:tc>
          <w:tcPr>
            <w:tcW w:w="1620" w:type="dxa"/>
            <w:vAlign w:val="center"/>
          </w:tcPr>
          <w:p w14:paraId="5FDD4209" w14:textId="77777777" w:rsidR="00F35A0A" w:rsidRPr="00FB463B" w:rsidRDefault="00F35A0A" w:rsidP="00422B00">
            <w:pPr>
              <w:jc w:val="center"/>
              <w:rPr>
                <w:rFonts w:cs="Arial"/>
                <w:b/>
                <w:bCs/>
              </w:rPr>
            </w:pPr>
            <w:r w:rsidRPr="00FB463B">
              <w:rPr>
                <w:rFonts w:eastAsia="BIZ UDGothic" w:cs="Arial"/>
                <w:kern w:val="24"/>
              </w:rPr>
              <w:t>7 (0.09%)</w:t>
            </w:r>
          </w:p>
        </w:tc>
      </w:tr>
      <w:tr w:rsidR="00F35A0A" w:rsidRPr="00FB463B" w14:paraId="6BD61DC4" w14:textId="77777777" w:rsidTr="0087494C">
        <w:trPr>
          <w:cantSplit/>
          <w:tblHeader/>
        </w:trPr>
        <w:tc>
          <w:tcPr>
            <w:tcW w:w="1165" w:type="dxa"/>
            <w:vAlign w:val="center"/>
          </w:tcPr>
          <w:p w14:paraId="68411134" w14:textId="77777777" w:rsidR="00F35A0A" w:rsidRPr="00FB463B" w:rsidRDefault="00F35A0A" w:rsidP="00422B00">
            <w:pPr>
              <w:rPr>
                <w:rFonts w:cs="Arial"/>
                <w:b/>
                <w:bCs/>
              </w:rPr>
            </w:pPr>
            <w:r w:rsidRPr="00FB463B">
              <w:rPr>
                <w:rFonts w:eastAsia="BIZ UDGothic" w:cs="Arial"/>
                <w:kern w:val="24"/>
              </w:rPr>
              <w:t>2021-22</w:t>
            </w:r>
          </w:p>
        </w:tc>
        <w:tc>
          <w:tcPr>
            <w:tcW w:w="1710" w:type="dxa"/>
            <w:vAlign w:val="center"/>
          </w:tcPr>
          <w:p w14:paraId="233DDE05" w14:textId="77777777" w:rsidR="00F35A0A" w:rsidRPr="00FB463B" w:rsidRDefault="00F35A0A" w:rsidP="00422B00">
            <w:pPr>
              <w:jc w:val="center"/>
              <w:rPr>
                <w:rFonts w:cs="Arial"/>
                <w:b/>
                <w:bCs/>
              </w:rPr>
            </w:pPr>
            <w:r w:rsidRPr="00FB463B">
              <w:rPr>
                <w:rFonts w:eastAsia="BIZ UDGothic" w:cs="Arial"/>
                <w:kern w:val="24"/>
              </w:rPr>
              <w:t>83 (0.60%)</w:t>
            </w:r>
          </w:p>
        </w:tc>
        <w:tc>
          <w:tcPr>
            <w:tcW w:w="1620" w:type="dxa"/>
            <w:vAlign w:val="center"/>
          </w:tcPr>
          <w:p w14:paraId="177B2F66" w14:textId="77777777" w:rsidR="00F35A0A" w:rsidRPr="00FB463B" w:rsidRDefault="00F35A0A" w:rsidP="00422B00">
            <w:pPr>
              <w:jc w:val="center"/>
              <w:rPr>
                <w:rFonts w:cs="Arial"/>
                <w:b/>
                <w:bCs/>
              </w:rPr>
            </w:pPr>
            <w:r w:rsidRPr="00FB463B">
              <w:rPr>
                <w:rFonts w:eastAsia="BIZ UDGothic" w:cs="Arial"/>
                <w:kern w:val="24"/>
              </w:rPr>
              <w:t>9 (0.11%)</w:t>
            </w:r>
          </w:p>
        </w:tc>
      </w:tr>
      <w:tr w:rsidR="00F35A0A" w:rsidRPr="00FB463B" w14:paraId="2AB68CD7" w14:textId="77777777" w:rsidTr="0087494C">
        <w:trPr>
          <w:cantSplit/>
          <w:tblHeader/>
        </w:trPr>
        <w:tc>
          <w:tcPr>
            <w:tcW w:w="1165" w:type="dxa"/>
            <w:vAlign w:val="center"/>
          </w:tcPr>
          <w:p w14:paraId="1040CD82" w14:textId="77777777" w:rsidR="00F35A0A" w:rsidRPr="00FB463B" w:rsidRDefault="00F35A0A" w:rsidP="00422B00">
            <w:pPr>
              <w:rPr>
                <w:rFonts w:cs="Arial"/>
                <w:b/>
                <w:bCs/>
              </w:rPr>
            </w:pPr>
            <w:r w:rsidRPr="00FB463B">
              <w:rPr>
                <w:rFonts w:eastAsia="BIZ UDGothic" w:cs="Arial"/>
                <w:b/>
                <w:bCs/>
                <w:kern w:val="24"/>
              </w:rPr>
              <w:t>Total</w:t>
            </w:r>
          </w:p>
        </w:tc>
        <w:tc>
          <w:tcPr>
            <w:tcW w:w="1710" w:type="dxa"/>
            <w:vAlign w:val="center"/>
          </w:tcPr>
          <w:p w14:paraId="2118BDE2" w14:textId="77777777" w:rsidR="00F35A0A" w:rsidRPr="00FB463B" w:rsidRDefault="00F35A0A" w:rsidP="00422B00">
            <w:pPr>
              <w:jc w:val="center"/>
              <w:rPr>
                <w:rFonts w:cs="Arial"/>
                <w:b/>
                <w:bCs/>
              </w:rPr>
            </w:pPr>
            <w:r w:rsidRPr="00FB463B">
              <w:rPr>
                <w:rFonts w:cs="Arial"/>
                <w:b/>
                <w:bCs/>
              </w:rPr>
              <w:t>155 (0.84%)</w:t>
            </w:r>
          </w:p>
        </w:tc>
        <w:tc>
          <w:tcPr>
            <w:tcW w:w="1620" w:type="dxa"/>
            <w:vAlign w:val="center"/>
          </w:tcPr>
          <w:p w14:paraId="4D394FC8" w14:textId="77777777" w:rsidR="00F35A0A" w:rsidRPr="00FB463B" w:rsidRDefault="00F35A0A" w:rsidP="00422B00">
            <w:pPr>
              <w:jc w:val="center"/>
              <w:rPr>
                <w:rFonts w:cs="Arial"/>
                <w:b/>
                <w:bCs/>
              </w:rPr>
            </w:pPr>
            <w:r w:rsidRPr="00FB463B">
              <w:rPr>
                <w:rFonts w:cs="Arial"/>
                <w:b/>
                <w:bCs/>
              </w:rPr>
              <w:t>22 (0.28%)</w:t>
            </w:r>
          </w:p>
        </w:tc>
      </w:tr>
    </w:tbl>
    <w:p w14:paraId="6B67A9DF" w14:textId="48AECE4C" w:rsidR="00F35A0A" w:rsidRPr="00FB463B" w:rsidRDefault="00F35A0A" w:rsidP="00F35A0A">
      <w:pPr>
        <w:rPr>
          <w:rFonts w:cs="Arial"/>
          <w:b/>
          <w:bCs/>
        </w:rPr>
      </w:pPr>
      <w:r w:rsidRPr="00FB463B">
        <w:rPr>
          <w:rFonts w:cs="Arial"/>
          <w:b/>
          <w:bCs/>
        </w:rPr>
        <w:br w:type="column"/>
      </w:r>
    </w:p>
    <w:p w14:paraId="02ECC2F5" w14:textId="63F3CDBE" w:rsidR="00F35A0A" w:rsidRPr="00FB463B" w:rsidRDefault="005E0FF8" w:rsidP="00F35A0A">
      <w:pPr>
        <w:rPr>
          <w:rFonts w:cs="Arial"/>
          <w:b/>
          <w:bCs/>
        </w:rPr>
      </w:pPr>
      <w:r w:rsidRPr="00FB463B">
        <w:rPr>
          <w:rFonts w:cs="Arial"/>
          <w:b/>
          <w:bCs/>
        </w:rPr>
        <w:t xml:space="preserve">Table </w:t>
      </w:r>
      <w:r w:rsidR="00074A06" w:rsidRPr="00FB463B">
        <w:rPr>
          <w:rFonts w:cs="Arial"/>
          <w:b/>
          <w:bCs/>
        </w:rPr>
        <w:t>32</w:t>
      </w:r>
      <w:r w:rsidRPr="00FB463B">
        <w:rPr>
          <w:rFonts w:cs="Arial"/>
          <w:b/>
          <w:bCs/>
        </w:rPr>
        <w:t xml:space="preserve"> </w:t>
      </w:r>
      <w:r w:rsidR="00F35A0A" w:rsidRPr="00FB463B">
        <w:rPr>
          <w:rFonts w:cs="Arial"/>
          <w:b/>
          <w:bCs/>
        </w:rPr>
        <w:t>Non-Small Schools</w:t>
      </w:r>
    </w:p>
    <w:tbl>
      <w:tblPr>
        <w:tblStyle w:val="TableGrid"/>
        <w:tblW w:w="4675" w:type="dxa"/>
        <w:tblLook w:val="04A0" w:firstRow="1" w:lastRow="0" w:firstColumn="1" w:lastColumn="0" w:noHBand="0" w:noVBand="1"/>
        <w:tblCaption w:val="Table 32: Non-Small Schools"/>
        <w:tblDescription w:val="Table 32: Non-Small Schools"/>
      </w:tblPr>
      <w:tblGrid>
        <w:gridCol w:w="1255"/>
        <w:gridCol w:w="1800"/>
        <w:gridCol w:w="1620"/>
      </w:tblGrid>
      <w:tr w:rsidR="00F35A0A" w:rsidRPr="00FB463B" w14:paraId="4AAAE657" w14:textId="77777777" w:rsidTr="0087494C">
        <w:trPr>
          <w:cantSplit/>
          <w:tblHeader/>
        </w:trPr>
        <w:tc>
          <w:tcPr>
            <w:tcW w:w="1255" w:type="dxa"/>
            <w:shd w:val="clear" w:color="auto" w:fill="DEEAF6" w:themeFill="accent1" w:themeFillTint="33"/>
            <w:vAlign w:val="center"/>
          </w:tcPr>
          <w:p w14:paraId="4FFFD6B1" w14:textId="77777777" w:rsidR="00F35A0A" w:rsidRPr="00FB463B" w:rsidRDefault="00F35A0A" w:rsidP="00422B00">
            <w:pPr>
              <w:jc w:val="center"/>
              <w:rPr>
                <w:rFonts w:cs="Arial"/>
                <w:b/>
                <w:bCs/>
              </w:rPr>
            </w:pPr>
            <w:r w:rsidRPr="00FB463B">
              <w:rPr>
                <w:rFonts w:eastAsia="BIZ UDGothic" w:cs="Arial"/>
                <w:b/>
                <w:bCs/>
                <w:kern w:val="24"/>
              </w:rPr>
              <w:t>Year</w:t>
            </w:r>
          </w:p>
        </w:tc>
        <w:tc>
          <w:tcPr>
            <w:tcW w:w="1800" w:type="dxa"/>
            <w:shd w:val="clear" w:color="auto" w:fill="DEEAF6" w:themeFill="accent1" w:themeFillTint="33"/>
            <w:vAlign w:val="center"/>
          </w:tcPr>
          <w:p w14:paraId="24DC2C28" w14:textId="77777777" w:rsidR="00F35A0A" w:rsidRPr="00FB463B" w:rsidRDefault="00F35A0A"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Graduates</w:t>
            </w:r>
          </w:p>
          <w:p w14:paraId="2D96BB92" w14:textId="77777777" w:rsidR="00F35A0A" w:rsidRPr="00FB463B" w:rsidRDefault="00F35A0A" w:rsidP="00422B00">
            <w:pPr>
              <w:jc w:val="center"/>
              <w:rPr>
                <w:rFonts w:cs="Arial"/>
                <w:b/>
                <w:bCs/>
              </w:rPr>
            </w:pPr>
            <w:r w:rsidRPr="00FB463B">
              <w:rPr>
                <w:rFonts w:eastAsia="BIZ UDGothic" w:cs="Arial"/>
                <w:b/>
                <w:bCs/>
                <w:kern w:val="24"/>
              </w:rPr>
              <w:t>(n=419,523)</w:t>
            </w:r>
          </w:p>
        </w:tc>
        <w:tc>
          <w:tcPr>
            <w:tcW w:w="1620" w:type="dxa"/>
            <w:shd w:val="clear" w:color="auto" w:fill="DEEAF6" w:themeFill="accent1" w:themeFillTint="33"/>
            <w:vAlign w:val="center"/>
          </w:tcPr>
          <w:p w14:paraId="0AA69CFE" w14:textId="77777777" w:rsidR="00F35A0A" w:rsidRPr="00FB463B" w:rsidRDefault="00F35A0A" w:rsidP="00422B00">
            <w:pPr>
              <w:pStyle w:val="NormalWeb"/>
              <w:spacing w:before="0" w:beforeAutospacing="0" w:after="0" w:afterAutospacing="0"/>
              <w:jc w:val="center"/>
              <w:rPr>
                <w:rFonts w:ascii="Arial" w:hAnsi="Arial" w:cs="Arial"/>
              </w:rPr>
            </w:pPr>
            <w:r w:rsidRPr="00FB463B">
              <w:rPr>
                <w:rFonts w:ascii="Arial" w:eastAsia="BIZ UDGothic" w:hAnsi="Arial" w:cs="Arial"/>
                <w:b/>
                <w:bCs/>
                <w:kern w:val="24"/>
              </w:rPr>
              <w:t>Non-Graduates</w:t>
            </w:r>
          </w:p>
          <w:p w14:paraId="34E184A8" w14:textId="77777777" w:rsidR="00F35A0A" w:rsidRPr="00FB463B" w:rsidRDefault="00F35A0A" w:rsidP="00422B00">
            <w:pPr>
              <w:jc w:val="center"/>
              <w:rPr>
                <w:rFonts w:cs="Arial"/>
                <w:b/>
                <w:bCs/>
              </w:rPr>
            </w:pPr>
            <w:r w:rsidRPr="00FB463B">
              <w:rPr>
                <w:rFonts w:eastAsia="BIZ UDGothic" w:cs="Arial"/>
                <w:b/>
                <w:bCs/>
                <w:kern w:val="24"/>
              </w:rPr>
              <w:t>(n=83,064)</w:t>
            </w:r>
          </w:p>
        </w:tc>
      </w:tr>
      <w:tr w:rsidR="00F35A0A" w:rsidRPr="00FB463B" w14:paraId="7C1454A6" w14:textId="77777777" w:rsidTr="0087494C">
        <w:trPr>
          <w:cantSplit/>
          <w:tblHeader/>
        </w:trPr>
        <w:tc>
          <w:tcPr>
            <w:tcW w:w="1255" w:type="dxa"/>
            <w:vAlign w:val="center"/>
          </w:tcPr>
          <w:p w14:paraId="1953721F" w14:textId="77777777" w:rsidR="00F35A0A" w:rsidRPr="00FB463B" w:rsidRDefault="00F35A0A" w:rsidP="00422B00">
            <w:pPr>
              <w:rPr>
                <w:rFonts w:cs="Arial"/>
                <w:b/>
                <w:bCs/>
              </w:rPr>
            </w:pPr>
            <w:r w:rsidRPr="00FB463B">
              <w:rPr>
                <w:rFonts w:eastAsia="BIZ UDGothic" w:cs="Arial"/>
                <w:kern w:val="24"/>
              </w:rPr>
              <w:t>2019-20</w:t>
            </w:r>
          </w:p>
        </w:tc>
        <w:tc>
          <w:tcPr>
            <w:tcW w:w="1800" w:type="dxa"/>
            <w:vAlign w:val="center"/>
          </w:tcPr>
          <w:p w14:paraId="314DD2EC" w14:textId="77777777" w:rsidR="00F35A0A" w:rsidRPr="00FB463B" w:rsidRDefault="00F35A0A" w:rsidP="00422B00">
            <w:pPr>
              <w:jc w:val="center"/>
              <w:rPr>
                <w:rFonts w:cs="Arial"/>
                <w:b/>
                <w:bCs/>
              </w:rPr>
            </w:pPr>
            <w:r w:rsidRPr="00FB463B">
              <w:rPr>
                <w:rFonts w:eastAsiaTheme="minorEastAsia" w:cs="Arial"/>
                <w:kern w:val="24"/>
              </w:rPr>
              <w:t>1,364 (0.33%)</w:t>
            </w:r>
          </w:p>
        </w:tc>
        <w:tc>
          <w:tcPr>
            <w:tcW w:w="1620" w:type="dxa"/>
            <w:vAlign w:val="center"/>
          </w:tcPr>
          <w:p w14:paraId="11A18267" w14:textId="77777777" w:rsidR="00F35A0A" w:rsidRPr="00FB463B" w:rsidRDefault="00F35A0A" w:rsidP="00422B00">
            <w:pPr>
              <w:jc w:val="center"/>
              <w:rPr>
                <w:rFonts w:cs="Arial"/>
                <w:b/>
                <w:bCs/>
              </w:rPr>
            </w:pPr>
            <w:r w:rsidRPr="00FB463B">
              <w:rPr>
                <w:rFonts w:eastAsia="BIZ UDGothic" w:cs="Arial"/>
                <w:kern w:val="24"/>
              </w:rPr>
              <w:t>91 (0.11%)</w:t>
            </w:r>
          </w:p>
        </w:tc>
      </w:tr>
      <w:tr w:rsidR="00F35A0A" w:rsidRPr="00FB463B" w14:paraId="4C57BE11" w14:textId="77777777" w:rsidTr="0087494C">
        <w:trPr>
          <w:cantSplit/>
          <w:tblHeader/>
        </w:trPr>
        <w:tc>
          <w:tcPr>
            <w:tcW w:w="1255" w:type="dxa"/>
            <w:vAlign w:val="center"/>
          </w:tcPr>
          <w:p w14:paraId="33005D17" w14:textId="77777777" w:rsidR="00F35A0A" w:rsidRPr="00FB463B" w:rsidRDefault="00F35A0A" w:rsidP="00422B00">
            <w:pPr>
              <w:rPr>
                <w:rFonts w:cs="Arial"/>
                <w:b/>
                <w:bCs/>
              </w:rPr>
            </w:pPr>
            <w:r w:rsidRPr="00FB463B">
              <w:rPr>
                <w:rFonts w:eastAsia="BIZ UDGothic" w:cs="Arial"/>
                <w:kern w:val="24"/>
              </w:rPr>
              <w:t>2020-21</w:t>
            </w:r>
          </w:p>
        </w:tc>
        <w:tc>
          <w:tcPr>
            <w:tcW w:w="1800" w:type="dxa"/>
            <w:vAlign w:val="center"/>
          </w:tcPr>
          <w:p w14:paraId="30000DB4" w14:textId="77777777" w:rsidR="00F35A0A" w:rsidRPr="00FB463B" w:rsidRDefault="00F35A0A" w:rsidP="00422B00">
            <w:pPr>
              <w:jc w:val="center"/>
              <w:rPr>
                <w:rFonts w:cs="Arial"/>
                <w:b/>
                <w:bCs/>
              </w:rPr>
            </w:pPr>
            <w:r w:rsidRPr="00FB463B">
              <w:rPr>
                <w:rFonts w:eastAsia="BIZ UDGothic" w:cs="Arial"/>
                <w:kern w:val="24"/>
              </w:rPr>
              <w:t>281 (0.07%)</w:t>
            </w:r>
          </w:p>
        </w:tc>
        <w:tc>
          <w:tcPr>
            <w:tcW w:w="1620" w:type="dxa"/>
            <w:vAlign w:val="center"/>
          </w:tcPr>
          <w:p w14:paraId="0D1A7DC6" w14:textId="77777777" w:rsidR="00F35A0A" w:rsidRPr="00FB463B" w:rsidRDefault="00F35A0A" w:rsidP="00422B00">
            <w:pPr>
              <w:jc w:val="center"/>
              <w:rPr>
                <w:rFonts w:cs="Arial"/>
                <w:b/>
                <w:bCs/>
              </w:rPr>
            </w:pPr>
            <w:r w:rsidRPr="00FB463B">
              <w:rPr>
                <w:rFonts w:eastAsia="BIZ UDGothic" w:cs="Arial"/>
                <w:kern w:val="24"/>
              </w:rPr>
              <w:t>10 (0.01%)</w:t>
            </w:r>
          </w:p>
        </w:tc>
      </w:tr>
      <w:tr w:rsidR="00F35A0A" w:rsidRPr="00FB463B" w14:paraId="33ECAAAF" w14:textId="77777777" w:rsidTr="0087494C">
        <w:trPr>
          <w:cantSplit/>
          <w:tblHeader/>
        </w:trPr>
        <w:tc>
          <w:tcPr>
            <w:tcW w:w="1255" w:type="dxa"/>
            <w:vAlign w:val="center"/>
          </w:tcPr>
          <w:p w14:paraId="5D23614C" w14:textId="77777777" w:rsidR="00F35A0A" w:rsidRPr="00FB463B" w:rsidRDefault="00F35A0A" w:rsidP="00422B00">
            <w:pPr>
              <w:rPr>
                <w:rFonts w:cs="Arial"/>
                <w:b/>
                <w:bCs/>
              </w:rPr>
            </w:pPr>
            <w:r w:rsidRPr="00FB463B">
              <w:rPr>
                <w:rFonts w:eastAsia="BIZ UDGothic" w:cs="Arial"/>
                <w:kern w:val="24"/>
              </w:rPr>
              <w:t>2021-22</w:t>
            </w:r>
          </w:p>
        </w:tc>
        <w:tc>
          <w:tcPr>
            <w:tcW w:w="1800" w:type="dxa"/>
            <w:vAlign w:val="center"/>
          </w:tcPr>
          <w:p w14:paraId="3158999F" w14:textId="77777777" w:rsidR="00F35A0A" w:rsidRPr="00FB463B" w:rsidRDefault="00F35A0A" w:rsidP="00422B00">
            <w:pPr>
              <w:jc w:val="center"/>
              <w:rPr>
                <w:rFonts w:cs="Arial"/>
                <w:b/>
                <w:bCs/>
              </w:rPr>
            </w:pPr>
            <w:r w:rsidRPr="00FB463B">
              <w:rPr>
                <w:rFonts w:eastAsia="BIZ UDGothic" w:cs="Arial"/>
                <w:kern w:val="24"/>
              </w:rPr>
              <w:t>1,418 (0.34%)</w:t>
            </w:r>
          </w:p>
        </w:tc>
        <w:tc>
          <w:tcPr>
            <w:tcW w:w="1620" w:type="dxa"/>
            <w:vAlign w:val="center"/>
          </w:tcPr>
          <w:p w14:paraId="2F0A29A7" w14:textId="77777777" w:rsidR="00F35A0A" w:rsidRPr="00FB463B" w:rsidRDefault="00F35A0A" w:rsidP="00422B00">
            <w:pPr>
              <w:jc w:val="center"/>
              <w:rPr>
                <w:rFonts w:cs="Arial"/>
                <w:b/>
                <w:bCs/>
              </w:rPr>
            </w:pPr>
            <w:r w:rsidRPr="00FB463B">
              <w:rPr>
                <w:rFonts w:eastAsia="BIZ UDGothic" w:cs="Arial"/>
                <w:kern w:val="24"/>
              </w:rPr>
              <w:t>39 (0.05%)</w:t>
            </w:r>
          </w:p>
        </w:tc>
      </w:tr>
      <w:tr w:rsidR="00F35A0A" w:rsidRPr="00FB463B" w14:paraId="246BADBB" w14:textId="77777777" w:rsidTr="0087494C">
        <w:trPr>
          <w:cantSplit/>
          <w:tblHeader/>
        </w:trPr>
        <w:tc>
          <w:tcPr>
            <w:tcW w:w="1255" w:type="dxa"/>
            <w:vAlign w:val="center"/>
          </w:tcPr>
          <w:p w14:paraId="195CCC33" w14:textId="77777777" w:rsidR="00F35A0A" w:rsidRPr="00FB463B" w:rsidRDefault="00F35A0A" w:rsidP="00422B00">
            <w:pPr>
              <w:rPr>
                <w:rFonts w:cs="Arial"/>
                <w:b/>
                <w:bCs/>
              </w:rPr>
            </w:pPr>
            <w:r w:rsidRPr="00FB463B">
              <w:rPr>
                <w:rFonts w:eastAsia="BIZ UDGothic" w:cs="Arial"/>
                <w:b/>
                <w:bCs/>
                <w:kern w:val="24"/>
              </w:rPr>
              <w:t>Total</w:t>
            </w:r>
          </w:p>
        </w:tc>
        <w:tc>
          <w:tcPr>
            <w:tcW w:w="1800" w:type="dxa"/>
            <w:vAlign w:val="center"/>
          </w:tcPr>
          <w:p w14:paraId="18128517" w14:textId="77777777" w:rsidR="00F35A0A" w:rsidRPr="00FB463B" w:rsidRDefault="00F35A0A" w:rsidP="00422B00">
            <w:pPr>
              <w:jc w:val="center"/>
              <w:rPr>
                <w:rFonts w:cs="Arial"/>
                <w:b/>
                <w:bCs/>
              </w:rPr>
            </w:pPr>
            <w:r w:rsidRPr="00FB463B">
              <w:rPr>
                <w:rFonts w:cs="Arial"/>
                <w:b/>
                <w:bCs/>
              </w:rPr>
              <w:t>3,063 (0.74%)</w:t>
            </w:r>
          </w:p>
        </w:tc>
        <w:tc>
          <w:tcPr>
            <w:tcW w:w="1620" w:type="dxa"/>
            <w:vAlign w:val="center"/>
          </w:tcPr>
          <w:p w14:paraId="19887E8D" w14:textId="77777777" w:rsidR="00F35A0A" w:rsidRPr="00FB463B" w:rsidRDefault="00F35A0A" w:rsidP="00422B00">
            <w:pPr>
              <w:jc w:val="center"/>
              <w:rPr>
                <w:rFonts w:cs="Arial"/>
                <w:b/>
                <w:bCs/>
              </w:rPr>
            </w:pPr>
            <w:r w:rsidRPr="00FB463B">
              <w:rPr>
                <w:rFonts w:cs="Arial"/>
                <w:b/>
                <w:bCs/>
              </w:rPr>
              <w:t>140 (0.17%)</w:t>
            </w:r>
          </w:p>
        </w:tc>
      </w:tr>
    </w:tbl>
    <w:p w14:paraId="2F540A84" w14:textId="77777777" w:rsidR="002F40B9" w:rsidRPr="00FB463B" w:rsidRDefault="002F40B9" w:rsidP="00F35A0A">
      <w:pPr>
        <w:rPr>
          <w:rFonts w:cs="Arial"/>
        </w:rPr>
        <w:sectPr w:rsidR="002F40B9" w:rsidRPr="00FB463B" w:rsidSect="005E0FF8">
          <w:type w:val="continuous"/>
          <w:pgSz w:w="12240" w:h="15840"/>
          <w:pgMar w:top="1440" w:right="1440" w:bottom="1440" w:left="1440" w:header="720" w:footer="720" w:gutter="0"/>
          <w:cols w:num="2" w:space="720"/>
          <w:docGrid w:linePitch="360"/>
        </w:sectPr>
      </w:pPr>
    </w:p>
    <w:p w14:paraId="51F4B5DA" w14:textId="77777777" w:rsidR="00F35A0A" w:rsidRPr="00FB463B" w:rsidRDefault="00F35A0A" w:rsidP="00F35A0A">
      <w:pPr>
        <w:rPr>
          <w:rFonts w:cs="Arial"/>
        </w:rPr>
        <w:sectPr w:rsidR="00F35A0A" w:rsidRPr="00FB463B" w:rsidSect="005E0FF8">
          <w:type w:val="continuous"/>
          <w:pgSz w:w="12240" w:h="15840"/>
          <w:pgMar w:top="1440" w:right="1440" w:bottom="1440" w:left="1440" w:header="720" w:footer="720" w:gutter="0"/>
          <w:cols w:num="2" w:space="720"/>
          <w:docGrid w:linePitch="360"/>
        </w:sectPr>
      </w:pPr>
    </w:p>
    <w:p w14:paraId="0512DD13" w14:textId="4C4C301B" w:rsidR="00B36D4B" w:rsidRPr="00FB463B" w:rsidRDefault="00777347" w:rsidP="002D4BC1">
      <w:pPr>
        <w:spacing w:before="240" w:after="240"/>
        <w:rPr>
          <w:rFonts w:cs="Arial"/>
        </w:rPr>
      </w:pPr>
      <w:r w:rsidRPr="00FB463B">
        <w:rPr>
          <w:rFonts w:cs="Arial"/>
        </w:rPr>
        <w:lastRenderedPageBreak/>
        <w:t>T</w:t>
      </w:r>
      <w:r w:rsidR="00B635F3" w:rsidRPr="00FB463B">
        <w:rPr>
          <w:rFonts w:cs="Arial"/>
        </w:rPr>
        <w:t>he</w:t>
      </w:r>
      <w:r w:rsidR="00213722" w:rsidRPr="00FB463B">
        <w:rPr>
          <w:rFonts w:cs="Arial"/>
        </w:rPr>
        <w:t xml:space="preserve"> </w:t>
      </w:r>
      <w:r w:rsidR="00A670D2" w:rsidRPr="00FB463B">
        <w:rPr>
          <w:rFonts w:cs="Arial"/>
        </w:rPr>
        <w:t xml:space="preserve">data </w:t>
      </w:r>
      <w:r w:rsidR="002C7C8D" w:rsidRPr="00FB463B">
        <w:rPr>
          <w:rFonts w:cs="Arial"/>
        </w:rPr>
        <w:t>for</w:t>
      </w:r>
      <w:r w:rsidR="00A670D2" w:rsidRPr="00FB463B">
        <w:rPr>
          <w:rFonts w:cs="Arial"/>
        </w:rPr>
        <w:t xml:space="preserve"> the</w:t>
      </w:r>
      <w:r w:rsidR="00534EDA" w:rsidRPr="00FB463B">
        <w:rPr>
          <w:rFonts w:cs="Arial"/>
        </w:rPr>
        <w:t xml:space="preserve"> four-year </w:t>
      </w:r>
      <w:r w:rsidR="00B635F3" w:rsidRPr="00FB463B">
        <w:rPr>
          <w:rFonts w:cs="Arial"/>
        </w:rPr>
        <w:t xml:space="preserve">cohort also </w:t>
      </w:r>
      <w:r w:rsidRPr="00FB463B">
        <w:rPr>
          <w:rFonts w:cs="Arial"/>
        </w:rPr>
        <w:t xml:space="preserve">showed </w:t>
      </w:r>
      <w:r w:rsidR="00460120" w:rsidRPr="00FB463B">
        <w:rPr>
          <w:rFonts w:cs="Arial"/>
        </w:rPr>
        <w:t xml:space="preserve">overall </w:t>
      </w:r>
      <w:r w:rsidRPr="00FB463B">
        <w:rPr>
          <w:rFonts w:cs="Arial"/>
        </w:rPr>
        <w:t>similar patterns</w:t>
      </w:r>
      <w:r w:rsidR="004B5D4F" w:rsidRPr="00FB463B">
        <w:rPr>
          <w:rFonts w:cs="Arial"/>
        </w:rPr>
        <w:t xml:space="preserve"> </w:t>
      </w:r>
      <w:r w:rsidR="00257AD7" w:rsidRPr="00FB463B">
        <w:rPr>
          <w:rFonts w:cs="Arial"/>
        </w:rPr>
        <w:t>of</w:t>
      </w:r>
      <w:r w:rsidR="004B5D4F" w:rsidRPr="00FB463B">
        <w:rPr>
          <w:rFonts w:cs="Arial"/>
        </w:rPr>
        <w:t xml:space="preserve"> </w:t>
      </w:r>
      <w:r w:rsidR="00CC4EFF" w:rsidRPr="00FB463B">
        <w:rPr>
          <w:rFonts w:cs="Arial"/>
        </w:rPr>
        <w:t>smaller completion counts for 202</w:t>
      </w:r>
      <w:r w:rsidR="001146C9" w:rsidRPr="00FB463B">
        <w:rPr>
          <w:rFonts w:cs="Arial"/>
        </w:rPr>
        <w:t xml:space="preserve">0–21 </w:t>
      </w:r>
      <w:r w:rsidR="008F2AD0" w:rsidRPr="00FB463B">
        <w:rPr>
          <w:rFonts w:cs="Arial"/>
        </w:rPr>
        <w:t>compared to the figures for</w:t>
      </w:r>
      <w:r w:rsidR="0027777A" w:rsidRPr="00FB463B">
        <w:rPr>
          <w:rFonts w:cs="Arial"/>
        </w:rPr>
        <w:t xml:space="preserve"> 2021–22.</w:t>
      </w:r>
      <w:r w:rsidR="00527193" w:rsidRPr="00FB463B">
        <w:rPr>
          <w:rFonts w:cs="Arial"/>
        </w:rPr>
        <w:t xml:space="preserve"> T</w:t>
      </w:r>
      <w:r w:rsidR="006D3FE6" w:rsidRPr="00FB463B">
        <w:rPr>
          <w:rFonts w:cs="Arial"/>
        </w:rPr>
        <w:t>he</w:t>
      </w:r>
      <w:r w:rsidR="009C077C" w:rsidRPr="00FB463B">
        <w:rPr>
          <w:rFonts w:cs="Arial"/>
        </w:rPr>
        <w:t xml:space="preserve"> data </w:t>
      </w:r>
      <w:r w:rsidR="00C5378C" w:rsidRPr="00FB463B">
        <w:rPr>
          <w:rFonts w:cs="Arial"/>
        </w:rPr>
        <w:t>did show</w:t>
      </w:r>
      <w:r w:rsidR="009C077C" w:rsidRPr="00FB463B">
        <w:rPr>
          <w:rFonts w:cs="Arial"/>
        </w:rPr>
        <w:t xml:space="preserve"> </w:t>
      </w:r>
      <w:r w:rsidR="00964A2F" w:rsidRPr="00FB463B">
        <w:rPr>
          <w:rFonts w:cs="Arial"/>
        </w:rPr>
        <w:t>for Simulated WBL</w:t>
      </w:r>
      <w:r w:rsidR="00C5378C" w:rsidRPr="00FB463B">
        <w:rPr>
          <w:rFonts w:cs="Arial"/>
        </w:rPr>
        <w:t xml:space="preserve"> that </w:t>
      </w:r>
      <w:r w:rsidR="00964A2F" w:rsidRPr="00FB463B">
        <w:rPr>
          <w:rFonts w:cs="Arial"/>
        </w:rPr>
        <w:t>the pattern</w:t>
      </w:r>
      <w:r w:rsidR="00644A08" w:rsidRPr="00FB463B">
        <w:rPr>
          <w:rFonts w:cs="Arial"/>
        </w:rPr>
        <w:t xml:space="preserve"> </w:t>
      </w:r>
      <w:r w:rsidR="00C10C0A" w:rsidRPr="00FB463B">
        <w:rPr>
          <w:rFonts w:cs="Arial"/>
        </w:rPr>
        <w:t>is</w:t>
      </w:r>
      <w:r w:rsidR="00644A08" w:rsidRPr="00FB463B">
        <w:rPr>
          <w:rFonts w:cs="Arial"/>
        </w:rPr>
        <w:t xml:space="preserve"> </w:t>
      </w:r>
      <w:r w:rsidR="00964A2F" w:rsidRPr="00FB463B">
        <w:rPr>
          <w:rFonts w:cs="Arial"/>
        </w:rPr>
        <w:t xml:space="preserve">reversed with </w:t>
      </w:r>
      <w:r w:rsidR="0086412B" w:rsidRPr="00FB463B">
        <w:rPr>
          <w:rFonts w:cs="Arial"/>
        </w:rPr>
        <w:t xml:space="preserve">a higher </w:t>
      </w:r>
      <w:r w:rsidR="00185E1F" w:rsidRPr="00FB463B">
        <w:rPr>
          <w:rFonts w:cs="Arial"/>
        </w:rPr>
        <w:t xml:space="preserve">count in the </w:t>
      </w:r>
      <w:r w:rsidR="00985534" w:rsidRPr="00FB463B">
        <w:rPr>
          <w:rFonts w:cs="Arial"/>
        </w:rPr>
        <w:t>first-year</w:t>
      </w:r>
      <w:r w:rsidR="0086412B" w:rsidRPr="00FB463B">
        <w:rPr>
          <w:rFonts w:cs="Arial"/>
        </w:rPr>
        <w:t xml:space="preserve"> </w:t>
      </w:r>
      <w:r w:rsidR="00AA6190" w:rsidRPr="00FB463B">
        <w:rPr>
          <w:rFonts w:cs="Arial"/>
        </w:rPr>
        <w:t xml:space="preserve">data </w:t>
      </w:r>
      <w:r w:rsidR="006F0E8B" w:rsidRPr="00FB463B">
        <w:rPr>
          <w:rFonts w:cs="Arial"/>
        </w:rPr>
        <w:t>collection compared to the second.</w:t>
      </w:r>
    </w:p>
    <w:p w14:paraId="077A0FBA" w14:textId="21DE4C82" w:rsidR="001210CB" w:rsidRPr="00FB463B" w:rsidRDefault="00AA6190" w:rsidP="00532561">
      <w:pPr>
        <w:spacing w:after="240"/>
        <w:rPr>
          <w:rFonts w:cs="Arial"/>
          <w:b/>
          <w:bCs/>
        </w:rPr>
      </w:pPr>
      <w:r w:rsidRPr="00FB463B">
        <w:rPr>
          <w:rFonts w:cs="Arial"/>
        </w:rPr>
        <w:t>Because the combined four-and five-year rate that is calculated for the Graduation Rate Indicator is also used as the base of students for the CCI, t</w:t>
      </w:r>
      <w:r w:rsidR="0081181C" w:rsidRPr="00FB463B">
        <w:rPr>
          <w:rFonts w:cs="Arial"/>
        </w:rPr>
        <w:t xml:space="preserve">he CDE also </w:t>
      </w:r>
      <w:r w:rsidR="00290C79" w:rsidRPr="00FB463B">
        <w:rPr>
          <w:rFonts w:cs="Arial"/>
        </w:rPr>
        <w:t>ran the completion</w:t>
      </w:r>
      <w:r w:rsidR="0081181C" w:rsidRPr="00FB463B">
        <w:rPr>
          <w:rFonts w:cs="Arial"/>
        </w:rPr>
        <w:t xml:space="preserve"> data for </w:t>
      </w:r>
      <w:r w:rsidR="00364EAB" w:rsidRPr="00FB463B">
        <w:rPr>
          <w:rFonts w:cs="Arial"/>
        </w:rPr>
        <w:t xml:space="preserve">fifth-year graduates. </w:t>
      </w:r>
      <w:r w:rsidR="00E02334" w:rsidRPr="00FB463B">
        <w:rPr>
          <w:rFonts w:cs="Arial"/>
        </w:rPr>
        <w:t>The</w:t>
      </w:r>
      <w:r w:rsidR="003122CB" w:rsidRPr="00FB463B">
        <w:rPr>
          <w:rFonts w:cs="Arial"/>
        </w:rPr>
        <w:t xml:space="preserve"> </w:t>
      </w:r>
      <w:r w:rsidR="00E02334" w:rsidRPr="00FB463B">
        <w:rPr>
          <w:rFonts w:cs="Arial"/>
        </w:rPr>
        <w:t>results, as reference</w:t>
      </w:r>
      <w:r w:rsidR="00767AB7" w:rsidRPr="00FB463B">
        <w:rPr>
          <w:rFonts w:cs="Arial"/>
        </w:rPr>
        <w:t>d</w:t>
      </w:r>
      <w:r w:rsidR="00E02334" w:rsidRPr="00FB463B">
        <w:rPr>
          <w:rFonts w:cs="Arial"/>
        </w:rPr>
        <w:t xml:space="preserve"> in Table </w:t>
      </w:r>
      <w:r w:rsidR="005460B3" w:rsidRPr="00FB463B">
        <w:rPr>
          <w:rFonts w:cs="Arial"/>
        </w:rPr>
        <w:t>33</w:t>
      </w:r>
      <w:r w:rsidR="00E02334" w:rsidRPr="00FB463B">
        <w:rPr>
          <w:rFonts w:cs="Arial"/>
        </w:rPr>
        <w:t xml:space="preserve">, </w:t>
      </w:r>
      <w:r w:rsidR="003F0305" w:rsidRPr="00FB463B">
        <w:rPr>
          <w:rFonts w:cs="Arial"/>
        </w:rPr>
        <w:t>reveal</w:t>
      </w:r>
      <w:r w:rsidR="00ED0046" w:rsidRPr="00FB463B">
        <w:rPr>
          <w:rFonts w:cs="Arial"/>
        </w:rPr>
        <w:t>ed</w:t>
      </w:r>
      <w:r w:rsidR="00E02334" w:rsidRPr="00FB463B">
        <w:rPr>
          <w:rFonts w:cs="Arial"/>
        </w:rPr>
        <w:t xml:space="preserve"> only a few </w:t>
      </w:r>
      <w:r w:rsidR="003122CB" w:rsidRPr="00FB463B">
        <w:rPr>
          <w:rFonts w:cs="Arial"/>
        </w:rPr>
        <w:t xml:space="preserve">fifth-year graduates from the Class of 2021 (who graduated in 2021–22) </w:t>
      </w:r>
      <w:r w:rsidR="00E76CDB" w:rsidRPr="00FB463B">
        <w:rPr>
          <w:rFonts w:cs="Arial"/>
        </w:rPr>
        <w:t>complet</w:t>
      </w:r>
      <w:r w:rsidR="00515806" w:rsidRPr="00FB463B">
        <w:rPr>
          <w:rFonts w:cs="Arial"/>
        </w:rPr>
        <w:t>ed</w:t>
      </w:r>
      <w:r w:rsidR="00E76CDB" w:rsidRPr="00FB463B">
        <w:rPr>
          <w:rFonts w:cs="Arial"/>
        </w:rPr>
        <w:t xml:space="preserve"> </w:t>
      </w:r>
      <w:r w:rsidR="003122CB" w:rsidRPr="00FB463B">
        <w:rPr>
          <w:rFonts w:cs="Arial"/>
        </w:rPr>
        <w:t>these career activities.</w:t>
      </w:r>
      <w:r w:rsidR="00AE3059" w:rsidRPr="00FB463B">
        <w:rPr>
          <w:rFonts w:cs="Arial"/>
        </w:rPr>
        <w:t xml:space="preserve"> It also shows similar </w:t>
      </w:r>
      <w:r w:rsidR="009534A4" w:rsidRPr="00FB463B">
        <w:rPr>
          <w:rFonts w:cs="Arial"/>
        </w:rPr>
        <w:t>trends</w:t>
      </w:r>
      <w:r w:rsidR="00AE3059" w:rsidRPr="00FB463B">
        <w:rPr>
          <w:rFonts w:cs="Arial"/>
        </w:rPr>
        <w:t xml:space="preserve"> </w:t>
      </w:r>
      <w:r w:rsidR="001A0929" w:rsidRPr="00FB463B">
        <w:rPr>
          <w:rFonts w:cs="Arial"/>
        </w:rPr>
        <w:t xml:space="preserve">as seen </w:t>
      </w:r>
      <w:r w:rsidR="004E041B" w:rsidRPr="00FB463B">
        <w:rPr>
          <w:rFonts w:cs="Arial"/>
        </w:rPr>
        <w:t>with</w:t>
      </w:r>
      <w:r w:rsidR="001A0929" w:rsidRPr="00FB463B">
        <w:rPr>
          <w:rFonts w:cs="Arial"/>
        </w:rPr>
        <w:t xml:space="preserve"> the four-year cohort data.</w:t>
      </w:r>
    </w:p>
    <w:p w14:paraId="2A590D01" w14:textId="197E11DF" w:rsidR="00352482" w:rsidRPr="00FB463B" w:rsidRDefault="00E02334" w:rsidP="00AA4D24">
      <w:pPr>
        <w:rPr>
          <w:rFonts w:cs="Arial"/>
          <w:b/>
          <w:bCs/>
        </w:rPr>
      </w:pPr>
      <w:r w:rsidRPr="00FB463B">
        <w:rPr>
          <w:rFonts w:cs="Arial"/>
          <w:b/>
          <w:bCs/>
        </w:rPr>
        <w:t xml:space="preserve">Table </w:t>
      </w:r>
      <w:r w:rsidR="005460B3" w:rsidRPr="00FB463B">
        <w:rPr>
          <w:rFonts w:cs="Arial"/>
          <w:b/>
          <w:bCs/>
        </w:rPr>
        <w:t>33</w:t>
      </w:r>
      <w:r w:rsidRPr="00FB463B">
        <w:rPr>
          <w:rFonts w:cs="Arial"/>
          <w:b/>
          <w:bCs/>
        </w:rPr>
        <w:t xml:space="preserve">: </w:t>
      </w:r>
      <w:r w:rsidR="006F43B5" w:rsidRPr="00FB463B">
        <w:rPr>
          <w:rFonts w:cs="Arial"/>
          <w:b/>
          <w:bCs/>
        </w:rPr>
        <w:t xml:space="preserve">Completion of Measures for </w:t>
      </w:r>
      <w:r w:rsidR="00DA5350" w:rsidRPr="00FB463B">
        <w:rPr>
          <w:rFonts w:cs="Arial"/>
          <w:b/>
          <w:bCs/>
        </w:rPr>
        <w:t xml:space="preserve">Class of 2021 </w:t>
      </w:r>
      <w:r w:rsidR="00F71783" w:rsidRPr="00FB463B">
        <w:rPr>
          <w:rFonts w:cs="Arial"/>
          <w:b/>
          <w:bCs/>
        </w:rPr>
        <w:t>Fifth-Year Graduat</w:t>
      </w:r>
      <w:r w:rsidR="001210CB" w:rsidRPr="00FB463B">
        <w:rPr>
          <w:rFonts w:cs="Arial"/>
          <w:b/>
          <w:bCs/>
        </w:rPr>
        <w:t>es</w:t>
      </w:r>
    </w:p>
    <w:tbl>
      <w:tblPr>
        <w:tblStyle w:val="TableGrid"/>
        <w:tblW w:w="9540" w:type="dxa"/>
        <w:tblInd w:w="-95" w:type="dxa"/>
        <w:tblLook w:val="04A0" w:firstRow="1" w:lastRow="0" w:firstColumn="1" w:lastColumn="0" w:noHBand="0" w:noVBand="1"/>
        <w:tblCaption w:val="Table 33"/>
        <w:tblDescription w:val="Completion of Measures for Class of 2021 Fifth-Year Graduates"/>
      </w:tblPr>
      <w:tblGrid>
        <w:gridCol w:w="4140"/>
        <w:gridCol w:w="1080"/>
        <w:gridCol w:w="1440"/>
        <w:gridCol w:w="1517"/>
        <w:gridCol w:w="1363"/>
      </w:tblGrid>
      <w:tr w:rsidR="00A13EFC" w:rsidRPr="00FB463B" w14:paraId="6D24BD40" w14:textId="77777777" w:rsidTr="007871ED">
        <w:trPr>
          <w:cantSplit/>
          <w:tblHeader/>
        </w:trPr>
        <w:tc>
          <w:tcPr>
            <w:tcW w:w="4140" w:type="dxa"/>
            <w:shd w:val="clear" w:color="auto" w:fill="E7E6E6" w:themeFill="background2"/>
            <w:vAlign w:val="center"/>
          </w:tcPr>
          <w:p w14:paraId="2AAAA1D7" w14:textId="72F45A9C" w:rsidR="005E5050" w:rsidRPr="00FB463B" w:rsidRDefault="005E5050" w:rsidP="005E5050">
            <w:pPr>
              <w:jc w:val="center"/>
              <w:rPr>
                <w:rFonts w:cs="Arial"/>
                <w:b/>
                <w:bCs/>
              </w:rPr>
            </w:pPr>
            <w:r w:rsidRPr="00FB463B">
              <w:rPr>
                <w:rFonts w:eastAsia="BIZ UDGothic" w:cs="Arial"/>
                <w:b/>
                <w:bCs/>
                <w:kern w:val="24"/>
              </w:rPr>
              <w:t>Year</w:t>
            </w:r>
          </w:p>
        </w:tc>
        <w:tc>
          <w:tcPr>
            <w:tcW w:w="1080" w:type="dxa"/>
            <w:shd w:val="clear" w:color="auto" w:fill="E7E6E6" w:themeFill="background2"/>
            <w:vAlign w:val="center"/>
          </w:tcPr>
          <w:p w14:paraId="6F0F85CD" w14:textId="234501B8" w:rsidR="005E5050" w:rsidRPr="00FB463B" w:rsidRDefault="005E5050" w:rsidP="005E5050">
            <w:pPr>
              <w:jc w:val="center"/>
              <w:rPr>
                <w:rFonts w:cs="Arial"/>
                <w:b/>
                <w:bCs/>
              </w:rPr>
            </w:pPr>
            <w:r w:rsidRPr="00FB463B">
              <w:rPr>
                <w:rFonts w:eastAsia="BIZ UDGothic" w:cs="Arial"/>
                <w:b/>
                <w:bCs/>
                <w:kern w:val="24"/>
              </w:rPr>
              <w:t>ASVAB</w:t>
            </w:r>
          </w:p>
        </w:tc>
        <w:tc>
          <w:tcPr>
            <w:tcW w:w="1440" w:type="dxa"/>
            <w:shd w:val="clear" w:color="auto" w:fill="E7E6E6" w:themeFill="background2"/>
            <w:vAlign w:val="center"/>
          </w:tcPr>
          <w:p w14:paraId="418CFB5D" w14:textId="6D17DB25" w:rsidR="005E5050" w:rsidRPr="00FB463B" w:rsidRDefault="005E5050" w:rsidP="005E5050">
            <w:pPr>
              <w:jc w:val="center"/>
              <w:rPr>
                <w:rFonts w:cs="Arial"/>
                <w:b/>
                <w:bCs/>
              </w:rPr>
            </w:pPr>
            <w:r w:rsidRPr="00FB463B">
              <w:rPr>
                <w:rFonts w:eastAsia="BIZ UDGothic" w:cs="Arial"/>
                <w:b/>
                <w:bCs/>
                <w:kern w:val="24"/>
              </w:rPr>
              <w:t>Internship</w:t>
            </w:r>
          </w:p>
        </w:tc>
        <w:tc>
          <w:tcPr>
            <w:tcW w:w="1517" w:type="dxa"/>
            <w:shd w:val="clear" w:color="auto" w:fill="E7E6E6" w:themeFill="background2"/>
            <w:vAlign w:val="center"/>
          </w:tcPr>
          <w:p w14:paraId="5893FC38" w14:textId="5628C587" w:rsidR="005E5050" w:rsidRPr="00FB463B" w:rsidRDefault="005E5050" w:rsidP="005E5050">
            <w:pPr>
              <w:jc w:val="center"/>
              <w:rPr>
                <w:rFonts w:cs="Arial"/>
                <w:b/>
                <w:bCs/>
              </w:rPr>
            </w:pPr>
            <w:r w:rsidRPr="00FB463B">
              <w:rPr>
                <w:rFonts w:eastAsia="BIZ UDGothic" w:cs="Arial"/>
                <w:b/>
                <w:bCs/>
                <w:kern w:val="24"/>
              </w:rPr>
              <w:t>Student-Led Enterprise</w:t>
            </w:r>
          </w:p>
        </w:tc>
        <w:tc>
          <w:tcPr>
            <w:tcW w:w="1363" w:type="dxa"/>
            <w:shd w:val="clear" w:color="auto" w:fill="E7E6E6" w:themeFill="background2"/>
            <w:vAlign w:val="center"/>
          </w:tcPr>
          <w:p w14:paraId="403FDD97" w14:textId="752EAF52" w:rsidR="005E5050" w:rsidRPr="00FB463B" w:rsidRDefault="005E5050" w:rsidP="005E5050">
            <w:pPr>
              <w:jc w:val="center"/>
              <w:rPr>
                <w:rFonts w:cs="Arial"/>
                <w:b/>
                <w:bCs/>
              </w:rPr>
            </w:pPr>
            <w:r w:rsidRPr="00FB463B">
              <w:rPr>
                <w:rFonts w:eastAsia="BIZ UDGothic" w:cs="Arial"/>
                <w:b/>
                <w:bCs/>
                <w:kern w:val="24"/>
              </w:rPr>
              <w:t>Simulated WBL</w:t>
            </w:r>
          </w:p>
        </w:tc>
      </w:tr>
      <w:tr w:rsidR="00B5270B" w:rsidRPr="00FB463B" w14:paraId="5DEC3758" w14:textId="77777777" w:rsidTr="007871ED">
        <w:trPr>
          <w:cantSplit/>
        </w:trPr>
        <w:tc>
          <w:tcPr>
            <w:tcW w:w="4140" w:type="dxa"/>
            <w:vAlign w:val="center"/>
          </w:tcPr>
          <w:p w14:paraId="1B08D07B" w14:textId="0B345062" w:rsidR="005E5050" w:rsidRPr="00FB463B" w:rsidRDefault="005E5050" w:rsidP="005E5050">
            <w:pPr>
              <w:pStyle w:val="NormalWeb"/>
              <w:spacing w:before="0" w:beforeAutospacing="0" w:after="0" w:afterAutospacing="0"/>
              <w:jc w:val="center"/>
              <w:rPr>
                <w:rFonts w:ascii="Arial" w:hAnsi="Arial" w:cs="Arial"/>
              </w:rPr>
            </w:pPr>
            <w:r w:rsidRPr="00FB463B">
              <w:rPr>
                <w:rFonts w:ascii="Arial" w:eastAsia="BIZ UDGothic" w:hAnsi="Arial" w:cs="Arial"/>
                <w:kern w:val="24"/>
              </w:rPr>
              <w:t>2019</w:t>
            </w:r>
            <w:r w:rsidR="00DE502D" w:rsidRPr="00FB463B">
              <w:rPr>
                <w:rFonts w:ascii="Arial" w:eastAsia="BIZ UDGothic" w:hAnsi="Arial" w:cs="Arial"/>
                <w:kern w:val="24"/>
              </w:rPr>
              <w:t>–</w:t>
            </w:r>
            <w:r w:rsidRPr="00FB463B">
              <w:rPr>
                <w:rFonts w:ascii="Arial" w:eastAsia="BIZ UDGothic" w:hAnsi="Arial" w:cs="Arial"/>
                <w:kern w:val="24"/>
              </w:rPr>
              <w:t>20</w:t>
            </w:r>
          </w:p>
          <w:p w14:paraId="357D2075" w14:textId="1CA5A59A" w:rsidR="005E5050" w:rsidRPr="00FB463B" w:rsidRDefault="005E5050" w:rsidP="005E5050">
            <w:pPr>
              <w:jc w:val="center"/>
              <w:rPr>
                <w:rFonts w:cs="Arial"/>
                <w:b/>
                <w:bCs/>
              </w:rPr>
            </w:pPr>
            <w:r w:rsidRPr="00FB463B">
              <w:rPr>
                <w:rFonts w:eastAsia="BIZ UDGothic" w:cs="Arial"/>
                <w:kern w:val="24"/>
              </w:rPr>
              <w:t>(</w:t>
            </w:r>
            <w:r w:rsidR="00416981" w:rsidRPr="00FB463B">
              <w:rPr>
                <w:rFonts w:eastAsia="BIZ UDGothic" w:cs="Arial"/>
                <w:kern w:val="24"/>
              </w:rPr>
              <w:t xml:space="preserve">Total </w:t>
            </w:r>
            <w:r w:rsidR="00FC2897" w:rsidRPr="00FB463B">
              <w:rPr>
                <w:rFonts w:eastAsia="BIZ UDGothic" w:cs="Arial"/>
                <w:kern w:val="24"/>
              </w:rPr>
              <w:t>Fifth-Year Graduates</w:t>
            </w:r>
            <w:r w:rsidRPr="00FB463B">
              <w:rPr>
                <w:rFonts w:eastAsia="BIZ UDGothic" w:cs="Arial"/>
                <w:kern w:val="24"/>
              </w:rPr>
              <w:t>=4,413)</w:t>
            </w:r>
          </w:p>
        </w:tc>
        <w:tc>
          <w:tcPr>
            <w:tcW w:w="1080" w:type="dxa"/>
            <w:vAlign w:val="center"/>
          </w:tcPr>
          <w:p w14:paraId="1C530B0A" w14:textId="02848291" w:rsidR="005E5050" w:rsidRPr="00FB463B" w:rsidRDefault="005E5050" w:rsidP="005E5050">
            <w:pPr>
              <w:jc w:val="center"/>
              <w:rPr>
                <w:rFonts w:cs="Arial"/>
                <w:b/>
                <w:bCs/>
              </w:rPr>
            </w:pPr>
            <w:r w:rsidRPr="00FB463B">
              <w:rPr>
                <w:rFonts w:eastAsia="BIZ UDGothic" w:cs="Arial"/>
                <w:kern w:val="24"/>
              </w:rPr>
              <w:t>59</w:t>
            </w:r>
          </w:p>
        </w:tc>
        <w:tc>
          <w:tcPr>
            <w:tcW w:w="1440" w:type="dxa"/>
            <w:vAlign w:val="center"/>
          </w:tcPr>
          <w:p w14:paraId="38DB2CA4" w14:textId="3091AAB3" w:rsidR="005E5050" w:rsidRPr="00FB463B" w:rsidRDefault="005E5050" w:rsidP="005E5050">
            <w:pPr>
              <w:jc w:val="center"/>
              <w:rPr>
                <w:rFonts w:cs="Arial"/>
                <w:b/>
                <w:bCs/>
              </w:rPr>
            </w:pPr>
            <w:r w:rsidRPr="00FB463B">
              <w:rPr>
                <w:rFonts w:eastAsia="BIZ UDGothic" w:cs="Arial"/>
                <w:kern w:val="24"/>
              </w:rPr>
              <w:t>N/A</w:t>
            </w:r>
          </w:p>
        </w:tc>
        <w:tc>
          <w:tcPr>
            <w:tcW w:w="1517" w:type="dxa"/>
            <w:vAlign w:val="center"/>
          </w:tcPr>
          <w:p w14:paraId="4B4C5749" w14:textId="5F4E6D72" w:rsidR="005E5050" w:rsidRPr="00FB463B" w:rsidRDefault="005E5050" w:rsidP="005E5050">
            <w:pPr>
              <w:jc w:val="center"/>
              <w:rPr>
                <w:rFonts w:cs="Arial"/>
                <w:b/>
                <w:bCs/>
              </w:rPr>
            </w:pPr>
            <w:r w:rsidRPr="00FB463B">
              <w:rPr>
                <w:rFonts w:eastAsia="BIZ UDGothic" w:cs="Arial"/>
                <w:kern w:val="24"/>
              </w:rPr>
              <w:t>N/A</w:t>
            </w:r>
          </w:p>
        </w:tc>
        <w:tc>
          <w:tcPr>
            <w:tcW w:w="1363" w:type="dxa"/>
            <w:vAlign w:val="center"/>
          </w:tcPr>
          <w:p w14:paraId="4ABD5ED7" w14:textId="5EC985C7" w:rsidR="005E5050" w:rsidRPr="00FB463B" w:rsidRDefault="005E5050" w:rsidP="005E5050">
            <w:pPr>
              <w:jc w:val="center"/>
              <w:rPr>
                <w:rFonts w:cs="Arial"/>
                <w:b/>
                <w:bCs/>
              </w:rPr>
            </w:pPr>
            <w:r w:rsidRPr="00FB463B">
              <w:rPr>
                <w:rFonts w:eastAsia="BIZ UDGothic" w:cs="Arial"/>
                <w:kern w:val="24"/>
              </w:rPr>
              <w:t>N/A</w:t>
            </w:r>
          </w:p>
        </w:tc>
      </w:tr>
      <w:tr w:rsidR="00B5270B" w:rsidRPr="00FB463B" w14:paraId="556D1DA4" w14:textId="77777777" w:rsidTr="007871ED">
        <w:trPr>
          <w:cantSplit/>
        </w:trPr>
        <w:tc>
          <w:tcPr>
            <w:tcW w:w="4140" w:type="dxa"/>
            <w:vAlign w:val="center"/>
          </w:tcPr>
          <w:p w14:paraId="741E1B8D" w14:textId="212508F0" w:rsidR="005E5050" w:rsidRPr="00FB463B" w:rsidRDefault="005E5050" w:rsidP="005E5050">
            <w:pPr>
              <w:pStyle w:val="NormalWeb"/>
              <w:spacing w:before="0" w:beforeAutospacing="0" w:after="0" w:afterAutospacing="0"/>
              <w:jc w:val="center"/>
              <w:rPr>
                <w:rFonts w:ascii="Arial" w:hAnsi="Arial" w:cs="Arial"/>
              </w:rPr>
            </w:pPr>
            <w:r w:rsidRPr="00FB463B">
              <w:rPr>
                <w:rFonts w:ascii="Arial" w:eastAsia="BIZ UDGothic" w:hAnsi="Arial" w:cs="Arial"/>
                <w:kern w:val="24"/>
              </w:rPr>
              <w:t>2020</w:t>
            </w:r>
            <w:r w:rsidR="00DE502D" w:rsidRPr="00FB463B">
              <w:rPr>
                <w:rFonts w:ascii="Arial" w:eastAsia="BIZ UDGothic" w:hAnsi="Arial" w:cs="Arial"/>
                <w:kern w:val="24"/>
              </w:rPr>
              <w:t>–</w:t>
            </w:r>
            <w:r w:rsidRPr="00FB463B">
              <w:rPr>
                <w:rFonts w:ascii="Arial" w:eastAsia="BIZ UDGothic" w:hAnsi="Arial" w:cs="Arial"/>
                <w:kern w:val="24"/>
              </w:rPr>
              <w:t>21</w:t>
            </w:r>
          </w:p>
          <w:p w14:paraId="4A14119F" w14:textId="2B4E80A4" w:rsidR="005E5050" w:rsidRPr="00FB463B" w:rsidRDefault="005E5050" w:rsidP="005E5050">
            <w:pPr>
              <w:jc w:val="center"/>
              <w:rPr>
                <w:rFonts w:cs="Arial"/>
                <w:b/>
                <w:bCs/>
              </w:rPr>
            </w:pPr>
            <w:r w:rsidRPr="00FB463B">
              <w:rPr>
                <w:rFonts w:eastAsia="BIZ UDGothic" w:cs="Arial"/>
                <w:kern w:val="24"/>
              </w:rPr>
              <w:t>(</w:t>
            </w:r>
            <w:r w:rsidR="00416981" w:rsidRPr="00FB463B">
              <w:rPr>
                <w:rFonts w:eastAsia="BIZ UDGothic" w:cs="Arial"/>
                <w:kern w:val="24"/>
              </w:rPr>
              <w:t xml:space="preserve">Total </w:t>
            </w:r>
            <w:r w:rsidR="00FC2897" w:rsidRPr="00FB463B">
              <w:rPr>
                <w:rFonts w:eastAsia="BIZ UDGothic" w:cs="Arial"/>
                <w:kern w:val="24"/>
              </w:rPr>
              <w:t>Fifth-Year Graduates</w:t>
            </w:r>
            <w:r w:rsidRPr="00FB463B">
              <w:rPr>
                <w:rFonts w:eastAsia="BIZ UDGothic" w:cs="Arial"/>
                <w:kern w:val="24"/>
              </w:rPr>
              <w:t>=3,823)</w:t>
            </w:r>
          </w:p>
        </w:tc>
        <w:tc>
          <w:tcPr>
            <w:tcW w:w="1080" w:type="dxa"/>
            <w:vAlign w:val="center"/>
          </w:tcPr>
          <w:p w14:paraId="7EF4D4C1" w14:textId="0F4C562F" w:rsidR="005E5050" w:rsidRPr="00FB463B" w:rsidRDefault="005E5050" w:rsidP="005E5050">
            <w:pPr>
              <w:jc w:val="center"/>
              <w:rPr>
                <w:rFonts w:cs="Arial"/>
                <w:b/>
                <w:bCs/>
              </w:rPr>
            </w:pPr>
            <w:r w:rsidRPr="00FB463B">
              <w:rPr>
                <w:rFonts w:eastAsia="BIZ UDGothic" w:cs="Arial"/>
                <w:kern w:val="24"/>
              </w:rPr>
              <w:t>3</w:t>
            </w:r>
          </w:p>
        </w:tc>
        <w:tc>
          <w:tcPr>
            <w:tcW w:w="1440" w:type="dxa"/>
            <w:vAlign w:val="center"/>
          </w:tcPr>
          <w:p w14:paraId="1192E1B5" w14:textId="7E92EF95" w:rsidR="005E5050" w:rsidRPr="00FB463B" w:rsidRDefault="005E5050" w:rsidP="005E5050">
            <w:pPr>
              <w:jc w:val="center"/>
              <w:rPr>
                <w:rFonts w:cs="Arial"/>
                <w:b/>
                <w:bCs/>
              </w:rPr>
            </w:pPr>
            <w:r w:rsidRPr="00FB463B">
              <w:rPr>
                <w:rFonts w:eastAsia="BIZ UDGothic" w:cs="Arial"/>
                <w:kern w:val="24"/>
              </w:rPr>
              <w:t>13</w:t>
            </w:r>
          </w:p>
        </w:tc>
        <w:tc>
          <w:tcPr>
            <w:tcW w:w="1517" w:type="dxa"/>
            <w:vAlign w:val="center"/>
          </w:tcPr>
          <w:p w14:paraId="4AE99E51" w14:textId="65FE3544" w:rsidR="005E5050" w:rsidRPr="00FB463B" w:rsidRDefault="005E5050" w:rsidP="005E5050">
            <w:pPr>
              <w:jc w:val="center"/>
              <w:rPr>
                <w:rFonts w:cs="Arial"/>
                <w:b/>
                <w:bCs/>
              </w:rPr>
            </w:pPr>
            <w:r w:rsidRPr="00FB463B">
              <w:rPr>
                <w:rFonts w:eastAsia="BIZ UDGothic" w:cs="Arial"/>
                <w:kern w:val="24"/>
              </w:rPr>
              <w:t>22</w:t>
            </w:r>
          </w:p>
        </w:tc>
        <w:tc>
          <w:tcPr>
            <w:tcW w:w="1363" w:type="dxa"/>
            <w:vAlign w:val="center"/>
          </w:tcPr>
          <w:p w14:paraId="7F6B60CA" w14:textId="644E6192" w:rsidR="005E5050" w:rsidRPr="00FB463B" w:rsidRDefault="005E5050" w:rsidP="005E5050">
            <w:pPr>
              <w:jc w:val="center"/>
              <w:rPr>
                <w:rFonts w:cs="Arial"/>
                <w:b/>
                <w:bCs/>
              </w:rPr>
            </w:pPr>
            <w:r w:rsidRPr="00FB463B">
              <w:rPr>
                <w:rFonts w:eastAsia="BIZ UDGothic" w:cs="Arial"/>
                <w:kern w:val="24"/>
              </w:rPr>
              <w:t>56</w:t>
            </w:r>
          </w:p>
        </w:tc>
      </w:tr>
      <w:tr w:rsidR="00B5270B" w:rsidRPr="00FB463B" w14:paraId="12C2466E" w14:textId="77777777" w:rsidTr="007871ED">
        <w:trPr>
          <w:cantSplit/>
        </w:trPr>
        <w:tc>
          <w:tcPr>
            <w:tcW w:w="4140" w:type="dxa"/>
            <w:vAlign w:val="center"/>
          </w:tcPr>
          <w:p w14:paraId="2E01FF26" w14:textId="0D193242" w:rsidR="005E5050" w:rsidRPr="00FB463B" w:rsidRDefault="005E5050" w:rsidP="005E5050">
            <w:pPr>
              <w:pStyle w:val="NormalWeb"/>
              <w:spacing w:before="0" w:beforeAutospacing="0" w:after="0" w:afterAutospacing="0"/>
              <w:jc w:val="center"/>
              <w:rPr>
                <w:rFonts w:ascii="Arial" w:hAnsi="Arial" w:cs="Arial"/>
              </w:rPr>
            </w:pPr>
            <w:r w:rsidRPr="00FB463B">
              <w:rPr>
                <w:rFonts w:ascii="Arial" w:eastAsia="BIZ UDGothic" w:hAnsi="Arial" w:cs="Arial"/>
                <w:kern w:val="24"/>
              </w:rPr>
              <w:t>2021</w:t>
            </w:r>
            <w:r w:rsidR="00DE502D" w:rsidRPr="00FB463B">
              <w:rPr>
                <w:rFonts w:ascii="Arial" w:eastAsia="BIZ UDGothic" w:hAnsi="Arial" w:cs="Arial"/>
                <w:kern w:val="24"/>
              </w:rPr>
              <w:t>–</w:t>
            </w:r>
            <w:r w:rsidRPr="00FB463B">
              <w:rPr>
                <w:rFonts w:ascii="Arial" w:eastAsia="BIZ UDGothic" w:hAnsi="Arial" w:cs="Arial"/>
                <w:kern w:val="24"/>
              </w:rPr>
              <w:t>22</w:t>
            </w:r>
          </w:p>
          <w:p w14:paraId="56170AF2" w14:textId="3A2216BB" w:rsidR="005E5050" w:rsidRPr="00FB463B" w:rsidRDefault="005E5050" w:rsidP="005E5050">
            <w:pPr>
              <w:jc w:val="center"/>
              <w:rPr>
                <w:rFonts w:cs="Arial"/>
                <w:b/>
                <w:bCs/>
              </w:rPr>
            </w:pPr>
            <w:r w:rsidRPr="00FB463B">
              <w:rPr>
                <w:rFonts w:eastAsia="BIZ UDGothic" w:cs="Arial"/>
                <w:kern w:val="24"/>
              </w:rPr>
              <w:t>(</w:t>
            </w:r>
            <w:r w:rsidR="00416981" w:rsidRPr="00FB463B">
              <w:rPr>
                <w:rFonts w:eastAsia="BIZ UDGothic" w:cs="Arial"/>
                <w:kern w:val="24"/>
              </w:rPr>
              <w:t xml:space="preserve">Total </w:t>
            </w:r>
            <w:r w:rsidR="00422B00" w:rsidRPr="00FB463B">
              <w:rPr>
                <w:rFonts w:eastAsia="BIZ UDGothic" w:cs="Arial"/>
                <w:kern w:val="24"/>
              </w:rPr>
              <w:t xml:space="preserve">Fifth-Year Graduates </w:t>
            </w:r>
            <w:r w:rsidRPr="00FB463B">
              <w:rPr>
                <w:rFonts w:eastAsia="BIZ UDGothic" w:cs="Arial"/>
                <w:kern w:val="24"/>
              </w:rPr>
              <w:t>=14,640)</w:t>
            </w:r>
          </w:p>
        </w:tc>
        <w:tc>
          <w:tcPr>
            <w:tcW w:w="1080" w:type="dxa"/>
            <w:vAlign w:val="center"/>
          </w:tcPr>
          <w:p w14:paraId="4D0BD51B" w14:textId="07EE68EF" w:rsidR="005E5050" w:rsidRPr="00FB463B" w:rsidRDefault="005E5050" w:rsidP="005E5050">
            <w:pPr>
              <w:jc w:val="center"/>
              <w:rPr>
                <w:rFonts w:cs="Arial"/>
                <w:b/>
                <w:bCs/>
              </w:rPr>
            </w:pPr>
            <w:r w:rsidRPr="00FB463B">
              <w:rPr>
                <w:rFonts w:eastAsia="BIZ UDGothic" w:cs="Arial"/>
                <w:kern w:val="24"/>
              </w:rPr>
              <w:t>13</w:t>
            </w:r>
          </w:p>
        </w:tc>
        <w:tc>
          <w:tcPr>
            <w:tcW w:w="1440" w:type="dxa"/>
            <w:vAlign w:val="center"/>
          </w:tcPr>
          <w:p w14:paraId="59FB5BED" w14:textId="603C3EA9" w:rsidR="005E5050" w:rsidRPr="00FB463B" w:rsidRDefault="005E5050" w:rsidP="005E5050">
            <w:pPr>
              <w:jc w:val="center"/>
              <w:rPr>
                <w:rFonts w:cs="Arial"/>
                <w:b/>
                <w:bCs/>
              </w:rPr>
            </w:pPr>
            <w:r w:rsidRPr="00FB463B">
              <w:rPr>
                <w:rFonts w:eastAsia="BIZ UDGothic" w:cs="Arial"/>
                <w:kern w:val="24"/>
              </w:rPr>
              <w:t>46</w:t>
            </w:r>
          </w:p>
        </w:tc>
        <w:tc>
          <w:tcPr>
            <w:tcW w:w="1517" w:type="dxa"/>
            <w:vAlign w:val="center"/>
          </w:tcPr>
          <w:p w14:paraId="1B027B40" w14:textId="023CCF30" w:rsidR="005E5050" w:rsidRPr="00FB463B" w:rsidRDefault="005E5050" w:rsidP="005E5050">
            <w:pPr>
              <w:jc w:val="center"/>
              <w:rPr>
                <w:rFonts w:cs="Arial"/>
                <w:b/>
                <w:bCs/>
              </w:rPr>
            </w:pPr>
            <w:r w:rsidRPr="00FB463B">
              <w:rPr>
                <w:rFonts w:eastAsia="BIZ UDGothic" w:cs="Arial"/>
                <w:kern w:val="24"/>
              </w:rPr>
              <w:t>7</w:t>
            </w:r>
          </w:p>
        </w:tc>
        <w:tc>
          <w:tcPr>
            <w:tcW w:w="1363" w:type="dxa"/>
            <w:vAlign w:val="center"/>
          </w:tcPr>
          <w:p w14:paraId="493F0C28" w14:textId="71E5063A" w:rsidR="005E5050" w:rsidRPr="00FB463B" w:rsidRDefault="005E5050" w:rsidP="005E5050">
            <w:pPr>
              <w:jc w:val="center"/>
              <w:rPr>
                <w:rFonts w:cs="Arial"/>
                <w:b/>
                <w:bCs/>
              </w:rPr>
            </w:pPr>
            <w:r w:rsidRPr="00FB463B">
              <w:rPr>
                <w:rFonts w:eastAsia="BIZ UDGothic" w:cs="Arial"/>
                <w:kern w:val="24"/>
              </w:rPr>
              <w:t>14</w:t>
            </w:r>
          </w:p>
        </w:tc>
      </w:tr>
      <w:tr w:rsidR="00B5270B" w:rsidRPr="00FB463B" w14:paraId="133B3AD3" w14:textId="77777777" w:rsidTr="007871ED">
        <w:trPr>
          <w:cantSplit/>
        </w:trPr>
        <w:tc>
          <w:tcPr>
            <w:tcW w:w="4140" w:type="dxa"/>
            <w:vAlign w:val="center"/>
          </w:tcPr>
          <w:p w14:paraId="4214B304" w14:textId="7A2CDC33" w:rsidR="005E5050" w:rsidRPr="00FB463B" w:rsidRDefault="005E5050" w:rsidP="005E5050">
            <w:pPr>
              <w:jc w:val="center"/>
              <w:rPr>
                <w:rFonts w:cs="Arial"/>
                <w:b/>
                <w:bCs/>
              </w:rPr>
            </w:pPr>
            <w:r w:rsidRPr="00FB463B">
              <w:rPr>
                <w:rFonts w:eastAsia="BIZ UDGothic" w:cs="Arial"/>
                <w:b/>
                <w:bCs/>
                <w:kern w:val="24"/>
              </w:rPr>
              <w:t>Total</w:t>
            </w:r>
          </w:p>
        </w:tc>
        <w:tc>
          <w:tcPr>
            <w:tcW w:w="1080" w:type="dxa"/>
            <w:vAlign w:val="center"/>
          </w:tcPr>
          <w:p w14:paraId="2F247E1D" w14:textId="26088E7C" w:rsidR="005E5050" w:rsidRPr="00FB463B" w:rsidRDefault="005E5050" w:rsidP="005E5050">
            <w:pPr>
              <w:jc w:val="center"/>
              <w:rPr>
                <w:rFonts w:cs="Arial"/>
                <w:b/>
                <w:bCs/>
              </w:rPr>
            </w:pPr>
            <w:r w:rsidRPr="00FB463B">
              <w:rPr>
                <w:rFonts w:eastAsia="BIZ UDGothic" w:cs="Arial"/>
                <w:b/>
                <w:bCs/>
                <w:kern w:val="24"/>
              </w:rPr>
              <w:t>75</w:t>
            </w:r>
          </w:p>
        </w:tc>
        <w:tc>
          <w:tcPr>
            <w:tcW w:w="1440" w:type="dxa"/>
            <w:vAlign w:val="center"/>
          </w:tcPr>
          <w:p w14:paraId="2606FA53" w14:textId="314EEB90" w:rsidR="005E5050" w:rsidRPr="00FB463B" w:rsidRDefault="005E5050" w:rsidP="005E5050">
            <w:pPr>
              <w:jc w:val="center"/>
              <w:rPr>
                <w:rFonts w:cs="Arial"/>
                <w:b/>
                <w:bCs/>
              </w:rPr>
            </w:pPr>
            <w:r w:rsidRPr="00FB463B">
              <w:rPr>
                <w:rFonts w:eastAsia="BIZ UDGothic" w:cs="Arial"/>
                <w:b/>
                <w:bCs/>
                <w:kern w:val="24"/>
              </w:rPr>
              <w:t>59</w:t>
            </w:r>
          </w:p>
        </w:tc>
        <w:tc>
          <w:tcPr>
            <w:tcW w:w="1517" w:type="dxa"/>
            <w:vAlign w:val="center"/>
          </w:tcPr>
          <w:p w14:paraId="74BE092E" w14:textId="3BAFB5D9" w:rsidR="005E5050" w:rsidRPr="00FB463B" w:rsidRDefault="005E5050" w:rsidP="005E5050">
            <w:pPr>
              <w:jc w:val="center"/>
              <w:rPr>
                <w:rFonts w:cs="Arial"/>
                <w:b/>
                <w:bCs/>
              </w:rPr>
            </w:pPr>
            <w:r w:rsidRPr="00FB463B">
              <w:rPr>
                <w:rFonts w:eastAsia="BIZ UDGothic" w:cs="Arial"/>
                <w:b/>
                <w:bCs/>
                <w:kern w:val="24"/>
              </w:rPr>
              <w:t>29</w:t>
            </w:r>
          </w:p>
        </w:tc>
        <w:tc>
          <w:tcPr>
            <w:tcW w:w="1363" w:type="dxa"/>
            <w:vAlign w:val="center"/>
          </w:tcPr>
          <w:p w14:paraId="39733168" w14:textId="5EE02B0F" w:rsidR="005E5050" w:rsidRPr="00FB463B" w:rsidRDefault="005E5050" w:rsidP="005E5050">
            <w:pPr>
              <w:jc w:val="center"/>
              <w:rPr>
                <w:rFonts w:cs="Arial"/>
                <w:b/>
                <w:bCs/>
              </w:rPr>
            </w:pPr>
            <w:r w:rsidRPr="00FB463B">
              <w:rPr>
                <w:rFonts w:eastAsia="BIZ UDGothic" w:cs="Arial"/>
                <w:b/>
                <w:bCs/>
                <w:kern w:val="24"/>
              </w:rPr>
              <w:t>70</w:t>
            </w:r>
          </w:p>
        </w:tc>
      </w:tr>
    </w:tbl>
    <w:p w14:paraId="0B34816E" w14:textId="77777777" w:rsidR="00352482" w:rsidRPr="00FB463B" w:rsidRDefault="00352482" w:rsidP="00AA4D24">
      <w:pPr>
        <w:rPr>
          <w:rFonts w:cs="Arial"/>
          <w:b/>
          <w:bCs/>
        </w:rPr>
      </w:pPr>
    </w:p>
    <w:p w14:paraId="07981B4D" w14:textId="5B9E6DCD" w:rsidR="00483C10" w:rsidRPr="00FB463B" w:rsidRDefault="00483C10" w:rsidP="00483C10">
      <w:pPr>
        <w:spacing w:after="240"/>
        <w:rPr>
          <w:rFonts w:cs="Arial"/>
          <w:i/>
          <w:iCs/>
        </w:rPr>
      </w:pPr>
      <w:r w:rsidRPr="00FB463B">
        <w:rPr>
          <w:rFonts w:cs="Arial"/>
          <w:i/>
          <w:iCs/>
        </w:rPr>
        <w:t xml:space="preserve">Feedback from </w:t>
      </w:r>
      <w:r w:rsidR="0099342A" w:rsidRPr="00FB463B">
        <w:rPr>
          <w:rFonts w:cs="Arial"/>
          <w:i/>
          <w:iCs/>
        </w:rPr>
        <w:t>Educational Partners</w:t>
      </w:r>
    </w:p>
    <w:p w14:paraId="1618C104" w14:textId="69AACF39" w:rsidR="00826923" w:rsidRPr="00FB463B" w:rsidRDefault="002571AE" w:rsidP="00721A38">
      <w:pPr>
        <w:pStyle w:val="Default"/>
        <w:rPr>
          <w:rFonts w:eastAsiaTheme="majorEastAsia" w:cstheme="majorBidi"/>
        </w:rPr>
      </w:pPr>
      <w:r w:rsidRPr="00FB463B">
        <w:rPr>
          <w:rFonts w:eastAsiaTheme="majorEastAsia" w:cstheme="majorBidi"/>
        </w:rPr>
        <w:t>With</w:t>
      </w:r>
      <w:r w:rsidR="008C4C91" w:rsidRPr="00FB463B">
        <w:rPr>
          <w:rFonts w:eastAsiaTheme="majorEastAsia" w:cstheme="majorBidi"/>
        </w:rPr>
        <w:t xml:space="preserve"> </w:t>
      </w:r>
      <w:r w:rsidR="00CB6629" w:rsidRPr="00FB463B">
        <w:rPr>
          <w:rFonts w:eastAsiaTheme="majorEastAsia" w:cstheme="majorBidi"/>
        </w:rPr>
        <w:t xml:space="preserve">general </w:t>
      </w:r>
      <w:r w:rsidR="007942F2" w:rsidRPr="00FB463B">
        <w:rPr>
          <w:rFonts w:eastAsiaTheme="majorEastAsia" w:cstheme="majorBidi"/>
        </w:rPr>
        <w:t xml:space="preserve">low </w:t>
      </w:r>
      <w:r w:rsidR="00BC7BD6" w:rsidRPr="00FB463B">
        <w:rPr>
          <w:rFonts w:eastAsiaTheme="majorEastAsia" w:cstheme="majorBidi"/>
        </w:rPr>
        <w:t>completion</w:t>
      </w:r>
      <w:r w:rsidR="007942F2" w:rsidRPr="00FB463B">
        <w:rPr>
          <w:rFonts w:eastAsiaTheme="majorEastAsia" w:cstheme="majorBidi"/>
        </w:rPr>
        <w:t xml:space="preserve"> counts </w:t>
      </w:r>
      <w:r w:rsidRPr="00FB463B">
        <w:rPr>
          <w:rFonts w:eastAsiaTheme="majorEastAsia" w:cstheme="majorBidi"/>
        </w:rPr>
        <w:t>in</w:t>
      </w:r>
      <w:r w:rsidR="008C4C91" w:rsidRPr="00FB463B">
        <w:rPr>
          <w:rFonts w:eastAsiaTheme="majorEastAsia" w:cstheme="majorBidi"/>
        </w:rPr>
        <w:t xml:space="preserve"> 2020–21</w:t>
      </w:r>
      <w:r w:rsidR="0006441F" w:rsidRPr="00FB463B">
        <w:rPr>
          <w:rFonts w:eastAsiaTheme="majorEastAsia" w:cstheme="majorBidi"/>
        </w:rPr>
        <w:t xml:space="preserve"> and with the data collection</w:t>
      </w:r>
      <w:r w:rsidR="00191202" w:rsidRPr="00FB463B">
        <w:rPr>
          <w:rFonts w:eastAsiaTheme="majorEastAsia" w:cstheme="majorBidi"/>
        </w:rPr>
        <w:t xml:space="preserve"> occurring primarily during the pandemic</w:t>
      </w:r>
      <w:r w:rsidR="008C4C91" w:rsidRPr="00FB463B">
        <w:rPr>
          <w:rFonts w:eastAsiaTheme="majorEastAsia" w:cstheme="majorBidi"/>
        </w:rPr>
        <w:t xml:space="preserve">, the </w:t>
      </w:r>
      <w:r w:rsidR="004B7D3E" w:rsidRPr="00FB463B">
        <w:rPr>
          <w:rFonts w:eastAsiaTheme="majorEastAsia" w:cstheme="majorBidi"/>
        </w:rPr>
        <w:t xml:space="preserve">first question </w:t>
      </w:r>
      <w:r w:rsidR="00B03377" w:rsidRPr="00FB463B">
        <w:rPr>
          <w:rFonts w:eastAsiaTheme="majorEastAsia" w:cstheme="majorBidi"/>
        </w:rPr>
        <w:t xml:space="preserve">that the CDE </w:t>
      </w:r>
      <w:r w:rsidR="004B7D3E" w:rsidRPr="00FB463B">
        <w:rPr>
          <w:rFonts w:eastAsiaTheme="majorEastAsia" w:cstheme="majorBidi"/>
        </w:rPr>
        <w:t>asked of</w:t>
      </w:r>
      <w:r w:rsidR="00B046CB" w:rsidRPr="00FB463B">
        <w:rPr>
          <w:rFonts w:eastAsiaTheme="majorEastAsia" w:cstheme="majorBidi"/>
        </w:rPr>
        <w:t xml:space="preserve"> </w:t>
      </w:r>
      <w:r w:rsidR="00542938" w:rsidRPr="00FB463B">
        <w:rPr>
          <w:rFonts w:eastAsiaTheme="majorEastAsia" w:cstheme="majorBidi"/>
        </w:rPr>
        <w:t>educational partners</w:t>
      </w:r>
      <w:r w:rsidR="008C4C91" w:rsidRPr="00FB463B">
        <w:rPr>
          <w:rFonts w:eastAsiaTheme="majorEastAsia" w:cstheme="majorBidi"/>
        </w:rPr>
        <w:t xml:space="preserve"> </w:t>
      </w:r>
      <w:r w:rsidR="004F3E09" w:rsidRPr="00FB463B">
        <w:rPr>
          <w:rFonts w:eastAsiaTheme="majorEastAsia" w:cstheme="majorBidi"/>
        </w:rPr>
        <w:t>was</w:t>
      </w:r>
      <w:r w:rsidR="008C4C91" w:rsidRPr="00FB463B">
        <w:rPr>
          <w:rFonts w:eastAsiaTheme="majorEastAsia" w:cstheme="majorBidi"/>
        </w:rPr>
        <w:t xml:space="preserve"> </w:t>
      </w:r>
      <w:r w:rsidR="007942F2" w:rsidRPr="00FB463B">
        <w:rPr>
          <w:rFonts w:eastAsiaTheme="majorEastAsia" w:cstheme="majorBidi"/>
        </w:rPr>
        <w:t xml:space="preserve">whether </w:t>
      </w:r>
      <w:r w:rsidR="008C4C91" w:rsidRPr="00FB463B">
        <w:rPr>
          <w:rFonts w:eastAsiaTheme="majorEastAsia" w:cstheme="majorBidi"/>
        </w:rPr>
        <w:t xml:space="preserve">another year of data (i.e., 2022–23) should be reviewed and analyzed </w:t>
      </w:r>
      <w:r w:rsidR="008C4C91" w:rsidRPr="00FB463B">
        <w:rPr>
          <w:rFonts w:eastAsiaTheme="majorEastAsia" w:cstheme="majorBidi"/>
          <w:i/>
          <w:iCs/>
        </w:rPr>
        <w:t>before</w:t>
      </w:r>
      <w:r w:rsidR="008C4C91" w:rsidRPr="00FB463B">
        <w:rPr>
          <w:rFonts w:eastAsiaTheme="majorEastAsia" w:cstheme="majorBidi"/>
        </w:rPr>
        <w:t xml:space="preserve"> </w:t>
      </w:r>
      <w:r w:rsidR="007942F2" w:rsidRPr="00FB463B">
        <w:rPr>
          <w:rFonts w:eastAsiaTheme="majorEastAsia" w:cstheme="majorBidi"/>
        </w:rPr>
        <w:t>proceed</w:t>
      </w:r>
      <w:r w:rsidR="00826923" w:rsidRPr="00FB463B">
        <w:rPr>
          <w:rFonts w:eastAsiaTheme="majorEastAsia" w:cstheme="majorBidi"/>
        </w:rPr>
        <w:t xml:space="preserve">ing with the </w:t>
      </w:r>
      <w:r w:rsidR="00CD052B" w:rsidRPr="00FB463B">
        <w:rPr>
          <w:rFonts w:eastAsiaTheme="majorEastAsia" w:cstheme="majorBidi"/>
        </w:rPr>
        <w:t xml:space="preserve">analysis </w:t>
      </w:r>
      <w:r w:rsidR="00826923" w:rsidRPr="00FB463B">
        <w:rPr>
          <w:rFonts w:eastAsiaTheme="majorEastAsia" w:cstheme="majorBidi"/>
        </w:rPr>
        <w:t>of whether the</w:t>
      </w:r>
      <w:r w:rsidR="00B03377" w:rsidRPr="00FB463B">
        <w:rPr>
          <w:rFonts w:eastAsiaTheme="majorEastAsia" w:cstheme="majorBidi"/>
        </w:rPr>
        <w:t>se</w:t>
      </w:r>
      <w:r w:rsidR="00826923" w:rsidRPr="00FB463B">
        <w:rPr>
          <w:rFonts w:eastAsiaTheme="majorEastAsia" w:cstheme="majorBidi"/>
        </w:rPr>
        <w:t xml:space="preserve"> </w:t>
      </w:r>
      <w:r w:rsidR="00BC279C" w:rsidRPr="00FB463B">
        <w:rPr>
          <w:rFonts w:eastAsiaTheme="majorEastAsia" w:cstheme="majorBidi"/>
        </w:rPr>
        <w:t xml:space="preserve">new measures should be included in the CCI. </w:t>
      </w:r>
      <w:r w:rsidR="008C24E2" w:rsidRPr="00FB463B">
        <w:rPr>
          <w:rFonts w:eastAsiaTheme="majorEastAsia" w:cstheme="majorBidi"/>
        </w:rPr>
        <w:t>(</w:t>
      </w:r>
      <w:r w:rsidR="00A41E3D" w:rsidRPr="00FB463B">
        <w:rPr>
          <w:rFonts w:eastAsiaTheme="majorEastAsia" w:cstheme="majorBidi"/>
        </w:rPr>
        <w:t>Note, t</w:t>
      </w:r>
      <w:r w:rsidR="00F121CC" w:rsidRPr="00FB463B">
        <w:rPr>
          <w:rFonts w:eastAsiaTheme="majorEastAsia" w:cstheme="majorBidi"/>
        </w:rPr>
        <w:t xml:space="preserve">he 2022–23 data collection </w:t>
      </w:r>
      <w:r w:rsidR="00231D08" w:rsidRPr="00FB463B">
        <w:rPr>
          <w:rFonts w:eastAsiaTheme="majorEastAsia" w:cstheme="majorBidi"/>
        </w:rPr>
        <w:t>closed on</w:t>
      </w:r>
      <w:r w:rsidR="0015367D" w:rsidRPr="00FB463B">
        <w:rPr>
          <w:rFonts w:eastAsiaTheme="majorEastAsia" w:cstheme="majorBidi"/>
        </w:rPr>
        <w:t xml:space="preserve"> </w:t>
      </w:r>
      <w:r w:rsidR="0015367D" w:rsidRPr="00FB463B">
        <w:rPr>
          <w:sz w:val="23"/>
          <w:szCs w:val="23"/>
        </w:rPr>
        <w:t xml:space="preserve">August 25, </w:t>
      </w:r>
      <w:r w:rsidR="0015367D" w:rsidRPr="00FB463B">
        <w:t>2023</w:t>
      </w:r>
      <w:r w:rsidR="00231D08" w:rsidRPr="00FB463B">
        <w:t>.</w:t>
      </w:r>
      <w:r w:rsidR="008C24E2" w:rsidRPr="00FB463B">
        <w:t>)</w:t>
      </w:r>
    </w:p>
    <w:p w14:paraId="64D906EA" w14:textId="02B5D6EB" w:rsidR="00CD307B" w:rsidRPr="00FB463B" w:rsidRDefault="00BC279C" w:rsidP="00721A38">
      <w:pPr>
        <w:spacing w:before="240"/>
        <w:rPr>
          <w:rFonts w:eastAsiaTheme="majorEastAsia" w:cstheme="majorBidi"/>
        </w:rPr>
      </w:pPr>
      <w:r w:rsidRPr="00FB463B">
        <w:rPr>
          <w:rFonts w:eastAsiaTheme="majorEastAsia" w:cstheme="majorBidi"/>
        </w:rPr>
        <w:t xml:space="preserve">At the June 2023 TDG meeting, members agreed that due to the </w:t>
      </w:r>
      <w:r w:rsidR="00C2101F" w:rsidRPr="00FB463B">
        <w:rPr>
          <w:rFonts w:eastAsiaTheme="majorEastAsia" w:cstheme="majorBidi"/>
        </w:rPr>
        <w:t xml:space="preserve">overall </w:t>
      </w:r>
      <w:r w:rsidRPr="00FB463B">
        <w:rPr>
          <w:rFonts w:eastAsiaTheme="majorEastAsia" w:cstheme="majorBidi"/>
        </w:rPr>
        <w:t xml:space="preserve">small n-sizes, </w:t>
      </w:r>
      <w:r w:rsidR="00F121CC" w:rsidRPr="00FB463B">
        <w:rPr>
          <w:rFonts w:eastAsiaTheme="majorEastAsia" w:cstheme="majorBidi"/>
        </w:rPr>
        <w:t xml:space="preserve">it would </w:t>
      </w:r>
      <w:r w:rsidR="00B743EB" w:rsidRPr="00FB463B">
        <w:rPr>
          <w:rFonts w:eastAsiaTheme="majorEastAsia" w:cstheme="majorBidi"/>
        </w:rPr>
        <w:t xml:space="preserve">be </w:t>
      </w:r>
      <w:r w:rsidR="00F121CC" w:rsidRPr="00FB463B">
        <w:rPr>
          <w:rFonts w:eastAsiaTheme="majorEastAsia" w:cstheme="majorBidi"/>
        </w:rPr>
        <w:t>beneficial to wait and review the 2022–23 data</w:t>
      </w:r>
      <w:r w:rsidRPr="00FB463B">
        <w:rPr>
          <w:rFonts w:eastAsiaTheme="majorEastAsia" w:cstheme="majorBidi"/>
        </w:rPr>
        <w:t xml:space="preserve"> </w:t>
      </w:r>
      <w:r w:rsidR="00FD6623" w:rsidRPr="00FB463B">
        <w:rPr>
          <w:rFonts w:eastAsiaTheme="majorEastAsia" w:cstheme="majorBidi"/>
        </w:rPr>
        <w:t xml:space="preserve">prior to making any </w:t>
      </w:r>
      <w:r w:rsidR="00595841" w:rsidRPr="00FB463B">
        <w:rPr>
          <w:rFonts w:eastAsiaTheme="majorEastAsia" w:cstheme="majorBidi"/>
        </w:rPr>
        <w:t>recommendations</w:t>
      </w:r>
      <w:r w:rsidRPr="00FB463B">
        <w:rPr>
          <w:rFonts w:eastAsiaTheme="majorEastAsia" w:cstheme="majorBidi"/>
        </w:rPr>
        <w:t xml:space="preserve">. </w:t>
      </w:r>
      <w:r w:rsidR="002217D5" w:rsidRPr="00FB463B">
        <w:rPr>
          <w:rFonts w:eastAsiaTheme="majorEastAsia" w:cstheme="majorBidi"/>
        </w:rPr>
        <w:t xml:space="preserve">At the July 2023 </w:t>
      </w:r>
      <w:r w:rsidR="000410B3" w:rsidRPr="00FB463B">
        <w:rPr>
          <w:rFonts w:eastAsiaTheme="majorEastAsia" w:cstheme="majorBidi"/>
        </w:rPr>
        <w:t xml:space="preserve">CCI Work Group </w:t>
      </w:r>
      <w:r w:rsidR="002217D5" w:rsidRPr="00FB463B">
        <w:rPr>
          <w:rFonts w:eastAsiaTheme="majorEastAsia" w:cstheme="majorBidi"/>
        </w:rPr>
        <w:t xml:space="preserve">meeting, </w:t>
      </w:r>
      <w:r w:rsidR="000410B3" w:rsidRPr="00FB463B">
        <w:rPr>
          <w:rFonts w:eastAsiaTheme="majorEastAsia" w:cstheme="majorBidi"/>
        </w:rPr>
        <w:t>members</w:t>
      </w:r>
      <w:r w:rsidR="002217D5" w:rsidRPr="00FB463B">
        <w:rPr>
          <w:rFonts w:eastAsiaTheme="majorEastAsia" w:cstheme="majorBidi"/>
        </w:rPr>
        <w:t xml:space="preserve"> </w:t>
      </w:r>
      <w:r w:rsidR="00F84636" w:rsidRPr="00FB463B">
        <w:rPr>
          <w:rFonts w:eastAsiaTheme="majorEastAsia" w:cstheme="majorBidi"/>
        </w:rPr>
        <w:t xml:space="preserve">addressed the hardships that schools have faced </w:t>
      </w:r>
      <w:r w:rsidR="003C4F5E" w:rsidRPr="00FB463B">
        <w:rPr>
          <w:rFonts w:eastAsiaTheme="majorEastAsia" w:cstheme="majorBidi"/>
        </w:rPr>
        <w:t>since the pandemic, such as teacher shortages</w:t>
      </w:r>
      <w:r w:rsidR="00531034" w:rsidRPr="00FB463B">
        <w:rPr>
          <w:rFonts w:eastAsiaTheme="majorEastAsia" w:cstheme="majorBidi"/>
        </w:rPr>
        <w:t xml:space="preserve">, staff turnover, and the need to </w:t>
      </w:r>
      <w:r w:rsidR="00FC2D9B" w:rsidRPr="00FB463B">
        <w:rPr>
          <w:rFonts w:eastAsiaTheme="majorEastAsia" w:cstheme="majorBidi"/>
        </w:rPr>
        <w:t xml:space="preserve">rebuild </w:t>
      </w:r>
      <w:r w:rsidR="00A620AC" w:rsidRPr="00FB463B">
        <w:rPr>
          <w:rFonts w:eastAsiaTheme="majorEastAsia" w:cstheme="majorBidi"/>
        </w:rPr>
        <w:t>relationships with industries</w:t>
      </w:r>
      <w:r w:rsidR="000D507A" w:rsidRPr="00FB463B">
        <w:rPr>
          <w:rFonts w:eastAsiaTheme="majorEastAsia" w:cstheme="majorBidi"/>
        </w:rPr>
        <w:t xml:space="preserve"> </w:t>
      </w:r>
      <w:r w:rsidR="00542938" w:rsidRPr="00FB463B">
        <w:rPr>
          <w:rFonts w:eastAsiaTheme="majorEastAsia" w:cstheme="majorBidi"/>
        </w:rPr>
        <w:t xml:space="preserve">that were paused </w:t>
      </w:r>
      <w:r w:rsidR="000D507A" w:rsidRPr="00FB463B">
        <w:rPr>
          <w:rFonts w:eastAsiaTheme="majorEastAsia" w:cstheme="majorBidi"/>
        </w:rPr>
        <w:t xml:space="preserve">during the pandemic. </w:t>
      </w:r>
      <w:r w:rsidR="00A86C49" w:rsidRPr="00FB463B">
        <w:rPr>
          <w:rFonts w:eastAsiaTheme="majorEastAsia" w:cstheme="majorBidi"/>
        </w:rPr>
        <w:t xml:space="preserve">One member </w:t>
      </w:r>
      <w:r w:rsidR="00CD307B" w:rsidRPr="00FB463B">
        <w:rPr>
          <w:rFonts w:eastAsiaTheme="majorEastAsia" w:cstheme="majorBidi"/>
        </w:rPr>
        <w:t xml:space="preserve">articulated that </w:t>
      </w:r>
      <w:r w:rsidR="00B23528" w:rsidRPr="00FB463B">
        <w:rPr>
          <w:rFonts w:eastAsiaTheme="majorEastAsia" w:cstheme="majorBidi"/>
        </w:rPr>
        <w:t xml:space="preserve">the new </w:t>
      </w:r>
      <w:r w:rsidR="00FD370A" w:rsidRPr="00FB463B">
        <w:rPr>
          <w:rFonts w:eastAsiaTheme="majorEastAsia" w:cstheme="majorBidi"/>
        </w:rPr>
        <w:t xml:space="preserve">legislative requirement for </w:t>
      </w:r>
      <w:r w:rsidR="00542938" w:rsidRPr="00FB463B">
        <w:rPr>
          <w:rFonts w:eastAsiaTheme="majorEastAsia" w:cstheme="majorBidi"/>
        </w:rPr>
        <w:t xml:space="preserve">later </w:t>
      </w:r>
      <w:r w:rsidR="00FD370A" w:rsidRPr="00FB463B">
        <w:rPr>
          <w:rFonts w:eastAsiaTheme="majorEastAsia" w:cstheme="majorBidi"/>
        </w:rPr>
        <w:t xml:space="preserve">school start </w:t>
      </w:r>
      <w:r w:rsidR="003A1633" w:rsidRPr="00FB463B">
        <w:rPr>
          <w:rFonts w:eastAsiaTheme="majorEastAsia" w:cstheme="majorBidi"/>
        </w:rPr>
        <w:t xml:space="preserve">times </w:t>
      </w:r>
      <w:r w:rsidR="00FD370A" w:rsidRPr="00FB463B">
        <w:rPr>
          <w:rFonts w:eastAsiaTheme="majorEastAsia" w:cstheme="majorBidi"/>
        </w:rPr>
        <w:t xml:space="preserve">has impacted their </w:t>
      </w:r>
      <w:r w:rsidR="006C194B" w:rsidRPr="00FB463B">
        <w:rPr>
          <w:rFonts w:eastAsiaTheme="majorEastAsia" w:cstheme="majorBidi"/>
        </w:rPr>
        <w:t>internship programs</w:t>
      </w:r>
      <w:r w:rsidR="00587B64" w:rsidRPr="00FB463B">
        <w:rPr>
          <w:rFonts w:eastAsiaTheme="majorEastAsia" w:cstheme="majorBidi"/>
        </w:rPr>
        <w:t xml:space="preserve">. </w:t>
      </w:r>
      <w:r w:rsidR="00542938" w:rsidRPr="00FB463B">
        <w:rPr>
          <w:rFonts w:eastAsiaTheme="majorEastAsia" w:cstheme="majorBidi"/>
        </w:rPr>
        <w:t>S</w:t>
      </w:r>
      <w:r w:rsidR="0029153D" w:rsidRPr="00FB463B">
        <w:rPr>
          <w:rFonts w:eastAsiaTheme="majorEastAsia" w:cstheme="majorBidi"/>
        </w:rPr>
        <w:t xml:space="preserve">tudents are </w:t>
      </w:r>
      <w:r w:rsidR="00542938" w:rsidRPr="00FB463B">
        <w:rPr>
          <w:rFonts w:eastAsiaTheme="majorEastAsia" w:cstheme="majorBidi"/>
        </w:rPr>
        <w:t xml:space="preserve">now </w:t>
      </w:r>
      <w:r w:rsidR="00A41E3D" w:rsidRPr="00FB463B">
        <w:rPr>
          <w:rFonts w:eastAsiaTheme="majorEastAsia" w:cstheme="majorBidi"/>
        </w:rPr>
        <w:t>released from</w:t>
      </w:r>
      <w:r w:rsidR="0029153D" w:rsidRPr="00FB463B">
        <w:rPr>
          <w:rFonts w:eastAsiaTheme="majorEastAsia" w:cstheme="majorBidi"/>
        </w:rPr>
        <w:t xml:space="preserve"> schools later and </w:t>
      </w:r>
      <w:r w:rsidR="00A41E3D" w:rsidRPr="00FB463B">
        <w:rPr>
          <w:rFonts w:eastAsiaTheme="majorEastAsia" w:cstheme="majorBidi"/>
        </w:rPr>
        <w:t xml:space="preserve">therefore </w:t>
      </w:r>
      <w:r w:rsidR="0029153D" w:rsidRPr="00FB463B">
        <w:rPr>
          <w:rFonts w:eastAsiaTheme="majorEastAsia" w:cstheme="majorBidi"/>
        </w:rPr>
        <w:t>not</w:t>
      </w:r>
      <w:r w:rsidR="00A36D60" w:rsidRPr="00FB463B">
        <w:rPr>
          <w:rFonts w:eastAsiaTheme="majorEastAsia" w:cstheme="majorBidi"/>
        </w:rPr>
        <w:t xml:space="preserve"> </w:t>
      </w:r>
      <w:r w:rsidR="00A41E3D" w:rsidRPr="00FB463B">
        <w:rPr>
          <w:rFonts w:eastAsiaTheme="majorEastAsia" w:cstheme="majorBidi"/>
        </w:rPr>
        <w:t>able</w:t>
      </w:r>
      <w:r w:rsidR="00A36D60" w:rsidRPr="00FB463B">
        <w:rPr>
          <w:rFonts w:eastAsiaTheme="majorEastAsia" w:cstheme="majorBidi"/>
        </w:rPr>
        <w:t xml:space="preserve"> to reach their internships </w:t>
      </w:r>
      <w:r w:rsidR="00350A2D" w:rsidRPr="00FB463B">
        <w:rPr>
          <w:rFonts w:eastAsiaTheme="majorEastAsia" w:cstheme="majorBidi"/>
        </w:rPr>
        <w:t xml:space="preserve">before </w:t>
      </w:r>
      <w:r w:rsidR="00B747F6" w:rsidRPr="00FB463B">
        <w:rPr>
          <w:rFonts w:eastAsiaTheme="majorEastAsia" w:cstheme="majorBidi"/>
        </w:rPr>
        <w:t>these job locations close at 5 p.m.</w:t>
      </w:r>
      <w:r w:rsidR="00AC0B25" w:rsidRPr="00FB463B">
        <w:rPr>
          <w:rFonts w:eastAsiaTheme="majorEastAsia" w:cstheme="majorBidi"/>
        </w:rPr>
        <w:t xml:space="preserve"> </w:t>
      </w:r>
      <w:r w:rsidR="003C1FD9" w:rsidRPr="00FB463B">
        <w:rPr>
          <w:rFonts w:eastAsiaTheme="majorEastAsia" w:cstheme="majorBidi"/>
        </w:rPr>
        <w:t>As a result</w:t>
      </w:r>
      <w:r w:rsidR="005208C6" w:rsidRPr="00FB463B">
        <w:rPr>
          <w:rFonts w:eastAsiaTheme="majorEastAsia" w:cstheme="majorBidi"/>
        </w:rPr>
        <w:t xml:space="preserve">, it </w:t>
      </w:r>
      <w:r w:rsidR="00A41E3D" w:rsidRPr="00FB463B">
        <w:rPr>
          <w:rFonts w:eastAsiaTheme="majorEastAsia" w:cstheme="majorBidi"/>
        </w:rPr>
        <w:t>has become</w:t>
      </w:r>
      <w:r w:rsidR="005208C6" w:rsidRPr="00FB463B">
        <w:rPr>
          <w:rFonts w:eastAsiaTheme="majorEastAsia" w:cstheme="majorBidi"/>
        </w:rPr>
        <w:t xml:space="preserve"> difficult to </w:t>
      </w:r>
      <w:r w:rsidR="004148EF" w:rsidRPr="00FB463B">
        <w:rPr>
          <w:rFonts w:eastAsiaTheme="majorEastAsia" w:cstheme="majorBidi"/>
        </w:rPr>
        <w:t xml:space="preserve">place students in </w:t>
      </w:r>
      <w:r w:rsidR="003C1FD9" w:rsidRPr="00FB463B">
        <w:rPr>
          <w:rFonts w:eastAsiaTheme="majorEastAsia" w:cstheme="majorBidi"/>
        </w:rPr>
        <w:t>internships</w:t>
      </w:r>
      <w:r w:rsidR="00DB0FE2" w:rsidRPr="00FB463B">
        <w:rPr>
          <w:rFonts w:eastAsiaTheme="majorEastAsia" w:cstheme="majorBidi"/>
        </w:rPr>
        <w:t>.</w:t>
      </w:r>
    </w:p>
    <w:p w14:paraId="4D1C7559" w14:textId="2A4F524A" w:rsidR="003417B0" w:rsidRPr="00FB463B" w:rsidRDefault="00CB3CB8" w:rsidP="00A01B20">
      <w:pPr>
        <w:spacing w:before="240" w:after="240"/>
      </w:pPr>
      <w:r w:rsidRPr="00FB463B">
        <w:rPr>
          <w:rFonts w:eastAsiaTheme="majorEastAsia" w:cstheme="majorBidi"/>
        </w:rPr>
        <w:lastRenderedPageBreak/>
        <w:t>The</w:t>
      </w:r>
      <w:r w:rsidR="00CD307B" w:rsidRPr="00FB463B">
        <w:rPr>
          <w:rFonts w:eastAsiaTheme="majorEastAsia" w:cstheme="majorBidi"/>
        </w:rPr>
        <w:t xml:space="preserve"> </w:t>
      </w:r>
      <w:r w:rsidR="004262ED" w:rsidRPr="00FB463B">
        <w:rPr>
          <w:rFonts w:eastAsiaTheme="majorEastAsia" w:cstheme="majorBidi"/>
        </w:rPr>
        <w:t xml:space="preserve">CCI Work Group </w:t>
      </w:r>
      <w:r w:rsidRPr="00FB463B">
        <w:rPr>
          <w:rFonts w:eastAsiaTheme="majorEastAsia" w:cstheme="majorBidi"/>
        </w:rPr>
        <w:t xml:space="preserve">also </w:t>
      </w:r>
      <w:r w:rsidR="009108BB" w:rsidRPr="00FB463B">
        <w:rPr>
          <w:rFonts w:eastAsiaTheme="majorEastAsia" w:cstheme="majorBidi"/>
        </w:rPr>
        <w:t>voiced concern</w:t>
      </w:r>
      <w:r w:rsidRPr="00FB463B">
        <w:rPr>
          <w:rFonts w:eastAsiaTheme="majorEastAsia" w:cstheme="majorBidi"/>
        </w:rPr>
        <w:t xml:space="preserve"> </w:t>
      </w:r>
      <w:r w:rsidR="003C660A" w:rsidRPr="00FB463B">
        <w:rPr>
          <w:rFonts w:eastAsiaTheme="majorEastAsia" w:cstheme="majorBidi"/>
        </w:rPr>
        <w:t xml:space="preserve">that it does not seem appropriate to </w:t>
      </w:r>
      <w:r w:rsidR="00D37E5A" w:rsidRPr="00FB463B">
        <w:rPr>
          <w:rFonts w:eastAsiaTheme="majorEastAsia" w:cstheme="majorBidi"/>
        </w:rPr>
        <w:t>review</w:t>
      </w:r>
      <w:r w:rsidR="003C660A" w:rsidRPr="00FB463B">
        <w:rPr>
          <w:rFonts w:eastAsiaTheme="majorEastAsia" w:cstheme="majorBidi"/>
        </w:rPr>
        <w:t xml:space="preserve"> </w:t>
      </w:r>
      <w:r w:rsidR="00D37E5A" w:rsidRPr="00FB463B">
        <w:rPr>
          <w:rFonts w:eastAsiaTheme="majorEastAsia" w:cstheme="majorBidi"/>
        </w:rPr>
        <w:t>prior year</w:t>
      </w:r>
      <w:r w:rsidR="003C660A" w:rsidRPr="00FB463B">
        <w:rPr>
          <w:rFonts w:eastAsiaTheme="majorEastAsia" w:cstheme="majorBidi"/>
        </w:rPr>
        <w:t xml:space="preserve"> data when </w:t>
      </w:r>
      <w:r w:rsidR="001C4C79" w:rsidRPr="00FB463B">
        <w:rPr>
          <w:rFonts w:eastAsiaTheme="majorEastAsia" w:cstheme="majorBidi"/>
        </w:rPr>
        <w:t xml:space="preserve">it does not </w:t>
      </w:r>
      <w:r w:rsidR="00684E7D" w:rsidRPr="00FB463B">
        <w:rPr>
          <w:rFonts w:eastAsiaTheme="majorEastAsia" w:cstheme="majorBidi"/>
        </w:rPr>
        <w:t xml:space="preserve">reflect the current conditions where </w:t>
      </w:r>
      <w:r w:rsidR="00906BC3" w:rsidRPr="00FB463B">
        <w:rPr>
          <w:rFonts w:eastAsiaTheme="majorEastAsia" w:cstheme="majorBidi"/>
        </w:rPr>
        <w:t xml:space="preserve">LEAs are struggling to </w:t>
      </w:r>
      <w:r w:rsidR="009108BB" w:rsidRPr="00FB463B">
        <w:rPr>
          <w:rFonts w:eastAsiaTheme="majorEastAsia" w:cstheme="majorBidi"/>
        </w:rPr>
        <w:t xml:space="preserve">fulfill </w:t>
      </w:r>
      <w:r w:rsidR="00684E7D" w:rsidRPr="00FB463B">
        <w:rPr>
          <w:rFonts w:eastAsiaTheme="majorEastAsia" w:cstheme="majorBidi"/>
        </w:rPr>
        <w:t>the existing</w:t>
      </w:r>
      <w:r w:rsidR="009108BB" w:rsidRPr="00FB463B">
        <w:rPr>
          <w:rFonts w:eastAsiaTheme="majorEastAsia" w:cstheme="majorBidi"/>
        </w:rPr>
        <w:t xml:space="preserve"> career measures within the CCI and that </w:t>
      </w:r>
      <w:r w:rsidR="00ED2A8E" w:rsidRPr="00FB463B">
        <w:rPr>
          <w:rFonts w:eastAsiaTheme="majorEastAsia" w:cstheme="majorBidi"/>
        </w:rPr>
        <w:t>we should not be</w:t>
      </w:r>
      <w:r w:rsidR="00BE570E" w:rsidRPr="00FB463B">
        <w:rPr>
          <w:rFonts w:eastAsiaTheme="majorEastAsia" w:cstheme="majorBidi"/>
        </w:rPr>
        <w:t xml:space="preserve"> </w:t>
      </w:r>
      <w:r w:rsidR="00B14736" w:rsidRPr="00FB463B">
        <w:rPr>
          <w:rFonts w:eastAsiaTheme="majorEastAsia" w:cstheme="majorBidi"/>
        </w:rPr>
        <w:t xml:space="preserve">considering </w:t>
      </w:r>
      <w:r w:rsidR="00746381" w:rsidRPr="00FB463B">
        <w:rPr>
          <w:rFonts w:eastAsiaTheme="majorEastAsia" w:cstheme="majorBidi"/>
        </w:rPr>
        <w:t xml:space="preserve">new career measures </w:t>
      </w:r>
      <w:r w:rsidR="00ED2A8E" w:rsidRPr="00FB463B">
        <w:rPr>
          <w:rFonts w:eastAsiaTheme="majorEastAsia" w:cstheme="majorBidi"/>
        </w:rPr>
        <w:t xml:space="preserve">as if the COVID-19 pandemic did not occur. Additionally, members </w:t>
      </w:r>
      <w:r w:rsidR="006B2BDB" w:rsidRPr="00FB463B">
        <w:rPr>
          <w:rFonts w:eastAsiaTheme="majorEastAsia" w:cstheme="majorBidi"/>
        </w:rPr>
        <w:t xml:space="preserve">commented that </w:t>
      </w:r>
      <w:r w:rsidR="00C87683" w:rsidRPr="00FB463B">
        <w:rPr>
          <w:rFonts w:eastAsiaTheme="majorEastAsia" w:cstheme="majorBidi"/>
        </w:rPr>
        <w:t xml:space="preserve">some of the data being submitted by LEAs may not be </w:t>
      </w:r>
      <w:r w:rsidR="00E9224C" w:rsidRPr="00FB463B">
        <w:rPr>
          <w:rFonts w:eastAsiaTheme="majorEastAsia" w:cstheme="majorBidi"/>
        </w:rPr>
        <w:t xml:space="preserve">accurate and that </w:t>
      </w:r>
      <w:r w:rsidR="00D56075" w:rsidRPr="00FB463B">
        <w:rPr>
          <w:rFonts w:eastAsiaTheme="majorEastAsia" w:cstheme="majorBidi"/>
        </w:rPr>
        <w:t xml:space="preserve">a </w:t>
      </w:r>
      <w:r w:rsidR="000349A9" w:rsidRPr="00FB463B">
        <w:rPr>
          <w:rFonts w:eastAsiaTheme="majorEastAsia" w:cstheme="majorBidi"/>
        </w:rPr>
        <w:t>re-examination of the d</w:t>
      </w:r>
      <w:r w:rsidR="00B6466D" w:rsidRPr="00FB463B">
        <w:rPr>
          <w:rFonts w:eastAsiaTheme="majorEastAsia" w:cstheme="majorBidi"/>
        </w:rPr>
        <w:t xml:space="preserve">ata collection guidance and definitions may be warranted. </w:t>
      </w:r>
      <w:r w:rsidR="00B765CB" w:rsidRPr="00FB463B">
        <w:rPr>
          <w:rFonts w:eastAsiaTheme="majorEastAsia" w:cstheme="majorBidi"/>
        </w:rPr>
        <w:t>In conclusion, the</w:t>
      </w:r>
      <w:r w:rsidR="00A26418" w:rsidRPr="00FB463B">
        <w:rPr>
          <w:rFonts w:eastAsiaTheme="majorEastAsia" w:cstheme="majorBidi"/>
        </w:rPr>
        <w:t xml:space="preserve"> members </w:t>
      </w:r>
      <w:r w:rsidR="006B1504" w:rsidRPr="00FB463B">
        <w:rPr>
          <w:rFonts w:eastAsiaTheme="majorEastAsia" w:cstheme="majorBidi"/>
        </w:rPr>
        <w:t xml:space="preserve">advised that we stay the course </w:t>
      </w:r>
      <w:r w:rsidR="00AE0E78" w:rsidRPr="00FB463B">
        <w:rPr>
          <w:rFonts w:eastAsiaTheme="majorEastAsia" w:cstheme="majorBidi"/>
        </w:rPr>
        <w:t>rather than adding in new career measures</w:t>
      </w:r>
      <w:r w:rsidR="001B5784" w:rsidRPr="00FB463B">
        <w:rPr>
          <w:rFonts w:eastAsiaTheme="majorEastAsia" w:cstheme="majorBidi"/>
        </w:rPr>
        <w:t xml:space="preserve"> and </w:t>
      </w:r>
      <w:r w:rsidR="00AE0E78" w:rsidRPr="00FB463B">
        <w:rPr>
          <w:rFonts w:eastAsiaTheme="majorEastAsia" w:cstheme="majorBidi"/>
        </w:rPr>
        <w:t>examine what the data reveals for the 2022–23 school year</w:t>
      </w:r>
      <w:r w:rsidR="00297DAB" w:rsidRPr="00FB463B">
        <w:rPr>
          <w:rFonts w:eastAsiaTheme="majorEastAsia" w:cstheme="majorBidi"/>
        </w:rPr>
        <w:t>.</w:t>
      </w:r>
    </w:p>
    <w:p w14:paraId="0AA9BC01" w14:textId="65751A48" w:rsidR="00696118" w:rsidRPr="00FB463B" w:rsidRDefault="00DA6691" w:rsidP="00696118">
      <w:pPr>
        <w:spacing w:after="240"/>
        <w:rPr>
          <w:rFonts w:eastAsiaTheme="majorEastAsia" w:cs="Arial"/>
        </w:rPr>
      </w:pPr>
      <w:r w:rsidRPr="00FB463B">
        <w:rPr>
          <w:rFonts w:eastAsiaTheme="majorEastAsia" w:cs="Arial"/>
        </w:rPr>
        <w:t xml:space="preserve">In August 2023, the CPAG members </w:t>
      </w:r>
      <w:r w:rsidR="000D015D" w:rsidRPr="00FB463B">
        <w:rPr>
          <w:rFonts w:eastAsiaTheme="majorEastAsia" w:cs="Arial"/>
        </w:rPr>
        <w:t xml:space="preserve">agreed that </w:t>
      </w:r>
      <w:r w:rsidR="00372CA4" w:rsidRPr="00FB463B">
        <w:rPr>
          <w:rFonts w:eastAsiaTheme="majorEastAsia" w:cs="Arial"/>
        </w:rPr>
        <w:t xml:space="preserve">the </w:t>
      </w:r>
      <w:r w:rsidR="00372CA4" w:rsidRPr="00FB463B">
        <w:rPr>
          <w:rFonts w:eastAsiaTheme="majorEastAsia" w:cstheme="majorBidi"/>
        </w:rPr>
        <w:t>2022–23 school year data should be reviewed prior to making any further decisions on these measures.</w:t>
      </w:r>
    </w:p>
    <w:p w14:paraId="6C99A21C" w14:textId="3E2EE601" w:rsidR="009D1DED" w:rsidRPr="00FB463B" w:rsidRDefault="00F43CFC" w:rsidP="002C7472">
      <w:pPr>
        <w:spacing w:after="240"/>
        <w:rPr>
          <w:rFonts w:eastAsiaTheme="majorEastAsia" w:cstheme="majorBidi"/>
        </w:rPr>
      </w:pPr>
      <w:r w:rsidRPr="00FB463B">
        <w:rPr>
          <w:rFonts w:eastAsiaTheme="majorEastAsia" w:cstheme="majorBidi"/>
        </w:rPr>
        <w:t>With</w:t>
      </w:r>
      <w:r w:rsidR="00356BC2" w:rsidRPr="00FB463B">
        <w:rPr>
          <w:rFonts w:eastAsiaTheme="majorEastAsia" w:cstheme="majorBidi"/>
        </w:rPr>
        <w:t xml:space="preserve"> low </w:t>
      </w:r>
      <w:r w:rsidR="003F0305" w:rsidRPr="00FB463B">
        <w:rPr>
          <w:rFonts w:eastAsiaTheme="majorEastAsia" w:cstheme="majorBidi"/>
        </w:rPr>
        <w:t>completion counts</w:t>
      </w:r>
      <w:r w:rsidR="00356BC2" w:rsidRPr="00FB463B">
        <w:rPr>
          <w:rFonts w:eastAsiaTheme="majorEastAsia" w:cstheme="majorBidi"/>
        </w:rPr>
        <w:t xml:space="preserve"> in the first year of data collection along with the </w:t>
      </w:r>
      <w:r w:rsidR="00EF0500" w:rsidRPr="00FB463B">
        <w:rPr>
          <w:rFonts w:eastAsiaTheme="majorEastAsia" w:cstheme="majorBidi"/>
        </w:rPr>
        <w:t xml:space="preserve">feedback </w:t>
      </w:r>
      <w:r w:rsidR="00C00628" w:rsidRPr="00FB463B">
        <w:rPr>
          <w:rFonts w:eastAsiaTheme="majorEastAsia" w:cstheme="majorBidi"/>
        </w:rPr>
        <w:t>from the CCI Work Group</w:t>
      </w:r>
      <w:r w:rsidR="00356BC2" w:rsidRPr="00FB463B">
        <w:rPr>
          <w:rFonts w:eastAsiaTheme="majorEastAsia" w:cstheme="majorBidi"/>
        </w:rPr>
        <w:t xml:space="preserve">, the CDE recommends that now is not the time to include new measures in the CCI. Rather, additional data along with </w:t>
      </w:r>
      <w:r w:rsidR="0078068A" w:rsidRPr="00FB463B">
        <w:rPr>
          <w:rFonts w:eastAsiaTheme="majorEastAsia" w:cstheme="majorBidi"/>
        </w:rPr>
        <w:t xml:space="preserve">continued conversations with these groups and LEAs are needed to learn </w:t>
      </w:r>
      <w:r w:rsidR="00CE40B1" w:rsidRPr="00FB463B">
        <w:rPr>
          <w:rFonts w:eastAsiaTheme="majorEastAsia" w:cstheme="majorBidi"/>
        </w:rPr>
        <w:t>more about the impacts of the COVID-19 pandemic</w:t>
      </w:r>
      <w:r w:rsidR="001172B2" w:rsidRPr="00FB463B">
        <w:rPr>
          <w:rFonts w:eastAsiaTheme="majorEastAsia" w:cstheme="majorBidi"/>
        </w:rPr>
        <w:t xml:space="preserve"> on implementing work-based learning endeavors.</w:t>
      </w:r>
    </w:p>
    <w:p w14:paraId="3DBE2EB7" w14:textId="6225D6E7" w:rsidR="00696118" w:rsidRPr="00FB463B" w:rsidRDefault="00696118" w:rsidP="00696118">
      <w:pPr>
        <w:spacing w:after="240"/>
        <w:rPr>
          <w:rFonts w:eastAsiaTheme="majorEastAsia" w:cstheme="majorBidi"/>
          <w:i/>
          <w:iCs/>
        </w:rPr>
      </w:pPr>
      <w:r w:rsidRPr="00FB463B">
        <w:rPr>
          <w:rFonts w:eastAsiaTheme="majorEastAsia" w:cstheme="majorBidi"/>
          <w:i/>
          <w:iCs/>
        </w:rPr>
        <w:t>Continued Exploration of Two New Career Measures</w:t>
      </w:r>
    </w:p>
    <w:p w14:paraId="38778747" w14:textId="6451EE3D" w:rsidR="00F22E21" w:rsidRPr="00FB463B" w:rsidRDefault="00542938" w:rsidP="00696118">
      <w:pPr>
        <w:spacing w:after="240"/>
        <w:rPr>
          <w:rFonts w:eastAsiaTheme="majorEastAsia" w:cstheme="majorBidi"/>
        </w:rPr>
      </w:pPr>
      <w:r w:rsidRPr="00FB463B">
        <w:rPr>
          <w:rFonts w:eastAsiaTheme="majorEastAsia" w:cstheme="majorBidi"/>
        </w:rPr>
        <w:t>F</w:t>
      </w:r>
      <w:r w:rsidR="00304D11" w:rsidRPr="00FB463B">
        <w:rPr>
          <w:rFonts w:eastAsiaTheme="majorEastAsia" w:cstheme="majorBidi"/>
        </w:rPr>
        <w:t xml:space="preserve">or the past </w:t>
      </w:r>
      <w:r w:rsidR="003B6734" w:rsidRPr="00FB463B">
        <w:rPr>
          <w:rFonts w:eastAsiaTheme="majorEastAsia" w:cstheme="majorBidi"/>
        </w:rPr>
        <w:t>several years, the</w:t>
      </w:r>
      <w:r w:rsidR="00563647" w:rsidRPr="00FB463B">
        <w:rPr>
          <w:rFonts w:eastAsiaTheme="majorEastAsia" w:cstheme="majorBidi"/>
        </w:rPr>
        <w:t xml:space="preserve"> CDE has also</w:t>
      </w:r>
      <w:r w:rsidR="00260385" w:rsidRPr="00FB463B">
        <w:rPr>
          <w:rFonts w:eastAsiaTheme="majorEastAsia" w:cstheme="majorBidi"/>
        </w:rPr>
        <w:t xml:space="preserve"> continue</w:t>
      </w:r>
      <w:r w:rsidR="00563647" w:rsidRPr="00FB463B">
        <w:rPr>
          <w:rFonts w:eastAsiaTheme="majorEastAsia" w:cstheme="majorBidi"/>
        </w:rPr>
        <w:t>d</w:t>
      </w:r>
      <w:r w:rsidR="00260385" w:rsidRPr="00FB463B">
        <w:rPr>
          <w:rFonts w:eastAsiaTheme="majorEastAsia" w:cstheme="majorBidi"/>
        </w:rPr>
        <w:t xml:space="preserve"> to explore two new career measures</w:t>
      </w:r>
      <w:r w:rsidR="00C12267" w:rsidRPr="00FB463B">
        <w:rPr>
          <w:rFonts w:eastAsiaTheme="majorEastAsia" w:cstheme="majorBidi"/>
        </w:rPr>
        <w:t xml:space="preserve"> </w:t>
      </w:r>
      <w:r w:rsidR="00806EF8" w:rsidRPr="00FB463B">
        <w:rPr>
          <w:rFonts w:eastAsiaTheme="majorEastAsia" w:cstheme="majorBidi"/>
        </w:rPr>
        <w:t>for the CCI:</w:t>
      </w:r>
      <w:r w:rsidR="00C12267" w:rsidRPr="00FB463B">
        <w:rPr>
          <w:rFonts w:eastAsiaTheme="majorEastAsia" w:cstheme="majorBidi"/>
        </w:rPr>
        <w:t xml:space="preserve"> civic </w:t>
      </w:r>
      <w:r w:rsidR="00DC2FB1" w:rsidRPr="00FB463B">
        <w:rPr>
          <w:rFonts w:eastAsiaTheme="majorEastAsia" w:cstheme="majorBidi"/>
        </w:rPr>
        <w:t>engagement</w:t>
      </w:r>
      <w:r w:rsidR="00260385" w:rsidRPr="00FB463B">
        <w:rPr>
          <w:rFonts w:eastAsiaTheme="majorEastAsia" w:cstheme="majorBidi"/>
        </w:rPr>
        <w:t xml:space="preserve"> and industry certifications</w:t>
      </w:r>
      <w:r w:rsidR="00C12267" w:rsidRPr="00FB463B">
        <w:rPr>
          <w:rFonts w:eastAsiaTheme="majorEastAsia" w:cstheme="majorBidi"/>
        </w:rPr>
        <w:t xml:space="preserve">. </w:t>
      </w:r>
      <w:r w:rsidR="008D2C45" w:rsidRPr="00FB463B">
        <w:rPr>
          <w:rFonts w:eastAsiaTheme="majorEastAsia" w:cstheme="majorBidi"/>
        </w:rPr>
        <w:t>For civic engagement, d</w:t>
      </w:r>
      <w:r w:rsidR="006C13CC" w:rsidRPr="00FB463B">
        <w:rPr>
          <w:rFonts w:eastAsiaTheme="majorEastAsia" w:cstheme="majorBidi"/>
        </w:rPr>
        <w:t xml:space="preserve">uring </w:t>
      </w:r>
      <w:r w:rsidR="00DE1BDF" w:rsidRPr="00FB463B">
        <w:rPr>
          <w:rFonts w:eastAsiaTheme="majorEastAsia" w:cstheme="majorBidi"/>
        </w:rPr>
        <w:t xml:space="preserve">the January 2023 </w:t>
      </w:r>
      <w:r w:rsidR="00306519" w:rsidRPr="00FB463B">
        <w:rPr>
          <w:rFonts w:eastAsiaTheme="majorEastAsia" w:cstheme="majorBidi"/>
        </w:rPr>
        <w:t xml:space="preserve">CCI Work Group and February 2023 </w:t>
      </w:r>
      <w:r w:rsidR="00DE1BDF" w:rsidRPr="00FB463B">
        <w:rPr>
          <w:rFonts w:eastAsiaTheme="majorEastAsia" w:cstheme="majorBidi"/>
        </w:rPr>
        <w:t xml:space="preserve">TDG </w:t>
      </w:r>
      <w:r w:rsidR="00A56198" w:rsidRPr="00FB463B">
        <w:rPr>
          <w:rFonts w:eastAsiaTheme="majorEastAsia" w:cstheme="majorBidi"/>
        </w:rPr>
        <w:t>meeting</w:t>
      </w:r>
      <w:r w:rsidR="007A067C" w:rsidRPr="00FB463B">
        <w:rPr>
          <w:rFonts w:eastAsiaTheme="majorEastAsia" w:cstheme="majorBidi"/>
        </w:rPr>
        <w:t>s</w:t>
      </w:r>
      <w:r w:rsidR="00DE1BDF" w:rsidRPr="00FB463B">
        <w:rPr>
          <w:rFonts w:eastAsiaTheme="majorEastAsia" w:cstheme="majorBidi"/>
        </w:rPr>
        <w:t xml:space="preserve">, </w:t>
      </w:r>
      <w:r w:rsidR="006C13CC" w:rsidRPr="00FB463B">
        <w:rPr>
          <w:rFonts w:eastAsiaTheme="majorEastAsia" w:cstheme="majorBidi"/>
        </w:rPr>
        <w:t xml:space="preserve">the CDE engaged in conversations </w:t>
      </w:r>
      <w:r w:rsidR="0098351D" w:rsidRPr="00FB463B">
        <w:rPr>
          <w:rFonts w:eastAsiaTheme="majorEastAsia" w:cstheme="majorBidi"/>
        </w:rPr>
        <w:t>as to what data should be collected</w:t>
      </w:r>
      <w:r w:rsidR="008D2C45" w:rsidRPr="00FB463B">
        <w:rPr>
          <w:rFonts w:eastAsiaTheme="majorEastAsia" w:cstheme="majorBidi"/>
        </w:rPr>
        <w:t>.</w:t>
      </w:r>
      <w:r w:rsidR="00F4649E" w:rsidRPr="00FB463B">
        <w:rPr>
          <w:rFonts w:eastAsiaTheme="majorEastAsia" w:cstheme="majorBidi"/>
        </w:rPr>
        <w:t xml:space="preserve"> </w:t>
      </w:r>
      <w:r w:rsidR="00AA6903" w:rsidRPr="00FB463B">
        <w:rPr>
          <w:rFonts w:eastAsiaTheme="majorEastAsia" w:cstheme="majorBidi"/>
        </w:rPr>
        <w:t xml:space="preserve">The CDE will </w:t>
      </w:r>
      <w:r w:rsidR="00DC2FB1" w:rsidRPr="00FB463B">
        <w:rPr>
          <w:rFonts w:eastAsiaTheme="majorEastAsia" w:cstheme="majorBidi"/>
        </w:rPr>
        <w:t>c</w:t>
      </w:r>
      <w:r w:rsidR="009F187F" w:rsidRPr="00FB463B">
        <w:rPr>
          <w:rFonts w:eastAsiaTheme="majorEastAsia" w:cstheme="majorBidi"/>
        </w:rPr>
        <w:t xml:space="preserve">ontinue to </w:t>
      </w:r>
      <w:r w:rsidR="006D7B0C" w:rsidRPr="00FB463B">
        <w:rPr>
          <w:rFonts w:eastAsiaTheme="majorEastAsia" w:cstheme="majorBidi"/>
        </w:rPr>
        <w:t xml:space="preserve">evaluate the best methods to collect this new student level data and </w:t>
      </w:r>
      <w:r w:rsidR="009F187F" w:rsidRPr="00FB463B">
        <w:rPr>
          <w:rFonts w:eastAsiaTheme="majorEastAsia" w:cstheme="majorBidi"/>
        </w:rPr>
        <w:t xml:space="preserve">communicate </w:t>
      </w:r>
      <w:r w:rsidR="00325ABD" w:rsidRPr="00FB463B">
        <w:rPr>
          <w:rFonts w:eastAsiaTheme="majorEastAsia" w:cstheme="majorBidi"/>
        </w:rPr>
        <w:t xml:space="preserve">with the SBE on </w:t>
      </w:r>
      <w:r w:rsidR="009F187F" w:rsidRPr="00FB463B">
        <w:rPr>
          <w:rFonts w:eastAsiaTheme="majorEastAsia" w:cstheme="majorBidi"/>
        </w:rPr>
        <w:t xml:space="preserve">the progress of the </w:t>
      </w:r>
      <w:r w:rsidR="006D7B0C" w:rsidRPr="00FB463B">
        <w:rPr>
          <w:rFonts w:eastAsiaTheme="majorEastAsia" w:cstheme="majorBidi"/>
        </w:rPr>
        <w:t>initial</w:t>
      </w:r>
      <w:r w:rsidR="009F187F" w:rsidRPr="00FB463B">
        <w:rPr>
          <w:rFonts w:eastAsiaTheme="majorEastAsia" w:cstheme="majorBidi"/>
        </w:rPr>
        <w:t xml:space="preserve"> data collection</w:t>
      </w:r>
      <w:r w:rsidR="006D7B0C" w:rsidRPr="00FB463B">
        <w:rPr>
          <w:rFonts w:eastAsiaTheme="majorEastAsia" w:cstheme="majorBidi"/>
        </w:rPr>
        <w:t>s</w:t>
      </w:r>
      <w:r w:rsidR="009F187F" w:rsidRPr="00FB463B">
        <w:rPr>
          <w:rFonts w:eastAsiaTheme="majorEastAsia" w:cstheme="majorBidi"/>
        </w:rPr>
        <w:t xml:space="preserve">. Furthermore, the CDE will also continue to </w:t>
      </w:r>
      <w:r w:rsidR="00A5319B" w:rsidRPr="00FB463B">
        <w:rPr>
          <w:rFonts w:eastAsiaTheme="majorEastAsia" w:cstheme="majorBidi"/>
        </w:rPr>
        <w:t xml:space="preserve">inform the SBE </w:t>
      </w:r>
      <w:r w:rsidR="009F187F" w:rsidRPr="00FB463B">
        <w:rPr>
          <w:rFonts w:eastAsiaTheme="majorEastAsia" w:cstheme="majorBidi"/>
        </w:rPr>
        <w:t xml:space="preserve">on </w:t>
      </w:r>
      <w:r w:rsidR="00C370B5" w:rsidRPr="00FB463B">
        <w:rPr>
          <w:rFonts w:eastAsiaTheme="majorEastAsia" w:cstheme="majorBidi"/>
        </w:rPr>
        <w:t xml:space="preserve">the work </w:t>
      </w:r>
      <w:r w:rsidR="006D7B0C" w:rsidRPr="00FB463B">
        <w:rPr>
          <w:rFonts w:eastAsiaTheme="majorEastAsia" w:cstheme="majorBidi"/>
        </w:rPr>
        <w:t xml:space="preserve">toward evaluating </w:t>
      </w:r>
      <w:r w:rsidR="009F187F" w:rsidRPr="00FB463B">
        <w:rPr>
          <w:rFonts w:eastAsiaTheme="majorEastAsia" w:cstheme="majorBidi"/>
        </w:rPr>
        <w:t>industry certifications</w:t>
      </w:r>
      <w:r w:rsidR="006D7B0C" w:rsidRPr="00FB463B">
        <w:rPr>
          <w:rFonts w:eastAsiaTheme="majorEastAsia" w:cstheme="majorBidi"/>
        </w:rPr>
        <w:t xml:space="preserve"> for inclusion in the CCI</w:t>
      </w:r>
      <w:r w:rsidR="00F22E21" w:rsidRPr="00FB463B">
        <w:rPr>
          <w:rFonts w:eastAsiaTheme="majorEastAsia" w:cstheme="majorBidi"/>
        </w:rPr>
        <w:t>.</w:t>
      </w:r>
      <w:r w:rsidR="00C370B5" w:rsidRPr="00FB463B">
        <w:rPr>
          <w:rFonts w:eastAsiaTheme="majorEastAsia" w:cstheme="majorBidi"/>
        </w:rPr>
        <w:t xml:space="preserve"> </w:t>
      </w:r>
      <w:r w:rsidR="00280DCB" w:rsidRPr="00FB463B">
        <w:rPr>
          <w:rFonts w:eastAsiaTheme="majorEastAsia" w:cstheme="majorBidi"/>
        </w:rPr>
        <w:t>Considering</w:t>
      </w:r>
      <w:r w:rsidR="00C370B5" w:rsidRPr="00FB463B">
        <w:rPr>
          <w:rFonts w:eastAsiaTheme="majorEastAsia" w:cstheme="majorBidi"/>
        </w:rPr>
        <w:t xml:space="preserve"> the </w:t>
      </w:r>
      <w:r w:rsidR="00415D19" w:rsidRPr="00FB463B">
        <w:rPr>
          <w:rFonts w:eastAsiaTheme="majorEastAsia" w:cstheme="majorBidi"/>
        </w:rPr>
        <w:t xml:space="preserve">conversations with </w:t>
      </w:r>
      <w:r w:rsidR="000E7182" w:rsidRPr="00FB463B">
        <w:rPr>
          <w:rFonts w:eastAsiaTheme="majorEastAsia" w:cstheme="majorBidi"/>
        </w:rPr>
        <w:t>educational partners</w:t>
      </w:r>
      <w:r w:rsidR="00415D19" w:rsidRPr="00FB463B">
        <w:rPr>
          <w:rFonts w:eastAsiaTheme="majorEastAsia" w:cstheme="majorBidi"/>
        </w:rPr>
        <w:t xml:space="preserve"> on the challenges </w:t>
      </w:r>
      <w:r w:rsidR="00431CFC" w:rsidRPr="00FB463B">
        <w:rPr>
          <w:rFonts w:eastAsiaTheme="majorEastAsia" w:cstheme="majorBidi"/>
        </w:rPr>
        <w:t>schools</w:t>
      </w:r>
      <w:r w:rsidR="00415D19" w:rsidRPr="00FB463B">
        <w:rPr>
          <w:rFonts w:eastAsiaTheme="majorEastAsia" w:cstheme="majorBidi"/>
        </w:rPr>
        <w:t xml:space="preserve"> have </w:t>
      </w:r>
      <w:r w:rsidR="00431CFC" w:rsidRPr="00FB463B">
        <w:rPr>
          <w:rFonts w:eastAsiaTheme="majorEastAsia" w:cstheme="majorBidi"/>
        </w:rPr>
        <w:t xml:space="preserve">recently </w:t>
      </w:r>
      <w:r w:rsidR="00415D19" w:rsidRPr="00FB463B">
        <w:rPr>
          <w:rFonts w:eastAsiaTheme="majorEastAsia" w:cstheme="majorBidi"/>
        </w:rPr>
        <w:t xml:space="preserve">faced </w:t>
      </w:r>
      <w:r w:rsidR="00431CFC" w:rsidRPr="00FB463B">
        <w:rPr>
          <w:rFonts w:eastAsiaTheme="majorEastAsia" w:cstheme="majorBidi"/>
        </w:rPr>
        <w:t xml:space="preserve">with staff shortages, declining enrollment, and </w:t>
      </w:r>
      <w:r w:rsidR="00D52ECD" w:rsidRPr="00FB463B">
        <w:rPr>
          <w:rFonts w:eastAsiaTheme="majorEastAsia" w:cstheme="majorBidi"/>
        </w:rPr>
        <w:t xml:space="preserve">the struggles with implementing </w:t>
      </w:r>
      <w:r w:rsidR="00431CFC" w:rsidRPr="00FB463B">
        <w:rPr>
          <w:rFonts w:eastAsiaTheme="majorEastAsia" w:cstheme="majorBidi"/>
        </w:rPr>
        <w:t>work-based learning activities</w:t>
      </w:r>
      <w:r w:rsidR="00F22E21" w:rsidRPr="00FB463B">
        <w:rPr>
          <w:rFonts w:eastAsiaTheme="majorEastAsia" w:cstheme="majorBidi"/>
        </w:rPr>
        <w:t xml:space="preserve"> </w:t>
      </w:r>
      <w:r w:rsidR="004511E6" w:rsidRPr="00FB463B">
        <w:rPr>
          <w:rFonts w:eastAsiaTheme="majorEastAsia" w:cstheme="majorBidi"/>
        </w:rPr>
        <w:t xml:space="preserve">in </w:t>
      </w:r>
      <w:r w:rsidR="0069772E" w:rsidRPr="00FB463B">
        <w:rPr>
          <w:rFonts w:eastAsiaTheme="majorEastAsia" w:cstheme="majorBidi"/>
        </w:rPr>
        <w:t>schools</w:t>
      </w:r>
      <w:r w:rsidR="004511E6" w:rsidRPr="00FB463B">
        <w:rPr>
          <w:rFonts w:eastAsiaTheme="majorEastAsia" w:cstheme="majorBidi"/>
        </w:rPr>
        <w:t xml:space="preserve">, the CDE will </w:t>
      </w:r>
      <w:r w:rsidR="00B004EC" w:rsidRPr="00FB463B">
        <w:rPr>
          <w:rFonts w:eastAsiaTheme="majorEastAsia" w:cstheme="majorBidi"/>
        </w:rPr>
        <w:t>be taking this</w:t>
      </w:r>
      <w:r w:rsidR="0099405B" w:rsidRPr="00FB463B">
        <w:rPr>
          <w:rFonts w:eastAsiaTheme="majorEastAsia" w:cstheme="majorBidi"/>
        </w:rPr>
        <w:t xml:space="preserve"> feedback into consideration as we move forward on exploring this measure.</w:t>
      </w:r>
    </w:p>
    <w:p w14:paraId="64AC8AEA" w14:textId="43A1B75F" w:rsidR="2038EA36" w:rsidRPr="00FB463B" w:rsidRDefault="00B9402A" w:rsidP="7A600B3E">
      <w:pPr>
        <w:spacing w:after="240"/>
        <w:rPr>
          <w:rFonts w:eastAsiaTheme="majorEastAsia" w:cstheme="majorBidi"/>
          <w:i/>
          <w:iCs/>
        </w:rPr>
      </w:pPr>
      <w:r w:rsidRPr="00FB463B">
        <w:rPr>
          <w:rFonts w:eastAsiaTheme="majorEastAsia" w:cstheme="majorBidi"/>
          <w:i/>
          <w:iCs/>
        </w:rPr>
        <w:t>Review</w:t>
      </w:r>
      <w:r w:rsidR="59A7F7B5" w:rsidRPr="00FB463B">
        <w:rPr>
          <w:rFonts w:eastAsiaTheme="majorEastAsia" w:cstheme="majorBidi"/>
          <w:i/>
          <w:iCs/>
        </w:rPr>
        <w:t xml:space="preserve"> of Career Measure</w:t>
      </w:r>
      <w:r w:rsidR="000F4774" w:rsidRPr="00FB463B">
        <w:rPr>
          <w:rFonts w:eastAsiaTheme="majorEastAsia" w:cstheme="majorBidi"/>
          <w:i/>
          <w:iCs/>
        </w:rPr>
        <w:t>s</w:t>
      </w:r>
      <w:r w:rsidR="5A94174C" w:rsidRPr="00FB463B">
        <w:rPr>
          <w:rFonts w:eastAsiaTheme="majorEastAsia" w:cstheme="majorBidi"/>
          <w:i/>
          <w:iCs/>
        </w:rPr>
        <w:t xml:space="preserve"> </w:t>
      </w:r>
      <w:r w:rsidR="59A7F7B5" w:rsidRPr="00FB463B">
        <w:rPr>
          <w:rFonts w:eastAsiaTheme="majorEastAsia" w:cstheme="majorBidi"/>
          <w:i/>
          <w:iCs/>
        </w:rPr>
        <w:t>Currently in the CCI</w:t>
      </w:r>
      <w:r w:rsidR="00B5374B" w:rsidRPr="00FB463B">
        <w:rPr>
          <w:rFonts w:eastAsiaTheme="majorEastAsia" w:cstheme="majorBidi"/>
          <w:i/>
          <w:iCs/>
        </w:rPr>
        <w:t xml:space="preserve">: Recommendation to Remove </w:t>
      </w:r>
      <w:r w:rsidR="00F8251E" w:rsidRPr="00FB463B">
        <w:rPr>
          <w:rFonts w:eastAsiaTheme="majorEastAsia" w:cstheme="majorBidi"/>
          <w:i/>
          <w:iCs/>
        </w:rPr>
        <w:t>Non-Registered Pre-Apprenticeship</w:t>
      </w:r>
    </w:p>
    <w:p w14:paraId="65673E2E" w14:textId="6D79D2AB" w:rsidR="00F87D98" w:rsidRPr="00FB463B" w:rsidRDefault="00C02B0E" w:rsidP="009644AA">
      <w:pPr>
        <w:spacing w:after="240"/>
        <w:rPr>
          <w:rFonts w:eastAsiaTheme="majorEastAsia" w:cstheme="majorBidi"/>
        </w:rPr>
      </w:pPr>
      <w:r w:rsidRPr="00FB463B">
        <w:rPr>
          <w:rFonts w:eastAsiaTheme="majorEastAsia" w:cstheme="majorBidi"/>
        </w:rPr>
        <w:t xml:space="preserve">With the </w:t>
      </w:r>
      <w:r w:rsidR="00A85D57" w:rsidRPr="00FB463B">
        <w:rPr>
          <w:rFonts w:eastAsiaTheme="majorEastAsia" w:cstheme="majorBidi"/>
        </w:rPr>
        <w:t xml:space="preserve">ongoing effort </w:t>
      </w:r>
      <w:r w:rsidR="0050370E" w:rsidRPr="00FB463B">
        <w:rPr>
          <w:rFonts w:eastAsiaTheme="majorEastAsia" w:cstheme="majorBidi"/>
        </w:rPr>
        <w:t>to continuously improve</w:t>
      </w:r>
      <w:r w:rsidR="006B3994" w:rsidRPr="00FB463B">
        <w:rPr>
          <w:rFonts w:eastAsiaTheme="majorEastAsia" w:cstheme="majorBidi"/>
        </w:rPr>
        <w:t xml:space="preserve"> the accountability system, the </w:t>
      </w:r>
      <w:r w:rsidR="00453D99" w:rsidRPr="00FB463B">
        <w:rPr>
          <w:rFonts w:eastAsiaTheme="majorEastAsia" w:cstheme="majorBidi"/>
        </w:rPr>
        <w:t xml:space="preserve">CDE </w:t>
      </w:r>
      <w:r w:rsidR="004F172C" w:rsidRPr="00FB463B">
        <w:rPr>
          <w:rFonts w:eastAsiaTheme="majorEastAsia" w:cstheme="majorBidi"/>
        </w:rPr>
        <w:t xml:space="preserve">sought feedback </w:t>
      </w:r>
      <w:r w:rsidR="00F953B3" w:rsidRPr="00FB463B">
        <w:rPr>
          <w:rFonts w:eastAsiaTheme="majorEastAsia" w:cstheme="majorBidi"/>
        </w:rPr>
        <w:t>on the</w:t>
      </w:r>
      <w:r w:rsidR="00AD465D" w:rsidRPr="00FB463B">
        <w:rPr>
          <w:rFonts w:eastAsiaTheme="majorEastAsia" w:cstheme="majorBidi"/>
        </w:rPr>
        <w:t xml:space="preserve"> current</w:t>
      </w:r>
      <w:r w:rsidR="00574B8E" w:rsidRPr="00FB463B">
        <w:rPr>
          <w:rFonts w:eastAsiaTheme="majorEastAsia" w:cstheme="majorBidi"/>
        </w:rPr>
        <w:t xml:space="preserve"> CCI measures </w:t>
      </w:r>
      <w:r w:rsidR="00DD13DD" w:rsidRPr="00FB463B">
        <w:rPr>
          <w:rFonts w:eastAsiaTheme="majorEastAsia" w:cstheme="majorBidi"/>
        </w:rPr>
        <w:t xml:space="preserve">after receiving </w:t>
      </w:r>
      <w:r w:rsidR="00694B70" w:rsidRPr="00FB463B">
        <w:rPr>
          <w:rFonts w:eastAsiaTheme="majorEastAsia" w:cstheme="majorBidi"/>
        </w:rPr>
        <w:t xml:space="preserve">input </w:t>
      </w:r>
      <w:r w:rsidR="0093001F" w:rsidRPr="00FB463B">
        <w:rPr>
          <w:rFonts w:eastAsiaTheme="majorEastAsia" w:cstheme="majorBidi"/>
        </w:rPr>
        <w:t>during the last year on</w:t>
      </w:r>
      <w:r w:rsidR="009644AA" w:rsidRPr="00FB463B">
        <w:rPr>
          <w:rFonts w:eastAsiaTheme="majorEastAsia" w:cstheme="majorBidi"/>
        </w:rPr>
        <w:t xml:space="preserve"> the </w:t>
      </w:r>
      <w:r w:rsidR="00C34DEF" w:rsidRPr="00FB463B">
        <w:rPr>
          <w:rFonts w:eastAsiaTheme="majorEastAsia" w:cstheme="majorBidi"/>
        </w:rPr>
        <w:t xml:space="preserve">changing landscape of work-based </w:t>
      </w:r>
      <w:r w:rsidR="00574B8E" w:rsidRPr="00FB463B">
        <w:rPr>
          <w:rFonts w:eastAsiaTheme="majorEastAsia" w:cstheme="majorBidi"/>
        </w:rPr>
        <w:t>learning activities</w:t>
      </w:r>
      <w:r w:rsidR="00B32BEF" w:rsidRPr="00FB463B">
        <w:rPr>
          <w:rFonts w:eastAsiaTheme="majorEastAsia" w:cstheme="majorBidi"/>
        </w:rPr>
        <w:t xml:space="preserve">. </w:t>
      </w:r>
      <w:r w:rsidR="005E7329" w:rsidRPr="00FB463B">
        <w:rPr>
          <w:rFonts w:eastAsiaTheme="majorEastAsia" w:cstheme="majorBidi"/>
        </w:rPr>
        <w:t xml:space="preserve">The goal was to determine if </w:t>
      </w:r>
      <w:r w:rsidR="008276DE" w:rsidRPr="00FB463B">
        <w:rPr>
          <w:rFonts w:eastAsiaTheme="majorEastAsia" w:cstheme="majorBidi"/>
        </w:rPr>
        <w:t xml:space="preserve">any of the </w:t>
      </w:r>
      <w:r w:rsidR="2038EA36" w:rsidRPr="00FB463B">
        <w:rPr>
          <w:rFonts w:eastAsiaTheme="majorEastAsia" w:cstheme="majorBidi"/>
        </w:rPr>
        <w:t xml:space="preserve">existing definitions </w:t>
      </w:r>
      <w:r w:rsidR="00270A06" w:rsidRPr="00FB463B">
        <w:rPr>
          <w:rFonts w:eastAsiaTheme="majorEastAsia" w:cstheme="majorBidi"/>
        </w:rPr>
        <w:t xml:space="preserve">within the current CCI measures </w:t>
      </w:r>
      <w:r w:rsidR="0002118B" w:rsidRPr="00FB463B">
        <w:rPr>
          <w:rFonts w:eastAsiaTheme="majorEastAsia" w:cstheme="majorBidi"/>
        </w:rPr>
        <w:t>need</w:t>
      </w:r>
      <w:r w:rsidR="00270A06" w:rsidRPr="00FB463B">
        <w:rPr>
          <w:rFonts w:eastAsiaTheme="majorEastAsia" w:cstheme="majorBidi"/>
        </w:rPr>
        <w:t>ed</w:t>
      </w:r>
      <w:r w:rsidR="0002118B" w:rsidRPr="00FB463B">
        <w:rPr>
          <w:rFonts w:eastAsiaTheme="majorEastAsia" w:cstheme="majorBidi"/>
        </w:rPr>
        <w:t xml:space="preserve"> to be updated </w:t>
      </w:r>
      <w:r w:rsidR="2038EA36" w:rsidRPr="00FB463B">
        <w:rPr>
          <w:rFonts w:eastAsiaTheme="majorEastAsia" w:cstheme="majorBidi"/>
        </w:rPr>
        <w:t>or if more significant changes should occur.</w:t>
      </w:r>
    </w:p>
    <w:p w14:paraId="69A92843" w14:textId="5719BAC5" w:rsidR="004C1334" w:rsidRPr="00FB463B" w:rsidRDefault="000E7182" w:rsidP="009644AA">
      <w:pPr>
        <w:spacing w:after="240"/>
        <w:rPr>
          <w:rFonts w:eastAsiaTheme="majorEastAsia" w:cstheme="majorBidi"/>
          <w:b/>
          <w:bCs/>
        </w:rPr>
      </w:pPr>
      <w:r w:rsidRPr="00FB463B">
        <w:rPr>
          <w:rFonts w:eastAsiaTheme="majorEastAsia" w:cstheme="majorBidi"/>
        </w:rPr>
        <w:t>A review of the data and conversations with educational partners surfaced</w:t>
      </w:r>
      <w:r w:rsidR="00A53ADA" w:rsidRPr="00FB463B">
        <w:rPr>
          <w:rFonts w:eastAsiaTheme="majorEastAsia" w:cstheme="majorBidi"/>
        </w:rPr>
        <w:t xml:space="preserve"> </w:t>
      </w:r>
      <w:r w:rsidR="00514E61" w:rsidRPr="00FB463B">
        <w:rPr>
          <w:rFonts w:eastAsiaTheme="majorEastAsia" w:cstheme="majorBidi"/>
        </w:rPr>
        <w:t>n</w:t>
      </w:r>
      <w:r w:rsidR="00A53ADA" w:rsidRPr="00FB463B">
        <w:rPr>
          <w:rFonts w:eastAsiaTheme="majorEastAsia" w:cstheme="majorBidi"/>
        </w:rPr>
        <w:t>on-</w:t>
      </w:r>
      <w:r w:rsidR="00514E61" w:rsidRPr="00FB463B">
        <w:rPr>
          <w:rFonts w:eastAsiaTheme="majorEastAsia" w:cstheme="majorBidi"/>
        </w:rPr>
        <w:t>r</w:t>
      </w:r>
      <w:r w:rsidR="00A53ADA" w:rsidRPr="00FB463B">
        <w:rPr>
          <w:rFonts w:eastAsiaTheme="majorEastAsia" w:cstheme="majorBidi"/>
        </w:rPr>
        <w:t xml:space="preserve">egistered </w:t>
      </w:r>
      <w:r w:rsidR="00514E61" w:rsidRPr="00FB463B">
        <w:rPr>
          <w:rFonts w:eastAsiaTheme="majorEastAsia" w:cstheme="majorBidi"/>
        </w:rPr>
        <w:t>p</w:t>
      </w:r>
      <w:r w:rsidR="00A53ADA" w:rsidRPr="00FB463B">
        <w:rPr>
          <w:rFonts w:eastAsiaTheme="majorEastAsia" w:cstheme="majorBidi"/>
        </w:rPr>
        <w:t>re-</w:t>
      </w:r>
      <w:r w:rsidR="00514E61" w:rsidRPr="00FB463B">
        <w:rPr>
          <w:rFonts w:eastAsiaTheme="majorEastAsia" w:cstheme="majorBidi"/>
        </w:rPr>
        <w:t>a</w:t>
      </w:r>
      <w:r w:rsidR="00A53ADA" w:rsidRPr="00FB463B">
        <w:rPr>
          <w:rFonts w:eastAsiaTheme="majorEastAsia" w:cstheme="majorBidi"/>
        </w:rPr>
        <w:t>pprenticeship</w:t>
      </w:r>
      <w:r w:rsidRPr="00FB463B">
        <w:rPr>
          <w:rFonts w:eastAsiaTheme="majorEastAsia" w:cstheme="majorBidi"/>
        </w:rPr>
        <w:t>s as a place for further review</w:t>
      </w:r>
      <w:r w:rsidR="00A53ADA" w:rsidRPr="00FB463B">
        <w:rPr>
          <w:rFonts w:eastAsiaTheme="majorEastAsia" w:cstheme="majorBidi"/>
        </w:rPr>
        <w:t xml:space="preserve">. In September </w:t>
      </w:r>
      <w:r w:rsidR="005929BC" w:rsidRPr="00FB463B">
        <w:rPr>
          <w:rFonts w:eastAsiaTheme="majorEastAsia" w:cstheme="majorBidi"/>
        </w:rPr>
        <w:t xml:space="preserve">2020, the </w:t>
      </w:r>
      <w:r w:rsidR="00514E61" w:rsidRPr="00FB463B">
        <w:rPr>
          <w:rFonts w:eastAsiaTheme="majorEastAsia" w:cstheme="majorBidi"/>
        </w:rPr>
        <w:lastRenderedPageBreak/>
        <w:t>SBE approved the inclusion of two types of pre</w:t>
      </w:r>
      <w:r w:rsidR="00077706" w:rsidRPr="00FB463B">
        <w:rPr>
          <w:rFonts w:eastAsiaTheme="majorEastAsia" w:cstheme="majorBidi"/>
        </w:rPr>
        <w:t>-apprenticeship</w:t>
      </w:r>
      <w:r w:rsidR="006174A3" w:rsidRPr="00FB463B">
        <w:rPr>
          <w:rFonts w:eastAsiaTheme="majorEastAsia" w:cstheme="majorBidi"/>
        </w:rPr>
        <w:t>s</w:t>
      </w:r>
      <w:r w:rsidR="00EB5338" w:rsidRPr="00FB463B">
        <w:rPr>
          <w:rFonts w:eastAsiaTheme="majorEastAsia" w:cstheme="majorBidi"/>
        </w:rPr>
        <w:t xml:space="preserve"> into the CCI</w:t>
      </w:r>
      <w:r w:rsidR="00077706" w:rsidRPr="00FB463B">
        <w:rPr>
          <w:rFonts w:eastAsiaTheme="majorEastAsia" w:cstheme="majorBidi"/>
        </w:rPr>
        <w:t>: registered and non-registered</w:t>
      </w:r>
      <w:r w:rsidR="00F6532B" w:rsidRPr="00FB463B">
        <w:rPr>
          <w:rFonts w:eastAsiaTheme="majorEastAsia" w:cstheme="majorBidi"/>
        </w:rPr>
        <w:t>. The SBE also approved specific p</w:t>
      </w:r>
      <w:r w:rsidR="006174A3" w:rsidRPr="00FB463B">
        <w:rPr>
          <w:rFonts w:eastAsiaTheme="majorEastAsia" w:cstheme="majorBidi"/>
        </w:rPr>
        <w:t>reparedness criteria</w:t>
      </w:r>
      <w:r w:rsidR="00F6532B" w:rsidRPr="00FB463B">
        <w:rPr>
          <w:rFonts w:eastAsiaTheme="majorEastAsia" w:cstheme="majorBidi"/>
        </w:rPr>
        <w:t xml:space="preserve"> for both, which are </w:t>
      </w:r>
      <w:r w:rsidR="001143A3" w:rsidRPr="00FB463B">
        <w:rPr>
          <w:rFonts w:eastAsiaTheme="majorEastAsia" w:cstheme="majorBidi"/>
        </w:rPr>
        <w:t xml:space="preserve">noted </w:t>
      </w:r>
      <w:r w:rsidR="00EB6B89" w:rsidRPr="00FB463B">
        <w:rPr>
          <w:rFonts w:eastAsiaTheme="majorEastAsia" w:cstheme="majorBidi"/>
        </w:rPr>
        <w:t xml:space="preserve">in Table </w:t>
      </w:r>
      <w:r w:rsidR="003A1F49" w:rsidRPr="00FB463B">
        <w:rPr>
          <w:rFonts w:eastAsiaTheme="majorEastAsia" w:cstheme="majorBidi"/>
        </w:rPr>
        <w:t>34</w:t>
      </w:r>
      <w:r w:rsidR="00EB6B89" w:rsidRPr="00FB463B">
        <w:rPr>
          <w:rFonts w:eastAsiaTheme="majorEastAsia" w:cstheme="majorBidi"/>
        </w:rPr>
        <w:t>.</w:t>
      </w:r>
    </w:p>
    <w:p w14:paraId="1DE0C44C" w14:textId="0F87BAFC" w:rsidR="00EB6B89" w:rsidRPr="00FB463B" w:rsidRDefault="00EB6B89" w:rsidP="002716FE">
      <w:pPr>
        <w:rPr>
          <w:rFonts w:eastAsiaTheme="majorEastAsia" w:cstheme="majorBidi"/>
          <w:b/>
          <w:bCs/>
        </w:rPr>
      </w:pPr>
      <w:r w:rsidRPr="00FB463B">
        <w:rPr>
          <w:rFonts w:eastAsiaTheme="majorEastAsia" w:cstheme="majorBidi"/>
          <w:b/>
          <w:bCs/>
        </w:rPr>
        <w:t xml:space="preserve">Table </w:t>
      </w:r>
      <w:r w:rsidR="003A1F49" w:rsidRPr="00FB463B">
        <w:rPr>
          <w:rFonts w:eastAsiaTheme="majorEastAsia" w:cstheme="majorBidi"/>
          <w:b/>
          <w:bCs/>
        </w:rPr>
        <w:t>34</w:t>
      </w:r>
      <w:r w:rsidRPr="00FB463B">
        <w:rPr>
          <w:rFonts w:eastAsiaTheme="majorEastAsia" w:cstheme="majorBidi"/>
          <w:b/>
          <w:bCs/>
        </w:rPr>
        <w:t>: Registered and Pre-Apprenticeship Preparedness Criteria for DASS and Non-DASS Schools</w:t>
      </w:r>
    </w:p>
    <w:tbl>
      <w:tblPr>
        <w:tblStyle w:val="TableGrid"/>
        <w:tblW w:w="9175" w:type="dxa"/>
        <w:tblLook w:val="04A0" w:firstRow="1" w:lastRow="0" w:firstColumn="1" w:lastColumn="0" w:noHBand="0" w:noVBand="1"/>
        <w:tblCaption w:val="Table 34"/>
        <w:tblDescription w:val="Registered and Pre-Apprenticeship Preparedness Criteria for DASS and Non-DASS Schools"/>
      </w:tblPr>
      <w:tblGrid>
        <w:gridCol w:w="2445"/>
        <w:gridCol w:w="1435"/>
        <w:gridCol w:w="2955"/>
        <w:gridCol w:w="2340"/>
      </w:tblGrid>
      <w:tr w:rsidR="000444F5" w:rsidRPr="00FB463B" w14:paraId="4CE5A7A7" w14:textId="77777777" w:rsidTr="007871ED">
        <w:trPr>
          <w:cantSplit/>
          <w:tblHeader/>
        </w:trPr>
        <w:tc>
          <w:tcPr>
            <w:tcW w:w="2445" w:type="dxa"/>
            <w:shd w:val="clear" w:color="auto" w:fill="D9D9D9" w:themeFill="background1" w:themeFillShade="D9"/>
            <w:vAlign w:val="center"/>
          </w:tcPr>
          <w:p w14:paraId="2FC66595" w14:textId="5A61C6EA" w:rsidR="000444F5" w:rsidRPr="00FB463B" w:rsidRDefault="000444F5" w:rsidP="000444F5">
            <w:pPr>
              <w:jc w:val="center"/>
              <w:rPr>
                <w:rFonts w:eastAsiaTheme="majorEastAsia" w:cstheme="majorBidi"/>
                <w:b/>
                <w:bCs/>
              </w:rPr>
            </w:pPr>
            <w:r w:rsidRPr="00FB463B">
              <w:rPr>
                <w:rFonts w:eastAsiaTheme="majorEastAsia" w:cstheme="majorBidi"/>
                <w:b/>
                <w:bCs/>
              </w:rPr>
              <w:t>CCI Measure</w:t>
            </w:r>
          </w:p>
        </w:tc>
        <w:tc>
          <w:tcPr>
            <w:tcW w:w="1435" w:type="dxa"/>
            <w:shd w:val="clear" w:color="auto" w:fill="D9D9D9" w:themeFill="background1" w:themeFillShade="D9"/>
            <w:vAlign w:val="center"/>
          </w:tcPr>
          <w:p w14:paraId="0E72C515" w14:textId="104A29A7" w:rsidR="000444F5" w:rsidRPr="00FB463B" w:rsidRDefault="000444F5" w:rsidP="000444F5">
            <w:pPr>
              <w:jc w:val="center"/>
              <w:rPr>
                <w:rFonts w:eastAsiaTheme="majorEastAsia" w:cstheme="majorBidi"/>
                <w:b/>
                <w:bCs/>
              </w:rPr>
            </w:pPr>
            <w:r w:rsidRPr="00FB463B">
              <w:rPr>
                <w:rFonts w:eastAsiaTheme="majorEastAsia" w:cstheme="majorBidi"/>
                <w:b/>
                <w:bCs/>
              </w:rPr>
              <w:t>School Type</w:t>
            </w:r>
          </w:p>
        </w:tc>
        <w:tc>
          <w:tcPr>
            <w:tcW w:w="2955" w:type="dxa"/>
            <w:shd w:val="clear" w:color="auto" w:fill="D9D9D9" w:themeFill="background1" w:themeFillShade="D9"/>
            <w:vAlign w:val="center"/>
          </w:tcPr>
          <w:p w14:paraId="6933D813" w14:textId="6A991A7E" w:rsidR="000444F5" w:rsidRPr="00FB463B" w:rsidRDefault="000444F5" w:rsidP="000444F5">
            <w:pPr>
              <w:jc w:val="center"/>
              <w:rPr>
                <w:rFonts w:eastAsiaTheme="majorEastAsia" w:cstheme="majorBidi"/>
                <w:b/>
                <w:bCs/>
              </w:rPr>
            </w:pPr>
            <w:r w:rsidRPr="00FB463B">
              <w:rPr>
                <w:rFonts w:eastAsiaTheme="majorEastAsia" w:cstheme="majorBidi"/>
                <w:b/>
                <w:bCs/>
              </w:rPr>
              <w:t>Prepared Criteria</w:t>
            </w:r>
          </w:p>
        </w:tc>
        <w:tc>
          <w:tcPr>
            <w:tcW w:w="2340" w:type="dxa"/>
            <w:shd w:val="clear" w:color="auto" w:fill="D9D9D9" w:themeFill="background1" w:themeFillShade="D9"/>
            <w:vAlign w:val="center"/>
          </w:tcPr>
          <w:p w14:paraId="04F52DAB" w14:textId="168FAAA7" w:rsidR="000444F5" w:rsidRPr="00FB463B" w:rsidRDefault="000444F5" w:rsidP="000444F5">
            <w:pPr>
              <w:jc w:val="center"/>
              <w:rPr>
                <w:rFonts w:eastAsiaTheme="majorEastAsia" w:cstheme="majorBidi"/>
                <w:b/>
                <w:bCs/>
              </w:rPr>
            </w:pPr>
            <w:r w:rsidRPr="00FB463B">
              <w:rPr>
                <w:rFonts w:eastAsiaTheme="majorEastAsia" w:cstheme="majorBidi"/>
                <w:b/>
                <w:bCs/>
              </w:rPr>
              <w:t xml:space="preserve">Approaching Prepared Criteria </w:t>
            </w:r>
          </w:p>
        </w:tc>
      </w:tr>
      <w:tr w:rsidR="000444F5" w:rsidRPr="00FB463B" w14:paraId="375DDAD3" w14:textId="77777777" w:rsidTr="007871ED">
        <w:trPr>
          <w:cantSplit/>
        </w:trPr>
        <w:tc>
          <w:tcPr>
            <w:tcW w:w="2445" w:type="dxa"/>
            <w:vAlign w:val="center"/>
          </w:tcPr>
          <w:p w14:paraId="487793C2" w14:textId="43F64D1B" w:rsidR="000444F5" w:rsidRPr="00FB463B" w:rsidRDefault="000444F5" w:rsidP="000444F5">
            <w:pPr>
              <w:rPr>
                <w:rFonts w:eastAsiaTheme="majorEastAsia" w:cstheme="majorBidi"/>
              </w:rPr>
            </w:pPr>
            <w:r w:rsidRPr="00FB463B">
              <w:rPr>
                <w:rFonts w:eastAsiaTheme="majorEastAsia" w:cstheme="majorBidi"/>
              </w:rPr>
              <w:t>Registered</w:t>
            </w:r>
          </w:p>
          <w:p w14:paraId="1B95B939" w14:textId="72A1E914" w:rsidR="000444F5" w:rsidRPr="00FB463B" w:rsidRDefault="000444F5" w:rsidP="000444F5">
            <w:pPr>
              <w:rPr>
                <w:rFonts w:eastAsiaTheme="majorEastAsia" w:cstheme="majorBidi"/>
              </w:rPr>
            </w:pPr>
            <w:r w:rsidRPr="00FB463B">
              <w:rPr>
                <w:rFonts w:eastAsiaTheme="majorEastAsia" w:cstheme="majorBidi"/>
              </w:rPr>
              <w:t>Pre-Apprenticeship</w:t>
            </w:r>
          </w:p>
        </w:tc>
        <w:tc>
          <w:tcPr>
            <w:tcW w:w="1435" w:type="dxa"/>
            <w:vAlign w:val="center"/>
          </w:tcPr>
          <w:p w14:paraId="15F4E6EC" w14:textId="082CA5AB" w:rsidR="000444F5" w:rsidRPr="00FB463B" w:rsidRDefault="000444F5" w:rsidP="000444F5">
            <w:pPr>
              <w:jc w:val="center"/>
              <w:rPr>
                <w:rFonts w:eastAsiaTheme="majorEastAsia" w:cs="Arial"/>
              </w:rPr>
            </w:pPr>
            <w:r w:rsidRPr="00FB463B">
              <w:rPr>
                <w:rFonts w:eastAsiaTheme="majorEastAsia" w:cstheme="majorBidi"/>
              </w:rPr>
              <w:t>Non-DASS</w:t>
            </w:r>
          </w:p>
        </w:tc>
        <w:tc>
          <w:tcPr>
            <w:tcW w:w="2955" w:type="dxa"/>
            <w:vAlign w:val="center"/>
          </w:tcPr>
          <w:p w14:paraId="59EF7534" w14:textId="0C104E45" w:rsidR="000444F5" w:rsidRPr="00FB463B" w:rsidRDefault="000444F5" w:rsidP="000444F5">
            <w:pPr>
              <w:jc w:val="center"/>
              <w:rPr>
                <w:rFonts w:eastAsiaTheme="majorEastAsia" w:cstheme="majorBidi"/>
              </w:rPr>
            </w:pPr>
            <w:r w:rsidRPr="00FB463B">
              <w:rPr>
                <w:rFonts w:cs="Arial"/>
              </w:rPr>
              <w:t>Completion of Program</w:t>
            </w:r>
          </w:p>
        </w:tc>
        <w:tc>
          <w:tcPr>
            <w:tcW w:w="2340" w:type="dxa"/>
            <w:vAlign w:val="center"/>
          </w:tcPr>
          <w:p w14:paraId="52704041" w14:textId="39DC280C" w:rsidR="000444F5" w:rsidRPr="00FB463B" w:rsidRDefault="000444F5" w:rsidP="000444F5">
            <w:pPr>
              <w:jc w:val="center"/>
              <w:rPr>
                <w:rFonts w:eastAsiaTheme="majorEastAsia" w:cstheme="majorBidi"/>
              </w:rPr>
            </w:pPr>
            <w:r w:rsidRPr="00FB463B">
              <w:rPr>
                <w:rFonts w:eastAsiaTheme="majorEastAsia" w:cstheme="majorBidi"/>
              </w:rPr>
              <w:t>N/A</w:t>
            </w:r>
          </w:p>
        </w:tc>
      </w:tr>
      <w:tr w:rsidR="000444F5" w:rsidRPr="00FB463B" w14:paraId="284A3E0F" w14:textId="77777777" w:rsidTr="007871ED">
        <w:trPr>
          <w:cantSplit/>
        </w:trPr>
        <w:tc>
          <w:tcPr>
            <w:tcW w:w="2445" w:type="dxa"/>
            <w:vAlign w:val="center"/>
          </w:tcPr>
          <w:p w14:paraId="0E63097A" w14:textId="5AF8D76A" w:rsidR="000444F5" w:rsidRPr="00FB463B" w:rsidRDefault="000444F5" w:rsidP="000444F5">
            <w:pPr>
              <w:rPr>
                <w:rFonts w:eastAsiaTheme="majorEastAsia" w:cstheme="majorBidi"/>
              </w:rPr>
            </w:pPr>
            <w:r w:rsidRPr="00FB463B">
              <w:rPr>
                <w:rFonts w:eastAsiaTheme="majorEastAsia" w:cstheme="majorBidi"/>
              </w:rPr>
              <w:t>Registered</w:t>
            </w:r>
          </w:p>
          <w:p w14:paraId="7C7FF807" w14:textId="2E6C5E1B" w:rsidR="000444F5" w:rsidRPr="00FB463B" w:rsidRDefault="000444F5" w:rsidP="000444F5">
            <w:pPr>
              <w:rPr>
                <w:rFonts w:eastAsiaTheme="majorEastAsia" w:cstheme="majorBidi"/>
              </w:rPr>
            </w:pPr>
            <w:r w:rsidRPr="00FB463B">
              <w:rPr>
                <w:rFonts w:eastAsiaTheme="majorEastAsia" w:cstheme="majorBidi"/>
              </w:rPr>
              <w:t>Pre-Apprenticeship</w:t>
            </w:r>
          </w:p>
        </w:tc>
        <w:tc>
          <w:tcPr>
            <w:tcW w:w="1435" w:type="dxa"/>
            <w:vAlign w:val="center"/>
          </w:tcPr>
          <w:p w14:paraId="428D6D42" w14:textId="33DC34DD" w:rsidR="000444F5" w:rsidRPr="00FB463B" w:rsidRDefault="000444F5" w:rsidP="000444F5">
            <w:pPr>
              <w:jc w:val="center"/>
              <w:rPr>
                <w:rFonts w:eastAsiaTheme="majorEastAsia" w:cs="Arial"/>
              </w:rPr>
            </w:pPr>
            <w:r w:rsidRPr="00FB463B">
              <w:rPr>
                <w:rFonts w:eastAsiaTheme="majorEastAsia" w:cstheme="majorBidi"/>
              </w:rPr>
              <w:t>DASS</w:t>
            </w:r>
          </w:p>
        </w:tc>
        <w:tc>
          <w:tcPr>
            <w:tcW w:w="2955" w:type="dxa"/>
            <w:vAlign w:val="center"/>
          </w:tcPr>
          <w:p w14:paraId="545B29FD" w14:textId="7125295F" w:rsidR="000444F5" w:rsidRPr="00FB463B" w:rsidRDefault="000444F5" w:rsidP="000444F5">
            <w:pPr>
              <w:jc w:val="center"/>
              <w:rPr>
                <w:rFonts w:eastAsiaTheme="majorEastAsia" w:cstheme="majorBidi"/>
              </w:rPr>
            </w:pPr>
            <w:r w:rsidRPr="00FB463B">
              <w:rPr>
                <w:rFonts w:cs="Arial"/>
              </w:rPr>
              <w:t>Completion of Program</w:t>
            </w:r>
          </w:p>
        </w:tc>
        <w:tc>
          <w:tcPr>
            <w:tcW w:w="2340" w:type="dxa"/>
            <w:vAlign w:val="center"/>
          </w:tcPr>
          <w:p w14:paraId="4866BC15" w14:textId="35A0EF8F" w:rsidR="000444F5" w:rsidRPr="00FB463B" w:rsidRDefault="000444F5" w:rsidP="000444F5">
            <w:pPr>
              <w:jc w:val="center"/>
              <w:rPr>
                <w:rFonts w:eastAsiaTheme="majorEastAsia" w:cstheme="majorBidi"/>
              </w:rPr>
            </w:pPr>
            <w:r w:rsidRPr="00FB463B">
              <w:rPr>
                <w:rFonts w:eastAsiaTheme="majorEastAsia" w:cstheme="majorBidi"/>
              </w:rPr>
              <w:t>N/A</w:t>
            </w:r>
          </w:p>
        </w:tc>
      </w:tr>
      <w:tr w:rsidR="000444F5" w:rsidRPr="00FB463B" w14:paraId="5D9F2AD8" w14:textId="77777777" w:rsidTr="007871ED">
        <w:trPr>
          <w:cantSplit/>
        </w:trPr>
        <w:tc>
          <w:tcPr>
            <w:tcW w:w="2445" w:type="dxa"/>
          </w:tcPr>
          <w:p w14:paraId="6E569EBD" w14:textId="176CF47F" w:rsidR="000444F5" w:rsidRPr="00FB463B" w:rsidRDefault="000444F5" w:rsidP="000444F5">
            <w:pPr>
              <w:rPr>
                <w:rFonts w:eastAsiaTheme="majorEastAsia" w:cstheme="majorBidi"/>
              </w:rPr>
            </w:pPr>
            <w:r w:rsidRPr="00FB463B">
              <w:rPr>
                <w:rFonts w:eastAsiaTheme="majorEastAsia" w:cstheme="majorBidi"/>
              </w:rPr>
              <w:t>Non-Registered</w:t>
            </w:r>
          </w:p>
          <w:p w14:paraId="5D2D5BAA" w14:textId="50E0D720" w:rsidR="000444F5" w:rsidRPr="00FB463B" w:rsidRDefault="000444F5" w:rsidP="000444F5">
            <w:pPr>
              <w:rPr>
                <w:rFonts w:eastAsiaTheme="majorEastAsia" w:cstheme="majorBidi"/>
              </w:rPr>
            </w:pPr>
            <w:r w:rsidRPr="00FB463B">
              <w:rPr>
                <w:rFonts w:eastAsiaTheme="majorEastAsia" w:cstheme="majorBidi"/>
              </w:rPr>
              <w:t>Pre-Apprenticeship</w:t>
            </w:r>
          </w:p>
        </w:tc>
        <w:tc>
          <w:tcPr>
            <w:tcW w:w="1435" w:type="dxa"/>
            <w:vAlign w:val="center"/>
          </w:tcPr>
          <w:p w14:paraId="0DE62A5E" w14:textId="21E4CE6A" w:rsidR="000444F5" w:rsidRPr="00FB463B" w:rsidRDefault="000444F5" w:rsidP="000444F5">
            <w:pPr>
              <w:jc w:val="center"/>
              <w:rPr>
                <w:rFonts w:eastAsiaTheme="majorEastAsia" w:cs="Arial"/>
              </w:rPr>
            </w:pPr>
            <w:r w:rsidRPr="00FB463B">
              <w:rPr>
                <w:rFonts w:eastAsiaTheme="majorEastAsia" w:cstheme="majorBidi"/>
              </w:rPr>
              <w:t>Non-DASS</w:t>
            </w:r>
          </w:p>
        </w:tc>
        <w:tc>
          <w:tcPr>
            <w:tcW w:w="2955" w:type="dxa"/>
            <w:vAlign w:val="center"/>
          </w:tcPr>
          <w:p w14:paraId="302260A6" w14:textId="324686E1" w:rsidR="000444F5" w:rsidRPr="00FB463B" w:rsidRDefault="000444F5" w:rsidP="000444F5">
            <w:pPr>
              <w:jc w:val="center"/>
              <w:rPr>
                <w:rFonts w:eastAsiaTheme="majorEastAsia" w:cstheme="majorBidi"/>
              </w:rPr>
            </w:pPr>
            <w:r w:rsidRPr="00FB463B">
              <w:rPr>
                <w:rFonts w:cs="Arial"/>
              </w:rPr>
              <w:t>Completion of Program plus completion of a CTE Pathway</w:t>
            </w:r>
          </w:p>
        </w:tc>
        <w:tc>
          <w:tcPr>
            <w:tcW w:w="2340" w:type="dxa"/>
            <w:vAlign w:val="center"/>
          </w:tcPr>
          <w:p w14:paraId="31E29C9E" w14:textId="32540089" w:rsidR="000444F5" w:rsidRPr="00FB463B" w:rsidRDefault="000444F5" w:rsidP="000444F5">
            <w:pPr>
              <w:jc w:val="center"/>
              <w:rPr>
                <w:rFonts w:eastAsiaTheme="majorEastAsia" w:cstheme="majorBidi"/>
              </w:rPr>
            </w:pPr>
            <w:r w:rsidRPr="00FB463B">
              <w:rPr>
                <w:rFonts w:cs="Arial"/>
              </w:rPr>
              <w:t>Completion of Program</w:t>
            </w:r>
          </w:p>
        </w:tc>
      </w:tr>
      <w:tr w:rsidR="000444F5" w:rsidRPr="00FB463B" w14:paraId="7E85F73D" w14:textId="77777777" w:rsidTr="007871ED">
        <w:trPr>
          <w:cantSplit/>
        </w:trPr>
        <w:tc>
          <w:tcPr>
            <w:tcW w:w="2445" w:type="dxa"/>
          </w:tcPr>
          <w:p w14:paraId="3E12CE94" w14:textId="2ECE2E00" w:rsidR="000444F5" w:rsidRPr="00FB463B" w:rsidRDefault="000444F5" w:rsidP="000444F5">
            <w:pPr>
              <w:rPr>
                <w:rFonts w:eastAsiaTheme="majorEastAsia" w:cstheme="majorBidi"/>
              </w:rPr>
            </w:pPr>
            <w:r w:rsidRPr="00FB463B">
              <w:rPr>
                <w:rFonts w:eastAsiaTheme="majorEastAsia" w:cstheme="majorBidi"/>
              </w:rPr>
              <w:t>Non-Registered</w:t>
            </w:r>
          </w:p>
          <w:p w14:paraId="1DDF327E" w14:textId="1BBBE8E9" w:rsidR="000444F5" w:rsidRPr="00FB463B" w:rsidRDefault="000444F5" w:rsidP="000444F5">
            <w:pPr>
              <w:rPr>
                <w:rFonts w:eastAsiaTheme="majorEastAsia" w:cstheme="majorBidi"/>
              </w:rPr>
            </w:pPr>
            <w:r w:rsidRPr="00FB463B">
              <w:rPr>
                <w:rFonts w:eastAsiaTheme="majorEastAsia" w:cstheme="majorBidi"/>
              </w:rPr>
              <w:t>Pre-Apprenticeship</w:t>
            </w:r>
          </w:p>
        </w:tc>
        <w:tc>
          <w:tcPr>
            <w:tcW w:w="1435" w:type="dxa"/>
            <w:vAlign w:val="center"/>
          </w:tcPr>
          <w:p w14:paraId="7509B1B4" w14:textId="61CF80F6" w:rsidR="000444F5" w:rsidRPr="00FB463B" w:rsidRDefault="000444F5" w:rsidP="000444F5">
            <w:pPr>
              <w:jc w:val="center"/>
              <w:rPr>
                <w:rFonts w:cs="Arial"/>
              </w:rPr>
            </w:pPr>
            <w:r w:rsidRPr="00FB463B">
              <w:rPr>
                <w:rFonts w:eastAsiaTheme="majorEastAsia" w:cstheme="majorBidi"/>
              </w:rPr>
              <w:t>DASS</w:t>
            </w:r>
          </w:p>
        </w:tc>
        <w:tc>
          <w:tcPr>
            <w:tcW w:w="2955" w:type="dxa"/>
            <w:vAlign w:val="center"/>
          </w:tcPr>
          <w:p w14:paraId="16A0CD90" w14:textId="10B2DE45" w:rsidR="000444F5" w:rsidRPr="00FB463B" w:rsidRDefault="000444F5" w:rsidP="000444F5">
            <w:pPr>
              <w:jc w:val="center"/>
              <w:rPr>
                <w:rFonts w:eastAsiaTheme="majorEastAsia" w:cstheme="majorBidi"/>
              </w:rPr>
            </w:pPr>
            <w:r w:rsidRPr="00FB463B">
              <w:rPr>
                <w:rFonts w:cs="Arial"/>
              </w:rPr>
              <w:t xml:space="preserve">Completion of program </w:t>
            </w:r>
            <w:r w:rsidRPr="00FB463B">
              <w:rPr>
                <w:rFonts w:cs="Arial"/>
                <w:b/>
              </w:rPr>
              <w:t>plus</w:t>
            </w:r>
            <w:r w:rsidRPr="00FB463B">
              <w:rPr>
                <w:rFonts w:cs="Arial"/>
              </w:rPr>
              <w:t xml:space="preserve"> completion of one semester/two quarters/two trimesters of a CTE course with a C- or better</w:t>
            </w:r>
          </w:p>
        </w:tc>
        <w:tc>
          <w:tcPr>
            <w:tcW w:w="2340" w:type="dxa"/>
            <w:vAlign w:val="center"/>
          </w:tcPr>
          <w:p w14:paraId="31FAD339" w14:textId="5BA54A87" w:rsidR="000444F5" w:rsidRPr="00FB463B" w:rsidRDefault="000444F5" w:rsidP="000444F5">
            <w:pPr>
              <w:jc w:val="center"/>
              <w:rPr>
                <w:rFonts w:eastAsiaTheme="majorEastAsia" w:cstheme="majorBidi"/>
              </w:rPr>
            </w:pPr>
            <w:r w:rsidRPr="00FB463B">
              <w:rPr>
                <w:rFonts w:cs="Arial"/>
              </w:rPr>
              <w:t>Completion of Program</w:t>
            </w:r>
          </w:p>
        </w:tc>
      </w:tr>
    </w:tbl>
    <w:p w14:paraId="26598826" w14:textId="77777777" w:rsidR="00DB1ED2" w:rsidRPr="00FB463B" w:rsidRDefault="00DB1ED2" w:rsidP="00475C27">
      <w:pPr>
        <w:rPr>
          <w:rFonts w:eastAsiaTheme="majorEastAsia" w:cstheme="majorBidi"/>
        </w:rPr>
      </w:pPr>
    </w:p>
    <w:p w14:paraId="7AB21625" w14:textId="2AB0FDB3" w:rsidR="00975485" w:rsidRPr="00FB463B" w:rsidRDefault="00907216" w:rsidP="009644AA">
      <w:pPr>
        <w:spacing w:after="240"/>
        <w:rPr>
          <w:rFonts w:eastAsiaTheme="majorEastAsia" w:cstheme="majorBidi"/>
        </w:rPr>
      </w:pPr>
      <w:r w:rsidRPr="00FB463B">
        <w:rPr>
          <w:rFonts w:eastAsiaTheme="majorEastAsia" w:cstheme="majorBidi"/>
        </w:rPr>
        <w:t>As background, i</w:t>
      </w:r>
      <w:r w:rsidR="00F655BB" w:rsidRPr="00FB463B">
        <w:rPr>
          <w:rFonts w:eastAsiaTheme="majorEastAsia" w:cstheme="majorBidi"/>
        </w:rPr>
        <w:t xml:space="preserve">n 2019, when </w:t>
      </w:r>
      <w:r w:rsidR="00212D98" w:rsidRPr="00FB463B">
        <w:rPr>
          <w:rFonts w:eastAsiaTheme="majorEastAsia" w:cstheme="majorBidi"/>
        </w:rPr>
        <w:t xml:space="preserve">the </w:t>
      </w:r>
      <w:r w:rsidR="00C11FA2" w:rsidRPr="00FB463B">
        <w:rPr>
          <w:rFonts w:eastAsiaTheme="majorEastAsia" w:cstheme="majorBidi"/>
        </w:rPr>
        <w:t>pre-apprenticeship</w:t>
      </w:r>
      <w:r w:rsidR="00212D98" w:rsidRPr="00FB463B">
        <w:rPr>
          <w:rFonts w:eastAsiaTheme="majorEastAsia" w:cstheme="majorBidi"/>
        </w:rPr>
        <w:t xml:space="preserve"> measures</w:t>
      </w:r>
      <w:r w:rsidR="00C11FA2" w:rsidRPr="00FB463B">
        <w:rPr>
          <w:rFonts w:eastAsiaTheme="majorEastAsia" w:cstheme="majorBidi"/>
        </w:rPr>
        <w:t xml:space="preserve"> were</w:t>
      </w:r>
      <w:r w:rsidR="00DB1ED2" w:rsidRPr="00FB463B">
        <w:rPr>
          <w:rFonts w:eastAsiaTheme="majorEastAsia" w:cstheme="majorBidi"/>
        </w:rPr>
        <w:t xml:space="preserve"> </w:t>
      </w:r>
      <w:r w:rsidR="006F70D1" w:rsidRPr="00FB463B">
        <w:rPr>
          <w:rFonts w:eastAsiaTheme="majorEastAsia" w:cstheme="majorBidi"/>
        </w:rPr>
        <w:t>being</w:t>
      </w:r>
      <w:r w:rsidR="00DB1ED2" w:rsidRPr="00FB463B">
        <w:rPr>
          <w:rFonts w:eastAsiaTheme="majorEastAsia" w:cstheme="majorBidi"/>
        </w:rPr>
        <w:t xml:space="preserve"> developed with th</w:t>
      </w:r>
      <w:r w:rsidR="00175E25" w:rsidRPr="00FB463B">
        <w:rPr>
          <w:rFonts w:eastAsiaTheme="majorEastAsia" w:cstheme="majorBidi"/>
        </w:rPr>
        <w:t>e CCI Work Group</w:t>
      </w:r>
      <w:r w:rsidR="00F655BB" w:rsidRPr="00FB463B">
        <w:rPr>
          <w:rFonts w:eastAsiaTheme="majorEastAsia" w:cstheme="majorBidi"/>
        </w:rPr>
        <w:t xml:space="preserve">, </w:t>
      </w:r>
      <w:r w:rsidR="006D7B0C" w:rsidRPr="00FB463B">
        <w:rPr>
          <w:rFonts w:cs="Arial"/>
          <w:color w:val="000000"/>
        </w:rPr>
        <w:t>they were</w:t>
      </w:r>
      <w:r w:rsidR="00B56E54" w:rsidRPr="00FB463B">
        <w:rPr>
          <w:rFonts w:cs="Arial"/>
          <w:color w:val="000000"/>
        </w:rPr>
        <w:t xml:space="preserve"> new </w:t>
      </w:r>
      <w:r w:rsidR="003911E7" w:rsidRPr="00FB463B">
        <w:rPr>
          <w:rFonts w:cs="Arial"/>
          <w:color w:val="000000"/>
        </w:rPr>
        <w:t>work-based learning opportunit</w:t>
      </w:r>
      <w:r w:rsidR="006D7B0C" w:rsidRPr="00FB463B">
        <w:rPr>
          <w:rFonts w:cs="Arial"/>
          <w:color w:val="000000"/>
        </w:rPr>
        <w:t>ies</w:t>
      </w:r>
      <w:r w:rsidR="003911E7" w:rsidRPr="00FB463B">
        <w:rPr>
          <w:rFonts w:cs="Arial"/>
          <w:color w:val="000000"/>
        </w:rPr>
        <w:t xml:space="preserve"> </w:t>
      </w:r>
      <w:r w:rsidR="000E7182" w:rsidRPr="00FB463B">
        <w:rPr>
          <w:rFonts w:cs="Arial"/>
          <w:color w:val="000000"/>
        </w:rPr>
        <w:t>being implement</w:t>
      </w:r>
      <w:r w:rsidR="00F84CD2" w:rsidRPr="00FB463B">
        <w:rPr>
          <w:rFonts w:cs="Arial"/>
          <w:color w:val="000000"/>
        </w:rPr>
        <w:t>ed</w:t>
      </w:r>
      <w:r w:rsidR="000E7182" w:rsidRPr="00FB463B">
        <w:rPr>
          <w:rFonts w:cs="Arial"/>
          <w:color w:val="000000"/>
        </w:rPr>
        <w:t xml:space="preserve"> by</w:t>
      </w:r>
      <w:r w:rsidR="003911E7" w:rsidRPr="00FB463B">
        <w:rPr>
          <w:rFonts w:cs="Arial"/>
          <w:color w:val="000000"/>
        </w:rPr>
        <w:t xml:space="preserve"> schools</w:t>
      </w:r>
      <w:r w:rsidR="00254A83" w:rsidRPr="00FB463B">
        <w:rPr>
          <w:rFonts w:cs="Arial"/>
          <w:color w:val="000000"/>
        </w:rPr>
        <w:t xml:space="preserve">. </w:t>
      </w:r>
      <w:r w:rsidR="00715FC5" w:rsidRPr="00FB463B">
        <w:rPr>
          <w:rFonts w:cs="Arial"/>
          <w:color w:val="000000"/>
        </w:rPr>
        <w:t>I</w:t>
      </w:r>
      <w:r w:rsidR="00D7476D" w:rsidRPr="00FB463B">
        <w:rPr>
          <w:rFonts w:cs="Arial"/>
          <w:color w:val="000000"/>
        </w:rPr>
        <w:t>n 2018–19, f</w:t>
      </w:r>
      <w:r w:rsidR="00DB1ED2" w:rsidRPr="00FB463B">
        <w:rPr>
          <w:rFonts w:cs="Arial"/>
          <w:color w:val="000000"/>
        </w:rPr>
        <w:t>ormal pre-apprenticeship</w:t>
      </w:r>
      <w:r w:rsidR="0096186D" w:rsidRPr="00FB463B">
        <w:rPr>
          <w:rFonts w:cs="Arial"/>
          <w:color w:val="000000"/>
        </w:rPr>
        <w:t>s</w:t>
      </w:r>
      <w:r w:rsidR="00DB1ED2" w:rsidRPr="00FB463B">
        <w:rPr>
          <w:rFonts w:cs="Arial"/>
          <w:color w:val="000000"/>
        </w:rPr>
        <w:t xml:space="preserve"> could </w:t>
      </w:r>
      <w:r w:rsidR="00B451F7" w:rsidRPr="00FB463B">
        <w:rPr>
          <w:rFonts w:cs="Arial"/>
          <w:color w:val="000000"/>
        </w:rPr>
        <w:t xml:space="preserve">not </w:t>
      </w:r>
      <w:r w:rsidR="00DB1ED2" w:rsidRPr="00FB463B">
        <w:rPr>
          <w:rFonts w:cs="Arial"/>
          <w:color w:val="000000"/>
        </w:rPr>
        <w:t xml:space="preserve">be </w:t>
      </w:r>
      <w:r w:rsidR="00BF09FF" w:rsidRPr="00FB463B">
        <w:rPr>
          <w:rFonts w:cs="Arial"/>
          <w:color w:val="000000"/>
        </w:rPr>
        <w:t xml:space="preserve">registered </w:t>
      </w:r>
      <w:r w:rsidR="00610830" w:rsidRPr="00FB463B">
        <w:rPr>
          <w:rFonts w:cs="Arial"/>
        </w:rPr>
        <w:t>through the</w:t>
      </w:r>
      <w:r w:rsidR="00BF09FF" w:rsidRPr="00FB463B">
        <w:rPr>
          <w:rFonts w:cs="Arial"/>
        </w:rPr>
        <w:t xml:space="preserve"> </w:t>
      </w:r>
      <w:r w:rsidR="00610830" w:rsidRPr="00FB463B">
        <w:rPr>
          <w:rFonts w:cs="Arial"/>
        </w:rPr>
        <w:t xml:space="preserve">California </w:t>
      </w:r>
      <w:r w:rsidR="00BF09FF" w:rsidRPr="00FB463B">
        <w:rPr>
          <w:rFonts w:cs="Arial"/>
        </w:rPr>
        <w:t>Department of Industrial Relations</w:t>
      </w:r>
      <w:r w:rsidR="00BF09FF" w:rsidRPr="00FB463B">
        <w:rPr>
          <w:rFonts w:cs="Arial"/>
          <w:color w:val="000000"/>
        </w:rPr>
        <w:t xml:space="preserve"> or </w:t>
      </w:r>
      <w:r w:rsidR="00175E25" w:rsidRPr="00FB463B">
        <w:rPr>
          <w:rFonts w:cs="Arial"/>
          <w:color w:val="000000"/>
        </w:rPr>
        <w:t xml:space="preserve">even at the </w:t>
      </w:r>
      <w:r w:rsidR="00BF09FF" w:rsidRPr="00FB463B">
        <w:rPr>
          <w:rFonts w:cs="Arial"/>
          <w:color w:val="000000"/>
        </w:rPr>
        <w:t>national level</w:t>
      </w:r>
      <w:r w:rsidR="003C2387" w:rsidRPr="00FB463B">
        <w:rPr>
          <w:rFonts w:cs="Arial"/>
          <w:color w:val="000000"/>
        </w:rPr>
        <w:t xml:space="preserve">. It was not until </w:t>
      </w:r>
      <w:r w:rsidR="00BF09FF" w:rsidRPr="00FB463B">
        <w:rPr>
          <w:rFonts w:cs="Arial"/>
          <w:color w:val="000000"/>
        </w:rPr>
        <w:t xml:space="preserve">a new state law that took effect on January 1, 2019, the Division of Apprenticeship Standards </w:t>
      </w:r>
      <w:r w:rsidR="00460AEB" w:rsidRPr="00FB463B">
        <w:rPr>
          <w:rFonts w:cs="Arial"/>
          <w:color w:val="000000"/>
        </w:rPr>
        <w:t>(</w:t>
      </w:r>
      <w:r w:rsidR="00697DE9" w:rsidRPr="00FB463B">
        <w:rPr>
          <w:rFonts w:cs="Arial"/>
          <w:color w:val="000000"/>
        </w:rPr>
        <w:t>within the California</w:t>
      </w:r>
      <w:r w:rsidR="00460AEB" w:rsidRPr="00FB463B">
        <w:rPr>
          <w:rFonts w:cs="Arial"/>
        </w:rPr>
        <w:t xml:space="preserve"> Department of Industrial Relations</w:t>
      </w:r>
      <w:r w:rsidR="00B432F6" w:rsidRPr="00FB463B">
        <w:rPr>
          <w:rFonts w:cs="Arial"/>
        </w:rPr>
        <w:t>)</w:t>
      </w:r>
      <w:r w:rsidR="00697DE9" w:rsidRPr="00FB463B">
        <w:rPr>
          <w:rFonts w:cs="Arial"/>
          <w:color w:val="000000"/>
        </w:rPr>
        <w:t xml:space="preserve"> </w:t>
      </w:r>
      <w:r w:rsidR="00460AEB" w:rsidRPr="00FB463B">
        <w:rPr>
          <w:rFonts w:cs="Arial"/>
          <w:color w:val="000000"/>
        </w:rPr>
        <w:t>could</w:t>
      </w:r>
      <w:r w:rsidR="00BF09FF" w:rsidRPr="00FB463B">
        <w:rPr>
          <w:rFonts w:cs="Arial"/>
          <w:color w:val="000000"/>
        </w:rPr>
        <w:t xml:space="preserve"> recognize pre-apprenticeship programs that have formal linkage agreements with </w:t>
      </w:r>
      <w:r w:rsidR="00F24EC0" w:rsidRPr="00FB463B">
        <w:rPr>
          <w:rFonts w:cs="Arial"/>
          <w:color w:val="000000"/>
        </w:rPr>
        <w:t xml:space="preserve">existing </w:t>
      </w:r>
      <w:r w:rsidR="00BF09FF" w:rsidRPr="00FB463B">
        <w:rPr>
          <w:rFonts w:cs="Arial"/>
          <w:color w:val="000000"/>
        </w:rPr>
        <w:t>state registered apprenticeship programs.</w:t>
      </w:r>
      <w:r w:rsidR="00884CF9" w:rsidRPr="00FB463B">
        <w:rPr>
          <w:rFonts w:cs="Arial"/>
          <w:color w:val="000000"/>
        </w:rPr>
        <w:t xml:space="preserve"> </w:t>
      </w:r>
      <w:r w:rsidR="00CB2FB0" w:rsidRPr="00FB463B">
        <w:rPr>
          <w:rFonts w:cs="Arial"/>
          <w:color w:val="000000"/>
        </w:rPr>
        <w:t xml:space="preserve">This registration with the Division of Apprenticeship Standards is what </w:t>
      </w:r>
      <w:r w:rsidR="00D4284D" w:rsidRPr="00FB463B">
        <w:rPr>
          <w:rFonts w:cs="Arial"/>
          <w:color w:val="000000"/>
        </w:rPr>
        <w:t xml:space="preserve">distinguishes </w:t>
      </w:r>
      <w:r w:rsidR="003326CB" w:rsidRPr="00FB463B">
        <w:rPr>
          <w:rFonts w:cs="Arial"/>
          <w:color w:val="000000"/>
        </w:rPr>
        <w:t>registered pre-apprenticeships</w:t>
      </w:r>
      <w:r w:rsidR="00CB2FB0" w:rsidRPr="00FB463B">
        <w:rPr>
          <w:rFonts w:cs="Arial"/>
          <w:color w:val="000000"/>
        </w:rPr>
        <w:t xml:space="preserve"> from non-registered pre-apprenticeships.</w:t>
      </w:r>
    </w:p>
    <w:p w14:paraId="1DC97335" w14:textId="416C1848" w:rsidR="00C17E47" w:rsidRPr="00FB463B" w:rsidRDefault="007830CE" w:rsidP="009644AA">
      <w:pPr>
        <w:spacing w:after="240"/>
        <w:rPr>
          <w:rFonts w:eastAsiaTheme="majorEastAsia" w:cstheme="majorBidi"/>
        </w:rPr>
      </w:pPr>
      <w:r w:rsidRPr="00FB463B">
        <w:rPr>
          <w:rFonts w:eastAsiaTheme="majorEastAsia" w:cstheme="majorBidi"/>
        </w:rPr>
        <w:t>With</w:t>
      </w:r>
      <w:r w:rsidR="00975485" w:rsidRPr="00FB463B">
        <w:rPr>
          <w:rFonts w:eastAsiaTheme="majorEastAsia" w:cstheme="majorBidi"/>
        </w:rPr>
        <w:t xml:space="preserve"> registered pre-apprenticeships </w:t>
      </w:r>
      <w:r w:rsidRPr="00FB463B">
        <w:rPr>
          <w:rFonts w:eastAsiaTheme="majorEastAsia" w:cstheme="majorBidi"/>
        </w:rPr>
        <w:t>now</w:t>
      </w:r>
      <w:r w:rsidR="00975485" w:rsidRPr="00FB463B">
        <w:rPr>
          <w:rFonts w:eastAsiaTheme="majorEastAsia" w:cstheme="majorBidi"/>
        </w:rPr>
        <w:t xml:space="preserve"> fully in place, there </w:t>
      </w:r>
      <w:r w:rsidR="000E7182" w:rsidRPr="00FB463B">
        <w:rPr>
          <w:rFonts w:eastAsiaTheme="majorEastAsia" w:cstheme="majorBidi"/>
        </w:rPr>
        <w:t>has been a push</w:t>
      </w:r>
      <w:r w:rsidR="00975485" w:rsidRPr="00FB463B">
        <w:rPr>
          <w:rFonts w:eastAsiaTheme="majorEastAsia" w:cstheme="majorBidi"/>
        </w:rPr>
        <w:t xml:space="preserve"> to move away from </w:t>
      </w:r>
      <w:r w:rsidR="00166FEF" w:rsidRPr="00FB463B">
        <w:rPr>
          <w:rFonts w:eastAsiaTheme="majorEastAsia" w:cstheme="majorBidi"/>
        </w:rPr>
        <w:t>non-registered pre-apprenticeships</w:t>
      </w:r>
      <w:r w:rsidR="00183D1D" w:rsidRPr="00FB463B">
        <w:rPr>
          <w:rFonts w:eastAsiaTheme="majorEastAsia" w:cstheme="majorBidi"/>
        </w:rPr>
        <w:t xml:space="preserve">. </w:t>
      </w:r>
      <w:r w:rsidR="008C4E4C" w:rsidRPr="00FB463B">
        <w:rPr>
          <w:rFonts w:eastAsiaTheme="majorEastAsia" w:cstheme="majorBidi"/>
        </w:rPr>
        <w:t>T</w:t>
      </w:r>
      <w:r w:rsidR="00C92760" w:rsidRPr="00FB463B">
        <w:rPr>
          <w:rFonts w:eastAsiaTheme="majorEastAsia" w:cstheme="majorBidi"/>
        </w:rPr>
        <w:t xml:space="preserve">he following </w:t>
      </w:r>
      <w:r w:rsidR="00D70042" w:rsidRPr="00FB463B">
        <w:rPr>
          <w:rFonts w:eastAsiaTheme="majorEastAsia" w:cstheme="majorBidi"/>
        </w:rPr>
        <w:t xml:space="preserve">specifies </w:t>
      </w:r>
      <w:r w:rsidR="00A76454" w:rsidRPr="00FB463B">
        <w:rPr>
          <w:rFonts w:eastAsiaTheme="majorEastAsia" w:cstheme="majorBidi"/>
        </w:rPr>
        <w:t>the reason</w:t>
      </w:r>
      <w:r w:rsidR="00C6001E" w:rsidRPr="00FB463B">
        <w:rPr>
          <w:rFonts w:eastAsiaTheme="majorEastAsia" w:cstheme="majorBidi"/>
        </w:rPr>
        <w:t xml:space="preserve">s for </w:t>
      </w:r>
      <w:r w:rsidR="00FB71BD" w:rsidRPr="00FB463B">
        <w:rPr>
          <w:rFonts w:eastAsiaTheme="majorEastAsia" w:cstheme="majorBidi"/>
        </w:rPr>
        <w:t>removing</w:t>
      </w:r>
      <w:r w:rsidR="0037523E" w:rsidRPr="00FB463B">
        <w:rPr>
          <w:rFonts w:eastAsiaTheme="majorEastAsia" w:cstheme="majorBidi"/>
        </w:rPr>
        <w:t xml:space="preserve"> th</w:t>
      </w:r>
      <w:r w:rsidR="00FB71BD" w:rsidRPr="00FB463B">
        <w:rPr>
          <w:rFonts w:eastAsiaTheme="majorEastAsia" w:cstheme="majorBidi"/>
        </w:rPr>
        <w:t xml:space="preserve">is </w:t>
      </w:r>
      <w:r w:rsidR="0037523E" w:rsidRPr="00FB463B">
        <w:rPr>
          <w:rFonts w:eastAsiaTheme="majorEastAsia" w:cstheme="majorBidi"/>
        </w:rPr>
        <w:t>measure</w:t>
      </w:r>
      <w:r w:rsidR="00C92760" w:rsidRPr="00FB463B">
        <w:rPr>
          <w:rFonts w:eastAsiaTheme="majorEastAsia" w:cstheme="majorBidi"/>
        </w:rPr>
        <w:t>:</w:t>
      </w:r>
    </w:p>
    <w:p w14:paraId="31622BF4" w14:textId="099A7DB7" w:rsidR="00B21A87" w:rsidRPr="00FB463B" w:rsidRDefault="00B21A87" w:rsidP="00B21A87">
      <w:pPr>
        <w:pStyle w:val="ListParagraph"/>
        <w:numPr>
          <w:ilvl w:val="0"/>
          <w:numId w:val="40"/>
        </w:numPr>
        <w:rPr>
          <w:rFonts w:eastAsiaTheme="majorEastAsia" w:cstheme="majorBidi"/>
        </w:rPr>
      </w:pPr>
      <w:r w:rsidRPr="00FB463B">
        <w:rPr>
          <w:rFonts w:eastAsiaTheme="majorEastAsia" w:cstheme="majorBidi"/>
        </w:rPr>
        <w:t xml:space="preserve">The </w:t>
      </w:r>
      <w:r w:rsidR="00DA0751" w:rsidRPr="00FB463B">
        <w:rPr>
          <w:rFonts w:eastAsiaTheme="majorEastAsia" w:cstheme="majorBidi"/>
        </w:rPr>
        <w:t>State</w:t>
      </w:r>
      <w:r w:rsidR="004046E0" w:rsidRPr="00FB463B">
        <w:rPr>
          <w:rFonts w:eastAsiaTheme="majorEastAsia" w:cstheme="majorBidi"/>
        </w:rPr>
        <w:t xml:space="preserve"> has an</w:t>
      </w:r>
      <w:r w:rsidRPr="00FB463B">
        <w:rPr>
          <w:rFonts w:eastAsiaTheme="majorEastAsia" w:cstheme="majorBidi"/>
        </w:rPr>
        <w:t xml:space="preserve"> initiative </w:t>
      </w:r>
      <w:r w:rsidR="004046E0" w:rsidRPr="00FB463B">
        <w:rPr>
          <w:rFonts w:eastAsiaTheme="majorEastAsia" w:cstheme="majorBidi"/>
        </w:rPr>
        <w:t>to</w:t>
      </w:r>
      <w:r w:rsidRPr="00FB463B">
        <w:rPr>
          <w:rFonts w:eastAsiaTheme="majorEastAsia" w:cstheme="majorBidi"/>
        </w:rPr>
        <w:t xml:space="preserve"> expan</w:t>
      </w:r>
      <w:r w:rsidR="004046E0" w:rsidRPr="00FB463B">
        <w:rPr>
          <w:rFonts w:eastAsiaTheme="majorEastAsia" w:cstheme="majorBidi"/>
        </w:rPr>
        <w:t>d</w:t>
      </w:r>
      <w:r w:rsidRPr="00FB463B">
        <w:rPr>
          <w:rFonts w:eastAsiaTheme="majorEastAsia" w:cstheme="majorBidi"/>
        </w:rPr>
        <w:t xml:space="preserve"> registered apprenticeship</w:t>
      </w:r>
      <w:r w:rsidR="004046E0" w:rsidRPr="00FB463B">
        <w:rPr>
          <w:rFonts w:eastAsiaTheme="majorEastAsia" w:cstheme="majorBidi"/>
        </w:rPr>
        <w:t>s</w:t>
      </w:r>
      <w:r w:rsidRPr="00FB463B">
        <w:rPr>
          <w:rFonts w:eastAsiaTheme="majorEastAsia" w:cstheme="majorBidi"/>
        </w:rPr>
        <w:t xml:space="preserve"> in California. </w:t>
      </w:r>
      <w:r w:rsidR="00902F90" w:rsidRPr="00FB463B">
        <w:rPr>
          <w:rFonts w:eastAsiaTheme="majorEastAsia" w:cstheme="majorBidi"/>
        </w:rPr>
        <w:t xml:space="preserve">Continuing to </w:t>
      </w:r>
      <w:r w:rsidR="00AB1EEB" w:rsidRPr="00FB463B">
        <w:rPr>
          <w:rFonts w:eastAsiaTheme="majorEastAsia" w:cstheme="majorBidi"/>
        </w:rPr>
        <w:t>allow for n</w:t>
      </w:r>
      <w:r w:rsidRPr="00FB463B">
        <w:rPr>
          <w:rFonts w:eastAsiaTheme="majorEastAsia" w:cstheme="majorBidi"/>
        </w:rPr>
        <w:t xml:space="preserve">on-registered pre-apprenticeships </w:t>
      </w:r>
      <w:r w:rsidR="00011DC8" w:rsidRPr="00FB463B">
        <w:rPr>
          <w:rFonts w:eastAsiaTheme="majorEastAsia" w:cstheme="majorBidi"/>
        </w:rPr>
        <w:t>undermines</w:t>
      </w:r>
      <w:r w:rsidRPr="00FB463B">
        <w:rPr>
          <w:rFonts w:eastAsiaTheme="majorEastAsia" w:cstheme="majorBidi"/>
        </w:rPr>
        <w:t xml:space="preserve"> this goal.</w:t>
      </w:r>
    </w:p>
    <w:p w14:paraId="13570818" w14:textId="23344FD2" w:rsidR="006A466B" w:rsidRPr="00FB463B" w:rsidRDefault="00A83DB6" w:rsidP="006A466B">
      <w:pPr>
        <w:pStyle w:val="ListParagraph"/>
        <w:numPr>
          <w:ilvl w:val="0"/>
          <w:numId w:val="40"/>
        </w:numPr>
        <w:rPr>
          <w:rFonts w:eastAsiaTheme="majorEastAsia" w:cstheme="majorBidi"/>
        </w:rPr>
      </w:pPr>
      <w:r w:rsidRPr="00FB463B">
        <w:rPr>
          <w:rFonts w:eastAsiaTheme="majorEastAsia" w:cstheme="majorBidi"/>
        </w:rPr>
        <w:t>Non</w:t>
      </w:r>
      <w:r w:rsidR="00011DC8" w:rsidRPr="00FB463B">
        <w:rPr>
          <w:rFonts w:eastAsiaTheme="majorEastAsia" w:cstheme="majorBidi"/>
        </w:rPr>
        <w:t>-registered p</w:t>
      </w:r>
      <w:r w:rsidR="006A466B" w:rsidRPr="00FB463B">
        <w:rPr>
          <w:rFonts w:eastAsiaTheme="majorEastAsia" w:cstheme="majorBidi"/>
        </w:rPr>
        <w:t>re-apprenticeship</w:t>
      </w:r>
      <w:r w:rsidR="00CC1A00" w:rsidRPr="00FB463B">
        <w:rPr>
          <w:rFonts w:eastAsiaTheme="majorEastAsia" w:cstheme="majorBidi"/>
        </w:rPr>
        <w:t>s are not recognized by the Department of Industrial Relations, Division of Apprenticeship Standards</w:t>
      </w:r>
      <w:r w:rsidR="006A466B" w:rsidRPr="00FB463B">
        <w:rPr>
          <w:rFonts w:eastAsiaTheme="majorEastAsia" w:cstheme="majorBidi"/>
        </w:rPr>
        <w:t>.</w:t>
      </w:r>
    </w:p>
    <w:p w14:paraId="6AF6344F" w14:textId="28E70308" w:rsidR="009D0128" w:rsidRPr="00FB463B" w:rsidRDefault="003B13C1" w:rsidP="009D0128">
      <w:pPr>
        <w:pStyle w:val="ListParagraph"/>
        <w:numPr>
          <w:ilvl w:val="0"/>
          <w:numId w:val="40"/>
        </w:numPr>
        <w:rPr>
          <w:rFonts w:eastAsiaTheme="majorEastAsia" w:cstheme="majorBidi"/>
        </w:rPr>
      </w:pPr>
      <w:r w:rsidRPr="00FB463B">
        <w:rPr>
          <w:rFonts w:eastAsiaTheme="majorEastAsia" w:cstheme="majorBidi"/>
        </w:rPr>
        <w:t>The CDE cannot verify if pre</w:t>
      </w:r>
      <w:r w:rsidR="009E4F4F" w:rsidRPr="00FB463B">
        <w:rPr>
          <w:rFonts w:eastAsiaTheme="majorEastAsia" w:cstheme="majorBidi"/>
        </w:rPr>
        <w:t xml:space="preserve">-apprenticeships </w:t>
      </w:r>
      <w:r w:rsidR="009D0128" w:rsidRPr="00FB463B">
        <w:rPr>
          <w:rFonts w:eastAsiaTheme="majorEastAsia" w:cstheme="majorBidi"/>
        </w:rPr>
        <w:t>are directly connected to apprenticeship programs unless they are registered.</w:t>
      </w:r>
    </w:p>
    <w:p w14:paraId="79C29AB9" w14:textId="6E53E2E5" w:rsidR="006C5AEF" w:rsidRPr="00FB463B" w:rsidRDefault="00FE063C" w:rsidP="006C5AEF">
      <w:pPr>
        <w:spacing w:after="240"/>
        <w:rPr>
          <w:rFonts w:eastAsiaTheme="majorEastAsia" w:cstheme="majorBidi"/>
        </w:rPr>
      </w:pPr>
      <w:r w:rsidRPr="00FB463B">
        <w:rPr>
          <w:rFonts w:eastAsiaTheme="majorEastAsia" w:cstheme="majorBidi"/>
        </w:rPr>
        <w:lastRenderedPageBreak/>
        <w:t>Considering</w:t>
      </w:r>
      <w:r w:rsidR="009D0357" w:rsidRPr="00FB463B">
        <w:rPr>
          <w:rFonts w:eastAsiaTheme="majorEastAsia" w:cstheme="majorBidi"/>
        </w:rPr>
        <w:t xml:space="preserve"> this information, the CDE </w:t>
      </w:r>
      <w:r w:rsidR="00977D04" w:rsidRPr="00FB463B">
        <w:rPr>
          <w:rFonts w:eastAsiaTheme="majorEastAsia" w:cstheme="majorBidi"/>
        </w:rPr>
        <w:t xml:space="preserve">asked </w:t>
      </w:r>
      <w:r w:rsidR="00F85600" w:rsidRPr="00FB463B">
        <w:rPr>
          <w:rFonts w:eastAsiaTheme="majorEastAsia" w:cstheme="majorBidi"/>
        </w:rPr>
        <w:t>educational partners</w:t>
      </w:r>
      <w:r w:rsidR="00977D04" w:rsidRPr="00FB463B">
        <w:rPr>
          <w:rFonts w:eastAsiaTheme="majorEastAsia" w:cstheme="majorBidi"/>
        </w:rPr>
        <w:t xml:space="preserve"> whether this measure should continue to be included in the CCI or if it should be removed.</w:t>
      </w:r>
      <w:r w:rsidR="000C0EAC" w:rsidRPr="00FB463B">
        <w:rPr>
          <w:rFonts w:eastAsiaTheme="majorEastAsia" w:cstheme="majorBidi"/>
        </w:rPr>
        <w:t xml:space="preserve"> The CDE also </w:t>
      </w:r>
      <w:r w:rsidR="00AD245E" w:rsidRPr="00FB463B">
        <w:rPr>
          <w:rFonts w:eastAsiaTheme="majorEastAsia" w:cstheme="majorBidi"/>
        </w:rPr>
        <w:t>reviewed the</w:t>
      </w:r>
      <w:r w:rsidR="00A3557D" w:rsidRPr="00FB463B">
        <w:rPr>
          <w:rFonts w:eastAsiaTheme="majorEastAsia" w:cstheme="majorBidi"/>
        </w:rPr>
        <w:t xml:space="preserve"> </w:t>
      </w:r>
      <w:r w:rsidR="00977D04" w:rsidRPr="00FB463B">
        <w:rPr>
          <w:rFonts w:eastAsiaTheme="majorEastAsia" w:cstheme="majorBidi"/>
        </w:rPr>
        <w:t xml:space="preserve">data </w:t>
      </w:r>
      <w:r w:rsidR="000C0EAC" w:rsidRPr="00FB463B">
        <w:rPr>
          <w:rFonts w:eastAsiaTheme="majorEastAsia" w:cstheme="majorBidi"/>
        </w:rPr>
        <w:t>for the 2019</w:t>
      </w:r>
      <w:r w:rsidR="0071742E" w:rsidRPr="00FB463B">
        <w:rPr>
          <w:rFonts w:cs="Arial"/>
          <w:color w:val="000000"/>
        </w:rPr>
        <w:t>–</w:t>
      </w:r>
      <w:r w:rsidR="000C0EAC" w:rsidRPr="00FB463B">
        <w:rPr>
          <w:rFonts w:eastAsiaTheme="majorEastAsia" w:cstheme="majorBidi"/>
        </w:rPr>
        <w:t>20, 2020</w:t>
      </w:r>
      <w:r w:rsidR="0071742E" w:rsidRPr="00FB463B">
        <w:rPr>
          <w:rFonts w:cs="Arial"/>
          <w:color w:val="000000"/>
        </w:rPr>
        <w:t>–</w:t>
      </w:r>
      <w:r w:rsidR="000C0EAC" w:rsidRPr="00FB463B">
        <w:rPr>
          <w:rFonts w:eastAsiaTheme="majorEastAsia" w:cstheme="majorBidi"/>
        </w:rPr>
        <w:t>21, and 2021</w:t>
      </w:r>
      <w:r w:rsidR="0071742E" w:rsidRPr="00FB463B">
        <w:rPr>
          <w:rFonts w:cs="Arial"/>
          <w:color w:val="000000"/>
        </w:rPr>
        <w:t>–</w:t>
      </w:r>
      <w:r w:rsidR="000C0EAC" w:rsidRPr="00FB463B">
        <w:rPr>
          <w:rFonts w:eastAsiaTheme="majorEastAsia" w:cstheme="majorBidi"/>
        </w:rPr>
        <w:t>22 school year</w:t>
      </w:r>
      <w:r w:rsidR="003421AD" w:rsidRPr="00FB463B">
        <w:rPr>
          <w:rFonts w:eastAsiaTheme="majorEastAsia" w:cstheme="majorBidi"/>
        </w:rPr>
        <w:t>s</w:t>
      </w:r>
      <w:r w:rsidR="000C0EAC" w:rsidRPr="00FB463B">
        <w:rPr>
          <w:rFonts w:eastAsiaTheme="majorEastAsia" w:cstheme="majorBidi"/>
        </w:rPr>
        <w:t xml:space="preserve"> to identify the number of </w:t>
      </w:r>
      <w:r w:rsidR="00A90725" w:rsidRPr="00FB463B">
        <w:rPr>
          <w:rFonts w:eastAsiaTheme="majorEastAsia" w:cstheme="majorBidi"/>
        </w:rPr>
        <w:t>students completing this measure</w:t>
      </w:r>
      <w:r w:rsidR="00A3557D" w:rsidRPr="00FB463B">
        <w:rPr>
          <w:rFonts w:eastAsiaTheme="majorEastAsia" w:cstheme="majorBidi"/>
        </w:rPr>
        <w:t xml:space="preserve">. Table </w:t>
      </w:r>
      <w:r w:rsidR="00F46A26" w:rsidRPr="00FB463B">
        <w:rPr>
          <w:rFonts w:eastAsiaTheme="majorEastAsia" w:cstheme="majorBidi"/>
        </w:rPr>
        <w:t>35</w:t>
      </w:r>
      <w:r w:rsidR="00A3557D" w:rsidRPr="00FB463B">
        <w:rPr>
          <w:rFonts w:eastAsiaTheme="majorEastAsia" w:cstheme="majorBidi"/>
        </w:rPr>
        <w:t xml:space="preserve"> </w:t>
      </w:r>
      <w:r w:rsidR="00061882" w:rsidRPr="00FB463B">
        <w:rPr>
          <w:rFonts w:eastAsiaTheme="majorEastAsia" w:cstheme="majorBidi"/>
        </w:rPr>
        <w:t>shows this data</w:t>
      </w:r>
      <w:r w:rsidR="00067967" w:rsidRPr="00FB463B">
        <w:rPr>
          <w:rFonts w:eastAsiaTheme="majorEastAsia" w:cstheme="majorBidi"/>
        </w:rPr>
        <w:t xml:space="preserve"> along with </w:t>
      </w:r>
      <w:r w:rsidR="00F95CD1" w:rsidRPr="00FB463B">
        <w:rPr>
          <w:rFonts w:eastAsiaTheme="majorEastAsia" w:cstheme="majorBidi"/>
        </w:rPr>
        <w:t>th</w:t>
      </w:r>
      <w:r w:rsidR="00CA316B" w:rsidRPr="00FB463B">
        <w:rPr>
          <w:rFonts w:eastAsiaTheme="majorEastAsia" w:cstheme="majorBidi"/>
        </w:rPr>
        <w:t xml:space="preserve">e total </w:t>
      </w:r>
      <w:r w:rsidR="00F95CD1" w:rsidRPr="00FB463B">
        <w:rPr>
          <w:rFonts w:eastAsiaTheme="majorEastAsia" w:cstheme="majorBidi"/>
        </w:rPr>
        <w:t>enrollment of students in grades nine through twelve in parentheses</w:t>
      </w:r>
      <w:r w:rsidR="00E169DC" w:rsidRPr="00FB463B">
        <w:rPr>
          <w:rFonts w:eastAsiaTheme="majorEastAsia" w:cstheme="majorBidi"/>
        </w:rPr>
        <w:t xml:space="preserve"> for context</w:t>
      </w:r>
      <w:r w:rsidR="00F95CD1" w:rsidRPr="00FB463B">
        <w:rPr>
          <w:rFonts w:eastAsiaTheme="majorEastAsia" w:cstheme="majorBidi"/>
        </w:rPr>
        <w:t>.</w:t>
      </w:r>
    </w:p>
    <w:p w14:paraId="3D2D6261" w14:textId="724C721C" w:rsidR="00423347" w:rsidRPr="00FB463B" w:rsidRDefault="00CA494A" w:rsidP="006C5AEF">
      <w:pPr>
        <w:spacing w:after="240"/>
        <w:rPr>
          <w:rFonts w:eastAsiaTheme="majorEastAsia" w:cstheme="majorBidi"/>
          <w:b/>
          <w:bCs/>
        </w:rPr>
      </w:pPr>
      <w:r w:rsidRPr="00FB463B">
        <w:rPr>
          <w:rFonts w:eastAsiaTheme="majorEastAsia" w:cstheme="majorBidi"/>
          <w:b/>
          <w:bCs/>
        </w:rPr>
        <w:t xml:space="preserve">Table </w:t>
      </w:r>
      <w:r w:rsidR="00F46A26" w:rsidRPr="00FB463B">
        <w:rPr>
          <w:rFonts w:eastAsiaTheme="majorEastAsia" w:cstheme="majorBidi"/>
          <w:b/>
          <w:bCs/>
        </w:rPr>
        <w:t>35</w:t>
      </w:r>
      <w:r w:rsidRPr="00FB463B">
        <w:rPr>
          <w:rFonts w:eastAsiaTheme="majorEastAsia" w:cstheme="majorBidi"/>
          <w:b/>
          <w:bCs/>
        </w:rPr>
        <w:t xml:space="preserve">: </w:t>
      </w:r>
      <w:r w:rsidR="00423347" w:rsidRPr="00FB463B">
        <w:rPr>
          <w:rFonts w:eastAsiaTheme="majorEastAsia" w:cstheme="majorBidi"/>
          <w:b/>
          <w:bCs/>
        </w:rPr>
        <w:t xml:space="preserve">Student </w:t>
      </w:r>
      <w:r w:rsidR="00E9511D" w:rsidRPr="00FB463B">
        <w:rPr>
          <w:rFonts w:eastAsiaTheme="majorEastAsia" w:cstheme="majorBidi"/>
          <w:b/>
          <w:bCs/>
        </w:rPr>
        <w:t xml:space="preserve">Completion of </w:t>
      </w:r>
      <w:r w:rsidR="005068F4" w:rsidRPr="00FB463B">
        <w:rPr>
          <w:rFonts w:eastAsiaTheme="majorEastAsia" w:cstheme="majorBidi"/>
          <w:b/>
          <w:bCs/>
        </w:rPr>
        <w:t>Non-Registered Pre-Apprenticeship</w:t>
      </w:r>
      <w:r w:rsidR="00E9511D" w:rsidRPr="00FB463B">
        <w:rPr>
          <w:rFonts w:eastAsiaTheme="majorEastAsia" w:cstheme="majorBidi"/>
          <w:b/>
          <w:bCs/>
        </w:rPr>
        <w:t>s</w:t>
      </w:r>
      <w:r w:rsidR="005068F4" w:rsidRPr="00FB463B">
        <w:rPr>
          <w:rFonts w:eastAsiaTheme="majorEastAsia" w:cstheme="majorBidi"/>
          <w:b/>
          <w:bCs/>
        </w:rPr>
        <w:t>:</w:t>
      </w:r>
      <w:r w:rsidR="007B69FA" w:rsidRPr="00FB463B">
        <w:rPr>
          <w:rFonts w:eastAsiaTheme="majorEastAsia" w:cstheme="majorBidi"/>
          <w:b/>
          <w:bCs/>
        </w:rPr>
        <w:t xml:space="preserve"> </w:t>
      </w:r>
      <w:r w:rsidR="005068F4" w:rsidRPr="00FB463B">
        <w:rPr>
          <w:rFonts w:eastAsiaTheme="majorEastAsia" w:cstheme="majorBidi"/>
          <w:b/>
          <w:bCs/>
        </w:rPr>
        <w:t xml:space="preserve">DASS </w:t>
      </w:r>
      <w:r w:rsidR="00012FAB" w:rsidRPr="00FB463B">
        <w:rPr>
          <w:rFonts w:eastAsiaTheme="majorEastAsia" w:cstheme="majorBidi"/>
          <w:b/>
          <w:bCs/>
        </w:rPr>
        <w:t>compared to</w:t>
      </w:r>
      <w:r w:rsidR="005068F4" w:rsidRPr="00FB463B">
        <w:rPr>
          <w:rFonts w:eastAsiaTheme="majorEastAsia" w:cstheme="majorBidi"/>
          <w:b/>
          <w:bCs/>
        </w:rPr>
        <w:t xml:space="preserve"> </w:t>
      </w:r>
      <w:proofErr w:type="gramStart"/>
      <w:r w:rsidR="005068F4" w:rsidRPr="00FB463B">
        <w:rPr>
          <w:rFonts w:eastAsiaTheme="majorEastAsia" w:cstheme="majorBidi"/>
          <w:b/>
          <w:bCs/>
        </w:rPr>
        <w:t>Non-DASS</w:t>
      </w:r>
      <w:r w:rsidRPr="00FB463B">
        <w:rPr>
          <w:rFonts w:eastAsiaTheme="majorEastAsia" w:cstheme="majorBidi"/>
          <w:b/>
          <w:bCs/>
        </w:rPr>
        <w:t xml:space="preserve"> Schools</w:t>
      </w:r>
      <w:proofErr w:type="gramEnd"/>
    </w:p>
    <w:tbl>
      <w:tblPr>
        <w:tblStyle w:val="TableGrid"/>
        <w:tblW w:w="0" w:type="auto"/>
        <w:tblLook w:val="04A0" w:firstRow="1" w:lastRow="0" w:firstColumn="1" w:lastColumn="0" w:noHBand="0" w:noVBand="1"/>
        <w:tblCaption w:val="Table 35"/>
        <w:tblDescription w:val="Student Completion of Non-Registered Pre-Apprenticeships: DASS vs Non-DASS Schools"/>
      </w:tblPr>
      <w:tblGrid>
        <w:gridCol w:w="2337"/>
        <w:gridCol w:w="2337"/>
        <w:gridCol w:w="2338"/>
        <w:gridCol w:w="2338"/>
      </w:tblGrid>
      <w:tr w:rsidR="00150ED3" w:rsidRPr="00FB463B" w14:paraId="3F37AF26" w14:textId="77777777" w:rsidTr="007871ED">
        <w:trPr>
          <w:cantSplit/>
          <w:tblHeader/>
        </w:trPr>
        <w:tc>
          <w:tcPr>
            <w:tcW w:w="2337" w:type="dxa"/>
            <w:shd w:val="clear" w:color="auto" w:fill="D9D9D9" w:themeFill="background1" w:themeFillShade="D9"/>
          </w:tcPr>
          <w:p w14:paraId="244816C4" w14:textId="4E85D3EF" w:rsidR="00150ED3" w:rsidRPr="00FB463B" w:rsidRDefault="00150ED3" w:rsidP="00150ED3">
            <w:pPr>
              <w:jc w:val="center"/>
              <w:rPr>
                <w:rFonts w:eastAsiaTheme="majorEastAsia" w:cs="Arial"/>
                <w:b/>
                <w:bCs/>
              </w:rPr>
            </w:pPr>
            <w:r w:rsidRPr="00FB463B">
              <w:rPr>
                <w:rFonts w:eastAsia="BIZ UDGothic" w:cs="Arial"/>
                <w:b/>
                <w:bCs/>
                <w:kern w:val="24"/>
              </w:rPr>
              <w:t>School Type</w:t>
            </w:r>
          </w:p>
        </w:tc>
        <w:tc>
          <w:tcPr>
            <w:tcW w:w="2337" w:type="dxa"/>
            <w:shd w:val="clear" w:color="auto" w:fill="D9D9D9" w:themeFill="background1" w:themeFillShade="D9"/>
          </w:tcPr>
          <w:p w14:paraId="7C9E286E" w14:textId="574CEFED" w:rsidR="00150ED3" w:rsidRPr="00FB463B" w:rsidRDefault="00150ED3" w:rsidP="00150ED3">
            <w:pPr>
              <w:jc w:val="center"/>
              <w:rPr>
                <w:rFonts w:eastAsiaTheme="majorEastAsia" w:cs="Arial"/>
                <w:b/>
                <w:bCs/>
              </w:rPr>
            </w:pPr>
            <w:r w:rsidRPr="00FB463B">
              <w:rPr>
                <w:rFonts w:eastAsia="BIZ UDGothic" w:cs="Arial"/>
                <w:b/>
                <w:bCs/>
                <w:kern w:val="24"/>
              </w:rPr>
              <w:t xml:space="preserve"># of Students </w:t>
            </w:r>
            <w:r w:rsidR="00E9511D" w:rsidRPr="00FB463B">
              <w:rPr>
                <w:rFonts w:eastAsia="BIZ UDGothic" w:cs="Arial"/>
                <w:b/>
                <w:bCs/>
                <w:kern w:val="24"/>
              </w:rPr>
              <w:t>Completed</w:t>
            </w:r>
            <w:r w:rsidR="003C10AC" w:rsidRPr="00FB463B">
              <w:rPr>
                <w:rFonts w:eastAsia="BIZ UDGothic" w:cs="Arial"/>
                <w:b/>
                <w:bCs/>
                <w:kern w:val="24"/>
              </w:rPr>
              <w:t xml:space="preserve"> in </w:t>
            </w:r>
            <w:r w:rsidR="001C26D9" w:rsidRPr="00FB463B">
              <w:rPr>
                <w:rFonts w:eastAsia="BIZ UDGothic" w:cs="Arial"/>
                <w:b/>
                <w:bCs/>
                <w:kern w:val="24"/>
              </w:rPr>
              <w:t>2019–</w:t>
            </w:r>
            <w:r w:rsidRPr="00FB463B">
              <w:rPr>
                <w:rFonts w:eastAsia="BIZ UDGothic" w:cs="Arial"/>
                <w:b/>
                <w:bCs/>
                <w:kern w:val="24"/>
              </w:rPr>
              <w:t>20</w:t>
            </w:r>
          </w:p>
        </w:tc>
        <w:tc>
          <w:tcPr>
            <w:tcW w:w="2338" w:type="dxa"/>
            <w:shd w:val="clear" w:color="auto" w:fill="D9D9D9" w:themeFill="background1" w:themeFillShade="D9"/>
          </w:tcPr>
          <w:p w14:paraId="5A81EBE3" w14:textId="63C587C5" w:rsidR="00150ED3" w:rsidRPr="00FB463B" w:rsidRDefault="001C26D9" w:rsidP="00150ED3">
            <w:pPr>
              <w:jc w:val="center"/>
              <w:rPr>
                <w:rFonts w:eastAsiaTheme="majorEastAsia" w:cs="Arial"/>
                <w:b/>
                <w:bCs/>
              </w:rPr>
            </w:pPr>
            <w:r w:rsidRPr="00FB463B">
              <w:rPr>
                <w:rFonts w:eastAsia="BIZ UDGothic" w:cs="Arial"/>
                <w:b/>
                <w:bCs/>
                <w:kern w:val="24"/>
              </w:rPr>
              <w:t xml:space="preserve"># of Students </w:t>
            </w:r>
            <w:r w:rsidR="00E9511D" w:rsidRPr="00FB463B">
              <w:rPr>
                <w:rFonts w:eastAsia="BIZ UDGothic" w:cs="Arial"/>
                <w:b/>
                <w:bCs/>
                <w:kern w:val="24"/>
              </w:rPr>
              <w:t xml:space="preserve">Completed </w:t>
            </w:r>
            <w:r w:rsidRPr="00FB463B">
              <w:rPr>
                <w:rFonts w:eastAsia="BIZ UDGothic" w:cs="Arial"/>
                <w:b/>
                <w:bCs/>
                <w:kern w:val="24"/>
              </w:rPr>
              <w:t>in 20</w:t>
            </w:r>
            <w:r w:rsidR="00150ED3" w:rsidRPr="00FB463B">
              <w:rPr>
                <w:rFonts w:eastAsia="BIZ UDGothic" w:cs="Arial"/>
                <w:b/>
                <w:bCs/>
                <w:kern w:val="24"/>
              </w:rPr>
              <w:t>20</w:t>
            </w:r>
            <w:r w:rsidRPr="00FB463B">
              <w:rPr>
                <w:rFonts w:eastAsia="BIZ UDGothic" w:cs="Arial"/>
                <w:b/>
                <w:bCs/>
                <w:kern w:val="24"/>
              </w:rPr>
              <w:t>–</w:t>
            </w:r>
            <w:r w:rsidR="00150ED3" w:rsidRPr="00FB463B">
              <w:rPr>
                <w:rFonts w:eastAsia="BIZ UDGothic" w:cs="Arial"/>
                <w:b/>
                <w:bCs/>
                <w:kern w:val="24"/>
              </w:rPr>
              <w:t>21</w:t>
            </w:r>
          </w:p>
        </w:tc>
        <w:tc>
          <w:tcPr>
            <w:tcW w:w="2338" w:type="dxa"/>
            <w:shd w:val="clear" w:color="auto" w:fill="D9D9D9" w:themeFill="background1" w:themeFillShade="D9"/>
          </w:tcPr>
          <w:p w14:paraId="45433AE8" w14:textId="2A2B8920" w:rsidR="00150ED3" w:rsidRPr="00FB463B" w:rsidRDefault="001C26D9" w:rsidP="00150ED3">
            <w:pPr>
              <w:jc w:val="center"/>
              <w:rPr>
                <w:rFonts w:eastAsiaTheme="majorEastAsia" w:cs="Arial"/>
                <w:b/>
                <w:bCs/>
              </w:rPr>
            </w:pPr>
            <w:r w:rsidRPr="00FB463B">
              <w:rPr>
                <w:rFonts w:eastAsia="BIZ UDGothic" w:cs="Arial"/>
                <w:b/>
                <w:bCs/>
                <w:kern w:val="24"/>
              </w:rPr>
              <w:t xml:space="preserve"># of Students </w:t>
            </w:r>
            <w:r w:rsidR="00E9511D" w:rsidRPr="00FB463B">
              <w:rPr>
                <w:rFonts w:eastAsia="BIZ UDGothic" w:cs="Arial"/>
                <w:b/>
                <w:bCs/>
                <w:kern w:val="24"/>
              </w:rPr>
              <w:t xml:space="preserve">Completed </w:t>
            </w:r>
            <w:r w:rsidRPr="00FB463B">
              <w:rPr>
                <w:rFonts w:eastAsia="BIZ UDGothic" w:cs="Arial"/>
                <w:b/>
                <w:bCs/>
                <w:kern w:val="24"/>
              </w:rPr>
              <w:t>in 2021–</w:t>
            </w:r>
            <w:r w:rsidR="00150ED3" w:rsidRPr="00FB463B">
              <w:rPr>
                <w:rFonts w:eastAsia="BIZ UDGothic" w:cs="Arial"/>
                <w:b/>
                <w:bCs/>
                <w:kern w:val="24"/>
              </w:rPr>
              <w:t>22</w:t>
            </w:r>
          </w:p>
        </w:tc>
      </w:tr>
      <w:tr w:rsidR="00150ED3" w:rsidRPr="00FB463B" w14:paraId="30243FCB" w14:textId="77777777" w:rsidTr="007871ED">
        <w:trPr>
          <w:cantSplit/>
        </w:trPr>
        <w:tc>
          <w:tcPr>
            <w:tcW w:w="2337" w:type="dxa"/>
            <w:vAlign w:val="center"/>
          </w:tcPr>
          <w:p w14:paraId="5647089D" w14:textId="17DE56C3" w:rsidR="00150ED3" w:rsidRPr="00FB463B" w:rsidRDefault="00150ED3" w:rsidP="00B06893">
            <w:pPr>
              <w:jc w:val="center"/>
              <w:rPr>
                <w:rFonts w:eastAsiaTheme="majorEastAsia" w:cs="Arial"/>
              </w:rPr>
            </w:pPr>
            <w:r w:rsidRPr="00FB463B">
              <w:rPr>
                <w:rFonts w:eastAsia="BIZ UDGothic" w:cs="Arial"/>
                <w:kern w:val="24"/>
              </w:rPr>
              <w:t>Non-DASS</w:t>
            </w:r>
          </w:p>
        </w:tc>
        <w:tc>
          <w:tcPr>
            <w:tcW w:w="2337" w:type="dxa"/>
            <w:vAlign w:val="center"/>
          </w:tcPr>
          <w:p w14:paraId="47B33541" w14:textId="77777777" w:rsidR="00150ED3" w:rsidRPr="00FB463B" w:rsidRDefault="00150ED3" w:rsidP="00B06893">
            <w:pPr>
              <w:pStyle w:val="NormalWeb"/>
              <w:spacing w:before="0" w:beforeAutospacing="0" w:after="0" w:afterAutospacing="0"/>
              <w:jc w:val="right"/>
              <w:rPr>
                <w:rFonts w:ascii="Arial" w:hAnsi="Arial" w:cs="Arial"/>
              </w:rPr>
            </w:pPr>
            <w:r w:rsidRPr="00FB463B">
              <w:rPr>
                <w:rFonts w:ascii="Arial" w:eastAsia="BIZ UDGothic" w:hAnsi="Arial" w:cs="Arial"/>
                <w:kern w:val="24"/>
              </w:rPr>
              <w:t>2,229</w:t>
            </w:r>
          </w:p>
          <w:p w14:paraId="7E2257A2" w14:textId="410EE437" w:rsidR="00150ED3" w:rsidRPr="00FB463B" w:rsidRDefault="00150ED3" w:rsidP="00B06893">
            <w:pPr>
              <w:jc w:val="right"/>
              <w:rPr>
                <w:rFonts w:eastAsiaTheme="majorEastAsia" w:cs="Arial"/>
              </w:rPr>
            </w:pPr>
            <w:r w:rsidRPr="00FB463B">
              <w:rPr>
                <w:rFonts w:eastAsiaTheme="minorEastAsia" w:cs="Arial"/>
                <w:kern w:val="24"/>
              </w:rPr>
              <w:t>(1,814,992)</w:t>
            </w:r>
          </w:p>
        </w:tc>
        <w:tc>
          <w:tcPr>
            <w:tcW w:w="2338" w:type="dxa"/>
            <w:vAlign w:val="center"/>
          </w:tcPr>
          <w:p w14:paraId="7355F781" w14:textId="77777777" w:rsidR="00150ED3" w:rsidRPr="00FB463B" w:rsidRDefault="00150ED3" w:rsidP="00B06893">
            <w:pPr>
              <w:pStyle w:val="NormalWeb"/>
              <w:spacing w:before="0" w:beforeAutospacing="0" w:after="0" w:afterAutospacing="0"/>
              <w:jc w:val="right"/>
              <w:rPr>
                <w:rFonts w:ascii="Arial" w:hAnsi="Arial" w:cs="Arial"/>
              </w:rPr>
            </w:pPr>
            <w:r w:rsidRPr="00FB463B">
              <w:rPr>
                <w:rFonts w:ascii="Arial" w:eastAsia="BIZ UDGothic" w:hAnsi="Arial" w:cs="Arial"/>
                <w:kern w:val="24"/>
              </w:rPr>
              <w:t>289</w:t>
            </w:r>
          </w:p>
          <w:p w14:paraId="0688D193" w14:textId="440514C9" w:rsidR="00150ED3" w:rsidRPr="00FB463B" w:rsidRDefault="00150ED3" w:rsidP="00B06893">
            <w:pPr>
              <w:jc w:val="right"/>
              <w:rPr>
                <w:rFonts w:eastAsiaTheme="majorEastAsia" w:cs="Arial"/>
              </w:rPr>
            </w:pPr>
            <w:r w:rsidRPr="00FB463B">
              <w:rPr>
                <w:rFonts w:eastAsia="BIZ UDGothic" w:cs="Arial"/>
                <w:kern w:val="24"/>
              </w:rPr>
              <w:t>(1,827,353)</w:t>
            </w:r>
          </w:p>
        </w:tc>
        <w:tc>
          <w:tcPr>
            <w:tcW w:w="2338" w:type="dxa"/>
            <w:vAlign w:val="center"/>
          </w:tcPr>
          <w:p w14:paraId="11FB45DA" w14:textId="77777777" w:rsidR="00150ED3" w:rsidRPr="00FB463B" w:rsidRDefault="00150ED3" w:rsidP="00B06893">
            <w:pPr>
              <w:pStyle w:val="NormalWeb"/>
              <w:spacing w:before="0" w:beforeAutospacing="0" w:after="0" w:afterAutospacing="0"/>
              <w:jc w:val="right"/>
              <w:rPr>
                <w:rFonts w:ascii="Arial" w:hAnsi="Arial" w:cs="Arial"/>
              </w:rPr>
            </w:pPr>
            <w:r w:rsidRPr="00FB463B">
              <w:rPr>
                <w:rFonts w:ascii="Arial" w:eastAsia="BIZ UDGothic" w:hAnsi="Arial" w:cs="Arial"/>
                <w:kern w:val="24"/>
              </w:rPr>
              <w:t>415</w:t>
            </w:r>
          </w:p>
          <w:p w14:paraId="49DCA149" w14:textId="6FB38612" w:rsidR="00150ED3" w:rsidRPr="00FB463B" w:rsidRDefault="00150ED3" w:rsidP="00B06893">
            <w:pPr>
              <w:jc w:val="right"/>
              <w:rPr>
                <w:rFonts w:eastAsiaTheme="majorEastAsia" w:cs="Arial"/>
              </w:rPr>
            </w:pPr>
            <w:r w:rsidRPr="00FB463B">
              <w:rPr>
                <w:rFonts w:eastAsia="BIZ UDGothic" w:cs="Arial"/>
                <w:kern w:val="24"/>
              </w:rPr>
              <w:t>(1,817,791)</w:t>
            </w:r>
          </w:p>
        </w:tc>
      </w:tr>
      <w:tr w:rsidR="00150ED3" w:rsidRPr="00FB463B" w14:paraId="5F8C0F92" w14:textId="77777777" w:rsidTr="007871ED">
        <w:trPr>
          <w:cantSplit/>
        </w:trPr>
        <w:tc>
          <w:tcPr>
            <w:tcW w:w="2337" w:type="dxa"/>
            <w:vAlign w:val="center"/>
          </w:tcPr>
          <w:p w14:paraId="79B01327" w14:textId="552B647D" w:rsidR="00150ED3" w:rsidRPr="00FB463B" w:rsidRDefault="00150ED3" w:rsidP="00B06893">
            <w:pPr>
              <w:jc w:val="center"/>
              <w:rPr>
                <w:rFonts w:eastAsiaTheme="majorEastAsia" w:cs="Arial"/>
              </w:rPr>
            </w:pPr>
            <w:r w:rsidRPr="00FB463B">
              <w:rPr>
                <w:rFonts w:eastAsia="BIZ UDGothic" w:cs="Arial"/>
                <w:kern w:val="24"/>
              </w:rPr>
              <w:t>DASS</w:t>
            </w:r>
          </w:p>
        </w:tc>
        <w:tc>
          <w:tcPr>
            <w:tcW w:w="2337" w:type="dxa"/>
            <w:vAlign w:val="center"/>
          </w:tcPr>
          <w:p w14:paraId="7CBAE44D" w14:textId="77777777" w:rsidR="00150ED3" w:rsidRPr="00FB463B" w:rsidRDefault="00150ED3" w:rsidP="00B06893">
            <w:pPr>
              <w:pStyle w:val="NormalWeb"/>
              <w:spacing w:before="0" w:beforeAutospacing="0" w:after="0" w:afterAutospacing="0"/>
              <w:jc w:val="right"/>
              <w:rPr>
                <w:rFonts w:ascii="Arial" w:hAnsi="Arial" w:cs="Arial"/>
              </w:rPr>
            </w:pPr>
            <w:r w:rsidRPr="00FB463B">
              <w:rPr>
                <w:rFonts w:ascii="Arial" w:eastAsia="BIZ UDGothic" w:hAnsi="Arial" w:cs="Arial"/>
                <w:kern w:val="24"/>
              </w:rPr>
              <w:t>254</w:t>
            </w:r>
          </w:p>
          <w:p w14:paraId="72DBB926" w14:textId="28D55676" w:rsidR="00150ED3" w:rsidRPr="00FB463B" w:rsidRDefault="00150ED3" w:rsidP="00B06893">
            <w:pPr>
              <w:jc w:val="right"/>
              <w:rPr>
                <w:rFonts w:eastAsiaTheme="majorEastAsia" w:cs="Arial"/>
              </w:rPr>
            </w:pPr>
            <w:r w:rsidRPr="00FB463B">
              <w:rPr>
                <w:rFonts w:eastAsiaTheme="minorEastAsia" w:cs="Arial"/>
                <w:kern w:val="24"/>
              </w:rPr>
              <w:t>(138,706)</w:t>
            </w:r>
          </w:p>
        </w:tc>
        <w:tc>
          <w:tcPr>
            <w:tcW w:w="2338" w:type="dxa"/>
            <w:vAlign w:val="center"/>
          </w:tcPr>
          <w:p w14:paraId="1B62A358" w14:textId="77777777" w:rsidR="00150ED3" w:rsidRPr="00FB463B" w:rsidRDefault="00150ED3" w:rsidP="00B06893">
            <w:pPr>
              <w:pStyle w:val="NormalWeb"/>
              <w:spacing w:before="0" w:beforeAutospacing="0" w:after="0" w:afterAutospacing="0"/>
              <w:jc w:val="right"/>
              <w:rPr>
                <w:rFonts w:ascii="Arial" w:hAnsi="Arial" w:cs="Arial"/>
              </w:rPr>
            </w:pPr>
            <w:r w:rsidRPr="00FB463B">
              <w:rPr>
                <w:rFonts w:ascii="Arial" w:eastAsia="BIZ UDGothic" w:hAnsi="Arial" w:cs="Arial"/>
                <w:b/>
                <w:bCs/>
                <w:kern w:val="24"/>
              </w:rPr>
              <w:t>0</w:t>
            </w:r>
          </w:p>
          <w:p w14:paraId="725ADBEA" w14:textId="32211C78" w:rsidR="00150ED3" w:rsidRPr="00FB463B" w:rsidRDefault="00150ED3" w:rsidP="00B06893">
            <w:pPr>
              <w:jc w:val="right"/>
              <w:rPr>
                <w:rFonts w:eastAsiaTheme="majorEastAsia" w:cs="Arial"/>
              </w:rPr>
            </w:pPr>
            <w:r w:rsidRPr="00FB463B">
              <w:rPr>
                <w:rFonts w:eastAsia="BIZ UDGothic" w:cs="Arial"/>
                <w:kern w:val="24"/>
              </w:rPr>
              <w:t>(133,714)</w:t>
            </w:r>
          </w:p>
        </w:tc>
        <w:tc>
          <w:tcPr>
            <w:tcW w:w="2338" w:type="dxa"/>
            <w:vAlign w:val="center"/>
          </w:tcPr>
          <w:p w14:paraId="3B4DF598" w14:textId="77777777" w:rsidR="00150ED3" w:rsidRPr="00FB463B" w:rsidRDefault="00150ED3" w:rsidP="00B06893">
            <w:pPr>
              <w:pStyle w:val="NormalWeb"/>
              <w:spacing w:before="0" w:beforeAutospacing="0" w:after="0" w:afterAutospacing="0"/>
              <w:jc w:val="right"/>
              <w:rPr>
                <w:rFonts w:ascii="Arial" w:hAnsi="Arial" w:cs="Arial"/>
              </w:rPr>
            </w:pPr>
            <w:r w:rsidRPr="00FB463B">
              <w:rPr>
                <w:rFonts w:ascii="Arial" w:eastAsia="BIZ UDGothic" w:hAnsi="Arial" w:cs="Arial"/>
                <w:b/>
                <w:bCs/>
                <w:kern w:val="24"/>
              </w:rPr>
              <w:t>0</w:t>
            </w:r>
          </w:p>
          <w:p w14:paraId="22B39C9E" w14:textId="38D3A56E" w:rsidR="00150ED3" w:rsidRPr="00FB463B" w:rsidRDefault="00150ED3" w:rsidP="00B06893">
            <w:pPr>
              <w:jc w:val="right"/>
              <w:rPr>
                <w:rFonts w:eastAsiaTheme="majorEastAsia" w:cs="Arial"/>
              </w:rPr>
            </w:pPr>
            <w:r w:rsidRPr="00FB463B">
              <w:rPr>
                <w:rFonts w:eastAsia="BIZ UDGothic" w:cs="Arial"/>
                <w:kern w:val="24"/>
              </w:rPr>
              <w:t>(128,612)</w:t>
            </w:r>
          </w:p>
        </w:tc>
      </w:tr>
      <w:tr w:rsidR="00150ED3" w:rsidRPr="00FB463B" w14:paraId="7A19C902" w14:textId="77777777" w:rsidTr="007871ED">
        <w:trPr>
          <w:cantSplit/>
        </w:trPr>
        <w:tc>
          <w:tcPr>
            <w:tcW w:w="2337" w:type="dxa"/>
            <w:vAlign w:val="center"/>
          </w:tcPr>
          <w:p w14:paraId="1B3E3A65" w14:textId="2A7E454E" w:rsidR="00150ED3" w:rsidRPr="00FB463B" w:rsidRDefault="00150ED3" w:rsidP="00B06893">
            <w:pPr>
              <w:jc w:val="center"/>
              <w:rPr>
                <w:rFonts w:eastAsiaTheme="majorEastAsia" w:cs="Arial"/>
                <w:b/>
                <w:bCs/>
              </w:rPr>
            </w:pPr>
            <w:r w:rsidRPr="00FB463B">
              <w:rPr>
                <w:rFonts w:eastAsia="BIZ UDGothic" w:cs="Arial"/>
                <w:b/>
                <w:bCs/>
                <w:kern w:val="24"/>
              </w:rPr>
              <w:t>Total</w:t>
            </w:r>
          </w:p>
        </w:tc>
        <w:tc>
          <w:tcPr>
            <w:tcW w:w="2337" w:type="dxa"/>
            <w:vAlign w:val="center"/>
          </w:tcPr>
          <w:p w14:paraId="49357ABB" w14:textId="77777777" w:rsidR="00150ED3" w:rsidRPr="00FB463B" w:rsidRDefault="00150ED3" w:rsidP="00B06893">
            <w:pPr>
              <w:pStyle w:val="NormalWeb"/>
              <w:spacing w:before="0" w:beforeAutospacing="0" w:after="0" w:afterAutospacing="0"/>
              <w:jc w:val="right"/>
              <w:rPr>
                <w:rFonts w:ascii="Arial" w:hAnsi="Arial" w:cs="Arial"/>
                <w:b/>
                <w:bCs/>
              </w:rPr>
            </w:pPr>
            <w:r w:rsidRPr="00FB463B">
              <w:rPr>
                <w:rFonts w:ascii="Arial" w:eastAsia="BIZ UDGothic" w:hAnsi="Arial" w:cs="Arial"/>
                <w:b/>
                <w:bCs/>
                <w:kern w:val="24"/>
              </w:rPr>
              <w:t>2,483</w:t>
            </w:r>
          </w:p>
          <w:p w14:paraId="3D52ECD0" w14:textId="23B23705" w:rsidR="00150ED3" w:rsidRPr="00FB463B" w:rsidRDefault="00150ED3" w:rsidP="00B06893">
            <w:pPr>
              <w:jc w:val="right"/>
              <w:rPr>
                <w:rFonts w:eastAsiaTheme="majorEastAsia" w:cs="Arial"/>
                <w:b/>
                <w:bCs/>
              </w:rPr>
            </w:pPr>
            <w:r w:rsidRPr="00FB463B">
              <w:rPr>
                <w:rFonts w:eastAsiaTheme="minorEastAsia" w:cs="Arial"/>
                <w:b/>
                <w:bCs/>
                <w:kern w:val="24"/>
              </w:rPr>
              <w:t>(1,953,698)</w:t>
            </w:r>
          </w:p>
        </w:tc>
        <w:tc>
          <w:tcPr>
            <w:tcW w:w="2338" w:type="dxa"/>
            <w:vAlign w:val="center"/>
          </w:tcPr>
          <w:p w14:paraId="06F5818D" w14:textId="77777777" w:rsidR="00150ED3" w:rsidRPr="00FB463B" w:rsidRDefault="00150ED3" w:rsidP="00B06893">
            <w:pPr>
              <w:pStyle w:val="NormalWeb"/>
              <w:spacing w:before="0" w:beforeAutospacing="0" w:after="0" w:afterAutospacing="0"/>
              <w:jc w:val="right"/>
              <w:rPr>
                <w:rFonts w:ascii="Arial" w:hAnsi="Arial" w:cs="Arial"/>
                <w:b/>
                <w:bCs/>
              </w:rPr>
            </w:pPr>
            <w:r w:rsidRPr="00FB463B">
              <w:rPr>
                <w:rFonts w:ascii="Arial" w:eastAsia="BIZ UDGothic" w:hAnsi="Arial" w:cs="Arial"/>
                <w:b/>
                <w:bCs/>
                <w:kern w:val="24"/>
              </w:rPr>
              <w:t>289</w:t>
            </w:r>
          </w:p>
          <w:p w14:paraId="3153C347" w14:textId="1377C3AF" w:rsidR="00150ED3" w:rsidRPr="00FB463B" w:rsidRDefault="00150ED3" w:rsidP="00B06893">
            <w:pPr>
              <w:jc w:val="right"/>
              <w:rPr>
                <w:rFonts w:eastAsiaTheme="majorEastAsia" w:cs="Arial"/>
                <w:b/>
                <w:bCs/>
              </w:rPr>
            </w:pPr>
            <w:r w:rsidRPr="00FB463B">
              <w:rPr>
                <w:rFonts w:eastAsia="BIZ UDGothic" w:cs="Arial"/>
                <w:b/>
                <w:bCs/>
                <w:kern w:val="24"/>
              </w:rPr>
              <w:t>(1,961,067)</w:t>
            </w:r>
          </w:p>
        </w:tc>
        <w:tc>
          <w:tcPr>
            <w:tcW w:w="2338" w:type="dxa"/>
            <w:vAlign w:val="center"/>
          </w:tcPr>
          <w:p w14:paraId="749AD2A8" w14:textId="77777777" w:rsidR="00150ED3" w:rsidRPr="00FB463B" w:rsidRDefault="00150ED3" w:rsidP="00B06893">
            <w:pPr>
              <w:pStyle w:val="NormalWeb"/>
              <w:spacing w:before="0" w:beforeAutospacing="0" w:after="0" w:afterAutospacing="0"/>
              <w:jc w:val="right"/>
              <w:rPr>
                <w:rFonts w:ascii="Arial" w:hAnsi="Arial" w:cs="Arial"/>
                <w:b/>
                <w:bCs/>
              </w:rPr>
            </w:pPr>
            <w:r w:rsidRPr="00FB463B">
              <w:rPr>
                <w:rFonts w:ascii="Arial" w:eastAsia="BIZ UDGothic" w:hAnsi="Arial" w:cs="Arial"/>
                <w:b/>
                <w:bCs/>
                <w:kern w:val="24"/>
              </w:rPr>
              <w:t>415</w:t>
            </w:r>
          </w:p>
          <w:p w14:paraId="75773ADB" w14:textId="72907F2C" w:rsidR="00150ED3" w:rsidRPr="00FB463B" w:rsidRDefault="00150ED3" w:rsidP="00B06893">
            <w:pPr>
              <w:jc w:val="right"/>
              <w:rPr>
                <w:rFonts w:eastAsiaTheme="majorEastAsia" w:cs="Arial"/>
                <w:b/>
                <w:bCs/>
              </w:rPr>
            </w:pPr>
            <w:r w:rsidRPr="00FB463B">
              <w:rPr>
                <w:rFonts w:eastAsia="BIZ UDGothic" w:cs="Arial"/>
                <w:b/>
                <w:bCs/>
                <w:kern w:val="24"/>
              </w:rPr>
              <w:t>(1,946,403)</w:t>
            </w:r>
          </w:p>
        </w:tc>
      </w:tr>
    </w:tbl>
    <w:p w14:paraId="5106B01C" w14:textId="54A5F8D7" w:rsidR="00721DFC" w:rsidRPr="00FB463B" w:rsidRDefault="00721DFC" w:rsidP="009E1A89">
      <w:pPr>
        <w:spacing w:before="360" w:after="240"/>
        <w:rPr>
          <w:rFonts w:eastAsiaTheme="majorEastAsia" w:cstheme="majorBidi"/>
          <w:i/>
          <w:iCs/>
        </w:rPr>
      </w:pPr>
      <w:r w:rsidRPr="00FB463B">
        <w:rPr>
          <w:rFonts w:eastAsiaTheme="majorEastAsia" w:cstheme="majorBidi"/>
          <w:i/>
          <w:iCs/>
        </w:rPr>
        <w:t xml:space="preserve">Feedback from </w:t>
      </w:r>
      <w:r w:rsidR="000E7182" w:rsidRPr="00FB463B">
        <w:rPr>
          <w:rFonts w:eastAsiaTheme="majorEastAsia" w:cstheme="majorBidi"/>
          <w:i/>
          <w:iCs/>
        </w:rPr>
        <w:t>Educational Partners</w:t>
      </w:r>
    </w:p>
    <w:p w14:paraId="134A60EA" w14:textId="7E637239" w:rsidR="002C4CCF" w:rsidRPr="00FB463B" w:rsidRDefault="00721DFC" w:rsidP="002C4CCF">
      <w:pPr>
        <w:spacing w:after="240"/>
        <w:rPr>
          <w:rFonts w:eastAsiaTheme="majorEastAsia" w:cstheme="majorBidi"/>
        </w:rPr>
      </w:pPr>
      <w:r w:rsidRPr="00FB463B">
        <w:rPr>
          <w:rFonts w:eastAsiaTheme="majorEastAsia" w:cstheme="majorBidi"/>
        </w:rPr>
        <w:t xml:space="preserve">In January 2023, the CCI Work Group </w:t>
      </w:r>
      <w:r w:rsidR="00382763" w:rsidRPr="00FB463B">
        <w:rPr>
          <w:rFonts w:eastAsiaTheme="majorEastAsia" w:cstheme="majorBidi"/>
        </w:rPr>
        <w:t>recomme</w:t>
      </w:r>
      <w:r w:rsidR="00A57320" w:rsidRPr="00FB463B">
        <w:rPr>
          <w:rFonts w:eastAsiaTheme="majorEastAsia" w:cstheme="majorBidi"/>
        </w:rPr>
        <w:t>n</w:t>
      </w:r>
      <w:r w:rsidR="00382763" w:rsidRPr="00FB463B">
        <w:rPr>
          <w:rFonts w:eastAsiaTheme="majorEastAsia" w:cstheme="majorBidi"/>
        </w:rPr>
        <w:t>ded</w:t>
      </w:r>
      <w:r w:rsidRPr="00FB463B">
        <w:rPr>
          <w:rFonts w:eastAsiaTheme="majorEastAsia" w:cstheme="majorBidi"/>
        </w:rPr>
        <w:t xml:space="preserve"> the removal of non-registered pre-apprenticeships</w:t>
      </w:r>
      <w:r w:rsidR="00556A13" w:rsidRPr="00FB463B">
        <w:rPr>
          <w:rFonts w:eastAsiaTheme="majorEastAsia" w:cstheme="majorBidi"/>
        </w:rPr>
        <w:t>. However, they</w:t>
      </w:r>
      <w:r w:rsidR="00FF60A5" w:rsidRPr="00FB463B">
        <w:rPr>
          <w:rFonts w:eastAsiaTheme="majorEastAsia" w:cstheme="majorBidi"/>
        </w:rPr>
        <w:t xml:space="preserve"> </w:t>
      </w:r>
      <w:r w:rsidR="00E92D93" w:rsidRPr="00FB463B">
        <w:rPr>
          <w:rFonts w:eastAsiaTheme="majorEastAsia" w:cstheme="majorBidi"/>
        </w:rPr>
        <w:t xml:space="preserve">suggested that </w:t>
      </w:r>
      <w:r w:rsidR="00E51A49" w:rsidRPr="00FB463B">
        <w:rPr>
          <w:rFonts w:eastAsiaTheme="majorEastAsia" w:cstheme="majorBidi"/>
        </w:rPr>
        <w:t>the CDE provide</w:t>
      </w:r>
      <w:r w:rsidR="00FF60A5" w:rsidRPr="00FB463B">
        <w:rPr>
          <w:rFonts w:eastAsiaTheme="majorEastAsia" w:cstheme="majorBidi"/>
        </w:rPr>
        <w:t xml:space="preserve"> guidance that </w:t>
      </w:r>
      <w:r w:rsidR="007B5DE5" w:rsidRPr="00FB463B">
        <w:rPr>
          <w:rFonts w:eastAsiaTheme="majorEastAsia" w:cstheme="majorBidi"/>
        </w:rPr>
        <w:t xml:space="preserve">would assist </w:t>
      </w:r>
      <w:r w:rsidR="00FF60A5" w:rsidRPr="00FB463B">
        <w:rPr>
          <w:rFonts w:eastAsiaTheme="majorEastAsia" w:cstheme="majorBidi"/>
        </w:rPr>
        <w:t xml:space="preserve">LEAs </w:t>
      </w:r>
      <w:r w:rsidR="007B5DE5" w:rsidRPr="00FB463B">
        <w:rPr>
          <w:rFonts w:eastAsiaTheme="majorEastAsia" w:cstheme="majorBidi"/>
        </w:rPr>
        <w:t xml:space="preserve">in how they </w:t>
      </w:r>
      <w:r w:rsidR="00FF60A5" w:rsidRPr="00FB463B">
        <w:rPr>
          <w:rFonts w:eastAsiaTheme="majorEastAsia" w:cstheme="majorBidi"/>
        </w:rPr>
        <w:t xml:space="preserve">can transfer their non-registered program to a registered </w:t>
      </w:r>
      <w:r w:rsidR="00E92D93" w:rsidRPr="00FB463B">
        <w:rPr>
          <w:rFonts w:eastAsiaTheme="majorEastAsia" w:cstheme="majorBidi"/>
        </w:rPr>
        <w:t xml:space="preserve">pre-apprenticeship or </w:t>
      </w:r>
      <w:r w:rsidR="00E51A49" w:rsidRPr="00FB463B">
        <w:rPr>
          <w:rFonts w:eastAsiaTheme="majorEastAsia" w:cstheme="majorBidi"/>
        </w:rPr>
        <w:t>to another work-based learning activity</w:t>
      </w:r>
      <w:r w:rsidR="003343F4" w:rsidRPr="00FB463B">
        <w:rPr>
          <w:rFonts w:eastAsiaTheme="majorEastAsia" w:cstheme="majorBidi"/>
        </w:rPr>
        <w:t xml:space="preserve"> that they can receive credit for on the CCI. </w:t>
      </w:r>
      <w:r w:rsidRPr="00FB463B">
        <w:rPr>
          <w:rFonts w:eastAsiaTheme="majorEastAsia" w:cstheme="majorBidi"/>
        </w:rPr>
        <w:t xml:space="preserve">In June 2023, the </w:t>
      </w:r>
      <w:r w:rsidR="00451C3A" w:rsidRPr="00FB463B">
        <w:rPr>
          <w:rFonts w:eastAsiaTheme="majorEastAsia" w:cstheme="majorBidi"/>
        </w:rPr>
        <w:t xml:space="preserve">TDG </w:t>
      </w:r>
      <w:r w:rsidR="00F348C7" w:rsidRPr="00FB463B">
        <w:rPr>
          <w:rFonts w:eastAsiaTheme="majorEastAsia" w:cstheme="majorBidi"/>
        </w:rPr>
        <w:t xml:space="preserve">recommended that </w:t>
      </w:r>
      <w:r w:rsidR="002573C9" w:rsidRPr="00FB463B">
        <w:rPr>
          <w:rFonts w:eastAsiaTheme="majorEastAsia" w:cstheme="majorBidi"/>
        </w:rPr>
        <w:t xml:space="preserve">another year of data </w:t>
      </w:r>
      <w:r w:rsidR="00C81D48" w:rsidRPr="00FB463B">
        <w:rPr>
          <w:rFonts w:eastAsiaTheme="majorEastAsia" w:cstheme="majorBidi"/>
        </w:rPr>
        <w:t>(i.e., 202</w:t>
      </w:r>
      <w:r w:rsidR="00BD7856" w:rsidRPr="00FB463B">
        <w:rPr>
          <w:rFonts w:eastAsiaTheme="majorEastAsia" w:cstheme="majorBidi"/>
        </w:rPr>
        <w:t>2</w:t>
      </w:r>
      <w:r w:rsidR="00B5024B" w:rsidRPr="00FB463B">
        <w:rPr>
          <w:rFonts w:eastAsiaTheme="majorEastAsia" w:cs="Arial"/>
        </w:rPr>
        <w:t>–</w:t>
      </w:r>
      <w:r w:rsidR="00C81D48" w:rsidRPr="00FB463B">
        <w:rPr>
          <w:rFonts w:eastAsiaTheme="majorEastAsia" w:cstheme="majorBidi"/>
        </w:rPr>
        <w:t>2</w:t>
      </w:r>
      <w:r w:rsidR="00BD7856" w:rsidRPr="00FB463B">
        <w:rPr>
          <w:rFonts w:eastAsiaTheme="majorEastAsia" w:cstheme="majorBidi"/>
        </w:rPr>
        <w:t>3</w:t>
      </w:r>
      <w:r w:rsidR="00C81D48" w:rsidRPr="00FB463B">
        <w:rPr>
          <w:rFonts w:eastAsiaTheme="majorEastAsia" w:cstheme="majorBidi"/>
        </w:rPr>
        <w:t xml:space="preserve">) </w:t>
      </w:r>
      <w:r w:rsidR="00A2416E" w:rsidRPr="00FB463B">
        <w:rPr>
          <w:rFonts w:eastAsiaTheme="majorEastAsia" w:cstheme="majorBidi"/>
        </w:rPr>
        <w:t>should be</w:t>
      </w:r>
      <w:r w:rsidR="002573C9" w:rsidRPr="00FB463B">
        <w:rPr>
          <w:rFonts w:eastAsiaTheme="majorEastAsia" w:cstheme="majorBidi"/>
        </w:rPr>
        <w:t xml:space="preserve"> examined given the decrease in the number of students completing this measure. </w:t>
      </w:r>
      <w:r w:rsidR="00164B59" w:rsidRPr="00FB463B">
        <w:rPr>
          <w:rFonts w:eastAsiaTheme="majorEastAsia" w:cstheme="majorBidi"/>
        </w:rPr>
        <w:t xml:space="preserve">At the August 2023 CPAG meeting, </w:t>
      </w:r>
      <w:r w:rsidR="008758F5" w:rsidRPr="00FB463B">
        <w:rPr>
          <w:rFonts w:eastAsiaTheme="majorEastAsia" w:cstheme="majorBidi"/>
        </w:rPr>
        <w:t>a few members voiced concern</w:t>
      </w:r>
      <w:r w:rsidR="002110C8" w:rsidRPr="00FB463B">
        <w:rPr>
          <w:rFonts w:eastAsiaTheme="majorEastAsia" w:cstheme="majorBidi"/>
        </w:rPr>
        <w:t xml:space="preserve"> that</w:t>
      </w:r>
      <w:r w:rsidR="00501D5B" w:rsidRPr="00FB463B">
        <w:rPr>
          <w:rFonts w:eastAsiaTheme="majorEastAsia" w:cstheme="majorBidi"/>
        </w:rPr>
        <w:t xml:space="preserve"> removing </w:t>
      </w:r>
      <w:r w:rsidR="00CA1FC2" w:rsidRPr="00FB463B">
        <w:rPr>
          <w:rFonts w:eastAsiaTheme="majorEastAsia" w:cstheme="majorBidi"/>
        </w:rPr>
        <w:t xml:space="preserve">this measure removes </w:t>
      </w:r>
      <w:r w:rsidR="00501D5B" w:rsidRPr="00FB463B">
        <w:rPr>
          <w:rFonts w:eastAsiaTheme="majorEastAsia" w:cstheme="majorBidi"/>
        </w:rPr>
        <w:t>opportunities for schools, especially DASS schools</w:t>
      </w:r>
      <w:r w:rsidR="00C61734" w:rsidRPr="00FB463B">
        <w:rPr>
          <w:rFonts w:eastAsiaTheme="majorEastAsia" w:cstheme="majorBidi"/>
        </w:rPr>
        <w:t xml:space="preserve">. They also </w:t>
      </w:r>
      <w:r w:rsidR="00217919" w:rsidRPr="00FB463B">
        <w:rPr>
          <w:rFonts w:eastAsiaTheme="majorEastAsia" w:cstheme="majorBidi"/>
        </w:rPr>
        <w:t>expressed th</w:t>
      </w:r>
      <w:r w:rsidR="00670332" w:rsidRPr="00FB463B">
        <w:rPr>
          <w:rFonts w:eastAsiaTheme="majorEastAsia" w:cstheme="majorBidi"/>
        </w:rPr>
        <w:t xml:space="preserve">e need for </w:t>
      </w:r>
      <w:r w:rsidR="00275F0C" w:rsidRPr="00FB463B">
        <w:rPr>
          <w:rFonts w:eastAsiaTheme="majorEastAsia" w:cstheme="majorBidi"/>
        </w:rPr>
        <w:t>support and guidance by the CDE so that schools that current</w:t>
      </w:r>
      <w:r w:rsidR="00F36E47" w:rsidRPr="00FB463B">
        <w:rPr>
          <w:rFonts w:eastAsiaTheme="majorEastAsia" w:cstheme="majorBidi"/>
        </w:rPr>
        <w:t>ly</w:t>
      </w:r>
      <w:r w:rsidR="00275F0C" w:rsidRPr="00FB463B">
        <w:rPr>
          <w:rFonts w:eastAsiaTheme="majorEastAsia" w:cstheme="majorBidi"/>
        </w:rPr>
        <w:t xml:space="preserve"> oversee non-registered pre-apprenticeships can transfer over to a registered pre-apprenticeship</w:t>
      </w:r>
      <w:r w:rsidR="00DF4BC6" w:rsidRPr="00FB463B">
        <w:rPr>
          <w:rFonts w:eastAsiaTheme="majorEastAsia" w:cstheme="majorBidi"/>
        </w:rPr>
        <w:t xml:space="preserve">. </w:t>
      </w:r>
      <w:r w:rsidR="00DC24E4" w:rsidRPr="00FB463B">
        <w:rPr>
          <w:rFonts w:eastAsiaTheme="majorEastAsia" w:cstheme="majorBidi"/>
        </w:rPr>
        <w:t>T</w:t>
      </w:r>
      <w:r w:rsidR="00A515F3" w:rsidRPr="00FB463B">
        <w:rPr>
          <w:rFonts w:eastAsiaTheme="majorEastAsia" w:cstheme="majorBidi"/>
        </w:rPr>
        <w:t>he</w:t>
      </w:r>
      <w:r w:rsidR="00AD35DB" w:rsidRPr="00FB463B">
        <w:rPr>
          <w:rFonts w:eastAsiaTheme="majorEastAsia" w:cstheme="majorBidi"/>
        </w:rPr>
        <w:t xml:space="preserve"> </w:t>
      </w:r>
      <w:r w:rsidR="002C4CCF" w:rsidRPr="00FB463B">
        <w:rPr>
          <w:rFonts w:eastAsiaTheme="majorEastAsia" w:cstheme="majorBidi"/>
        </w:rPr>
        <w:t>Alt</w:t>
      </w:r>
      <w:r w:rsidR="00AD35DB" w:rsidRPr="00FB463B">
        <w:rPr>
          <w:rFonts w:eastAsiaTheme="majorEastAsia" w:cstheme="majorBidi"/>
        </w:rPr>
        <w:t>ernative</w:t>
      </w:r>
      <w:r w:rsidR="002C4CCF" w:rsidRPr="00FB463B">
        <w:rPr>
          <w:rFonts w:eastAsiaTheme="majorEastAsia" w:cstheme="majorBidi"/>
        </w:rPr>
        <w:t xml:space="preserve"> Schools Task Force </w:t>
      </w:r>
      <w:r w:rsidR="00AD35DB" w:rsidRPr="00FB463B">
        <w:rPr>
          <w:rFonts w:eastAsiaTheme="majorEastAsia" w:cstheme="majorBidi"/>
        </w:rPr>
        <w:t xml:space="preserve">was also </w:t>
      </w:r>
      <w:r w:rsidR="00A515F3" w:rsidRPr="00FB463B">
        <w:rPr>
          <w:rFonts w:eastAsiaTheme="majorEastAsia" w:cstheme="majorBidi"/>
        </w:rPr>
        <w:t>asked for input</w:t>
      </w:r>
      <w:r w:rsidR="00DC24E4" w:rsidRPr="00FB463B">
        <w:rPr>
          <w:rFonts w:eastAsiaTheme="majorEastAsia" w:cstheme="majorBidi"/>
        </w:rPr>
        <w:t>; however, no m</w:t>
      </w:r>
      <w:r w:rsidR="00A515F3" w:rsidRPr="00FB463B">
        <w:rPr>
          <w:rFonts w:eastAsiaTheme="majorEastAsia" w:cstheme="majorBidi"/>
        </w:rPr>
        <w:t xml:space="preserve">embers </w:t>
      </w:r>
      <w:r w:rsidR="00DC24E4" w:rsidRPr="00FB463B">
        <w:rPr>
          <w:rFonts w:eastAsiaTheme="majorEastAsia" w:cstheme="majorBidi"/>
        </w:rPr>
        <w:t>provided feedback on this topic</w:t>
      </w:r>
      <w:r w:rsidR="00AD35DB" w:rsidRPr="00FB463B">
        <w:rPr>
          <w:rFonts w:eastAsiaTheme="majorEastAsia" w:cstheme="majorBidi"/>
        </w:rPr>
        <w:t>.</w:t>
      </w:r>
    </w:p>
    <w:p w14:paraId="492D742E" w14:textId="22A242C2" w:rsidR="00323445" w:rsidRPr="00FB463B" w:rsidRDefault="00DA3753" w:rsidP="002160B6">
      <w:pPr>
        <w:spacing w:after="240"/>
        <w:rPr>
          <w:rFonts w:eastAsiaTheme="majorEastAsia" w:cstheme="majorBidi"/>
        </w:rPr>
      </w:pPr>
      <w:r w:rsidRPr="00FB463B">
        <w:rPr>
          <w:rFonts w:eastAsiaTheme="majorEastAsia" w:cstheme="majorBidi"/>
        </w:rPr>
        <w:t xml:space="preserve">The CDE recommends the removal of the non-registered pre-apprenticeship measure from the CCI </w:t>
      </w:r>
      <w:r w:rsidR="000E1DE7" w:rsidRPr="00FB463B">
        <w:rPr>
          <w:rFonts w:eastAsiaTheme="majorEastAsia" w:cstheme="majorBidi"/>
        </w:rPr>
        <w:t xml:space="preserve">based on the </w:t>
      </w:r>
      <w:r w:rsidR="008A263F" w:rsidRPr="00FB463B">
        <w:rPr>
          <w:rFonts w:eastAsiaTheme="majorEastAsia" w:cstheme="majorBidi"/>
        </w:rPr>
        <w:t>reasons</w:t>
      </w:r>
      <w:r w:rsidR="00325851" w:rsidRPr="00FB463B">
        <w:rPr>
          <w:rFonts w:eastAsiaTheme="majorEastAsia" w:cstheme="majorBidi"/>
        </w:rPr>
        <w:t xml:space="preserve"> expressed earlier</w:t>
      </w:r>
      <w:r w:rsidR="000E7182" w:rsidRPr="00FB463B">
        <w:rPr>
          <w:rFonts w:cs="Arial"/>
          <w:color w:val="000000" w:themeColor="text1"/>
        </w:rPr>
        <w:t>.</w:t>
      </w:r>
      <w:r w:rsidR="006A02A6" w:rsidRPr="00FB463B">
        <w:rPr>
          <w:rFonts w:cs="Arial"/>
          <w:color w:val="000000" w:themeColor="text1"/>
        </w:rPr>
        <w:t xml:space="preserve"> </w:t>
      </w:r>
      <w:r w:rsidR="006A02A6" w:rsidRPr="00FB463B">
        <w:rPr>
          <w:rFonts w:eastAsiaTheme="majorEastAsia" w:cstheme="majorBidi"/>
        </w:rPr>
        <w:t>G</w:t>
      </w:r>
      <w:r w:rsidR="00763E41" w:rsidRPr="00FB463B">
        <w:rPr>
          <w:rFonts w:eastAsiaTheme="majorEastAsia" w:cstheme="majorBidi"/>
        </w:rPr>
        <w:t>iven the decrease in the number of students completing this measure, especially zero students in DASS schools</w:t>
      </w:r>
      <w:r w:rsidR="00E004C3" w:rsidRPr="00FB463B">
        <w:rPr>
          <w:rFonts w:eastAsiaTheme="majorEastAsia" w:cstheme="majorBidi"/>
        </w:rPr>
        <w:t xml:space="preserve"> in </w:t>
      </w:r>
      <w:r w:rsidR="008449F9" w:rsidRPr="00FB463B">
        <w:rPr>
          <w:rFonts w:eastAsiaTheme="majorEastAsia" w:cstheme="majorBidi"/>
        </w:rPr>
        <w:t xml:space="preserve">the </w:t>
      </w:r>
      <w:r w:rsidR="00E004C3" w:rsidRPr="00FB463B">
        <w:rPr>
          <w:rFonts w:eastAsiaTheme="majorEastAsia" w:cstheme="majorBidi"/>
        </w:rPr>
        <w:t>2020</w:t>
      </w:r>
      <w:r w:rsidR="00E004C3" w:rsidRPr="00FB463B">
        <w:rPr>
          <w:rFonts w:cs="Arial"/>
          <w:color w:val="000000"/>
        </w:rPr>
        <w:t>–</w:t>
      </w:r>
      <w:r w:rsidR="00E004C3" w:rsidRPr="00FB463B">
        <w:rPr>
          <w:rFonts w:eastAsiaTheme="majorEastAsia" w:cstheme="majorBidi"/>
        </w:rPr>
        <w:t>21 and 2021</w:t>
      </w:r>
      <w:r w:rsidR="00E004C3" w:rsidRPr="00FB463B">
        <w:rPr>
          <w:rFonts w:cs="Arial"/>
          <w:color w:val="000000"/>
        </w:rPr>
        <w:t>–</w:t>
      </w:r>
      <w:r w:rsidR="00E004C3" w:rsidRPr="00FB463B">
        <w:rPr>
          <w:rFonts w:eastAsiaTheme="majorEastAsia" w:cstheme="majorBidi"/>
        </w:rPr>
        <w:t>22</w:t>
      </w:r>
      <w:r w:rsidR="008449F9" w:rsidRPr="00FB463B">
        <w:rPr>
          <w:rFonts w:eastAsiaTheme="majorEastAsia" w:cstheme="majorBidi"/>
        </w:rPr>
        <w:t xml:space="preserve"> school years</w:t>
      </w:r>
      <w:r w:rsidR="00763E41" w:rsidRPr="00FB463B">
        <w:rPr>
          <w:rFonts w:eastAsiaTheme="majorEastAsia" w:cstheme="majorBidi"/>
        </w:rPr>
        <w:t xml:space="preserve">, </w:t>
      </w:r>
      <w:r w:rsidR="004E5698" w:rsidRPr="00FB463B">
        <w:rPr>
          <w:rFonts w:eastAsiaTheme="majorEastAsia" w:cstheme="majorBidi"/>
        </w:rPr>
        <w:t>removing</w:t>
      </w:r>
      <w:r w:rsidR="00763E41" w:rsidRPr="00FB463B">
        <w:rPr>
          <w:rFonts w:eastAsiaTheme="majorEastAsia" w:cstheme="majorBidi"/>
        </w:rPr>
        <w:t xml:space="preserve"> this measure </w:t>
      </w:r>
      <w:r w:rsidR="00FD4FA4" w:rsidRPr="00FB463B">
        <w:rPr>
          <w:rFonts w:eastAsiaTheme="majorEastAsia" w:cstheme="majorBidi"/>
        </w:rPr>
        <w:t xml:space="preserve">is </w:t>
      </w:r>
      <w:r w:rsidR="00B23EE3" w:rsidRPr="00FB463B">
        <w:rPr>
          <w:rFonts w:eastAsiaTheme="majorEastAsia" w:cstheme="majorBidi"/>
        </w:rPr>
        <w:t xml:space="preserve">unlikely to have a </w:t>
      </w:r>
      <w:r w:rsidR="000E7182" w:rsidRPr="00FB463B">
        <w:rPr>
          <w:rFonts w:eastAsiaTheme="majorEastAsia" w:cstheme="majorBidi"/>
        </w:rPr>
        <w:t xml:space="preserve">negative impact </w:t>
      </w:r>
      <w:r w:rsidR="00763E41" w:rsidRPr="00FB463B">
        <w:rPr>
          <w:rFonts w:eastAsiaTheme="majorEastAsia" w:cstheme="majorBidi"/>
        </w:rPr>
        <w:t>to LEAs</w:t>
      </w:r>
      <w:r w:rsidR="00CD71BF" w:rsidRPr="00FB463B">
        <w:rPr>
          <w:rFonts w:eastAsiaTheme="majorEastAsia" w:cstheme="majorBidi"/>
        </w:rPr>
        <w:t xml:space="preserve"> and DASS schools</w:t>
      </w:r>
      <w:r w:rsidR="00763E41" w:rsidRPr="00FB463B">
        <w:rPr>
          <w:rFonts w:eastAsiaTheme="majorEastAsia" w:cstheme="majorBidi"/>
        </w:rPr>
        <w:t xml:space="preserve">. </w:t>
      </w:r>
      <w:r w:rsidR="00684E37" w:rsidRPr="00FB463B">
        <w:rPr>
          <w:rFonts w:eastAsiaTheme="majorEastAsia" w:cstheme="majorBidi"/>
        </w:rPr>
        <w:t xml:space="preserve">In addition, </w:t>
      </w:r>
      <w:r w:rsidR="001466E9" w:rsidRPr="00FB463B">
        <w:rPr>
          <w:rFonts w:eastAsiaTheme="majorEastAsia" w:cstheme="majorBidi"/>
        </w:rPr>
        <w:t xml:space="preserve">it is </w:t>
      </w:r>
      <w:r w:rsidR="00763E41" w:rsidRPr="00FB463B">
        <w:rPr>
          <w:rFonts w:eastAsiaTheme="majorEastAsia" w:cstheme="majorBidi"/>
        </w:rPr>
        <w:t>recommend</w:t>
      </w:r>
      <w:r w:rsidR="001466E9" w:rsidRPr="00FB463B">
        <w:rPr>
          <w:rFonts w:eastAsiaTheme="majorEastAsia" w:cstheme="majorBidi"/>
        </w:rPr>
        <w:t>ed</w:t>
      </w:r>
      <w:r w:rsidR="00763E41" w:rsidRPr="00FB463B">
        <w:rPr>
          <w:rFonts w:eastAsiaTheme="majorEastAsia" w:cstheme="majorBidi"/>
        </w:rPr>
        <w:t xml:space="preserve"> that the removal of this measure from the CCI</w:t>
      </w:r>
      <w:r w:rsidR="000E7182" w:rsidRPr="00FB463B">
        <w:rPr>
          <w:rFonts w:eastAsiaTheme="majorEastAsia" w:cstheme="majorBidi"/>
        </w:rPr>
        <w:t xml:space="preserve"> begin</w:t>
      </w:r>
      <w:r w:rsidR="001466E9" w:rsidRPr="00FB463B">
        <w:rPr>
          <w:rFonts w:eastAsiaTheme="majorEastAsia" w:cstheme="majorBidi"/>
        </w:rPr>
        <w:t xml:space="preserve"> in</w:t>
      </w:r>
      <w:r w:rsidR="006A02A6" w:rsidRPr="00FB463B">
        <w:rPr>
          <w:rFonts w:eastAsiaTheme="majorEastAsia" w:cstheme="majorBidi"/>
        </w:rPr>
        <w:t xml:space="preserve"> </w:t>
      </w:r>
      <w:r w:rsidR="002160B6" w:rsidRPr="00FB463B">
        <w:rPr>
          <w:rFonts w:eastAsiaTheme="majorEastAsia" w:cstheme="majorBidi"/>
        </w:rPr>
        <w:t xml:space="preserve">the 2023–24 school year. </w:t>
      </w:r>
      <w:r w:rsidR="00323445" w:rsidRPr="00FB463B">
        <w:rPr>
          <w:rFonts w:eastAsiaTheme="majorEastAsia" w:cstheme="majorBidi"/>
        </w:rPr>
        <w:t xml:space="preserve">This will provide time for the </w:t>
      </w:r>
      <w:r w:rsidR="002160B6" w:rsidRPr="00FB463B">
        <w:rPr>
          <w:rFonts w:eastAsiaTheme="majorEastAsia" w:cstheme="majorBidi"/>
        </w:rPr>
        <w:t>CDE</w:t>
      </w:r>
      <w:r w:rsidR="00323445" w:rsidRPr="00FB463B">
        <w:rPr>
          <w:rFonts w:eastAsiaTheme="majorEastAsia" w:cstheme="majorBidi"/>
        </w:rPr>
        <w:t xml:space="preserve"> to announce this change</w:t>
      </w:r>
      <w:r w:rsidR="002160B6" w:rsidRPr="00FB463B">
        <w:rPr>
          <w:rFonts w:eastAsiaTheme="majorEastAsia" w:cstheme="majorBidi"/>
        </w:rPr>
        <w:t xml:space="preserve"> to LEAs and provide any support needed </w:t>
      </w:r>
      <w:r w:rsidR="004C657E" w:rsidRPr="00FB463B">
        <w:rPr>
          <w:rFonts w:eastAsiaTheme="majorEastAsia" w:cstheme="majorBidi"/>
        </w:rPr>
        <w:t xml:space="preserve">for schools that are currently operating non-registered pre-apprenticeships. </w:t>
      </w:r>
      <w:r w:rsidR="00FD4FA4" w:rsidRPr="00FB463B">
        <w:rPr>
          <w:rFonts w:eastAsiaTheme="majorEastAsia" w:cstheme="majorBidi"/>
        </w:rPr>
        <w:t>Furthermore</w:t>
      </w:r>
      <w:r w:rsidR="004C657E" w:rsidRPr="00FB463B">
        <w:rPr>
          <w:rFonts w:eastAsiaTheme="majorEastAsia" w:cstheme="majorBidi"/>
        </w:rPr>
        <w:t xml:space="preserve">, delaying the removal </w:t>
      </w:r>
      <w:r w:rsidR="00B519FD" w:rsidRPr="00FB463B">
        <w:rPr>
          <w:rFonts w:eastAsiaTheme="majorEastAsia" w:cstheme="majorBidi"/>
        </w:rPr>
        <w:t>to</w:t>
      </w:r>
      <w:r w:rsidR="004C657E" w:rsidRPr="00FB463B">
        <w:rPr>
          <w:rFonts w:eastAsiaTheme="majorEastAsia" w:cstheme="majorBidi"/>
        </w:rPr>
        <w:t xml:space="preserve"> the 2023–24 school year will give LEAs time to </w:t>
      </w:r>
      <w:r w:rsidR="00CD71BF" w:rsidRPr="00FB463B">
        <w:rPr>
          <w:rFonts w:eastAsiaTheme="majorEastAsia" w:cstheme="majorBidi"/>
        </w:rPr>
        <w:t>prepare for this change</w:t>
      </w:r>
      <w:r w:rsidR="00323445" w:rsidRPr="00FB463B">
        <w:rPr>
          <w:rFonts w:eastAsiaTheme="majorEastAsia" w:cstheme="majorBidi"/>
        </w:rPr>
        <w:t>.</w:t>
      </w:r>
    </w:p>
    <w:p w14:paraId="469F20F3" w14:textId="672011A8" w:rsidR="5DCA3702" w:rsidRPr="00FB463B" w:rsidRDefault="5DCA3702" w:rsidP="00CC413D">
      <w:pPr>
        <w:spacing w:after="240"/>
        <w:rPr>
          <w:rFonts w:ascii="Times New Roman" w:hAnsi="Times New Roman"/>
          <w:b/>
          <w:bCs/>
          <w:sz w:val="32"/>
          <w:szCs w:val="32"/>
        </w:rPr>
      </w:pPr>
      <w:r w:rsidRPr="00FB463B">
        <w:rPr>
          <w:rFonts w:eastAsia="Arial" w:cs="Arial"/>
          <w:b/>
          <w:bCs/>
          <w:sz w:val="32"/>
          <w:szCs w:val="32"/>
        </w:rPr>
        <w:lastRenderedPageBreak/>
        <w:t>Chronic Absenteeism Indicator</w:t>
      </w:r>
    </w:p>
    <w:p w14:paraId="2FA7790E" w14:textId="602D8934" w:rsidR="5DCA3702" w:rsidRPr="00FB463B" w:rsidRDefault="5DCA3702" w:rsidP="0053409D">
      <w:pPr>
        <w:spacing w:after="240"/>
        <w:rPr>
          <w:rFonts w:eastAsia="Arial" w:cs="Arial"/>
        </w:rPr>
      </w:pPr>
      <w:r w:rsidRPr="00FB463B">
        <w:rPr>
          <w:rFonts w:eastAsia="Arial" w:cs="Arial"/>
        </w:rPr>
        <w:t>The SBE has discussed the high increase in chronic absenteeism rates due to the COVID-19 pandemic</w:t>
      </w:r>
      <w:r w:rsidR="51FC6A4A" w:rsidRPr="00FB463B">
        <w:rPr>
          <w:rFonts w:eastAsia="Arial" w:cs="Arial"/>
        </w:rPr>
        <w:t xml:space="preserve"> (</w:t>
      </w:r>
      <w:hyperlink r:id="rId150" w:tooltip="High increase in chronic absenteeism rates after the two-year pause in producing accountability metrics due to the COVID-19 pandemic">
        <w:r w:rsidR="51FC6A4A" w:rsidRPr="00FB463B">
          <w:rPr>
            <w:rStyle w:val="Hyperlink"/>
            <w:rFonts w:eastAsia="Arial" w:cs="Arial"/>
          </w:rPr>
          <w:t>https://www.cde.ca.gov/be/ag/ag/yr23/documents/mar23item03.docx</w:t>
        </w:r>
      </w:hyperlink>
      <w:r w:rsidR="51FC6A4A" w:rsidRPr="00FB463B">
        <w:rPr>
          <w:rFonts w:eastAsia="Arial" w:cs="Arial"/>
        </w:rPr>
        <w:t>)</w:t>
      </w:r>
      <w:r w:rsidRPr="00FB463B">
        <w:rPr>
          <w:rFonts w:eastAsia="Arial" w:cs="Arial"/>
        </w:rPr>
        <w:t xml:space="preserve">. </w:t>
      </w:r>
      <w:r w:rsidR="00605858" w:rsidRPr="00FB463B">
        <w:rPr>
          <w:rFonts w:eastAsia="Arial" w:cs="Arial"/>
        </w:rPr>
        <w:t xml:space="preserve">At the May </w:t>
      </w:r>
      <w:r w:rsidRPr="00FB463B">
        <w:rPr>
          <w:rFonts w:eastAsia="Arial" w:cs="Arial"/>
        </w:rPr>
        <w:t>SBE</w:t>
      </w:r>
      <w:r w:rsidR="00605858" w:rsidRPr="00FB463B">
        <w:rPr>
          <w:rFonts w:eastAsia="Arial" w:cs="Arial"/>
        </w:rPr>
        <w:t xml:space="preserve"> meeting,</w:t>
      </w:r>
      <w:r w:rsidRPr="00FB463B">
        <w:rPr>
          <w:rFonts w:eastAsia="Arial" w:cs="Arial"/>
        </w:rPr>
        <w:t xml:space="preserve"> </w:t>
      </w:r>
      <w:r w:rsidR="00605858" w:rsidRPr="00FB463B">
        <w:rPr>
          <w:rFonts w:eastAsia="Arial" w:cs="Arial"/>
        </w:rPr>
        <w:t>the SBE</w:t>
      </w:r>
      <w:r w:rsidRPr="00FB463B">
        <w:rPr>
          <w:rFonts w:eastAsia="Arial" w:cs="Arial"/>
        </w:rPr>
        <w:t xml:space="preserve"> requested that the </w:t>
      </w:r>
      <w:r w:rsidR="00605858" w:rsidRPr="00FB463B">
        <w:rPr>
          <w:rFonts w:eastAsia="Arial" w:cs="Arial"/>
        </w:rPr>
        <w:t xml:space="preserve">Dashboard workplan be opened to </w:t>
      </w:r>
      <w:r w:rsidR="00DA7909" w:rsidRPr="00FB463B">
        <w:rPr>
          <w:rFonts w:eastAsia="Arial" w:cs="Arial"/>
        </w:rPr>
        <w:t xml:space="preserve">allow for </w:t>
      </w:r>
      <w:r w:rsidR="00605858" w:rsidRPr="00FB463B">
        <w:rPr>
          <w:rFonts w:eastAsia="Arial" w:cs="Arial"/>
        </w:rPr>
        <w:t xml:space="preserve">a discussion on </w:t>
      </w:r>
      <w:r w:rsidR="008C2C5C" w:rsidRPr="00FB463B">
        <w:rPr>
          <w:rFonts w:eastAsia="Arial" w:cs="Arial"/>
        </w:rPr>
        <w:t xml:space="preserve">potential changes to </w:t>
      </w:r>
      <w:r w:rsidR="00605858" w:rsidRPr="00FB463B">
        <w:rPr>
          <w:rFonts w:eastAsia="Arial" w:cs="Arial"/>
        </w:rPr>
        <w:t xml:space="preserve">the </w:t>
      </w:r>
      <w:r w:rsidRPr="00FB463B">
        <w:rPr>
          <w:rFonts w:eastAsia="Arial" w:cs="Arial"/>
        </w:rPr>
        <w:t>Chronic Absenteeism Indicator at their July 2023</w:t>
      </w:r>
      <w:r w:rsidR="008C2C5C" w:rsidRPr="00FB463B">
        <w:rPr>
          <w:rFonts w:eastAsia="Arial" w:cs="Arial"/>
        </w:rPr>
        <w:t>.</w:t>
      </w:r>
      <w:r w:rsidRPr="00FB463B">
        <w:rPr>
          <w:rFonts w:eastAsia="Arial" w:cs="Arial"/>
        </w:rPr>
        <w:t xml:space="preserve"> </w:t>
      </w:r>
      <w:r w:rsidR="0AE5237E" w:rsidRPr="00FB463B">
        <w:rPr>
          <w:rFonts w:eastAsia="Arial" w:cs="Arial"/>
        </w:rPr>
        <w:t>(</w:t>
      </w:r>
      <w:hyperlink r:id="rId151" w:tooltip="SBE requested that the Dashboard workplan be opened to have a discussion on the Chronic Absenteeism Indicator workplan at their July 2023 meeting">
        <w:r w:rsidR="0AE5237E" w:rsidRPr="00FB463B">
          <w:rPr>
            <w:rStyle w:val="Hyperlink"/>
            <w:rFonts w:eastAsia="Arial" w:cs="Arial"/>
          </w:rPr>
          <w:t>https://www.cde.ca.gov/be/ag/ag/yr23/documents/jul23item02.docx</w:t>
        </w:r>
      </w:hyperlink>
      <w:r w:rsidR="0AE5237E" w:rsidRPr="00FB463B">
        <w:rPr>
          <w:rFonts w:eastAsia="Arial" w:cs="Arial"/>
        </w:rPr>
        <w:t>)</w:t>
      </w:r>
      <w:r w:rsidRPr="00FB463B">
        <w:rPr>
          <w:rFonts w:eastAsia="Arial" w:cs="Arial"/>
        </w:rPr>
        <w:t>.</w:t>
      </w:r>
    </w:p>
    <w:p w14:paraId="46169C5A" w14:textId="6F658137" w:rsidR="5DCA3702" w:rsidRPr="00FB463B" w:rsidRDefault="5DCA3702">
      <w:r w:rsidRPr="00FB463B">
        <w:rPr>
          <w:rFonts w:eastAsia="Arial" w:cs="Arial"/>
          <w:b/>
          <w:bCs/>
          <w:sz w:val="32"/>
          <w:szCs w:val="32"/>
        </w:rPr>
        <w:t>Dashboard Principles</w:t>
      </w:r>
    </w:p>
    <w:p w14:paraId="26E094E0" w14:textId="241B0CF3" w:rsidR="5DCA3702" w:rsidRPr="00FB463B" w:rsidRDefault="5DCA3702" w:rsidP="00B519FD">
      <w:pPr>
        <w:spacing w:after="240"/>
      </w:pPr>
      <w:r w:rsidRPr="00FB463B">
        <w:rPr>
          <w:rFonts w:eastAsia="Arial" w:cs="Arial"/>
        </w:rPr>
        <w:t>The work on this state indicator aligns with the following Dashboard Principles:</w:t>
      </w:r>
    </w:p>
    <w:p w14:paraId="5D7AE4A3" w14:textId="5B605494" w:rsidR="2157295C" w:rsidRPr="00FB463B" w:rsidRDefault="2157295C" w:rsidP="00C237F4">
      <w:pPr>
        <w:pStyle w:val="Default"/>
        <w:numPr>
          <w:ilvl w:val="0"/>
          <w:numId w:val="5"/>
        </w:numPr>
        <w:rPr>
          <w:color w:val="auto"/>
        </w:rPr>
      </w:pPr>
      <w:r w:rsidRPr="00FB463B">
        <w:rPr>
          <w:color w:val="auto"/>
        </w:rPr>
        <w:t>Principle 10: Is subject to continuous revision and improvement.</w:t>
      </w:r>
    </w:p>
    <w:p w14:paraId="69339F6F" w14:textId="3CCC8465" w:rsidR="5DCA3702" w:rsidRPr="00FB463B" w:rsidRDefault="5DCA3702" w:rsidP="676644BA">
      <w:pPr>
        <w:pStyle w:val="Heading4"/>
      </w:pPr>
      <w:r w:rsidRPr="00FB463B">
        <w:rPr>
          <w:rFonts w:eastAsia="Arial" w:cs="Arial"/>
          <w:bCs/>
          <w:szCs w:val="28"/>
        </w:rPr>
        <w:t>2023 Workplan for the Chronic Absenteeism Indicator</w:t>
      </w:r>
    </w:p>
    <w:p w14:paraId="45FE982E" w14:textId="63AB312F" w:rsidR="00637173" w:rsidRPr="00FB463B" w:rsidRDefault="5DCA3702" w:rsidP="00B519FD">
      <w:pPr>
        <w:spacing w:after="240"/>
        <w:rPr>
          <w:rFonts w:eastAsia="Arial" w:cs="Arial"/>
        </w:rPr>
      </w:pPr>
      <w:r w:rsidRPr="00FB463B">
        <w:rPr>
          <w:rFonts w:eastAsia="Arial" w:cs="Arial"/>
        </w:rPr>
        <w:t>At the July 2023 SBE meeting, SBE members reopened the 2023 workplan for the Chronic Absenteeism Indicator to provide guidance and direction for short- and long-term changes t</w:t>
      </w:r>
      <w:r w:rsidR="509BD2D5" w:rsidRPr="00FB463B">
        <w:rPr>
          <w:rFonts w:eastAsia="Arial" w:cs="Arial"/>
        </w:rPr>
        <w:t>o</w:t>
      </w:r>
      <w:r w:rsidRPr="00FB463B">
        <w:rPr>
          <w:rFonts w:eastAsia="Arial" w:cs="Arial"/>
        </w:rPr>
        <w:t xml:space="preserve"> the Chronic Absenteeism Indicator</w:t>
      </w:r>
      <w:r w:rsidR="1BA6B1A5" w:rsidRPr="00FB463B">
        <w:rPr>
          <w:rFonts w:eastAsia="Arial" w:cs="Arial"/>
        </w:rPr>
        <w:t>.</w:t>
      </w:r>
    </w:p>
    <w:p w14:paraId="71157D19" w14:textId="4CA5FD6D" w:rsidR="00DF4670" w:rsidRPr="00FB463B" w:rsidRDefault="2F9B0487" w:rsidP="00B519FD">
      <w:pPr>
        <w:spacing w:after="240"/>
        <w:rPr>
          <w:rFonts w:eastAsia="Arial" w:cs="Arial"/>
        </w:rPr>
      </w:pPr>
      <w:r w:rsidRPr="00FB463B">
        <w:rPr>
          <w:rFonts w:eastAsia="Arial" w:cs="Arial"/>
        </w:rPr>
        <w:t>Currently, the Chronic Absenteeism Indicator is defined as the percentage of students who were absent for 10 percent or more of the instructional days they were expected to attend. The indicator does not differentiate the type of absence a student can receive</w:t>
      </w:r>
      <w:r w:rsidR="32BB61A6" w:rsidRPr="00FB463B">
        <w:rPr>
          <w:rFonts w:eastAsia="Arial" w:cs="Arial"/>
        </w:rPr>
        <w:t xml:space="preserve"> in the calculation</w:t>
      </w:r>
      <w:r w:rsidRPr="00FB463B">
        <w:rPr>
          <w:rFonts w:eastAsia="Arial" w:cs="Arial"/>
        </w:rPr>
        <w:t xml:space="preserve">. </w:t>
      </w:r>
      <w:r w:rsidR="008C2C5C" w:rsidRPr="00FB463B">
        <w:rPr>
          <w:rFonts w:eastAsia="Arial" w:cs="Arial"/>
        </w:rPr>
        <w:t>T</w:t>
      </w:r>
      <w:r w:rsidR="5DCA3702" w:rsidRPr="00FB463B">
        <w:rPr>
          <w:rFonts w:eastAsia="Arial" w:cs="Arial"/>
        </w:rPr>
        <w:t xml:space="preserve">he SBE requested that the CDE explore </w:t>
      </w:r>
      <w:r w:rsidR="00BE0E06" w:rsidRPr="00FB463B">
        <w:rPr>
          <w:rFonts w:eastAsia="Arial" w:cs="Arial"/>
        </w:rPr>
        <w:t>a long-term option of exploring</w:t>
      </w:r>
      <w:r w:rsidR="00304986" w:rsidRPr="00FB463B">
        <w:rPr>
          <w:rFonts w:eastAsia="Arial" w:cs="Arial"/>
        </w:rPr>
        <w:t xml:space="preserve"> </w:t>
      </w:r>
      <w:r w:rsidR="5DCA3702" w:rsidRPr="00FB463B">
        <w:rPr>
          <w:rFonts w:eastAsia="Arial" w:cs="Arial"/>
        </w:rPr>
        <w:t xml:space="preserve">the granularity of </w:t>
      </w:r>
      <w:r w:rsidR="33B22C20" w:rsidRPr="00FB463B">
        <w:rPr>
          <w:rFonts w:eastAsia="Arial" w:cs="Arial"/>
        </w:rPr>
        <w:t>data collected on the</w:t>
      </w:r>
      <w:r w:rsidR="5DCA3702" w:rsidRPr="00FB463B">
        <w:rPr>
          <w:rFonts w:eastAsia="Arial" w:cs="Arial"/>
        </w:rPr>
        <w:t xml:space="preserve"> </w:t>
      </w:r>
      <w:r w:rsidR="0CAC5622" w:rsidRPr="00FB463B">
        <w:rPr>
          <w:rFonts w:eastAsia="Arial" w:cs="Arial"/>
        </w:rPr>
        <w:t>reason</w:t>
      </w:r>
      <w:r w:rsidR="6FA350A5" w:rsidRPr="00FB463B">
        <w:rPr>
          <w:rFonts w:eastAsia="Arial" w:cs="Arial"/>
        </w:rPr>
        <w:t xml:space="preserve">s a student is </w:t>
      </w:r>
      <w:r w:rsidR="0CAC5622" w:rsidRPr="00FB463B">
        <w:rPr>
          <w:rFonts w:eastAsia="Arial" w:cs="Arial"/>
        </w:rPr>
        <w:t>absen</w:t>
      </w:r>
      <w:r w:rsidR="17D5B2BE" w:rsidRPr="00FB463B">
        <w:rPr>
          <w:rFonts w:eastAsia="Arial" w:cs="Arial"/>
        </w:rPr>
        <w:t>t</w:t>
      </w:r>
      <w:r w:rsidR="5DCA3702" w:rsidRPr="00FB463B">
        <w:rPr>
          <w:rFonts w:eastAsia="Arial" w:cs="Arial"/>
        </w:rPr>
        <w:t>.</w:t>
      </w:r>
    </w:p>
    <w:p w14:paraId="5B435F71" w14:textId="0F2D9B4A" w:rsidR="5DCA3702" w:rsidRPr="00FB463B" w:rsidRDefault="5DCA3702" w:rsidP="00B519FD">
      <w:pPr>
        <w:spacing w:after="240"/>
        <w:rPr>
          <w:rFonts w:eastAsia="Arial" w:cs="Arial"/>
        </w:rPr>
      </w:pPr>
      <w:r w:rsidRPr="00FB463B">
        <w:rPr>
          <w:rFonts w:eastAsia="Arial" w:cs="Arial"/>
        </w:rPr>
        <w:t xml:space="preserve">The SBE also </w:t>
      </w:r>
      <w:r w:rsidR="008B41BC" w:rsidRPr="00FB463B">
        <w:rPr>
          <w:rFonts w:eastAsia="Arial" w:cs="Arial"/>
        </w:rPr>
        <w:t>suggested</w:t>
      </w:r>
      <w:r w:rsidRPr="00FB463B">
        <w:rPr>
          <w:rFonts w:eastAsia="Arial" w:cs="Arial"/>
        </w:rPr>
        <w:t xml:space="preserve"> </w:t>
      </w:r>
      <w:r w:rsidR="008C2C5C" w:rsidRPr="00FB463B">
        <w:rPr>
          <w:rFonts w:eastAsia="Arial" w:cs="Arial"/>
        </w:rPr>
        <w:t xml:space="preserve">that the Dashboard link </w:t>
      </w:r>
      <w:r w:rsidRPr="00FB463B">
        <w:rPr>
          <w:rFonts w:eastAsia="Arial" w:cs="Arial"/>
        </w:rPr>
        <w:t xml:space="preserve">to the Absenteeism by Reason report on CDE’s data reporting website, </w:t>
      </w:r>
      <w:proofErr w:type="spellStart"/>
      <w:r w:rsidRPr="00FB463B">
        <w:rPr>
          <w:rFonts w:eastAsia="Arial" w:cs="Arial"/>
        </w:rPr>
        <w:t>DataQuest</w:t>
      </w:r>
      <w:proofErr w:type="spellEnd"/>
      <w:r w:rsidRPr="00FB463B">
        <w:rPr>
          <w:rFonts w:eastAsia="Arial" w:cs="Arial"/>
        </w:rPr>
        <w:t xml:space="preserve">. The link to the report allows users to view disaggregated data on </w:t>
      </w:r>
      <w:r w:rsidR="46409406" w:rsidRPr="00FB463B">
        <w:rPr>
          <w:rFonts w:eastAsia="Arial" w:cs="Arial"/>
        </w:rPr>
        <w:t xml:space="preserve">a </w:t>
      </w:r>
      <w:r w:rsidR="60A9E291" w:rsidRPr="00FB463B">
        <w:rPr>
          <w:rFonts w:eastAsia="Arial" w:cs="Arial"/>
        </w:rPr>
        <w:t>student</w:t>
      </w:r>
      <w:r w:rsidR="4E3A8972" w:rsidRPr="00FB463B">
        <w:rPr>
          <w:rFonts w:eastAsia="Arial" w:cs="Arial"/>
        </w:rPr>
        <w:t>’s reason for an</w:t>
      </w:r>
      <w:r w:rsidR="60A9E291" w:rsidRPr="00FB463B">
        <w:rPr>
          <w:rFonts w:eastAsia="Arial" w:cs="Arial"/>
        </w:rPr>
        <w:t xml:space="preserve"> </w:t>
      </w:r>
      <w:r w:rsidRPr="00FB463B">
        <w:rPr>
          <w:rFonts w:eastAsia="Arial" w:cs="Arial"/>
        </w:rPr>
        <w:t xml:space="preserve">absence. The </w:t>
      </w:r>
      <w:r w:rsidR="44438A15" w:rsidRPr="00FB463B">
        <w:rPr>
          <w:rFonts w:eastAsia="Arial" w:cs="Arial"/>
        </w:rPr>
        <w:t>Absenteeism by Reason</w:t>
      </w:r>
      <w:r w:rsidRPr="00FB463B">
        <w:rPr>
          <w:rFonts w:eastAsia="Arial" w:cs="Arial"/>
        </w:rPr>
        <w:t xml:space="preserve"> report provide</w:t>
      </w:r>
      <w:r w:rsidR="6A628380" w:rsidRPr="00FB463B">
        <w:rPr>
          <w:rFonts w:eastAsia="Arial" w:cs="Arial"/>
        </w:rPr>
        <w:t>s</w:t>
      </w:r>
      <w:r w:rsidRPr="00FB463B">
        <w:rPr>
          <w:rFonts w:eastAsia="Arial" w:cs="Arial"/>
        </w:rPr>
        <w:t xml:space="preserve"> a breakdown of the following CALPADS fields:</w:t>
      </w:r>
    </w:p>
    <w:p w14:paraId="2439F2BB" w14:textId="40B87207" w:rsidR="5DCA3702" w:rsidRPr="00FB463B" w:rsidRDefault="5DCA3702" w:rsidP="00B519FD">
      <w:pPr>
        <w:pStyle w:val="ListParagraph"/>
        <w:numPr>
          <w:ilvl w:val="0"/>
          <w:numId w:val="18"/>
        </w:numPr>
        <w:rPr>
          <w:rFonts w:eastAsia="Arial" w:cs="Arial"/>
        </w:rPr>
      </w:pPr>
      <w:r w:rsidRPr="00FB463B">
        <w:rPr>
          <w:rFonts w:eastAsia="Arial" w:cs="Arial"/>
        </w:rPr>
        <w:t xml:space="preserve">Days Absent Excused (In-Person): Total number of days the student was absent for in-person instruction for the entire school day with a valid excuse, per California </w:t>
      </w:r>
      <w:r w:rsidRPr="00FB463B">
        <w:rPr>
          <w:rFonts w:eastAsia="Arial" w:cs="Arial"/>
          <w:i/>
          <w:iCs/>
        </w:rPr>
        <w:t>Education Code</w:t>
      </w:r>
      <w:r w:rsidRPr="00FB463B">
        <w:rPr>
          <w:rFonts w:eastAsia="Arial" w:cs="Arial"/>
        </w:rPr>
        <w:t xml:space="preserve"> (</w:t>
      </w:r>
      <w:r w:rsidRPr="00FB463B">
        <w:rPr>
          <w:rFonts w:eastAsia="Arial" w:cs="Arial"/>
          <w:i/>
          <w:iCs/>
        </w:rPr>
        <w:t>EC</w:t>
      </w:r>
      <w:r w:rsidRPr="00FB463B">
        <w:rPr>
          <w:rFonts w:eastAsia="Arial" w:cs="Arial"/>
        </w:rPr>
        <w:t>) Section 48260(c). (Field # 13.19)</w:t>
      </w:r>
    </w:p>
    <w:p w14:paraId="06433A63" w14:textId="40B87207" w:rsidR="5DCA3702" w:rsidRPr="00FB463B" w:rsidRDefault="5DCA3702" w:rsidP="00B519FD">
      <w:pPr>
        <w:pStyle w:val="ListParagraph"/>
        <w:numPr>
          <w:ilvl w:val="0"/>
          <w:numId w:val="18"/>
        </w:numPr>
        <w:rPr>
          <w:rFonts w:eastAsia="Arial" w:cs="Arial"/>
        </w:rPr>
      </w:pPr>
      <w:r w:rsidRPr="00FB463B">
        <w:rPr>
          <w:rFonts w:eastAsia="Arial" w:cs="Arial"/>
        </w:rPr>
        <w:t>Days Absent Unexcused (In-Person): Total number of days the student was absent from in-person instruction for the entire school day without a valid excuse. (Field # 13.20)</w:t>
      </w:r>
    </w:p>
    <w:p w14:paraId="714A09FE" w14:textId="40B87207" w:rsidR="5DCA3702" w:rsidRPr="00FB463B" w:rsidRDefault="5DCA3702" w:rsidP="00B519FD">
      <w:pPr>
        <w:pStyle w:val="ListParagraph"/>
        <w:numPr>
          <w:ilvl w:val="0"/>
          <w:numId w:val="18"/>
        </w:numPr>
        <w:rPr>
          <w:rFonts w:eastAsia="Arial" w:cs="Arial"/>
        </w:rPr>
      </w:pPr>
      <w:r w:rsidRPr="00FB463B">
        <w:rPr>
          <w:rFonts w:eastAsia="Arial" w:cs="Arial"/>
        </w:rPr>
        <w:t xml:space="preserve">Out-of-School Suspension Days: Total number of days the student was absent from the regular classroom for the entire school day due to an out-of-school suspension pursuant to </w:t>
      </w:r>
      <w:r w:rsidRPr="00FB463B">
        <w:rPr>
          <w:rFonts w:eastAsia="Arial" w:cs="Arial"/>
          <w:i/>
          <w:iCs/>
        </w:rPr>
        <w:t>EC</w:t>
      </w:r>
      <w:r w:rsidRPr="00FB463B">
        <w:rPr>
          <w:rFonts w:eastAsia="Arial" w:cs="Arial"/>
        </w:rPr>
        <w:t xml:space="preserve"> Section 48911. (Field # 13.17)</w:t>
      </w:r>
    </w:p>
    <w:p w14:paraId="27B4E442" w14:textId="40B87207" w:rsidR="5DCA3702" w:rsidRPr="00FB463B" w:rsidRDefault="5DCA3702" w:rsidP="00B519FD">
      <w:pPr>
        <w:pStyle w:val="ListParagraph"/>
        <w:numPr>
          <w:ilvl w:val="0"/>
          <w:numId w:val="18"/>
        </w:numPr>
        <w:rPr>
          <w:rFonts w:eastAsia="Arial" w:cs="Arial"/>
        </w:rPr>
      </w:pPr>
      <w:r w:rsidRPr="00FB463B">
        <w:rPr>
          <w:rFonts w:eastAsia="Arial" w:cs="Arial"/>
        </w:rPr>
        <w:t xml:space="preserve">Non-ADA Generating Independent Study Days: Total number of days the student did not satisfy statutory and regulatory requirements necessary to generate a day </w:t>
      </w:r>
      <w:r w:rsidRPr="00FB463B">
        <w:rPr>
          <w:rFonts w:eastAsia="Arial" w:cs="Arial"/>
        </w:rPr>
        <w:lastRenderedPageBreak/>
        <w:t>attendance for either traditional (</w:t>
      </w:r>
      <w:r w:rsidRPr="00FB463B">
        <w:rPr>
          <w:rFonts w:eastAsia="Arial" w:cs="Arial"/>
          <w:i/>
          <w:iCs/>
        </w:rPr>
        <w:t>EC</w:t>
      </w:r>
      <w:r w:rsidRPr="00FB463B">
        <w:rPr>
          <w:rFonts w:eastAsia="Arial" w:cs="Arial"/>
        </w:rPr>
        <w:t xml:space="preserve"> Section 51747.5) or course-based (</w:t>
      </w:r>
      <w:r w:rsidRPr="00FB463B">
        <w:rPr>
          <w:rFonts w:eastAsia="Arial" w:cs="Arial"/>
          <w:i/>
          <w:iCs/>
        </w:rPr>
        <w:t>EC</w:t>
      </w:r>
      <w:r w:rsidRPr="00FB463B">
        <w:rPr>
          <w:rFonts w:eastAsia="Arial" w:cs="Arial"/>
        </w:rPr>
        <w:t xml:space="preserve"> Section 51749.5) independent study. (Field # 13.21)</w:t>
      </w:r>
    </w:p>
    <w:p w14:paraId="0DACCA70" w14:textId="40B87207" w:rsidR="5DCA3702" w:rsidRPr="00FB463B" w:rsidRDefault="5DCA3702" w:rsidP="00B519FD">
      <w:pPr>
        <w:spacing w:after="240"/>
        <w:rPr>
          <w:i/>
          <w:iCs/>
        </w:rPr>
      </w:pPr>
      <w:r w:rsidRPr="00FB463B">
        <w:rPr>
          <w:rFonts w:eastAsia="Arial" w:cs="Arial"/>
          <w:i/>
          <w:iCs/>
        </w:rPr>
        <w:t>Feedback from Educational Partners</w:t>
      </w:r>
    </w:p>
    <w:p w14:paraId="028E800C" w14:textId="39B2BC9D" w:rsidR="004B2122" w:rsidRPr="00FB463B" w:rsidRDefault="5DCA3702" w:rsidP="00B519FD">
      <w:pPr>
        <w:spacing w:after="160"/>
        <w:rPr>
          <w:rFonts w:eastAsia="Arial" w:cs="Arial"/>
        </w:rPr>
      </w:pPr>
      <w:r w:rsidRPr="00FB463B">
        <w:rPr>
          <w:rFonts w:eastAsia="Arial" w:cs="Arial"/>
        </w:rPr>
        <w:t>Since the July 2023 SBE meeting, the CDE solicited feedback from CPAG m</w:t>
      </w:r>
      <w:r w:rsidR="3005D1ED" w:rsidRPr="00FB463B">
        <w:rPr>
          <w:rFonts w:eastAsia="Arial" w:cs="Arial"/>
        </w:rPr>
        <w:t>embers</w:t>
      </w:r>
      <w:r w:rsidRPr="00FB463B">
        <w:rPr>
          <w:rFonts w:eastAsia="Arial" w:cs="Arial"/>
        </w:rPr>
        <w:t xml:space="preserve"> at their August 2023 meeting. CPAG member</w:t>
      </w:r>
      <w:r w:rsidR="37C9C671" w:rsidRPr="00FB463B">
        <w:rPr>
          <w:rFonts w:eastAsia="Arial" w:cs="Arial"/>
        </w:rPr>
        <w:t>s</w:t>
      </w:r>
      <w:r w:rsidRPr="00FB463B">
        <w:rPr>
          <w:rFonts w:eastAsia="Arial" w:cs="Arial"/>
        </w:rPr>
        <w:t xml:space="preserve"> provided feedback on the placement, wording of instructions for the link, and destination of the link to </w:t>
      </w:r>
      <w:r w:rsidR="6789F65B" w:rsidRPr="00FB463B">
        <w:rPr>
          <w:rFonts w:eastAsia="Arial" w:cs="Arial"/>
        </w:rPr>
        <w:t>the</w:t>
      </w:r>
      <w:r w:rsidRPr="00FB463B">
        <w:rPr>
          <w:rFonts w:eastAsia="Arial" w:cs="Arial"/>
        </w:rPr>
        <w:t xml:space="preserve"> </w:t>
      </w:r>
      <w:r w:rsidR="25FD13DC" w:rsidRPr="00FB463B">
        <w:rPr>
          <w:rFonts w:eastAsia="Arial" w:cs="Arial"/>
        </w:rPr>
        <w:t>A</w:t>
      </w:r>
      <w:r w:rsidRPr="00FB463B">
        <w:rPr>
          <w:rFonts w:eastAsia="Arial" w:cs="Arial"/>
        </w:rPr>
        <w:t xml:space="preserve">bsenteeism by </w:t>
      </w:r>
      <w:r w:rsidR="2DD07889" w:rsidRPr="00FB463B">
        <w:rPr>
          <w:rFonts w:eastAsia="Arial" w:cs="Arial"/>
        </w:rPr>
        <w:t>R</w:t>
      </w:r>
      <w:r w:rsidRPr="00FB463B">
        <w:rPr>
          <w:rFonts w:eastAsia="Arial" w:cs="Arial"/>
        </w:rPr>
        <w:t xml:space="preserve">eason </w:t>
      </w:r>
      <w:r w:rsidR="21351372" w:rsidRPr="00FB463B">
        <w:rPr>
          <w:rFonts w:eastAsia="Arial" w:cs="Arial"/>
        </w:rPr>
        <w:t xml:space="preserve">report </w:t>
      </w:r>
      <w:r w:rsidR="0E287736" w:rsidRPr="00FB463B">
        <w:rPr>
          <w:rFonts w:eastAsia="Arial" w:cs="Arial"/>
        </w:rPr>
        <w:t xml:space="preserve">on </w:t>
      </w:r>
      <w:proofErr w:type="spellStart"/>
      <w:r w:rsidR="0E287736" w:rsidRPr="00FB463B">
        <w:rPr>
          <w:rFonts w:eastAsia="Arial" w:cs="Arial"/>
        </w:rPr>
        <w:t>DataQuest</w:t>
      </w:r>
      <w:proofErr w:type="spellEnd"/>
      <w:r w:rsidRPr="00FB463B">
        <w:rPr>
          <w:rFonts w:eastAsia="Arial" w:cs="Arial"/>
        </w:rPr>
        <w:t xml:space="preserve"> for school</w:t>
      </w:r>
      <w:r w:rsidR="2B38985D" w:rsidRPr="00FB463B">
        <w:rPr>
          <w:rFonts w:eastAsia="Arial" w:cs="Arial"/>
        </w:rPr>
        <w:t>s</w:t>
      </w:r>
      <w:r w:rsidRPr="00FB463B">
        <w:rPr>
          <w:rFonts w:eastAsia="Arial" w:cs="Arial"/>
        </w:rPr>
        <w:t xml:space="preserve"> and LEAs. </w:t>
      </w:r>
      <w:r w:rsidR="17533D68" w:rsidRPr="00FB463B">
        <w:rPr>
          <w:rFonts w:eastAsia="Arial" w:cs="Arial"/>
        </w:rPr>
        <w:t>Based on feedback from CPAG members the CDE recommends that the link</w:t>
      </w:r>
      <w:r w:rsidR="2475886F" w:rsidRPr="00FB463B">
        <w:rPr>
          <w:rFonts w:eastAsia="Arial" w:cs="Arial"/>
        </w:rPr>
        <w:t xml:space="preserve"> </w:t>
      </w:r>
      <w:r w:rsidR="17533D68" w:rsidRPr="00FB463B">
        <w:rPr>
          <w:rFonts w:eastAsia="Arial" w:cs="Arial"/>
        </w:rPr>
        <w:t xml:space="preserve">be placed </w:t>
      </w:r>
      <w:r w:rsidR="5FD830C6" w:rsidRPr="00FB463B">
        <w:rPr>
          <w:rFonts w:eastAsia="Arial" w:cs="Arial"/>
        </w:rPr>
        <w:t>within the introduction text on the expanded Chronic Absenteeism section</w:t>
      </w:r>
      <w:r w:rsidR="17533D68" w:rsidRPr="00FB463B">
        <w:rPr>
          <w:rFonts w:eastAsia="Arial" w:cs="Arial"/>
        </w:rPr>
        <w:t xml:space="preserve">, and link to </w:t>
      </w:r>
      <w:proofErr w:type="spellStart"/>
      <w:r w:rsidR="6EDA142D" w:rsidRPr="00FB463B">
        <w:rPr>
          <w:rFonts w:eastAsia="Arial" w:cs="Arial"/>
        </w:rPr>
        <w:t>DataQuest’s</w:t>
      </w:r>
      <w:proofErr w:type="spellEnd"/>
      <w:r w:rsidR="6EDA142D" w:rsidRPr="00FB463B">
        <w:rPr>
          <w:rFonts w:eastAsia="Arial" w:cs="Arial"/>
        </w:rPr>
        <w:t xml:space="preserve"> “Absenteeism by Reason” report for </w:t>
      </w:r>
      <w:r w:rsidR="75F40D9A" w:rsidRPr="00FB463B">
        <w:rPr>
          <w:rFonts w:eastAsia="Arial" w:cs="Arial"/>
        </w:rPr>
        <w:t xml:space="preserve">the </w:t>
      </w:r>
      <w:r w:rsidR="6EDA142D" w:rsidRPr="00FB463B">
        <w:rPr>
          <w:rFonts w:eastAsia="Arial" w:cs="Arial"/>
        </w:rPr>
        <w:t xml:space="preserve">specified LEA or </w:t>
      </w:r>
      <w:r w:rsidR="000B27E3" w:rsidRPr="00FB463B">
        <w:rPr>
          <w:rFonts w:eastAsia="Arial" w:cs="Arial"/>
        </w:rPr>
        <w:t>s</w:t>
      </w:r>
      <w:r w:rsidR="6EDA142D" w:rsidRPr="00FB463B">
        <w:rPr>
          <w:rFonts w:eastAsia="Arial" w:cs="Arial"/>
        </w:rPr>
        <w:t>chool.</w:t>
      </w:r>
    </w:p>
    <w:p w14:paraId="48E7BA87" w14:textId="77777777" w:rsidR="00850D70" w:rsidRPr="00FB463B" w:rsidRDefault="00850D70" w:rsidP="00850D70">
      <w:pPr>
        <w:pStyle w:val="Heading3"/>
      </w:pPr>
      <w:r w:rsidRPr="00FB463B">
        <w:t>2023 Workplan for Aligning the Dashboard with Additional Data</w:t>
      </w:r>
    </w:p>
    <w:p w14:paraId="3D85D4AB" w14:textId="08C8551E" w:rsidR="00594A62" w:rsidRPr="00FB463B" w:rsidRDefault="679E84CC" w:rsidP="00DD0578">
      <w:pPr>
        <w:pStyle w:val="Default"/>
        <w:spacing w:after="240"/>
        <w:rPr>
          <w:color w:val="auto"/>
        </w:rPr>
      </w:pPr>
      <w:r w:rsidRPr="00FB463B">
        <w:rPr>
          <w:color w:val="auto"/>
        </w:rPr>
        <w:t xml:space="preserve">In 2023, the CDE </w:t>
      </w:r>
      <w:r w:rsidR="00666A5F" w:rsidRPr="00FB463B">
        <w:rPr>
          <w:color w:val="auto"/>
        </w:rPr>
        <w:t>also</w:t>
      </w:r>
      <w:r w:rsidRPr="00FB463B">
        <w:rPr>
          <w:color w:val="auto"/>
        </w:rPr>
        <w:t xml:space="preserve"> e</w:t>
      </w:r>
      <w:r w:rsidR="206105BC" w:rsidRPr="00FB463B">
        <w:rPr>
          <w:color w:val="auto"/>
        </w:rPr>
        <w:t>valuate</w:t>
      </w:r>
      <w:r w:rsidR="00666A5F" w:rsidRPr="00FB463B">
        <w:rPr>
          <w:color w:val="auto"/>
        </w:rPr>
        <w:t>d</w:t>
      </w:r>
      <w:r w:rsidR="206105BC" w:rsidRPr="00FB463B">
        <w:rPr>
          <w:color w:val="auto"/>
        </w:rPr>
        <w:t xml:space="preserve"> </w:t>
      </w:r>
      <w:r w:rsidR="000E182A" w:rsidRPr="00FB463B">
        <w:rPr>
          <w:color w:val="auto"/>
        </w:rPr>
        <w:t xml:space="preserve">and </w:t>
      </w:r>
      <w:r w:rsidR="00666A5F" w:rsidRPr="00FB463B">
        <w:rPr>
          <w:color w:val="auto"/>
        </w:rPr>
        <w:t xml:space="preserve">is </w:t>
      </w:r>
      <w:r w:rsidR="000E182A" w:rsidRPr="00FB463B">
        <w:rPr>
          <w:color w:val="auto"/>
        </w:rPr>
        <w:t>provid</w:t>
      </w:r>
      <w:r w:rsidR="00666A5F" w:rsidRPr="00FB463B">
        <w:rPr>
          <w:color w:val="auto"/>
        </w:rPr>
        <w:t>ing</w:t>
      </w:r>
      <w:r w:rsidR="000E182A" w:rsidRPr="00FB463B">
        <w:rPr>
          <w:color w:val="auto"/>
        </w:rPr>
        <w:t xml:space="preserve"> recommendations to the SBE on</w:t>
      </w:r>
      <w:r w:rsidR="00594A62" w:rsidRPr="00FB463B">
        <w:rPr>
          <w:color w:val="auto"/>
        </w:rPr>
        <w:t xml:space="preserve"> the following:</w:t>
      </w:r>
    </w:p>
    <w:p w14:paraId="7BF2FA8E" w14:textId="3EF13C8B" w:rsidR="00594A62" w:rsidRPr="00FB463B" w:rsidRDefault="00594A62" w:rsidP="00C237F4">
      <w:pPr>
        <w:pStyle w:val="Default"/>
        <w:numPr>
          <w:ilvl w:val="0"/>
          <w:numId w:val="13"/>
        </w:numPr>
        <w:rPr>
          <w:color w:val="auto"/>
        </w:rPr>
      </w:pPr>
      <w:r w:rsidRPr="00FB463B">
        <w:rPr>
          <w:color w:val="auto"/>
        </w:rPr>
        <w:t>The addition of</w:t>
      </w:r>
      <w:r w:rsidR="679E84CC" w:rsidRPr="00FB463B">
        <w:rPr>
          <w:color w:val="auto"/>
        </w:rPr>
        <w:t xml:space="preserve"> </w:t>
      </w:r>
      <w:r w:rsidR="511F3710" w:rsidRPr="00FB463B">
        <w:rPr>
          <w:color w:val="auto"/>
        </w:rPr>
        <w:t xml:space="preserve">data </w:t>
      </w:r>
      <w:r w:rsidR="679E84CC" w:rsidRPr="00FB463B">
        <w:rPr>
          <w:color w:val="auto"/>
        </w:rPr>
        <w:t xml:space="preserve">on </w:t>
      </w:r>
      <w:r w:rsidR="3982B828" w:rsidRPr="00FB463B">
        <w:rPr>
          <w:color w:val="auto"/>
        </w:rPr>
        <w:t>l</w:t>
      </w:r>
      <w:r w:rsidR="679E84CC" w:rsidRPr="00FB463B">
        <w:rPr>
          <w:color w:val="auto"/>
        </w:rPr>
        <w:t xml:space="preserve">east </w:t>
      </w:r>
      <w:r w:rsidR="1E004884" w:rsidRPr="00FB463B">
        <w:rPr>
          <w:color w:val="auto"/>
        </w:rPr>
        <w:t>r</w:t>
      </w:r>
      <w:r w:rsidR="679E84CC" w:rsidRPr="00FB463B">
        <w:rPr>
          <w:color w:val="auto"/>
        </w:rPr>
        <w:t xml:space="preserve">estrictive </w:t>
      </w:r>
      <w:r w:rsidR="0C960C6A" w:rsidRPr="00FB463B">
        <w:rPr>
          <w:color w:val="auto"/>
        </w:rPr>
        <w:t>e</w:t>
      </w:r>
      <w:r w:rsidR="679E84CC" w:rsidRPr="00FB463B">
        <w:rPr>
          <w:color w:val="auto"/>
        </w:rPr>
        <w:t>nvironment</w:t>
      </w:r>
      <w:r w:rsidR="2FC0CC42" w:rsidRPr="00FB463B">
        <w:rPr>
          <w:color w:val="auto"/>
        </w:rPr>
        <w:t xml:space="preserve"> </w:t>
      </w:r>
    </w:p>
    <w:p w14:paraId="66196116" w14:textId="264B22D0" w:rsidR="00594A62" w:rsidRPr="00FB463B" w:rsidRDefault="00594A62" w:rsidP="00C237F4">
      <w:pPr>
        <w:pStyle w:val="Default"/>
        <w:numPr>
          <w:ilvl w:val="0"/>
          <w:numId w:val="13"/>
        </w:numPr>
        <w:rPr>
          <w:color w:val="auto"/>
        </w:rPr>
      </w:pPr>
      <w:r w:rsidRPr="00FB463B">
        <w:rPr>
          <w:color w:val="auto"/>
        </w:rPr>
        <w:t>E</w:t>
      </w:r>
      <w:r w:rsidR="72E64B8C" w:rsidRPr="00FB463B">
        <w:rPr>
          <w:color w:val="auto"/>
        </w:rPr>
        <w:t xml:space="preserve">stablishing </w:t>
      </w:r>
      <w:r w:rsidRPr="00FB463B">
        <w:rPr>
          <w:color w:val="auto"/>
        </w:rPr>
        <w:t xml:space="preserve">objective </w:t>
      </w:r>
      <w:r w:rsidR="72E64B8C" w:rsidRPr="00FB463B">
        <w:rPr>
          <w:color w:val="auto"/>
        </w:rPr>
        <w:t>criteria for Priority 1 teacher assignments</w:t>
      </w:r>
    </w:p>
    <w:p w14:paraId="387574AC" w14:textId="2F3F84E4" w:rsidR="00DA6023" w:rsidRPr="00FB463B" w:rsidRDefault="00594A62" w:rsidP="00C237F4">
      <w:pPr>
        <w:pStyle w:val="Default"/>
        <w:numPr>
          <w:ilvl w:val="0"/>
          <w:numId w:val="13"/>
        </w:numPr>
        <w:rPr>
          <w:color w:val="auto"/>
        </w:rPr>
      </w:pPr>
      <w:r w:rsidRPr="00FB463B">
        <w:rPr>
          <w:color w:val="auto"/>
        </w:rPr>
        <w:t>R</w:t>
      </w:r>
      <w:r w:rsidR="00400F3A" w:rsidRPr="00FB463B">
        <w:rPr>
          <w:color w:val="auto"/>
        </w:rPr>
        <w:t xml:space="preserve">eporting </w:t>
      </w:r>
      <w:r w:rsidR="000E182A" w:rsidRPr="00FB463B">
        <w:rPr>
          <w:color w:val="auto"/>
        </w:rPr>
        <w:t>s</w:t>
      </w:r>
      <w:r w:rsidR="4A1D260A" w:rsidRPr="00FB463B">
        <w:rPr>
          <w:color w:val="auto"/>
        </w:rPr>
        <w:t>cience assessment data o</w:t>
      </w:r>
      <w:r w:rsidR="00400F3A" w:rsidRPr="00FB463B">
        <w:rPr>
          <w:color w:val="auto"/>
        </w:rPr>
        <w:t>n</w:t>
      </w:r>
      <w:r w:rsidR="4A1D260A" w:rsidRPr="00FB463B">
        <w:rPr>
          <w:color w:val="auto"/>
        </w:rPr>
        <w:t xml:space="preserve"> the Dashboard.</w:t>
      </w:r>
    </w:p>
    <w:p w14:paraId="782AAE41" w14:textId="77777777" w:rsidR="001B7B4B" w:rsidRPr="00FB463B" w:rsidRDefault="001B7B4B" w:rsidP="0081393D">
      <w:pPr>
        <w:pStyle w:val="Heading3"/>
      </w:pPr>
      <w:r w:rsidRPr="00FB463B">
        <w:t>Dashboard Principles</w:t>
      </w:r>
    </w:p>
    <w:p w14:paraId="2CF108F5" w14:textId="0F32FD95" w:rsidR="00400F3A" w:rsidRPr="00FB463B" w:rsidRDefault="00400F3A" w:rsidP="00400F3A">
      <w:pPr>
        <w:spacing w:after="240"/>
      </w:pPr>
      <w:r w:rsidRPr="00FB463B">
        <w:t>This work aligns with the following Dashboard Principles:</w:t>
      </w:r>
    </w:p>
    <w:p w14:paraId="61CD9EBF" w14:textId="535BB313" w:rsidR="001B7B4B" w:rsidRPr="00FB463B" w:rsidRDefault="4732CBA8" w:rsidP="00C237F4">
      <w:pPr>
        <w:pStyle w:val="Default"/>
        <w:numPr>
          <w:ilvl w:val="0"/>
          <w:numId w:val="5"/>
        </w:numPr>
        <w:spacing w:after="240"/>
      </w:pPr>
      <w:r w:rsidRPr="00FB463B">
        <w:t xml:space="preserve">Principle </w:t>
      </w:r>
      <w:r w:rsidR="3BE25799" w:rsidRPr="00FB463B">
        <w:t>2</w:t>
      </w:r>
      <w:r w:rsidRPr="00FB463B">
        <w:t xml:space="preserve">: </w:t>
      </w:r>
      <w:r w:rsidR="3BE25799" w:rsidRPr="00FB463B">
        <w:t>Reports opportunity and performance gaps among student groups through the Equity Report that is available for each state indicator.</w:t>
      </w:r>
    </w:p>
    <w:p w14:paraId="284FEB5E" w14:textId="273B8D13" w:rsidR="001B7B4B" w:rsidRPr="00FB463B" w:rsidRDefault="4732CBA8" w:rsidP="00C237F4">
      <w:pPr>
        <w:pStyle w:val="Default"/>
        <w:numPr>
          <w:ilvl w:val="0"/>
          <w:numId w:val="5"/>
        </w:numPr>
        <w:spacing w:after="240"/>
      </w:pPr>
      <w:r w:rsidRPr="00FB463B">
        <w:t xml:space="preserve">Principle </w:t>
      </w:r>
      <w:r w:rsidR="3416CDF0" w:rsidRPr="00FB463B">
        <w:t>3</w:t>
      </w:r>
      <w:r w:rsidRPr="00FB463B">
        <w:t xml:space="preserve">: </w:t>
      </w:r>
      <w:r w:rsidR="3416CDF0" w:rsidRPr="00FB463B">
        <w:t>Reports each indicator separately.</w:t>
      </w:r>
    </w:p>
    <w:p w14:paraId="16FE4609" w14:textId="6C0EAACE" w:rsidR="00793177" w:rsidRPr="00FB463B" w:rsidRDefault="4B5FE6CB" w:rsidP="00C237F4">
      <w:pPr>
        <w:pStyle w:val="Default"/>
        <w:numPr>
          <w:ilvl w:val="0"/>
          <w:numId w:val="5"/>
        </w:numPr>
        <w:spacing w:after="240"/>
      </w:pPr>
      <w:r w:rsidRPr="00FB463B">
        <w:t>Principle 4: Values each indicator equally.</w:t>
      </w:r>
    </w:p>
    <w:p w14:paraId="16C29BFD" w14:textId="3CB0699A" w:rsidR="2E7A7EDC" w:rsidRPr="00FB463B" w:rsidRDefault="2E7A7EDC" w:rsidP="00C237F4">
      <w:pPr>
        <w:pStyle w:val="Default"/>
        <w:numPr>
          <w:ilvl w:val="0"/>
          <w:numId w:val="5"/>
        </w:numPr>
        <w:spacing w:after="240"/>
      </w:pPr>
      <w:r w:rsidRPr="00FB463B">
        <w:t>Principle 7: Focuses on elements that express the commitment to a well-rounded, well-supported education and makes space for what is valued locally.</w:t>
      </w:r>
    </w:p>
    <w:p w14:paraId="1D63D05E" w14:textId="339A6E81" w:rsidR="00EF4CC9" w:rsidRPr="00FB463B" w:rsidRDefault="00EF4CC9" w:rsidP="00C237F4">
      <w:pPr>
        <w:pStyle w:val="Default"/>
        <w:numPr>
          <w:ilvl w:val="0"/>
          <w:numId w:val="5"/>
        </w:numPr>
        <w:spacing w:after="240"/>
        <w:rPr>
          <w:color w:val="auto"/>
        </w:rPr>
      </w:pPr>
      <w:r w:rsidRPr="00FB463B">
        <w:rPr>
          <w:color w:val="auto"/>
        </w:rPr>
        <w:t>Principle 9: Leverages the expertise and perspectives of a broad set of educational partners and community members.</w:t>
      </w:r>
    </w:p>
    <w:p w14:paraId="329FD7E3" w14:textId="39078EB9" w:rsidR="00793177" w:rsidRPr="00FB463B" w:rsidRDefault="144CE5E0" w:rsidP="00C237F4">
      <w:pPr>
        <w:pStyle w:val="Default"/>
        <w:numPr>
          <w:ilvl w:val="0"/>
          <w:numId w:val="5"/>
        </w:numPr>
        <w:spacing w:after="240"/>
        <w:rPr>
          <w:color w:val="auto"/>
        </w:rPr>
      </w:pPr>
      <w:r w:rsidRPr="00FB463B">
        <w:rPr>
          <w:color w:val="auto"/>
        </w:rPr>
        <w:t>Principle 10: Is subject to continuous revision and improvement.</w:t>
      </w:r>
    </w:p>
    <w:p w14:paraId="505982BE" w14:textId="4249F968" w:rsidR="721D2E3F" w:rsidRPr="00FB463B" w:rsidRDefault="721D2E3F" w:rsidP="0C50CAC2">
      <w:pPr>
        <w:pStyle w:val="Heading4"/>
      </w:pPr>
      <w:r w:rsidRPr="00FB463B">
        <w:lastRenderedPageBreak/>
        <w:t>Least Restrictive Environment</w:t>
      </w:r>
    </w:p>
    <w:p w14:paraId="10370D64" w14:textId="7017CEAE" w:rsidR="00C552E1" w:rsidRPr="00FB463B" w:rsidRDefault="00666A5F" w:rsidP="00FD5B74">
      <w:pPr>
        <w:spacing w:after="240"/>
      </w:pPr>
      <w:r w:rsidRPr="00FB463B">
        <w:rPr>
          <w:i/>
          <w:iCs/>
        </w:rPr>
        <w:t>EC</w:t>
      </w:r>
      <w:r w:rsidR="5D3B99BA" w:rsidRPr="00FB463B">
        <w:t xml:space="preserve"> Section 56049.1 requires that, on or before November 30, 2023, </w:t>
      </w:r>
      <w:r w:rsidRPr="00FB463B">
        <w:t xml:space="preserve">the </w:t>
      </w:r>
      <w:r w:rsidR="5D3B99BA" w:rsidRPr="00FB463B">
        <w:t xml:space="preserve">CDE shall publish data related to federal measures of least restrictive environment </w:t>
      </w:r>
      <w:r w:rsidR="523D0788" w:rsidRPr="00FB463B">
        <w:t xml:space="preserve">(LRE) </w:t>
      </w:r>
      <w:r w:rsidR="5D3B99BA" w:rsidRPr="00FB463B">
        <w:t>for pupils with disabilities on its internet website and shall include it as a resource on the Dashboard, established pursuant to subdivision (f) of Section 52064.5.</w:t>
      </w:r>
      <w:r w:rsidR="00FC22CD" w:rsidRPr="00FB463B">
        <w:t xml:space="preserve"> LEAs currently submit information about LRE to the CDE through</w:t>
      </w:r>
      <w:r w:rsidR="5D3B99BA" w:rsidRPr="00FB463B">
        <w:t xml:space="preserve"> </w:t>
      </w:r>
      <w:r w:rsidR="00FC22CD" w:rsidRPr="00FB463B">
        <w:t>the California Longitudinal Pupil Achievement Data System (CALPADS).</w:t>
      </w:r>
      <w:r w:rsidR="5E152A45" w:rsidRPr="00FB463B">
        <w:rPr>
          <w:rFonts w:eastAsia="Arial" w:cs="Arial"/>
        </w:rPr>
        <w:t xml:space="preserve"> </w:t>
      </w:r>
      <w:r w:rsidR="5D3B99BA" w:rsidRPr="00FB463B">
        <w:t>The data</w:t>
      </w:r>
      <w:r w:rsidR="00FC22CD" w:rsidRPr="00FB463B">
        <w:t xml:space="preserve"> published on the CDE website will utilize data from the CALPADS Fall 1 submission (Census Day) and this information will</w:t>
      </w:r>
      <w:r w:rsidR="5D3B99BA" w:rsidRPr="00FB463B">
        <w:t xml:space="preserve"> be disaggregated by race or ethnicity and </w:t>
      </w:r>
      <w:r w:rsidR="041CD0D6" w:rsidRPr="00FB463B">
        <w:t>LEA</w:t>
      </w:r>
      <w:r w:rsidR="5D3B99BA" w:rsidRPr="00FB463B">
        <w:t>.</w:t>
      </w:r>
    </w:p>
    <w:p w14:paraId="46375D1C" w14:textId="38B78444" w:rsidR="00A55A4E" w:rsidRPr="00FB463B" w:rsidRDefault="00264A04" w:rsidP="2C0D6289">
      <w:r w:rsidRPr="00FB463B">
        <w:t xml:space="preserve">The </w:t>
      </w:r>
      <w:r w:rsidR="7AE70B43" w:rsidRPr="00FB463B">
        <w:t>CDE explor</w:t>
      </w:r>
      <w:r w:rsidR="00C552E1" w:rsidRPr="00FB463B">
        <w:t>ed</w:t>
      </w:r>
      <w:r w:rsidR="7AE70B43" w:rsidRPr="00FB463B">
        <w:t xml:space="preserve"> </w:t>
      </w:r>
      <w:r w:rsidR="6F102F30" w:rsidRPr="00FB463B">
        <w:t xml:space="preserve">options for </w:t>
      </w:r>
      <w:r w:rsidR="00843472" w:rsidRPr="00FB463B">
        <w:t>linking these</w:t>
      </w:r>
      <w:r w:rsidR="6F102F30" w:rsidRPr="00FB463B">
        <w:t xml:space="preserve"> data on the 2023 Dashboard</w:t>
      </w:r>
      <w:r w:rsidR="00C552E1" w:rsidRPr="00FB463B">
        <w:t xml:space="preserve"> and </w:t>
      </w:r>
      <w:r w:rsidR="009737DB" w:rsidRPr="00FB463B">
        <w:t>recommends</w:t>
      </w:r>
      <w:r w:rsidR="00C552E1" w:rsidRPr="00FB463B">
        <w:t xml:space="preserve"> direct</w:t>
      </w:r>
      <w:r w:rsidR="000D75F5" w:rsidRPr="00FB463B">
        <w:t>ly</w:t>
      </w:r>
      <w:r w:rsidR="00C552E1" w:rsidRPr="00FB463B">
        <w:t xml:space="preserve"> link</w:t>
      </w:r>
      <w:r w:rsidR="00421DA5" w:rsidRPr="00FB463B">
        <w:t>ing</w:t>
      </w:r>
      <w:r w:rsidR="00C552E1" w:rsidRPr="00FB463B">
        <w:t xml:space="preserve"> to the </w:t>
      </w:r>
      <w:proofErr w:type="spellStart"/>
      <w:r w:rsidR="00C552E1" w:rsidRPr="00FB463B">
        <w:t>DataQuest</w:t>
      </w:r>
      <w:proofErr w:type="spellEnd"/>
      <w:r w:rsidR="00C552E1" w:rsidRPr="00FB463B">
        <w:t xml:space="preserve"> report on the main </w:t>
      </w:r>
      <w:r w:rsidR="00A55A4E" w:rsidRPr="00FB463B">
        <w:t>menu page structure of the Dashboard.</w:t>
      </w:r>
    </w:p>
    <w:p w14:paraId="4E94938C" w14:textId="306A2390" w:rsidR="00982C61" w:rsidRPr="00FB463B" w:rsidRDefault="00982C61" w:rsidP="0C50CAC2">
      <w:pPr>
        <w:pStyle w:val="Heading4"/>
      </w:pPr>
      <w:r w:rsidRPr="00FB463B">
        <w:t>Develop Objective Criteria for Reporting the Teacher Component of Priority 1</w:t>
      </w:r>
    </w:p>
    <w:p w14:paraId="50487C6C" w14:textId="1F203774" w:rsidR="00AA28EE" w:rsidRPr="00FB463B" w:rsidRDefault="00AA28EE" w:rsidP="00AA28EE">
      <w:pPr>
        <w:shd w:val="clear" w:color="auto" w:fill="FFFFFF" w:themeFill="background1"/>
        <w:spacing w:before="240" w:beforeAutospacing="1" w:afterAutospacing="1"/>
        <w:rPr>
          <w:rFonts w:cs="Arial"/>
        </w:rPr>
      </w:pPr>
      <w:r w:rsidRPr="00FB463B">
        <w:rPr>
          <w:rFonts w:cs="Arial"/>
        </w:rPr>
        <w:t>The SBE is required to adopt local indicators for the Dashboard for the Local Control Funding Formula (LCFF) priority areas where statewide data is not available. The SBE-adopted local indicators include performance standards for LEAs and self-reflection tools that LEAs use to report progress. LEAs are responsible for annually completing the local indicator self-reflection tools based on an assessment of locally collected data and input from educational partners, reporting progress to the local governing board or body of the LEA and uploading the results to the Dashboard.</w:t>
      </w:r>
      <w:r w:rsidR="4B687AD3" w:rsidRPr="00FB463B">
        <w:rPr>
          <w:rFonts w:cs="Arial"/>
        </w:rPr>
        <w:t xml:space="preserve"> </w:t>
      </w:r>
      <w:r w:rsidRPr="00FB463B">
        <w:rPr>
          <w:rFonts w:cs="Arial"/>
        </w:rPr>
        <w:t>Senate Bill (SB) 75 (Chapter 51, Statutes of 2019) requires that “local indicators shall reflect school-level data to the extent the department collects or otherwise has access to relevant and reliable school-level data for all schools statewide.” Based on this language, one data point from Priority 1, related to the assignment of teachers, meets the criteria outlined in SB 75.</w:t>
      </w:r>
    </w:p>
    <w:p w14:paraId="07DA1D3F" w14:textId="77777777" w:rsidR="00AA28EE" w:rsidRPr="00FB463B" w:rsidRDefault="00AA28EE" w:rsidP="00AA28EE">
      <w:pPr>
        <w:spacing w:before="240"/>
        <w:rPr>
          <w:rFonts w:cs="Arial"/>
        </w:rPr>
      </w:pPr>
      <w:r w:rsidRPr="00FB463B">
        <w:rPr>
          <w:rFonts w:eastAsia="Calibri" w:cs="Arial"/>
        </w:rPr>
        <w:t xml:space="preserve">In 2023, with two years of </w:t>
      </w:r>
      <w:r w:rsidRPr="00FB463B">
        <w:rPr>
          <w:rFonts w:cs="Arial"/>
        </w:rPr>
        <w:t>Teacher Assignment Monitoring Outcome (TAMO) data available, the CDE explored opportunities to set objective criteria using this data set. In preparation for this transition, f</w:t>
      </w:r>
      <w:r w:rsidR="006F7F15" w:rsidRPr="00FB463B">
        <w:rPr>
          <w:rFonts w:eastAsiaTheme="minorEastAsia" w:cs="Arial"/>
        </w:rPr>
        <w:t>or the 2022–23 Local Control and Accountability Plan year, local educational agencies were directed to review the TAMO data at the next regularly scheduled meeting of the local governing board/body following the availability of these data</w:t>
      </w:r>
      <w:r w:rsidRPr="00FB463B">
        <w:rPr>
          <w:rFonts w:cs="Arial"/>
        </w:rPr>
        <w:t xml:space="preserve">. </w:t>
      </w:r>
    </w:p>
    <w:p w14:paraId="55A09D7A" w14:textId="00E68574" w:rsidR="00AA28EE" w:rsidRPr="00FB463B" w:rsidRDefault="006F7F15" w:rsidP="00AA28EE">
      <w:pPr>
        <w:spacing w:before="240"/>
        <w:rPr>
          <w:rFonts w:cs="Arial"/>
        </w:rPr>
      </w:pPr>
      <w:r w:rsidRPr="00FB463B">
        <w:rPr>
          <w:rFonts w:eastAsiaTheme="minorEastAsia" w:cs="Arial"/>
        </w:rPr>
        <w:t>The TAMO reports include seven assignment monitoring outcomes: Clear, Out-of-Field, Intern, Ineffective, Incomplete, Unknown, Not Applicable</w:t>
      </w:r>
      <w:r w:rsidR="00AA28EE" w:rsidRPr="00FB463B">
        <w:rPr>
          <w:rFonts w:cs="Arial"/>
        </w:rPr>
        <w:t xml:space="preserve">. </w:t>
      </w:r>
      <w:r w:rsidRPr="00FB463B">
        <w:rPr>
          <w:rFonts w:eastAsiaTheme="minorEastAsia" w:cs="Arial"/>
        </w:rPr>
        <w:t xml:space="preserve">The definitions for these outcomes are available on the </w:t>
      </w:r>
      <w:bookmarkStart w:id="5" w:name="_Hlk144304232"/>
      <w:r w:rsidRPr="00FB463B">
        <w:rPr>
          <w:rFonts w:eastAsiaTheme="minorEastAsia" w:cs="Arial"/>
        </w:rPr>
        <w:t>Information about the Teaching AMO Report web page</w:t>
      </w:r>
      <w:bookmarkEnd w:id="5"/>
      <w:r w:rsidRPr="00FB463B">
        <w:rPr>
          <w:rFonts w:eastAsiaTheme="minorEastAsia" w:cs="Arial"/>
        </w:rPr>
        <w:t xml:space="preserve"> at </w:t>
      </w:r>
      <w:hyperlink r:id="rId152" w:tooltip="Information about the Teaching AMO Report web page" w:history="1">
        <w:r w:rsidRPr="00FB463B">
          <w:rPr>
            <w:rStyle w:val="Hyperlink"/>
            <w:rFonts w:eastAsiaTheme="majorEastAsia" w:cs="Arial"/>
          </w:rPr>
          <w:t>https://www.cde.ca.gov/ds/ad/tamoinfo.asp#amodefinitions</w:t>
        </w:r>
      </w:hyperlink>
      <w:r w:rsidR="00AA28EE" w:rsidRPr="00FB463B">
        <w:rPr>
          <w:rFonts w:cs="Arial"/>
        </w:rPr>
        <w:t>. In reviewing these definitions, the CDE determined that t</w:t>
      </w:r>
      <w:r w:rsidRPr="00FB463B">
        <w:rPr>
          <w:rFonts w:eastAsiaTheme="minorEastAsia" w:cs="Arial"/>
        </w:rPr>
        <w:t xml:space="preserve">he </w:t>
      </w:r>
      <w:r w:rsidRPr="00FB463B">
        <w:rPr>
          <w:rFonts w:eastAsiaTheme="minorEastAsia" w:cs="Arial"/>
          <w:b/>
          <w:bCs/>
        </w:rPr>
        <w:t>clear</w:t>
      </w:r>
      <w:r w:rsidRPr="00FB463B">
        <w:rPr>
          <w:rFonts w:eastAsiaTheme="minorEastAsia" w:cs="Arial"/>
        </w:rPr>
        <w:t xml:space="preserve"> outcome aligns most closely with the Priority 1 Local Indicator </w:t>
      </w:r>
      <w:r w:rsidRPr="00FB463B">
        <w:rPr>
          <w:rFonts w:eastAsiaTheme="minorEastAsia" w:cs="Arial"/>
          <w:i/>
          <w:iCs/>
        </w:rPr>
        <w:t>EC</w:t>
      </w:r>
      <w:r w:rsidRPr="00FB463B">
        <w:rPr>
          <w:rFonts w:eastAsiaTheme="minorEastAsia" w:cs="Arial"/>
        </w:rPr>
        <w:t xml:space="preserve"> Section 52060(d)(1); however, solely using this definition </w:t>
      </w:r>
      <w:r w:rsidRPr="00FB463B">
        <w:rPr>
          <w:rFonts w:eastAsiaTheme="minorEastAsia" w:cs="Arial"/>
        </w:rPr>
        <w:lastRenderedPageBreak/>
        <w:t xml:space="preserve">does not include individuals in the educator pipeline, such as interns and out-of-field educators. </w:t>
      </w:r>
      <w:r w:rsidR="00AA28EE" w:rsidRPr="00FB463B">
        <w:rPr>
          <w:rFonts w:cs="Arial"/>
        </w:rPr>
        <w:t>Additional considerations related to e</w:t>
      </w:r>
      <w:r w:rsidRPr="00FB463B">
        <w:rPr>
          <w:rFonts w:eastAsiaTheme="minorEastAsia" w:cs="Arial"/>
        </w:rPr>
        <w:t>ducators who are</w:t>
      </w:r>
      <w:r w:rsidR="00AA28EE" w:rsidRPr="00FB463B">
        <w:rPr>
          <w:rFonts w:cs="Arial"/>
        </w:rPr>
        <w:t xml:space="preserve"> </w:t>
      </w:r>
      <w:r w:rsidRPr="00FB463B">
        <w:rPr>
          <w:rFonts w:eastAsiaTheme="minorEastAsia" w:cs="Arial"/>
          <w:b/>
          <w:bCs/>
        </w:rPr>
        <w:t>out-of-field</w:t>
      </w:r>
      <w:r w:rsidR="00AA28EE" w:rsidRPr="00FB463B">
        <w:rPr>
          <w:rFonts w:cs="Arial"/>
        </w:rPr>
        <w:t xml:space="preserve"> </w:t>
      </w:r>
      <w:r w:rsidRPr="00FB463B">
        <w:rPr>
          <w:rFonts w:eastAsiaTheme="minorEastAsia" w:cs="Arial"/>
        </w:rPr>
        <w:t>have a credential and need to demonstrate subject matter competency in a new subject</w:t>
      </w:r>
      <w:r w:rsidR="00AA28EE" w:rsidRPr="00FB463B">
        <w:rPr>
          <w:rFonts w:cs="Arial"/>
        </w:rPr>
        <w:t xml:space="preserve"> </w:t>
      </w:r>
      <w:r w:rsidRPr="00FB463B">
        <w:rPr>
          <w:rFonts w:eastAsiaTheme="minorEastAsia" w:cs="Arial"/>
        </w:rPr>
        <w:t>area assignment</w:t>
      </w:r>
      <w:r w:rsidR="00AA28EE" w:rsidRPr="00FB463B">
        <w:rPr>
          <w:rFonts w:cs="Arial"/>
        </w:rPr>
        <w:t>. Also, e</w:t>
      </w:r>
      <w:r w:rsidRPr="00FB463B">
        <w:rPr>
          <w:rFonts w:eastAsiaTheme="minorEastAsia" w:cs="Arial"/>
        </w:rPr>
        <w:t xml:space="preserve">ducators who are </w:t>
      </w:r>
      <w:r w:rsidRPr="00FB463B">
        <w:rPr>
          <w:rFonts w:eastAsiaTheme="minorEastAsia" w:cs="Arial"/>
          <w:b/>
          <w:bCs/>
        </w:rPr>
        <w:t>interns</w:t>
      </w:r>
      <w:r w:rsidRPr="00FB463B">
        <w:rPr>
          <w:rFonts w:eastAsiaTheme="minorEastAsia" w:cs="Arial"/>
        </w:rPr>
        <w:t xml:space="preserve"> have a bachelor’s degree, subject matter competency, and are working towards obtaining a credential</w:t>
      </w:r>
      <w:r w:rsidR="00AA28EE" w:rsidRPr="00FB463B">
        <w:rPr>
          <w:rFonts w:cs="Arial"/>
        </w:rPr>
        <w:t>.</w:t>
      </w:r>
    </w:p>
    <w:p w14:paraId="0DC635E1" w14:textId="6D11DDCA" w:rsidR="006F7F15" w:rsidRPr="00FB463B" w:rsidRDefault="00AA28EE" w:rsidP="00AC2CAE">
      <w:pPr>
        <w:spacing w:before="240"/>
        <w:rPr>
          <w:rFonts w:eastAsia="Calibri" w:cs="Arial"/>
        </w:rPr>
      </w:pPr>
      <w:r w:rsidRPr="00FB463B">
        <w:rPr>
          <w:rFonts w:cs="Arial"/>
        </w:rPr>
        <w:t xml:space="preserve">Based on these considerations, </w:t>
      </w:r>
      <w:r w:rsidRPr="00FB463B">
        <w:rPr>
          <w:rFonts w:eastAsia="Calibri" w:cs="Arial"/>
        </w:rPr>
        <w:t xml:space="preserve">three options </w:t>
      </w:r>
      <w:r w:rsidR="006B256A" w:rsidRPr="00FB463B">
        <w:rPr>
          <w:rFonts w:eastAsia="Calibri" w:cs="Arial"/>
        </w:rPr>
        <w:t xml:space="preserve">were developed </w:t>
      </w:r>
      <w:r w:rsidRPr="00FB463B">
        <w:rPr>
          <w:rFonts w:eastAsia="Calibri" w:cs="Arial"/>
        </w:rPr>
        <w:t>to include on the 2023 Dashboard based on the clear definition</w:t>
      </w:r>
      <w:r w:rsidR="00CB78F8" w:rsidRPr="00FB463B">
        <w:rPr>
          <w:rFonts w:eastAsia="Calibri" w:cs="Arial"/>
        </w:rPr>
        <w:t>, and included</w:t>
      </w:r>
      <w:r w:rsidRPr="00FB463B">
        <w:rPr>
          <w:rFonts w:eastAsia="Calibri" w:cs="Arial"/>
        </w:rPr>
        <w:t xml:space="preserve"> the following</w:t>
      </w:r>
      <w:r w:rsidR="006F7F15" w:rsidRPr="00FB463B">
        <w:rPr>
          <w:rFonts w:eastAsia="Calibri" w:cs="Arial"/>
        </w:rPr>
        <w:t>:</w:t>
      </w:r>
    </w:p>
    <w:p w14:paraId="080DA314" w14:textId="18FF4D6E" w:rsidR="00AA28EE" w:rsidRPr="00FB463B" w:rsidRDefault="006F7F15" w:rsidP="00AC2CAE">
      <w:pPr>
        <w:spacing w:before="240"/>
        <w:rPr>
          <w:rFonts w:eastAsia="Calibri" w:cs="Arial"/>
          <w:b/>
          <w:bCs/>
        </w:rPr>
      </w:pPr>
      <w:r w:rsidRPr="00FB463B">
        <w:rPr>
          <w:rFonts w:eastAsia="Calibri" w:cs="Arial"/>
          <w:b/>
          <w:bCs/>
        </w:rPr>
        <w:t>Option 1: LEA/County/Statewide Comparisons in Chart Form and Narrative Box</w:t>
      </w:r>
    </w:p>
    <w:tbl>
      <w:tblPr>
        <w:tblStyle w:val="TableGrid"/>
        <w:tblW w:w="0" w:type="auto"/>
        <w:tblLook w:val="04A0" w:firstRow="1" w:lastRow="0" w:firstColumn="1" w:lastColumn="0" w:noHBand="0" w:noVBand="1"/>
        <w:tblCaption w:val="Option 1"/>
        <w:tblDescription w:val="LEA/County/Statewide Comparisons in Chart Form and Narrative Box"/>
      </w:tblPr>
      <w:tblGrid>
        <w:gridCol w:w="2965"/>
        <w:gridCol w:w="2970"/>
        <w:gridCol w:w="2880"/>
      </w:tblGrid>
      <w:tr w:rsidR="00AA28EE" w:rsidRPr="00FB463B" w14:paraId="35C4F6C6" w14:textId="77777777" w:rsidTr="007871ED">
        <w:trPr>
          <w:cantSplit/>
          <w:tblHeader/>
        </w:trPr>
        <w:tc>
          <w:tcPr>
            <w:tcW w:w="2965" w:type="dxa"/>
            <w:vAlign w:val="center"/>
          </w:tcPr>
          <w:p w14:paraId="0E35DB6F" w14:textId="77777777" w:rsidR="00AA28EE" w:rsidRPr="00FB463B" w:rsidRDefault="00AA28EE">
            <w:pPr>
              <w:jc w:val="center"/>
              <w:rPr>
                <w:rFonts w:eastAsia="Calibri" w:cs="Arial"/>
              </w:rPr>
            </w:pPr>
            <w:r w:rsidRPr="00FB463B">
              <w:rPr>
                <w:rFonts w:eastAsia="BIZ UDGothic" w:cs="Arial"/>
                <w:b/>
                <w:bCs/>
                <w:kern w:val="24"/>
              </w:rPr>
              <w:t>Name</w:t>
            </w:r>
          </w:p>
        </w:tc>
        <w:tc>
          <w:tcPr>
            <w:tcW w:w="2970" w:type="dxa"/>
            <w:vAlign w:val="center"/>
          </w:tcPr>
          <w:p w14:paraId="432FE866" w14:textId="77777777" w:rsidR="00AA28EE" w:rsidRPr="00FB463B" w:rsidRDefault="00AA28EE">
            <w:pPr>
              <w:jc w:val="center"/>
              <w:rPr>
                <w:rFonts w:eastAsia="BIZ UDGothic" w:cs="Arial"/>
                <w:b/>
                <w:bCs/>
                <w:kern w:val="24"/>
              </w:rPr>
            </w:pPr>
            <w:r w:rsidRPr="00FB463B">
              <w:rPr>
                <w:rFonts w:eastAsia="BIZ UDGothic" w:cs="Arial"/>
                <w:b/>
                <w:bCs/>
                <w:kern w:val="24"/>
              </w:rPr>
              <w:t>Total Teaching</w:t>
            </w:r>
          </w:p>
          <w:p w14:paraId="1FF357F0" w14:textId="77777777" w:rsidR="00AA28EE" w:rsidRPr="00FB463B" w:rsidRDefault="00AA28EE">
            <w:pPr>
              <w:jc w:val="center"/>
              <w:rPr>
                <w:rFonts w:eastAsia="Calibri" w:cs="Arial"/>
              </w:rPr>
            </w:pPr>
            <w:r w:rsidRPr="00FB463B">
              <w:rPr>
                <w:rFonts w:eastAsia="BIZ UDGothic" w:cs="Arial"/>
                <w:b/>
                <w:bCs/>
                <w:kern w:val="24"/>
              </w:rPr>
              <w:t>Full-time Equivalent (FTE)</w:t>
            </w:r>
          </w:p>
        </w:tc>
        <w:tc>
          <w:tcPr>
            <w:tcW w:w="2880" w:type="dxa"/>
            <w:vAlign w:val="center"/>
          </w:tcPr>
          <w:p w14:paraId="55816595" w14:textId="77777777" w:rsidR="00AA28EE" w:rsidRPr="00FB463B" w:rsidRDefault="00AA28EE">
            <w:pPr>
              <w:jc w:val="center"/>
              <w:rPr>
                <w:rFonts w:eastAsia="BIZ UDGothic" w:cs="Arial"/>
                <w:b/>
                <w:bCs/>
                <w:kern w:val="24"/>
              </w:rPr>
            </w:pPr>
            <w:r w:rsidRPr="00FB463B">
              <w:rPr>
                <w:rFonts w:eastAsia="BIZ UDGothic" w:cs="Arial"/>
                <w:b/>
                <w:bCs/>
                <w:kern w:val="24"/>
              </w:rPr>
              <w:t>Clear</w:t>
            </w:r>
          </w:p>
          <w:p w14:paraId="6022E556" w14:textId="77777777" w:rsidR="00AA28EE" w:rsidRPr="00FB463B" w:rsidRDefault="00AA28EE">
            <w:pPr>
              <w:jc w:val="center"/>
              <w:rPr>
                <w:rFonts w:eastAsia="Calibri" w:cs="Arial"/>
              </w:rPr>
            </w:pPr>
            <w:r w:rsidRPr="00FB463B">
              <w:rPr>
                <w:rFonts w:eastAsia="BIZ UDGothic" w:cs="Arial"/>
                <w:b/>
                <w:bCs/>
                <w:kern w:val="24"/>
              </w:rPr>
              <w:t>(% of teaching FTE)</w:t>
            </w:r>
          </w:p>
        </w:tc>
      </w:tr>
      <w:tr w:rsidR="00AA28EE" w:rsidRPr="00FB463B" w14:paraId="07E6B7A6" w14:textId="77777777" w:rsidTr="007871ED">
        <w:trPr>
          <w:cantSplit/>
        </w:trPr>
        <w:tc>
          <w:tcPr>
            <w:tcW w:w="2965" w:type="dxa"/>
            <w:vAlign w:val="center"/>
          </w:tcPr>
          <w:p w14:paraId="603BDE4C" w14:textId="77777777" w:rsidR="00AA28EE" w:rsidRPr="00FB463B" w:rsidRDefault="00AA28EE">
            <w:pPr>
              <w:rPr>
                <w:rFonts w:eastAsia="Calibri" w:cs="Arial"/>
              </w:rPr>
            </w:pPr>
            <w:r w:rsidRPr="00FB463B">
              <w:rPr>
                <w:rFonts w:eastAsia="BIZ UDGothic" w:cs="Arial"/>
                <w:color w:val="000000" w:themeColor="dark1"/>
                <w:kern w:val="24"/>
              </w:rPr>
              <w:t>Sacramento City Unified</w:t>
            </w:r>
          </w:p>
        </w:tc>
        <w:tc>
          <w:tcPr>
            <w:tcW w:w="2970" w:type="dxa"/>
            <w:vAlign w:val="center"/>
          </w:tcPr>
          <w:p w14:paraId="73CBF7AD" w14:textId="77777777" w:rsidR="00AA28EE" w:rsidRPr="00FB463B" w:rsidRDefault="00AA28EE">
            <w:pPr>
              <w:jc w:val="center"/>
              <w:rPr>
                <w:rFonts w:eastAsia="Calibri" w:cs="Arial"/>
              </w:rPr>
            </w:pPr>
            <w:r w:rsidRPr="00FB463B">
              <w:rPr>
                <w:rFonts w:eastAsia="BIZ UDGothic" w:cs="Arial"/>
                <w:color w:val="000000" w:themeColor="dark1"/>
                <w:kern w:val="24"/>
              </w:rPr>
              <w:t>1,688.4</w:t>
            </w:r>
          </w:p>
        </w:tc>
        <w:tc>
          <w:tcPr>
            <w:tcW w:w="2880" w:type="dxa"/>
            <w:vAlign w:val="center"/>
          </w:tcPr>
          <w:p w14:paraId="72E9A187" w14:textId="77777777" w:rsidR="00AA28EE" w:rsidRPr="00FB463B" w:rsidRDefault="00AA28EE">
            <w:pPr>
              <w:jc w:val="center"/>
              <w:rPr>
                <w:rFonts w:eastAsia="Calibri" w:cs="Arial"/>
              </w:rPr>
            </w:pPr>
            <w:r w:rsidRPr="00FB463B">
              <w:rPr>
                <w:rFonts w:eastAsia="BIZ UDGothic" w:cs="Arial"/>
                <w:color w:val="000000" w:themeColor="dark1"/>
                <w:kern w:val="24"/>
              </w:rPr>
              <w:t>87.3%</w:t>
            </w:r>
          </w:p>
        </w:tc>
      </w:tr>
      <w:tr w:rsidR="00AA28EE" w:rsidRPr="00FB463B" w14:paraId="4577A862" w14:textId="77777777" w:rsidTr="007871ED">
        <w:trPr>
          <w:cantSplit/>
        </w:trPr>
        <w:tc>
          <w:tcPr>
            <w:tcW w:w="2965" w:type="dxa"/>
            <w:vAlign w:val="center"/>
          </w:tcPr>
          <w:p w14:paraId="39201BAB" w14:textId="77777777" w:rsidR="00AA28EE" w:rsidRPr="00FB463B" w:rsidRDefault="00AA28EE">
            <w:pPr>
              <w:rPr>
                <w:rFonts w:eastAsia="Calibri" w:cs="Arial"/>
              </w:rPr>
            </w:pPr>
            <w:r w:rsidRPr="00FB463B">
              <w:rPr>
                <w:rFonts w:eastAsia="BIZ UDGothic" w:cs="Arial"/>
                <w:color w:val="000000" w:themeColor="dark1"/>
                <w:kern w:val="24"/>
              </w:rPr>
              <w:t>Sacramento</w:t>
            </w:r>
          </w:p>
        </w:tc>
        <w:tc>
          <w:tcPr>
            <w:tcW w:w="2970" w:type="dxa"/>
            <w:vAlign w:val="center"/>
          </w:tcPr>
          <w:p w14:paraId="1FD24A16" w14:textId="77777777" w:rsidR="00AA28EE" w:rsidRPr="00FB463B" w:rsidRDefault="00AA28EE">
            <w:pPr>
              <w:jc w:val="center"/>
              <w:rPr>
                <w:rFonts w:eastAsia="Calibri" w:cs="Arial"/>
              </w:rPr>
            </w:pPr>
            <w:r w:rsidRPr="00FB463B">
              <w:rPr>
                <w:rFonts w:eastAsia="BIZ UDGothic" w:cs="Arial"/>
                <w:color w:val="000000" w:themeColor="dark1"/>
                <w:kern w:val="24"/>
              </w:rPr>
              <w:t>9,887.7</w:t>
            </w:r>
          </w:p>
        </w:tc>
        <w:tc>
          <w:tcPr>
            <w:tcW w:w="2880" w:type="dxa"/>
            <w:vAlign w:val="center"/>
          </w:tcPr>
          <w:p w14:paraId="6170F519" w14:textId="77777777" w:rsidR="00AA28EE" w:rsidRPr="00FB463B" w:rsidRDefault="00AA28EE">
            <w:pPr>
              <w:jc w:val="center"/>
              <w:rPr>
                <w:rFonts w:eastAsia="Calibri" w:cs="Arial"/>
              </w:rPr>
            </w:pPr>
            <w:r w:rsidRPr="00FB463B">
              <w:rPr>
                <w:rFonts w:eastAsia="BIZ UDGothic" w:cs="Arial"/>
                <w:color w:val="000000" w:themeColor="dark1"/>
                <w:kern w:val="24"/>
              </w:rPr>
              <w:t>88.3%</w:t>
            </w:r>
          </w:p>
        </w:tc>
      </w:tr>
      <w:tr w:rsidR="00AA28EE" w:rsidRPr="00FB463B" w14:paraId="48A94A96" w14:textId="77777777" w:rsidTr="007871ED">
        <w:trPr>
          <w:cantSplit/>
        </w:trPr>
        <w:tc>
          <w:tcPr>
            <w:tcW w:w="2965" w:type="dxa"/>
            <w:vAlign w:val="center"/>
          </w:tcPr>
          <w:p w14:paraId="1A838B73" w14:textId="77777777" w:rsidR="00AA28EE" w:rsidRPr="00FB463B" w:rsidRDefault="00AA28EE">
            <w:pPr>
              <w:rPr>
                <w:rFonts w:eastAsia="Calibri" w:cs="Arial"/>
              </w:rPr>
            </w:pPr>
            <w:r w:rsidRPr="00FB463B">
              <w:rPr>
                <w:rFonts w:eastAsia="BIZ UDGothic" w:cs="Arial"/>
                <w:color w:val="000000" w:themeColor="dark1"/>
                <w:kern w:val="24"/>
              </w:rPr>
              <w:t>Statewide</w:t>
            </w:r>
          </w:p>
        </w:tc>
        <w:tc>
          <w:tcPr>
            <w:tcW w:w="2970" w:type="dxa"/>
            <w:vAlign w:val="center"/>
          </w:tcPr>
          <w:p w14:paraId="43897812" w14:textId="77777777" w:rsidR="00AA28EE" w:rsidRPr="00FB463B" w:rsidRDefault="00AA28EE">
            <w:pPr>
              <w:jc w:val="center"/>
              <w:rPr>
                <w:rFonts w:eastAsia="Calibri" w:cs="Arial"/>
              </w:rPr>
            </w:pPr>
            <w:r w:rsidRPr="00FB463B">
              <w:rPr>
                <w:rFonts w:eastAsia="BIZ UDGothic" w:cs="Arial"/>
                <w:color w:val="000000" w:themeColor="dark1"/>
                <w:kern w:val="24"/>
              </w:rPr>
              <w:t>246,966.4</w:t>
            </w:r>
          </w:p>
        </w:tc>
        <w:tc>
          <w:tcPr>
            <w:tcW w:w="2880" w:type="dxa"/>
            <w:vAlign w:val="center"/>
          </w:tcPr>
          <w:p w14:paraId="0BD01459" w14:textId="77777777" w:rsidR="00AA28EE" w:rsidRPr="00FB463B" w:rsidRDefault="00AA28EE">
            <w:pPr>
              <w:jc w:val="center"/>
              <w:rPr>
                <w:rFonts w:eastAsia="Calibri" w:cs="Arial"/>
              </w:rPr>
            </w:pPr>
            <w:r w:rsidRPr="00FB463B">
              <w:rPr>
                <w:rFonts w:eastAsia="BIZ UDGothic" w:cs="Arial"/>
                <w:color w:val="000000" w:themeColor="dark1"/>
                <w:kern w:val="24"/>
              </w:rPr>
              <w:t>85.8%</w:t>
            </w:r>
          </w:p>
        </w:tc>
      </w:tr>
    </w:tbl>
    <w:p w14:paraId="219F356F" w14:textId="77777777" w:rsidR="00AA28EE" w:rsidRPr="00FB463B" w:rsidRDefault="00AA28EE" w:rsidP="00AA28EE">
      <w:pPr>
        <w:spacing w:before="240" w:after="240"/>
        <w:rPr>
          <w:rFonts w:eastAsia="Calibri" w:cs="Arial"/>
        </w:rPr>
      </w:pPr>
      <w:r w:rsidRPr="00FB463B">
        <w:rPr>
          <w:rFonts w:eastAsia="Calibri" w:cs="Arial"/>
        </w:rPr>
        <w:t>Optional Narrative (Limited to 1,500 characters): Provide any additional information in the text box provided in the Dashboard that the LEA believes is relevant to understanding its progress towards this measure.</w:t>
      </w:r>
    </w:p>
    <w:p w14:paraId="73D1AE1A" w14:textId="53A2B7DB" w:rsidR="00AA28EE" w:rsidRPr="00FB463B" w:rsidRDefault="006F7F15" w:rsidP="00AA28EE">
      <w:pPr>
        <w:spacing w:before="240"/>
        <w:rPr>
          <w:rFonts w:eastAsia="Calibri" w:cs="Arial"/>
          <w:b/>
          <w:bCs/>
        </w:rPr>
      </w:pPr>
      <w:r w:rsidRPr="00FB463B">
        <w:rPr>
          <w:rFonts w:eastAsia="Calibri" w:cs="Arial"/>
          <w:b/>
          <w:bCs/>
        </w:rPr>
        <w:t>Option 2: Teacher Data in a Narrative</w:t>
      </w:r>
    </w:p>
    <w:p w14:paraId="4E10FFEC" w14:textId="77777777" w:rsidR="00AA28EE" w:rsidRPr="00FB463B" w:rsidRDefault="00AA28EE" w:rsidP="00AA28EE">
      <w:pPr>
        <w:spacing w:before="240" w:after="240"/>
        <w:rPr>
          <w:rFonts w:eastAsia="Calibri" w:cs="Arial"/>
        </w:rPr>
      </w:pPr>
      <w:r w:rsidRPr="00FB463B">
        <w:rPr>
          <w:rFonts w:eastAsia="Calibri" w:cs="Arial"/>
        </w:rPr>
        <w:t xml:space="preserve">In the 2021–22 school year, </w:t>
      </w:r>
      <w:r w:rsidRPr="00FB463B">
        <w:rPr>
          <w:rFonts w:eastAsia="Calibri" w:cs="Arial"/>
          <w:b/>
          <w:bCs/>
        </w:rPr>
        <w:t xml:space="preserve">87.3 percent </w:t>
      </w:r>
      <w:r w:rsidRPr="00FB463B">
        <w:rPr>
          <w:rFonts w:eastAsia="Calibri" w:cs="Arial"/>
        </w:rPr>
        <w:t xml:space="preserve">of teacher assignments were authorized by a clear or preliminary credential or authorized by a local assignment option made pursuant to the California Code of Regulations [T5 §80005(b)] for specific state course codes where a credential or permit does not exist to authorize the indicated teaching assignment (e.g., student government or study hall). This compares to </w:t>
      </w:r>
      <w:r w:rsidRPr="00FB463B">
        <w:rPr>
          <w:rFonts w:eastAsia="Calibri" w:cs="Arial"/>
          <w:b/>
          <w:bCs/>
        </w:rPr>
        <w:t xml:space="preserve">88.3 percent </w:t>
      </w:r>
      <w:r w:rsidRPr="00FB463B">
        <w:rPr>
          <w:rFonts w:eastAsia="Calibri" w:cs="Arial"/>
        </w:rPr>
        <w:t xml:space="preserve">of assignments being clear at the county level and </w:t>
      </w:r>
      <w:r w:rsidRPr="00FB463B">
        <w:rPr>
          <w:rFonts w:eastAsia="Calibri" w:cs="Arial"/>
          <w:b/>
          <w:bCs/>
        </w:rPr>
        <w:t>85.8 percent</w:t>
      </w:r>
      <w:r w:rsidRPr="00FB463B">
        <w:rPr>
          <w:rFonts w:eastAsia="Calibri" w:cs="Arial"/>
        </w:rPr>
        <w:t xml:space="preserve"> of assignments being clear at the state level.</w:t>
      </w:r>
    </w:p>
    <w:p w14:paraId="7D36F0E6" w14:textId="77777777" w:rsidR="006F7F15" w:rsidRPr="00FB463B" w:rsidRDefault="006F7F15" w:rsidP="00AA28EE">
      <w:pPr>
        <w:spacing w:before="240" w:after="240"/>
        <w:rPr>
          <w:rFonts w:eastAsia="Calibri" w:cs="Arial"/>
          <w:b/>
          <w:bCs/>
        </w:rPr>
      </w:pPr>
      <w:r w:rsidRPr="00FB463B">
        <w:rPr>
          <w:rFonts w:eastAsia="Calibri" w:cs="Arial"/>
          <w:b/>
          <w:bCs/>
        </w:rPr>
        <w:t>Option 3: Teacher Data in a Narrative with Above/At/Below</w:t>
      </w:r>
    </w:p>
    <w:p w14:paraId="3FC4A489" w14:textId="77777777" w:rsidR="00AA28EE" w:rsidRPr="00FB463B" w:rsidRDefault="00AA28EE" w:rsidP="00AA28EE">
      <w:pPr>
        <w:spacing w:before="240" w:after="240"/>
        <w:rPr>
          <w:rFonts w:eastAsia="Calibri" w:cs="Arial"/>
        </w:rPr>
      </w:pPr>
      <w:r w:rsidRPr="00FB463B">
        <w:rPr>
          <w:rFonts w:eastAsia="Calibri" w:cs="Arial"/>
        </w:rPr>
        <w:t xml:space="preserve">In the 2021–22 school year, </w:t>
      </w:r>
      <w:r w:rsidRPr="00FB463B">
        <w:rPr>
          <w:rFonts w:eastAsia="Calibri" w:cs="Arial"/>
          <w:b/>
          <w:bCs/>
        </w:rPr>
        <w:t>87.3 percent</w:t>
      </w:r>
      <w:r w:rsidRPr="00FB463B">
        <w:rPr>
          <w:rFonts w:eastAsia="Calibri" w:cs="Arial"/>
        </w:rPr>
        <w:t xml:space="preserve"> of teacher assignments were authorized by a clear or preliminary credential or authorized by a local assignment option made pursuant to the California Code of Regulations [T5 §80005(b)] for specific state course codes where a credential or permit does not exist to authorize the indicated teaching assignment (e.g., student government or study hall). This is </w:t>
      </w:r>
      <w:r w:rsidRPr="00FB463B">
        <w:rPr>
          <w:rFonts w:eastAsia="Calibri" w:cs="Arial"/>
          <w:b/>
          <w:bCs/>
        </w:rPr>
        <w:t>below</w:t>
      </w:r>
      <w:r w:rsidRPr="00FB463B">
        <w:rPr>
          <w:rFonts w:eastAsia="Calibri" w:cs="Arial"/>
        </w:rPr>
        <w:t xml:space="preserve"> the county average of </w:t>
      </w:r>
      <w:r w:rsidRPr="00FB463B">
        <w:rPr>
          <w:rFonts w:eastAsia="Calibri" w:cs="Arial"/>
          <w:b/>
          <w:bCs/>
        </w:rPr>
        <w:t xml:space="preserve">88.3 percent </w:t>
      </w:r>
      <w:r w:rsidRPr="00FB463B">
        <w:rPr>
          <w:rFonts w:eastAsia="Calibri" w:cs="Arial"/>
        </w:rPr>
        <w:t xml:space="preserve">and </w:t>
      </w:r>
      <w:r w:rsidRPr="00FB463B">
        <w:rPr>
          <w:rFonts w:eastAsia="Calibri" w:cs="Arial"/>
          <w:b/>
          <w:bCs/>
        </w:rPr>
        <w:t>above</w:t>
      </w:r>
      <w:r w:rsidRPr="00FB463B">
        <w:rPr>
          <w:rFonts w:eastAsia="Calibri" w:cs="Arial"/>
        </w:rPr>
        <w:t xml:space="preserve"> the state average of </w:t>
      </w:r>
      <w:r w:rsidRPr="00FB463B">
        <w:rPr>
          <w:rFonts w:eastAsia="Calibri" w:cs="Arial"/>
          <w:b/>
          <w:bCs/>
        </w:rPr>
        <w:t>85.8 percent</w:t>
      </w:r>
      <w:r w:rsidRPr="00FB463B">
        <w:rPr>
          <w:rFonts w:eastAsia="Calibri" w:cs="Arial"/>
        </w:rPr>
        <w:t>.</w:t>
      </w:r>
    </w:p>
    <w:p w14:paraId="75E8F4B5" w14:textId="32580BD9" w:rsidR="00AA28EE" w:rsidRPr="00FB463B" w:rsidRDefault="009041E9" w:rsidP="009041E9">
      <w:pPr>
        <w:rPr>
          <w:i/>
          <w:iCs/>
        </w:rPr>
      </w:pPr>
      <w:r w:rsidRPr="00FB463B">
        <w:rPr>
          <w:i/>
          <w:iCs/>
        </w:rPr>
        <w:t xml:space="preserve">Feedback from </w:t>
      </w:r>
      <w:r w:rsidR="00AA28EE" w:rsidRPr="00FB463B">
        <w:rPr>
          <w:i/>
          <w:iCs/>
        </w:rPr>
        <w:t>Educational Partner</w:t>
      </w:r>
      <w:r w:rsidRPr="00FB463B">
        <w:rPr>
          <w:i/>
          <w:iCs/>
        </w:rPr>
        <w:t>s</w:t>
      </w:r>
    </w:p>
    <w:p w14:paraId="0500B4E6" w14:textId="43343D5C" w:rsidR="00AA28EE" w:rsidRPr="00FB463B" w:rsidRDefault="00AA28EE" w:rsidP="00AA28EE">
      <w:pPr>
        <w:spacing w:before="240"/>
        <w:rPr>
          <w:rFonts w:eastAsia="Calibri" w:cs="Arial"/>
        </w:rPr>
      </w:pPr>
      <w:r w:rsidRPr="00FB463B">
        <w:rPr>
          <w:rFonts w:cs="Arial"/>
        </w:rPr>
        <w:t>To assist with bringing this metric onto the Dashboard, the CDE convened an Ad-Hoc Priority 1 Teacher Assignment Data Workgroup (Workgroup) to solicit feedback on the reporting of these data</w:t>
      </w:r>
      <w:r w:rsidR="00EE10CB" w:rsidRPr="00FB463B">
        <w:rPr>
          <w:rFonts w:cs="Arial"/>
        </w:rPr>
        <w:t xml:space="preserve"> in 2022</w:t>
      </w:r>
      <w:r w:rsidRPr="00FB463B">
        <w:rPr>
          <w:rFonts w:cs="Arial"/>
        </w:rPr>
        <w:t xml:space="preserve">. The Workgroup is comprised of representatives from </w:t>
      </w:r>
      <w:r w:rsidRPr="00FB463B">
        <w:rPr>
          <w:rFonts w:cs="Arial"/>
        </w:rPr>
        <w:lastRenderedPageBreak/>
        <w:t xml:space="preserve">the Association of California School Administrators, California County Superintendents Educational Services Association, charter school practitioners, California Teachers Association, and the Equity Coalition. In 2022, the Workgroup supported </w:t>
      </w:r>
      <w:r w:rsidRPr="00FB463B">
        <w:rPr>
          <w:rFonts w:eastAsia="Calibri" w:cs="Arial"/>
        </w:rPr>
        <w:t xml:space="preserve">adding a link to the Dashboard to connect users directly to the Teaching Assignment Monitoring Outcome (TAMO) reports available on </w:t>
      </w:r>
      <w:proofErr w:type="spellStart"/>
      <w:r w:rsidRPr="00FB463B">
        <w:rPr>
          <w:rFonts w:eastAsia="Calibri" w:cs="Arial"/>
        </w:rPr>
        <w:t>DataQuest</w:t>
      </w:r>
      <w:proofErr w:type="spellEnd"/>
      <w:r w:rsidRPr="00FB463B">
        <w:rPr>
          <w:rFonts w:eastAsia="Calibri" w:cs="Arial"/>
        </w:rPr>
        <w:t>.</w:t>
      </w:r>
    </w:p>
    <w:p w14:paraId="072899D3" w14:textId="034D0F58" w:rsidR="00AA28EE" w:rsidRPr="00FB463B" w:rsidRDefault="00AA28EE" w:rsidP="00AA28EE">
      <w:pPr>
        <w:spacing w:before="240"/>
      </w:pPr>
      <w:r w:rsidRPr="00FB463B">
        <w:rPr>
          <w:rFonts w:cs="Arial"/>
        </w:rPr>
        <w:t xml:space="preserve">The CDE re-convened the Workgroup in July 2023 to review the second year of TAMO </w:t>
      </w:r>
      <w:r w:rsidRPr="00FB463B">
        <w:t>reports and solicit op</w:t>
      </w:r>
      <w:r w:rsidR="006F7F15" w:rsidRPr="00FB463B">
        <w:rPr>
          <w:rFonts w:eastAsiaTheme="minorEastAsia"/>
        </w:rPr>
        <w:t>tions for setting objective criteria.</w:t>
      </w:r>
      <w:r w:rsidRPr="00FB463B">
        <w:t xml:space="preserve"> T</w:t>
      </w:r>
      <w:r w:rsidR="006F7F15" w:rsidRPr="00FB463B">
        <w:rPr>
          <w:rFonts w:eastAsiaTheme="minorEastAsia"/>
        </w:rPr>
        <w:t xml:space="preserve">he Workgroup members </w:t>
      </w:r>
      <w:r w:rsidRPr="00FB463B">
        <w:t xml:space="preserve">were surveyed </w:t>
      </w:r>
      <w:r w:rsidR="006F7F15" w:rsidRPr="00FB463B">
        <w:rPr>
          <w:rFonts w:eastAsiaTheme="minorEastAsia"/>
        </w:rPr>
        <w:t>on the three options and Option 1 was overwhelmingly favored by the Workgroup</w:t>
      </w:r>
      <w:r w:rsidR="00EA2B29" w:rsidRPr="00FB463B">
        <w:rPr>
          <w:rFonts w:eastAsiaTheme="minorEastAsia"/>
        </w:rPr>
        <w:t xml:space="preserve"> members</w:t>
      </w:r>
      <w:r w:rsidR="006F7F15" w:rsidRPr="00FB463B">
        <w:rPr>
          <w:rFonts w:eastAsiaTheme="minorEastAsia"/>
        </w:rPr>
        <w:t>.</w:t>
      </w:r>
    </w:p>
    <w:p w14:paraId="3BA1E4F5" w14:textId="269A7395" w:rsidR="00AA28EE" w:rsidRPr="00FB463B" w:rsidRDefault="00AA28EE" w:rsidP="00451DF8">
      <w:pPr>
        <w:spacing w:before="240"/>
      </w:pPr>
      <w:r w:rsidRPr="00FB463B">
        <w:t xml:space="preserve">Additionally, at the August 2023 CPAG meeting, CPAG members </w:t>
      </w:r>
      <w:r w:rsidR="006016ED" w:rsidRPr="00FB463B">
        <w:t xml:space="preserve">supported Option 1 </w:t>
      </w:r>
      <w:r w:rsidR="00532100" w:rsidRPr="00FB463B">
        <w:t>citing</w:t>
      </w:r>
      <w:r w:rsidR="006016ED" w:rsidRPr="00FB463B">
        <w:t xml:space="preserve"> the ease of display and appreciated the narrative box which will allow LEAs (specifically county offices of education and rural districts) to provide their local context.</w:t>
      </w:r>
      <w:r w:rsidR="006F2718" w:rsidRPr="00FB463B">
        <w:t xml:space="preserve"> Members </w:t>
      </w:r>
      <w:r w:rsidR="00CC613C" w:rsidRPr="00FB463B">
        <w:t>also requested a narrative column about a comparison to the statewide average and information on school data within an LEA.</w:t>
      </w:r>
    </w:p>
    <w:p w14:paraId="18831C5A" w14:textId="0E50D6B4" w:rsidR="004A32D3" w:rsidRPr="00FB463B" w:rsidRDefault="003C2BC2" w:rsidP="004A32D3">
      <w:pPr>
        <w:spacing w:before="240"/>
        <w:rPr>
          <w:rFonts w:eastAsia="Calibri" w:cs="Arial"/>
        </w:rPr>
      </w:pPr>
      <w:r w:rsidRPr="00FB463B">
        <w:rPr>
          <w:rFonts w:eastAsia="Calibri" w:cs="Arial"/>
        </w:rPr>
        <w:t>In response to this feedback, the CDE developed Option 1a and recommends that the SBE adopt this report for inclusion on the 2023 Dashboard.</w:t>
      </w:r>
    </w:p>
    <w:p w14:paraId="6DC754D4" w14:textId="12671AFD" w:rsidR="003A5B06" w:rsidRPr="00FB463B" w:rsidRDefault="003A5B06" w:rsidP="004A32D3">
      <w:pPr>
        <w:spacing w:before="240"/>
        <w:rPr>
          <w:rFonts w:eastAsia="Calibri" w:cs="Arial"/>
          <w:b/>
          <w:bCs/>
        </w:rPr>
      </w:pPr>
      <w:r w:rsidRPr="00FB463B">
        <w:rPr>
          <w:rFonts w:eastAsia="Calibri" w:cs="Arial"/>
          <w:b/>
          <w:bCs/>
        </w:rPr>
        <w:t>Option 1a: LEA/County/Statewide Comparisons in Chart Form and Narrative Box</w:t>
      </w:r>
    </w:p>
    <w:tbl>
      <w:tblPr>
        <w:tblStyle w:val="TableGrid"/>
        <w:tblW w:w="0" w:type="auto"/>
        <w:tblLook w:val="04A0" w:firstRow="1" w:lastRow="0" w:firstColumn="1" w:lastColumn="0" w:noHBand="0" w:noVBand="1"/>
        <w:tblCaption w:val="Option 1a"/>
        <w:tblDescription w:val="LEA/County/Statewide Comparisons in Chart Form and Narrative Box"/>
      </w:tblPr>
      <w:tblGrid>
        <w:gridCol w:w="2498"/>
        <w:gridCol w:w="2468"/>
        <w:gridCol w:w="2381"/>
        <w:gridCol w:w="2003"/>
      </w:tblGrid>
      <w:tr w:rsidR="003A5B06" w:rsidRPr="00FB463B" w14:paraId="47F22524" w14:textId="77777777" w:rsidTr="007871ED">
        <w:trPr>
          <w:cantSplit/>
          <w:tblHeader/>
        </w:trPr>
        <w:tc>
          <w:tcPr>
            <w:tcW w:w="2498" w:type="dxa"/>
            <w:vAlign w:val="center"/>
          </w:tcPr>
          <w:p w14:paraId="130E2ED9" w14:textId="77777777" w:rsidR="003A5B06" w:rsidRPr="00FB463B" w:rsidRDefault="003A5B06">
            <w:pPr>
              <w:jc w:val="center"/>
              <w:rPr>
                <w:rFonts w:eastAsia="Calibri" w:cs="Arial"/>
              </w:rPr>
            </w:pPr>
            <w:r w:rsidRPr="00FB463B">
              <w:rPr>
                <w:rFonts w:eastAsia="BIZ UDGothic" w:cs="Arial"/>
                <w:b/>
                <w:bCs/>
                <w:kern w:val="24"/>
              </w:rPr>
              <w:t>Name</w:t>
            </w:r>
          </w:p>
        </w:tc>
        <w:tc>
          <w:tcPr>
            <w:tcW w:w="2468" w:type="dxa"/>
            <w:vAlign w:val="center"/>
          </w:tcPr>
          <w:p w14:paraId="2227E89E" w14:textId="77777777" w:rsidR="003A5B06" w:rsidRPr="00FB463B" w:rsidRDefault="003A5B06">
            <w:pPr>
              <w:jc w:val="center"/>
              <w:rPr>
                <w:rFonts w:eastAsia="BIZ UDGothic" w:cs="Arial"/>
                <w:b/>
                <w:bCs/>
                <w:kern w:val="24"/>
              </w:rPr>
            </w:pPr>
            <w:r w:rsidRPr="00FB463B">
              <w:rPr>
                <w:rFonts w:eastAsia="BIZ UDGothic" w:cs="Arial"/>
                <w:b/>
                <w:bCs/>
                <w:kern w:val="24"/>
              </w:rPr>
              <w:t>Total Teaching</w:t>
            </w:r>
          </w:p>
          <w:p w14:paraId="7013A832" w14:textId="77777777" w:rsidR="003A5B06" w:rsidRPr="00FB463B" w:rsidRDefault="003A5B06">
            <w:pPr>
              <w:jc w:val="center"/>
              <w:rPr>
                <w:rFonts w:eastAsia="Calibri" w:cs="Arial"/>
              </w:rPr>
            </w:pPr>
            <w:r w:rsidRPr="00FB463B">
              <w:rPr>
                <w:rFonts w:eastAsia="BIZ UDGothic" w:cs="Arial"/>
                <w:b/>
                <w:bCs/>
                <w:kern w:val="24"/>
              </w:rPr>
              <w:t>Full-time Equivalent (FTE)</w:t>
            </w:r>
          </w:p>
        </w:tc>
        <w:tc>
          <w:tcPr>
            <w:tcW w:w="2381" w:type="dxa"/>
            <w:vAlign w:val="center"/>
          </w:tcPr>
          <w:p w14:paraId="3D288C36" w14:textId="77777777" w:rsidR="003A5B06" w:rsidRPr="00FB463B" w:rsidRDefault="003A5B06">
            <w:pPr>
              <w:jc w:val="center"/>
              <w:rPr>
                <w:rFonts w:eastAsia="BIZ UDGothic" w:cs="Arial"/>
                <w:b/>
                <w:bCs/>
                <w:kern w:val="24"/>
              </w:rPr>
            </w:pPr>
            <w:r w:rsidRPr="00FB463B">
              <w:rPr>
                <w:rFonts w:eastAsia="BIZ UDGothic" w:cs="Arial"/>
                <w:b/>
                <w:bCs/>
                <w:kern w:val="24"/>
              </w:rPr>
              <w:t>Clear</w:t>
            </w:r>
          </w:p>
          <w:p w14:paraId="5797CBCF" w14:textId="77777777" w:rsidR="003A5B06" w:rsidRPr="00FB463B" w:rsidRDefault="003A5B06">
            <w:pPr>
              <w:jc w:val="center"/>
              <w:rPr>
                <w:rFonts w:eastAsia="Calibri" w:cs="Arial"/>
              </w:rPr>
            </w:pPr>
            <w:r w:rsidRPr="00FB463B">
              <w:rPr>
                <w:rFonts w:eastAsia="BIZ UDGothic" w:cs="Arial"/>
                <w:b/>
                <w:bCs/>
                <w:kern w:val="24"/>
              </w:rPr>
              <w:t>(% of teaching FTE)</w:t>
            </w:r>
          </w:p>
        </w:tc>
        <w:tc>
          <w:tcPr>
            <w:tcW w:w="2003" w:type="dxa"/>
          </w:tcPr>
          <w:p w14:paraId="75729605" w14:textId="77777777" w:rsidR="003A5B06" w:rsidRPr="00FB463B" w:rsidRDefault="003A5B06">
            <w:pPr>
              <w:jc w:val="center"/>
              <w:rPr>
                <w:rFonts w:eastAsia="BIZ UDGothic" w:cs="Arial"/>
                <w:b/>
                <w:bCs/>
                <w:kern w:val="24"/>
              </w:rPr>
            </w:pPr>
            <w:r w:rsidRPr="00FB463B">
              <w:rPr>
                <w:rFonts w:eastAsia="BIZ UDGothic" w:cs="Arial"/>
                <w:b/>
                <w:bCs/>
                <w:kern w:val="24"/>
              </w:rPr>
              <w:t>Comparison to Statewide Average</w:t>
            </w:r>
          </w:p>
        </w:tc>
      </w:tr>
      <w:tr w:rsidR="003A5B06" w:rsidRPr="00FB463B" w14:paraId="6C931E10" w14:textId="77777777" w:rsidTr="007871ED">
        <w:trPr>
          <w:cantSplit/>
        </w:trPr>
        <w:tc>
          <w:tcPr>
            <w:tcW w:w="2498" w:type="dxa"/>
            <w:vAlign w:val="center"/>
          </w:tcPr>
          <w:p w14:paraId="2F87C280" w14:textId="77777777" w:rsidR="003A5B06" w:rsidRPr="00FB463B" w:rsidRDefault="003A5B06">
            <w:pPr>
              <w:rPr>
                <w:rFonts w:eastAsia="Calibri" w:cs="Arial"/>
              </w:rPr>
            </w:pPr>
            <w:r w:rsidRPr="00FB463B">
              <w:rPr>
                <w:rFonts w:eastAsia="BIZ UDGothic" w:cs="Arial"/>
                <w:color w:val="000000" w:themeColor="dark1"/>
                <w:kern w:val="24"/>
              </w:rPr>
              <w:t>Sacramento City Unified</w:t>
            </w:r>
          </w:p>
        </w:tc>
        <w:tc>
          <w:tcPr>
            <w:tcW w:w="2468" w:type="dxa"/>
            <w:vAlign w:val="center"/>
          </w:tcPr>
          <w:p w14:paraId="063D7BF9" w14:textId="77777777" w:rsidR="003A5B06" w:rsidRPr="00FB463B" w:rsidRDefault="003A5B06">
            <w:pPr>
              <w:jc w:val="center"/>
              <w:rPr>
                <w:rFonts w:eastAsia="Calibri" w:cs="Arial"/>
              </w:rPr>
            </w:pPr>
            <w:r w:rsidRPr="00FB463B">
              <w:rPr>
                <w:rFonts w:eastAsia="BIZ UDGothic" w:cs="Arial"/>
                <w:color w:val="000000" w:themeColor="dark1"/>
                <w:kern w:val="24"/>
              </w:rPr>
              <w:t>1,688.4</w:t>
            </w:r>
          </w:p>
        </w:tc>
        <w:tc>
          <w:tcPr>
            <w:tcW w:w="2381" w:type="dxa"/>
            <w:vAlign w:val="center"/>
          </w:tcPr>
          <w:p w14:paraId="7FC9C044" w14:textId="77777777" w:rsidR="003A5B06" w:rsidRPr="00FB463B" w:rsidRDefault="003A5B06">
            <w:pPr>
              <w:jc w:val="center"/>
              <w:rPr>
                <w:rFonts w:eastAsia="Calibri" w:cs="Arial"/>
              </w:rPr>
            </w:pPr>
            <w:r w:rsidRPr="00FB463B">
              <w:rPr>
                <w:rFonts w:eastAsia="BIZ UDGothic" w:cs="Arial"/>
                <w:color w:val="000000" w:themeColor="dark1"/>
                <w:kern w:val="24"/>
              </w:rPr>
              <w:t>87.3%</w:t>
            </w:r>
          </w:p>
        </w:tc>
        <w:tc>
          <w:tcPr>
            <w:tcW w:w="2003" w:type="dxa"/>
          </w:tcPr>
          <w:p w14:paraId="79E1F579" w14:textId="77777777" w:rsidR="003A5B06" w:rsidRPr="00FB463B" w:rsidRDefault="003A5B06">
            <w:pPr>
              <w:jc w:val="center"/>
              <w:rPr>
                <w:rFonts w:eastAsia="BIZ UDGothic" w:cs="Arial"/>
                <w:color w:val="000000" w:themeColor="dark1"/>
                <w:kern w:val="24"/>
              </w:rPr>
            </w:pPr>
            <w:r w:rsidRPr="00FB463B">
              <w:rPr>
                <w:rFonts w:eastAsia="BIZ UDGothic" w:cs="Arial"/>
                <w:color w:val="000000" w:themeColor="dark1"/>
                <w:kern w:val="24"/>
              </w:rPr>
              <w:t>Above</w:t>
            </w:r>
          </w:p>
        </w:tc>
      </w:tr>
      <w:tr w:rsidR="003A5B06" w:rsidRPr="00FB463B" w14:paraId="0D0CBFA4" w14:textId="77777777" w:rsidTr="007871ED">
        <w:trPr>
          <w:cantSplit/>
        </w:trPr>
        <w:tc>
          <w:tcPr>
            <w:tcW w:w="2498" w:type="dxa"/>
            <w:vAlign w:val="center"/>
          </w:tcPr>
          <w:p w14:paraId="62F5366F" w14:textId="77777777" w:rsidR="003A5B06" w:rsidRPr="00FB463B" w:rsidRDefault="003A5B06">
            <w:pPr>
              <w:rPr>
                <w:rFonts w:eastAsia="Calibri" w:cs="Arial"/>
              </w:rPr>
            </w:pPr>
            <w:r w:rsidRPr="00FB463B">
              <w:rPr>
                <w:rFonts w:eastAsia="BIZ UDGothic" w:cs="Arial"/>
                <w:color w:val="000000" w:themeColor="dark1"/>
                <w:kern w:val="24"/>
              </w:rPr>
              <w:t>Sacramento</w:t>
            </w:r>
          </w:p>
        </w:tc>
        <w:tc>
          <w:tcPr>
            <w:tcW w:w="2468" w:type="dxa"/>
            <w:vAlign w:val="center"/>
          </w:tcPr>
          <w:p w14:paraId="74362C71" w14:textId="77777777" w:rsidR="003A5B06" w:rsidRPr="00FB463B" w:rsidRDefault="003A5B06">
            <w:pPr>
              <w:jc w:val="center"/>
              <w:rPr>
                <w:rFonts w:eastAsia="Calibri" w:cs="Arial"/>
              </w:rPr>
            </w:pPr>
            <w:r w:rsidRPr="00FB463B">
              <w:rPr>
                <w:rFonts w:eastAsia="BIZ UDGothic" w:cs="Arial"/>
                <w:color w:val="000000" w:themeColor="dark1"/>
                <w:kern w:val="24"/>
              </w:rPr>
              <w:t>9,887.7</w:t>
            </w:r>
          </w:p>
        </w:tc>
        <w:tc>
          <w:tcPr>
            <w:tcW w:w="2381" w:type="dxa"/>
            <w:vAlign w:val="center"/>
          </w:tcPr>
          <w:p w14:paraId="5D53EF5F" w14:textId="77777777" w:rsidR="003A5B06" w:rsidRPr="00FB463B" w:rsidRDefault="003A5B06">
            <w:pPr>
              <w:jc w:val="center"/>
              <w:rPr>
                <w:rFonts w:eastAsia="Calibri" w:cs="Arial"/>
              </w:rPr>
            </w:pPr>
            <w:r w:rsidRPr="00FB463B">
              <w:rPr>
                <w:rFonts w:eastAsia="BIZ UDGothic" w:cs="Arial"/>
                <w:color w:val="000000" w:themeColor="dark1"/>
                <w:kern w:val="24"/>
              </w:rPr>
              <w:t>88.3%</w:t>
            </w:r>
          </w:p>
        </w:tc>
        <w:tc>
          <w:tcPr>
            <w:tcW w:w="2003" w:type="dxa"/>
          </w:tcPr>
          <w:p w14:paraId="78130752" w14:textId="77777777" w:rsidR="003A5B06" w:rsidRPr="00FB463B" w:rsidRDefault="003A5B06">
            <w:pPr>
              <w:jc w:val="center"/>
              <w:rPr>
                <w:rFonts w:eastAsia="BIZ UDGothic" w:cs="Arial"/>
                <w:color w:val="000000" w:themeColor="dark1"/>
                <w:kern w:val="24"/>
              </w:rPr>
            </w:pPr>
            <w:r w:rsidRPr="00FB463B">
              <w:rPr>
                <w:rFonts w:eastAsia="BIZ UDGothic" w:cs="Arial"/>
                <w:color w:val="000000" w:themeColor="dark1"/>
                <w:kern w:val="24"/>
              </w:rPr>
              <w:t>Above</w:t>
            </w:r>
          </w:p>
        </w:tc>
      </w:tr>
      <w:tr w:rsidR="003A5B06" w:rsidRPr="00FB463B" w14:paraId="14B4DE8F" w14:textId="77777777" w:rsidTr="007871ED">
        <w:trPr>
          <w:cantSplit/>
        </w:trPr>
        <w:tc>
          <w:tcPr>
            <w:tcW w:w="2498" w:type="dxa"/>
            <w:vAlign w:val="center"/>
          </w:tcPr>
          <w:p w14:paraId="3D20AAF4" w14:textId="77777777" w:rsidR="003A5B06" w:rsidRPr="00FB463B" w:rsidRDefault="003A5B06">
            <w:pPr>
              <w:rPr>
                <w:rFonts w:eastAsia="Calibri" w:cs="Arial"/>
              </w:rPr>
            </w:pPr>
            <w:r w:rsidRPr="00FB463B">
              <w:rPr>
                <w:rFonts w:eastAsia="BIZ UDGothic" w:cs="Arial"/>
                <w:color w:val="000000" w:themeColor="dark1"/>
                <w:kern w:val="24"/>
              </w:rPr>
              <w:t>Statewide</w:t>
            </w:r>
          </w:p>
        </w:tc>
        <w:tc>
          <w:tcPr>
            <w:tcW w:w="2468" w:type="dxa"/>
            <w:vAlign w:val="center"/>
          </w:tcPr>
          <w:p w14:paraId="294B2B35" w14:textId="77777777" w:rsidR="003A5B06" w:rsidRPr="00FB463B" w:rsidRDefault="003A5B06">
            <w:pPr>
              <w:jc w:val="center"/>
              <w:rPr>
                <w:rFonts w:eastAsia="Calibri" w:cs="Arial"/>
              </w:rPr>
            </w:pPr>
            <w:r w:rsidRPr="00FB463B">
              <w:rPr>
                <w:rFonts w:eastAsia="BIZ UDGothic" w:cs="Arial"/>
                <w:color w:val="000000" w:themeColor="dark1"/>
                <w:kern w:val="24"/>
              </w:rPr>
              <w:t>246,966.4</w:t>
            </w:r>
          </w:p>
        </w:tc>
        <w:tc>
          <w:tcPr>
            <w:tcW w:w="2381" w:type="dxa"/>
            <w:vAlign w:val="center"/>
          </w:tcPr>
          <w:p w14:paraId="43C55E8E" w14:textId="77777777" w:rsidR="003A5B06" w:rsidRPr="00FB463B" w:rsidRDefault="003A5B06">
            <w:pPr>
              <w:jc w:val="center"/>
              <w:rPr>
                <w:rFonts w:eastAsia="Calibri" w:cs="Arial"/>
              </w:rPr>
            </w:pPr>
            <w:r w:rsidRPr="00FB463B">
              <w:rPr>
                <w:rFonts w:eastAsia="BIZ UDGothic" w:cs="Arial"/>
                <w:color w:val="000000" w:themeColor="dark1"/>
                <w:kern w:val="24"/>
              </w:rPr>
              <w:t>85.8%</w:t>
            </w:r>
          </w:p>
        </w:tc>
        <w:tc>
          <w:tcPr>
            <w:tcW w:w="2003" w:type="dxa"/>
          </w:tcPr>
          <w:p w14:paraId="05C94050" w14:textId="77777777" w:rsidR="003A5B06" w:rsidRPr="00FB463B" w:rsidRDefault="003A5B06">
            <w:pPr>
              <w:jc w:val="center"/>
              <w:rPr>
                <w:rFonts w:eastAsia="BIZ UDGothic" w:cs="Arial"/>
                <w:color w:val="000000" w:themeColor="dark1"/>
                <w:kern w:val="24"/>
              </w:rPr>
            </w:pPr>
            <w:r w:rsidRPr="00FB463B">
              <w:rPr>
                <w:rFonts w:eastAsia="BIZ UDGothic" w:cs="Arial"/>
                <w:color w:val="000000" w:themeColor="dark1"/>
                <w:kern w:val="24"/>
              </w:rPr>
              <w:t>N/A</w:t>
            </w:r>
          </w:p>
        </w:tc>
      </w:tr>
    </w:tbl>
    <w:p w14:paraId="79CACED7" w14:textId="101BF960" w:rsidR="003A5B06" w:rsidRPr="00FB463B" w:rsidRDefault="003A5B06" w:rsidP="003A5B06">
      <w:pPr>
        <w:spacing w:before="240" w:after="240"/>
        <w:rPr>
          <w:rFonts w:eastAsia="Calibri" w:cs="Arial"/>
        </w:rPr>
      </w:pPr>
      <w:r w:rsidRPr="00FB463B">
        <w:rPr>
          <w:rFonts w:eastAsia="Calibri" w:cs="Arial"/>
        </w:rPr>
        <w:t>Optional</w:t>
      </w:r>
      <w:r w:rsidR="00CB5F8D" w:rsidRPr="00FB463B">
        <w:rPr>
          <w:rFonts w:eastAsia="Calibri" w:cs="Arial"/>
        </w:rPr>
        <w:t xml:space="preserve"> </w:t>
      </w:r>
      <w:r w:rsidRPr="00FB463B">
        <w:rPr>
          <w:rFonts w:eastAsia="Calibri" w:cs="Arial"/>
        </w:rPr>
        <w:t>(</w:t>
      </w:r>
      <w:r w:rsidR="00CB5F8D" w:rsidRPr="00FB463B">
        <w:rPr>
          <w:rFonts w:eastAsia="Calibri" w:cs="Arial"/>
        </w:rPr>
        <w:t>Text is l</w:t>
      </w:r>
      <w:r w:rsidRPr="00FB463B">
        <w:rPr>
          <w:rFonts w:eastAsia="Calibri" w:cs="Arial"/>
        </w:rPr>
        <w:t xml:space="preserve">imited to 1,500 characters): Provide any additional information </w:t>
      </w:r>
      <w:r w:rsidR="00CB5F8D" w:rsidRPr="00FB463B">
        <w:rPr>
          <w:rFonts w:eastAsia="Calibri" w:cs="Arial"/>
        </w:rPr>
        <w:t xml:space="preserve">that the local educational agency believes </w:t>
      </w:r>
      <w:r w:rsidRPr="00FB463B">
        <w:rPr>
          <w:rFonts w:eastAsia="Calibri" w:cs="Arial"/>
        </w:rPr>
        <w:t xml:space="preserve">is relevant to understanding its progress </w:t>
      </w:r>
      <w:r w:rsidR="00765838" w:rsidRPr="00FB463B">
        <w:rPr>
          <w:rFonts w:eastAsia="Calibri" w:cs="Arial"/>
        </w:rPr>
        <w:t>on</w:t>
      </w:r>
      <w:r w:rsidRPr="00FB463B">
        <w:rPr>
          <w:rFonts w:eastAsia="Calibri" w:cs="Arial"/>
        </w:rPr>
        <w:t xml:space="preserve"> </w:t>
      </w:r>
      <w:r w:rsidR="00D920C0" w:rsidRPr="00FB463B">
        <w:rPr>
          <w:rFonts w:eastAsia="Calibri" w:cs="Arial"/>
        </w:rPr>
        <w:t xml:space="preserve">meeting the requirements </w:t>
      </w:r>
      <w:r w:rsidR="00CB2F2A" w:rsidRPr="00FB463B">
        <w:rPr>
          <w:rFonts w:eastAsia="Calibri" w:cs="Arial"/>
        </w:rPr>
        <w:t xml:space="preserve">for </w:t>
      </w:r>
      <w:r w:rsidRPr="00FB463B">
        <w:rPr>
          <w:rFonts w:eastAsia="Calibri" w:cs="Arial"/>
        </w:rPr>
        <w:t>this measure.</w:t>
      </w:r>
    </w:p>
    <w:p w14:paraId="3B13483E" w14:textId="7D24B7DF" w:rsidR="003A5B06" w:rsidRPr="00FB463B" w:rsidRDefault="000A4261" w:rsidP="00451DF8">
      <w:pPr>
        <w:spacing w:before="240"/>
      </w:pPr>
      <w:r w:rsidRPr="00FB463B">
        <w:t>For additional information about schools within this local educational agency, p</w:t>
      </w:r>
      <w:r w:rsidR="009311FE" w:rsidRPr="00FB463B">
        <w:t xml:space="preserve">lease visit the Dataquest Teaching Assignment with School Data report at </w:t>
      </w:r>
      <w:hyperlink r:id="rId153" w:tooltip="Dataquest Teaching Assignment with School Data report" w:history="1">
        <w:r w:rsidR="009311FE" w:rsidRPr="00FB463B">
          <w:rPr>
            <w:rStyle w:val="Hyperlink"/>
          </w:rPr>
          <w:t>https://dq.cde.ca.gov/dataquest/DQCensus/TchAssgnOutcomeLevels.aspx?cds=3467439&amp;agglevel=District&amp;year=2021-22&amp;initrow=Yr&amp;ro=y&amp;ro=y</w:t>
        </w:r>
      </w:hyperlink>
      <w:r w:rsidR="009311FE" w:rsidRPr="00FB463B">
        <w:t>.</w:t>
      </w:r>
    </w:p>
    <w:p w14:paraId="3E719553" w14:textId="0AC0974D" w:rsidR="00192F44" w:rsidRPr="00FB463B" w:rsidRDefault="00192F44" w:rsidP="00192F44">
      <w:pPr>
        <w:pStyle w:val="Heading4"/>
      </w:pPr>
      <w:r w:rsidRPr="00FB463B">
        <w:t>Connecting the Dashboard to the California Science Test Results</w:t>
      </w:r>
    </w:p>
    <w:p w14:paraId="4369BD8B" w14:textId="1C5166B6" w:rsidR="00231069" w:rsidRPr="00FB463B" w:rsidRDefault="7013E225" w:rsidP="18E715EE">
      <w:pPr>
        <w:spacing w:after="240"/>
        <w:rPr>
          <w:rFonts w:cs="Arial"/>
        </w:rPr>
      </w:pPr>
      <w:r w:rsidRPr="00FB463B">
        <w:rPr>
          <w:rFonts w:eastAsia="Arial" w:cs="Arial"/>
        </w:rPr>
        <w:t>T</w:t>
      </w:r>
      <w:r w:rsidR="00192F44" w:rsidRPr="00FB463B">
        <w:rPr>
          <w:rFonts w:eastAsia="Arial" w:cs="Arial"/>
        </w:rPr>
        <w:t xml:space="preserve">he </w:t>
      </w:r>
      <w:r w:rsidR="00060673" w:rsidRPr="00FB463B">
        <w:rPr>
          <w:rFonts w:eastAsia="Arial" w:cs="Arial"/>
        </w:rPr>
        <w:t xml:space="preserve">SBE approved the reporting of the </w:t>
      </w:r>
      <w:r w:rsidR="00192F44" w:rsidRPr="00FB463B">
        <w:rPr>
          <w:rFonts w:eastAsia="Arial" w:cs="Arial"/>
        </w:rPr>
        <w:t>California Science Test (CAST) results in the Dashboard</w:t>
      </w:r>
      <w:r w:rsidR="00060673" w:rsidRPr="00FB463B">
        <w:rPr>
          <w:rFonts w:eastAsia="Arial" w:cs="Arial"/>
        </w:rPr>
        <w:t xml:space="preserve"> at their September 2022 meeting</w:t>
      </w:r>
      <w:r w:rsidR="00192F44" w:rsidRPr="00FB463B">
        <w:rPr>
          <w:rFonts w:eastAsia="Arial" w:cs="Arial"/>
        </w:rPr>
        <w:t xml:space="preserve">. </w:t>
      </w:r>
      <w:r w:rsidR="00060673" w:rsidRPr="00FB463B">
        <w:rPr>
          <w:rFonts w:eastAsia="Arial" w:cs="Arial"/>
        </w:rPr>
        <w:t xml:space="preserve">The link to these data </w:t>
      </w:r>
      <w:r w:rsidR="55E21630" w:rsidRPr="00FB463B">
        <w:rPr>
          <w:rFonts w:cs="Arial"/>
        </w:rPr>
        <w:t>acknowledge</w:t>
      </w:r>
      <w:r w:rsidR="00060673" w:rsidRPr="00FB463B">
        <w:rPr>
          <w:rFonts w:cs="Arial"/>
        </w:rPr>
        <w:t>s</w:t>
      </w:r>
      <w:r w:rsidR="00192F44" w:rsidRPr="00FB463B">
        <w:rPr>
          <w:rFonts w:cs="Arial"/>
        </w:rPr>
        <w:t xml:space="preserve"> the importance of science</w:t>
      </w:r>
      <w:r w:rsidR="65A91B16" w:rsidRPr="00FB463B">
        <w:rPr>
          <w:rFonts w:cs="Arial"/>
        </w:rPr>
        <w:t xml:space="preserve"> and the </w:t>
      </w:r>
      <w:r w:rsidR="008707C7" w:rsidRPr="00FB463B">
        <w:rPr>
          <w:rFonts w:cs="Arial"/>
        </w:rPr>
        <w:t>assessments and</w:t>
      </w:r>
      <w:r w:rsidR="00AC3883" w:rsidRPr="00FB463B">
        <w:rPr>
          <w:rFonts w:cs="Arial"/>
        </w:rPr>
        <w:t xml:space="preserve"> allows </w:t>
      </w:r>
      <w:r w:rsidR="00192F44" w:rsidRPr="00FB463B">
        <w:rPr>
          <w:rFonts w:cs="Arial"/>
        </w:rPr>
        <w:t xml:space="preserve">users </w:t>
      </w:r>
      <w:r w:rsidR="00AC3883" w:rsidRPr="00FB463B">
        <w:rPr>
          <w:rFonts w:cs="Arial"/>
        </w:rPr>
        <w:t xml:space="preserve">to </w:t>
      </w:r>
      <w:r w:rsidR="00192F44" w:rsidRPr="00FB463B">
        <w:rPr>
          <w:rFonts w:cs="Arial"/>
        </w:rPr>
        <w:t xml:space="preserve">directly </w:t>
      </w:r>
      <w:r w:rsidR="00AC3883" w:rsidRPr="00FB463B">
        <w:rPr>
          <w:rFonts w:cs="Arial"/>
        </w:rPr>
        <w:t xml:space="preserve">connect </w:t>
      </w:r>
      <w:r w:rsidR="00192F44" w:rsidRPr="00FB463B">
        <w:rPr>
          <w:rFonts w:cs="Arial"/>
        </w:rPr>
        <w:t>to the CAST results.</w:t>
      </w:r>
      <w:r w:rsidR="27963FE3" w:rsidRPr="00FB463B">
        <w:rPr>
          <w:rFonts w:cs="Arial"/>
        </w:rPr>
        <w:t xml:space="preserve"> </w:t>
      </w:r>
      <w:r w:rsidR="6CC51E85" w:rsidRPr="00FB463B">
        <w:rPr>
          <w:rFonts w:eastAsia="Calibri" w:cs="Arial"/>
        </w:rPr>
        <w:t xml:space="preserve">For the 2023 Dashboard, the CDE </w:t>
      </w:r>
      <w:r w:rsidR="00FD75C7" w:rsidRPr="00FB463B">
        <w:rPr>
          <w:rFonts w:eastAsia="Calibri" w:cs="Arial"/>
        </w:rPr>
        <w:t xml:space="preserve">will once again </w:t>
      </w:r>
      <w:r w:rsidR="55262405" w:rsidRPr="00FB463B">
        <w:rPr>
          <w:rFonts w:eastAsia="Calibri" w:cs="Arial"/>
        </w:rPr>
        <w:t>provide the link to each school/LEA’s CAASPP science results</w:t>
      </w:r>
      <w:r w:rsidR="00AC3883" w:rsidRPr="00FB463B">
        <w:rPr>
          <w:rFonts w:eastAsia="Calibri" w:cs="Arial"/>
        </w:rPr>
        <w:t>.</w:t>
      </w:r>
    </w:p>
    <w:p w14:paraId="6EB9B88D" w14:textId="5B61ADFC" w:rsidR="0C50CAC2" w:rsidRPr="00FB463B" w:rsidRDefault="7629CD8C" w:rsidP="00820966">
      <w:pPr>
        <w:rPr>
          <w:rFonts w:cs="Arial"/>
        </w:rPr>
      </w:pPr>
      <w:r w:rsidRPr="00FB463B">
        <w:rPr>
          <w:rFonts w:eastAsia="Calibri" w:cs="Arial"/>
        </w:rPr>
        <w:lastRenderedPageBreak/>
        <w:t xml:space="preserve">Beginning in </w:t>
      </w:r>
      <w:r w:rsidR="00D60A11" w:rsidRPr="00FB463B">
        <w:rPr>
          <w:rFonts w:eastAsia="Calibri" w:cs="Arial"/>
        </w:rPr>
        <w:t>the Fall of 2023</w:t>
      </w:r>
      <w:r w:rsidRPr="00FB463B">
        <w:rPr>
          <w:rFonts w:eastAsia="Calibri" w:cs="Arial"/>
        </w:rPr>
        <w:t xml:space="preserve">, the CDE will </w:t>
      </w:r>
      <w:r w:rsidR="06BA0524" w:rsidRPr="00FB463B">
        <w:rPr>
          <w:rFonts w:eastAsia="Calibri" w:cs="Arial"/>
        </w:rPr>
        <w:t xml:space="preserve">have access to two years of results from </w:t>
      </w:r>
      <w:r w:rsidR="228AF724" w:rsidRPr="00FB463B">
        <w:rPr>
          <w:rFonts w:eastAsia="Calibri" w:cs="Arial"/>
        </w:rPr>
        <w:t xml:space="preserve">the </w:t>
      </w:r>
      <w:r w:rsidR="15C2D29E" w:rsidRPr="00FB463B">
        <w:rPr>
          <w:rFonts w:cs="Arial"/>
        </w:rPr>
        <w:t>2021–22</w:t>
      </w:r>
      <w:r w:rsidR="5A94E8D6" w:rsidRPr="00FB463B">
        <w:rPr>
          <w:rFonts w:cs="Arial"/>
        </w:rPr>
        <w:t xml:space="preserve"> and 2022</w:t>
      </w:r>
      <w:r w:rsidR="07560D97" w:rsidRPr="00FB463B">
        <w:rPr>
          <w:rFonts w:cs="Arial"/>
        </w:rPr>
        <w:t>–</w:t>
      </w:r>
      <w:r w:rsidR="5A94E8D6" w:rsidRPr="00FB463B">
        <w:rPr>
          <w:rFonts w:cs="Arial"/>
        </w:rPr>
        <w:t xml:space="preserve">23 </w:t>
      </w:r>
      <w:r w:rsidR="4334E8F2" w:rsidRPr="00FB463B">
        <w:rPr>
          <w:rFonts w:cs="Arial"/>
        </w:rPr>
        <w:t xml:space="preserve">CAST assessments that were based on the </w:t>
      </w:r>
      <w:r w:rsidR="15C2D29E" w:rsidRPr="00FB463B">
        <w:rPr>
          <w:rFonts w:cs="Arial"/>
        </w:rPr>
        <w:t>revised blueprint</w:t>
      </w:r>
      <w:r w:rsidR="2B24CC7D" w:rsidRPr="00FB463B">
        <w:rPr>
          <w:rFonts w:cs="Arial"/>
        </w:rPr>
        <w:t>.</w:t>
      </w:r>
      <w:r w:rsidR="00CA3F7E" w:rsidRPr="00FB463B">
        <w:rPr>
          <w:rFonts w:cs="Arial"/>
        </w:rPr>
        <w:t xml:space="preserve"> The </w:t>
      </w:r>
      <w:r w:rsidR="00C50F22" w:rsidRPr="00FB463B">
        <w:rPr>
          <w:rFonts w:cs="Arial"/>
        </w:rPr>
        <w:t xml:space="preserve">2024 workplan </w:t>
      </w:r>
      <w:r w:rsidR="00820966" w:rsidRPr="00FB463B">
        <w:rPr>
          <w:rFonts w:cs="Arial"/>
        </w:rPr>
        <w:t xml:space="preserve">will </w:t>
      </w:r>
      <w:r w:rsidR="00A13EFC" w:rsidRPr="00FB463B">
        <w:rPr>
          <w:rFonts w:cs="Arial"/>
        </w:rPr>
        <w:t xml:space="preserve">include the </w:t>
      </w:r>
      <w:r w:rsidR="008B3D52" w:rsidRPr="00FB463B">
        <w:rPr>
          <w:rFonts w:cs="Arial"/>
        </w:rPr>
        <w:t>explor</w:t>
      </w:r>
      <w:r w:rsidR="00A13EFC" w:rsidRPr="00FB463B">
        <w:rPr>
          <w:rFonts w:cs="Arial"/>
        </w:rPr>
        <w:t>ation of</w:t>
      </w:r>
      <w:r w:rsidR="00820966" w:rsidRPr="00FB463B">
        <w:rPr>
          <w:rFonts w:cs="Arial"/>
        </w:rPr>
        <w:t xml:space="preserve"> </w:t>
      </w:r>
      <w:r w:rsidR="008B3D52" w:rsidRPr="00FB463B">
        <w:rPr>
          <w:rFonts w:cs="Arial"/>
        </w:rPr>
        <w:t xml:space="preserve">the </w:t>
      </w:r>
      <w:r w:rsidR="00ED5475" w:rsidRPr="00FB463B">
        <w:rPr>
          <w:rFonts w:cs="Arial"/>
        </w:rPr>
        <w:t xml:space="preserve">inclusion of the CAST results </w:t>
      </w:r>
      <w:r w:rsidR="008B3D52" w:rsidRPr="00FB463B">
        <w:rPr>
          <w:rFonts w:cs="Arial"/>
        </w:rPr>
        <w:t>within</w:t>
      </w:r>
      <w:r w:rsidR="00ED5475" w:rsidRPr="00FB463B">
        <w:rPr>
          <w:rFonts w:cs="Arial"/>
        </w:rPr>
        <w:t xml:space="preserve"> the</w:t>
      </w:r>
      <w:r w:rsidR="00820966" w:rsidRPr="00FB463B">
        <w:rPr>
          <w:rFonts w:cs="Arial"/>
        </w:rPr>
        <w:t xml:space="preserve"> 2024 Dashboard</w:t>
      </w:r>
      <w:r w:rsidR="008B3D52" w:rsidRPr="00FB463B">
        <w:rPr>
          <w:rFonts w:cs="Arial"/>
        </w:rPr>
        <w:t>.</w:t>
      </w:r>
    </w:p>
    <w:p w14:paraId="6568A01B" w14:textId="4E288D1A" w:rsidR="008342CC" w:rsidRPr="00FB463B" w:rsidRDefault="6C86BDE4" w:rsidP="0081393D">
      <w:pPr>
        <w:pStyle w:val="Heading2"/>
      </w:pPr>
      <w:r w:rsidRPr="00FB463B">
        <w:t>Update on the</w:t>
      </w:r>
      <w:r w:rsidR="644F81B3" w:rsidRPr="00FB463B">
        <w:t xml:space="preserve"> </w:t>
      </w:r>
      <w:r w:rsidR="0ECA9686" w:rsidRPr="00FB463B">
        <w:t>Student</w:t>
      </w:r>
      <w:r w:rsidR="18B8839F" w:rsidRPr="00FB463B">
        <w:t xml:space="preserve"> Level</w:t>
      </w:r>
      <w:r w:rsidR="0ECA9686" w:rsidRPr="00FB463B">
        <w:t xml:space="preserve"> </w:t>
      </w:r>
      <w:r w:rsidR="644F81B3" w:rsidRPr="00FB463B">
        <w:t>Growth</w:t>
      </w:r>
      <w:r w:rsidR="0ECA9686" w:rsidRPr="00FB463B">
        <w:t xml:space="preserve"> Model</w:t>
      </w:r>
    </w:p>
    <w:p w14:paraId="4C4F74F9" w14:textId="0F022F36" w:rsidR="256F65DC" w:rsidRPr="00FB463B" w:rsidRDefault="0D3F922F" w:rsidP="7A600B3E">
      <w:pPr>
        <w:spacing w:after="240"/>
        <w:rPr>
          <w:rFonts w:cs="Arial"/>
        </w:rPr>
      </w:pPr>
      <w:r w:rsidRPr="00FB463B">
        <w:rPr>
          <w:rFonts w:cs="Arial"/>
        </w:rPr>
        <w:t xml:space="preserve">Since 2017, the CDE, the Educational Testing Services (ETS), and the SBE have engaged in developing a student growth model for California’s schools and LEAs. </w:t>
      </w:r>
      <w:r w:rsidR="00421DA5" w:rsidRPr="00FB463B">
        <w:rPr>
          <w:rFonts w:cs="Arial"/>
        </w:rPr>
        <w:t>T</w:t>
      </w:r>
      <w:r w:rsidR="5C791365" w:rsidRPr="00FB463B">
        <w:rPr>
          <w:rFonts w:cs="Arial"/>
        </w:rPr>
        <w:t xml:space="preserve">o </w:t>
      </w:r>
      <w:r w:rsidRPr="00FB463B">
        <w:rPr>
          <w:rFonts w:cs="Arial"/>
        </w:rPr>
        <w:t>prepare for the release of the initial set of growth data in 2024</w:t>
      </w:r>
      <w:r w:rsidR="11C70B87" w:rsidRPr="00FB463B">
        <w:rPr>
          <w:rFonts w:cs="Arial"/>
        </w:rPr>
        <w:t>, CDE and ETS worked together to</w:t>
      </w:r>
      <w:r w:rsidRPr="00FB463B">
        <w:rPr>
          <w:rFonts w:cs="Arial"/>
        </w:rPr>
        <w:t xml:space="preserve"> </w:t>
      </w:r>
      <w:r w:rsidR="76BCD35B" w:rsidRPr="00FB463B">
        <w:rPr>
          <w:rFonts w:cs="Arial"/>
        </w:rPr>
        <w:t>develop</w:t>
      </w:r>
      <w:r w:rsidR="37BD2694" w:rsidRPr="00FB463B">
        <w:rPr>
          <w:rFonts w:cs="Arial"/>
        </w:rPr>
        <w:t xml:space="preserve"> prototypes for</w:t>
      </w:r>
      <w:r w:rsidR="76BCD35B" w:rsidRPr="00FB463B">
        <w:rPr>
          <w:rFonts w:cs="Arial"/>
        </w:rPr>
        <w:t xml:space="preserve"> </w:t>
      </w:r>
      <w:r w:rsidR="36509102" w:rsidRPr="00FB463B">
        <w:rPr>
          <w:rFonts w:cs="Arial"/>
        </w:rPr>
        <w:t>visual communication displays and tools</w:t>
      </w:r>
      <w:r w:rsidR="76BCD35B" w:rsidRPr="00FB463B">
        <w:rPr>
          <w:rFonts w:cs="Arial"/>
        </w:rPr>
        <w:t>.</w:t>
      </w:r>
    </w:p>
    <w:p w14:paraId="4C6392C1" w14:textId="56D76808" w:rsidR="008342CC" w:rsidRPr="00FB463B" w:rsidRDefault="34A64652" w:rsidP="7A600B3E">
      <w:pPr>
        <w:pStyle w:val="Heading3"/>
        <w:rPr>
          <w:bCs/>
          <w:szCs w:val="32"/>
        </w:rPr>
      </w:pPr>
      <w:r w:rsidRPr="00FB463B">
        <w:rPr>
          <w:bCs/>
          <w:szCs w:val="32"/>
        </w:rPr>
        <w:t>Dashboard Principles</w:t>
      </w:r>
    </w:p>
    <w:p w14:paraId="5C546775" w14:textId="77777777" w:rsidR="00710E06" w:rsidRPr="00FB463B" w:rsidRDefault="00710E06" w:rsidP="00710E06">
      <w:pPr>
        <w:spacing w:after="240"/>
      </w:pPr>
      <w:r w:rsidRPr="00FB463B">
        <w:t>This work aligns with the following Dashboard Principles:</w:t>
      </w:r>
    </w:p>
    <w:p w14:paraId="1959C0E2" w14:textId="308E5026" w:rsidR="008342CC" w:rsidRPr="00FB463B" w:rsidRDefault="644F81B3" w:rsidP="00C237F4">
      <w:pPr>
        <w:pStyle w:val="Default"/>
        <w:numPr>
          <w:ilvl w:val="0"/>
          <w:numId w:val="5"/>
        </w:numPr>
        <w:spacing w:after="240"/>
      </w:pPr>
      <w:r w:rsidRPr="00FB463B">
        <w:t xml:space="preserve">Principle </w:t>
      </w:r>
      <w:r w:rsidR="2E044946" w:rsidRPr="00FB463B">
        <w:t>2</w:t>
      </w:r>
      <w:r w:rsidRPr="00FB463B">
        <w:t xml:space="preserve">: </w:t>
      </w:r>
      <w:r w:rsidR="2E044946" w:rsidRPr="00FB463B">
        <w:t>Reports opportunity and performance gaps among student groups through the Equity Report that is available for each state indicator.</w:t>
      </w:r>
    </w:p>
    <w:p w14:paraId="2349522E" w14:textId="617622DD" w:rsidR="008342CC" w:rsidRPr="00FB463B" w:rsidRDefault="644F81B3" w:rsidP="00C237F4">
      <w:pPr>
        <w:pStyle w:val="Default"/>
        <w:numPr>
          <w:ilvl w:val="0"/>
          <w:numId w:val="5"/>
        </w:numPr>
        <w:spacing w:after="240"/>
      </w:pPr>
      <w:r w:rsidRPr="00FB463B">
        <w:t xml:space="preserve">Principle </w:t>
      </w:r>
      <w:r w:rsidR="2BAFFDFC" w:rsidRPr="00FB463B">
        <w:t>4</w:t>
      </w:r>
      <w:r w:rsidRPr="00FB463B">
        <w:t xml:space="preserve">: </w:t>
      </w:r>
      <w:r w:rsidR="2BAFFDFC" w:rsidRPr="00FB463B">
        <w:t>Values each indicator equally.</w:t>
      </w:r>
    </w:p>
    <w:p w14:paraId="0C246D40" w14:textId="690E2790" w:rsidR="00EF4CC9" w:rsidRPr="00FB463B" w:rsidRDefault="00EF4CC9" w:rsidP="00C237F4">
      <w:pPr>
        <w:pStyle w:val="Default"/>
        <w:numPr>
          <w:ilvl w:val="0"/>
          <w:numId w:val="5"/>
        </w:numPr>
        <w:spacing w:after="240"/>
        <w:rPr>
          <w:color w:val="auto"/>
        </w:rPr>
      </w:pPr>
      <w:r w:rsidRPr="00FB463B">
        <w:rPr>
          <w:color w:val="auto"/>
        </w:rPr>
        <w:t>Principle 5: Values high performance and growth equally.</w:t>
      </w:r>
    </w:p>
    <w:p w14:paraId="50E1379F" w14:textId="586873EA" w:rsidR="0343B6D8" w:rsidRPr="00FB463B" w:rsidRDefault="0343B6D8" w:rsidP="00C237F4">
      <w:pPr>
        <w:pStyle w:val="Default"/>
        <w:numPr>
          <w:ilvl w:val="0"/>
          <w:numId w:val="5"/>
        </w:numPr>
        <w:spacing w:after="240"/>
        <w:rPr>
          <w:color w:val="auto"/>
        </w:rPr>
      </w:pPr>
      <w:r w:rsidRPr="00FB463B">
        <w:rPr>
          <w:color w:val="auto"/>
        </w:rPr>
        <w:t>Principle 7: Reflects technical quality through measures that are valid and reliable.</w:t>
      </w:r>
    </w:p>
    <w:p w14:paraId="250231EB" w14:textId="5B605494" w:rsidR="0BD25551" w:rsidRPr="00FB463B" w:rsidRDefault="7622731C" w:rsidP="00C237F4">
      <w:pPr>
        <w:pStyle w:val="Default"/>
        <w:numPr>
          <w:ilvl w:val="0"/>
          <w:numId w:val="5"/>
        </w:numPr>
        <w:spacing w:after="240"/>
        <w:rPr>
          <w:color w:val="auto"/>
        </w:rPr>
      </w:pPr>
      <w:r w:rsidRPr="00FB463B">
        <w:rPr>
          <w:color w:val="auto"/>
        </w:rPr>
        <w:t>Principle 10: Is subject to continuous revision and improvement.</w:t>
      </w:r>
    </w:p>
    <w:p w14:paraId="25AD39FD" w14:textId="1D514009" w:rsidR="004D76D6" w:rsidRPr="00FB463B" w:rsidRDefault="17DA3C52" w:rsidP="0019382F">
      <w:pPr>
        <w:pStyle w:val="Heading3"/>
      </w:pPr>
      <w:r w:rsidRPr="00FB463B">
        <w:t>2023 Workplan for the Student Level Growth Model</w:t>
      </w:r>
    </w:p>
    <w:p w14:paraId="4538D3ED" w14:textId="7087CBDE" w:rsidR="009F2E78" w:rsidRPr="00FB463B" w:rsidRDefault="452BE642" w:rsidP="6A98466E">
      <w:pPr>
        <w:spacing w:after="240"/>
      </w:pPr>
      <w:r w:rsidRPr="00FB463B">
        <w:rPr>
          <w:rFonts w:eastAsia="Arial" w:cs="Arial"/>
          <w:color w:val="000000" w:themeColor="text1"/>
        </w:rPr>
        <w:t>The California Department of Education (CDE) has collaborated with Educational Testing Service (ETS) to develop an academic growth model, aggregate measures of student academic growth, and growth model reporting prototypes on behalf of the California State Board of Education (SBE) since 2015.</w:t>
      </w:r>
      <w:r w:rsidRPr="00FB463B">
        <w:rPr>
          <w:rFonts w:eastAsia="Arial" w:cs="Arial"/>
        </w:rPr>
        <w:t xml:space="preserve"> </w:t>
      </w:r>
      <w:r w:rsidR="1EC8BBA7" w:rsidRPr="00FB463B">
        <w:rPr>
          <w:rFonts w:eastAsia="Arial" w:cs="Arial"/>
        </w:rPr>
        <w:t>To support educators, families, and the public, the CDE continu</w:t>
      </w:r>
      <w:r w:rsidR="6408C4E3" w:rsidRPr="00FB463B">
        <w:rPr>
          <w:rFonts w:eastAsia="Arial" w:cs="Arial"/>
        </w:rPr>
        <w:t>ed</w:t>
      </w:r>
      <w:r w:rsidR="1EC8BBA7" w:rsidRPr="00FB463B">
        <w:rPr>
          <w:rFonts w:eastAsia="Arial" w:cs="Arial"/>
        </w:rPr>
        <w:t xml:space="preserve"> to develop communication materials to assist the public with the interpretations and purpose of </w:t>
      </w:r>
      <w:r w:rsidR="629230D0" w:rsidRPr="00FB463B">
        <w:rPr>
          <w:rFonts w:eastAsia="Arial" w:cs="Arial"/>
        </w:rPr>
        <w:t xml:space="preserve">the student level growth </w:t>
      </w:r>
      <w:r w:rsidR="1EC8BBA7" w:rsidRPr="00FB463B">
        <w:rPr>
          <w:rFonts w:eastAsia="Arial" w:cs="Arial"/>
        </w:rPr>
        <w:t xml:space="preserve">data. </w:t>
      </w:r>
      <w:r w:rsidR="26959F09" w:rsidRPr="00FB463B">
        <w:rPr>
          <w:rFonts w:eastAsia="Arial" w:cs="Arial"/>
        </w:rPr>
        <w:t>CDE initiated this work in the Fall of 2021 when it</w:t>
      </w:r>
      <w:r w:rsidR="1EC8BBA7" w:rsidRPr="00FB463B">
        <w:rPr>
          <w:rFonts w:eastAsia="Arial" w:cs="Arial"/>
        </w:rPr>
        <w:t xml:space="preserve"> </w:t>
      </w:r>
      <w:r w:rsidR="3A5CE060" w:rsidRPr="00FB463B">
        <w:rPr>
          <w:rFonts w:eastAsia="Arial" w:cs="Arial"/>
        </w:rPr>
        <w:t xml:space="preserve">created a communications toolkit and </w:t>
      </w:r>
      <w:r w:rsidR="1EC8BBA7" w:rsidRPr="00FB463B">
        <w:rPr>
          <w:rFonts w:eastAsia="Arial" w:cs="Arial"/>
        </w:rPr>
        <w:t>hosted an information</w:t>
      </w:r>
      <w:r w:rsidR="1F086725" w:rsidRPr="00FB463B">
        <w:rPr>
          <w:rFonts w:eastAsia="Arial" w:cs="Arial"/>
        </w:rPr>
        <w:t>al</w:t>
      </w:r>
      <w:r w:rsidR="1EC8BBA7" w:rsidRPr="00FB463B">
        <w:rPr>
          <w:rFonts w:eastAsia="Arial" w:cs="Arial"/>
        </w:rPr>
        <w:t xml:space="preserve"> webinar on the growth model </w:t>
      </w:r>
      <w:r w:rsidR="07AB77F7" w:rsidRPr="00FB463B">
        <w:rPr>
          <w:rFonts w:eastAsia="Arial" w:cs="Arial"/>
        </w:rPr>
        <w:t xml:space="preserve">to coincide with the </w:t>
      </w:r>
      <w:r w:rsidR="1EC8BBA7" w:rsidRPr="00FB463B">
        <w:rPr>
          <w:rFonts w:eastAsia="Arial" w:cs="Arial"/>
        </w:rPr>
        <w:t xml:space="preserve">release </w:t>
      </w:r>
      <w:r w:rsidR="4F22FFAC" w:rsidRPr="00FB463B">
        <w:rPr>
          <w:rFonts w:eastAsia="Arial" w:cs="Arial"/>
        </w:rPr>
        <w:t>of</w:t>
      </w:r>
      <w:r w:rsidR="1EC8BBA7" w:rsidRPr="00FB463B">
        <w:rPr>
          <w:rFonts w:eastAsia="Arial" w:cs="Arial"/>
        </w:rPr>
        <w:t xml:space="preserve"> historical student growth scores from 2016</w:t>
      </w:r>
      <w:r w:rsidR="23221C2F" w:rsidRPr="00FB463B">
        <w:rPr>
          <w:rFonts w:eastAsia="Arial" w:cs="Arial"/>
        </w:rPr>
        <w:t>–</w:t>
      </w:r>
      <w:r w:rsidR="1EC8BBA7" w:rsidRPr="00FB463B">
        <w:rPr>
          <w:rFonts w:eastAsia="Arial" w:cs="Arial"/>
        </w:rPr>
        <w:t>17, 2017</w:t>
      </w:r>
      <w:r w:rsidR="23221C2F" w:rsidRPr="00FB463B">
        <w:rPr>
          <w:rFonts w:eastAsia="Arial" w:cs="Arial"/>
        </w:rPr>
        <w:t>–</w:t>
      </w:r>
      <w:r w:rsidR="1EC8BBA7" w:rsidRPr="00FB463B">
        <w:rPr>
          <w:rFonts w:eastAsia="Arial" w:cs="Arial"/>
        </w:rPr>
        <w:t>18, and 2018</w:t>
      </w:r>
      <w:r w:rsidR="23221C2F" w:rsidRPr="00FB463B">
        <w:rPr>
          <w:rFonts w:eastAsia="Arial" w:cs="Arial"/>
        </w:rPr>
        <w:t>–</w:t>
      </w:r>
      <w:r w:rsidR="1EC8BBA7" w:rsidRPr="00FB463B">
        <w:rPr>
          <w:rFonts w:eastAsia="Arial" w:cs="Arial"/>
        </w:rPr>
        <w:t>19 in 2021 at the LEA, school, and student group levels.</w:t>
      </w:r>
    </w:p>
    <w:p w14:paraId="72167913" w14:textId="58EDEC7E" w:rsidR="009F2E78" w:rsidRPr="00FB463B" w:rsidRDefault="6CCBD59A" w:rsidP="00655895">
      <w:pPr>
        <w:spacing w:after="240"/>
        <w:rPr>
          <w:rFonts w:eastAsia="Arial" w:cs="Arial"/>
          <w:color w:val="000000" w:themeColor="text1"/>
        </w:rPr>
      </w:pPr>
      <w:r w:rsidRPr="00FB463B">
        <w:rPr>
          <w:rFonts w:eastAsia="Arial" w:cs="Arial"/>
          <w:color w:val="000000" w:themeColor="text1"/>
        </w:rPr>
        <w:t>In June 2021, the CDE released an informational aggregate growth score data file to schools and LEAs based on Smarter Balanced data from the 2016</w:t>
      </w:r>
      <w:r w:rsidR="00421DA5" w:rsidRPr="00FB463B">
        <w:rPr>
          <w:rFonts w:eastAsia="Arial" w:cs="Arial"/>
          <w:color w:val="000000" w:themeColor="text1"/>
        </w:rPr>
        <w:t>–</w:t>
      </w:r>
      <w:r w:rsidRPr="00FB463B">
        <w:rPr>
          <w:rFonts w:eastAsia="Arial" w:cs="Arial"/>
          <w:color w:val="000000" w:themeColor="text1"/>
        </w:rPr>
        <w:t>17, 2017</w:t>
      </w:r>
      <w:r w:rsidR="00421DA5" w:rsidRPr="00FB463B">
        <w:rPr>
          <w:rFonts w:eastAsia="Arial" w:cs="Arial"/>
          <w:color w:val="000000" w:themeColor="text1"/>
        </w:rPr>
        <w:t>–</w:t>
      </w:r>
      <w:r w:rsidRPr="00FB463B">
        <w:rPr>
          <w:rFonts w:eastAsia="Arial" w:cs="Arial"/>
          <w:color w:val="000000" w:themeColor="text1"/>
        </w:rPr>
        <w:t>18, and 2018</w:t>
      </w:r>
      <w:r w:rsidR="00421DA5" w:rsidRPr="00FB463B">
        <w:rPr>
          <w:rFonts w:eastAsia="Arial" w:cs="Arial"/>
          <w:color w:val="000000" w:themeColor="text1"/>
        </w:rPr>
        <w:t>–</w:t>
      </w:r>
      <w:r w:rsidRPr="00FB463B">
        <w:rPr>
          <w:rFonts w:eastAsia="Arial" w:cs="Arial"/>
          <w:color w:val="000000" w:themeColor="text1"/>
        </w:rPr>
        <w:t xml:space="preserve">19 school years. The </w:t>
      </w:r>
      <w:r w:rsidR="00E86B39" w:rsidRPr="00FB463B">
        <w:rPr>
          <w:rFonts w:eastAsia="Arial" w:cs="Arial"/>
          <w:color w:val="000000" w:themeColor="text1"/>
        </w:rPr>
        <w:t xml:space="preserve">goal of the </w:t>
      </w:r>
      <w:r w:rsidRPr="00FB463B">
        <w:rPr>
          <w:rFonts w:eastAsia="Arial" w:cs="Arial"/>
          <w:color w:val="000000" w:themeColor="text1"/>
        </w:rPr>
        <w:t>data release</w:t>
      </w:r>
      <w:r w:rsidR="00E86B39" w:rsidRPr="00FB463B">
        <w:rPr>
          <w:rFonts w:eastAsia="Arial" w:cs="Arial"/>
          <w:color w:val="000000" w:themeColor="text1"/>
        </w:rPr>
        <w:t xml:space="preserve"> was</w:t>
      </w:r>
      <w:r w:rsidRPr="00FB463B">
        <w:rPr>
          <w:rFonts w:eastAsia="Arial" w:cs="Arial"/>
          <w:color w:val="000000" w:themeColor="text1"/>
        </w:rPr>
        <w:t xml:space="preserve"> to familiarize school and LEA staff with growth scores on historical data without any consequential use. </w:t>
      </w:r>
      <w:r w:rsidR="00E86B39" w:rsidRPr="00FB463B">
        <w:rPr>
          <w:rFonts w:eastAsia="Arial" w:cs="Arial"/>
          <w:color w:val="000000" w:themeColor="text1"/>
        </w:rPr>
        <w:t>I</w:t>
      </w:r>
      <w:r w:rsidRPr="00FB463B">
        <w:rPr>
          <w:rFonts w:eastAsia="Arial" w:cs="Arial"/>
          <w:color w:val="000000" w:themeColor="text1"/>
        </w:rPr>
        <w:t xml:space="preserve">n July 2021, </w:t>
      </w:r>
      <w:r w:rsidRPr="00FB463B">
        <w:rPr>
          <w:rFonts w:eastAsia="Arial" w:cs="Arial"/>
          <w:color w:val="000000" w:themeColor="text1"/>
        </w:rPr>
        <w:lastRenderedPageBreak/>
        <w:t xml:space="preserve">the CDE and ETS began work on a growth </w:t>
      </w:r>
      <w:r w:rsidR="00E86B39" w:rsidRPr="00FB463B">
        <w:rPr>
          <w:rFonts w:eastAsia="Arial" w:cs="Arial"/>
          <w:color w:val="000000" w:themeColor="text1"/>
        </w:rPr>
        <w:t xml:space="preserve">model reporting </w:t>
      </w:r>
      <w:r w:rsidRPr="00FB463B">
        <w:rPr>
          <w:rFonts w:eastAsia="Arial" w:cs="Arial"/>
          <w:color w:val="000000" w:themeColor="text1"/>
        </w:rPr>
        <w:t>communication plan, the first step of which was to identify key audiences for growth model reporting. Those audiences are as follows:</w:t>
      </w:r>
    </w:p>
    <w:p w14:paraId="67DBE5BE" w14:textId="25471678" w:rsidR="009F2E78" w:rsidRPr="00FB463B" w:rsidRDefault="6CCBD59A" w:rsidP="6A98466E">
      <w:pPr>
        <w:ind w:left="720"/>
        <w:rPr>
          <w:rFonts w:eastAsia="Arial" w:cs="Arial"/>
          <w:color w:val="000000" w:themeColor="text1"/>
        </w:rPr>
      </w:pPr>
      <w:r w:rsidRPr="00FB463B">
        <w:rPr>
          <w:rFonts w:eastAsia="Arial" w:cs="Arial"/>
          <w:b/>
          <w:bCs/>
          <w:color w:val="000000" w:themeColor="text1"/>
        </w:rPr>
        <w:t xml:space="preserve">Audience 1: Parents, guardians, teachers, policymakers, </w:t>
      </w:r>
      <w:proofErr w:type="gramStart"/>
      <w:r w:rsidRPr="00FB463B">
        <w:rPr>
          <w:rFonts w:eastAsia="Arial" w:cs="Arial"/>
          <w:b/>
          <w:bCs/>
          <w:color w:val="000000" w:themeColor="text1"/>
        </w:rPr>
        <w:t>general public</w:t>
      </w:r>
      <w:proofErr w:type="gramEnd"/>
      <w:r w:rsidRPr="00FB463B">
        <w:rPr>
          <w:rFonts w:eastAsia="Arial" w:cs="Arial"/>
          <w:b/>
          <w:bCs/>
          <w:color w:val="000000" w:themeColor="text1"/>
        </w:rPr>
        <w:t>.</w:t>
      </w:r>
    </w:p>
    <w:p w14:paraId="62061F89" w14:textId="0D125375" w:rsidR="009F2E78" w:rsidRPr="00FB463B" w:rsidRDefault="6CCBD59A" w:rsidP="00655895">
      <w:pPr>
        <w:spacing w:after="240"/>
        <w:ind w:left="720"/>
        <w:rPr>
          <w:rFonts w:eastAsia="Arial" w:cs="Arial"/>
          <w:color w:val="000000" w:themeColor="text1"/>
        </w:rPr>
      </w:pPr>
      <w:r w:rsidRPr="00FB463B">
        <w:rPr>
          <w:rFonts w:eastAsia="Arial" w:cs="Arial"/>
          <w:color w:val="000000" w:themeColor="text1"/>
        </w:rPr>
        <w:t>The primary design principle adopted in developing prototypes for this audience was to provide non-technical visual and textual interpretations of aggregate scores to avoid misinterpretation.</w:t>
      </w:r>
    </w:p>
    <w:p w14:paraId="21016542" w14:textId="2C034A8C" w:rsidR="009F2E78" w:rsidRPr="00FB463B" w:rsidRDefault="6CCBD59A" w:rsidP="6A98466E">
      <w:pPr>
        <w:ind w:left="720"/>
        <w:rPr>
          <w:rFonts w:eastAsia="Arial" w:cs="Arial"/>
          <w:color w:val="000000" w:themeColor="text1"/>
        </w:rPr>
      </w:pPr>
      <w:r w:rsidRPr="00FB463B">
        <w:rPr>
          <w:rFonts w:eastAsia="Arial" w:cs="Arial"/>
          <w:b/>
          <w:bCs/>
          <w:color w:val="000000" w:themeColor="text1"/>
        </w:rPr>
        <w:t>Audience 2: School and LEA data administrators.</w:t>
      </w:r>
    </w:p>
    <w:p w14:paraId="280CD77E" w14:textId="7A4E879A" w:rsidR="009F2E78" w:rsidRPr="00FB463B" w:rsidRDefault="6CCBD59A" w:rsidP="00655895">
      <w:pPr>
        <w:spacing w:after="240"/>
        <w:ind w:left="720"/>
        <w:rPr>
          <w:rFonts w:eastAsia="Arial" w:cs="Arial"/>
          <w:color w:val="000000" w:themeColor="text1"/>
        </w:rPr>
      </w:pPr>
      <w:r w:rsidRPr="00FB463B">
        <w:rPr>
          <w:rFonts w:eastAsia="Arial" w:cs="Arial"/>
          <w:color w:val="000000" w:themeColor="text1"/>
        </w:rPr>
        <w:t>This audience was assumed to be composed of those responsible for data analysis and data interpretation to support school and LEA leaders. The primary design principle adopted in developing prototypes for this audience was to assume some quantitative background, expressly providing interpretive language for more technical concepts.</w:t>
      </w:r>
    </w:p>
    <w:p w14:paraId="2473F308" w14:textId="7D81C33C" w:rsidR="009F2E78" w:rsidRPr="00FB463B" w:rsidRDefault="6CCBD59A" w:rsidP="6A98466E">
      <w:pPr>
        <w:ind w:left="720"/>
        <w:rPr>
          <w:rFonts w:eastAsia="Arial" w:cs="Arial"/>
          <w:color w:val="000000" w:themeColor="text1"/>
        </w:rPr>
      </w:pPr>
      <w:r w:rsidRPr="00FB463B">
        <w:rPr>
          <w:rFonts w:eastAsia="Arial" w:cs="Arial"/>
          <w:b/>
          <w:bCs/>
          <w:color w:val="000000" w:themeColor="text1"/>
        </w:rPr>
        <w:t>Audience 3: Data professionals</w:t>
      </w:r>
    </w:p>
    <w:p w14:paraId="4B331CEE" w14:textId="1FF33C29" w:rsidR="009F2E78" w:rsidRPr="00FB463B" w:rsidRDefault="6CCBD59A" w:rsidP="00655895">
      <w:pPr>
        <w:spacing w:after="240"/>
        <w:ind w:left="720"/>
        <w:rPr>
          <w:rFonts w:eastAsia="Arial" w:cs="Arial"/>
          <w:color w:val="000000" w:themeColor="text1"/>
        </w:rPr>
      </w:pPr>
      <w:r w:rsidRPr="00FB463B">
        <w:rPr>
          <w:rFonts w:eastAsia="Arial" w:cs="Arial"/>
          <w:color w:val="000000" w:themeColor="text1"/>
        </w:rPr>
        <w:t>This audience is assumed to be composed of researchers, analysts, and quantitative methodologists with advanced statistical training. The primary design principle for this audience is to assume significant quantitative training only up to polynomial regression models in the linear modeling framework.</w:t>
      </w:r>
    </w:p>
    <w:p w14:paraId="6AC14FA7" w14:textId="59FB8D81" w:rsidR="009F2E78" w:rsidRPr="00FB463B" w:rsidRDefault="5AD618D8" w:rsidP="6A98466E">
      <w:pPr>
        <w:spacing w:after="240"/>
      </w:pPr>
      <w:r w:rsidRPr="00FB463B">
        <w:rPr>
          <w:rFonts w:eastAsia="Arial" w:cs="Arial"/>
          <w:i/>
          <w:iCs/>
        </w:rPr>
        <w:t>Focus Groups and Visualizations</w:t>
      </w:r>
    </w:p>
    <w:p w14:paraId="47E7754A" w14:textId="77C422E7" w:rsidR="009F2E78" w:rsidRPr="00FB463B" w:rsidRDefault="6CCBD59A" w:rsidP="00655895">
      <w:pPr>
        <w:spacing w:after="240"/>
        <w:rPr>
          <w:rFonts w:eastAsia="Arial" w:cs="Arial"/>
          <w:color w:val="000000" w:themeColor="text1"/>
        </w:rPr>
      </w:pPr>
      <w:r w:rsidRPr="00FB463B">
        <w:rPr>
          <w:rFonts w:eastAsia="Arial" w:cs="Arial"/>
          <w:color w:val="000000" w:themeColor="text1"/>
        </w:rPr>
        <w:t>Beginning in July 2021 and continuing into the present, the CDE has collaborated with ETS and C2 (ETS’s focus group subcontractor) to iteratively develop, solicit feedback on, and refine prototype growth reports for all three audiences.</w:t>
      </w:r>
    </w:p>
    <w:p w14:paraId="25DC3E0A" w14:textId="61BB7EC1" w:rsidR="009F2E78" w:rsidRPr="00FB463B" w:rsidRDefault="6CCBD59A" w:rsidP="00655895">
      <w:pPr>
        <w:spacing w:after="240"/>
        <w:rPr>
          <w:rFonts w:eastAsia="Arial" w:cs="Arial"/>
          <w:color w:val="000000" w:themeColor="text1"/>
        </w:rPr>
      </w:pPr>
      <w:r w:rsidRPr="00FB463B">
        <w:rPr>
          <w:rFonts w:eastAsia="Arial" w:cs="Arial"/>
          <w:color w:val="000000" w:themeColor="text1"/>
        </w:rPr>
        <w:t xml:space="preserve">In </w:t>
      </w:r>
      <w:r w:rsidR="3791BAB2" w:rsidRPr="00FB463B">
        <w:rPr>
          <w:rFonts w:eastAsia="Arial" w:cs="Arial"/>
          <w:color w:val="000000" w:themeColor="text1"/>
        </w:rPr>
        <w:t xml:space="preserve">preparation for the focus group process, </w:t>
      </w:r>
      <w:r w:rsidR="1F55DBD7" w:rsidRPr="00FB463B">
        <w:rPr>
          <w:rFonts w:eastAsia="Arial" w:cs="Arial"/>
          <w:color w:val="000000" w:themeColor="text1"/>
        </w:rPr>
        <w:t xml:space="preserve">the </w:t>
      </w:r>
      <w:r w:rsidRPr="00FB463B">
        <w:rPr>
          <w:rFonts w:eastAsia="Arial" w:cs="Arial"/>
          <w:color w:val="000000" w:themeColor="text1"/>
        </w:rPr>
        <w:t xml:space="preserve">TDG </w:t>
      </w:r>
      <w:r w:rsidR="5846CE8E" w:rsidRPr="00FB463B">
        <w:rPr>
          <w:rFonts w:eastAsia="Arial" w:cs="Arial"/>
          <w:color w:val="000000" w:themeColor="text1"/>
        </w:rPr>
        <w:t xml:space="preserve">initially </w:t>
      </w:r>
      <w:r w:rsidRPr="00FB463B">
        <w:rPr>
          <w:rFonts w:eastAsia="Arial" w:cs="Arial"/>
          <w:color w:val="000000" w:themeColor="text1"/>
        </w:rPr>
        <w:t>reviewed and provided feedback on the preliminary prototypes for audiences 1 and 2</w:t>
      </w:r>
      <w:r w:rsidR="2A30F8C7" w:rsidRPr="00FB463B">
        <w:rPr>
          <w:rFonts w:eastAsia="Arial" w:cs="Arial"/>
          <w:color w:val="000000" w:themeColor="text1"/>
        </w:rPr>
        <w:t xml:space="preserve"> in February 2023 and</w:t>
      </w:r>
      <w:r w:rsidRPr="00FB463B">
        <w:rPr>
          <w:rFonts w:eastAsia="Arial" w:cs="Arial"/>
          <w:color w:val="000000" w:themeColor="text1"/>
        </w:rPr>
        <w:t xml:space="preserve"> ETS then made modifications suggested by the TDG.</w:t>
      </w:r>
    </w:p>
    <w:p w14:paraId="6D2297F0" w14:textId="2626DF1E" w:rsidR="009F2E78" w:rsidRPr="00FB463B" w:rsidRDefault="6CCBD59A" w:rsidP="009C2989">
      <w:pPr>
        <w:spacing w:after="240"/>
        <w:rPr>
          <w:rFonts w:eastAsia="Arial" w:cs="Arial"/>
          <w:color w:val="000000" w:themeColor="text1"/>
        </w:rPr>
      </w:pPr>
      <w:r w:rsidRPr="00FB463B">
        <w:rPr>
          <w:rFonts w:eastAsia="Arial" w:cs="Arial"/>
          <w:color w:val="000000" w:themeColor="text1"/>
        </w:rPr>
        <w:t>In early March 2023, C2 facilitated a focus group of parents, guardians, and teachers (conducted in English) who were presented with a variety of elements of growth reports and a variety of options for presenting each element. Focus group members expressed a strong desire for including each proposed element of growth reports:</w:t>
      </w:r>
    </w:p>
    <w:p w14:paraId="2D9F628A" w14:textId="54D7337C" w:rsidR="009F2E78" w:rsidRPr="00FB463B" w:rsidRDefault="6CCBD59A" w:rsidP="00C237F4">
      <w:pPr>
        <w:pStyle w:val="ListParagraph"/>
        <w:numPr>
          <w:ilvl w:val="0"/>
          <w:numId w:val="4"/>
        </w:numPr>
        <w:rPr>
          <w:rFonts w:eastAsia="Arial" w:cs="Arial"/>
          <w:color w:val="000000" w:themeColor="text1"/>
        </w:rPr>
      </w:pPr>
      <w:r w:rsidRPr="00FB463B">
        <w:rPr>
          <w:rFonts w:eastAsia="Arial" w:cs="Arial"/>
          <w:color w:val="000000" w:themeColor="text1"/>
        </w:rPr>
        <w:t>Average growth scores for each student group,</w:t>
      </w:r>
    </w:p>
    <w:p w14:paraId="7573C567" w14:textId="71E23FAF" w:rsidR="009F2E78" w:rsidRPr="00FB463B" w:rsidRDefault="6CCBD59A" w:rsidP="00C237F4">
      <w:pPr>
        <w:pStyle w:val="ListParagraph"/>
        <w:numPr>
          <w:ilvl w:val="0"/>
          <w:numId w:val="4"/>
        </w:numPr>
        <w:rPr>
          <w:rFonts w:eastAsia="Arial" w:cs="Arial"/>
          <w:color w:val="000000" w:themeColor="text1"/>
        </w:rPr>
      </w:pPr>
      <w:r w:rsidRPr="00FB463B">
        <w:rPr>
          <w:rFonts w:eastAsia="Arial" w:cs="Arial"/>
          <w:color w:val="000000" w:themeColor="text1"/>
        </w:rPr>
        <w:t xml:space="preserve">Confidence intervals associated with average growth scores (labeled </w:t>
      </w:r>
      <w:r w:rsidRPr="00FB463B">
        <w:rPr>
          <w:rFonts w:eastAsia="Arial" w:cs="Arial"/>
          <w:i/>
          <w:iCs/>
          <w:color w:val="000000" w:themeColor="text1"/>
        </w:rPr>
        <w:t>possible ranges</w:t>
      </w:r>
      <w:r w:rsidRPr="00FB463B">
        <w:rPr>
          <w:rFonts w:eastAsia="Arial" w:cs="Arial"/>
          <w:color w:val="000000" w:themeColor="text1"/>
        </w:rPr>
        <w:t xml:space="preserve"> to avoid technical statistical jargon and presented as additional explanatory information if requested by the user),</w:t>
      </w:r>
    </w:p>
    <w:p w14:paraId="04C63AC9" w14:textId="203DEA81" w:rsidR="009F2E78" w:rsidRPr="00FB463B" w:rsidRDefault="6CCBD59A" w:rsidP="00C237F4">
      <w:pPr>
        <w:pStyle w:val="ListParagraph"/>
        <w:numPr>
          <w:ilvl w:val="0"/>
          <w:numId w:val="4"/>
        </w:numPr>
        <w:rPr>
          <w:rFonts w:eastAsia="Arial" w:cs="Arial"/>
          <w:color w:val="000000" w:themeColor="text1"/>
        </w:rPr>
      </w:pPr>
      <w:r w:rsidRPr="00FB463B">
        <w:rPr>
          <w:rFonts w:eastAsia="Arial" w:cs="Arial"/>
          <w:color w:val="000000" w:themeColor="text1"/>
        </w:rPr>
        <w:t>Location of the average score and its associated confidence interval within the range of scores commonly observed,</w:t>
      </w:r>
    </w:p>
    <w:p w14:paraId="66101FB4" w14:textId="514DD8B5" w:rsidR="009F2E78" w:rsidRPr="00FB463B" w:rsidRDefault="6CCBD59A" w:rsidP="00C237F4">
      <w:pPr>
        <w:pStyle w:val="ListParagraph"/>
        <w:numPr>
          <w:ilvl w:val="0"/>
          <w:numId w:val="4"/>
        </w:numPr>
        <w:rPr>
          <w:rFonts w:eastAsia="Arial" w:cs="Arial"/>
          <w:color w:val="000000" w:themeColor="text1"/>
        </w:rPr>
      </w:pPr>
      <w:r w:rsidRPr="00FB463B">
        <w:rPr>
          <w:rFonts w:eastAsia="Arial" w:cs="Arial"/>
          <w:color w:val="000000" w:themeColor="text1"/>
        </w:rPr>
        <w:lastRenderedPageBreak/>
        <w:t>Categories associated with average growth scores given as</w:t>
      </w:r>
    </w:p>
    <w:p w14:paraId="4BB7A68A" w14:textId="3DE1544D" w:rsidR="009F2E78" w:rsidRPr="00FB463B" w:rsidRDefault="6CCBD59A" w:rsidP="6A98466E">
      <w:pPr>
        <w:ind w:left="1260" w:hanging="360"/>
        <w:rPr>
          <w:rFonts w:eastAsia="Arial" w:cs="Arial"/>
          <w:color w:val="000000" w:themeColor="text1"/>
        </w:rPr>
      </w:pPr>
      <w:r w:rsidRPr="00FB463B">
        <w:rPr>
          <w:rFonts w:eastAsia="Arial" w:cs="Arial"/>
          <w:color w:val="000000" w:themeColor="text1"/>
        </w:rPr>
        <w:t>▼</w:t>
      </w:r>
      <w:r w:rsidR="124CD86D" w:rsidRPr="00FB463B">
        <w:tab/>
      </w:r>
      <w:r w:rsidRPr="00FB463B">
        <w:rPr>
          <w:rFonts w:eastAsia="Arial" w:cs="Arial"/>
          <w:color w:val="000000" w:themeColor="text1"/>
        </w:rPr>
        <w:t>below typical growth on average,</w:t>
      </w:r>
    </w:p>
    <w:p w14:paraId="24D3ED13" w14:textId="66EDCDDF" w:rsidR="009F2E78" w:rsidRPr="00FB463B" w:rsidRDefault="6CCBD59A" w:rsidP="6A98466E">
      <w:pPr>
        <w:ind w:left="1260" w:hanging="360"/>
        <w:rPr>
          <w:rFonts w:eastAsia="Arial" w:cs="Arial"/>
          <w:color w:val="000000" w:themeColor="text1"/>
        </w:rPr>
      </w:pPr>
      <w:r w:rsidRPr="00FB463B">
        <w:rPr>
          <w:rFonts w:ascii="Cambria Math" w:eastAsia="Arial" w:hAnsi="Cambria Math" w:cs="Cambria Math"/>
          <w:color w:val="000000" w:themeColor="text1"/>
        </w:rPr>
        <w:t>◀</w:t>
      </w:r>
      <w:r w:rsidRPr="00FB463B">
        <w:rPr>
          <w:rFonts w:eastAsia="Arial" w:cs="Arial"/>
          <w:color w:val="000000" w:themeColor="text1"/>
        </w:rPr>
        <w:t>︎</w:t>
      </w:r>
      <w:r w:rsidRPr="00FB463B">
        <w:rPr>
          <w:rFonts w:ascii="Cambria Math" w:eastAsia="Segoe UI" w:hAnsi="Cambria Math" w:cs="Cambria Math"/>
          <w:color w:val="000000" w:themeColor="text1"/>
        </w:rPr>
        <w:t>▶</w:t>
      </w:r>
      <w:r w:rsidRPr="00FB463B">
        <w:rPr>
          <w:rFonts w:eastAsia="Segoe UI" w:cs="Arial"/>
          <w:color w:val="000000" w:themeColor="text1"/>
        </w:rPr>
        <w:t>︎</w:t>
      </w:r>
      <w:r w:rsidR="124CD86D" w:rsidRPr="00FB463B">
        <w:tab/>
      </w:r>
      <w:proofErr w:type="gramStart"/>
      <w:r w:rsidRPr="00FB463B">
        <w:rPr>
          <w:rFonts w:eastAsia="Segoe UI" w:cs="Arial"/>
          <w:color w:val="000000" w:themeColor="text1"/>
        </w:rPr>
        <w:t>similar to</w:t>
      </w:r>
      <w:proofErr w:type="gramEnd"/>
      <w:r w:rsidRPr="00FB463B">
        <w:rPr>
          <w:rFonts w:eastAsia="Segoe UI" w:cs="Arial"/>
          <w:color w:val="000000" w:themeColor="text1"/>
        </w:rPr>
        <w:t xml:space="preserve"> typical growth on average</w:t>
      </w:r>
      <w:r w:rsidRPr="00FB463B">
        <w:rPr>
          <w:rFonts w:eastAsia="Arial" w:cs="Arial"/>
          <w:color w:val="000000" w:themeColor="text1"/>
        </w:rPr>
        <w:t>, and</w:t>
      </w:r>
    </w:p>
    <w:p w14:paraId="6ECF0DAD" w14:textId="7530F8BC" w:rsidR="009F2E78" w:rsidRPr="00FB463B" w:rsidRDefault="6CCBD59A" w:rsidP="006A3496">
      <w:pPr>
        <w:spacing w:after="240"/>
        <w:ind w:left="1267" w:hanging="360"/>
        <w:rPr>
          <w:rFonts w:eastAsia="Arial" w:cs="Arial"/>
          <w:color w:val="000000" w:themeColor="text1"/>
        </w:rPr>
      </w:pPr>
      <w:r w:rsidRPr="00FB463B">
        <w:rPr>
          <w:rFonts w:eastAsia="Arial" w:cs="Arial"/>
          <w:color w:val="000000" w:themeColor="text1"/>
        </w:rPr>
        <w:t>▲</w:t>
      </w:r>
      <w:r w:rsidR="124CD86D" w:rsidRPr="00FB463B">
        <w:tab/>
      </w:r>
      <w:r w:rsidRPr="00FB463B">
        <w:rPr>
          <w:rFonts w:eastAsia="Arial" w:cs="Arial"/>
          <w:color w:val="000000" w:themeColor="text1"/>
        </w:rPr>
        <w:t>above typical growth, on average; and</w:t>
      </w:r>
    </w:p>
    <w:p w14:paraId="07D74371" w14:textId="20212351" w:rsidR="009F2E78" w:rsidRPr="00FB463B" w:rsidRDefault="6CCBD59A" w:rsidP="00C237F4">
      <w:pPr>
        <w:pStyle w:val="ListParagraph"/>
        <w:numPr>
          <w:ilvl w:val="0"/>
          <w:numId w:val="4"/>
        </w:numPr>
        <w:rPr>
          <w:rFonts w:eastAsia="Arial" w:cs="Arial"/>
          <w:color w:val="000000" w:themeColor="text1"/>
        </w:rPr>
      </w:pPr>
      <w:r w:rsidRPr="00FB463B">
        <w:rPr>
          <w:rFonts w:eastAsia="Arial" w:cs="Arial"/>
          <w:color w:val="000000" w:themeColor="text1"/>
        </w:rPr>
        <w:t>The percent of schoolwide (or LEA-wide) growth scores the average growth score exceeded (i.e., the percentile rank of the average growth score).</w:t>
      </w:r>
    </w:p>
    <w:p w14:paraId="1EA46D80" w14:textId="591A738E" w:rsidR="009F2E78" w:rsidRPr="00FB463B" w:rsidRDefault="6CCBD59A" w:rsidP="00C237F4">
      <w:pPr>
        <w:pStyle w:val="ListParagraph"/>
        <w:numPr>
          <w:ilvl w:val="0"/>
          <w:numId w:val="4"/>
        </w:numPr>
        <w:rPr>
          <w:rFonts w:eastAsia="Arial" w:cs="Arial"/>
          <w:color w:val="000000" w:themeColor="text1"/>
        </w:rPr>
      </w:pPr>
      <w:r w:rsidRPr="00FB463B">
        <w:rPr>
          <w:rFonts w:eastAsia="Arial" w:cs="Arial"/>
          <w:color w:val="000000" w:themeColor="text1"/>
        </w:rPr>
        <w:t>A summary of average growth scores for all student groups in a school or LEA showing the growth category each group falls into.</w:t>
      </w:r>
    </w:p>
    <w:p w14:paraId="4365F371" w14:textId="7D7C3568" w:rsidR="009F2E78" w:rsidRPr="00FB463B" w:rsidRDefault="6CCBD59A" w:rsidP="009C2989">
      <w:pPr>
        <w:spacing w:after="240"/>
        <w:rPr>
          <w:rFonts w:eastAsia="Arial" w:cs="Arial"/>
          <w:color w:val="000000" w:themeColor="text1"/>
        </w:rPr>
      </w:pPr>
      <w:r w:rsidRPr="00FB463B">
        <w:rPr>
          <w:rFonts w:eastAsia="Arial" w:cs="Arial"/>
          <w:color w:val="000000" w:themeColor="text1"/>
        </w:rPr>
        <w:t>In addition, the focus group</w:t>
      </w:r>
      <w:r w:rsidR="009E34DE" w:rsidRPr="00FB463B">
        <w:rPr>
          <w:rFonts w:eastAsia="Arial" w:cs="Arial"/>
          <w:color w:val="000000" w:themeColor="text1"/>
        </w:rPr>
        <w:t>s</w:t>
      </w:r>
      <w:r w:rsidRPr="00FB463B">
        <w:rPr>
          <w:rFonts w:eastAsia="Arial" w:cs="Arial"/>
          <w:color w:val="000000" w:themeColor="text1"/>
        </w:rPr>
        <w:t xml:space="preserve"> provided feedback about its preferred presentation of each growth report element (for example, preferring a </w:t>
      </w:r>
      <w:proofErr w:type="gramStart"/>
      <w:r w:rsidRPr="00FB463B">
        <w:rPr>
          <w:rFonts w:eastAsia="Arial" w:cs="Arial"/>
          <w:color w:val="000000" w:themeColor="text1"/>
        </w:rPr>
        <w:t>horizontally-running</w:t>
      </w:r>
      <w:proofErr w:type="gramEnd"/>
      <w:r w:rsidRPr="00FB463B">
        <w:rPr>
          <w:rFonts w:eastAsia="Arial" w:cs="Arial"/>
          <w:color w:val="000000" w:themeColor="text1"/>
        </w:rPr>
        <w:t xml:space="preserve"> number line over a vertically running number line and preferring a mouseover or popup for further explanation rather than including a wordy explanation on the main report page).</w:t>
      </w:r>
    </w:p>
    <w:p w14:paraId="6FC21ED9" w14:textId="3A968D31" w:rsidR="009F2E78" w:rsidRPr="00FB463B" w:rsidRDefault="6CCBD59A" w:rsidP="009C2989">
      <w:pPr>
        <w:spacing w:after="240"/>
        <w:rPr>
          <w:rFonts w:eastAsia="Arial" w:cs="Arial"/>
          <w:color w:val="000000" w:themeColor="text1"/>
        </w:rPr>
      </w:pPr>
      <w:r w:rsidRPr="00FB463B">
        <w:rPr>
          <w:rFonts w:eastAsia="Arial" w:cs="Arial"/>
          <w:color w:val="000000" w:themeColor="text1"/>
        </w:rPr>
        <w:t>ETS revised the audience-1 prototype reports based on the group’s feedback, and determined with the CDE that the percentile rank would be removed from audience-1 prototypes to avoid misinterpretations related to comparisons among school and/or LEAs.</w:t>
      </w:r>
    </w:p>
    <w:p w14:paraId="05171E82" w14:textId="5ED94CC2" w:rsidR="009F2E78" w:rsidRPr="00FB463B" w:rsidRDefault="6CCBD59A" w:rsidP="009C2989">
      <w:pPr>
        <w:spacing w:after="240"/>
        <w:rPr>
          <w:rFonts w:eastAsia="Arial" w:cs="Arial"/>
          <w:color w:val="000000" w:themeColor="text1"/>
        </w:rPr>
      </w:pPr>
      <w:r w:rsidRPr="00FB463B">
        <w:rPr>
          <w:rFonts w:eastAsia="Arial" w:cs="Arial"/>
          <w:color w:val="000000" w:themeColor="text1"/>
        </w:rPr>
        <w:t>In late March 2023, C2 facilitated another audience-1 focus group, this time in Spanish, using the updated prototypes with the first audience-1 focus group’s preferred presentations of each report element being given as the first option. This focus group validated the feedback of the first focus group.</w:t>
      </w:r>
    </w:p>
    <w:p w14:paraId="04AB1385" w14:textId="4AA180A7" w:rsidR="009F2E78" w:rsidRPr="00FB463B" w:rsidRDefault="6CCBD59A" w:rsidP="009C2989">
      <w:pPr>
        <w:spacing w:after="240"/>
        <w:rPr>
          <w:rFonts w:eastAsia="Arial" w:cs="Arial"/>
          <w:color w:val="000000" w:themeColor="text1"/>
        </w:rPr>
      </w:pPr>
      <w:r w:rsidRPr="00FB463B">
        <w:rPr>
          <w:rFonts w:eastAsia="Arial" w:cs="Arial"/>
          <w:color w:val="000000" w:themeColor="text1"/>
        </w:rPr>
        <w:t>In mid</w:t>
      </w:r>
      <w:r w:rsidR="00421DA5" w:rsidRPr="00FB463B">
        <w:rPr>
          <w:rFonts w:eastAsia="Arial" w:cs="Arial"/>
          <w:color w:val="000000" w:themeColor="text1"/>
        </w:rPr>
        <w:t>-</w:t>
      </w:r>
      <w:r w:rsidRPr="00FB463B">
        <w:rPr>
          <w:rFonts w:eastAsia="Arial" w:cs="Arial"/>
          <w:color w:val="000000" w:themeColor="text1"/>
        </w:rPr>
        <w:t>March 2023, C2 facilitated a focus group of data administrators from California schools and LEAs to review the audience-2 growth report prototypes. This focus group likewise expressed a strong desire for each reporting element, with three major recommendations:</w:t>
      </w:r>
    </w:p>
    <w:p w14:paraId="12A2108A" w14:textId="155E4B03" w:rsidR="009F2E78" w:rsidRPr="00FB463B" w:rsidRDefault="6CCBD59A" w:rsidP="00C237F4">
      <w:pPr>
        <w:pStyle w:val="ListParagraph"/>
        <w:numPr>
          <w:ilvl w:val="0"/>
          <w:numId w:val="3"/>
        </w:numPr>
        <w:rPr>
          <w:rFonts w:eastAsia="Arial" w:cs="Arial"/>
          <w:color w:val="000000" w:themeColor="text1"/>
        </w:rPr>
      </w:pPr>
      <w:r w:rsidRPr="00FB463B">
        <w:rPr>
          <w:rFonts w:eastAsia="Arial" w:cs="Arial"/>
          <w:color w:val="000000" w:themeColor="text1"/>
        </w:rPr>
        <w:t>Give the ability to show or hide confidence intervals to avoid having to explain confidence intervals to school and/or LEA leaders and staff for whom they may be confusing.</w:t>
      </w:r>
    </w:p>
    <w:p w14:paraId="0B198106" w14:textId="798FFA0D" w:rsidR="009F2E78" w:rsidRPr="00FB463B" w:rsidRDefault="6CCBD59A" w:rsidP="00C237F4">
      <w:pPr>
        <w:pStyle w:val="ListParagraph"/>
        <w:numPr>
          <w:ilvl w:val="0"/>
          <w:numId w:val="3"/>
        </w:numPr>
        <w:rPr>
          <w:rFonts w:eastAsia="Arial" w:cs="Arial"/>
          <w:color w:val="000000" w:themeColor="text1"/>
        </w:rPr>
      </w:pPr>
      <w:r w:rsidRPr="00FB463B">
        <w:rPr>
          <w:rFonts w:eastAsia="Arial" w:cs="Arial"/>
          <w:color w:val="000000" w:themeColor="text1"/>
        </w:rPr>
        <w:t>Eliminate the numeric presentation of confidence intervals, relying instead on the visual representation.</w:t>
      </w:r>
    </w:p>
    <w:p w14:paraId="73857642" w14:textId="3FB90A80" w:rsidR="009F2E78" w:rsidRPr="00FB463B" w:rsidRDefault="6CCBD59A" w:rsidP="00C237F4">
      <w:pPr>
        <w:pStyle w:val="ListParagraph"/>
        <w:numPr>
          <w:ilvl w:val="0"/>
          <w:numId w:val="3"/>
        </w:numPr>
        <w:rPr>
          <w:rFonts w:eastAsia="Arial" w:cs="Arial"/>
          <w:color w:val="000000" w:themeColor="text1"/>
        </w:rPr>
      </w:pPr>
      <w:r w:rsidRPr="00FB463B">
        <w:rPr>
          <w:rFonts w:eastAsia="Arial" w:cs="Arial"/>
          <w:color w:val="000000" w:themeColor="text1"/>
        </w:rPr>
        <w:t>Show percentile ranks of student groups’ average growth scores in two ways: relative to whole-LEA or whole-school student groups across California and relative to the same/peer student group from all LEAs or all schools across California.</w:t>
      </w:r>
    </w:p>
    <w:p w14:paraId="27312C66" w14:textId="0CBE4661" w:rsidR="009F2E78" w:rsidRPr="00FB463B" w:rsidRDefault="6CCBD59A" w:rsidP="009C2989">
      <w:pPr>
        <w:spacing w:after="240"/>
        <w:rPr>
          <w:rFonts w:eastAsia="Arial" w:cs="Arial"/>
          <w:color w:val="000000" w:themeColor="text1"/>
        </w:rPr>
      </w:pPr>
      <w:r w:rsidRPr="00FB463B">
        <w:rPr>
          <w:rFonts w:eastAsia="Arial" w:cs="Arial"/>
          <w:color w:val="000000" w:themeColor="text1"/>
        </w:rPr>
        <w:lastRenderedPageBreak/>
        <w:t xml:space="preserve">In addition, this focus group </w:t>
      </w:r>
      <w:r w:rsidR="00D657EF" w:rsidRPr="00FB463B">
        <w:rPr>
          <w:rFonts w:eastAsia="Arial" w:cs="Arial"/>
          <w:color w:val="000000" w:themeColor="text1"/>
        </w:rPr>
        <w:t xml:space="preserve">had </w:t>
      </w:r>
      <w:r w:rsidRPr="00FB463B">
        <w:rPr>
          <w:rFonts w:eastAsia="Arial" w:cs="Arial"/>
          <w:color w:val="000000" w:themeColor="text1"/>
        </w:rPr>
        <w:t xml:space="preserve">strong preferences </w:t>
      </w:r>
      <w:r w:rsidR="00D657EF" w:rsidRPr="00FB463B">
        <w:rPr>
          <w:rFonts w:eastAsia="Arial" w:cs="Arial"/>
          <w:color w:val="000000" w:themeColor="text1"/>
        </w:rPr>
        <w:t>on the display of</w:t>
      </w:r>
      <w:r w:rsidRPr="00FB463B">
        <w:rPr>
          <w:rFonts w:eastAsia="Arial" w:cs="Arial"/>
          <w:color w:val="000000" w:themeColor="text1"/>
        </w:rPr>
        <w:t xml:space="preserve"> report elements. For example, they recommended the following:</w:t>
      </w:r>
    </w:p>
    <w:p w14:paraId="6F645B15" w14:textId="58AC7C1D" w:rsidR="009F2E78" w:rsidRPr="00FB463B" w:rsidRDefault="6CCBD59A" w:rsidP="00C237F4">
      <w:pPr>
        <w:pStyle w:val="ListParagraph"/>
        <w:numPr>
          <w:ilvl w:val="0"/>
          <w:numId w:val="2"/>
        </w:numPr>
        <w:rPr>
          <w:rFonts w:eastAsia="Arial" w:cs="Arial"/>
          <w:color w:val="000000" w:themeColor="text1"/>
        </w:rPr>
      </w:pPr>
      <w:r w:rsidRPr="00FB463B">
        <w:rPr>
          <w:rFonts w:eastAsia="Arial" w:cs="Arial"/>
          <w:color w:val="000000" w:themeColor="text1"/>
        </w:rPr>
        <w:t>The growth category be presented directly after the average growth score itself to highlight that this is the most important interpretation.</w:t>
      </w:r>
    </w:p>
    <w:p w14:paraId="1EFC9816" w14:textId="6CC18C61" w:rsidR="009F2E78" w:rsidRPr="00FB463B" w:rsidRDefault="6CCBD59A" w:rsidP="00C237F4">
      <w:pPr>
        <w:pStyle w:val="ListParagraph"/>
        <w:numPr>
          <w:ilvl w:val="0"/>
          <w:numId w:val="2"/>
        </w:numPr>
        <w:rPr>
          <w:rFonts w:eastAsia="Arial" w:cs="Arial"/>
          <w:color w:val="000000" w:themeColor="text1"/>
        </w:rPr>
      </w:pPr>
      <w:r w:rsidRPr="00FB463B">
        <w:rPr>
          <w:rFonts w:eastAsia="Arial" w:cs="Arial"/>
          <w:color w:val="000000" w:themeColor="text1"/>
        </w:rPr>
        <w:t xml:space="preserve">The percentile </w:t>
      </w:r>
      <w:proofErr w:type="gramStart"/>
      <w:r w:rsidRPr="00FB463B">
        <w:rPr>
          <w:rFonts w:eastAsia="Arial" w:cs="Arial"/>
          <w:color w:val="000000" w:themeColor="text1"/>
        </w:rPr>
        <w:t>rank</w:t>
      </w:r>
      <w:proofErr w:type="gramEnd"/>
      <w:r w:rsidRPr="00FB463B">
        <w:rPr>
          <w:rFonts w:eastAsia="Arial" w:cs="Arial"/>
          <w:color w:val="000000" w:themeColor="text1"/>
        </w:rPr>
        <w:t xml:space="preserve"> relative to peer student groups </w:t>
      </w:r>
      <w:proofErr w:type="gramStart"/>
      <w:r w:rsidRPr="00FB463B">
        <w:rPr>
          <w:rFonts w:eastAsia="Arial" w:cs="Arial"/>
          <w:color w:val="000000" w:themeColor="text1"/>
        </w:rPr>
        <w:t>be</w:t>
      </w:r>
      <w:proofErr w:type="gramEnd"/>
      <w:r w:rsidRPr="00FB463B">
        <w:rPr>
          <w:rFonts w:eastAsia="Arial" w:cs="Arial"/>
          <w:color w:val="000000" w:themeColor="text1"/>
        </w:rPr>
        <w:t xml:space="preserve"> presented before the percentile rank relative to whole-school or whole-LEA student groups.</w:t>
      </w:r>
    </w:p>
    <w:p w14:paraId="4B310CFD" w14:textId="66E38CAE" w:rsidR="009F2E78" w:rsidRPr="00FB463B" w:rsidRDefault="6CCBD59A" w:rsidP="009C2989">
      <w:pPr>
        <w:spacing w:after="240"/>
        <w:rPr>
          <w:rFonts w:eastAsia="Arial" w:cs="Arial"/>
          <w:color w:val="000000" w:themeColor="text1"/>
        </w:rPr>
      </w:pPr>
      <w:r w:rsidRPr="00FB463B">
        <w:rPr>
          <w:rFonts w:eastAsia="Arial" w:cs="Arial"/>
          <w:color w:val="000000" w:themeColor="text1"/>
        </w:rPr>
        <w:t>ETS then revised the audience-2 prototype reports to be consistent with focus group feedback and revisions to the audience-1 prototype reports.</w:t>
      </w:r>
    </w:p>
    <w:p w14:paraId="1D83A7CD" w14:textId="77C786DF" w:rsidR="009F2E78" w:rsidRPr="00FB463B" w:rsidRDefault="6CCBD59A" w:rsidP="009C2989">
      <w:pPr>
        <w:spacing w:after="240"/>
        <w:rPr>
          <w:rFonts w:eastAsia="Arial" w:cs="Arial"/>
          <w:color w:val="000000" w:themeColor="text1"/>
        </w:rPr>
      </w:pPr>
      <w:r w:rsidRPr="00FB463B">
        <w:rPr>
          <w:rFonts w:eastAsia="Arial" w:cs="Arial"/>
          <w:color w:val="000000" w:themeColor="text1"/>
        </w:rPr>
        <w:t xml:space="preserve">In April 2023, ETS presented the feedback and revised audience-1 and audience-2 prototypes to </w:t>
      </w:r>
      <w:r w:rsidR="2807E145" w:rsidRPr="00FB463B">
        <w:rPr>
          <w:rFonts w:eastAsia="Arial" w:cs="Arial"/>
          <w:color w:val="000000" w:themeColor="text1"/>
        </w:rPr>
        <w:t>the</w:t>
      </w:r>
      <w:r w:rsidRPr="00FB463B">
        <w:rPr>
          <w:rFonts w:eastAsia="Arial" w:cs="Arial"/>
          <w:color w:val="000000" w:themeColor="text1"/>
        </w:rPr>
        <w:t xml:space="preserve"> TDG in addition to presenting draft audience-3 prototypes. The TDE concurred with the revisions and had little feedback about the audience-3 prototype.</w:t>
      </w:r>
    </w:p>
    <w:p w14:paraId="52A40151" w14:textId="7A9EB773" w:rsidR="009F2E78" w:rsidRPr="00FB463B" w:rsidRDefault="6CCBD59A" w:rsidP="009C2989">
      <w:pPr>
        <w:spacing w:after="240"/>
        <w:rPr>
          <w:rFonts w:eastAsia="Arial" w:cs="Arial"/>
          <w:color w:val="000000" w:themeColor="text1"/>
        </w:rPr>
      </w:pPr>
      <w:r w:rsidRPr="00FB463B">
        <w:rPr>
          <w:rFonts w:eastAsia="Arial" w:cs="Arial"/>
          <w:color w:val="000000" w:themeColor="text1"/>
        </w:rPr>
        <w:t>In May 2023, ETS presented and solicited feedback on the audience-1 prototypes in a meeting with the CDE Assessment Interest-holders group</w:t>
      </w:r>
      <w:r w:rsidR="1FE2A3DB" w:rsidRPr="00FB463B">
        <w:rPr>
          <w:rFonts w:eastAsia="Arial" w:cs="Arial"/>
          <w:color w:val="000000" w:themeColor="text1"/>
        </w:rPr>
        <w:t xml:space="preserve"> and </w:t>
      </w:r>
      <w:r w:rsidRPr="00FB463B">
        <w:rPr>
          <w:rFonts w:eastAsia="Arial" w:cs="Arial"/>
          <w:color w:val="000000" w:themeColor="text1"/>
        </w:rPr>
        <w:t>the Regional Assessment Network (RAN).</w:t>
      </w:r>
    </w:p>
    <w:p w14:paraId="3E63115C" w14:textId="49B9ABA5" w:rsidR="009F2E78" w:rsidRPr="00FB463B" w:rsidRDefault="6CCBD59A" w:rsidP="009C2989">
      <w:pPr>
        <w:spacing w:after="240"/>
        <w:rPr>
          <w:rFonts w:eastAsia="Arial" w:cs="Arial"/>
          <w:color w:val="000000" w:themeColor="text1"/>
        </w:rPr>
      </w:pPr>
      <w:r w:rsidRPr="00FB463B">
        <w:rPr>
          <w:rFonts w:eastAsia="Arial" w:cs="Arial"/>
          <w:color w:val="000000" w:themeColor="text1"/>
        </w:rPr>
        <w:t>One key issue that arose in meetings, particularly the audience-1 focus groups with the parents and teachers, was that the choice of scale was potentially problematic and remained unresolved even after all meetings where feedback was elicited. The original growth score scale was centered at 0, which represents that students’ growth equals the typical growth of students with the same test scores in the previous year. In addition on the original scale, each point represented a single scale score point on the Smarter Balanced scale, negative average growth scores represented that students in the group generally exhibited lower than typical growth compared to students with the same test scores in the previous grade level, and positive scores represented that students in the group generally exhibited higher than typical growth for students with the same test scores in the previous grade level.</w:t>
      </w:r>
    </w:p>
    <w:p w14:paraId="46184353" w14:textId="5D9D7336" w:rsidR="009F2E78" w:rsidRPr="00FB463B" w:rsidRDefault="6CCBD59A" w:rsidP="009C2989">
      <w:pPr>
        <w:spacing w:after="240"/>
        <w:rPr>
          <w:rFonts w:eastAsia="Arial" w:cs="Arial"/>
          <w:color w:val="000000" w:themeColor="text1"/>
        </w:rPr>
      </w:pPr>
      <w:r w:rsidRPr="00FB463B">
        <w:rPr>
          <w:rFonts w:eastAsia="Arial" w:cs="Arial"/>
          <w:color w:val="000000" w:themeColor="text1"/>
        </w:rPr>
        <w:t xml:space="preserve">There was considerable concern </w:t>
      </w:r>
      <w:r w:rsidR="00DA7470" w:rsidRPr="00FB463B">
        <w:rPr>
          <w:rFonts w:eastAsia="Arial" w:cs="Arial"/>
          <w:color w:val="000000" w:themeColor="text1"/>
        </w:rPr>
        <w:t xml:space="preserve">regarding the </w:t>
      </w:r>
      <w:r w:rsidRPr="00FB463B">
        <w:rPr>
          <w:rFonts w:eastAsia="Arial" w:cs="Arial"/>
          <w:color w:val="000000" w:themeColor="text1"/>
        </w:rPr>
        <w:t>presen</w:t>
      </w:r>
      <w:r w:rsidR="00421DA5" w:rsidRPr="00FB463B">
        <w:rPr>
          <w:rFonts w:eastAsia="Arial" w:cs="Arial"/>
          <w:color w:val="000000" w:themeColor="text1"/>
        </w:rPr>
        <w:t>ta</w:t>
      </w:r>
      <w:r w:rsidRPr="00FB463B">
        <w:rPr>
          <w:rFonts w:eastAsia="Arial" w:cs="Arial"/>
          <w:color w:val="000000" w:themeColor="text1"/>
        </w:rPr>
        <w:t>t</w:t>
      </w:r>
      <w:r w:rsidR="00DA7470" w:rsidRPr="00FB463B">
        <w:rPr>
          <w:rFonts w:eastAsia="Arial" w:cs="Arial"/>
          <w:color w:val="000000" w:themeColor="text1"/>
        </w:rPr>
        <w:t>ion</w:t>
      </w:r>
      <w:r w:rsidRPr="00FB463B">
        <w:rPr>
          <w:rFonts w:eastAsia="Arial" w:cs="Arial"/>
          <w:color w:val="000000" w:themeColor="text1"/>
        </w:rPr>
        <w:t xml:space="preserve"> </w:t>
      </w:r>
      <w:r w:rsidR="00DA7470" w:rsidRPr="00FB463B">
        <w:rPr>
          <w:rFonts w:eastAsia="Arial" w:cs="Arial"/>
          <w:color w:val="000000" w:themeColor="text1"/>
        </w:rPr>
        <w:t xml:space="preserve">of </w:t>
      </w:r>
      <w:r w:rsidRPr="00FB463B">
        <w:rPr>
          <w:rFonts w:eastAsia="Arial" w:cs="Arial"/>
          <w:color w:val="000000" w:themeColor="text1"/>
        </w:rPr>
        <w:t>negative average growth scores</w:t>
      </w:r>
      <w:r w:rsidR="00DA7470" w:rsidRPr="00FB463B">
        <w:rPr>
          <w:rFonts w:eastAsia="Arial" w:cs="Arial"/>
          <w:color w:val="000000" w:themeColor="text1"/>
        </w:rPr>
        <w:t xml:space="preserve"> due to the</w:t>
      </w:r>
      <w:r w:rsidR="006D7B0C" w:rsidRPr="00FB463B">
        <w:rPr>
          <w:rFonts w:eastAsia="Arial" w:cs="Arial"/>
          <w:color w:val="000000" w:themeColor="text1"/>
        </w:rPr>
        <w:t xml:space="preserve"> focus group’s</w:t>
      </w:r>
      <w:r w:rsidR="00DA7470" w:rsidRPr="00FB463B">
        <w:rPr>
          <w:rFonts w:eastAsia="Arial" w:cs="Arial"/>
          <w:color w:val="000000" w:themeColor="text1"/>
        </w:rPr>
        <w:t xml:space="preserve"> observed interpretation that </w:t>
      </w:r>
      <w:r w:rsidRPr="00FB463B">
        <w:rPr>
          <w:rFonts w:eastAsia="Arial" w:cs="Arial"/>
          <w:color w:val="000000" w:themeColor="text1"/>
        </w:rPr>
        <w:t>negative scores</w:t>
      </w:r>
      <w:r w:rsidR="00DA7470" w:rsidRPr="00FB463B">
        <w:rPr>
          <w:rFonts w:eastAsia="Arial" w:cs="Arial"/>
          <w:color w:val="000000" w:themeColor="text1"/>
        </w:rPr>
        <w:t xml:space="preserve"> indicated</w:t>
      </w:r>
      <w:r w:rsidRPr="00FB463B">
        <w:rPr>
          <w:rFonts w:eastAsia="Arial" w:cs="Arial"/>
          <w:color w:val="000000" w:themeColor="text1"/>
        </w:rPr>
        <w:t xml:space="preserve"> no growth</w:t>
      </w:r>
      <w:r w:rsidR="00DA7470" w:rsidRPr="00FB463B">
        <w:rPr>
          <w:rFonts w:eastAsia="Arial" w:cs="Arial"/>
          <w:color w:val="000000" w:themeColor="text1"/>
        </w:rPr>
        <w:t>.</w:t>
      </w:r>
      <w:r w:rsidRPr="00FB463B">
        <w:rPr>
          <w:rFonts w:eastAsia="Arial" w:cs="Arial"/>
          <w:color w:val="000000" w:themeColor="text1"/>
        </w:rPr>
        <w:t xml:space="preserve"> Therefore, scores were rescaled by adding 100 such that scores lower than 100 are below typical and scores above 100 are above typical.</w:t>
      </w:r>
    </w:p>
    <w:p w14:paraId="4A1D81F2" w14:textId="7AA1AB99" w:rsidR="009F2E78" w:rsidRPr="00FB463B" w:rsidRDefault="6CCBD59A" w:rsidP="009C2989">
      <w:pPr>
        <w:spacing w:after="240"/>
        <w:rPr>
          <w:rFonts w:eastAsia="Arial" w:cs="Arial"/>
          <w:color w:val="000000" w:themeColor="text1"/>
        </w:rPr>
      </w:pPr>
      <w:r w:rsidRPr="00FB463B">
        <w:rPr>
          <w:rFonts w:eastAsia="Arial" w:cs="Arial"/>
          <w:color w:val="000000" w:themeColor="text1"/>
        </w:rPr>
        <w:t xml:space="preserve">However, rescaling by adding 100 resulted in different, but </w:t>
      </w:r>
      <w:r w:rsidR="00DA7470" w:rsidRPr="00FB463B">
        <w:rPr>
          <w:rFonts w:eastAsia="Arial" w:cs="Arial"/>
          <w:color w:val="000000" w:themeColor="text1"/>
        </w:rPr>
        <w:t xml:space="preserve">problematic </w:t>
      </w:r>
      <w:r w:rsidRPr="00FB463B">
        <w:rPr>
          <w:rFonts w:eastAsia="Arial" w:cs="Arial"/>
          <w:color w:val="000000" w:themeColor="text1"/>
        </w:rPr>
        <w:t>misinterpretations. For example, an average growth score of 100 (exactly at typical growth) was instead interpreted by several audience-1 focus group participants to mean the group had achieved 100</w:t>
      </w:r>
      <w:r w:rsidR="006B0EDF" w:rsidRPr="00FB463B">
        <w:rPr>
          <w:rFonts w:eastAsia="Arial" w:cs="Arial"/>
          <w:color w:val="000000" w:themeColor="text1"/>
        </w:rPr>
        <w:t xml:space="preserve"> percent</w:t>
      </w:r>
      <w:r w:rsidRPr="00FB463B">
        <w:rPr>
          <w:rFonts w:eastAsia="Arial" w:cs="Arial"/>
          <w:color w:val="000000" w:themeColor="text1"/>
        </w:rPr>
        <w:t xml:space="preserve"> of possible growth. Based on these misinterpretations, ETS developed and presented several options for rescaling growth scores to avoid these misinterpretations. These were taken to selected members of previous focus groups for ad hoc feedback and reduced to a small number of options.</w:t>
      </w:r>
    </w:p>
    <w:p w14:paraId="0F0FB024" w14:textId="2972B1C1" w:rsidR="009F2E78" w:rsidRPr="00FB463B" w:rsidRDefault="6CCBD59A" w:rsidP="009C2989">
      <w:pPr>
        <w:spacing w:after="240"/>
        <w:rPr>
          <w:rFonts w:eastAsia="Arial" w:cs="Arial"/>
          <w:color w:val="000000" w:themeColor="text1"/>
        </w:rPr>
      </w:pPr>
      <w:r w:rsidRPr="00FB463B">
        <w:rPr>
          <w:rFonts w:eastAsia="Arial" w:cs="Arial"/>
          <w:color w:val="000000" w:themeColor="text1"/>
        </w:rPr>
        <w:lastRenderedPageBreak/>
        <w:t>In June 2023, ETS presented each of the options for rescaling the growth scores along with associated pros and cons to the TDG for feedback and a recommendation. The TDG recommended the scale recommended by ETS and shown in Figure 2.</w:t>
      </w:r>
    </w:p>
    <w:p w14:paraId="0D5A1261" w14:textId="1426B70F" w:rsidR="009F2E78" w:rsidRPr="00FB463B" w:rsidRDefault="6CCBD59A" w:rsidP="6A98466E">
      <w:pPr>
        <w:spacing w:after="60"/>
        <w:rPr>
          <w:rFonts w:eastAsia="Arial" w:cs="Arial"/>
          <w:color w:val="595959" w:themeColor="text1" w:themeTint="A6"/>
        </w:rPr>
      </w:pPr>
      <w:r w:rsidRPr="00FB463B">
        <w:rPr>
          <w:rFonts w:eastAsia="Arial" w:cs="Arial"/>
          <w:color w:val="595959" w:themeColor="text1" w:themeTint="A6"/>
        </w:rPr>
        <w:t xml:space="preserve">Figure 2. </w:t>
      </w:r>
      <w:r w:rsidRPr="00FB463B">
        <w:rPr>
          <w:rFonts w:eastAsia="Arial" w:cs="Arial"/>
          <w:i/>
          <w:iCs/>
          <w:color w:val="595959" w:themeColor="text1" w:themeTint="A6"/>
        </w:rPr>
        <w:t>Growth reporting scale recommended by the TDG.</w:t>
      </w:r>
    </w:p>
    <w:p w14:paraId="03FA0AEB" w14:textId="505D6905" w:rsidR="009F2E78" w:rsidRPr="00FB463B" w:rsidRDefault="6CCBD59A" w:rsidP="6A98466E">
      <w:pPr>
        <w:rPr>
          <w:rFonts w:eastAsia="Arial" w:cs="Arial"/>
          <w:color w:val="000000" w:themeColor="text1"/>
        </w:rPr>
      </w:pPr>
      <w:r w:rsidRPr="00FB463B">
        <w:rPr>
          <w:noProof/>
        </w:rPr>
        <w:drawing>
          <wp:inline distT="0" distB="0" distL="0" distR="0" wp14:anchorId="0C7F74C3" wp14:editId="30CE46AD">
            <wp:extent cx="4057650" cy="447675"/>
            <wp:effectExtent l="0" t="0" r="0" b="0"/>
            <wp:docPr id="173215108" name="Picture 173215108" descr="Figure 2. Growth reporting scale recommended by the 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15108" name="Picture 173215108" descr="Figure 2. Growth reporting scale recommended by the TDG"/>
                    <pic:cNvPicPr/>
                  </pic:nvPicPr>
                  <pic:blipFill>
                    <a:blip r:embed="rId154">
                      <a:extLst>
                        <a:ext uri="{28A0092B-C50C-407E-A947-70E740481C1C}">
                          <a14:useLocalDpi xmlns:a14="http://schemas.microsoft.com/office/drawing/2010/main" val="0"/>
                        </a:ext>
                      </a:extLst>
                    </a:blip>
                    <a:stretch>
                      <a:fillRect/>
                    </a:stretch>
                  </pic:blipFill>
                  <pic:spPr>
                    <a:xfrm>
                      <a:off x="0" y="0"/>
                      <a:ext cx="4057650" cy="447675"/>
                    </a:xfrm>
                    <a:prstGeom prst="rect">
                      <a:avLst/>
                    </a:prstGeom>
                  </pic:spPr>
                </pic:pic>
              </a:graphicData>
            </a:graphic>
          </wp:inline>
        </w:drawing>
      </w:r>
    </w:p>
    <w:p w14:paraId="0D7EF808" w14:textId="65319175" w:rsidR="009F2E78" w:rsidRPr="00FB463B" w:rsidRDefault="009F2E78" w:rsidP="6A98466E">
      <w:pPr>
        <w:rPr>
          <w:rFonts w:eastAsia="Arial" w:cs="Arial"/>
          <w:color w:val="000000" w:themeColor="text1"/>
        </w:rPr>
      </w:pPr>
    </w:p>
    <w:p w14:paraId="5D085413" w14:textId="6E4C028E" w:rsidR="009F2E78" w:rsidRPr="00FB463B" w:rsidRDefault="6CCBD59A" w:rsidP="009C2989">
      <w:pPr>
        <w:spacing w:after="240"/>
        <w:rPr>
          <w:rFonts w:eastAsia="Arial" w:cs="Arial"/>
          <w:color w:val="000000" w:themeColor="text1"/>
        </w:rPr>
      </w:pPr>
      <w:r w:rsidRPr="00FB463B">
        <w:rPr>
          <w:rFonts w:eastAsia="Arial" w:cs="Arial"/>
          <w:color w:val="000000" w:themeColor="text1"/>
        </w:rPr>
        <w:t>This growth reporting scale is identical to the original growth reporting scale centered on zero with the following stylistic differences:</w:t>
      </w:r>
    </w:p>
    <w:p w14:paraId="0D775043" w14:textId="7B7318CC" w:rsidR="009F2E78" w:rsidRPr="00FB463B" w:rsidRDefault="6CCBD59A" w:rsidP="00C237F4">
      <w:pPr>
        <w:pStyle w:val="ListParagraph"/>
        <w:numPr>
          <w:ilvl w:val="0"/>
          <w:numId w:val="1"/>
        </w:numPr>
        <w:rPr>
          <w:rFonts w:eastAsia="Arial" w:cs="Arial"/>
          <w:color w:val="000000" w:themeColor="text1"/>
        </w:rPr>
      </w:pPr>
      <w:r w:rsidRPr="00FB463B">
        <w:rPr>
          <w:rFonts w:eastAsia="Arial" w:cs="Arial"/>
          <w:color w:val="000000" w:themeColor="text1"/>
        </w:rPr>
        <w:t xml:space="preserve">Negative average growth scores are reported as </w:t>
      </w:r>
      <w:r w:rsidRPr="00FB463B">
        <w:rPr>
          <w:rFonts w:eastAsia="Arial" w:cs="Arial"/>
          <w:b/>
          <w:bCs/>
          <w:color w:val="000000" w:themeColor="text1"/>
        </w:rPr>
        <w:t xml:space="preserve">below </w:t>
      </w:r>
      <w:r w:rsidRPr="00FB463B">
        <w:rPr>
          <w:rFonts w:eastAsia="Arial" w:cs="Arial"/>
          <w:color w:val="000000" w:themeColor="text1"/>
        </w:rPr>
        <w:t xml:space="preserve">(e.g., an average growth score of </w:t>
      </w:r>
      <w:r w:rsidRPr="00FB463B">
        <w:rPr>
          <w:rFonts w:eastAsia="Arial" w:cs="Arial"/>
          <w:b/>
          <w:bCs/>
          <w:color w:val="000000" w:themeColor="text1"/>
        </w:rPr>
        <w:t>–19</w:t>
      </w:r>
      <w:r w:rsidRPr="00FB463B">
        <w:rPr>
          <w:rFonts w:eastAsia="Arial" w:cs="Arial"/>
          <w:color w:val="000000" w:themeColor="text1"/>
        </w:rPr>
        <w:t xml:space="preserve"> is reported as </w:t>
      </w:r>
      <w:r w:rsidRPr="00FB463B">
        <w:rPr>
          <w:rFonts w:eastAsia="Arial" w:cs="Arial"/>
          <w:b/>
          <w:bCs/>
          <w:color w:val="000000" w:themeColor="text1"/>
        </w:rPr>
        <w:t>19 below</w:t>
      </w:r>
      <w:r w:rsidRPr="00FB463B">
        <w:rPr>
          <w:rFonts w:eastAsia="Arial" w:cs="Arial"/>
          <w:color w:val="000000" w:themeColor="text1"/>
        </w:rPr>
        <w:t xml:space="preserve"> to avoid the misinterpretation that students lost ground).</w:t>
      </w:r>
    </w:p>
    <w:p w14:paraId="52ED4AE9" w14:textId="49DE1D85" w:rsidR="009F2E78" w:rsidRPr="00FB463B" w:rsidRDefault="6CCBD59A" w:rsidP="00C237F4">
      <w:pPr>
        <w:pStyle w:val="ListParagraph"/>
        <w:numPr>
          <w:ilvl w:val="0"/>
          <w:numId w:val="1"/>
        </w:numPr>
        <w:rPr>
          <w:rFonts w:eastAsia="Arial" w:cs="Arial"/>
          <w:color w:val="000000" w:themeColor="text1"/>
        </w:rPr>
      </w:pPr>
      <w:r w:rsidRPr="00FB463B">
        <w:rPr>
          <w:rFonts w:eastAsia="Arial" w:cs="Arial"/>
          <w:color w:val="000000" w:themeColor="text1"/>
        </w:rPr>
        <w:t xml:space="preserve">Positive average growth scores are reported as </w:t>
      </w:r>
      <w:r w:rsidRPr="00FB463B">
        <w:rPr>
          <w:rFonts w:eastAsia="Arial" w:cs="Arial"/>
          <w:b/>
          <w:bCs/>
          <w:color w:val="000000" w:themeColor="text1"/>
        </w:rPr>
        <w:t xml:space="preserve">above </w:t>
      </w:r>
      <w:r w:rsidRPr="00FB463B">
        <w:rPr>
          <w:rFonts w:eastAsia="Arial" w:cs="Arial"/>
          <w:color w:val="000000" w:themeColor="text1"/>
        </w:rPr>
        <w:t xml:space="preserve">(e.g., an average growth score of </w:t>
      </w:r>
      <w:r w:rsidRPr="00FB463B">
        <w:rPr>
          <w:rFonts w:eastAsia="Arial" w:cs="Arial"/>
          <w:b/>
          <w:bCs/>
          <w:color w:val="000000" w:themeColor="text1"/>
        </w:rPr>
        <w:t>+2</w:t>
      </w:r>
      <w:r w:rsidRPr="00FB463B">
        <w:rPr>
          <w:rFonts w:eastAsia="Arial" w:cs="Arial"/>
          <w:color w:val="000000" w:themeColor="text1"/>
        </w:rPr>
        <w:t xml:space="preserve"> is reported as </w:t>
      </w:r>
      <w:r w:rsidRPr="00FB463B">
        <w:rPr>
          <w:rFonts w:eastAsia="Arial" w:cs="Arial"/>
          <w:b/>
          <w:bCs/>
          <w:color w:val="000000" w:themeColor="text1"/>
        </w:rPr>
        <w:t>2 above</w:t>
      </w:r>
      <w:r w:rsidRPr="00FB463B">
        <w:rPr>
          <w:rFonts w:eastAsia="Arial" w:cs="Arial"/>
          <w:color w:val="000000" w:themeColor="text1"/>
        </w:rPr>
        <w:t xml:space="preserve"> to mirror the wording used for negative average growth scores).</w:t>
      </w:r>
    </w:p>
    <w:p w14:paraId="424FC2AC" w14:textId="01336ABB" w:rsidR="009F2E78" w:rsidRPr="00FB463B" w:rsidRDefault="6CCBD59A" w:rsidP="00C237F4">
      <w:pPr>
        <w:pStyle w:val="ListParagraph"/>
        <w:numPr>
          <w:ilvl w:val="0"/>
          <w:numId w:val="1"/>
        </w:numPr>
        <w:rPr>
          <w:rFonts w:eastAsia="Arial" w:cs="Arial"/>
          <w:color w:val="000000" w:themeColor="text1"/>
        </w:rPr>
      </w:pPr>
      <w:r w:rsidRPr="00FB463B">
        <w:rPr>
          <w:rFonts w:eastAsia="Arial" w:cs="Arial"/>
          <w:color w:val="000000" w:themeColor="text1"/>
        </w:rPr>
        <w:t xml:space="preserve">Average growth scores of </w:t>
      </w:r>
      <w:r w:rsidRPr="00FB463B">
        <w:rPr>
          <w:rFonts w:eastAsia="Arial" w:cs="Arial"/>
          <w:b/>
          <w:bCs/>
          <w:color w:val="000000" w:themeColor="text1"/>
        </w:rPr>
        <w:t>0</w:t>
      </w:r>
      <w:r w:rsidRPr="00FB463B">
        <w:rPr>
          <w:rFonts w:eastAsia="Arial" w:cs="Arial"/>
          <w:color w:val="000000" w:themeColor="text1"/>
        </w:rPr>
        <w:t xml:space="preserve"> are reported as </w:t>
      </w:r>
      <w:r w:rsidRPr="00FB463B">
        <w:rPr>
          <w:rFonts w:eastAsia="Arial" w:cs="Arial"/>
          <w:b/>
          <w:bCs/>
          <w:color w:val="000000" w:themeColor="text1"/>
        </w:rPr>
        <w:t>typical</w:t>
      </w:r>
      <w:r w:rsidRPr="00FB463B">
        <w:rPr>
          <w:rFonts w:eastAsia="Arial" w:cs="Arial"/>
          <w:color w:val="000000" w:themeColor="text1"/>
        </w:rPr>
        <w:t xml:space="preserve"> to avoid the misinterpretation that groups with such scores showed no growth.</w:t>
      </w:r>
    </w:p>
    <w:p w14:paraId="34B48134" w14:textId="7952D8D9" w:rsidR="009F2E78" w:rsidRPr="00FB463B" w:rsidRDefault="6CCBD59A" w:rsidP="009C2989">
      <w:pPr>
        <w:spacing w:after="240"/>
        <w:rPr>
          <w:rFonts w:eastAsia="Arial" w:cs="Arial"/>
          <w:color w:val="000000" w:themeColor="text1"/>
        </w:rPr>
      </w:pPr>
      <w:r w:rsidRPr="00FB463B">
        <w:rPr>
          <w:rFonts w:eastAsia="Arial" w:cs="Arial"/>
          <w:color w:val="000000" w:themeColor="text1"/>
        </w:rPr>
        <w:t>A group’s average growth score is then linked to the growth category in a popup window as shown in Figure 3:</w:t>
      </w:r>
    </w:p>
    <w:p w14:paraId="6CC39BB4" w14:textId="3A2DD2C2" w:rsidR="009F2E78" w:rsidRPr="00FB463B" w:rsidRDefault="6CCBD59A" w:rsidP="6A98466E">
      <w:pPr>
        <w:keepNext/>
        <w:rPr>
          <w:rFonts w:eastAsia="Arial" w:cs="Arial"/>
          <w:color w:val="595959" w:themeColor="text1" w:themeTint="A6"/>
        </w:rPr>
      </w:pPr>
      <w:r w:rsidRPr="00FB463B">
        <w:rPr>
          <w:rFonts w:eastAsia="Arial" w:cs="Arial"/>
          <w:color w:val="595959" w:themeColor="text1" w:themeTint="A6"/>
        </w:rPr>
        <w:t xml:space="preserve">Figure 3. </w:t>
      </w:r>
      <w:r w:rsidRPr="00FB463B">
        <w:rPr>
          <w:rFonts w:eastAsia="Arial" w:cs="Arial"/>
          <w:i/>
          <w:iCs/>
          <w:color w:val="595959" w:themeColor="text1" w:themeTint="A6"/>
        </w:rPr>
        <w:t>Growth category popup.</w:t>
      </w:r>
    </w:p>
    <w:p w14:paraId="55E3FB41" w14:textId="2886BDAC" w:rsidR="009F2E78" w:rsidRPr="00FB463B" w:rsidRDefault="6CCBD59A" w:rsidP="6A98466E">
      <w:pPr>
        <w:rPr>
          <w:rFonts w:eastAsia="Arial" w:cs="Arial"/>
          <w:color w:val="000000" w:themeColor="text1"/>
        </w:rPr>
      </w:pPr>
      <w:r w:rsidRPr="00FB463B">
        <w:rPr>
          <w:noProof/>
        </w:rPr>
        <w:drawing>
          <wp:inline distT="0" distB="0" distL="0" distR="0" wp14:anchorId="7B6C5292" wp14:editId="0FE1E081">
            <wp:extent cx="3962400" cy="2400300"/>
            <wp:effectExtent l="0" t="0" r="0" b="0"/>
            <wp:docPr id="737567143" name="Picture 737567143" descr="Figure 3. Growth category popup. Scale titled, English Language Arts/Literacy. Shows 12 points between Typical Growth an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67143" name="Picture 737567143" descr="Figure 3. Growth category popup. Scale titled, English Language Arts/Literacy. Shows 12 points between Typical Growth and Above."/>
                    <pic:cNvPicPr/>
                  </pic:nvPicPr>
                  <pic:blipFill>
                    <a:blip r:embed="rId155">
                      <a:extLst>
                        <a:ext uri="{28A0092B-C50C-407E-A947-70E740481C1C}">
                          <a14:useLocalDpi xmlns:a14="http://schemas.microsoft.com/office/drawing/2010/main" val="0"/>
                        </a:ext>
                      </a:extLst>
                    </a:blip>
                    <a:stretch>
                      <a:fillRect/>
                    </a:stretch>
                  </pic:blipFill>
                  <pic:spPr>
                    <a:xfrm>
                      <a:off x="0" y="0"/>
                      <a:ext cx="3962400" cy="2400300"/>
                    </a:xfrm>
                    <a:prstGeom prst="rect">
                      <a:avLst/>
                    </a:prstGeom>
                  </pic:spPr>
                </pic:pic>
              </a:graphicData>
            </a:graphic>
          </wp:inline>
        </w:drawing>
      </w:r>
    </w:p>
    <w:p w14:paraId="7C4934A5" w14:textId="62FBF766" w:rsidR="009F2E78" w:rsidRPr="00FB463B" w:rsidRDefault="009F2E78" w:rsidP="6A98466E">
      <w:pPr>
        <w:rPr>
          <w:rFonts w:eastAsia="Arial" w:cs="Arial"/>
          <w:color w:val="000000" w:themeColor="text1"/>
        </w:rPr>
      </w:pPr>
    </w:p>
    <w:p w14:paraId="74DF185C" w14:textId="47B0A92C" w:rsidR="009F2E78" w:rsidRPr="00FB463B" w:rsidRDefault="40CF78B7" w:rsidP="009C2989">
      <w:pPr>
        <w:spacing w:after="240"/>
        <w:rPr>
          <w:rFonts w:eastAsia="Arial" w:cs="Arial"/>
          <w:i/>
          <w:iCs/>
          <w:color w:val="000000" w:themeColor="text1"/>
        </w:rPr>
      </w:pPr>
      <w:r w:rsidRPr="00FB463B">
        <w:rPr>
          <w:rFonts w:eastAsia="Arial" w:cs="Arial"/>
          <w:i/>
          <w:iCs/>
          <w:color w:val="000000" w:themeColor="text1"/>
        </w:rPr>
        <w:t>Continuing Work on the Growth Model through 2024</w:t>
      </w:r>
    </w:p>
    <w:p w14:paraId="09E91155" w14:textId="7C59B9E0" w:rsidR="009F2E78" w:rsidRPr="00FB463B" w:rsidRDefault="40CF78B7" w:rsidP="009C2989">
      <w:pPr>
        <w:spacing w:after="240"/>
        <w:rPr>
          <w:rFonts w:eastAsia="Arial" w:cs="Arial"/>
          <w:color w:val="000000" w:themeColor="text1"/>
        </w:rPr>
      </w:pPr>
      <w:r w:rsidRPr="00FB463B">
        <w:rPr>
          <w:rFonts w:eastAsia="Arial" w:cs="Arial"/>
          <w:color w:val="000000" w:themeColor="text1"/>
        </w:rPr>
        <w:t xml:space="preserve">Between late March 2023 and August 2023, the CDE and ETS have met weekly </w:t>
      </w:r>
      <w:r w:rsidR="007F1B4E" w:rsidRPr="00FB463B">
        <w:rPr>
          <w:rFonts w:eastAsia="Arial" w:cs="Arial"/>
          <w:color w:val="000000" w:themeColor="text1"/>
        </w:rPr>
        <w:t xml:space="preserve">to discuss and revise the </w:t>
      </w:r>
      <w:r w:rsidRPr="00FB463B">
        <w:rPr>
          <w:rFonts w:eastAsia="Arial" w:cs="Arial"/>
          <w:color w:val="000000" w:themeColor="text1"/>
        </w:rPr>
        <w:t>audience-1 prototypes.</w:t>
      </w:r>
      <w:r w:rsidR="76F90A0D" w:rsidRPr="00FB463B">
        <w:rPr>
          <w:rFonts w:eastAsia="Arial" w:cs="Arial"/>
          <w:color w:val="000000" w:themeColor="text1"/>
        </w:rPr>
        <w:t xml:space="preserve"> </w:t>
      </w:r>
      <w:r w:rsidR="007F1B4E" w:rsidRPr="00FB463B">
        <w:rPr>
          <w:rFonts w:eastAsia="Arial" w:cs="Arial"/>
          <w:color w:val="000000" w:themeColor="text1"/>
        </w:rPr>
        <w:t xml:space="preserve">CDE and ETS </w:t>
      </w:r>
      <w:r w:rsidRPr="00FB463B">
        <w:rPr>
          <w:rFonts w:eastAsia="Arial" w:cs="Arial"/>
          <w:color w:val="000000" w:themeColor="text1"/>
        </w:rPr>
        <w:t xml:space="preserve">will continue </w:t>
      </w:r>
      <w:r w:rsidR="007F1B4E" w:rsidRPr="00FB463B">
        <w:rPr>
          <w:rFonts w:eastAsia="Arial" w:cs="Arial"/>
          <w:color w:val="000000" w:themeColor="text1"/>
        </w:rPr>
        <w:t xml:space="preserve">to refine the </w:t>
      </w:r>
      <w:r w:rsidR="007F1B4E" w:rsidRPr="00FB463B">
        <w:rPr>
          <w:rFonts w:eastAsia="Arial" w:cs="Arial"/>
          <w:color w:val="000000" w:themeColor="text1"/>
        </w:rPr>
        <w:lastRenderedPageBreak/>
        <w:t xml:space="preserve">audience-1 prototyped </w:t>
      </w:r>
      <w:r w:rsidRPr="00FB463B">
        <w:rPr>
          <w:rFonts w:eastAsia="Arial" w:cs="Arial"/>
          <w:color w:val="000000" w:themeColor="text1"/>
        </w:rPr>
        <w:t xml:space="preserve">through the remainder of 2023 </w:t>
      </w:r>
      <w:r w:rsidR="6CCBD59A" w:rsidRPr="00FB463B">
        <w:rPr>
          <w:rFonts w:eastAsia="Arial" w:cs="Arial"/>
          <w:color w:val="000000" w:themeColor="text1"/>
        </w:rPr>
        <w:t xml:space="preserve">based on </w:t>
      </w:r>
      <w:r w:rsidR="767D6DCD" w:rsidRPr="00FB463B">
        <w:rPr>
          <w:rFonts w:eastAsia="Arial" w:cs="Arial"/>
          <w:color w:val="000000" w:themeColor="text1"/>
        </w:rPr>
        <w:t xml:space="preserve">any additional </w:t>
      </w:r>
      <w:r w:rsidR="6CCBD59A" w:rsidRPr="00FB463B">
        <w:rPr>
          <w:rFonts w:eastAsia="Arial" w:cs="Arial"/>
          <w:color w:val="000000" w:themeColor="text1"/>
        </w:rPr>
        <w:t xml:space="preserve">feedback. </w:t>
      </w:r>
      <w:r w:rsidR="007F1B4E" w:rsidRPr="00FB463B">
        <w:rPr>
          <w:rFonts w:eastAsia="Arial" w:cs="Arial"/>
          <w:color w:val="000000" w:themeColor="text1"/>
        </w:rPr>
        <w:t>Any</w:t>
      </w:r>
      <w:r w:rsidR="04170026" w:rsidRPr="00FB463B">
        <w:rPr>
          <w:rFonts w:eastAsia="Arial" w:cs="Arial"/>
          <w:color w:val="000000" w:themeColor="text1"/>
        </w:rPr>
        <w:t xml:space="preserve"> refinements will be incorporated into future items in 2024, </w:t>
      </w:r>
      <w:r w:rsidR="6D210440" w:rsidRPr="00FB463B">
        <w:rPr>
          <w:rFonts w:eastAsia="Arial" w:cs="Arial"/>
          <w:color w:val="000000" w:themeColor="text1"/>
        </w:rPr>
        <w:t xml:space="preserve">along with any necessary prototypes, </w:t>
      </w:r>
      <w:r w:rsidR="04170026" w:rsidRPr="00FB463B">
        <w:rPr>
          <w:rFonts w:eastAsia="Arial" w:cs="Arial"/>
          <w:color w:val="000000" w:themeColor="text1"/>
        </w:rPr>
        <w:t>as the SBE makes decisions about where and how the growth data will be incorporated into the Dashboard.</w:t>
      </w:r>
    </w:p>
    <w:p w14:paraId="1D2BDC6D" w14:textId="4E01BFFC" w:rsidR="0CCF94D8" w:rsidRPr="00FB463B" w:rsidRDefault="6A10752B" w:rsidP="42143EEB">
      <w:pPr>
        <w:spacing w:after="240"/>
        <w:rPr>
          <w:rFonts w:eastAsia="Arial" w:cs="Arial"/>
          <w:color w:val="000000" w:themeColor="text1"/>
        </w:rPr>
      </w:pPr>
      <w:r w:rsidRPr="00FB463B">
        <w:rPr>
          <w:rFonts w:eastAsia="Arial" w:cs="Arial"/>
          <w:color w:val="000000" w:themeColor="text1"/>
        </w:rPr>
        <w:t xml:space="preserve">CPAG </w:t>
      </w:r>
      <w:r w:rsidR="001104B7" w:rsidRPr="00FB463B">
        <w:rPr>
          <w:rFonts w:eastAsia="Arial" w:cs="Arial"/>
          <w:color w:val="000000" w:themeColor="text1"/>
        </w:rPr>
        <w:t xml:space="preserve">members </w:t>
      </w:r>
      <w:r w:rsidRPr="00FB463B">
        <w:rPr>
          <w:rFonts w:eastAsia="Arial" w:cs="Arial"/>
          <w:color w:val="000000" w:themeColor="text1"/>
        </w:rPr>
        <w:t>w</w:t>
      </w:r>
      <w:r w:rsidR="001104B7" w:rsidRPr="00FB463B">
        <w:rPr>
          <w:rFonts w:eastAsia="Arial" w:cs="Arial"/>
          <w:color w:val="000000" w:themeColor="text1"/>
        </w:rPr>
        <w:t>ere</w:t>
      </w:r>
      <w:r w:rsidRPr="00FB463B">
        <w:rPr>
          <w:rFonts w:eastAsia="Arial" w:cs="Arial"/>
          <w:color w:val="000000" w:themeColor="text1"/>
        </w:rPr>
        <w:t xml:space="preserve"> </w:t>
      </w:r>
      <w:r w:rsidR="00BD4E12" w:rsidRPr="00FB463B">
        <w:rPr>
          <w:rFonts w:eastAsia="Arial" w:cs="Arial"/>
          <w:color w:val="000000" w:themeColor="text1"/>
        </w:rPr>
        <w:t>presented</w:t>
      </w:r>
      <w:r w:rsidRPr="00FB463B">
        <w:rPr>
          <w:rFonts w:eastAsia="Arial" w:cs="Arial"/>
          <w:color w:val="000000" w:themeColor="text1"/>
        </w:rPr>
        <w:t xml:space="preserve"> the various prototypes for multiple scenarios</w:t>
      </w:r>
      <w:r w:rsidR="5D42C853" w:rsidRPr="00FB463B">
        <w:rPr>
          <w:rFonts w:eastAsia="Arial" w:cs="Arial"/>
          <w:color w:val="000000" w:themeColor="text1"/>
        </w:rPr>
        <w:t xml:space="preserve"> of </w:t>
      </w:r>
      <w:r w:rsidR="00062F5D" w:rsidRPr="00FB463B">
        <w:rPr>
          <w:rFonts w:eastAsia="Arial" w:cs="Arial"/>
          <w:color w:val="000000" w:themeColor="text1"/>
        </w:rPr>
        <w:t>growth and</w:t>
      </w:r>
      <w:r w:rsidRPr="00FB463B">
        <w:rPr>
          <w:rFonts w:eastAsia="Arial" w:cs="Arial"/>
          <w:color w:val="000000" w:themeColor="text1"/>
        </w:rPr>
        <w:t xml:space="preserve"> provided feedback on improving the clarity of messaging to </w:t>
      </w:r>
      <w:r w:rsidR="2322B29D" w:rsidRPr="00FB463B">
        <w:rPr>
          <w:rFonts w:eastAsia="Arial" w:cs="Arial"/>
          <w:color w:val="000000" w:themeColor="text1"/>
        </w:rPr>
        <w:t xml:space="preserve">Audience 1. </w:t>
      </w:r>
      <w:r w:rsidR="541CD19A" w:rsidRPr="00FB463B">
        <w:rPr>
          <w:rFonts w:eastAsia="Arial" w:cs="Arial"/>
          <w:color w:val="000000" w:themeColor="text1"/>
        </w:rPr>
        <w:t xml:space="preserve">Members felt these visualizations were clear and coherent, and a large improvement in messaging over prior attempts to describe growth. Additional requests were made for communication flyers </w:t>
      </w:r>
      <w:r w:rsidR="51CDE64A" w:rsidRPr="00FB463B">
        <w:rPr>
          <w:rFonts w:eastAsia="Arial" w:cs="Arial"/>
          <w:color w:val="000000" w:themeColor="text1"/>
        </w:rPr>
        <w:t>to connect any visualizations with the data files prior to the next release of growth data.</w:t>
      </w:r>
    </w:p>
    <w:p w14:paraId="09CAED2A" w14:textId="74CD7BF1" w:rsidR="009F2E78" w:rsidRPr="00FB463B" w:rsidRDefault="6CCBD59A" w:rsidP="009C2989">
      <w:pPr>
        <w:spacing w:after="240"/>
        <w:rPr>
          <w:rFonts w:eastAsia="Arial" w:cs="Arial"/>
          <w:color w:val="000000" w:themeColor="text1"/>
        </w:rPr>
      </w:pPr>
      <w:r w:rsidRPr="00FB463B">
        <w:rPr>
          <w:rFonts w:eastAsia="Arial" w:cs="Arial"/>
          <w:color w:val="000000" w:themeColor="text1"/>
        </w:rPr>
        <w:t>The first anticipated date at which average growth scores can be officially reported is December 2024. Three consecutive years of assessment data are required for reporting growth using the hybrid simple-average/EBLP score aggregation approach and the first assessment cycle for which three consecutive years of data can be obtained is the 2023</w:t>
      </w:r>
      <w:r w:rsidR="00421DA5" w:rsidRPr="00FB463B">
        <w:rPr>
          <w:rFonts w:eastAsia="Arial" w:cs="Arial"/>
          <w:color w:val="000000" w:themeColor="text1"/>
        </w:rPr>
        <w:t>–</w:t>
      </w:r>
      <w:r w:rsidRPr="00FB463B">
        <w:rPr>
          <w:rFonts w:eastAsia="Arial" w:cs="Arial"/>
          <w:color w:val="000000" w:themeColor="text1"/>
        </w:rPr>
        <w:t>24 assessment cycle (using 2021</w:t>
      </w:r>
      <w:r w:rsidR="00421DA5" w:rsidRPr="00FB463B">
        <w:rPr>
          <w:rFonts w:eastAsia="Arial" w:cs="Arial"/>
          <w:color w:val="000000" w:themeColor="text1"/>
        </w:rPr>
        <w:t>–</w:t>
      </w:r>
      <w:r w:rsidRPr="00FB463B">
        <w:rPr>
          <w:rFonts w:eastAsia="Arial" w:cs="Arial"/>
          <w:color w:val="000000" w:themeColor="text1"/>
        </w:rPr>
        <w:t>22, 2022</w:t>
      </w:r>
      <w:r w:rsidR="00421DA5" w:rsidRPr="00FB463B">
        <w:rPr>
          <w:rFonts w:eastAsia="Arial" w:cs="Arial"/>
          <w:color w:val="000000" w:themeColor="text1"/>
        </w:rPr>
        <w:t>–</w:t>
      </w:r>
      <w:r w:rsidRPr="00FB463B">
        <w:rPr>
          <w:rFonts w:eastAsia="Arial" w:cs="Arial"/>
          <w:color w:val="000000" w:themeColor="text1"/>
        </w:rPr>
        <w:t>23, and 2023</w:t>
      </w:r>
      <w:r w:rsidR="00421DA5" w:rsidRPr="00FB463B">
        <w:rPr>
          <w:rFonts w:eastAsia="Arial" w:cs="Arial"/>
          <w:color w:val="000000" w:themeColor="text1"/>
        </w:rPr>
        <w:t>–</w:t>
      </w:r>
      <w:r w:rsidRPr="00FB463B">
        <w:rPr>
          <w:rFonts w:eastAsia="Arial" w:cs="Arial"/>
          <w:color w:val="000000" w:themeColor="text1"/>
        </w:rPr>
        <w:t>24 assessment data) given the pandemic disruption of the 2019</w:t>
      </w:r>
      <w:r w:rsidR="00421DA5" w:rsidRPr="00FB463B">
        <w:rPr>
          <w:rFonts w:eastAsia="Arial" w:cs="Arial"/>
          <w:color w:val="000000" w:themeColor="text1"/>
        </w:rPr>
        <w:t>–</w:t>
      </w:r>
      <w:r w:rsidRPr="00FB463B">
        <w:rPr>
          <w:rFonts w:eastAsia="Arial" w:cs="Arial"/>
          <w:color w:val="000000" w:themeColor="text1"/>
        </w:rPr>
        <w:t>20 and 2020</w:t>
      </w:r>
      <w:r w:rsidR="00421DA5" w:rsidRPr="00FB463B">
        <w:rPr>
          <w:rFonts w:eastAsia="Arial" w:cs="Arial"/>
          <w:color w:val="000000" w:themeColor="text1"/>
        </w:rPr>
        <w:t>–</w:t>
      </w:r>
      <w:r w:rsidRPr="00FB463B">
        <w:rPr>
          <w:rFonts w:eastAsia="Arial" w:cs="Arial"/>
          <w:color w:val="000000" w:themeColor="text1"/>
        </w:rPr>
        <w:t>21 assessment cycles.</w:t>
      </w:r>
    </w:p>
    <w:p w14:paraId="2C5A97F5" w14:textId="35E524A6" w:rsidR="009F2E78" w:rsidRPr="00FB463B" w:rsidRDefault="1C7645F6" w:rsidP="6A98466E">
      <w:pPr>
        <w:pStyle w:val="Heading3"/>
        <w:rPr>
          <w:rFonts w:eastAsia="Arial" w:cs="Arial"/>
        </w:rPr>
      </w:pPr>
      <w:r w:rsidRPr="00FB463B">
        <w:t>Address Data Quality and Participation Issues in a Uniform Way throughout the Dashboard</w:t>
      </w:r>
    </w:p>
    <w:p w14:paraId="758F3132" w14:textId="3604748D" w:rsidR="7A600B3E" w:rsidRPr="00FB463B" w:rsidRDefault="124CD86D" w:rsidP="0C50CAC2">
      <w:pPr>
        <w:pStyle w:val="Heading3"/>
      </w:pPr>
      <w:r w:rsidRPr="00FB463B">
        <w:t>Dashboard Principles</w:t>
      </w:r>
    </w:p>
    <w:p w14:paraId="443A0908" w14:textId="77777777" w:rsidR="009154E2" w:rsidRPr="00FB463B" w:rsidRDefault="009154E2" w:rsidP="009154E2">
      <w:pPr>
        <w:spacing w:after="240"/>
      </w:pPr>
      <w:r w:rsidRPr="00FB463B">
        <w:t>This work aligns with the following Dashboard Principles:</w:t>
      </w:r>
    </w:p>
    <w:p w14:paraId="0EA3E140" w14:textId="308E5026" w:rsidR="7A600B3E" w:rsidRPr="00FB463B" w:rsidRDefault="124CD86D" w:rsidP="00C237F4">
      <w:pPr>
        <w:pStyle w:val="Default"/>
        <w:numPr>
          <w:ilvl w:val="0"/>
          <w:numId w:val="5"/>
        </w:numPr>
        <w:spacing w:after="240"/>
      </w:pPr>
      <w:r w:rsidRPr="00FB463B">
        <w:t>Principle 2: Reports opportunity and performance gaps among student groups through the Equity Report that is available for each state indicator.</w:t>
      </w:r>
    </w:p>
    <w:p w14:paraId="0AD747CD" w14:textId="617622DD" w:rsidR="7A600B3E" w:rsidRPr="00FB463B" w:rsidRDefault="124CD86D" w:rsidP="00C237F4">
      <w:pPr>
        <w:pStyle w:val="Default"/>
        <w:numPr>
          <w:ilvl w:val="0"/>
          <w:numId w:val="5"/>
        </w:numPr>
        <w:spacing w:after="240"/>
      </w:pPr>
      <w:r w:rsidRPr="00FB463B">
        <w:t>Principle 4: Values each indicator equally.</w:t>
      </w:r>
    </w:p>
    <w:p w14:paraId="39259001" w14:textId="690E2790" w:rsidR="7A600B3E" w:rsidRPr="00FB463B" w:rsidRDefault="124CD86D" w:rsidP="00C237F4">
      <w:pPr>
        <w:pStyle w:val="Default"/>
        <w:numPr>
          <w:ilvl w:val="0"/>
          <w:numId w:val="5"/>
        </w:numPr>
        <w:spacing w:after="240"/>
        <w:rPr>
          <w:color w:val="auto"/>
        </w:rPr>
      </w:pPr>
      <w:r w:rsidRPr="00FB463B">
        <w:rPr>
          <w:color w:val="auto"/>
        </w:rPr>
        <w:t>Principle 5: Values high performance and growth equally.</w:t>
      </w:r>
    </w:p>
    <w:p w14:paraId="4A444E7C" w14:textId="586873EA" w:rsidR="7A600B3E" w:rsidRPr="00FB463B" w:rsidRDefault="124CD86D" w:rsidP="00C237F4">
      <w:pPr>
        <w:pStyle w:val="Default"/>
        <w:numPr>
          <w:ilvl w:val="0"/>
          <w:numId w:val="5"/>
        </w:numPr>
        <w:spacing w:after="240"/>
        <w:rPr>
          <w:color w:val="auto"/>
        </w:rPr>
      </w:pPr>
      <w:r w:rsidRPr="00FB463B">
        <w:rPr>
          <w:color w:val="auto"/>
        </w:rPr>
        <w:t>Principle 7: Reflects technical quality through measures that are valid and reliable.</w:t>
      </w:r>
    </w:p>
    <w:p w14:paraId="272DF704" w14:textId="5B605494" w:rsidR="7A600B3E" w:rsidRPr="00FB463B" w:rsidRDefault="124CD86D" w:rsidP="00C237F4">
      <w:pPr>
        <w:pStyle w:val="Default"/>
        <w:numPr>
          <w:ilvl w:val="0"/>
          <w:numId w:val="5"/>
        </w:numPr>
        <w:rPr>
          <w:color w:val="auto"/>
        </w:rPr>
      </w:pPr>
      <w:r w:rsidRPr="00FB463B">
        <w:rPr>
          <w:color w:val="auto"/>
        </w:rPr>
        <w:t>Principle 10: Is subject to continuous revision and improvement.</w:t>
      </w:r>
    </w:p>
    <w:p w14:paraId="535833C2" w14:textId="4B06ABE3" w:rsidR="7A600B3E" w:rsidRPr="00FB463B" w:rsidRDefault="124CD86D" w:rsidP="0C50CAC2">
      <w:pPr>
        <w:pStyle w:val="Heading3"/>
      </w:pPr>
      <w:r w:rsidRPr="00FB463B">
        <w:t>2023 Workplan for Addressing Data Quality Issues</w:t>
      </w:r>
    </w:p>
    <w:p w14:paraId="197F857D" w14:textId="577BA74C" w:rsidR="01966599" w:rsidRPr="00FB463B" w:rsidRDefault="6140ED83" w:rsidP="009C2989">
      <w:pPr>
        <w:spacing w:after="240"/>
      </w:pPr>
      <w:r w:rsidRPr="00FB463B">
        <w:t xml:space="preserve">The CDE </w:t>
      </w:r>
      <w:r w:rsidR="00666B19" w:rsidRPr="00FB463B">
        <w:t xml:space="preserve">continues to </w:t>
      </w:r>
      <w:r w:rsidR="006D1523" w:rsidRPr="00FB463B">
        <w:t>work</w:t>
      </w:r>
      <w:r w:rsidRPr="00FB463B">
        <w:t xml:space="preserve"> </w:t>
      </w:r>
      <w:r w:rsidR="008821EE" w:rsidRPr="00FB463B">
        <w:t xml:space="preserve">to improve the </w:t>
      </w:r>
      <w:r w:rsidR="00FE64AD" w:rsidRPr="00FB463B">
        <w:t xml:space="preserve">quality of </w:t>
      </w:r>
      <w:r w:rsidR="001424F4" w:rsidRPr="00FB463B">
        <w:t xml:space="preserve">the </w:t>
      </w:r>
      <w:r w:rsidR="41C49FE8" w:rsidRPr="00FB463B">
        <w:t xml:space="preserve">data displayed on the Dashboard. </w:t>
      </w:r>
      <w:r w:rsidR="006D1523" w:rsidRPr="00FB463B">
        <w:t>The Budget Act of 2023</w:t>
      </w:r>
      <w:r w:rsidR="00666B19" w:rsidRPr="00FB463B">
        <w:t xml:space="preserve"> </w:t>
      </w:r>
      <w:r w:rsidR="006D1523" w:rsidRPr="00FB463B">
        <w:t xml:space="preserve">requires </w:t>
      </w:r>
      <w:r w:rsidR="48A79C45" w:rsidRPr="00FB463B">
        <w:t>LEA</w:t>
      </w:r>
      <w:r w:rsidR="006D1523" w:rsidRPr="00FB463B">
        <w:t>s</w:t>
      </w:r>
      <w:r w:rsidR="48A79C45" w:rsidRPr="00FB463B">
        <w:t xml:space="preserve"> that miss the certification deadline for any CALPADS report </w:t>
      </w:r>
      <w:r w:rsidR="006D1523" w:rsidRPr="00FB463B">
        <w:t xml:space="preserve">to be eligible for </w:t>
      </w:r>
      <w:r w:rsidR="48A79C45" w:rsidRPr="00FB463B">
        <w:t>one</w:t>
      </w:r>
      <w:r w:rsidR="001424F4" w:rsidRPr="00FB463B">
        <w:t xml:space="preserve"> </w:t>
      </w:r>
      <w:r w:rsidR="48A79C45" w:rsidRPr="00FB463B">
        <w:t xml:space="preserve">year of technical assistance. </w:t>
      </w:r>
      <w:r w:rsidR="006D1523" w:rsidRPr="00FB463B">
        <w:t xml:space="preserve">The </w:t>
      </w:r>
      <w:r w:rsidR="006D1523" w:rsidRPr="00FB463B">
        <w:lastRenderedPageBreak/>
        <w:t>technical assistance will be focused on addressing</w:t>
      </w:r>
      <w:r w:rsidR="619D1396" w:rsidRPr="00FB463B">
        <w:t xml:space="preserve"> data issues </w:t>
      </w:r>
      <w:r w:rsidR="006D1523" w:rsidRPr="00FB463B">
        <w:t>that impact CALPADS submission</w:t>
      </w:r>
      <w:r w:rsidR="619D1396" w:rsidRPr="00FB463B">
        <w:t>.</w:t>
      </w:r>
    </w:p>
    <w:p w14:paraId="22E1ECD8" w14:textId="342F1717" w:rsidR="005B228B" w:rsidRPr="00FB463B" w:rsidRDefault="005B228B" w:rsidP="005B228B">
      <w:pPr>
        <w:pStyle w:val="Heading4"/>
      </w:pPr>
      <w:r w:rsidRPr="00FB463B">
        <w:t>ELPI Participation Rate</w:t>
      </w:r>
    </w:p>
    <w:p w14:paraId="0FEC7EC2" w14:textId="696F2F2A" w:rsidR="01966599" w:rsidRPr="00FB463B" w:rsidRDefault="619D1396" w:rsidP="01966599">
      <w:pPr>
        <w:spacing w:after="240"/>
      </w:pPr>
      <w:r w:rsidRPr="00FB463B">
        <w:t xml:space="preserve">Additionally, the CDE explored aligning the ELPI participation rate with the participation rate of </w:t>
      </w:r>
      <w:r w:rsidR="3784BF7A" w:rsidRPr="00FB463B">
        <w:t>the Academic Indicators on the Dashboard.</w:t>
      </w:r>
    </w:p>
    <w:p w14:paraId="7FB8C769" w14:textId="119C8921" w:rsidR="01966599" w:rsidRPr="00FB463B" w:rsidRDefault="3784BF7A" w:rsidP="6A98466E">
      <w:pPr>
        <w:spacing w:after="240"/>
      </w:pPr>
      <w:r w:rsidRPr="00FB463B">
        <w:t>In 2017 and 2019, any school or LEA with a participation rate on the ELPAC below 95</w:t>
      </w:r>
      <w:r w:rsidR="00666B19" w:rsidRPr="00FB463B">
        <w:t xml:space="preserve"> percent</w:t>
      </w:r>
      <w:r w:rsidRPr="00FB463B">
        <w:t xml:space="preserve"> received an “automatic orange” on the</w:t>
      </w:r>
      <w:r w:rsidR="68DB1DF1" w:rsidRPr="00FB463B">
        <w:t>ir ELPI reflected on the</w:t>
      </w:r>
      <w:r w:rsidRPr="00FB463B">
        <w:t xml:space="preserve"> Dashboard. </w:t>
      </w:r>
      <w:r w:rsidR="00666B19" w:rsidRPr="00FB463B">
        <w:t xml:space="preserve">This method </w:t>
      </w:r>
      <w:r w:rsidR="2CF478E0" w:rsidRPr="00FB463B">
        <w:t>is</w:t>
      </w:r>
      <w:r w:rsidR="6DD4E60C" w:rsidRPr="00FB463B">
        <w:t xml:space="preserve"> </w:t>
      </w:r>
      <w:r w:rsidR="2CF478E0" w:rsidRPr="00FB463B">
        <w:t>displayed below in Option 1:</w:t>
      </w:r>
    </w:p>
    <w:p w14:paraId="4BB7912B" w14:textId="7608E74A" w:rsidR="18031E1B" w:rsidRPr="00FB463B" w:rsidRDefault="18031E1B" w:rsidP="009C2989">
      <w:pPr>
        <w:spacing w:after="240"/>
        <w:ind w:firstLine="720"/>
        <w:rPr>
          <w:rFonts w:eastAsia="Arial" w:cs="Arial"/>
          <w:color w:val="000000" w:themeColor="text1"/>
        </w:rPr>
      </w:pPr>
      <w:r w:rsidRPr="00FB463B">
        <w:rPr>
          <w:rFonts w:eastAsia="Arial" w:cs="Arial"/>
          <w:b/>
          <w:bCs/>
          <w:color w:val="000000" w:themeColor="text1"/>
        </w:rPr>
        <w:t>Option 1: Assignment of Orange Color - Current Method</w:t>
      </w:r>
    </w:p>
    <w:p w14:paraId="01D7B7E7" w14:textId="39C425D1" w:rsidR="18031E1B" w:rsidRPr="00FB463B" w:rsidRDefault="18031E1B" w:rsidP="009C2989">
      <w:pPr>
        <w:spacing w:after="240"/>
        <w:ind w:left="720"/>
        <w:rPr>
          <w:rFonts w:eastAsia="Arial" w:cs="Arial"/>
          <w:color w:val="000000" w:themeColor="text1"/>
        </w:rPr>
      </w:pPr>
      <w:r w:rsidRPr="00FB463B">
        <w:rPr>
          <w:rFonts w:eastAsia="Arial" w:cs="Arial"/>
          <w:color w:val="000000" w:themeColor="text1"/>
        </w:rPr>
        <w:t>LEAs and schools with an ELPI Color other than Red that failed to meet the ELPAC S</w:t>
      </w:r>
      <w:r w:rsidR="006D1523" w:rsidRPr="00FB463B">
        <w:rPr>
          <w:rFonts w:eastAsia="Arial" w:cs="Arial"/>
          <w:color w:val="000000" w:themeColor="text1"/>
        </w:rPr>
        <w:t xml:space="preserve">ummative </w:t>
      </w:r>
      <w:r w:rsidRPr="00FB463B">
        <w:rPr>
          <w:rFonts w:eastAsia="Arial" w:cs="Arial"/>
          <w:color w:val="000000" w:themeColor="text1"/>
        </w:rPr>
        <w:t>A</w:t>
      </w:r>
      <w:r w:rsidR="006D1523" w:rsidRPr="00FB463B">
        <w:rPr>
          <w:rFonts w:eastAsia="Arial" w:cs="Arial"/>
          <w:color w:val="000000" w:themeColor="text1"/>
        </w:rPr>
        <w:t>ssessment</w:t>
      </w:r>
      <w:r w:rsidRPr="00FB463B">
        <w:rPr>
          <w:rFonts w:eastAsia="Arial" w:cs="Arial"/>
          <w:color w:val="000000" w:themeColor="text1"/>
        </w:rPr>
        <w:t xml:space="preserve"> participation rate criteria by not testing at least 95 percent of their K–12 EL population on the current year ELPAC S</w:t>
      </w:r>
      <w:r w:rsidR="006D1523" w:rsidRPr="00FB463B">
        <w:rPr>
          <w:rFonts w:eastAsia="Arial" w:cs="Arial"/>
          <w:color w:val="000000" w:themeColor="text1"/>
        </w:rPr>
        <w:t xml:space="preserve">ummative </w:t>
      </w:r>
      <w:r w:rsidRPr="00FB463B">
        <w:rPr>
          <w:rFonts w:eastAsia="Arial" w:cs="Arial"/>
          <w:color w:val="000000" w:themeColor="text1"/>
        </w:rPr>
        <w:t>A</w:t>
      </w:r>
      <w:r w:rsidR="006D1523" w:rsidRPr="00FB463B">
        <w:rPr>
          <w:rFonts w:eastAsia="Arial" w:cs="Arial"/>
          <w:color w:val="000000" w:themeColor="text1"/>
        </w:rPr>
        <w:t>ssessment</w:t>
      </w:r>
      <w:r w:rsidRPr="00FB463B">
        <w:rPr>
          <w:rFonts w:eastAsia="Arial" w:cs="Arial"/>
          <w:color w:val="000000" w:themeColor="text1"/>
        </w:rPr>
        <w:t xml:space="preserve"> are automatically assigned an ELPI color of Orange. The SBE has also considered assigning a color of Red to schools not testing at least 95</w:t>
      </w:r>
      <w:r w:rsidR="00D72C90" w:rsidRPr="00FB463B">
        <w:rPr>
          <w:rFonts w:eastAsia="Arial" w:cs="Arial"/>
          <w:color w:val="000000" w:themeColor="text1"/>
        </w:rPr>
        <w:t xml:space="preserve"> percent</w:t>
      </w:r>
      <w:r w:rsidRPr="00FB463B">
        <w:rPr>
          <w:rFonts w:eastAsia="Arial" w:cs="Arial"/>
          <w:color w:val="000000" w:themeColor="text1"/>
        </w:rPr>
        <w:t xml:space="preserve"> of their K–12 EL population.</w:t>
      </w:r>
    </w:p>
    <w:p w14:paraId="50C97123" w14:textId="26E03A78" w:rsidR="783C1B28" w:rsidRPr="00FB463B" w:rsidRDefault="783C1B28" w:rsidP="009C2989">
      <w:pPr>
        <w:spacing w:after="240"/>
        <w:ind w:left="720"/>
        <w:rPr>
          <w:rFonts w:eastAsia="Arial" w:cs="Arial"/>
          <w:color w:val="000000" w:themeColor="text1"/>
        </w:rPr>
      </w:pPr>
      <w:r w:rsidRPr="00FB463B">
        <w:rPr>
          <w:rFonts w:eastAsia="Arial" w:cs="Arial"/>
          <w:b/>
          <w:bCs/>
          <w:color w:val="000000" w:themeColor="text1"/>
        </w:rPr>
        <w:t>Methodology</w:t>
      </w:r>
      <w:r w:rsidR="18031E1B" w:rsidRPr="00FB463B">
        <w:rPr>
          <w:rFonts w:eastAsia="Arial" w:cs="Arial"/>
          <w:b/>
          <w:bCs/>
          <w:color w:val="000000" w:themeColor="text1"/>
        </w:rPr>
        <w:t>:</w:t>
      </w:r>
      <w:r w:rsidR="18031E1B" w:rsidRPr="00FB463B">
        <w:rPr>
          <w:rFonts w:eastAsia="Arial" w:cs="Arial"/>
          <w:color w:val="000000" w:themeColor="text1"/>
        </w:rPr>
        <w:t xml:space="preserve"> </w:t>
      </w:r>
      <w:r w:rsidR="18FBE3C1" w:rsidRPr="00FB463B">
        <w:rPr>
          <w:rFonts w:eastAsia="Arial" w:cs="Arial"/>
          <w:color w:val="000000" w:themeColor="text1"/>
        </w:rPr>
        <w:t xml:space="preserve">Calculate </w:t>
      </w:r>
      <w:r w:rsidR="4913E5B7" w:rsidRPr="00FB463B">
        <w:rPr>
          <w:rFonts w:eastAsia="Arial" w:cs="Arial"/>
          <w:color w:val="000000" w:themeColor="text1"/>
        </w:rPr>
        <w:t xml:space="preserve">the ELPAC </w:t>
      </w:r>
      <w:r w:rsidR="18FBE3C1" w:rsidRPr="00FB463B">
        <w:rPr>
          <w:rFonts w:eastAsia="Arial" w:cs="Arial"/>
          <w:color w:val="000000" w:themeColor="text1"/>
        </w:rPr>
        <w:t>participation rate (</w:t>
      </w:r>
      <w:proofErr w:type="gramStart"/>
      <w:r w:rsidR="18FBE3C1" w:rsidRPr="00FB463B">
        <w:rPr>
          <w:rFonts w:eastAsia="Arial" w:cs="Arial"/>
          <w:color w:val="000000" w:themeColor="text1"/>
        </w:rPr>
        <w:t>i.e.</w:t>
      </w:r>
      <w:proofErr w:type="gramEnd"/>
      <w:r w:rsidR="18FBE3C1" w:rsidRPr="00FB463B">
        <w:rPr>
          <w:rFonts w:eastAsia="Arial" w:cs="Arial"/>
          <w:color w:val="000000" w:themeColor="text1"/>
        </w:rPr>
        <w:t xml:space="preserve"> </w:t>
      </w:r>
      <w:r w:rsidR="18031E1B" w:rsidRPr="00FB463B">
        <w:rPr>
          <w:rFonts w:eastAsia="Arial" w:cs="Arial"/>
          <w:color w:val="000000" w:themeColor="text1"/>
        </w:rPr>
        <w:t>17</w:t>
      </w:r>
      <w:r w:rsidR="02109C98" w:rsidRPr="00FB463B">
        <w:rPr>
          <w:rFonts w:eastAsia="Arial" w:cs="Arial"/>
          <w:color w:val="000000" w:themeColor="text1"/>
        </w:rPr>
        <w:t xml:space="preserve"> tested</w:t>
      </w:r>
      <w:r w:rsidR="18031E1B" w:rsidRPr="00FB463B">
        <w:rPr>
          <w:rFonts w:eastAsia="Arial" w:cs="Arial"/>
          <w:color w:val="000000" w:themeColor="text1"/>
        </w:rPr>
        <w:t>/22</w:t>
      </w:r>
      <w:r w:rsidR="7BBC4164" w:rsidRPr="00FB463B">
        <w:rPr>
          <w:rFonts w:eastAsia="Arial" w:cs="Arial"/>
          <w:color w:val="000000" w:themeColor="text1"/>
        </w:rPr>
        <w:t xml:space="preserve"> enrolled</w:t>
      </w:r>
      <w:r w:rsidR="18031E1B" w:rsidRPr="00FB463B">
        <w:rPr>
          <w:rFonts w:eastAsia="Arial" w:cs="Arial"/>
          <w:color w:val="000000" w:themeColor="text1"/>
        </w:rPr>
        <w:t xml:space="preserve"> = 78%</w:t>
      </w:r>
      <w:r w:rsidR="012FDCFD" w:rsidRPr="00FB463B">
        <w:rPr>
          <w:rFonts w:eastAsia="Arial" w:cs="Arial"/>
          <w:color w:val="000000" w:themeColor="text1"/>
        </w:rPr>
        <w:t>). If it’s less than 95</w:t>
      </w:r>
      <w:r w:rsidR="00D72C90" w:rsidRPr="00FB463B">
        <w:rPr>
          <w:rFonts w:eastAsia="Arial" w:cs="Arial"/>
          <w:color w:val="000000" w:themeColor="text1"/>
        </w:rPr>
        <w:t xml:space="preserve"> percent</w:t>
      </w:r>
      <w:r w:rsidR="012FDCFD" w:rsidRPr="00FB463B">
        <w:rPr>
          <w:rFonts w:eastAsia="Arial" w:cs="Arial"/>
          <w:color w:val="000000" w:themeColor="text1"/>
        </w:rPr>
        <w:t>, assign a Performance Level of Orange</w:t>
      </w:r>
    </w:p>
    <w:p w14:paraId="7C8179FB" w14:textId="7A188F60" w:rsidR="7D42539A" w:rsidRPr="00FB463B" w:rsidRDefault="7D42539A" w:rsidP="009C2989">
      <w:pPr>
        <w:spacing w:after="240"/>
        <w:rPr>
          <w:rFonts w:eastAsia="Arial" w:cs="Arial"/>
          <w:color w:val="000000" w:themeColor="text1"/>
        </w:rPr>
      </w:pPr>
      <w:r w:rsidRPr="00FB463B">
        <w:rPr>
          <w:rFonts w:eastAsia="Arial" w:cs="Arial"/>
          <w:color w:val="000000" w:themeColor="text1"/>
        </w:rPr>
        <w:t>This method results in a consistent and predictable outcome, as schools and LEAs not meeting the 95 percent threshold are assigned a Performance Level of Orange.</w:t>
      </w:r>
      <w:r w:rsidR="18031E1B" w:rsidRPr="00FB463B">
        <w:rPr>
          <w:rFonts w:eastAsia="Arial" w:cs="Arial"/>
          <w:color w:val="000000" w:themeColor="text1"/>
        </w:rPr>
        <w:t xml:space="preserve"> </w:t>
      </w:r>
      <w:r w:rsidR="4010B3BA" w:rsidRPr="00FB463B">
        <w:rPr>
          <w:rFonts w:eastAsia="Arial" w:cs="Arial"/>
          <w:color w:val="000000" w:themeColor="text1"/>
        </w:rPr>
        <w:t>However, t</w:t>
      </w:r>
      <w:r w:rsidR="18031E1B" w:rsidRPr="00FB463B">
        <w:rPr>
          <w:rFonts w:eastAsia="Arial" w:cs="Arial"/>
          <w:color w:val="000000" w:themeColor="text1"/>
        </w:rPr>
        <w:t xml:space="preserve">he assignment of </w:t>
      </w:r>
      <w:r w:rsidR="63D0AE20" w:rsidRPr="00FB463B">
        <w:rPr>
          <w:rFonts w:eastAsia="Arial" w:cs="Arial"/>
          <w:color w:val="000000" w:themeColor="text1"/>
        </w:rPr>
        <w:t>an O</w:t>
      </w:r>
      <w:r w:rsidR="18031E1B" w:rsidRPr="00FB463B">
        <w:rPr>
          <w:rFonts w:eastAsia="Arial" w:cs="Arial"/>
          <w:color w:val="000000" w:themeColor="text1"/>
        </w:rPr>
        <w:t>range</w:t>
      </w:r>
      <w:r w:rsidR="10DA80CC" w:rsidRPr="00FB463B">
        <w:rPr>
          <w:rFonts w:eastAsia="Arial" w:cs="Arial"/>
          <w:color w:val="000000" w:themeColor="text1"/>
        </w:rPr>
        <w:t xml:space="preserve"> </w:t>
      </w:r>
      <w:r w:rsidR="18031E1B" w:rsidRPr="00FB463B">
        <w:rPr>
          <w:rFonts w:eastAsia="Arial" w:cs="Arial"/>
          <w:color w:val="000000" w:themeColor="text1"/>
        </w:rPr>
        <w:t>has no impact on LEA eligibility for</w:t>
      </w:r>
      <w:r w:rsidR="248D7F10" w:rsidRPr="00FB463B">
        <w:rPr>
          <w:rFonts w:eastAsia="Arial" w:cs="Arial"/>
          <w:color w:val="000000" w:themeColor="text1"/>
        </w:rPr>
        <w:t xml:space="preserve"> </w:t>
      </w:r>
      <w:r w:rsidR="18031E1B" w:rsidRPr="00FB463B">
        <w:rPr>
          <w:rFonts w:eastAsia="Arial" w:cs="Arial"/>
          <w:color w:val="000000" w:themeColor="text1"/>
        </w:rPr>
        <w:t xml:space="preserve">assistance determinations because </w:t>
      </w:r>
      <w:r w:rsidR="006D1523" w:rsidRPr="00FB463B">
        <w:rPr>
          <w:rFonts w:eastAsia="Arial" w:cs="Arial"/>
          <w:color w:val="000000" w:themeColor="text1"/>
        </w:rPr>
        <w:t xml:space="preserve">for this indicator </w:t>
      </w:r>
      <w:r w:rsidR="18031E1B" w:rsidRPr="00FB463B">
        <w:rPr>
          <w:rFonts w:eastAsia="Arial" w:cs="Arial"/>
          <w:color w:val="000000" w:themeColor="text1"/>
        </w:rPr>
        <w:t>only red is counted</w:t>
      </w:r>
      <w:r w:rsidR="0AED67CE" w:rsidRPr="00FB463B">
        <w:rPr>
          <w:rFonts w:eastAsia="Arial" w:cs="Arial"/>
          <w:color w:val="000000" w:themeColor="text1"/>
        </w:rPr>
        <w:t xml:space="preserve"> toward Differentiated Assistance eligibility. </w:t>
      </w:r>
      <w:r w:rsidR="333CB9D3" w:rsidRPr="00FB463B">
        <w:rPr>
          <w:rFonts w:eastAsia="Arial" w:cs="Arial"/>
          <w:color w:val="000000" w:themeColor="text1"/>
        </w:rPr>
        <w:t xml:space="preserve">The Orange Performance Level does, however, impact school eligibility </w:t>
      </w:r>
      <w:r w:rsidR="006D1523" w:rsidRPr="00FB463B">
        <w:rPr>
          <w:rFonts w:eastAsia="Arial" w:cs="Arial"/>
          <w:color w:val="000000" w:themeColor="text1"/>
        </w:rPr>
        <w:t>under ESSA</w:t>
      </w:r>
      <w:r w:rsidR="333CB9D3" w:rsidRPr="00FB463B">
        <w:rPr>
          <w:rFonts w:eastAsia="Arial" w:cs="Arial"/>
          <w:color w:val="000000" w:themeColor="text1"/>
        </w:rPr>
        <w:t>, as schools with all red/orange indicators can become eligible for assistance.</w:t>
      </w:r>
    </w:p>
    <w:p w14:paraId="7F27DB45" w14:textId="6CC62748" w:rsidR="333CB9D3" w:rsidRPr="00FB463B" w:rsidRDefault="333CB9D3" w:rsidP="009C2989">
      <w:pPr>
        <w:spacing w:after="240"/>
        <w:ind w:left="720"/>
        <w:rPr>
          <w:rFonts w:eastAsia="Arial" w:cs="Arial"/>
          <w:b/>
          <w:bCs/>
          <w:color w:val="000000" w:themeColor="text1"/>
        </w:rPr>
      </w:pPr>
      <w:r w:rsidRPr="00FB463B">
        <w:rPr>
          <w:rFonts w:eastAsia="Arial" w:cs="Arial"/>
          <w:b/>
          <w:bCs/>
          <w:color w:val="000000" w:themeColor="text1"/>
        </w:rPr>
        <w:t>Option 2: Assignment of No Progress</w:t>
      </w:r>
    </w:p>
    <w:p w14:paraId="2795D0F9" w14:textId="1B414E23" w:rsidR="006D1523" w:rsidRPr="00FB463B" w:rsidRDefault="333CB9D3" w:rsidP="009C2989">
      <w:pPr>
        <w:spacing w:after="240"/>
        <w:ind w:left="720"/>
        <w:rPr>
          <w:rFonts w:eastAsia="Arial" w:cs="Arial"/>
          <w:color w:val="000000" w:themeColor="text1"/>
        </w:rPr>
      </w:pPr>
      <w:r w:rsidRPr="00FB463B">
        <w:rPr>
          <w:rFonts w:eastAsia="Arial" w:cs="Arial"/>
          <w:color w:val="000000" w:themeColor="text1"/>
        </w:rPr>
        <w:t>Distance to 95 Percent ELPAC S</w:t>
      </w:r>
      <w:r w:rsidR="006D1523" w:rsidRPr="00FB463B">
        <w:rPr>
          <w:rFonts w:eastAsia="Arial" w:cs="Arial"/>
          <w:color w:val="000000" w:themeColor="text1"/>
        </w:rPr>
        <w:t>ummative Assessment</w:t>
      </w:r>
      <w:r w:rsidRPr="00FB463B">
        <w:rPr>
          <w:rFonts w:eastAsia="Arial" w:cs="Arial"/>
          <w:color w:val="000000" w:themeColor="text1"/>
        </w:rPr>
        <w:t xml:space="preserve"> Participation Rate Methodology: </w:t>
      </w:r>
    </w:p>
    <w:p w14:paraId="2F5A012A" w14:textId="38EEA251" w:rsidR="333CB9D3" w:rsidRPr="00FB463B" w:rsidRDefault="333CB9D3" w:rsidP="009C2989">
      <w:pPr>
        <w:spacing w:after="240"/>
        <w:ind w:left="720"/>
        <w:rPr>
          <w:rFonts w:eastAsia="Arial" w:cs="Arial"/>
          <w:color w:val="000000" w:themeColor="text1"/>
        </w:rPr>
      </w:pPr>
      <w:r w:rsidRPr="00FB463B">
        <w:rPr>
          <w:rFonts w:eastAsia="Arial" w:cs="Arial"/>
          <w:color w:val="000000" w:themeColor="text1"/>
        </w:rPr>
        <w:t>For each LEA and school with at least 30 EL students enrolled in the current Dashboard year based on ETS enrollment, calculate the minimum number of students needed to reach equal to or greater than a 94.1</w:t>
      </w:r>
      <w:r w:rsidR="00D72C90" w:rsidRPr="00FB463B">
        <w:rPr>
          <w:rFonts w:eastAsia="Arial" w:cs="Arial"/>
          <w:color w:val="000000" w:themeColor="text1"/>
        </w:rPr>
        <w:t xml:space="preserve"> percent</w:t>
      </w:r>
      <w:r w:rsidRPr="00FB463B">
        <w:rPr>
          <w:rFonts w:eastAsia="Arial" w:cs="Arial"/>
          <w:color w:val="000000" w:themeColor="text1"/>
        </w:rPr>
        <w:t xml:space="preserve"> participation rate. The resulting number of students will be counted as not making progress on the current ELPI Status calculation.</w:t>
      </w:r>
    </w:p>
    <w:p w14:paraId="21788075" w14:textId="4503483D" w:rsidR="1BE8CAF1" w:rsidRPr="00FB463B" w:rsidRDefault="1BE8CAF1" w:rsidP="009C2989">
      <w:pPr>
        <w:spacing w:after="240"/>
        <w:ind w:left="720"/>
        <w:rPr>
          <w:rFonts w:eastAsia="Arial" w:cs="Arial"/>
          <w:color w:val="000000" w:themeColor="text1"/>
        </w:rPr>
      </w:pPr>
      <w:r w:rsidRPr="00FB463B">
        <w:rPr>
          <w:rFonts w:eastAsia="Arial" w:cs="Arial"/>
          <w:b/>
          <w:bCs/>
          <w:color w:val="000000" w:themeColor="text1"/>
        </w:rPr>
        <w:t>Methodology:</w:t>
      </w:r>
      <w:r w:rsidRPr="00FB463B">
        <w:rPr>
          <w:rFonts w:eastAsia="Arial" w:cs="Arial"/>
          <w:color w:val="000000" w:themeColor="text1"/>
        </w:rPr>
        <w:t xml:space="preserve"> </w:t>
      </w:r>
      <w:r w:rsidR="249AD05F" w:rsidRPr="00FB463B">
        <w:rPr>
          <w:rFonts w:eastAsia="Arial" w:cs="Arial"/>
          <w:color w:val="000000" w:themeColor="text1"/>
        </w:rPr>
        <w:t xml:space="preserve">Calculate </w:t>
      </w:r>
      <w:r w:rsidR="333CB9D3" w:rsidRPr="00FB463B">
        <w:rPr>
          <w:rFonts w:eastAsia="Arial" w:cs="Arial"/>
          <w:color w:val="000000" w:themeColor="text1"/>
        </w:rPr>
        <w:t xml:space="preserve">the </w:t>
      </w:r>
      <w:r w:rsidR="0970FAE7" w:rsidRPr="00FB463B">
        <w:rPr>
          <w:rFonts w:eastAsia="Arial" w:cs="Arial"/>
          <w:color w:val="000000" w:themeColor="text1"/>
        </w:rPr>
        <w:t xml:space="preserve">ELPAC </w:t>
      </w:r>
      <w:r w:rsidR="333CB9D3" w:rsidRPr="00FB463B">
        <w:rPr>
          <w:rFonts w:eastAsia="Arial" w:cs="Arial"/>
          <w:color w:val="000000" w:themeColor="text1"/>
        </w:rPr>
        <w:t xml:space="preserve">participation </w:t>
      </w:r>
      <w:r w:rsidR="04AAF1B5" w:rsidRPr="00FB463B">
        <w:rPr>
          <w:rFonts w:eastAsia="Arial" w:cs="Arial"/>
          <w:color w:val="000000" w:themeColor="text1"/>
        </w:rPr>
        <w:t>r</w:t>
      </w:r>
      <w:r w:rsidR="333CB9D3" w:rsidRPr="00FB463B">
        <w:rPr>
          <w:rFonts w:eastAsia="Arial" w:cs="Arial"/>
          <w:color w:val="000000" w:themeColor="text1"/>
        </w:rPr>
        <w:t>ate</w:t>
      </w:r>
      <w:r w:rsidR="7DEEFE35" w:rsidRPr="00FB463B">
        <w:rPr>
          <w:rFonts w:eastAsia="Arial" w:cs="Arial"/>
          <w:color w:val="000000" w:themeColor="text1"/>
        </w:rPr>
        <w:t xml:space="preserve"> (</w:t>
      </w:r>
      <w:proofErr w:type="gramStart"/>
      <w:r w:rsidR="7DEEFE35" w:rsidRPr="00FB463B">
        <w:rPr>
          <w:rFonts w:eastAsia="Arial" w:cs="Arial"/>
          <w:color w:val="000000" w:themeColor="text1"/>
        </w:rPr>
        <w:t>i.e.</w:t>
      </w:r>
      <w:proofErr w:type="gramEnd"/>
      <w:r w:rsidR="7DEEFE35" w:rsidRPr="00FB463B">
        <w:rPr>
          <w:rFonts w:eastAsia="Arial" w:cs="Arial"/>
          <w:color w:val="000000" w:themeColor="text1"/>
        </w:rPr>
        <w:t xml:space="preserve"> 21 tested/35 enrolled = 60</w:t>
      </w:r>
      <w:r w:rsidR="0023621B" w:rsidRPr="00FB463B">
        <w:rPr>
          <w:rFonts w:eastAsia="Arial" w:cs="Arial"/>
          <w:color w:val="000000" w:themeColor="text1"/>
        </w:rPr>
        <w:t xml:space="preserve"> percent</w:t>
      </w:r>
      <w:r w:rsidR="7DEEFE35" w:rsidRPr="00FB463B">
        <w:rPr>
          <w:rFonts w:eastAsia="Arial" w:cs="Arial"/>
          <w:color w:val="000000" w:themeColor="text1"/>
        </w:rPr>
        <w:t xml:space="preserve">). </w:t>
      </w:r>
      <w:r w:rsidR="362C3D96" w:rsidRPr="00FB463B">
        <w:rPr>
          <w:rFonts w:eastAsia="Arial" w:cs="Arial"/>
          <w:color w:val="000000" w:themeColor="text1"/>
        </w:rPr>
        <w:t xml:space="preserve">Calculate the </w:t>
      </w:r>
      <w:r w:rsidR="12195B06" w:rsidRPr="00FB463B">
        <w:rPr>
          <w:rFonts w:eastAsia="Arial" w:cs="Arial"/>
          <w:color w:val="000000" w:themeColor="text1"/>
        </w:rPr>
        <w:t xml:space="preserve">number of students needed to meet a </w:t>
      </w:r>
      <w:r w:rsidR="362C3D96" w:rsidRPr="00FB463B">
        <w:rPr>
          <w:rFonts w:eastAsia="Arial" w:cs="Arial"/>
          <w:color w:val="000000" w:themeColor="text1"/>
        </w:rPr>
        <w:t>“</w:t>
      </w:r>
      <w:r w:rsidR="333CB9D3" w:rsidRPr="00FB463B">
        <w:rPr>
          <w:rFonts w:eastAsia="Arial" w:cs="Arial"/>
          <w:color w:val="000000" w:themeColor="text1"/>
        </w:rPr>
        <w:t>95</w:t>
      </w:r>
      <w:r w:rsidR="0023621B" w:rsidRPr="00FB463B">
        <w:rPr>
          <w:rFonts w:eastAsia="Arial" w:cs="Arial"/>
          <w:color w:val="000000" w:themeColor="text1"/>
        </w:rPr>
        <w:t xml:space="preserve"> percent</w:t>
      </w:r>
      <w:r w:rsidR="333CB9D3" w:rsidRPr="00FB463B">
        <w:rPr>
          <w:rFonts w:eastAsia="Arial" w:cs="Arial"/>
          <w:color w:val="000000" w:themeColor="text1"/>
        </w:rPr>
        <w:t xml:space="preserve"> Participation Rat</w:t>
      </w:r>
      <w:r w:rsidR="4FE725EB" w:rsidRPr="00FB463B">
        <w:rPr>
          <w:rFonts w:eastAsia="Arial" w:cs="Arial"/>
          <w:color w:val="000000" w:themeColor="text1"/>
        </w:rPr>
        <w:t>e” (</w:t>
      </w:r>
      <w:r w:rsidR="5171F38E" w:rsidRPr="00FB463B">
        <w:rPr>
          <w:rFonts w:eastAsia="Arial" w:cs="Arial"/>
          <w:color w:val="000000" w:themeColor="text1"/>
        </w:rPr>
        <w:t>95</w:t>
      </w:r>
      <w:r w:rsidR="0023621B" w:rsidRPr="00FB463B">
        <w:rPr>
          <w:rFonts w:eastAsia="Arial" w:cs="Arial"/>
          <w:color w:val="000000" w:themeColor="text1"/>
        </w:rPr>
        <w:t xml:space="preserve"> percent</w:t>
      </w:r>
      <w:r w:rsidR="5171F38E" w:rsidRPr="00FB463B">
        <w:rPr>
          <w:rFonts w:eastAsia="Arial" w:cs="Arial"/>
          <w:color w:val="000000" w:themeColor="text1"/>
        </w:rPr>
        <w:t xml:space="preserve"> x 35 = 33 students</w:t>
      </w:r>
      <w:r w:rsidR="389E41DC" w:rsidRPr="00FB463B">
        <w:rPr>
          <w:rFonts w:eastAsia="Arial" w:cs="Arial"/>
          <w:color w:val="000000" w:themeColor="text1"/>
        </w:rPr>
        <w:t>)</w:t>
      </w:r>
      <w:r w:rsidR="5171F38E" w:rsidRPr="00FB463B">
        <w:rPr>
          <w:rFonts w:eastAsia="Arial" w:cs="Arial"/>
          <w:color w:val="000000" w:themeColor="text1"/>
        </w:rPr>
        <w:t xml:space="preserve">. </w:t>
      </w:r>
      <w:r w:rsidR="160A68C6" w:rsidRPr="00FB463B">
        <w:rPr>
          <w:rFonts w:eastAsia="Arial" w:cs="Arial"/>
          <w:color w:val="000000" w:themeColor="text1"/>
        </w:rPr>
        <w:t xml:space="preserve">Subtract the number of </w:t>
      </w:r>
      <w:r w:rsidR="160A68C6" w:rsidRPr="00FB463B">
        <w:rPr>
          <w:rFonts w:eastAsia="Arial" w:cs="Arial"/>
          <w:color w:val="000000" w:themeColor="text1"/>
        </w:rPr>
        <w:lastRenderedPageBreak/>
        <w:t>tested students from those needed to meet 95</w:t>
      </w:r>
      <w:r w:rsidR="0023621B" w:rsidRPr="00FB463B">
        <w:rPr>
          <w:rFonts w:eastAsia="Arial" w:cs="Arial"/>
          <w:color w:val="000000" w:themeColor="text1"/>
        </w:rPr>
        <w:t xml:space="preserve"> percent</w:t>
      </w:r>
      <w:r w:rsidR="160A68C6" w:rsidRPr="00FB463B">
        <w:rPr>
          <w:rFonts w:eastAsia="Arial" w:cs="Arial"/>
          <w:color w:val="000000" w:themeColor="text1"/>
        </w:rPr>
        <w:t xml:space="preserve"> (</w:t>
      </w:r>
      <w:r w:rsidR="5171F38E" w:rsidRPr="00FB463B">
        <w:rPr>
          <w:rFonts w:eastAsia="Arial" w:cs="Arial"/>
          <w:color w:val="000000" w:themeColor="text1"/>
        </w:rPr>
        <w:t>33-21= 12 students</w:t>
      </w:r>
      <w:r w:rsidR="3B485D39" w:rsidRPr="00FB463B">
        <w:rPr>
          <w:rFonts w:eastAsia="Arial" w:cs="Arial"/>
          <w:color w:val="000000" w:themeColor="text1"/>
        </w:rPr>
        <w:t>)</w:t>
      </w:r>
      <w:r w:rsidR="5171F38E" w:rsidRPr="00FB463B">
        <w:rPr>
          <w:rFonts w:eastAsia="Arial" w:cs="Arial"/>
          <w:color w:val="000000" w:themeColor="text1"/>
        </w:rPr>
        <w:t xml:space="preserve">. </w:t>
      </w:r>
      <w:r w:rsidR="779A4CEB" w:rsidRPr="00FB463B">
        <w:rPr>
          <w:rFonts w:eastAsia="Arial" w:cs="Arial"/>
          <w:color w:val="000000" w:themeColor="text1"/>
        </w:rPr>
        <w:t>Add that number of students to the denominator of the ELPI progress calculation for status.</w:t>
      </w:r>
    </w:p>
    <w:p w14:paraId="2947C42C" w14:textId="4ABCFEED" w:rsidR="0BE199A9" w:rsidRPr="00FB463B" w:rsidRDefault="006D1523" w:rsidP="009C2989">
      <w:pPr>
        <w:spacing w:after="240"/>
        <w:rPr>
          <w:rFonts w:eastAsia="Arial" w:cs="Arial"/>
          <w:color w:val="000000" w:themeColor="text1"/>
        </w:rPr>
      </w:pPr>
      <w:r w:rsidRPr="00FB463B">
        <w:rPr>
          <w:rFonts w:eastAsia="Arial" w:cs="Arial"/>
          <w:color w:val="000000" w:themeColor="text1"/>
        </w:rPr>
        <w:t>Using</w:t>
      </w:r>
      <w:r w:rsidR="0BE199A9" w:rsidRPr="00FB463B">
        <w:rPr>
          <w:rFonts w:eastAsia="Arial" w:cs="Arial"/>
          <w:color w:val="000000" w:themeColor="text1"/>
        </w:rPr>
        <w:t xml:space="preserve"> this methodology, the ELPI status will be depressed for any school or LEA that has fewer than 95</w:t>
      </w:r>
      <w:r w:rsidR="00666B19" w:rsidRPr="00FB463B">
        <w:rPr>
          <w:rFonts w:eastAsia="Arial" w:cs="Arial"/>
          <w:color w:val="000000" w:themeColor="text1"/>
        </w:rPr>
        <w:t xml:space="preserve"> percent</w:t>
      </w:r>
      <w:r w:rsidR="0BE199A9" w:rsidRPr="00FB463B">
        <w:rPr>
          <w:rFonts w:eastAsia="Arial" w:cs="Arial"/>
          <w:color w:val="000000" w:themeColor="text1"/>
        </w:rPr>
        <w:t xml:space="preserve"> of its English Learner students tested on the annual ELPAC. While the c</w:t>
      </w:r>
      <w:r w:rsidR="12AB348E" w:rsidRPr="00FB463B">
        <w:rPr>
          <w:rFonts w:eastAsia="Arial" w:cs="Arial"/>
          <w:color w:val="000000" w:themeColor="text1"/>
        </w:rPr>
        <w:t>olor change may not be as severe as reduction to an Orange Performance Level, the resulting status will more accurately reflect the percentage of students making progress annually.</w:t>
      </w:r>
    </w:p>
    <w:p w14:paraId="4854BAF5" w14:textId="0858C028" w:rsidR="12AB348E" w:rsidRPr="00FB463B" w:rsidRDefault="12AB348E" w:rsidP="009C2989">
      <w:pPr>
        <w:spacing w:after="240"/>
        <w:rPr>
          <w:rFonts w:eastAsia="Arial" w:cs="Arial"/>
          <w:color w:val="000000" w:themeColor="text1"/>
        </w:rPr>
      </w:pPr>
      <w:r w:rsidRPr="00FB463B">
        <w:rPr>
          <w:rFonts w:eastAsia="Arial" w:cs="Arial"/>
          <w:i/>
          <w:iCs/>
          <w:color w:val="000000" w:themeColor="text1"/>
        </w:rPr>
        <w:t>Feedback from Education Partners</w:t>
      </w:r>
    </w:p>
    <w:p w14:paraId="73317A4F" w14:textId="479FB20E" w:rsidR="006D7B0C" w:rsidRPr="00FB463B" w:rsidRDefault="12AB348E" w:rsidP="0023621B">
      <w:r w:rsidRPr="00FB463B">
        <w:rPr>
          <w:rFonts w:eastAsia="Arial" w:cs="Arial"/>
          <w:color w:val="000000" w:themeColor="text1"/>
        </w:rPr>
        <w:t>The TDG and the ELPI Workgroup both supported changing the ELPI participation rate to the new “Assignment of No Progress” methodology.</w:t>
      </w:r>
    </w:p>
    <w:p w14:paraId="7C15D289" w14:textId="014C7EC0" w:rsidR="006D7B0C" w:rsidRPr="00FB463B" w:rsidRDefault="006D7B0C" w:rsidP="006D7B0C">
      <w:pPr>
        <w:pStyle w:val="Heading3"/>
      </w:pPr>
      <w:r w:rsidRPr="00FB463B">
        <w:t>2023 Differentiated Assistance Criteria</w:t>
      </w:r>
    </w:p>
    <w:p w14:paraId="5E72B75B" w14:textId="4F9D3E03" w:rsidR="00587CAE" w:rsidRPr="00FB463B" w:rsidRDefault="00587CAE" w:rsidP="00587CAE">
      <w:pPr>
        <w:spacing w:after="240"/>
      </w:pPr>
      <w:r w:rsidRPr="00FB463B">
        <w:rPr>
          <w:rFonts w:eastAsia="Arial" w:cs="Arial"/>
        </w:rPr>
        <w:t>Under the L</w:t>
      </w:r>
      <w:r w:rsidR="00180610" w:rsidRPr="00FB463B">
        <w:rPr>
          <w:rFonts w:eastAsia="Arial" w:cs="Arial"/>
        </w:rPr>
        <w:t xml:space="preserve">ocal </w:t>
      </w:r>
      <w:r w:rsidRPr="00FB463B">
        <w:rPr>
          <w:rFonts w:eastAsia="Arial" w:cs="Arial"/>
        </w:rPr>
        <w:t>C</w:t>
      </w:r>
      <w:r w:rsidR="00180610" w:rsidRPr="00FB463B">
        <w:rPr>
          <w:rFonts w:eastAsia="Arial" w:cs="Arial"/>
        </w:rPr>
        <w:t xml:space="preserve">ontrol </w:t>
      </w:r>
      <w:r w:rsidRPr="00FB463B">
        <w:rPr>
          <w:rFonts w:eastAsia="Arial" w:cs="Arial"/>
        </w:rPr>
        <w:t>F</w:t>
      </w:r>
      <w:r w:rsidR="00180610" w:rsidRPr="00FB463B">
        <w:rPr>
          <w:rFonts w:eastAsia="Arial" w:cs="Arial"/>
        </w:rPr>
        <w:t xml:space="preserve">unding </w:t>
      </w:r>
      <w:r w:rsidRPr="00FB463B">
        <w:rPr>
          <w:rFonts w:eastAsia="Arial" w:cs="Arial"/>
        </w:rPr>
        <w:t>F</w:t>
      </w:r>
      <w:r w:rsidR="00180610" w:rsidRPr="00FB463B">
        <w:rPr>
          <w:rFonts w:eastAsia="Arial" w:cs="Arial"/>
        </w:rPr>
        <w:t>ormula (LCFF)</w:t>
      </w:r>
      <w:r w:rsidRPr="00FB463B">
        <w:rPr>
          <w:rFonts w:eastAsia="Arial" w:cs="Arial"/>
        </w:rPr>
        <w:t xml:space="preserve">, LEAs including districts, county offices of education (COEs), and charter schools are eligible for differentiated assistance (DA) based on their performance on the Dashboard. </w:t>
      </w:r>
      <w:r w:rsidR="00BB235C" w:rsidRPr="00FB463B">
        <w:rPr>
          <w:rFonts w:eastAsia="Arial" w:cs="Arial"/>
        </w:rPr>
        <w:t xml:space="preserve">As described in Table 36, there are three methods that are used to determine DA eligibility. </w:t>
      </w:r>
    </w:p>
    <w:p w14:paraId="6E6599B3" w14:textId="0E75C9E1" w:rsidR="0058604A" w:rsidRPr="00FB463B" w:rsidRDefault="009C1D1E" w:rsidP="0058604A">
      <w:pPr>
        <w:spacing w:after="240"/>
      </w:pPr>
      <w:r w:rsidRPr="00FB463B">
        <w:t>Specifically, t</w:t>
      </w:r>
      <w:r w:rsidR="00766232" w:rsidRPr="00FB463B">
        <w:t>he</w:t>
      </w:r>
      <w:r w:rsidR="00587CAE" w:rsidRPr="00FB463B">
        <w:t xml:space="preserve"> 2022 </w:t>
      </w:r>
      <w:r w:rsidR="00766232" w:rsidRPr="00FB463B">
        <w:t xml:space="preserve">DA </w:t>
      </w:r>
      <w:r w:rsidR="008465FD" w:rsidRPr="00FB463B">
        <w:t>eligibility determinations</w:t>
      </w:r>
      <w:r w:rsidR="00587CAE" w:rsidRPr="00FB463B">
        <w:t xml:space="preserve"> </w:t>
      </w:r>
      <w:r w:rsidR="0029203E" w:rsidRPr="00FB463B">
        <w:t>were</w:t>
      </w:r>
      <w:r w:rsidR="00587CAE" w:rsidRPr="00FB463B">
        <w:t xml:space="preserve"> </w:t>
      </w:r>
      <w:r w:rsidR="0029203E" w:rsidRPr="00FB463B">
        <w:t xml:space="preserve">based on </w:t>
      </w:r>
      <w:r w:rsidR="00587CAE" w:rsidRPr="00FB463B">
        <w:t xml:space="preserve">Method 1, also known as State Indicators only, due to only having one year of local indicator data. </w:t>
      </w:r>
      <w:r w:rsidR="009F773F" w:rsidRPr="00FB463B">
        <w:t xml:space="preserve">In 2023, </w:t>
      </w:r>
      <w:r w:rsidR="00A71179" w:rsidRPr="00FB463B">
        <w:t xml:space="preserve">DA eligibility determinations </w:t>
      </w:r>
      <w:r w:rsidR="00AE638E" w:rsidRPr="00FB463B">
        <w:t xml:space="preserve">will include </w:t>
      </w:r>
      <w:r w:rsidR="00587CAE" w:rsidRPr="00FB463B">
        <w:t>Methods 2 and 3.</w:t>
      </w:r>
      <w:r w:rsidR="0058604A" w:rsidRPr="00FB463B">
        <w:t xml:space="preserve"> Additionally, in 2023, charter schools will again be eligible for DA. The eligibility criteria for charters </w:t>
      </w:r>
      <w:r w:rsidR="00263635" w:rsidRPr="00FB463B">
        <w:t>are</w:t>
      </w:r>
      <w:r w:rsidR="0058604A" w:rsidRPr="00FB463B">
        <w:t xml:space="preserve"> identical to districts/COEs eligibility criteria, except for charter schools are required to meet the criteria </w:t>
      </w:r>
      <w:r w:rsidR="0058604A" w:rsidRPr="00FB463B">
        <w:rPr>
          <w:b/>
          <w:bCs/>
        </w:rPr>
        <w:t>in two or more years.</w:t>
      </w:r>
    </w:p>
    <w:p w14:paraId="088CD002" w14:textId="08A70DC5" w:rsidR="00FB22FA" w:rsidRPr="00FB463B" w:rsidRDefault="004013EF" w:rsidP="001C7B58">
      <w:pPr>
        <w:spacing w:after="240"/>
        <w:rPr>
          <w:b/>
          <w:bCs/>
        </w:rPr>
      </w:pPr>
      <w:r w:rsidRPr="00FB463B">
        <w:rPr>
          <w:b/>
          <w:bCs/>
        </w:rPr>
        <w:t xml:space="preserve">Table </w:t>
      </w:r>
      <w:r w:rsidR="009C2323" w:rsidRPr="00FB463B">
        <w:rPr>
          <w:b/>
          <w:bCs/>
        </w:rPr>
        <w:t>36</w:t>
      </w:r>
      <w:r w:rsidRPr="00FB463B">
        <w:rPr>
          <w:b/>
          <w:bCs/>
        </w:rPr>
        <w:t xml:space="preserve">: </w:t>
      </w:r>
      <w:r w:rsidR="009C2323" w:rsidRPr="00FB463B">
        <w:rPr>
          <w:b/>
          <w:bCs/>
        </w:rPr>
        <w:t>Eligibility Criteria by Method</w:t>
      </w:r>
    </w:p>
    <w:tbl>
      <w:tblPr>
        <w:tblStyle w:val="TableGrid"/>
        <w:tblW w:w="0" w:type="auto"/>
        <w:tblLook w:val="04A0" w:firstRow="1" w:lastRow="0" w:firstColumn="1" w:lastColumn="0" w:noHBand="0" w:noVBand="1"/>
        <w:tblCaption w:val="Table 36"/>
        <w:tblDescription w:val="Eligibility Criteria by Method"/>
      </w:tblPr>
      <w:tblGrid>
        <w:gridCol w:w="4675"/>
        <w:gridCol w:w="4675"/>
      </w:tblGrid>
      <w:tr w:rsidR="0072081F" w:rsidRPr="00FB463B" w14:paraId="4AD3AC39" w14:textId="77777777" w:rsidTr="007871ED">
        <w:trPr>
          <w:cantSplit/>
          <w:tblHeader/>
        </w:trPr>
        <w:tc>
          <w:tcPr>
            <w:tcW w:w="4675" w:type="dxa"/>
          </w:tcPr>
          <w:p w14:paraId="75E9EB3B" w14:textId="37680D28" w:rsidR="0072081F" w:rsidRPr="00FB463B" w:rsidRDefault="0072081F" w:rsidP="0072081F">
            <w:pPr>
              <w:spacing w:after="240"/>
              <w:jc w:val="center"/>
              <w:rPr>
                <w:b/>
                <w:bCs/>
              </w:rPr>
            </w:pPr>
            <w:r w:rsidRPr="00FB463B">
              <w:rPr>
                <w:b/>
                <w:bCs/>
              </w:rPr>
              <w:t>Method</w:t>
            </w:r>
          </w:p>
        </w:tc>
        <w:tc>
          <w:tcPr>
            <w:tcW w:w="4675" w:type="dxa"/>
          </w:tcPr>
          <w:p w14:paraId="29F22DCC" w14:textId="0A8FCAE5" w:rsidR="0072081F" w:rsidRPr="00FB463B" w:rsidRDefault="0072081F" w:rsidP="0072081F">
            <w:pPr>
              <w:spacing w:after="240"/>
              <w:jc w:val="center"/>
              <w:rPr>
                <w:b/>
                <w:bCs/>
              </w:rPr>
            </w:pPr>
            <w:r w:rsidRPr="00FB463B">
              <w:rPr>
                <w:b/>
                <w:bCs/>
              </w:rPr>
              <w:t>Description</w:t>
            </w:r>
          </w:p>
        </w:tc>
      </w:tr>
      <w:tr w:rsidR="0072081F" w:rsidRPr="00FB463B" w14:paraId="3617896F" w14:textId="77777777" w:rsidTr="007871ED">
        <w:trPr>
          <w:cantSplit/>
        </w:trPr>
        <w:tc>
          <w:tcPr>
            <w:tcW w:w="4675" w:type="dxa"/>
          </w:tcPr>
          <w:p w14:paraId="3582DAA1" w14:textId="4A81CE59" w:rsidR="0072081F" w:rsidRPr="00FB463B" w:rsidRDefault="0072081F" w:rsidP="00587CAE">
            <w:pPr>
              <w:spacing w:after="240"/>
            </w:pPr>
            <w:r w:rsidRPr="00FB463B">
              <w:t xml:space="preserve">Method 1: </w:t>
            </w:r>
            <w:r w:rsidR="00FB22FA" w:rsidRPr="00FB463B">
              <w:t>State Indicators Only</w:t>
            </w:r>
          </w:p>
        </w:tc>
        <w:tc>
          <w:tcPr>
            <w:tcW w:w="4675" w:type="dxa"/>
          </w:tcPr>
          <w:p w14:paraId="780A16BF" w14:textId="309E14E7" w:rsidR="0072081F" w:rsidRPr="00FB463B" w:rsidRDefault="00FB22FA" w:rsidP="0072081F">
            <w:pPr>
              <w:spacing w:after="240"/>
            </w:pPr>
            <w:r w:rsidRPr="00FB463B">
              <w:t>One student group meets the criteria in at least two priority areas (e.g., Hispanic student group is Red for Chronic Absenteeism and Suspension—priority areas 5 and 6).</w:t>
            </w:r>
          </w:p>
        </w:tc>
      </w:tr>
      <w:tr w:rsidR="0072081F" w:rsidRPr="00FB463B" w14:paraId="3492D4CA" w14:textId="77777777" w:rsidTr="007871ED">
        <w:trPr>
          <w:cantSplit/>
        </w:trPr>
        <w:tc>
          <w:tcPr>
            <w:tcW w:w="4675" w:type="dxa"/>
          </w:tcPr>
          <w:p w14:paraId="40003E77" w14:textId="19B7D5B1" w:rsidR="0072081F" w:rsidRPr="00FB463B" w:rsidRDefault="0072081F" w:rsidP="00587CAE">
            <w:pPr>
              <w:spacing w:after="240"/>
            </w:pPr>
            <w:r w:rsidRPr="00FB463B">
              <w:t>Method 2: Local Indicators Only</w:t>
            </w:r>
          </w:p>
        </w:tc>
        <w:tc>
          <w:tcPr>
            <w:tcW w:w="4675" w:type="dxa"/>
          </w:tcPr>
          <w:p w14:paraId="64693E95" w14:textId="785967A5" w:rsidR="0072081F" w:rsidRPr="00FB463B" w:rsidRDefault="00FB22FA" w:rsidP="00587CAE">
            <w:pPr>
              <w:spacing w:after="240"/>
            </w:pPr>
            <w:r w:rsidRPr="00FB463B">
              <w:t>“Not Met for Two or More Years” in at least two priority areas (e.g., priority areas 1 and 2).</w:t>
            </w:r>
          </w:p>
        </w:tc>
      </w:tr>
      <w:tr w:rsidR="0072081F" w:rsidRPr="00FB463B" w14:paraId="139DB855" w14:textId="77777777" w:rsidTr="007871ED">
        <w:trPr>
          <w:cantSplit/>
        </w:trPr>
        <w:tc>
          <w:tcPr>
            <w:tcW w:w="4675" w:type="dxa"/>
          </w:tcPr>
          <w:p w14:paraId="7FFA0A1E" w14:textId="41FD6721" w:rsidR="0072081F" w:rsidRPr="00FB463B" w:rsidRDefault="0072081F" w:rsidP="00587CAE">
            <w:pPr>
              <w:spacing w:after="240"/>
            </w:pPr>
            <w:r w:rsidRPr="00FB463B">
              <w:lastRenderedPageBreak/>
              <w:t xml:space="preserve">Method 3: </w:t>
            </w:r>
            <w:r w:rsidR="00FB22FA" w:rsidRPr="00FB463B">
              <w:t>A Combination of State and Local Indicators</w:t>
            </w:r>
          </w:p>
        </w:tc>
        <w:tc>
          <w:tcPr>
            <w:tcW w:w="4675" w:type="dxa"/>
          </w:tcPr>
          <w:p w14:paraId="36631EB4" w14:textId="28F2835B" w:rsidR="0072081F" w:rsidRPr="00FB463B" w:rsidRDefault="00FB22FA" w:rsidP="00587CAE">
            <w:pPr>
              <w:spacing w:after="240"/>
            </w:pPr>
            <w:r w:rsidRPr="00FB463B">
              <w:t>One or more student group(s) meets(s) the criteria in one priority area (e.g., Students with disabilities receives Red for graduation rate—5), and the LEA or COE meets the “Not Met for Two or More Years” on only one local indicator in a different priority area (e.g., Parent Engagement—3)</w:t>
            </w:r>
          </w:p>
        </w:tc>
      </w:tr>
    </w:tbl>
    <w:p w14:paraId="46FB065A" w14:textId="2FBE382A" w:rsidR="00587CAE" w:rsidRPr="00FB463B" w:rsidRDefault="00F2544D" w:rsidP="00CA3A48">
      <w:pPr>
        <w:spacing w:before="240" w:after="240"/>
      </w:pPr>
      <w:r w:rsidRPr="00FB463B">
        <w:t>T</w:t>
      </w:r>
      <w:r w:rsidR="00587CAE" w:rsidRPr="00FB463B">
        <w:t xml:space="preserve">he College/Career indicator will be available as </w:t>
      </w:r>
      <w:r w:rsidR="00D5088B" w:rsidRPr="00FB463B">
        <w:t>S</w:t>
      </w:r>
      <w:r w:rsidRPr="00FB463B">
        <w:t>tatu</w:t>
      </w:r>
      <w:r w:rsidR="00D5088B" w:rsidRPr="00FB463B">
        <w:t>s only</w:t>
      </w:r>
      <w:r w:rsidR="00587CAE" w:rsidRPr="00FB463B">
        <w:t xml:space="preserve"> on the 202</w:t>
      </w:r>
      <w:r w:rsidR="00D5088B" w:rsidRPr="00FB463B">
        <w:t>3</w:t>
      </w:r>
      <w:r w:rsidR="00587CAE" w:rsidRPr="00FB463B">
        <w:t xml:space="preserve"> Dashboard. The</w:t>
      </w:r>
      <w:r w:rsidR="00524E14" w:rsidRPr="00FB463B">
        <w:t xml:space="preserve"> </w:t>
      </w:r>
      <w:r w:rsidR="00587CAE" w:rsidRPr="00FB463B">
        <w:t xml:space="preserve">CDE proposes to utilize the following criteria for eligibility determinations for differentiated assistance as described in Table </w:t>
      </w:r>
      <w:r w:rsidR="002768A4" w:rsidRPr="00FB463B">
        <w:t>37.</w:t>
      </w:r>
    </w:p>
    <w:p w14:paraId="6E40C60A" w14:textId="77777777" w:rsidR="00CA3A48" w:rsidRPr="00FB463B" w:rsidRDefault="00CA3A48" w:rsidP="00E04086">
      <w:pPr>
        <w:spacing w:before="480" w:after="240"/>
        <w:rPr>
          <w:rFonts w:cs="Arial"/>
          <w:b/>
          <w:bCs/>
        </w:rPr>
        <w:sectPr w:rsidR="00CA3A48" w:rsidRPr="00FB463B" w:rsidSect="00896C2F">
          <w:headerReference w:type="first" r:id="rId156"/>
          <w:footerReference w:type="first" r:id="rId157"/>
          <w:pgSz w:w="12240" w:h="15840"/>
          <w:pgMar w:top="720" w:right="1440" w:bottom="1440" w:left="1440" w:header="720" w:footer="720" w:gutter="0"/>
          <w:cols w:space="720"/>
          <w:docGrid w:linePitch="360"/>
        </w:sectPr>
      </w:pPr>
    </w:p>
    <w:p w14:paraId="272F8B48" w14:textId="51223FAA" w:rsidR="00587CAE" w:rsidRPr="00FB463B" w:rsidRDefault="00F02056" w:rsidP="00E956B3">
      <w:pPr>
        <w:pStyle w:val="Heading2"/>
        <w:rPr>
          <w:rFonts w:cs="Arial"/>
          <w:b w:val="0"/>
        </w:rPr>
      </w:pPr>
      <w:r w:rsidRPr="00FB463B">
        <w:lastRenderedPageBreak/>
        <w:t>T</w:t>
      </w:r>
      <w:r w:rsidR="00587CAE" w:rsidRPr="00FB463B">
        <w:t xml:space="preserve">able </w:t>
      </w:r>
      <w:r w:rsidR="009C2323" w:rsidRPr="00FB463B">
        <w:t>3</w:t>
      </w:r>
      <w:r w:rsidR="451FF868" w:rsidRPr="00FB463B">
        <w:t>7</w:t>
      </w:r>
      <w:r w:rsidR="00587CAE" w:rsidRPr="00FB463B">
        <w:t>: Proposed 202</w:t>
      </w:r>
      <w:r w:rsidR="00524E14" w:rsidRPr="00FB463B">
        <w:t>3</w:t>
      </w:r>
      <w:r w:rsidR="00587CAE" w:rsidRPr="00FB463B">
        <w:t xml:space="preserve"> Differentiated Assistance Eligibility Criteria by Priority Area</w:t>
      </w:r>
    </w:p>
    <w:tbl>
      <w:tblPr>
        <w:tblStyle w:val="TableGrid"/>
        <w:tblW w:w="0" w:type="auto"/>
        <w:tblLook w:val="04A0" w:firstRow="1" w:lastRow="0" w:firstColumn="1" w:lastColumn="0" w:noHBand="0" w:noVBand="1"/>
        <w:tblDescription w:val="Table 7: Proposed 2022 Differentiated Assistance Eligibility Criteria by Priority Area"/>
      </w:tblPr>
      <w:tblGrid>
        <w:gridCol w:w="2195"/>
        <w:gridCol w:w="2874"/>
        <w:gridCol w:w="4281"/>
      </w:tblGrid>
      <w:tr w:rsidR="00807352" w:rsidRPr="00FB463B" w14:paraId="0B650C87" w14:textId="77777777" w:rsidTr="007871ED">
        <w:trPr>
          <w:cantSplit/>
          <w:tblHeader/>
        </w:trPr>
        <w:tc>
          <w:tcPr>
            <w:tcW w:w="2195" w:type="dxa"/>
            <w:shd w:val="clear" w:color="auto" w:fill="D9D9D9" w:themeFill="background1" w:themeFillShade="D9"/>
          </w:tcPr>
          <w:p w14:paraId="50F45E11" w14:textId="22ADA8A0" w:rsidR="00807352" w:rsidRPr="00FB463B" w:rsidRDefault="00807352" w:rsidP="001C25CA">
            <w:pPr>
              <w:jc w:val="center"/>
              <w:rPr>
                <w:rFonts w:cs="Arial"/>
                <w:b/>
                <w:bCs/>
              </w:rPr>
            </w:pPr>
            <w:r w:rsidRPr="00FB463B">
              <w:rPr>
                <w:rFonts w:cs="Arial"/>
                <w:b/>
                <w:bCs/>
              </w:rPr>
              <w:t>Priority Number</w:t>
            </w:r>
          </w:p>
        </w:tc>
        <w:tc>
          <w:tcPr>
            <w:tcW w:w="2874" w:type="dxa"/>
            <w:shd w:val="clear" w:color="auto" w:fill="D9D9D9" w:themeFill="background1" w:themeFillShade="D9"/>
            <w:vAlign w:val="center"/>
          </w:tcPr>
          <w:p w14:paraId="65FF01CD" w14:textId="7EC61AF9" w:rsidR="00807352" w:rsidRPr="00FB463B" w:rsidRDefault="00807352" w:rsidP="001C25CA">
            <w:pPr>
              <w:jc w:val="center"/>
              <w:rPr>
                <w:rFonts w:cs="Arial"/>
                <w:b/>
                <w:bCs/>
              </w:rPr>
            </w:pPr>
            <w:r w:rsidRPr="00FB463B">
              <w:rPr>
                <w:rFonts w:cs="Arial"/>
                <w:b/>
                <w:bCs/>
              </w:rPr>
              <w:t>Priority Area</w:t>
            </w:r>
          </w:p>
        </w:tc>
        <w:tc>
          <w:tcPr>
            <w:tcW w:w="4281" w:type="dxa"/>
            <w:shd w:val="clear" w:color="auto" w:fill="D9D9D9" w:themeFill="background1" w:themeFillShade="D9"/>
            <w:vAlign w:val="center"/>
          </w:tcPr>
          <w:p w14:paraId="02F4FB9B" w14:textId="1105D1B9" w:rsidR="00807352" w:rsidRPr="00FB463B" w:rsidRDefault="00807352" w:rsidP="001C25CA">
            <w:pPr>
              <w:jc w:val="center"/>
              <w:rPr>
                <w:rFonts w:cs="Arial"/>
                <w:b/>
                <w:bCs/>
              </w:rPr>
            </w:pPr>
            <w:r w:rsidRPr="00FB463B">
              <w:rPr>
                <w:rFonts w:cs="Arial"/>
                <w:b/>
                <w:bCs/>
              </w:rPr>
              <w:t>Criteria</w:t>
            </w:r>
          </w:p>
        </w:tc>
      </w:tr>
      <w:tr w:rsidR="00807352" w:rsidRPr="00FB463B" w14:paraId="6B10F3CF" w14:textId="77777777" w:rsidTr="007871ED">
        <w:trPr>
          <w:cantSplit/>
        </w:trPr>
        <w:tc>
          <w:tcPr>
            <w:tcW w:w="2195" w:type="dxa"/>
          </w:tcPr>
          <w:p w14:paraId="7632E22F" w14:textId="274B6513" w:rsidR="00807352" w:rsidRPr="00FB463B" w:rsidRDefault="00807352" w:rsidP="001C25CA">
            <w:pPr>
              <w:jc w:val="center"/>
              <w:rPr>
                <w:rFonts w:cs="Arial"/>
              </w:rPr>
            </w:pPr>
            <w:r w:rsidRPr="00FB463B">
              <w:rPr>
                <w:rFonts w:cs="Arial"/>
              </w:rPr>
              <w:t>1</w:t>
            </w:r>
          </w:p>
        </w:tc>
        <w:tc>
          <w:tcPr>
            <w:tcW w:w="2874" w:type="dxa"/>
          </w:tcPr>
          <w:p w14:paraId="3E9E58C2" w14:textId="51B65675" w:rsidR="00807352" w:rsidRPr="00FB463B" w:rsidRDefault="00807352" w:rsidP="001C25CA">
            <w:pPr>
              <w:rPr>
                <w:rFonts w:cs="Arial"/>
              </w:rPr>
            </w:pPr>
            <w:r w:rsidRPr="00FB463B">
              <w:rPr>
                <w:rFonts w:cs="Arial"/>
              </w:rPr>
              <w:t>Basics</w:t>
            </w:r>
          </w:p>
        </w:tc>
        <w:tc>
          <w:tcPr>
            <w:tcW w:w="4281" w:type="dxa"/>
          </w:tcPr>
          <w:p w14:paraId="5BBFE069" w14:textId="40A4B32D" w:rsidR="00807352" w:rsidRPr="00FB463B" w:rsidRDefault="006D22BB" w:rsidP="001C25CA">
            <w:pPr>
              <w:pStyle w:val="ListParagraph"/>
              <w:numPr>
                <w:ilvl w:val="0"/>
                <w:numId w:val="37"/>
              </w:numPr>
              <w:spacing w:after="0"/>
              <w:rPr>
                <w:rFonts w:cs="Arial"/>
              </w:rPr>
            </w:pPr>
            <w:r w:rsidRPr="00FB463B">
              <w:rPr>
                <w:rFonts w:cs="Arial"/>
              </w:rPr>
              <w:t>Not Met for Two or More Years on Local Performance</w:t>
            </w:r>
          </w:p>
        </w:tc>
      </w:tr>
      <w:tr w:rsidR="00807352" w:rsidRPr="00FB463B" w14:paraId="5CC0B383" w14:textId="77777777" w:rsidTr="007871ED">
        <w:trPr>
          <w:cantSplit/>
        </w:trPr>
        <w:tc>
          <w:tcPr>
            <w:tcW w:w="2195" w:type="dxa"/>
          </w:tcPr>
          <w:p w14:paraId="200F562F" w14:textId="12714C97" w:rsidR="00807352" w:rsidRPr="00FB463B" w:rsidRDefault="00807352" w:rsidP="001C25CA">
            <w:pPr>
              <w:jc w:val="center"/>
              <w:rPr>
                <w:rFonts w:cs="Arial"/>
              </w:rPr>
            </w:pPr>
            <w:r w:rsidRPr="00FB463B">
              <w:rPr>
                <w:rFonts w:cs="Arial"/>
              </w:rPr>
              <w:t>2</w:t>
            </w:r>
          </w:p>
        </w:tc>
        <w:tc>
          <w:tcPr>
            <w:tcW w:w="2874" w:type="dxa"/>
          </w:tcPr>
          <w:p w14:paraId="046639F9" w14:textId="37905A69" w:rsidR="00807352" w:rsidRPr="00FB463B" w:rsidRDefault="00BF6F39" w:rsidP="001C25CA">
            <w:pPr>
              <w:rPr>
                <w:rFonts w:cs="Arial"/>
              </w:rPr>
            </w:pPr>
            <w:r w:rsidRPr="00FB463B">
              <w:rPr>
                <w:rFonts w:cs="Arial"/>
              </w:rPr>
              <w:t>I</w:t>
            </w:r>
            <w:r w:rsidR="00807352" w:rsidRPr="00FB463B">
              <w:rPr>
                <w:rFonts w:cs="Arial"/>
              </w:rPr>
              <w:t>mplementation of State Academic Standards</w:t>
            </w:r>
          </w:p>
        </w:tc>
        <w:tc>
          <w:tcPr>
            <w:tcW w:w="4281" w:type="dxa"/>
          </w:tcPr>
          <w:p w14:paraId="60CABCFA" w14:textId="4CC464E1" w:rsidR="00807352" w:rsidRPr="00FB463B" w:rsidRDefault="000D603E" w:rsidP="001C25CA">
            <w:pPr>
              <w:pStyle w:val="ListParagraph"/>
              <w:numPr>
                <w:ilvl w:val="0"/>
                <w:numId w:val="37"/>
              </w:numPr>
              <w:spacing w:after="0"/>
              <w:rPr>
                <w:rFonts w:cs="Arial"/>
              </w:rPr>
            </w:pPr>
            <w:r w:rsidRPr="00FB463B">
              <w:rPr>
                <w:rFonts w:cs="Arial"/>
              </w:rPr>
              <w:t>Not Met for Two or More Years on Local Performance</w:t>
            </w:r>
          </w:p>
        </w:tc>
      </w:tr>
      <w:tr w:rsidR="00807352" w:rsidRPr="00FB463B" w14:paraId="198AE0BF" w14:textId="77777777" w:rsidTr="007871ED">
        <w:trPr>
          <w:cantSplit/>
        </w:trPr>
        <w:tc>
          <w:tcPr>
            <w:tcW w:w="2195" w:type="dxa"/>
          </w:tcPr>
          <w:p w14:paraId="19CA5A81" w14:textId="1F9409A9" w:rsidR="00807352" w:rsidRPr="00FB463B" w:rsidRDefault="00807352" w:rsidP="001C25CA">
            <w:pPr>
              <w:jc w:val="center"/>
              <w:rPr>
                <w:rFonts w:cs="Arial"/>
              </w:rPr>
            </w:pPr>
            <w:r w:rsidRPr="00FB463B">
              <w:rPr>
                <w:rFonts w:cs="Arial"/>
              </w:rPr>
              <w:t>3</w:t>
            </w:r>
          </w:p>
        </w:tc>
        <w:tc>
          <w:tcPr>
            <w:tcW w:w="2874" w:type="dxa"/>
          </w:tcPr>
          <w:p w14:paraId="67B3899F" w14:textId="15471DDD" w:rsidR="00807352" w:rsidRPr="00FB463B" w:rsidRDefault="00807352" w:rsidP="001C25CA">
            <w:pPr>
              <w:rPr>
                <w:rFonts w:cs="Arial"/>
              </w:rPr>
            </w:pPr>
            <w:r w:rsidRPr="00FB463B">
              <w:rPr>
                <w:rFonts w:cs="Arial"/>
              </w:rPr>
              <w:t>Parent and Family Engagement</w:t>
            </w:r>
          </w:p>
        </w:tc>
        <w:tc>
          <w:tcPr>
            <w:tcW w:w="4281" w:type="dxa"/>
          </w:tcPr>
          <w:p w14:paraId="6DB37B37" w14:textId="69B88494" w:rsidR="00807352" w:rsidRPr="00FB463B" w:rsidRDefault="000D603E" w:rsidP="001C25CA">
            <w:pPr>
              <w:pStyle w:val="ListParagraph"/>
              <w:numPr>
                <w:ilvl w:val="0"/>
                <w:numId w:val="37"/>
              </w:numPr>
              <w:spacing w:after="0"/>
              <w:rPr>
                <w:rFonts w:cs="Arial"/>
              </w:rPr>
            </w:pPr>
            <w:r w:rsidRPr="00FB463B">
              <w:rPr>
                <w:rFonts w:cs="Arial"/>
              </w:rPr>
              <w:t>Not Met for Two or More Years on Local Performance</w:t>
            </w:r>
          </w:p>
        </w:tc>
      </w:tr>
      <w:tr w:rsidR="00807352" w:rsidRPr="00FB463B" w14:paraId="3C8E8405" w14:textId="77777777" w:rsidTr="007871ED">
        <w:trPr>
          <w:cantSplit/>
        </w:trPr>
        <w:tc>
          <w:tcPr>
            <w:tcW w:w="2195" w:type="dxa"/>
          </w:tcPr>
          <w:p w14:paraId="14313DBE" w14:textId="0D4352D8" w:rsidR="00807352" w:rsidRPr="00FB463B" w:rsidRDefault="00807352" w:rsidP="001C25CA">
            <w:pPr>
              <w:jc w:val="center"/>
              <w:rPr>
                <w:rFonts w:cs="Arial"/>
              </w:rPr>
            </w:pPr>
            <w:r w:rsidRPr="00FB463B">
              <w:rPr>
                <w:rFonts w:cs="Arial"/>
              </w:rPr>
              <w:t>4</w:t>
            </w:r>
          </w:p>
        </w:tc>
        <w:tc>
          <w:tcPr>
            <w:tcW w:w="2874" w:type="dxa"/>
          </w:tcPr>
          <w:p w14:paraId="7FDCCB49" w14:textId="6A8E1319" w:rsidR="00807352" w:rsidRPr="00FB463B" w:rsidRDefault="00807352" w:rsidP="001C25CA">
            <w:pPr>
              <w:rPr>
                <w:rFonts w:cs="Arial"/>
              </w:rPr>
            </w:pPr>
            <w:r w:rsidRPr="00FB463B">
              <w:rPr>
                <w:rFonts w:cs="Arial"/>
              </w:rPr>
              <w:t>Pupil Achievement</w:t>
            </w:r>
          </w:p>
        </w:tc>
        <w:tc>
          <w:tcPr>
            <w:tcW w:w="4281" w:type="dxa"/>
          </w:tcPr>
          <w:p w14:paraId="54D7D421" w14:textId="05836BA4" w:rsidR="0046630A" w:rsidRPr="00FB463B" w:rsidRDefault="0046630A" w:rsidP="001C25CA">
            <w:pPr>
              <w:pStyle w:val="ListParagraph"/>
              <w:numPr>
                <w:ilvl w:val="0"/>
                <w:numId w:val="37"/>
              </w:numPr>
              <w:spacing w:after="0"/>
              <w:rPr>
                <w:rFonts w:eastAsiaTheme="minorEastAsia" w:cs="Arial"/>
              </w:rPr>
            </w:pPr>
            <w:r w:rsidRPr="00FB463B">
              <w:rPr>
                <w:rFonts w:eastAsiaTheme="minorEastAsia" w:cs="Arial"/>
              </w:rPr>
              <w:t xml:space="preserve">Red on both English language arts and math </w:t>
            </w:r>
            <w:r w:rsidR="7584E230" w:rsidRPr="00FB463B">
              <w:rPr>
                <w:rFonts w:eastAsiaTheme="minorEastAsia" w:cs="Arial"/>
              </w:rPr>
              <w:t>Indicators</w:t>
            </w:r>
            <w:r w:rsidRPr="00FB463B">
              <w:rPr>
                <w:rFonts w:eastAsiaTheme="minorEastAsia" w:cs="Arial"/>
              </w:rPr>
              <w:t>, or</w:t>
            </w:r>
          </w:p>
          <w:p w14:paraId="76F1DBBD" w14:textId="36905FA7" w:rsidR="0046630A" w:rsidRPr="00FB463B" w:rsidRDefault="0046630A" w:rsidP="001C25CA">
            <w:pPr>
              <w:pStyle w:val="ListParagraph"/>
              <w:numPr>
                <w:ilvl w:val="0"/>
                <w:numId w:val="37"/>
              </w:numPr>
              <w:spacing w:after="0"/>
              <w:rPr>
                <w:rFonts w:eastAsiaTheme="minorEastAsia" w:cs="Arial"/>
              </w:rPr>
            </w:pPr>
            <w:r w:rsidRPr="00FB463B">
              <w:rPr>
                <w:rFonts w:eastAsiaTheme="minorEastAsia" w:cs="Arial"/>
              </w:rPr>
              <w:t xml:space="preserve">Red on English language arts or math </w:t>
            </w:r>
            <w:r w:rsidR="2E2A6BD0" w:rsidRPr="00FB463B">
              <w:rPr>
                <w:rFonts w:eastAsiaTheme="minorEastAsia" w:cs="Arial"/>
              </w:rPr>
              <w:t xml:space="preserve">Indicators </w:t>
            </w:r>
            <w:r w:rsidRPr="00FB463B">
              <w:rPr>
                <w:rFonts w:eastAsiaTheme="minorEastAsia" w:cs="Arial"/>
              </w:rPr>
              <w:t xml:space="preserve">and Orange on the other </w:t>
            </w:r>
            <w:r w:rsidR="1013AF28" w:rsidRPr="00FB463B">
              <w:rPr>
                <w:rFonts w:eastAsiaTheme="minorEastAsia" w:cs="Arial"/>
              </w:rPr>
              <w:t>Academic Indicator</w:t>
            </w:r>
            <w:r w:rsidRPr="00FB463B">
              <w:rPr>
                <w:rFonts w:eastAsiaTheme="minorEastAsia" w:cs="Arial"/>
              </w:rPr>
              <w:t>, or</w:t>
            </w:r>
          </w:p>
          <w:p w14:paraId="5BB7FDC0" w14:textId="7A2D8E81" w:rsidR="00807352" w:rsidRPr="00FB463B" w:rsidRDefault="0046630A" w:rsidP="001C25CA">
            <w:pPr>
              <w:pStyle w:val="ListParagraph"/>
              <w:numPr>
                <w:ilvl w:val="0"/>
                <w:numId w:val="37"/>
              </w:numPr>
              <w:spacing w:after="0"/>
              <w:rPr>
                <w:rFonts w:eastAsiaTheme="minorEastAsia" w:cs="Arial"/>
              </w:rPr>
            </w:pPr>
            <w:r w:rsidRPr="00FB463B">
              <w:rPr>
                <w:rFonts w:eastAsiaTheme="minorEastAsia" w:cs="Arial"/>
              </w:rPr>
              <w:t>Red on the English Learner Progress Indicator (ELPI) (English Learner student group only)</w:t>
            </w:r>
          </w:p>
        </w:tc>
      </w:tr>
      <w:tr w:rsidR="00807352" w:rsidRPr="00FB463B" w14:paraId="5BB34177" w14:textId="77777777" w:rsidTr="007871ED">
        <w:trPr>
          <w:cantSplit/>
        </w:trPr>
        <w:tc>
          <w:tcPr>
            <w:tcW w:w="2195" w:type="dxa"/>
          </w:tcPr>
          <w:p w14:paraId="0BFBECD6" w14:textId="6ACDCFA7" w:rsidR="00807352" w:rsidRPr="00FB463B" w:rsidRDefault="00807352" w:rsidP="001C25CA">
            <w:pPr>
              <w:jc w:val="center"/>
              <w:rPr>
                <w:rFonts w:cs="Arial"/>
              </w:rPr>
            </w:pPr>
            <w:r w:rsidRPr="00FB463B">
              <w:rPr>
                <w:rFonts w:cs="Arial"/>
              </w:rPr>
              <w:t>5</w:t>
            </w:r>
          </w:p>
        </w:tc>
        <w:tc>
          <w:tcPr>
            <w:tcW w:w="2874" w:type="dxa"/>
          </w:tcPr>
          <w:p w14:paraId="426B826B" w14:textId="6A479AAD" w:rsidR="00807352" w:rsidRPr="00FB463B" w:rsidRDefault="00807352" w:rsidP="001C25CA">
            <w:pPr>
              <w:rPr>
                <w:rFonts w:cs="Arial"/>
              </w:rPr>
            </w:pPr>
            <w:r w:rsidRPr="00FB463B">
              <w:rPr>
                <w:rFonts w:cs="Arial"/>
              </w:rPr>
              <w:t>Pupil Engagement</w:t>
            </w:r>
          </w:p>
        </w:tc>
        <w:tc>
          <w:tcPr>
            <w:tcW w:w="4281" w:type="dxa"/>
          </w:tcPr>
          <w:p w14:paraId="6456838D" w14:textId="77777777" w:rsidR="00116D49" w:rsidRPr="00FB463B" w:rsidRDefault="00116D49" w:rsidP="001C25CA">
            <w:pPr>
              <w:pStyle w:val="ListParagraph"/>
              <w:numPr>
                <w:ilvl w:val="0"/>
                <w:numId w:val="37"/>
              </w:numPr>
              <w:spacing w:after="0"/>
              <w:rPr>
                <w:rFonts w:cs="Arial"/>
              </w:rPr>
            </w:pPr>
            <w:r w:rsidRPr="00FB463B">
              <w:rPr>
                <w:rFonts w:cs="Arial"/>
              </w:rPr>
              <w:t>Red on Graduation Rate Indicator, or</w:t>
            </w:r>
          </w:p>
          <w:p w14:paraId="3EF1C22E" w14:textId="49B710A1" w:rsidR="00807352" w:rsidRPr="00FB463B" w:rsidRDefault="00116D49" w:rsidP="001C25CA">
            <w:pPr>
              <w:pStyle w:val="ListParagraph"/>
              <w:numPr>
                <w:ilvl w:val="0"/>
                <w:numId w:val="37"/>
              </w:numPr>
              <w:spacing w:after="0"/>
              <w:rPr>
                <w:rFonts w:cs="Arial"/>
              </w:rPr>
            </w:pPr>
            <w:r w:rsidRPr="00FB463B">
              <w:rPr>
                <w:rFonts w:cs="Arial"/>
              </w:rPr>
              <w:t>Red on Chronic Absence Indicator</w:t>
            </w:r>
          </w:p>
        </w:tc>
      </w:tr>
      <w:tr w:rsidR="00807352" w:rsidRPr="00FB463B" w14:paraId="658BC67B" w14:textId="77777777" w:rsidTr="007871ED">
        <w:trPr>
          <w:cantSplit/>
        </w:trPr>
        <w:tc>
          <w:tcPr>
            <w:tcW w:w="2195" w:type="dxa"/>
          </w:tcPr>
          <w:p w14:paraId="2FB5B188" w14:textId="74A439CB" w:rsidR="00807352" w:rsidRPr="00FB463B" w:rsidRDefault="00807352" w:rsidP="001C25CA">
            <w:pPr>
              <w:jc w:val="center"/>
              <w:rPr>
                <w:rFonts w:cs="Arial"/>
              </w:rPr>
            </w:pPr>
            <w:r w:rsidRPr="00FB463B">
              <w:rPr>
                <w:rFonts w:cs="Arial"/>
              </w:rPr>
              <w:t>6</w:t>
            </w:r>
          </w:p>
        </w:tc>
        <w:tc>
          <w:tcPr>
            <w:tcW w:w="2874" w:type="dxa"/>
          </w:tcPr>
          <w:p w14:paraId="06E35B82" w14:textId="56B4E6AC" w:rsidR="00807352" w:rsidRPr="00FB463B" w:rsidRDefault="00807352" w:rsidP="001C25CA">
            <w:pPr>
              <w:rPr>
                <w:rFonts w:cs="Arial"/>
              </w:rPr>
            </w:pPr>
            <w:r w:rsidRPr="00FB463B">
              <w:rPr>
                <w:rFonts w:cs="Arial"/>
              </w:rPr>
              <w:t>School Climate</w:t>
            </w:r>
          </w:p>
        </w:tc>
        <w:tc>
          <w:tcPr>
            <w:tcW w:w="4281" w:type="dxa"/>
          </w:tcPr>
          <w:p w14:paraId="60E87884" w14:textId="28BA334E" w:rsidR="00972AAB" w:rsidRPr="00FB463B" w:rsidRDefault="00972AAB" w:rsidP="001C25CA">
            <w:pPr>
              <w:pStyle w:val="ListParagraph"/>
              <w:numPr>
                <w:ilvl w:val="0"/>
                <w:numId w:val="37"/>
              </w:numPr>
              <w:spacing w:after="0"/>
              <w:rPr>
                <w:rFonts w:cs="Arial"/>
              </w:rPr>
            </w:pPr>
            <w:r w:rsidRPr="00FB463B">
              <w:rPr>
                <w:rFonts w:cs="Arial"/>
              </w:rPr>
              <w:t>Red on Suspension Rate Indicator, or</w:t>
            </w:r>
          </w:p>
          <w:p w14:paraId="5B3A4592" w14:textId="4A7FB458" w:rsidR="00807352" w:rsidRPr="00FB463B" w:rsidRDefault="00972AAB" w:rsidP="001C25CA">
            <w:pPr>
              <w:pStyle w:val="ListParagraph"/>
              <w:numPr>
                <w:ilvl w:val="0"/>
                <w:numId w:val="37"/>
              </w:numPr>
              <w:spacing w:after="0"/>
              <w:rPr>
                <w:rFonts w:cs="Arial"/>
              </w:rPr>
            </w:pPr>
            <w:r w:rsidRPr="00FB463B">
              <w:rPr>
                <w:rFonts w:cs="Arial"/>
              </w:rPr>
              <w:t>Not Met for Two or More Years on Local Performance</w:t>
            </w:r>
          </w:p>
        </w:tc>
      </w:tr>
      <w:tr w:rsidR="00807352" w:rsidRPr="00FB463B" w14:paraId="322C7066" w14:textId="77777777" w:rsidTr="007871ED">
        <w:trPr>
          <w:cantSplit/>
        </w:trPr>
        <w:tc>
          <w:tcPr>
            <w:tcW w:w="2195" w:type="dxa"/>
          </w:tcPr>
          <w:p w14:paraId="26A51BEE" w14:textId="5B4A11F6" w:rsidR="00807352" w:rsidRPr="00FB463B" w:rsidRDefault="00807352" w:rsidP="001C25CA">
            <w:pPr>
              <w:jc w:val="center"/>
              <w:rPr>
                <w:rFonts w:cs="Arial"/>
              </w:rPr>
            </w:pPr>
            <w:r w:rsidRPr="00FB463B">
              <w:rPr>
                <w:rFonts w:cs="Arial"/>
              </w:rPr>
              <w:t>7</w:t>
            </w:r>
          </w:p>
        </w:tc>
        <w:tc>
          <w:tcPr>
            <w:tcW w:w="2874" w:type="dxa"/>
          </w:tcPr>
          <w:p w14:paraId="3E4A51B9" w14:textId="2989B4AC" w:rsidR="00807352" w:rsidRPr="00FB463B" w:rsidRDefault="00807352" w:rsidP="001C25CA">
            <w:pPr>
              <w:rPr>
                <w:rFonts w:cs="Arial"/>
              </w:rPr>
            </w:pPr>
            <w:r w:rsidRPr="00FB463B">
              <w:rPr>
                <w:rFonts w:cs="Arial"/>
              </w:rPr>
              <w:t>Access to a Broad Course of Study</w:t>
            </w:r>
          </w:p>
        </w:tc>
        <w:tc>
          <w:tcPr>
            <w:tcW w:w="4281" w:type="dxa"/>
          </w:tcPr>
          <w:p w14:paraId="442DF568" w14:textId="2C508990" w:rsidR="00807352" w:rsidRPr="00FB463B" w:rsidRDefault="000D603E" w:rsidP="001C25CA">
            <w:pPr>
              <w:numPr>
                <w:ilvl w:val="0"/>
                <w:numId w:val="37"/>
              </w:numPr>
              <w:rPr>
                <w:rFonts w:cs="Arial"/>
              </w:rPr>
            </w:pPr>
            <w:r w:rsidRPr="00FB463B">
              <w:rPr>
                <w:rFonts w:cs="Arial"/>
              </w:rPr>
              <w:t>Not Met for Two or More Years on Local Performance</w:t>
            </w:r>
          </w:p>
        </w:tc>
      </w:tr>
      <w:tr w:rsidR="00807352" w:rsidRPr="00FB463B" w14:paraId="462FB63F" w14:textId="77777777" w:rsidTr="007871ED">
        <w:trPr>
          <w:cantSplit/>
        </w:trPr>
        <w:tc>
          <w:tcPr>
            <w:tcW w:w="2195" w:type="dxa"/>
          </w:tcPr>
          <w:p w14:paraId="68EC9775" w14:textId="439FF5E4" w:rsidR="00807352" w:rsidRPr="00FB463B" w:rsidRDefault="00807352" w:rsidP="001C25CA">
            <w:pPr>
              <w:jc w:val="center"/>
              <w:rPr>
                <w:rFonts w:cs="Arial"/>
              </w:rPr>
            </w:pPr>
            <w:r w:rsidRPr="00FB463B">
              <w:rPr>
                <w:rFonts w:cs="Arial"/>
              </w:rPr>
              <w:t>8</w:t>
            </w:r>
          </w:p>
        </w:tc>
        <w:tc>
          <w:tcPr>
            <w:tcW w:w="2874" w:type="dxa"/>
          </w:tcPr>
          <w:p w14:paraId="6DE0B5D2" w14:textId="1D441F36" w:rsidR="00807352" w:rsidRPr="00FB463B" w:rsidRDefault="00807352" w:rsidP="001C25CA">
            <w:pPr>
              <w:rPr>
                <w:rFonts w:cs="Arial"/>
              </w:rPr>
            </w:pPr>
            <w:r w:rsidRPr="00FB463B">
              <w:rPr>
                <w:rFonts w:cs="Arial"/>
              </w:rPr>
              <w:t>Outcomes to a Broad Course of Study</w:t>
            </w:r>
          </w:p>
        </w:tc>
        <w:tc>
          <w:tcPr>
            <w:tcW w:w="4281" w:type="dxa"/>
          </w:tcPr>
          <w:p w14:paraId="60AC1F0A" w14:textId="751D4177" w:rsidR="00807352" w:rsidRPr="00FB463B" w:rsidRDefault="00CD3AEC" w:rsidP="001C25CA">
            <w:pPr>
              <w:pStyle w:val="ListParagraph"/>
              <w:numPr>
                <w:ilvl w:val="0"/>
                <w:numId w:val="36"/>
              </w:numPr>
              <w:spacing w:after="0"/>
              <w:rPr>
                <w:rFonts w:eastAsia="Calibri" w:cs="Arial"/>
                <w:i/>
              </w:rPr>
            </w:pPr>
            <w:r w:rsidRPr="00FB463B">
              <w:rPr>
                <w:rFonts w:eastAsia="Calibri" w:cs="Arial"/>
                <w:i/>
              </w:rPr>
              <w:t>Very Low Status on CCI</w:t>
            </w:r>
          </w:p>
        </w:tc>
      </w:tr>
      <w:tr w:rsidR="00605295" w:rsidRPr="00FB463B" w14:paraId="4BE74769" w14:textId="77777777" w:rsidTr="007871ED">
        <w:trPr>
          <w:cantSplit/>
        </w:trPr>
        <w:tc>
          <w:tcPr>
            <w:tcW w:w="2195" w:type="dxa"/>
          </w:tcPr>
          <w:p w14:paraId="38F8F129" w14:textId="5634F988" w:rsidR="00605295" w:rsidRPr="00FB463B" w:rsidRDefault="00F92D93" w:rsidP="001C25CA">
            <w:pPr>
              <w:jc w:val="center"/>
              <w:rPr>
                <w:rFonts w:cs="Arial"/>
              </w:rPr>
            </w:pPr>
            <w:r w:rsidRPr="00FB463B">
              <w:rPr>
                <w:rFonts w:cs="Arial"/>
              </w:rPr>
              <w:t>9</w:t>
            </w:r>
          </w:p>
        </w:tc>
        <w:tc>
          <w:tcPr>
            <w:tcW w:w="2874" w:type="dxa"/>
          </w:tcPr>
          <w:p w14:paraId="414875DB" w14:textId="2ADA788B" w:rsidR="00605295" w:rsidRPr="00FB463B" w:rsidRDefault="00101848" w:rsidP="001C25CA">
            <w:pPr>
              <w:rPr>
                <w:rFonts w:cs="Arial"/>
              </w:rPr>
            </w:pPr>
            <w:r w:rsidRPr="00FB463B">
              <w:rPr>
                <w:rFonts w:cs="Arial"/>
              </w:rPr>
              <w:t>Coordination of Services for Expelled Pupils – COEs ONLY</w:t>
            </w:r>
          </w:p>
        </w:tc>
        <w:tc>
          <w:tcPr>
            <w:tcW w:w="4281" w:type="dxa"/>
          </w:tcPr>
          <w:p w14:paraId="13DE22BC" w14:textId="36024176" w:rsidR="00605295" w:rsidRPr="00FB463B" w:rsidRDefault="001C25CA" w:rsidP="002768A4">
            <w:pPr>
              <w:pStyle w:val="ListParagraph"/>
              <w:numPr>
                <w:ilvl w:val="0"/>
                <w:numId w:val="36"/>
              </w:numPr>
              <w:spacing w:after="0"/>
              <w:rPr>
                <w:rFonts w:eastAsia="Calibri" w:cs="Arial"/>
              </w:rPr>
            </w:pPr>
            <w:r w:rsidRPr="00FB463B">
              <w:rPr>
                <w:rFonts w:eastAsia="Calibri" w:cs="Arial"/>
              </w:rPr>
              <w:t>Not Met for Two or More Years on Local Performance</w:t>
            </w:r>
          </w:p>
        </w:tc>
      </w:tr>
      <w:tr w:rsidR="00F92D93" w:rsidRPr="00FB463B" w14:paraId="3CA2C6A2" w14:textId="77777777" w:rsidTr="007871ED">
        <w:trPr>
          <w:cantSplit/>
        </w:trPr>
        <w:tc>
          <w:tcPr>
            <w:tcW w:w="2195" w:type="dxa"/>
          </w:tcPr>
          <w:p w14:paraId="19F82F74" w14:textId="7BCFB470" w:rsidR="00F92D93" w:rsidRPr="00FB463B" w:rsidRDefault="00F92D93" w:rsidP="001C25CA">
            <w:pPr>
              <w:jc w:val="center"/>
              <w:rPr>
                <w:rFonts w:cs="Arial"/>
              </w:rPr>
            </w:pPr>
            <w:r w:rsidRPr="00FB463B">
              <w:rPr>
                <w:rFonts w:cs="Arial"/>
              </w:rPr>
              <w:t>10</w:t>
            </w:r>
          </w:p>
        </w:tc>
        <w:tc>
          <w:tcPr>
            <w:tcW w:w="2874" w:type="dxa"/>
          </w:tcPr>
          <w:p w14:paraId="61412A30" w14:textId="33B76AEC" w:rsidR="00F92D93" w:rsidRPr="00FB463B" w:rsidRDefault="00101848" w:rsidP="001C25CA">
            <w:pPr>
              <w:rPr>
                <w:rFonts w:cs="Arial"/>
              </w:rPr>
            </w:pPr>
            <w:r w:rsidRPr="00FB463B">
              <w:rPr>
                <w:rFonts w:cs="Arial"/>
              </w:rPr>
              <w:t xml:space="preserve">Coordination of Services for </w:t>
            </w:r>
            <w:r w:rsidR="001C25CA" w:rsidRPr="00FB463B">
              <w:rPr>
                <w:rFonts w:cs="Arial"/>
              </w:rPr>
              <w:t>Foster Youth</w:t>
            </w:r>
            <w:r w:rsidRPr="00FB463B">
              <w:rPr>
                <w:rFonts w:cs="Arial"/>
              </w:rPr>
              <w:t xml:space="preserve"> – COEs ONLY</w:t>
            </w:r>
          </w:p>
        </w:tc>
        <w:tc>
          <w:tcPr>
            <w:tcW w:w="4281" w:type="dxa"/>
          </w:tcPr>
          <w:p w14:paraId="1BFC645B" w14:textId="63D1AF44" w:rsidR="00F92D93" w:rsidRPr="00FB463B" w:rsidRDefault="001C25CA" w:rsidP="001C25CA">
            <w:pPr>
              <w:pStyle w:val="ListParagraph"/>
              <w:numPr>
                <w:ilvl w:val="0"/>
                <w:numId w:val="36"/>
              </w:numPr>
              <w:spacing w:after="0"/>
              <w:rPr>
                <w:rFonts w:eastAsia="Calibri" w:cs="Arial"/>
              </w:rPr>
            </w:pPr>
            <w:r w:rsidRPr="00FB463B">
              <w:rPr>
                <w:rFonts w:eastAsia="Calibri" w:cs="Arial"/>
              </w:rPr>
              <w:t>Not Met for Two or More Years on Local Performance</w:t>
            </w:r>
          </w:p>
        </w:tc>
      </w:tr>
    </w:tbl>
    <w:p w14:paraId="6A0BEA27" w14:textId="77777777" w:rsidR="00587CAE" w:rsidRPr="00FB463B" w:rsidRDefault="00587CAE">
      <w:pPr>
        <w:spacing w:after="160" w:line="259" w:lineRule="auto"/>
        <w:rPr>
          <w:rFonts w:eastAsiaTheme="majorEastAsia" w:cstheme="majorBidi"/>
          <w:b/>
        </w:rPr>
        <w:sectPr w:rsidR="00587CAE" w:rsidRPr="00FB463B" w:rsidSect="00896C2F">
          <w:pgSz w:w="12240" w:h="15840"/>
          <w:pgMar w:top="720" w:right="1440" w:bottom="1440" w:left="1440" w:header="720" w:footer="720" w:gutter="0"/>
          <w:cols w:space="720"/>
          <w:docGrid w:linePitch="360"/>
        </w:sectPr>
      </w:pPr>
    </w:p>
    <w:p w14:paraId="7B674EB8" w14:textId="3475B08B" w:rsidR="00B6268D" w:rsidRPr="00FB463B" w:rsidRDefault="00B6268D" w:rsidP="007871ED">
      <w:pPr>
        <w:pStyle w:val="Heading1"/>
        <w:jc w:val="left"/>
      </w:pPr>
      <w:r w:rsidRPr="00FB463B">
        <w:lastRenderedPageBreak/>
        <w:t>Attachment 2</w:t>
      </w:r>
    </w:p>
    <w:p w14:paraId="77815E33" w14:textId="77777777" w:rsidR="007B7EF1" w:rsidRPr="00FB463B" w:rsidRDefault="00D55528" w:rsidP="00D55528">
      <w:pPr>
        <w:pStyle w:val="Heading2"/>
      </w:pPr>
      <w:r w:rsidRPr="00FB463B">
        <w:t>Overview of the Proposed Amendments to California’s Every Student Succeeds Act Consolidated State Plan</w:t>
      </w:r>
    </w:p>
    <w:p w14:paraId="4905F845" w14:textId="63ABC0EA" w:rsidR="0084728B" w:rsidRPr="00FB463B" w:rsidRDefault="0084728B" w:rsidP="00C02735">
      <w:pPr>
        <w:spacing w:after="240"/>
      </w:pPr>
      <w:r w:rsidRPr="00FB463B">
        <w:t xml:space="preserve">As part of the ongoing development of </w:t>
      </w:r>
      <w:proofErr w:type="gramStart"/>
      <w:r w:rsidRPr="00FB463B">
        <w:t>the Every</w:t>
      </w:r>
      <w:proofErr w:type="gramEnd"/>
      <w:r w:rsidRPr="00FB463B">
        <w:t xml:space="preserve"> Student Succeeds Act (ESSA) Consolidated State Plan (State Plan) and the California School Dashboard, the California Department of Education (CDE) is requesting the adoption of the following amendments.</w:t>
      </w:r>
    </w:p>
    <w:p w14:paraId="05123F78" w14:textId="4F14C8AB" w:rsidR="0084728B" w:rsidRPr="00FB463B" w:rsidRDefault="00FE5F4E" w:rsidP="00FE5F4E">
      <w:pPr>
        <w:pStyle w:val="Heading3"/>
        <w:rPr>
          <w:sz w:val="28"/>
          <w:szCs w:val="22"/>
        </w:rPr>
      </w:pPr>
      <w:r w:rsidRPr="00FB463B">
        <w:rPr>
          <w:sz w:val="28"/>
          <w:szCs w:val="22"/>
        </w:rPr>
        <w:t xml:space="preserve">Previous </w:t>
      </w:r>
      <w:r w:rsidR="00DC7037" w:rsidRPr="00FB463B">
        <w:rPr>
          <w:sz w:val="28"/>
          <w:szCs w:val="22"/>
        </w:rPr>
        <w:t>Action</w:t>
      </w:r>
      <w:r w:rsidRPr="00FB463B">
        <w:rPr>
          <w:sz w:val="28"/>
          <w:szCs w:val="22"/>
        </w:rPr>
        <w:t xml:space="preserve"> </w:t>
      </w:r>
      <w:r w:rsidR="009A5ACD" w:rsidRPr="00FB463B">
        <w:rPr>
          <w:sz w:val="28"/>
          <w:szCs w:val="22"/>
        </w:rPr>
        <w:t>Under the 2021</w:t>
      </w:r>
      <w:r w:rsidR="00037246" w:rsidRPr="00FB463B">
        <w:rPr>
          <w:rFonts w:cs="Arial"/>
          <w:sz w:val="28"/>
          <w:szCs w:val="22"/>
        </w:rPr>
        <w:t>–</w:t>
      </w:r>
      <w:r w:rsidR="009A5ACD" w:rsidRPr="00FB463B">
        <w:rPr>
          <w:sz w:val="28"/>
          <w:szCs w:val="22"/>
        </w:rPr>
        <w:t>22 Addendum for the Consolidated State Plan due to COVID-19</w:t>
      </w:r>
    </w:p>
    <w:p w14:paraId="4D36507E" w14:textId="6B632508" w:rsidR="007D4264" w:rsidRPr="00FB463B" w:rsidRDefault="007D4264" w:rsidP="0086462F">
      <w:pPr>
        <w:spacing w:before="240" w:after="240"/>
      </w:pPr>
      <w:r w:rsidRPr="00FB463B">
        <w:t xml:space="preserve">At the March 2022 State Board of Education (SBE) meeting, the SBE requested the following </w:t>
      </w:r>
      <w:r w:rsidR="00DE2761" w:rsidRPr="00FB463B">
        <w:t xml:space="preserve">changes </w:t>
      </w:r>
      <w:r w:rsidRPr="00FB463B">
        <w:t>as permitted by the COVID-19 State Plan Addendum Process</w:t>
      </w:r>
      <w:r w:rsidR="00D02FB3" w:rsidRPr="00FB463B">
        <w:t xml:space="preserve"> from the U.S. Department of Education (ED)</w:t>
      </w:r>
      <w:r w:rsidRPr="00FB463B">
        <w:t>:</w:t>
      </w:r>
    </w:p>
    <w:p w14:paraId="1AF8C40A" w14:textId="559086BC" w:rsidR="0086462F" w:rsidRPr="00FB463B" w:rsidRDefault="00E573D5" w:rsidP="0086462F">
      <w:pPr>
        <w:pStyle w:val="ListParagraph"/>
        <w:numPr>
          <w:ilvl w:val="0"/>
          <w:numId w:val="42"/>
        </w:numPr>
        <w:rPr>
          <w:rFonts w:eastAsia="Arial"/>
        </w:rPr>
      </w:pPr>
      <w:r w:rsidRPr="00FB463B">
        <w:t>Shift timelines forward by one or two years for measurements of interim progress and long-term goals, and</w:t>
      </w:r>
    </w:p>
    <w:p w14:paraId="3A148273" w14:textId="248DCA9E" w:rsidR="00284345" w:rsidRPr="00FB463B" w:rsidRDefault="00E573D5" w:rsidP="0086462F">
      <w:pPr>
        <w:pStyle w:val="ListParagraph"/>
        <w:numPr>
          <w:ilvl w:val="0"/>
          <w:numId w:val="42"/>
        </w:numPr>
        <w:rPr>
          <w:rFonts w:eastAsia="Arial"/>
        </w:rPr>
      </w:pPr>
      <w:r w:rsidRPr="00FB463B">
        <w:t xml:space="preserve">Modify the exit criteria for schools identified in fall 2022, including the number of years such schools </w:t>
      </w:r>
      <w:proofErr w:type="gramStart"/>
      <w:r w:rsidRPr="00FB463B">
        <w:t>have to</w:t>
      </w:r>
      <w:proofErr w:type="gramEnd"/>
      <w:r w:rsidRPr="00FB463B">
        <w:t xml:space="preserve"> meet exit criteria in order to exit status.</w:t>
      </w:r>
    </w:p>
    <w:p w14:paraId="322585A9" w14:textId="6EA2CD96" w:rsidR="00F13730" w:rsidRPr="00FB463B" w:rsidRDefault="00807B0F" w:rsidP="005D66C5">
      <w:r w:rsidRPr="00FB463B">
        <w:t>S</w:t>
      </w:r>
      <w:r w:rsidR="001C406A" w:rsidRPr="00FB463B">
        <w:t xml:space="preserve">tates who requested </w:t>
      </w:r>
      <w:r w:rsidR="0001382E" w:rsidRPr="00FB463B">
        <w:t>changes</w:t>
      </w:r>
      <w:r w:rsidR="00E573D5" w:rsidRPr="00FB463B">
        <w:t xml:space="preserve"> </w:t>
      </w:r>
      <w:r w:rsidR="003331D3" w:rsidRPr="00FB463B">
        <w:t xml:space="preserve">through the COVID-19 State Plan Addendum </w:t>
      </w:r>
      <w:r w:rsidR="00232927" w:rsidRPr="00FB463B">
        <w:t>a</w:t>
      </w:r>
      <w:r w:rsidR="003331D3" w:rsidRPr="00FB463B">
        <w:t xml:space="preserve">re required to </w:t>
      </w:r>
      <w:r w:rsidR="00E573D5" w:rsidRPr="00FB463B">
        <w:t xml:space="preserve">submit an updated State </w:t>
      </w:r>
      <w:r w:rsidR="000B16DF" w:rsidRPr="00FB463B">
        <w:t>P</w:t>
      </w:r>
      <w:r w:rsidR="00E573D5" w:rsidRPr="00FB463B">
        <w:t>lan that incorporate</w:t>
      </w:r>
      <w:r w:rsidR="003331D3" w:rsidRPr="00FB463B">
        <w:t>d</w:t>
      </w:r>
      <w:r w:rsidR="00E573D5" w:rsidRPr="00FB463B">
        <w:t xml:space="preserve"> th</w:t>
      </w:r>
      <w:r w:rsidR="00070CA3" w:rsidRPr="00FB463B">
        <w:t>e</w:t>
      </w:r>
      <w:r w:rsidR="00E573D5" w:rsidRPr="00FB463B">
        <w:t xml:space="preserve"> changes </w:t>
      </w:r>
      <w:proofErr w:type="gramStart"/>
      <w:r w:rsidR="00E573D5" w:rsidRPr="00FB463B">
        <w:t>at a later date</w:t>
      </w:r>
      <w:proofErr w:type="gramEnd"/>
      <w:r w:rsidR="00E573D5" w:rsidRPr="00FB463B">
        <w:t>. A</w:t>
      </w:r>
      <w:r w:rsidR="0001382E" w:rsidRPr="00FB463B">
        <w:t>dditionally, the ED stated that a</w:t>
      </w:r>
      <w:r w:rsidR="00E573D5" w:rsidRPr="00FB463B">
        <w:t>ll other amendments submitted through the COVID-19 State Plan Addendum process (i.e., amendments that limited to the 2021</w:t>
      </w:r>
      <w:r w:rsidR="00EB3D8C" w:rsidRPr="00FB463B">
        <w:rPr>
          <w:rFonts w:cs="Arial"/>
        </w:rPr>
        <w:t>–</w:t>
      </w:r>
      <w:r w:rsidR="00E573D5" w:rsidRPr="00FB463B">
        <w:t>22 school year)</w:t>
      </w:r>
      <w:r w:rsidR="00232927" w:rsidRPr="00FB463B">
        <w:t>,</w:t>
      </w:r>
      <w:r w:rsidR="00E573D5" w:rsidRPr="00FB463B">
        <w:t xml:space="preserve"> d</w:t>
      </w:r>
      <w:r w:rsidR="0001382E" w:rsidRPr="00FB463B">
        <w:t>id</w:t>
      </w:r>
      <w:r w:rsidR="00E573D5" w:rsidRPr="00FB463B">
        <w:t xml:space="preserve"> not require </w:t>
      </w:r>
      <w:r w:rsidR="00C373ED" w:rsidRPr="00FB463B">
        <w:t xml:space="preserve">the </w:t>
      </w:r>
      <w:r w:rsidR="00E573D5" w:rsidRPr="00FB463B">
        <w:t xml:space="preserve">submission of an updated State </w:t>
      </w:r>
      <w:r w:rsidR="00EB3D8C" w:rsidRPr="00FB463B">
        <w:t>P</w:t>
      </w:r>
      <w:r w:rsidR="00E573D5" w:rsidRPr="00FB463B">
        <w:t>lan.</w:t>
      </w:r>
      <w:r w:rsidR="00070CA3" w:rsidRPr="00FB463B">
        <w:t xml:space="preserve"> </w:t>
      </w:r>
      <w:r w:rsidR="00C373ED" w:rsidRPr="00FB463B">
        <w:t>California’s COVID-19 State Plan</w:t>
      </w:r>
      <w:r w:rsidR="00CE4C28" w:rsidRPr="00FB463B">
        <w:t xml:space="preserve"> Addendum was approved by</w:t>
      </w:r>
      <w:r w:rsidR="00C373ED" w:rsidRPr="00FB463B">
        <w:t xml:space="preserve"> the</w:t>
      </w:r>
      <w:r w:rsidR="00CE4C28" w:rsidRPr="00FB463B">
        <w:t xml:space="preserve"> ED in August 2022.</w:t>
      </w:r>
      <w:r w:rsidR="00070CA3" w:rsidRPr="00FB463B">
        <w:t xml:space="preserve"> The proposed amendments in Attachment 3 conform with this require</w:t>
      </w:r>
      <w:r w:rsidR="00EB3D8C" w:rsidRPr="00FB463B">
        <w:t>ment</w:t>
      </w:r>
      <w:r w:rsidR="00070CA3" w:rsidRPr="00FB463B">
        <w:t xml:space="preserve"> from ED.</w:t>
      </w:r>
    </w:p>
    <w:p w14:paraId="716528AA" w14:textId="77777777" w:rsidR="00070CA3" w:rsidRPr="00FB463B" w:rsidRDefault="00070CA3" w:rsidP="005D66C5"/>
    <w:p w14:paraId="41E4252B" w14:textId="3BAB3A29" w:rsidR="008E44BD" w:rsidRPr="00FB463B" w:rsidRDefault="00C02735" w:rsidP="00EB3D8C">
      <w:pPr>
        <w:spacing w:after="240"/>
      </w:pPr>
      <w:r w:rsidRPr="00FB463B">
        <w:rPr>
          <w:b/>
          <w:bCs/>
        </w:rPr>
        <w:t>Summary:</w:t>
      </w:r>
      <w:r w:rsidR="00EB3D8C" w:rsidRPr="00FB463B">
        <w:rPr>
          <w:b/>
          <w:bCs/>
        </w:rPr>
        <w:t xml:space="preserve"> </w:t>
      </w:r>
      <w:r w:rsidR="007C4EB0" w:rsidRPr="00FB463B">
        <w:rPr>
          <w:b/>
        </w:rPr>
        <w:t>Establishment of Long-Term Goals (ESEA section 1111(c)(4)(A))</w:t>
      </w:r>
    </w:p>
    <w:p w14:paraId="1D00DC6C" w14:textId="73624FCE" w:rsidR="009C180E" w:rsidRPr="00FB463B" w:rsidRDefault="003C29C2" w:rsidP="00CF7354">
      <w:pPr>
        <w:spacing w:after="240"/>
      </w:pPr>
      <w:r w:rsidRPr="00FB463B">
        <w:t xml:space="preserve">In response to the flexibilities provided </w:t>
      </w:r>
      <w:r w:rsidR="00CF7354" w:rsidRPr="00FB463B">
        <w:t>the 2021</w:t>
      </w:r>
      <w:r w:rsidR="00FB37EC" w:rsidRPr="00FB463B">
        <w:rPr>
          <w:rFonts w:cs="Arial"/>
        </w:rPr>
        <w:t>–</w:t>
      </w:r>
      <w:r w:rsidR="00CF7354" w:rsidRPr="00FB463B">
        <w:t xml:space="preserve">22 Addendum </w:t>
      </w:r>
      <w:r w:rsidRPr="00FB463B">
        <w:t>by ED, the SBE approved the</w:t>
      </w:r>
      <w:r w:rsidR="007C4EB0" w:rsidRPr="00FB463B">
        <w:t xml:space="preserve"> </w:t>
      </w:r>
      <w:r w:rsidR="00136255" w:rsidRPr="00FB463B">
        <w:t>shifting the timeline forward by two years</w:t>
      </w:r>
      <w:r w:rsidRPr="00FB463B">
        <w:t xml:space="preserve"> </w:t>
      </w:r>
      <w:r w:rsidR="00136255" w:rsidRPr="00FB463B">
        <w:t xml:space="preserve">for </w:t>
      </w:r>
      <w:r w:rsidRPr="00FB463B">
        <w:t>the</w:t>
      </w:r>
      <w:r w:rsidR="007C4EB0" w:rsidRPr="00FB463B">
        <w:t xml:space="preserve"> long-term goal(s) for:</w:t>
      </w:r>
    </w:p>
    <w:p w14:paraId="4D56D039" w14:textId="680D77B0" w:rsidR="009C180E" w:rsidRPr="00FB463B" w:rsidRDefault="007C4EB0" w:rsidP="00C02735">
      <w:pPr>
        <w:pStyle w:val="ListParagraph"/>
        <w:numPr>
          <w:ilvl w:val="1"/>
          <w:numId w:val="43"/>
        </w:numPr>
        <w:spacing w:after="0"/>
        <w:ind w:left="1080"/>
      </w:pPr>
      <w:r w:rsidRPr="00FB463B">
        <w:t>Academic Achievement</w:t>
      </w:r>
    </w:p>
    <w:p w14:paraId="3C588F66" w14:textId="77777777" w:rsidR="009511AC" w:rsidRPr="00FB463B" w:rsidRDefault="007C4EB0" w:rsidP="00C02735">
      <w:pPr>
        <w:pStyle w:val="ListParagraph"/>
        <w:numPr>
          <w:ilvl w:val="1"/>
          <w:numId w:val="43"/>
        </w:numPr>
        <w:spacing w:after="0"/>
        <w:ind w:left="1080"/>
      </w:pPr>
      <w:r w:rsidRPr="00FB463B">
        <w:t>Graduation Rate</w:t>
      </w:r>
    </w:p>
    <w:p w14:paraId="1729D15F" w14:textId="77777777" w:rsidR="007C4EB0" w:rsidRPr="00FB463B" w:rsidRDefault="007C4EB0" w:rsidP="00C02735">
      <w:pPr>
        <w:pStyle w:val="ListParagraph"/>
        <w:numPr>
          <w:ilvl w:val="1"/>
          <w:numId w:val="43"/>
        </w:numPr>
        <w:spacing w:after="0"/>
        <w:ind w:left="1080"/>
      </w:pPr>
      <w:r w:rsidRPr="00FB463B">
        <w:t>Progress in Achieving English Language Proficiency (ELP)</w:t>
      </w:r>
    </w:p>
    <w:p w14:paraId="7B5DBD5A" w14:textId="77777777" w:rsidR="009511AC" w:rsidRPr="00FB463B" w:rsidRDefault="009511AC" w:rsidP="00C02735"/>
    <w:p w14:paraId="3D7CCD40" w14:textId="4696FF82" w:rsidR="009511AC" w:rsidRPr="00FB463B" w:rsidRDefault="001D6359" w:rsidP="00C02735">
      <w:r w:rsidRPr="00FB463B">
        <w:t>The proposed amendments a</w:t>
      </w:r>
      <w:r w:rsidR="009511AC" w:rsidRPr="00FB463B">
        <w:t>lso clarif</w:t>
      </w:r>
      <w:r w:rsidRPr="00FB463B">
        <w:t>y</w:t>
      </w:r>
      <w:r w:rsidR="009511AC" w:rsidRPr="00FB463B">
        <w:t xml:space="preserve"> for each indicator </w:t>
      </w:r>
      <w:r w:rsidR="008224C9" w:rsidRPr="00FB463B">
        <w:t xml:space="preserve">by academic </w:t>
      </w:r>
      <w:r w:rsidR="009511AC" w:rsidRPr="00FB463B">
        <w:t xml:space="preserve">year the </w:t>
      </w:r>
      <w:r w:rsidR="00C421C2" w:rsidRPr="00FB463B">
        <w:t xml:space="preserve">impact </w:t>
      </w:r>
      <w:r w:rsidR="00415021" w:rsidRPr="00FB463B">
        <w:t>of the shift in y</w:t>
      </w:r>
      <w:r w:rsidR="004B179C" w:rsidRPr="00FB463B">
        <w:t xml:space="preserve">ears to meet the </w:t>
      </w:r>
      <w:r w:rsidR="00415021" w:rsidRPr="00FB463B">
        <w:t xml:space="preserve">new </w:t>
      </w:r>
      <w:r w:rsidR="009511AC" w:rsidRPr="00FB463B">
        <w:t>long-term goal</w:t>
      </w:r>
      <w:r w:rsidR="00415021" w:rsidRPr="00FB463B">
        <w:t xml:space="preserve"> timeline</w:t>
      </w:r>
      <w:r w:rsidR="009511AC" w:rsidRPr="00FB463B">
        <w:t>.</w:t>
      </w:r>
    </w:p>
    <w:p w14:paraId="628B873B" w14:textId="77777777" w:rsidR="004B179C" w:rsidRPr="00FB463B" w:rsidRDefault="004B179C" w:rsidP="00C02735"/>
    <w:p w14:paraId="3118C60B" w14:textId="76B5EA8D" w:rsidR="00672C96" w:rsidRPr="00FB463B" w:rsidRDefault="00A91BAD" w:rsidP="000E20F9">
      <w:pPr>
        <w:spacing w:before="480"/>
        <w:rPr>
          <w:b/>
        </w:rPr>
      </w:pPr>
      <w:r w:rsidRPr="00FB463B">
        <w:rPr>
          <w:b/>
          <w:bCs/>
        </w:rPr>
        <w:lastRenderedPageBreak/>
        <w:t>Summary:</w:t>
      </w:r>
      <w:r w:rsidR="000840FD" w:rsidRPr="00FB463B">
        <w:rPr>
          <w:b/>
        </w:rPr>
        <w:t xml:space="preserve"> </w:t>
      </w:r>
      <w:r w:rsidR="00927D18" w:rsidRPr="00FB463B">
        <w:rPr>
          <w:b/>
        </w:rPr>
        <w:t>Identification of Schools (ESEA section 1111(c)(4)(D))</w:t>
      </w:r>
    </w:p>
    <w:p w14:paraId="25323034" w14:textId="77777777" w:rsidR="002C3116" w:rsidRPr="00FB463B" w:rsidRDefault="002C3116" w:rsidP="00C02735">
      <w:pPr>
        <w:rPr>
          <w:b/>
        </w:rPr>
      </w:pPr>
    </w:p>
    <w:p w14:paraId="2156A86E" w14:textId="3BF41530" w:rsidR="00C02735" w:rsidRPr="00FB463B" w:rsidRDefault="00604C67" w:rsidP="00604C67">
      <w:pPr>
        <w:spacing w:after="240"/>
      </w:pPr>
      <w:r w:rsidRPr="00FB463B">
        <w:t xml:space="preserve">In response to the flexibilities provided </w:t>
      </w:r>
      <w:r w:rsidR="00C261D1" w:rsidRPr="00FB463B">
        <w:t xml:space="preserve">by </w:t>
      </w:r>
      <w:r w:rsidRPr="00FB463B">
        <w:t>the 2021</w:t>
      </w:r>
      <w:r w:rsidRPr="00FB463B">
        <w:rPr>
          <w:rFonts w:cs="Arial"/>
        </w:rPr>
        <w:t>–</w:t>
      </w:r>
      <w:r w:rsidRPr="00FB463B">
        <w:t>22 Addendum by ED, the SBE approved the r</w:t>
      </w:r>
      <w:r w:rsidR="00927D18" w:rsidRPr="00FB463B">
        <w:t>evis</w:t>
      </w:r>
      <w:r w:rsidRPr="00FB463B">
        <w:t>ing</w:t>
      </w:r>
      <w:r w:rsidR="00672C96" w:rsidRPr="00FB463B">
        <w:t xml:space="preserve"> the</w:t>
      </w:r>
      <w:r w:rsidR="00927D18" w:rsidRPr="00FB463B">
        <w:t xml:space="preserve"> timeline for </w:t>
      </w:r>
      <w:r w:rsidR="00B76A50" w:rsidRPr="00FB463B">
        <w:t xml:space="preserve">frequency of </w:t>
      </w:r>
      <w:r w:rsidR="00927D18" w:rsidRPr="00FB463B">
        <w:t>school identification</w:t>
      </w:r>
      <w:r w:rsidR="000B3E1A" w:rsidRPr="00FB463B">
        <w:t>. Speci</w:t>
      </w:r>
      <w:r w:rsidR="006749B2" w:rsidRPr="00FB463B">
        <w:t>fic</w:t>
      </w:r>
      <w:r w:rsidR="000B3E1A" w:rsidRPr="00FB463B">
        <w:t>ally, following the 2022 determinations, schools will be identified on</w:t>
      </w:r>
      <w:r w:rsidR="006749B2" w:rsidRPr="00FB463B">
        <w:t>ce</w:t>
      </w:r>
      <w:r w:rsidR="000B3E1A" w:rsidRPr="00FB463B">
        <w:t xml:space="preserve"> every three years effective</w:t>
      </w:r>
      <w:r w:rsidR="002C3116" w:rsidRPr="00FB463B">
        <w:t xml:space="preserve"> in fall 2023</w:t>
      </w:r>
      <w:r w:rsidR="0049528A" w:rsidRPr="00FB463B">
        <w:t>.</w:t>
      </w:r>
    </w:p>
    <w:p w14:paraId="11029737" w14:textId="3EC23F40" w:rsidR="00C261D1" w:rsidRPr="00FB463B" w:rsidRDefault="00C261D1" w:rsidP="00C261D1">
      <w:pPr>
        <w:rPr>
          <w:b/>
          <w:bCs/>
        </w:rPr>
      </w:pPr>
      <w:r w:rsidRPr="00FB463B">
        <w:rPr>
          <w:b/>
          <w:bCs/>
        </w:rPr>
        <w:t xml:space="preserve">Summary: </w:t>
      </w:r>
      <w:r w:rsidR="009F6F89" w:rsidRPr="00FB463B">
        <w:rPr>
          <w:b/>
          <w:bCs/>
        </w:rPr>
        <w:t>Exit Criteria for Comprehensive Support and Improvement Schools.</w:t>
      </w:r>
      <w:r w:rsidR="00FE54E8" w:rsidRPr="00FB463B">
        <w:rPr>
          <w:b/>
          <w:bCs/>
        </w:rPr>
        <w:t xml:space="preserve"> (ESEA section 1111(d)(3)(A))</w:t>
      </w:r>
    </w:p>
    <w:p w14:paraId="2D838341" w14:textId="77777777" w:rsidR="00C261D1" w:rsidRPr="00FB463B" w:rsidRDefault="00C261D1" w:rsidP="00C261D1"/>
    <w:p w14:paraId="3F291132" w14:textId="54ECCA21" w:rsidR="00FC3D2E" w:rsidRPr="00FB463B" w:rsidRDefault="00D35E7E" w:rsidP="00C261D1">
      <w:r w:rsidRPr="00FB463B">
        <w:t>In response to the flexibilities provided by the 2021</w:t>
      </w:r>
      <w:r w:rsidRPr="00FB463B">
        <w:rPr>
          <w:rFonts w:cs="Arial"/>
        </w:rPr>
        <w:t>–</w:t>
      </w:r>
      <w:r w:rsidRPr="00FB463B">
        <w:t xml:space="preserve">22 Addendum by ED, the SBE approved </w:t>
      </w:r>
      <w:r w:rsidR="00A33A15" w:rsidRPr="00FB463B">
        <w:t>revising the</w:t>
      </w:r>
      <w:r w:rsidR="009F6F89" w:rsidRPr="00FB463B">
        <w:t xml:space="preserve"> </w:t>
      </w:r>
      <w:r w:rsidR="00E337FA" w:rsidRPr="00FB463B">
        <w:t xml:space="preserve">timeline and </w:t>
      </w:r>
      <w:r w:rsidR="009F6F89" w:rsidRPr="00FB463B">
        <w:t xml:space="preserve">statewide exit criteria for schools identified for </w:t>
      </w:r>
      <w:r w:rsidR="007A167B" w:rsidRPr="00FB463B">
        <w:t>C</w:t>
      </w:r>
      <w:r w:rsidR="009F6F89" w:rsidRPr="00FB463B">
        <w:t xml:space="preserve">omprehensive </w:t>
      </w:r>
      <w:r w:rsidR="007A167B" w:rsidRPr="00FB463B">
        <w:t>S</w:t>
      </w:r>
      <w:r w:rsidR="009F6F89" w:rsidRPr="00FB463B">
        <w:t xml:space="preserve">upport and </w:t>
      </w:r>
      <w:r w:rsidR="007A167B" w:rsidRPr="00FB463B">
        <w:t>I</w:t>
      </w:r>
      <w:r w:rsidR="009F6F89" w:rsidRPr="00FB463B">
        <w:t xml:space="preserve">mprovement </w:t>
      </w:r>
      <w:r w:rsidR="007A167B" w:rsidRPr="00FB463B">
        <w:t>(CSI)</w:t>
      </w:r>
      <w:r w:rsidR="00560C2E" w:rsidRPr="00FB463B">
        <w:t xml:space="preserve"> and Additional Targeted Support and Improvement (ATSI) by</w:t>
      </w:r>
      <w:r w:rsidR="00FC3D2E" w:rsidRPr="00FB463B">
        <w:t>:</w:t>
      </w:r>
    </w:p>
    <w:p w14:paraId="0F6BC0C7" w14:textId="77777777" w:rsidR="007A167B" w:rsidRPr="00FB463B" w:rsidRDefault="007A167B" w:rsidP="00C261D1"/>
    <w:p w14:paraId="086788D2" w14:textId="1B50CE80" w:rsidR="008652F5" w:rsidRPr="00FB463B" w:rsidRDefault="008652F5" w:rsidP="00FC3D2E">
      <w:pPr>
        <w:pStyle w:val="ListParagraph"/>
        <w:numPr>
          <w:ilvl w:val="0"/>
          <w:numId w:val="36"/>
        </w:numPr>
      </w:pPr>
      <w:r w:rsidRPr="00FB463B">
        <w:t>Adjust</w:t>
      </w:r>
      <w:r w:rsidR="00560C2E" w:rsidRPr="00FB463B">
        <w:t>ing</w:t>
      </w:r>
      <w:r w:rsidRPr="00FB463B">
        <w:t xml:space="preserve"> the timeline and not count</w:t>
      </w:r>
      <w:r w:rsidR="009A6DEF" w:rsidRPr="00FB463B">
        <w:t>ing</w:t>
      </w:r>
      <w:r w:rsidRPr="00FB463B">
        <w:t xml:space="preserve"> the 2019</w:t>
      </w:r>
      <w:r w:rsidRPr="00FB463B">
        <w:rPr>
          <w:rFonts w:cs="Arial"/>
        </w:rPr>
        <w:t>–</w:t>
      </w:r>
      <w:r w:rsidRPr="00FB463B">
        <w:t xml:space="preserve">20 </w:t>
      </w:r>
      <w:r w:rsidR="0030062D" w:rsidRPr="00FB463B">
        <w:t>or 2021</w:t>
      </w:r>
      <w:r w:rsidR="0030062D" w:rsidRPr="00FB463B">
        <w:rPr>
          <w:rFonts w:cs="Arial"/>
        </w:rPr>
        <w:t>–</w:t>
      </w:r>
      <w:r w:rsidR="0030062D" w:rsidRPr="00FB463B">
        <w:t xml:space="preserve">21 </w:t>
      </w:r>
      <w:r w:rsidRPr="00FB463B">
        <w:t>school year</w:t>
      </w:r>
      <w:r w:rsidR="00560C2E" w:rsidRPr="00FB463B">
        <w:t>s</w:t>
      </w:r>
      <w:r w:rsidRPr="00FB463B">
        <w:t xml:space="preserve"> toward the number of years in which a school must meet the criteria </w:t>
      </w:r>
      <w:proofErr w:type="gramStart"/>
      <w:r w:rsidRPr="00FB463B">
        <w:t>in order to</w:t>
      </w:r>
      <w:proofErr w:type="gramEnd"/>
      <w:r w:rsidRPr="00FB463B">
        <w:t xml:space="preserve"> exit CSI </w:t>
      </w:r>
      <w:r w:rsidR="00F535A6" w:rsidRPr="00FB463B">
        <w:t xml:space="preserve">and ATSI </w:t>
      </w:r>
      <w:r w:rsidRPr="00FB463B">
        <w:t>status</w:t>
      </w:r>
      <w:r w:rsidR="00F535A6" w:rsidRPr="00FB463B">
        <w:t>.</w:t>
      </w:r>
    </w:p>
    <w:p w14:paraId="1462AB24" w14:textId="5A5F40A7" w:rsidR="006F11BC" w:rsidRPr="00FB463B" w:rsidRDefault="00F9421C" w:rsidP="00FC3D2E">
      <w:pPr>
        <w:pStyle w:val="ListParagraph"/>
        <w:numPr>
          <w:ilvl w:val="0"/>
          <w:numId w:val="36"/>
        </w:numPr>
      </w:pPr>
      <w:r w:rsidRPr="00FB463B">
        <w:t>Modify</w:t>
      </w:r>
      <w:r w:rsidR="006F11BC" w:rsidRPr="00FB463B">
        <w:t>ing the</w:t>
      </w:r>
      <w:r w:rsidRPr="00FB463B">
        <w:t xml:space="preserve"> exit criteria for schools identified for CSI and ATSI that will be eligible to exit status in fall 2022 to use the status performance level rather than the performance color that is based on both status and change. The school or student subgroup in the school must (1) no longer meet the criteria for identification and (2) have improved performance on the indicators (including an increase in the status portion of each indicator) compared to when the school was initially identified.</w:t>
      </w:r>
    </w:p>
    <w:p w14:paraId="553BDE26" w14:textId="4C5CDB5D" w:rsidR="00F9421C" w:rsidRPr="00FB463B" w:rsidRDefault="00F9421C" w:rsidP="00FC3D2E">
      <w:pPr>
        <w:pStyle w:val="ListParagraph"/>
        <w:numPr>
          <w:ilvl w:val="0"/>
          <w:numId w:val="36"/>
        </w:numPr>
      </w:pPr>
      <w:r w:rsidRPr="00FB463B">
        <w:t xml:space="preserve">Modify the State-determined number of a years that a school identified for ATSI </w:t>
      </w:r>
      <w:proofErr w:type="gramStart"/>
      <w:r w:rsidRPr="00FB463B">
        <w:t>has to</w:t>
      </w:r>
      <w:proofErr w:type="gramEnd"/>
      <w:r w:rsidRPr="00FB463B">
        <w:t xml:space="preserve"> meet the exit criteria; ATSI schools identified in the fall of 2018, 2019, 2022, and 2023 will all have until fall 2026 to meet the exit c</w:t>
      </w:r>
      <w:r w:rsidR="006F11BC" w:rsidRPr="00FB463B">
        <w:t>r</w:t>
      </w:r>
      <w:r w:rsidRPr="00FB463B">
        <w:t>iteria</w:t>
      </w:r>
      <w:r w:rsidR="006F11BC" w:rsidRPr="00FB463B">
        <w:t>.</w:t>
      </w:r>
    </w:p>
    <w:p w14:paraId="11F657FA" w14:textId="1132537F" w:rsidR="00C02735" w:rsidRPr="00FB463B" w:rsidRDefault="002429AF" w:rsidP="000E20F9">
      <w:pPr>
        <w:spacing w:after="240"/>
        <w:rPr>
          <w:b/>
        </w:rPr>
      </w:pPr>
      <w:r w:rsidRPr="00FB463B">
        <w:rPr>
          <w:b/>
          <w:bCs/>
        </w:rPr>
        <w:t xml:space="preserve">Summary: </w:t>
      </w:r>
      <w:r w:rsidR="00D468D8" w:rsidRPr="00FB463B">
        <w:rPr>
          <w:b/>
          <w:bCs/>
        </w:rPr>
        <w:t>English Learner Progress Indicator</w:t>
      </w:r>
    </w:p>
    <w:p w14:paraId="56ACB5F1" w14:textId="68E2D2F3" w:rsidR="009D5DCF" w:rsidRPr="00FB463B" w:rsidRDefault="00EB79EF" w:rsidP="00C02735">
      <w:r w:rsidRPr="00FB463B">
        <w:t xml:space="preserve">The proposed amendments detail the incorporation of the new methodology that </w:t>
      </w:r>
      <w:r w:rsidR="007036A9" w:rsidRPr="00FB463B">
        <w:t>incorporates performance from</w:t>
      </w:r>
      <w:r w:rsidR="00D468D8" w:rsidRPr="00FB463B">
        <w:t xml:space="preserve"> the Alternate English Language Proficiency </w:t>
      </w:r>
      <w:r w:rsidR="00CF4D04" w:rsidRPr="00FB463B">
        <w:t>Assessment</w:t>
      </w:r>
      <w:r w:rsidR="00CB284A" w:rsidRPr="00FB463B">
        <w:t>s</w:t>
      </w:r>
      <w:r w:rsidR="00CF4D04" w:rsidRPr="00FB463B">
        <w:t xml:space="preserve"> </w:t>
      </w:r>
      <w:r w:rsidR="00D468D8" w:rsidRPr="00FB463B">
        <w:t xml:space="preserve">for California </w:t>
      </w:r>
      <w:r w:rsidR="00AB3F4D" w:rsidRPr="00FB463B">
        <w:t>(ELPAC). The amendments include the inclusion of the proposed change cut scores, five-by-five grid, and updates the following tables:</w:t>
      </w:r>
    </w:p>
    <w:p w14:paraId="76295CC5" w14:textId="55D82709" w:rsidR="00F34EF2" w:rsidRPr="00FB463B" w:rsidRDefault="00F34EF2" w:rsidP="00C02735"/>
    <w:p w14:paraId="3AA37CA1" w14:textId="55C00358" w:rsidR="00F34EF2" w:rsidRPr="00FB463B" w:rsidRDefault="009D5DCF" w:rsidP="000E20F9">
      <w:pPr>
        <w:pStyle w:val="ListParagraph"/>
        <w:numPr>
          <w:ilvl w:val="0"/>
          <w:numId w:val="49"/>
        </w:numPr>
        <w:spacing w:after="0"/>
      </w:pPr>
      <w:r w:rsidRPr="00FB463B">
        <w:t xml:space="preserve">Table </w:t>
      </w:r>
      <w:r w:rsidR="00D468D8" w:rsidRPr="00FB463B">
        <w:t>18</w:t>
      </w:r>
      <w:r w:rsidRPr="00FB463B">
        <w:t xml:space="preserve">: </w:t>
      </w:r>
      <w:r w:rsidR="00714BB5" w:rsidRPr="00FB463B">
        <w:t xml:space="preserve">2023 Simulated </w:t>
      </w:r>
      <w:r w:rsidRPr="00FB463B">
        <w:t>English Learner Progress Status and Change Levels</w:t>
      </w:r>
      <w:r w:rsidR="006D176A" w:rsidRPr="00FB463B">
        <w:t xml:space="preserve"> </w:t>
      </w:r>
      <w:r w:rsidR="007071B8" w:rsidRPr="00FB463B">
        <w:t>w</w:t>
      </w:r>
      <w:r w:rsidR="006D176A" w:rsidRPr="00FB463B">
        <w:t>ith School Performance</w:t>
      </w:r>
    </w:p>
    <w:p w14:paraId="31E66038" w14:textId="1340305B" w:rsidR="00F34EF2" w:rsidRPr="00FB463B" w:rsidRDefault="00077BC5" w:rsidP="000E20F9">
      <w:pPr>
        <w:pStyle w:val="ListParagraph"/>
        <w:numPr>
          <w:ilvl w:val="0"/>
          <w:numId w:val="49"/>
        </w:numPr>
        <w:spacing w:after="0"/>
      </w:pPr>
      <w:r w:rsidRPr="00FB463B">
        <w:t>Table</w:t>
      </w:r>
      <w:r w:rsidR="00D468D8" w:rsidRPr="00FB463B">
        <w:t xml:space="preserve"> 19</w:t>
      </w:r>
      <w:r w:rsidRPr="00FB463B">
        <w:t>: State Level English Learner Progress Performance Level</w:t>
      </w:r>
    </w:p>
    <w:p w14:paraId="3963A11F" w14:textId="1D02E7B4" w:rsidR="004C4D13" w:rsidRPr="00FB463B" w:rsidRDefault="00567D61" w:rsidP="000E20F9">
      <w:pPr>
        <w:pStyle w:val="ListParagraph"/>
        <w:numPr>
          <w:ilvl w:val="0"/>
          <w:numId w:val="49"/>
        </w:numPr>
        <w:spacing w:after="0"/>
      </w:pPr>
      <w:r w:rsidRPr="00FB463B">
        <w:t xml:space="preserve">Table </w:t>
      </w:r>
      <w:r w:rsidR="00A91BAD" w:rsidRPr="00FB463B">
        <w:t>20x</w:t>
      </w:r>
      <w:r w:rsidRPr="00FB463B">
        <w:t>: English Learner Progress Status and Changes Levels</w:t>
      </w:r>
    </w:p>
    <w:p w14:paraId="322F82CA" w14:textId="59638C14" w:rsidR="00D468D8" w:rsidRPr="00FB463B" w:rsidRDefault="004C4D13" w:rsidP="000E20F9">
      <w:pPr>
        <w:pStyle w:val="ListParagraph"/>
        <w:numPr>
          <w:ilvl w:val="0"/>
          <w:numId w:val="49"/>
        </w:numPr>
        <w:spacing w:after="0"/>
      </w:pPr>
      <w:r w:rsidRPr="00FB463B">
        <w:t xml:space="preserve">Table </w:t>
      </w:r>
      <w:r w:rsidR="005205D4" w:rsidRPr="00FB463B">
        <w:t>4</w:t>
      </w:r>
      <w:r w:rsidR="008320A4" w:rsidRPr="00FB463B">
        <w:t>3</w:t>
      </w:r>
      <w:r w:rsidRPr="00FB463B">
        <w:t xml:space="preserve">: </w:t>
      </w:r>
      <w:r w:rsidR="008320A4" w:rsidRPr="00FB463B">
        <w:t xml:space="preserve">State Level </w:t>
      </w:r>
      <w:r w:rsidRPr="00FB463B">
        <w:t xml:space="preserve">English Learner Progress </w:t>
      </w:r>
      <w:r w:rsidR="00237216" w:rsidRPr="00FB463B">
        <w:t>b</w:t>
      </w:r>
      <w:r w:rsidR="00D43BC5" w:rsidRPr="00FB463B">
        <w:t>y Performance Level</w:t>
      </w:r>
    </w:p>
    <w:p w14:paraId="6C7F139D" w14:textId="62BB58C5" w:rsidR="00237216" w:rsidRPr="00FB463B" w:rsidRDefault="00237216" w:rsidP="000E20F9">
      <w:pPr>
        <w:pStyle w:val="ListParagraph"/>
        <w:numPr>
          <w:ilvl w:val="0"/>
          <w:numId w:val="49"/>
        </w:numPr>
        <w:spacing w:after="0"/>
      </w:pPr>
      <w:r w:rsidRPr="00FB463B">
        <w:t>Table 44: English Learner Progress Indicator</w:t>
      </w:r>
    </w:p>
    <w:p w14:paraId="2F42B5B0" w14:textId="3074971C" w:rsidR="0003345E" w:rsidRPr="00FB463B" w:rsidRDefault="0003345E" w:rsidP="00C02735">
      <w:pPr>
        <w:sectPr w:rsidR="0003345E" w:rsidRPr="00FB463B" w:rsidSect="00B23914">
          <w:headerReference w:type="default" r:id="rId158"/>
          <w:pgSz w:w="12240" w:h="15840"/>
          <w:pgMar w:top="720" w:right="1440" w:bottom="1440" w:left="1440" w:header="720" w:footer="720" w:gutter="0"/>
          <w:pgNumType w:start="1"/>
          <w:cols w:space="720"/>
          <w:docGrid w:linePitch="360"/>
        </w:sectPr>
      </w:pPr>
    </w:p>
    <w:p w14:paraId="399DFE80" w14:textId="36A5AF14" w:rsidR="007B7EF1" w:rsidRPr="00FB463B" w:rsidRDefault="007B7EF1" w:rsidP="007871ED">
      <w:pPr>
        <w:pStyle w:val="Heading1"/>
        <w:jc w:val="left"/>
      </w:pPr>
      <w:r w:rsidRPr="00FB463B">
        <w:lastRenderedPageBreak/>
        <w:t>Attachment 3:</w:t>
      </w:r>
    </w:p>
    <w:p w14:paraId="2D40E400" w14:textId="4BEF6261" w:rsidR="007B7EF1" w:rsidRPr="00FB463B" w:rsidRDefault="007B7EF1" w:rsidP="007B7EF1">
      <w:pPr>
        <w:pStyle w:val="Heading2"/>
      </w:pPr>
      <w:r w:rsidRPr="00FB463B">
        <w:t>Amendments to California’s Every Student Succeeds Act State Plan</w:t>
      </w:r>
    </w:p>
    <w:p w14:paraId="719D704C" w14:textId="33EA17F4" w:rsidR="007B7EF1" w:rsidRPr="00FB463B" w:rsidRDefault="007B7EF1" w:rsidP="007B7EF1">
      <w:r w:rsidRPr="00FB463B">
        <w:t xml:space="preserve">Note: </w:t>
      </w:r>
      <w:r w:rsidR="00F67827" w:rsidRPr="00FB463B">
        <w:t xml:space="preserve">Attachment 3 is provided as a separate link that can be found on the State Board of Education Agenda for September 2023 web page at </w:t>
      </w:r>
      <w:hyperlink r:id="rId159" w:tooltip="State Board of Education Agenda for September 2023 web page" w:history="1">
        <w:r w:rsidR="001F3525" w:rsidRPr="00FB463B">
          <w:rPr>
            <w:rStyle w:val="Hyperlink"/>
          </w:rPr>
          <w:t>https://www.cde.ca.gov/be/ag/ag/yr23/agenda202309.asp</w:t>
        </w:r>
      </w:hyperlink>
      <w:r w:rsidR="00F67827" w:rsidRPr="00FB463B">
        <w:t>.</w:t>
      </w:r>
    </w:p>
    <w:p w14:paraId="5C08B7F7" w14:textId="42B3D9D5" w:rsidR="5482BA86" w:rsidRPr="00FB463B" w:rsidRDefault="5482BA86" w:rsidP="5482BA86">
      <w:pPr>
        <w:spacing w:after="240"/>
        <w:rPr>
          <w:rFonts w:eastAsia="Arial" w:cs="Arial"/>
          <w:color w:val="000000" w:themeColor="text1"/>
        </w:rPr>
        <w:sectPr w:rsidR="5482BA86" w:rsidRPr="00FB463B" w:rsidSect="00B23914">
          <w:headerReference w:type="default" r:id="rId160"/>
          <w:pgSz w:w="12240" w:h="15840"/>
          <w:pgMar w:top="720" w:right="1440" w:bottom="1440" w:left="1440" w:header="720" w:footer="720" w:gutter="0"/>
          <w:pgNumType w:start="1"/>
          <w:cols w:space="720"/>
          <w:docGrid w:linePitch="360"/>
        </w:sectPr>
      </w:pPr>
    </w:p>
    <w:p w14:paraId="56D32582" w14:textId="7BDB20FB" w:rsidR="005D31EE" w:rsidRPr="00FB463B" w:rsidRDefault="48F4EB2E" w:rsidP="007871ED">
      <w:pPr>
        <w:pStyle w:val="Heading1"/>
        <w:jc w:val="left"/>
      </w:pPr>
      <w:r w:rsidRPr="00FB463B">
        <w:lastRenderedPageBreak/>
        <w:t xml:space="preserve">Attachment </w:t>
      </w:r>
      <w:r w:rsidR="00011F00" w:rsidRPr="00FB463B">
        <w:t>4</w:t>
      </w:r>
    </w:p>
    <w:p w14:paraId="7D52CBE8" w14:textId="0D3A5807" w:rsidR="005D31EE" w:rsidRPr="00FB463B" w:rsidRDefault="005D31EE" w:rsidP="002A363B">
      <w:pPr>
        <w:pStyle w:val="Heading2"/>
      </w:pPr>
      <w:r w:rsidRPr="00FB463B">
        <w:t>California School Dashboard Educational Outreach Activities</w:t>
      </w:r>
    </w:p>
    <w:p w14:paraId="65CD803D" w14:textId="77777777" w:rsidR="00D13BDE" w:rsidRPr="00FB463B" w:rsidRDefault="00D13BDE" w:rsidP="002A363B">
      <w:pPr>
        <w:pStyle w:val="Heading3"/>
      </w:pPr>
      <w:r w:rsidRPr="00FB463B">
        <w:t>Table 1: California Department of Education Policy Work Group Meetings</w:t>
      </w:r>
    </w:p>
    <w:tbl>
      <w:tblPr>
        <w:tblStyle w:val="TableGrid"/>
        <w:tblW w:w="4724" w:type="pct"/>
        <w:tblLook w:val="04A0" w:firstRow="1" w:lastRow="0" w:firstColumn="1" w:lastColumn="0" w:noHBand="0" w:noVBand="1"/>
        <w:tblCaption w:val="Table 1. California Department of Education Policy Work Group Meetings"/>
        <w:tblDescription w:val="This table shows the topics covered in the Technical Design Group meetings in 2021."/>
      </w:tblPr>
      <w:tblGrid>
        <w:gridCol w:w="2388"/>
        <w:gridCol w:w="3996"/>
        <w:gridCol w:w="5851"/>
      </w:tblGrid>
      <w:tr w:rsidR="00714212" w:rsidRPr="00FB463B" w14:paraId="19F0B3CB" w14:textId="77777777" w:rsidTr="00714212">
        <w:trPr>
          <w:cantSplit/>
          <w:tblHeader/>
        </w:trPr>
        <w:tc>
          <w:tcPr>
            <w:tcW w:w="9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BD911C" w14:textId="77777777" w:rsidR="00714212" w:rsidRPr="00FB463B" w:rsidRDefault="00714212" w:rsidP="009A78FF">
            <w:pPr>
              <w:jc w:val="center"/>
              <w:rPr>
                <w:rFonts w:cs="Arial"/>
                <w:b/>
              </w:rPr>
            </w:pPr>
            <w:r w:rsidRPr="00FB463B">
              <w:rPr>
                <w:rFonts w:cs="Arial"/>
                <w:b/>
              </w:rPr>
              <w:t>Date</w:t>
            </w:r>
          </w:p>
        </w:tc>
        <w:tc>
          <w:tcPr>
            <w:tcW w:w="163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7496B1" w14:textId="77777777" w:rsidR="00714212" w:rsidRPr="00FB463B" w:rsidRDefault="00714212" w:rsidP="009A78FF">
            <w:pPr>
              <w:jc w:val="center"/>
              <w:rPr>
                <w:rFonts w:cs="Arial"/>
                <w:b/>
              </w:rPr>
            </w:pPr>
            <w:r w:rsidRPr="00FB463B">
              <w:rPr>
                <w:rFonts w:cs="Arial"/>
                <w:b/>
              </w:rPr>
              <w:t>Title</w:t>
            </w:r>
          </w:p>
        </w:tc>
        <w:tc>
          <w:tcPr>
            <w:tcW w:w="23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54954D" w14:textId="77777777" w:rsidR="00714212" w:rsidRPr="00FB463B" w:rsidRDefault="00714212" w:rsidP="009A78FF">
            <w:pPr>
              <w:jc w:val="center"/>
              <w:rPr>
                <w:rFonts w:cs="Arial"/>
                <w:b/>
              </w:rPr>
            </w:pPr>
            <w:r w:rsidRPr="00FB463B">
              <w:rPr>
                <w:rFonts w:cs="Arial"/>
                <w:b/>
              </w:rPr>
              <w:t>Topics</w:t>
            </w:r>
          </w:p>
        </w:tc>
      </w:tr>
      <w:tr w:rsidR="00714212" w:rsidRPr="00FB463B" w14:paraId="4C59B810" w14:textId="77777777" w:rsidTr="00714212">
        <w:trPr>
          <w:cantSplit/>
        </w:trPr>
        <w:tc>
          <w:tcPr>
            <w:tcW w:w="976" w:type="pct"/>
            <w:tcBorders>
              <w:top w:val="single" w:sz="4" w:space="0" w:color="auto"/>
              <w:left w:val="single" w:sz="4" w:space="0" w:color="auto"/>
              <w:bottom w:val="single" w:sz="4" w:space="0" w:color="auto"/>
              <w:right w:val="single" w:sz="4" w:space="0" w:color="auto"/>
            </w:tcBorders>
            <w:vAlign w:val="center"/>
          </w:tcPr>
          <w:p w14:paraId="422E404C" w14:textId="7C5FEE32" w:rsidR="00714212" w:rsidRPr="00FB463B" w:rsidRDefault="00714212" w:rsidP="009A78FF">
            <w:pPr>
              <w:jc w:val="center"/>
              <w:rPr>
                <w:rFonts w:cs="Arial"/>
              </w:rPr>
            </w:pPr>
            <w:r w:rsidRPr="00FB463B">
              <w:rPr>
                <w:rFonts w:cs="Arial"/>
              </w:rPr>
              <w:t>February 17, 2023</w:t>
            </w:r>
          </w:p>
        </w:tc>
        <w:tc>
          <w:tcPr>
            <w:tcW w:w="1633" w:type="pct"/>
            <w:tcBorders>
              <w:top w:val="single" w:sz="4" w:space="0" w:color="auto"/>
              <w:left w:val="single" w:sz="4" w:space="0" w:color="auto"/>
              <w:bottom w:val="single" w:sz="4" w:space="0" w:color="auto"/>
              <w:right w:val="single" w:sz="4" w:space="0" w:color="auto"/>
            </w:tcBorders>
            <w:vAlign w:val="center"/>
          </w:tcPr>
          <w:p w14:paraId="03657D61" w14:textId="424EB89C" w:rsidR="00714212" w:rsidRPr="00FB463B" w:rsidRDefault="00714212" w:rsidP="009A78FF">
            <w:pPr>
              <w:jc w:val="center"/>
              <w:rPr>
                <w:rFonts w:cs="Arial"/>
              </w:rPr>
            </w:pPr>
            <w:r w:rsidRPr="00FB463B">
              <w:rPr>
                <w:rFonts w:cs="Arial"/>
              </w:rPr>
              <w:t>California Practitioners Advisory Group (CPAG)</w:t>
            </w:r>
          </w:p>
        </w:tc>
        <w:tc>
          <w:tcPr>
            <w:tcW w:w="2391" w:type="pct"/>
            <w:tcBorders>
              <w:top w:val="single" w:sz="4" w:space="0" w:color="auto"/>
              <w:left w:val="single" w:sz="4" w:space="0" w:color="auto"/>
              <w:bottom w:val="single" w:sz="4" w:space="0" w:color="auto"/>
              <w:right w:val="single" w:sz="4" w:space="0" w:color="auto"/>
            </w:tcBorders>
            <w:vAlign w:val="center"/>
          </w:tcPr>
          <w:p w14:paraId="07E3C5F1" w14:textId="44ED61A0" w:rsidR="00714212" w:rsidRPr="00FB463B" w:rsidRDefault="00714212" w:rsidP="00C237F4">
            <w:pPr>
              <w:pStyle w:val="ListParagraph"/>
              <w:numPr>
                <w:ilvl w:val="0"/>
                <w:numId w:val="7"/>
              </w:numPr>
              <w:rPr>
                <w:rFonts w:cs="Arial"/>
              </w:rPr>
            </w:pPr>
            <w:r w:rsidRPr="00FB463B">
              <w:rPr>
                <w:rFonts w:cs="Arial"/>
              </w:rPr>
              <w:t>Overview of 2022 Dashboard</w:t>
            </w:r>
          </w:p>
          <w:p w14:paraId="1180A7EC" w14:textId="5DA959F8" w:rsidR="00714212" w:rsidRPr="00FB463B" w:rsidRDefault="00714212" w:rsidP="00C237F4">
            <w:pPr>
              <w:pStyle w:val="ListParagraph"/>
              <w:numPr>
                <w:ilvl w:val="0"/>
                <w:numId w:val="7"/>
              </w:numPr>
              <w:rPr>
                <w:rFonts w:cs="Arial"/>
              </w:rPr>
            </w:pPr>
            <w:r w:rsidRPr="00FB463B">
              <w:rPr>
                <w:rFonts w:cs="Arial"/>
              </w:rPr>
              <w:t>Review 2023 Accountability Workplan</w:t>
            </w:r>
          </w:p>
          <w:p w14:paraId="393549B7" w14:textId="482D6B78" w:rsidR="00714212" w:rsidRPr="00FB463B" w:rsidRDefault="00714212" w:rsidP="00C237F4">
            <w:pPr>
              <w:pStyle w:val="ListParagraph"/>
              <w:numPr>
                <w:ilvl w:val="0"/>
                <w:numId w:val="7"/>
              </w:numPr>
              <w:rPr>
                <w:rFonts w:cs="Arial"/>
              </w:rPr>
            </w:pPr>
            <w:r w:rsidRPr="00FB463B">
              <w:rPr>
                <w:rFonts w:cs="Arial"/>
              </w:rPr>
              <w:t>Resources for 2023 in development</w:t>
            </w:r>
          </w:p>
        </w:tc>
      </w:tr>
      <w:tr w:rsidR="00714212" w:rsidRPr="00FB463B" w14:paraId="55B0AAC2" w14:textId="77777777" w:rsidTr="00714212">
        <w:trPr>
          <w:cantSplit/>
        </w:trPr>
        <w:tc>
          <w:tcPr>
            <w:tcW w:w="976" w:type="pct"/>
            <w:tcBorders>
              <w:top w:val="single" w:sz="4" w:space="0" w:color="auto"/>
              <w:left w:val="single" w:sz="4" w:space="0" w:color="auto"/>
              <w:bottom w:val="single" w:sz="4" w:space="0" w:color="auto"/>
              <w:right w:val="single" w:sz="4" w:space="0" w:color="auto"/>
            </w:tcBorders>
            <w:vAlign w:val="center"/>
          </w:tcPr>
          <w:p w14:paraId="0B823AAD" w14:textId="33EA4A59" w:rsidR="00714212" w:rsidRPr="00FB463B" w:rsidRDefault="00714212" w:rsidP="009A78FF">
            <w:pPr>
              <w:jc w:val="center"/>
              <w:rPr>
                <w:rFonts w:cs="Arial"/>
              </w:rPr>
            </w:pPr>
            <w:r w:rsidRPr="00FB463B">
              <w:rPr>
                <w:rFonts w:cs="Arial"/>
              </w:rPr>
              <w:t>March 14, 2023</w:t>
            </w:r>
          </w:p>
        </w:tc>
        <w:tc>
          <w:tcPr>
            <w:tcW w:w="1633" w:type="pct"/>
            <w:tcBorders>
              <w:top w:val="single" w:sz="4" w:space="0" w:color="auto"/>
              <w:left w:val="single" w:sz="4" w:space="0" w:color="auto"/>
              <w:bottom w:val="single" w:sz="4" w:space="0" w:color="auto"/>
              <w:right w:val="single" w:sz="4" w:space="0" w:color="auto"/>
            </w:tcBorders>
            <w:vAlign w:val="center"/>
          </w:tcPr>
          <w:p w14:paraId="1E11B0AD" w14:textId="54976460" w:rsidR="00714212" w:rsidRPr="00FB463B" w:rsidRDefault="00714212" w:rsidP="009A78FF">
            <w:pPr>
              <w:jc w:val="center"/>
              <w:rPr>
                <w:rFonts w:cs="Arial"/>
              </w:rPr>
            </w:pPr>
            <w:r w:rsidRPr="00FB463B">
              <w:rPr>
                <w:rFonts w:cs="Arial"/>
              </w:rPr>
              <w:t>English Learner Progress Indicator (ELPI) Workgroup</w:t>
            </w:r>
          </w:p>
        </w:tc>
        <w:tc>
          <w:tcPr>
            <w:tcW w:w="2391" w:type="pct"/>
            <w:tcBorders>
              <w:top w:val="single" w:sz="4" w:space="0" w:color="auto"/>
              <w:left w:val="single" w:sz="4" w:space="0" w:color="auto"/>
              <w:bottom w:val="single" w:sz="4" w:space="0" w:color="auto"/>
              <w:right w:val="single" w:sz="4" w:space="0" w:color="auto"/>
            </w:tcBorders>
            <w:vAlign w:val="center"/>
          </w:tcPr>
          <w:p w14:paraId="3653C773" w14:textId="61C70B7E" w:rsidR="00714212" w:rsidRPr="00FB463B" w:rsidRDefault="00714212" w:rsidP="00C237F4">
            <w:pPr>
              <w:pStyle w:val="ListParagraph"/>
              <w:numPr>
                <w:ilvl w:val="0"/>
                <w:numId w:val="7"/>
              </w:numPr>
              <w:rPr>
                <w:rFonts w:cs="Arial"/>
              </w:rPr>
            </w:pPr>
            <w:r w:rsidRPr="00FB463B">
              <w:rPr>
                <w:rFonts w:cs="Arial"/>
              </w:rPr>
              <w:t>ELPI Change</w:t>
            </w:r>
          </w:p>
          <w:p w14:paraId="67247C18" w14:textId="7BB67B2A" w:rsidR="00714212" w:rsidRPr="00FB463B" w:rsidRDefault="00714212" w:rsidP="00C237F4">
            <w:pPr>
              <w:pStyle w:val="ListParagraph"/>
              <w:numPr>
                <w:ilvl w:val="0"/>
                <w:numId w:val="7"/>
              </w:numPr>
              <w:rPr>
                <w:rFonts w:cs="Arial"/>
              </w:rPr>
            </w:pPr>
            <w:r w:rsidRPr="00FB463B">
              <w:rPr>
                <w:rFonts w:cs="Arial"/>
              </w:rPr>
              <w:t>E</w:t>
            </w:r>
            <w:r w:rsidR="00F672EB" w:rsidRPr="00FB463B">
              <w:rPr>
                <w:rFonts w:cs="Arial"/>
              </w:rPr>
              <w:t xml:space="preserve">nglish </w:t>
            </w:r>
            <w:r w:rsidRPr="00FB463B">
              <w:rPr>
                <w:rFonts w:cs="Arial"/>
              </w:rPr>
              <w:t>L</w:t>
            </w:r>
            <w:r w:rsidR="00F672EB" w:rsidRPr="00FB463B">
              <w:rPr>
                <w:rFonts w:cs="Arial"/>
              </w:rPr>
              <w:t xml:space="preserve">anguage </w:t>
            </w:r>
            <w:r w:rsidRPr="00FB463B">
              <w:rPr>
                <w:rFonts w:cs="Arial"/>
              </w:rPr>
              <w:t>P</w:t>
            </w:r>
            <w:r w:rsidR="00F672EB" w:rsidRPr="00FB463B">
              <w:rPr>
                <w:rFonts w:cs="Arial"/>
              </w:rPr>
              <w:t>ro</w:t>
            </w:r>
            <w:r w:rsidR="006175CE" w:rsidRPr="00FB463B">
              <w:rPr>
                <w:rFonts w:cs="Arial"/>
              </w:rPr>
              <w:t xml:space="preserve">ficiency </w:t>
            </w:r>
            <w:r w:rsidR="00A06BFE" w:rsidRPr="00FB463B">
              <w:rPr>
                <w:rFonts w:cs="Arial"/>
              </w:rPr>
              <w:t>Assessments</w:t>
            </w:r>
            <w:r w:rsidR="006175CE" w:rsidRPr="00FB463B">
              <w:rPr>
                <w:rFonts w:cs="Arial"/>
              </w:rPr>
              <w:t xml:space="preserve"> for </w:t>
            </w:r>
            <w:r w:rsidRPr="00FB463B">
              <w:rPr>
                <w:rFonts w:cs="Arial"/>
              </w:rPr>
              <w:t>C</w:t>
            </w:r>
            <w:r w:rsidR="006175CE" w:rsidRPr="00FB463B">
              <w:rPr>
                <w:rFonts w:cs="Arial"/>
              </w:rPr>
              <w:t>alifornia (ELPAC)</w:t>
            </w:r>
            <w:r w:rsidRPr="00FB463B">
              <w:rPr>
                <w:rFonts w:cs="Arial"/>
              </w:rPr>
              <w:t xml:space="preserve"> Participation Rate,</w:t>
            </w:r>
          </w:p>
          <w:p w14:paraId="3340BD73" w14:textId="47176257" w:rsidR="00714212" w:rsidRPr="00FB463B" w:rsidRDefault="00714212" w:rsidP="00C237F4">
            <w:pPr>
              <w:pStyle w:val="ListParagraph"/>
              <w:numPr>
                <w:ilvl w:val="0"/>
                <w:numId w:val="7"/>
              </w:numPr>
              <w:rPr>
                <w:rFonts w:cs="Arial"/>
              </w:rPr>
            </w:pPr>
            <w:r w:rsidRPr="00FB463B">
              <w:rPr>
                <w:rFonts w:cs="Arial"/>
              </w:rPr>
              <w:t>Alternate ELPAC Summative</w:t>
            </w:r>
          </w:p>
        </w:tc>
      </w:tr>
      <w:tr w:rsidR="00714212" w:rsidRPr="00FB463B" w14:paraId="492E7889" w14:textId="77777777" w:rsidTr="00714212">
        <w:trPr>
          <w:cantSplit/>
        </w:trPr>
        <w:tc>
          <w:tcPr>
            <w:tcW w:w="976" w:type="pct"/>
            <w:tcBorders>
              <w:top w:val="single" w:sz="4" w:space="0" w:color="auto"/>
              <w:left w:val="single" w:sz="4" w:space="0" w:color="auto"/>
              <w:bottom w:val="single" w:sz="4" w:space="0" w:color="auto"/>
              <w:right w:val="single" w:sz="4" w:space="0" w:color="auto"/>
            </w:tcBorders>
            <w:vAlign w:val="center"/>
          </w:tcPr>
          <w:p w14:paraId="54200FB0" w14:textId="677CF57E" w:rsidR="00714212" w:rsidRPr="00FB463B" w:rsidRDefault="00714212" w:rsidP="009A78FF">
            <w:pPr>
              <w:jc w:val="center"/>
              <w:rPr>
                <w:rFonts w:cs="Arial"/>
              </w:rPr>
            </w:pPr>
            <w:r w:rsidRPr="00FB463B">
              <w:rPr>
                <w:rFonts w:cs="Arial"/>
              </w:rPr>
              <w:t>March 23, 2023</w:t>
            </w:r>
          </w:p>
        </w:tc>
        <w:tc>
          <w:tcPr>
            <w:tcW w:w="1633" w:type="pct"/>
            <w:tcBorders>
              <w:top w:val="single" w:sz="4" w:space="0" w:color="auto"/>
              <w:left w:val="single" w:sz="4" w:space="0" w:color="auto"/>
              <w:bottom w:val="single" w:sz="4" w:space="0" w:color="auto"/>
              <w:right w:val="single" w:sz="4" w:space="0" w:color="auto"/>
            </w:tcBorders>
            <w:vAlign w:val="center"/>
          </w:tcPr>
          <w:p w14:paraId="6D06BA90" w14:textId="12E24D17" w:rsidR="00714212" w:rsidRPr="00FB463B" w:rsidRDefault="00714212" w:rsidP="009A78FF">
            <w:pPr>
              <w:jc w:val="center"/>
              <w:rPr>
                <w:rFonts w:cs="Arial"/>
              </w:rPr>
            </w:pPr>
            <w:r w:rsidRPr="00FB463B">
              <w:rPr>
                <w:rFonts w:cs="Arial"/>
              </w:rPr>
              <w:t>College/Career Indicator (CCI) Workgroup</w:t>
            </w:r>
          </w:p>
        </w:tc>
        <w:tc>
          <w:tcPr>
            <w:tcW w:w="2391" w:type="pct"/>
            <w:tcBorders>
              <w:top w:val="single" w:sz="4" w:space="0" w:color="auto"/>
              <w:left w:val="single" w:sz="4" w:space="0" w:color="auto"/>
              <w:bottom w:val="single" w:sz="4" w:space="0" w:color="auto"/>
              <w:right w:val="single" w:sz="4" w:space="0" w:color="auto"/>
            </w:tcBorders>
            <w:vAlign w:val="center"/>
          </w:tcPr>
          <w:p w14:paraId="12C8A878" w14:textId="6B7E3376" w:rsidR="00714212" w:rsidRPr="00FB463B" w:rsidRDefault="00714212" w:rsidP="00C237F4">
            <w:pPr>
              <w:pStyle w:val="ListParagraph"/>
              <w:numPr>
                <w:ilvl w:val="0"/>
                <w:numId w:val="7"/>
              </w:numPr>
              <w:rPr>
                <w:rFonts w:cs="Arial"/>
              </w:rPr>
            </w:pPr>
            <w:r w:rsidRPr="00FB463B">
              <w:rPr>
                <w:rFonts w:cs="Arial"/>
              </w:rPr>
              <w:t>Review of January 2023 Meeting</w:t>
            </w:r>
          </w:p>
          <w:p w14:paraId="3DEDF80B" w14:textId="229FE76E" w:rsidR="00714212" w:rsidRPr="00FB463B" w:rsidRDefault="00714212" w:rsidP="00C237F4">
            <w:pPr>
              <w:pStyle w:val="ListParagraph"/>
              <w:numPr>
                <w:ilvl w:val="0"/>
                <w:numId w:val="7"/>
              </w:numPr>
              <w:rPr>
                <w:rFonts w:cs="Arial"/>
              </w:rPr>
            </w:pPr>
            <w:r w:rsidRPr="00FB463B">
              <w:rPr>
                <w:rFonts w:cs="Arial"/>
              </w:rPr>
              <w:t>Feedback and Inquiries Received on the CCI</w:t>
            </w:r>
          </w:p>
          <w:p w14:paraId="7C4227C1" w14:textId="26F7B314" w:rsidR="00714212" w:rsidRPr="00FB463B" w:rsidRDefault="00714212" w:rsidP="00C237F4">
            <w:pPr>
              <w:pStyle w:val="ListParagraph"/>
              <w:numPr>
                <w:ilvl w:val="0"/>
                <w:numId w:val="7"/>
              </w:numPr>
              <w:rPr>
                <w:rFonts w:cs="Arial"/>
              </w:rPr>
            </w:pPr>
            <w:r w:rsidRPr="00FB463B">
              <w:rPr>
                <w:rFonts w:cs="Arial"/>
              </w:rPr>
              <w:t>How the CCI is Connected to the Local Control Funding Formula (LCFF),</w:t>
            </w:r>
          </w:p>
          <w:p w14:paraId="6BB63C26" w14:textId="10FC1D63" w:rsidR="00714212" w:rsidRPr="00FB463B" w:rsidRDefault="00714212" w:rsidP="00C237F4">
            <w:pPr>
              <w:pStyle w:val="ListParagraph"/>
              <w:numPr>
                <w:ilvl w:val="0"/>
                <w:numId w:val="7"/>
              </w:numPr>
              <w:rPr>
                <w:rFonts w:cs="Arial"/>
              </w:rPr>
            </w:pPr>
            <w:r w:rsidRPr="00FB463B">
              <w:rPr>
                <w:rFonts w:cs="Arial"/>
              </w:rPr>
              <w:t>Discuss the Future of the CCI and Collecting Feedback and Next Steps</w:t>
            </w:r>
          </w:p>
        </w:tc>
      </w:tr>
      <w:tr w:rsidR="00714212" w:rsidRPr="00FB463B" w14:paraId="52A04C1E" w14:textId="77777777" w:rsidTr="00714212">
        <w:trPr>
          <w:cantSplit/>
          <w:trHeight w:val="836"/>
        </w:trPr>
        <w:tc>
          <w:tcPr>
            <w:tcW w:w="976" w:type="pct"/>
            <w:tcBorders>
              <w:top w:val="single" w:sz="4" w:space="0" w:color="auto"/>
              <w:left w:val="single" w:sz="4" w:space="0" w:color="auto"/>
              <w:bottom w:val="single" w:sz="4" w:space="0" w:color="auto"/>
              <w:right w:val="single" w:sz="4" w:space="0" w:color="auto"/>
            </w:tcBorders>
            <w:vAlign w:val="center"/>
          </w:tcPr>
          <w:p w14:paraId="5AC0E353" w14:textId="4D0D5D8A" w:rsidR="00714212" w:rsidRPr="00FB463B" w:rsidRDefault="00714212" w:rsidP="009A78FF">
            <w:pPr>
              <w:jc w:val="center"/>
              <w:rPr>
                <w:rFonts w:cs="Arial"/>
              </w:rPr>
            </w:pPr>
            <w:r w:rsidRPr="00FB463B">
              <w:rPr>
                <w:rFonts w:cs="Arial"/>
              </w:rPr>
              <w:lastRenderedPageBreak/>
              <w:t>April 20, 2023</w:t>
            </w:r>
          </w:p>
        </w:tc>
        <w:tc>
          <w:tcPr>
            <w:tcW w:w="1633" w:type="pct"/>
            <w:tcBorders>
              <w:top w:val="single" w:sz="4" w:space="0" w:color="auto"/>
              <w:left w:val="single" w:sz="4" w:space="0" w:color="auto"/>
              <w:bottom w:val="single" w:sz="4" w:space="0" w:color="auto"/>
              <w:right w:val="single" w:sz="4" w:space="0" w:color="auto"/>
            </w:tcBorders>
            <w:vAlign w:val="center"/>
          </w:tcPr>
          <w:p w14:paraId="34DDC543" w14:textId="71CB0DD1" w:rsidR="00714212" w:rsidRPr="00FB463B" w:rsidRDefault="00714212" w:rsidP="009A78FF">
            <w:pPr>
              <w:jc w:val="center"/>
              <w:rPr>
                <w:rFonts w:cs="Arial"/>
              </w:rPr>
            </w:pPr>
            <w:r w:rsidRPr="00FB463B">
              <w:rPr>
                <w:rFonts w:cs="Arial"/>
              </w:rPr>
              <w:t>Technical Design Group (TDG)</w:t>
            </w:r>
          </w:p>
        </w:tc>
        <w:tc>
          <w:tcPr>
            <w:tcW w:w="2391" w:type="pct"/>
            <w:tcBorders>
              <w:top w:val="single" w:sz="4" w:space="0" w:color="auto"/>
              <w:left w:val="single" w:sz="4" w:space="0" w:color="auto"/>
              <w:bottom w:val="single" w:sz="4" w:space="0" w:color="auto"/>
              <w:right w:val="single" w:sz="4" w:space="0" w:color="auto"/>
            </w:tcBorders>
            <w:vAlign w:val="center"/>
          </w:tcPr>
          <w:p w14:paraId="466594D0" w14:textId="77777777" w:rsidR="00714212" w:rsidRPr="00FB463B" w:rsidRDefault="00714212" w:rsidP="00C237F4">
            <w:pPr>
              <w:pStyle w:val="ListParagraph"/>
              <w:numPr>
                <w:ilvl w:val="0"/>
                <w:numId w:val="7"/>
              </w:numPr>
              <w:rPr>
                <w:rFonts w:cs="Arial"/>
              </w:rPr>
            </w:pPr>
            <w:r w:rsidRPr="00FB463B">
              <w:rPr>
                <w:rFonts w:cs="Arial"/>
              </w:rPr>
              <w:t>Update on March 2023 State Board of Education (SBE) Meeting</w:t>
            </w:r>
          </w:p>
          <w:p w14:paraId="13A29B36" w14:textId="239E7F1C" w:rsidR="00714212" w:rsidRPr="00FB463B" w:rsidRDefault="00714212" w:rsidP="00C237F4">
            <w:pPr>
              <w:pStyle w:val="ListParagraph"/>
              <w:numPr>
                <w:ilvl w:val="0"/>
                <w:numId w:val="7"/>
              </w:numPr>
              <w:rPr>
                <w:rFonts w:cs="Arial"/>
              </w:rPr>
            </w:pPr>
            <w:r w:rsidRPr="00FB463B">
              <w:rPr>
                <w:rFonts w:cs="Arial"/>
              </w:rPr>
              <w:t>ELPI: Participation Rate and Alt-ELPAC Incorporation</w:t>
            </w:r>
          </w:p>
          <w:p w14:paraId="0ACE5159" w14:textId="77777777" w:rsidR="00714212" w:rsidRPr="00FB463B" w:rsidRDefault="00714212" w:rsidP="00C237F4">
            <w:pPr>
              <w:pStyle w:val="ListParagraph"/>
              <w:numPr>
                <w:ilvl w:val="0"/>
                <w:numId w:val="7"/>
              </w:numPr>
              <w:rPr>
                <w:rFonts w:cs="Arial"/>
              </w:rPr>
            </w:pPr>
            <w:r w:rsidRPr="00FB463B">
              <w:rPr>
                <w:rFonts w:cs="Arial"/>
              </w:rPr>
              <w:t>CCI: Original Intent and Current Direction</w:t>
            </w:r>
          </w:p>
          <w:p w14:paraId="21AE8C6A" w14:textId="0E9275D0" w:rsidR="00714212" w:rsidRPr="00FB463B" w:rsidRDefault="00714212" w:rsidP="00C237F4">
            <w:pPr>
              <w:pStyle w:val="ListParagraph"/>
              <w:numPr>
                <w:ilvl w:val="0"/>
                <w:numId w:val="7"/>
              </w:numPr>
              <w:rPr>
                <w:rFonts w:cs="Arial"/>
              </w:rPr>
            </w:pPr>
            <w:r w:rsidRPr="00FB463B">
              <w:rPr>
                <w:rFonts w:cs="Arial"/>
              </w:rPr>
              <w:t>Educational Testing Service Review of Growth Model Focus Groups</w:t>
            </w:r>
          </w:p>
          <w:p w14:paraId="109C2E13" w14:textId="10A193C4" w:rsidR="00714212" w:rsidRPr="00FB463B" w:rsidRDefault="00714212" w:rsidP="00C237F4">
            <w:pPr>
              <w:pStyle w:val="ListParagraph"/>
              <w:numPr>
                <w:ilvl w:val="0"/>
                <w:numId w:val="7"/>
              </w:numPr>
              <w:rPr>
                <w:rFonts w:cs="Arial"/>
              </w:rPr>
            </w:pPr>
            <w:r w:rsidRPr="00FB463B">
              <w:rPr>
                <w:rFonts w:cs="Arial"/>
              </w:rPr>
              <w:t>Graduation Rate Indicator: Extended-Year Graduation Rate</w:t>
            </w:r>
          </w:p>
        </w:tc>
      </w:tr>
      <w:tr w:rsidR="00714212" w:rsidRPr="00FB463B" w14:paraId="4F71A92D" w14:textId="77777777" w:rsidTr="00714212">
        <w:trPr>
          <w:cantSplit/>
          <w:trHeight w:val="836"/>
        </w:trPr>
        <w:tc>
          <w:tcPr>
            <w:tcW w:w="976" w:type="pct"/>
            <w:tcBorders>
              <w:top w:val="single" w:sz="4" w:space="0" w:color="auto"/>
              <w:left w:val="single" w:sz="4" w:space="0" w:color="auto"/>
              <w:bottom w:val="single" w:sz="4" w:space="0" w:color="auto"/>
              <w:right w:val="single" w:sz="4" w:space="0" w:color="auto"/>
            </w:tcBorders>
            <w:vAlign w:val="center"/>
          </w:tcPr>
          <w:p w14:paraId="1B5D08EB" w14:textId="75D5FE52" w:rsidR="00714212" w:rsidRPr="00FB463B" w:rsidRDefault="00714212" w:rsidP="009A78FF">
            <w:pPr>
              <w:jc w:val="center"/>
              <w:rPr>
                <w:rFonts w:cs="Arial"/>
              </w:rPr>
            </w:pPr>
            <w:r w:rsidRPr="00FB463B">
              <w:rPr>
                <w:rFonts w:cs="Arial"/>
              </w:rPr>
              <w:t>June 6, 2023</w:t>
            </w:r>
          </w:p>
        </w:tc>
        <w:tc>
          <w:tcPr>
            <w:tcW w:w="1633" w:type="pct"/>
            <w:tcBorders>
              <w:top w:val="single" w:sz="4" w:space="0" w:color="auto"/>
              <w:left w:val="single" w:sz="4" w:space="0" w:color="auto"/>
              <w:bottom w:val="single" w:sz="4" w:space="0" w:color="auto"/>
              <w:right w:val="single" w:sz="4" w:space="0" w:color="auto"/>
            </w:tcBorders>
            <w:vAlign w:val="center"/>
          </w:tcPr>
          <w:p w14:paraId="5B2BE162" w14:textId="74CFC4D3" w:rsidR="00714212" w:rsidRPr="00FB463B" w:rsidRDefault="00714212" w:rsidP="009A78FF">
            <w:pPr>
              <w:jc w:val="center"/>
              <w:rPr>
                <w:rFonts w:cs="Arial"/>
              </w:rPr>
            </w:pPr>
            <w:r w:rsidRPr="00FB463B">
              <w:rPr>
                <w:rFonts w:cs="Arial"/>
              </w:rPr>
              <w:t>ELPI Workgroup</w:t>
            </w:r>
          </w:p>
        </w:tc>
        <w:tc>
          <w:tcPr>
            <w:tcW w:w="2391" w:type="pct"/>
            <w:tcBorders>
              <w:top w:val="single" w:sz="4" w:space="0" w:color="auto"/>
              <w:left w:val="single" w:sz="4" w:space="0" w:color="auto"/>
              <w:bottom w:val="single" w:sz="4" w:space="0" w:color="auto"/>
              <w:right w:val="single" w:sz="4" w:space="0" w:color="auto"/>
            </w:tcBorders>
            <w:vAlign w:val="center"/>
          </w:tcPr>
          <w:p w14:paraId="4365479E" w14:textId="77777777" w:rsidR="00714212" w:rsidRPr="00FB463B" w:rsidRDefault="00714212" w:rsidP="00C237F4">
            <w:pPr>
              <w:pStyle w:val="ListParagraph"/>
              <w:numPr>
                <w:ilvl w:val="0"/>
                <w:numId w:val="7"/>
              </w:numPr>
              <w:rPr>
                <w:rFonts w:cs="Arial"/>
              </w:rPr>
            </w:pPr>
            <w:r w:rsidRPr="00FB463B">
              <w:rPr>
                <w:rFonts w:cs="Arial"/>
              </w:rPr>
              <w:t>ELPI Change</w:t>
            </w:r>
          </w:p>
          <w:p w14:paraId="642A8D0A" w14:textId="36786271" w:rsidR="00714212" w:rsidRPr="00FB463B" w:rsidRDefault="00714212" w:rsidP="00C237F4">
            <w:pPr>
              <w:pStyle w:val="ListParagraph"/>
              <w:numPr>
                <w:ilvl w:val="0"/>
                <w:numId w:val="7"/>
              </w:numPr>
              <w:rPr>
                <w:rFonts w:cs="Arial"/>
              </w:rPr>
            </w:pPr>
            <w:r w:rsidRPr="00FB463B">
              <w:rPr>
                <w:rFonts w:cs="Arial"/>
              </w:rPr>
              <w:t>ELPAC Participation Rate</w:t>
            </w:r>
          </w:p>
        </w:tc>
      </w:tr>
      <w:tr w:rsidR="00714212" w:rsidRPr="00FB463B" w14:paraId="24FDD8E8" w14:textId="77777777" w:rsidTr="00714212">
        <w:trPr>
          <w:cantSplit/>
          <w:trHeight w:val="836"/>
        </w:trPr>
        <w:tc>
          <w:tcPr>
            <w:tcW w:w="976" w:type="pct"/>
            <w:tcBorders>
              <w:top w:val="single" w:sz="4" w:space="0" w:color="auto"/>
              <w:left w:val="single" w:sz="4" w:space="0" w:color="auto"/>
              <w:bottom w:val="single" w:sz="4" w:space="0" w:color="auto"/>
              <w:right w:val="single" w:sz="4" w:space="0" w:color="auto"/>
            </w:tcBorders>
            <w:vAlign w:val="center"/>
          </w:tcPr>
          <w:p w14:paraId="7626B033" w14:textId="685197AC" w:rsidR="00714212" w:rsidRPr="00FB463B" w:rsidRDefault="00714212" w:rsidP="009A78FF">
            <w:pPr>
              <w:jc w:val="center"/>
              <w:rPr>
                <w:rFonts w:cs="Arial"/>
              </w:rPr>
            </w:pPr>
            <w:r w:rsidRPr="00FB463B">
              <w:rPr>
                <w:rFonts w:cs="Arial"/>
              </w:rPr>
              <w:t>June 15, 2023</w:t>
            </w:r>
          </w:p>
        </w:tc>
        <w:tc>
          <w:tcPr>
            <w:tcW w:w="1633" w:type="pct"/>
            <w:tcBorders>
              <w:top w:val="single" w:sz="4" w:space="0" w:color="auto"/>
              <w:left w:val="single" w:sz="4" w:space="0" w:color="auto"/>
              <w:bottom w:val="single" w:sz="4" w:space="0" w:color="auto"/>
              <w:right w:val="single" w:sz="4" w:space="0" w:color="auto"/>
            </w:tcBorders>
            <w:vAlign w:val="center"/>
          </w:tcPr>
          <w:p w14:paraId="4542788E" w14:textId="022CE503" w:rsidR="00714212" w:rsidRPr="00FB463B" w:rsidRDefault="00714212" w:rsidP="009A78FF">
            <w:pPr>
              <w:jc w:val="center"/>
              <w:rPr>
                <w:rFonts w:cs="Arial"/>
              </w:rPr>
            </w:pPr>
            <w:r w:rsidRPr="00FB463B">
              <w:rPr>
                <w:rFonts w:cs="Arial"/>
              </w:rPr>
              <w:t>TDG</w:t>
            </w:r>
          </w:p>
        </w:tc>
        <w:tc>
          <w:tcPr>
            <w:tcW w:w="2391" w:type="pct"/>
            <w:tcBorders>
              <w:top w:val="single" w:sz="4" w:space="0" w:color="auto"/>
              <w:left w:val="single" w:sz="4" w:space="0" w:color="auto"/>
              <w:bottom w:val="single" w:sz="4" w:space="0" w:color="auto"/>
              <w:right w:val="single" w:sz="4" w:space="0" w:color="auto"/>
            </w:tcBorders>
            <w:vAlign w:val="center"/>
          </w:tcPr>
          <w:p w14:paraId="4F263C82" w14:textId="77777777" w:rsidR="00714212" w:rsidRPr="00FB463B" w:rsidRDefault="00714212" w:rsidP="00714212">
            <w:pPr>
              <w:pStyle w:val="ListParagraph"/>
              <w:numPr>
                <w:ilvl w:val="0"/>
                <w:numId w:val="21"/>
              </w:numPr>
              <w:rPr>
                <w:rFonts w:cs="Arial"/>
              </w:rPr>
            </w:pPr>
            <w:r w:rsidRPr="00FB463B">
              <w:rPr>
                <w:rFonts w:cs="Arial"/>
              </w:rPr>
              <w:t>2023 California School Dashboard Workplan</w:t>
            </w:r>
          </w:p>
          <w:p w14:paraId="08EC2A96" w14:textId="77777777" w:rsidR="00714212" w:rsidRPr="00FB463B" w:rsidRDefault="00714212" w:rsidP="00C237F4">
            <w:pPr>
              <w:pStyle w:val="ListParagraph"/>
              <w:numPr>
                <w:ilvl w:val="0"/>
                <w:numId w:val="7"/>
              </w:numPr>
              <w:rPr>
                <w:rFonts w:cs="Arial"/>
              </w:rPr>
            </w:pPr>
            <w:r w:rsidRPr="00FB463B">
              <w:rPr>
                <w:rFonts w:cs="Arial"/>
              </w:rPr>
              <w:t>Growth Model</w:t>
            </w:r>
          </w:p>
          <w:p w14:paraId="672A6A6C" w14:textId="07BD3B51" w:rsidR="00714212" w:rsidRPr="00FB463B" w:rsidRDefault="00714212" w:rsidP="00C237F4">
            <w:pPr>
              <w:pStyle w:val="ListParagraph"/>
              <w:numPr>
                <w:ilvl w:val="0"/>
                <w:numId w:val="7"/>
              </w:numPr>
              <w:rPr>
                <w:rFonts w:cs="Arial"/>
              </w:rPr>
            </w:pPr>
            <w:r w:rsidRPr="00FB463B">
              <w:rPr>
                <w:rFonts w:cs="Arial"/>
              </w:rPr>
              <w:t>ELP</w:t>
            </w:r>
            <w:r w:rsidR="00713F8C" w:rsidRPr="00FB463B">
              <w:rPr>
                <w:rFonts w:cs="Arial"/>
              </w:rPr>
              <w:t>I</w:t>
            </w:r>
          </w:p>
          <w:p w14:paraId="008BBF21" w14:textId="77777777" w:rsidR="00714212" w:rsidRPr="00FB463B" w:rsidRDefault="00714212" w:rsidP="00C237F4">
            <w:pPr>
              <w:pStyle w:val="ListParagraph"/>
              <w:numPr>
                <w:ilvl w:val="1"/>
                <w:numId w:val="7"/>
              </w:numPr>
              <w:ind w:left="705"/>
              <w:rPr>
                <w:rFonts w:cs="Arial"/>
              </w:rPr>
            </w:pPr>
            <w:r w:rsidRPr="00FB463B">
              <w:rPr>
                <w:rFonts w:cs="Arial"/>
              </w:rPr>
              <w:t>ELPI Change, ELPAC Participation Rate</w:t>
            </w:r>
          </w:p>
          <w:p w14:paraId="3D883EDD" w14:textId="67BD5090" w:rsidR="00714212" w:rsidRPr="00FB463B" w:rsidRDefault="00714212" w:rsidP="00C237F4">
            <w:pPr>
              <w:pStyle w:val="ListParagraph"/>
              <w:numPr>
                <w:ilvl w:val="0"/>
                <w:numId w:val="7"/>
              </w:numPr>
              <w:rPr>
                <w:rFonts w:cs="Arial"/>
              </w:rPr>
            </w:pPr>
            <w:r w:rsidRPr="00FB463B">
              <w:rPr>
                <w:rFonts w:cs="Arial"/>
              </w:rPr>
              <w:t>Priority 1: Teacher Data and Objective Criteria Discussion</w:t>
            </w:r>
          </w:p>
          <w:p w14:paraId="0605BBAF" w14:textId="7D4DC68D" w:rsidR="00714212" w:rsidRPr="00FB463B" w:rsidRDefault="00714212" w:rsidP="00C237F4">
            <w:pPr>
              <w:pStyle w:val="ListParagraph"/>
              <w:numPr>
                <w:ilvl w:val="0"/>
                <w:numId w:val="7"/>
              </w:numPr>
              <w:rPr>
                <w:rFonts w:cs="Arial"/>
              </w:rPr>
            </w:pPr>
            <w:r w:rsidRPr="00FB463B">
              <w:rPr>
                <w:rFonts w:cs="Arial"/>
              </w:rPr>
              <w:t>CCI: Data Review: Work Based Learning, Internships, Student-Led Enterprise, ASVAB</w:t>
            </w:r>
          </w:p>
        </w:tc>
      </w:tr>
      <w:tr w:rsidR="00714212" w:rsidRPr="00FB463B" w14:paraId="502B6E72" w14:textId="77777777" w:rsidTr="00714212">
        <w:trPr>
          <w:cantSplit/>
          <w:trHeight w:val="836"/>
        </w:trPr>
        <w:tc>
          <w:tcPr>
            <w:tcW w:w="976" w:type="pct"/>
            <w:tcBorders>
              <w:top w:val="single" w:sz="4" w:space="0" w:color="auto"/>
              <w:left w:val="single" w:sz="4" w:space="0" w:color="auto"/>
              <w:bottom w:val="single" w:sz="4" w:space="0" w:color="auto"/>
              <w:right w:val="single" w:sz="4" w:space="0" w:color="auto"/>
            </w:tcBorders>
            <w:vAlign w:val="center"/>
          </w:tcPr>
          <w:p w14:paraId="424F8D82" w14:textId="18DF5E6B" w:rsidR="00714212" w:rsidRPr="00FB463B" w:rsidRDefault="00714212" w:rsidP="009A78FF">
            <w:pPr>
              <w:jc w:val="center"/>
              <w:rPr>
                <w:rFonts w:cs="Arial"/>
              </w:rPr>
            </w:pPr>
            <w:r w:rsidRPr="00FB463B">
              <w:rPr>
                <w:rFonts w:cs="Arial"/>
              </w:rPr>
              <w:lastRenderedPageBreak/>
              <w:t>July 19, 2023</w:t>
            </w:r>
          </w:p>
        </w:tc>
        <w:tc>
          <w:tcPr>
            <w:tcW w:w="1633" w:type="pct"/>
            <w:tcBorders>
              <w:top w:val="single" w:sz="4" w:space="0" w:color="auto"/>
              <w:left w:val="single" w:sz="4" w:space="0" w:color="auto"/>
              <w:bottom w:val="single" w:sz="4" w:space="0" w:color="auto"/>
              <w:right w:val="single" w:sz="4" w:space="0" w:color="auto"/>
            </w:tcBorders>
            <w:vAlign w:val="center"/>
          </w:tcPr>
          <w:p w14:paraId="00F479C4" w14:textId="11E6A514" w:rsidR="00714212" w:rsidRPr="00FB463B" w:rsidRDefault="00714212" w:rsidP="009A78FF">
            <w:pPr>
              <w:jc w:val="center"/>
              <w:rPr>
                <w:rFonts w:cs="Arial"/>
              </w:rPr>
            </w:pPr>
            <w:r w:rsidRPr="00FB463B">
              <w:rPr>
                <w:rFonts w:cs="Arial"/>
              </w:rPr>
              <w:t>CCI Workgroup</w:t>
            </w:r>
          </w:p>
        </w:tc>
        <w:tc>
          <w:tcPr>
            <w:tcW w:w="2391" w:type="pct"/>
            <w:tcBorders>
              <w:top w:val="single" w:sz="4" w:space="0" w:color="auto"/>
              <w:left w:val="single" w:sz="4" w:space="0" w:color="auto"/>
              <w:bottom w:val="single" w:sz="4" w:space="0" w:color="auto"/>
              <w:right w:val="single" w:sz="4" w:space="0" w:color="auto"/>
            </w:tcBorders>
            <w:vAlign w:val="center"/>
          </w:tcPr>
          <w:p w14:paraId="4B52F554" w14:textId="01994202" w:rsidR="00714212" w:rsidRPr="00FB463B" w:rsidRDefault="00714212" w:rsidP="00C237F4">
            <w:pPr>
              <w:pStyle w:val="ListParagraph"/>
              <w:numPr>
                <w:ilvl w:val="0"/>
                <w:numId w:val="7"/>
              </w:numPr>
              <w:rPr>
                <w:rFonts w:cs="Arial"/>
              </w:rPr>
            </w:pPr>
            <w:r w:rsidRPr="00FB463B">
              <w:rPr>
                <w:rFonts w:cs="Arial"/>
              </w:rPr>
              <w:t>Dashboard Update</w:t>
            </w:r>
          </w:p>
          <w:p w14:paraId="6AA1E335" w14:textId="6F860750" w:rsidR="00714212" w:rsidRPr="00FB463B" w:rsidRDefault="00714212" w:rsidP="00C237F4">
            <w:pPr>
              <w:pStyle w:val="ListParagraph"/>
              <w:numPr>
                <w:ilvl w:val="0"/>
                <w:numId w:val="7"/>
              </w:numPr>
              <w:rPr>
                <w:rFonts w:cs="Arial"/>
              </w:rPr>
            </w:pPr>
            <w:r w:rsidRPr="00FB463B">
              <w:rPr>
                <w:rFonts w:cs="Arial"/>
              </w:rPr>
              <w:t xml:space="preserve">Review of Career Technical Education Pathway Data </w:t>
            </w:r>
          </w:p>
          <w:p w14:paraId="39DF8CDB" w14:textId="197D28D1" w:rsidR="00714212" w:rsidRPr="00FB463B" w:rsidRDefault="00714212" w:rsidP="00714212">
            <w:pPr>
              <w:pStyle w:val="ListParagraph"/>
              <w:numPr>
                <w:ilvl w:val="0"/>
                <w:numId w:val="7"/>
              </w:numPr>
              <w:rPr>
                <w:rFonts w:cs="Arial"/>
              </w:rPr>
            </w:pPr>
            <w:r w:rsidRPr="00FB463B">
              <w:rPr>
                <w:rFonts w:cs="Arial"/>
              </w:rPr>
              <w:t>Review and Analysis of Four New Career Measures</w:t>
            </w:r>
          </w:p>
        </w:tc>
      </w:tr>
      <w:tr w:rsidR="00714212" w:rsidRPr="00FB463B" w14:paraId="5945888B" w14:textId="77777777" w:rsidTr="00714212">
        <w:trPr>
          <w:cantSplit/>
          <w:trHeight w:val="836"/>
        </w:trPr>
        <w:tc>
          <w:tcPr>
            <w:tcW w:w="976" w:type="pct"/>
            <w:tcBorders>
              <w:top w:val="single" w:sz="4" w:space="0" w:color="auto"/>
              <w:left w:val="single" w:sz="4" w:space="0" w:color="auto"/>
              <w:bottom w:val="single" w:sz="4" w:space="0" w:color="auto"/>
              <w:right w:val="single" w:sz="4" w:space="0" w:color="auto"/>
            </w:tcBorders>
            <w:vAlign w:val="center"/>
          </w:tcPr>
          <w:p w14:paraId="5164AF6C" w14:textId="41CED971" w:rsidR="00714212" w:rsidRPr="00FB463B" w:rsidRDefault="00714212" w:rsidP="009A78FF">
            <w:pPr>
              <w:jc w:val="center"/>
              <w:rPr>
                <w:rFonts w:cs="Arial"/>
              </w:rPr>
            </w:pPr>
            <w:r w:rsidRPr="00FB463B">
              <w:rPr>
                <w:rFonts w:cs="Arial"/>
              </w:rPr>
              <w:t>August 10, 2023</w:t>
            </w:r>
          </w:p>
        </w:tc>
        <w:tc>
          <w:tcPr>
            <w:tcW w:w="1633" w:type="pct"/>
            <w:tcBorders>
              <w:top w:val="single" w:sz="4" w:space="0" w:color="auto"/>
              <w:left w:val="single" w:sz="4" w:space="0" w:color="auto"/>
              <w:bottom w:val="single" w:sz="4" w:space="0" w:color="auto"/>
              <w:right w:val="single" w:sz="4" w:space="0" w:color="auto"/>
            </w:tcBorders>
            <w:vAlign w:val="center"/>
          </w:tcPr>
          <w:p w14:paraId="1EAAB0FB" w14:textId="0B066637" w:rsidR="00714212" w:rsidRPr="00FB463B" w:rsidRDefault="00714212" w:rsidP="009A78FF">
            <w:pPr>
              <w:jc w:val="center"/>
              <w:rPr>
                <w:rFonts w:cs="Arial"/>
              </w:rPr>
            </w:pPr>
            <w:r w:rsidRPr="00FB463B">
              <w:rPr>
                <w:rFonts w:cs="Arial"/>
              </w:rPr>
              <w:t>T</w:t>
            </w:r>
            <w:r w:rsidR="00713F8C" w:rsidRPr="00FB463B">
              <w:rPr>
                <w:rFonts w:cs="Arial"/>
              </w:rPr>
              <w:t>DG</w:t>
            </w:r>
            <w:r w:rsidRPr="00FB463B">
              <w:rPr>
                <w:rFonts w:cs="Arial"/>
              </w:rPr>
              <w:t xml:space="preserve"> </w:t>
            </w:r>
          </w:p>
        </w:tc>
        <w:tc>
          <w:tcPr>
            <w:tcW w:w="2391" w:type="pct"/>
            <w:tcBorders>
              <w:top w:val="single" w:sz="4" w:space="0" w:color="auto"/>
              <w:left w:val="single" w:sz="4" w:space="0" w:color="auto"/>
              <w:bottom w:val="single" w:sz="4" w:space="0" w:color="auto"/>
              <w:right w:val="single" w:sz="4" w:space="0" w:color="auto"/>
            </w:tcBorders>
            <w:vAlign w:val="center"/>
          </w:tcPr>
          <w:p w14:paraId="36266123" w14:textId="77777777" w:rsidR="000A1B79" w:rsidRPr="00FB463B" w:rsidRDefault="000A1B79" w:rsidP="000A1B79">
            <w:pPr>
              <w:pStyle w:val="ListParagraph"/>
              <w:numPr>
                <w:ilvl w:val="0"/>
                <w:numId w:val="7"/>
              </w:numPr>
              <w:rPr>
                <w:rFonts w:cs="Arial"/>
              </w:rPr>
            </w:pPr>
            <w:r w:rsidRPr="00FB463B">
              <w:rPr>
                <w:rFonts w:cs="Arial"/>
              </w:rPr>
              <w:t>Completion of the ELPI</w:t>
            </w:r>
          </w:p>
          <w:p w14:paraId="79695F71" w14:textId="77777777" w:rsidR="000A1B79" w:rsidRPr="00FB463B" w:rsidRDefault="000A1B79" w:rsidP="000A1B79">
            <w:pPr>
              <w:pStyle w:val="ListParagraph"/>
              <w:numPr>
                <w:ilvl w:val="0"/>
                <w:numId w:val="7"/>
              </w:numPr>
              <w:rPr>
                <w:rFonts w:cs="Arial"/>
              </w:rPr>
            </w:pPr>
            <w:r w:rsidRPr="00FB463B">
              <w:rPr>
                <w:rFonts w:cs="Arial"/>
              </w:rPr>
              <w:t>Change Cut Points</w:t>
            </w:r>
          </w:p>
          <w:p w14:paraId="5A7F692F" w14:textId="77777777" w:rsidR="000A1B79" w:rsidRPr="00FB463B" w:rsidRDefault="000A1B79" w:rsidP="000A1B79">
            <w:pPr>
              <w:pStyle w:val="ListParagraph"/>
              <w:numPr>
                <w:ilvl w:val="0"/>
                <w:numId w:val="7"/>
              </w:numPr>
              <w:rPr>
                <w:rFonts w:cs="Arial"/>
              </w:rPr>
            </w:pPr>
            <w:r w:rsidRPr="00FB463B">
              <w:rPr>
                <w:rFonts w:cs="Arial"/>
              </w:rPr>
              <w:t>Color Scheme for 5x5</w:t>
            </w:r>
          </w:p>
          <w:p w14:paraId="64F32915" w14:textId="77777777" w:rsidR="000A1B79" w:rsidRPr="00FB463B" w:rsidRDefault="000A1B79" w:rsidP="000A1B79">
            <w:pPr>
              <w:pStyle w:val="ListParagraph"/>
              <w:numPr>
                <w:ilvl w:val="0"/>
                <w:numId w:val="7"/>
              </w:numPr>
              <w:rPr>
                <w:rFonts w:cs="Arial"/>
              </w:rPr>
            </w:pPr>
            <w:r w:rsidRPr="00FB463B">
              <w:rPr>
                <w:rFonts w:cs="Arial"/>
              </w:rPr>
              <w:t>Summative Alternate ELPAC Incorporation</w:t>
            </w:r>
          </w:p>
          <w:p w14:paraId="5F7BF1E1" w14:textId="77777777" w:rsidR="000A1B79" w:rsidRPr="00FB463B" w:rsidRDefault="000A1B79" w:rsidP="000A1B79">
            <w:pPr>
              <w:pStyle w:val="ListParagraph"/>
              <w:numPr>
                <w:ilvl w:val="0"/>
                <w:numId w:val="7"/>
              </w:numPr>
              <w:rPr>
                <w:rFonts w:cs="Arial"/>
              </w:rPr>
            </w:pPr>
            <w:r w:rsidRPr="00FB463B">
              <w:rPr>
                <w:rFonts w:cs="Arial"/>
              </w:rPr>
              <w:t xml:space="preserve">Priority 1: Teacher Data </w:t>
            </w:r>
          </w:p>
          <w:p w14:paraId="30FB2A1E" w14:textId="77777777" w:rsidR="000A1B79" w:rsidRPr="00FB463B" w:rsidRDefault="000A1B79" w:rsidP="000A1B79">
            <w:pPr>
              <w:pStyle w:val="ListParagraph"/>
              <w:numPr>
                <w:ilvl w:val="0"/>
                <w:numId w:val="7"/>
              </w:numPr>
              <w:rPr>
                <w:rFonts w:cs="Arial"/>
              </w:rPr>
            </w:pPr>
            <w:r w:rsidRPr="00FB463B">
              <w:rPr>
                <w:rFonts w:cs="Arial"/>
              </w:rPr>
              <w:t>Science Assessments and the Dashboard</w:t>
            </w:r>
          </w:p>
          <w:p w14:paraId="5EED8649" w14:textId="780CB07A" w:rsidR="00714212" w:rsidRPr="00FB463B" w:rsidRDefault="000A1B79" w:rsidP="000A1B79">
            <w:pPr>
              <w:pStyle w:val="ListParagraph"/>
              <w:numPr>
                <w:ilvl w:val="0"/>
                <w:numId w:val="7"/>
              </w:numPr>
              <w:rPr>
                <w:rFonts w:cs="Arial"/>
              </w:rPr>
            </w:pPr>
            <w:r w:rsidRPr="00FB463B">
              <w:rPr>
                <w:rFonts w:cs="Arial"/>
              </w:rPr>
              <w:t>Updating Change Language: Percent vs Percentage Points</w:t>
            </w:r>
          </w:p>
        </w:tc>
      </w:tr>
      <w:tr w:rsidR="00714212" w:rsidRPr="00FB463B" w14:paraId="0B6A94E5" w14:textId="77777777" w:rsidTr="00714212">
        <w:trPr>
          <w:cantSplit/>
          <w:trHeight w:val="656"/>
        </w:trPr>
        <w:tc>
          <w:tcPr>
            <w:tcW w:w="976" w:type="pct"/>
            <w:tcBorders>
              <w:top w:val="single" w:sz="4" w:space="0" w:color="auto"/>
              <w:left w:val="single" w:sz="4" w:space="0" w:color="auto"/>
              <w:bottom w:val="single" w:sz="4" w:space="0" w:color="auto"/>
              <w:right w:val="single" w:sz="4" w:space="0" w:color="auto"/>
            </w:tcBorders>
            <w:vAlign w:val="center"/>
          </w:tcPr>
          <w:p w14:paraId="720A1B33" w14:textId="6A9D432D" w:rsidR="00714212" w:rsidRPr="00FB463B" w:rsidRDefault="00714212" w:rsidP="009A78FF">
            <w:pPr>
              <w:jc w:val="center"/>
              <w:rPr>
                <w:rFonts w:cs="Arial"/>
              </w:rPr>
            </w:pPr>
            <w:r w:rsidRPr="00FB463B">
              <w:rPr>
                <w:rFonts w:cs="Arial"/>
              </w:rPr>
              <w:t>August 15, 2023</w:t>
            </w:r>
          </w:p>
        </w:tc>
        <w:tc>
          <w:tcPr>
            <w:tcW w:w="1633" w:type="pct"/>
            <w:tcBorders>
              <w:top w:val="single" w:sz="4" w:space="0" w:color="auto"/>
              <w:left w:val="single" w:sz="4" w:space="0" w:color="auto"/>
              <w:bottom w:val="single" w:sz="4" w:space="0" w:color="auto"/>
              <w:right w:val="single" w:sz="4" w:space="0" w:color="auto"/>
            </w:tcBorders>
            <w:vAlign w:val="center"/>
          </w:tcPr>
          <w:p w14:paraId="08C25A2F" w14:textId="254C3956" w:rsidR="00714212" w:rsidRPr="00FB463B" w:rsidRDefault="00714212" w:rsidP="009A78FF">
            <w:pPr>
              <w:jc w:val="center"/>
              <w:rPr>
                <w:rFonts w:cs="Arial"/>
              </w:rPr>
            </w:pPr>
            <w:r w:rsidRPr="00FB463B">
              <w:rPr>
                <w:rFonts w:cs="Arial"/>
              </w:rPr>
              <w:t>ELPI Workgroup</w:t>
            </w:r>
          </w:p>
        </w:tc>
        <w:tc>
          <w:tcPr>
            <w:tcW w:w="2391" w:type="pct"/>
            <w:tcBorders>
              <w:top w:val="single" w:sz="4" w:space="0" w:color="auto"/>
              <w:left w:val="single" w:sz="4" w:space="0" w:color="auto"/>
              <w:bottom w:val="single" w:sz="4" w:space="0" w:color="auto"/>
              <w:right w:val="single" w:sz="4" w:space="0" w:color="auto"/>
            </w:tcBorders>
            <w:vAlign w:val="center"/>
          </w:tcPr>
          <w:p w14:paraId="23B2D923" w14:textId="77777777" w:rsidR="000B3FB7" w:rsidRPr="00FB463B" w:rsidRDefault="000B3FB7" w:rsidP="000B3FB7">
            <w:pPr>
              <w:pStyle w:val="ListParagraph"/>
              <w:numPr>
                <w:ilvl w:val="0"/>
                <w:numId w:val="7"/>
              </w:numPr>
              <w:rPr>
                <w:rFonts w:cs="Arial"/>
              </w:rPr>
            </w:pPr>
            <w:r w:rsidRPr="00FB463B">
              <w:rPr>
                <w:rFonts w:cs="Arial"/>
              </w:rPr>
              <w:t>Completion of the ELPI</w:t>
            </w:r>
          </w:p>
          <w:p w14:paraId="1F40D6B4" w14:textId="77777777" w:rsidR="000B3FB7" w:rsidRPr="00FB463B" w:rsidRDefault="000B3FB7" w:rsidP="000B3FB7">
            <w:pPr>
              <w:pStyle w:val="ListParagraph"/>
              <w:numPr>
                <w:ilvl w:val="1"/>
                <w:numId w:val="7"/>
              </w:numPr>
              <w:rPr>
                <w:rFonts w:cs="Arial"/>
              </w:rPr>
            </w:pPr>
            <w:r w:rsidRPr="00FB463B">
              <w:rPr>
                <w:rFonts w:cs="Arial"/>
              </w:rPr>
              <w:t>Change Cut Points</w:t>
            </w:r>
          </w:p>
          <w:p w14:paraId="157979B5" w14:textId="77777777" w:rsidR="000B3FB7" w:rsidRPr="00FB463B" w:rsidRDefault="000B3FB7" w:rsidP="000B3FB7">
            <w:pPr>
              <w:pStyle w:val="ListParagraph"/>
              <w:numPr>
                <w:ilvl w:val="1"/>
                <w:numId w:val="7"/>
              </w:numPr>
              <w:rPr>
                <w:rFonts w:cs="Arial"/>
              </w:rPr>
            </w:pPr>
            <w:r w:rsidRPr="00FB463B">
              <w:rPr>
                <w:rFonts w:cs="Arial"/>
              </w:rPr>
              <w:t>Color Scheme for 5x5</w:t>
            </w:r>
          </w:p>
          <w:p w14:paraId="61B22CB9" w14:textId="75C3B656" w:rsidR="00714212" w:rsidRPr="00FB463B" w:rsidRDefault="000B3FB7" w:rsidP="000B3FB7">
            <w:pPr>
              <w:pStyle w:val="ListParagraph"/>
              <w:numPr>
                <w:ilvl w:val="1"/>
                <w:numId w:val="7"/>
              </w:numPr>
              <w:rPr>
                <w:rFonts w:cs="Arial"/>
              </w:rPr>
            </w:pPr>
            <w:r w:rsidRPr="00FB463B">
              <w:rPr>
                <w:rFonts w:cs="Arial"/>
              </w:rPr>
              <w:t>Summative Alternate ELPAC Incorporation</w:t>
            </w:r>
          </w:p>
        </w:tc>
      </w:tr>
      <w:tr w:rsidR="00714212" w:rsidRPr="00FB463B" w14:paraId="53B108BE" w14:textId="77777777" w:rsidTr="00714212">
        <w:trPr>
          <w:cantSplit/>
          <w:trHeight w:val="656"/>
        </w:trPr>
        <w:tc>
          <w:tcPr>
            <w:tcW w:w="976" w:type="pct"/>
            <w:tcBorders>
              <w:top w:val="single" w:sz="4" w:space="0" w:color="auto"/>
              <w:left w:val="single" w:sz="4" w:space="0" w:color="auto"/>
              <w:bottom w:val="single" w:sz="4" w:space="0" w:color="auto"/>
              <w:right w:val="single" w:sz="4" w:space="0" w:color="auto"/>
            </w:tcBorders>
            <w:vAlign w:val="center"/>
          </w:tcPr>
          <w:p w14:paraId="302B115C" w14:textId="0757CC62" w:rsidR="00714212" w:rsidRPr="00FB463B" w:rsidRDefault="00714212" w:rsidP="009A78FF">
            <w:pPr>
              <w:jc w:val="center"/>
              <w:rPr>
                <w:rFonts w:cs="Arial"/>
              </w:rPr>
            </w:pPr>
            <w:r w:rsidRPr="00FB463B">
              <w:rPr>
                <w:rFonts w:cs="Arial"/>
              </w:rPr>
              <w:lastRenderedPageBreak/>
              <w:t>August 25, 2023</w:t>
            </w:r>
          </w:p>
        </w:tc>
        <w:tc>
          <w:tcPr>
            <w:tcW w:w="1633" w:type="pct"/>
            <w:tcBorders>
              <w:top w:val="single" w:sz="4" w:space="0" w:color="auto"/>
              <w:left w:val="single" w:sz="4" w:space="0" w:color="auto"/>
              <w:bottom w:val="single" w:sz="4" w:space="0" w:color="auto"/>
              <w:right w:val="single" w:sz="4" w:space="0" w:color="auto"/>
            </w:tcBorders>
            <w:vAlign w:val="center"/>
          </w:tcPr>
          <w:p w14:paraId="7F45B429" w14:textId="0D778521" w:rsidR="00714212" w:rsidRPr="00FB463B" w:rsidRDefault="00714212" w:rsidP="009A78FF">
            <w:pPr>
              <w:jc w:val="center"/>
              <w:rPr>
                <w:rFonts w:cs="Arial"/>
              </w:rPr>
            </w:pPr>
            <w:r w:rsidRPr="00FB463B">
              <w:rPr>
                <w:rFonts w:cs="Arial"/>
              </w:rPr>
              <w:t>CPAG</w:t>
            </w:r>
          </w:p>
        </w:tc>
        <w:tc>
          <w:tcPr>
            <w:tcW w:w="2391" w:type="pct"/>
            <w:tcBorders>
              <w:top w:val="single" w:sz="4" w:space="0" w:color="auto"/>
              <w:left w:val="single" w:sz="4" w:space="0" w:color="auto"/>
              <w:bottom w:val="single" w:sz="4" w:space="0" w:color="auto"/>
              <w:right w:val="single" w:sz="4" w:space="0" w:color="auto"/>
            </w:tcBorders>
            <w:vAlign w:val="center"/>
          </w:tcPr>
          <w:p w14:paraId="3D899B79" w14:textId="2A5169E7" w:rsidR="00714212" w:rsidRPr="00FB463B" w:rsidRDefault="0022352F" w:rsidP="00C237F4">
            <w:pPr>
              <w:pStyle w:val="ListParagraph"/>
              <w:numPr>
                <w:ilvl w:val="0"/>
                <w:numId w:val="7"/>
              </w:numPr>
              <w:rPr>
                <w:rFonts w:cs="Arial"/>
              </w:rPr>
            </w:pPr>
            <w:r w:rsidRPr="00FB463B">
              <w:rPr>
                <w:rFonts w:cs="Arial"/>
              </w:rPr>
              <w:t>CC</w:t>
            </w:r>
            <w:r w:rsidR="00DD3B8B" w:rsidRPr="00FB463B">
              <w:rPr>
                <w:rFonts w:cs="Arial"/>
              </w:rPr>
              <w:t>I</w:t>
            </w:r>
          </w:p>
          <w:p w14:paraId="618924D6" w14:textId="6F16EDB0" w:rsidR="0022352F" w:rsidRPr="00FB463B" w:rsidRDefault="00DD3B8B" w:rsidP="00C237F4">
            <w:pPr>
              <w:pStyle w:val="ListParagraph"/>
              <w:numPr>
                <w:ilvl w:val="0"/>
                <w:numId w:val="7"/>
              </w:numPr>
              <w:rPr>
                <w:rFonts w:cs="Arial"/>
              </w:rPr>
            </w:pPr>
            <w:r w:rsidRPr="00FB463B">
              <w:rPr>
                <w:rFonts w:cs="Arial"/>
              </w:rPr>
              <w:t>Graduation Rate Indicator</w:t>
            </w:r>
          </w:p>
          <w:p w14:paraId="3A9E6B3A" w14:textId="77777777" w:rsidR="00DD3B8B" w:rsidRPr="00FB463B" w:rsidRDefault="00DD3B8B" w:rsidP="00C237F4">
            <w:pPr>
              <w:pStyle w:val="ListParagraph"/>
              <w:numPr>
                <w:ilvl w:val="0"/>
                <w:numId w:val="7"/>
              </w:numPr>
              <w:rPr>
                <w:rFonts w:cs="Arial"/>
              </w:rPr>
            </w:pPr>
            <w:r w:rsidRPr="00FB463B">
              <w:rPr>
                <w:rFonts w:cs="Arial"/>
              </w:rPr>
              <w:t xml:space="preserve">Chronic Absenteeism and </w:t>
            </w:r>
            <w:proofErr w:type="spellStart"/>
            <w:r w:rsidRPr="00FB463B">
              <w:rPr>
                <w:rFonts w:cs="Arial"/>
              </w:rPr>
              <w:t>DataQuest</w:t>
            </w:r>
            <w:proofErr w:type="spellEnd"/>
          </w:p>
          <w:p w14:paraId="0B6BBA94" w14:textId="77777777" w:rsidR="00DD3B8B" w:rsidRPr="00FB463B" w:rsidRDefault="009D42CD" w:rsidP="00C237F4">
            <w:pPr>
              <w:pStyle w:val="ListParagraph"/>
              <w:numPr>
                <w:ilvl w:val="0"/>
                <w:numId w:val="7"/>
              </w:numPr>
              <w:rPr>
                <w:rFonts w:cs="Arial"/>
              </w:rPr>
            </w:pPr>
            <w:r w:rsidRPr="00FB463B">
              <w:rPr>
                <w:rFonts w:cs="Arial"/>
              </w:rPr>
              <w:t>Student Level Growth Model</w:t>
            </w:r>
          </w:p>
          <w:p w14:paraId="29FAAC67" w14:textId="77777777" w:rsidR="009D42CD" w:rsidRPr="00FB463B" w:rsidRDefault="009D42CD" w:rsidP="00C237F4">
            <w:pPr>
              <w:pStyle w:val="ListParagraph"/>
              <w:numPr>
                <w:ilvl w:val="0"/>
                <w:numId w:val="7"/>
              </w:numPr>
              <w:rPr>
                <w:rFonts w:cs="Arial"/>
              </w:rPr>
            </w:pPr>
            <w:r w:rsidRPr="00FB463B">
              <w:rPr>
                <w:rFonts w:cs="Arial"/>
              </w:rPr>
              <w:t>Completion of the ELPI</w:t>
            </w:r>
          </w:p>
          <w:p w14:paraId="0A8A11B8" w14:textId="77777777" w:rsidR="009D42CD" w:rsidRPr="00FB463B" w:rsidRDefault="009D42CD" w:rsidP="00C237F4">
            <w:pPr>
              <w:pStyle w:val="ListParagraph"/>
              <w:numPr>
                <w:ilvl w:val="0"/>
                <w:numId w:val="7"/>
              </w:numPr>
              <w:rPr>
                <w:rFonts w:cs="Arial"/>
              </w:rPr>
            </w:pPr>
            <w:r w:rsidRPr="00FB463B">
              <w:rPr>
                <w:rFonts w:cs="Arial"/>
              </w:rPr>
              <w:t>Aligning the Dashboard with Additional Data</w:t>
            </w:r>
          </w:p>
          <w:p w14:paraId="5EF60893" w14:textId="77777777" w:rsidR="009D42CD" w:rsidRPr="00FB463B" w:rsidRDefault="009D42CD" w:rsidP="00C237F4">
            <w:pPr>
              <w:pStyle w:val="ListParagraph"/>
              <w:numPr>
                <w:ilvl w:val="0"/>
                <w:numId w:val="7"/>
              </w:numPr>
              <w:rPr>
                <w:rFonts w:cs="Arial"/>
              </w:rPr>
            </w:pPr>
            <w:r w:rsidRPr="00FB463B">
              <w:rPr>
                <w:rFonts w:cs="Arial"/>
              </w:rPr>
              <w:t>Address Data Quality and Participation Issues in a Unifor</w:t>
            </w:r>
            <w:r w:rsidR="003B1747" w:rsidRPr="00FB463B">
              <w:rPr>
                <w:rFonts w:cs="Arial"/>
              </w:rPr>
              <w:t xml:space="preserve">m Way </w:t>
            </w:r>
            <w:r w:rsidR="00071350" w:rsidRPr="00FB463B">
              <w:rPr>
                <w:rFonts w:cs="Arial"/>
              </w:rPr>
              <w:t>throughout the Dashboard</w:t>
            </w:r>
          </w:p>
          <w:p w14:paraId="763E6B8D" w14:textId="13B80521" w:rsidR="00071350" w:rsidRPr="00FB463B" w:rsidRDefault="00071350" w:rsidP="00C237F4">
            <w:pPr>
              <w:pStyle w:val="ListParagraph"/>
              <w:numPr>
                <w:ilvl w:val="0"/>
                <w:numId w:val="7"/>
              </w:numPr>
              <w:rPr>
                <w:rFonts w:cs="Arial"/>
              </w:rPr>
            </w:pPr>
            <w:r w:rsidRPr="00FB463B">
              <w:rPr>
                <w:rFonts w:cs="Arial"/>
              </w:rPr>
              <w:t>Differentiated Assistance Criteria for 2023</w:t>
            </w:r>
          </w:p>
        </w:tc>
      </w:tr>
    </w:tbl>
    <w:p w14:paraId="155244F3" w14:textId="77777777" w:rsidR="00D13BDE" w:rsidRPr="00FB463B" w:rsidRDefault="00D13BDE" w:rsidP="005D31EE">
      <w:pPr>
        <w:spacing w:after="240"/>
        <w:rPr>
          <w:b/>
        </w:rPr>
      </w:pPr>
    </w:p>
    <w:p w14:paraId="54B37D5B" w14:textId="77777777" w:rsidR="001D53E0" w:rsidRPr="00FB463B" w:rsidRDefault="001D53E0" w:rsidP="002A363B">
      <w:pPr>
        <w:pStyle w:val="Heading3"/>
      </w:pPr>
      <w:r w:rsidRPr="00FB463B">
        <w:t>Table 2: Presentations at In-person Meetings/Conferences</w:t>
      </w:r>
    </w:p>
    <w:tbl>
      <w:tblPr>
        <w:tblStyle w:val="TableGrid"/>
        <w:tblW w:w="5000" w:type="pct"/>
        <w:tblLayout w:type="fixed"/>
        <w:tblLook w:val="04A0" w:firstRow="1" w:lastRow="0" w:firstColumn="1" w:lastColumn="0" w:noHBand="0" w:noVBand="1"/>
        <w:tblCaption w:val="Table 2. In-person Meetings/Conferences"/>
        <w:tblDescription w:val="This table shows what topics were covered during In-person Meetings/Conferences."/>
      </w:tblPr>
      <w:tblGrid>
        <w:gridCol w:w="2424"/>
        <w:gridCol w:w="3054"/>
        <w:gridCol w:w="1888"/>
        <w:gridCol w:w="5584"/>
      </w:tblGrid>
      <w:tr w:rsidR="001D53E0" w:rsidRPr="00FB463B" w14:paraId="3809F2AB" w14:textId="77777777" w:rsidTr="009A78FF">
        <w:trPr>
          <w:cantSplit/>
          <w:tblHeader/>
        </w:trPr>
        <w:tc>
          <w:tcPr>
            <w:tcW w:w="9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4DCDD36" w14:textId="77777777" w:rsidR="001D53E0" w:rsidRPr="00FB463B" w:rsidRDefault="001D53E0" w:rsidP="009A78FF">
            <w:pPr>
              <w:jc w:val="center"/>
              <w:rPr>
                <w:rFonts w:cs="Arial"/>
                <w:b/>
              </w:rPr>
            </w:pPr>
            <w:r w:rsidRPr="00FB463B">
              <w:rPr>
                <w:rFonts w:cs="Arial"/>
                <w:b/>
              </w:rPr>
              <w:t>Date</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1F093B" w14:textId="77777777" w:rsidR="001D53E0" w:rsidRPr="00FB463B" w:rsidRDefault="001D53E0" w:rsidP="009A78FF">
            <w:pPr>
              <w:jc w:val="center"/>
              <w:rPr>
                <w:rFonts w:cs="Arial"/>
                <w:b/>
              </w:rPr>
            </w:pPr>
            <w:r w:rsidRPr="00FB463B">
              <w:rPr>
                <w:rFonts w:cs="Arial"/>
                <w:b/>
              </w:rPr>
              <w:t>Title</w:t>
            </w:r>
          </w:p>
        </w:tc>
        <w:tc>
          <w:tcPr>
            <w:tcW w:w="7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B1E124" w14:textId="77777777" w:rsidR="001D53E0" w:rsidRPr="00FB463B" w:rsidRDefault="001D53E0" w:rsidP="009A78FF">
            <w:pPr>
              <w:jc w:val="center"/>
              <w:rPr>
                <w:rFonts w:cs="Arial"/>
                <w:b/>
              </w:rPr>
            </w:pPr>
            <w:r w:rsidRPr="00FB463B">
              <w:rPr>
                <w:rFonts w:cs="Arial"/>
                <w:b/>
              </w:rPr>
              <w:t>Estimated Number of Attendees</w:t>
            </w:r>
          </w:p>
        </w:tc>
        <w:tc>
          <w:tcPr>
            <w:tcW w:w="21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171192" w14:textId="77777777" w:rsidR="001D53E0" w:rsidRPr="00FB463B" w:rsidRDefault="001D53E0" w:rsidP="009A78FF">
            <w:pPr>
              <w:jc w:val="center"/>
              <w:rPr>
                <w:rFonts w:cs="Arial"/>
                <w:b/>
              </w:rPr>
            </w:pPr>
            <w:r w:rsidRPr="00FB463B">
              <w:rPr>
                <w:rFonts w:cs="Arial"/>
                <w:b/>
              </w:rPr>
              <w:t>Topics</w:t>
            </w:r>
          </w:p>
        </w:tc>
      </w:tr>
      <w:tr w:rsidR="001D53E0" w:rsidRPr="00FB463B" w14:paraId="60CBF6B8"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70AF61C9" w14:textId="58FDFAE7" w:rsidR="001D53E0" w:rsidRPr="00FB463B" w:rsidRDefault="00824D98" w:rsidP="009A78FF">
            <w:pPr>
              <w:jc w:val="center"/>
              <w:rPr>
                <w:rFonts w:cs="Arial"/>
              </w:rPr>
            </w:pPr>
            <w:r w:rsidRPr="00FB463B">
              <w:rPr>
                <w:rFonts w:cs="Arial"/>
              </w:rPr>
              <w:t>March 15, 2023</w:t>
            </w:r>
          </w:p>
        </w:tc>
        <w:tc>
          <w:tcPr>
            <w:tcW w:w="1179" w:type="pct"/>
            <w:tcBorders>
              <w:top w:val="single" w:sz="4" w:space="0" w:color="auto"/>
              <w:left w:val="single" w:sz="4" w:space="0" w:color="auto"/>
              <w:bottom w:val="single" w:sz="4" w:space="0" w:color="auto"/>
              <w:right w:val="single" w:sz="4" w:space="0" w:color="auto"/>
            </w:tcBorders>
            <w:vAlign w:val="center"/>
          </w:tcPr>
          <w:p w14:paraId="134749CB" w14:textId="15857562" w:rsidR="001D53E0" w:rsidRPr="00FB463B" w:rsidRDefault="00E50025" w:rsidP="009A78FF">
            <w:pPr>
              <w:jc w:val="center"/>
              <w:rPr>
                <w:rFonts w:cs="Arial"/>
              </w:rPr>
            </w:pPr>
            <w:r w:rsidRPr="00FB463B">
              <w:rPr>
                <w:rFonts w:cs="Arial"/>
              </w:rPr>
              <w:t>Regional Assessment Network</w:t>
            </w:r>
            <w:r w:rsidR="003D7315" w:rsidRPr="00FB463B">
              <w:rPr>
                <w:rFonts w:cs="Arial"/>
              </w:rPr>
              <w:t xml:space="preserve"> (RAN)</w:t>
            </w:r>
          </w:p>
        </w:tc>
        <w:tc>
          <w:tcPr>
            <w:tcW w:w="729" w:type="pct"/>
            <w:tcBorders>
              <w:top w:val="single" w:sz="4" w:space="0" w:color="auto"/>
              <w:left w:val="single" w:sz="4" w:space="0" w:color="auto"/>
              <w:bottom w:val="single" w:sz="4" w:space="0" w:color="auto"/>
              <w:right w:val="single" w:sz="4" w:space="0" w:color="auto"/>
            </w:tcBorders>
            <w:vAlign w:val="center"/>
          </w:tcPr>
          <w:p w14:paraId="30E6A845" w14:textId="71F2DC45" w:rsidR="001D53E0" w:rsidRPr="00FB463B" w:rsidRDefault="00824D98" w:rsidP="009A78FF">
            <w:pPr>
              <w:jc w:val="center"/>
              <w:rPr>
                <w:rFonts w:eastAsiaTheme="minorEastAsia" w:cs="Arial"/>
              </w:rPr>
            </w:pPr>
            <w:r w:rsidRPr="00FB463B">
              <w:rPr>
                <w:rFonts w:eastAsiaTheme="minorEastAsia"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42A8E49F" w14:textId="1EA479D2" w:rsidR="00DF44BB" w:rsidRPr="00FB463B" w:rsidRDefault="00DF44BB" w:rsidP="00C237F4">
            <w:pPr>
              <w:pStyle w:val="ListParagraph"/>
              <w:numPr>
                <w:ilvl w:val="0"/>
                <w:numId w:val="12"/>
              </w:numPr>
              <w:rPr>
                <w:rFonts w:eastAsiaTheme="minorHAnsi" w:cs="Arial"/>
              </w:rPr>
            </w:pPr>
            <w:r w:rsidRPr="00FB463B">
              <w:rPr>
                <w:rFonts w:eastAsiaTheme="minorHAnsi" w:cs="Arial"/>
              </w:rPr>
              <w:t>Review of SBE March 2023 actions,</w:t>
            </w:r>
          </w:p>
          <w:p w14:paraId="3A40BE29" w14:textId="645775AF" w:rsidR="00EC3168" w:rsidRPr="00FB463B" w:rsidRDefault="00DF44BB" w:rsidP="00C237F4">
            <w:pPr>
              <w:pStyle w:val="ListParagraph"/>
              <w:numPr>
                <w:ilvl w:val="0"/>
                <w:numId w:val="12"/>
              </w:numPr>
              <w:rPr>
                <w:rFonts w:eastAsiaTheme="minorHAnsi" w:cs="Arial"/>
              </w:rPr>
            </w:pPr>
            <w:r w:rsidRPr="00FB463B">
              <w:rPr>
                <w:rFonts w:eastAsiaTheme="minorHAnsi" w:cs="Arial"/>
              </w:rPr>
              <w:t>Feedback on 2022 Dashboard Toolkit</w:t>
            </w:r>
          </w:p>
        </w:tc>
      </w:tr>
      <w:tr w:rsidR="00EC3168" w:rsidRPr="00FB463B" w14:paraId="7DB1D961"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466EDF63" w14:textId="318E8675" w:rsidR="00EC3168" w:rsidRPr="00FB463B" w:rsidRDefault="007938A9" w:rsidP="009A78FF">
            <w:pPr>
              <w:jc w:val="center"/>
              <w:rPr>
                <w:rFonts w:cs="Arial"/>
              </w:rPr>
            </w:pPr>
            <w:r w:rsidRPr="00FB463B">
              <w:rPr>
                <w:rFonts w:cs="Arial"/>
              </w:rPr>
              <w:lastRenderedPageBreak/>
              <w:t>March 16, 2023</w:t>
            </w:r>
          </w:p>
        </w:tc>
        <w:tc>
          <w:tcPr>
            <w:tcW w:w="1179" w:type="pct"/>
            <w:tcBorders>
              <w:top w:val="single" w:sz="4" w:space="0" w:color="auto"/>
              <w:left w:val="single" w:sz="4" w:space="0" w:color="auto"/>
              <w:bottom w:val="single" w:sz="4" w:space="0" w:color="auto"/>
              <w:right w:val="single" w:sz="4" w:space="0" w:color="auto"/>
            </w:tcBorders>
            <w:vAlign w:val="center"/>
          </w:tcPr>
          <w:p w14:paraId="267CA6E4" w14:textId="21D71520" w:rsidR="006B588F" w:rsidRPr="00FB463B" w:rsidRDefault="000328A4" w:rsidP="009A78FF">
            <w:pPr>
              <w:jc w:val="center"/>
              <w:rPr>
                <w:rFonts w:cs="Arial"/>
              </w:rPr>
            </w:pPr>
            <w:r w:rsidRPr="00FB463B">
              <w:rPr>
                <w:rFonts w:cs="Arial"/>
              </w:rPr>
              <w:t>California County Superintendents - Curriculum and Instruction Steering Committee</w:t>
            </w:r>
            <w:r w:rsidR="00DB65C2" w:rsidRPr="00FB463B">
              <w:rPr>
                <w:rFonts w:cs="Arial"/>
              </w:rPr>
              <w:t xml:space="preserve"> (CISC)</w:t>
            </w:r>
          </w:p>
        </w:tc>
        <w:tc>
          <w:tcPr>
            <w:tcW w:w="729" w:type="pct"/>
            <w:tcBorders>
              <w:top w:val="single" w:sz="4" w:space="0" w:color="auto"/>
              <w:left w:val="single" w:sz="4" w:space="0" w:color="auto"/>
              <w:bottom w:val="single" w:sz="4" w:space="0" w:color="auto"/>
              <w:right w:val="single" w:sz="4" w:space="0" w:color="auto"/>
            </w:tcBorders>
            <w:vAlign w:val="center"/>
          </w:tcPr>
          <w:p w14:paraId="171B4F13" w14:textId="6C149E7D" w:rsidR="00EC3168" w:rsidRPr="00FB463B" w:rsidRDefault="00A35D55" w:rsidP="009A78FF">
            <w:pPr>
              <w:jc w:val="center"/>
              <w:rPr>
                <w:rFonts w:eastAsiaTheme="minorEastAsia" w:cs="Arial"/>
              </w:rPr>
            </w:pPr>
            <w:r w:rsidRPr="00FB463B">
              <w:rPr>
                <w:rFonts w:eastAsiaTheme="minorEastAsia" w:cs="Arial"/>
              </w:rPr>
              <w:t>100</w:t>
            </w:r>
          </w:p>
        </w:tc>
        <w:tc>
          <w:tcPr>
            <w:tcW w:w="2156" w:type="pct"/>
            <w:tcBorders>
              <w:top w:val="single" w:sz="4" w:space="0" w:color="auto"/>
              <w:left w:val="single" w:sz="4" w:space="0" w:color="auto"/>
              <w:bottom w:val="single" w:sz="4" w:space="0" w:color="auto"/>
              <w:right w:val="single" w:sz="4" w:space="0" w:color="auto"/>
            </w:tcBorders>
            <w:vAlign w:val="center"/>
          </w:tcPr>
          <w:p w14:paraId="22B6509C" w14:textId="0B0651D6" w:rsidR="00A35D55" w:rsidRPr="00FB463B" w:rsidRDefault="00A35D55" w:rsidP="00C237F4">
            <w:pPr>
              <w:pStyle w:val="ListParagraph"/>
              <w:numPr>
                <w:ilvl w:val="0"/>
                <w:numId w:val="7"/>
              </w:numPr>
              <w:rPr>
                <w:rFonts w:cs="Arial"/>
                <w:color w:val="000000" w:themeColor="text1"/>
              </w:rPr>
            </w:pPr>
            <w:r w:rsidRPr="00FB463B">
              <w:rPr>
                <w:rFonts w:cs="Arial"/>
                <w:color w:val="000000" w:themeColor="text1"/>
              </w:rPr>
              <w:t>Review of SBE March 2023 actions</w:t>
            </w:r>
          </w:p>
          <w:p w14:paraId="0DB54201" w14:textId="61625D89" w:rsidR="00EC3168" w:rsidRPr="00FB463B" w:rsidRDefault="00A35D55" w:rsidP="00C237F4">
            <w:pPr>
              <w:pStyle w:val="ListParagraph"/>
              <w:numPr>
                <w:ilvl w:val="0"/>
                <w:numId w:val="7"/>
              </w:numPr>
              <w:rPr>
                <w:rFonts w:cs="Arial"/>
                <w:color w:val="000000" w:themeColor="text1"/>
              </w:rPr>
            </w:pPr>
            <w:r w:rsidRPr="00FB463B">
              <w:rPr>
                <w:rFonts w:cs="Arial"/>
                <w:color w:val="000000" w:themeColor="text1"/>
              </w:rPr>
              <w:t>Resource development for 2023 Dashboard</w:t>
            </w:r>
          </w:p>
        </w:tc>
      </w:tr>
      <w:tr w:rsidR="00EC3168" w:rsidRPr="00FB463B" w14:paraId="6FB24967"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6B7098C" w14:textId="042CFF5F" w:rsidR="00EC3168" w:rsidRPr="00FB463B" w:rsidRDefault="005425E8" w:rsidP="009A78FF">
            <w:pPr>
              <w:jc w:val="center"/>
              <w:rPr>
                <w:rFonts w:cs="Arial"/>
              </w:rPr>
            </w:pPr>
            <w:r w:rsidRPr="00FB463B">
              <w:rPr>
                <w:rFonts w:cs="Arial"/>
              </w:rPr>
              <w:t>March 16, 2023</w:t>
            </w:r>
          </w:p>
        </w:tc>
        <w:tc>
          <w:tcPr>
            <w:tcW w:w="1179" w:type="pct"/>
            <w:tcBorders>
              <w:top w:val="single" w:sz="4" w:space="0" w:color="auto"/>
              <w:left w:val="single" w:sz="4" w:space="0" w:color="auto"/>
              <w:bottom w:val="single" w:sz="4" w:space="0" w:color="auto"/>
              <w:right w:val="single" w:sz="4" w:space="0" w:color="auto"/>
            </w:tcBorders>
            <w:vAlign w:val="center"/>
          </w:tcPr>
          <w:p w14:paraId="36F5E673" w14:textId="44A93C59" w:rsidR="00EC3168" w:rsidRPr="00FB463B" w:rsidRDefault="00AC0694" w:rsidP="009A78FF">
            <w:pPr>
              <w:jc w:val="center"/>
              <w:rPr>
                <w:rFonts w:cs="Arial"/>
              </w:rPr>
            </w:pPr>
            <w:r w:rsidRPr="00FB463B">
              <w:rPr>
                <w:rFonts w:cs="Arial"/>
              </w:rPr>
              <w:t>Association of California School Administrators - Secondary Education Council</w:t>
            </w:r>
          </w:p>
        </w:tc>
        <w:tc>
          <w:tcPr>
            <w:tcW w:w="729" w:type="pct"/>
            <w:tcBorders>
              <w:top w:val="single" w:sz="4" w:space="0" w:color="auto"/>
              <w:left w:val="single" w:sz="4" w:space="0" w:color="auto"/>
              <w:bottom w:val="single" w:sz="4" w:space="0" w:color="auto"/>
              <w:right w:val="single" w:sz="4" w:space="0" w:color="auto"/>
            </w:tcBorders>
            <w:vAlign w:val="center"/>
          </w:tcPr>
          <w:p w14:paraId="12969229" w14:textId="1CA3FA5A" w:rsidR="00EC3168" w:rsidRPr="00FB463B" w:rsidRDefault="00930CA2" w:rsidP="009A78FF">
            <w:pPr>
              <w:jc w:val="center"/>
              <w:rPr>
                <w:rFonts w:eastAsiaTheme="minorEastAsia" w:cs="Arial"/>
              </w:rPr>
            </w:pPr>
            <w:r w:rsidRPr="00FB463B">
              <w:rPr>
                <w:rFonts w:eastAsiaTheme="minorEastAsia" w:cs="Arial"/>
              </w:rPr>
              <w:t>15</w:t>
            </w:r>
          </w:p>
        </w:tc>
        <w:tc>
          <w:tcPr>
            <w:tcW w:w="2156" w:type="pct"/>
            <w:tcBorders>
              <w:top w:val="single" w:sz="4" w:space="0" w:color="auto"/>
              <w:left w:val="single" w:sz="4" w:space="0" w:color="auto"/>
              <w:bottom w:val="single" w:sz="4" w:space="0" w:color="auto"/>
              <w:right w:val="single" w:sz="4" w:space="0" w:color="auto"/>
            </w:tcBorders>
            <w:vAlign w:val="center"/>
          </w:tcPr>
          <w:p w14:paraId="3AAA9F17" w14:textId="77777777" w:rsidR="00930CA2" w:rsidRPr="00FB463B" w:rsidRDefault="002316AF" w:rsidP="00C237F4">
            <w:pPr>
              <w:pStyle w:val="ListParagraph"/>
              <w:numPr>
                <w:ilvl w:val="0"/>
                <w:numId w:val="7"/>
              </w:numPr>
              <w:rPr>
                <w:rFonts w:cs="Arial"/>
                <w:color w:val="000000" w:themeColor="text1"/>
              </w:rPr>
            </w:pPr>
            <w:r w:rsidRPr="00FB463B">
              <w:rPr>
                <w:rFonts w:cs="Arial"/>
                <w:color w:val="000000" w:themeColor="text1"/>
              </w:rPr>
              <w:t>Review of SBE March 2023 actions</w:t>
            </w:r>
          </w:p>
          <w:p w14:paraId="3571F434" w14:textId="3EBAC241" w:rsidR="00EC3168" w:rsidRPr="00FB463B" w:rsidRDefault="00930CA2" w:rsidP="00C237F4">
            <w:pPr>
              <w:pStyle w:val="ListParagraph"/>
              <w:numPr>
                <w:ilvl w:val="0"/>
                <w:numId w:val="7"/>
              </w:numPr>
              <w:rPr>
                <w:rFonts w:cs="Arial"/>
                <w:color w:val="000000" w:themeColor="text1"/>
              </w:rPr>
            </w:pPr>
            <w:r w:rsidRPr="00FB463B">
              <w:rPr>
                <w:rFonts w:cs="Arial"/>
                <w:color w:val="000000" w:themeColor="text1"/>
              </w:rPr>
              <w:t>R</w:t>
            </w:r>
            <w:r w:rsidR="002316AF" w:rsidRPr="00FB463B">
              <w:rPr>
                <w:rFonts w:cs="Arial"/>
                <w:color w:val="000000" w:themeColor="text1"/>
              </w:rPr>
              <w:t>esource development for 2023 Dashboard</w:t>
            </w:r>
          </w:p>
        </w:tc>
      </w:tr>
      <w:tr w:rsidR="00EC3168" w:rsidRPr="00FB463B" w14:paraId="4B5B0471"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5665496F" w14:textId="0E3004A2" w:rsidR="00EC3168" w:rsidRPr="00FB463B" w:rsidRDefault="0061695A" w:rsidP="009A78FF">
            <w:pPr>
              <w:jc w:val="center"/>
              <w:rPr>
                <w:rFonts w:cs="Arial"/>
              </w:rPr>
            </w:pPr>
            <w:r w:rsidRPr="00FB463B">
              <w:rPr>
                <w:rFonts w:cs="Arial"/>
              </w:rPr>
              <w:t>March 23, 2023</w:t>
            </w:r>
          </w:p>
        </w:tc>
        <w:tc>
          <w:tcPr>
            <w:tcW w:w="1179" w:type="pct"/>
            <w:tcBorders>
              <w:top w:val="single" w:sz="4" w:space="0" w:color="auto"/>
              <w:left w:val="single" w:sz="4" w:space="0" w:color="auto"/>
              <w:bottom w:val="single" w:sz="4" w:space="0" w:color="auto"/>
              <w:right w:val="single" w:sz="4" w:space="0" w:color="auto"/>
            </w:tcBorders>
            <w:vAlign w:val="center"/>
          </w:tcPr>
          <w:p w14:paraId="06BEFC5F" w14:textId="28A3293A" w:rsidR="00EC3168" w:rsidRPr="00FB463B" w:rsidRDefault="00755F06" w:rsidP="009A78FF">
            <w:pPr>
              <w:jc w:val="center"/>
              <w:rPr>
                <w:rFonts w:cs="Arial"/>
              </w:rPr>
            </w:pPr>
            <w:r w:rsidRPr="00FB463B">
              <w:rPr>
                <w:rFonts w:cs="Arial"/>
              </w:rPr>
              <w:t>CABE Conference</w:t>
            </w:r>
          </w:p>
        </w:tc>
        <w:tc>
          <w:tcPr>
            <w:tcW w:w="729" w:type="pct"/>
            <w:tcBorders>
              <w:top w:val="single" w:sz="4" w:space="0" w:color="auto"/>
              <w:left w:val="single" w:sz="4" w:space="0" w:color="auto"/>
              <w:bottom w:val="single" w:sz="4" w:space="0" w:color="auto"/>
              <w:right w:val="single" w:sz="4" w:space="0" w:color="auto"/>
            </w:tcBorders>
            <w:vAlign w:val="center"/>
          </w:tcPr>
          <w:p w14:paraId="67E48234" w14:textId="05FB0D53" w:rsidR="00EC3168" w:rsidRPr="00FB463B" w:rsidRDefault="0061695A" w:rsidP="009A78FF">
            <w:pPr>
              <w:jc w:val="center"/>
              <w:rPr>
                <w:rFonts w:eastAsiaTheme="minorEastAsia" w:cs="Arial"/>
              </w:rPr>
            </w:pPr>
            <w:r w:rsidRPr="00FB463B">
              <w:rPr>
                <w:rFonts w:eastAsiaTheme="minorEastAsia" w:cs="Arial"/>
              </w:rPr>
              <w:t>30</w:t>
            </w:r>
          </w:p>
        </w:tc>
        <w:tc>
          <w:tcPr>
            <w:tcW w:w="2156" w:type="pct"/>
            <w:tcBorders>
              <w:top w:val="single" w:sz="4" w:space="0" w:color="auto"/>
              <w:left w:val="single" w:sz="4" w:space="0" w:color="auto"/>
              <w:bottom w:val="single" w:sz="4" w:space="0" w:color="auto"/>
              <w:right w:val="single" w:sz="4" w:space="0" w:color="auto"/>
            </w:tcBorders>
            <w:vAlign w:val="center"/>
          </w:tcPr>
          <w:p w14:paraId="3669CB72" w14:textId="77777777" w:rsidR="00357D50" w:rsidRPr="00FB463B" w:rsidRDefault="00357D50" w:rsidP="00C237F4">
            <w:pPr>
              <w:pStyle w:val="ListParagraph"/>
              <w:numPr>
                <w:ilvl w:val="0"/>
                <w:numId w:val="7"/>
              </w:numPr>
              <w:rPr>
                <w:rFonts w:cs="Arial"/>
                <w:color w:val="000000" w:themeColor="text1"/>
              </w:rPr>
            </w:pPr>
            <w:r w:rsidRPr="00FB463B">
              <w:rPr>
                <w:rFonts w:cs="Arial"/>
                <w:color w:val="000000" w:themeColor="text1"/>
              </w:rPr>
              <w:t>Review of the English learner results on the 2022 Dashboard and System of Support</w:t>
            </w:r>
          </w:p>
          <w:p w14:paraId="4463FFD9" w14:textId="6ABF3233" w:rsidR="00EC3168" w:rsidRPr="00FB463B" w:rsidRDefault="00357D50" w:rsidP="00C237F4">
            <w:pPr>
              <w:pStyle w:val="ListParagraph"/>
              <w:numPr>
                <w:ilvl w:val="0"/>
                <w:numId w:val="7"/>
              </w:numPr>
              <w:rPr>
                <w:rFonts w:cs="Arial"/>
                <w:color w:val="000000" w:themeColor="text1"/>
              </w:rPr>
            </w:pPr>
            <w:r w:rsidRPr="00FB463B">
              <w:rPr>
                <w:rFonts w:cs="Arial"/>
                <w:color w:val="000000" w:themeColor="text1"/>
              </w:rPr>
              <w:t>Accountability workplan for ELPI on the 2023 Dashboard</w:t>
            </w:r>
          </w:p>
        </w:tc>
      </w:tr>
      <w:tr w:rsidR="001B2AE1" w:rsidRPr="00FB463B" w14:paraId="0131AA41"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7166AD6D" w14:textId="0C05AD60" w:rsidR="001B2AE1" w:rsidRPr="00FB463B" w:rsidRDefault="00BD129D" w:rsidP="009A78FF">
            <w:pPr>
              <w:jc w:val="center"/>
              <w:rPr>
                <w:rFonts w:cs="Arial"/>
              </w:rPr>
            </w:pPr>
            <w:r w:rsidRPr="00FB463B">
              <w:rPr>
                <w:rFonts w:cs="Arial"/>
              </w:rPr>
              <w:t>May 5, 2023</w:t>
            </w:r>
          </w:p>
        </w:tc>
        <w:tc>
          <w:tcPr>
            <w:tcW w:w="1179" w:type="pct"/>
            <w:tcBorders>
              <w:top w:val="single" w:sz="4" w:space="0" w:color="auto"/>
              <w:left w:val="single" w:sz="4" w:space="0" w:color="auto"/>
              <w:bottom w:val="single" w:sz="4" w:space="0" w:color="auto"/>
              <w:right w:val="single" w:sz="4" w:space="0" w:color="auto"/>
            </w:tcBorders>
            <w:vAlign w:val="center"/>
          </w:tcPr>
          <w:p w14:paraId="0B182058" w14:textId="464FC02A" w:rsidR="001B2AE1" w:rsidRPr="00FB463B" w:rsidRDefault="0034744D" w:rsidP="009A78FF">
            <w:pPr>
              <w:jc w:val="center"/>
              <w:rPr>
                <w:rFonts w:cs="Arial"/>
              </w:rPr>
            </w:pPr>
            <w:r w:rsidRPr="00FB463B">
              <w:rPr>
                <w:rFonts w:cs="Arial"/>
              </w:rPr>
              <w:t>County Operated Student Programs Committee</w:t>
            </w:r>
          </w:p>
        </w:tc>
        <w:tc>
          <w:tcPr>
            <w:tcW w:w="729" w:type="pct"/>
            <w:tcBorders>
              <w:top w:val="single" w:sz="4" w:space="0" w:color="auto"/>
              <w:left w:val="single" w:sz="4" w:space="0" w:color="auto"/>
              <w:bottom w:val="single" w:sz="4" w:space="0" w:color="auto"/>
              <w:right w:val="single" w:sz="4" w:space="0" w:color="auto"/>
            </w:tcBorders>
            <w:vAlign w:val="center"/>
          </w:tcPr>
          <w:p w14:paraId="379D7941" w14:textId="566A6565" w:rsidR="001B2AE1" w:rsidRPr="00FB463B" w:rsidRDefault="00C94C19" w:rsidP="009A78FF">
            <w:pPr>
              <w:jc w:val="center"/>
              <w:rPr>
                <w:rFonts w:eastAsiaTheme="minorEastAsia" w:cs="Arial"/>
              </w:rPr>
            </w:pPr>
            <w:r w:rsidRPr="00FB463B">
              <w:rPr>
                <w:rFonts w:eastAsiaTheme="minorEastAsia" w:cs="Arial"/>
              </w:rPr>
              <w:t>35</w:t>
            </w:r>
          </w:p>
        </w:tc>
        <w:tc>
          <w:tcPr>
            <w:tcW w:w="2156" w:type="pct"/>
            <w:tcBorders>
              <w:top w:val="single" w:sz="4" w:space="0" w:color="auto"/>
              <w:left w:val="single" w:sz="4" w:space="0" w:color="auto"/>
              <w:bottom w:val="single" w:sz="4" w:space="0" w:color="auto"/>
              <w:right w:val="single" w:sz="4" w:space="0" w:color="auto"/>
            </w:tcBorders>
            <w:vAlign w:val="center"/>
          </w:tcPr>
          <w:p w14:paraId="2FAF9EF6" w14:textId="77777777" w:rsidR="003F4030" w:rsidRPr="00FB463B" w:rsidRDefault="003F4030" w:rsidP="00C237F4">
            <w:pPr>
              <w:pStyle w:val="ListParagraph"/>
              <w:numPr>
                <w:ilvl w:val="0"/>
                <w:numId w:val="7"/>
              </w:numPr>
              <w:rPr>
                <w:rFonts w:cs="Arial"/>
                <w:color w:val="000000" w:themeColor="text1"/>
              </w:rPr>
            </w:pPr>
            <w:r w:rsidRPr="00FB463B">
              <w:rPr>
                <w:rFonts w:cs="Arial"/>
                <w:color w:val="000000" w:themeColor="text1"/>
              </w:rPr>
              <w:t>Update on March 2023 SBE Meeting</w:t>
            </w:r>
          </w:p>
          <w:p w14:paraId="2F418FAD" w14:textId="05CD4A7F" w:rsidR="001B2AE1" w:rsidRPr="00FB463B" w:rsidRDefault="003F4030" w:rsidP="00C237F4">
            <w:pPr>
              <w:pStyle w:val="ListParagraph"/>
              <w:numPr>
                <w:ilvl w:val="0"/>
                <w:numId w:val="7"/>
              </w:numPr>
              <w:rPr>
                <w:rFonts w:cs="Arial"/>
                <w:color w:val="000000" w:themeColor="text1"/>
              </w:rPr>
            </w:pPr>
            <w:r w:rsidRPr="00FB463B">
              <w:rPr>
                <w:rFonts w:cs="Arial"/>
                <w:color w:val="000000" w:themeColor="text1"/>
              </w:rPr>
              <w:t>Overview of Extended Year Graduation Rate</w:t>
            </w:r>
          </w:p>
        </w:tc>
      </w:tr>
      <w:tr w:rsidR="001B2AE1" w:rsidRPr="00FB463B" w14:paraId="6CBECD4F"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82D8F7E" w14:textId="2D03B2E4" w:rsidR="001B2AE1" w:rsidRPr="00FB463B" w:rsidRDefault="000944A2" w:rsidP="009A78FF">
            <w:pPr>
              <w:jc w:val="center"/>
              <w:rPr>
                <w:rFonts w:cs="Arial"/>
              </w:rPr>
            </w:pPr>
            <w:r w:rsidRPr="00FB463B">
              <w:rPr>
                <w:rFonts w:cs="Arial"/>
              </w:rPr>
              <w:t>May 12, 2023</w:t>
            </w:r>
          </w:p>
        </w:tc>
        <w:tc>
          <w:tcPr>
            <w:tcW w:w="1179" w:type="pct"/>
            <w:tcBorders>
              <w:top w:val="single" w:sz="4" w:space="0" w:color="auto"/>
              <w:left w:val="single" w:sz="4" w:space="0" w:color="auto"/>
              <w:bottom w:val="single" w:sz="4" w:space="0" w:color="auto"/>
              <w:right w:val="single" w:sz="4" w:space="0" w:color="auto"/>
            </w:tcBorders>
            <w:vAlign w:val="center"/>
          </w:tcPr>
          <w:p w14:paraId="56E679A3" w14:textId="49586EA9" w:rsidR="001B2AE1" w:rsidRPr="00FB463B" w:rsidRDefault="00F56FC3" w:rsidP="009A78FF">
            <w:pPr>
              <w:jc w:val="center"/>
              <w:rPr>
                <w:rFonts w:cs="Arial"/>
              </w:rPr>
            </w:pPr>
            <w:r w:rsidRPr="00FB463B">
              <w:rPr>
                <w:rFonts w:cs="Arial"/>
              </w:rPr>
              <w:t>Bilingual Coordinators Network</w:t>
            </w:r>
            <w:r w:rsidR="001779C6" w:rsidRPr="00FB463B">
              <w:rPr>
                <w:rFonts w:cs="Arial"/>
              </w:rPr>
              <w:t xml:space="preserve"> (BCN)</w:t>
            </w:r>
          </w:p>
        </w:tc>
        <w:tc>
          <w:tcPr>
            <w:tcW w:w="729" w:type="pct"/>
            <w:tcBorders>
              <w:top w:val="single" w:sz="4" w:space="0" w:color="auto"/>
              <w:left w:val="single" w:sz="4" w:space="0" w:color="auto"/>
              <w:bottom w:val="single" w:sz="4" w:space="0" w:color="auto"/>
              <w:right w:val="single" w:sz="4" w:space="0" w:color="auto"/>
            </w:tcBorders>
            <w:vAlign w:val="center"/>
          </w:tcPr>
          <w:p w14:paraId="62D54A23" w14:textId="12D4820B" w:rsidR="001B2AE1" w:rsidRPr="00FB463B" w:rsidRDefault="00C87F67" w:rsidP="009A78FF">
            <w:pPr>
              <w:jc w:val="center"/>
              <w:rPr>
                <w:rFonts w:eastAsiaTheme="minorEastAsia" w:cs="Arial"/>
              </w:rPr>
            </w:pPr>
            <w:r w:rsidRPr="00FB463B">
              <w:rPr>
                <w:rFonts w:eastAsiaTheme="minorEastAsia" w:cs="Arial"/>
              </w:rPr>
              <w:t>100</w:t>
            </w:r>
          </w:p>
        </w:tc>
        <w:tc>
          <w:tcPr>
            <w:tcW w:w="2156" w:type="pct"/>
            <w:tcBorders>
              <w:top w:val="single" w:sz="4" w:space="0" w:color="auto"/>
              <w:left w:val="single" w:sz="4" w:space="0" w:color="auto"/>
              <w:bottom w:val="single" w:sz="4" w:space="0" w:color="auto"/>
              <w:right w:val="single" w:sz="4" w:space="0" w:color="auto"/>
            </w:tcBorders>
            <w:vAlign w:val="center"/>
          </w:tcPr>
          <w:p w14:paraId="7AF3F060" w14:textId="0C9645FA" w:rsidR="00C87F67" w:rsidRPr="00FB463B" w:rsidRDefault="00C87F67" w:rsidP="00C237F4">
            <w:pPr>
              <w:pStyle w:val="ListParagraph"/>
              <w:numPr>
                <w:ilvl w:val="0"/>
                <w:numId w:val="7"/>
              </w:numPr>
              <w:rPr>
                <w:rFonts w:cs="Arial"/>
                <w:color w:val="000000" w:themeColor="text1"/>
              </w:rPr>
            </w:pPr>
            <w:r w:rsidRPr="00FB463B">
              <w:rPr>
                <w:rFonts w:cs="Arial"/>
                <w:color w:val="000000" w:themeColor="text1"/>
              </w:rPr>
              <w:t>Analysis, Measurement, and Accountability Reporting Division Data Releases</w:t>
            </w:r>
          </w:p>
          <w:p w14:paraId="346B1F23" w14:textId="3F3524DB" w:rsidR="00C87F67" w:rsidRPr="00FB463B" w:rsidRDefault="00C87F67" w:rsidP="00C237F4">
            <w:pPr>
              <w:pStyle w:val="ListParagraph"/>
              <w:numPr>
                <w:ilvl w:val="0"/>
                <w:numId w:val="7"/>
              </w:numPr>
              <w:rPr>
                <w:rFonts w:cs="Arial"/>
                <w:color w:val="000000" w:themeColor="text1"/>
              </w:rPr>
            </w:pPr>
            <w:r w:rsidRPr="00FB463B">
              <w:rPr>
                <w:rFonts w:cs="Arial"/>
                <w:color w:val="000000" w:themeColor="text1"/>
              </w:rPr>
              <w:t>Updated CALPADS deadlines</w:t>
            </w:r>
          </w:p>
          <w:p w14:paraId="2B8A1E72" w14:textId="7B5985B3" w:rsidR="001B2AE1" w:rsidRPr="00FB463B" w:rsidRDefault="00C87F67" w:rsidP="00C237F4">
            <w:pPr>
              <w:pStyle w:val="ListParagraph"/>
              <w:numPr>
                <w:ilvl w:val="0"/>
                <w:numId w:val="7"/>
              </w:numPr>
              <w:rPr>
                <w:rFonts w:cs="Arial"/>
                <w:color w:val="000000" w:themeColor="text1"/>
              </w:rPr>
            </w:pPr>
            <w:r w:rsidRPr="00FB463B">
              <w:rPr>
                <w:rFonts w:cs="Arial"/>
                <w:color w:val="000000" w:themeColor="text1"/>
              </w:rPr>
              <w:t>ELPAC Participation Rate</w:t>
            </w:r>
          </w:p>
        </w:tc>
      </w:tr>
      <w:tr w:rsidR="00A00A7F" w:rsidRPr="00FB463B" w14:paraId="6A874022"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52C488DF" w14:textId="1989B5AF" w:rsidR="00A00A7F" w:rsidRPr="00FB463B" w:rsidRDefault="00A00A7F" w:rsidP="009A78FF">
            <w:pPr>
              <w:jc w:val="center"/>
              <w:rPr>
                <w:rFonts w:cs="Arial"/>
              </w:rPr>
            </w:pPr>
            <w:r w:rsidRPr="00FB463B">
              <w:rPr>
                <w:rFonts w:cs="Arial"/>
              </w:rPr>
              <w:lastRenderedPageBreak/>
              <w:t>May 24, 2023</w:t>
            </w:r>
          </w:p>
        </w:tc>
        <w:tc>
          <w:tcPr>
            <w:tcW w:w="1179" w:type="pct"/>
            <w:tcBorders>
              <w:top w:val="single" w:sz="4" w:space="0" w:color="auto"/>
              <w:left w:val="single" w:sz="4" w:space="0" w:color="auto"/>
              <w:bottom w:val="single" w:sz="4" w:space="0" w:color="auto"/>
              <w:right w:val="single" w:sz="4" w:space="0" w:color="auto"/>
            </w:tcBorders>
            <w:vAlign w:val="center"/>
          </w:tcPr>
          <w:p w14:paraId="58C3B458" w14:textId="3E49BEDF" w:rsidR="00A00A7F" w:rsidRPr="00FB463B" w:rsidRDefault="006C7DDB" w:rsidP="009A78FF">
            <w:pPr>
              <w:jc w:val="center"/>
              <w:rPr>
                <w:rFonts w:cs="Arial"/>
              </w:rPr>
            </w:pPr>
            <w:r w:rsidRPr="00FB463B">
              <w:rPr>
                <w:rFonts w:cs="Arial"/>
              </w:rPr>
              <w:t>C</w:t>
            </w:r>
            <w:r w:rsidR="001779C6" w:rsidRPr="00FB463B">
              <w:rPr>
                <w:rFonts w:cs="Arial"/>
              </w:rPr>
              <w:t>ISC</w:t>
            </w:r>
            <w:r w:rsidRPr="00FB463B">
              <w:rPr>
                <w:rFonts w:cs="Arial"/>
              </w:rPr>
              <w:t xml:space="preserve"> - Accountability Sub-Group Meeting</w:t>
            </w:r>
          </w:p>
        </w:tc>
        <w:tc>
          <w:tcPr>
            <w:tcW w:w="729" w:type="pct"/>
            <w:tcBorders>
              <w:top w:val="single" w:sz="4" w:space="0" w:color="auto"/>
              <w:left w:val="single" w:sz="4" w:space="0" w:color="auto"/>
              <w:bottom w:val="single" w:sz="4" w:space="0" w:color="auto"/>
              <w:right w:val="single" w:sz="4" w:space="0" w:color="auto"/>
            </w:tcBorders>
            <w:vAlign w:val="center"/>
          </w:tcPr>
          <w:p w14:paraId="66EA6BEF" w14:textId="0C2168B5" w:rsidR="00A00A7F" w:rsidRPr="00FB463B" w:rsidRDefault="00697E98" w:rsidP="009A78FF">
            <w:pPr>
              <w:jc w:val="center"/>
              <w:rPr>
                <w:rFonts w:eastAsiaTheme="minorEastAsia" w:cs="Arial"/>
              </w:rPr>
            </w:pPr>
            <w:r w:rsidRPr="00FB463B">
              <w:rPr>
                <w:rFonts w:eastAsiaTheme="minorEastAsia"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0D38850C" w14:textId="77777777" w:rsidR="00CA479E" w:rsidRPr="00FB463B" w:rsidRDefault="006711C9" w:rsidP="00C237F4">
            <w:pPr>
              <w:pStyle w:val="ListParagraph"/>
              <w:numPr>
                <w:ilvl w:val="0"/>
                <w:numId w:val="7"/>
              </w:numPr>
              <w:rPr>
                <w:rFonts w:cs="Arial"/>
                <w:color w:val="000000" w:themeColor="text1"/>
              </w:rPr>
            </w:pPr>
            <w:r w:rsidRPr="00FB463B">
              <w:rPr>
                <w:rFonts w:cs="Arial"/>
                <w:color w:val="000000" w:themeColor="text1"/>
              </w:rPr>
              <w:t>Newly released data</w:t>
            </w:r>
          </w:p>
          <w:p w14:paraId="7D8FA1A6" w14:textId="77777777" w:rsidR="00A00A7F" w:rsidRPr="00FB463B" w:rsidRDefault="00CA479E" w:rsidP="00CA479E">
            <w:pPr>
              <w:pStyle w:val="ListParagraph"/>
              <w:numPr>
                <w:ilvl w:val="0"/>
                <w:numId w:val="7"/>
              </w:numPr>
              <w:rPr>
                <w:rFonts w:cs="Arial"/>
                <w:color w:val="000000" w:themeColor="text1"/>
              </w:rPr>
            </w:pPr>
            <w:r w:rsidRPr="00FB463B">
              <w:rPr>
                <w:rFonts w:cs="Arial"/>
                <w:color w:val="000000" w:themeColor="text1"/>
              </w:rPr>
              <w:t>SBE item overview</w:t>
            </w:r>
          </w:p>
          <w:p w14:paraId="4A3B931B" w14:textId="1562231F" w:rsidR="00CA479E" w:rsidRPr="00FB463B" w:rsidRDefault="00CA479E" w:rsidP="00CA479E">
            <w:pPr>
              <w:pStyle w:val="ListParagraph"/>
              <w:numPr>
                <w:ilvl w:val="0"/>
                <w:numId w:val="7"/>
              </w:numPr>
              <w:rPr>
                <w:rFonts w:cs="Arial"/>
                <w:color w:val="000000" w:themeColor="text1"/>
              </w:rPr>
            </w:pPr>
            <w:r w:rsidRPr="00FB463B">
              <w:rPr>
                <w:rFonts w:cs="Arial"/>
                <w:color w:val="000000" w:themeColor="text1"/>
              </w:rPr>
              <w:t>CALPADS Updates</w:t>
            </w:r>
          </w:p>
        </w:tc>
      </w:tr>
      <w:tr w:rsidR="00103940" w:rsidRPr="00FB463B" w14:paraId="3A5387A7"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362B674A" w14:textId="530BACDA" w:rsidR="00103940" w:rsidRPr="00FB463B" w:rsidRDefault="00103940" w:rsidP="009A78FF">
            <w:pPr>
              <w:jc w:val="center"/>
              <w:rPr>
                <w:rFonts w:cs="Arial"/>
              </w:rPr>
            </w:pPr>
            <w:r w:rsidRPr="00FB463B">
              <w:rPr>
                <w:rFonts w:cs="Arial"/>
              </w:rPr>
              <w:t>May 24, 2023</w:t>
            </w:r>
          </w:p>
        </w:tc>
        <w:tc>
          <w:tcPr>
            <w:tcW w:w="1179" w:type="pct"/>
            <w:tcBorders>
              <w:top w:val="single" w:sz="4" w:space="0" w:color="auto"/>
              <w:left w:val="single" w:sz="4" w:space="0" w:color="auto"/>
              <w:bottom w:val="single" w:sz="4" w:space="0" w:color="auto"/>
              <w:right w:val="single" w:sz="4" w:space="0" w:color="auto"/>
            </w:tcBorders>
            <w:vAlign w:val="center"/>
          </w:tcPr>
          <w:p w14:paraId="3A2641A6" w14:textId="6994B957" w:rsidR="00103940" w:rsidRPr="00FB463B" w:rsidRDefault="00103940" w:rsidP="009A78FF">
            <w:pPr>
              <w:jc w:val="center"/>
              <w:rPr>
                <w:rFonts w:cs="Arial"/>
              </w:rPr>
            </w:pPr>
            <w:r w:rsidRPr="00FB463B">
              <w:rPr>
                <w:rFonts w:cs="Arial"/>
              </w:rPr>
              <w:t xml:space="preserve">RAN </w:t>
            </w:r>
          </w:p>
        </w:tc>
        <w:tc>
          <w:tcPr>
            <w:tcW w:w="729" w:type="pct"/>
            <w:tcBorders>
              <w:top w:val="single" w:sz="4" w:space="0" w:color="auto"/>
              <w:left w:val="single" w:sz="4" w:space="0" w:color="auto"/>
              <w:bottom w:val="single" w:sz="4" w:space="0" w:color="auto"/>
              <w:right w:val="single" w:sz="4" w:space="0" w:color="auto"/>
            </w:tcBorders>
            <w:vAlign w:val="center"/>
          </w:tcPr>
          <w:p w14:paraId="68B146E2" w14:textId="4469257D" w:rsidR="00103940" w:rsidRPr="00FB463B" w:rsidRDefault="00D22289" w:rsidP="009A78FF">
            <w:pPr>
              <w:jc w:val="center"/>
              <w:rPr>
                <w:rFonts w:eastAsiaTheme="minorEastAsia" w:cs="Arial"/>
              </w:rPr>
            </w:pPr>
            <w:r w:rsidRPr="00FB463B">
              <w:rPr>
                <w:rFonts w:eastAsiaTheme="minorEastAsia"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73F9342D" w14:textId="2C5E7BEB" w:rsidR="00103940" w:rsidRPr="00FB463B" w:rsidRDefault="00242C15" w:rsidP="00D22289">
            <w:pPr>
              <w:pStyle w:val="ListParagraph"/>
              <w:numPr>
                <w:ilvl w:val="0"/>
                <w:numId w:val="7"/>
              </w:numPr>
              <w:rPr>
                <w:rFonts w:cs="Arial"/>
                <w:color w:val="000000" w:themeColor="text1"/>
              </w:rPr>
            </w:pPr>
            <w:r w:rsidRPr="00FB463B">
              <w:rPr>
                <w:rFonts w:cs="Arial"/>
                <w:color w:val="000000" w:themeColor="text1"/>
              </w:rPr>
              <w:t>Overview of Growth Model Display Work</w:t>
            </w:r>
          </w:p>
        </w:tc>
      </w:tr>
      <w:tr w:rsidR="001B2AE1" w:rsidRPr="00FB463B" w14:paraId="58CCB1C9"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15BFD424" w14:textId="025DE16D" w:rsidR="001B2AE1" w:rsidRPr="00FB463B" w:rsidRDefault="00F41AE8" w:rsidP="009A78FF">
            <w:pPr>
              <w:jc w:val="center"/>
              <w:rPr>
                <w:rFonts w:cs="Arial"/>
              </w:rPr>
            </w:pPr>
            <w:r w:rsidRPr="00FB463B">
              <w:rPr>
                <w:rFonts w:cs="Arial"/>
              </w:rPr>
              <w:t>June 13, 2023</w:t>
            </w:r>
          </w:p>
        </w:tc>
        <w:tc>
          <w:tcPr>
            <w:tcW w:w="1179" w:type="pct"/>
            <w:tcBorders>
              <w:top w:val="single" w:sz="4" w:space="0" w:color="auto"/>
              <w:left w:val="single" w:sz="4" w:space="0" w:color="auto"/>
              <w:bottom w:val="single" w:sz="4" w:space="0" w:color="auto"/>
              <w:right w:val="single" w:sz="4" w:space="0" w:color="auto"/>
            </w:tcBorders>
            <w:vAlign w:val="center"/>
          </w:tcPr>
          <w:p w14:paraId="7B3A2B29" w14:textId="4B4B4C9F" w:rsidR="001B2AE1" w:rsidRPr="00FB463B" w:rsidRDefault="00A94BE9" w:rsidP="009A78FF">
            <w:pPr>
              <w:jc w:val="center"/>
              <w:rPr>
                <w:rFonts w:cs="Arial"/>
              </w:rPr>
            </w:pPr>
            <w:r w:rsidRPr="00FB463B">
              <w:rPr>
                <w:rFonts w:cs="Arial"/>
              </w:rPr>
              <w:t>California Learning Collaborative on Alternative Education</w:t>
            </w:r>
          </w:p>
        </w:tc>
        <w:tc>
          <w:tcPr>
            <w:tcW w:w="729" w:type="pct"/>
            <w:tcBorders>
              <w:top w:val="single" w:sz="4" w:space="0" w:color="auto"/>
              <w:left w:val="single" w:sz="4" w:space="0" w:color="auto"/>
              <w:bottom w:val="single" w:sz="4" w:space="0" w:color="auto"/>
              <w:right w:val="single" w:sz="4" w:space="0" w:color="auto"/>
            </w:tcBorders>
            <w:vAlign w:val="center"/>
          </w:tcPr>
          <w:p w14:paraId="0196CC0B" w14:textId="43DB1AE2" w:rsidR="001B2AE1" w:rsidRPr="00FB463B" w:rsidRDefault="002A2099" w:rsidP="009A78FF">
            <w:pPr>
              <w:jc w:val="center"/>
              <w:rPr>
                <w:rFonts w:eastAsiaTheme="minorEastAsia" w:cs="Arial"/>
              </w:rPr>
            </w:pPr>
            <w:r w:rsidRPr="00FB463B">
              <w:rPr>
                <w:rFonts w:eastAsiaTheme="minorEastAsia" w:cs="Arial"/>
              </w:rPr>
              <w:t>50</w:t>
            </w:r>
          </w:p>
        </w:tc>
        <w:tc>
          <w:tcPr>
            <w:tcW w:w="2156" w:type="pct"/>
            <w:tcBorders>
              <w:top w:val="single" w:sz="4" w:space="0" w:color="auto"/>
              <w:left w:val="single" w:sz="4" w:space="0" w:color="auto"/>
              <w:bottom w:val="single" w:sz="4" w:space="0" w:color="auto"/>
              <w:right w:val="single" w:sz="4" w:space="0" w:color="auto"/>
            </w:tcBorders>
            <w:vAlign w:val="center"/>
          </w:tcPr>
          <w:p w14:paraId="6C2A61F2" w14:textId="77777777" w:rsidR="002A2099" w:rsidRPr="00FB463B" w:rsidRDefault="002A2099" w:rsidP="00C237F4">
            <w:pPr>
              <w:pStyle w:val="ListParagraph"/>
              <w:numPr>
                <w:ilvl w:val="0"/>
                <w:numId w:val="7"/>
              </w:numPr>
              <w:rPr>
                <w:rFonts w:cs="Arial"/>
                <w:color w:val="000000" w:themeColor="text1"/>
              </w:rPr>
            </w:pPr>
            <w:r w:rsidRPr="00FB463B">
              <w:rPr>
                <w:rFonts w:cs="Arial"/>
                <w:color w:val="000000" w:themeColor="text1"/>
              </w:rPr>
              <w:t>Review</w:t>
            </w:r>
            <w:r w:rsidR="00A8744B" w:rsidRPr="00FB463B">
              <w:rPr>
                <w:rFonts w:cs="Arial"/>
                <w:color w:val="000000" w:themeColor="text1"/>
              </w:rPr>
              <w:t xml:space="preserve"> of DASS programs</w:t>
            </w:r>
          </w:p>
          <w:p w14:paraId="1D3697D6" w14:textId="77777777" w:rsidR="002A2099" w:rsidRPr="00FB463B" w:rsidRDefault="00A8744B" w:rsidP="00C237F4">
            <w:pPr>
              <w:pStyle w:val="ListParagraph"/>
              <w:numPr>
                <w:ilvl w:val="0"/>
                <w:numId w:val="7"/>
              </w:numPr>
              <w:rPr>
                <w:rFonts w:cs="Arial"/>
                <w:color w:val="000000" w:themeColor="text1"/>
              </w:rPr>
            </w:pPr>
            <w:r w:rsidRPr="00FB463B">
              <w:rPr>
                <w:rFonts w:cs="Arial"/>
                <w:color w:val="000000" w:themeColor="text1"/>
              </w:rPr>
              <w:t>2022 Dashboard</w:t>
            </w:r>
          </w:p>
          <w:p w14:paraId="111E7720" w14:textId="06922EA6" w:rsidR="001B2AE1" w:rsidRPr="00FB463B" w:rsidRDefault="002A2099" w:rsidP="00C237F4">
            <w:pPr>
              <w:pStyle w:val="ListParagraph"/>
              <w:numPr>
                <w:ilvl w:val="0"/>
                <w:numId w:val="7"/>
              </w:numPr>
              <w:rPr>
                <w:rFonts w:cs="Arial"/>
                <w:color w:val="000000" w:themeColor="text1"/>
              </w:rPr>
            </w:pPr>
            <w:r w:rsidRPr="00FB463B">
              <w:rPr>
                <w:rFonts w:cs="Arial"/>
                <w:color w:val="000000" w:themeColor="text1"/>
              </w:rPr>
              <w:t>E</w:t>
            </w:r>
            <w:r w:rsidR="00A8744B" w:rsidRPr="00FB463B">
              <w:rPr>
                <w:rFonts w:cs="Arial"/>
                <w:color w:val="000000" w:themeColor="text1"/>
              </w:rPr>
              <w:t>xtended year graduation rate analysis</w:t>
            </w:r>
          </w:p>
        </w:tc>
      </w:tr>
    </w:tbl>
    <w:p w14:paraId="7895FF11" w14:textId="77777777" w:rsidR="006B7CB5" w:rsidRPr="00FB463B" w:rsidRDefault="006B7CB5" w:rsidP="002A363B">
      <w:pPr>
        <w:pStyle w:val="Heading3"/>
      </w:pPr>
      <w:r w:rsidRPr="00FB463B">
        <w:t>Table 3: Presentations/Virtual Meetings</w:t>
      </w:r>
    </w:p>
    <w:tbl>
      <w:tblPr>
        <w:tblStyle w:val="TableGrid"/>
        <w:tblW w:w="13225" w:type="dxa"/>
        <w:tblLook w:val="04A0" w:firstRow="1" w:lastRow="0" w:firstColumn="1" w:lastColumn="0" w:noHBand="0" w:noVBand="1"/>
        <w:tblCaption w:val="Table 3 Virtual Meetings"/>
        <w:tblDescription w:val="Dates and topics covered during virtual meetings from 2021 through February 2022."/>
      </w:tblPr>
      <w:tblGrid>
        <w:gridCol w:w="2250"/>
        <w:gridCol w:w="3145"/>
        <w:gridCol w:w="1980"/>
        <w:gridCol w:w="5850"/>
      </w:tblGrid>
      <w:tr w:rsidR="006B7CB5" w:rsidRPr="00FB463B" w14:paraId="43954EDF" w14:textId="77777777" w:rsidTr="00B0226B">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71933" w14:textId="77777777" w:rsidR="006B7CB5" w:rsidRPr="00FB463B" w:rsidRDefault="006B7CB5" w:rsidP="009A78FF">
            <w:pPr>
              <w:jc w:val="center"/>
              <w:rPr>
                <w:rFonts w:cs="Arial"/>
                <w:b/>
              </w:rPr>
            </w:pPr>
            <w:r w:rsidRPr="00FB463B">
              <w:rPr>
                <w:rFonts w:cs="Arial"/>
                <w:b/>
              </w:rPr>
              <w:t>Date</w:t>
            </w:r>
          </w:p>
        </w:tc>
        <w:tc>
          <w:tcPr>
            <w:tcW w:w="31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3E9443" w14:textId="77777777" w:rsidR="006B7CB5" w:rsidRPr="00FB463B" w:rsidRDefault="006B7CB5" w:rsidP="009A78FF">
            <w:pPr>
              <w:jc w:val="center"/>
              <w:rPr>
                <w:rFonts w:cs="Arial"/>
                <w:b/>
              </w:rPr>
            </w:pPr>
            <w:r w:rsidRPr="00FB463B">
              <w:rPr>
                <w:rFonts w:cs="Arial"/>
                <w:b/>
              </w:rPr>
              <w:t>Title</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CACD44" w14:textId="77777777" w:rsidR="006B7CB5" w:rsidRPr="00FB463B" w:rsidRDefault="006B7CB5" w:rsidP="009A78FF">
            <w:pPr>
              <w:jc w:val="center"/>
              <w:rPr>
                <w:rFonts w:cs="Arial"/>
                <w:b/>
              </w:rPr>
            </w:pPr>
            <w:r w:rsidRPr="00FB463B">
              <w:rPr>
                <w:rFonts w:cs="Arial"/>
                <w:b/>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319E5F" w14:textId="77777777" w:rsidR="006B7CB5" w:rsidRPr="00FB463B" w:rsidRDefault="006B7CB5" w:rsidP="009A78FF">
            <w:pPr>
              <w:jc w:val="center"/>
              <w:rPr>
                <w:rFonts w:cs="Arial"/>
                <w:b/>
              </w:rPr>
            </w:pPr>
            <w:r w:rsidRPr="00FB463B">
              <w:rPr>
                <w:rFonts w:cs="Arial"/>
                <w:b/>
              </w:rPr>
              <w:t>Topics</w:t>
            </w:r>
          </w:p>
        </w:tc>
      </w:tr>
      <w:tr w:rsidR="00B0226B" w:rsidRPr="00FB463B" w14:paraId="2E45CF31" w14:textId="77777777" w:rsidTr="00B0226B">
        <w:trPr>
          <w:cantSplit/>
        </w:trPr>
        <w:tc>
          <w:tcPr>
            <w:tcW w:w="2250" w:type="dxa"/>
            <w:vAlign w:val="center"/>
          </w:tcPr>
          <w:p w14:paraId="01BA2749" w14:textId="294AFD1E" w:rsidR="00B0226B" w:rsidRPr="00FB463B" w:rsidRDefault="00033B13" w:rsidP="009A78FF">
            <w:pPr>
              <w:jc w:val="center"/>
              <w:rPr>
                <w:rFonts w:eastAsiaTheme="minorEastAsia" w:cs="Arial"/>
              </w:rPr>
            </w:pPr>
            <w:r w:rsidRPr="00FB463B">
              <w:rPr>
                <w:rFonts w:eastAsiaTheme="minorEastAsia" w:cs="Arial"/>
              </w:rPr>
              <w:t>March 14, 2023</w:t>
            </w:r>
          </w:p>
        </w:tc>
        <w:tc>
          <w:tcPr>
            <w:tcW w:w="3145" w:type="dxa"/>
            <w:vAlign w:val="center"/>
          </w:tcPr>
          <w:p w14:paraId="5D81D211" w14:textId="1377A76C" w:rsidR="00B0226B" w:rsidRPr="00FB463B" w:rsidRDefault="00D60F1E" w:rsidP="009A78FF">
            <w:pPr>
              <w:jc w:val="center"/>
              <w:rPr>
                <w:rFonts w:eastAsia="Calibri" w:cs="Arial"/>
              </w:rPr>
            </w:pPr>
            <w:r w:rsidRPr="00FB463B">
              <w:rPr>
                <w:rFonts w:eastAsia="Calibri" w:cs="Arial"/>
              </w:rPr>
              <w:t>Association of California School Administrators - Middle Grades Education Council</w:t>
            </w:r>
          </w:p>
        </w:tc>
        <w:tc>
          <w:tcPr>
            <w:tcW w:w="1980" w:type="dxa"/>
            <w:vAlign w:val="center"/>
          </w:tcPr>
          <w:p w14:paraId="5864B902" w14:textId="6BDB5B2D" w:rsidR="00B0226B" w:rsidRPr="00FB463B" w:rsidRDefault="004F7FFE" w:rsidP="009A78FF">
            <w:pPr>
              <w:jc w:val="center"/>
              <w:rPr>
                <w:rFonts w:eastAsiaTheme="minorEastAsia" w:cs="Arial"/>
              </w:rPr>
            </w:pPr>
            <w:r w:rsidRPr="00FB463B">
              <w:rPr>
                <w:rFonts w:eastAsiaTheme="minorEastAsia" w:cs="Arial"/>
              </w:rPr>
              <w:t>18</w:t>
            </w:r>
          </w:p>
        </w:tc>
        <w:tc>
          <w:tcPr>
            <w:tcW w:w="5850" w:type="dxa"/>
            <w:vAlign w:val="center"/>
          </w:tcPr>
          <w:p w14:paraId="5B4B537A" w14:textId="77777777" w:rsidR="004D5822" w:rsidRPr="00FB463B" w:rsidRDefault="004D5822" w:rsidP="00C237F4">
            <w:pPr>
              <w:pStyle w:val="ListParagraph"/>
              <w:numPr>
                <w:ilvl w:val="0"/>
                <w:numId w:val="9"/>
              </w:numPr>
              <w:rPr>
                <w:rFonts w:eastAsiaTheme="minorEastAsia" w:cs="Arial"/>
              </w:rPr>
            </w:pPr>
            <w:r w:rsidRPr="00FB463B">
              <w:rPr>
                <w:rFonts w:eastAsiaTheme="minorEastAsia" w:cs="Arial"/>
              </w:rPr>
              <w:t>Review of SBE March 2023 actions</w:t>
            </w:r>
          </w:p>
          <w:p w14:paraId="2B1A629C" w14:textId="73CE50B9" w:rsidR="00B0226B" w:rsidRPr="00FB463B" w:rsidRDefault="004D5822" w:rsidP="00C237F4">
            <w:pPr>
              <w:pStyle w:val="ListParagraph"/>
              <w:numPr>
                <w:ilvl w:val="0"/>
                <w:numId w:val="9"/>
              </w:numPr>
              <w:rPr>
                <w:rFonts w:eastAsiaTheme="minorEastAsia" w:cs="Arial"/>
              </w:rPr>
            </w:pPr>
            <w:r w:rsidRPr="00FB463B">
              <w:rPr>
                <w:rFonts w:eastAsiaTheme="minorEastAsia" w:cs="Arial"/>
              </w:rPr>
              <w:t>Resource development for 2023 Dashboard</w:t>
            </w:r>
          </w:p>
        </w:tc>
      </w:tr>
      <w:tr w:rsidR="00605BE8" w:rsidRPr="00FB463B" w14:paraId="4882A824" w14:textId="77777777" w:rsidTr="00B0226B">
        <w:trPr>
          <w:cantSplit/>
        </w:trPr>
        <w:tc>
          <w:tcPr>
            <w:tcW w:w="2250" w:type="dxa"/>
            <w:vAlign w:val="center"/>
          </w:tcPr>
          <w:p w14:paraId="201FEF0F" w14:textId="64C2D411" w:rsidR="00605BE8" w:rsidRPr="00FB463B" w:rsidRDefault="00DA7CC3" w:rsidP="009A78FF">
            <w:pPr>
              <w:jc w:val="center"/>
              <w:rPr>
                <w:rFonts w:eastAsia="Arial" w:cs="Arial"/>
              </w:rPr>
            </w:pPr>
            <w:r w:rsidRPr="00FB463B">
              <w:rPr>
                <w:rFonts w:eastAsiaTheme="minorEastAsia" w:cs="Arial"/>
              </w:rPr>
              <w:lastRenderedPageBreak/>
              <w:t>March 14, 2023</w:t>
            </w:r>
          </w:p>
        </w:tc>
        <w:tc>
          <w:tcPr>
            <w:tcW w:w="3145" w:type="dxa"/>
            <w:vAlign w:val="center"/>
          </w:tcPr>
          <w:p w14:paraId="0422CE65" w14:textId="3888A8D2" w:rsidR="00605BE8" w:rsidRPr="00FB463B" w:rsidRDefault="00965ABA" w:rsidP="009A78FF">
            <w:pPr>
              <w:jc w:val="center"/>
              <w:rPr>
                <w:rFonts w:eastAsia="Calibri" w:cs="Arial"/>
              </w:rPr>
            </w:pPr>
            <w:r w:rsidRPr="00FB463B">
              <w:rPr>
                <w:rFonts w:eastAsia="Calibri" w:cs="Arial"/>
              </w:rPr>
              <w:t>California Assessment of Student Performance and Progress Coffee Session</w:t>
            </w:r>
          </w:p>
        </w:tc>
        <w:tc>
          <w:tcPr>
            <w:tcW w:w="1980" w:type="dxa"/>
            <w:vAlign w:val="center"/>
          </w:tcPr>
          <w:p w14:paraId="4654B828" w14:textId="38774047" w:rsidR="00605BE8" w:rsidRPr="00FB463B" w:rsidRDefault="00DA7CC3" w:rsidP="009A78FF">
            <w:pPr>
              <w:jc w:val="center"/>
              <w:rPr>
                <w:rFonts w:eastAsiaTheme="minorEastAsia" w:cs="Arial"/>
              </w:rPr>
            </w:pPr>
            <w:r w:rsidRPr="00FB463B">
              <w:rPr>
                <w:rFonts w:eastAsiaTheme="minorEastAsia" w:cs="Arial"/>
              </w:rPr>
              <w:t>332</w:t>
            </w:r>
          </w:p>
        </w:tc>
        <w:tc>
          <w:tcPr>
            <w:tcW w:w="5850" w:type="dxa"/>
            <w:vAlign w:val="center"/>
          </w:tcPr>
          <w:p w14:paraId="11EE48DF" w14:textId="77777777" w:rsidR="00565A48" w:rsidRPr="00FB463B" w:rsidRDefault="000A4BC2" w:rsidP="00C237F4">
            <w:pPr>
              <w:pStyle w:val="ListParagraph"/>
              <w:numPr>
                <w:ilvl w:val="0"/>
                <w:numId w:val="8"/>
              </w:numPr>
              <w:rPr>
                <w:rFonts w:eastAsiaTheme="minorEastAsia" w:cs="Arial"/>
              </w:rPr>
            </w:pPr>
            <w:r w:rsidRPr="00FB463B">
              <w:rPr>
                <w:rFonts w:eastAsiaTheme="minorEastAsia" w:cs="Arial"/>
              </w:rPr>
              <w:t>2023 Accountability Update</w:t>
            </w:r>
          </w:p>
          <w:p w14:paraId="3E764214" w14:textId="023AE952" w:rsidR="000A4BC2" w:rsidRPr="00FB463B" w:rsidRDefault="000A4BC2" w:rsidP="00C237F4">
            <w:pPr>
              <w:pStyle w:val="ListParagraph"/>
              <w:numPr>
                <w:ilvl w:val="0"/>
                <w:numId w:val="8"/>
              </w:numPr>
              <w:rPr>
                <w:rFonts w:eastAsiaTheme="minorEastAsia" w:cs="Arial"/>
              </w:rPr>
            </w:pPr>
            <w:r w:rsidRPr="00FB463B">
              <w:rPr>
                <w:rFonts w:eastAsiaTheme="minorEastAsia" w:cs="Arial"/>
              </w:rPr>
              <w:t>General Overview</w:t>
            </w:r>
            <w:r w:rsidR="00565A48" w:rsidRPr="00FB463B">
              <w:rPr>
                <w:rFonts w:eastAsiaTheme="minorEastAsia" w:cs="Arial"/>
              </w:rPr>
              <w:t xml:space="preserve"> and </w:t>
            </w:r>
            <w:r w:rsidRPr="00FB463B">
              <w:rPr>
                <w:rFonts w:eastAsiaTheme="minorEastAsia" w:cs="Arial"/>
              </w:rPr>
              <w:t xml:space="preserve">Frequently Asked Questions (FAQs), </w:t>
            </w:r>
          </w:p>
          <w:p w14:paraId="3B29AA9A" w14:textId="2915A590" w:rsidR="00662330" w:rsidRPr="00FB463B" w:rsidRDefault="000A4BC2" w:rsidP="00C237F4">
            <w:pPr>
              <w:pStyle w:val="ListParagraph"/>
              <w:numPr>
                <w:ilvl w:val="0"/>
                <w:numId w:val="8"/>
              </w:numPr>
              <w:rPr>
                <w:rFonts w:eastAsiaTheme="minorEastAsia" w:cs="Arial"/>
              </w:rPr>
            </w:pPr>
            <w:r w:rsidRPr="00FB463B">
              <w:rPr>
                <w:rFonts w:eastAsiaTheme="minorEastAsia" w:cs="Arial"/>
              </w:rPr>
              <w:t>Resources for the Academic and English Learner Progress Indicators</w:t>
            </w:r>
          </w:p>
        </w:tc>
      </w:tr>
      <w:tr w:rsidR="00B0226B" w:rsidRPr="00FB463B" w14:paraId="169CEE13" w14:textId="77777777" w:rsidTr="00B0226B">
        <w:trPr>
          <w:cantSplit/>
        </w:trPr>
        <w:tc>
          <w:tcPr>
            <w:tcW w:w="2250" w:type="dxa"/>
            <w:vAlign w:val="center"/>
          </w:tcPr>
          <w:p w14:paraId="472A6072" w14:textId="7A5C46DC" w:rsidR="00B0226B" w:rsidRPr="00FB463B" w:rsidRDefault="00F47F07" w:rsidP="009A78FF">
            <w:pPr>
              <w:jc w:val="center"/>
              <w:rPr>
                <w:rFonts w:eastAsia="Arial" w:cs="Arial"/>
              </w:rPr>
            </w:pPr>
            <w:r w:rsidRPr="00FB463B">
              <w:rPr>
                <w:rFonts w:eastAsia="Arial" w:cs="Arial"/>
              </w:rPr>
              <w:t>March 16, 2023</w:t>
            </w:r>
          </w:p>
        </w:tc>
        <w:tc>
          <w:tcPr>
            <w:tcW w:w="3145" w:type="dxa"/>
            <w:vAlign w:val="center"/>
          </w:tcPr>
          <w:p w14:paraId="2D5F7BC4" w14:textId="424A5AE2" w:rsidR="00B0226B" w:rsidRPr="00FB463B" w:rsidRDefault="00D2739D" w:rsidP="009A78FF">
            <w:pPr>
              <w:jc w:val="center"/>
              <w:rPr>
                <w:rFonts w:cs="Arial"/>
              </w:rPr>
            </w:pPr>
            <w:r w:rsidRPr="00FB463B">
              <w:rPr>
                <w:rFonts w:cs="Arial"/>
              </w:rPr>
              <w:t>Association of California School Administrators (ACSA)</w:t>
            </w:r>
          </w:p>
        </w:tc>
        <w:tc>
          <w:tcPr>
            <w:tcW w:w="1980" w:type="dxa"/>
            <w:vAlign w:val="center"/>
          </w:tcPr>
          <w:p w14:paraId="431BC773" w14:textId="6814F75E" w:rsidR="00B0226B" w:rsidRPr="00FB463B" w:rsidRDefault="00C66974" w:rsidP="009A78FF">
            <w:pPr>
              <w:jc w:val="center"/>
              <w:rPr>
                <w:rFonts w:eastAsiaTheme="minorEastAsia" w:cs="Arial"/>
              </w:rPr>
            </w:pPr>
            <w:r w:rsidRPr="00FB463B">
              <w:rPr>
                <w:rFonts w:eastAsiaTheme="minorEastAsia" w:cs="Arial"/>
              </w:rPr>
              <w:t>50</w:t>
            </w:r>
          </w:p>
        </w:tc>
        <w:tc>
          <w:tcPr>
            <w:tcW w:w="5850" w:type="dxa"/>
            <w:vAlign w:val="center"/>
          </w:tcPr>
          <w:p w14:paraId="304B560A" w14:textId="77777777" w:rsidR="00C66974" w:rsidRPr="00FB463B" w:rsidRDefault="00C66974" w:rsidP="00C237F4">
            <w:pPr>
              <w:pStyle w:val="ListParagraph"/>
              <w:numPr>
                <w:ilvl w:val="0"/>
                <w:numId w:val="8"/>
              </w:numPr>
              <w:rPr>
                <w:rFonts w:eastAsiaTheme="minorEastAsia" w:cs="Arial"/>
              </w:rPr>
            </w:pPr>
            <w:r w:rsidRPr="00FB463B">
              <w:rPr>
                <w:rFonts w:eastAsiaTheme="minorEastAsia" w:cs="Arial"/>
              </w:rPr>
              <w:t>Review of SBE March 2023 actions</w:t>
            </w:r>
          </w:p>
          <w:p w14:paraId="1BBF57ED" w14:textId="55307C59" w:rsidR="00B0226B" w:rsidRPr="00FB463B" w:rsidRDefault="00C66974" w:rsidP="00C237F4">
            <w:pPr>
              <w:pStyle w:val="ListParagraph"/>
              <w:numPr>
                <w:ilvl w:val="0"/>
                <w:numId w:val="8"/>
              </w:numPr>
              <w:rPr>
                <w:rFonts w:eastAsiaTheme="minorEastAsia" w:cs="Arial"/>
              </w:rPr>
            </w:pPr>
            <w:r w:rsidRPr="00FB463B">
              <w:rPr>
                <w:rFonts w:eastAsiaTheme="minorEastAsia" w:cs="Arial"/>
              </w:rPr>
              <w:t>Resource development for 2023 Dashboard</w:t>
            </w:r>
          </w:p>
        </w:tc>
      </w:tr>
      <w:tr w:rsidR="003E3A44" w:rsidRPr="00FB463B" w14:paraId="7103FDAA" w14:textId="77777777" w:rsidTr="00B0226B">
        <w:trPr>
          <w:cantSplit/>
        </w:trPr>
        <w:tc>
          <w:tcPr>
            <w:tcW w:w="2250" w:type="dxa"/>
            <w:vAlign w:val="center"/>
          </w:tcPr>
          <w:p w14:paraId="32128ABE" w14:textId="36513C8D" w:rsidR="003E3A44" w:rsidRPr="00FB463B" w:rsidRDefault="00325B30" w:rsidP="009A78FF">
            <w:pPr>
              <w:jc w:val="center"/>
              <w:rPr>
                <w:rFonts w:eastAsia="Arial" w:cs="Arial"/>
              </w:rPr>
            </w:pPr>
            <w:r w:rsidRPr="00FB463B">
              <w:rPr>
                <w:rFonts w:eastAsia="Arial" w:cs="Arial"/>
              </w:rPr>
              <w:t>March 30, 2023</w:t>
            </w:r>
          </w:p>
        </w:tc>
        <w:tc>
          <w:tcPr>
            <w:tcW w:w="3145" w:type="dxa"/>
            <w:vAlign w:val="center"/>
          </w:tcPr>
          <w:p w14:paraId="0C615DDD" w14:textId="6ADF0C69" w:rsidR="003E3A44" w:rsidRPr="00FB463B" w:rsidRDefault="00F70402" w:rsidP="009A78FF">
            <w:pPr>
              <w:jc w:val="center"/>
              <w:rPr>
                <w:rFonts w:eastAsia="Calibri" w:cs="Arial"/>
              </w:rPr>
            </w:pPr>
            <w:r w:rsidRPr="00FB463B">
              <w:rPr>
                <w:rFonts w:eastAsia="Calibri" w:cs="Arial"/>
              </w:rPr>
              <w:t>California Association of Supervisors of Child Welfare and Attendance: Phil Kauble Topical Forum 2023</w:t>
            </w:r>
          </w:p>
        </w:tc>
        <w:tc>
          <w:tcPr>
            <w:tcW w:w="1980" w:type="dxa"/>
            <w:vAlign w:val="center"/>
          </w:tcPr>
          <w:p w14:paraId="0E5A9BAA" w14:textId="72D469C5" w:rsidR="003E3A44" w:rsidRPr="00FB463B" w:rsidRDefault="000A691D" w:rsidP="009A78FF">
            <w:pPr>
              <w:jc w:val="center"/>
              <w:rPr>
                <w:rFonts w:eastAsiaTheme="minorEastAsia" w:cs="Arial"/>
              </w:rPr>
            </w:pPr>
            <w:r w:rsidRPr="00FB463B">
              <w:rPr>
                <w:rFonts w:eastAsiaTheme="minorEastAsia" w:cs="Arial"/>
              </w:rPr>
              <w:t>133</w:t>
            </w:r>
          </w:p>
        </w:tc>
        <w:tc>
          <w:tcPr>
            <w:tcW w:w="5850" w:type="dxa"/>
            <w:vAlign w:val="center"/>
          </w:tcPr>
          <w:p w14:paraId="5A4E5840" w14:textId="77777777" w:rsidR="000A691D" w:rsidRPr="00FB463B" w:rsidRDefault="000A691D" w:rsidP="00C237F4">
            <w:pPr>
              <w:pStyle w:val="ListParagraph"/>
              <w:numPr>
                <w:ilvl w:val="0"/>
                <w:numId w:val="8"/>
              </w:numPr>
              <w:rPr>
                <w:rFonts w:eastAsiaTheme="minorEastAsia" w:cs="Arial"/>
              </w:rPr>
            </w:pPr>
            <w:r w:rsidRPr="00FB463B">
              <w:rPr>
                <w:rFonts w:eastAsiaTheme="minorEastAsia" w:cs="Arial"/>
              </w:rPr>
              <w:t xml:space="preserve">Review of California School Dashboard and </w:t>
            </w:r>
            <w:proofErr w:type="spellStart"/>
            <w:r w:rsidRPr="00FB463B">
              <w:rPr>
                <w:rFonts w:eastAsiaTheme="minorEastAsia" w:cs="Arial"/>
              </w:rPr>
              <w:t>DataQuest</w:t>
            </w:r>
            <w:proofErr w:type="spellEnd"/>
            <w:r w:rsidRPr="00FB463B">
              <w:rPr>
                <w:rFonts w:eastAsiaTheme="minorEastAsia" w:cs="Arial"/>
              </w:rPr>
              <w:t xml:space="preserve"> reports on Chronic Absenteeism</w:t>
            </w:r>
          </w:p>
          <w:p w14:paraId="45127AF6" w14:textId="701652A7" w:rsidR="003E3A44" w:rsidRPr="00FB463B" w:rsidRDefault="00EA0DE1" w:rsidP="00C237F4">
            <w:pPr>
              <w:pStyle w:val="ListParagraph"/>
              <w:numPr>
                <w:ilvl w:val="0"/>
                <w:numId w:val="8"/>
              </w:numPr>
              <w:rPr>
                <w:rFonts w:eastAsiaTheme="minorEastAsia" w:cs="Arial"/>
              </w:rPr>
            </w:pPr>
            <w:r w:rsidRPr="00FB463B">
              <w:rPr>
                <w:rFonts w:eastAsiaTheme="minorEastAsia" w:cs="Arial"/>
              </w:rPr>
              <w:t>Eligibility</w:t>
            </w:r>
            <w:r w:rsidR="000A691D" w:rsidRPr="00FB463B">
              <w:rPr>
                <w:rFonts w:eastAsiaTheme="minorEastAsia" w:cs="Arial"/>
              </w:rPr>
              <w:t xml:space="preserve"> for Local Control Funding Formula </w:t>
            </w:r>
            <w:proofErr w:type="gramStart"/>
            <w:r w:rsidR="000A691D" w:rsidRPr="00FB463B">
              <w:rPr>
                <w:rFonts w:eastAsiaTheme="minorEastAsia" w:cs="Arial"/>
              </w:rPr>
              <w:t>supports</w:t>
            </w:r>
            <w:proofErr w:type="gramEnd"/>
            <w:r w:rsidR="000A691D" w:rsidRPr="00FB463B">
              <w:rPr>
                <w:rFonts w:eastAsiaTheme="minorEastAsia" w:cs="Arial"/>
              </w:rPr>
              <w:t xml:space="preserve"> and Every Student Succeeds Act supports</w:t>
            </w:r>
          </w:p>
        </w:tc>
      </w:tr>
      <w:tr w:rsidR="00B0226B" w:rsidRPr="00FB463B" w14:paraId="7B547155" w14:textId="77777777" w:rsidTr="00B0226B">
        <w:trPr>
          <w:cantSplit/>
        </w:trPr>
        <w:tc>
          <w:tcPr>
            <w:tcW w:w="2250" w:type="dxa"/>
            <w:vAlign w:val="center"/>
          </w:tcPr>
          <w:p w14:paraId="1D66139D" w14:textId="658CC9E8" w:rsidR="00B0226B" w:rsidRPr="00FB463B" w:rsidRDefault="002077A9" w:rsidP="009A78FF">
            <w:pPr>
              <w:jc w:val="center"/>
              <w:rPr>
                <w:rFonts w:eastAsia="Arial" w:cs="Arial"/>
              </w:rPr>
            </w:pPr>
            <w:r w:rsidRPr="00FB463B">
              <w:rPr>
                <w:rFonts w:eastAsia="Arial" w:cs="Arial"/>
              </w:rPr>
              <w:t>March 30, 2023</w:t>
            </w:r>
          </w:p>
        </w:tc>
        <w:tc>
          <w:tcPr>
            <w:tcW w:w="3145" w:type="dxa"/>
            <w:vAlign w:val="center"/>
          </w:tcPr>
          <w:p w14:paraId="79502AE2" w14:textId="336C7199" w:rsidR="00B0226B" w:rsidRPr="00FB463B" w:rsidRDefault="00176EFC" w:rsidP="009A78FF">
            <w:pPr>
              <w:jc w:val="center"/>
              <w:rPr>
                <w:rFonts w:cs="Arial"/>
              </w:rPr>
            </w:pPr>
            <w:r w:rsidRPr="00FB463B">
              <w:rPr>
                <w:rFonts w:cs="Arial"/>
              </w:rPr>
              <w:t>Student Achievement and Support Division: Additional Targeted Support and Improvement (ATSI) Webinar</w:t>
            </w:r>
          </w:p>
        </w:tc>
        <w:tc>
          <w:tcPr>
            <w:tcW w:w="1980" w:type="dxa"/>
            <w:vAlign w:val="center"/>
          </w:tcPr>
          <w:p w14:paraId="138A1E35" w14:textId="3D9E6622" w:rsidR="00B0226B" w:rsidRPr="00FB463B" w:rsidRDefault="00301850" w:rsidP="009A78FF">
            <w:pPr>
              <w:jc w:val="center"/>
              <w:rPr>
                <w:rFonts w:eastAsiaTheme="minorEastAsia" w:cs="Arial"/>
              </w:rPr>
            </w:pPr>
            <w:r w:rsidRPr="00FB463B">
              <w:rPr>
                <w:rFonts w:eastAsiaTheme="minorEastAsia" w:cs="Arial"/>
              </w:rPr>
              <w:t>705</w:t>
            </w:r>
          </w:p>
        </w:tc>
        <w:tc>
          <w:tcPr>
            <w:tcW w:w="5850" w:type="dxa"/>
            <w:vAlign w:val="center"/>
          </w:tcPr>
          <w:p w14:paraId="539F8F04" w14:textId="77777777" w:rsidR="00301850" w:rsidRPr="00FB463B" w:rsidRDefault="00301850" w:rsidP="00C237F4">
            <w:pPr>
              <w:pStyle w:val="ListParagraph"/>
              <w:numPr>
                <w:ilvl w:val="0"/>
                <w:numId w:val="8"/>
              </w:numPr>
              <w:rPr>
                <w:rFonts w:eastAsiaTheme="minorEastAsia" w:cs="Arial"/>
              </w:rPr>
            </w:pPr>
            <w:r w:rsidRPr="00FB463B">
              <w:rPr>
                <w:rFonts w:eastAsiaTheme="minorEastAsia" w:cs="Arial"/>
              </w:rPr>
              <w:t>Information on planning requirements for schools eligible for ATSI</w:t>
            </w:r>
          </w:p>
          <w:p w14:paraId="37A2CB0D" w14:textId="17E94EC0" w:rsidR="00B0226B" w:rsidRPr="00FB463B" w:rsidRDefault="00301850" w:rsidP="00C237F4">
            <w:pPr>
              <w:pStyle w:val="ListParagraph"/>
              <w:numPr>
                <w:ilvl w:val="0"/>
                <w:numId w:val="8"/>
              </w:numPr>
              <w:rPr>
                <w:rFonts w:eastAsiaTheme="minorEastAsia" w:cs="Arial"/>
              </w:rPr>
            </w:pPr>
            <w:r w:rsidRPr="00FB463B">
              <w:rPr>
                <w:rFonts w:eastAsiaTheme="minorEastAsia" w:cs="Arial"/>
              </w:rPr>
              <w:t>Review of the entry and exit criteria for ATSI.</w:t>
            </w:r>
          </w:p>
        </w:tc>
      </w:tr>
      <w:tr w:rsidR="00934E28" w:rsidRPr="00FB463B" w14:paraId="622D2E3D" w14:textId="77777777" w:rsidTr="00B0226B">
        <w:trPr>
          <w:cantSplit/>
        </w:trPr>
        <w:tc>
          <w:tcPr>
            <w:tcW w:w="2250" w:type="dxa"/>
            <w:vAlign w:val="center"/>
          </w:tcPr>
          <w:p w14:paraId="4D0C3642" w14:textId="2E03B57E" w:rsidR="00934E28" w:rsidRPr="00FB463B" w:rsidRDefault="002B031E" w:rsidP="009A78FF">
            <w:pPr>
              <w:jc w:val="center"/>
              <w:rPr>
                <w:rFonts w:eastAsia="Arial" w:cs="Arial"/>
              </w:rPr>
            </w:pPr>
            <w:r w:rsidRPr="00FB463B">
              <w:rPr>
                <w:rFonts w:eastAsia="Arial" w:cs="Arial"/>
              </w:rPr>
              <w:t>April 20, 2023</w:t>
            </w:r>
          </w:p>
        </w:tc>
        <w:tc>
          <w:tcPr>
            <w:tcW w:w="3145" w:type="dxa"/>
            <w:vAlign w:val="center"/>
          </w:tcPr>
          <w:p w14:paraId="688A4FD3" w14:textId="5EA7EE3D" w:rsidR="00934E28" w:rsidRPr="00FB463B" w:rsidRDefault="00713063" w:rsidP="009A78FF">
            <w:pPr>
              <w:jc w:val="center"/>
              <w:rPr>
                <w:rFonts w:cs="Arial"/>
              </w:rPr>
            </w:pPr>
            <w:r w:rsidRPr="00FB463B">
              <w:rPr>
                <w:rFonts w:cs="Arial"/>
              </w:rPr>
              <w:t>State School Attendance Review Board Meeting</w:t>
            </w:r>
          </w:p>
        </w:tc>
        <w:tc>
          <w:tcPr>
            <w:tcW w:w="1980" w:type="dxa"/>
            <w:vAlign w:val="center"/>
          </w:tcPr>
          <w:p w14:paraId="1D25474B" w14:textId="10296057" w:rsidR="00934E28" w:rsidRPr="00FB463B" w:rsidRDefault="00A87420" w:rsidP="009A78FF">
            <w:pPr>
              <w:jc w:val="center"/>
              <w:rPr>
                <w:rFonts w:eastAsiaTheme="minorEastAsia" w:cs="Arial"/>
              </w:rPr>
            </w:pPr>
            <w:r w:rsidRPr="00FB463B">
              <w:rPr>
                <w:rFonts w:eastAsiaTheme="minorEastAsia" w:cs="Arial"/>
              </w:rPr>
              <w:t>50</w:t>
            </w:r>
          </w:p>
        </w:tc>
        <w:tc>
          <w:tcPr>
            <w:tcW w:w="5850" w:type="dxa"/>
            <w:vAlign w:val="center"/>
          </w:tcPr>
          <w:p w14:paraId="3A2CC277" w14:textId="6F135CCB" w:rsidR="00934E28" w:rsidRPr="00FB463B" w:rsidRDefault="00A87420" w:rsidP="00C237F4">
            <w:pPr>
              <w:pStyle w:val="ListParagraph"/>
              <w:numPr>
                <w:ilvl w:val="0"/>
                <w:numId w:val="8"/>
              </w:numPr>
            </w:pPr>
            <w:r w:rsidRPr="00FB463B">
              <w:t>Updated on annual enrollment trends for 2022–23 school year</w:t>
            </w:r>
          </w:p>
        </w:tc>
      </w:tr>
      <w:tr w:rsidR="00EA10E1" w:rsidRPr="00FB463B" w14:paraId="34C49338" w14:textId="77777777" w:rsidTr="00B0226B">
        <w:trPr>
          <w:cantSplit/>
        </w:trPr>
        <w:tc>
          <w:tcPr>
            <w:tcW w:w="2250" w:type="dxa"/>
            <w:vAlign w:val="center"/>
          </w:tcPr>
          <w:p w14:paraId="7E6FD75F" w14:textId="2B02AC7D" w:rsidR="00EA10E1" w:rsidRPr="00FB463B" w:rsidRDefault="00D96B1A" w:rsidP="009A78FF">
            <w:pPr>
              <w:jc w:val="center"/>
              <w:rPr>
                <w:rFonts w:eastAsia="Arial" w:cs="Arial"/>
              </w:rPr>
            </w:pPr>
            <w:r w:rsidRPr="00FB463B">
              <w:rPr>
                <w:rFonts w:eastAsia="Arial" w:cs="Arial"/>
              </w:rPr>
              <w:t>May 18, 2023</w:t>
            </w:r>
          </w:p>
        </w:tc>
        <w:tc>
          <w:tcPr>
            <w:tcW w:w="3145" w:type="dxa"/>
            <w:vAlign w:val="center"/>
          </w:tcPr>
          <w:p w14:paraId="23A64B94" w14:textId="1501AB53" w:rsidR="00EA10E1" w:rsidRPr="00FB463B" w:rsidRDefault="00A536AF" w:rsidP="009A78FF">
            <w:pPr>
              <w:jc w:val="center"/>
              <w:rPr>
                <w:rFonts w:eastAsia="Calibri" w:cs="Arial"/>
              </w:rPr>
            </w:pPr>
            <w:r w:rsidRPr="00FB463B">
              <w:rPr>
                <w:rFonts w:eastAsia="Calibri" w:cs="Arial"/>
              </w:rPr>
              <w:t>Assessment Interest Holder Meeting</w:t>
            </w:r>
          </w:p>
        </w:tc>
        <w:tc>
          <w:tcPr>
            <w:tcW w:w="1980" w:type="dxa"/>
            <w:vAlign w:val="center"/>
          </w:tcPr>
          <w:p w14:paraId="3DAE2E2E" w14:textId="024CE8E6" w:rsidR="00EA10E1" w:rsidRPr="00FB463B" w:rsidRDefault="008F516B" w:rsidP="009A78FF">
            <w:pPr>
              <w:jc w:val="center"/>
              <w:rPr>
                <w:rFonts w:eastAsiaTheme="minorEastAsia" w:cs="Arial"/>
              </w:rPr>
            </w:pPr>
            <w:r w:rsidRPr="00FB463B">
              <w:rPr>
                <w:rFonts w:eastAsiaTheme="minorEastAsia" w:cs="Arial"/>
              </w:rPr>
              <w:t>20</w:t>
            </w:r>
          </w:p>
        </w:tc>
        <w:tc>
          <w:tcPr>
            <w:tcW w:w="5850" w:type="dxa"/>
            <w:vAlign w:val="center"/>
          </w:tcPr>
          <w:p w14:paraId="5E2E6424" w14:textId="12B953E9" w:rsidR="00EA10E1" w:rsidRPr="00FB463B" w:rsidRDefault="008F516B" w:rsidP="00C237F4">
            <w:pPr>
              <w:pStyle w:val="ListParagraph"/>
              <w:numPr>
                <w:ilvl w:val="0"/>
                <w:numId w:val="8"/>
              </w:numPr>
            </w:pPr>
            <w:r w:rsidRPr="00FB463B">
              <w:t>Overview of Growth Model Display Work</w:t>
            </w:r>
          </w:p>
        </w:tc>
      </w:tr>
      <w:tr w:rsidR="00EA10E1" w:rsidRPr="00FB463B" w14:paraId="56CA0E17" w14:textId="77777777" w:rsidTr="00B0226B">
        <w:trPr>
          <w:cantSplit/>
        </w:trPr>
        <w:tc>
          <w:tcPr>
            <w:tcW w:w="2250" w:type="dxa"/>
            <w:vAlign w:val="center"/>
          </w:tcPr>
          <w:p w14:paraId="2116F81C" w14:textId="4A471166" w:rsidR="00EA10E1" w:rsidRPr="00FB463B" w:rsidRDefault="00A138CB" w:rsidP="009A78FF">
            <w:pPr>
              <w:jc w:val="center"/>
              <w:rPr>
                <w:rFonts w:eastAsia="Arial" w:cs="Arial"/>
              </w:rPr>
            </w:pPr>
            <w:r w:rsidRPr="00FB463B">
              <w:rPr>
                <w:rFonts w:eastAsia="Arial" w:cs="Arial"/>
              </w:rPr>
              <w:lastRenderedPageBreak/>
              <w:t>May 25, 2023</w:t>
            </w:r>
          </w:p>
        </w:tc>
        <w:tc>
          <w:tcPr>
            <w:tcW w:w="3145" w:type="dxa"/>
            <w:vAlign w:val="center"/>
          </w:tcPr>
          <w:p w14:paraId="093914A7" w14:textId="461F0F89" w:rsidR="00EA10E1" w:rsidRPr="00FB463B" w:rsidRDefault="00DB5632" w:rsidP="009A78FF">
            <w:pPr>
              <w:jc w:val="center"/>
              <w:rPr>
                <w:rFonts w:eastAsia="Calibri" w:cs="Arial"/>
              </w:rPr>
            </w:pPr>
            <w:r w:rsidRPr="00FB463B">
              <w:rPr>
                <w:rFonts w:eastAsia="Calibri" w:cs="Arial"/>
              </w:rPr>
              <w:t>WestEd Accountability SEA Convening</w:t>
            </w:r>
          </w:p>
        </w:tc>
        <w:tc>
          <w:tcPr>
            <w:tcW w:w="1980" w:type="dxa"/>
            <w:vAlign w:val="center"/>
          </w:tcPr>
          <w:p w14:paraId="6DDA1345" w14:textId="5A5B030B" w:rsidR="00EA10E1" w:rsidRPr="00FB463B" w:rsidRDefault="00BA4BA0" w:rsidP="009A78FF">
            <w:pPr>
              <w:jc w:val="center"/>
              <w:rPr>
                <w:rFonts w:eastAsiaTheme="minorEastAsia" w:cs="Arial"/>
              </w:rPr>
            </w:pPr>
            <w:r w:rsidRPr="00FB463B">
              <w:rPr>
                <w:rFonts w:eastAsiaTheme="minorEastAsia" w:cs="Arial"/>
              </w:rPr>
              <w:t>40</w:t>
            </w:r>
          </w:p>
        </w:tc>
        <w:tc>
          <w:tcPr>
            <w:tcW w:w="5850" w:type="dxa"/>
            <w:vAlign w:val="center"/>
          </w:tcPr>
          <w:p w14:paraId="62223EA4" w14:textId="58D8A1C7" w:rsidR="00EA10E1" w:rsidRPr="00FB463B" w:rsidRDefault="004E08D6" w:rsidP="00C237F4">
            <w:pPr>
              <w:pStyle w:val="ListParagraph"/>
              <w:numPr>
                <w:ilvl w:val="0"/>
                <w:numId w:val="8"/>
              </w:numPr>
            </w:pPr>
            <w:r w:rsidRPr="00FB463B">
              <w:t>College/Career Indicator and Chronic Absenteeism Indicator</w:t>
            </w:r>
          </w:p>
        </w:tc>
      </w:tr>
      <w:tr w:rsidR="00B0226B" w:rsidRPr="00FB463B" w14:paraId="4E265C72" w14:textId="77777777" w:rsidTr="00B0226B">
        <w:trPr>
          <w:cantSplit/>
        </w:trPr>
        <w:tc>
          <w:tcPr>
            <w:tcW w:w="2250" w:type="dxa"/>
            <w:vAlign w:val="center"/>
          </w:tcPr>
          <w:p w14:paraId="718CD23F" w14:textId="0E3AADE9" w:rsidR="00B0226B" w:rsidRPr="00FB463B" w:rsidRDefault="003534E4" w:rsidP="009A78FF">
            <w:pPr>
              <w:jc w:val="center"/>
              <w:rPr>
                <w:rFonts w:eastAsia="Arial" w:cs="Arial"/>
              </w:rPr>
            </w:pPr>
            <w:r w:rsidRPr="00FB463B">
              <w:rPr>
                <w:rFonts w:eastAsia="Arial" w:cs="Arial"/>
              </w:rPr>
              <w:t>May 25, 2023</w:t>
            </w:r>
          </w:p>
        </w:tc>
        <w:tc>
          <w:tcPr>
            <w:tcW w:w="3145" w:type="dxa"/>
            <w:vAlign w:val="center"/>
          </w:tcPr>
          <w:p w14:paraId="1136CE86" w14:textId="5C709388" w:rsidR="00B0226B" w:rsidRPr="00FB463B" w:rsidRDefault="0076449F" w:rsidP="009A78FF">
            <w:pPr>
              <w:jc w:val="center"/>
              <w:rPr>
                <w:rFonts w:cs="Arial"/>
              </w:rPr>
            </w:pPr>
            <w:r w:rsidRPr="00FB463B">
              <w:rPr>
                <w:rFonts w:cs="Arial"/>
              </w:rPr>
              <w:t>California Association of Administrators of State and Federal Education Programs (CAASFEP) Office Hours</w:t>
            </w:r>
          </w:p>
        </w:tc>
        <w:tc>
          <w:tcPr>
            <w:tcW w:w="1980" w:type="dxa"/>
            <w:vAlign w:val="center"/>
          </w:tcPr>
          <w:p w14:paraId="7E9D9BFB" w14:textId="27533924" w:rsidR="00B0226B" w:rsidRPr="00FB463B" w:rsidRDefault="00CB3CF9" w:rsidP="009A78FF">
            <w:pPr>
              <w:jc w:val="center"/>
              <w:rPr>
                <w:rFonts w:eastAsiaTheme="minorEastAsia" w:cs="Arial"/>
              </w:rPr>
            </w:pPr>
            <w:r w:rsidRPr="00FB463B">
              <w:rPr>
                <w:rFonts w:eastAsiaTheme="minorEastAsia" w:cs="Arial"/>
              </w:rPr>
              <w:t>46</w:t>
            </w:r>
          </w:p>
        </w:tc>
        <w:tc>
          <w:tcPr>
            <w:tcW w:w="5850" w:type="dxa"/>
            <w:vAlign w:val="center"/>
          </w:tcPr>
          <w:p w14:paraId="67374386" w14:textId="368912EE" w:rsidR="00B0226B" w:rsidRPr="00FB463B" w:rsidRDefault="00BE519B" w:rsidP="00C237F4">
            <w:pPr>
              <w:pStyle w:val="ListParagraph"/>
              <w:numPr>
                <w:ilvl w:val="0"/>
                <w:numId w:val="8"/>
              </w:numPr>
            </w:pPr>
            <w:r w:rsidRPr="00FB463B">
              <w:t>Respond to questions relating to the Dashboard.</w:t>
            </w:r>
          </w:p>
        </w:tc>
      </w:tr>
      <w:tr w:rsidR="00820FE1" w:rsidRPr="00FB463B" w14:paraId="4A89D1B0" w14:textId="77777777" w:rsidTr="00B0226B">
        <w:trPr>
          <w:cantSplit/>
        </w:trPr>
        <w:tc>
          <w:tcPr>
            <w:tcW w:w="2250" w:type="dxa"/>
            <w:vAlign w:val="center"/>
          </w:tcPr>
          <w:p w14:paraId="10F00E43" w14:textId="18FB1BA2" w:rsidR="00820FE1" w:rsidRPr="00FB463B" w:rsidRDefault="00D46719" w:rsidP="009A78FF">
            <w:pPr>
              <w:jc w:val="center"/>
              <w:rPr>
                <w:rFonts w:eastAsiaTheme="minorEastAsia" w:cs="Arial"/>
              </w:rPr>
            </w:pPr>
            <w:r w:rsidRPr="00FB463B">
              <w:rPr>
                <w:rFonts w:eastAsiaTheme="minorEastAsia" w:cs="Arial"/>
              </w:rPr>
              <w:t>June 6, 2023</w:t>
            </w:r>
          </w:p>
        </w:tc>
        <w:tc>
          <w:tcPr>
            <w:tcW w:w="3145" w:type="dxa"/>
            <w:vAlign w:val="center"/>
          </w:tcPr>
          <w:p w14:paraId="645FE99E" w14:textId="30020A1D" w:rsidR="00820FE1" w:rsidRPr="00FB463B" w:rsidRDefault="000A5650" w:rsidP="009A78FF">
            <w:pPr>
              <w:jc w:val="center"/>
              <w:rPr>
                <w:rFonts w:cs="Arial"/>
              </w:rPr>
            </w:pPr>
            <w:r w:rsidRPr="00FB463B">
              <w:rPr>
                <w:rFonts w:cs="Arial"/>
              </w:rPr>
              <w:t>WASC Train the Trainers Meeting</w:t>
            </w:r>
          </w:p>
        </w:tc>
        <w:tc>
          <w:tcPr>
            <w:tcW w:w="1980" w:type="dxa"/>
            <w:vAlign w:val="center"/>
          </w:tcPr>
          <w:p w14:paraId="4E9244F7" w14:textId="6030BC46" w:rsidR="00820FE1" w:rsidRPr="00FB463B" w:rsidRDefault="00AE794F" w:rsidP="009A78FF">
            <w:pPr>
              <w:jc w:val="center"/>
              <w:rPr>
                <w:rFonts w:eastAsia="Arial" w:cs="Arial"/>
              </w:rPr>
            </w:pPr>
            <w:r w:rsidRPr="00FB463B">
              <w:rPr>
                <w:rFonts w:eastAsia="Arial" w:cs="Arial"/>
              </w:rPr>
              <w:t>20</w:t>
            </w:r>
          </w:p>
        </w:tc>
        <w:tc>
          <w:tcPr>
            <w:tcW w:w="5850" w:type="dxa"/>
            <w:vAlign w:val="center"/>
          </w:tcPr>
          <w:p w14:paraId="34B7004E" w14:textId="77777777" w:rsidR="00B07C9E" w:rsidRPr="00FB463B" w:rsidRDefault="00AE794F" w:rsidP="00C237F4">
            <w:pPr>
              <w:pStyle w:val="ListParagraph"/>
              <w:numPr>
                <w:ilvl w:val="0"/>
                <w:numId w:val="8"/>
              </w:numPr>
              <w:rPr>
                <w:rFonts w:eastAsia="Arial" w:cs="Arial"/>
              </w:rPr>
            </w:pPr>
            <w:r w:rsidRPr="00FB463B">
              <w:rPr>
                <w:rFonts w:eastAsia="Arial" w:cs="Arial"/>
              </w:rPr>
              <w:t>Overview of the Dashboard</w:t>
            </w:r>
          </w:p>
          <w:p w14:paraId="4D92B18A" w14:textId="77777777" w:rsidR="00B07C9E" w:rsidRPr="00FB463B" w:rsidRDefault="00AE794F" w:rsidP="00C237F4">
            <w:pPr>
              <w:pStyle w:val="ListParagraph"/>
              <w:numPr>
                <w:ilvl w:val="0"/>
                <w:numId w:val="8"/>
              </w:numPr>
              <w:rPr>
                <w:rFonts w:eastAsia="Arial" w:cs="Arial"/>
              </w:rPr>
            </w:pPr>
            <w:r w:rsidRPr="00FB463B">
              <w:rPr>
                <w:rFonts w:eastAsia="Arial" w:cs="Arial"/>
              </w:rPr>
              <w:t xml:space="preserve">A review of </w:t>
            </w:r>
            <w:r w:rsidR="00B07C9E" w:rsidRPr="00FB463B">
              <w:rPr>
                <w:rFonts w:eastAsia="Arial" w:cs="Arial"/>
              </w:rPr>
              <w:t xml:space="preserve">state indicators and </w:t>
            </w:r>
            <w:r w:rsidRPr="00FB463B">
              <w:rPr>
                <w:rFonts w:eastAsia="Arial" w:cs="Arial"/>
              </w:rPr>
              <w:t xml:space="preserve">how performance is determined and used for LEA and school support. </w:t>
            </w:r>
          </w:p>
          <w:p w14:paraId="5C6C8727" w14:textId="0EF6BC7F" w:rsidR="00820FE1" w:rsidRPr="00FB463B" w:rsidRDefault="00B07C9E" w:rsidP="00C237F4">
            <w:pPr>
              <w:pStyle w:val="ListParagraph"/>
              <w:numPr>
                <w:ilvl w:val="0"/>
                <w:numId w:val="8"/>
              </w:numPr>
              <w:rPr>
                <w:rFonts w:eastAsia="Arial" w:cs="Arial"/>
              </w:rPr>
            </w:pPr>
            <w:r w:rsidRPr="00FB463B">
              <w:rPr>
                <w:rFonts w:eastAsia="Arial" w:cs="Arial"/>
              </w:rPr>
              <w:t>O</w:t>
            </w:r>
            <w:r w:rsidR="00AE794F" w:rsidRPr="00FB463B">
              <w:rPr>
                <w:rFonts w:eastAsia="Arial" w:cs="Arial"/>
              </w:rPr>
              <w:t>verview of additional reports and resources.</w:t>
            </w:r>
          </w:p>
        </w:tc>
      </w:tr>
      <w:tr w:rsidR="00B0226B" w:rsidRPr="00FB463B" w14:paraId="6179F681" w14:textId="77777777" w:rsidTr="00B0226B">
        <w:trPr>
          <w:cantSplit/>
        </w:trPr>
        <w:tc>
          <w:tcPr>
            <w:tcW w:w="2250" w:type="dxa"/>
            <w:vAlign w:val="center"/>
          </w:tcPr>
          <w:p w14:paraId="30B5696A" w14:textId="7607B70A" w:rsidR="00B0226B" w:rsidRPr="00FB463B" w:rsidRDefault="0028318F" w:rsidP="009A78FF">
            <w:pPr>
              <w:jc w:val="center"/>
              <w:rPr>
                <w:rFonts w:eastAsiaTheme="minorEastAsia" w:cs="Arial"/>
              </w:rPr>
            </w:pPr>
            <w:r w:rsidRPr="00FB463B">
              <w:rPr>
                <w:rFonts w:eastAsiaTheme="minorEastAsia" w:cs="Arial"/>
              </w:rPr>
              <w:t>June 23, 2023</w:t>
            </w:r>
          </w:p>
        </w:tc>
        <w:tc>
          <w:tcPr>
            <w:tcW w:w="3145" w:type="dxa"/>
            <w:vAlign w:val="center"/>
          </w:tcPr>
          <w:p w14:paraId="3A99E5D8" w14:textId="67AAD34D" w:rsidR="00B0226B" w:rsidRPr="00FB463B" w:rsidRDefault="00202F78" w:rsidP="009A78FF">
            <w:pPr>
              <w:jc w:val="center"/>
              <w:rPr>
                <w:rFonts w:cs="Arial"/>
              </w:rPr>
            </w:pPr>
            <w:r w:rsidRPr="00FB463B">
              <w:rPr>
                <w:rFonts w:cs="Arial"/>
              </w:rPr>
              <w:t>State and Federal Program Directors Meeting</w:t>
            </w:r>
          </w:p>
        </w:tc>
        <w:tc>
          <w:tcPr>
            <w:tcW w:w="1980" w:type="dxa"/>
            <w:vAlign w:val="center"/>
          </w:tcPr>
          <w:p w14:paraId="3D135D3F" w14:textId="7D575A6C" w:rsidR="00B0226B" w:rsidRPr="00FB463B" w:rsidRDefault="0028318F" w:rsidP="009A78FF">
            <w:pPr>
              <w:jc w:val="center"/>
            </w:pPr>
            <w:r w:rsidRPr="00FB463B">
              <w:t>201</w:t>
            </w:r>
          </w:p>
        </w:tc>
        <w:tc>
          <w:tcPr>
            <w:tcW w:w="5850" w:type="dxa"/>
            <w:vAlign w:val="center"/>
          </w:tcPr>
          <w:p w14:paraId="33C49CE7" w14:textId="77777777" w:rsidR="0028318F" w:rsidRPr="00FB463B" w:rsidRDefault="00421878" w:rsidP="00C237F4">
            <w:pPr>
              <w:pStyle w:val="ListParagraph"/>
              <w:numPr>
                <w:ilvl w:val="0"/>
                <w:numId w:val="8"/>
              </w:numPr>
            </w:pPr>
            <w:r w:rsidRPr="00FB463B">
              <w:t>Recent data releases</w:t>
            </w:r>
          </w:p>
          <w:p w14:paraId="3A2ADAD0" w14:textId="77777777" w:rsidR="0028318F" w:rsidRPr="00FB463B" w:rsidRDefault="00421878" w:rsidP="00C237F4">
            <w:pPr>
              <w:pStyle w:val="ListParagraph"/>
              <w:numPr>
                <w:ilvl w:val="0"/>
                <w:numId w:val="8"/>
              </w:numPr>
            </w:pPr>
            <w:r w:rsidRPr="00FB463B">
              <w:t xml:space="preserve">CALPADS </w:t>
            </w:r>
            <w:r w:rsidR="0028318F" w:rsidRPr="00FB463B">
              <w:t>u</w:t>
            </w:r>
            <w:r w:rsidRPr="00FB463B">
              <w:t>pdates</w:t>
            </w:r>
          </w:p>
          <w:p w14:paraId="2AED0232" w14:textId="7705F23C" w:rsidR="00B0226B" w:rsidRPr="00FB463B" w:rsidRDefault="0028318F" w:rsidP="00C237F4">
            <w:pPr>
              <w:pStyle w:val="ListParagraph"/>
              <w:numPr>
                <w:ilvl w:val="0"/>
                <w:numId w:val="8"/>
              </w:numPr>
            </w:pPr>
            <w:r w:rsidRPr="00FB463B">
              <w:t>P</w:t>
            </w:r>
            <w:r w:rsidR="00421878" w:rsidRPr="00FB463B">
              <w:t>ending state budget actions</w:t>
            </w:r>
          </w:p>
        </w:tc>
      </w:tr>
      <w:tr w:rsidR="00B0226B" w:rsidRPr="00FB463B" w14:paraId="12890FDD" w14:textId="77777777" w:rsidTr="00B0226B">
        <w:trPr>
          <w:cantSplit/>
        </w:trPr>
        <w:tc>
          <w:tcPr>
            <w:tcW w:w="2250" w:type="dxa"/>
            <w:vAlign w:val="center"/>
          </w:tcPr>
          <w:p w14:paraId="5AC49EC9" w14:textId="2890A37C" w:rsidR="00B0226B" w:rsidRPr="00FB463B" w:rsidRDefault="006B6387" w:rsidP="009A78FF">
            <w:pPr>
              <w:jc w:val="center"/>
              <w:rPr>
                <w:rFonts w:eastAsiaTheme="minorEastAsia"/>
              </w:rPr>
            </w:pPr>
            <w:r w:rsidRPr="00FB463B">
              <w:rPr>
                <w:rFonts w:eastAsiaTheme="minorEastAsia"/>
              </w:rPr>
              <w:t>July 31, 2023</w:t>
            </w:r>
          </w:p>
        </w:tc>
        <w:tc>
          <w:tcPr>
            <w:tcW w:w="3145" w:type="dxa"/>
            <w:vAlign w:val="center"/>
          </w:tcPr>
          <w:p w14:paraId="2A46A818" w14:textId="0C993DEA" w:rsidR="00B0226B" w:rsidRPr="00FB463B" w:rsidRDefault="006B6387" w:rsidP="009A78FF">
            <w:pPr>
              <w:jc w:val="center"/>
            </w:pPr>
            <w:r w:rsidRPr="00FB463B">
              <w:t>Council of Chief State School Officers - Accountability Systems and Reporting Collaborative Session with Attendance Works</w:t>
            </w:r>
          </w:p>
        </w:tc>
        <w:tc>
          <w:tcPr>
            <w:tcW w:w="1980" w:type="dxa"/>
            <w:vAlign w:val="center"/>
          </w:tcPr>
          <w:p w14:paraId="73AB7144" w14:textId="69289E92" w:rsidR="00B0226B" w:rsidRPr="00FB463B" w:rsidRDefault="00CB133B" w:rsidP="009A78FF">
            <w:pPr>
              <w:jc w:val="center"/>
              <w:rPr>
                <w:rFonts w:eastAsiaTheme="minorEastAsia" w:cs="Arial"/>
              </w:rPr>
            </w:pPr>
            <w:r w:rsidRPr="00FB463B">
              <w:rPr>
                <w:rFonts w:eastAsiaTheme="minorEastAsia" w:cs="Arial"/>
              </w:rPr>
              <w:t>23</w:t>
            </w:r>
          </w:p>
        </w:tc>
        <w:tc>
          <w:tcPr>
            <w:tcW w:w="5850" w:type="dxa"/>
            <w:vAlign w:val="center"/>
          </w:tcPr>
          <w:p w14:paraId="132521A9" w14:textId="1483D426" w:rsidR="00B0226B" w:rsidRPr="00FB463B" w:rsidRDefault="00CA2277" w:rsidP="00C237F4">
            <w:pPr>
              <w:pStyle w:val="ListParagraph"/>
              <w:numPr>
                <w:ilvl w:val="0"/>
                <w:numId w:val="8"/>
              </w:numPr>
            </w:pPr>
            <w:r w:rsidRPr="00FB463B">
              <w:t>Review of Chronic Absenteeism Reporting and Functionality</w:t>
            </w:r>
          </w:p>
        </w:tc>
      </w:tr>
      <w:tr w:rsidR="00B0226B" w:rsidRPr="00CE2C6D" w14:paraId="25F1CD4A" w14:textId="77777777" w:rsidTr="00B0226B">
        <w:trPr>
          <w:cantSplit/>
        </w:trPr>
        <w:tc>
          <w:tcPr>
            <w:tcW w:w="2250" w:type="dxa"/>
            <w:vAlign w:val="center"/>
          </w:tcPr>
          <w:p w14:paraId="35A76879" w14:textId="47B29372" w:rsidR="00B0226B" w:rsidRPr="00FB463B" w:rsidRDefault="00AD4816" w:rsidP="009A78FF">
            <w:pPr>
              <w:jc w:val="center"/>
              <w:rPr>
                <w:rFonts w:eastAsiaTheme="minorEastAsia"/>
              </w:rPr>
            </w:pPr>
            <w:r w:rsidRPr="00FB463B">
              <w:rPr>
                <w:rFonts w:eastAsiaTheme="minorEastAsia"/>
              </w:rPr>
              <w:lastRenderedPageBreak/>
              <w:t xml:space="preserve">August </w:t>
            </w:r>
            <w:r w:rsidR="00167D2F" w:rsidRPr="00FB463B">
              <w:rPr>
                <w:rFonts w:eastAsiaTheme="minorEastAsia"/>
              </w:rPr>
              <w:t>17, 2023</w:t>
            </w:r>
          </w:p>
        </w:tc>
        <w:tc>
          <w:tcPr>
            <w:tcW w:w="3145" w:type="dxa"/>
            <w:vAlign w:val="center"/>
          </w:tcPr>
          <w:p w14:paraId="5AA5CBCB" w14:textId="73CB2F62" w:rsidR="00B0226B" w:rsidRPr="00FB463B" w:rsidRDefault="00277FA6" w:rsidP="009A78FF">
            <w:pPr>
              <w:jc w:val="center"/>
            </w:pPr>
            <w:r w:rsidRPr="00FB463B">
              <w:t xml:space="preserve">Assessment and Accountability Information Meeting </w:t>
            </w:r>
          </w:p>
        </w:tc>
        <w:tc>
          <w:tcPr>
            <w:tcW w:w="1980" w:type="dxa"/>
            <w:vAlign w:val="center"/>
          </w:tcPr>
          <w:p w14:paraId="25881F90" w14:textId="5D96CC94" w:rsidR="00B0226B" w:rsidRPr="00FB463B" w:rsidRDefault="00015BB4" w:rsidP="009A78FF">
            <w:pPr>
              <w:jc w:val="center"/>
              <w:rPr>
                <w:rFonts w:eastAsiaTheme="minorEastAsia"/>
              </w:rPr>
            </w:pPr>
            <w:r w:rsidRPr="00FB463B">
              <w:rPr>
                <w:rFonts w:eastAsiaTheme="minorEastAsia"/>
              </w:rPr>
              <w:t>8</w:t>
            </w:r>
            <w:r w:rsidR="00E63E1D" w:rsidRPr="00FB463B">
              <w:rPr>
                <w:rFonts w:eastAsiaTheme="minorEastAsia"/>
              </w:rPr>
              <w:t>57</w:t>
            </w:r>
          </w:p>
        </w:tc>
        <w:tc>
          <w:tcPr>
            <w:tcW w:w="5850" w:type="dxa"/>
            <w:vAlign w:val="center"/>
          </w:tcPr>
          <w:p w14:paraId="76E6CD9F" w14:textId="77777777" w:rsidR="00046834" w:rsidRPr="00FB463B" w:rsidRDefault="00046834" w:rsidP="00046834">
            <w:pPr>
              <w:pStyle w:val="ListParagraph"/>
              <w:numPr>
                <w:ilvl w:val="0"/>
                <w:numId w:val="8"/>
              </w:numPr>
              <w:rPr>
                <w:rFonts w:eastAsiaTheme="minorEastAsia"/>
              </w:rPr>
            </w:pPr>
            <w:r w:rsidRPr="00FB463B">
              <w:rPr>
                <w:rFonts w:eastAsiaTheme="minorEastAsia"/>
              </w:rPr>
              <w:t xml:space="preserve">2023 and the California School Dashboard (Dashboard) </w:t>
            </w:r>
          </w:p>
          <w:p w14:paraId="0F6B54E9" w14:textId="77777777" w:rsidR="00046834" w:rsidRPr="00FB463B" w:rsidRDefault="00046834" w:rsidP="00046834">
            <w:pPr>
              <w:pStyle w:val="ListParagraph"/>
              <w:numPr>
                <w:ilvl w:val="0"/>
                <w:numId w:val="8"/>
              </w:numPr>
              <w:rPr>
                <w:rFonts w:eastAsiaTheme="minorEastAsia"/>
              </w:rPr>
            </w:pPr>
            <w:r w:rsidRPr="00FB463B">
              <w:rPr>
                <w:rFonts w:eastAsiaTheme="minorEastAsia"/>
              </w:rPr>
              <w:t xml:space="preserve">Improvement Makes You Shine! </w:t>
            </w:r>
          </w:p>
          <w:p w14:paraId="23A523C5" w14:textId="77777777" w:rsidR="00046834" w:rsidRPr="00FB463B" w:rsidRDefault="00046834" w:rsidP="00046834">
            <w:pPr>
              <w:pStyle w:val="ListParagraph"/>
              <w:numPr>
                <w:ilvl w:val="0"/>
                <w:numId w:val="8"/>
              </w:numPr>
              <w:rPr>
                <w:rFonts w:eastAsiaTheme="minorEastAsia"/>
              </w:rPr>
            </w:pPr>
            <w:r w:rsidRPr="00FB463B">
              <w:rPr>
                <w:rFonts w:eastAsiaTheme="minorEastAsia"/>
              </w:rPr>
              <w:t xml:space="preserve">A Few More Tools in Your Toolkit </w:t>
            </w:r>
          </w:p>
          <w:p w14:paraId="115A0E17" w14:textId="77777777" w:rsidR="00046834" w:rsidRPr="00FB463B" w:rsidRDefault="00046834" w:rsidP="00046834">
            <w:pPr>
              <w:pStyle w:val="ListParagraph"/>
              <w:numPr>
                <w:ilvl w:val="0"/>
                <w:numId w:val="8"/>
              </w:numPr>
              <w:rPr>
                <w:rFonts w:eastAsiaTheme="minorEastAsia"/>
              </w:rPr>
            </w:pPr>
            <w:r w:rsidRPr="00FB463B">
              <w:rPr>
                <w:rFonts w:eastAsiaTheme="minorEastAsia"/>
              </w:rPr>
              <w:t xml:space="preserve">Dashboard Coordinators </w:t>
            </w:r>
          </w:p>
          <w:p w14:paraId="46DB53CF" w14:textId="77777777" w:rsidR="00046834" w:rsidRPr="00FB463B" w:rsidRDefault="00046834" w:rsidP="00046834">
            <w:pPr>
              <w:pStyle w:val="ListParagraph"/>
              <w:numPr>
                <w:ilvl w:val="0"/>
                <w:numId w:val="8"/>
              </w:numPr>
              <w:rPr>
                <w:rFonts w:eastAsiaTheme="minorEastAsia"/>
              </w:rPr>
            </w:pPr>
            <w:r w:rsidRPr="00FB463B">
              <w:rPr>
                <w:rFonts w:eastAsiaTheme="minorEastAsia"/>
              </w:rPr>
              <w:t xml:space="preserve">2022–23 School Accountability Report Cards (SARCs) </w:t>
            </w:r>
          </w:p>
          <w:p w14:paraId="722F919B" w14:textId="4A6C5C35" w:rsidR="00B0226B" w:rsidRPr="00FB463B" w:rsidRDefault="00046834" w:rsidP="00046834">
            <w:pPr>
              <w:pStyle w:val="ListParagraph"/>
              <w:numPr>
                <w:ilvl w:val="0"/>
                <w:numId w:val="8"/>
              </w:numPr>
              <w:rPr>
                <w:rFonts w:eastAsiaTheme="minorEastAsia"/>
              </w:rPr>
            </w:pPr>
            <w:r w:rsidRPr="00FB463B">
              <w:rPr>
                <w:rFonts w:eastAsiaTheme="minorEastAsia"/>
              </w:rPr>
              <w:t xml:space="preserve">How to Be a Dashboard Superstar! </w:t>
            </w:r>
          </w:p>
        </w:tc>
      </w:tr>
      <w:bookmarkEnd w:id="0"/>
    </w:tbl>
    <w:p w14:paraId="622ED479" w14:textId="77777777" w:rsidR="002C42D3" w:rsidRDefault="002C42D3" w:rsidP="00B0226B">
      <w:pPr>
        <w:spacing w:before="240" w:after="240"/>
      </w:pPr>
    </w:p>
    <w:sectPr w:rsidR="002C42D3" w:rsidSect="00897401">
      <w:headerReference w:type="default" r:id="rId161"/>
      <w:headerReference w:type="first" r:id="rId162"/>
      <w:footerReference w:type="first" r:id="rId16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1AF1" w14:textId="77777777" w:rsidR="00E3794A" w:rsidRDefault="00E3794A" w:rsidP="000E09DC">
      <w:r>
        <w:separator/>
      </w:r>
    </w:p>
  </w:endnote>
  <w:endnote w:type="continuationSeparator" w:id="0">
    <w:p w14:paraId="59D0EE08" w14:textId="77777777" w:rsidR="00E3794A" w:rsidRDefault="00E3794A" w:rsidP="000E09DC">
      <w:r>
        <w:continuationSeparator/>
      </w:r>
    </w:p>
  </w:endnote>
  <w:endnote w:type="continuationNotice" w:id="1">
    <w:p w14:paraId="5ECC2887" w14:textId="77777777" w:rsidR="00E3794A" w:rsidRDefault="00E37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BIZ UD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3"/>
      <w:tblW w:w="0" w:type="auto"/>
      <w:tblLayout w:type="fixed"/>
      <w:tblLook w:val="06A0" w:firstRow="1" w:lastRow="0" w:firstColumn="1" w:lastColumn="0" w:noHBand="1" w:noVBand="1"/>
    </w:tblPr>
    <w:tblGrid>
      <w:gridCol w:w="1500"/>
      <w:gridCol w:w="1480"/>
      <w:gridCol w:w="1500"/>
    </w:tblGrid>
    <w:tr w:rsidR="00024A11" w14:paraId="752F4A2F" w14:textId="77777777" w:rsidTr="005F1FB6">
      <w:trPr>
        <w:cnfStyle w:val="100000000000" w:firstRow="1" w:lastRow="0" w:firstColumn="0" w:lastColumn="0" w:oddVBand="0" w:evenVBand="0" w:oddHBand="0" w:evenHBand="0" w:firstRowFirstColumn="0" w:firstRowLastColumn="0" w:lastRowFirstColumn="0" w:lastRowLastColumn="0"/>
        <w:trHeight w:val="300"/>
      </w:trPr>
      <w:tc>
        <w:tcPr>
          <w:tcW w:w="1440" w:type="dxa"/>
        </w:tcPr>
        <w:p w14:paraId="2F4556BC" w14:textId="40D96435" w:rsidR="00024A11" w:rsidRDefault="00024A11" w:rsidP="00B12CB1">
          <w:pPr>
            <w:pStyle w:val="Header"/>
            <w:ind w:left="-115"/>
          </w:pPr>
        </w:p>
      </w:tc>
      <w:tc>
        <w:tcPr>
          <w:tcW w:w="1440" w:type="dxa"/>
        </w:tcPr>
        <w:p w14:paraId="70AE4395" w14:textId="247DE95C" w:rsidR="00024A11" w:rsidRDefault="00024A11" w:rsidP="00B12CB1">
          <w:pPr>
            <w:pStyle w:val="Header"/>
            <w:jc w:val="center"/>
          </w:pPr>
        </w:p>
      </w:tc>
      <w:tc>
        <w:tcPr>
          <w:tcW w:w="1440" w:type="dxa"/>
        </w:tcPr>
        <w:p w14:paraId="2B87C402" w14:textId="68A50A98" w:rsidR="00024A11" w:rsidRDefault="00024A11" w:rsidP="00B12CB1">
          <w:pPr>
            <w:pStyle w:val="Header"/>
            <w:ind w:right="-115"/>
            <w:jc w:val="right"/>
          </w:pPr>
        </w:p>
      </w:tc>
    </w:tr>
  </w:tbl>
  <w:p w14:paraId="76588371" w14:textId="111C1283" w:rsidR="00024A11" w:rsidRDefault="00024A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024A11" w14:paraId="0C9D0911" w14:textId="77777777" w:rsidTr="00120B16">
      <w:trPr>
        <w:trHeight w:val="300"/>
      </w:trPr>
      <w:tc>
        <w:tcPr>
          <w:tcW w:w="4800" w:type="dxa"/>
        </w:tcPr>
        <w:p w14:paraId="0A640299" w14:textId="438D4D8B" w:rsidR="00024A11" w:rsidRDefault="00024A11" w:rsidP="00B12CB1">
          <w:pPr>
            <w:pStyle w:val="Header"/>
            <w:ind w:left="-115"/>
          </w:pPr>
        </w:p>
      </w:tc>
      <w:tc>
        <w:tcPr>
          <w:tcW w:w="4800" w:type="dxa"/>
        </w:tcPr>
        <w:p w14:paraId="692A507E" w14:textId="1AC9C5CD" w:rsidR="00024A11" w:rsidRDefault="00024A11" w:rsidP="00B12CB1">
          <w:pPr>
            <w:pStyle w:val="Header"/>
            <w:jc w:val="center"/>
          </w:pPr>
        </w:p>
      </w:tc>
      <w:tc>
        <w:tcPr>
          <w:tcW w:w="4800" w:type="dxa"/>
        </w:tcPr>
        <w:p w14:paraId="750B8CB5" w14:textId="3EE0BEFE" w:rsidR="00024A11" w:rsidRDefault="00024A11" w:rsidP="00B12CB1">
          <w:pPr>
            <w:pStyle w:val="Header"/>
            <w:ind w:right="-115"/>
            <w:jc w:val="right"/>
          </w:pPr>
        </w:p>
      </w:tc>
    </w:tr>
  </w:tbl>
  <w:p w14:paraId="0756A841" w14:textId="62ADBC10" w:rsidR="00024A11" w:rsidRDefault="00024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7710852B" w14:textId="77777777" w:rsidTr="008F6E2A">
      <w:trPr>
        <w:trHeight w:val="300"/>
      </w:trPr>
      <w:tc>
        <w:tcPr>
          <w:tcW w:w="3120" w:type="dxa"/>
        </w:tcPr>
        <w:p w14:paraId="1D52F7F3" w14:textId="5729D07B" w:rsidR="00024A11" w:rsidRDefault="00024A11" w:rsidP="00B12CB1">
          <w:pPr>
            <w:pStyle w:val="Header"/>
            <w:ind w:left="-115"/>
          </w:pPr>
        </w:p>
      </w:tc>
      <w:tc>
        <w:tcPr>
          <w:tcW w:w="3120" w:type="dxa"/>
        </w:tcPr>
        <w:p w14:paraId="166F5B11" w14:textId="65765A74" w:rsidR="00024A11" w:rsidRDefault="00024A11" w:rsidP="00B12CB1">
          <w:pPr>
            <w:pStyle w:val="Header"/>
            <w:jc w:val="center"/>
          </w:pPr>
        </w:p>
      </w:tc>
      <w:tc>
        <w:tcPr>
          <w:tcW w:w="3120" w:type="dxa"/>
        </w:tcPr>
        <w:p w14:paraId="0BA86362" w14:textId="55426102" w:rsidR="00024A11" w:rsidRDefault="00024A11" w:rsidP="00B12CB1">
          <w:pPr>
            <w:pStyle w:val="Header"/>
            <w:ind w:right="-115"/>
            <w:jc w:val="right"/>
          </w:pPr>
        </w:p>
      </w:tc>
    </w:tr>
  </w:tbl>
  <w:p w14:paraId="034D3936" w14:textId="10119CC0" w:rsidR="00024A11" w:rsidRDefault="0002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717ABBC2" w14:textId="77777777" w:rsidTr="008F6E2A">
      <w:trPr>
        <w:trHeight w:val="300"/>
      </w:trPr>
      <w:tc>
        <w:tcPr>
          <w:tcW w:w="3120" w:type="dxa"/>
        </w:tcPr>
        <w:p w14:paraId="39023AA5" w14:textId="281096C1" w:rsidR="00024A11" w:rsidRDefault="00024A11" w:rsidP="00B12CB1">
          <w:pPr>
            <w:pStyle w:val="Header"/>
            <w:ind w:left="-115"/>
          </w:pPr>
        </w:p>
      </w:tc>
      <w:tc>
        <w:tcPr>
          <w:tcW w:w="3120" w:type="dxa"/>
        </w:tcPr>
        <w:p w14:paraId="4CEDD1D8" w14:textId="548DF421" w:rsidR="00024A11" w:rsidRDefault="00024A11" w:rsidP="00B12CB1">
          <w:pPr>
            <w:pStyle w:val="Header"/>
            <w:jc w:val="center"/>
          </w:pPr>
        </w:p>
      </w:tc>
      <w:tc>
        <w:tcPr>
          <w:tcW w:w="3120" w:type="dxa"/>
        </w:tcPr>
        <w:p w14:paraId="565CEDE0" w14:textId="3E13AA35" w:rsidR="00024A11" w:rsidRDefault="00024A11" w:rsidP="00B12CB1">
          <w:pPr>
            <w:pStyle w:val="Header"/>
            <w:ind w:right="-115"/>
            <w:jc w:val="right"/>
          </w:pPr>
        </w:p>
      </w:tc>
    </w:tr>
  </w:tbl>
  <w:p w14:paraId="1D84281A" w14:textId="7681D588" w:rsidR="00024A11" w:rsidRDefault="00024A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D2" w14:textId="77777777" w:rsidR="00024A11" w:rsidRDefault="00024A11" w:rsidP="000A3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5A8C6D7B" w14:textId="77777777" w:rsidTr="008F6E2A">
      <w:trPr>
        <w:trHeight w:val="300"/>
      </w:trPr>
      <w:tc>
        <w:tcPr>
          <w:tcW w:w="3120" w:type="dxa"/>
        </w:tcPr>
        <w:p w14:paraId="3D2AA816" w14:textId="3C813CB6" w:rsidR="00024A11" w:rsidRDefault="00024A11" w:rsidP="00B12CB1">
          <w:pPr>
            <w:pStyle w:val="Header"/>
            <w:ind w:left="-115"/>
          </w:pPr>
        </w:p>
      </w:tc>
      <w:tc>
        <w:tcPr>
          <w:tcW w:w="3120" w:type="dxa"/>
        </w:tcPr>
        <w:p w14:paraId="6C9412FF" w14:textId="55444A2C" w:rsidR="00024A11" w:rsidRDefault="00024A11" w:rsidP="00B12CB1">
          <w:pPr>
            <w:pStyle w:val="Header"/>
            <w:jc w:val="center"/>
          </w:pPr>
        </w:p>
      </w:tc>
      <w:tc>
        <w:tcPr>
          <w:tcW w:w="3120" w:type="dxa"/>
        </w:tcPr>
        <w:p w14:paraId="45552807" w14:textId="1E440991" w:rsidR="00024A11" w:rsidRDefault="00024A11" w:rsidP="00B12CB1">
          <w:pPr>
            <w:pStyle w:val="Header"/>
            <w:ind w:right="-115"/>
            <w:jc w:val="right"/>
          </w:pPr>
        </w:p>
      </w:tc>
    </w:tr>
  </w:tbl>
  <w:p w14:paraId="1E41797A" w14:textId="488439D5" w:rsidR="00024A11" w:rsidRDefault="00024A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106" w14:textId="77777777" w:rsidR="00550FC7" w:rsidRDefault="00550F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1DC" w14:textId="77777777" w:rsidR="00550FC7" w:rsidRDefault="00550F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08D7" w14:textId="77777777" w:rsidR="00550FC7" w:rsidRDefault="00550F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50A484B6" w14:textId="77777777" w:rsidTr="008F6E2A">
      <w:trPr>
        <w:trHeight w:val="300"/>
      </w:trPr>
      <w:tc>
        <w:tcPr>
          <w:tcW w:w="3120" w:type="dxa"/>
        </w:tcPr>
        <w:p w14:paraId="69A6FED7" w14:textId="3238E317" w:rsidR="00024A11" w:rsidRDefault="00024A11" w:rsidP="00B12CB1">
          <w:pPr>
            <w:pStyle w:val="Header"/>
            <w:ind w:left="-115"/>
          </w:pPr>
        </w:p>
      </w:tc>
      <w:tc>
        <w:tcPr>
          <w:tcW w:w="3120" w:type="dxa"/>
        </w:tcPr>
        <w:p w14:paraId="767267F8" w14:textId="733F387A" w:rsidR="00024A11" w:rsidRDefault="00024A11" w:rsidP="00B12CB1">
          <w:pPr>
            <w:pStyle w:val="Header"/>
            <w:jc w:val="center"/>
          </w:pPr>
        </w:p>
      </w:tc>
      <w:tc>
        <w:tcPr>
          <w:tcW w:w="3120" w:type="dxa"/>
        </w:tcPr>
        <w:p w14:paraId="6A5A4C4F" w14:textId="0F300CB7" w:rsidR="00024A11" w:rsidRDefault="00024A11" w:rsidP="00B12CB1">
          <w:pPr>
            <w:pStyle w:val="Header"/>
            <w:ind w:right="-115"/>
            <w:jc w:val="right"/>
          </w:pPr>
        </w:p>
      </w:tc>
    </w:tr>
  </w:tbl>
  <w:p w14:paraId="5F35C564" w14:textId="34A01015" w:rsidR="00024A11" w:rsidRDefault="0002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83A0" w14:textId="77777777" w:rsidR="00E3794A" w:rsidRDefault="00E3794A" w:rsidP="000E09DC">
      <w:r>
        <w:separator/>
      </w:r>
    </w:p>
  </w:footnote>
  <w:footnote w:type="continuationSeparator" w:id="0">
    <w:p w14:paraId="6B12D3C7" w14:textId="77777777" w:rsidR="00E3794A" w:rsidRDefault="00E3794A" w:rsidP="000E09DC">
      <w:r>
        <w:continuationSeparator/>
      </w:r>
    </w:p>
  </w:footnote>
  <w:footnote w:type="continuationNotice" w:id="1">
    <w:p w14:paraId="394C102D" w14:textId="77777777" w:rsidR="00E3794A" w:rsidRDefault="00E37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CD" w14:textId="77777777" w:rsidR="00024A11" w:rsidRPr="000E09DC" w:rsidRDefault="00024A1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024A11" w:rsidRDefault="00024A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024A11" w:rsidRPr="00527B0E" w:rsidRDefault="00024A11"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D405" w14:textId="77777777" w:rsidR="00175D7A" w:rsidRPr="00293AF2" w:rsidRDefault="00175D7A" w:rsidP="00422B00">
    <w:pPr>
      <w:pStyle w:val="Header"/>
      <w:jc w:val="right"/>
      <w:rPr>
        <w:rFonts w:cs="Arial"/>
      </w:rPr>
    </w:pPr>
    <w:r w:rsidRPr="00293AF2">
      <w:t>itb-amard-sep23item01</w:t>
    </w:r>
  </w:p>
  <w:p w14:paraId="035DC449" w14:textId="6539AF3E" w:rsidR="00175D7A" w:rsidRPr="00293AF2" w:rsidRDefault="00175D7A" w:rsidP="00422B00">
    <w:pPr>
      <w:pStyle w:val="Header"/>
      <w:jc w:val="right"/>
      <w:rPr>
        <w:rFonts w:cs="Arial"/>
      </w:rPr>
    </w:pPr>
    <w:r w:rsidRPr="00293AF2">
      <w:rPr>
        <w:rFonts w:cs="Arial"/>
      </w:rPr>
      <w:t xml:space="preserve">Attachment </w:t>
    </w:r>
    <w:r w:rsidR="007B7EF1" w:rsidRPr="00293AF2">
      <w:rPr>
        <w:rFonts w:cs="Arial"/>
      </w:rPr>
      <w:t>3</w:t>
    </w:r>
  </w:p>
  <w:p w14:paraId="3F3FD526" w14:textId="77777777" w:rsidR="00175D7A" w:rsidRPr="00896C2F" w:rsidRDefault="00175D7A" w:rsidP="00896C2F">
    <w:pPr>
      <w:pStyle w:val="Header"/>
      <w:spacing w:after="480"/>
      <w:jc w:val="right"/>
      <w:rPr>
        <w:rFonts w:cs="Arial"/>
      </w:rPr>
    </w:pPr>
    <w:r w:rsidRPr="00293AF2">
      <w:rPr>
        <w:rFonts w:cs="Arial"/>
      </w:rPr>
      <w:t xml:space="preserve">Page </w:t>
    </w:r>
    <w:r w:rsidRPr="00293AF2">
      <w:rPr>
        <w:rFonts w:cs="Arial"/>
      </w:rPr>
      <w:fldChar w:fldCharType="begin"/>
    </w:r>
    <w:r w:rsidRPr="00293AF2">
      <w:rPr>
        <w:rFonts w:cs="Arial"/>
      </w:rPr>
      <w:instrText xml:space="preserve"> PAGE  \* Arabic  \* MERGEFORMAT </w:instrText>
    </w:r>
    <w:r w:rsidRPr="00293AF2">
      <w:rPr>
        <w:rFonts w:cs="Arial"/>
      </w:rPr>
      <w:fldChar w:fldCharType="separate"/>
    </w:r>
    <w:r w:rsidRPr="00293AF2">
      <w:rPr>
        <w:rFonts w:cs="Arial"/>
      </w:rPr>
      <w:t>1</w:t>
    </w:r>
    <w:r w:rsidRPr="00293AF2">
      <w:rPr>
        <w:rFonts w:cs="Arial"/>
      </w:rPr>
      <w:fldChar w:fldCharType="end"/>
    </w:r>
    <w:r w:rsidRPr="00293AF2">
      <w:rPr>
        <w:rFonts w:cs="Arial"/>
      </w:rPr>
      <w:t xml:space="preserve"> of </w:t>
    </w:r>
    <w:r w:rsidR="00C34E12" w:rsidRPr="00293AF2">
      <w:rPr>
        <w:rFonts w:cs="Arial"/>
      </w:rPr>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E3" w14:textId="5326628A" w:rsidR="00024A11" w:rsidRPr="0094206D" w:rsidRDefault="00024A11" w:rsidP="005A0B39">
    <w:pPr>
      <w:jc w:val="right"/>
      <w:rPr>
        <w:rFonts w:cs="Arial"/>
        <w:color w:val="000000"/>
      </w:rPr>
    </w:pPr>
    <w:r>
      <w:rPr>
        <w:rFonts w:cs="Arial"/>
        <w:color w:val="000000"/>
      </w:rPr>
      <w:t>i</w:t>
    </w:r>
    <w:r w:rsidRPr="0094206D">
      <w:rPr>
        <w:rFonts w:cs="Arial"/>
        <w:color w:val="000000"/>
      </w:rPr>
      <w:t>tb-amard-</w:t>
    </w:r>
    <w:r w:rsidR="00B6268D">
      <w:rPr>
        <w:rFonts w:cs="Arial"/>
        <w:color w:val="000000"/>
      </w:rPr>
      <w:t>sep</w:t>
    </w:r>
    <w:r>
      <w:rPr>
        <w:rFonts w:cs="Arial"/>
        <w:color w:val="000000"/>
      </w:rPr>
      <w:t>23</w:t>
    </w:r>
    <w:r w:rsidRPr="0094206D">
      <w:rPr>
        <w:rFonts w:cs="Arial"/>
        <w:color w:val="000000"/>
      </w:rPr>
      <w:t>item</w:t>
    </w:r>
    <w:r>
      <w:rPr>
        <w:rFonts w:cs="Arial"/>
        <w:color w:val="000000"/>
      </w:rPr>
      <w:t>01</w:t>
    </w:r>
  </w:p>
  <w:p w14:paraId="423228E4" w14:textId="550A4875" w:rsidR="00024A11" w:rsidRPr="0094206D" w:rsidRDefault="00024A11" w:rsidP="005A0B39">
    <w:pPr>
      <w:jc w:val="right"/>
      <w:rPr>
        <w:rFonts w:cs="Arial"/>
      </w:rPr>
    </w:pPr>
    <w:r>
      <w:rPr>
        <w:rFonts w:cs="Arial"/>
      </w:rPr>
      <w:t xml:space="preserve">Attachment </w:t>
    </w:r>
    <w:r w:rsidR="00011F00" w:rsidRPr="00293AF2">
      <w:rPr>
        <w:rFonts w:cs="Arial"/>
      </w:rPr>
      <w:t>4</w:t>
    </w:r>
  </w:p>
  <w:p w14:paraId="423228E5" w14:textId="49EE457C" w:rsidR="00024A11" w:rsidRPr="0094206D" w:rsidRDefault="00024A11" w:rsidP="00C82D8F">
    <w:pPr>
      <w:pStyle w:val="Header"/>
      <w:spacing w:after="24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Pr>
        <w:rFonts w:cs="Arial"/>
        <w:noProof/>
      </w:rPr>
      <w:t>8</w:t>
    </w:r>
    <w:r w:rsidRPr="0094206D">
      <w:rPr>
        <w:rFonts w:cs="Arial"/>
        <w:noProof/>
      </w:rPr>
      <w:fldChar w:fldCharType="end"/>
    </w:r>
    <w:r>
      <w:rPr>
        <w:rFonts w:cs="Arial"/>
      </w:rPr>
      <w:t xml:space="preserve"> of </w:t>
    </w:r>
    <w:r w:rsidR="00A40B29">
      <w:rPr>
        <w:rFonts w:cs="Arial"/>
      </w:rPr>
      <w:t>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024A11" w14:paraId="0E0C4282" w14:textId="77777777" w:rsidTr="008F6E2A">
      <w:trPr>
        <w:trHeight w:val="300"/>
      </w:trPr>
      <w:tc>
        <w:tcPr>
          <w:tcW w:w="4800" w:type="dxa"/>
        </w:tcPr>
        <w:p w14:paraId="7E27D414" w14:textId="31254A82" w:rsidR="00024A11" w:rsidRDefault="00024A11" w:rsidP="32BA3F26">
          <w:pPr>
            <w:pStyle w:val="Header"/>
            <w:ind w:left="-115"/>
          </w:pPr>
        </w:p>
      </w:tc>
      <w:tc>
        <w:tcPr>
          <w:tcW w:w="4800" w:type="dxa"/>
        </w:tcPr>
        <w:p w14:paraId="2F321490" w14:textId="1F5417CD" w:rsidR="00024A11" w:rsidRDefault="00024A11" w:rsidP="00B12CB1">
          <w:pPr>
            <w:pStyle w:val="Header"/>
            <w:jc w:val="center"/>
          </w:pPr>
        </w:p>
      </w:tc>
      <w:tc>
        <w:tcPr>
          <w:tcW w:w="4800" w:type="dxa"/>
        </w:tcPr>
        <w:p w14:paraId="675ABA55" w14:textId="3AE71320" w:rsidR="00024A11" w:rsidRDefault="00024A11" w:rsidP="00B12CB1">
          <w:pPr>
            <w:pStyle w:val="Header"/>
            <w:ind w:right="-115"/>
            <w:jc w:val="right"/>
          </w:pPr>
        </w:p>
      </w:tc>
    </w:tr>
  </w:tbl>
  <w:p w14:paraId="4E6161B5" w14:textId="4E149B5D" w:rsidR="00024A11" w:rsidRDefault="0002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7394D6DB" w14:textId="77777777" w:rsidTr="008F6E2A">
      <w:trPr>
        <w:trHeight w:val="300"/>
      </w:trPr>
      <w:tc>
        <w:tcPr>
          <w:tcW w:w="3120" w:type="dxa"/>
        </w:tcPr>
        <w:p w14:paraId="7E57F985" w14:textId="2AAA564F" w:rsidR="00024A11" w:rsidRDefault="00024A11" w:rsidP="00B12CB1">
          <w:pPr>
            <w:pStyle w:val="Header"/>
            <w:ind w:left="-115"/>
          </w:pPr>
        </w:p>
      </w:tc>
      <w:tc>
        <w:tcPr>
          <w:tcW w:w="3120" w:type="dxa"/>
        </w:tcPr>
        <w:p w14:paraId="05FA46E9" w14:textId="3CB1F4C5" w:rsidR="00024A11" w:rsidRDefault="00024A11" w:rsidP="00B12CB1">
          <w:pPr>
            <w:pStyle w:val="Header"/>
            <w:jc w:val="center"/>
          </w:pPr>
        </w:p>
      </w:tc>
      <w:tc>
        <w:tcPr>
          <w:tcW w:w="3120" w:type="dxa"/>
        </w:tcPr>
        <w:p w14:paraId="31B411F2" w14:textId="44A60D02" w:rsidR="00024A11" w:rsidRDefault="00024A11" w:rsidP="00B12CB1">
          <w:pPr>
            <w:pStyle w:val="Header"/>
            <w:ind w:right="-115"/>
            <w:jc w:val="right"/>
          </w:pPr>
        </w:p>
      </w:tc>
    </w:tr>
  </w:tbl>
  <w:p w14:paraId="514BD85C" w14:textId="0A2E26C7" w:rsidR="00024A11" w:rsidRDefault="0002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D0" w14:textId="57FC227C" w:rsidR="00024A11" w:rsidRDefault="00024A11" w:rsidP="000E09DC">
    <w:pPr>
      <w:pStyle w:val="Header"/>
      <w:jc w:val="right"/>
    </w:pPr>
    <w:r>
      <w:t>itb-amard-</w:t>
    </w:r>
    <w:r w:rsidR="002E3989">
      <w:t>sep</w:t>
    </w:r>
    <w:r>
      <w:t>23item</w:t>
    </w:r>
    <w:r w:rsidRPr="00943728">
      <w:t>01</w:t>
    </w:r>
  </w:p>
  <w:p w14:paraId="32C27CDD" w14:textId="47980ACE" w:rsidR="00024A11" w:rsidRPr="00943728" w:rsidRDefault="00024A11" w:rsidP="000A324A">
    <w:pPr>
      <w:pStyle w:val="Header"/>
      <w:spacing w:after="480"/>
      <w:jc w:val="right"/>
      <w:rPr>
        <w:rFonts w:cs="Arial"/>
      </w:rPr>
    </w:pPr>
    <w:r w:rsidRPr="00943728">
      <w:rPr>
        <w:rFonts w:cs="Arial"/>
      </w:rPr>
      <w:t xml:space="preserve">Page </w:t>
    </w:r>
    <w:r w:rsidRPr="00943728">
      <w:rPr>
        <w:rFonts w:cs="Arial"/>
        <w:bCs/>
      </w:rPr>
      <w:fldChar w:fldCharType="begin"/>
    </w:r>
    <w:r w:rsidRPr="00943728">
      <w:rPr>
        <w:rFonts w:cs="Arial"/>
        <w:bCs/>
      </w:rPr>
      <w:instrText xml:space="preserve"> PAGE  \* Arabic  \* MERGEFORMAT </w:instrText>
    </w:r>
    <w:r w:rsidRPr="00943728">
      <w:rPr>
        <w:rFonts w:cs="Arial"/>
        <w:bCs/>
      </w:rPr>
      <w:fldChar w:fldCharType="separate"/>
    </w:r>
    <w:r w:rsidRPr="00943728">
      <w:rPr>
        <w:rFonts w:cs="Arial"/>
        <w:bCs/>
        <w:noProof/>
      </w:rPr>
      <w:t>1</w:t>
    </w:r>
    <w:r w:rsidRPr="00943728">
      <w:rPr>
        <w:rFonts w:cs="Arial"/>
        <w:bCs/>
      </w:rPr>
      <w:fldChar w:fldCharType="end"/>
    </w:r>
    <w:r w:rsidRPr="00943728">
      <w:rPr>
        <w:rFonts w:cs="Arial"/>
      </w:rPr>
      <w:t xml:space="preserve"> of </w:t>
    </w:r>
    <w:r w:rsidR="00446753">
      <w:rPr>
        <w:rFonts w:cs="Arial"/>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7D74219C" w14:textId="77777777" w:rsidTr="008F6E2A">
      <w:trPr>
        <w:trHeight w:val="300"/>
      </w:trPr>
      <w:tc>
        <w:tcPr>
          <w:tcW w:w="3120" w:type="dxa"/>
        </w:tcPr>
        <w:p w14:paraId="2D3DA32B" w14:textId="196A0B93" w:rsidR="00024A11" w:rsidRDefault="00024A11" w:rsidP="00B12CB1">
          <w:pPr>
            <w:pStyle w:val="Header"/>
            <w:ind w:left="-115"/>
          </w:pPr>
        </w:p>
      </w:tc>
      <w:tc>
        <w:tcPr>
          <w:tcW w:w="3120" w:type="dxa"/>
        </w:tcPr>
        <w:p w14:paraId="6D5FA5F6" w14:textId="48504055" w:rsidR="00024A11" w:rsidRDefault="00024A11" w:rsidP="00B12CB1">
          <w:pPr>
            <w:pStyle w:val="Header"/>
            <w:jc w:val="center"/>
          </w:pPr>
        </w:p>
      </w:tc>
      <w:tc>
        <w:tcPr>
          <w:tcW w:w="3120" w:type="dxa"/>
        </w:tcPr>
        <w:p w14:paraId="14ECC7ED" w14:textId="546F53D4" w:rsidR="00024A11" w:rsidRDefault="00024A11" w:rsidP="00B12CB1">
          <w:pPr>
            <w:pStyle w:val="Header"/>
            <w:ind w:right="-115"/>
            <w:jc w:val="right"/>
          </w:pPr>
        </w:p>
      </w:tc>
    </w:tr>
  </w:tbl>
  <w:p w14:paraId="5FF5547F" w14:textId="0B7513C1" w:rsidR="00024A11" w:rsidRDefault="00024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FEB5" w14:textId="77777777" w:rsidR="00550FC7" w:rsidRDefault="00550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E16A" w14:textId="4A884113" w:rsidR="002E3989" w:rsidRDefault="002E3989" w:rsidP="00422B00">
    <w:pPr>
      <w:pStyle w:val="Header"/>
      <w:jc w:val="right"/>
      <w:rPr>
        <w:rFonts w:cs="Arial"/>
      </w:rPr>
    </w:pPr>
    <w:r>
      <w:t>itb-amard-sep23item</w:t>
    </w:r>
    <w:r w:rsidRPr="00943728">
      <w:t>01</w:t>
    </w:r>
  </w:p>
  <w:p w14:paraId="16372F37" w14:textId="77777777" w:rsidR="00896C2F" w:rsidRDefault="000A5EA3" w:rsidP="00422B00">
    <w:pPr>
      <w:pStyle w:val="Header"/>
      <w:jc w:val="right"/>
      <w:rPr>
        <w:rFonts w:cs="Arial"/>
      </w:rPr>
    </w:pPr>
    <w:r w:rsidRPr="00293AF2">
      <w:rPr>
        <w:rFonts w:cs="Arial"/>
      </w:rPr>
      <w:t>Attachment</w:t>
    </w:r>
    <w:r w:rsidRPr="00837B6F">
      <w:rPr>
        <w:rFonts w:cs="Arial"/>
      </w:rPr>
      <w:t xml:space="preserve"> </w:t>
    </w:r>
    <w:r w:rsidR="00F10DD0">
      <w:rPr>
        <w:rFonts w:cs="Arial"/>
      </w:rPr>
      <w:t>1</w:t>
    </w:r>
  </w:p>
  <w:p w14:paraId="31EB6B57" w14:textId="41135E8B" w:rsidR="00550FC7" w:rsidRPr="00896C2F" w:rsidRDefault="00896C2F" w:rsidP="00896C2F">
    <w:pPr>
      <w:pStyle w:val="Header"/>
      <w:spacing w:after="480"/>
      <w:jc w:val="right"/>
      <w:rPr>
        <w:rFonts w:cs="Arial"/>
      </w:rPr>
    </w:pPr>
    <w:r w:rsidRPr="00896C2F">
      <w:rPr>
        <w:rFonts w:cs="Arial"/>
      </w:rPr>
      <w:t xml:space="preserve">Page </w:t>
    </w:r>
    <w:r w:rsidRPr="00896C2F">
      <w:rPr>
        <w:rFonts w:cs="Arial"/>
      </w:rPr>
      <w:fldChar w:fldCharType="begin"/>
    </w:r>
    <w:r w:rsidRPr="00896C2F">
      <w:rPr>
        <w:rFonts w:cs="Arial"/>
      </w:rPr>
      <w:instrText xml:space="preserve"> PAGE  \* Arabic  \* MERGEFORMAT </w:instrText>
    </w:r>
    <w:r w:rsidRPr="00896C2F">
      <w:rPr>
        <w:rFonts w:cs="Arial"/>
      </w:rPr>
      <w:fldChar w:fldCharType="separate"/>
    </w:r>
    <w:r w:rsidRPr="00896C2F">
      <w:rPr>
        <w:rFonts w:cs="Arial"/>
        <w:noProof/>
      </w:rPr>
      <w:t>1</w:t>
    </w:r>
    <w:r w:rsidRPr="00896C2F">
      <w:rPr>
        <w:rFonts w:cs="Arial"/>
      </w:rPr>
      <w:fldChar w:fldCharType="end"/>
    </w:r>
    <w:r w:rsidRPr="00896C2F">
      <w:rPr>
        <w:rFonts w:cs="Arial"/>
      </w:rPr>
      <w:t xml:space="preserve"> of </w:t>
    </w:r>
    <w:r w:rsidR="003F36D5">
      <w:rPr>
        <w:rFonts w:cs="Arial"/>
      </w:rPr>
      <w:t>3</w:t>
    </w:r>
    <w:r w:rsidR="00E956B3">
      <w:rPr>
        <w:rFonts w:cs="Arial"/>
      </w:rPr>
      <w:t>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E925" w14:textId="77777777" w:rsidR="00550FC7" w:rsidRDefault="00550F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024A11" w14:paraId="5E158C5F" w14:textId="77777777" w:rsidTr="008F6E2A">
      <w:trPr>
        <w:trHeight w:val="300"/>
      </w:trPr>
      <w:tc>
        <w:tcPr>
          <w:tcW w:w="3120" w:type="dxa"/>
        </w:tcPr>
        <w:p w14:paraId="0E45D7D2" w14:textId="345878C8" w:rsidR="00024A11" w:rsidRDefault="00024A11" w:rsidP="00B12CB1">
          <w:pPr>
            <w:pStyle w:val="Header"/>
            <w:ind w:left="-115"/>
          </w:pPr>
        </w:p>
      </w:tc>
      <w:tc>
        <w:tcPr>
          <w:tcW w:w="3120" w:type="dxa"/>
        </w:tcPr>
        <w:p w14:paraId="41262640" w14:textId="1D65CD6E" w:rsidR="00024A11" w:rsidRDefault="00024A11" w:rsidP="00B12CB1">
          <w:pPr>
            <w:pStyle w:val="Header"/>
            <w:jc w:val="center"/>
          </w:pPr>
        </w:p>
      </w:tc>
      <w:tc>
        <w:tcPr>
          <w:tcW w:w="3120" w:type="dxa"/>
        </w:tcPr>
        <w:p w14:paraId="15A45C51" w14:textId="0B8DA87E" w:rsidR="00024A11" w:rsidRDefault="00024A11" w:rsidP="00B12CB1">
          <w:pPr>
            <w:pStyle w:val="Header"/>
            <w:ind w:right="-115"/>
            <w:jc w:val="right"/>
          </w:pPr>
        </w:p>
      </w:tc>
    </w:tr>
  </w:tbl>
  <w:p w14:paraId="418A8112" w14:textId="59DFBEB7" w:rsidR="00024A11" w:rsidRDefault="00024A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9652" w14:textId="77777777" w:rsidR="00175D7A" w:rsidRDefault="00175D7A" w:rsidP="00422B00">
    <w:pPr>
      <w:pStyle w:val="Header"/>
      <w:jc w:val="right"/>
      <w:rPr>
        <w:rFonts w:cs="Arial"/>
      </w:rPr>
    </w:pPr>
    <w:r>
      <w:t>itb-amard-sep23item</w:t>
    </w:r>
    <w:r w:rsidRPr="00943728">
      <w:t>01</w:t>
    </w:r>
  </w:p>
  <w:p w14:paraId="6942BD33" w14:textId="77777777" w:rsidR="00175D7A" w:rsidRDefault="00175D7A" w:rsidP="00422B00">
    <w:pPr>
      <w:pStyle w:val="Header"/>
      <w:jc w:val="right"/>
      <w:rPr>
        <w:rFonts w:cs="Arial"/>
      </w:rPr>
    </w:pPr>
    <w:r w:rsidRPr="00293AF2">
      <w:rPr>
        <w:rFonts w:cs="Arial"/>
      </w:rPr>
      <w:t>Attachment</w:t>
    </w:r>
    <w:r w:rsidRPr="00837B6F">
      <w:rPr>
        <w:rFonts w:cs="Arial"/>
      </w:rPr>
      <w:t xml:space="preserve"> </w:t>
    </w:r>
    <w:r w:rsidR="00332CE8">
      <w:rPr>
        <w:rFonts w:cs="Arial"/>
      </w:rPr>
      <w:t>2</w:t>
    </w:r>
  </w:p>
  <w:p w14:paraId="40613F92" w14:textId="2DFC4781" w:rsidR="00175D7A" w:rsidRPr="00896C2F" w:rsidRDefault="00175D7A" w:rsidP="00896C2F">
    <w:pPr>
      <w:pStyle w:val="Header"/>
      <w:spacing w:after="480"/>
      <w:jc w:val="right"/>
      <w:rPr>
        <w:rFonts w:cs="Arial"/>
      </w:rPr>
    </w:pPr>
    <w:r w:rsidRPr="00896C2F">
      <w:rPr>
        <w:rFonts w:cs="Arial"/>
      </w:rPr>
      <w:t xml:space="preserve">Page </w:t>
    </w:r>
    <w:r w:rsidRPr="00896C2F">
      <w:rPr>
        <w:rFonts w:cs="Arial"/>
      </w:rPr>
      <w:fldChar w:fldCharType="begin"/>
    </w:r>
    <w:r w:rsidRPr="00896C2F">
      <w:rPr>
        <w:rFonts w:cs="Arial"/>
      </w:rPr>
      <w:instrText xml:space="preserve"> PAGE  \* Arabic  \* MERGEFORMAT </w:instrText>
    </w:r>
    <w:r w:rsidRPr="00896C2F">
      <w:rPr>
        <w:rFonts w:cs="Arial"/>
      </w:rPr>
      <w:fldChar w:fldCharType="separate"/>
    </w:r>
    <w:r w:rsidRPr="00896C2F">
      <w:rPr>
        <w:rFonts w:cs="Arial"/>
        <w:noProof/>
      </w:rPr>
      <w:t>1</w:t>
    </w:r>
    <w:r w:rsidRPr="00896C2F">
      <w:rPr>
        <w:rFonts w:cs="Arial"/>
      </w:rPr>
      <w:fldChar w:fldCharType="end"/>
    </w:r>
    <w:r w:rsidRPr="00896C2F">
      <w:rPr>
        <w:rFonts w:cs="Arial"/>
      </w:rPr>
      <w:t xml:space="preserve"> of </w:t>
    </w:r>
    <w:r w:rsidR="000E20F9">
      <w:rPr>
        <w:rFonts w:cs="Arial"/>
      </w:rPr>
      <w:t>2</w:t>
    </w:r>
  </w:p>
</w:hdr>
</file>

<file path=word/intelligence2.xml><?xml version="1.0" encoding="utf-8"?>
<int2:intelligence xmlns:int2="http://schemas.microsoft.com/office/intelligence/2020/intelligence" xmlns:oel="http://schemas.microsoft.com/office/2019/extlst">
  <int2:observations>
    <int2:textHash int2:hashCode="TegdO70xWd5JWH" int2:id="PQHn8ASH">
      <int2:state int2:value="Rejected" int2:type="AugLoop_Text_Critique"/>
      <int2:state int2:value="Rejected" int2:type="LegacyProofing"/>
    </int2:textHash>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EB3D"/>
    <w:multiLevelType w:val="hybridMultilevel"/>
    <w:tmpl w:val="498E650A"/>
    <w:lvl w:ilvl="0" w:tplc="0409000F">
      <w:start w:val="1"/>
      <w:numFmt w:val="decimal"/>
      <w:lvlText w:val="%1."/>
      <w:lvlJc w:val="left"/>
      <w:pPr>
        <w:ind w:left="720" w:hanging="360"/>
      </w:pPr>
      <w:rPr>
        <w:rFonts w:hint="default"/>
      </w:rPr>
    </w:lvl>
    <w:lvl w:ilvl="1" w:tplc="BA4434D2">
      <w:start w:val="1"/>
      <w:numFmt w:val="bullet"/>
      <w:lvlText w:val="o"/>
      <w:lvlJc w:val="left"/>
      <w:pPr>
        <w:ind w:left="1440" w:hanging="360"/>
      </w:pPr>
      <w:rPr>
        <w:rFonts w:ascii="Courier New" w:hAnsi="Courier New" w:hint="default"/>
      </w:rPr>
    </w:lvl>
    <w:lvl w:ilvl="2" w:tplc="E92CD7EE">
      <w:start w:val="1"/>
      <w:numFmt w:val="bullet"/>
      <w:lvlText w:val=""/>
      <w:lvlJc w:val="left"/>
      <w:pPr>
        <w:ind w:left="2160" w:hanging="360"/>
      </w:pPr>
      <w:rPr>
        <w:rFonts w:ascii="Wingdings" w:hAnsi="Wingdings" w:hint="default"/>
      </w:rPr>
    </w:lvl>
    <w:lvl w:ilvl="3" w:tplc="64266AEC">
      <w:start w:val="1"/>
      <w:numFmt w:val="bullet"/>
      <w:lvlText w:val=""/>
      <w:lvlJc w:val="left"/>
      <w:pPr>
        <w:ind w:left="2880" w:hanging="360"/>
      </w:pPr>
      <w:rPr>
        <w:rFonts w:ascii="Symbol" w:hAnsi="Symbol" w:hint="default"/>
      </w:rPr>
    </w:lvl>
    <w:lvl w:ilvl="4" w:tplc="482C3E40">
      <w:start w:val="1"/>
      <w:numFmt w:val="bullet"/>
      <w:lvlText w:val="o"/>
      <w:lvlJc w:val="left"/>
      <w:pPr>
        <w:ind w:left="3600" w:hanging="360"/>
      </w:pPr>
      <w:rPr>
        <w:rFonts w:ascii="Courier New" w:hAnsi="Courier New" w:hint="default"/>
      </w:rPr>
    </w:lvl>
    <w:lvl w:ilvl="5" w:tplc="7BC0F298">
      <w:start w:val="1"/>
      <w:numFmt w:val="bullet"/>
      <w:lvlText w:val=""/>
      <w:lvlJc w:val="left"/>
      <w:pPr>
        <w:ind w:left="4320" w:hanging="360"/>
      </w:pPr>
      <w:rPr>
        <w:rFonts w:ascii="Wingdings" w:hAnsi="Wingdings" w:hint="default"/>
      </w:rPr>
    </w:lvl>
    <w:lvl w:ilvl="6" w:tplc="6DBC36C8">
      <w:start w:val="1"/>
      <w:numFmt w:val="bullet"/>
      <w:lvlText w:val=""/>
      <w:lvlJc w:val="left"/>
      <w:pPr>
        <w:ind w:left="5040" w:hanging="360"/>
      </w:pPr>
      <w:rPr>
        <w:rFonts w:ascii="Symbol" w:hAnsi="Symbol" w:hint="default"/>
      </w:rPr>
    </w:lvl>
    <w:lvl w:ilvl="7" w:tplc="25384B4E">
      <w:start w:val="1"/>
      <w:numFmt w:val="bullet"/>
      <w:lvlText w:val="o"/>
      <w:lvlJc w:val="left"/>
      <w:pPr>
        <w:ind w:left="5760" w:hanging="360"/>
      </w:pPr>
      <w:rPr>
        <w:rFonts w:ascii="Courier New" w:hAnsi="Courier New" w:hint="default"/>
      </w:rPr>
    </w:lvl>
    <w:lvl w:ilvl="8" w:tplc="6720C110">
      <w:start w:val="1"/>
      <w:numFmt w:val="bullet"/>
      <w:lvlText w:val=""/>
      <w:lvlJc w:val="left"/>
      <w:pPr>
        <w:ind w:left="6480" w:hanging="360"/>
      </w:pPr>
      <w:rPr>
        <w:rFonts w:ascii="Wingdings" w:hAnsi="Wingdings" w:hint="default"/>
      </w:rPr>
    </w:lvl>
  </w:abstractNum>
  <w:abstractNum w:abstractNumId="1"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65AC5"/>
    <w:multiLevelType w:val="multilevel"/>
    <w:tmpl w:val="EBF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8BB04A"/>
    <w:multiLevelType w:val="hybridMultilevel"/>
    <w:tmpl w:val="FFFFFFFF"/>
    <w:lvl w:ilvl="0" w:tplc="44D4DFC0">
      <w:start w:val="1"/>
      <w:numFmt w:val="bullet"/>
      <w:lvlText w:val=""/>
      <w:lvlJc w:val="left"/>
      <w:pPr>
        <w:ind w:left="720" w:hanging="360"/>
      </w:pPr>
      <w:rPr>
        <w:rFonts w:ascii="Symbol" w:hAnsi="Symbol" w:hint="default"/>
      </w:rPr>
    </w:lvl>
    <w:lvl w:ilvl="1" w:tplc="6DE8D046">
      <w:start w:val="1"/>
      <w:numFmt w:val="bullet"/>
      <w:lvlText w:val="o"/>
      <w:lvlJc w:val="left"/>
      <w:pPr>
        <w:ind w:left="1440" w:hanging="360"/>
      </w:pPr>
      <w:rPr>
        <w:rFonts w:ascii="Courier New" w:hAnsi="Courier New" w:hint="default"/>
      </w:rPr>
    </w:lvl>
    <w:lvl w:ilvl="2" w:tplc="845E9FE4">
      <w:start w:val="1"/>
      <w:numFmt w:val="bullet"/>
      <w:lvlText w:val=""/>
      <w:lvlJc w:val="left"/>
      <w:pPr>
        <w:ind w:left="2160" w:hanging="360"/>
      </w:pPr>
      <w:rPr>
        <w:rFonts w:ascii="Wingdings" w:hAnsi="Wingdings" w:hint="default"/>
      </w:rPr>
    </w:lvl>
    <w:lvl w:ilvl="3" w:tplc="9AECFCD8">
      <w:start w:val="1"/>
      <w:numFmt w:val="bullet"/>
      <w:lvlText w:val=""/>
      <w:lvlJc w:val="left"/>
      <w:pPr>
        <w:ind w:left="2880" w:hanging="360"/>
      </w:pPr>
      <w:rPr>
        <w:rFonts w:ascii="Symbol" w:hAnsi="Symbol" w:hint="default"/>
      </w:rPr>
    </w:lvl>
    <w:lvl w:ilvl="4" w:tplc="7ACAF394">
      <w:start w:val="1"/>
      <w:numFmt w:val="bullet"/>
      <w:lvlText w:val="o"/>
      <w:lvlJc w:val="left"/>
      <w:pPr>
        <w:ind w:left="3600" w:hanging="360"/>
      </w:pPr>
      <w:rPr>
        <w:rFonts w:ascii="Courier New" w:hAnsi="Courier New" w:hint="default"/>
      </w:rPr>
    </w:lvl>
    <w:lvl w:ilvl="5" w:tplc="24A89758">
      <w:start w:val="1"/>
      <w:numFmt w:val="bullet"/>
      <w:lvlText w:val=""/>
      <w:lvlJc w:val="left"/>
      <w:pPr>
        <w:ind w:left="4320" w:hanging="360"/>
      </w:pPr>
      <w:rPr>
        <w:rFonts w:ascii="Wingdings" w:hAnsi="Wingdings" w:hint="default"/>
      </w:rPr>
    </w:lvl>
    <w:lvl w:ilvl="6" w:tplc="B20E35FC">
      <w:start w:val="1"/>
      <w:numFmt w:val="bullet"/>
      <w:lvlText w:val=""/>
      <w:lvlJc w:val="left"/>
      <w:pPr>
        <w:ind w:left="5040" w:hanging="360"/>
      </w:pPr>
      <w:rPr>
        <w:rFonts w:ascii="Symbol" w:hAnsi="Symbol" w:hint="default"/>
      </w:rPr>
    </w:lvl>
    <w:lvl w:ilvl="7" w:tplc="62FE1AA8">
      <w:start w:val="1"/>
      <w:numFmt w:val="bullet"/>
      <w:lvlText w:val="o"/>
      <w:lvlJc w:val="left"/>
      <w:pPr>
        <w:ind w:left="5760" w:hanging="360"/>
      </w:pPr>
      <w:rPr>
        <w:rFonts w:ascii="Courier New" w:hAnsi="Courier New" w:hint="default"/>
      </w:rPr>
    </w:lvl>
    <w:lvl w:ilvl="8" w:tplc="06006AE4">
      <w:start w:val="1"/>
      <w:numFmt w:val="bullet"/>
      <w:lvlText w:val=""/>
      <w:lvlJc w:val="left"/>
      <w:pPr>
        <w:ind w:left="6480" w:hanging="360"/>
      </w:pPr>
      <w:rPr>
        <w:rFonts w:ascii="Wingdings" w:hAnsi="Wingdings" w:hint="default"/>
      </w:rPr>
    </w:lvl>
  </w:abstractNum>
  <w:abstractNum w:abstractNumId="4" w15:restartNumberingAfterBreak="0">
    <w:nsid w:val="030E6AE9"/>
    <w:multiLevelType w:val="hybridMultilevel"/>
    <w:tmpl w:val="5936D8E6"/>
    <w:lvl w:ilvl="0" w:tplc="80221F00">
      <w:start w:val="1"/>
      <w:numFmt w:val="bullet"/>
      <w:lvlText w:val="•"/>
      <w:lvlJc w:val="left"/>
      <w:pPr>
        <w:tabs>
          <w:tab w:val="num" w:pos="720"/>
        </w:tabs>
        <w:ind w:left="720" w:hanging="360"/>
      </w:pPr>
      <w:rPr>
        <w:rFonts w:ascii="Arial" w:hAnsi="Arial" w:hint="default"/>
      </w:rPr>
    </w:lvl>
    <w:lvl w:ilvl="1" w:tplc="BFFEF692" w:tentative="1">
      <w:start w:val="1"/>
      <w:numFmt w:val="bullet"/>
      <w:lvlText w:val="•"/>
      <w:lvlJc w:val="left"/>
      <w:pPr>
        <w:tabs>
          <w:tab w:val="num" w:pos="1440"/>
        </w:tabs>
        <w:ind w:left="1440" w:hanging="360"/>
      </w:pPr>
      <w:rPr>
        <w:rFonts w:ascii="Arial" w:hAnsi="Arial" w:hint="default"/>
      </w:rPr>
    </w:lvl>
    <w:lvl w:ilvl="2" w:tplc="00BEE1F6" w:tentative="1">
      <w:start w:val="1"/>
      <w:numFmt w:val="bullet"/>
      <w:lvlText w:val="•"/>
      <w:lvlJc w:val="left"/>
      <w:pPr>
        <w:tabs>
          <w:tab w:val="num" w:pos="2160"/>
        </w:tabs>
        <w:ind w:left="2160" w:hanging="360"/>
      </w:pPr>
      <w:rPr>
        <w:rFonts w:ascii="Arial" w:hAnsi="Arial" w:hint="default"/>
      </w:rPr>
    </w:lvl>
    <w:lvl w:ilvl="3" w:tplc="1FCAD3BA" w:tentative="1">
      <w:start w:val="1"/>
      <w:numFmt w:val="bullet"/>
      <w:lvlText w:val="•"/>
      <w:lvlJc w:val="left"/>
      <w:pPr>
        <w:tabs>
          <w:tab w:val="num" w:pos="2880"/>
        </w:tabs>
        <w:ind w:left="2880" w:hanging="360"/>
      </w:pPr>
      <w:rPr>
        <w:rFonts w:ascii="Arial" w:hAnsi="Arial" w:hint="default"/>
      </w:rPr>
    </w:lvl>
    <w:lvl w:ilvl="4" w:tplc="1F4E5C48" w:tentative="1">
      <w:start w:val="1"/>
      <w:numFmt w:val="bullet"/>
      <w:lvlText w:val="•"/>
      <w:lvlJc w:val="left"/>
      <w:pPr>
        <w:tabs>
          <w:tab w:val="num" w:pos="3600"/>
        </w:tabs>
        <w:ind w:left="3600" w:hanging="360"/>
      </w:pPr>
      <w:rPr>
        <w:rFonts w:ascii="Arial" w:hAnsi="Arial" w:hint="default"/>
      </w:rPr>
    </w:lvl>
    <w:lvl w:ilvl="5" w:tplc="9E5EE890" w:tentative="1">
      <w:start w:val="1"/>
      <w:numFmt w:val="bullet"/>
      <w:lvlText w:val="•"/>
      <w:lvlJc w:val="left"/>
      <w:pPr>
        <w:tabs>
          <w:tab w:val="num" w:pos="4320"/>
        </w:tabs>
        <w:ind w:left="4320" w:hanging="360"/>
      </w:pPr>
      <w:rPr>
        <w:rFonts w:ascii="Arial" w:hAnsi="Arial" w:hint="default"/>
      </w:rPr>
    </w:lvl>
    <w:lvl w:ilvl="6" w:tplc="841C90E0" w:tentative="1">
      <w:start w:val="1"/>
      <w:numFmt w:val="bullet"/>
      <w:lvlText w:val="•"/>
      <w:lvlJc w:val="left"/>
      <w:pPr>
        <w:tabs>
          <w:tab w:val="num" w:pos="5040"/>
        </w:tabs>
        <w:ind w:left="5040" w:hanging="360"/>
      </w:pPr>
      <w:rPr>
        <w:rFonts w:ascii="Arial" w:hAnsi="Arial" w:hint="default"/>
      </w:rPr>
    </w:lvl>
    <w:lvl w:ilvl="7" w:tplc="82789826" w:tentative="1">
      <w:start w:val="1"/>
      <w:numFmt w:val="bullet"/>
      <w:lvlText w:val="•"/>
      <w:lvlJc w:val="left"/>
      <w:pPr>
        <w:tabs>
          <w:tab w:val="num" w:pos="5760"/>
        </w:tabs>
        <w:ind w:left="5760" w:hanging="360"/>
      </w:pPr>
      <w:rPr>
        <w:rFonts w:ascii="Arial" w:hAnsi="Arial" w:hint="default"/>
      </w:rPr>
    </w:lvl>
    <w:lvl w:ilvl="8" w:tplc="7E6A1D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D5367B"/>
    <w:multiLevelType w:val="hybridMultilevel"/>
    <w:tmpl w:val="E65268B4"/>
    <w:lvl w:ilvl="0" w:tplc="F23A3EC6">
      <w:start w:val="1"/>
      <w:numFmt w:val="lowerLetter"/>
      <w:lvlText w:val="%1."/>
      <w:lvlJc w:val="left"/>
      <w:pPr>
        <w:ind w:left="1080" w:hanging="360"/>
      </w:pPr>
      <w:rPr>
        <w:rFonts w:hint="default"/>
        <w:i/>
      </w:rPr>
    </w:lvl>
    <w:lvl w:ilvl="1" w:tplc="1E089E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B69A4"/>
    <w:multiLevelType w:val="hybridMultilevel"/>
    <w:tmpl w:val="E8F2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C1A67"/>
    <w:multiLevelType w:val="hybridMultilevel"/>
    <w:tmpl w:val="35AC8D72"/>
    <w:lvl w:ilvl="0" w:tplc="E8861830">
      <w:start w:val="1"/>
      <w:numFmt w:val="bullet"/>
      <w:lvlText w:val="•"/>
      <w:lvlJc w:val="left"/>
      <w:pPr>
        <w:tabs>
          <w:tab w:val="num" w:pos="720"/>
        </w:tabs>
        <w:ind w:left="720" w:hanging="360"/>
      </w:pPr>
      <w:rPr>
        <w:rFonts w:ascii="Arial" w:hAnsi="Arial" w:hint="default"/>
      </w:rPr>
    </w:lvl>
    <w:lvl w:ilvl="1" w:tplc="34502E2A" w:tentative="1">
      <w:start w:val="1"/>
      <w:numFmt w:val="bullet"/>
      <w:lvlText w:val="•"/>
      <w:lvlJc w:val="left"/>
      <w:pPr>
        <w:tabs>
          <w:tab w:val="num" w:pos="1440"/>
        </w:tabs>
        <w:ind w:left="1440" w:hanging="360"/>
      </w:pPr>
      <w:rPr>
        <w:rFonts w:ascii="Arial" w:hAnsi="Arial" w:hint="default"/>
      </w:rPr>
    </w:lvl>
    <w:lvl w:ilvl="2" w:tplc="57E0A986" w:tentative="1">
      <w:start w:val="1"/>
      <w:numFmt w:val="bullet"/>
      <w:lvlText w:val="•"/>
      <w:lvlJc w:val="left"/>
      <w:pPr>
        <w:tabs>
          <w:tab w:val="num" w:pos="2160"/>
        </w:tabs>
        <w:ind w:left="2160" w:hanging="360"/>
      </w:pPr>
      <w:rPr>
        <w:rFonts w:ascii="Arial" w:hAnsi="Arial" w:hint="default"/>
      </w:rPr>
    </w:lvl>
    <w:lvl w:ilvl="3" w:tplc="F682A490" w:tentative="1">
      <w:start w:val="1"/>
      <w:numFmt w:val="bullet"/>
      <w:lvlText w:val="•"/>
      <w:lvlJc w:val="left"/>
      <w:pPr>
        <w:tabs>
          <w:tab w:val="num" w:pos="2880"/>
        </w:tabs>
        <w:ind w:left="2880" w:hanging="360"/>
      </w:pPr>
      <w:rPr>
        <w:rFonts w:ascii="Arial" w:hAnsi="Arial" w:hint="default"/>
      </w:rPr>
    </w:lvl>
    <w:lvl w:ilvl="4" w:tplc="B080D560" w:tentative="1">
      <w:start w:val="1"/>
      <w:numFmt w:val="bullet"/>
      <w:lvlText w:val="•"/>
      <w:lvlJc w:val="left"/>
      <w:pPr>
        <w:tabs>
          <w:tab w:val="num" w:pos="3600"/>
        </w:tabs>
        <w:ind w:left="3600" w:hanging="360"/>
      </w:pPr>
      <w:rPr>
        <w:rFonts w:ascii="Arial" w:hAnsi="Arial" w:hint="default"/>
      </w:rPr>
    </w:lvl>
    <w:lvl w:ilvl="5" w:tplc="7B1A0442" w:tentative="1">
      <w:start w:val="1"/>
      <w:numFmt w:val="bullet"/>
      <w:lvlText w:val="•"/>
      <w:lvlJc w:val="left"/>
      <w:pPr>
        <w:tabs>
          <w:tab w:val="num" w:pos="4320"/>
        </w:tabs>
        <w:ind w:left="4320" w:hanging="360"/>
      </w:pPr>
      <w:rPr>
        <w:rFonts w:ascii="Arial" w:hAnsi="Arial" w:hint="default"/>
      </w:rPr>
    </w:lvl>
    <w:lvl w:ilvl="6" w:tplc="CC849914" w:tentative="1">
      <w:start w:val="1"/>
      <w:numFmt w:val="bullet"/>
      <w:lvlText w:val="•"/>
      <w:lvlJc w:val="left"/>
      <w:pPr>
        <w:tabs>
          <w:tab w:val="num" w:pos="5040"/>
        </w:tabs>
        <w:ind w:left="5040" w:hanging="360"/>
      </w:pPr>
      <w:rPr>
        <w:rFonts w:ascii="Arial" w:hAnsi="Arial" w:hint="default"/>
      </w:rPr>
    </w:lvl>
    <w:lvl w:ilvl="7" w:tplc="1ED09216" w:tentative="1">
      <w:start w:val="1"/>
      <w:numFmt w:val="bullet"/>
      <w:lvlText w:val="•"/>
      <w:lvlJc w:val="left"/>
      <w:pPr>
        <w:tabs>
          <w:tab w:val="num" w:pos="5760"/>
        </w:tabs>
        <w:ind w:left="5760" w:hanging="360"/>
      </w:pPr>
      <w:rPr>
        <w:rFonts w:ascii="Arial" w:hAnsi="Arial" w:hint="default"/>
      </w:rPr>
    </w:lvl>
    <w:lvl w:ilvl="8" w:tplc="017E7F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27495B"/>
    <w:multiLevelType w:val="hybridMultilevel"/>
    <w:tmpl w:val="DF3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93646"/>
    <w:multiLevelType w:val="hybridMultilevel"/>
    <w:tmpl w:val="A22AC4F2"/>
    <w:lvl w:ilvl="0" w:tplc="31284B5C">
      <w:start w:val="1"/>
      <w:numFmt w:val="bullet"/>
      <w:lvlText w:val="•"/>
      <w:lvlJc w:val="left"/>
      <w:pPr>
        <w:tabs>
          <w:tab w:val="num" w:pos="720"/>
        </w:tabs>
        <w:ind w:left="720" w:hanging="360"/>
      </w:pPr>
      <w:rPr>
        <w:rFonts w:ascii="Arial" w:hAnsi="Arial" w:hint="default"/>
      </w:rPr>
    </w:lvl>
    <w:lvl w:ilvl="1" w:tplc="7026F068" w:tentative="1">
      <w:start w:val="1"/>
      <w:numFmt w:val="bullet"/>
      <w:lvlText w:val="•"/>
      <w:lvlJc w:val="left"/>
      <w:pPr>
        <w:tabs>
          <w:tab w:val="num" w:pos="1440"/>
        </w:tabs>
        <w:ind w:left="1440" w:hanging="360"/>
      </w:pPr>
      <w:rPr>
        <w:rFonts w:ascii="Arial" w:hAnsi="Arial" w:hint="default"/>
      </w:rPr>
    </w:lvl>
    <w:lvl w:ilvl="2" w:tplc="503EF1AC" w:tentative="1">
      <w:start w:val="1"/>
      <w:numFmt w:val="bullet"/>
      <w:lvlText w:val="•"/>
      <w:lvlJc w:val="left"/>
      <w:pPr>
        <w:tabs>
          <w:tab w:val="num" w:pos="2160"/>
        </w:tabs>
        <w:ind w:left="2160" w:hanging="360"/>
      </w:pPr>
      <w:rPr>
        <w:rFonts w:ascii="Arial" w:hAnsi="Arial" w:hint="default"/>
      </w:rPr>
    </w:lvl>
    <w:lvl w:ilvl="3" w:tplc="1A020BDC" w:tentative="1">
      <w:start w:val="1"/>
      <w:numFmt w:val="bullet"/>
      <w:lvlText w:val="•"/>
      <w:lvlJc w:val="left"/>
      <w:pPr>
        <w:tabs>
          <w:tab w:val="num" w:pos="2880"/>
        </w:tabs>
        <w:ind w:left="2880" w:hanging="360"/>
      </w:pPr>
      <w:rPr>
        <w:rFonts w:ascii="Arial" w:hAnsi="Arial" w:hint="default"/>
      </w:rPr>
    </w:lvl>
    <w:lvl w:ilvl="4" w:tplc="3DEC0970" w:tentative="1">
      <w:start w:val="1"/>
      <w:numFmt w:val="bullet"/>
      <w:lvlText w:val="•"/>
      <w:lvlJc w:val="left"/>
      <w:pPr>
        <w:tabs>
          <w:tab w:val="num" w:pos="3600"/>
        </w:tabs>
        <w:ind w:left="3600" w:hanging="360"/>
      </w:pPr>
      <w:rPr>
        <w:rFonts w:ascii="Arial" w:hAnsi="Arial" w:hint="default"/>
      </w:rPr>
    </w:lvl>
    <w:lvl w:ilvl="5" w:tplc="521EB15A" w:tentative="1">
      <w:start w:val="1"/>
      <w:numFmt w:val="bullet"/>
      <w:lvlText w:val="•"/>
      <w:lvlJc w:val="left"/>
      <w:pPr>
        <w:tabs>
          <w:tab w:val="num" w:pos="4320"/>
        </w:tabs>
        <w:ind w:left="4320" w:hanging="360"/>
      </w:pPr>
      <w:rPr>
        <w:rFonts w:ascii="Arial" w:hAnsi="Arial" w:hint="default"/>
      </w:rPr>
    </w:lvl>
    <w:lvl w:ilvl="6" w:tplc="69A423C4" w:tentative="1">
      <w:start w:val="1"/>
      <w:numFmt w:val="bullet"/>
      <w:lvlText w:val="•"/>
      <w:lvlJc w:val="left"/>
      <w:pPr>
        <w:tabs>
          <w:tab w:val="num" w:pos="5040"/>
        </w:tabs>
        <w:ind w:left="5040" w:hanging="360"/>
      </w:pPr>
      <w:rPr>
        <w:rFonts w:ascii="Arial" w:hAnsi="Arial" w:hint="default"/>
      </w:rPr>
    </w:lvl>
    <w:lvl w:ilvl="7" w:tplc="8688B20A" w:tentative="1">
      <w:start w:val="1"/>
      <w:numFmt w:val="bullet"/>
      <w:lvlText w:val="•"/>
      <w:lvlJc w:val="left"/>
      <w:pPr>
        <w:tabs>
          <w:tab w:val="num" w:pos="5760"/>
        </w:tabs>
        <w:ind w:left="5760" w:hanging="360"/>
      </w:pPr>
      <w:rPr>
        <w:rFonts w:ascii="Arial" w:hAnsi="Arial" w:hint="default"/>
      </w:rPr>
    </w:lvl>
    <w:lvl w:ilvl="8" w:tplc="BC0A4F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90640C"/>
    <w:multiLevelType w:val="hybridMultilevel"/>
    <w:tmpl w:val="C14612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43858A8"/>
    <w:multiLevelType w:val="hybridMultilevel"/>
    <w:tmpl w:val="4C2A4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215DE"/>
    <w:multiLevelType w:val="hybridMultilevel"/>
    <w:tmpl w:val="260A9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057D42"/>
    <w:multiLevelType w:val="hybridMultilevel"/>
    <w:tmpl w:val="6128C624"/>
    <w:lvl w:ilvl="0" w:tplc="D03E576C">
      <w:start w:val="1"/>
      <w:numFmt w:val="bullet"/>
      <w:lvlText w:val="•"/>
      <w:lvlJc w:val="left"/>
      <w:pPr>
        <w:tabs>
          <w:tab w:val="num" w:pos="720"/>
        </w:tabs>
        <w:ind w:left="720" w:hanging="360"/>
      </w:pPr>
      <w:rPr>
        <w:rFonts w:ascii="Arial" w:hAnsi="Arial" w:hint="default"/>
      </w:rPr>
    </w:lvl>
    <w:lvl w:ilvl="1" w:tplc="4C6C35A2" w:tentative="1">
      <w:start w:val="1"/>
      <w:numFmt w:val="bullet"/>
      <w:lvlText w:val="•"/>
      <w:lvlJc w:val="left"/>
      <w:pPr>
        <w:tabs>
          <w:tab w:val="num" w:pos="1440"/>
        </w:tabs>
        <w:ind w:left="1440" w:hanging="360"/>
      </w:pPr>
      <w:rPr>
        <w:rFonts w:ascii="Arial" w:hAnsi="Arial" w:hint="default"/>
      </w:rPr>
    </w:lvl>
    <w:lvl w:ilvl="2" w:tplc="D8421524" w:tentative="1">
      <w:start w:val="1"/>
      <w:numFmt w:val="bullet"/>
      <w:lvlText w:val="•"/>
      <w:lvlJc w:val="left"/>
      <w:pPr>
        <w:tabs>
          <w:tab w:val="num" w:pos="2160"/>
        </w:tabs>
        <w:ind w:left="2160" w:hanging="360"/>
      </w:pPr>
      <w:rPr>
        <w:rFonts w:ascii="Arial" w:hAnsi="Arial" w:hint="default"/>
      </w:rPr>
    </w:lvl>
    <w:lvl w:ilvl="3" w:tplc="580C427A" w:tentative="1">
      <w:start w:val="1"/>
      <w:numFmt w:val="bullet"/>
      <w:lvlText w:val="•"/>
      <w:lvlJc w:val="left"/>
      <w:pPr>
        <w:tabs>
          <w:tab w:val="num" w:pos="2880"/>
        </w:tabs>
        <w:ind w:left="2880" w:hanging="360"/>
      </w:pPr>
      <w:rPr>
        <w:rFonts w:ascii="Arial" w:hAnsi="Arial" w:hint="default"/>
      </w:rPr>
    </w:lvl>
    <w:lvl w:ilvl="4" w:tplc="CE26FDEC" w:tentative="1">
      <w:start w:val="1"/>
      <w:numFmt w:val="bullet"/>
      <w:lvlText w:val="•"/>
      <w:lvlJc w:val="left"/>
      <w:pPr>
        <w:tabs>
          <w:tab w:val="num" w:pos="3600"/>
        </w:tabs>
        <w:ind w:left="3600" w:hanging="360"/>
      </w:pPr>
      <w:rPr>
        <w:rFonts w:ascii="Arial" w:hAnsi="Arial" w:hint="default"/>
      </w:rPr>
    </w:lvl>
    <w:lvl w:ilvl="5" w:tplc="E2906284" w:tentative="1">
      <w:start w:val="1"/>
      <w:numFmt w:val="bullet"/>
      <w:lvlText w:val="•"/>
      <w:lvlJc w:val="left"/>
      <w:pPr>
        <w:tabs>
          <w:tab w:val="num" w:pos="4320"/>
        </w:tabs>
        <w:ind w:left="4320" w:hanging="360"/>
      </w:pPr>
      <w:rPr>
        <w:rFonts w:ascii="Arial" w:hAnsi="Arial" w:hint="default"/>
      </w:rPr>
    </w:lvl>
    <w:lvl w:ilvl="6" w:tplc="D898F1A8" w:tentative="1">
      <w:start w:val="1"/>
      <w:numFmt w:val="bullet"/>
      <w:lvlText w:val="•"/>
      <w:lvlJc w:val="left"/>
      <w:pPr>
        <w:tabs>
          <w:tab w:val="num" w:pos="5040"/>
        </w:tabs>
        <w:ind w:left="5040" w:hanging="360"/>
      </w:pPr>
      <w:rPr>
        <w:rFonts w:ascii="Arial" w:hAnsi="Arial" w:hint="default"/>
      </w:rPr>
    </w:lvl>
    <w:lvl w:ilvl="7" w:tplc="6C4CFA78" w:tentative="1">
      <w:start w:val="1"/>
      <w:numFmt w:val="bullet"/>
      <w:lvlText w:val="•"/>
      <w:lvlJc w:val="left"/>
      <w:pPr>
        <w:tabs>
          <w:tab w:val="num" w:pos="5760"/>
        </w:tabs>
        <w:ind w:left="5760" w:hanging="360"/>
      </w:pPr>
      <w:rPr>
        <w:rFonts w:ascii="Arial" w:hAnsi="Arial" w:hint="default"/>
      </w:rPr>
    </w:lvl>
    <w:lvl w:ilvl="8" w:tplc="7A0A39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FE9D23"/>
    <w:multiLevelType w:val="hybridMultilevel"/>
    <w:tmpl w:val="FFFFFFFF"/>
    <w:lvl w:ilvl="0" w:tplc="69044CE4">
      <w:start w:val="1"/>
      <w:numFmt w:val="bullet"/>
      <w:lvlText w:val=""/>
      <w:lvlJc w:val="left"/>
      <w:pPr>
        <w:ind w:left="787" w:hanging="360"/>
      </w:pPr>
      <w:rPr>
        <w:rFonts w:ascii="Symbol" w:hAnsi="Symbol" w:hint="default"/>
      </w:rPr>
    </w:lvl>
    <w:lvl w:ilvl="1" w:tplc="39641B1C">
      <w:start w:val="1"/>
      <w:numFmt w:val="bullet"/>
      <w:lvlText w:val="o"/>
      <w:lvlJc w:val="left"/>
      <w:pPr>
        <w:ind w:left="1440" w:hanging="360"/>
      </w:pPr>
      <w:rPr>
        <w:rFonts w:ascii="Courier New" w:hAnsi="Courier New" w:hint="default"/>
      </w:rPr>
    </w:lvl>
    <w:lvl w:ilvl="2" w:tplc="784A1A04">
      <w:start w:val="1"/>
      <w:numFmt w:val="bullet"/>
      <w:lvlText w:val=""/>
      <w:lvlJc w:val="left"/>
      <w:pPr>
        <w:ind w:left="2160" w:hanging="360"/>
      </w:pPr>
      <w:rPr>
        <w:rFonts w:ascii="Wingdings" w:hAnsi="Wingdings" w:hint="default"/>
      </w:rPr>
    </w:lvl>
    <w:lvl w:ilvl="3" w:tplc="597A0E60">
      <w:start w:val="1"/>
      <w:numFmt w:val="bullet"/>
      <w:lvlText w:val=""/>
      <w:lvlJc w:val="left"/>
      <w:pPr>
        <w:ind w:left="2880" w:hanging="360"/>
      </w:pPr>
      <w:rPr>
        <w:rFonts w:ascii="Symbol" w:hAnsi="Symbol" w:hint="default"/>
      </w:rPr>
    </w:lvl>
    <w:lvl w:ilvl="4" w:tplc="E1E832A0">
      <w:start w:val="1"/>
      <w:numFmt w:val="bullet"/>
      <w:lvlText w:val="o"/>
      <w:lvlJc w:val="left"/>
      <w:pPr>
        <w:ind w:left="3600" w:hanging="360"/>
      </w:pPr>
      <w:rPr>
        <w:rFonts w:ascii="Courier New" w:hAnsi="Courier New" w:hint="default"/>
      </w:rPr>
    </w:lvl>
    <w:lvl w:ilvl="5" w:tplc="69B835F0">
      <w:start w:val="1"/>
      <w:numFmt w:val="bullet"/>
      <w:lvlText w:val=""/>
      <w:lvlJc w:val="left"/>
      <w:pPr>
        <w:ind w:left="4320" w:hanging="360"/>
      </w:pPr>
      <w:rPr>
        <w:rFonts w:ascii="Wingdings" w:hAnsi="Wingdings" w:hint="default"/>
      </w:rPr>
    </w:lvl>
    <w:lvl w:ilvl="6" w:tplc="C242E4C8">
      <w:start w:val="1"/>
      <w:numFmt w:val="bullet"/>
      <w:lvlText w:val=""/>
      <w:lvlJc w:val="left"/>
      <w:pPr>
        <w:ind w:left="5040" w:hanging="360"/>
      </w:pPr>
      <w:rPr>
        <w:rFonts w:ascii="Symbol" w:hAnsi="Symbol" w:hint="default"/>
      </w:rPr>
    </w:lvl>
    <w:lvl w:ilvl="7" w:tplc="66763CDE">
      <w:start w:val="1"/>
      <w:numFmt w:val="bullet"/>
      <w:lvlText w:val="o"/>
      <w:lvlJc w:val="left"/>
      <w:pPr>
        <w:ind w:left="5760" w:hanging="360"/>
      </w:pPr>
      <w:rPr>
        <w:rFonts w:ascii="Courier New" w:hAnsi="Courier New" w:hint="default"/>
      </w:rPr>
    </w:lvl>
    <w:lvl w:ilvl="8" w:tplc="972E5E70">
      <w:start w:val="1"/>
      <w:numFmt w:val="bullet"/>
      <w:lvlText w:val=""/>
      <w:lvlJc w:val="left"/>
      <w:pPr>
        <w:ind w:left="6480" w:hanging="360"/>
      </w:pPr>
      <w:rPr>
        <w:rFonts w:ascii="Wingdings" w:hAnsi="Wingdings" w:hint="default"/>
      </w:rPr>
    </w:lvl>
  </w:abstractNum>
  <w:abstractNum w:abstractNumId="15" w15:restartNumberingAfterBreak="0">
    <w:nsid w:val="1FDF783C"/>
    <w:multiLevelType w:val="hybridMultilevel"/>
    <w:tmpl w:val="13ECC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B6F8E"/>
    <w:multiLevelType w:val="hybridMultilevel"/>
    <w:tmpl w:val="D9D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97F81"/>
    <w:multiLevelType w:val="hybridMultilevel"/>
    <w:tmpl w:val="972E39B8"/>
    <w:lvl w:ilvl="0" w:tplc="D3D2BB66">
      <w:start w:val="1"/>
      <w:numFmt w:val="bullet"/>
      <w:lvlText w:val="•"/>
      <w:lvlJc w:val="left"/>
      <w:pPr>
        <w:tabs>
          <w:tab w:val="num" w:pos="720"/>
        </w:tabs>
        <w:ind w:left="720" w:hanging="360"/>
      </w:pPr>
      <w:rPr>
        <w:rFonts w:ascii="Arial" w:hAnsi="Arial" w:hint="default"/>
      </w:rPr>
    </w:lvl>
    <w:lvl w:ilvl="1" w:tplc="ABB86710" w:tentative="1">
      <w:start w:val="1"/>
      <w:numFmt w:val="bullet"/>
      <w:lvlText w:val="•"/>
      <w:lvlJc w:val="left"/>
      <w:pPr>
        <w:tabs>
          <w:tab w:val="num" w:pos="1440"/>
        </w:tabs>
        <w:ind w:left="1440" w:hanging="360"/>
      </w:pPr>
      <w:rPr>
        <w:rFonts w:ascii="Arial" w:hAnsi="Arial" w:hint="default"/>
      </w:rPr>
    </w:lvl>
    <w:lvl w:ilvl="2" w:tplc="6980E798" w:tentative="1">
      <w:start w:val="1"/>
      <w:numFmt w:val="bullet"/>
      <w:lvlText w:val="•"/>
      <w:lvlJc w:val="left"/>
      <w:pPr>
        <w:tabs>
          <w:tab w:val="num" w:pos="2160"/>
        </w:tabs>
        <w:ind w:left="2160" w:hanging="360"/>
      </w:pPr>
      <w:rPr>
        <w:rFonts w:ascii="Arial" w:hAnsi="Arial" w:hint="default"/>
      </w:rPr>
    </w:lvl>
    <w:lvl w:ilvl="3" w:tplc="4B2A1BA0" w:tentative="1">
      <w:start w:val="1"/>
      <w:numFmt w:val="bullet"/>
      <w:lvlText w:val="•"/>
      <w:lvlJc w:val="left"/>
      <w:pPr>
        <w:tabs>
          <w:tab w:val="num" w:pos="2880"/>
        </w:tabs>
        <w:ind w:left="2880" w:hanging="360"/>
      </w:pPr>
      <w:rPr>
        <w:rFonts w:ascii="Arial" w:hAnsi="Arial" w:hint="default"/>
      </w:rPr>
    </w:lvl>
    <w:lvl w:ilvl="4" w:tplc="0A20BA00" w:tentative="1">
      <w:start w:val="1"/>
      <w:numFmt w:val="bullet"/>
      <w:lvlText w:val="•"/>
      <w:lvlJc w:val="left"/>
      <w:pPr>
        <w:tabs>
          <w:tab w:val="num" w:pos="3600"/>
        </w:tabs>
        <w:ind w:left="3600" w:hanging="360"/>
      </w:pPr>
      <w:rPr>
        <w:rFonts w:ascii="Arial" w:hAnsi="Arial" w:hint="default"/>
      </w:rPr>
    </w:lvl>
    <w:lvl w:ilvl="5" w:tplc="12C46216" w:tentative="1">
      <w:start w:val="1"/>
      <w:numFmt w:val="bullet"/>
      <w:lvlText w:val="•"/>
      <w:lvlJc w:val="left"/>
      <w:pPr>
        <w:tabs>
          <w:tab w:val="num" w:pos="4320"/>
        </w:tabs>
        <w:ind w:left="4320" w:hanging="360"/>
      </w:pPr>
      <w:rPr>
        <w:rFonts w:ascii="Arial" w:hAnsi="Arial" w:hint="default"/>
      </w:rPr>
    </w:lvl>
    <w:lvl w:ilvl="6" w:tplc="742EA454" w:tentative="1">
      <w:start w:val="1"/>
      <w:numFmt w:val="bullet"/>
      <w:lvlText w:val="•"/>
      <w:lvlJc w:val="left"/>
      <w:pPr>
        <w:tabs>
          <w:tab w:val="num" w:pos="5040"/>
        </w:tabs>
        <w:ind w:left="5040" w:hanging="360"/>
      </w:pPr>
      <w:rPr>
        <w:rFonts w:ascii="Arial" w:hAnsi="Arial" w:hint="default"/>
      </w:rPr>
    </w:lvl>
    <w:lvl w:ilvl="7" w:tplc="A25C16F4" w:tentative="1">
      <w:start w:val="1"/>
      <w:numFmt w:val="bullet"/>
      <w:lvlText w:val="•"/>
      <w:lvlJc w:val="left"/>
      <w:pPr>
        <w:tabs>
          <w:tab w:val="num" w:pos="5760"/>
        </w:tabs>
        <w:ind w:left="5760" w:hanging="360"/>
      </w:pPr>
      <w:rPr>
        <w:rFonts w:ascii="Arial" w:hAnsi="Arial" w:hint="default"/>
      </w:rPr>
    </w:lvl>
    <w:lvl w:ilvl="8" w:tplc="065C5E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F91AD6"/>
    <w:multiLevelType w:val="hybridMultilevel"/>
    <w:tmpl w:val="63D415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D14F4"/>
    <w:multiLevelType w:val="hybridMultilevel"/>
    <w:tmpl w:val="06F4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593125"/>
    <w:multiLevelType w:val="hybridMultilevel"/>
    <w:tmpl w:val="5A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684A61"/>
    <w:multiLevelType w:val="hybridMultilevel"/>
    <w:tmpl w:val="533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F733C"/>
    <w:multiLevelType w:val="hybridMultilevel"/>
    <w:tmpl w:val="45B6C35A"/>
    <w:lvl w:ilvl="0" w:tplc="4854561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18E4"/>
    <w:multiLevelType w:val="hybridMultilevel"/>
    <w:tmpl w:val="433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B258A3"/>
    <w:multiLevelType w:val="hybridMultilevel"/>
    <w:tmpl w:val="3F203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B32EE"/>
    <w:multiLevelType w:val="hybridMultilevel"/>
    <w:tmpl w:val="6968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06129"/>
    <w:multiLevelType w:val="hybridMultilevel"/>
    <w:tmpl w:val="61E4F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01B8B"/>
    <w:multiLevelType w:val="hybridMultilevel"/>
    <w:tmpl w:val="FFFFFFFF"/>
    <w:lvl w:ilvl="0" w:tplc="F08E00C6">
      <w:start w:val="1"/>
      <w:numFmt w:val="bullet"/>
      <w:lvlText w:val=""/>
      <w:lvlJc w:val="left"/>
      <w:pPr>
        <w:ind w:left="720" w:hanging="360"/>
      </w:pPr>
      <w:rPr>
        <w:rFonts w:ascii="Symbol" w:hAnsi="Symbol" w:hint="default"/>
      </w:rPr>
    </w:lvl>
    <w:lvl w:ilvl="1" w:tplc="0EB20DC0">
      <w:start w:val="1"/>
      <w:numFmt w:val="bullet"/>
      <w:lvlText w:val="o"/>
      <w:lvlJc w:val="left"/>
      <w:pPr>
        <w:ind w:left="1440" w:hanging="360"/>
      </w:pPr>
      <w:rPr>
        <w:rFonts w:ascii="Courier New" w:hAnsi="Courier New" w:hint="default"/>
      </w:rPr>
    </w:lvl>
    <w:lvl w:ilvl="2" w:tplc="BE7AFBA2">
      <w:start w:val="1"/>
      <w:numFmt w:val="bullet"/>
      <w:lvlText w:val=""/>
      <w:lvlJc w:val="left"/>
      <w:pPr>
        <w:ind w:left="2160" w:hanging="360"/>
      </w:pPr>
      <w:rPr>
        <w:rFonts w:ascii="Wingdings" w:hAnsi="Wingdings" w:hint="default"/>
      </w:rPr>
    </w:lvl>
    <w:lvl w:ilvl="3" w:tplc="1702132A">
      <w:start w:val="1"/>
      <w:numFmt w:val="bullet"/>
      <w:lvlText w:val=""/>
      <w:lvlJc w:val="left"/>
      <w:pPr>
        <w:ind w:left="2880" w:hanging="360"/>
      </w:pPr>
      <w:rPr>
        <w:rFonts w:ascii="Symbol" w:hAnsi="Symbol" w:hint="default"/>
      </w:rPr>
    </w:lvl>
    <w:lvl w:ilvl="4" w:tplc="799A80A0">
      <w:start w:val="1"/>
      <w:numFmt w:val="bullet"/>
      <w:lvlText w:val="o"/>
      <w:lvlJc w:val="left"/>
      <w:pPr>
        <w:ind w:left="3600" w:hanging="360"/>
      </w:pPr>
      <w:rPr>
        <w:rFonts w:ascii="Courier New" w:hAnsi="Courier New" w:hint="default"/>
      </w:rPr>
    </w:lvl>
    <w:lvl w:ilvl="5" w:tplc="229AE048">
      <w:start w:val="1"/>
      <w:numFmt w:val="bullet"/>
      <w:lvlText w:val=""/>
      <w:lvlJc w:val="left"/>
      <w:pPr>
        <w:ind w:left="4320" w:hanging="360"/>
      </w:pPr>
      <w:rPr>
        <w:rFonts w:ascii="Wingdings" w:hAnsi="Wingdings" w:hint="default"/>
      </w:rPr>
    </w:lvl>
    <w:lvl w:ilvl="6" w:tplc="B1AED814">
      <w:start w:val="1"/>
      <w:numFmt w:val="bullet"/>
      <w:lvlText w:val=""/>
      <w:lvlJc w:val="left"/>
      <w:pPr>
        <w:ind w:left="5040" w:hanging="360"/>
      </w:pPr>
      <w:rPr>
        <w:rFonts w:ascii="Symbol" w:hAnsi="Symbol" w:hint="default"/>
      </w:rPr>
    </w:lvl>
    <w:lvl w:ilvl="7" w:tplc="F526614E">
      <w:start w:val="1"/>
      <w:numFmt w:val="bullet"/>
      <w:lvlText w:val="o"/>
      <w:lvlJc w:val="left"/>
      <w:pPr>
        <w:ind w:left="5760" w:hanging="360"/>
      </w:pPr>
      <w:rPr>
        <w:rFonts w:ascii="Courier New" w:hAnsi="Courier New" w:hint="default"/>
      </w:rPr>
    </w:lvl>
    <w:lvl w:ilvl="8" w:tplc="76AC21B2">
      <w:start w:val="1"/>
      <w:numFmt w:val="bullet"/>
      <w:lvlText w:val=""/>
      <w:lvlJc w:val="left"/>
      <w:pPr>
        <w:ind w:left="6480" w:hanging="360"/>
      </w:pPr>
      <w:rPr>
        <w:rFonts w:ascii="Wingdings" w:hAnsi="Wingdings" w:hint="default"/>
      </w:rPr>
    </w:lvl>
  </w:abstractNum>
  <w:abstractNum w:abstractNumId="30" w15:restartNumberingAfterBreak="0">
    <w:nsid w:val="3F5978C9"/>
    <w:multiLevelType w:val="hybridMultilevel"/>
    <w:tmpl w:val="081EB50A"/>
    <w:lvl w:ilvl="0" w:tplc="F432EA3E">
      <w:start w:val="1"/>
      <w:numFmt w:val="bullet"/>
      <w:lvlText w:val="•"/>
      <w:lvlJc w:val="left"/>
      <w:pPr>
        <w:tabs>
          <w:tab w:val="num" w:pos="720"/>
        </w:tabs>
        <w:ind w:left="720" w:hanging="360"/>
      </w:pPr>
      <w:rPr>
        <w:rFonts w:ascii="Arial" w:hAnsi="Arial" w:hint="default"/>
      </w:rPr>
    </w:lvl>
    <w:lvl w:ilvl="1" w:tplc="DE502BDE" w:tentative="1">
      <w:start w:val="1"/>
      <w:numFmt w:val="bullet"/>
      <w:lvlText w:val="•"/>
      <w:lvlJc w:val="left"/>
      <w:pPr>
        <w:tabs>
          <w:tab w:val="num" w:pos="1440"/>
        </w:tabs>
        <w:ind w:left="1440" w:hanging="360"/>
      </w:pPr>
      <w:rPr>
        <w:rFonts w:ascii="Arial" w:hAnsi="Arial" w:hint="default"/>
      </w:rPr>
    </w:lvl>
    <w:lvl w:ilvl="2" w:tplc="511C0D62" w:tentative="1">
      <w:start w:val="1"/>
      <w:numFmt w:val="bullet"/>
      <w:lvlText w:val="•"/>
      <w:lvlJc w:val="left"/>
      <w:pPr>
        <w:tabs>
          <w:tab w:val="num" w:pos="2160"/>
        </w:tabs>
        <w:ind w:left="2160" w:hanging="360"/>
      </w:pPr>
      <w:rPr>
        <w:rFonts w:ascii="Arial" w:hAnsi="Arial" w:hint="default"/>
      </w:rPr>
    </w:lvl>
    <w:lvl w:ilvl="3" w:tplc="ADE0F0E0" w:tentative="1">
      <w:start w:val="1"/>
      <w:numFmt w:val="bullet"/>
      <w:lvlText w:val="•"/>
      <w:lvlJc w:val="left"/>
      <w:pPr>
        <w:tabs>
          <w:tab w:val="num" w:pos="2880"/>
        </w:tabs>
        <w:ind w:left="2880" w:hanging="360"/>
      </w:pPr>
      <w:rPr>
        <w:rFonts w:ascii="Arial" w:hAnsi="Arial" w:hint="default"/>
      </w:rPr>
    </w:lvl>
    <w:lvl w:ilvl="4" w:tplc="8ADED2C8" w:tentative="1">
      <w:start w:val="1"/>
      <w:numFmt w:val="bullet"/>
      <w:lvlText w:val="•"/>
      <w:lvlJc w:val="left"/>
      <w:pPr>
        <w:tabs>
          <w:tab w:val="num" w:pos="3600"/>
        </w:tabs>
        <w:ind w:left="3600" w:hanging="360"/>
      </w:pPr>
      <w:rPr>
        <w:rFonts w:ascii="Arial" w:hAnsi="Arial" w:hint="default"/>
      </w:rPr>
    </w:lvl>
    <w:lvl w:ilvl="5" w:tplc="ED5C78E4" w:tentative="1">
      <w:start w:val="1"/>
      <w:numFmt w:val="bullet"/>
      <w:lvlText w:val="•"/>
      <w:lvlJc w:val="left"/>
      <w:pPr>
        <w:tabs>
          <w:tab w:val="num" w:pos="4320"/>
        </w:tabs>
        <w:ind w:left="4320" w:hanging="360"/>
      </w:pPr>
      <w:rPr>
        <w:rFonts w:ascii="Arial" w:hAnsi="Arial" w:hint="default"/>
      </w:rPr>
    </w:lvl>
    <w:lvl w:ilvl="6" w:tplc="395C0220" w:tentative="1">
      <w:start w:val="1"/>
      <w:numFmt w:val="bullet"/>
      <w:lvlText w:val="•"/>
      <w:lvlJc w:val="left"/>
      <w:pPr>
        <w:tabs>
          <w:tab w:val="num" w:pos="5040"/>
        </w:tabs>
        <w:ind w:left="5040" w:hanging="360"/>
      </w:pPr>
      <w:rPr>
        <w:rFonts w:ascii="Arial" w:hAnsi="Arial" w:hint="default"/>
      </w:rPr>
    </w:lvl>
    <w:lvl w:ilvl="7" w:tplc="C226C43E" w:tentative="1">
      <w:start w:val="1"/>
      <w:numFmt w:val="bullet"/>
      <w:lvlText w:val="•"/>
      <w:lvlJc w:val="left"/>
      <w:pPr>
        <w:tabs>
          <w:tab w:val="num" w:pos="5760"/>
        </w:tabs>
        <w:ind w:left="5760" w:hanging="360"/>
      </w:pPr>
      <w:rPr>
        <w:rFonts w:ascii="Arial" w:hAnsi="Arial" w:hint="default"/>
      </w:rPr>
    </w:lvl>
    <w:lvl w:ilvl="8" w:tplc="F8522A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07C14F2"/>
    <w:multiLevelType w:val="hybridMultilevel"/>
    <w:tmpl w:val="7900905C"/>
    <w:lvl w:ilvl="0" w:tplc="7FBE2A90">
      <w:start w:val="1"/>
      <w:numFmt w:val="bullet"/>
      <w:lvlText w:val="•"/>
      <w:lvlJc w:val="left"/>
      <w:pPr>
        <w:tabs>
          <w:tab w:val="num" w:pos="720"/>
        </w:tabs>
        <w:ind w:left="720" w:hanging="360"/>
      </w:pPr>
      <w:rPr>
        <w:rFonts w:ascii="Arial" w:hAnsi="Arial" w:hint="default"/>
      </w:rPr>
    </w:lvl>
    <w:lvl w:ilvl="1" w:tplc="3EAE2C86">
      <w:numFmt w:val="bullet"/>
      <w:lvlText w:val="◦"/>
      <w:lvlJc w:val="left"/>
      <w:pPr>
        <w:tabs>
          <w:tab w:val="num" w:pos="1440"/>
        </w:tabs>
        <w:ind w:left="1440" w:hanging="360"/>
      </w:pPr>
      <w:rPr>
        <w:rFonts w:ascii="Arial" w:hAnsi="Arial" w:hint="default"/>
      </w:rPr>
    </w:lvl>
    <w:lvl w:ilvl="2" w:tplc="9A2E3DA6" w:tentative="1">
      <w:start w:val="1"/>
      <w:numFmt w:val="bullet"/>
      <w:lvlText w:val="•"/>
      <w:lvlJc w:val="left"/>
      <w:pPr>
        <w:tabs>
          <w:tab w:val="num" w:pos="2160"/>
        </w:tabs>
        <w:ind w:left="2160" w:hanging="360"/>
      </w:pPr>
      <w:rPr>
        <w:rFonts w:ascii="Arial" w:hAnsi="Arial" w:hint="default"/>
      </w:rPr>
    </w:lvl>
    <w:lvl w:ilvl="3" w:tplc="839EE47C" w:tentative="1">
      <w:start w:val="1"/>
      <w:numFmt w:val="bullet"/>
      <w:lvlText w:val="•"/>
      <w:lvlJc w:val="left"/>
      <w:pPr>
        <w:tabs>
          <w:tab w:val="num" w:pos="2880"/>
        </w:tabs>
        <w:ind w:left="2880" w:hanging="360"/>
      </w:pPr>
      <w:rPr>
        <w:rFonts w:ascii="Arial" w:hAnsi="Arial" w:hint="default"/>
      </w:rPr>
    </w:lvl>
    <w:lvl w:ilvl="4" w:tplc="20AE3D6E" w:tentative="1">
      <w:start w:val="1"/>
      <w:numFmt w:val="bullet"/>
      <w:lvlText w:val="•"/>
      <w:lvlJc w:val="left"/>
      <w:pPr>
        <w:tabs>
          <w:tab w:val="num" w:pos="3600"/>
        </w:tabs>
        <w:ind w:left="3600" w:hanging="360"/>
      </w:pPr>
      <w:rPr>
        <w:rFonts w:ascii="Arial" w:hAnsi="Arial" w:hint="default"/>
      </w:rPr>
    </w:lvl>
    <w:lvl w:ilvl="5" w:tplc="08923C52" w:tentative="1">
      <w:start w:val="1"/>
      <w:numFmt w:val="bullet"/>
      <w:lvlText w:val="•"/>
      <w:lvlJc w:val="left"/>
      <w:pPr>
        <w:tabs>
          <w:tab w:val="num" w:pos="4320"/>
        </w:tabs>
        <w:ind w:left="4320" w:hanging="360"/>
      </w:pPr>
      <w:rPr>
        <w:rFonts w:ascii="Arial" w:hAnsi="Arial" w:hint="default"/>
      </w:rPr>
    </w:lvl>
    <w:lvl w:ilvl="6" w:tplc="93E8D26A" w:tentative="1">
      <w:start w:val="1"/>
      <w:numFmt w:val="bullet"/>
      <w:lvlText w:val="•"/>
      <w:lvlJc w:val="left"/>
      <w:pPr>
        <w:tabs>
          <w:tab w:val="num" w:pos="5040"/>
        </w:tabs>
        <w:ind w:left="5040" w:hanging="360"/>
      </w:pPr>
      <w:rPr>
        <w:rFonts w:ascii="Arial" w:hAnsi="Arial" w:hint="default"/>
      </w:rPr>
    </w:lvl>
    <w:lvl w:ilvl="7" w:tplc="C038BEB0" w:tentative="1">
      <w:start w:val="1"/>
      <w:numFmt w:val="bullet"/>
      <w:lvlText w:val="•"/>
      <w:lvlJc w:val="left"/>
      <w:pPr>
        <w:tabs>
          <w:tab w:val="num" w:pos="5760"/>
        </w:tabs>
        <w:ind w:left="5760" w:hanging="360"/>
      </w:pPr>
      <w:rPr>
        <w:rFonts w:ascii="Arial" w:hAnsi="Arial" w:hint="default"/>
      </w:rPr>
    </w:lvl>
    <w:lvl w:ilvl="8" w:tplc="1750CE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77391D"/>
    <w:multiLevelType w:val="hybridMultilevel"/>
    <w:tmpl w:val="85F69646"/>
    <w:lvl w:ilvl="0" w:tplc="79CC2800">
      <w:start w:val="1"/>
      <w:numFmt w:val="bullet"/>
      <w:lvlText w:val="•"/>
      <w:lvlJc w:val="left"/>
      <w:pPr>
        <w:tabs>
          <w:tab w:val="num" w:pos="720"/>
        </w:tabs>
        <w:ind w:left="720" w:hanging="360"/>
      </w:pPr>
      <w:rPr>
        <w:rFonts w:ascii="Arial" w:hAnsi="Arial" w:hint="default"/>
      </w:rPr>
    </w:lvl>
    <w:lvl w:ilvl="1" w:tplc="E4C04208" w:tentative="1">
      <w:start w:val="1"/>
      <w:numFmt w:val="bullet"/>
      <w:lvlText w:val="•"/>
      <w:lvlJc w:val="left"/>
      <w:pPr>
        <w:tabs>
          <w:tab w:val="num" w:pos="1440"/>
        </w:tabs>
        <w:ind w:left="1440" w:hanging="360"/>
      </w:pPr>
      <w:rPr>
        <w:rFonts w:ascii="Arial" w:hAnsi="Arial" w:hint="default"/>
      </w:rPr>
    </w:lvl>
    <w:lvl w:ilvl="2" w:tplc="B3347C0C" w:tentative="1">
      <w:start w:val="1"/>
      <w:numFmt w:val="bullet"/>
      <w:lvlText w:val="•"/>
      <w:lvlJc w:val="left"/>
      <w:pPr>
        <w:tabs>
          <w:tab w:val="num" w:pos="2160"/>
        </w:tabs>
        <w:ind w:left="2160" w:hanging="360"/>
      </w:pPr>
      <w:rPr>
        <w:rFonts w:ascii="Arial" w:hAnsi="Arial" w:hint="default"/>
      </w:rPr>
    </w:lvl>
    <w:lvl w:ilvl="3" w:tplc="411C26E0" w:tentative="1">
      <w:start w:val="1"/>
      <w:numFmt w:val="bullet"/>
      <w:lvlText w:val="•"/>
      <w:lvlJc w:val="left"/>
      <w:pPr>
        <w:tabs>
          <w:tab w:val="num" w:pos="2880"/>
        </w:tabs>
        <w:ind w:left="2880" w:hanging="360"/>
      </w:pPr>
      <w:rPr>
        <w:rFonts w:ascii="Arial" w:hAnsi="Arial" w:hint="default"/>
      </w:rPr>
    </w:lvl>
    <w:lvl w:ilvl="4" w:tplc="E098E6CC" w:tentative="1">
      <w:start w:val="1"/>
      <w:numFmt w:val="bullet"/>
      <w:lvlText w:val="•"/>
      <w:lvlJc w:val="left"/>
      <w:pPr>
        <w:tabs>
          <w:tab w:val="num" w:pos="3600"/>
        </w:tabs>
        <w:ind w:left="3600" w:hanging="360"/>
      </w:pPr>
      <w:rPr>
        <w:rFonts w:ascii="Arial" w:hAnsi="Arial" w:hint="default"/>
      </w:rPr>
    </w:lvl>
    <w:lvl w:ilvl="5" w:tplc="CF0CB662" w:tentative="1">
      <w:start w:val="1"/>
      <w:numFmt w:val="bullet"/>
      <w:lvlText w:val="•"/>
      <w:lvlJc w:val="left"/>
      <w:pPr>
        <w:tabs>
          <w:tab w:val="num" w:pos="4320"/>
        </w:tabs>
        <w:ind w:left="4320" w:hanging="360"/>
      </w:pPr>
      <w:rPr>
        <w:rFonts w:ascii="Arial" w:hAnsi="Arial" w:hint="default"/>
      </w:rPr>
    </w:lvl>
    <w:lvl w:ilvl="6" w:tplc="3CBC5150" w:tentative="1">
      <w:start w:val="1"/>
      <w:numFmt w:val="bullet"/>
      <w:lvlText w:val="•"/>
      <w:lvlJc w:val="left"/>
      <w:pPr>
        <w:tabs>
          <w:tab w:val="num" w:pos="5040"/>
        </w:tabs>
        <w:ind w:left="5040" w:hanging="360"/>
      </w:pPr>
      <w:rPr>
        <w:rFonts w:ascii="Arial" w:hAnsi="Arial" w:hint="default"/>
      </w:rPr>
    </w:lvl>
    <w:lvl w:ilvl="7" w:tplc="FB30FD7E" w:tentative="1">
      <w:start w:val="1"/>
      <w:numFmt w:val="bullet"/>
      <w:lvlText w:val="•"/>
      <w:lvlJc w:val="left"/>
      <w:pPr>
        <w:tabs>
          <w:tab w:val="num" w:pos="5760"/>
        </w:tabs>
        <w:ind w:left="5760" w:hanging="360"/>
      </w:pPr>
      <w:rPr>
        <w:rFonts w:ascii="Arial" w:hAnsi="Arial" w:hint="default"/>
      </w:rPr>
    </w:lvl>
    <w:lvl w:ilvl="8" w:tplc="7BA6F9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7F2F20"/>
    <w:multiLevelType w:val="hybridMultilevel"/>
    <w:tmpl w:val="2B1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8EBA2F"/>
    <w:multiLevelType w:val="hybridMultilevel"/>
    <w:tmpl w:val="AB5C85CC"/>
    <w:lvl w:ilvl="0" w:tplc="FFFFFFFF">
      <w:start w:val="1"/>
      <w:numFmt w:val="bullet"/>
      <w:lvlText w:val=""/>
      <w:lvlJc w:val="left"/>
      <w:pPr>
        <w:ind w:left="720" w:hanging="360"/>
      </w:pPr>
      <w:rPr>
        <w:rFonts w:ascii="Symbol" w:hAnsi="Symbol" w:hint="default"/>
      </w:rPr>
    </w:lvl>
    <w:lvl w:ilvl="1" w:tplc="09766028">
      <w:start w:val="1"/>
      <w:numFmt w:val="bullet"/>
      <w:lvlText w:val="o"/>
      <w:lvlJc w:val="left"/>
      <w:pPr>
        <w:ind w:left="1440" w:hanging="360"/>
      </w:pPr>
      <w:rPr>
        <w:rFonts w:ascii="Courier New" w:hAnsi="Courier New" w:hint="default"/>
      </w:rPr>
    </w:lvl>
    <w:lvl w:ilvl="2" w:tplc="54E42172">
      <w:start w:val="1"/>
      <w:numFmt w:val="bullet"/>
      <w:lvlText w:val=""/>
      <w:lvlJc w:val="left"/>
      <w:pPr>
        <w:ind w:left="2160" w:hanging="360"/>
      </w:pPr>
      <w:rPr>
        <w:rFonts w:ascii="Wingdings" w:hAnsi="Wingdings" w:hint="default"/>
      </w:rPr>
    </w:lvl>
    <w:lvl w:ilvl="3" w:tplc="571897DC">
      <w:start w:val="1"/>
      <w:numFmt w:val="bullet"/>
      <w:lvlText w:val=""/>
      <w:lvlJc w:val="left"/>
      <w:pPr>
        <w:ind w:left="2880" w:hanging="360"/>
      </w:pPr>
      <w:rPr>
        <w:rFonts w:ascii="Symbol" w:hAnsi="Symbol" w:hint="default"/>
      </w:rPr>
    </w:lvl>
    <w:lvl w:ilvl="4" w:tplc="4BC2A9CE">
      <w:start w:val="1"/>
      <w:numFmt w:val="bullet"/>
      <w:lvlText w:val="o"/>
      <w:lvlJc w:val="left"/>
      <w:pPr>
        <w:ind w:left="3600" w:hanging="360"/>
      </w:pPr>
      <w:rPr>
        <w:rFonts w:ascii="Courier New" w:hAnsi="Courier New" w:hint="default"/>
      </w:rPr>
    </w:lvl>
    <w:lvl w:ilvl="5" w:tplc="D174F338">
      <w:start w:val="1"/>
      <w:numFmt w:val="bullet"/>
      <w:lvlText w:val=""/>
      <w:lvlJc w:val="left"/>
      <w:pPr>
        <w:ind w:left="4320" w:hanging="360"/>
      </w:pPr>
      <w:rPr>
        <w:rFonts w:ascii="Wingdings" w:hAnsi="Wingdings" w:hint="default"/>
      </w:rPr>
    </w:lvl>
    <w:lvl w:ilvl="6" w:tplc="312CF01A">
      <w:start w:val="1"/>
      <w:numFmt w:val="bullet"/>
      <w:lvlText w:val=""/>
      <w:lvlJc w:val="left"/>
      <w:pPr>
        <w:ind w:left="5040" w:hanging="360"/>
      </w:pPr>
      <w:rPr>
        <w:rFonts w:ascii="Symbol" w:hAnsi="Symbol" w:hint="default"/>
      </w:rPr>
    </w:lvl>
    <w:lvl w:ilvl="7" w:tplc="A52E5D8C">
      <w:start w:val="1"/>
      <w:numFmt w:val="bullet"/>
      <w:lvlText w:val="o"/>
      <w:lvlJc w:val="left"/>
      <w:pPr>
        <w:ind w:left="5760" w:hanging="360"/>
      </w:pPr>
      <w:rPr>
        <w:rFonts w:ascii="Courier New" w:hAnsi="Courier New" w:hint="default"/>
      </w:rPr>
    </w:lvl>
    <w:lvl w:ilvl="8" w:tplc="37B692E4">
      <w:start w:val="1"/>
      <w:numFmt w:val="bullet"/>
      <w:lvlText w:val=""/>
      <w:lvlJc w:val="left"/>
      <w:pPr>
        <w:ind w:left="6480" w:hanging="360"/>
      </w:pPr>
      <w:rPr>
        <w:rFonts w:ascii="Wingdings" w:hAnsi="Wingdings" w:hint="default"/>
      </w:rPr>
    </w:lvl>
  </w:abstractNum>
  <w:abstractNum w:abstractNumId="35"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3D2EB1"/>
    <w:multiLevelType w:val="hybridMultilevel"/>
    <w:tmpl w:val="30BE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44433"/>
    <w:multiLevelType w:val="hybridMultilevel"/>
    <w:tmpl w:val="12280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E0916"/>
    <w:multiLevelType w:val="hybridMultilevel"/>
    <w:tmpl w:val="99642942"/>
    <w:lvl w:ilvl="0" w:tplc="176CD592">
      <w:start w:val="1"/>
      <w:numFmt w:val="bullet"/>
      <w:lvlText w:val="•"/>
      <w:lvlJc w:val="left"/>
      <w:pPr>
        <w:tabs>
          <w:tab w:val="num" w:pos="720"/>
        </w:tabs>
        <w:ind w:left="720" w:hanging="360"/>
      </w:pPr>
      <w:rPr>
        <w:rFonts w:ascii="Arial" w:hAnsi="Arial" w:hint="default"/>
      </w:rPr>
    </w:lvl>
    <w:lvl w:ilvl="1" w:tplc="D2F21F4C" w:tentative="1">
      <w:start w:val="1"/>
      <w:numFmt w:val="bullet"/>
      <w:lvlText w:val="•"/>
      <w:lvlJc w:val="left"/>
      <w:pPr>
        <w:tabs>
          <w:tab w:val="num" w:pos="1440"/>
        </w:tabs>
        <w:ind w:left="1440" w:hanging="360"/>
      </w:pPr>
      <w:rPr>
        <w:rFonts w:ascii="Arial" w:hAnsi="Arial" w:hint="default"/>
      </w:rPr>
    </w:lvl>
    <w:lvl w:ilvl="2" w:tplc="F4F6071A" w:tentative="1">
      <w:start w:val="1"/>
      <w:numFmt w:val="bullet"/>
      <w:lvlText w:val="•"/>
      <w:lvlJc w:val="left"/>
      <w:pPr>
        <w:tabs>
          <w:tab w:val="num" w:pos="2160"/>
        </w:tabs>
        <w:ind w:left="2160" w:hanging="360"/>
      </w:pPr>
      <w:rPr>
        <w:rFonts w:ascii="Arial" w:hAnsi="Arial" w:hint="default"/>
      </w:rPr>
    </w:lvl>
    <w:lvl w:ilvl="3" w:tplc="C99A9C16" w:tentative="1">
      <w:start w:val="1"/>
      <w:numFmt w:val="bullet"/>
      <w:lvlText w:val="•"/>
      <w:lvlJc w:val="left"/>
      <w:pPr>
        <w:tabs>
          <w:tab w:val="num" w:pos="2880"/>
        </w:tabs>
        <w:ind w:left="2880" w:hanging="360"/>
      </w:pPr>
      <w:rPr>
        <w:rFonts w:ascii="Arial" w:hAnsi="Arial" w:hint="default"/>
      </w:rPr>
    </w:lvl>
    <w:lvl w:ilvl="4" w:tplc="819E1284" w:tentative="1">
      <w:start w:val="1"/>
      <w:numFmt w:val="bullet"/>
      <w:lvlText w:val="•"/>
      <w:lvlJc w:val="left"/>
      <w:pPr>
        <w:tabs>
          <w:tab w:val="num" w:pos="3600"/>
        </w:tabs>
        <w:ind w:left="3600" w:hanging="360"/>
      </w:pPr>
      <w:rPr>
        <w:rFonts w:ascii="Arial" w:hAnsi="Arial" w:hint="default"/>
      </w:rPr>
    </w:lvl>
    <w:lvl w:ilvl="5" w:tplc="BA108360" w:tentative="1">
      <w:start w:val="1"/>
      <w:numFmt w:val="bullet"/>
      <w:lvlText w:val="•"/>
      <w:lvlJc w:val="left"/>
      <w:pPr>
        <w:tabs>
          <w:tab w:val="num" w:pos="4320"/>
        </w:tabs>
        <w:ind w:left="4320" w:hanging="360"/>
      </w:pPr>
      <w:rPr>
        <w:rFonts w:ascii="Arial" w:hAnsi="Arial" w:hint="default"/>
      </w:rPr>
    </w:lvl>
    <w:lvl w:ilvl="6" w:tplc="70BEC812" w:tentative="1">
      <w:start w:val="1"/>
      <w:numFmt w:val="bullet"/>
      <w:lvlText w:val="•"/>
      <w:lvlJc w:val="left"/>
      <w:pPr>
        <w:tabs>
          <w:tab w:val="num" w:pos="5040"/>
        </w:tabs>
        <w:ind w:left="5040" w:hanging="360"/>
      </w:pPr>
      <w:rPr>
        <w:rFonts w:ascii="Arial" w:hAnsi="Arial" w:hint="default"/>
      </w:rPr>
    </w:lvl>
    <w:lvl w:ilvl="7" w:tplc="16F40B6C" w:tentative="1">
      <w:start w:val="1"/>
      <w:numFmt w:val="bullet"/>
      <w:lvlText w:val="•"/>
      <w:lvlJc w:val="left"/>
      <w:pPr>
        <w:tabs>
          <w:tab w:val="num" w:pos="5760"/>
        </w:tabs>
        <w:ind w:left="5760" w:hanging="360"/>
      </w:pPr>
      <w:rPr>
        <w:rFonts w:ascii="Arial" w:hAnsi="Arial" w:hint="default"/>
      </w:rPr>
    </w:lvl>
    <w:lvl w:ilvl="8" w:tplc="87BA75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8C7F90"/>
    <w:multiLevelType w:val="hybridMultilevel"/>
    <w:tmpl w:val="2CB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9D40A6"/>
    <w:multiLevelType w:val="hybridMultilevel"/>
    <w:tmpl w:val="FFFFFFFF"/>
    <w:lvl w:ilvl="0" w:tplc="1696BA02">
      <w:start w:val="1"/>
      <w:numFmt w:val="bullet"/>
      <w:lvlText w:val=""/>
      <w:lvlJc w:val="left"/>
      <w:pPr>
        <w:ind w:left="720" w:hanging="360"/>
      </w:pPr>
      <w:rPr>
        <w:rFonts w:ascii="Symbol" w:hAnsi="Symbol" w:hint="default"/>
      </w:rPr>
    </w:lvl>
    <w:lvl w:ilvl="1" w:tplc="92184B2E">
      <w:start w:val="1"/>
      <w:numFmt w:val="bullet"/>
      <w:lvlText w:val="o"/>
      <w:lvlJc w:val="left"/>
      <w:pPr>
        <w:ind w:left="1440" w:hanging="360"/>
      </w:pPr>
      <w:rPr>
        <w:rFonts w:ascii="Courier New" w:hAnsi="Courier New" w:hint="default"/>
      </w:rPr>
    </w:lvl>
    <w:lvl w:ilvl="2" w:tplc="A142E4A4">
      <w:start w:val="1"/>
      <w:numFmt w:val="bullet"/>
      <w:lvlText w:val=""/>
      <w:lvlJc w:val="left"/>
      <w:pPr>
        <w:ind w:left="2160" w:hanging="360"/>
      </w:pPr>
      <w:rPr>
        <w:rFonts w:ascii="Wingdings" w:hAnsi="Wingdings" w:hint="default"/>
      </w:rPr>
    </w:lvl>
    <w:lvl w:ilvl="3" w:tplc="2EBC4212">
      <w:start w:val="1"/>
      <w:numFmt w:val="bullet"/>
      <w:lvlText w:val=""/>
      <w:lvlJc w:val="left"/>
      <w:pPr>
        <w:ind w:left="2880" w:hanging="360"/>
      </w:pPr>
      <w:rPr>
        <w:rFonts w:ascii="Symbol" w:hAnsi="Symbol" w:hint="default"/>
      </w:rPr>
    </w:lvl>
    <w:lvl w:ilvl="4" w:tplc="389C2600">
      <w:start w:val="1"/>
      <w:numFmt w:val="bullet"/>
      <w:lvlText w:val="o"/>
      <w:lvlJc w:val="left"/>
      <w:pPr>
        <w:ind w:left="3600" w:hanging="360"/>
      </w:pPr>
      <w:rPr>
        <w:rFonts w:ascii="Courier New" w:hAnsi="Courier New" w:hint="default"/>
      </w:rPr>
    </w:lvl>
    <w:lvl w:ilvl="5" w:tplc="356E282C">
      <w:start w:val="1"/>
      <w:numFmt w:val="bullet"/>
      <w:lvlText w:val=""/>
      <w:lvlJc w:val="left"/>
      <w:pPr>
        <w:ind w:left="4320" w:hanging="360"/>
      </w:pPr>
      <w:rPr>
        <w:rFonts w:ascii="Wingdings" w:hAnsi="Wingdings" w:hint="default"/>
      </w:rPr>
    </w:lvl>
    <w:lvl w:ilvl="6" w:tplc="719A8B08">
      <w:start w:val="1"/>
      <w:numFmt w:val="bullet"/>
      <w:lvlText w:val=""/>
      <w:lvlJc w:val="left"/>
      <w:pPr>
        <w:ind w:left="5040" w:hanging="360"/>
      </w:pPr>
      <w:rPr>
        <w:rFonts w:ascii="Symbol" w:hAnsi="Symbol" w:hint="default"/>
      </w:rPr>
    </w:lvl>
    <w:lvl w:ilvl="7" w:tplc="3D62420E">
      <w:start w:val="1"/>
      <w:numFmt w:val="bullet"/>
      <w:lvlText w:val="o"/>
      <w:lvlJc w:val="left"/>
      <w:pPr>
        <w:ind w:left="5760" w:hanging="360"/>
      </w:pPr>
      <w:rPr>
        <w:rFonts w:ascii="Courier New" w:hAnsi="Courier New" w:hint="default"/>
      </w:rPr>
    </w:lvl>
    <w:lvl w:ilvl="8" w:tplc="A1DAB698">
      <w:start w:val="1"/>
      <w:numFmt w:val="bullet"/>
      <w:lvlText w:val=""/>
      <w:lvlJc w:val="left"/>
      <w:pPr>
        <w:ind w:left="6480" w:hanging="360"/>
      </w:pPr>
      <w:rPr>
        <w:rFonts w:ascii="Wingdings" w:hAnsi="Wingdings" w:hint="default"/>
      </w:rPr>
    </w:lvl>
  </w:abstractNum>
  <w:abstractNum w:abstractNumId="41" w15:restartNumberingAfterBreak="0">
    <w:nsid w:val="6130904D"/>
    <w:multiLevelType w:val="hybridMultilevel"/>
    <w:tmpl w:val="FFFFFFFF"/>
    <w:lvl w:ilvl="0" w:tplc="BE067D54">
      <w:start w:val="1"/>
      <w:numFmt w:val="bullet"/>
      <w:lvlText w:val="·"/>
      <w:lvlJc w:val="left"/>
      <w:pPr>
        <w:ind w:left="720" w:hanging="360"/>
      </w:pPr>
      <w:rPr>
        <w:rFonts w:ascii="Symbol" w:hAnsi="Symbol" w:hint="default"/>
      </w:rPr>
    </w:lvl>
    <w:lvl w:ilvl="1" w:tplc="7DE2B5CC">
      <w:start w:val="1"/>
      <w:numFmt w:val="bullet"/>
      <w:lvlText w:val="o"/>
      <w:lvlJc w:val="left"/>
      <w:pPr>
        <w:ind w:left="1440" w:hanging="360"/>
      </w:pPr>
      <w:rPr>
        <w:rFonts w:ascii="Courier New" w:hAnsi="Courier New" w:hint="default"/>
      </w:rPr>
    </w:lvl>
    <w:lvl w:ilvl="2" w:tplc="D68AEFF4">
      <w:start w:val="1"/>
      <w:numFmt w:val="bullet"/>
      <w:lvlText w:val=""/>
      <w:lvlJc w:val="left"/>
      <w:pPr>
        <w:ind w:left="2160" w:hanging="360"/>
      </w:pPr>
      <w:rPr>
        <w:rFonts w:ascii="Wingdings" w:hAnsi="Wingdings" w:hint="default"/>
      </w:rPr>
    </w:lvl>
    <w:lvl w:ilvl="3" w:tplc="26BC42D0">
      <w:start w:val="1"/>
      <w:numFmt w:val="bullet"/>
      <w:lvlText w:val=""/>
      <w:lvlJc w:val="left"/>
      <w:pPr>
        <w:ind w:left="2880" w:hanging="360"/>
      </w:pPr>
      <w:rPr>
        <w:rFonts w:ascii="Symbol" w:hAnsi="Symbol" w:hint="default"/>
      </w:rPr>
    </w:lvl>
    <w:lvl w:ilvl="4" w:tplc="8E6678EC">
      <w:start w:val="1"/>
      <w:numFmt w:val="bullet"/>
      <w:lvlText w:val="o"/>
      <w:lvlJc w:val="left"/>
      <w:pPr>
        <w:ind w:left="3600" w:hanging="360"/>
      </w:pPr>
      <w:rPr>
        <w:rFonts w:ascii="Courier New" w:hAnsi="Courier New" w:hint="default"/>
      </w:rPr>
    </w:lvl>
    <w:lvl w:ilvl="5" w:tplc="95B2521C">
      <w:start w:val="1"/>
      <w:numFmt w:val="bullet"/>
      <w:lvlText w:val=""/>
      <w:lvlJc w:val="left"/>
      <w:pPr>
        <w:ind w:left="4320" w:hanging="360"/>
      </w:pPr>
      <w:rPr>
        <w:rFonts w:ascii="Wingdings" w:hAnsi="Wingdings" w:hint="default"/>
      </w:rPr>
    </w:lvl>
    <w:lvl w:ilvl="6" w:tplc="7E226AC6">
      <w:start w:val="1"/>
      <w:numFmt w:val="bullet"/>
      <w:lvlText w:val=""/>
      <w:lvlJc w:val="left"/>
      <w:pPr>
        <w:ind w:left="5040" w:hanging="360"/>
      </w:pPr>
      <w:rPr>
        <w:rFonts w:ascii="Symbol" w:hAnsi="Symbol" w:hint="default"/>
      </w:rPr>
    </w:lvl>
    <w:lvl w:ilvl="7" w:tplc="CE02A236">
      <w:start w:val="1"/>
      <w:numFmt w:val="bullet"/>
      <w:lvlText w:val="o"/>
      <w:lvlJc w:val="left"/>
      <w:pPr>
        <w:ind w:left="5760" w:hanging="360"/>
      </w:pPr>
      <w:rPr>
        <w:rFonts w:ascii="Courier New" w:hAnsi="Courier New" w:hint="default"/>
      </w:rPr>
    </w:lvl>
    <w:lvl w:ilvl="8" w:tplc="5E3A6286">
      <w:start w:val="1"/>
      <w:numFmt w:val="bullet"/>
      <w:lvlText w:val=""/>
      <w:lvlJc w:val="left"/>
      <w:pPr>
        <w:ind w:left="6480" w:hanging="360"/>
      </w:pPr>
      <w:rPr>
        <w:rFonts w:ascii="Wingdings" w:hAnsi="Wingdings" w:hint="default"/>
      </w:rPr>
    </w:lvl>
  </w:abstractNum>
  <w:abstractNum w:abstractNumId="42" w15:restartNumberingAfterBreak="0">
    <w:nsid w:val="62BD2D1C"/>
    <w:multiLevelType w:val="hybridMultilevel"/>
    <w:tmpl w:val="95D45702"/>
    <w:lvl w:ilvl="0" w:tplc="F23A3EC6">
      <w:start w:val="1"/>
      <w:numFmt w:val="lowerLetter"/>
      <w:lvlText w:val="%1."/>
      <w:lvlJc w:val="left"/>
      <w:pPr>
        <w:ind w:left="720" w:hanging="360"/>
      </w:pPr>
      <w:rPr>
        <w:rFonts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4282A37"/>
    <w:multiLevelType w:val="hybridMultilevel"/>
    <w:tmpl w:val="1E702E5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6B7A0056"/>
    <w:multiLevelType w:val="hybridMultilevel"/>
    <w:tmpl w:val="32EA91E2"/>
    <w:lvl w:ilvl="0" w:tplc="2540642C">
      <w:start w:val="1"/>
      <w:numFmt w:val="bullet"/>
      <w:lvlText w:val="•"/>
      <w:lvlJc w:val="left"/>
      <w:pPr>
        <w:tabs>
          <w:tab w:val="num" w:pos="720"/>
        </w:tabs>
        <w:ind w:left="720" w:hanging="360"/>
      </w:pPr>
      <w:rPr>
        <w:rFonts w:ascii="Arial" w:hAnsi="Arial" w:hint="default"/>
      </w:rPr>
    </w:lvl>
    <w:lvl w:ilvl="1" w:tplc="5794547E" w:tentative="1">
      <w:start w:val="1"/>
      <w:numFmt w:val="bullet"/>
      <w:lvlText w:val="•"/>
      <w:lvlJc w:val="left"/>
      <w:pPr>
        <w:tabs>
          <w:tab w:val="num" w:pos="1440"/>
        </w:tabs>
        <w:ind w:left="1440" w:hanging="360"/>
      </w:pPr>
      <w:rPr>
        <w:rFonts w:ascii="Arial" w:hAnsi="Arial" w:hint="default"/>
      </w:rPr>
    </w:lvl>
    <w:lvl w:ilvl="2" w:tplc="CF6628B0" w:tentative="1">
      <w:start w:val="1"/>
      <w:numFmt w:val="bullet"/>
      <w:lvlText w:val="•"/>
      <w:lvlJc w:val="left"/>
      <w:pPr>
        <w:tabs>
          <w:tab w:val="num" w:pos="2160"/>
        </w:tabs>
        <w:ind w:left="2160" w:hanging="360"/>
      </w:pPr>
      <w:rPr>
        <w:rFonts w:ascii="Arial" w:hAnsi="Arial" w:hint="default"/>
      </w:rPr>
    </w:lvl>
    <w:lvl w:ilvl="3" w:tplc="4E8CAB10" w:tentative="1">
      <w:start w:val="1"/>
      <w:numFmt w:val="bullet"/>
      <w:lvlText w:val="•"/>
      <w:lvlJc w:val="left"/>
      <w:pPr>
        <w:tabs>
          <w:tab w:val="num" w:pos="2880"/>
        </w:tabs>
        <w:ind w:left="2880" w:hanging="360"/>
      </w:pPr>
      <w:rPr>
        <w:rFonts w:ascii="Arial" w:hAnsi="Arial" w:hint="default"/>
      </w:rPr>
    </w:lvl>
    <w:lvl w:ilvl="4" w:tplc="2BBE87B0" w:tentative="1">
      <w:start w:val="1"/>
      <w:numFmt w:val="bullet"/>
      <w:lvlText w:val="•"/>
      <w:lvlJc w:val="left"/>
      <w:pPr>
        <w:tabs>
          <w:tab w:val="num" w:pos="3600"/>
        </w:tabs>
        <w:ind w:left="3600" w:hanging="360"/>
      </w:pPr>
      <w:rPr>
        <w:rFonts w:ascii="Arial" w:hAnsi="Arial" w:hint="default"/>
      </w:rPr>
    </w:lvl>
    <w:lvl w:ilvl="5" w:tplc="D07CDAA4" w:tentative="1">
      <w:start w:val="1"/>
      <w:numFmt w:val="bullet"/>
      <w:lvlText w:val="•"/>
      <w:lvlJc w:val="left"/>
      <w:pPr>
        <w:tabs>
          <w:tab w:val="num" w:pos="4320"/>
        </w:tabs>
        <w:ind w:left="4320" w:hanging="360"/>
      </w:pPr>
      <w:rPr>
        <w:rFonts w:ascii="Arial" w:hAnsi="Arial" w:hint="default"/>
      </w:rPr>
    </w:lvl>
    <w:lvl w:ilvl="6" w:tplc="7A46653A" w:tentative="1">
      <w:start w:val="1"/>
      <w:numFmt w:val="bullet"/>
      <w:lvlText w:val="•"/>
      <w:lvlJc w:val="left"/>
      <w:pPr>
        <w:tabs>
          <w:tab w:val="num" w:pos="5040"/>
        </w:tabs>
        <w:ind w:left="5040" w:hanging="360"/>
      </w:pPr>
      <w:rPr>
        <w:rFonts w:ascii="Arial" w:hAnsi="Arial" w:hint="default"/>
      </w:rPr>
    </w:lvl>
    <w:lvl w:ilvl="7" w:tplc="E94CB73E" w:tentative="1">
      <w:start w:val="1"/>
      <w:numFmt w:val="bullet"/>
      <w:lvlText w:val="•"/>
      <w:lvlJc w:val="left"/>
      <w:pPr>
        <w:tabs>
          <w:tab w:val="num" w:pos="5760"/>
        </w:tabs>
        <w:ind w:left="5760" w:hanging="360"/>
      </w:pPr>
      <w:rPr>
        <w:rFonts w:ascii="Arial" w:hAnsi="Arial" w:hint="default"/>
      </w:rPr>
    </w:lvl>
    <w:lvl w:ilvl="8" w:tplc="5EAA210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B939E6"/>
    <w:multiLevelType w:val="hybridMultilevel"/>
    <w:tmpl w:val="F67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15EE9"/>
    <w:multiLevelType w:val="hybridMultilevel"/>
    <w:tmpl w:val="B7AA912E"/>
    <w:lvl w:ilvl="0" w:tplc="0A9EA238">
      <w:start w:val="1"/>
      <w:numFmt w:val="bullet"/>
      <w:lvlText w:val="•"/>
      <w:lvlJc w:val="left"/>
      <w:pPr>
        <w:tabs>
          <w:tab w:val="num" w:pos="720"/>
        </w:tabs>
        <w:ind w:left="720" w:hanging="360"/>
      </w:pPr>
      <w:rPr>
        <w:rFonts w:ascii="Arial" w:hAnsi="Arial" w:hint="default"/>
      </w:rPr>
    </w:lvl>
    <w:lvl w:ilvl="1" w:tplc="AC827794" w:tentative="1">
      <w:start w:val="1"/>
      <w:numFmt w:val="bullet"/>
      <w:lvlText w:val="•"/>
      <w:lvlJc w:val="left"/>
      <w:pPr>
        <w:tabs>
          <w:tab w:val="num" w:pos="1440"/>
        </w:tabs>
        <w:ind w:left="1440" w:hanging="360"/>
      </w:pPr>
      <w:rPr>
        <w:rFonts w:ascii="Arial" w:hAnsi="Arial" w:hint="default"/>
      </w:rPr>
    </w:lvl>
    <w:lvl w:ilvl="2" w:tplc="D4929B44" w:tentative="1">
      <w:start w:val="1"/>
      <w:numFmt w:val="bullet"/>
      <w:lvlText w:val="•"/>
      <w:lvlJc w:val="left"/>
      <w:pPr>
        <w:tabs>
          <w:tab w:val="num" w:pos="2160"/>
        </w:tabs>
        <w:ind w:left="2160" w:hanging="360"/>
      </w:pPr>
      <w:rPr>
        <w:rFonts w:ascii="Arial" w:hAnsi="Arial" w:hint="default"/>
      </w:rPr>
    </w:lvl>
    <w:lvl w:ilvl="3" w:tplc="2804853A" w:tentative="1">
      <w:start w:val="1"/>
      <w:numFmt w:val="bullet"/>
      <w:lvlText w:val="•"/>
      <w:lvlJc w:val="left"/>
      <w:pPr>
        <w:tabs>
          <w:tab w:val="num" w:pos="2880"/>
        </w:tabs>
        <w:ind w:left="2880" w:hanging="360"/>
      </w:pPr>
      <w:rPr>
        <w:rFonts w:ascii="Arial" w:hAnsi="Arial" w:hint="default"/>
      </w:rPr>
    </w:lvl>
    <w:lvl w:ilvl="4" w:tplc="98D22B0E" w:tentative="1">
      <w:start w:val="1"/>
      <w:numFmt w:val="bullet"/>
      <w:lvlText w:val="•"/>
      <w:lvlJc w:val="left"/>
      <w:pPr>
        <w:tabs>
          <w:tab w:val="num" w:pos="3600"/>
        </w:tabs>
        <w:ind w:left="3600" w:hanging="360"/>
      </w:pPr>
      <w:rPr>
        <w:rFonts w:ascii="Arial" w:hAnsi="Arial" w:hint="default"/>
      </w:rPr>
    </w:lvl>
    <w:lvl w:ilvl="5" w:tplc="16DC430A" w:tentative="1">
      <w:start w:val="1"/>
      <w:numFmt w:val="bullet"/>
      <w:lvlText w:val="•"/>
      <w:lvlJc w:val="left"/>
      <w:pPr>
        <w:tabs>
          <w:tab w:val="num" w:pos="4320"/>
        </w:tabs>
        <w:ind w:left="4320" w:hanging="360"/>
      </w:pPr>
      <w:rPr>
        <w:rFonts w:ascii="Arial" w:hAnsi="Arial" w:hint="default"/>
      </w:rPr>
    </w:lvl>
    <w:lvl w:ilvl="6" w:tplc="5E50AF1E" w:tentative="1">
      <w:start w:val="1"/>
      <w:numFmt w:val="bullet"/>
      <w:lvlText w:val="•"/>
      <w:lvlJc w:val="left"/>
      <w:pPr>
        <w:tabs>
          <w:tab w:val="num" w:pos="5040"/>
        </w:tabs>
        <w:ind w:left="5040" w:hanging="360"/>
      </w:pPr>
      <w:rPr>
        <w:rFonts w:ascii="Arial" w:hAnsi="Arial" w:hint="default"/>
      </w:rPr>
    </w:lvl>
    <w:lvl w:ilvl="7" w:tplc="9B522BF2" w:tentative="1">
      <w:start w:val="1"/>
      <w:numFmt w:val="bullet"/>
      <w:lvlText w:val="•"/>
      <w:lvlJc w:val="left"/>
      <w:pPr>
        <w:tabs>
          <w:tab w:val="num" w:pos="5760"/>
        </w:tabs>
        <w:ind w:left="5760" w:hanging="360"/>
      </w:pPr>
      <w:rPr>
        <w:rFonts w:ascii="Arial" w:hAnsi="Arial" w:hint="default"/>
      </w:rPr>
    </w:lvl>
    <w:lvl w:ilvl="8" w:tplc="54D010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133ED1"/>
    <w:multiLevelType w:val="hybridMultilevel"/>
    <w:tmpl w:val="32AA2BF4"/>
    <w:lvl w:ilvl="0" w:tplc="9CD4DFDE">
      <w:start w:val="1"/>
      <w:numFmt w:val="bullet"/>
      <w:lvlText w:val="•"/>
      <w:lvlJc w:val="left"/>
      <w:pPr>
        <w:tabs>
          <w:tab w:val="num" w:pos="720"/>
        </w:tabs>
        <w:ind w:left="720" w:hanging="360"/>
      </w:pPr>
      <w:rPr>
        <w:rFonts w:ascii="Arial" w:hAnsi="Arial" w:hint="default"/>
      </w:rPr>
    </w:lvl>
    <w:lvl w:ilvl="1" w:tplc="F7F8703A" w:tentative="1">
      <w:start w:val="1"/>
      <w:numFmt w:val="bullet"/>
      <w:lvlText w:val="•"/>
      <w:lvlJc w:val="left"/>
      <w:pPr>
        <w:tabs>
          <w:tab w:val="num" w:pos="1440"/>
        </w:tabs>
        <w:ind w:left="1440" w:hanging="360"/>
      </w:pPr>
      <w:rPr>
        <w:rFonts w:ascii="Arial" w:hAnsi="Arial" w:hint="default"/>
      </w:rPr>
    </w:lvl>
    <w:lvl w:ilvl="2" w:tplc="F57E7968" w:tentative="1">
      <w:start w:val="1"/>
      <w:numFmt w:val="bullet"/>
      <w:lvlText w:val="•"/>
      <w:lvlJc w:val="left"/>
      <w:pPr>
        <w:tabs>
          <w:tab w:val="num" w:pos="2160"/>
        </w:tabs>
        <w:ind w:left="2160" w:hanging="360"/>
      </w:pPr>
      <w:rPr>
        <w:rFonts w:ascii="Arial" w:hAnsi="Arial" w:hint="default"/>
      </w:rPr>
    </w:lvl>
    <w:lvl w:ilvl="3" w:tplc="E73A1D2E" w:tentative="1">
      <w:start w:val="1"/>
      <w:numFmt w:val="bullet"/>
      <w:lvlText w:val="•"/>
      <w:lvlJc w:val="left"/>
      <w:pPr>
        <w:tabs>
          <w:tab w:val="num" w:pos="2880"/>
        </w:tabs>
        <w:ind w:left="2880" w:hanging="360"/>
      </w:pPr>
      <w:rPr>
        <w:rFonts w:ascii="Arial" w:hAnsi="Arial" w:hint="default"/>
      </w:rPr>
    </w:lvl>
    <w:lvl w:ilvl="4" w:tplc="B642880C" w:tentative="1">
      <w:start w:val="1"/>
      <w:numFmt w:val="bullet"/>
      <w:lvlText w:val="•"/>
      <w:lvlJc w:val="left"/>
      <w:pPr>
        <w:tabs>
          <w:tab w:val="num" w:pos="3600"/>
        </w:tabs>
        <w:ind w:left="3600" w:hanging="360"/>
      </w:pPr>
      <w:rPr>
        <w:rFonts w:ascii="Arial" w:hAnsi="Arial" w:hint="default"/>
      </w:rPr>
    </w:lvl>
    <w:lvl w:ilvl="5" w:tplc="A32652A8" w:tentative="1">
      <w:start w:val="1"/>
      <w:numFmt w:val="bullet"/>
      <w:lvlText w:val="•"/>
      <w:lvlJc w:val="left"/>
      <w:pPr>
        <w:tabs>
          <w:tab w:val="num" w:pos="4320"/>
        </w:tabs>
        <w:ind w:left="4320" w:hanging="360"/>
      </w:pPr>
      <w:rPr>
        <w:rFonts w:ascii="Arial" w:hAnsi="Arial" w:hint="default"/>
      </w:rPr>
    </w:lvl>
    <w:lvl w:ilvl="6" w:tplc="4A086574" w:tentative="1">
      <w:start w:val="1"/>
      <w:numFmt w:val="bullet"/>
      <w:lvlText w:val="•"/>
      <w:lvlJc w:val="left"/>
      <w:pPr>
        <w:tabs>
          <w:tab w:val="num" w:pos="5040"/>
        </w:tabs>
        <w:ind w:left="5040" w:hanging="360"/>
      </w:pPr>
      <w:rPr>
        <w:rFonts w:ascii="Arial" w:hAnsi="Arial" w:hint="default"/>
      </w:rPr>
    </w:lvl>
    <w:lvl w:ilvl="7" w:tplc="9AA674C2" w:tentative="1">
      <w:start w:val="1"/>
      <w:numFmt w:val="bullet"/>
      <w:lvlText w:val="•"/>
      <w:lvlJc w:val="left"/>
      <w:pPr>
        <w:tabs>
          <w:tab w:val="num" w:pos="5760"/>
        </w:tabs>
        <w:ind w:left="5760" w:hanging="360"/>
      </w:pPr>
      <w:rPr>
        <w:rFonts w:ascii="Arial" w:hAnsi="Arial" w:hint="default"/>
      </w:rPr>
    </w:lvl>
    <w:lvl w:ilvl="8" w:tplc="9718DFB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52650B"/>
    <w:multiLevelType w:val="hybridMultilevel"/>
    <w:tmpl w:val="69E027D0"/>
    <w:lvl w:ilvl="0" w:tplc="A64E6C2C">
      <w:start w:val="1"/>
      <w:numFmt w:val="bullet"/>
      <w:lvlText w:val="•"/>
      <w:lvlJc w:val="left"/>
      <w:pPr>
        <w:tabs>
          <w:tab w:val="num" w:pos="720"/>
        </w:tabs>
        <w:ind w:left="720" w:hanging="360"/>
      </w:pPr>
      <w:rPr>
        <w:rFonts w:ascii="Arial" w:hAnsi="Arial" w:hint="default"/>
      </w:rPr>
    </w:lvl>
    <w:lvl w:ilvl="1" w:tplc="74E63806" w:tentative="1">
      <w:start w:val="1"/>
      <w:numFmt w:val="bullet"/>
      <w:lvlText w:val="•"/>
      <w:lvlJc w:val="left"/>
      <w:pPr>
        <w:tabs>
          <w:tab w:val="num" w:pos="1440"/>
        </w:tabs>
        <w:ind w:left="1440" w:hanging="360"/>
      </w:pPr>
      <w:rPr>
        <w:rFonts w:ascii="Arial" w:hAnsi="Arial" w:hint="default"/>
      </w:rPr>
    </w:lvl>
    <w:lvl w:ilvl="2" w:tplc="C1266806" w:tentative="1">
      <w:start w:val="1"/>
      <w:numFmt w:val="bullet"/>
      <w:lvlText w:val="•"/>
      <w:lvlJc w:val="left"/>
      <w:pPr>
        <w:tabs>
          <w:tab w:val="num" w:pos="2160"/>
        </w:tabs>
        <w:ind w:left="2160" w:hanging="360"/>
      </w:pPr>
      <w:rPr>
        <w:rFonts w:ascii="Arial" w:hAnsi="Arial" w:hint="default"/>
      </w:rPr>
    </w:lvl>
    <w:lvl w:ilvl="3" w:tplc="0FA47ACE" w:tentative="1">
      <w:start w:val="1"/>
      <w:numFmt w:val="bullet"/>
      <w:lvlText w:val="•"/>
      <w:lvlJc w:val="left"/>
      <w:pPr>
        <w:tabs>
          <w:tab w:val="num" w:pos="2880"/>
        </w:tabs>
        <w:ind w:left="2880" w:hanging="360"/>
      </w:pPr>
      <w:rPr>
        <w:rFonts w:ascii="Arial" w:hAnsi="Arial" w:hint="default"/>
      </w:rPr>
    </w:lvl>
    <w:lvl w:ilvl="4" w:tplc="AF24A128" w:tentative="1">
      <w:start w:val="1"/>
      <w:numFmt w:val="bullet"/>
      <w:lvlText w:val="•"/>
      <w:lvlJc w:val="left"/>
      <w:pPr>
        <w:tabs>
          <w:tab w:val="num" w:pos="3600"/>
        </w:tabs>
        <w:ind w:left="3600" w:hanging="360"/>
      </w:pPr>
      <w:rPr>
        <w:rFonts w:ascii="Arial" w:hAnsi="Arial" w:hint="default"/>
      </w:rPr>
    </w:lvl>
    <w:lvl w:ilvl="5" w:tplc="0824AECE" w:tentative="1">
      <w:start w:val="1"/>
      <w:numFmt w:val="bullet"/>
      <w:lvlText w:val="•"/>
      <w:lvlJc w:val="left"/>
      <w:pPr>
        <w:tabs>
          <w:tab w:val="num" w:pos="4320"/>
        </w:tabs>
        <w:ind w:left="4320" w:hanging="360"/>
      </w:pPr>
      <w:rPr>
        <w:rFonts w:ascii="Arial" w:hAnsi="Arial" w:hint="default"/>
      </w:rPr>
    </w:lvl>
    <w:lvl w:ilvl="6" w:tplc="A5DEA418" w:tentative="1">
      <w:start w:val="1"/>
      <w:numFmt w:val="bullet"/>
      <w:lvlText w:val="•"/>
      <w:lvlJc w:val="left"/>
      <w:pPr>
        <w:tabs>
          <w:tab w:val="num" w:pos="5040"/>
        </w:tabs>
        <w:ind w:left="5040" w:hanging="360"/>
      </w:pPr>
      <w:rPr>
        <w:rFonts w:ascii="Arial" w:hAnsi="Arial" w:hint="default"/>
      </w:rPr>
    </w:lvl>
    <w:lvl w:ilvl="7" w:tplc="9B441C96" w:tentative="1">
      <w:start w:val="1"/>
      <w:numFmt w:val="bullet"/>
      <w:lvlText w:val="•"/>
      <w:lvlJc w:val="left"/>
      <w:pPr>
        <w:tabs>
          <w:tab w:val="num" w:pos="5760"/>
        </w:tabs>
        <w:ind w:left="5760" w:hanging="360"/>
      </w:pPr>
      <w:rPr>
        <w:rFonts w:ascii="Arial" w:hAnsi="Arial" w:hint="default"/>
      </w:rPr>
    </w:lvl>
    <w:lvl w:ilvl="8" w:tplc="2820A424" w:tentative="1">
      <w:start w:val="1"/>
      <w:numFmt w:val="bullet"/>
      <w:lvlText w:val="•"/>
      <w:lvlJc w:val="left"/>
      <w:pPr>
        <w:tabs>
          <w:tab w:val="num" w:pos="6480"/>
        </w:tabs>
        <w:ind w:left="6480" w:hanging="360"/>
      </w:pPr>
      <w:rPr>
        <w:rFonts w:ascii="Arial" w:hAnsi="Arial" w:hint="default"/>
      </w:rPr>
    </w:lvl>
  </w:abstractNum>
  <w:num w:numId="1" w16cid:durableId="1811245929">
    <w:abstractNumId w:val="40"/>
  </w:num>
  <w:num w:numId="2" w16cid:durableId="1150174186">
    <w:abstractNumId w:val="3"/>
  </w:num>
  <w:num w:numId="3" w16cid:durableId="1542207933">
    <w:abstractNumId w:val="29"/>
  </w:num>
  <w:num w:numId="4" w16cid:durableId="1470585509">
    <w:abstractNumId w:val="14"/>
  </w:num>
  <w:num w:numId="5" w16cid:durableId="775951030">
    <w:abstractNumId w:val="34"/>
  </w:num>
  <w:num w:numId="6" w16cid:durableId="548882575">
    <w:abstractNumId w:val="16"/>
  </w:num>
  <w:num w:numId="7" w16cid:durableId="2105421798">
    <w:abstractNumId w:val="25"/>
  </w:num>
  <w:num w:numId="8" w16cid:durableId="228348339">
    <w:abstractNumId w:val="21"/>
  </w:num>
  <w:num w:numId="9" w16cid:durableId="1458181110">
    <w:abstractNumId w:val="1"/>
  </w:num>
  <w:num w:numId="10" w16cid:durableId="329216740">
    <w:abstractNumId w:val="19"/>
  </w:num>
  <w:num w:numId="11" w16cid:durableId="1194927845">
    <w:abstractNumId w:val="22"/>
  </w:num>
  <w:num w:numId="12" w16cid:durableId="1740246846">
    <w:abstractNumId w:val="35"/>
  </w:num>
  <w:num w:numId="13" w16cid:durableId="1001659718">
    <w:abstractNumId w:val="10"/>
  </w:num>
  <w:num w:numId="14" w16cid:durableId="1702707299">
    <w:abstractNumId w:val="23"/>
  </w:num>
  <w:num w:numId="15" w16cid:durableId="1420255156">
    <w:abstractNumId w:val="11"/>
  </w:num>
  <w:num w:numId="16" w16cid:durableId="1686009515">
    <w:abstractNumId w:val="0"/>
  </w:num>
  <w:num w:numId="17" w16cid:durableId="1766993238">
    <w:abstractNumId w:val="28"/>
  </w:num>
  <w:num w:numId="18" w16cid:durableId="9918027">
    <w:abstractNumId w:val="41"/>
  </w:num>
  <w:num w:numId="19" w16cid:durableId="1143079929">
    <w:abstractNumId w:val="12"/>
  </w:num>
  <w:num w:numId="20" w16cid:durableId="500891669">
    <w:abstractNumId w:val="2"/>
  </w:num>
  <w:num w:numId="21" w16cid:durableId="1970085156">
    <w:abstractNumId w:val="26"/>
  </w:num>
  <w:num w:numId="22" w16cid:durableId="540940490">
    <w:abstractNumId w:val="36"/>
  </w:num>
  <w:num w:numId="23" w16cid:durableId="1051806868">
    <w:abstractNumId w:val="8"/>
  </w:num>
  <w:num w:numId="24" w16cid:durableId="1634213244">
    <w:abstractNumId w:val="33"/>
  </w:num>
  <w:num w:numId="25" w16cid:durableId="1697735033">
    <w:abstractNumId w:val="31"/>
  </w:num>
  <w:num w:numId="26" w16cid:durableId="1644313582">
    <w:abstractNumId w:val="9"/>
  </w:num>
  <w:num w:numId="27" w16cid:durableId="511921257">
    <w:abstractNumId w:val="44"/>
  </w:num>
  <w:num w:numId="28" w16cid:durableId="1449734210">
    <w:abstractNumId w:val="46"/>
  </w:num>
  <w:num w:numId="29" w16cid:durableId="2042051804">
    <w:abstractNumId w:val="47"/>
  </w:num>
  <w:num w:numId="30" w16cid:durableId="601188664">
    <w:abstractNumId w:val="30"/>
  </w:num>
  <w:num w:numId="31" w16cid:durableId="649867705">
    <w:abstractNumId w:val="4"/>
  </w:num>
  <w:num w:numId="32" w16cid:durableId="2010253647">
    <w:abstractNumId w:val="38"/>
  </w:num>
  <w:num w:numId="33" w16cid:durableId="1191071193">
    <w:abstractNumId w:val="7"/>
  </w:num>
  <w:num w:numId="34" w16cid:durableId="355275422">
    <w:abstractNumId w:val="13"/>
  </w:num>
  <w:num w:numId="35" w16cid:durableId="1038970862">
    <w:abstractNumId w:val="48"/>
  </w:num>
  <w:num w:numId="36" w16cid:durableId="750007426">
    <w:abstractNumId w:val="6"/>
  </w:num>
  <w:num w:numId="37" w16cid:durableId="484977987">
    <w:abstractNumId w:val="17"/>
  </w:num>
  <w:num w:numId="38" w16cid:durableId="712850371">
    <w:abstractNumId w:val="32"/>
  </w:num>
  <w:num w:numId="39" w16cid:durableId="1109932514">
    <w:abstractNumId w:val="18"/>
  </w:num>
  <w:num w:numId="40" w16cid:durableId="2146576721">
    <w:abstractNumId w:val="24"/>
  </w:num>
  <w:num w:numId="41" w16cid:durableId="479075975">
    <w:abstractNumId w:val="20"/>
  </w:num>
  <w:num w:numId="42" w16cid:durableId="726302031">
    <w:abstractNumId w:val="43"/>
  </w:num>
  <w:num w:numId="43" w16cid:durableId="91558321">
    <w:abstractNumId w:val="5"/>
  </w:num>
  <w:num w:numId="44" w16cid:durableId="1633292427">
    <w:abstractNumId w:val="42"/>
  </w:num>
  <w:num w:numId="45" w16cid:durableId="1263225110">
    <w:abstractNumId w:val="27"/>
  </w:num>
  <w:num w:numId="46" w16cid:durableId="1778598199">
    <w:abstractNumId w:val="39"/>
  </w:num>
  <w:num w:numId="47" w16cid:durableId="522062686">
    <w:abstractNumId w:val="15"/>
  </w:num>
  <w:num w:numId="48" w16cid:durableId="1294945393">
    <w:abstractNumId w:val="37"/>
  </w:num>
  <w:num w:numId="49" w16cid:durableId="1082484529">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0B6"/>
    <w:rsid w:val="000001B5"/>
    <w:rsid w:val="00000460"/>
    <w:rsid w:val="000006EB"/>
    <w:rsid w:val="00000A44"/>
    <w:rsid w:val="00000D18"/>
    <w:rsid w:val="000017ED"/>
    <w:rsid w:val="00001AC6"/>
    <w:rsid w:val="00001C48"/>
    <w:rsid w:val="000021BB"/>
    <w:rsid w:val="0000234D"/>
    <w:rsid w:val="00002707"/>
    <w:rsid w:val="00002783"/>
    <w:rsid w:val="00002891"/>
    <w:rsid w:val="00002979"/>
    <w:rsid w:val="00002A78"/>
    <w:rsid w:val="00002B47"/>
    <w:rsid w:val="00003035"/>
    <w:rsid w:val="000030DC"/>
    <w:rsid w:val="000031BA"/>
    <w:rsid w:val="0000321E"/>
    <w:rsid w:val="00003356"/>
    <w:rsid w:val="00003ACC"/>
    <w:rsid w:val="00003B09"/>
    <w:rsid w:val="000040D5"/>
    <w:rsid w:val="0000416D"/>
    <w:rsid w:val="000043F7"/>
    <w:rsid w:val="00004908"/>
    <w:rsid w:val="000049A2"/>
    <w:rsid w:val="00004DBB"/>
    <w:rsid w:val="000050CC"/>
    <w:rsid w:val="00005768"/>
    <w:rsid w:val="00006193"/>
    <w:rsid w:val="000062C1"/>
    <w:rsid w:val="00006D80"/>
    <w:rsid w:val="00007397"/>
    <w:rsid w:val="00007784"/>
    <w:rsid w:val="000077DC"/>
    <w:rsid w:val="00007B67"/>
    <w:rsid w:val="00007E27"/>
    <w:rsid w:val="00010061"/>
    <w:rsid w:val="000100CC"/>
    <w:rsid w:val="0001015F"/>
    <w:rsid w:val="0001016F"/>
    <w:rsid w:val="0001041C"/>
    <w:rsid w:val="00010D86"/>
    <w:rsid w:val="00010F4A"/>
    <w:rsid w:val="00011666"/>
    <w:rsid w:val="0001175D"/>
    <w:rsid w:val="00011D24"/>
    <w:rsid w:val="00011DC8"/>
    <w:rsid w:val="00011F00"/>
    <w:rsid w:val="00012136"/>
    <w:rsid w:val="0001244C"/>
    <w:rsid w:val="000129B4"/>
    <w:rsid w:val="00012B93"/>
    <w:rsid w:val="00012F2E"/>
    <w:rsid w:val="00012FAB"/>
    <w:rsid w:val="00013253"/>
    <w:rsid w:val="0001382E"/>
    <w:rsid w:val="0001384A"/>
    <w:rsid w:val="0001395D"/>
    <w:rsid w:val="00013B23"/>
    <w:rsid w:val="00013C78"/>
    <w:rsid w:val="00013D40"/>
    <w:rsid w:val="00014135"/>
    <w:rsid w:val="00014D00"/>
    <w:rsid w:val="00014F72"/>
    <w:rsid w:val="00015204"/>
    <w:rsid w:val="00015330"/>
    <w:rsid w:val="000157B4"/>
    <w:rsid w:val="00015BB4"/>
    <w:rsid w:val="00016293"/>
    <w:rsid w:val="0001669F"/>
    <w:rsid w:val="00016715"/>
    <w:rsid w:val="00016759"/>
    <w:rsid w:val="0001686A"/>
    <w:rsid w:val="000168B8"/>
    <w:rsid w:val="00016C02"/>
    <w:rsid w:val="000170DE"/>
    <w:rsid w:val="0001752C"/>
    <w:rsid w:val="000179B7"/>
    <w:rsid w:val="00017BFF"/>
    <w:rsid w:val="00017CA0"/>
    <w:rsid w:val="000202D8"/>
    <w:rsid w:val="000203D8"/>
    <w:rsid w:val="00020612"/>
    <w:rsid w:val="00020ABD"/>
    <w:rsid w:val="00020CDB"/>
    <w:rsid w:val="00020E35"/>
    <w:rsid w:val="00020EE3"/>
    <w:rsid w:val="000210BA"/>
    <w:rsid w:val="000210DA"/>
    <w:rsid w:val="0002118B"/>
    <w:rsid w:val="00021615"/>
    <w:rsid w:val="00021E15"/>
    <w:rsid w:val="0002246F"/>
    <w:rsid w:val="00022994"/>
    <w:rsid w:val="00022C5C"/>
    <w:rsid w:val="0002335A"/>
    <w:rsid w:val="0002375C"/>
    <w:rsid w:val="00024397"/>
    <w:rsid w:val="000245D2"/>
    <w:rsid w:val="000248C2"/>
    <w:rsid w:val="00024A11"/>
    <w:rsid w:val="00024E7E"/>
    <w:rsid w:val="000251B8"/>
    <w:rsid w:val="00025825"/>
    <w:rsid w:val="00025B62"/>
    <w:rsid w:val="00025DE4"/>
    <w:rsid w:val="00025FCF"/>
    <w:rsid w:val="00026482"/>
    <w:rsid w:val="00026549"/>
    <w:rsid w:val="0002658A"/>
    <w:rsid w:val="000266E2"/>
    <w:rsid w:val="00026978"/>
    <w:rsid w:val="00026CC4"/>
    <w:rsid w:val="00027142"/>
    <w:rsid w:val="00027708"/>
    <w:rsid w:val="00027B23"/>
    <w:rsid w:val="00027DDC"/>
    <w:rsid w:val="00027F8E"/>
    <w:rsid w:val="00030294"/>
    <w:rsid w:val="0003057E"/>
    <w:rsid w:val="000309F7"/>
    <w:rsid w:val="00030F41"/>
    <w:rsid w:val="00031045"/>
    <w:rsid w:val="000310A3"/>
    <w:rsid w:val="00031604"/>
    <w:rsid w:val="00031995"/>
    <w:rsid w:val="00031A9D"/>
    <w:rsid w:val="00031DC3"/>
    <w:rsid w:val="000322A8"/>
    <w:rsid w:val="000324AD"/>
    <w:rsid w:val="000328A4"/>
    <w:rsid w:val="0003345E"/>
    <w:rsid w:val="000336AD"/>
    <w:rsid w:val="00033B13"/>
    <w:rsid w:val="00033CCE"/>
    <w:rsid w:val="00033CED"/>
    <w:rsid w:val="00033FD6"/>
    <w:rsid w:val="0003410E"/>
    <w:rsid w:val="0003457A"/>
    <w:rsid w:val="000349A9"/>
    <w:rsid w:val="00034ABA"/>
    <w:rsid w:val="00034B65"/>
    <w:rsid w:val="0003523F"/>
    <w:rsid w:val="00035278"/>
    <w:rsid w:val="00035284"/>
    <w:rsid w:val="000358FE"/>
    <w:rsid w:val="00035A71"/>
    <w:rsid w:val="00035B0E"/>
    <w:rsid w:val="00035D13"/>
    <w:rsid w:val="00036C36"/>
    <w:rsid w:val="00036EB2"/>
    <w:rsid w:val="00037146"/>
    <w:rsid w:val="0003718B"/>
    <w:rsid w:val="0003718E"/>
    <w:rsid w:val="00037246"/>
    <w:rsid w:val="00037768"/>
    <w:rsid w:val="00037B25"/>
    <w:rsid w:val="00037DD0"/>
    <w:rsid w:val="00040530"/>
    <w:rsid w:val="000405CE"/>
    <w:rsid w:val="00040737"/>
    <w:rsid w:val="00040A84"/>
    <w:rsid w:val="00040BDD"/>
    <w:rsid w:val="00040D7C"/>
    <w:rsid w:val="000410B3"/>
    <w:rsid w:val="00041705"/>
    <w:rsid w:val="000418AF"/>
    <w:rsid w:val="000419D5"/>
    <w:rsid w:val="00042314"/>
    <w:rsid w:val="0004234A"/>
    <w:rsid w:val="0004237B"/>
    <w:rsid w:val="000425D3"/>
    <w:rsid w:val="000428F6"/>
    <w:rsid w:val="0004344F"/>
    <w:rsid w:val="00043708"/>
    <w:rsid w:val="00044339"/>
    <w:rsid w:val="00044486"/>
    <w:rsid w:val="000444F5"/>
    <w:rsid w:val="0004466C"/>
    <w:rsid w:val="00044BEC"/>
    <w:rsid w:val="00044C19"/>
    <w:rsid w:val="000456C8"/>
    <w:rsid w:val="000456E3"/>
    <w:rsid w:val="0004596B"/>
    <w:rsid w:val="00045C38"/>
    <w:rsid w:val="000460DC"/>
    <w:rsid w:val="00046834"/>
    <w:rsid w:val="00046B4F"/>
    <w:rsid w:val="000479DD"/>
    <w:rsid w:val="00047BF9"/>
    <w:rsid w:val="00050135"/>
    <w:rsid w:val="00050196"/>
    <w:rsid w:val="000502B8"/>
    <w:rsid w:val="0005047F"/>
    <w:rsid w:val="00051717"/>
    <w:rsid w:val="000518B9"/>
    <w:rsid w:val="00052323"/>
    <w:rsid w:val="00052CC6"/>
    <w:rsid w:val="00053019"/>
    <w:rsid w:val="000530D9"/>
    <w:rsid w:val="00053350"/>
    <w:rsid w:val="000539A0"/>
    <w:rsid w:val="00053C6E"/>
    <w:rsid w:val="00054B27"/>
    <w:rsid w:val="00054C20"/>
    <w:rsid w:val="00055128"/>
    <w:rsid w:val="000556B8"/>
    <w:rsid w:val="00055C31"/>
    <w:rsid w:val="00055CB6"/>
    <w:rsid w:val="00055CD6"/>
    <w:rsid w:val="00055DDE"/>
    <w:rsid w:val="00055EDB"/>
    <w:rsid w:val="000560C9"/>
    <w:rsid w:val="000564F5"/>
    <w:rsid w:val="000566BB"/>
    <w:rsid w:val="00056794"/>
    <w:rsid w:val="00056961"/>
    <w:rsid w:val="00056BA7"/>
    <w:rsid w:val="000571E0"/>
    <w:rsid w:val="00057700"/>
    <w:rsid w:val="000579FF"/>
    <w:rsid w:val="00057BA8"/>
    <w:rsid w:val="00057F22"/>
    <w:rsid w:val="0006007A"/>
    <w:rsid w:val="000601A4"/>
    <w:rsid w:val="00060673"/>
    <w:rsid w:val="00060E9A"/>
    <w:rsid w:val="000617A4"/>
    <w:rsid w:val="00061882"/>
    <w:rsid w:val="00061897"/>
    <w:rsid w:val="0006196C"/>
    <w:rsid w:val="00061EA4"/>
    <w:rsid w:val="00061EEF"/>
    <w:rsid w:val="00062239"/>
    <w:rsid w:val="0006225F"/>
    <w:rsid w:val="00062603"/>
    <w:rsid w:val="0006282E"/>
    <w:rsid w:val="0006297E"/>
    <w:rsid w:val="00062A5E"/>
    <w:rsid w:val="00062F5D"/>
    <w:rsid w:val="00062F8C"/>
    <w:rsid w:val="00063008"/>
    <w:rsid w:val="00063265"/>
    <w:rsid w:val="0006373B"/>
    <w:rsid w:val="00063C6B"/>
    <w:rsid w:val="000641C0"/>
    <w:rsid w:val="00064325"/>
    <w:rsid w:val="0006441F"/>
    <w:rsid w:val="00064C21"/>
    <w:rsid w:val="00064E5C"/>
    <w:rsid w:val="00064F7C"/>
    <w:rsid w:val="00065308"/>
    <w:rsid w:val="000656B4"/>
    <w:rsid w:val="00065DEA"/>
    <w:rsid w:val="00065E2C"/>
    <w:rsid w:val="00065FC8"/>
    <w:rsid w:val="000660DB"/>
    <w:rsid w:val="00066268"/>
    <w:rsid w:val="00066B0F"/>
    <w:rsid w:val="00066BEE"/>
    <w:rsid w:val="000672FC"/>
    <w:rsid w:val="00067967"/>
    <w:rsid w:val="00067F95"/>
    <w:rsid w:val="00068D26"/>
    <w:rsid w:val="000701CF"/>
    <w:rsid w:val="000703B2"/>
    <w:rsid w:val="00070C49"/>
    <w:rsid w:val="00070CA3"/>
    <w:rsid w:val="00070F07"/>
    <w:rsid w:val="000711F2"/>
    <w:rsid w:val="00071350"/>
    <w:rsid w:val="00071876"/>
    <w:rsid w:val="0007218D"/>
    <w:rsid w:val="00072680"/>
    <w:rsid w:val="0007370C"/>
    <w:rsid w:val="00073929"/>
    <w:rsid w:val="00073D89"/>
    <w:rsid w:val="00074114"/>
    <w:rsid w:val="000747C3"/>
    <w:rsid w:val="000747CC"/>
    <w:rsid w:val="000748E1"/>
    <w:rsid w:val="00074A06"/>
    <w:rsid w:val="00074B50"/>
    <w:rsid w:val="00075404"/>
    <w:rsid w:val="00075659"/>
    <w:rsid w:val="000758D7"/>
    <w:rsid w:val="00075B73"/>
    <w:rsid w:val="00075EFE"/>
    <w:rsid w:val="00075F6C"/>
    <w:rsid w:val="00076AED"/>
    <w:rsid w:val="00076C88"/>
    <w:rsid w:val="00077276"/>
    <w:rsid w:val="00077431"/>
    <w:rsid w:val="00077706"/>
    <w:rsid w:val="00077BC5"/>
    <w:rsid w:val="000802BD"/>
    <w:rsid w:val="000803B5"/>
    <w:rsid w:val="0008059F"/>
    <w:rsid w:val="00080612"/>
    <w:rsid w:val="000806F8"/>
    <w:rsid w:val="00080784"/>
    <w:rsid w:val="00080AE3"/>
    <w:rsid w:val="0008171D"/>
    <w:rsid w:val="000819EE"/>
    <w:rsid w:val="00081A9B"/>
    <w:rsid w:val="000825C1"/>
    <w:rsid w:val="00082624"/>
    <w:rsid w:val="000827CC"/>
    <w:rsid w:val="00082802"/>
    <w:rsid w:val="00082BE0"/>
    <w:rsid w:val="00082F14"/>
    <w:rsid w:val="00083C54"/>
    <w:rsid w:val="00083CEF"/>
    <w:rsid w:val="000840FD"/>
    <w:rsid w:val="0008412E"/>
    <w:rsid w:val="00084206"/>
    <w:rsid w:val="00084291"/>
    <w:rsid w:val="000846EB"/>
    <w:rsid w:val="00084AF2"/>
    <w:rsid w:val="00085CE4"/>
    <w:rsid w:val="00085EF2"/>
    <w:rsid w:val="00085EF9"/>
    <w:rsid w:val="00086023"/>
    <w:rsid w:val="00086154"/>
    <w:rsid w:val="0008672E"/>
    <w:rsid w:val="00086BF9"/>
    <w:rsid w:val="00086D1D"/>
    <w:rsid w:val="00086D99"/>
    <w:rsid w:val="00086FB3"/>
    <w:rsid w:val="0008744E"/>
    <w:rsid w:val="0008752A"/>
    <w:rsid w:val="0008782A"/>
    <w:rsid w:val="000879FF"/>
    <w:rsid w:val="00087A1D"/>
    <w:rsid w:val="00087A25"/>
    <w:rsid w:val="00087B63"/>
    <w:rsid w:val="0009014B"/>
    <w:rsid w:val="000901D2"/>
    <w:rsid w:val="0009058D"/>
    <w:rsid w:val="000907CC"/>
    <w:rsid w:val="000909AA"/>
    <w:rsid w:val="00091CC1"/>
    <w:rsid w:val="00092020"/>
    <w:rsid w:val="00092085"/>
    <w:rsid w:val="00092121"/>
    <w:rsid w:val="0009296F"/>
    <w:rsid w:val="000929CF"/>
    <w:rsid w:val="00092DC2"/>
    <w:rsid w:val="00092FF7"/>
    <w:rsid w:val="00093743"/>
    <w:rsid w:val="000937A2"/>
    <w:rsid w:val="00093A78"/>
    <w:rsid w:val="00093AEC"/>
    <w:rsid w:val="0009436A"/>
    <w:rsid w:val="000944A2"/>
    <w:rsid w:val="00094E96"/>
    <w:rsid w:val="00095439"/>
    <w:rsid w:val="000954DA"/>
    <w:rsid w:val="00095D34"/>
    <w:rsid w:val="0009622D"/>
    <w:rsid w:val="0009638A"/>
    <w:rsid w:val="00096701"/>
    <w:rsid w:val="00096968"/>
    <w:rsid w:val="00096E91"/>
    <w:rsid w:val="00097640"/>
    <w:rsid w:val="000A084D"/>
    <w:rsid w:val="000A0DD9"/>
    <w:rsid w:val="000A13DB"/>
    <w:rsid w:val="000A1A34"/>
    <w:rsid w:val="000A1B79"/>
    <w:rsid w:val="000A249A"/>
    <w:rsid w:val="000A29CB"/>
    <w:rsid w:val="000A2B09"/>
    <w:rsid w:val="000A2CA0"/>
    <w:rsid w:val="000A2ED7"/>
    <w:rsid w:val="000A2F88"/>
    <w:rsid w:val="000A30E0"/>
    <w:rsid w:val="000A324A"/>
    <w:rsid w:val="000A3591"/>
    <w:rsid w:val="000A3810"/>
    <w:rsid w:val="000A4261"/>
    <w:rsid w:val="000A44A7"/>
    <w:rsid w:val="000A4A2C"/>
    <w:rsid w:val="000A4BC2"/>
    <w:rsid w:val="000A4D34"/>
    <w:rsid w:val="000A4E51"/>
    <w:rsid w:val="000A5650"/>
    <w:rsid w:val="000A5CC1"/>
    <w:rsid w:val="000A5E44"/>
    <w:rsid w:val="000A5EA3"/>
    <w:rsid w:val="000A6818"/>
    <w:rsid w:val="000A691D"/>
    <w:rsid w:val="000A6DF7"/>
    <w:rsid w:val="000A71D1"/>
    <w:rsid w:val="000A7465"/>
    <w:rsid w:val="000A773C"/>
    <w:rsid w:val="000A7AC2"/>
    <w:rsid w:val="000B0393"/>
    <w:rsid w:val="000B0654"/>
    <w:rsid w:val="000B0751"/>
    <w:rsid w:val="000B0E69"/>
    <w:rsid w:val="000B16DF"/>
    <w:rsid w:val="000B19C2"/>
    <w:rsid w:val="000B1FF4"/>
    <w:rsid w:val="000B27E3"/>
    <w:rsid w:val="000B2861"/>
    <w:rsid w:val="000B28DA"/>
    <w:rsid w:val="000B2A4D"/>
    <w:rsid w:val="000B2B09"/>
    <w:rsid w:val="000B2BFA"/>
    <w:rsid w:val="000B2C5F"/>
    <w:rsid w:val="000B2D42"/>
    <w:rsid w:val="000B369E"/>
    <w:rsid w:val="000B3E1A"/>
    <w:rsid w:val="000B3FB7"/>
    <w:rsid w:val="000B4852"/>
    <w:rsid w:val="000B5032"/>
    <w:rsid w:val="000B55E6"/>
    <w:rsid w:val="000B5621"/>
    <w:rsid w:val="000B57C8"/>
    <w:rsid w:val="000B58AA"/>
    <w:rsid w:val="000B5A2C"/>
    <w:rsid w:val="000B5C90"/>
    <w:rsid w:val="000B5E75"/>
    <w:rsid w:val="000B5F5E"/>
    <w:rsid w:val="000B6020"/>
    <w:rsid w:val="000B6161"/>
    <w:rsid w:val="000B618F"/>
    <w:rsid w:val="000B6B2D"/>
    <w:rsid w:val="000B7619"/>
    <w:rsid w:val="000B7BB6"/>
    <w:rsid w:val="000B7EDF"/>
    <w:rsid w:val="000C067E"/>
    <w:rsid w:val="000C0726"/>
    <w:rsid w:val="000C0EAA"/>
    <w:rsid w:val="000C0EAC"/>
    <w:rsid w:val="000C138F"/>
    <w:rsid w:val="000C2C32"/>
    <w:rsid w:val="000C2E09"/>
    <w:rsid w:val="000C3353"/>
    <w:rsid w:val="000C357A"/>
    <w:rsid w:val="000C3681"/>
    <w:rsid w:val="000C3947"/>
    <w:rsid w:val="000C3A4C"/>
    <w:rsid w:val="000C3AD3"/>
    <w:rsid w:val="000C3B66"/>
    <w:rsid w:val="000C3BA6"/>
    <w:rsid w:val="000C3DBF"/>
    <w:rsid w:val="000C4704"/>
    <w:rsid w:val="000C4D02"/>
    <w:rsid w:val="000C677D"/>
    <w:rsid w:val="000C67C2"/>
    <w:rsid w:val="000C69BC"/>
    <w:rsid w:val="000C7378"/>
    <w:rsid w:val="000C7727"/>
    <w:rsid w:val="000C7CC4"/>
    <w:rsid w:val="000C7E59"/>
    <w:rsid w:val="000C7ED8"/>
    <w:rsid w:val="000D015D"/>
    <w:rsid w:val="000D05D1"/>
    <w:rsid w:val="000D13C0"/>
    <w:rsid w:val="000D1674"/>
    <w:rsid w:val="000D17AF"/>
    <w:rsid w:val="000D1901"/>
    <w:rsid w:val="000D190F"/>
    <w:rsid w:val="000D1CCA"/>
    <w:rsid w:val="000D227F"/>
    <w:rsid w:val="000D28FF"/>
    <w:rsid w:val="000D2C5B"/>
    <w:rsid w:val="000D3282"/>
    <w:rsid w:val="000D362F"/>
    <w:rsid w:val="000D37C1"/>
    <w:rsid w:val="000D3E7D"/>
    <w:rsid w:val="000D4280"/>
    <w:rsid w:val="000D43D8"/>
    <w:rsid w:val="000D507A"/>
    <w:rsid w:val="000D532E"/>
    <w:rsid w:val="000D580A"/>
    <w:rsid w:val="000D603E"/>
    <w:rsid w:val="000D64C5"/>
    <w:rsid w:val="000D6AFD"/>
    <w:rsid w:val="000D6F70"/>
    <w:rsid w:val="000D7528"/>
    <w:rsid w:val="000D75F5"/>
    <w:rsid w:val="000D7F73"/>
    <w:rsid w:val="000E0644"/>
    <w:rsid w:val="000E0714"/>
    <w:rsid w:val="000E09DC"/>
    <w:rsid w:val="000E0CF0"/>
    <w:rsid w:val="000E0E4C"/>
    <w:rsid w:val="000E0E9F"/>
    <w:rsid w:val="000E163C"/>
    <w:rsid w:val="000E1692"/>
    <w:rsid w:val="000E182A"/>
    <w:rsid w:val="000E1DE7"/>
    <w:rsid w:val="000E1FB9"/>
    <w:rsid w:val="000E20F9"/>
    <w:rsid w:val="000E2159"/>
    <w:rsid w:val="000E23C1"/>
    <w:rsid w:val="000E24A7"/>
    <w:rsid w:val="000E25AD"/>
    <w:rsid w:val="000E2A2F"/>
    <w:rsid w:val="000E2D81"/>
    <w:rsid w:val="000E331B"/>
    <w:rsid w:val="000E35BD"/>
    <w:rsid w:val="000E40BC"/>
    <w:rsid w:val="000E465D"/>
    <w:rsid w:val="000E4B7C"/>
    <w:rsid w:val="000E5351"/>
    <w:rsid w:val="000E54F5"/>
    <w:rsid w:val="000E58D7"/>
    <w:rsid w:val="000E5D8B"/>
    <w:rsid w:val="000E5E85"/>
    <w:rsid w:val="000E5E95"/>
    <w:rsid w:val="000E659C"/>
    <w:rsid w:val="000E698A"/>
    <w:rsid w:val="000E6A2D"/>
    <w:rsid w:val="000E7182"/>
    <w:rsid w:val="000E7696"/>
    <w:rsid w:val="000E7A4A"/>
    <w:rsid w:val="000F02D9"/>
    <w:rsid w:val="000F0754"/>
    <w:rsid w:val="000F0B28"/>
    <w:rsid w:val="000F0C0C"/>
    <w:rsid w:val="000F0CBD"/>
    <w:rsid w:val="000F0D63"/>
    <w:rsid w:val="000F0EC3"/>
    <w:rsid w:val="000F0F17"/>
    <w:rsid w:val="000F0F68"/>
    <w:rsid w:val="000F102F"/>
    <w:rsid w:val="000F119F"/>
    <w:rsid w:val="000F14B1"/>
    <w:rsid w:val="000F14D1"/>
    <w:rsid w:val="000F1651"/>
    <w:rsid w:val="000F2005"/>
    <w:rsid w:val="000F243C"/>
    <w:rsid w:val="000F26BF"/>
    <w:rsid w:val="000F3219"/>
    <w:rsid w:val="000F3DDC"/>
    <w:rsid w:val="000F3EFA"/>
    <w:rsid w:val="000F4161"/>
    <w:rsid w:val="000F4625"/>
    <w:rsid w:val="000F4774"/>
    <w:rsid w:val="000F48F5"/>
    <w:rsid w:val="000F528A"/>
    <w:rsid w:val="000F53F6"/>
    <w:rsid w:val="000F5658"/>
    <w:rsid w:val="000F57E3"/>
    <w:rsid w:val="000F5942"/>
    <w:rsid w:val="000F5B69"/>
    <w:rsid w:val="000F5C98"/>
    <w:rsid w:val="000F5CA3"/>
    <w:rsid w:val="000F5ED3"/>
    <w:rsid w:val="000F6160"/>
    <w:rsid w:val="000F63B9"/>
    <w:rsid w:val="000F6A36"/>
    <w:rsid w:val="000F6DDC"/>
    <w:rsid w:val="000F6DF0"/>
    <w:rsid w:val="000F6F93"/>
    <w:rsid w:val="000F75C2"/>
    <w:rsid w:val="000F7A0C"/>
    <w:rsid w:val="000F7B1B"/>
    <w:rsid w:val="0010054D"/>
    <w:rsid w:val="00100A25"/>
    <w:rsid w:val="00100B1F"/>
    <w:rsid w:val="00101411"/>
    <w:rsid w:val="0010165E"/>
    <w:rsid w:val="00101694"/>
    <w:rsid w:val="00101698"/>
    <w:rsid w:val="00101848"/>
    <w:rsid w:val="00102179"/>
    <w:rsid w:val="00102822"/>
    <w:rsid w:val="001031AF"/>
    <w:rsid w:val="00103404"/>
    <w:rsid w:val="001038D7"/>
    <w:rsid w:val="00103940"/>
    <w:rsid w:val="00103EA1"/>
    <w:rsid w:val="00103FF6"/>
    <w:rsid w:val="0010421F"/>
    <w:rsid w:val="00104221"/>
    <w:rsid w:val="001042AB"/>
    <w:rsid w:val="001042CE"/>
    <w:rsid w:val="0010457A"/>
    <w:rsid w:val="001047F8"/>
    <w:rsid w:val="001048F3"/>
    <w:rsid w:val="00104C06"/>
    <w:rsid w:val="00104D57"/>
    <w:rsid w:val="00105041"/>
    <w:rsid w:val="0010523F"/>
    <w:rsid w:val="0010524D"/>
    <w:rsid w:val="00105654"/>
    <w:rsid w:val="0010575A"/>
    <w:rsid w:val="00106678"/>
    <w:rsid w:val="00106B45"/>
    <w:rsid w:val="00106C12"/>
    <w:rsid w:val="00106E9B"/>
    <w:rsid w:val="001074E9"/>
    <w:rsid w:val="0010763D"/>
    <w:rsid w:val="00107C63"/>
    <w:rsid w:val="00110445"/>
    <w:rsid w:val="001104B7"/>
    <w:rsid w:val="0011068E"/>
    <w:rsid w:val="00110F13"/>
    <w:rsid w:val="0011148D"/>
    <w:rsid w:val="00111BD6"/>
    <w:rsid w:val="001127A8"/>
    <w:rsid w:val="001127B3"/>
    <w:rsid w:val="00112859"/>
    <w:rsid w:val="00112B89"/>
    <w:rsid w:val="00112F6F"/>
    <w:rsid w:val="00113291"/>
    <w:rsid w:val="0011332C"/>
    <w:rsid w:val="0011333D"/>
    <w:rsid w:val="00113DDA"/>
    <w:rsid w:val="00114163"/>
    <w:rsid w:val="001143A3"/>
    <w:rsid w:val="001146C9"/>
    <w:rsid w:val="00114B6F"/>
    <w:rsid w:val="001154BD"/>
    <w:rsid w:val="001157C4"/>
    <w:rsid w:val="0011597C"/>
    <w:rsid w:val="00115FBC"/>
    <w:rsid w:val="00116064"/>
    <w:rsid w:val="001165B8"/>
    <w:rsid w:val="001167F3"/>
    <w:rsid w:val="00116D49"/>
    <w:rsid w:val="001172B2"/>
    <w:rsid w:val="00117D31"/>
    <w:rsid w:val="00120070"/>
    <w:rsid w:val="001206A6"/>
    <w:rsid w:val="00120B16"/>
    <w:rsid w:val="001210CB"/>
    <w:rsid w:val="00121515"/>
    <w:rsid w:val="00121CEE"/>
    <w:rsid w:val="00121FA5"/>
    <w:rsid w:val="001225E1"/>
    <w:rsid w:val="001228A5"/>
    <w:rsid w:val="001228D4"/>
    <w:rsid w:val="001230A8"/>
    <w:rsid w:val="00123920"/>
    <w:rsid w:val="00124C40"/>
    <w:rsid w:val="0012510E"/>
    <w:rsid w:val="001253C3"/>
    <w:rsid w:val="0012550A"/>
    <w:rsid w:val="00125576"/>
    <w:rsid w:val="001261C2"/>
    <w:rsid w:val="001261DE"/>
    <w:rsid w:val="00126EB5"/>
    <w:rsid w:val="00127012"/>
    <w:rsid w:val="001276BC"/>
    <w:rsid w:val="001278E7"/>
    <w:rsid w:val="001279A4"/>
    <w:rsid w:val="00130059"/>
    <w:rsid w:val="001307B4"/>
    <w:rsid w:val="00131236"/>
    <w:rsid w:val="00131400"/>
    <w:rsid w:val="001314A6"/>
    <w:rsid w:val="00131A2F"/>
    <w:rsid w:val="00131D6E"/>
    <w:rsid w:val="001321E9"/>
    <w:rsid w:val="001322DC"/>
    <w:rsid w:val="00132946"/>
    <w:rsid w:val="00133584"/>
    <w:rsid w:val="00133943"/>
    <w:rsid w:val="00133E35"/>
    <w:rsid w:val="00133F57"/>
    <w:rsid w:val="00134138"/>
    <w:rsid w:val="00134466"/>
    <w:rsid w:val="00134834"/>
    <w:rsid w:val="00134AF7"/>
    <w:rsid w:val="00134D31"/>
    <w:rsid w:val="00134F09"/>
    <w:rsid w:val="00134FE9"/>
    <w:rsid w:val="0013592F"/>
    <w:rsid w:val="00136036"/>
    <w:rsid w:val="00136255"/>
    <w:rsid w:val="001364D8"/>
    <w:rsid w:val="00136523"/>
    <w:rsid w:val="0013666B"/>
    <w:rsid w:val="00136ECE"/>
    <w:rsid w:val="00136FF6"/>
    <w:rsid w:val="00137B77"/>
    <w:rsid w:val="00137BC4"/>
    <w:rsid w:val="00137DAF"/>
    <w:rsid w:val="001400B0"/>
    <w:rsid w:val="001405F1"/>
    <w:rsid w:val="001406E0"/>
    <w:rsid w:val="001412D6"/>
    <w:rsid w:val="0014183B"/>
    <w:rsid w:val="00141910"/>
    <w:rsid w:val="0014195E"/>
    <w:rsid w:val="001419AB"/>
    <w:rsid w:val="00141BB0"/>
    <w:rsid w:val="0014200D"/>
    <w:rsid w:val="001421F3"/>
    <w:rsid w:val="001424F4"/>
    <w:rsid w:val="0014281B"/>
    <w:rsid w:val="00142AAB"/>
    <w:rsid w:val="00142EF2"/>
    <w:rsid w:val="001430D2"/>
    <w:rsid w:val="00143309"/>
    <w:rsid w:val="00143773"/>
    <w:rsid w:val="00143890"/>
    <w:rsid w:val="001440D2"/>
    <w:rsid w:val="001441E8"/>
    <w:rsid w:val="00144229"/>
    <w:rsid w:val="00144301"/>
    <w:rsid w:val="0014473E"/>
    <w:rsid w:val="00144861"/>
    <w:rsid w:val="001448C1"/>
    <w:rsid w:val="00144E94"/>
    <w:rsid w:val="00145334"/>
    <w:rsid w:val="0014556B"/>
    <w:rsid w:val="0014597C"/>
    <w:rsid w:val="00145B5D"/>
    <w:rsid w:val="00145B79"/>
    <w:rsid w:val="00145E37"/>
    <w:rsid w:val="00145E41"/>
    <w:rsid w:val="00145ECC"/>
    <w:rsid w:val="00146233"/>
    <w:rsid w:val="001466E9"/>
    <w:rsid w:val="00146D85"/>
    <w:rsid w:val="00146DA2"/>
    <w:rsid w:val="00147A0E"/>
    <w:rsid w:val="00147C1A"/>
    <w:rsid w:val="00147D9D"/>
    <w:rsid w:val="0015040D"/>
    <w:rsid w:val="0015095F"/>
    <w:rsid w:val="00150B75"/>
    <w:rsid w:val="00150E5F"/>
    <w:rsid w:val="00150ED3"/>
    <w:rsid w:val="0015122E"/>
    <w:rsid w:val="0015127F"/>
    <w:rsid w:val="0015184B"/>
    <w:rsid w:val="00151B5B"/>
    <w:rsid w:val="00151C18"/>
    <w:rsid w:val="00151D97"/>
    <w:rsid w:val="00151E58"/>
    <w:rsid w:val="00151F7F"/>
    <w:rsid w:val="0015255E"/>
    <w:rsid w:val="0015284E"/>
    <w:rsid w:val="0015367D"/>
    <w:rsid w:val="001538E5"/>
    <w:rsid w:val="00153FBB"/>
    <w:rsid w:val="00154117"/>
    <w:rsid w:val="00154399"/>
    <w:rsid w:val="00154BD5"/>
    <w:rsid w:val="00157B24"/>
    <w:rsid w:val="00157BBA"/>
    <w:rsid w:val="0016020F"/>
    <w:rsid w:val="00160458"/>
    <w:rsid w:val="001607F9"/>
    <w:rsid w:val="001610F8"/>
    <w:rsid w:val="00161272"/>
    <w:rsid w:val="001612B8"/>
    <w:rsid w:val="001613E1"/>
    <w:rsid w:val="0016142E"/>
    <w:rsid w:val="0016149E"/>
    <w:rsid w:val="001616FC"/>
    <w:rsid w:val="00161863"/>
    <w:rsid w:val="00161FC4"/>
    <w:rsid w:val="00162A3A"/>
    <w:rsid w:val="00163021"/>
    <w:rsid w:val="00163200"/>
    <w:rsid w:val="00163BCB"/>
    <w:rsid w:val="001641F7"/>
    <w:rsid w:val="0016424D"/>
    <w:rsid w:val="00164413"/>
    <w:rsid w:val="00164430"/>
    <w:rsid w:val="00164565"/>
    <w:rsid w:val="001647FD"/>
    <w:rsid w:val="00164895"/>
    <w:rsid w:val="00164A7A"/>
    <w:rsid w:val="00164B59"/>
    <w:rsid w:val="00164C8C"/>
    <w:rsid w:val="0016506E"/>
    <w:rsid w:val="001650A2"/>
    <w:rsid w:val="00165195"/>
    <w:rsid w:val="00165DD1"/>
    <w:rsid w:val="001661FD"/>
    <w:rsid w:val="00166351"/>
    <w:rsid w:val="001665CA"/>
    <w:rsid w:val="0016684D"/>
    <w:rsid w:val="00166FEF"/>
    <w:rsid w:val="00167382"/>
    <w:rsid w:val="0016762E"/>
    <w:rsid w:val="001679D6"/>
    <w:rsid w:val="00167D2F"/>
    <w:rsid w:val="00167E8A"/>
    <w:rsid w:val="00170568"/>
    <w:rsid w:val="001708BD"/>
    <w:rsid w:val="00171C52"/>
    <w:rsid w:val="00171E57"/>
    <w:rsid w:val="00172A41"/>
    <w:rsid w:val="00172CF7"/>
    <w:rsid w:val="00172F3D"/>
    <w:rsid w:val="001732B5"/>
    <w:rsid w:val="00173777"/>
    <w:rsid w:val="001745DD"/>
    <w:rsid w:val="0017465F"/>
    <w:rsid w:val="0017477A"/>
    <w:rsid w:val="0017488E"/>
    <w:rsid w:val="00174A27"/>
    <w:rsid w:val="00175060"/>
    <w:rsid w:val="001751B4"/>
    <w:rsid w:val="001751EE"/>
    <w:rsid w:val="00175B34"/>
    <w:rsid w:val="00175D7A"/>
    <w:rsid w:val="00175E25"/>
    <w:rsid w:val="00175F4D"/>
    <w:rsid w:val="001767AE"/>
    <w:rsid w:val="00176836"/>
    <w:rsid w:val="00176919"/>
    <w:rsid w:val="00176A36"/>
    <w:rsid w:val="00176CB6"/>
    <w:rsid w:val="00176E3F"/>
    <w:rsid w:val="00176EFC"/>
    <w:rsid w:val="00177095"/>
    <w:rsid w:val="00177951"/>
    <w:rsid w:val="001779C6"/>
    <w:rsid w:val="00177E19"/>
    <w:rsid w:val="00180022"/>
    <w:rsid w:val="0018004C"/>
    <w:rsid w:val="00180173"/>
    <w:rsid w:val="00180382"/>
    <w:rsid w:val="00180610"/>
    <w:rsid w:val="00180B6A"/>
    <w:rsid w:val="00180C34"/>
    <w:rsid w:val="00180C83"/>
    <w:rsid w:val="00180D08"/>
    <w:rsid w:val="001810EE"/>
    <w:rsid w:val="0018148D"/>
    <w:rsid w:val="00181554"/>
    <w:rsid w:val="00181E67"/>
    <w:rsid w:val="00181EBF"/>
    <w:rsid w:val="00181F68"/>
    <w:rsid w:val="001822A1"/>
    <w:rsid w:val="001825D6"/>
    <w:rsid w:val="00182610"/>
    <w:rsid w:val="001827FD"/>
    <w:rsid w:val="001828DD"/>
    <w:rsid w:val="001828F1"/>
    <w:rsid w:val="0018293A"/>
    <w:rsid w:val="00183BF9"/>
    <w:rsid w:val="00183D1D"/>
    <w:rsid w:val="00183FB3"/>
    <w:rsid w:val="00184536"/>
    <w:rsid w:val="0018463A"/>
    <w:rsid w:val="001846EC"/>
    <w:rsid w:val="0018498A"/>
    <w:rsid w:val="00184BD1"/>
    <w:rsid w:val="00184E32"/>
    <w:rsid w:val="00185E1F"/>
    <w:rsid w:val="00186406"/>
    <w:rsid w:val="00186A1D"/>
    <w:rsid w:val="001879FB"/>
    <w:rsid w:val="00187B80"/>
    <w:rsid w:val="00187CE9"/>
    <w:rsid w:val="00190314"/>
    <w:rsid w:val="001904B8"/>
    <w:rsid w:val="00190802"/>
    <w:rsid w:val="00190A9D"/>
    <w:rsid w:val="00190CC8"/>
    <w:rsid w:val="00191153"/>
    <w:rsid w:val="00191202"/>
    <w:rsid w:val="0019135F"/>
    <w:rsid w:val="001923B4"/>
    <w:rsid w:val="00192F44"/>
    <w:rsid w:val="001930D9"/>
    <w:rsid w:val="001930EA"/>
    <w:rsid w:val="001931B1"/>
    <w:rsid w:val="0019382F"/>
    <w:rsid w:val="00193BD2"/>
    <w:rsid w:val="00194254"/>
    <w:rsid w:val="0019464D"/>
    <w:rsid w:val="0019474F"/>
    <w:rsid w:val="0019486B"/>
    <w:rsid w:val="00195091"/>
    <w:rsid w:val="00195361"/>
    <w:rsid w:val="0019552B"/>
    <w:rsid w:val="00195639"/>
    <w:rsid w:val="00195D76"/>
    <w:rsid w:val="00196058"/>
    <w:rsid w:val="00196467"/>
    <w:rsid w:val="00196A52"/>
    <w:rsid w:val="00196D63"/>
    <w:rsid w:val="001978CD"/>
    <w:rsid w:val="00197F3C"/>
    <w:rsid w:val="00197F3F"/>
    <w:rsid w:val="001A0929"/>
    <w:rsid w:val="001A0B7C"/>
    <w:rsid w:val="001A0CA5"/>
    <w:rsid w:val="001A0DDB"/>
    <w:rsid w:val="001A14D4"/>
    <w:rsid w:val="001A2242"/>
    <w:rsid w:val="001A24CE"/>
    <w:rsid w:val="001A27E1"/>
    <w:rsid w:val="001A3225"/>
    <w:rsid w:val="001A348C"/>
    <w:rsid w:val="001A379E"/>
    <w:rsid w:val="001A3A04"/>
    <w:rsid w:val="001A3A88"/>
    <w:rsid w:val="001A3D01"/>
    <w:rsid w:val="001A4014"/>
    <w:rsid w:val="001A43B7"/>
    <w:rsid w:val="001A4669"/>
    <w:rsid w:val="001A46BA"/>
    <w:rsid w:val="001A474B"/>
    <w:rsid w:val="001A518F"/>
    <w:rsid w:val="001A5999"/>
    <w:rsid w:val="001A5C02"/>
    <w:rsid w:val="001A6100"/>
    <w:rsid w:val="001A65B1"/>
    <w:rsid w:val="001A682D"/>
    <w:rsid w:val="001A6E6F"/>
    <w:rsid w:val="001A6F39"/>
    <w:rsid w:val="001A767D"/>
    <w:rsid w:val="001B03B9"/>
    <w:rsid w:val="001B0517"/>
    <w:rsid w:val="001B062D"/>
    <w:rsid w:val="001B1B3B"/>
    <w:rsid w:val="001B1CCF"/>
    <w:rsid w:val="001B1EE4"/>
    <w:rsid w:val="001B2040"/>
    <w:rsid w:val="001B2558"/>
    <w:rsid w:val="001B2AE1"/>
    <w:rsid w:val="001B2EB6"/>
    <w:rsid w:val="001B32A8"/>
    <w:rsid w:val="001B3958"/>
    <w:rsid w:val="001B420B"/>
    <w:rsid w:val="001B46A5"/>
    <w:rsid w:val="001B4797"/>
    <w:rsid w:val="001B4878"/>
    <w:rsid w:val="001B4996"/>
    <w:rsid w:val="001B4A68"/>
    <w:rsid w:val="001B4CE7"/>
    <w:rsid w:val="001B4D51"/>
    <w:rsid w:val="001B509C"/>
    <w:rsid w:val="001B539A"/>
    <w:rsid w:val="001B5509"/>
    <w:rsid w:val="001B551E"/>
    <w:rsid w:val="001B5784"/>
    <w:rsid w:val="001B649A"/>
    <w:rsid w:val="001B67FD"/>
    <w:rsid w:val="001B6811"/>
    <w:rsid w:val="001B695E"/>
    <w:rsid w:val="001B6A35"/>
    <w:rsid w:val="001B6D18"/>
    <w:rsid w:val="001B6F65"/>
    <w:rsid w:val="001B7247"/>
    <w:rsid w:val="001B742E"/>
    <w:rsid w:val="001B75E6"/>
    <w:rsid w:val="001B773D"/>
    <w:rsid w:val="001B78D0"/>
    <w:rsid w:val="001B7978"/>
    <w:rsid w:val="001B7B22"/>
    <w:rsid w:val="001B7B4B"/>
    <w:rsid w:val="001C01DD"/>
    <w:rsid w:val="001C0283"/>
    <w:rsid w:val="001C0471"/>
    <w:rsid w:val="001C091C"/>
    <w:rsid w:val="001C1A39"/>
    <w:rsid w:val="001C2132"/>
    <w:rsid w:val="001C223D"/>
    <w:rsid w:val="001C22AB"/>
    <w:rsid w:val="001C2341"/>
    <w:rsid w:val="001C25CA"/>
    <w:rsid w:val="001C26D9"/>
    <w:rsid w:val="001C2A34"/>
    <w:rsid w:val="001C2B61"/>
    <w:rsid w:val="001C2B8A"/>
    <w:rsid w:val="001C36D6"/>
    <w:rsid w:val="001C38AC"/>
    <w:rsid w:val="001C3AC2"/>
    <w:rsid w:val="001C3E8E"/>
    <w:rsid w:val="001C406A"/>
    <w:rsid w:val="001C46FD"/>
    <w:rsid w:val="001C4717"/>
    <w:rsid w:val="001C4A0B"/>
    <w:rsid w:val="001C4C79"/>
    <w:rsid w:val="001C4CA3"/>
    <w:rsid w:val="001C517C"/>
    <w:rsid w:val="001C5DA3"/>
    <w:rsid w:val="001C629E"/>
    <w:rsid w:val="001C6990"/>
    <w:rsid w:val="001C6E4C"/>
    <w:rsid w:val="001C71B8"/>
    <w:rsid w:val="001C7B58"/>
    <w:rsid w:val="001C7D6C"/>
    <w:rsid w:val="001D03C3"/>
    <w:rsid w:val="001D0BDE"/>
    <w:rsid w:val="001D0CCA"/>
    <w:rsid w:val="001D1515"/>
    <w:rsid w:val="001D1589"/>
    <w:rsid w:val="001D174D"/>
    <w:rsid w:val="001D18D7"/>
    <w:rsid w:val="001D1AF7"/>
    <w:rsid w:val="001D1B24"/>
    <w:rsid w:val="001D2366"/>
    <w:rsid w:val="001D25D7"/>
    <w:rsid w:val="001D2604"/>
    <w:rsid w:val="001D3015"/>
    <w:rsid w:val="001D389D"/>
    <w:rsid w:val="001D3B0C"/>
    <w:rsid w:val="001D3B0F"/>
    <w:rsid w:val="001D423F"/>
    <w:rsid w:val="001D43A0"/>
    <w:rsid w:val="001D446E"/>
    <w:rsid w:val="001D47E2"/>
    <w:rsid w:val="001D4A82"/>
    <w:rsid w:val="001D4ADD"/>
    <w:rsid w:val="001D4D62"/>
    <w:rsid w:val="001D4E1C"/>
    <w:rsid w:val="001D53E0"/>
    <w:rsid w:val="001D571F"/>
    <w:rsid w:val="001D5C93"/>
    <w:rsid w:val="001D6028"/>
    <w:rsid w:val="001D6359"/>
    <w:rsid w:val="001D664F"/>
    <w:rsid w:val="001D6FA1"/>
    <w:rsid w:val="001D730C"/>
    <w:rsid w:val="001D73B3"/>
    <w:rsid w:val="001D7537"/>
    <w:rsid w:val="001D7A3B"/>
    <w:rsid w:val="001D7AF7"/>
    <w:rsid w:val="001D7B97"/>
    <w:rsid w:val="001D7BC9"/>
    <w:rsid w:val="001D7D2E"/>
    <w:rsid w:val="001E03FE"/>
    <w:rsid w:val="001E0907"/>
    <w:rsid w:val="001E0B1D"/>
    <w:rsid w:val="001E0FBF"/>
    <w:rsid w:val="001E12A8"/>
    <w:rsid w:val="001E1790"/>
    <w:rsid w:val="001E1929"/>
    <w:rsid w:val="001E1B0A"/>
    <w:rsid w:val="001E1B93"/>
    <w:rsid w:val="001E1BD1"/>
    <w:rsid w:val="001E1CE9"/>
    <w:rsid w:val="001E1DF4"/>
    <w:rsid w:val="001E29D6"/>
    <w:rsid w:val="001E2BE7"/>
    <w:rsid w:val="001E2C9D"/>
    <w:rsid w:val="001E30BC"/>
    <w:rsid w:val="001E312E"/>
    <w:rsid w:val="001E364D"/>
    <w:rsid w:val="001E3721"/>
    <w:rsid w:val="001E3D45"/>
    <w:rsid w:val="001E3FBE"/>
    <w:rsid w:val="001E485D"/>
    <w:rsid w:val="001E4EEC"/>
    <w:rsid w:val="001E4EF8"/>
    <w:rsid w:val="001E5093"/>
    <w:rsid w:val="001E577C"/>
    <w:rsid w:val="001E58C9"/>
    <w:rsid w:val="001E5F7E"/>
    <w:rsid w:val="001E68E2"/>
    <w:rsid w:val="001E69EF"/>
    <w:rsid w:val="001E6A91"/>
    <w:rsid w:val="001E6BD5"/>
    <w:rsid w:val="001E6DD1"/>
    <w:rsid w:val="001E75BD"/>
    <w:rsid w:val="001E784C"/>
    <w:rsid w:val="001E7B06"/>
    <w:rsid w:val="001E7B33"/>
    <w:rsid w:val="001E7BE0"/>
    <w:rsid w:val="001E7C60"/>
    <w:rsid w:val="001F0132"/>
    <w:rsid w:val="001F0778"/>
    <w:rsid w:val="001F0792"/>
    <w:rsid w:val="001F08C9"/>
    <w:rsid w:val="001F0AB9"/>
    <w:rsid w:val="001F10DD"/>
    <w:rsid w:val="001F1703"/>
    <w:rsid w:val="001F190A"/>
    <w:rsid w:val="001F1994"/>
    <w:rsid w:val="001F1F4C"/>
    <w:rsid w:val="001F2379"/>
    <w:rsid w:val="001F25E1"/>
    <w:rsid w:val="001F2EAA"/>
    <w:rsid w:val="001F2F19"/>
    <w:rsid w:val="001F2FFE"/>
    <w:rsid w:val="001F314A"/>
    <w:rsid w:val="001F31A3"/>
    <w:rsid w:val="001F31EB"/>
    <w:rsid w:val="001F3250"/>
    <w:rsid w:val="001F3525"/>
    <w:rsid w:val="001F389F"/>
    <w:rsid w:val="001F39D8"/>
    <w:rsid w:val="001F3B07"/>
    <w:rsid w:val="001F3B8A"/>
    <w:rsid w:val="001F4390"/>
    <w:rsid w:val="001F4797"/>
    <w:rsid w:val="001F4DD8"/>
    <w:rsid w:val="001F5146"/>
    <w:rsid w:val="001F52FC"/>
    <w:rsid w:val="001F579B"/>
    <w:rsid w:val="001F596D"/>
    <w:rsid w:val="001F5A03"/>
    <w:rsid w:val="001F5A52"/>
    <w:rsid w:val="001F65A6"/>
    <w:rsid w:val="001F6791"/>
    <w:rsid w:val="001F70DF"/>
    <w:rsid w:val="001F7AA0"/>
    <w:rsid w:val="00200188"/>
    <w:rsid w:val="00200600"/>
    <w:rsid w:val="00200AAC"/>
    <w:rsid w:val="00200C18"/>
    <w:rsid w:val="00200ED7"/>
    <w:rsid w:val="002010B9"/>
    <w:rsid w:val="002013AA"/>
    <w:rsid w:val="00201B9B"/>
    <w:rsid w:val="00202069"/>
    <w:rsid w:val="00202145"/>
    <w:rsid w:val="00202655"/>
    <w:rsid w:val="00202BCE"/>
    <w:rsid w:val="00202CDC"/>
    <w:rsid w:val="00202F78"/>
    <w:rsid w:val="0020349E"/>
    <w:rsid w:val="00203B71"/>
    <w:rsid w:val="00203FA5"/>
    <w:rsid w:val="00204141"/>
    <w:rsid w:val="002044B9"/>
    <w:rsid w:val="00204AC8"/>
    <w:rsid w:val="00204BF5"/>
    <w:rsid w:val="00204C47"/>
    <w:rsid w:val="002059E9"/>
    <w:rsid w:val="00205D8D"/>
    <w:rsid w:val="00205DD1"/>
    <w:rsid w:val="00206740"/>
    <w:rsid w:val="0020675F"/>
    <w:rsid w:val="002077A9"/>
    <w:rsid w:val="002078E8"/>
    <w:rsid w:val="00207B0D"/>
    <w:rsid w:val="00207C9A"/>
    <w:rsid w:val="00207CF9"/>
    <w:rsid w:val="00207E28"/>
    <w:rsid w:val="002103A3"/>
    <w:rsid w:val="00210416"/>
    <w:rsid w:val="00210738"/>
    <w:rsid w:val="00210954"/>
    <w:rsid w:val="002110C8"/>
    <w:rsid w:val="0021197E"/>
    <w:rsid w:val="00211C31"/>
    <w:rsid w:val="00211E4B"/>
    <w:rsid w:val="00212127"/>
    <w:rsid w:val="00212377"/>
    <w:rsid w:val="0021288D"/>
    <w:rsid w:val="002129CD"/>
    <w:rsid w:val="00212A21"/>
    <w:rsid w:val="00212D98"/>
    <w:rsid w:val="00212DE8"/>
    <w:rsid w:val="00213722"/>
    <w:rsid w:val="002139B0"/>
    <w:rsid w:val="00213CDD"/>
    <w:rsid w:val="0021415B"/>
    <w:rsid w:val="0021468A"/>
    <w:rsid w:val="00214721"/>
    <w:rsid w:val="002147B9"/>
    <w:rsid w:val="00214E5D"/>
    <w:rsid w:val="002156F7"/>
    <w:rsid w:val="00215775"/>
    <w:rsid w:val="002160B6"/>
    <w:rsid w:val="0021630A"/>
    <w:rsid w:val="002164C9"/>
    <w:rsid w:val="00217356"/>
    <w:rsid w:val="00217825"/>
    <w:rsid w:val="00217919"/>
    <w:rsid w:val="00217D67"/>
    <w:rsid w:val="00217FDC"/>
    <w:rsid w:val="00220496"/>
    <w:rsid w:val="00220BA2"/>
    <w:rsid w:val="00220DAC"/>
    <w:rsid w:val="0022108A"/>
    <w:rsid w:val="002214E0"/>
    <w:rsid w:val="0022166E"/>
    <w:rsid w:val="0022170D"/>
    <w:rsid w:val="002217CC"/>
    <w:rsid w:val="002217D5"/>
    <w:rsid w:val="0022192A"/>
    <w:rsid w:val="00221B81"/>
    <w:rsid w:val="00221D4A"/>
    <w:rsid w:val="00222255"/>
    <w:rsid w:val="00222277"/>
    <w:rsid w:val="00222C06"/>
    <w:rsid w:val="00222DB4"/>
    <w:rsid w:val="00222DF0"/>
    <w:rsid w:val="00222F4F"/>
    <w:rsid w:val="00223112"/>
    <w:rsid w:val="002234D7"/>
    <w:rsid w:val="0022352F"/>
    <w:rsid w:val="00223615"/>
    <w:rsid w:val="002236C1"/>
    <w:rsid w:val="002239BE"/>
    <w:rsid w:val="002239C3"/>
    <w:rsid w:val="00223B02"/>
    <w:rsid w:val="00223D9F"/>
    <w:rsid w:val="00224297"/>
    <w:rsid w:val="00224428"/>
    <w:rsid w:val="002245B9"/>
    <w:rsid w:val="002246F0"/>
    <w:rsid w:val="00224CD7"/>
    <w:rsid w:val="00225287"/>
    <w:rsid w:val="00225C57"/>
    <w:rsid w:val="00225F52"/>
    <w:rsid w:val="00226214"/>
    <w:rsid w:val="00226336"/>
    <w:rsid w:val="00226521"/>
    <w:rsid w:val="002265D3"/>
    <w:rsid w:val="00227199"/>
    <w:rsid w:val="002273E7"/>
    <w:rsid w:val="00230219"/>
    <w:rsid w:val="00230425"/>
    <w:rsid w:val="002306AA"/>
    <w:rsid w:val="00230918"/>
    <w:rsid w:val="00230C43"/>
    <w:rsid w:val="00230D71"/>
    <w:rsid w:val="00230DFC"/>
    <w:rsid w:val="00230F69"/>
    <w:rsid w:val="00231069"/>
    <w:rsid w:val="00231130"/>
    <w:rsid w:val="0023138C"/>
    <w:rsid w:val="002315E7"/>
    <w:rsid w:val="002316AF"/>
    <w:rsid w:val="00231D08"/>
    <w:rsid w:val="00232927"/>
    <w:rsid w:val="00232A17"/>
    <w:rsid w:val="00232C83"/>
    <w:rsid w:val="00233184"/>
    <w:rsid w:val="00233817"/>
    <w:rsid w:val="00233901"/>
    <w:rsid w:val="00233BC2"/>
    <w:rsid w:val="00235D33"/>
    <w:rsid w:val="0023609F"/>
    <w:rsid w:val="0023621B"/>
    <w:rsid w:val="0023650C"/>
    <w:rsid w:val="0023698F"/>
    <w:rsid w:val="00236C30"/>
    <w:rsid w:val="00236CD0"/>
    <w:rsid w:val="002371F0"/>
    <w:rsid w:val="00237216"/>
    <w:rsid w:val="002373E3"/>
    <w:rsid w:val="00237A84"/>
    <w:rsid w:val="00237E1C"/>
    <w:rsid w:val="00240046"/>
    <w:rsid w:val="00240525"/>
    <w:rsid w:val="0024055B"/>
    <w:rsid w:val="00240849"/>
    <w:rsid w:val="00240AB0"/>
    <w:rsid w:val="00240B26"/>
    <w:rsid w:val="002419A7"/>
    <w:rsid w:val="00241A84"/>
    <w:rsid w:val="00241F1B"/>
    <w:rsid w:val="00242203"/>
    <w:rsid w:val="00242730"/>
    <w:rsid w:val="002429AF"/>
    <w:rsid w:val="00242C15"/>
    <w:rsid w:val="00242EE3"/>
    <w:rsid w:val="0024339F"/>
    <w:rsid w:val="002439B4"/>
    <w:rsid w:val="00243C25"/>
    <w:rsid w:val="00243E16"/>
    <w:rsid w:val="00243E49"/>
    <w:rsid w:val="0024407D"/>
    <w:rsid w:val="0024485A"/>
    <w:rsid w:val="00244C10"/>
    <w:rsid w:val="00245083"/>
    <w:rsid w:val="00245250"/>
    <w:rsid w:val="00245894"/>
    <w:rsid w:val="00245C12"/>
    <w:rsid w:val="00245C24"/>
    <w:rsid w:val="00245D8E"/>
    <w:rsid w:val="002460BC"/>
    <w:rsid w:val="002460E9"/>
    <w:rsid w:val="002460EA"/>
    <w:rsid w:val="00246318"/>
    <w:rsid w:val="002466FE"/>
    <w:rsid w:val="00246B1A"/>
    <w:rsid w:val="00247744"/>
    <w:rsid w:val="00247770"/>
    <w:rsid w:val="0024780F"/>
    <w:rsid w:val="00247AB4"/>
    <w:rsid w:val="00247B84"/>
    <w:rsid w:val="00247D1A"/>
    <w:rsid w:val="00250641"/>
    <w:rsid w:val="002507CE"/>
    <w:rsid w:val="002509FF"/>
    <w:rsid w:val="00250A20"/>
    <w:rsid w:val="00250DC6"/>
    <w:rsid w:val="0025108F"/>
    <w:rsid w:val="00251226"/>
    <w:rsid w:val="0025177A"/>
    <w:rsid w:val="00251C7B"/>
    <w:rsid w:val="00251D2C"/>
    <w:rsid w:val="00251F6F"/>
    <w:rsid w:val="00251F77"/>
    <w:rsid w:val="002522B1"/>
    <w:rsid w:val="002522E7"/>
    <w:rsid w:val="00252F8C"/>
    <w:rsid w:val="00253188"/>
    <w:rsid w:val="00253327"/>
    <w:rsid w:val="0025370C"/>
    <w:rsid w:val="00253C65"/>
    <w:rsid w:val="00253D6B"/>
    <w:rsid w:val="0025404E"/>
    <w:rsid w:val="0025412B"/>
    <w:rsid w:val="002541F3"/>
    <w:rsid w:val="002542F6"/>
    <w:rsid w:val="00254471"/>
    <w:rsid w:val="00254A83"/>
    <w:rsid w:val="00255299"/>
    <w:rsid w:val="002552AE"/>
    <w:rsid w:val="002554FC"/>
    <w:rsid w:val="0025574C"/>
    <w:rsid w:val="0025692B"/>
    <w:rsid w:val="00256A71"/>
    <w:rsid w:val="00256F52"/>
    <w:rsid w:val="00257037"/>
    <w:rsid w:val="002571AE"/>
    <w:rsid w:val="002573C9"/>
    <w:rsid w:val="00257AD7"/>
    <w:rsid w:val="002600A3"/>
    <w:rsid w:val="002602F3"/>
    <w:rsid w:val="00260385"/>
    <w:rsid w:val="002605E9"/>
    <w:rsid w:val="00260879"/>
    <w:rsid w:val="00261342"/>
    <w:rsid w:val="00262333"/>
    <w:rsid w:val="00262BBD"/>
    <w:rsid w:val="00262DC2"/>
    <w:rsid w:val="00263635"/>
    <w:rsid w:val="002639ED"/>
    <w:rsid w:val="00263B78"/>
    <w:rsid w:val="00263D37"/>
    <w:rsid w:val="00264A04"/>
    <w:rsid w:val="00264FED"/>
    <w:rsid w:val="00265060"/>
    <w:rsid w:val="002650C0"/>
    <w:rsid w:val="002652FE"/>
    <w:rsid w:val="00265343"/>
    <w:rsid w:val="00265694"/>
    <w:rsid w:val="002659CD"/>
    <w:rsid w:val="00265A21"/>
    <w:rsid w:val="00265ABB"/>
    <w:rsid w:val="00265EB0"/>
    <w:rsid w:val="00266038"/>
    <w:rsid w:val="0026639F"/>
    <w:rsid w:val="0026698C"/>
    <w:rsid w:val="00267879"/>
    <w:rsid w:val="00267E5F"/>
    <w:rsid w:val="002701FC"/>
    <w:rsid w:val="0027077E"/>
    <w:rsid w:val="00270A06"/>
    <w:rsid w:val="00270BAD"/>
    <w:rsid w:val="00270BD4"/>
    <w:rsid w:val="00270EDD"/>
    <w:rsid w:val="00270F1B"/>
    <w:rsid w:val="00270F39"/>
    <w:rsid w:val="00271245"/>
    <w:rsid w:val="002716FE"/>
    <w:rsid w:val="00271FEC"/>
    <w:rsid w:val="0027259E"/>
    <w:rsid w:val="002726DF"/>
    <w:rsid w:val="00272780"/>
    <w:rsid w:val="00272E46"/>
    <w:rsid w:val="0027307A"/>
    <w:rsid w:val="0027312D"/>
    <w:rsid w:val="00274878"/>
    <w:rsid w:val="00275587"/>
    <w:rsid w:val="00275B1C"/>
    <w:rsid w:val="00275C71"/>
    <w:rsid w:val="00275F0C"/>
    <w:rsid w:val="00276012"/>
    <w:rsid w:val="0027628E"/>
    <w:rsid w:val="00276395"/>
    <w:rsid w:val="00276710"/>
    <w:rsid w:val="002768A4"/>
    <w:rsid w:val="00276B81"/>
    <w:rsid w:val="00276BB5"/>
    <w:rsid w:val="00276D87"/>
    <w:rsid w:val="0027736D"/>
    <w:rsid w:val="0027777A"/>
    <w:rsid w:val="00277BFD"/>
    <w:rsid w:val="00277CCE"/>
    <w:rsid w:val="00277FA6"/>
    <w:rsid w:val="0028013D"/>
    <w:rsid w:val="0028015C"/>
    <w:rsid w:val="00280601"/>
    <w:rsid w:val="00280909"/>
    <w:rsid w:val="00280C81"/>
    <w:rsid w:val="00280DCB"/>
    <w:rsid w:val="002813C8"/>
    <w:rsid w:val="002814FA"/>
    <w:rsid w:val="00281EEB"/>
    <w:rsid w:val="0028235F"/>
    <w:rsid w:val="002824E2"/>
    <w:rsid w:val="00282598"/>
    <w:rsid w:val="00282D9C"/>
    <w:rsid w:val="00282FB8"/>
    <w:rsid w:val="0028318F"/>
    <w:rsid w:val="002831CF"/>
    <w:rsid w:val="00283253"/>
    <w:rsid w:val="0028351F"/>
    <w:rsid w:val="00283541"/>
    <w:rsid w:val="00283BE6"/>
    <w:rsid w:val="00283F81"/>
    <w:rsid w:val="00284345"/>
    <w:rsid w:val="00284B1D"/>
    <w:rsid w:val="00284B68"/>
    <w:rsid w:val="00284B6E"/>
    <w:rsid w:val="00284DAE"/>
    <w:rsid w:val="002856B9"/>
    <w:rsid w:val="002858B8"/>
    <w:rsid w:val="0028593C"/>
    <w:rsid w:val="00285A75"/>
    <w:rsid w:val="00285F6A"/>
    <w:rsid w:val="00285F9D"/>
    <w:rsid w:val="002869CD"/>
    <w:rsid w:val="00286AA6"/>
    <w:rsid w:val="00286FBA"/>
    <w:rsid w:val="002870B1"/>
    <w:rsid w:val="00287101"/>
    <w:rsid w:val="00287203"/>
    <w:rsid w:val="00287475"/>
    <w:rsid w:val="0028784E"/>
    <w:rsid w:val="00287923"/>
    <w:rsid w:val="00287BF9"/>
    <w:rsid w:val="00287D20"/>
    <w:rsid w:val="00287DC5"/>
    <w:rsid w:val="00287FA4"/>
    <w:rsid w:val="002901CA"/>
    <w:rsid w:val="002905C9"/>
    <w:rsid w:val="00290678"/>
    <w:rsid w:val="0029076E"/>
    <w:rsid w:val="0029081B"/>
    <w:rsid w:val="00290906"/>
    <w:rsid w:val="00290C79"/>
    <w:rsid w:val="002911EF"/>
    <w:rsid w:val="00291283"/>
    <w:rsid w:val="0029153D"/>
    <w:rsid w:val="0029203E"/>
    <w:rsid w:val="00292585"/>
    <w:rsid w:val="00292661"/>
    <w:rsid w:val="0029291D"/>
    <w:rsid w:val="00292A2B"/>
    <w:rsid w:val="00292B54"/>
    <w:rsid w:val="00292BEA"/>
    <w:rsid w:val="00292D16"/>
    <w:rsid w:val="00292EED"/>
    <w:rsid w:val="0029324B"/>
    <w:rsid w:val="0029357C"/>
    <w:rsid w:val="00293AF2"/>
    <w:rsid w:val="00293E79"/>
    <w:rsid w:val="00294427"/>
    <w:rsid w:val="00294AB2"/>
    <w:rsid w:val="00294CE5"/>
    <w:rsid w:val="00295579"/>
    <w:rsid w:val="002955B2"/>
    <w:rsid w:val="002959C9"/>
    <w:rsid w:val="00295B09"/>
    <w:rsid w:val="00296577"/>
    <w:rsid w:val="002967F7"/>
    <w:rsid w:val="00296B8E"/>
    <w:rsid w:val="00296BBF"/>
    <w:rsid w:val="00296BD5"/>
    <w:rsid w:val="00296D16"/>
    <w:rsid w:val="00296DF4"/>
    <w:rsid w:val="00297220"/>
    <w:rsid w:val="00297426"/>
    <w:rsid w:val="002975DD"/>
    <w:rsid w:val="00297DAB"/>
    <w:rsid w:val="002A053E"/>
    <w:rsid w:val="002A074D"/>
    <w:rsid w:val="002A125F"/>
    <w:rsid w:val="002A13AA"/>
    <w:rsid w:val="002A178A"/>
    <w:rsid w:val="002A1AE4"/>
    <w:rsid w:val="002A1EEC"/>
    <w:rsid w:val="002A2099"/>
    <w:rsid w:val="002A268C"/>
    <w:rsid w:val="002A26A1"/>
    <w:rsid w:val="002A2E83"/>
    <w:rsid w:val="002A2F16"/>
    <w:rsid w:val="002A363B"/>
    <w:rsid w:val="002A37F1"/>
    <w:rsid w:val="002A3B47"/>
    <w:rsid w:val="002A428C"/>
    <w:rsid w:val="002A4378"/>
    <w:rsid w:val="002A4551"/>
    <w:rsid w:val="002A4648"/>
    <w:rsid w:val="002A4913"/>
    <w:rsid w:val="002A4FB0"/>
    <w:rsid w:val="002A5316"/>
    <w:rsid w:val="002A5619"/>
    <w:rsid w:val="002A56F7"/>
    <w:rsid w:val="002A5D98"/>
    <w:rsid w:val="002A5DD7"/>
    <w:rsid w:val="002A66E6"/>
    <w:rsid w:val="002A67AB"/>
    <w:rsid w:val="002A6A6C"/>
    <w:rsid w:val="002A6B15"/>
    <w:rsid w:val="002A6B4B"/>
    <w:rsid w:val="002A721F"/>
    <w:rsid w:val="002A74F1"/>
    <w:rsid w:val="002A7E5F"/>
    <w:rsid w:val="002A7F26"/>
    <w:rsid w:val="002B00E2"/>
    <w:rsid w:val="002B01DD"/>
    <w:rsid w:val="002B031E"/>
    <w:rsid w:val="002B03BB"/>
    <w:rsid w:val="002B0468"/>
    <w:rsid w:val="002B08CC"/>
    <w:rsid w:val="002B097E"/>
    <w:rsid w:val="002B09CE"/>
    <w:rsid w:val="002B09DC"/>
    <w:rsid w:val="002B1369"/>
    <w:rsid w:val="002B209C"/>
    <w:rsid w:val="002B22DB"/>
    <w:rsid w:val="002B32BB"/>
    <w:rsid w:val="002B3542"/>
    <w:rsid w:val="002B36C5"/>
    <w:rsid w:val="002B38AD"/>
    <w:rsid w:val="002B3916"/>
    <w:rsid w:val="002B3FB5"/>
    <w:rsid w:val="002B4374"/>
    <w:rsid w:val="002B4774"/>
    <w:rsid w:val="002B4B14"/>
    <w:rsid w:val="002B4D20"/>
    <w:rsid w:val="002B4F95"/>
    <w:rsid w:val="002B5004"/>
    <w:rsid w:val="002B5471"/>
    <w:rsid w:val="002B5796"/>
    <w:rsid w:val="002B5D87"/>
    <w:rsid w:val="002B5EB5"/>
    <w:rsid w:val="002B64B6"/>
    <w:rsid w:val="002B703C"/>
    <w:rsid w:val="002B70ED"/>
    <w:rsid w:val="002B744B"/>
    <w:rsid w:val="002B7A65"/>
    <w:rsid w:val="002C0085"/>
    <w:rsid w:val="002C03DD"/>
    <w:rsid w:val="002C0963"/>
    <w:rsid w:val="002C0C30"/>
    <w:rsid w:val="002C0EDC"/>
    <w:rsid w:val="002C1609"/>
    <w:rsid w:val="002C167F"/>
    <w:rsid w:val="002C181F"/>
    <w:rsid w:val="002C2034"/>
    <w:rsid w:val="002C208A"/>
    <w:rsid w:val="002C2266"/>
    <w:rsid w:val="002C2384"/>
    <w:rsid w:val="002C299F"/>
    <w:rsid w:val="002C2F69"/>
    <w:rsid w:val="002C2F79"/>
    <w:rsid w:val="002C3116"/>
    <w:rsid w:val="002C3196"/>
    <w:rsid w:val="002C31A0"/>
    <w:rsid w:val="002C3D8F"/>
    <w:rsid w:val="002C3D98"/>
    <w:rsid w:val="002C42D3"/>
    <w:rsid w:val="002C455E"/>
    <w:rsid w:val="002C4729"/>
    <w:rsid w:val="002C49B6"/>
    <w:rsid w:val="002C4CCF"/>
    <w:rsid w:val="002C4E92"/>
    <w:rsid w:val="002C5888"/>
    <w:rsid w:val="002C58C8"/>
    <w:rsid w:val="002C5949"/>
    <w:rsid w:val="002C6012"/>
    <w:rsid w:val="002C608E"/>
    <w:rsid w:val="002C6117"/>
    <w:rsid w:val="002C6120"/>
    <w:rsid w:val="002C657E"/>
    <w:rsid w:val="002C6679"/>
    <w:rsid w:val="002C6A05"/>
    <w:rsid w:val="002C6A2B"/>
    <w:rsid w:val="002C6BA4"/>
    <w:rsid w:val="002C6F40"/>
    <w:rsid w:val="002C7472"/>
    <w:rsid w:val="002C75DF"/>
    <w:rsid w:val="002C75FF"/>
    <w:rsid w:val="002C76AA"/>
    <w:rsid w:val="002C7B31"/>
    <w:rsid w:val="002C7C8D"/>
    <w:rsid w:val="002D07FE"/>
    <w:rsid w:val="002D10A8"/>
    <w:rsid w:val="002D1492"/>
    <w:rsid w:val="002D170D"/>
    <w:rsid w:val="002D18CF"/>
    <w:rsid w:val="002D1A82"/>
    <w:rsid w:val="002D1B92"/>
    <w:rsid w:val="002D1F77"/>
    <w:rsid w:val="002D25E2"/>
    <w:rsid w:val="002D267B"/>
    <w:rsid w:val="002D28BC"/>
    <w:rsid w:val="002D2A41"/>
    <w:rsid w:val="002D2ADC"/>
    <w:rsid w:val="002D2B01"/>
    <w:rsid w:val="002D2B80"/>
    <w:rsid w:val="002D308A"/>
    <w:rsid w:val="002D3129"/>
    <w:rsid w:val="002D3896"/>
    <w:rsid w:val="002D3B9F"/>
    <w:rsid w:val="002D4BC1"/>
    <w:rsid w:val="002D4F6F"/>
    <w:rsid w:val="002D54CB"/>
    <w:rsid w:val="002D580A"/>
    <w:rsid w:val="002D5B2D"/>
    <w:rsid w:val="002D5CF9"/>
    <w:rsid w:val="002D5EE8"/>
    <w:rsid w:val="002D6A8E"/>
    <w:rsid w:val="002D72F7"/>
    <w:rsid w:val="002D78DC"/>
    <w:rsid w:val="002D7FDB"/>
    <w:rsid w:val="002D8366"/>
    <w:rsid w:val="002E0579"/>
    <w:rsid w:val="002E05C1"/>
    <w:rsid w:val="002E08AE"/>
    <w:rsid w:val="002E1084"/>
    <w:rsid w:val="002E11D0"/>
    <w:rsid w:val="002E1707"/>
    <w:rsid w:val="002E1763"/>
    <w:rsid w:val="002E2261"/>
    <w:rsid w:val="002E22CF"/>
    <w:rsid w:val="002E24CF"/>
    <w:rsid w:val="002E2798"/>
    <w:rsid w:val="002E27B4"/>
    <w:rsid w:val="002E2863"/>
    <w:rsid w:val="002E29A4"/>
    <w:rsid w:val="002E2F41"/>
    <w:rsid w:val="002E2FE3"/>
    <w:rsid w:val="002E38AD"/>
    <w:rsid w:val="002E3989"/>
    <w:rsid w:val="002E4072"/>
    <w:rsid w:val="002E43D9"/>
    <w:rsid w:val="002E45CC"/>
    <w:rsid w:val="002E45FA"/>
    <w:rsid w:val="002E46A6"/>
    <w:rsid w:val="002E49ED"/>
    <w:rsid w:val="002E4CB5"/>
    <w:rsid w:val="002E4F90"/>
    <w:rsid w:val="002E515D"/>
    <w:rsid w:val="002E598B"/>
    <w:rsid w:val="002E5B1A"/>
    <w:rsid w:val="002E5B8A"/>
    <w:rsid w:val="002E5BCB"/>
    <w:rsid w:val="002E60F6"/>
    <w:rsid w:val="002E64CF"/>
    <w:rsid w:val="002E6FCA"/>
    <w:rsid w:val="002E6FDB"/>
    <w:rsid w:val="002E72EF"/>
    <w:rsid w:val="002E72F2"/>
    <w:rsid w:val="002E754F"/>
    <w:rsid w:val="002E7677"/>
    <w:rsid w:val="002E76D5"/>
    <w:rsid w:val="002E7A2D"/>
    <w:rsid w:val="002E7C93"/>
    <w:rsid w:val="002F0837"/>
    <w:rsid w:val="002F0A9D"/>
    <w:rsid w:val="002F0FB0"/>
    <w:rsid w:val="002F1029"/>
    <w:rsid w:val="002F1055"/>
    <w:rsid w:val="002F138A"/>
    <w:rsid w:val="002F159C"/>
    <w:rsid w:val="002F1673"/>
    <w:rsid w:val="002F168F"/>
    <w:rsid w:val="002F1FE7"/>
    <w:rsid w:val="002F268F"/>
    <w:rsid w:val="002F279B"/>
    <w:rsid w:val="002F27D0"/>
    <w:rsid w:val="002F28F9"/>
    <w:rsid w:val="002F2BEF"/>
    <w:rsid w:val="002F2FB8"/>
    <w:rsid w:val="002F3162"/>
    <w:rsid w:val="002F40B9"/>
    <w:rsid w:val="002F4537"/>
    <w:rsid w:val="002F45C1"/>
    <w:rsid w:val="002F4B9C"/>
    <w:rsid w:val="002F4BFB"/>
    <w:rsid w:val="002F4EB4"/>
    <w:rsid w:val="002F4EBC"/>
    <w:rsid w:val="002F528D"/>
    <w:rsid w:val="002F53EF"/>
    <w:rsid w:val="002F55D1"/>
    <w:rsid w:val="002F563B"/>
    <w:rsid w:val="002F56C4"/>
    <w:rsid w:val="002F5C03"/>
    <w:rsid w:val="002F6B97"/>
    <w:rsid w:val="002F6C31"/>
    <w:rsid w:val="002F6E2A"/>
    <w:rsid w:val="002F71CB"/>
    <w:rsid w:val="002F7A30"/>
    <w:rsid w:val="002F7D11"/>
    <w:rsid w:val="0030062D"/>
    <w:rsid w:val="00300A3C"/>
    <w:rsid w:val="00300DFC"/>
    <w:rsid w:val="00301380"/>
    <w:rsid w:val="0030139F"/>
    <w:rsid w:val="00301850"/>
    <w:rsid w:val="003020A4"/>
    <w:rsid w:val="003020DA"/>
    <w:rsid w:val="003021B2"/>
    <w:rsid w:val="003021CC"/>
    <w:rsid w:val="00302990"/>
    <w:rsid w:val="00302E53"/>
    <w:rsid w:val="00302EB5"/>
    <w:rsid w:val="003031F7"/>
    <w:rsid w:val="00303954"/>
    <w:rsid w:val="003041C3"/>
    <w:rsid w:val="00304272"/>
    <w:rsid w:val="00304520"/>
    <w:rsid w:val="003045D6"/>
    <w:rsid w:val="00304643"/>
    <w:rsid w:val="003048F9"/>
    <w:rsid w:val="00304986"/>
    <w:rsid w:val="00304B65"/>
    <w:rsid w:val="00304D11"/>
    <w:rsid w:val="00304E4F"/>
    <w:rsid w:val="00304F7B"/>
    <w:rsid w:val="00305148"/>
    <w:rsid w:val="003057A7"/>
    <w:rsid w:val="00306369"/>
    <w:rsid w:val="00306519"/>
    <w:rsid w:val="00306B4C"/>
    <w:rsid w:val="00306DB6"/>
    <w:rsid w:val="00306F76"/>
    <w:rsid w:val="003075AC"/>
    <w:rsid w:val="00307C13"/>
    <w:rsid w:val="0031027F"/>
    <w:rsid w:val="003104DB"/>
    <w:rsid w:val="00310591"/>
    <w:rsid w:val="00310630"/>
    <w:rsid w:val="0031100B"/>
    <w:rsid w:val="0031104D"/>
    <w:rsid w:val="003113CC"/>
    <w:rsid w:val="00311E7A"/>
    <w:rsid w:val="003122CB"/>
    <w:rsid w:val="003123D0"/>
    <w:rsid w:val="003124BD"/>
    <w:rsid w:val="003127E8"/>
    <w:rsid w:val="0031283B"/>
    <w:rsid w:val="003129B5"/>
    <w:rsid w:val="003129DA"/>
    <w:rsid w:val="00312DE1"/>
    <w:rsid w:val="0031300E"/>
    <w:rsid w:val="00313767"/>
    <w:rsid w:val="00313B28"/>
    <w:rsid w:val="00313B3A"/>
    <w:rsid w:val="00313BE8"/>
    <w:rsid w:val="00313CA9"/>
    <w:rsid w:val="00313EAF"/>
    <w:rsid w:val="00313FAD"/>
    <w:rsid w:val="00314350"/>
    <w:rsid w:val="00314DB2"/>
    <w:rsid w:val="00315120"/>
    <w:rsid w:val="00315131"/>
    <w:rsid w:val="003154FE"/>
    <w:rsid w:val="003155EE"/>
    <w:rsid w:val="00315D32"/>
    <w:rsid w:val="00315F4A"/>
    <w:rsid w:val="0031618B"/>
    <w:rsid w:val="00316434"/>
    <w:rsid w:val="00316F7C"/>
    <w:rsid w:val="00316FAF"/>
    <w:rsid w:val="00317030"/>
    <w:rsid w:val="00317551"/>
    <w:rsid w:val="00317CFB"/>
    <w:rsid w:val="00317DFE"/>
    <w:rsid w:val="00320043"/>
    <w:rsid w:val="003203B3"/>
    <w:rsid w:val="00321121"/>
    <w:rsid w:val="00321266"/>
    <w:rsid w:val="00321333"/>
    <w:rsid w:val="00321E19"/>
    <w:rsid w:val="00321F1D"/>
    <w:rsid w:val="00321FB7"/>
    <w:rsid w:val="00322958"/>
    <w:rsid w:val="00323082"/>
    <w:rsid w:val="00323445"/>
    <w:rsid w:val="00323A32"/>
    <w:rsid w:val="00323A36"/>
    <w:rsid w:val="00323C5D"/>
    <w:rsid w:val="00323EC0"/>
    <w:rsid w:val="00323FC6"/>
    <w:rsid w:val="003240E2"/>
    <w:rsid w:val="003242B7"/>
    <w:rsid w:val="00324525"/>
    <w:rsid w:val="00324E54"/>
    <w:rsid w:val="003250DD"/>
    <w:rsid w:val="0032512E"/>
    <w:rsid w:val="0032549E"/>
    <w:rsid w:val="003256BF"/>
    <w:rsid w:val="003256FB"/>
    <w:rsid w:val="00325851"/>
    <w:rsid w:val="00325ABD"/>
    <w:rsid w:val="00325B30"/>
    <w:rsid w:val="00325B82"/>
    <w:rsid w:val="00325FDD"/>
    <w:rsid w:val="00326136"/>
    <w:rsid w:val="003264B6"/>
    <w:rsid w:val="00326A6D"/>
    <w:rsid w:val="00326E1F"/>
    <w:rsid w:val="00326F47"/>
    <w:rsid w:val="00327C9F"/>
    <w:rsid w:val="00327D20"/>
    <w:rsid w:val="003301DB"/>
    <w:rsid w:val="0033058B"/>
    <w:rsid w:val="00330B9D"/>
    <w:rsid w:val="00330E1A"/>
    <w:rsid w:val="00330F9D"/>
    <w:rsid w:val="00331ACD"/>
    <w:rsid w:val="00331CC2"/>
    <w:rsid w:val="00331DE0"/>
    <w:rsid w:val="00331E59"/>
    <w:rsid w:val="00332112"/>
    <w:rsid w:val="003326CB"/>
    <w:rsid w:val="003329A8"/>
    <w:rsid w:val="00332BAF"/>
    <w:rsid w:val="00332CE8"/>
    <w:rsid w:val="00332FE1"/>
    <w:rsid w:val="003331C2"/>
    <w:rsid w:val="003331D3"/>
    <w:rsid w:val="0033335E"/>
    <w:rsid w:val="003333A9"/>
    <w:rsid w:val="003335D8"/>
    <w:rsid w:val="003339C2"/>
    <w:rsid w:val="0033407F"/>
    <w:rsid w:val="003343F4"/>
    <w:rsid w:val="00334A8A"/>
    <w:rsid w:val="00334F1E"/>
    <w:rsid w:val="00334F5C"/>
    <w:rsid w:val="003357D5"/>
    <w:rsid w:val="00335A09"/>
    <w:rsid w:val="003360A4"/>
    <w:rsid w:val="0033691C"/>
    <w:rsid w:val="00337C40"/>
    <w:rsid w:val="003400CB"/>
    <w:rsid w:val="003401DC"/>
    <w:rsid w:val="00340546"/>
    <w:rsid w:val="00340B91"/>
    <w:rsid w:val="003416B3"/>
    <w:rsid w:val="00341706"/>
    <w:rsid w:val="003417B0"/>
    <w:rsid w:val="003418C9"/>
    <w:rsid w:val="0034204C"/>
    <w:rsid w:val="003421AD"/>
    <w:rsid w:val="00342455"/>
    <w:rsid w:val="00342774"/>
    <w:rsid w:val="00342D71"/>
    <w:rsid w:val="003438E2"/>
    <w:rsid w:val="00343C67"/>
    <w:rsid w:val="00343C8D"/>
    <w:rsid w:val="00344033"/>
    <w:rsid w:val="003442CD"/>
    <w:rsid w:val="003457D3"/>
    <w:rsid w:val="00346A08"/>
    <w:rsid w:val="0034744D"/>
    <w:rsid w:val="00347AA9"/>
    <w:rsid w:val="00350184"/>
    <w:rsid w:val="00350189"/>
    <w:rsid w:val="003504D5"/>
    <w:rsid w:val="003505C6"/>
    <w:rsid w:val="00350A2D"/>
    <w:rsid w:val="00350BF3"/>
    <w:rsid w:val="00350FC2"/>
    <w:rsid w:val="003512BE"/>
    <w:rsid w:val="00351507"/>
    <w:rsid w:val="003516E9"/>
    <w:rsid w:val="00351C00"/>
    <w:rsid w:val="00351F3D"/>
    <w:rsid w:val="00351FC8"/>
    <w:rsid w:val="00352482"/>
    <w:rsid w:val="003524CA"/>
    <w:rsid w:val="003526A1"/>
    <w:rsid w:val="003526B4"/>
    <w:rsid w:val="003526F5"/>
    <w:rsid w:val="00352883"/>
    <w:rsid w:val="00352FC7"/>
    <w:rsid w:val="0035323C"/>
    <w:rsid w:val="003532A0"/>
    <w:rsid w:val="00353378"/>
    <w:rsid w:val="0035343B"/>
    <w:rsid w:val="003534E4"/>
    <w:rsid w:val="00354A9A"/>
    <w:rsid w:val="00354B97"/>
    <w:rsid w:val="003552F9"/>
    <w:rsid w:val="00355908"/>
    <w:rsid w:val="00355A8F"/>
    <w:rsid w:val="00355E49"/>
    <w:rsid w:val="00356166"/>
    <w:rsid w:val="0035627B"/>
    <w:rsid w:val="00356BC2"/>
    <w:rsid w:val="00356EA6"/>
    <w:rsid w:val="00356EC5"/>
    <w:rsid w:val="00357009"/>
    <w:rsid w:val="003572C9"/>
    <w:rsid w:val="00357D50"/>
    <w:rsid w:val="00360498"/>
    <w:rsid w:val="0036062D"/>
    <w:rsid w:val="00360A35"/>
    <w:rsid w:val="00360B98"/>
    <w:rsid w:val="00360EFB"/>
    <w:rsid w:val="0036107A"/>
    <w:rsid w:val="003614FE"/>
    <w:rsid w:val="00361D1B"/>
    <w:rsid w:val="00361F9A"/>
    <w:rsid w:val="00362494"/>
    <w:rsid w:val="00362A3D"/>
    <w:rsid w:val="00362D98"/>
    <w:rsid w:val="00362E68"/>
    <w:rsid w:val="00363520"/>
    <w:rsid w:val="003640EE"/>
    <w:rsid w:val="0036419E"/>
    <w:rsid w:val="003644BB"/>
    <w:rsid w:val="00364E9A"/>
    <w:rsid w:val="00364EAB"/>
    <w:rsid w:val="0036543C"/>
    <w:rsid w:val="003654DC"/>
    <w:rsid w:val="00365758"/>
    <w:rsid w:val="00365A01"/>
    <w:rsid w:val="00365FFE"/>
    <w:rsid w:val="0036610E"/>
    <w:rsid w:val="003664A6"/>
    <w:rsid w:val="003665DE"/>
    <w:rsid w:val="00366694"/>
    <w:rsid w:val="003673EB"/>
    <w:rsid w:val="00367737"/>
    <w:rsid w:val="00367D72"/>
    <w:rsid w:val="00367F47"/>
    <w:rsid w:val="00370113"/>
    <w:rsid w:val="003704BB"/>
    <w:rsid w:val="003705FC"/>
    <w:rsid w:val="0037087E"/>
    <w:rsid w:val="00370CA7"/>
    <w:rsid w:val="00370D14"/>
    <w:rsid w:val="00371218"/>
    <w:rsid w:val="00371563"/>
    <w:rsid w:val="00371618"/>
    <w:rsid w:val="00371A60"/>
    <w:rsid w:val="00371D37"/>
    <w:rsid w:val="0037246F"/>
    <w:rsid w:val="003726A4"/>
    <w:rsid w:val="0037271B"/>
    <w:rsid w:val="00372ACE"/>
    <w:rsid w:val="00372C42"/>
    <w:rsid w:val="00372C9E"/>
    <w:rsid w:val="00372CA4"/>
    <w:rsid w:val="0037314B"/>
    <w:rsid w:val="0037348A"/>
    <w:rsid w:val="003738AF"/>
    <w:rsid w:val="00374168"/>
    <w:rsid w:val="003743DE"/>
    <w:rsid w:val="00374B5B"/>
    <w:rsid w:val="00374C7B"/>
    <w:rsid w:val="00374E20"/>
    <w:rsid w:val="0037523E"/>
    <w:rsid w:val="00375E61"/>
    <w:rsid w:val="0037651C"/>
    <w:rsid w:val="003768DF"/>
    <w:rsid w:val="00376AC0"/>
    <w:rsid w:val="00377090"/>
    <w:rsid w:val="00377B55"/>
    <w:rsid w:val="003802A7"/>
    <w:rsid w:val="003803EB"/>
    <w:rsid w:val="003804EA"/>
    <w:rsid w:val="0038075C"/>
    <w:rsid w:val="00380B5D"/>
    <w:rsid w:val="00380C64"/>
    <w:rsid w:val="00380D2B"/>
    <w:rsid w:val="003816FE"/>
    <w:rsid w:val="003817E3"/>
    <w:rsid w:val="00382763"/>
    <w:rsid w:val="00383167"/>
    <w:rsid w:val="00383335"/>
    <w:rsid w:val="003837DF"/>
    <w:rsid w:val="003838E3"/>
    <w:rsid w:val="00383C28"/>
    <w:rsid w:val="003842AB"/>
    <w:rsid w:val="00384ACF"/>
    <w:rsid w:val="00384BEF"/>
    <w:rsid w:val="00384F38"/>
    <w:rsid w:val="00384F5E"/>
    <w:rsid w:val="00385402"/>
    <w:rsid w:val="0038598B"/>
    <w:rsid w:val="003865B9"/>
    <w:rsid w:val="0038661D"/>
    <w:rsid w:val="003871A8"/>
    <w:rsid w:val="00387E0F"/>
    <w:rsid w:val="003902A1"/>
    <w:rsid w:val="003905A7"/>
    <w:rsid w:val="0039097C"/>
    <w:rsid w:val="003911E7"/>
    <w:rsid w:val="00391965"/>
    <w:rsid w:val="003919F9"/>
    <w:rsid w:val="00391B03"/>
    <w:rsid w:val="0039235A"/>
    <w:rsid w:val="0039268F"/>
    <w:rsid w:val="003928EC"/>
    <w:rsid w:val="00392A2B"/>
    <w:rsid w:val="00392C68"/>
    <w:rsid w:val="00392F29"/>
    <w:rsid w:val="003936D2"/>
    <w:rsid w:val="0039370E"/>
    <w:rsid w:val="00393977"/>
    <w:rsid w:val="00393A6C"/>
    <w:rsid w:val="003942DB"/>
    <w:rsid w:val="00394326"/>
    <w:rsid w:val="00394422"/>
    <w:rsid w:val="0039457A"/>
    <w:rsid w:val="003950D7"/>
    <w:rsid w:val="00395B49"/>
    <w:rsid w:val="0039646D"/>
    <w:rsid w:val="003967BE"/>
    <w:rsid w:val="00396C4E"/>
    <w:rsid w:val="00396E7C"/>
    <w:rsid w:val="003970B1"/>
    <w:rsid w:val="00397116"/>
    <w:rsid w:val="003975C5"/>
    <w:rsid w:val="003A0119"/>
    <w:rsid w:val="003A016E"/>
    <w:rsid w:val="003A03B1"/>
    <w:rsid w:val="003A134E"/>
    <w:rsid w:val="003A1633"/>
    <w:rsid w:val="003A1644"/>
    <w:rsid w:val="003A16E8"/>
    <w:rsid w:val="003A1AF5"/>
    <w:rsid w:val="003A1F49"/>
    <w:rsid w:val="003A210A"/>
    <w:rsid w:val="003A28C1"/>
    <w:rsid w:val="003A30A4"/>
    <w:rsid w:val="003A32EB"/>
    <w:rsid w:val="003A36B7"/>
    <w:rsid w:val="003A3741"/>
    <w:rsid w:val="003A38D2"/>
    <w:rsid w:val="003A3D29"/>
    <w:rsid w:val="003A3D4A"/>
    <w:rsid w:val="003A3EB6"/>
    <w:rsid w:val="003A4B5E"/>
    <w:rsid w:val="003A4DE6"/>
    <w:rsid w:val="003A4EAD"/>
    <w:rsid w:val="003A4EAE"/>
    <w:rsid w:val="003A540D"/>
    <w:rsid w:val="003A57D2"/>
    <w:rsid w:val="003A594E"/>
    <w:rsid w:val="003A5A00"/>
    <w:rsid w:val="003A5B06"/>
    <w:rsid w:val="003A5E22"/>
    <w:rsid w:val="003A5FBF"/>
    <w:rsid w:val="003A64BC"/>
    <w:rsid w:val="003A6D13"/>
    <w:rsid w:val="003A7207"/>
    <w:rsid w:val="003A7240"/>
    <w:rsid w:val="003A7269"/>
    <w:rsid w:val="003A7338"/>
    <w:rsid w:val="003A76A3"/>
    <w:rsid w:val="003A77E7"/>
    <w:rsid w:val="003A7819"/>
    <w:rsid w:val="003B038B"/>
    <w:rsid w:val="003B0853"/>
    <w:rsid w:val="003B0A0B"/>
    <w:rsid w:val="003B0CD4"/>
    <w:rsid w:val="003B0DC1"/>
    <w:rsid w:val="003B0F15"/>
    <w:rsid w:val="003B10EF"/>
    <w:rsid w:val="003B1343"/>
    <w:rsid w:val="003B13C1"/>
    <w:rsid w:val="003B13F5"/>
    <w:rsid w:val="003B1747"/>
    <w:rsid w:val="003B193A"/>
    <w:rsid w:val="003B1F16"/>
    <w:rsid w:val="003B330D"/>
    <w:rsid w:val="003B3600"/>
    <w:rsid w:val="003B3669"/>
    <w:rsid w:val="003B3DE2"/>
    <w:rsid w:val="003B4338"/>
    <w:rsid w:val="003B45BA"/>
    <w:rsid w:val="003B4B1A"/>
    <w:rsid w:val="003B4EA2"/>
    <w:rsid w:val="003B592C"/>
    <w:rsid w:val="003B5DA1"/>
    <w:rsid w:val="003B5F02"/>
    <w:rsid w:val="003B6358"/>
    <w:rsid w:val="003B6734"/>
    <w:rsid w:val="003B6FFE"/>
    <w:rsid w:val="003B70D6"/>
    <w:rsid w:val="003B76BE"/>
    <w:rsid w:val="003B7BBC"/>
    <w:rsid w:val="003C0654"/>
    <w:rsid w:val="003C0AC7"/>
    <w:rsid w:val="003C0CFD"/>
    <w:rsid w:val="003C0E7A"/>
    <w:rsid w:val="003C0F00"/>
    <w:rsid w:val="003C0F78"/>
    <w:rsid w:val="003C0FA9"/>
    <w:rsid w:val="003C103B"/>
    <w:rsid w:val="003C10AC"/>
    <w:rsid w:val="003C1A89"/>
    <w:rsid w:val="003C1B1D"/>
    <w:rsid w:val="003C1C5E"/>
    <w:rsid w:val="003C1E0A"/>
    <w:rsid w:val="003C1FD9"/>
    <w:rsid w:val="003C22D6"/>
    <w:rsid w:val="003C2387"/>
    <w:rsid w:val="003C29C2"/>
    <w:rsid w:val="003C2BB8"/>
    <w:rsid w:val="003C2BC2"/>
    <w:rsid w:val="003C2FD9"/>
    <w:rsid w:val="003C3751"/>
    <w:rsid w:val="003C3CE1"/>
    <w:rsid w:val="003C3FC5"/>
    <w:rsid w:val="003C4397"/>
    <w:rsid w:val="003C4840"/>
    <w:rsid w:val="003C4896"/>
    <w:rsid w:val="003C48EB"/>
    <w:rsid w:val="003C4F5E"/>
    <w:rsid w:val="003C565F"/>
    <w:rsid w:val="003C56D5"/>
    <w:rsid w:val="003C56D7"/>
    <w:rsid w:val="003C658F"/>
    <w:rsid w:val="003C660A"/>
    <w:rsid w:val="003C67FC"/>
    <w:rsid w:val="003C6D0B"/>
    <w:rsid w:val="003C757A"/>
    <w:rsid w:val="003C7C4B"/>
    <w:rsid w:val="003C7EAA"/>
    <w:rsid w:val="003D02D1"/>
    <w:rsid w:val="003D0316"/>
    <w:rsid w:val="003D0975"/>
    <w:rsid w:val="003D0A53"/>
    <w:rsid w:val="003D12C4"/>
    <w:rsid w:val="003D1511"/>
    <w:rsid w:val="003D1A67"/>
    <w:rsid w:val="003D1C29"/>
    <w:rsid w:val="003D1ECD"/>
    <w:rsid w:val="003D1F0C"/>
    <w:rsid w:val="003D1F2F"/>
    <w:rsid w:val="003D2051"/>
    <w:rsid w:val="003D2302"/>
    <w:rsid w:val="003D2B9A"/>
    <w:rsid w:val="003D2E13"/>
    <w:rsid w:val="003D340D"/>
    <w:rsid w:val="003D3465"/>
    <w:rsid w:val="003D3514"/>
    <w:rsid w:val="003D37FD"/>
    <w:rsid w:val="003D3B80"/>
    <w:rsid w:val="003D3D99"/>
    <w:rsid w:val="003D437C"/>
    <w:rsid w:val="003D4BD5"/>
    <w:rsid w:val="003D4CD5"/>
    <w:rsid w:val="003D5659"/>
    <w:rsid w:val="003D59E2"/>
    <w:rsid w:val="003D5A1B"/>
    <w:rsid w:val="003D5C7D"/>
    <w:rsid w:val="003D6622"/>
    <w:rsid w:val="003D6A78"/>
    <w:rsid w:val="003D7249"/>
    <w:rsid w:val="003D7315"/>
    <w:rsid w:val="003D748A"/>
    <w:rsid w:val="003D7EF6"/>
    <w:rsid w:val="003D7F56"/>
    <w:rsid w:val="003E0129"/>
    <w:rsid w:val="003E0184"/>
    <w:rsid w:val="003E01BA"/>
    <w:rsid w:val="003E0ED9"/>
    <w:rsid w:val="003E114E"/>
    <w:rsid w:val="003E12F0"/>
    <w:rsid w:val="003E1612"/>
    <w:rsid w:val="003E166B"/>
    <w:rsid w:val="003E18F7"/>
    <w:rsid w:val="003E1AD0"/>
    <w:rsid w:val="003E1BE8"/>
    <w:rsid w:val="003E1E8D"/>
    <w:rsid w:val="003E212D"/>
    <w:rsid w:val="003E2136"/>
    <w:rsid w:val="003E23DE"/>
    <w:rsid w:val="003E26CE"/>
    <w:rsid w:val="003E27C0"/>
    <w:rsid w:val="003E2CDD"/>
    <w:rsid w:val="003E34E9"/>
    <w:rsid w:val="003E38EF"/>
    <w:rsid w:val="003E3A44"/>
    <w:rsid w:val="003E3AC7"/>
    <w:rsid w:val="003E43CD"/>
    <w:rsid w:val="003E450E"/>
    <w:rsid w:val="003E4C31"/>
    <w:rsid w:val="003E4D90"/>
    <w:rsid w:val="003E4DF7"/>
    <w:rsid w:val="003E4E27"/>
    <w:rsid w:val="003E4FDD"/>
    <w:rsid w:val="003E5026"/>
    <w:rsid w:val="003E5256"/>
    <w:rsid w:val="003E5BB2"/>
    <w:rsid w:val="003E5BDB"/>
    <w:rsid w:val="003E5C5A"/>
    <w:rsid w:val="003E5F01"/>
    <w:rsid w:val="003E61F3"/>
    <w:rsid w:val="003E6214"/>
    <w:rsid w:val="003E62AE"/>
    <w:rsid w:val="003E62F0"/>
    <w:rsid w:val="003E67C9"/>
    <w:rsid w:val="003E683F"/>
    <w:rsid w:val="003E68CD"/>
    <w:rsid w:val="003E68F8"/>
    <w:rsid w:val="003E6AA9"/>
    <w:rsid w:val="003E7AA5"/>
    <w:rsid w:val="003E7AED"/>
    <w:rsid w:val="003F0305"/>
    <w:rsid w:val="003F0371"/>
    <w:rsid w:val="003F0B1E"/>
    <w:rsid w:val="003F15BB"/>
    <w:rsid w:val="003F1832"/>
    <w:rsid w:val="003F2453"/>
    <w:rsid w:val="003F247F"/>
    <w:rsid w:val="003F2632"/>
    <w:rsid w:val="003F28AC"/>
    <w:rsid w:val="003F2AD7"/>
    <w:rsid w:val="003F2EA1"/>
    <w:rsid w:val="003F32F9"/>
    <w:rsid w:val="003F3582"/>
    <w:rsid w:val="003F36D5"/>
    <w:rsid w:val="003F395B"/>
    <w:rsid w:val="003F402A"/>
    <w:rsid w:val="003F4030"/>
    <w:rsid w:val="003F41A3"/>
    <w:rsid w:val="003F4859"/>
    <w:rsid w:val="003F493E"/>
    <w:rsid w:val="003F4DC0"/>
    <w:rsid w:val="003F514B"/>
    <w:rsid w:val="003F5CB5"/>
    <w:rsid w:val="003F6FFA"/>
    <w:rsid w:val="003F7D88"/>
    <w:rsid w:val="004002B5"/>
    <w:rsid w:val="00400D4D"/>
    <w:rsid w:val="00400E2A"/>
    <w:rsid w:val="00400E56"/>
    <w:rsid w:val="00400F3A"/>
    <w:rsid w:val="00401220"/>
    <w:rsid w:val="004013EF"/>
    <w:rsid w:val="0040155A"/>
    <w:rsid w:val="00401967"/>
    <w:rsid w:val="00402865"/>
    <w:rsid w:val="00402A7D"/>
    <w:rsid w:val="004036D4"/>
    <w:rsid w:val="004046E0"/>
    <w:rsid w:val="00404854"/>
    <w:rsid w:val="00404AD6"/>
    <w:rsid w:val="00405665"/>
    <w:rsid w:val="00405AC8"/>
    <w:rsid w:val="00406471"/>
    <w:rsid w:val="0040687E"/>
    <w:rsid w:val="004068C3"/>
    <w:rsid w:val="00406905"/>
    <w:rsid w:val="004069FE"/>
    <w:rsid w:val="00406CF8"/>
    <w:rsid w:val="00406F50"/>
    <w:rsid w:val="0040703E"/>
    <w:rsid w:val="004077E3"/>
    <w:rsid w:val="004078C0"/>
    <w:rsid w:val="00407A8E"/>
    <w:rsid w:val="00407CA1"/>
    <w:rsid w:val="00407E75"/>
    <w:rsid w:val="00407E9B"/>
    <w:rsid w:val="0041029A"/>
    <w:rsid w:val="004103EA"/>
    <w:rsid w:val="00410455"/>
    <w:rsid w:val="004108DA"/>
    <w:rsid w:val="00410AE8"/>
    <w:rsid w:val="00411157"/>
    <w:rsid w:val="00411635"/>
    <w:rsid w:val="00411A2E"/>
    <w:rsid w:val="00411BD2"/>
    <w:rsid w:val="004121E0"/>
    <w:rsid w:val="0041262C"/>
    <w:rsid w:val="004126C4"/>
    <w:rsid w:val="00412D59"/>
    <w:rsid w:val="004130A3"/>
    <w:rsid w:val="004135C6"/>
    <w:rsid w:val="004136FD"/>
    <w:rsid w:val="00413B48"/>
    <w:rsid w:val="00414863"/>
    <w:rsid w:val="004148EF"/>
    <w:rsid w:val="00414906"/>
    <w:rsid w:val="00414C9B"/>
    <w:rsid w:val="00414FB5"/>
    <w:rsid w:val="00415021"/>
    <w:rsid w:val="00415341"/>
    <w:rsid w:val="00415D19"/>
    <w:rsid w:val="004160C2"/>
    <w:rsid w:val="0041627D"/>
    <w:rsid w:val="004164A0"/>
    <w:rsid w:val="00416558"/>
    <w:rsid w:val="0041656A"/>
    <w:rsid w:val="0041664B"/>
    <w:rsid w:val="004168EB"/>
    <w:rsid w:val="00416981"/>
    <w:rsid w:val="0041728C"/>
    <w:rsid w:val="004178E2"/>
    <w:rsid w:val="00417D9D"/>
    <w:rsid w:val="004203BC"/>
    <w:rsid w:val="00420875"/>
    <w:rsid w:val="00420F2D"/>
    <w:rsid w:val="00421260"/>
    <w:rsid w:val="00421327"/>
    <w:rsid w:val="0042142F"/>
    <w:rsid w:val="00421878"/>
    <w:rsid w:val="00421DA5"/>
    <w:rsid w:val="00421E92"/>
    <w:rsid w:val="00421F67"/>
    <w:rsid w:val="00421FDB"/>
    <w:rsid w:val="00422420"/>
    <w:rsid w:val="00422AAF"/>
    <w:rsid w:val="00422B00"/>
    <w:rsid w:val="00422C20"/>
    <w:rsid w:val="00422D74"/>
    <w:rsid w:val="00423347"/>
    <w:rsid w:val="004237C4"/>
    <w:rsid w:val="00423800"/>
    <w:rsid w:val="00423DB9"/>
    <w:rsid w:val="00423EEF"/>
    <w:rsid w:val="00423F34"/>
    <w:rsid w:val="00424751"/>
    <w:rsid w:val="004248EA"/>
    <w:rsid w:val="00424AE0"/>
    <w:rsid w:val="00424B5B"/>
    <w:rsid w:val="004250A9"/>
    <w:rsid w:val="004251E9"/>
    <w:rsid w:val="00425379"/>
    <w:rsid w:val="0042553A"/>
    <w:rsid w:val="004257FD"/>
    <w:rsid w:val="004262ED"/>
    <w:rsid w:val="004263E6"/>
    <w:rsid w:val="004264C9"/>
    <w:rsid w:val="004267BA"/>
    <w:rsid w:val="00426E9E"/>
    <w:rsid w:val="0042744C"/>
    <w:rsid w:val="004276F6"/>
    <w:rsid w:val="004277B0"/>
    <w:rsid w:val="00427D21"/>
    <w:rsid w:val="00427FD2"/>
    <w:rsid w:val="004304C4"/>
    <w:rsid w:val="00430727"/>
    <w:rsid w:val="00430B1F"/>
    <w:rsid w:val="00430BF4"/>
    <w:rsid w:val="00431205"/>
    <w:rsid w:val="00431B8F"/>
    <w:rsid w:val="00431CFC"/>
    <w:rsid w:val="00431D79"/>
    <w:rsid w:val="00431F0E"/>
    <w:rsid w:val="0043202F"/>
    <w:rsid w:val="004325BF"/>
    <w:rsid w:val="00432E70"/>
    <w:rsid w:val="00432FED"/>
    <w:rsid w:val="0043310E"/>
    <w:rsid w:val="00433386"/>
    <w:rsid w:val="00433526"/>
    <w:rsid w:val="004338E2"/>
    <w:rsid w:val="00433A12"/>
    <w:rsid w:val="00434140"/>
    <w:rsid w:val="0043456A"/>
    <w:rsid w:val="00434F4A"/>
    <w:rsid w:val="0043557C"/>
    <w:rsid w:val="00435C27"/>
    <w:rsid w:val="004368AE"/>
    <w:rsid w:val="004368B0"/>
    <w:rsid w:val="00436B5A"/>
    <w:rsid w:val="00436BF0"/>
    <w:rsid w:val="00437481"/>
    <w:rsid w:val="00437B17"/>
    <w:rsid w:val="00437FBA"/>
    <w:rsid w:val="004406EB"/>
    <w:rsid w:val="0044099B"/>
    <w:rsid w:val="00440C5F"/>
    <w:rsid w:val="00440E35"/>
    <w:rsid w:val="0044190F"/>
    <w:rsid w:val="00441FBF"/>
    <w:rsid w:val="0044214F"/>
    <w:rsid w:val="004421DF"/>
    <w:rsid w:val="004423BB"/>
    <w:rsid w:val="004425E1"/>
    <w:rsid w:val="004426E0"/>
    <w:rsid w:val="00442A4A"/>
    <w:rsid w:val="00442B4E"/>
    <w:rsid w:val="00442EDC"/>
    <w:rsid w:val="00443223"/>
    <w:rsid w:val="00443317"/>
    <w:rsid w:val="00443359"/>
    <w:rsid w:val="004433F8"/>
    <w:rsid w:val="0044369B"/>
    <w:rsid w:val="00443838"/>
    <w:rsid w:val="00444929"/>
    <w:rsid w:val="00445067"/>
    <w:rsid w:val="0044517D"/>
    <w:rsid w:val="0044528F"/>
    <w:rsid w:val="004452A0"/>
    <w:rsid w:val="00445453"/>
    <w:rsid w:val="00445536"/>
    <w:rsid w:val="004457A4"/>
    <w:rsid w:val="00445BDF"/>
    <w:rsid w:val="00445D41"/>
    <w:rsid w:val="00445E9C"/>
    <w:rsid w:val="00446394"/>
    <w:rsid w:val="00446657"/>
    <w:rsid w:val="0044670C"/>
    <w:rsid w:val="00446753"/>
    <w:rsid w:val="00446B3B"/>
    <w:rsid w:val="00446DFF"/>
    <w:rsid w:val="00447338"/>
    <w:rsid w:val="004475F3"/>
    <w:rsid w:val="00447AF6"/>
    <w:rsid w:val="00447D34"/>
    <w:rsid w:val="004509BC"/>
    <w:rsid w:val="004511E6"/>
    <w:rsid w:val="0045153A"/>
    <w:rsid w:val="00451967"/>
    <w:rsid w:val="00451C3A"/>
    <w:rsid w:val="00451DAA"/>
    <w:rsid w:val="00451DF8"/>
    <w:rsid w:val="00451E6D"/>
    <w:rsid w:val="0045204F"/>
    <w:rsid w:val="0045214C"/>
    <w:rsid w:val="00452684"/>
    <w:rsid w:val="00452C36"/>
    <w:rsid w:val="00452D1D"/>
    <w:rsid w:val="00452DE6"/>
    <w:rsid w:val="0045315A"/>
    <w:rsid w:val="004532B0"/>
    <w:rsid w:val="0045355B"/>
    <w:rsid w:val="00453747"/>
    <w:rsid w:val="0045376D"/>
    <w:rsid w:val="004538AD"/>
    <w:rsid w:val="00453913"/>
    <w:rsid w:val="00453D99"/>
    <w:rsid w:val="004540B6"/>
    <w:rsid w:val="004540D8"/>
    <w:rsid w:val="0045440C"/>
    <w:rsid w:val="0045462B"/>
    <w:rsid w:val="00454734"/>
    <w:rsid w:val="004556D1"/>
    <w:rsid w:val="00455A78"/>
    <w:rsid w:val="00455E50"/>
    <w:rsid w:val="00455ED5"/>
    <w:rsid w:val="00456173"/>
    <w:rsid w:val="00457B6E"/>
    <w:rsid w:val="00457E68"/>
    <w:rsid w:val="00460040"/>
    <w:rsid w:val="00460120"/>
    <w:rsid w:val="00460517"/>
    <w:rsid w:val="00460629"/>
    <w:rsid w:val="004607A5"/>
    <w:rsid w:val="00460AEB"/>
    <w:rsid w:val="00460D49"/>
    <w:rsid w:val="004617F1"/>
    <w:rsid w:val="004618CA"/>
    <w:rsid w:val="00461B89"/>
    <w:rsid w:val="00462004"/>
    <w:rsid w:val="00462115"/>
    <w:rsid w:val="00462397"/>
    <w:rsid w:val="00462813"/>
    <w:rsid w:val="0046351D"/>
    <w:rsid w:val="00463743"/>
    <w:rsid w:val="00463925"/>
    <w:rsid w:val="00463F16"/>
    <w:rsid w:val="0046423E"/>
    <w:rsid w:val="004644B2"/>
    <w:rsid w:val="00464BF7"/>
    <w:rsid w:val="00465015"/>
    <w:rsid w:val="0046501B"/>
    <w:rsid w:val="00465040"/>
    <w:rsid w:val="004652C7"/>
    <w:rsid w:val="00465762"/>
    <w:rsid w:val="00465CC1"/>
    <w:rsid w:val="00465D73"/>
    <w:rsid w:val="00465E12"/>
    <w:rsid w:val="00466062"/>
    <w:rsid w:val="00466216"/>
    <w:rsid w:val="0046630A"/>
    <w:rsid w:val="00466793"/>
    <w:rsid w:val="00466A46"/>
    <w:rsid w:val="00466EA4"/>
    <w:rsid w:val="004677C8"/>
    <w:rsid w:val="00467A77"/>
    <w:rsid w:val="00467AC5"/>
    <w:rsid w:val="00467C74"/>
    <w:rsid w:val="00467DDC"/>
    <w:rsid w:val="00470524"/>
    <w:rsid w:val="004707B2"/>
    <w:rsid w:val="004708CD"/>
    <w:rsid w:val="00470DFC"/>
    <w:rsid w:val="004710CD"/>
    <w:rsid w:val="00471512"/>
    <w:rsid w:val="00471721"/>
    <w:rsid w:val="00471A1B"/>
    <w:rsid w:val="00471B8A"/>
    <w:rsid w:val="00472275"/>
    <w:rsid w:val="00472628"/>
    <w:rsid w:val="004729EB"/>
    <w:rsid w:val="00472CCB"/>
    <w:rsid w:val="004735B8"/>
    <w:rsid w:val="004739A4"/>
    <w:rsid w:val="00473BAA"/>
    <w:rsid w:val="00473EAC"/>
    <w:rsid w:val="00474315"/>
    <w:rsid w:val="004743A0"/>
    <w:rsid w:val="00474BDD"/>
    <w:rsid w:val="00474F66"/>
    <w:rsid w:val="0047534A"/>
    <w:rsid w:val="004756E4"/>
    <w:rsid w:val="00475B24"/>
    <w:rsid w:val="00475C27"/>
    <w:rsid w:val="00475C2E"/>
    <w:rsid w:val="004766BA"/>
    <w:rsid w:val="0047670A"/>
    <w:rsid w:val="004768E6"/>
    <w:rsid w:val="00476A02"/>
    <w:rsid w:val="00477357"/>
    <w:rsid w:val="0047738C"/>
    <w:rsid w:val="004776E5"/>
    <w:rsid w:val="004778C4"/>
    <w:rsid w:val="00477E7D"/>
    <w:rsid w:val="00477ECF"/>
    <w:rsid w:val="004801DD"/>
    <w:rsid w:val="00480272"/>
    <w:rsid w:val="00480B1A"/>
    <w:rsid w:val="004811AF"/>
    <w:rsid w:val="0048148B"/>
    <w:rsid w:val="00481730"/>
    <w:rsid w:val="0048193C"/>
    <w:rsid w:val="004823BD"/>
    <w:rsid w:val="0048316D"/>
    <w:rsid w:val="00483205"/>
    <w:rsid w:val="00483587"/>
    <w:rsid w:val="00483AAA"/>
    <w:rsid w:val="00483BB9"/>
    <w:rsid w:val="00483C10"/>
    <w:rsid w:val="00484200"/>
    <w:rsid w:val="004843AA"/>
    <w:rsid w:val="00484737"/>
    <w:rsid w:val="0048474B"/>
    <w:rsid w:val="004847A7"/>
    <w:rsid w:val="004847CE"/>
    <w:rsid w:val="00484B8E"/>
    <w:rsid w:val="00485262"/>
    <w:rsid w:val="00485501"/>
    <w:rsid w:val="0048577E"/>
    <w:rsid w:val="004859C4"/>
    <w:rsid w:val="00486194"/>
    <w:rsid w:val="0048688A"/>
    <w:rsid w:val="004869AC"/>
    <w:rsid w:val="004870C5"/>
    <w:rsid w:val="00487384"/>
    <w:rsid w:val="00487A15"/>
    <w:rsid w:val="00487E39"/>
    <w:rsid w:val="00487ECD"/>
    <w:rsid w:val="00487F1A"/>
    <w:rsid w:val="00487F1F"/>
    <w:rsid w:val="004903B6"/>
    <w:rsid w:val="004905E6"/>
    <w:rsid w:val="004907AF"/>
    <w:rsid w:val="004909FE"/>
    <w:rsid w:val="00491150"/>
    <w:rsid w:val="004912F2"/>
    <w:rsid w:val="00491837"/>
    <w:rsid w:val="00491C6D"/>
    <w:rsid w:val="00492693"/>
    <w:rsid w:val="00492E9C"/>
    <w:rsid w:val="00493D71"/>
    <w:rsid w:val="00493F59"/>
    <w:rsid w:val="0049472E"/>
    <w:rsid w:val="00494C02"/>
    <w:rsid w:val="00494EEF"/>
    <w:rsid w:val="0049528A"/>
    <w:rsid w:val="00495403"/>
    <w:rsid w:val="004954BC"/>
    <w:rsid w:val="00495891"/>
    <w:rsid w:val="00495A21"/>
    <w:rsid w:val="004960BD"/>
    <w:rsid w:val="004962A6"/>
    <w:rsid w:val="0049645F"/>
    <w:rsid w:val="00496662"/>
    <w:rsid w:val="00496D89"/>
    <w:rsid w:val="00496D94"/>
    <w:rsid w:val="00496E31"/>
    <w:rsid w:val="00496F34"/>
    <w:rsid w:val="004970D3"/>
    <w:rsid w:val="004972A7"/>
    <w:rsid w:val="00497805"/>
    <w:rsid w:val="0049799C"/>
    <w:rsid w:val="004A01C8"/>
    <w:rsid w:val="004A02BF"/>
    <w:rsid w:val="004A0358"/>
    <w:rsid w:val="004A04DA"/>
    <w:rsid w:val="004A0C49"/>
    <w:rsid w:val="004A0CE8"/>
    <w:rsid w:val="004A0ECC"/>
    <w:rsid w:val="004A0F53"/>
    <w:rsid w:val="004A14F3"/>
    <w:rsid w:val="004A1CE5"/>
    <w:rsid w:val="004A29DF"/>
    <w:rsid w:val="004A3058"/>
    <w:rsid w:val="004A30D6"/>
    <w:rsid w:val="004A3140"/>
    <w:rsid w:val="004A3215"/>
    <w:rsid w:val="004A3234"/>
    <w:rsid w:val="004A32D3"/>
    <w:rsid w:val="004A34CC"/>
    <w:rsid w:val="004A36B2"/>
    <w:rsid w:val="004A3B31"/>
    <w:rsid w:val="004A3C24"/>
    <w:rsid w:val="004A40CF"/>
    <w:rsid w:val="004A4219"/>
    <w:rsid w:val="004A43AE"/>
    <w:rsid w:val="004A43B7"/>
    <w:rsid w:val="004A44C2"/>
    <w:rsid w:val="004A45C9"/>
    <w:rsid w:val="004A4A84"/>
    <w:rsid w:val="004A503B"/>
    <w:rsid w:val="004A542D"/>
    <w:rsid w:val="004A5B1D"/>
    <w:rsid w:val="004A5CA9"/>
    <w:rsid w:val="004A5CE5"/>
    <w:rsid w:val="004A5F74"/>
    <w:rsid w:val="004A6524"/>
    <w:rsid w:val="004A67A6"/>
    <w:rsid w:val="004A68BF"/>
    <w:rsid w:val="004A703B"/>
    <w:rsid w:val="004A70BE"/>
    <w:rsid w:val="004A723E"/>
    <w:rsid w:val="004A7A4A"/>
    <w:rsid w:val="004A7FA0"/>
    <w:rsid w:val="004B039C"/>
    <w:rsid w:val="004B08AA"/>
    <w:rsid w:val="004B0AAC"/>
    <w:rsid w:val="004B0AF9"/>
    <w:rsid w:val="004B11B8"/>
    <w:rsid w:val="004B14DB"/>
    <w:rsid w:val="004B179C"/>
    <w:rsid w:val="004B1C8D"/>
    <w:rsid w:val="004B1E50"/>
    <w:rsid w:val="004B2116"/>
    <w:rsid w:val="004B2122"/>
    <w:rsid w:val="004B2377"/>
    <w:rsid w:val="004B2A74"/>
    <w:rsid w:val="004B2C6F"/>
    <w:rsid w:val="004B2D6A"/>
    <w:rsid w:val="004B30B5"/>
    <w:rsid w:val="004B34EF"/>
    <w:rsid w:val="004B376A"/>
    <w:rsid w:val="004B3D0C"/>
    <w:rsid w:val="004B3DC2"/>
    <w:rsid w:val="004B43AA"/>
    <w:rsid w:val="004B43F7"/>
    <w:rsid w:val="004B44D9"/>
    <w:rsid w:val="004B48D6"/>
    <w:rsid w:val="004B49E6"/>
    <w:rsid w:val="004B4A7C"/>
    <w:rsid w:val="004B4EE1"/>
    <w:rsid w:val="004B51E7"/>
    <w:rsid w:val="004B52AF"/>
    <w:rsid w:val="004B5396"/>
    <w:rsid w:val="004B5448"/>
    <w:rsid w:val="004B5727"/>
    <w:rsid w:val="004B5D4F"/>
    <w:rsid w:val="004B61D1"/>
    <w:rsid w:val="004B62ED"/>
    <w:rsid w:val="004B6A1C"/>
    <w:rsid w:val="004B6E5A"/>
    <w:rsid w:val="004B7057"/>
    <w:rsid w:val="004B705D"/>
    <w:rsid w:val="004B7723"/>
    <w:rsid w:val="004B7D3E"/>
    <w:rsid w:val="004B7F18"/>
    <w:rsid w:val="004C0696"/>
    <w:rsid w:val="004C11A0"/>
    <w:rsid w:val="004C1334"/>
    <w:rsid w:val="004C14AF"/>
    <w:rsid w:val="004C153D"/>
    <w:rsid w:val="004C158C"/>
    <w:rsid w:val="004C1E1A"/>
    <w:rsid w:val="004C2257"/>
    <w:rsid w:val="004C23F3"/>
    <w:rsid w:val="004C279D"/>
    <w:rsid w:val="004C29B8"/>
    <w:rsid w:val="004C3034"/>
    <w:rsid w:val="004C307D"/>
    <w:rsid w:val="004C3515"/>
    <w:rsid w:val="004C352E"/>
    <w:rsid w:val="004C3851"/>
    <w:rsid w:val="004C3A22"/>
    <w:rsid w:val="004C3BF5"/>
    <w:rsid w:val="004C3F1E"/>
    <w:rsid w:val="004C410B"/>
    <w:rsid w:val="004C4559"/>
    <w:rsid w:val="004C4D13"/>
    <w:rsid w:val="004C4DFF"/>
    <w:rsid w:val="004C5700"/>
    <w:rsid w:val="004C5AC9"/>
    <w:rsid w:val="004C5DD4"/>
    <w:rsid w:val="004C64A6"/>
    <w:rsid w:val="004C657E"/>
    <w:rsid w:val="004C6CE3"/>
    <w:rsid w:val="004C711D"/>
    <w:rsid w:val="004C75BB"/>
    <w:rsid w:val="004C7BDC"/>
    <w:rsid w:val="004D018A"/>
    <w:rsid w:val="004D052D"/>
    <w:rsid w:val="004D0A2C"/>
    <w:rsid w:val="004D1775"/>
    <w:rsid w:val="004D1F00"/>
    <w:rsid w:val="004D213A"/>
    <w:rsid w:val="004D2399"/>
    <w:rsid w:val="004D2442"/>
    <w:rsid w:val="004D2471"/>
    <w:rsid w:val="004D2484"/>
    <w:rsid w:val="004D2A38"/>
    <w:rsid w:val="004D2C08"/>
    <w:rsid w:val="004D33C3"/>
    <w:rsid w:val="004D33F8"/>
    <w:rsid w:val="004D341E"/>
    <w:rsid w:val="004D36E4"/>
    <w:rsid w:val="004D3A87"/>
    <w:rsid w:val="004D3AAA"/>
    <w:rsid w:val="004D413C"/>
    <w:rsid w:val="004D445C"/>
    <w:rsid w:val="004D455F"/>
    <w:rsid w:val="004D49B2"/>
    <w:rsid w:val="004D4BDF"/>
    <w:rsid w:val="004D51C9"/>
    <w:rsid w:val="004D525A"/>
    <w:rsid w:val="004D5822"/>
    <w:rsid w:val="004D5AE8"/>
    <w:rsid w:val="004D5B10"/>
    <w:rsid w:val="004D61D0"/>
    <w:rsid w:val="004D6310"/>
    <w:rsid w:val="004D6316"/>
    <w:rsid w:val="004D6653"/>
    <w:rsid w:val="004D6D5B"/>
    <w:rsid w:val="004D6DB1"/>
    <w:rsid w:val="004D72BE"/>
    <w:rsid w:val="004D76D6"/>
    <w:rsid w:val="004D7E17"/>
    <w:rsid w:val="004E0065"/>
    <w:rsid w:val="004E029B"/>
    <w:rsid w:val="004E041B"/>
    <w:rsid w:val="004E04D0"/>
    <w:rsid w:val="004E08AF"/>
    <w:rsid w:val="004E08D6"/>
    <w:rsid w:val="004E095D"/>
    <w:rsid w:val="004E0E14"/>
    <w:rsid w:val="004E17F5"/>
    <w:rsid w:val="004E196A"/>
    <w:rsid w:val="004E2382"/>
    <w:rsid w:val="004E2766"/>
    <w:rsid w:val="004E2BC3"/>
    <w:rsid w:val="004E2E23"/>
    <w:rsid w:val="004E33E0"/>
    <w:rsid w:val="004E39A4"/>
    <w:rsid w:val="004E3CBD"/>
    <w:rsid w:val="004E4020"/>
    <w:rsid w:val="004E41D3"/>
    <w:rsid w:val="004E452C"/>
    <w:rsid w:val="004E4E64"/>
    <w:rsid w:val="004E4FDF"/>
    <w:rsid w:val="004E52AB"/>
    <w:rsid w:val="004E5698"/>
    <w:rsid w:val="004E649C"/>
    <w:rsid w:val="004E653D"/>
    <w:rsid w:val="004E6B05"/>
    <w:rsid w:val="004E7352"/>
    <w:rsid w:val="004E79CA"/>
    <w:rsid w:val="004E7AFE"/>
    <w:rsid w:val="004E7DE2"/>
    <w:rsid w:val="004F0126"/>
    <w:rsid w:val="004F03E9"/>
    <w:rsid w:val="004F09A1"/>
    <w:rsid w:val="004F119C"/>
    <w:rsid w:val="004F172C"/>
    <w:rsid w:val="004F1B43"/>
    <w:rsid w:val="004F1BEB"/>
    <w:rsid w:val="004F1E07"/>
    <w:rsid w:val="004F1E63"/>
    <w:rsid w:val="004F1F6C"/>
    <w:rsid w:val="004F1FFE"/>
    <w:rsid w:val="004F2C34"/>
    <w:rsid w:val="004F2EA6"/>
    <w:rsid w:val="004F2EEB"/>
    <w:rsid w:val="004F330E"/>
    <w:rsid w:val="004F34AB"/>
    <w:rsid w:val="004F37D8"/>
    <w:rsid w:val="004F3E09"/>
    <w:rsid w:val="004F3ED7"/>
    <w:rsid w:val="004F49C5"/>
    <w:rsid w:val="004F4B06"/>
    <w:rsid w:val="004F4DBC"/>
    <w:rsid w:val="004F4F97"/>
    <w:rsid w:val="004F58B9"/>
    <w:rsid w:val="004F5DE7"/>
    <w:rsid w:val="004F602D"/>
    <w:rsid w:val="004F6030"/>
    <w:rsid w:val="004F6C57"/>
    <w:rsid w:val="004F6DB9"/>
    <w:rsid w:val="004F7207"/>
    <w:rsid w:val="004F76AA"/>
    <w:rsid w:val="004F7E62"/>
    <w:rsid w:val="004F7FFE"/>
    <w:rsid w:val="005001EA"/>
    <w:rsid w:val="0050080F"/>
    <w:rsid w:val="00500C90"/>
    <w:rsid w:val="00500CC7"/>
    <w:rsid w:val="0050100A"/>
    <w:rsid w:val="0050105A"/>
    <w:rsid w:val="00501281"/>
    <w:rsid w:val="00501393"/>
    <w:rsid w:val="0050176A"/>
    <w:rsid w:val="00501D5B"/>
    <w:rsid w:val="00502381"/>
    <w:rsid w:val="005023A4"/>
    <w:rsid w:val="00502665"/>
    <w:rsid w:val="005035BB"/>
    <w:rsid w:val="0050370E"/>
    <w:rsid w:val="00503AA5"/>
    <w:rsid w:val="00503E42"/>
    <w:rsid w:val="00503F36"/>
    <w:rsid w:val="005048C8"/>
    <w:rsid w:val="00504BAA"/>
    <w:rsid w:val="00505346"/>
    <w:rsid w:val="005054F2"/>
    <w:rsid w:val="0050554C"/>
    <w:rsid w:val="00505A12"/>
    <w:rsid w:val="00505A61"/>
    <w:rsid w:val="00505FDF"/>
    <w:rsid w:val="005064B0"/>
    <w:rsid w:val="0050664A"/>
    <w:rsid w:val="005067AC"/>
    <w:rsid w:val="005068F4"/>
    <w:rsid w:val="00506B29"/>
    <w:rsid w:val="00506DDE"/>
    <w:rsid w:val="00507132"/>
    <w:rsid w:val="00507582"/>
    <w:rsid w:val="0050773E"/>
    <w:rsid w:val="00507CCC"/>
    <w:rsid w:val="00507E5A"/>
    <w:rsid w:val="0051028D"/>
    <w:rsid w:val="005102B9"/>
    <w:rsid w:val="00510796"/>
    <w:rsid w:val="00510D33"/>
    <w:rsid w:val="005110C9"/>
    <w:rsid w:val="0051124C"/>
    <w:rsid w:val="00511312"/>
    <w:rsid w:val="00511993"/>
    <w:rsid w:val="00511A54"/>
    <w:rsid w:val="005125A6"/>
    <w:rsid w:val="0051273E"/>
    <w:rsid w:val="00513878"/>
    <w:rsid w:val="00513DD7"/>
    <w:rsid w:val="00514583"/>
    <w:rsid w:val="00514BDB"/>
    <w:rsid w:val="00514E61"/>
    <w:rsid w:val="00515323"/>
    <w:rsid w:val="00515430"/>
    <w:rsid w:val="00515806"/>
    <w:rsid w:val="005158EB"/>
    <w:rsid w:val="0051625E"/>
    <w:rsid w:val="00516E9E"/>
    <w:rsid w:val="00517276"/>
    <w:rsid w:val="00517595"/>
    <w:rsid w:val="005175C3"/>
    <w:rsid w:val="0051770C"/>
    <w:rsid w:val="0051781E"/>
    <w:rsid w:val="00517C00"/>
    <w:rsid w:val="00517D22"/>
    <w:rsid w:val="0052011E"/>
    <w:rsid w:val="00520504"/>
    <w:rsid w:val="005205D4"/>
    <w:rsid w:val="005207C0"/>
    <w:rsid w:val="005208C6"/>
    <w:rsid w:val="00520DF4"/>
    <w:rsid w:val="00520E0E"/>
    <w:rsid w:val="00521380"/>
    <w:rsid w:val="0052169B"/>
    <w:rsid w:val="005217FA"/>
    <w:rsid w:val="0052191E"/>
    <w:rsid w:val="0052198C"/>
    <w:rsid w:val="00521A12"/>
    <w:rsid w:val="00523823"/>
    <w:rsid w:val="00523B4D"/>
    <w:rsid w:val="00523D2B"/>
    <w:rsid w:val="005240A9"/>
    <w:rsid w:val="005246E0"/>
    <w:rsid w:val="00524A13"/>
    <w:rsid w:val="00524C22"/>
    <w:rsid w:val="00524DC5"/>
    <w:rsid w:val="00524E14"/>
    <w:rsid w:val="00525162"/>
    <w:rsid w:val="00525254"/>
    <w:rsid w:val="005252C6"/>
    <w:rsid w:val="0052563E"/>
    <w:rsid w:val="005258FD"/>
    <w:rsid w:val="00525F5E"/>
    <w:rsid w:val="00526855"/>
    <w:rsid w:val="00526B5C"/>
    <w:rsid w:val="00526CCE"/>
    <w:rsid w:val="00526DBA"/>
    <w:rsid w:val="00527193"/>
    <w:rsid w:val="005274C4"/>
    <w:rsid w:val="00527B0E"/>
    <w:rsid w:val="00527DF4"/>
    <w:rsid w:val="00530243"/>
    <w:rsid w:val="00530453"/>
    <w:rsid w:val="00530B32"/>
    <w:rsid w:val="00530B79"/>
    <w:rsid w:val="00531034"/>
    <w:rsid w:val="005319C8"/>
    <w:rsid w:val="00531AC5"/>
    <w:rsid w:val="00531F56"/>
    <w:rsid w:val="00532100"/>
    <w:rsid w:val="0053230C"/>
    <w:rsid w:val="00532561"/>
    <w:rsid w:val="00532E97"/>
    <w:rsid w:val="005331F7"/>
    <w:rsid w:val="0053347D"/>
    <w:rsid w:val="00533850"/>
    <w:rsid w:val="00533CEB"/>
    <w:rsid w:val="0053409D"/>
    <w:rsid w:val="005342F4"/>
    <w:rsid w:val="005348D5"/>
    <w:rsid w:val="00534AA4"/>
    <w:rsid w:val="00534BE8"/>
    <w:rsid w:val="00534C47"/>
    <w:rsid w:val="00534EDA"/>
    <w:rsid w:val="00535C96"/>
    <w:rsid w:val="00536165"/>
    <w:rsid w:val="0053684A"/>
    <w:rsid w:val="00536B8B"/>
    <w:rsid w:val="00536BE8"/>
    <w:rsid w:val="00537678"/>
    <w:rsid w:val="0053775E"/>
    <w:rsid w:val="00537954"/>
    <w:rsid w:val="00537FD0"/>
    <w:rsid w:val="005407F9"/>
    <w:rsid w:val="00540B48"/>
    <w:rsid w:val="0054168B"/>
    <w:rsid w:val="005417DA"/>
    <w:rsid w:val="00541851"/>
    <w:rsid w:val="00541B4C"/>
    <w:rsid w:val="00541C82"/>
    <w:rsid w:val="00541F65"/>
    <w:rsid w:val="005425E8"/>
    <w:rsid w:val="005426AF"/>
    <w:rsid w:val="00542841"/>
    <w:rsid w:val="00542938"/>
    <w:rsid w:val="00542979"/>
    <w:rsid w:val="00542CE3"/>
    <w:rsid w:val="0054378C"/>
    <w:rsid w:val="00543A32"/>
    <w:rsid w:val="00543ADA"/>
    <w:rsid w:val="005455DA"/>
    <w:rsid w:val="005455E0"/>
    <w:rsid w:val="005458D5"/>
    <w:rsid w:val="00545B78"/>
    <w:rsid w:val="00545E4B"/>
    <w:rsid w:val="005460B3"/>
    <w:rsid w:val="00546231"/>
    <w:rsid w:val="00546383"/>
    <w:rsid w:val="0054644D"/>
    <w:rsid w:val="0054655E"/>
    <w:rsid w:val="005469FE"/>
    <w:rsid w:val="00546F3F"/>
    <w:rsid w:val="00547B53"/>
    <w:rsid w:val="00550749"/>
    <w:rsid w:val="00550923"/>
    <w:rsid w:val="00550FC7"/>
    <w:rsid w:val="0055103D"/>
    <w:rsid w:val="0055129E"/>
    <w:rsid w:val="00551687"/>
    <w:rsid w:val="00551DBB"/>
    <w:rsid w:val="00551ED9"/>
    <w:rsid w:val="00552355"/>
    <w:rsid w:val="0055281F"/>
    <w:rsid w:val="00552EFA"/>
    <w:rsid w:val="005533AD"/>
    <w:rsid w:val="00553528"/>
    <w:rsid w:val="0055359C"/>
    <w:rsid w:val="00554049"/>
    <w:rsid w:val="00554B22"/>
    <w:rsid w:val="00554FB3"/>
    <w:rsid w:val="0055508A"/>
    <w:rsid w:val="005553CF"/>
    <w:rsid w:val="00555DE3"/>
    <w:rsid w:val="00555E0A"/>
    <w:rsid w:val="005561DB"/>
    <w:rsid w:val="00556289"/>
    <w:rsid w:val="00556745"/>
    <w:rsid w:val="005569FF"/>
    <w:rsid w:val="00556A13"/>
    <w:rsid w:val="00556C6F"/>
    <w:rsid w:val="00556D7F"/>
    <w:rsid w:val="00556D85"/>
    <w:rsid w:val="00557584"/>
    <w:rsid w:val="00557D6C"/>
    <w:rsid w:val="00557DBF"/>
    <w:rsid w:val="00560558"/>
    <w:rsid w:val="005609B4"/>
    <w:rsid w:val="00560C2E"/>
    <w:rsid w:val="00560E0F"/>
    <w:rsid w:val="00560FEB"/>
    <w:rsid w:val="005614AB"/>
    <w:rsid w:val="00561EB7"/>
    <w:rsid w:val="005625FD"/>
    <w:rsid w:val="00562676"/>
    <w:rsid w:val="00562AB4"/>
    <w:rsid w:val="00562AE7"/>
    <w:rsid w:val="005632AE"/>
    <w:rsid w:val="00563401"/>
    <w:rsid w:val="00563647"/>
    <w:rsid w:val="005636DE"/>
    <w:rsid w:val="0056395D"/>
    <w:rsid w:val="005640B6"/>
    <w:rsid w:val="005643A4"/>
    <w:rsid w:val="00565450"/>
    <w:rsid w:val="00565A48"/>
    <w:rsid w:val="00565A8E"/>
    <w:rsid w:val="00566BD3"/>
    <w:rsid w:val="00566CE6"/>
    <w:rsid w:val="00566F81"/>
    <w:rsid w:val="00567D61"/>
    <w:rsid w:val="00567DDA"/>
    <w:rsid w:val="00570526"/>
    <w:rsid w:val="00570747"/>
    <w:rsid w:val="00571AB8"/>
    <w:rsid w:val="00571C31"/>
    <w:rsid w:val="00571E4B"/>
    <w:rsid w:val="00571F6A"/>
    <w:rsid w:val="005723D3"/>
    <w:rsid w:val="0057279C"/>
    <w:rsid w:val="00572A1D"/>
    <w:rsid w:val="00572B65"/>
    <w:rsid w:val="0057305B"/>
    <w:rsid w:val="005732B6"/>
    <w:rsid w:val="0057370C"/>
    <w:rsid w:val="00573A4F"/>
    <w:rsid w:val="00573D0C"/>
    <w:rsid w:val="00573E80"/>
    <w:rsid w:val="00573F01"/>
    <w:rsid w:val="00574483"/>
    <w:rsid w:val="005747F7"/>
    <w:rsid w:val="00574815"/>
    <w:rsid w:val="00574B8E"/>
    <w:rsid w:val="00574CE0"/>
    <w:rsid w:val="0057503B"/>
    <w:rsid w:val="00575172"/>
    <w:rsid w:val="005759B2"/>
    <w:rsid w:val="00575B4F"/>
    <w:rsid w:val="00575EAA"/>
    <w:rsid w:val="00576476"/>
    <w:rsid w:val="0057647D"/>
    <w:rsid w:val="00576D84"/>
    <w:rsid w:val="00577572"/>
    <w:rsid w:val="00577E5D"/>
    <w:rsid w:val="00577ECF"/>
    <w:rsid w:val="00577EDC"/>
    <w:rsid w:val="00580054"/>
    <w:rsid w:val="005800B4"/>
    <w:rsid w:val="00580476"/>
    <w:rsid w:val="005806AB"/>
    <w:rsid w:val="00580720"/>
    <w:rsid w:val="00580A27"/>
    <w:rsid w:val="00580C2F"/>
    <w:rsid w:val="005810BB"/>
    <w:rsid w:val="005811F9"/>
    <w:rsid w:val="005817E9"/>
    <w:rsid w:val="00581FEE"/>
    <w:rsid w:val="00582236"/>
    <w:rsid w:val="005824EA"/>
    <w:rsid w:val="00582B1D"/>
    <w:rsid w:val="00582F02"/>
    <w:rsid w:val="00583BAE"/>
    <w:rsid w:val="00583E3D"/>
    <w:rsid w:val="005842F0"/>
    <w:rsid w:val="005846ED"/>
    <w:rsid w:val="005847A6"/>
    <w:rsid w:val="00584C7F"/>
    <w:rsid w:val="00584D3C"/>
    <w:rsid w:val="00584EC5"/>
    <w:rsid w:val="00586007"/>
    <w:rsid w:val="0058604A"/>
    <w:rsid w:val="0058641A"/>
    <w:rsid w:val="00586580"/>
    <w:rsid w:val="005865C4"/>
    <w:rsid w:val="005865E5"/>
    <w:rsid w:val="00586FCD"/>
    <w:rsid w:val="005874C8"/>
    <w:rsid w:val="0058770B"/>
    <w:rsid w:val="00587AD0"/>
    <w:rsid w:val="00587B64"/>
    <w:rsid w:val="00587CAE"/>
    <w:rsid w:val="0059036C"/>
    <w:rsid w:val="005904C1"/>
    <w:rsid w:val="0059063A"/>
    <w:rsid w:val="00590DA8"/>
    <w:rsid w:val="005913E8"/>
    <w:rsid w:val="00591585"/>
    <w:rsid w:val="00591774"/>
    <w:rsid w:val="0059184A"/>
    <w:rsid w:val="00591867"/>
    <w:rsid w:val="00592064"/>
    <w:rsid w:val="005921ED"/>
    <w:rsid w:val="005927D5"/>
    <w:rsid w:val="005928C6"/>
    <w:rsid w:val="005929BC"/>
    <w:rsid w:val="0059304C"/>
    <w:rsid w:val="00593207"/>
    <w:rsid w:val="00593299"/>
    <w:rsid w:val="00593489"/>
    <w:rsid w:val="005937A1"/>
    <w:rsid w:val="005939F1"/>
    <w:rsid w:val="00593E55"/>
    <w:rsid w:val="00593F10"/>
    <w:rsid w:val="0059440C"/>
    <w:rsid w:val="00594473"/>
    <w:rsid w:val="00594724"/>
    <w:rsid w:val="00594A62"/>
    <w:rsid w:val="00594EB4"/>
    <w:rsid w:val="00594F19"/>
    <w:rsid w:val="005952CA"/>
    <w:rsid w:val="00595841"/>
    <w:rsid w:val="005959F1"/>
    <w:rsid w:val="00595EA6"/>
    <w:rsid w:val="005964F9"/>
    <w:rsid w:val="00596ED8"/>
    <w:rsid w:val="005977EC"/>
    <w:rsid w:val="005A05ED"/>
    <w:rsid w:val="005A09FC"/>
    <w:rsid w:val="005A0ADF"/>
    <w:rsid w:val="005A0B2D"/>
    <w:rsid w:val="005A0B39"/>
    <w:rsid w:val="005A0E30"/>
    <w:rsid w:val="005A0E7F"/>
    <w:rsid w:val="005A10C6"/>
    <w:rsid w:val="005A14E9"/>
    <w:rsid w:val="005A18A5"/>
    <w:rsid w:val="005A1E34"/>
    <w:rsid w:val="005A2278"/>
    <w:rsid w:val="005A23AC"/>
    <w:rsid w:val="005A3D0D"/>
    <w:rsid w:val="005A3FC2"/>
    <w:rsid w:val="005A4162"/>
    <w:rsid w:val="005A439A"/>
    <w:rsid w:val="005A44DB"/>
    <w:rsid w:val="005A462E"/>
    <w:rsid w:val="005A47D6"/>
    <w:rsid w:val="005A512A"/>
    <w:rsid w:val="005A56B1"/>
    <w:rsid w:val="005A5A1D"/>
    <w:rsid w:val="005A5EBD"/>
    <w:rsid w:val="005A605E"/>
    <w:rsid w:val="005A6235"/>
    <w:rsid w:val="005A6631"/>
    <w:rsid w:val="005A680C"/>
    <w:rsid w:val="005A70EB"/>
    <w:rsid w:val="005A716E"/>
    <w:rsid w:val="005A7536"/>
    <w:rsid w:val="005A7553"/>
    <w:rsid w:val="005A76B8"/>
    <w:rsid w:val="005A7A8E"/>
    <w:rsid w:val="005A7C47"/>
    <w:rsid w:val="005A7D47"/>
    <w:rsid w:val="005B02A8"/>
    <w:rsid w:val="005B0427"/>
    <w:rsid w:val="005B0C9C"/>
    <w:rsid w:val="005B0D78"/>
    <w:rsid w:val="005B0FDC"/>
    <w:rsid w:val="005B123A"/>
    <w:rsid w:val="005B16C7"/>
    <w:rsid w:val="005B220A"/>
    <w:rsid w:val="005B228B"/>
    <w:rsid w:val="005B2A98"/>
    <w:rsid w:val="005B2C4D"/>
    <w:rsid w:val="005B2C85"/>
    <w:rsid w:val="005B2DED"/>
    <w:rsid w:val="005B2F4E"/>
    <w:rsid w:val="005B30BB"/>
    <w:rsid w:val="005B3734"/>
    <w:rsid w:val="005B38DD"/>
    <w:rsid w:val="005B3951"/>
    <w:rsid w:val="005B3B3B"/>
    <w:rsid w:val="005B3E32"/>
    <w:rsid w:val="005B47B9"/>
    <w:rsid w:val="005B4CA1"/>
    <w:rsid w:val="005B4DBB"/>
    <w:rsid w:val="005B5015"/>
    <w:rsid w:val="005B5A35"/>
    <w:rsid w:val="005B5AA7"/>
    <w:rsid w:val="005B5C40"/>
    <w:rsid w:val="005B6A61"/>
    <w:rsid w:val="005B70BD"/>
    <w:rsid w:val="005B7429"/>
    <w:rsid w:val="005B75AB"/>
    <w:rsid w:val="005C065B"/>
    <w:rsid w:val="005C07E7"/>
    <w:rsid w:val="005C15FF"/>
    <w:rsid w:val="005C1737"/>
    <w:rsid w:val="005C19BF"/>
    <w:rsid w:val="005C1A7E"/>
    <w:rsid w:val="005C29E1"/>
    <w:rsid w:val="005C2A4B"/>
    <w:rsid w:val="005C2DC2"/>
    <w:rsid w:val="005C2EB3"/>
    <w:rsid w:val="005C2EE3"/>
    <w:rsid w:val="005C2F96"/>
    <w:rsid w:val="005C3668"/>
    <w:rsid w:val="005C372B"/>
    <w:rsid w:val="005C42E8"/>
    <w:rsid w:val="005C4661"/>
    <w:rsid w:val="005C47D3"/>
    <w:rsid w:val="005C486F"/>
    <w:rsid w:val="005C51A0"/>
    <w:rsid w:val="005C5236"/>
    <w:rsid w:val="005C5521"/>
    <w:rsid w:val="005C57AB"/>
    <w:rsid w:val="005C5DF3"/>
    <w:rsid w:val="005C649E"/>
    <w:rsid w:val="005C6656"/>
    <w:rsid w:val="005C736F"/>
    <w:rsid w:val="005C794D"/>
    <w:rsid w:val="005D062D"/>
    <w:rsid w:val="005D088B"/>
    <w:rsid w:val="005D0FA9"/>
    <w:rsid w:val="005D11C9"/>
    <w:rsid w:val="005D244C"/>
    <w:rsid w:val="005D24B9"/>
    <w:rsid w:val="005D2863"/>
    <w:rsid w:val="005D2FBF"/>
    <w:rsid w:val="005D31EE"/>
    <w:rsid w:val="005D39CC"/>
    <w:rsid w:val="005D3D71"/>
    <w:rsid w:val="005D4328"/>
    <w:rsid w:val="005D4422"/>
    <w:rsid w:val="005D4720"/>
    <w:rsid w:val="005D4A57"/>
    <w:rsid w:val="005D4ED3"/>
    <w:rsid w:val="005D5113"/>
    <w:rsid w:val="005D55C3"/>
    <w:rsid w:val="005D5B1C"/>
    <w:rsid w:val="005D5B93"/>
    <w:rsid w:val="005D5D8F"/>
    <w:rsid w:val="005D5FAD"/>
    <w:rsid w:val="005D6116"/>
    <w:rsid w:val="005D64E4"/>
    <w:rsid w:val="005D66C5"/>
    <w:rsid w:val="005D6BBB"/>
    <w:rsid w:val="005D6C4A"/>
    <w:rsid w:val="005D6C6E"/>
    <w:rsid w:val="005D6E4D"/>
    <w:rsid w:val="005D7117"/>
    <w:rsid w:val="005D7368"/>
    <w:rsid w:val="005D78B9"/>
    <w:rsid w:val="005D7BE6"/>
    <w:rsid w:val="005D7D52"/>
    <w:rsid w:val="005D7EBF"/>
    <w:rsid w:val="005E0150"/>
    <w:rsid w:val="005E01D0"/>
    <w:rsid w:val="005E04D4"/>
    <w:rsid w:val="005E0527"/>
    <w:rsid w:val="005E079D"/>
    <w:rsid w:val="005E0937"/>
    <w:rsid w:val="005E0995"/>
    <w:rsid w:val="005E0E03"/>
    <w:rsid w:val="005E0F22"/>
    <w:rsid w:val="005E0FF8"/>
    <w:rsid w:val="005E10CE"/>
    <w:rsid w:val="005E119F"/>
    <w:rsid w:val="005E145C"/>
    <w:rsid w:val="005E1873"/>
    <w:rsid w:val="005E1D6D"/>
    <w:rsid w:val="005E2800"/>
    <w:rsid w:val="005E2DCC"/>
    <w:rsid w:val="005E2E8A"/>
    <w:rsid w:val="005E31BD"/>
    <w:rsid w:val="005E3446"/>
    <w:rsid w:val="005E3604"/>
    <w:rsid w:val="005E3844"/>
    <w:rsid w:val="005E3BBA"/>
    <w:rsid w:val="005E3E82"/>
    <w:rsid w:val="005E3E91"/>
    <w:rsid w:val="005E460C"/>
    <w:rsid w:val="005E4820"/>
    <w:rsid w:val="005E4F95"/>
    <w:rsid w:val="005E5050"/>
    <w:rsid w:val="005E5C6F"/>
    <w:rsid w:val="005E6562"/>
    <w:rsid w:val="005E676A"/>
    <w:rsid w:val="005E6C4B"/>
    <w:rsid w:val="005E6D8F"/>
    <w:rsid w:val="005E6EF8"/>
    <w:rsid w:val="005E7317"/>
    <w:rsid w:val="005E7329"/>
    <w:rsid w:val="005E74F2"/>
    <w:rsid w:val="005F0057"/>
    <w:rsid w:val="005F02AB"/>
    <w:rsid w:val="005F04B6"/>
    <w:rsid w:val="005F08AB"/>
    <w:rsid w:val="005F0A46"/>
    <w:rsid w:val="005F1857"/>
    <w:rsid w:val="005F192B"/>
    <w:rsid w:val="005F1FB6"/>
    <w:rsid w:val="005F2022"/>
    <w:rsid w:val="005F21FF"/>
    <w:rsid w:val="005F24B0"/>
    <w:rsid w:val="005F275D"/>
    <w:rsid w:val="005F2879"/>
    <w:rsid w:val="005F2A8B"/>
    <w:rsid w:val="005F2DC9"/>
    <w:rsid w:val="005F324B"/>
    <w:rsid w:val="005F3369"/>
    <w:rsid w:val="005F38E9"/>
    <w:rsid w:val="005F3AD1"/>
    <w:rsid w:val="005F3C15"/>
    <w:rsid w:val="005F3C90"/>
    <w:rsid w:val="005F3D5B"/>
    <w:rsid w:val="005F3DF9"/>
    <w:rsid w:val="005F3FE8"/>
    <w:rsid w:val="005F439D"/>
    <w:rsid w:val="005F450E"/>
    <w:rsid w:val="005F4849"/>
    <w:rsid w:val="005F4888"/>
    <w:rsid w:val="005F511D"/>
    <w:rsid w:val="005F5154"/>
    <w:rsid w:val="005F5501"/>
    <w:rsid w:val="005F5666"/>
    <w:rsid w:val="005F5806"/>
    <w:rsid w:val="005F5899"/>
    <w:rsid w:val="005F58E9"/>
    <w:rsid w:val="005F5B51"/>
    <w:rsid w:val="005F61E2"/>
    <w:rsid w:val="005F6312"/>
    <w:rsid w:val="005F63A6"/>
    <w:rsid w:val="005F642A"/>
    <w:rsid w:val="005F66A4"/>
    <w:rsid w:val="005F6707"/>
    <w:rsid w:val="005F751A"/>
    <w:rsid w:val="005F766D"/>
    <w:rsid w:val="005F76F1"/>
    <w:rsid w:val="006001D0"/>
    <w:rsid w:val="00600AC7"/>
    <w:rsid w:val="00600F6B"/>
    <w:rsid w:val="00600F6F"/>
    <w:rsid w:val="00601281"/>
    <w:rsid w:val="00601337"/>
    <w:rsid w:val="006015FB"/>
    <w:rsid w:val="006016EA"/>
    <w:rsid w:val="006016ED"/>
    <w:rsid w:val="00601734"/>
    <w:rsid w:val="00601854"/>
    <w:rsid w:val="00602338"/>
    <w:rsid w:val="006027AC"/>
    <w:rsid w:val="00602E2C"/>
    <w:rsid w:val="00602FA9"/>
    <w:rsid w:val="0060366C"/>
    <w:rsid w:val="00603BC4"/>
    <w:rsid w:val="00603E70"/>
    <w:rsid w:val="00604320"/>
    <w:rsid w:val="00604426"/>
    <w:rsid w:val="006046EF"/>
    <w:rsid w:val="00604755"/>
    <w:rsid w:val="00604C67"/>
    <w:rsid w:val="00605295"/>
    <w:rsid w:val="00605443"/>
    <w:rsid w:val="0060546C"/>
    <w:rsid w:val="00605858"/>
    <w:rsid w:val="006058F5"/>
    <w:rsid w:val="00605906"/>
    <w:rsid w:val="00605BE8"/>
    <w:rsid w:val="006062BF"/>
    <w:rsid w:val="006063A8"/>
    <w:rsid w:val="006063B5"/>
    <w:rsid w:val="00606707"/>
    <w:rsid w:val="00606913"/>
    <w:rsid w:val="006069EE"/>
    <w:rsid w:val="00607048"/>
    <w:rsid w:val="006070E5"/>
    <w:rsid w:val="006070E6"/>
    <w:rsid w:val="00607522"/>
    <w:rsid w:val="00607602"/>
    <w:rsid w:val="00607626"/>
    <w:rsid w:val="00607782"/>
    <w:rsid w:val="0061014F"/>
    <w:rsid w:val="00610238"/>
    <w:rsid w:val="00610573"/>
    <w:rsid w:val="00610830"/>
    <w:rsid w:val="00610BAC"/>
    <w:rsid w:val="00611607"/>
    <w:rsid w:val="006117E6"/>
    <w:rsid w:val="00611917"/>
    <w:rsid w:val="00611C7D"/>
    <w:rsid w:val="00612296"/>
    <w:rsid w:val="006122A8"/>
    <w:rsid w:val="0061267A"/>
    <w:rsid w:val="0061392D"/>
    <w:rsid w:val="00613E22"/>
    <w:rsid w:val="0061421A"/>
    <w:rsid w:val="006147A7"/>
    <w:rsid w:val="00614CFC"/>
    <w:rsid w:val="0061524C"/>
    <w:rsid w:val="00615E9F"/>
    <w:rsid w:val="00616064"/>
    <w:rsid w:val="00616280"/>
    <w:rsid w:val="0061695A"/>
    <w:rsid w:val="00616AE8"/>
    <w:rsid w:val="00616DDA"/>
    <w:rsid w:val="00616E52"/>
    <w:rsid w:val="00616E7C"/>
    <w:rsid w:val="006171BC"/>
    <w:rsid w:val="0061729B"/>
    <w:rsid w:val="00617366"/>
    <w:rsid w:val="00617389"/>
    <w:rsid w:val="006174A3"/>
    <w:rsid w:val="006175AF"/>
    <w:rsid w:val="006175CE"/>
    <w:rsid w:val="00617626"/>
    <w:rsid w:val="00617822"/>
    <w:rsid w:val="00617CE3"/>
    <w:rsid w:val="00617DDD"/>
    <w:rsid w:val="00617FA9"/>
    <w:rsid w:val="006201E0"/>
    <w:rsid w:val="006202B1"/>
    <w:rsid w:val="0062080D"/>
    <w:rsid w:val="00620A7C"/>
    <w:rsid w:val="00621D04"/>
    <w:rsid w:val="00621D96"/>
    <w:rsid w:val="00622993"/>
    <w:rsid w:val="00623115"/>
    <w:rsid w:val="006232AC"/>
    <w:rsid w:val="0062372C"/>
    <w:rsid w:val="00624164"/>
    <w:rsid w:val="0062437A"/>
    <w:rsid w:val="00624498"/>
    <w:rsid w:val="00624ED1"/>
    <w:rsid w:val="00625693"/>
    <w:rsid w:val="00625D4B"/>
    <w:rsid w:val="00626543"/>
    <w:rsid w:val="0062687B"/>
    <w:rsid w:val="00626A67"/>
    <w:rsid w:val="00626D52"/>
    <w:rsid w:val="006275D5"/>
    <w:rsid w:val="006279F4"/>
    <w:rsid w:val="00627ABD"/>
    <w:rsid w:val="00627AF9"/>
    <w:rsid w:val="00627D32"/>
    <w:rsid w:val="00627DD5"/>
    <w:rsid w:val="006300F9"/>
    <w:rsid w:val="00630221"/>
    <w:rsid w:val="00630A33"/>
    <w:rsid w:val="00630A71"/>
    <w:rsid w:val="00631350"/>
    <w:rsid w:val="00631864"/>
    <w:rsid w:val="006320EC"/>
    <w:rsid w:val="00632206"/>
    <w:rsid w:val="006326C2"/>
    <w:rsid w:val="0063280A"/>
    <w:rsid w:val="006329CF"/>
    <w:rsid w:val="006329DC"/>
    <w:rsid w:val="00632DEB"/>
    <w:rsid w:val="00632E82"/>
    <w:rsid w:val="00633B41"/>
    <w:rsid w:val="00633D1F"/>
    <w:rsid w:val="00633D69"/>
    <w:rsid w:val="00634535"/>
    <w:rsid w:val="00634969"/>
    <w:rsid w:val="00634A23"/>
    <w:rsid w:val="00634D7E"/>
    <w:rsid w:val="00635A19"/>
    <w:rsid w:val="00635B91"/>
    <w:rsid w:val="006360A6"/>
    <w:rsid w:val="006369AF"/>
    <w:rsid w:val="00636A81"/>
    <w:rsid w:val="0063713D"/>
    <w:rsid w:val="00637173"/>
    <w:rsid w:val="00637410"/>
    <w:rsid w:val="006376CB"/>
    <w:rsid w:val="00637707"/>
    <w:rsid w:val="00637B82"/>
    <w:rsid w:val="00640DBA"/>
    <w:rsid w:val="00640E9E"/>
    <w:rsid w:val="00641977"/>
    <w:rsid w:val="006419EA"/>
    <w:rsid w:val="00641BA2"/>
    <w:rsid w:val="00641D67"/>
    <w:rsid w:val="00642325"/>
    <w:rsid w:val="00642579"/>
    <w:rsid w:val="0064279F"/>
    <w:rsid w:val="00642858"/>
    <w:rsid w:val="00642EAA"/>
    <w:rsid w:val="0064316D"/>
    <w:rsid w:val="006433A9"/>
    <w:rsid w:val="006435C4"/>
    <w:rsid w:val="00643C54"/>
    <w:rsid w:val="00643DD3"/>
    <w:rsid w:val="0064406C"/>
    <w:rsid w:val="0064446A"/>
    <w:rsid w:val="006445C1"/>
    <w:rsid w:val="00644782"/>
    <w:rsid w:val="00644A08"/>
    <w:rsid w:val="0064562F"/>
    <w:rsid w:val="00645688"/>
    <w:rsid w:val="00645B2E"/>
    <w:rsid w:val="00645D38"/>
    <w:rsid w:val="00645F39"/>
    <w:rsid w:val="00645FC9"/>
    <w:rsid w:val="00646D57"/>
    <w:rsid w:val="00647B53"/>
    <w:rsid w:val="00647CF4"/>
    <w:rsid w:val="00647D65"/>
    <w:rsid w:val="00647DC6"/>
    <w:rsid w:val="006500A2"/>
    <w:rsid w:val="00650632"/>
    <w:rsid w:val="00650A6C"/>
    <w:rsid w:val="00650CF9"/>
    <w:rsid w:val="00652588"/>
    <w:rsid w:val="0065267E"/>
    <w:rsid w:val="0065288A"/>
    <w:rsid w:val="00652898"/>
    <w:rsid w:val="0065388C"/>
    <w:rsid w:val="006539CD"/>
    <w:rsid w:val="0065400B"/>
    <w:rsid w:val="00654031"/>
    <w:rsid w:val="00654076"/>
    <w:rsid w:val="00654322"/>
    <w:rsid w:val="00654AD7"/>
    <w:rsid w:val="00654DEC"/>
    <w:rsid w:val="00655641"/>
    <w:rsid w:val="006556C8"/>
    <w:rsid w:val="00655895"/>
    <w:rsid w:val="00656399"/>
    <w:rsid w:val="00656D1D"/>
    <w:rsid w:val="00656F07"/>
    <w:rsid w:val="0065720A"/>
    <w:rsid w:val="00657249"/>
    <w:rsid w:val="006578AE"/>
    <w:rsid w:val="0065792F"/>
    <w:rsid w:val="00657BBC"/>
    <w:rsid w:val="00660679"/>
    <w:rsid w:val="00660F49"/>
    <w:rsid w:val="00661267"/>
    <w:rsid w:val="00661F1D"/>
    <w:rsid w:val="006620E6"/>
    <w:rsid w:val="00662330"/>
    <w:rsid w:val="006629AB"/>
    <w:rsid w:val="00662E17"/>
    <w:rsid w:val="00663D8B"/>
    <w:rsid w:val="00663EBA"/>
    <w:rsid w:val="00664964"/>
    <w:rsid w:val="0066501C"/>
    <w:rsid w:val="0066559F"/>
    <w:rsid w:val="006657A8"/>
    <w:rsid w:val="00665875"/>
    <w:rsid w:val="00665B82"/>
    <w:rsid w:val="00665C3D"/>
    <w:rsid w:val="00665D1F"/>
    <w:rsid w:val="00666A5F"/>
    <w:rsid w:val="00666AC5"/>
    <w:rsid w:val="00666B19"/>
    <w:rsid w:val="00666DEA"/>
    <w:rsid w:val="00667186"/>
    <w:rsid w:val="00667B8F"/>
    <w:rsid w:val="00667CC0"/>
    <w:rsid w:val="00667F92"/>
    <w:rsid w:val="00670332"/>
    <w:rsid w:val="00670C11"/>
    <w:rsid w:val="006710D7"/>
    <w:rsid w:val="006711C9"/>
    <w:rsid w:val="006712DD"/>
    <w:rsid w:val="00671582"/>
    <w:rsid w:val="00671692"/>
    <w:rsid w:val="00671A19"/>
    <w:rsid w:val="00671CC9"/>
    <w:rsid w:val="0067234C"/>
    <w:rsid w:val="006726A7"/>
    <w:rsid w:val="006726D6"/>
    <w:rsid w:val="00672A9A"/>
    <w:rsid w:val="00672BB0"/>
    <w:rsid w:val="00672C96"/>
    <w:rsid w:val="006732EC"/>
    <w:rsid w:val="006734BD"/>
    <w:rsid w:val="00673914"/>
    <w:rsid w:val="006739AE"/>
    <w:rsid w:val="00673BD8"/>
    <w:rsid w:val="00673F37"/>
    <w:rsid w:val="006741B7"/>
    <w:rsid w:val="006749B2"/>
    <w:rsid w:val="00674CC9"/>
    <w:rsid w:val="00675C3D"/>
    <w:rsid w:val="00675C84"/>
    <w:rsid w:val="00675E8A"/>
    <w:rsid w:val="00676716"/>
    <w:rsid w:val="00676AB2"/>
    <w:rsid w:val="00676CB6"/>
    <w:rsid w:val="00676E4B"/>
    <w:rsid w:val="00676F17"/>
    <w:rsid w:val="0067742A"/>
    <w:rsid w:val="0067749C"/>
    <w:rsid w:val="00677ABE"/>
    <w:rsid w:val="00677D1F"/>
    <w:rsid w:val="00677E76"/>
    <w:rsid w:val="006806B9"/>
    <w:rsid w:val="006806BB"/>
    <w:rsid w:val="00680B51"/>
    <w:rsid w:val="00680BC8"/>
    <w:rsid w:val="006811B0"/>
    <w:rsid w:val="0068198E"/>
    <w:rsid w:val="006819AC"/>
    <w:rsid w:val="00681AD9"/>
    <w:rsid w:val="00681D16"/>
    <w:rsid w:val="0068244C"/>
    <w:rsid w:val="00682A1E"/>
    <w:rsid w:val="00683EDB"/>
    <w:rsid w:val="00684356"/>
    <w:rsid w:val="0068449F"/>
    <w:rsid w:val="00684E37"/>
    <w:rsid w:val="00684E7D"/>
    <w:rsid w:val="00684ED1"/>
    <w:rsid w:val="006854A1"/>
    <w:rsid w:val="006857F4"/>
    <w:rsid w:val="00685B5C"/>
    <w:rsid w:val="006869F3"/>
    <w:rsid w:val="00687332"/>
    <w:rsid w:val="006877EC"/>
    <w:rsid w:val="00690236"/>
    <w:rsid w:val="00690796"/>
    <w:rsid w:val="00690C07"/>
    <w:rsid w:val="0069177C"/>
    <w:rsid w:val="00691805"/>
    <w:rsid w:val="00691B31"/>
    <w:rsid w:val="00691ED1"/>
    <w:rsid w:val="00692300"/>
    <w:rsid w:val="00692881"/>
    <w:rsid w:val="00692A2A"/>
    <w:rsid w:val="00692BE5"/>
    <w:rsid w:val="00692C24"/>
    <w:rsid w:val="00692D33"/>
    <w:rsid w:val="00693063"/>
    <w:rsid w:val="00693113"/>
    <w:rsid w:val="00693473"/>
    <w:rsid w:val="00693951"/>
    <w:rsid w:val="00693DCC"/>
    <w:rsid w:val="006940DC"/>
    <w:rsid w:val="006946A4"/>
    <w:rsid w:val="00694B70"/>
    <w:rsid w:val="00694D01"/>
    <w:rsid w:val="006950B1"/>
    <w:rsid w:val="006953E4"/>
    <w:rsid w:val="00695B64"/>
    <w:rsid w:val="00696118"/>
    <w:rsid w:val="00696A73"/>
    <w:rsid w:val="00696C5B"/>
    <w:rsid w:val="006970BC"/>
    <w:rsid w:val="006974DD"/>
    <w:rsid w:val="0069772E"/>
    <w:rsid w:val="00697C47"/>
    <w:rsid w:val="00697DE9"/>
    <w:rsid w:val="00697E98"/>
    <w:rsid w:val="006A02A6"/>
    <w:rsid w:val="006A06B8"/>
    <w:rsid w:val="006A06C4"/>
    <w:rsid w:val="006A08C9"/>
    <w:rsid w:val="006A0A0C"/>
    <w:rsid w:val="006A0FFF"/>
    <w:rsid w:val="006A10F1"/>
    <w:rsid w:val="006A124B"/>
    <w:rsid w:val="006A1580"/>
    <w:rsid w:val="006A21BF"/>
    <w:rsid w:val="006A2779"/>
    <w:rsid w:val="006A2F2D"/>
    <w:rsid w:val="006A3107"/>
    <w:rsid w:val="006A31B3"/>
    <w:rsid w:val="006A3496"/>
    <w:rsid w:val="006A3553"/>
    <w:rsid w:val="006A39A5"/>
    <w:rsid w:val="006A3C0D"/>
    <w:rsid w:val="006A3E9C"/>
    <w:rsid w:val="006A407D"/>
    <w:rsid w:val="006A4302"/>
    <w:rsid w:val="006A466B"/>
    <w:rsid w:val="006A48E2"/>
    <w:rsid w:val="006A4990"/>
    <w:rsid w:val="006A592F"/>
    <w:rsid w:val="006A5A06"/>
    <w:rsid w:val="006A5A9D"/>
    <w:rsid w:val="006A6465"/>
    <w:rsid w:val="006A6713"/>
    <w:rsid w:val="006A6F41"/>
    <w:rsid w:val="006A7003"/>
    <w:rsid w:val="006A773F"/>
    <w:rsid w:val="006A7883"/>
    <w:rsid w:val="006A7F34"/>
    <w:rsid w:val="006A7F7A"/>
    <w:rsid w:val="006AA75F"/>
    <w:rsid w:val="006B09D4"/>
    <w:rsid w:val="006B0D57"/>
    <w:rsid w:val="006B0DCC"/>
    <w:rsid w:val="006B0EDF"/>
    <w:rsid w:val="006B133D"/>
    <w:rsid w:val="006B1504"/>
    <w:rsid w:val="006B1644"/>
    <w:rsid w:val="006B17D8"/>
    <w:rsid w:val="006B1D3D"/>
    <w:rsid w:val="006B2111"/>
    <w:rsid w:val="006B227E"/>
    <w:rsid w:val="006B256A"/>
    <w:rsid w:val="006B259B"/>
    <w:rsid w:val="006B2B99"/>
    <w:rsid w:val="006B2BDB"/>
    <w:rsid w:val="006B3994"/>
    <w:rsid w:val="006B3A2E"/>
    <w:rsid w:val="006B3E9C"/>
    <w:rsid w:val="006B41B9"/>
    <w:rsid w:val="006B4419"/>
    <w:rsid w:val="006B4A66"/>
    <w:rsid w:val="006B4D59"/>
    <w:rsid w:val="006B4D7C"/>
    <w:rsid w:val="006B4E66"/>
    <w:rsid w:val="006B5389"/>
    <w:rsid w:val="006B5761"/>
    <w:rsid w:val="006B588F"/>
    <w:rsid w:val="006B5A19"/>
    <w:rsid w:val="006B5B38"/>
    <w:rsid w:val="006B5DD2"/>
    <w:rsid w:val="006B6387"/>
    <w:rsid w:val="006B6A45"/>
    <w:rsid w:val="006B6E50"/>
    <w:rsid w:val="006B7475"/>
    <w:rsid w:val="006B7718"/>
    <w:rsid w:val="006B79BD"/>
    <w:rsid w:val="006B7C4E"/>
    <w:rsid w:val="006B7CB5"/>
    <w:rsid w:val="006B7D26"/>
    <w:rsid w:val="006C0329"/>
    <w:rsid w:val="006C059F"/>
    <w:rsid w:val="006C0B3B"/>
    <w:rsid w:val="006C10F1"/>
    <w:rsid w:val="006C13CC"/>
    <w:rsid w:val="006C177C"/>
    <w:rsid w:val="006C194B"/>
    <w:rsid w:val="006C1D8A"/>
    <w:rsid w:val="006C1E2D"/>
    <w:rsid w:val="006C21E1"/>
    <w:rsid w:val="006C2BB3"/>
    <w:rsid w:val="006C2CD2"/>
    <w:rsid w:val="006C2CF2"/>
    <w:rsid w:val="006C2E76"/>
    <w:rsid w:val="006C3185"/>
    <w:rsid w:val="006C3257"/>
    <w:rsid w:val="006C329D"/>
    <w:rsid w:val="006C32F2"/>
    <w:rsid w:val="006C3B76"/>
    <w:rsid w:val="006C426D"/>
    <w:rsid w:val="006C4758"/>
    <w:rsid w:val="006C4F6B"/>
    <w:rsid w:val="006C5076"/>
    <w:rsid w:val="006C576C"/>
    <w:rsid w:val="006C5828"/>
    <w:rsid w:val="006C5AEF"/>
    <w:rsid w:val="006C5D98"/>
    <w:rsid w:val="006C6046"/>
    <w:rsid w:val="006C63B1"/>
    <w:rsid w:val="006C6687"/>
    <w:rsid w:val="006C68AC"/>
    <w:rsid w:val="006C6B08"/>
    <w:rsid w:val="006C6E8E"/>
    <w:rsid w:val="006C744F"/>
    <w:rsid w:val="006C7CC2"/>
    <w:rsid w:val="006C7DDB"/>
    <w:rsid w:val="006C7E67"/>
    <w:rsid w:val="006D0223"/>
    <w:rsid w:val="006D05A7"/>
    <w:rsid w:val="006D07DD"/>
    <w:rsid w:val="006D0A67"/>
    <w:rsid w:val="006D0E01"/>
    <w:rsid w:val="006D1031"/>
    <w:rsid w:val="006D10BE"/>
    <w:rsid w:val="006D12A7"/>
    <w:rsid w:val="006D13F1"/>
    <w:rsid w:val="006D1440"/>
    <w:rsid w:val="006D1523"/>
    <w:rsid w:val="006D16E0"/>
    <w:rsid w:val="006D176A"/>
    <w:rsid w:val="006D17FA"/>
    <w:rsid w:val="006D22BB"/>
    <w:rsid w:val="006D2DD8"/>
    <w:rsid w:val="006D2E84"/>
    <w:rsid w:val="006D3458"/>
    <w:rsid w:val="006D38CC"/>
    <w:rsid w:val="006D3FE6"/>
    <w:rsid w:val="006D40E0"/>
    <w:rsid w:val="006D44C0"/>
    <w:rsid w:val="006D4857"/>
    <w:rsid w:val="006D4A68"/>
    <w:rsid w:val="006D4A7E"/>
    <w:rsid w:val="006D4F77"/>
    <w:rsid w:val="006D509E"/>
    <w:rsid w:val="006D622E"/>
    <w:rsid w:val="006D6621"/>
    <w:rsid w:val="006D665B"/>
    <w:rsid w:val="006D698C"/>
    <w:rsid w:val="006D6C67"/>
    <w:rsid w:val="006D714B"/>
    <w:rsid w:val="006D741B"/>
    <w:rsid w:val="006D7543"/>
    <w:rsid w:val="006D77E0"/>
    <w:rsid w:val="006D784F"/>
    <w:rsid w:val="006D7946"/>
    <w:rsid w:val="006D7A31"/>
    <w:rsid w:val="006D7B0C"/>
    <w:rsid w:val="006D7F67"/>
    <w:rsid w:val="006E057D"/>
    <w:rsid w:val="006E06C6"/>
    <w:rsid w:val="006E06F6"/>
    <w:rsid w:val="006E11B4"/>
    <w:rsid w:val="006E1993"/>
    <w:rsid w:val="006E1D2A"/>
    <w:rsid w:val="006E2448"/>
    <w:rsid w:val="006E247E"/>
    <w:rsid w:val="006E25C9"/>
    <w:rsid w:val="006E26F1"/>
    <w:rsid w:val="006E3322"/>
    <w:rsid w:val="006E3753"/>
    <w:rsid w:val="006E3785"/>
    <w:rsid w:val="006E3A1F"/>
    <w:rsid w:val="006E47D6"/>
    <w:rsid w:val="006E4D41"/>
    <w:rsid w:val="006E5249"/>
    <w:rsid w:val="006E533C"/>
    <w:rsid w:val="006E5704"/>
    <w:rsid w:val="006E58B5"/>
    <w:rsid w:val="006E5934"/>
    <w:rsid w:val="006E5AC7"/>
    <w:rsid w:val="006E5F9F"/>
    <w:rsid w:val="006E68A0"/>
    <w:rsid w:val="006E6C93"/>
    <w:rsid w:val="006E6D9F"/>
    <w:rsid w:val="006E733A"/>
    <w:rsid w:val="006E74E8"/>
    <w:rsid w:val="006E764F"/>
    <w:rsid w:val="006E77F3"/>
    <w:rsid w:val="006E7D55"/>
    <w:rsid w:val="006F03BA"/>
    <w:rsid w:val="006F05B1"/>
    <w:rsid w:val="006F0E8B"/>
    <w:rsid w:val="006F11BC"/>
    <w:rsid w:val="006F1395"/>
    <w:rsid w:val="006F172E"/>
    <w:rsid w:val="006F17EF"/>
    <w:rsid w:val="006F1A49"/>
    <w:rsid w:val="006F1A85"/>
    <w:rsid w:val="006F2718"/>
    <w:rsid w:val="006F2977"/>
    <w:rsid w:val="006F2EA5"/>
    <w:rsid w:val="006F2F3C"/>
    <w:rsid w:val="006F3256"/>
    <w:rsid w:val="006F3D77"/>
    <w:rsid w:val="006F3E88"/>
    <w:rsid w:val="006F43B5"/>
    <w:rsid w:val="006F4600"/>
    <w:rsid w:val="006F483F"/>
    <w:rsid w:val="006F507A"/>
    <w:rsid w:val="006F5A3A"/>
    <w:rsid w:val="006F5B61"/>
    <w:rsid w:val="006F5EC8"/>
    <w:rsid w:val="006F6016"/>
    <w:rsid w:val="006F6356"/>
    <w:rsid w:val="006F66FC"/>
    <w:rsid w:val="006F6BFD"/>
    <w:rsid w:val="006F70D1"/>
    <w:rsid w:val="006F711F"/>
    <w:rsid w:val="006F7155"/>
    <w:rsid w:val="006F73DF"/>
    <w:rsid w:val="006F7658"/>
    <w:rsid w:val="006F7911"/>
    <w:rsid w:val="006F7F15"/>
    <w:rsid w:val="006F7FE7"/>
    <w:rsid w:val="007006FF"/>
    <w:rsid w:val="00700EC5"/>
    <w:rsid w:val="00701279"/>
    <w:rsid w:val="0070199C"/>
    <w:rsid w:val="00702232"/>
    <w:rsid w:val="00702DAB"/>
    <w:rsid w:val="00702F89"/>
    <w:rsid w:val="0070352B"/>
    <w:rsid w:val="007036A9"/>
    <w:rsid w:val="00703C37"/>
    <w:rsid w:val="00703D1D"/>
    <w:rsid w:val="00703D7A"/>
    <w:rsid w:val="007041CB"/>
    <w:rsid w:val="007042D6"/>
    <w:rsid w:val="00704C2B"/>
    <w:rsid w:val="00705969"/>
    <w:rsid w:val="00705A98"/>
    <w:rsid w:val="00705D8C"/>
    <w:rsid w:val="00705E95"/>
    <w:rsid w:val="00705FAA"/>
    <w:rsid w:val="00706070"/>
    <w:rsid w:val="007064E7"/>
    <w:rsid w:val="00706A16"/>
    <w:rsid w:val="00706B5A"/>
    <w:rsid w:val="00706E5B"/>
    <w:rsid w:val="007071B8"/>
    <w:rsid w:val="00707C20"/>
    <w:rsid w:val="00707CF3"/>
    <w:rsid w:val="00710235"/>
    <w:rsid w:val="00710288"/>
    <w:rsid w:val="0071050E"/>
    <w:rsid w:val="00710887"/>
    <w:rsid w:val="0071094D"/>
    <w:rsid w:val="00710B55"/>
    <w:rsid w:val="00710BB3"/>
    <w:rsid w:val="00710E06"/>
    <w:rsid w:val="00711475"/>
    <w:rsid w:val="0071278A"/>
    <w:rsid w:val="007129D8"/>
    <w:rsid w:val="00713063"/>
    <w:rsid w:val="00713B70"/>
    <w:rsid w:val="00713F8C"/>
    <w:rsid w:val="00714212"/>
    <w:rsid w:val="00714862"/>
    <w:rsid w:val="00714BB5"/>
    <w:rsid w:val="00714F7B"/>
    <w:rsid w:val="0071517D"/>
    <w:rsid w:val="0071568D"/>
    <w:rsid w:val="0071587A"/>
    <w:rsid w:val="00715E3F"/>
    <w:rsid w:val="00715FC5"/>
    <w:rsid w:val="00716353"/>
    <w:rsid w:val="00716F7B"/>
    <w:rsid w:val="0071702C"/>
    <w:rsid w:val="007172AB"/>
    <w:rsid w:val="0071742E"/>
    <w:rsid w:val="00720168"/>
    <w:rsid w:val="007202E0"/>
    <w:rsid w:val="007207FB"/>
    <w:rsid w:val="0072081F"/>
    <w:rsid w:val="0072086E"/>
    <w:rsid w:val="00720B2A"/>
    <w:rsid w:val="00721077"/>
    <w:rsid w:val="007216DB"/>
    <w:rsid w:val="00721A38"/>
    <w:rsid w:val="00721DFC"/>
    <w:rsid w:val="00721E3C"/>
    <w:rsid w:val="00722611"/>
    <w:rsid w:val="007227D1"/>
    <w:rsid w:val="00723301"/>
    <w:rsid w:val="00723759"/>
    <w:rsid w:val="00723771"/>
    <w:rsid w:val="00723824"/>
    <w:rsid w:val="00723AB4"/>
    <w:rsid w:val="00723DC6"/>
    <w:rsid w:val="00724120"/>
    <w:rsid w:val="00724652"/>
    <w:rsid w:val="007246F7"/>
    <w:rsid w:val="00724871"/>
    <w:rsid w:val="00724A47"/>
    <w:rsid w:val="007259A2"/>
    <w:rsid w:val="007261A2"/>
    <w:rsid w:val="00726811"/>
    <w:rsid w:val="00726883"/>
    <w:rsid w:val="007269ED"/>
    <w:rsid w:val="00726BCE"/>
    <w:rsid w:val="00726BD1"/>
    <w:rsid w:val="00726EDA"/>
    <w:rsid w:val="00726F18"/>
    <w:rsid w:val="00727155"/>
    <w:rsid w:val="00727325"/>
    <w:rsid w:val="00727370"/>
    <w:rsid w:val="0072750B"/>
    <w:rsid w:val="00727AE3"/>
    <w:rsid w:val="0073058A"/>
    <w:rsid w:val="00730D00"/>
    <w:rsid w:val="0073106E"/>
    <w:rsid w:val="007313A3"/>
    <w:rsid w:val="007318F9"/>
    <w:rsid w:val="007320BD"/>
    <w:rsid w:val="00732996"/>
    <w:rsid w:val="00732BFD"/>
    <w:rsid w:val="007332A1"/>
    <w:rsid w:val="00735024"/>
    <w:rsid w:val="00735054"/>
    <w:rsid w:val="00735180"/>
    <w:rsid w:val="00735B9D"/>
    <w:rsid w:val="00735F71"/>
    <w:rsid w:val="00735FAB"/>
    <w:rsid w:val="007363EA"/>
    <w:rsid w:val="0073646B"/>
    <w:rsid w:val="007365A2"/>
    <w:rsid w:val="00736CB6"/>
    <w:rsid w:val="0073799D"/>
    <w:rsid w:val="00737AFB"/>
    <w:rsid w:val="0074033E"/>
    <w:rsid w:val="00740794"/>
    <w:rsid w:val="00740A88"/>
    <w:rsid w:val="00740D95"/>
    <w:rsid w:val="007410C9"/>
    <w:rsid w:val="0074121D"/>
    <w:rsid w:val="007412E5"/>
    <w:rsid w:val="00741474"/>
    <w:rsid w:val="007415A1"/>
    <w:rsid w:val="007417DE"/>
    <w:rsid w:val="007424C0"/>
    <w:rsid w:val="007428B8"/>
    <w:rsid w:val="00742DB0"/>
    <w:rsid w:val="00742E79"/>
    <w:rsid w:val="007431B8"/>
    <w:rsid w:val="00743499"/>
    <w:rsid w:val="007437C5"/>
    <w:rsid w:val="007438D1"/>
    <w:rsid w:val="00743E24"/>
    <w:rsid w:val="00743E2C"/>
    <w:rsid w:val="00743EB4"/>
    <w:rsid w:val="0074456B"/>
    <w:rsid w:val="00744636"/>
    <w:rsid w:val="007447CA"/>
    <w:rsid w:val="0074481C"/>
    <w:rsid w:val="00744B7D"/>
    <w:rsid w:val="00744DE2"/>
    <w:rsid w:val="007452CA"/>
    <w:rsid w:val="00745435"/>
    <w:rsid w:val="007454B3"/>
    <w:rsid w:val="0074570E"/>
    <w:rsid w:val="00745922"/>
    <w:rsid w:val="00746164"/>
    <w:rsid w:val="00746381"/>
    <w:rsid w:val="0074647B"/>
    <w:rsid w:val="007464A2"/>
    <w:rsid w:val="00746581"/>
    <w:rsid w:val="0074672E"/>
    <w:rsid w:val="00746D7A"/>
    <w:rsid w:val="00747604"/>
    <w:rsid w:val="00747EE0"/>
    <w:rsid w:val="007500E8"/>
    <w:rsid w:val="00750B10"/>
    <w:rsid w:val="00750E05"/>
    <w:rsid w:val="007511D4"/>
    <w:rsid w:val="00751BBD"/>
    <w:rsid w:val="007523B3"/>
    <w:rsid w:val="007523E3"/>
    <w:rsid w:val="00752676"/>
    <w:rsid w:val="007527CD"/>
    <w:rsid w:val="0075286B"/>
    <w:rsid w:val="00752A1D"/>
    <w:rsid w:val="00753471"/>
    <w:rsid w:val="00753887"/>
    <w:rsid w:val="00753B0F"/>
    <w:rsid w:val="0075405E"/>
    <w:rsid w:val="00754217"/>
    <w:rsid w:val="00754317"/>
    <w:rsid w:val="0075431D"/>
    <w:rsid w:val="00754448"/>
    <w:rsid w:val="00754703"/>
    <w:rsid w:val="0075483E"/>
    <w:rsid w:val="00755165"/>
    <w:rsid w:val="007554EF"/>
    <w:rsid w:val="007557DD"/>
    <w:rsid w:val="00755A18"/>
    <w:rsid w:val="00755B85"/>
    <w:rsid w:val="00755D4A"/>
    <w:rsid w:val="00755F06"/>
    <w:rsid w:val="00756364"/>
    <w:rsid w:val="007565EA"/>
    <w:rsid w:val="007567D2"/>
    <w:rsid w:val="00757BB6"/>
    <w:rsid w:val="00760015"/>
    <w:rsid w:val="00760928"/>
    <w:rsid w:val="00760A39"/>
    <w:rsid w:val="007617E2"/>
    <w:rsid w:val="00761BDC"/>
    <w:rsid w:val="00761F52"/>
    <w:rsid w:val="00761F53"/>
    <w:rsid w:val="00762064"/>
    <w:rsid w:val="0076231C"/>
    <w:rsid w:val="00762751"/>
    <w:rsid w:val="00762A65"/>
    <w:rsid w:val="00762A67"/>
    <w:rsid w:val="00762C33"/>
    <w:rsid w:val="00762F52"/>
    <w:rsid w:val="007634C2"/>
    <w:rsid w:val="00763E41"/>
    <w:rsid w:val="00764303"/>
    <w:rsid w:val="0076432C"/>
    <w:rsid w:val="0076449F"/>
    <w:rsid w:val="00764543"/>
    <w:rsid w:val="007646DE"/>
    <w:rsid w:val="00764BE0"/>
    <w:rsid w:val="00764D27"/>
    <w:rsid w:val="00764E77"/>
    <w:rsid w:val="00764FBC"/>
    <w:rsid w:val="007653F3"/>
    <w:rsid w:val="00765838"/>
    <w:rsid w:val="00765930"/>
    <w:rsid w:val="007659F3"/>
    <w:rsid w:val="00765B9F"/>
    <w:rsid w:val="00766232"/>
    <w:rsid w:val="00766559"/>
    <w:rsid w:val="00766BD6"/>
    <w:rsid w:val="00766E86"/>
    <w:rsid w:val="007670E0"/>
    <w:rsid w:val="007675C2"/>
    <w:rsid w:val="00767892"/>
    <w:rsid w:val="007678EB"/>
    <w:rsid w:val="00767AB7"/>
    <w:rsid w:val="00767DFE"/>
    <w:rsid w:val="00770581"/>
    <w:rsid w:val="0077060A"/>
    <w:rsid w:val="007706A3"/>
    <w:rsid w:val="00770927"/>
    <w:rsid w:val="0077125E"/>
    <w:rsid w:val="00771D84"/>
    <w:rsid w:val="00771E70"/>
    <w:rsid w:val="007728E7"/>
    <w:rsid w:val="00772FEF"/>
    <w:rsid w:val="00773047"/>
    <w:rsid w:val="0077383D"/>
    <w:rsid w:val="00773AD7"/>
    <w:rsid w:val="007740E5"/>
    <w:rsid w:val="0077440C"/>
    <w:rsid w:val="007744BF"/>
    <w:rsid w:val="00774508"/>
    <w:rsid w:val="00774F69"/>
    <w:rsid w:val="00775BE1"/>
    <w:rsid w:val="0077648A"/>
    <w:rsid w:val="0077682C"/>
    <w:rsid w:val="00776888"/>
    <w:rsid w:val="00776AD7"/>
    <w:rsid w:val="00776F16"/>
    <w:rsid w:val="00776F4D"/>
    <w:rsid w:val="00777347"/>
    <w:rsid w:val="0077737B"/>
    <w:rsid w:val="007773E8"/>
    <w:rsid w:val="0077770F"/>
    <w:rsid w:val="007777D2"/>
    <w:rsid w:val="00780246"/>
    <w:rsid w:val="0078046A"/>
    <w:rsid w:val="007805D9"/>
    <w:rsid w:val="00780664"/>
    <w:rsid w:val="0078068A"/>
    <w:rsid w:val="00780BB6"/>
    <w:rsid w:val="00781465"/>
    <w:rsid w:val="007816D3"/>
    <w:rsid w:val="007818DF"/>
    <w:rsid w:val="00782328"/>
    <w:rsid w:val="007830CE"/>
    <w:rsid w:val="00783402"/>
    <w:rsid w:val="0078344D"/>
    <w:rsid w:val="00783E1C"/>
    <w:rsid w:val="00783F0A"/>
    <w:rsid w:val="007840EF"/>
    <w:rsid w:val="007847AC"/>
    <w:rsid w:val="0078482B"/>
    <w:rsid w:val="00784BEA"/>
    <w:rsid w:val="00784DDA"/>
    <w:rsid w:val="00784EE4"/>
    <w:rsid w:val="00785178"/>
    <w:rsid w:val="00785436"/>
    <w:rsid w:val="0078549D"/>
    <w:rsid w:val="007855F8"/>
    <w:rsid w:val="0078578D"/>
    <w:rsid w:val="00785D4E"/>
    <w:rsid w:val="00785E18"/>
    <w:rsid w:val="00785FEF"/>
    <w:rsid w:val="0078601A"/>
    <w:rsid w:val="0078627C"/>
    <w:rsid w:val="007865D4"/>
    <w:rsid w:val="00786A5B"/>
    <w:rsid w:val="00787052"/>
    <w:rsid w:val="007870ED"/>
    <w:rsid w:val="007871ED"/>
    <w:rsid w:val="0078790D"/>
    <w:rsid w:val="00787BA1"/>
    <w:rsid w:val="007902E4"/>
    <w:rsid w:val="007904CC"/>
    <w:rsid w:val="00790590"/>
    <w:rsid w:val="007907DE"/>
    <w:rsid w:val="00790CF8"/>
    <w:rsid w:val="007911F6"/>
    <w:rsid w:val="00791549"/>
    <w:rsid w:val="00791D5D"/>
    <w:rsid w:val="00791F51"/>
    <w:rsid w:val="007921AD"/>
    <w:rsid w:val="0079257C"/>
    <w:rsid w:val="0079269C"/>
    <w:rsid w:val="00792CE6"/>
    <w:rsid w:val="00793177"/>
    <w:rsid w:val="007931BB"/>
    <w:rsid w:val="007931E5"/>
    <w:rsid w:val="007938A9"/>
    <w:rsid w:val="00793EF9"/>
    <w:rsid w:val="007942F2"/>
    <w:rsid w:val="0079440F"/>
    <w:rsid w:val="007947C8"/>
    <w:rsid w:val="007949F4"/>
    <w:rsid w:val="0079529F"/>
    <w:rsid w:val="007959BB"/>
    <w:rsid w:val="0079612C"/>
    <w:rsid w:val="00796752"/>
    <w:rsid w:val="00796805"/>
    <w:rsid w:val="007969B9"/>
    <w:rsid w:val="00796A4A"/>
    <w:rsid w:val="00796E45"/>
    <w:rsid w:val="00796FA7"/>
    <w:rsid w:val="007975DD"/>
    <w:rsid w:val="00797703"/>
    <w:rsid w:val="00797C5F"/>
    <w:rsid w:val="007A0150"/>
    <w:rsid w:val="007A016C"/>
    <w:rsid w:val="007A067C"/>
    <w:rsid w:val="007A0806"/>
    <w:rsid w:val="007A091A"/>
    <w:rsid w:val="007A09DD"/>
    <w:rsid w:val="007A0D79"/>
    <w:rsid w:val="007A14C5"/>
    <w:rsid w:val="007A167B"/>
    <w:rsid w:val="007A16DA"/>
    <w:rsid w:val="007A2599"/>
    <w:rsid w:val="007A2C0E"/>
    <w:rsid w:val="007A2DE8"/>
    <w:rsid w:val="007A361B"/>
    <w:rsid w:val="007A367F"/>
    <w:rsid w:val="007A41C1"/>
    <w:rsid w:val="007A444F"/>
    <w:rsid w:val="007A4601"/>
    <w:rsid w:val="007A46C0"/>
    <w:rsid w:val="007A4EBA"/>
    <w:rsid w:val="007A52AC"/>
    <w:rsid w:val="007A5630"/>
    <w:rsid w:val="007A5779"/>
    <w:rsid w:val="007A57D9"/>
    <w:rsid w:val="007A59F6"/>
    <w:rsid w:val="007A6598"/>
    <w:rsid w:val="007A6619"/>
    <w:rsid w:val="007A677B"/>
    <w:rsid w:val="007A7259"/>
    <w:rsid w:val="007A72BB"/>
    <w:rsid w:val="007A74B5"/>
    <w:rsid w:val="007A77AC"/>
    <w:rsid w:val="007B00B8"/>
    <w:rsid w:val="007B0379"/>
    <w:rsid w:val="007B075F"/>
    <w:rsid w:val="007B0920"/>
    <w:rsid w:val="007B09FC"/>
    <w:rsid w:val="007B0BDE"/>
    <w:rsid w:val="007B0CCD"/>
    <w:rsid w:val="007B0E4B"/>
    <w:rsid w:val="007B0FAB"/>
    <w:rsid w:val="007B1222"/>
    <w:rsid w:val="007B1375"/>
    <w:rsid w:val="007B1425"/>
    <w:rsid w:val="007B20BD"/>
    <w:rsid w:val="007B2511"/>
    <w:rsid w:val="007B29A6"/>
    <w:rsid w:val="007B2BEF"/>
    <w:rsid w:val="007B2CAE"/>
    <w:rsid w:val="007B2DDC"/>
    <w:rsid w:val="007B3335"/>
    <w:rsid w:val="007B39FA"/>
    <w:rsid w:val="007B42AC"/>
    <w:rsid w:val="007B474F"/>
    <w:rsid w:val="007B4C1D"/>
    <w:rsid w:val="007B567C"/>
    <w:rsid w:val="007B5A46"/>
    <w:rsid w:val="007B5DE5"/>
    <w:rsid w:val="007B5E20"/>
    <w:rsid w:val="007B5F0D"/>
    <w:rsid w:val="007B609F"/>
    <w:rsid w:val="007B61F0"/>
    <w:rsid w:val="007B630A"/>
    <w:rsid w:val="007B683A"/>
    <w:rsid w:val="007B6901"/>
    <w:rsid w:val="007B69FA"/>
    <w:rsid w:val="007B6A7F"/>
    <w:rsid w:val="007B72A0"/>
    <w:rsid w:val="007B748D"/>
    <w:rsid w:val="007B769A"/>
    <w:rsid w:val="007B7B5B"/>
    <w:rsid w:val="007B7EF1"/>
    <w:rsid w:val="007C013C"/>
    <w:rsid w:val="007C03F8"/>
    <w:rsid w:val="007C09AB"/>
    <w:rsid w:val="007C0D61"/>
    <w:rsid w:val="007C0F87"/>
    <w:rsid w:val="007C1068"/>
    <w:rsid w:val="007C111C"/>
    <w:rsid w:val="007C1DCC"/>
    <w:rsid w:val="007C207E"/>
    <w:rsid w:val="007C23E8"/>
    <w:rsid w:val="007C29D2"/>
    <w:rsid w:val="007C2A78"/>
    <w:rsid w:val="007C2CB5"/>
    <w:rsid w:val="007C2FE6"/>
    <w:rsid w:val="007C39FF"/>
    <w:rsid w:val="007C3A59"/>
    <w:rsid w:val="007C3AD4"/>
    <w:rsid w:val="007C43C2"/>
    <w:rsid w:val="007C446E"/>
    <w:rsid w:val="007C48B1"/>
    <w:rsid w:val="007C4EB0"/>
    <w:rsid w:val="007C4FEC"/>
    <w:rsid w:val="007C50A4"/>
    <w:rsid w:val="007C5352"/>
    <w:rsid w:val="007C5540"/>
    <w:rsid w:val="007C5697"/>
    <w:rsid w:val="007C5BBB"/>
    <w:rsid w:val="007C5FB8"/>
    <w:rsid w:val="007C63F9"/>
    <w:rsid w:val="007C695F"/>
    <w:rsid w:val="007C6E69"/>
    <w:rsid w:val="007C71F5"/>
    <w:rsid w:val="007C7308"/>
    <w:rsid w:val="007C73A8"/>
    <w:rsid w:val="007C7473"/>
    <w:rsid w:val="007C7491"/>
    <w:rsid w:val="007C74EC"/>
    <w:rsid w:val="007C7907"/>
    <w:rsid w:val="007C7F38"/>
    <w:rsid w:val="007D0152"/>
    <w:rsid w:val="007D065A"/>
    <w:rsid w:val="007D1346"/>
    <w:rsid w:val="007D1B7C"/>
    <w:rsid w:val="007D25A6"/>
    <w:rsid w:val="007D2C57"/>
    <w:rsid w:val="007D2E7F"/>
    <w:rsid w:val="007D32A3"/>
    <w:rsid w:val="007D3736"/>
    <w:rsid w:val="007D3B9B"/>
    <w:rsid w:val="007D3ECB"/>
    <w:rsid w:val="007D41CC"/>
    <w:rsid w:val="007D4264"/>
    <w:rsid w:val="007D4376"/>
    <w:rsid w:val="007D4892"/>
    <w:rsid w:val="007D4979"/>
    <w:rsid w:val="007D497A"/>
    <w:rsid w:val="007D520C"/>
    <w:rsid w:val="007D55EE"/>
    <w:rsid w:val="007D5724"/>
    <w:rsid w:val="007D5E1B"/>
    <w:rsid w:val="007D6319"/>
    <w:rsid w:val="007D680A"/>
    <w:rsid w:val="007D68C8"/>
    <w:rsid w:val="007D691D"/>
    <w:rsid w:val="007D6A43"/>
    <w:rsid w:val="007D6A8F"/>
    <w:rsid w:val="007D6BD2"/>
    <w:rsid w:val="007D72DB"/>
    <w:rsid w:val="007D73AF"/>
    <w:rsid w:val="007D7623"/>
    <w:rsid w:val="007D7747"/>
    <w:rsid w:val="007D7969"/>
    <w:rsid w:val="007E0136"/>
    <w:rsid w:val="007E077C"/>
    <w:rsid w:val="007E0E9D"/>
    <w:rsid w:val="007E1093"/>
    <w:rsid w:val="007E1657"/>
    <w:rsid w:val="007E1DF5"/>
    <w:rsid w:val="007E202B"/>
    <w:rsid w:val="007E215B"/>
    <w:rsid w:val="007E2E29"/>
    <w:rsid w:val="007E307A"/>
    <w:rsid w:val="007E3729"/>
    <w:rsid w:val="007E3A18"/>
    <w:rsid w:val="007E3BAE"/>
    <w:rsid w:val="007E3D78"/>
    <w:rsid w:val="007E43CC"/>
    <w:rsid w:val="007E4BD6"/>
    <w:rsid w:val="007E516C"/>
    <w:rsid w:val="007E53B6"/>
    <w:rsid w:val="007E556F"/>
    <w:rsid w:val="007E57E2"/>
    <w:rsid w:val="007E63BF"/>
    <w:rsid w:val="007E63E6"/>
    <w:rsid w:val="007E6418"/>
    <w:rsid w:val="007E694B"/>
    <w:rsid w:val="007E6C29"/>
    <w:rsid w:val="007E7DB7"/>
    <w:rsid w:val="007F008B"/>
    <w:rsid w:val="007F01FA"/>
    <w:rsid w:val="007F094B"/>
    <w:rsid w:val="007F0DB2"/>
    <w:rsid w:val="007F10F0"/>
    <w:rsid w:val="007F1142"/>
    <w:rsid w:val="007F1585"/>
    <w:rsid w:val="007F1883"/>
    <w:rsid w:val="007F1B4E"/>
    <w:rsid w:val="007F1BCF"/>
    <w:rsid w:val="007F1C64"/>
    <w:rsid w:val="007F1DFB"/>
    <w:rsid w:val="007F20BF"/>
    <w:rsid w:val="007F2179"/>
    <w:rsid w:val="007F2201"/>
    <w:rsid w:val="007F2B45"/>
    <w:rsid w:val="007F2B4C"/>
    <w:rsid w:val="007F318E"/>
    <w:rsid w:val="007F3FE6"/>
    <w:rsid w:val="007F41E8"/>
    <w:rsid w:val="007F4B2A"/>
    <w:rsid w:val="007F5094"/>
    <w:rsid w:val="007F51B1"/>
    <w:rsid w:val="007F5259"/>
    <w:rsid w:val="007F5958"/>
    <w:rsid w:val="007F5B7A"/>
    <w:rsid w:val="007F69F7"/>
    <w:rsid w:val="007F6BA3"/>
    <w:rsid w:val="007F6C52"/>
    <w:rsid w:val="007F6DFE"/>
    <w:rsid w:val="007F74E6"/>
    <w:rsid w:val="007F77E2"/>
    <w:rsid w:val="007F7C28"/>
    <w:rsid w:val="007F7C44"/>
    <w:rsid w:val="0080094A"/>
    <w:rsid w:val="00800A80"/>
    <w:rsid w:val="00800BF8"/>
    <w:rsid w:val="008011DF"/>
    <w:rsid w:val="0080141D"/>
    <w:rsid w:val="00801509"/>
    <w:rsid w:val="00802722"/>
    <w:rsid w:val="0080339D"/>
    <w:rsid w:val="008036FC"/>
    <w:rsid w:val="008037A0"/>
    <w:rsid w:val="00803BF1"/>
    <w:rsid w:val="00803F81"/>
    <w:rsid w:val="00803FD7"/>
    <w:rsid w:val="00804A45"/>
    <w:rsid w:val="00804BFE"/>
    <w:rsid w:val="00804D96"/>
    <w:rsid w:val="00804E3E"/>
    <w:rsid w:val="0080552A"/>
    <w:rsid w:val="00805A63"/>
    <w:rsid w:val="00805C91"/>
    <w:rsid w:val="0080625D"/>
    <w:rsid w:val="00806C07"/>
    <w:rsid w:val="00806C87"/>
    <w:rsid w:val="00806EF8"/>
    <w:rsid w:val="00807352"/>
    <w:rsid w:val="008076E6"/>
    <w:rsid w:val="00807A32"/>
    <w:rsid w:val="00807B0F"/>
    <w:rsid w:val="00807B39"/>
    <w:rsid w:val="00807E96"/>
    <w:rsid w:val="0080B219"/>
    <w:rsid w:val="008101B0"/>
    <w:rsid w:val="0081032E"/>
    <w:rsid w:val="00810B3F"/>
    <w:rsid w:val="00810C3E"/>
    <w:rsid w:val="00810C61"/>
    <w:rsid w:val="00810EEF"/>
    <w:rsid w:val="00811028"/>
    <w:rsid w:val="008111B5"/>
    <w:rsid w:val="008112AB"/>
    <w:rsid w:val="0081181C"/>
    <w:rsid w:val="008118F5"/>
    <w:rsid w:val="00811E1D"/>
    <w:rsid w:val="00811FAE"/>
    <w:rsid w:val="00812400"/>
    <w:rsid w:val="00812616"/>
    <w:rsid w:val="00812644"/>
    <w:rsid w:val="00812C64"/>
    <w:rsid w:val="00813737"/>
    <w:rsid w:val="0081393D"/>
    <w:rsid w:val="00813D1F"/>
    <w:rsid w:val="008145E1"/>
    <w:rsid w:val="00814861"/>
    <w:rsid w:val="00814DE5"/>
    <w:rsid w:val="00814EDB"/>
    <w:rsid w:val="00815899"/>
    <w:rsid w:val="0081661B"/>
    <w:rsid w:val="008166F3"/>
    <w:rsid w:val="00816A81"/>
    <w:rsid w:val="00816ED8"/>
    <w:rsid w:val="00817009"/>
    <w:rsid w:val="008176CD"/>
    <w:rsid w:val="008201E0"/>
    <w:rsid w:val="008203C6"/>
    <w:rsid w:val="008204A3"/>
    <w:rsid w:val="008207E3"/>
    <w:rsid w:val="00820966"/>
    <w:rsid w:val="00820B71"/>
    <w:rsid w:val="00820F14"/>
    <w:rsid w:val="00820FE1"/>
    <w:rsid w:val="00821276"/>
    <w:rsid w:val="008217A4"/>
    <w:rsid w:val="00821BFE"/>
    <w:rsid w:val="00821DF7"/>
    <w:rsid w:val="0082218E"/>
    <w:rsid w:val="008222B9"/>
    <w:rsid w:val="008224C9"/>
    <w:rsid w:val="00823E28"/>
    <w:rsid w:val="00823F6C"/>
    <w:rsid w:val="0082473D"/>
    <w:rsid w:val="00824A4B"/>
    <w:rsid w:val="00824D98"/>
    <w:rsid w:val="00824DA4"/>
    <w:rsid w:val="0082584D"/>
    <w:rsid w:val="00825C01"/>
    <w:rsid w:val="00826734"/>
    <w:rsid w:val="00826923"/>
    <w:rsid w:val="00826D74"/>
    <w:rsid w:val="00826E41"/>
    <w:rsid w:val="00827539"/>
    <w:rsid w:val="008276DE"/>
    <w:rsid w:val="0082786E"/>
    <w:rsid w:val="00827D35"/>
    <w:rsid w:val="00827DB1"/>
    <w:rsid w:val="0083010A"/>
    <w:rsid w:val="008301AD"/>
    <w:rsid w:val="008306CE"/>
    <w:rsid w:val="00830A2C"/>
    <w:rsid w:val="00830E60"/>
    <w:rsid w:val="00830EF5"/>
    <w:rsid w:val="0083176A"/>
    <w:rsid w:val="00831D62"/>
    <w:rsid w:val="008320A4"/>
    <w:rsid w:val="00832269"/>
    <w:rsid w:val="008322AB"/>
    <w:rsid w:val="008323B9"/>
    <w:rsid w:val="008326CB"/>
    <w:rsid w:val="00832845"/>
    <w:rsid w:val="00832D13"/>
    <w:rsid w:val="008331D6"/>
    <w:rsid w:val="0083332C"/>
    <w:rsid w:val="00833657"/>
    <w:rsid w:val="00833725"/>
    <w:rsid w:val="008340AB"/>
    <w:rsid w:val="00834168"/>
    <w:rsid w:val="008342CC"/>
    <w:rsid w:val="00834342"/>
    <w:rsid w:val="008346E5"/>
    <w:rsid w:val="00834AF2"/>
    <w:rsid w:val="00834E20"/>
    <w:rsid w:val="00834F07"/>
    <w:rsid w:val="00835717"/>
    <w:rsid w:val="008359FB"/>
    <w:rsid w:val="00835A15"/>
    <w:rsid w:val="008362A7"/>
    <w:rsid w:val="0083688A"/>
    <w:rsid w:val="00836BBA"/>
    <w:rsid w:val="00836C26"/>
    <w:rsid w:val="00836EE2"/>
    <w:rsid w:val="00837709"/>
    <w:rsid w:val="00837F3A"/>
    <w:rsid w:val="00840771"/>
    <w:rsid w:val="00840F66"/>
    <w:rsid w:val="00841200"/>
    <w:rsid w:val="00841B87"/>
    <w:rsid w:val="00841ED7"/>
    <w:rsid w:val="0084221B"/>
    <w:rsid w:val="008427AF"/>
    <w:rsid w:val="0084298F"/>
    <w:rsid w:val="00843472"/>
    <w:rsid w:val="008434CA"/>
    <w:rsid w:val="008438E0"/>
    <w:rsid w:val="00843A79"/>
    <w:rsid w:val="00843B67"/>
    <w:rsid w:val="0084426C"/>
    <w:rsid w:val="008442E7"/>
    <w:rsid w:val="008444B5"/>
    <w:rsid w:val="00844805"/>
    <w:rsid w:val="00844813"/>
    <w:rsid w:val="00844875"/>
    <w:rsid w:val="0084488F"/>
    <w:rsid w:val="008449F9"/>
    <w:rsid w:val="00844B00"/>
    <w:rsid w:val="00844F81"/>
    <w:rsid w:val="00845001"/>
    <w:rsid w:val="00845958"/>
    <w:rsid w:val="008459ED"/>
    <w:rsid w:val="00845BE9"/>
    <w:rsid w:val="008465FD"/>
    <w:rsid w:val="0084695E"/>
    <w:rsid w:val="00846BB4"/>
    <w:rsid w:val="00846D8F"/>
    <w:rsid w:val="00847054"/>
    <w:rsid w:val="0084710E"/>
    <w:rsid w:val="008471F9"/>
    <w:rsid w:val="0084728B"/>
    <w:rsid w:val="008472C4"/>
    <w:rsid w:val="008477E4"/>
    <w:rsid w:val="0084799E"/>
    <w:rsid w:val="00847BF2"/>
    <w:rsid w:val="00847C8B"/>
    <w:rsid w:val="00847F01"/>
    <w:rsid w:val="0085034F"/>
    <w:rsid w:val="008504A5"/>
    <w:rsid w:val="0085062D"/>
    <w:rsid w:val="00850D70"/>
    <w:rsid w:val="008511A6"/>
    <w:rsid w:val="00851610"/>
    <w:rsid w:val="00851839"/>
    <w:rsid w:val="00851CAA"/>
    <w:rsid w:val="00851EDF"/>
    <w:rsid w:val="00852298"/>
    <w:rsid w:val="00852D81"/>
    <w:rsid w:val="0085334D"/>
    <w:rsid w:val="0085348A"/>
    <w:rsid w:val="00853716"/>
    <w:rsid w:val="0085380C"/>
    <w:rsid w:val="0085388F"/>
    <w:rsid w:val="00853C3A"/>
    <w:rsid w:val="00853CE3"/>
    <w:rsid w:val="00853E46"/>
    <w:rsid w:val="008541A2"/>
    <w:rsid w:val="00854227"/>
    <w:rsid w:val="008543D7"/>
    <w:rsid w:val="008543FE"/>
    <w:rsid w:val="0085464A"/>
    <w:rsid w:val="008546C6"/>
    <w:rsid w:val="00854747"/>
    <w:rsid w:val="00854883"/>
    <w:rsid w:val="0085572C"/>
    <w:rsid w:val="008558C0"/>
    <w:rsid w:val="00855F53"/>
    <w:rsid w:val="0085641F"/>
    <w:rsid w:val="00856CD0"/>
    <w:rsid w:val="00856F59"/>
    <w:rsid w:val="00857312"/>
    <w:rsid w:val="00857922"/>
    <w:rsid w:val="00857B6B"/>
    <w:rsid w:val="00857F76"/>
    <w:rsid w:val="0086049B"/>
    <w:rsid w:val="00860644"/>
    <w:rsid w:val="008615E7"/>
    <w:rsid w:val="00861D94"/>
    <w:rsid w:val="00862564"/>
    <w:rsid w:val="00862F7B"/>
    <w:rsid w:val="00863199"/>
    <w:rsid w:val="00863860"/>
    <w:rsid w:val="00863886"/>
    <w:rsid w:val="008639A8"/>
    <w:rsid w:val="00863AD5"/>
    <w:rsid w:val="00863C78"/>
    <w:rsid w:val="00863FC8"/>
    <w:rsid w:val="0086412B"/>
    <w:rsid w:val="008644D6"/>
    <w:rsid w:val="0086462F"/>
    <w:rsid w:val="008648F5"/>
    <w:rsid w:val="00864E5E"/>
    <w:rsid w:val="00864F7A"/>
    <w:rsid w:val="00864FD6"/>
    <w:rsid w:val="008652F5"/>
    <w:rsid w:val="00865316"/>
    <w:rsid w:val="00865AAB"/>
    <w:rsid w:val="00865B89"/>
    <w:rsid w:val="00866045"/>
    <w:rsid w:val="00866309"/>
    <w:rsid w:val="008667DC"/>
    <w:rsid w:val="00866A70"/>
    <w:rsid w:val="00866F73"/>
    <w:rsid w:val="00867213"/>
    <w:rsid w:val="00867AAA"/>
    <w:rsid w:val="008700C0"/>
    <w:rsid w:val="00870570"/>
    <w:rsid w:val="008707C7"/>
    <w:rsid w:val="00871920"/>
    <w:rsid w:val="00871C80"/>
    <w:rsid w:val="0087212A"/>
    <w:rsid w:val="00872211"/>
    <w:rsid w:val="0087235C"/>
    <w:rsid w:val="008723C4"/>
    <w:rsid w:val="008724F6"/>
    <w:rsid w:val="0087275B"/>
    <w:rsid w:val="008727BA"/>
    <w:rsid w:val="00872BB8"/>
    <w:rsid w:val="00872D03"/>
    <w:rsid w:val="00872FC1"/>
    <w:rsid w:val="00873268"/>
    <w:rsid w:val="00873756"/>
    <w:rsid w:val="00873A70"/>
    <w:rsid w:val="00873AC2"/>
    <w:rsid w:val="00873C10"/>
    <w:rsid w:val="008741D3"/>
    <w:rsid w:val="0087430F"/>
    <w:rsid w:val="008743B2"/>
    <w:rsid w:val="008743EB"/>
    <w:rsid w:val="00874812"/>
    <w:rsid w:val="0087494C"/>
    <w:rsid w:val="00874A6A"/>
    <w:rsid w:val="00874BBC"/>
    <w:rsid w:val="008751AC"/>
    <w:rsid w:val="008751E4"/>
    <w:rsid w:val="00875363"/>
    <w:rsid w:val="00875758"/>
    <w:rsid w:val="008758F5"/>
    <w:rsid w:val="00875A02"/>
    <w:rsid w:val="00875AB3"/>
    <w:rsid w:val="00876FE9"/>
    <w:rsid w:val="00877B5B"/>
    <w:rsid w:val="00877D62"/>
    <w:rsid w:val="0088011C"/>
    <w:rsid w:val="00880D6D"/>
    <w:rsid w:val="00880D82"/>
    <w:rsid w:val="00881407"/>
    <w:rsid w:val="00881697"/>
    <w:rsid w:val="008817EE"/>
    <w:rsid w:val="00881AF1"/>
    <w:rsid w:val="0088202B"/>
    <w:rsid w:val="008821C9"/>
    <w:rsid w:val="008821EE"/>
    <w:rsid w:val="008827C4"/>
    <w:rsid w:val="00882C65"/>
    <w:rsid w:val="0088318E"/>
    <w:rsid w:val="00883211"/>
    <w:rsid w:val="00883729"/>
    <w:rsid w:val="00883794"/>
    <w:rsid w:val="00883850"/>
    <w:rsid w:val="00883A26"/>
    <w:rsid w:val="00884363"/>
    <w:rsid w:val="008844E5"/>
    <w:rsid w:val="0088498B"/>
    <w:rsid w:val="00884CF9"/>
    <w:rsid w:val="00884E1A"/>
    <w:rsid w:val="00884E93"/>
    <w:rsid w:val="00884F24"/>
    <w:rsid w:val="008851CA"/>
    <w:rsid w:val="008852BC"/>
    <w:rsid w:val="008855BD"/>
    <w:rsid w:val="0088610E"/>
    <w:rsid w:val="00886716"/>
    <w:rsid w:val="00886E3E"/>
    <w:rsid w:val="00886FBF"/>
    <w:rsid w:val="008871D6"/>
    <w:rsid w:val="008902DB"/>
    <w:rsid w:val="0089039F"/>
    <w:rsid w:val="00890865"/>
    <w:rsid w:val="008909EE"/>
    <w:rsid w:val="00890B1B"/>
    <w:rsid w:val="00890E2D"/>
    <w:rsid w:val="0089190C"/>
    <w:rsid w:val="008919D7"/>
    <w:rsid w:val="008919EE"/>
    <w:rsid w:val="008919F9"/>
    <w:rsid w:val="00891C22"/>
    <w:rsid w:val="00891C90"/>
    <w:rsid w:val="00892165"/>
    <w:rsid w:val="00892752"/>
    <w:rsid w:val="00892CC7"/>
    <w:rsid w:val="00892FD5"/>
    <w:rsid w:val="008932A2"/>
    <w:rsid w:val="008932A8"/>
    <w:rsid w:val="0089342D"/>
    <w:rsid w:val="00893D63"/>
    <w:rsid w:val="0089432A"/>
    <w:rsid w:val="00894662"/>
    <w:rsid w:val="0089484D"/>
    <w:rsid w:val="00894939"/>
    <w:rsid w:val="00894EE9"/>
    <w:rsid w:val="00895085"/>
    <w:rsid w:val="0089525E"/>
    <w:rsid w:val="0089586E"/>
    <w:rsid w:val="00895A51"/>
    <w:rsid w:val="00895B3F"/>
    <w:rsid w:val="00896C2F"/>
    <w:rsid w:val="008970E8"/>
    <w:rsid w:val="00897401"/>
    <w:rsid w:val="008976D8"/>
    <w:rsid w:val="008979E9"/>
    <w:rsid w:val="00897EF9"/>
    <w:rsid w:val="008A001F"/>
    <w:rsid w:val="008A01FD"/>
    <w:rsid w:val="008A0931"/>
    <w:rsid w:val="008A0A45"/>
    <w:rsid w:val="008A0A46"/>
    <w:rsid w:val="008A0E6C"/>
    <w:rsid w:val="008A1642"/>
    <w:rsid w:val="008A19ED"/>
    <w:rsid w:val="008A1CC3"/>
    <w:rsid w:val="008A1E0D"/>
    <w:rsid w:val="008A1FD0"/>
    <w:rsid w:val="008A263F"/>
    <w:rsid w:val="008A26BE"/>
    <w:rsid w:val="008A27E2"/>
    <w:rsid w:val="008A286C"/>
    <w:rsid w:val="008A3020"/>
    <w:rsid w:val="008A3AAD"/>
    <w:rsid w:val="008A3ABF"/>
    <w:rsid w:val="008A3E08"/>
    <w:rsid w:val="008A44E4"/>
    <w:rsid w:val="008A4A6C"/>
    <w:rsid w:val="008A4CE0"/>
    <w:rsid w:val="008A4E9D"/>
    <w:rsid w:val="008A5322"/>
    <w:rsid w:val="008A53A4"/>
    <w:rsid w:val="008A5748"/>
    <w:rsid w:val="008A57D5"/>
    <w:rsid w:val="008A5800"/>
    <w:rsid w:val="008A5B92"/>
    <w:rsid w:val="008A61A3"/>
    <w:rsid w:val="008A6715"/>
    <w:rsid w:val="008A6A2F"/>
    <w:rsid w:val="008A6CA5"/>
    <w:rsid w:val="008A6CA6"/>
    <w:rsid w:val="008A6D15"/>
    <w:rsid w:val="008A6EF2"/>
    <w:rsid w:val="008A6F47"/>
    <w:rsid w:val="008A750F"/>
    <w:rsid w:val="008A769F"/>
    <w:rsid w:val="008A7A7A"/>
    <w:rsid w:val="008B0690"/>
    <w:rsid w:val="008B0763"/>
    <w:rsid w:val="008B0922"/>
    <w:rsid w:val="008B10C9"/>
    <w:rsid w:val="008B1D25"/>
    <w:rsid w:val="008B1ED9"/>
    <w:rsid w:val="008B26AE"/>
    <w:rsid w:val="008B287A"/>
    <w:rsid w:val="008B2880"/>
    <w:rsid w:val="008B2B7D"/>
    <w:rsid w:val="008B3836"/>
    <w:rsid w:val="008B3D52"/>
    <w:rsid w:val="008B4112"/>
    <w:rsid w:val="008B41BC"/>
    <w:rsid w:val="008B4223"/>
    <w:rsid w:val="008B44C3"/>
    <w:rsid w:val="008B4991"/>
    <w:rsid w:val="008B4B3C"/>
    <w:rsid w:val="008B53F5"/>
    <w:rsid w:val="008B5714"/>
    <w:rsid w:val="008B5B14"/>
    <w:rsid w:val="008B628F"/>
    <w:rsid w:val="008B65DB"/>
    <w:rsid w:val="008B69A7"/>
    <w:rsid w:val="008B6DD2"/>
    <w:rsid w:val="008B7110"/>
    <w:rsid w:val="008B7C47"/>
    <w:rsid w:val="008B7C93"/>
    <w:rsid w:val="008C0038"/>
    <w:rsid w:val="008C0107"/>
    <w:rsid w:val="008C0240"/>
    <w:rsid w:val="008C0400"/>
    <w:rsid w:val="008C092F"/>
    <w:rsid w:val="008C1044"/>
    <w:rsid w:val="008C15F3"/>
    <w:rsid w:val="008C1A0B"/>
    <w:rsid w:val="008C1A63"/>
    <w:rsid w:val="008C1D96"/>
    <w:rsid w:val="008C1E4A"/>
    <w:rsid w:val="008C219F"/>
    <w:rsid w:val="008C2455"/>
    <w:rsid w:val="008C2457"/>
    <w:rsid w:val="008C24E2"/>
    <w:rsid w:val="008C2C5C"/>
    <w:rsid w:val="008C2D19"/>
    <w:rsid w:val="008C2DFC"/>
    <w:rsid w:val="008C2FC1"/>
    <w:rsid w:val="008C3456"/>
    <w:rsid w:val="008C349D"/>
    <w:rsid w:val="008C3DE1"/>
    <w:rsid w:val="008C4AD0"/>
    <w:rsid w:val="008C4BDA"/>
    <w:rsid w:val="008C4C91"/>
    <w:rsid w:val="008C4E4C"/>
    <w:rsid w:val="008C4F29"/>
    <w:rsid w:val="008C4F81"/>
    <w:rsid w:val="008C4F97"/>
    <w:rsid w:val="008C5904"/>
    <w:rsid w:val="008C5971"/>
    <w:rsid w:val="008C5FE0"/>
    <w:rsid w:val="008C6387"/>
    <w:rsid w:val="008C736E"/>
    <w:rsid w:val="008C777F"/>
    <w:rsid w:val="008C791B"/>
    <w:rsid w:val="008C7BC6"/>
    <w:rsid w:val="008C7C6A"/>
    <w:rsid w:val="008C7DF3"/>
    <w:rsid w:val="008D0F2E"/>
    <w:rsid w:val="008D1694"/>
    <w:rsid w:val="008D192B"/>
    <w:rsid w:val="008D1A18"/>
    <w:rsid w:val="008D2149"/>
    <w:rsid w:val="008D2853"/>
    <w:rsid w:val="008D2C45"/>
    <w:rsid w:val="008D362C"/>
    <w:rsid w:val="008D47BE"/>
    <w:rsid w:val="008D4A8D"/>
    <w:rsid w:val="008D4AB4"/>
    <w:rsid w:val="008D51A0"/>
    <w:rsid w:val="008D5C0B"/>
    <w:rsid w:val="008D5CC7"/>
    <w:rsid w:val="008D5CFE"/>
    <w:rsid w:val="008D5D2C"/>
    <w:rsid w:val="008D602E"/>
    <w:rsid w:val="008D63B7"/>
    <w:rsid w:val="008D64BE"/>
    <w:rsid w:val="008D6742"/>
    <w:rsid w:val="008D6BE1"/>
    <w:rsid w:val="008D6DF8"/>
    <w:rsid w:val="008D702E"/>
    <w:rsid w:val="008D71B1"/>
    <w:rsid w:val="008D7205"/>
    <w:rsid w:val="008D7695"/>
    <w:rsid w:val="008D785E"/>
    <w:rsid w:val="008D7C0C"/>
    <w:rsid w:val="008D7CB9"/>
    <w:rsid w:val="008D7D94"/>
    <w:rsid w:val="008D7DA7"/>
    <w:rsid w:val="008D7F67"/>
    <w:rsid w:val="008D7FD8"/>
    <w:rsid w:val="008E05F7"/>
    <w:rsid w:val="008E06E0"/>
    <w:rsid w:val="008E07DF"/>
    <w:rsid w:val="008E0A23"/>
    <w:rsid w:val="008E0B98"/>
    <w:rsid w:val="008E0E02"/>
    <w:rsid w:val="008E0FD8"/>
    <w:rsid w:val="008E11B0"/>
    <w:rsid w:val="008E16FA"/>
    <w:rsid w:val="008E182E"/>
    <w:rsid w:val="008E1851"/>
    <w:rsid w:val="008E1AF0"/>
    <w:rsid w:val="008E22AF"/>
    <w:rsid w:val="008E23DE"/>
    <w:rsid w:val="008E2E1D"/>
    <w:rsid w:val="008E2E67"/>
    <w:rsid w:val="008E31AC"/>
    <w:rsid w:val="008E3530"/>
    <w:rsid w:val="008E3A16"/>
    <w:rsid w:val="008E417F"/>
    <w:rsid w:val="008E444F"/>
    <w:rsid w:val="008E44BD"/>
    <w:rsid w:val="008E46DC"/>
    <w:rsid w:val="008E4F26"/>
    <w:rsid w:val="008E4FE8"/>
    <w:rsid w:val="008E50ED"/>
    <w:rsid w:val="008E561C"/>
    <w:rsid w:val="008E774B"/>
    <w:rsid w:val="008F001D"/>
    <w:rsid w:val="008F0747"/>
    <w:rsid w:val="008F0D6E"/>
    <w:rsid w:val="008F1113"/>
    <w:rsid w:val="008F11C6"/>
    <w:rsid w:val="008F13F7"/>
    <w:rsid w:val="008F1757"/>
    <w:rsid w:val="008F18D1"/>
    <w:rsid w:val="008F1BAC"/>
    <w:rsid w:val="008F1CD3"/>
    <w:rsid w:val="008F25D7"/>
    <w:rsid w:val="008F2AD0"/>
    <w:rsid w:val="008F2CA5"/>
    <w:rsid w:val="008F34E5"/>
    <w:rsid w:val="008F36B6"/>
    <w:rsid w:val="008F3868"/>
    <w:rsid w:val="008F3BCB"/>
    <w:rsid w:val="008F476C"/>
    <w:rsid w:val="008F4774"/>
    <w:rsid w:val="008F48F5"/>
    <w:rsid w:val="008F4DCB"/>
    <w:rsid w:val="008F4F81"/>
    <w:rsid w:val="008F516B"/>
    <w:rsid w:val="008F53A2"/>
    <w:rsid w:val="008F55EB"/>
    <w:rsid w:val="008F582A"/>
    <w:rsid w:val="008F5C93"/>
    <w:rsid w:val="008F6E2A"/>
    <w:rsid w:val="008F719C"/>
    <w:rsid w:val="008F7232"/>
    <w:rsid w:val="008F7287"/>
    <w:rsid w:val="008F7495"/>
    <w:rsid w:val="008F7527"/>
    <w:rsid w:val="008F764A"/>
    <w:rsid w:val="008F7697"/>
    <w:rsid w:val="008F7D33"/>
    <w:rsid w:val="009000F3"/>
    <w:rsid w:val="0090077B"/>
    <w:rsid w:val="009008F9"/>
    <w:rsid w:val="00900A03"/>
    <w:rsid w:val="00900B8C"/>
    <w:rsid w:val="00900BAF"/>
    <w:rsid w:val="009010A3"/>
    <w:rsid w:val="00901396"/>
    <w:rsid w:val="009014FF"/>
    <w:rsid w:val="00901D96"/>
    <w:rsid w:val="009029E7"/>
    <w:rsid w:val="00902CBA"/>
    <w:rsid w:val="00902F90"/>
    <w:rsid w:val="00903EBF"/>
    <w:rsid w:val="0090406F"/>
    <w:rsid w:val="009041E9"/>
    <w:rsid w:val="00904264"/>
    <w:rsid w:val="009046BE"/>
    <w:rsid w:val="00904A2C"/>
    <w:rsid w:val="00905211"/>
    <w:rsid w:val="00905295"/>
    <w:rsid w:val="0090548C"/>
    <w:rsid w:val="00905A86"/>
    <w:rsid w:val="00905C53"/>
    <w:rsid w:val="0090603B"/>
    <w:rsid w:val="0090638F"/>
    <w:rsid w:val="00906BC3"/>
    <w:rsid w:val="00906F28"/>
    <w:rsid w:val="00907216"/>
    <w:rsid w:val="0090729F"/>
    <w:rsid w:val="0090745B"/>
    <w:rsid w:val="009074A1"/>
    <w:rsid w:val="00907B64"/>
    <w:rsid w:val="00907C29"/>
    <w:rsid w:val="00907C4A"/>
    <w:rsid w:val="00907DED"/>
    <w:rsid w:val="00907E01"/>
    <w:rsid w:val="009106DD"/>
    <w:rsid w:val="0091074B"/>
    <w:rsid w:val="009108BB"/>
    <w:rsid w:val="00910F2D"/>
    <w:rsid w:val="0091117B"/>
    <w:rsid w:val="00911575"/>
    <w:rsid w:val="00911980"/>
    <w:rsid w:val="00911DDE"/>
    <w:rsid w:val="00911FF1"/>
    <w:rsid w:val="00912500"/>
    <w:rsid w:val="009130E3"/>
    <w:rsid w:val="0091371B"/>
    <w:rsid w:val="0091379F"/>
    <w:rsid w:val="009138C6"/>
    <w:rsid w:val="00913B6B"/>
    <w:rsid w:val="00913DC9"/>
    <w:rsid w:val="0091405D"/>
    <w:rsid w:val="009141D5"/>
    <w:rsid w:val="009144F6"/>
    <w:rsid w:val="00914845"/>
    <w:rsid w:val="0091484F"/>
    <w:rsid w:val="00914C77"/>
    <w:rsid w:val="00914D60"/>
    <w:rsid w:val="009150FA"/>
    <w:rsid w:val="0091510E"/>
    <w:rsid w:val="009151A3"/>
    <w:rsid w:val="009154E2"/>
    <w:rsid w:val="00915DC4"/>
    <w:rsid w:val="00916073"/>
    <w:rsid w:val="00916ABE"/>
    <w:rsid w:val="00916E5C"/>
    <w:rsid w:val="00917284"/>
    <w:rsid w:val="009173F2"/>
    <w:rsid w:val="00917AA5"/>
    <w:rsid w:val="00917C46"/>
    <w:rsid w:val="00920145"/>
    <w:rsid w:val="00920409"/>
    <w:rsid w:val="00920509"/>
    <w:rsid w:val="00920603"/>
    <w:rsid w:val="009208B9"/>
    <w:rsid w:val="00920EB7"/>
    <w:rsid w:val="00920F1D"/>
    <w:rsid w:val="009212B6"/>
    <w:rsid w:val="00921806"/>
    <w:rsid w:val="00921A06"/>
    <w:rsid w:val="00921CBD"/>
    <w:rsid w:val="00921F3E"/>
    <w:rsid w:val="0092210B"/>
    <w:rsid w:val="00922836"/>
    <w:rsid w:val="009229F8"/>
    <w:rsid w:val="00922F6D"/>
    <w:rsid w:val="00923833"/>
    <w:rsid w:val="00923A09"/>
    <w:rsid w:val="009241CA"/>
    <w:rsid w:val="00924506"/>
    <w:rsid w:val="009245AD"/>
    <w:rsid w:val="00924A8D"/>
    <w:rsid w:val="00924C86"/>
    <w:rsid w:val="00924D25"/>
    <w:rsid w:val="009252E3"/>
    <w:rsid w:val="00925B59"/>
    <w:rsid w:val="00926347"/>
    <w:rsid w:val="0092636B"/>
    <w:rsid w:val="00926530"/>
    <w:rsid w:val="00926811"/>
    <w:rsid w:val="00926BDC"/>
    <w:rsid w:val="00926C78"/>
    <w:rsid w:val="00926CE9"/>
    <w:rsid w:val="0092787A"/>
    <w:rsid w:val="009278C7"/>
    <w:rsid w:val="00927D18"/>
    <w:rsid w:val="00927FDC"/>
    <w:rsid w:val="0093001F"/>
    <w:rsid w:val="00930A5B"/>
    <w:rsid w:val="00930B3E"/>
    <w:rsid w:val="00930CA2"/>
    <w:rsid w:val="00930CA6"/>
    <w:rsid w:val="009311FE"/>
    <w:rsid w:val="009317A9"/>
    <w:rsid w:val="00931EC6"/>
    <w:rsid w:val="00931F25"/>
    <w:rsid w:val="009321B3"/>
    <w:rsid w:val="00932B4E"/>
    <w:rsid w:val="00932E16"/>
    <w:rsid w:val="009338B9"/>
    <w:rsid w:val="00933FB5"/>
    <w:rsid w:val="00934174"/>
    <w:rsid w:val="00934622"/>
    <w:rsid w:val="00934674"/>
    <w:rsid w:val="00934D7B"/>
    <w:rsid w:val="00934E28"/>
    <w:rsid w:val="009350C1"/>
    <w:rsid w:val="0093540B"/>
    <w:rsid w:val="00935973"/>
    <w:rsid w:val="009359E1"/>
    <w:rsid w:val="009363F0"/>
    <w:rsid w:val="0093680F"/>
    <w:rsid w:val="00936868"/>
    <w:rsid w:val="009368E8"/>
    <w:rsid w:val="009369BB"/>
    <w:rsid w:val="009371AD"/>
    <w:rsid w:val="009372BE"/>
    <w:rsid w:val="009372E1"/>
    <w:rsid w:val="009377F0"/>
    <w:rsid w:val="0093784C"/>
    <w:rsid w:val="00937D6E"/>
    <w:rsid w:val="00937F4B"/>
    <w:rsid w:val="00940179"/>
    <w:rsid w:val="009404C7"/>
    <w:rsid w:val="00940517"/>
    <w:rsid w:val="00940C6D"/>
    <w:rsid w:val="00940CA6"/>
    <w:rsid w:val="00940F8C"/>
    <w:rsid w:val="009411CC"/>
    <w:rsid w:val="009413E4"/>
    <w:rsid w:val="00941631"/>
    <w:rsid w:val="00941D68"/>
    <w:rsid w:val="00942261"/>
    <w:rsid w:val="00942C1E"/>
    <w:rsid w:val="00942E67"/>
    <w:rsid w:val="009434EB"/>
    <w:rsid w:val="00943728"/>
    <w:rsid w:val="00943DC5"/>
    <w:rsid w:val="00943EFA"/>
    <w:rsid w:val="00944AC6"/>
    <w:rsid w:val="00944F91"/>
    <w:rsid w:val="00945301"/>
    <w:rsid w:val="009454E8"/>
    <w:rsid w:val="009458FF"/>
    <w:rsid w:val="00945984"/>
    <w:rsid w:val="00946120"/>
    <w:rsid w:val="009464D4"/>
    <w:rsid w:val="009464E8"/>
    <w:rsid w:val="00946A46"/>
    <w:rsid w:val="00946D42"/>
    <w:rsid w:val="00946FE6"/>
    <w:rsid w:val="00947196"/>
    <w:rsid w:val="009472CD"/>
    <w:rsid w:val="00950AD5"/>
    <w:rsid w:val="009511AC"/>
    <w:rsid w:val="0095148B"/>
    <w:rsid w:val="009517CE"/>
    <w:rsid w:val="00951A41"/>
    <w:rsid w:val="0095243B"/>
    <w:rsid w:val="0095249F"/>
    <w:rsid w:val="00952EBD"/>
    <w:rsid w:val="009531D2"/>
    <w:rsid w:val="00953277"/>
    <w:rsid w:val="009534A4"/>
    <w:rsid w:val="00953A1E"/>
    <w:rsid w:val="00954180"/>
    <w:rsid w:val="00954301"/>
    <w:rsid w:val="00954728"/>
    <w:rsid w:val="00954A22"/>
    <w:rsid w:val="00955448"/>
    <w:rsid w:val="00955E46"/>
    <w:rsid w:val="009566AA"/>
    <w:rsid w:val="0095681A"/>
    <w:rsid w:val="00956A0E"/>
    <w:rsid w:val="00956B3A"/>
    <w:rsid w:val="009570BD"/>
    <w:rsid w:val="00957BBF"/>
    <w:rsid w:val="009602A9"/>
    <w:rsid w:val="00960468"/>
    <w:rsid w:val="009604A2"/>
    <w:rsid w:val="00960701"/>
    <w:rsid w:val="0096073D"/>
    <w:rsid w:val="00960C82"/>
    <w:rsid w:val="00960E47"/>
    <w:rsid w:val="00960F89"/>
    <w:rsid w:val="00960FF7"/>
    <w:rsid w:val="009610CF"/>
    <w:rsid w:val="0096186D"/>
    <w:rsid w:val="00961925"/>
    <w:rsid w:val="00961EEA"/>
    <w:rsid w:val="009620FE"/>
    <w:rsid w:val="009621E0"/>
    <w:rsid w:val="00962334"/>
    <w:rsid w:val="009630BB"/>
    <w:rsid w:val="00963E1E"/>
    <w:rsid w:val="0096447C"/>
    <w:rsid w:val="009644AA"/>
    <w:rsid w:val="00964A2F"/>
    <w:rsid w:val="00964ABB"/>
    <w:rsid w:val="00964E2D"/>
    <w:rsid w:val="00964FFF"/>
    <w:rsid w:val="009652EA"/>
    <w:rsid w:val="009655C6"/>
    <w:rsid w:val="009656EF"/>
    <w:rsid w:val="00965ABA"/>
    <w:rsid w:val="00965B26"/>
    <w:rsid w:val="00965E55"/>
    <w:rsid w:val="00965EE7"/>
    <w:rsid w:val="00966287"/>
    <w:rsid w:val="00966479"/>
    <w:rsid w:val="0096648D"/>
    <w:rsid w:val="009667D3"/>
    <w:rsid w:val="00966A36"/>
    <w:rsid w:val="00966E36"/>
    <w:rsid w:val="00966EDE"/>
    <w:rsid w:val="00970994"/>
    <w:rsid w:val="009714D2"/>
    <w:rsid w:val="009718D3"/>
    <w:rsid w:val="009718FA"/>
    <w:rsid w:val="00971B71"/>
    <w:rsid w:val="0097270F"/>
    <w:rsid w:val="0097288C"/>
    <w:rsid w:val="00972A93"/>
    <w:rsid w:val="00972AAB"/>
    <w:rsid w:val="00972E9F"/>
    <w:rsid w:val="009732A8"/>
    <w:rsid w:val="009737DB"/>
    <w:rsid w:val="009738C1"/>
    <w:rsid w:val="00973AAB"/>
    <w:rsid w:val="00974106"/>
    <w:rsid w:val="00974331"/>
    <w:rsid w:val="00974479"/>
    <w:rsid w:val="00974548"/>
    <w:rsid w:val="0097458D"/>
    <w:rsid w:val="00974672"/>
    <w:rsid w:val="00974DE6"/>
    <w:rsid w:val="00974EBE"/>
    <w:rsid w:val="0097535A"/>
    <w:rsid w:val="00975485"/>
    <w:rsid w:val="00975734"/>
    <w:rsid w:val="00975D19"/>
    <w:rsid w:val="00976158"/>
    <w:rsid w:val="009762EE"/>
    <w:rsid w:val="00976729"/>
    <w:rsid w:val="00976DD0"/>
    <w:rsid w:val="00976E6B"/>
    <w:rsid w:val="0097731E"/>
    <w:rsid w:val="00977743"/>
    <w:rsid w:val="009777B3"/>
    <w:rsid w:val="00977932"/>
    <w:rsid w:val="00977D04"/>
    <w:rsid w:val="00977ED5"/>
    <w:rsid w:val="00977F9E"/>
    <w:rsid w:val="009801B1"/>
    <w:rsid w:val="0098074B"/>
    <w:rsid w:val="00981410"/>
    <w:rsid w:val="0098171A"/>
    <w:rsid w:val="009819D1"/>
    <w:rsid w:val="00981CBB"/>
    <w:rsid w:val="00981DB2"/>
    <w:rsid w:val="00981E96"/>
    <w:rsid w:val="00982AA0"/>
    <w:rsid w:val="00982C61"/>
    <w:rsid w:val="0098321A"/>
    <w:rsid w:val="0098351D"/>
    <w:rsid w:val="0098396F"/>
    <w:rsid w:val="00983BA5"/>
    <w:rsid w:val="0098418C"/>
    <w:rsid w:val="009844CC"/>
    <w:rsid w:val="00984763"/>
    <w:rsid w:val="00984B1C"/>
    <w:rsid w:val="00985534"/>
    <w:rsid w:val="00985663"/>
    <w:rsid w:val="00985895"/>
    <w:rsid w:val="00985932"/>
    <w:rsid w:val="009859BD"/>
    <w:rsid w:val="00985B57"/>
    <w:rsid w:val="00986347"/>
    <w:rsid w:val="00986571"/>
    <w:rsid w:val="00986976"/>
    <w:rsid w:val="00986CA8"/>
    <w:rsid w:val="00987003"/>
    <w:rsid w:val="00987570"/>
    <w:rsid w:val="0099039E"/>
    <w:rsid w:val="0099090E"/>
    <w:rsid w:val="009909D4"/>
    <w:rsid w:val="0099106B"/>
    <w:rsid w:val="00991D73"/>
    <w:rsid w:val="00992151"/>
    <w:rsid w:val="00992628"/>
    <w:rsid w:val="00992BCF"/>
    <w:rsid w:val="00993213"/>
    <w:rsid w:val="00993298"/>
    <w:rsid w:val="0099342A"/>
    <w:rsid w:val="00993630"/>
    <w:rsid w:val="00993A6D"/>
    <w:rsid w:val="00993B3A"/>
    <w:rsid w:val="0099405B"/>
    <w:rsid w:val="00994A74"/>
    <w:rsid w:val="00994B9A"/>
    <w:rsid w:val="00994CB6"/>
    <w:rsid w:val="009953BF"/>
    <w:rsid w:val="0099540C"/>
    <w:rsid w:val="00995A10"/>
    <w:rsid w:val="00995AA7"/>
    <w:rsid w:val="00995AE8"/>
    <w:rsid w:val="00996934"/>
    <w:rsid w:val="00996D52"/>
    <w:rsid w:val="00996F6B"/>
    <w:rsid w:val="00997013"/>
    <w:rsid w:val="0099717E"/>
    <w:rsid w:val="009971A8"/>
    <w:rsid w:val="00997326"/>
    <w:rsid w:val="009A044C"/>
    <w:rsid w:val="009A05C6"/>
    <w:rsid w:val="009A0612"/>
    <w:rsid w:val="009A08E3"/>
    <w:rsid w:val="009A12CC"/>
    <w:rsid w:val="009A140D"/>
    <w:rsid w:val="009A16EA"/>
    <w:rsid w:val="009A1935"/>
    <w:rsid w:val="009A1FBB"/>
    <w:rsid w:val="009A2277"/>
    <w:rsid w:val="009A27E8"/>
    <w:rsid w:val="009A2A4C"/>
    <w:rsid w:val="009A2A8F"/>
    <w:rsid w:val="009A3193"/>
    <w:rsid w:val="009A3472"/>
    <w:rsid w:val="009A34F4"/>
    <w:rsid w:val="009A35A3"/>
    <w:rsid w:val="009A4384"/>
    <w:rsid w:val="009A4558"/>
    <w:rsid w:val="009A46C7"/>
    <w:rsid w:val="009A4EDB"/>
    <w:rsid w:val="009A4F60"/>
    <w:rsid w:val="009A5153"/>
    <w:rsid w:val="009A5ACD"/>
    <w:rsid w:val="009A5BB5"/>
    <w:rsid w:val="009A5C1E"/>
    <w:rsid w:val="009A6DEF"/>
    <w:rsid w:val="009A7128"/>
    <w:rsid w:val="009A767E"/>
    <w:rsid w:val="009A7891"/>
    <w:rsid w:val="009A78FF"/>
    <w:rsid w:val="009B04E1"/>
    <w:rsid w:val="009B096C"/>
    <w:rsid w:val="009B0AD3"/>
    <w:rsid w:val="009B0BD5"/>
    <w:rsid w:val="009B0CEC"/>
    <w:rsid w:val="009B0D51"/>
    <w:rsid w:val="009B0D52"/>
    <w:rsid w:val="009B114A"/>
    <w:rsid w:val="009B1636"/>
    <w:rsid w:val="009B1757"/>
    <w:rsid w:val="009B1951"/>
    <w:rsid w:val="009B1B37"/>
    <w:rsid w:val="009B1DD2"/>
    <w:rsid w:val="009B2379"/>
    <w:rsid w:val="009B2C0B"/>
    <w:rsid w:val="009B2D7A"/>
    <w:rsid w:val="009B30DE"/>
    <w:rsid w:val="009B316F"/>
    <w:rsid w:val="009B336D"/>
    <w:rsid w:val="009B38F8"/>
    <w:rsid w:val="009B42EE"/>
    <w:rsid w:val="009B4376"/>
    <w:rsid w:val="009B45EF"/>
    <w:rsid w:val="009B491B"/>
    <w:rsid w:val="009B4B7A"/>
    <w:rsid w:val="009B5253"/>
    <w:rsid w:val="009B52CC"/>
    <w:rsid w:val="009B5D67"/>
    <w:rsid w:val="009B60A5"/>
    <w:rsid w:val="009B7159"/>
    <w:rsid w:val="009B73E5"/>
    <w:rsid w:val="009B7930"/>
    <w:rsid w:val="009B7C4F"/>
    <w:rsid w:val="009C06B5"/>
    <w:rsid w:val="009C077C"/>
    <w:rsid w:val="009C0A1C"/>
    <w:rsid w:val="009C0D2D"/>
    <w:rsid w:val="009C119D"/>
    <w:rsid w:val="009C180E"/>
    <w:rsid w:val="009C1C37"/>
    <w:rsid w:val="009C1D1E"/>
    <w:rsid w:val="009C2323"/>
    <w:rsid w:val="009C2989"/>
    <w:rsid w:val="009C2CBD"/>
    <w:rsid w:val="009C305F"/>
    <w:rsid w:val="009C349B"/>
    <w:rsid w:val="009C392F"/>
    <w:rsid w:val="009C4191"/>
    <w:rsid w:val="009C5694"/>
    <w:rsid w:val="009C5EDF"/>
    <w:rsid w:val="009C5FC4"/>
    <w:rsid w:val="009C60F1"/>
    <w:rsid w:val="009C6586"/>
    <w:rsid w:val="009C6701"/>
    <w:rsid w:val="009C6D56"/>
    <w:rsid w:val="009C6D61"/>
    <w:rsid w:val="009C6FFF"/>
    <w:rsid w:val="009C77C3"/>
    <w:rsid w:val="009C7C8F"/>
    <w:rsid w:val="009D0128"/>
    <w:rsid w:val="009D0164"/>
    <w:rsid w:val="009D0357"/>
    <w:rsid w:val="009D0B48"/>
    <w:rsid w:val="009D13C1"/>
    <w:rsid w:val="009D14C7"/>
    <w:rsid w:val="009D1666"/>
    <w:rsid w:val="009D1DED"/>
    <w:rsid w:val="009D222A"/>
    <w:rsid w:val="009D223B"/>
    <w:rsid w:val="009D2743"/>
    <w:rsid w:val="009D2744"/>
    <w:rsid w:val="009D2995"/>
    <w:rsid w:val="009D299A"/>
    <w:rsid w:val="009D2F76"/>
    <w:rsid w:val="009D30E7"/>
    <w:rsid w:val="009D34F2"/>
    <w:rsid w:val="009D3568"/>
    <w:rsid w:val="009D38BB"/>
    <w:rsid w:val="009D3A00"/>
    <w:rsid w:val="009D3B82"/>
    <w:rsid w:val="009D3B8F"/>
    <w:rsid w:val="009D407E"/>
    <w:rsid w:val="009D4200"/>
    <w:rsid w:val="009D42CD"/>
    <w:rsid w:val="009D4EF4"/>
    <w:rsid w:val="009D5028"/>
    <w:rsid w:val="009D52DB"/>
    <w:rsid w:val="009D533E"/>
    <w:rsid w:val="009D56DA"/>
    <w:rsid w:val="009D5734"/>
    <w:rsid w:val="009D59FE"/>
    <w:rsid w:val="009D5ABE"/>
    <w:rsid w:val="009D5C33"/>
    <w:rsid w:val="009D5DCF"/>
    <w:rsid w:val="009D5F0F"/>
    <w:rsid w:val="009D5F31"/>
    <w:rsid w:val="009D6619"/>
    <w:rsid w:val="009D67A9"/>
    <w:rsid w:val="009D68EC"/>
    <w:rsid w:val="009D69AE"/>
    <w:rsid w:val="009D6A72"/>
    <w:rsid w:val="009D6EE5"/>
    <w:rsid w:val="009D7034"/>
    <w:rsid w:val="009D7324"/>
    <w:rsid w:val="009D7335"/>
    <w:rsid w:val="009D7447"/>
    <w:rsid w:val="009D7870"/>
    <w:rsid w:val="009D79E0"/>
    <w:rsid w:val="009D7C38"/>
    <w:rsid w:val="009D7F40"/>
    <w:rsid w:val="009E02C6"/>
    <w:rsid w:val="009E05E9"/>
    <w:rsid w:val="009E0A2C"/>
    <w:rsid w:val="009E0A97"/>
    <w:rsid w:val="009E10A0"/>
    <w:rsid w:val="009E11A3"/>
    <w:rsid w:val="009E1A89"/>
    <w:rsid w:val="009E1DC8"/>
    <w:rsid w:val="009E1EDA"/>
    <w:rsid w:val="009E1F0A"/>
    <w:rsid w:val="009E21D0"/>
    <w:rsid w:val="009E2E65"/>
    <w:rsid w:val="009E34DE"/>
    <w:rsid w:val="009E3782"/>
    <w:rsid w:val="009E3904"/>
    <w:rsid w:val="009E3C87"/>
    <w:rsid w:val="009E3D44"/>
    <w:rsid w:val="009E3DA7"/>
    <w:rsid w:val="009E3E5A"/>
    <w:rsid w:val="009E404D"/>
    <w:rsid w:val="009E4285"/>
    <w:rsid w:val="009E434C"/>
    <w:rsid w:val="009E482D"/>
    <w:rsid w:val="009E492C"/>
    <w:rsid w:val="009E4B94"/>
    <w:rsid w:val="009E4E5B"/>
    <w:rsid w:val="009E4EBF"/>
    <w:rsid w:val="009E4F4F"/>
    <w:rsid w:val="009E4FD0"/>
    <w:rsid w:val="009E5400"/>
    <w:rsid w:val="009E554A"/>
    <w:rsid w:val="009E5614"/>
    <w:rsid w:val="009E562D"/>
    <w:rsid w:val="009E5698"/>
    <w:rsid w:val="009E56BD"/>
    <w:rsid w:val="009E62A4"/>
    <w:rsid w:val="009E64D2"/>
    <w:rsid w:val="009E6D4E"/>
    <w:rsid w:val="009E6E05"/>
    <w:rsid w:val="009E7076"/>
    <w:rsid w:val="009E73A2"/>
    <w:rsid w:val="009E7D71"/>
    <w:rsid w:val="009E7FD1"/>
    <w:rsid w:val="009F0364"/>
    <w:rsid w:val="009F04D0"/>
    <w:rsid w:val="009F0985"/>
    <w:rsid w:val="009F09F1"/>
    <w:rsid w:val="009F0BB4"/>
    <w:rsid w:val="009F0F6A"/>
    <w:rsid w:val="009F1350"/>
    <w:rsid w:val="009F1787"/>
    <w:rsid w:val="009F187F"/>
    <w:rsid w:val="009F2008"/>
    <w:rsid w:val="009F2E78"/>
    <w:rsid w:val="009F3082"/>
    <w:rsid w:val="009F3A0C"/>
    <w:rsid w:val="009F3A4E"/>
    <w:rsid w:val="009F3B83"/>
    <w:rsid w:val="009F44CB"/>
    <w:rsid w:val="009F4A02"/>
    <w:rsid w:val="009F4DA7"/>
    <w:rsid w:val="009F53F3"/>
    <w:rsid w:val="009F588C"/>
    <w:rsid w:val="009F5AA1"/>
    <w:rsid w:val="009F5AF6"/>
    <w:rsid w:val="009F5EC8"/>
    <w:rsid w:val="009F5FE9"/>
    <w:rsid w:val="009F5FF1"/>
    <w:rsid w:val="009F62E5"/>
    <w:rsid w:val="009F67AB"/>
    <w:rsid w:val="009F6AE8"/>
    <w:rsid w:val="009F6C82"/>
    <w:rsid w:val="009F6E3A"/>
    <w:rsid w:val="009F6F89"/>
    <w:rsid w:val="009F70BF"/>
    <w:rsid w:val="009F7150"/>
    <w:rsid w:val="009F73CE"/>
    <w:rsid w:val="009F7547"/>
    <w:rsid w:val="009F768E"/>
    <w:rsid w:val="009F773F"/>
    <w:rsid w:val="009F7E0E"/>
    <w:rsid w:val="009F7E58"/>
    <w:rsid w:val="00A000A3"/>
    <w:rsid w:val="00A00256"/>
    <w:rsid w:val="00A007E5"/>
    <w:rsid w:val="00A00A7F"/>
    <w:rsid w:val="00A00CD1"/>
    <w:rsid w:val="00A00CD3"/>
    <w:rsid w:val="00A011CE"/>
    <w:rsid w:val="00A017BF"/>
    <w:rsid w:val="00A01B20"/>
    <w:rsid w:val="00A01C6A"/>
    <w:rsid w:val="00A01EAE"/>
    <w:rsid w:val="00A037DB"/>
    <w:rsid w:val="00A037E0"/>
    <w:rsid w:val="00A037E3"/>
    <w:rsid w:val="00A04189"/>
    <w:rsid w:val="00A047B6"/>
    <w:rsid w:val="00A04A56"/>
    <w:rsid w:val="00A04B97"/>
    <w:rsid w:val="00A04CDB"/>
    <w:rsid w:val="00A054ED"/>
    <w:rsid w:val="00A06009"/>
    <w:rsid w:val="00A067C8"/>
    <w:rsid w:val="00A06908"/>
    <w:rsid w:val="00A06BFE"/>
    <w:rsid w:val="00A06EEC"/>
    <w:rsid w:val="00A06F6B"/>
    <w:rsid w:val="00A0715D"/>
    <w:rsid w:val="00A079AD"/>
    <w:rsid w:val="00A079C0"/>
    <w:rsid w:val="00A07E56"/>
    <w:rsid w:val="00A07E87"/>
    <w:rsid w:val="00A07F42"/>
    <w:rsid w:val="00A103A2"/>
    <w:rsid w:val="00A10482"/>
    <w:rsid w:val="00A115ED"/>
    <w:rsid w:val="00A118C6"/>
    <w:rsid w:val="00A11C5D"/>
    <w:rsid w:val="00A122CF"/>
    <w:rsid w:val="00A127F5"/>
    <w:rsid w:val="00A12955"/>
    <w:rsid w:val="00A12A8F"/>
    <w:rsid w:val="00A12AE5"/>
    <w:rsid w:val="00A13492"/>
    <w:rsid w:val="00A138CB"/>
    <w:rsid w:val="00A13ABE"/>
    <w:rsid w:val="00A13AE5"/>
    <w:rsid w:val="00A13B2D"/>
    <w:rsid w:val="00A13BC7"/>
    <w:rsid w:val="00A13BF0"/>
    <w:rsid w:val="00A13C69"/>
    <w:rsid w:val="00A13E61"/>
    <w:rsid w:val="00A13EFC"/>
    <w:rsid w:val="00A14B12"/>
    <w:rsid w:val="00A14DF2"/>
    <w:rsid w:val="00A1513A"/>
    <w:rsid w:val="00A1527D"/>
    <w:rsid w:val="00A152D8"/>
    <w:rsid w:val="00A15332"/>
    <w:rsid w:val="00A15805"/>
    <w:rsid w:val="00A158F2"/>
    <w:rsid w:val="00A15917"/>
    <w:rsid w:val="00A15AE2"/>
    <w:rsid w:val="00A15C23"/>
    <w:rsid w:val="00A15FB0"/>
    <w:rsid w:val="00A1608E"/>
    <w:rsid w:val="00A16315"/>
    <w:rsid w:val="00A16520"/>
    <w:rsid w:val="00A16821"/>
    <w:rsid w:val="00A16A01"/>
    <w:rsid w:val="00A16B61"/>
    <w:rsid w:val="00A16C18"/>
    <w:rsid w:val="00A172F6"/>
    <w:rsid w:val="00A17844"/>
    <w:rsid w:val="00A17BD4"/>
    <w:rsid w:val="00A17EFA"/>
    <w:rsid w:val="00A206D4"/>
    <w:rsid w:val="00A20DB9"/>
    <w:rsid w:val="00A213D1"/>
    <w:rsid w:val="00A2146B"/>
    <w:rsid w:val="00A2161D"/>
    <w:rsid w:val="00A217A1"/>
    <w:rsid w:val="00A21892"/>
    <w:rsid w:val="00A21AB1"/>
    <w:rsid w:val="00A21C3C"/>
    <w:rsid w:val="00A21EBA"/>
    <w:rsid w:val="00A22149"/>
    <w:rsid w:val="00A2234D"/>
    <w:rsid w:val="00A2287B"/>
    <w:rsid w:val="00A23A14"/>
    <w:rsid w:val="00A23A1A"/>
    <w:rsid w:val="00A23B95"/>
    <w:rsid w:val="00A23F59"/>
    <w:rsid w:val="00A2402C"/>
    <w:rsid w:val="00A2416E"/>
    <w:rsid w:val="00A24380"/>
    <w:rsid w:val="00A245D3"/>
    <w:rsid w:val="00A24885"/>
    <w:rsid w:val="00A24AF4"/>
    <w:rsid w:val="00A25EB7"/>
    <w:rsid w:val="00A260CB"/>
    <w:rsid w:val="00A2611B"/>
    <w:rsid w:val="00A26418"/>
    <w:rsid w:val="00A2647B"/>
    <w:rsid w:val="00A26FDC"/>
    <w:rsid w:val="00A27279"/>
    <w:rsid w:val="00A27340"/>
    <w:rsid w:val="00A273BF"/>
    <w:rsid w:val="00A274C1"/>
    <w:rsid w:val="00A27A2D"/>
    <w:rsid w:val="00A27D04"/>
    <w:rsid w:val="00A27F53"/>
    <w:rsid w:val="00A305E9"/>
    <w:rsid w:val="00A30B3C"/>
    <w:rsid w:val="00A31FC4"/>
    <w:rsid w:val="00A32365"/>
    <w:rsid w:val="00A32653"/>
    <w:rsid w:val="00A33A15"/>
    <w:rsid w:val="00A34160"/>
    <w:rsid w:val="00A34A68"/>
    <w:rsid w:val="00A35090"/>
    <w:rsid w:val="00A3557D"/>
    <w:rsid w:val="00A35818"/>
    <w:rsid w:val="00A35876"/>
    <w:rsid w:val="00A35D55"/>
    <w:rsid w:val="00A35DDA"/>
    <w:rsid w:val="00A3614D"/>
    <w:rsid w:val="00A36199"/>
    <w:rsid w:val="00A3649C"/>
    <w:rsid w:val="00A36CCE"/>
    <w:rsid w:val="00A36D60"/>
    <w:rsid w:val="00A371C9"/>
    <w:rsid w:val="00A3753E"/>
    <w:rsid w:val="00A379C9"/>
    <w:rsid w:val="00A400B6"/>
    <w:rsid w:val="00A404E6"/>
    <w:rsid w:val="00A407E1"/>
    <w:rsid w:val="00A40A0F"/>
    <w:rsid w:val="00A40B29"/>
    <w:rsid w:val="00A40D41"/>
    <w:rsid w:val="00A40D9B"/>
    <w:rsid w:val="00A410B8"/>
    <w:rsid w:val="00A4151B"/>
    <w:rsid w:val="00A41E3D"/>
    <w:rsid w:val="00A42211"/>
    <w:rsid w:val="00A4265B"/>
    <w:rsid w:val="00A42CD4"/>
    <w:rsid w:val="00A42D43"/>
    <w:rsid w:val="00A4310B"/>
    <w:rsid w:val="00A43188"/>
    <w:rsid w:val="00A4386C"/>
    <w:rsid w:val="00A43B0B"/>
    <w:rsid w:val="00A43B24"/>
    <w:rsid w:val="00A43CB0"/>
    <w:rsid w:val="00A43FBB"/>
    <w:rsid w:val="00A440A1"/>
    <w:rsid w:val="00A443BE"/>
    <w:rsid w:val="00A4469B"/>
    <w:rsid w:val="00A44CB9"/>
    <w:rsid w:val="00A44F0D"/>
    <w:rsid w:val="00A4511B"/>
    <w:rsid w:val="00A45283"/>
    <w:rsid w:val="00A45425"/>
    <w:rsid w:val="00A45959"/>
    <w:rsid w:val="00A461FA"/>
    <w:rsid w:val="00A46680"/>
    <w:rsid w:val="00A46EAD"/>
    <w:rsid w:val="00A476F5"/>
    <w:rsid w:val="00A47CDF"/>
    <w:rsid w:val="00A503C2"/>
    <w:rsid w:val="00A504FF"/>
    <w:rsid w:val="00A50CBA"/>
    <w:rsid w:val="00A50E9C"/>
    <w:rsid w:val="00A51034"/>
    <w:rsid w:val="00A515F3"/>
    <w:rsid w:val="00A519CA"/>
    <w:rsid w:val="00A51C57"/>
    <w:rsid w:val="00A51CC5"/>
    <w:rsid w:val="00A52704"/>
    <w:rsid w:val="00A52D3C"/>
    <w:rsid w:val="00A52D88"/>
    <w:rsid w:val="00A5306A"/>
    <w:rsid w:val="00A5318C"/>
    <w:rsid w:val="00A5319B"/>
    <w:rsid w:val="00A53430"/>
    <w:rsid w:val="00A536AF"/>
    <w:rsid w:val="00A5378A"/>
    <w:rsid w:val="00A53ADA"/>
    <w:rsid w:val="00A53BED"/>
    <w:rsid w:val="00A53D23"/>
    <w:rsid w:val="00A54109"/>
    <w:rsid w:val="00A54210"/>
    <w:rsid w:val="00A54397"/>
    <w:rsid w:val="00A54A46"/>
    <w:rsid w:val="00A54B76"/>
    <w:rsid w:val="00A54B83"/>
    <w:rsid w:val="00A54BC2"/>
    <w:rsid w:val="00A54E4D"/>
    <w:rsid w:val="00A54F8F"/>
    <w:rsid w:val="00A55646"/>
    <w:rsid w:val="00A558ED"/>
    <w:rsid w:val="00A559EE"/>
    <w:rsid w:val="00A55A4E"/>
    <w:rsid w:val="00A55DB3"/>
    <w:rsid w:val="00A56119"/>
    <w:rsid w:val="00A56198"/>
    <w:rsid w:val="00A562D4"/>
    <w:rsid w:val="00A5691E"/>
    <w:rsid w:val="00A56DF6"/>
    <w:rsid w:val="00A570BA"/>
    <w:rsid w:val="00A57320"/>
    <w:rsid w:val="00A57B27"/>
    <w:rsid w:val="00A57E40"/>
    <w:rsid w:val="00A600A2"/>
    <w:rsid w:val="00A60106"/>
    <w:rsid w:val="00A603C5"/>
    <w:rsid w:val="00A605DC"/>
    <w:rsid w:val="00A6070E"/>
    <w:rsid w:val="00A608E5"/>
    <w:rsid w:val="00A60C15"/>
    <w:rsid w:val="00A6100C"/>
    <w:rsid w:val="00A615D0"/>
    <w:rsid w:val="00A615EB"/>
    <w:rsid w:val="00A61672"/>
    <w:rsid w:val="00A61947"/>
    <w:rsid w:val="00A61F19"/>
    <w:rsid w:val="00A620AC"/>
    <w:rsid w:val="00A622EC"/>
    <w:rsid w:val="00A62E3D"/>
    <w:rsid w:val="00A62F5F"/>
    <w:rsid w:val="00A6305F"/>
    <w:rsid w:val="00A6342F"/>
    <w:rsid w:val="00A634BB"/>
    <w:rsid w:val="00A6379B"/>
    <w:rsid w:val="00A637E9"/>
    <w:rsid w:val="00A6389E"/>
    <w:rsid w:val="00A64216"/>
    <w:rsid w:val="00A64496"/>
    <w:rsid w:val="00A645A6"/>
    <w:rsid w:val="00A647E8"/>
    <w:rsid w:val="00A64AB4"/>
    <w:rsid w:val="00A6572A"/>
    <w:rsid w:val="00A65F05"/>
    <w:rsid w:val="00A65F3B"/>
    <w:rsid w:val="00A6614B"/>
    <w:rsid w:val="00A66543"/>
    <w:rsid w:val="00A66C5B"/>
    <w:rsid w:val="00A66CCB"/>
    <w:rsid w:val="00A670D2"/>
    <w:rsid w:val="00A67F29"/>
    <w:rsid w:val="00A6AA8A"/>
    <w:rsid w:val="00A701AA"/>
    <w:rsid w:val="00A7092B"/>
    <w:rsid w:val="00A70C15"/>
    <w:rsid w:val="00A70F3B"/>
    <w:rsid w:val="00A71179"/>
    <w:rsid w:val="00A71246"/>
    <w:rsid w:val="00A71B3F"/>
    <w:rsid w:val="00A71DC5"/>
    <w:rsid w:val="00A71F74"/>
    <w:rsid w:val="00A71FDF"/>
    <w:rsid w:val="00A727E1"/>
    <w:rsid w:val="00A72D1E"/>
    <w:rsid w:val="00A72DAA"/>
    <w:rsid w:val="00A731ED"/>
    <w:rsid w:val="00A7353D"/>
    <w:rsid w:val="00A73D00"/>
    <w:rsid w:val="00A7459A"/>
    <w:rsid w:val="00A74F2C"/>
    <w:rsid w:val="00A75BAB"/>
    <w:rsid w:val="00A76154"/>
    <w:rsid w:val="00A761BB"/>
    <w:rsid w:val="00A762E7"/>
    <w:rsid w:val="00A76454"/>
    <w:rsid w:val="00A767A6"/>
    <w:rsid w:val="00A76FE1"/>
    <w:rsid w:val="00A772C2"/>
    <w:rsid w:val="00A776D7"/>
    <w:rsid w:val="00A777CE"/>
    <w:rsid w:val="00A7789A"/>
    <w:rsid w:val="00A779B8"/>
    <w:rsid w:val="00A805ED"/>
    <w:rsid w:val="00A808CF"/>
    <w:rsid w:val="00A81AD8"/>
    <w:rsid w:val="00A8200D"/>
    <w:rsid w:val="00A8205B"/>
    <w:rsid w:val="00A82339"/>
    <w:rsid w:val="00A82790"/>
    <w:rsid w:val="00A82803"/>
    <w:rsid w:val="00A8288B"/>
    <w:rsid w:val="00A83082"/>
    <w:rsid w:val="00A834A4"/>
    <w:rsid w:val="00A835D1"/>
    <w:rsid w:val="00A83A03"/>
    <w:rsid w:val="00A83BB8"/>
    <w:rsid w:val="00A83DB6"/>
    <w:rsid w:val="00A83DF9"/>
    <w:rsid w:val="00A843F6"/>
    <w:rsid w:val="00A8468A"/>
    <w:rsid w:val="00A84A9F"/>
    <w:rsid w:val="00A84EAF"/>
    <w:rsid w:val="00A84F61"/>
    <w:rsid w:val="00A84FE5"/>
    <w:rsid w:val="00A853E7"/>
    <w:rsid w:val="00A854F3"/>
    <w:rsid w:val="00A85851"/>
    <w:rsid w:val="00A859F2"/>
    <w:rsid w:val="00A85D29"/>
    <w:rsid w:val="00A85D57"/>
    <w:rsid w:val="00A860D4"/>
    <w:rsid w:val="00A864EB"/>
    <w:rsid w:val="00A866A2"/>
    <w:rsid w:val="00A86C49"/>
    <w:rsid w:val="00A86D8E"/>
    <w:rsid w:val="00A86F20"/>
    <w:rsid w:val="00A87420"/>
    <w:rsid w:val="00A8744B"/>
    <w:rsid w:val="00A9020B"/>
    <w:rsid w:val="00A905EE"/>
    <w:rsid w:val="00A90725"/>
    <w:rsid w:val="00A909CD"/>
    <w:rsid w:val="00A90E9D"/>
    <w:rsid w:val="00A90F49"/>
    <w:rsid w:val="00A90FBB"/>
    <w:rsid w:val="00A9107C"/>
    <w:rsid w:val="00A911FE"/>
    <w:rsid w:val="00A91B8C"/>
    <w:rsid w:val="00A91BAD"/>
    <w:rsid w:val="00A92000"/>
    <w:rsid w:val="00A9225D"/>
    <w:rsid w:val="00A92461"/>
    <w:rsid w:val="00A925DD"/>
    <w:rsid w:val="00A927E9"/>
    <w:rsid w:val="00A92B57"/>
    <w:rsid w:val="00A92F95"/>
    <w:rsid w:val="00A930E7"/>
    <w:rsid w:val="00A93D9C"/>
    <w:rsid w:val="00A93E68"/>
    <w:rsid w:val="00A94021"/>
    <w:rsid w:val="00A94053"/>
    <w:rsid w:val="00A943BC"/>
    <w:rsid w:val="00A94880"/>
    <w:rsid w:val="00A94B26"/>
    <w:rsid w:val="00A94BE9"/>
    <w:rsid w:val="00A95541"/>
    <w:rsid w:val="00A95848"/>
    <w:rsid w:val="00A95902"/>
    <w:rsid w:val="00A95B29"/>
    <w:rsid w:val="00A95BFE"/>
    <w:rsid w:val="00A9676E"/>
    <w:rsid w:val="00A968D7"/>
    <w:rsid w:val="00A97318"/>
    <w:rsid w:val="00A97671"/>
    <w:rsid w:val="00A97B07"/>
    <w:rsid w:val="00A97D1B"/>
    <w:rsid w:val="00AA000A"/>
    <w:rsid w:val="00AA02FD"/>
    <w:rsid w:val="00AA0903"/>
    <w:rsid w:val="00AA1364"/>
    <w:rsid w:val="00AA14D5"/>
    <w:rsid w:val="00AA19FC"/>
    <w:rsid w:val="00AA1EEE"/>
    <w:rsid w:val="00AA2232"/>
    <w:rsid w:val="00AA223A"/>
    <w:rsid w:val="00AA28EE"/>
    <w:rsid w:val="00AA29BC"/>
    <w:rsid w:val="00AA2A43"/>
    <w:rsid w:val="00AA2B0E"/>
    <w:rsid w:val="00AA315F"/>
    <w:rsid w:val="00AA337E"/>
    <w:rsid w:val="00AA351C"/>
    <w:rsid w:val="00AA3A52"/>
    <w:rsid w:val="00AA3ADC"/>
    <w:rsid w:val="00AA4D24"/>
    <w:rsid w:val="00AA4EFD"/>
    <w:rsid w:val="00AA5102"/>
    <w:rsid w:val="00AA5A89"/>
    <w:rsid w:val="00AA6190"/>
    <w:rsid w:val="00AA6486"/>
    <w:rsid w:val="00AA6903"/>
    <w:rsid w:val="00AA6AC8"/>
    <w:rsid w:val="00AA6BAE"/>
    <w:rsid w:val="00AA7329"/>
    <w:rsid w:val="00AA7734"/>
    <w:rsid w:val="00AA7C4B"/>
    <w:rsid w:val="00AB035B"/>
    <w:rsid w:val="00AB03E2"/>
    <w:rsid w:val="00AB0D52"/>
    <w:rsid w:val="00AB0EBC"/>
    <w:rsid w:val="00AB101F"/>
    <w:rsid w:val="00AB1209"/>
    <w:rsid w:val="00AB1409"/>
    <w:rsid w:val="00AB1448"/>
    <w:rsid w:val="00AB19DA"/>
    <w:rsid w:val="00AB1A3C"/>
    <w:rsid w:val="00AB1EEB"/>
    <w:rsid w:val="00AB2132"/>
    <w:rsid w:val="00AB220C"/>
    <w:rsid w:val="00AB2450"/>
    <w:rsid w:val="00AB2721"/>
    <w:rsid w:val="00AB29A3"/>
    <w:rsid w:val="00AB30AE"/>
    <w:rsid w:val="00AB3507"/>
    <w:rsid w:val="00AB394C"/>
    <w:rsid w:val="00AB3981"/>
    <w:rsid w:val="00AB3A74"/>
    <w:rsid w:val="00AB3F4D"/>
    <w:rsid w:val="00AB3FCA"/>
    <w:rsid w:val="00AB4223"/>
    <w:rsid w:val="00AB426D"/>
    <w:rsid w:val="00AB4A5B"/>
    <w:rsid w:val="00AB561D"/>
    <w:rsid w:val="00AB5A1B"/>
    <w:rsid w:val="00AB5F98"/>
    <w:rsid w:val="00AB60B4"/>
    <w:rsid w:val="00AB6149"/>
    <w:rsid w:val="00AB68B2"/>
    <w:rsid w:val="00AB6AF9"/>
    <w:rsid w:val="00AB6B5D"/>
    <w:rsid w:val="00AB6B72"/>
    <w:rsid w:val="00AB7063"/>
    <w:rsid w:val="00AB7168"/>
    <w:rsid w:val="00AB757F"/>
    <w:rsid w:val="00AB75C6"/>
    <w:rsid w:val="00AB7645"/>
    <w:rsid w:val="00AB7A0E"/>
    <w:rsid w:val="00AB7BD1"/>
    <w:rsid w:val="00AB7F86"/>
    <w:rsid w:val="00AC05E0"/>
    <w:rsid w:val="00AC0694"/>
    <w:rsid w:val="00AC0B25"/>
    <w:rsid w:val="00AC0C48"/>
    <w:rsid w:val="00AC0D42"/>
    <w:rsid w:val="00AC12E0"/>
    <w:rsid w:val="00AC194A"/>
    <w:rsid w:val="00AC1AD1"/>
    <w:rsid w:val="00AC1D51"/>
    <w:rsid w:val="00AC1F2B"/>
    <w:rsid w:val="00AC2176"/>
    <w:rsid w:val="00AC2388"/>
    <w:rsid w:val="00AC266D"/>
    <w:rsid w:val="00AC2B31"/>
    <w:rsid w:val="00AC2CAE"/>
    <w:rsid w:val="00AC2DDF"/>
    <w:rsid w:val="00AC2E1A"/>
    <w:rsid w:val="00AC32A4"/>
    <w:rsid w:val="00AC3883"/>
    <w:rsid w:val="00AC38D1"/>
    <w:rsid w:val="00AC3F26"/>
    <w:rsid w:val="00AC41F5"/>
    <w:rsid w:val="00AC41FA"/>
    <w:rsid w:val="00AC4DEC"/>
    <w:rsid w:val="00AC4F35"/>
    <w:rsid w:val="00AC51D3"/>
    <w:rsid w:val="00AC5342"/>
    <w:rsid w:val="00AC55B2"/>
    <w:rsid w:val="00AC577D"/>
    <w:rsid w:val="00AC57A5"/>
    <w:rsid w:val="00AC5AD7"/>
    <w:rsid w:val="00AC5C1D"/>
    <w:rsid w:val="00AC635C"/>
    <w:rsid w:val="00AC643F"/>
    <w:rsid w:val="00AC676B"/>
    <w:rsid w:val="00AC6887"/>
    <w:rsid w:val="00AC7009"/>
    <w:rsid w:val="00AC727C"/>
    <w:rsid w:val="00AC7E3C"/>
    <w:rsid w:val="00AD010A"/>
    <w:rsid w:val="00AD01BA"/>
    <w:rsid w:val="00AD044B"/>
    <w:rsid w:val="00AD08F4"/>
    <w:rsid w:val="00AD092F"/>
    <w:rsid w:val="00AD0A08"/>
    <w:rsid w:val="00AD0BAC"/>
    <w:rsid w:val="00AD0C76"/>
    <w:rsid w:val="00AD0EB8"/>
    <w:rsid w:val="00AD12EB"/>
    <w:rsid w:val="00AD1E44"/>
    <w:rsid w:val="00AD1F77"/>
    <w:rsid w:val="00AD245E"/>
    <w:rsid w:val="00AD28C0"/>
    <w:rsid w:val="00AD2F77"/>
    <w:rsid w:val="00AD3210"/>
    <w:rsid w:val="00AD3590"/>
    <w:rsid w:val="00AD35DB"/>
    <w:rsid w:val="00AD3917"/>
    <w:rsid w:val="00AD3C30"/>
    <w:rsid w:val="00AD3ECE"/>
    <w:rsid w:val="00AD447A"/>
    <w:rsid w:val="00AD44F2"/>
    <w:rsid w:val="00AD465D"/>
    <w:rsid w:val="00AD4816"/>
    <w:rsid w:val="00AD48F6"/>
    <w:rsid w:val="00AD498D"/>
    <w:rsid w:val="00AD5024"/>
    <w:rsid w:val="00AD5448"/>
    <w:rsid w:val="00AD57F2"/>
    <w:rsid w:val="00AD5A44"/>
    <w:rsid w:val="00AD5A77"/>
    <w:rsid w:val="00AD5B97"/>
    <w:rsid w:val="00AD5ED5"/>
    <w:rsid w:val="00AD605C"/>
    <w:rsid w:val="00AD656B"/>
    <w:rsid w:val="00AD6BCD"/>
    <w:rsid w:val="00AD766A"/>
    <w:rsid w:val="00AD7E1D"/>
    <w:rsid w:val="00AE0986"/>
    <w:rsid w:val="00AE0E33"/>
    <w:rsid w:val="00AE0E78"/>
    <w:rsid w:val="00AE0FAD"/>
    <w:rsid w:val="00AE143B"/>
    <w:rsid w:val="00AE1C9E"/>
    <w:rsid w:val="00AE1E7E"/>
    <w:rsid w:val="00AE20E7"/>
    <w:rsid w:val="00AE221F"/>
    <w:rsid w:val="00AE2A8D"/>
    <w:rsid w:val="00AE2AD6"/>
    <w:rsid w:val="00AE2BFB"/>
    <w:rsid w:val="00AE2C59"/>
    <w:rsid w:val="00AE2C95"/>
    <w:rsid w:val="00AE2E90"/>
    <w:rsid w:val="00AE3059"/>
    <w:rsid w:val="00AE3491"/>
    <w:rsid w:val="00AE3836"/>
    <w:rsid w:val="00AE3BBE"/>
    <w:rsid w:val="00AE3CB2"/>
    <w:rsid w:val="00AE4493"/>
    <w:rsid w:val="00AE458A"/>
    <w:rsid w:val="00AE4B69"/>
    <w:rsid w:val="00AE4D20"/>
    <w:rsid w:val="00AE4D4C"/>
    <w:rsid w:val="00AE5286"/>
    <w:rsid w:val="00AE52C4"/>
    <w:rsid w:val="00AE533E"/>
    <w:rsid w:val="00AE54B8"/>
    <w:rsid w:val="00AE6128"/>
    <w:rsid w:val="00AE638E"/>
    <w:rsid w:val="00AE63FE"/>
    <w:rsid w:val="00AE6C6D"/>
    <w:rsid w:val="00AE794F"/>
    <w:rsid w:val="00AF0542"/>
    <w:rsid w:val="00AF0646"/>
    <w:rsid w:val="00AF09E5"/>
    <w:rsid w:val="00AF0C8B"/>
    <w:rsid w:val="00AF110D"/>
    <w:rsid w:val="00AF11A7"/>
    <w:rsid w:val="00AF1298"/>
    <w:rsid w:val="00AF2121"/>
    <w:rsid w:val="00AF21DC"/>
    <w:rsid w:val="00AF23B1"/>
    <w:rsid w:val="00AF2654"/>
    <w:rsid w:val="00AF26C7"/>
    <w:rsid w:val="00AF29DA"/>
    <w:rsid w:val="00AF2C70"/>
    <w:rsid w:val="00AF2D0C"/>
    <w:rsid w:val="00AF3312"/>
    <w:rsid w:val="00AF396D"/>
    <w:rsid w:val="00AF3AA8"/>
    <w:rsid w:val="00AF3ADC"/>
    <w:rsid w:val="00AF4200"/>
    <w:rsid w:val="00AF4368"/>
    <w:rsid w:val="00AF4480"/>
    <w:rsid w:val="00AF4E3E"/>
    <w:rsid w:val="00AF5D20"/>
    <w:rsid w:val="00AF665B"/>
    <w:rsid w:val="00AF6F44"/>
    <w:rsid w:val="00AF6FE1"/>
    <w:rsid w:val="00AF7199"/>
    <w:rsid w:val="00AF750B"/>
    <w:rsid w:val="00AF76F9"/>
    <w:rsid w:val="00AF7EA9"/>
    <w:rsid w:val="00B003CE"/>
    <w:rsid w:val="00B004EC"/>
    <w:rsid w:val="00B00681"/>
    <w:rsid w:val="00B00C0C"/>
    <w:rsid w:val="00B00D53"/>
    <w:rsid w:val="00B01650"/>
    <w:rsid w:val="00B01A58"/>
    <w:rsid w:val="00B01ABC"/>
    <w:rsid w:val="00B01E0C"/>
    <w:rsid w:val="00B0226B"/>
    <w:rsid w:val="00B023C2"/>
    <w:rsid w:val="00B02AD1"/>
    <w:rsid w:val="00B02BC4"/>
    <w:rsid w:val="00B02E46"/>
    <w:rsid w:val="00B02EF5"/>
    <w:rsid w:val="00B0306F"/>
    <w:rsid w:val="00B03377"/>
    <w:rsid w:val="00B03A10"/>
    <w:rsid w:val="00B03D6B"/>
    <w:rsid w:val="00B04203"/>
    <w:rsid w:val="00B04371"/>
    <w:rsid w:val="00B046CB"/>
    <w:rsid w:val="00B04E03"/>
    <w:rsid w:val="00B058D2"/>
    <w:rsid w:val="00B05A07"/>
    <w:rsid w:val="00B05E8C"/>
    <w:rsid w:val="00B0626F"/>
    <w:rsid w:val="00B06474"/>
    <w:rsid w:val="00B06893"/>
    <w:rsid w:val="00B06979"/>
    <w:rsid w:val="00B06C5D"/>
    <w:rsid w:val="00B0714F"/>
    <w:rsid w:val="00B0760E"/>
    <w:rsid w:val="00B07C9E"/>
    <w:rsid w:val="00B07CFB"/>
    <w:rsid w:val="00B07F26"/>
    <w:rsid w:val="00B1049D"/>
    <w:rsid w:val="00B108A5"/>
    <w:rsid w:val="00B109EC"/>
    <w:rsid w:val="00B109ED"/>
    <w:rsid w:val="00B10A1A"/>
    <w:rsid w:val="00B10E6F"/>
    <w:rsid w:val="00B11064"/>
    <w:rsid w:val="00B110F2"/>
    <w:rsid w:val="00B11106"/>
    <w:rsid w:val="00B1131E"/>
    <w:rsid w:val="00B1134D"/>
    <w:rsid w:val="00B11C7B"/>
    <w:rsid w:val="00B11CF4"/>
    <w:rsid w:val="00B128FD"/>
    <w:rsid w:val="00B12CB1"/>
    <w:rsid w:val="00B12F49"/>
    <w:rsid w:val="00B13AD0"/>
    <w:rsid w:val="00B13BB4"/>
    <w:rsid w:val="00B13DEC"/>
    <w:rsid w:val="00B142C6"/>
    <w:rsid w:val="00B14736"/>
    <w:rsid w:val="00B147D9"/>
    <w:rsid w:val="00B14817"/>
    <w:rsid w:val="00B15310"/>
    <w:rsid w:val="00B15572"/>
    <w:rsid w:val="00B15A6F"/>
    <w:rsid w:val="00B1604A"/>
    <w:rsid w:val="00B16132"/>
    <w:rsid w:val="00B1679F"/>
    <w:rsid w:val="00B16E43"/>
    <w:rsid w:val="00B17365"/>
    <w:rsid w:val="00B17444"/>
    <w:rsid w:val="00B17534"/>
    <w:rsid w:val="00B175C4"/>
    <w:rsid w:val="00B176C6"/>
    <w:rsid w:val="00B17ACE"/>
    <w:rsid w:val="00B17BCD"/>
    <w:rsid w:val="00B20705"/>
    <w:rsid w:val="00B20C1C"/>
    <w:rsid w:val="00B20D06"/>
    <w:rsid w:val="00B20E11"/>
    <w:rsid w:val="00B20FF5"/>
    <w:rsid w:val="00B2119D"/>
    <w:rsid w:val="00B2138C"/>
    <w:rsid w:val="00B213AB"/>
    <w:rsid w:val="00B21437"/>
    <w:rsid w:val="00B21A87"/>
    <w:rsid w:val="00B21BFF"/>
    <w:rsid w:val="00B21E65"/>
    <w:rsid w:val="00B21E95"/>
    <w:rsid w:val="00B22237"/>
    <w:rsid w:val="00B227D6"/>
    <w:rsid w:val="00B22AED"/>
    <w:rsid w:val="00B22D75"/>
    <w:rsid w:val="00B22DD0"/>
    <w:rsid w:val="00B2318C"/>
    <w:rsid w:val="00B23528"/>
    <w:rsid w:val="00B23914"/>
    <w:rsid w:val="00B23ABC"/>
    <w:rsid w:val="00B23EE3"/>
    <w:rsid w:val="00B24414"/>
    <w:rsid w:val="00B24D5B"/>
    <w:rsid w:val="00B253BF"/>
    <w:rsid w:val="00B2555D"/>
    <w:rsid w:val="00B25585"/>
    <w:rsid w:val="00B258D6"/>
    <w:rsid w:val="00B25FFE"/>
    <w:rsid w:val="00B2614B"/>
    <w:rsid w:val="00B26721"/>
    <w:rsid w:val="00B270CC"/>
    <w:rsid w:val="00B2738C"/>
    <w:rsid w:val="00B274A9"/>
    <w:rsid w:val="00B27888"/>
    <w:rsid w:val="00B27ABC"/>
    <w:rsid w:val="00B27E2A"/>
    <w:rsid w:val="00B304BE"/>
    <w:rsid w:val="00B30B1A"/>
    <w:rsid w:val="00B30DAA"/>
    <w:rsid w:val="00B32693"/>
    <w:rsid w:val="00B32845"/>
    <w:rsid w:val="00B32BEF"/>
    <w:rsid w:val="00B32DCC"/>
    <w:rsid w:val="00B32E71"/>
    <w:rsid w:val="00B33191"/>
    <w:rsid w:val="00B33346"/>
    <w:rsid w:val="00B33A7D"/>
    <w:rsid w:val="00B33AF5"/>
    <w:rsid w:val="00B33D60"/>
    <w:rsid w:val="00B33DA4"/>
    <w:rsid w:val="00B34447"/>
    <w:rsid w:val="00B34BEB"/>
    <w:rsid w:val="00B34CB0"/>
    <w:rsid w:val="00B3546F"/>
    <w:rsid w:val="00B35C25"/>
    <w:rsid w:val="00B36462"/>
    <w:rsid w:val="00B36639"/>
    <w:rsid w:val="00B3691D"/>
    <w:rsid w:val="00B3699A"/>
    <w:rsid w:val="00B369E0"/>
    <w:rsid w:val="00B36D4B"/>
    <w:rsid w:val="00B36EFE"/>
    <w:rsid w:val="00B36F48"/>
    <w:rsid w:val="00B36F94"/>
    <w:rsid w:val="00B36FDD"/>
    <w:rsid w:val="00B379B1"/>
    <w:rsid w:val="00B37CF2"/>
    <w:rsid w:val="00B37D40"/>
    <w:rsid w:val="00B4003C"/>
    <w:rsid w:val="00B40315"/>
    <w:rsid w:val="00B40330"/>
    <w:rsid w:val="00B40C9E"/>
    <w:rsid w:val="00B42177"/>
    <w:rsid w:val="00B42208"/>
    <w:rsid w:val="00B42B1B"/>
    <w:rsid w:val="00B42BF4"/>
    <w:rsid w:val="00B4304C"/>
    <w:rsid w:val="00B432F6"/>
    <w:rsid w:val="00B43624"/>
    <w:rsid w:val="00B44120"/>
    <w:rsid w:val="00B44310"/>
    <w:rsid w:val="00B44473"/>
    <w:rsid w:val="00B4475C"/>
    <w:rsid w:val="00B44994"/>
    <w:rsid w:val="00B44F0A"/>
    <w:rsid w:val="00B44FAA"/>
    <w:rsid w:val="00B450B8"/>
    <w:rsid w:val="00B451F7"/>
    <w:rsid w:val="00B456DE"/>
    <w:rsid w:val="00B4579B"/>
    <w:rsid w:val="00B45A4F"/>
    <w:rsid w:val="00B4627D"/>
    <w:rsid w:val="00B473D1"/>
    <w:rsid w:val="00B476AB"/>
    <w:rsid w:val="00B479B5"/>
    <w:rsid w:val="00B47C66"/>
    <w:rsid w:val="00B47FE7"/>
    <w:rsid w:val="00B5024B"/>
    <w:rsid w:val="00B50303"/>
    <w:rsid w:val="00B50469"/>
    <w:rsid w:val="00B512C6"/>
    <w:rsid w:val="00B5170F"/>
    <w:rsid w:val="00B519E4"/>
    <w:rsid w:val="00B519FD"/>
    <w:rsid w:val="00B52240"/>
    <w:rsid w:val="00B5270B"/>
    <w:rsid w:val="00B52CA4"/>
    <w:rsid w:val="00B52E6D"/>
    <w:rsid w:val="00B53183"/>
    <w:rsid w:val="00B53429"/>
    <w:rsid w:val="00B5374B"/>
    <w:rsid w:val="00B53AC2"/>
    <w:rsid w:val="00B53B4F"/>
    <w:rsid w:val="00B53CFF"/>
    <w:rsid w:val="00B53D96"/>
    <w:rsid w:val="00B53F8F"/>
    <w:rsid w:val="00B54596"/>
    <w:rsid w:val="00B54A40"/>
    <w:rsid w:val="00B54F46"/>
    <w:rsid w:val="00B554B7"/>
    <w:rsid w:val="00B556F3"/>
    <w:rsid w:val="00B55D0C"/>
    <w:rsid w:val="00B55D88"/>
    <w:rsid w:val="00B5675A"/>
    <w:rsid w:val="00B56E54"/>
    <w:rsid w:val="00B572EA"/>
    <w:rsid w:val="00B578E2"/>
    <w:rsid w:val="00B57AB1"/>
    <w:rsid w:val="00B57CAF"/>
    <w:rsid w:val="00B603C8"/>
    <w:rsid w:val="00B62198"/>
    <w:rsid w:val="00B6251F"/>
    <w:rsid w:val="00B62547"/>
    <w:rsid w:val="00B6268D"/>
    <w:rsid w:val="00B62CA4"/>
    <w:rsid w:val="00B6306B"/>
    <w:rsid w:val="00B63086"/>
    <w:rsid w:val="00B633D1"/>
    <w:rsid w:val="00B635F3"/>
    <w:rsid w:val="00B63912"/>
    <w:rsid w:val="00B63943"/>
    <w:rsid w:val="00B63A4C"/>
    <w:rsid w:val="00B63D98"/>
    <w:rsid w:val="00B6438B"/>
    <w:rsid w:val="00B64644"/>
    <w:rsid w:val="00B6466D"/>
    <w:rsid w:val="00B64912"/>
    <w:rsid w:val="00B64A58"/>
    <w:rsid w:val="00B64F24"/>
    <w:rsid w:val="00B65003"/>
    <w:rsid w:val="00B650BE"/>
    <w:rsid w:val="00B657CB"/>
    <w:rsid w:val="00B65B68"/>
    <w:rsid w:val="00B65FF9"/>
    <w:rsid w:val="00B66058"/>
    <w:rsid w:val="00B66768"/>
    <w:rsid w:val="00B6678D"/>
    <w:rsid w:val="00B67431"/>
    <w:rsid w:val="00B67748"/>
    <w:rsid w:val="00B67C9A"/>
    <w:rsid w:val="00B70724"/>
    <w:rsid w:val="00B709B9"/>
    <w:rsid w:val="00B71230"/>
    <w:rsid w:val="00B712ED"/>
    <w:rsid w:val="00B714F7"/>
    <w:rsid w:val="00B71C30"/>
    <w:rsid w:val="00B7216F"/>
    <w:rsid w:val="00B723BE"/>
    <w:rsid w:val="00B7288A"/>
    <w:rsid w:val="00B72B2D"/>
    <w:rsid w:val="00B72BF4"/>
    <w:rsid w:val="00B72D30"/>
    <w:rsid w:val="00B73105"/>
    <w:rsid w:val="00B7358F"/>
    <w:rsid w:val="00B73B81"/>
    <w:rsid w:val="00B73D1E"/>
    <w:rsid w:val="00B73DFE"/>
    <w:rsid w:val="00B743EB"/>
    <w:rsid w:val="00B743EE"/>
    <w:rsid w:val="00B744ED"/>
    <w:rsid w:val="00B747F6"/>
    <w:rsid w:val="00B74955"/>
    <w:rsid w:val="00B74CB1"/>
    <w:rsid w:val="00B74DC7"/>
    <w:rsid w:val="00B74F26"/>
    <w:rsid w:val="00B751FF"/>
    <w:rsid w:val="00B75773"/>
    <w:rsid w:val="00B75A12"/>
    <w:rsid w:val="00B75D04"/>
    <w:rsid w:val="00B765CB"/>
    <w:rsid w:val="00B76772"/>
    <w:rsid w:val="00B768B2"/>
    <w:rsid w:val="00B76A50"/>
    <w:rsid w:val="00B7701E"/>
    <w:rsid w:val="00B77594"/>
    <w:rsid w:val="00B77873"/>
    <w:rsid w:val="00B77884"/>
    <w:rsid w:val="00B80452"/>
    <w:rsid w:val="00B805C8"/>
    <w:rsid w:val="00B809BE"/>
    <w:rsid w:val="00B80A4B"/>
    <w:rsid w:val="00B80CE9"/>
    <w:rsid w:val="00B81334"/>
    <w:rsid w:val="00B81DBC"/>
    <w:rsid w:val="00B81F6D"/>
    <w:rsid w:val="00B82614"/>
    <w:rsid w:val="00B82648"/>
    <w:rsid w:val="00B82705"/>
    <w:rsid w:val="00B827D6"/>
    <w:rsid w:val="00B827FA"/>
    <w:rsid w:val="00B832DF"/>
    <w:rsid w:val="00B834F4"/>
    <w:rsid w:val="00B8377B"/>
    <w:rsid w:val="00B83873"/>
    <w:rsid w:val="00B84602"/>
    <w:rsid w:val="00B84A61"/>
    <w:rsid w:val="00B84D33"/>
    <w:rsid w:val="00B84D9C"/>
    <w:rsid w:val="00B85084"/>
    <w:rsid w:val="00B8534B"/>
    <w:rsid w:val="00B853E0"/>
    <w:rsid w:val="00B8558F"/>
    <w:rsid w:val="00B856AE"/>
    <w:rsid w:val="00B85825"/>
    <w:rsid w:val="00B858C4"/>
    <w:rsid w:val="00B85A53"/>
    <w:rsid w:val="00B85B26"/>
    <w:rsid w:val="00B85BCB"/>
    <w:rsid w:val="00B85C9A"/>
    <w:rsid w:val="00B85CF3"/>
    <w:rsid w:val="00B8602F"/>
    <w:rsid w:val="00B86286"/>
    <w:rsid w:val="00B8637D"/>
    <w:rsid w:val="00B86D7A"/>
    <w:rsid w:val="00B871C5"/>
    <w:rsid w:val="00B87A35"/>
    <w:rsid w:val="00B87BCE"/>
    <w:rsid w:val="00B90388"/>
    <w:rsid w:val="00B9079F"/>
    <w:rsid w:val="00B909C7"/>
    <w:rsid w:val="00B90B45"/>
    <w:rsid w:val="00B91048"/>
    <w:rsid w:val="00B91A0F"/>
    <w:rsid w:val="00B9293D"/>
    <w:rsid w:val="00B92E74"/>
    <w:rsid w:val="00B932B1"/>
    <w:rsid w:val="00B93415"/>
    <w:rsid w:val="00B936B0"/>
    <w:rsid w:val="00B93A71"/>
    <w:rsid w:val="00B9402A"/>
    <w:rsid w:val="00B946D0"/>
    <w:rsid w:val="00B94D67"/>
    <w:rsid w:val="00B94DDD"/>
    <w:rsid w:val="00B95456"/>
    <w:rsid w:val="00B9569E"/>
    <w:rsid w:val="00B9572F"/>
    <w:rsid w:val="00B95812"/>
    <w:rsid w:val="00B959B0"/>
    <w:rsid w:val="00B95A00"/>
    <w:rsid w:val="00B95CF8"/>
    <w:rsid w:val="00B95D13"/>
    <w:rsid w:val="00B95D17"/>
    <w:rsid w:val="00B95DA0"/>
    <w:rsid w:val="00B95DB9"/>
    <w:rsid w:val="00B966C7"/>
    <w:rsid w:val="00B9676B"/>
    <w:rsid w:val="00B969FF"/>
    <w:rsid w:val="00B96A00"/>
    <w:rsid w:val="00B96A40"/>
    <w:rsid w:val="00B96C7C"/>
    <w:rsid w:val="00B96CDA"/>
    <w:rsid w:val="00B96ED7"/>
    <w:rsid w:val="00B97364"/>
    <w:rsid w:val="00B973D9"/>
    <w:rsid w:val="00B973FA"/>
    <w:rsid w:val="00B97656"/>
    <w:rsid w:val="00B977A7"/>
    <w:rsid w:val="00B97B18"/>
    <w:rsid w:val="00B97C08"/>
    <w:rsid w:val="00BA0378"/>
    <w:rsid w:val="00BA075D"/>
    <w:rsid w:val="00BA081B"/>
    <w:rsid w:val="00BA0A3E"/>
    <w:rsid w:val="00BA0FA1"/>
    <w:rsid w:val="00BA109E"/>
    <w:rsid w:val="00BA1370"/>
    <w:rsid w:val="00BA1AAF"/>
    <w:rsid w:val="00BA1D88"/>
    <w:rsid w:val="00BA1FBA"/>
    <w:rsid w:val="00BA217B"/>
    <w:rsid w:val="00BA24A1"/>
    <w:rsid w:val="00BA2518"/>
    <w:rsid w:val="00BA262B"/>
    <w:rsid w:val="00BA284D"/>
    <w:rsid w:val="00BA2F91"/>
    <w:rsid w:val="00BA3258"/>
    <w:rsid w:val="00BA32A6"/>
    <w:rsid w:val="00BA335D"/>
    <w:rsid w:val="00BA33F4"/>
    <w:rsid w:val="00BA36D5"/>
    <w:rsid w:val="00BA3933"/>
    <w:rsid w:val="00BA3B68"/>
    <w:rsid w:val="00BA3C8F"/>
    <w:rsid w:val="00BA3F98"/>
    <w:rsid w:val="00BA48E1"/>
    <w:rsid w:val="00BA493D"/>
    <w:rsid w:val="00BA4BA0"/>
    <w:rsid w:val="00BA4BD0"/>
    <w:rsid w:val="00BA4BE1"/>
    <w:rsid w:val="00BA4DB1"/>
    <w:rsid w:val="00BA4EBD"/>
    <w:rsid w:val="00BA4F1A"/>
    <w:rsid w:val="00BA53C7"/>
    <w:rsid w:val="00BA54C0"/>
    <w:rsid w:val="00BA5530"/>
    <w:rsid w:val="00BA58B6"/>
    <w:rsid w:val="00BA59B9"/>
    <w:rsid w:val="00BA5DCE"/>
    <w:rsid w:val="00BA6845"/>
    <w:rsid w:val="00BA6E66"/>
    <w:rsid w:val="00BA7363"/>
    <w:rsid w:val="00BA73AF"/>
    <w:rsid w:val="00BA7779"/>
    <w:rsid w:val="00BA7CD1"/>
    <w:rsid w:val="00BB02E5"/>
    <w:rsid w:val="00BB09CF"/>
    <w:rsid w:val="00BB0B72"/>
    <w:rsid w:val="00BB1187"/>
    <w:rsid w:val="00BB1358"/>
    <w:rsid w:val="00BB144F"/>
    <w:rsid w:val="00BB14D7"/>
    <w:rsid w:val="00BB235C"/>
    <w:rsid w:val="00BB2838"/>
    <w:rsid w:val="00BB2A05"/>
    <w:rsid w:val="00BB2A6C"/>
    <w:rsid w:val="00BB2CF9"/>
    <w:rsid w:val="00BB3107"/>
    <w:rsid w:val="00BB34F0"/>
    <w:rsid w:val="00BB3810"/>
    <w:rsid w:val="00BB3AD8"/>
    <w:rsid w:val="00BB3B8C"/>
    <w:rsid w:val="00BB429D"/>
    <w:rsid w:val="00BB444C"/>
    <w:rsid w:val="00BB4FE1"/>
    <w:rsid w:val="00BB52FF"/>
    <w:rsid w:val="00BB5473"/>
    <w:rsid w:val="00BB573D"/>
    <w:rsid w:val="00BB5A87"/>
    <w:rsid w:val="00BB5C03"/>
    <w:rsid w:val="00BB5DFC"/>
    <w:rsid w:val="00BB67EA"/>
    <w:rsid w:val="00BB6DE1"/>
    <w:rsid w:val="00BB7C2B"/>
    <w:rsid w:val="00BB7D45"/>
    <w:rsid w:val="00BBD396"/>
    <w:rsid w:val="00BC0112"/>
    <w:rsid w:val="00BC05FD"/>
    <w:rsid w:val="00BC0B80"/>
    <w:rsid w:val="00BC0D97"/>
    <w:rsid w:val="00BC0EAF"/>
    <w:rsid w:val="00BC102C"/>
    <w:rsid w:val="00BC1448"/>
    <w:rsid w:val="00BC17A5"/>
    <w:rsid w:val="00BC187C"/>
    <w:rsid w:val="00BC18D0"/>
    <w:rsid w:val="00BC1A7C"/>
    <w:rsid w:val="00BC1C0E"/>
    <w:rsid w:val="00BC1F4D"/>
    <w:rsid w:val="00BC1F52"/>
    <w:rsid w:val="00BC279C"/>
    <w:rsid w:val="00BC2B40"/>
    <w:rsid w:val="00BC2D3C"/>
    <w:rsid w:val="00BC2FBE"/>
    <w:rsid w:val="00BC32BD"/>
    <w:rsid w:val="00BC3D9A"/>
    <w:rsid w:val="00BC4008"/>
    <w:rsid w:val="00BC41F2"/>
    <w:rsid w:val="00BC454D"/>
    <w:rsid w:val="00BC4642"/>
    <w:rsid w:val="00BC482A"/>
    <w:rsid w:val="00BC53B9"/>
    <w:rsid w:val="00BC5BCE"/>
    <w:rsid w:val="00BC6D51"/>
    <w:rsid w:val="00BC6E28"/>
    <w:rsid w:val="00BC77E3"/>
    <w:rsid w:val="00BC7A36"/>
    <w:rsid w:val="00BC7ADD"/>
    <w:rsid w:val="00BC7BD6"/>
    <w:rsid w:val="00BC7D13"/>
    <w:rsid w:val="00BC9077"/>
    <w:rsid w:val="00BD0384"/>
    <w:rsid w:val="00BD0396"/>
    <w:rsid w:val="00BD03A1"/>
    <w:rsid w:val="00BD0584"/>
    <w:rsid w:val="00BD0671"/>
    <w:rsid w:val="00BD0ACF"/>
    <w:rsid w:val="00BD0D1F"/>
    <w:rsid w:val="00BD0D67"/>
    <w:rsid w:val="00BD0E2B"/>
    <w:rsid w:val="00BD129D"/>
    <w:rsid w:val="00BD1407"/>
    <w:rsid w:val="00BD1D43"/>
    <w:rsid w:val="00BD1FB9"/>
    <w:rsid w:val="00BD204D"/>
    <w:rsid w:val="00BD26FB"/>
    <w:rsid w:val="00BD2A05"/>
    <w:rsid w:val="00BD330E"/>
    <w:rsid w:val="00BD34B2"/>
    <w:rsid w:val="00BD36C6"/>
    <w:rsid w:val="00BD384B"/>
    <w:rsid w:val="00BD3890"/>
    <w:rsid w:val="00BD3912"/>
    <w:rsid w:val="00BD3DD2"/>
    <w:rsid w:val="00BD4024"/>
    <w:rsid w:val="00BD4223"/>
    <w:rsid w:val="00BD4939"/>
    <w:rsid w:val="00BD4E12"/>
    <w:rsid w:val="00BD4F6C"/>
    <w:rsid w:val="00BD4FB7"/>
    <w:rsid w:val="00BD5540"/>
    <w:rsid w:val="00BD57CA"/>
    <w:rsid w:val="00BD5CD9"/>
    <w:rsid w:val="00BD630C"/>
    <w:rsid w:val="00BD63C9"/>
    <w:rsid w:val="00BD65B4"/>
    <w:rsid w:val="00BD73C2"/>
    <w:rsid w:val="00BD7856"/>
    <w:rsid w:val="00BE00F8"/>
    <w:rsid w:val="00BE0426"/>
    <w:rsid w:val="00BE0716"/>
    <w:rsid w:val="00BE0E06"/>
    <w:rsid w:val="00BE0F54"/>
    <w:rsid w:val="00BE0FBA"/>
    <w:rsid w:val="00BE14F2"/>
    <w:rsid w:val="00BE1A41"/>
    <w:rsid w:val="00BE1CC4"/>
    <w:rsid w:val="00BE1D64"/>
    <w:rsid w:val="00BE1DEE"/>
    <w:rsid w:val="00BE1EBE"/>
    <w:rsid w:val="00BE2045"/>
    <w:rsid w:val="00BE2175"/>
    <w:rsid w:val="00BE2270"/>
    <w:rsid w:val="00BE24F4"/>
    <w:rsid w:val="00BE269D"/>
    <w:rsid w:val="00BE2A7B"/>
    <w:rsid w:val="00BE312D"/>
    <w:rsid w:val="00BE3476"/>
    <w:rsid w:val="00BE3745"/>
    <w:rsid w:val="00BE3E82"/>
    <w:rsid w:val="00BE42F0"/>
    <w:rsid w:val="00BE4F5F"/>
    <w:rsid w:val="00BE519B"/>
    <w:rsid w:val="00BE532E"/>
    <w:rsid w:val="00BE55A0"/>
    <w:rsid w:val="00BE5634"/>
    <w:rsid w:val="00BE570E"/>
    <w:rsid w:val="00BE577B"/>
    <w:rsid w:val="00BE57BB"/>
    <w:rsid w:val="00BE588B"/>
    <w:rsid w:val="00BE604B"/>
    <w:rsid w:val="00BE62D4"/>
    <w:rsid w:val="00BE65D3"/>
    <w:rsid w:val="00BE6921"/>
    <w:rsid w:val="00BE74DF"/>
    <w:rsid w:val="00BE75D0"/>
    <w:rsid w:val="00BE7FEE"/>
    <w:rsid w:val="00BF05D5"/>
    <w:rsid w:val="00BF06A9"/>
    <w:rsid w:val="00BF06D3"/>
    <w:rsid w:val="00BF09FF"/>
    <w:rsid w:val="00BF138C"/>
    <w:rsid w:val="00BF14DA"/>
    <w:rsid w:val="00BF1EB2"/>
    <w:rsid w:val="00BF1EE8"/>
    <w:rsid w:val="00BF2390"/>
    <w:rsid w:val="00BF2BC3"/>
    <w:rsid w:val="00BF337D"/>
    <w:rsid w:val="00BF37A1"/>
    <w:rsid w:val="00BF3C54"/>
    <w:rsid w:val="00BF4101"/>
    <w:rsid w:val="00BF41C5"/>
    <w:rsid w:val="00BF474C"/>
    <w:rsid w:val="00BF4C1D"/>
    <w:rsid w:val="00BF505F"/>
    <w:rsid w:val="00BF5143"/>
    <w:rsid w:val="00BF5424"/>
    <w:rsid w:val="00BF593B"/>
    <w:rsid w:val="00BF6053"/>
    <w:rsid w:val="00BF630B"/>
    <w:rsid w:val="00BF6E6C"/>
    <w:rsid w:val="00BF6EE4"/>
    <w:rsid w:val="00BF6F39"/>
    <w:rsid w:val="00BF7253"/>
    <w:rsid w:val="00BF7385"/>
    <w:rsid w:val="00BF7789"/>
    <w:rsid w:val="00BF78D0"/>
    <w:rsid w:val="00BF7925"/>
    <w:rsid w:val="00BF7C15"/>
    <w:rsid w:val="00C00332"/>
    <w:rsid w:val="00C00628"/>
    <w:rsid w:val="00C00745"/>
    <w:rsid w:val="00C00D38"/>
    <w:rsid w:val="00C01269"/>
    <w:rsid w:val="00C01645"/>
    <w:rsid w:val="00C0165B"/>
    <w:rsid w:val="00C01825"/>
    <w:rsid w:val="00C01B54"/>
    <w:rsid w:val="00C0207B"/>
    <w:rsid w:val="00C0216F"/>
    <w:rsid w:val="00C0221B"/>
    <w:rsid w:val="00C022EB"/>
    <w:rsid w:val="00C0262C"/>
    <w:rsid w:val="00C02735"/>
    <w:rsid w:val="00C0282D"/>
    <w:rsid w:val="00C02A16"/>
    <w:rsid w:val="00C02B0E"/>
    <w:rsid w:val="00C0353A"/>
    <w:rsid w:val="00C0360F"/>
    <w:rsid w:val="00C03929"/>
    <w:rsid w:val="00C04014"/>
    <w:rsid w:val="00C04371"/>
    <w:rsid w:val="00C046B9"/>
    <w:rsid w:val="00C049B7"/>
    <w:rsid w:val="00C04AA5"/>
    <w:rsid w:val="00C04D70"/>
    <w:rsid w:val="00C04E8C"/>
    <w:rsid w:val="00C05597"/>
    <w:rsid w:val="00C05D2B"/>
    <w:rsid w:val="00C06400"/>
    <w:rsid w:val="00C06E1C"/>
    <w:rsid w:val="00C07005"/>
    <w:rsid w:val="00C07679"/>
    <w:rsid w:val="00C07A7B"/>
    <w:rsid w:val="00C100E5"/>
    <w:rsid w:val="00C106FA"/>
    <w:rsid w:val="00C109C1"/>
    <w:rsid w:val="00C10BF0"/>
    <w:rsid w:val="00C10C0A"/>
    <w:rsid w:val="00C10D06"/>
    <w:rsid w:val="00C11C8A"/>
    <w:rsid w:val="00C11FA2"/>
    <w:rsid w:val="00C12267"/>
    <w:rsid w:val="00C124EF"/>
    <w:rsid w:val="00C1287A"/>
    <w:rsid w:val="00C12A61"/>
    <w:rsid w:val="00C12C6A"/>
    <w:rsid w:val="00C12CB1"/>
    <w:rsid w:val="00C12D7C"/>
    <w:rsid w:val="00C12F67"/>
    <w:rsid w:val="00C12FA3"/>
    <w:rsid w:val="00C13196"/>
    <w:rsid w:val="00C133F0"/>
    <w:rsid w:val="00C1368D"/>
    <w:rsid w:val="00C13951"/>
    <w:rsid w:val="00C13A45"/>
    <w:rsid w:val="00C13D35"/>
    <w:rsid w:val="00C13E59"/>
    <w:rsid w:val="00C141A6"/>
    <w:rsid w:val="00C14215"/>
    <w:rsid w:val="00C15111"/>
    <w:rsid w:val="00C1545C"/>
    <w:rsid w:val="00C15837"/>
    <w:rsid w:val="00C158FC"/>
    <w:rsid w:val="00C15E2A"/>
    <w:rsid w:val="00C16590"/>
    <w:rsid w:val="00C16E8E"/>
    <w:rsid w:val="00C170FD"/>
    <w:rsid w:val="00C171F4"/>
    <w:rsid w:val="00C1741E"/>
    <w:rsid w:val="00C17835"/>
    <w:rsid w:val="00C17DE3"/>
    <w:rsid w:val="00C17E47"/>
    <w:rsid w:val="00C20498"/>
    <w:rsid w:val="00C20D2D"/>
    <w:rsid w:val="00C20E97"/>
    <w:rsid w:val="00C2101F"/>
    <w:rsid w:val="00C218DF"/>
    <w:rsid w:val="00C21AA1"/>
    <w:rsid w:val="00C21C82"/>
    <w:rsid w:val="00C21ED9"/>
    <w:rsid w:val="00C222BF"/>
    <w:rsid w:val="00C22558"/>
    <w:rsid w:val="00C22AF7"/>
    <w:rsid w:val="00C2334E"/>
    <w:rsid w:val="00C237F4"/>
    <w:rsid w:val="00C239F1"/>
    <w:rsid w:val="00C23EC8"/>
    <w:rsid w:val="00C24021"/>
    <w:rsid w:val="00C254A5"/>
    <w:rsid w:val="00C254BD"/>
    <w:rsid w:val="00C25649"/>
    <w:rsid w:val="00C257DD"/>
    <w:rsid w:val="00C25C4A"/>
    <w:rsid w:val="00C26149"/>
    <w:rsid w:val="00C261D1"/>
    <w:rsid w:val="00C263EB"/>
    <w:rsid w:val="00C279F6"/>
    <w:rsid w:val="00C27A29"/>
    <w:rsid w:val="00C27AB5"/>
    <w:rsid w:val="00C27C9C"/>
    <w:rsid w:val="00C27D57"/>
    <w:rsid w:val="00C30138"/>
    <w:rsid w:val="00C3021D"/>
    <w:rsid w:val="00C304A5"/>
    <w:rsid w:val="00C30BE8"/>
    <w:rsid w:val="00C30C3B"/>
    <w:rsid w:val="00C3127B"/>
    <w:rsid w:val="00C31576"/>
    <w:rsid w:val="00C3164F"/>
    <w:rsid w:val="00C317C2"/>
    <w:rsid w:val="00C319B3"/>
    <w:rsid w:val="00C31A89"/>
    <w:rsid w:val="00C31DCC"/>
    <w:rsid w:val="00C31EF1"/>
    <w:rsid w:val="00C31FB7"/>
    <w:rsid w:val="00C32909"/>
    <w:rsid w:val="00C329BB"/>
    <w:rsid w:val="00C32DA4"/>
    <w:rsid w:val="00C32EC0"/>
    <w:rsid w:val="00C334E7"/>
    <w:rsid w:val="00C33560"/>
    <w:rsid w:val="00C335C4"/>
    <w:rsid w:val="00C335C6"/>
    <w:rsid w:val="00C34504"/>
    <w:rsid w:val="00C3477E"/>
    <w:rsid w:val="00C34DEF"/>
    <w:rsid w:val="00C34E12"/>
    <w:rsid w:val="00C34E3C"/>
    <w:rsid w:val="00C34F26"/>
    <w:rsid w:val="00C354DF"/>
    <w:rsid w:val="00C355B8"/>
    <w:rsid w:val="00C35777"/>
    <w:rsid w:val="00C358EB"/>
    <w:rsid w:val="00C359BC"/>
    <w:rsid w:val="00C35AEE"/>
    <w:rsid w:val="00C35EFE"/>
    <w:rsid w:val="00C3604A"/>
    <w:rsid w:val="00C36A42"/>
    <w:rsid w:val="00C36D8B"/>
    <w:rsid w:val="00C36F15"/>
    <w:rsid w:val="00C370B5"/>
    <w:rsid w:val="00C37279"/>
    <w:rsid w:val="00C373ED"/>
    <w:rsid w:val="00C375F8"/>
    <w:rsid w:val="00C3777E"/>
    <w:rsid w:val="00C37913"/>
    <w:rsid w:val="00C37A74"/>
    <w:rsid w:val="00C37F68"/>
    <w:rsid w:val="00C40466"/>
    <w:rsid w:val="00C4054E"/>
    <w:rsid w:val="00C40614"/>
    <w:rsid w:val="00C40EA8"/>
    <w:rsid w:val="00C417BB"/>
    <w:rsid w:val="00C41B13"/>
    <w:rsid w:val="00C41B9B"/>
    <w:rsid w:val="00C41C37"/>
    <w:rsid w:val="00C41DFD"/>
    <w:rsid w:val="00C41FFD"/>
    <w:rsid w:val="00C421C2"/>
    <w:rsid w:val="00C428BF"/>
    <w:rsid w:val="00C42C3A"/>
    <w:rsid w:val="00C42CFD"/>
    <w:rsid w:val="00C43052"/>
    <w:rsid w:val="00C4346E"/>
    <w:rsid w:val="00C4375E"/>
    <w:rsid w:val="00C439DA"/>
    <w:rsid w:val="00C43A28"/>
    <w:rsid w:val="00C43B97"/>
    <w:rsid w:val="00C43CD0"/>
    <w:rsid w:val="00C44005"/>
    <w:rsid w:val="00C44583"/>
    <w:rsid w:val="00C44838"/>
    <w:rsid w:val="00C4532F"/>
    <w:rsid w:val="00C453A6"/>
    <w:rsid w:val="00C45660"/>
    <w:rsid w:val="00C4597F"/>
    <w:rsid w:val="00C45C62"/>
    <w:rsid w:val="00C45C8F"/>
    <w:rsid w:val="00C45CE3"/>
    <w:rsid w:val="00C45EA0"/>
    <w:rsid w:val="00C45EB9"/>
    <w:rsid w:val="00C4605D"/>
    <w:rsid w:val="00C4617E"/>
    <w:rsid w:val="00C46452"/>
    <w:rsid w:val="00C4657F"/>
    <w:rsid w:val="00C47238"/>
    <w:rsid w:val="00C47AA6"/>
    <w:rsid w:val="00C50214"/>
    <w:rsid w:val="00C503C3"/>
    <w:rsid w:val="00C506C9"/>
    <w:rsid w:val="00C50A24"/>
    <w:rsid w:val="00C50F22"/>
    <w:rsid w:val="00C515AD"/>
    <w:rsid w:val="00C51922"/>
    <w:rsid w:val="00C519FF"/>
    <w:rsid w:val="00C51BB6"/>
    <w:rsid w:val="00C520E5"/>
    <w:rsid w:val="00C527F1"/>
    <w:rsid w:val="00C53567"/>
    <w:rsid w:val="00C5378C"/>
    <w:rsid w:val="00C53CA4"/>
    <w:rsid w:val="00C542DA"/>
    <w:rsid w:val="00C54CB5"/>
    <w:rsid w:val="00C5508D"/>
    <w:rsid w:val="00C552E1"/>
    <w:rsid w:val="00C55436"/>
    <w:rsid w:val="00C5564C"/>
    <w:rsid w:val="00C56004"/>
    <w:rsid w:val="00C5603C"/>
    <w:rsid w:val="00C565B8"/>
    <w:rsid w:val="00C5664D"/>
    <w:rsid w:val="00C568D8"/>
    <w:rsid w:val="00C56E47"/>
    <w:rsid w:val="00C56E7F"/>
    <w:rsid w:val="00C57870"/>
    <w:rsid w:val="00C5788A"/>
    <w:rsid w:val="00C57C96"/>
    <w:rsid w:val="00C6001E"/>
    <w:rsid w:val="00C600C3"/>
    <w:rsid w:val="00C60270"/>
    <w:rsid w:val="00C60675"/>
    <w:rsid w:val="00C60784"/>
    <w:rsid w:val="00C61734"/>
    <w:rsid w:val="00C61A64"/>
    <w:rsid w:val="00C61C19"/>
    <w:rsid w:val="00C6229E"/>
    <w:rsid w:val="00C622C5"/>
    <w:rsid w:val="00C62824"/>
    <w:rsid w:val="00C62ED8"/>
    <w:rsid w:val="00C62F09"/>
    <w:rsid w:val="00C632E2"/>
    <w:rsid w:val="00C633B3"/>
    <w:rsid w:val="00C638D1"/>
    <w:rsid w:val="00C63A7A"/>
    <w:rsid w:val="00C63B54"/>
    <w:rsid w:val="00C64007"/>
    <w:rsid w:val="00C642CD"/>
    <w:rsid w:val="00C64A38"/>
    <w:rsid w:val="00C64DE6"/>
    <w:rsid w:val="00C64E6D"/>
    <w:rsid w:val="00C65661"/>
    <w:rsid w:val="00C656D6"/>
    <w:rsid w:val="00C65B70"/>
    <w:rsid w:val="00C66569"/>
    <w:rsid w:val="00C66974"/>
    <w:rsid w:val="00C66C37"/>
    <w:rsid w:val="00C6756A"/>
    <w:rsid w:val="00C67CAC"/>
    <w:rsid w:val="00C701E4"/>
    <w:rsid w:val="00C7045B"/>
    <w:rsid w:val="00C709A9"/>
    <w:rsid w:val="00C70BA3"/>
    <w:rsid w:val="00C71175"/>
    <w:rsid w:val="00C712B8"/>
    <w:rsid w:val="00C717DF"/>
    <w:rsid w:val="00C71C1D"/>
    <w:rsid w:val="00C7280C"/>
    <w:rsid w:val="00C732F4"/>
    <w:rsid w:val="00C73496"/>
    <w:rsid w:val="00C73522"/>
    <w:rsid w:val="00C73920"/>
    <w:rsid w:val="00C739ED"/>
    <w:rsid w:val="00C73CCE"/>
    <w:rsid w:val="00C73E73"/>
    <w:rsid w:val="00C7407F"/>
    <w:rsid w:val="00C741D1"/>
    <w:rsid w:val="00C742AA"/>
    <w:rsid w:val="00C742B0"/>
    <w:rsid w:val="00C743B1"/>
    <w:rsid w:val="00C7542A"/>
    <w:rsid w:val="00C75664"/>
    <w:rsid w:val="00C756E2"/>
    <w:rsid w:val="00C757F9"/>
    <w:rsid w:val="00C758EA"/>
    <w:rsid w:val="00C759CD"/>
    <w:rsid w:val="00C75D3E"/>
    <w:rsid w:val="00C75EB4"/>
    <w:rsid w:val="00C75F3E"/>
    <w:rsid w:val="00C762BB"/>
    <w:rsid w:val="00C762F4"/>
    <w:rsid w:val="00C76A44"/>
    <w:rsid w:val="00C77249"/>
    <w:rsid w:val="00C772B8"/>
    <w:rsid w:val="00C7758E"/>
    <w:rsid w:val="00C7786E"/>
    <w:rsid w:val="00C80245"/>
    <w:rsid w:val="00C80743"/>
    <w:rsid w:val="00C80C4C"/>
    <w:rsid w:val="00C815A5"/>
    <w:rsid w:val="00C81D48"/>
    <w:rsid w:val="00C8230C"/>
    <w:rsid w:val="00C82336"/>
    <w:rsid w:val="00C82898"/>
    <w:rsid w:val="00C828AA"/>
    <w:rsid w:val="00C82CBA"/>
    <w:rsid w:val="00C82D62"/>
    <w:rsid w:val="00C82D8F"/>
    <w:rsid w:val="00C82DD2"/>
    <w:rsid w:val="00C82FA3"/>
    <w:rsid w:val="00C830FF"/>
    <w:rsid w:val="00C8347A"/>
    <w:rsid w:val="00C83A43"/>
    <w:rsid w:val="00C84344"/>
    <w:rsid w:val="00C843B3"/>
    <w:rsid w:val="00C846E8"/>
    <w:rsid w:val="00C84BB2"/>
    <w:rsid w:val="00C8536C"/>
    <w:rsid w:val="00C85642"/>
    <w:rsid w:val="00C85756"/>
    <w:rsid w:val="00C8585A"/>
    <w:rsid w:val="00C85C32"/>
    <w:rsid w:val="00C85DF1"/>
    <w:rsid w:val="00C85FB2"/>
    <w:rsid w:val="00C86CD0"/>
    <w:rsid w:val="00C86E16"/>
    <w:rsid w:val="00C86F29"/>
    <w:rsid w:val="00C86FE1"/>
    <w:rsid w:val="00C870A0"/>
    <w:rsid w:val="00C87683"/>
    <w:rsid w:val="00C879EE"/>
    <w:rsid w:val="00C87A7D"/>
    <w:rsid w:val="00C87C49"/>
    <w:rsid w:val="00C87F67"/>
    <w:rsid w:val="00C90C2E"/>
    <w:rsid w:val="00C9122D"/>
    <w:rsid w:val="00C91A9B"/>
    <w:rsid w:val="00C91D91"/>
    <w:rsid w:val="00C92005"/>
    <w:rsid w:val="00C92283"/>
    <w:rsid w:val="00C9251E"/>
    <w:rsid w:val="00C92760"/>
    <w:rsid w:val="00C92C99"/>
    <w:rsid w:val="00C92E12"/>
    <w:rsid w:val="00C933A3"/>
    <w:rsid w:val="00C93706"/>
    <w:rsid w:val="00C93997"/>
    <w:rsid w:val="00C93AC0"/>
    <w:rsid w:val="00C93BD1"/>
    <w:rsid w:val="00C93F2B"/>
    <w:rsid w:val="00C94360"/>
    <w:rsid w:val="00C94C19"/>
    <w:rsid w:val="00C94C42"/>
    <w:rsid w:val="00C94D76"/>
    <w:rsid w:val="00C95141"/>
    <w:rsid w:val="00C95175"/>
    <w:rsid w:val="00C954A4"/>
    <w:rsid w:val="00C95DBC"/>
    <w:rsid w:val="00C9636E"/>
    <w:rsid w:val="00C96663"/>
    <w:rsid w:val="00C9671B"/>
    <w:rsid w:val="00C96923"/>
    <w:rsid w:val="00C96B08"/>
    <w:rsid w:val="00C9701C"/>
    <w:rsid w:val="00C97826"/>
    <w:rsid w:val="00C978B0"/>
    <w:rsid w:val="00CA024F"/>
    <w:rsid w:val="00CA04B1"/>
    <w:rsid w:val="00CA0675"/>
    <w:rsid w:val="00CA08E8"/>
    <w:rsid w:val="00CA0BCE"/>
    <w:rsid w:val="00CA0BD3"/>
    <w:rsid w:val="00CA10BD"/>
    <w:rsid w:val="00CA1831"/>
    <w:rsid w:val="00CA1A2A"/>
    <w:rsid w:val="00CA1B94"/>
    <w:rsid w:val="00CA1BF7"/>
    <w:rsid w:val="00CA1F73"/>
    <w:rsid w:val="00CA1FC2"/>
    <w:rsid w:val="00CA20B0"/>
    <w:rsid w:val="00CA2133"/>
    <w:rsid w:val="00CA2277"/>
    <w:rsid w:val="00CA2C38"/>
    <w:rsid w:val="00CA3013"/>
    <w:rsid w:val="00CA316B"/>
    <w:rsid w:val="00CA3627"/>
    <w:rsid w:val="00CA3A48"/>
    <w:rsid w:val="00CA3F6F"/>
    <w:rsid w:val="00CA3F7E"/>
    <w:rsid w:val="00CA479E"/>
    <w:rsid w:val="00CA494A"/>
    <w:rsid w:val="00CA4AC1"/>
    <w:rsid w:val="00CA4F7E"/>
    <w:rsid w:val="00CA509A"/>
    <w:rsid w:val="00CA50E6"/>
    <w:rsid w:val="00CA51B2"/>
    <w:rsid w:val="00CA5201"/>
    <w:rsid w:val="00CA542B"/>
    <w:rsid w:val="00CA6554"/>
    <w:rsid w:val="00CA69EC"/>
    <w:rsid w:val="00CA6C2C"/>
    <w:rsid w:val="00CA6F79"/>
    <w:rsid w:val="00CA7622"/>
    <w:rsid w:val="00CA7A28"/>
    <w:rsid w:val="00CB01A5"/>
    <w:rsid w:val="00CB06BF"/>
    <w:rsid w:val="00CB0918"/>
    <w:rsid w:val="00CB0C05"/>
    <w:rsid w:val="00CB0D86"/>
    <w:rsid w:val="00CB133B"/>
    <w:rsid w:val="00CB179B"/>
    <w:rsid w:val="00CB19A0"/>
    <w:rsid w:val="00CB1A1B"/>
    <w:rsid w:val="00CB1AA5"/>
    <w:rsid w:val="00CB1C0F"/>
    <w:rsid w:val="00CB20C1"/>
    <w:rsid w:val="00CB281D"/>
    <w:rsid w:val="00CB284A"/>
    <w:rsid w:val="00CB2B8E"/>
    <w:rsid w:val="00CB2C46"/>
    <w:rsid w:val="00CB2DD0"/>
    <w:rsid w:val="00CB2F2A"/>
    <w:rsid w:val="00CB2FB0"/>
    <w:rsid w:val="00CB31BC"/>
    <w:rsid w:val="00CB359D"/>
    <w:rsid w:val="00CB380C"/>
    <w:rsid w:val="00CB38BC"/>
    <w:rsid w:val="00CB3AFC"/>
    <w:rsid w:val="00CB3CB8"/>
    <w:rsid w:val="00CB3CF9"/>
    <w:rsid w:val="00CB3ECD"/>
    <w:rsid w:val="00CB44DA"/>
    <w:rsid w:val="00CB4801"/>
    <w:rsid w:val="00CB4B91"/>
    <w:rsid w:val="00CB4C99"/>
    <w:rsid w:val="00CB5515"/>
    <w:rsid w:val="00CB57DA"/>
    <w:rsid w:val="00CB5ABF"/>
    <w:rsid w:val="00CB5AF4"/>
    <w:rsid w:val="00CB5D96"/>
    <w:rsid w:val="00CB5F8D"/>
    <w:rsid w:val="00CB64E9"/>
    <w:rsid w:val="00CB6629"/>
    <w:rsid w:val="00CB69FC"/>
    <w:rsid w:val="00CB6A63"/>
    <w:rsid w:val="00CB7213"/>
    <w:rsid w:val="00CB7723"/>
    <w:rsid w:val="00CB78F8"/>
    <w:rsid w:val="00CB7D03"/>
    <w:rsid w:val="00CC04A3"/>
    <w:rsid w:val="00CC050C"/>
    <w:rsid w:val="00CC0A42"/>
    <w:rsid w:val="00CC0BCE"/>
    <w:rsid w:val="00CC0E13"/>
    <w:rsid w:val="00CC0E74"/>
    <w:rsid w:val="00CC0E81"/>
    <w:rsid w:val="00CC1019"/>
    <w:rsid w:val="00CC110C"/>
    <w:rsid w:val="00CC11C0"/>
    <w:rsid w:val="00CC1500"/>
    <w:rsid w:val="00CC1574"/>
    <w:rsid w:val="00CC1695"/>
    <w:rsid w:val="00CC1A00"/>
    <w:rsid w:val="00CC1B6D"/>
    <w:rsid w:val="00CC1CE7"/>
    <w:rsid w:val="00CC1EB8"/>
    <w:rsid w:val="00CC1FA2"/>
    <w:rsid w:val="00CC23AB"/>
    <w:rsid w:val="00CC2657"/>
    <w:rsid w:val="00CC272B"/>
    <w:rsid w:val="00CC2A23"/>
    <w:rsid w:val="00CC3D22"/>
    <w:rsid w:val="00CC412E"/>
    <w:rsid w:val="00CC413D"/>
    <w:rsid w:val="00CC41D8"/>
    <w:rsid w:val="00CC49BA"/>
    <w:rsid w:val="00CC49DC"/>
    <w:rsid w:val="00CC4ACF"/>
    <w:rsid w:val="00CC4DA2"/>
    <w:rsid w:val="00CC4E75"/>
    <w:rsid w:val="00CC4EFF"/>
    <w:rsid w:val="00CC5254"/>
    <w:rsid w:val="00CC5EA5"/>
    <w:rsid w:val="00CC5F4F"/>
    <w:rsid w:val="00CC613C"/>
    <w:rsid w:val="00CC66B0"/>
    <w:rsid w:val="00CC6879"/>
    <w:rsid w:val="00CC69AB"/>
    <w:rsid w:val="00CC6F1F"/>
    <w:rsid w:val="00CC7812"/>
    <w:rsid w:val="00CC7938"/>
    <w:rsid w:val="00CD0234"/>
    <w:rsid w:val="00CD052B"/>
    <w:rsid w:val="00CD0887"/>
    <w:rsid w:val="00CD0938"/>
    <w:rsid w:val="00CD0944"/>
    <w:rsid w:val="00CD0A29"/>
    <w:rsid w:val="00CD0A2E"/>
    <w:rsid w:val="00CD0D64"/>
    <w:rsid w:val="00CD1372"/>
    <w:rsid w:val="00CD14B7"/>
    <w:rsid w:val="00CD172B"/>
    <w:rsid w:val="00CD1B24"/>
    <w:rsid w:val="00CD2142"/>
    <w:rsid w:val="00CD21DA"/>
    <w:rsid w:val="00CD24A6"/>
    <w:rsid w:val="00CD2C09"/>
    <w:rsid w:val="00CD2FE4"/>
    <w:rsid w:val="00CD3076"/>
    <w:rsid w:val="00CD307B"/>
    <w:rsid w:val="00CD313C"/>
    <w:rsid w:val="00CD333F"/>
    <w:rsid w:val="00CD3978"/>
    <w:rsid w:val="00CD3AEC"/>
    <w:rsid w:val="00CD3CD0"/>
    <w:rsid w:val="00CD3E2C"/>
    <w:rsid w:val="00CD40C9"/>
    <w:rsid w:val="00CD4244"/>
    <w:rsid w:val="00CD4605"/>
    <w:rsid w:val="00CD4621"/>
    <w:rsid w:val="00CD4B02"/>
    <w:rsid w:val="00CD4C06"/>
    <w:rsid w:val="00CD4F68"/>
    <w:rsid w:val="00CD54D6"/>
    <w:rsid w:val="00CD5C17"/>
    <w:rsid w:val="00CD5D20"/>
    <w:rsid w:val="00CD6731"/>
    <w:rsid w:val="00CD6839"/>
    <w:rsid w:val="00CD6A03"/>
    <w:rsid w:val="00CD6DF8"/>
    <w:rsid w:val="00CD71BF"/>
    <w:rsid w:val="00CD725C"/>
    <w:rsid w:val="00CD76D0"/>
    <w:rsid w:val="00CD7B4E"/>
    <w:rsid w:val="00CD7E12"/>
    <w:rsid w:val="00CE0126"/>
    <w:rsid w:val="00CE014C"/>
    <w:rsid w:val="00CE0938"/>
    <w:rsid w:val="00CE09C8"/>
    <w:rsid w:val="00CE0EFC"/>
    <w:rsid w:val="00CE0F99"/>
    <w:rsid w:val="00CE1A57"/>
    <w:rsid w:val="00CE1C84"/>
    <w:rsid w:val="00CE2148"/>
    <w:rsid w:val="00CE217E"/>
    <w:rsid w:val="00CE2A2C"/>
    <w:rsid w:val="00CE2C13"/>
    <w:rsid w:val="00CE2C6D"/>
    <w:rsid w:val="00CE2EEC"/>
    <w:rsid w:val="00CE3713"/>
    <w:rsid w:val="00CE3AA0"/>
    <w:rsid w:val="00CE3AD0"/>
    <w:rsid w:val="00CE40B1"/>
    <w:rsid w:val="00CE41F6"/>
    <w:rsid w:val="00CE45BD"/>
    <w:rsid w:val="00CE47EE"/>
    <w:rsid w:val="00CE4A92"/>
    <w:rsid w:val="00CE4C28"/>
    <w:rsid w:val="00CE4C6E"/>
    <w:rsid w:val="00CE5179"/>
    <w:rsid w:val="00CE54A2"/>
    <w:rsid w:val="00CE561B"/>
    <w:rsid w:val="00CE594F"/>
    <w:rsid w:val="00CE5992"/>
    <w:rsid w:val="00CE5CA7"/>
    <w:rsid w:val="00CE6B61"/>
    <w:rsid w:val="00CE6D33"/>
    <w:rsid w:val="00CE70AE"/>
    <w:rsid w:val="00CE71DC"/>
    <w:rsid w:val="00CE741D"/>
    <w:rsid w:val="00CE757F"/>
    <w:rsid w:val="00CE7B84"/>
    <w:rsid w:val="00CF03FE"/>
    <w:rsid w:val="00CF0717"/>
    <w:rsid w:val="00CF075A"/>
    <w:rsid w:val="00CF0F3F"/>
    <w:rsid w:val="00CF11A3"/>
    <w:rsid w:val="00CF169A"/>
    <w:rsid w:val="00CF19B7"/>
    <w:rsid w:val="00CF2C60"/>
    <w:rsid w:val="00CF2C9E"/>
    <w:rsid w:val="00CF2E69"/>
    <w:rsid w:val="00CF2FA6"/>
    <w:rsid w:val="00CF3898"/>
    <w:rsid w:val="00CF3994"/>
    <w:rsid w:val="00CF468A"/>
    <w:rsid w:val="00CF4A7A"/>
    <w:rsid w:val="00CF4D04"/>
    <w:rsid w:val="00CF52A4"/>
    <w:rsid w:val="00CF5AE3"/>
    <w:rsid w:val="00CF5B40"/>
    <w:rsid w:val="00CF61CF"/>
    <w:rsid w:val="00CF6260"/>
    <w:rsid w:val="00CF62A5"/>
    <w:rsid w:val="00CF695B"/>
    <w:rsid w:val="00CF6A88"/>
    <w:rsid w:val="00CF6BDF"/>
    <w:rsid w:val="00CF6E69"/>
    <w:rsid w:val="00CF6EF5"/>
    <w:rsid w:val="00CF7354"/>
    <w:rsid w:val="00CF7B15"/>
    <w:rsid w:val="00CF7FBE"/>
    <w:rsid w:val="00D00227"/>
    <w:rsid w:val="00D00562"/>
    <w:rsid w:val="00D01051"/>
    <w:rsid w:val="00D015EC"/>
    <w:rsid w:val="00D01D72"/>
    <w:rsid w:val="00D0278C"/>
    <w:rsid w:val="00D028B2"/>
    <w:rsid w:val="00D02FB3"/>
    <w:rsid w:val="00D03451"/>
    <w:rsid w:val="00D036E3"/>
    <w:rsid w:val="00D04E6A"/>
    <w:rsid w:val="00D04F59"/>
    <w:rsid w:val="00D05780"/>
    <w:rsid w:val="00D05A1E"/>
    <w:rsid w:val="00D05A84"/>
    <w:rsid w:val="00D063B3"/>
    <w:rsid w:val="00D06AE5"/>
    <w:rsid w:val="00D06B15"/>
    <w:rsid w:val="00D06B8D"/>
    <w:rsid w:val="00D06D0E"/>
    <w:rsid w:val="00D06FCD"/>
    <w:rsid w:val="00D0755A"/>
    <w:rsid w:val="00D07608"/>
    <w:rsid w:val="00D10292"/>
    <w:rsid w:val="00D1060B"/>
    <w:rsid w:val="00D10628"/>
    <w:rsid w:val="00D1089A"/>
    <w:rsid w:val="00D10983"/>
    <w:rsid w:val="00D10ECC"/>
    <w:rsid w:val="00D10FA4"/>
    <w:rsid w:val="00D11103"/>
    <w:rsid w:val="00D11296"/>
    <w:rsid w:val="00D112D1"/>
    <w:rsid w:val="00D11490"/>
    <w:rsid w:val="00D115B0"/>
    <w:rsid w:val="00D13463"/>
    <w:rsid w:val="00D13493"/>
    <w:rsid w:val="00D1380D"/>
    <w:rsid w:val="00D13BDE"/>
    <w:rsid w:val="00D13C03"/>
    <w:rsid w:val="00D140B7"/>
    <w:rsid w:val="00D14273"/>
    <w:rsid w:val="00D147BE"/>
    <w:rsid w:val="00D14C14"/>
    <w:rsid w:val="00D153B1"/>
    <w:rsid w:val="00D156B2"/>
    <w:rsid w:val="00D1594B"/>
    <w:rsid w:val="00D15C0E"/>
    <w:rsid w:val="00D1642A"/>
    <w:rsid w:val="00D16685"/>
    <w:rsid w:val="00D166A0"/>
    <w:rsid w:val="00D16F4E"/>
    <w:rsid w:val="00D16F79"/>
    <w:rsid w:val="00D17653"/>
    <w:rsid w:val="00D176C5"/>
    <w:rsid w:val="00D178EA"/>
    <w:rsid w:val="00D17A34"/>
    <w:rsid w:val="00D17A9F"/>
    <w:rsid w:val="00D17B72"/>
    <w:rsid w:val="00D17C3A"/>
    <w:rsid w:val="00D20EDD"/>
    <w:rsid w:val="00D22044"/>
    <w:rsid w:val="00D2213F"/>
    <w:rsid w:val="00D22289"/>
    <w:rsid w:val="00D22472"/>
    <w:rsid w:val="00D22C24"/>
    <w:rsid w:val="00D23175"/>
    <w:rsid w:val="00D23BFA"/>
    <w:rsid w:val="00D24F31"/>
    <w:rsid w:val="00D24FA5"/>
    <w:rsid w:val="00D25391"/>
    <w:rsid w:val="00D258C9"/>
    <w:rsid w:val="00D25C2F"/>
    <w:rsid w:val="00D25DDD"/>
    <w:rsid w:val="00D25FC9"/>
    <w:rsid w:val="00D2653B"/>
    <w:rsid w:val="00D26BB5"/>
    <w:rsid w:val="00D2739D"/>
    <w:rsid w:val="00D27F7E"/>
    <w:rsid w:val="00D30384"/>
    <w:rsid w:val="00D3046C"/>
    <w:rsid w:val="00D30AA8"/>
    <w:rsid w:val="00D30BC5"/>
    <w:rsid w:val="00D3119F"/>
    <w:rsid w:val="00D311DB"/>
    <w:rsid w:val="00D3131F"/>
    <w:rsid w:val="00D31377"/>
    <w:rsid w:val="00D3154E"/>
    <w:rsid w:val="00D31697"/>
    <w:rsid w:val="00D31D36"/>
    <w:rsid w:val="00D31E4C"/>
    <w:rsid w:val="00D31E6A"/>
    <w:rsid w:val="00D32430"/>
    <w:rsid w:val="00D32972"/>
    <w:rsid w:val="00D32A9C"/>
    <w:rsid w:val="00D32D29"/>
    <w:rsid w:val="00D32D9F"/>
    <w:rsid w:val="00D334C2"/>
    <w:rsid w:val="00D33B33"/>
    <w:rsid w:val="00D33DA9"/>
    <w:rsid w:val="00D33E4D"/>
    <w:rsid w:val="00D344FA"/>
    <w:rsid w:val="00D3457D"/>
    <w:rsid w:val="00D34C7B"/>
    <w:rsid w:val="00D34DE5"/>
    <w:rsid w:val="00D34F4E"/>
    <w:rsid w:val="00D35084"/>
    <w:rsid w:val="00D35A91"/>
    <w:rsid w:val="00D35D83"/>
    <w:rsid w:val="00D35E01"/>
    <w:rsid w:val="00D35E7E"/>
    <w:rsid w:val="00D36334"/>
    <w:rsid w:val="00D36775"/>
    <w:rsid w:val="00D36B4F"/>
    <w:rsid w:val="00D36DB7"/>
    <w:rsid w:val="00D37D71"/>
    <w:rsid w:val="00D37E58"/>
    <w:rsid w:val="00D37E5A"/>
    <w:rsid w:val="00D37F8F"/>
    <w:rsid w:val="00D40250"/>
    <w:rsid w:val="00D40820"/>
    <w:rsid w:val="00D40AE4"/>
    <w:rsid w:val="00D40B46"/>
    <w:rsid w:val="00D414CB"/>
    <w:rsid w:val="00D41828"/>
    <w:rsid w:val="00D423B6"/>
    <w:rsid w:val="00D4284D"/>
    <w:rsid w:val="00D42ACD"/>
    <w:rsid w:val="00D42B58"/>
    <w:rsid w:val="00D4389A"/>
    <w:rsid w:val="00D43967"/>
    <w:rsid w:val="00D43A09"/>
    <w:rsid w:val="00D43BC5"/>
    <w:rsid w:val="00D43DD0"/>
    <w:rsid w:val="00D43E85"/>
    <w:rsid w:val="00D4446C"/>
    <w:rsid w:val="00D45550"/>
    <w:rsid w:val="00D456BE"/>
    <w:rsid w:val="00D45801"/>
    <w:rsid w:val="00D458E0"/>
    <w:rsid w:val="00D45BBB"/>
    <w:rsid w:val="00D46719"/>
    <w:rsid w:val="00D46802"/>
    <w:rsid w:val="00D468D8"/>
    <w:rsid w:val="00D47149"/>
    <w:rsid w:val="00D471BC"/>
    <w:rsid w:val="00D473A6"/>
    <w:rsid w:val="00D47802"/>
    <w:rsid w:val="00D478F1"/>
    <w:rsid w:val="00D47B8A"/>
    <w:rsid w:val="00D47C6C"/>
    <w:rsid w:val="00D47DAB"/>
    <w:rsid w:val="00D5007A"/>
    <w:rsid w:val="00D501AA"/>
    <w:rsid w:val="00D5047D"/>
    <w:rsid w:val="00D5088B"/>
    <w:rsid w:val="00D50E09"/>
    <w:rsid w:val="00D5115F"/>
    <w:rsid w:val="00D5124F"/>
    <w:rsid w:val="00D5176F"/>
    <w:rsid w:val="00D517AB"/>
    <w:rsid w:val="00D5220F"/>
    <w:rsid w:val="00D5228F"/>
    <w:rsid w:val="00D523DA"/>
    <w:rsid w:val="00D523FA"/>
    <w:rsid w:val="00D52C07"/>
    <w:rsid w:val="00D52DA6"/>
    <w:rsid w:val="00D52ECD"/>
    <w:rsid w:val="00D52FEB"/>
    <w:rsid w:val="00D533D6"/>
    <w:rsid w:val="00D5410A"/>
    <w:rsid w:val="00D545CE"/>
    <w:rsid w:val="00D5486C"/>
    <w:rsid w:val="00D548AC"/>
    <w:rsid w:val="00D54EC5"/>
    <w:rsid w:val="00D55528"/>
    <w:rsid w:val="00D557C5"/>
    <w:rsid w:val="00D55843"/>
    <w:rsid w:val="00D55C1C"/>
    <w:rsid w:val="00D55E37"/>
    <w:rsid w:val="00D55F68"/>
    <w:rsid w:val="00D56075"/>
    <w:rsid w:val="00D5628C"/>
    <w:rsid w:val="00D5664A"/>
    <w:rsid w:val="00D56762"/>
    <w:rsid w:val="00D5685D"/>
    <w:rsid w:val="00D56A5C"/>
    <w:rsid w:val="00D56BDF"/>
    <w:rsid w:val="00D56F3C"/>
    <w:rsid w:val="00D57F40"/>
    <w:rsid w:val="00D60150"/>
    <w:rsid w:val="00D6019F"/>
    <w:rsid w:val="00D6043D"/>
    <w:rsid w:val="00D6069F"/>
    <w:rsid w:val="00D608E1"/>
    <w:rsid w:val="00D60A11"/>
    <w:rsid w:val="00D60A9E"/>
    <w:rsid w:val="00D60EC4"/>
    <w:rsid w:val="00D60F1E"/>
    <w:rsid w:val="00D61321"/>
    <w:rsid w:val="00D61458"/>
    <w:rsid w:val="00D6146A"/>
    <w:rsid w:val="00D61EEF"/>
    <w:rsid w:val="00D6254F"/>
    <w:rsid w:val="00D62D55"/>
    <w:rsid w:val="00D6332E"/>
    <w:rsid w:val="00D63572"/>
    <w:rsid w:val="00D63638"/>
    <w:rsid w:val="00D636E5"/>
    <w:rsid w:val="00D63B52"/>
    <w:rsid w:val="00D63EE8"/>
    <w:rsid w:val="00D64224"/>
    <w:rsid w:val="00D64625"/>
    <w:rsid w:val="00D6495D"/>
    <w:rsid w:val="00D64F9F"/>
    <w:rsid w:val="00D64FB3"/>
    <w:rsid w:val="00D657EF"/>
    <w:rsid w:val="00D657F4"/>
    <w:rsid w:val="00D65868"/>
    <w:rsid w:val="00D65CFB"/>
    <w:rsid w:val="00D65E8D"/>
    <w:rsid w:val="00D661A9"/>
    <w:rsid w:val="00D66392"/>
    <w:rsid w:val="00D663DB"/>
    <w:rsid w:val="00D66800"/>
    <w:rsid w:val="00D66E9B"/>
    <w:rsid w:val="00D66EAE"/>
    <w:rsid w:val="00D6709E"/>
    <w:rsid w:val="00D67613"/>
    <w:rsid w:val="00D67741"/>
    <w:rsid w:val="00D67794"/>
    <w:rsid w:val="00D67A53"/>
    <w:rsid w:val="00D67D9E"/>
    <w:rsid w:val="00D67FF2"/>
    <w:rsid w:val="00D70042"/>
    <w:rsid w:val="00D7084E"/>
    <w:rsid w:val="00D708D3"/>
    <w:rsid w:val="00D70C88"/>
    <w:rsid w:val="00D7170A"/>
    <w:rsid w:val="00D71B9C"/>
    <w:rsid w:val="00D720A6"/>
    <w:rsid w:val="00D72C3E"/>
    <w:rsid w:val="00D72C90"/>
    <w:rsid w:val="00D73022"/>
    <w:rsid w:val="00D7341C"/>
    <w:rsid w:val="00D73621"/>
    <w:rsid w:val="00D73705"/>
    <w:rsid w:val="00D7384C"/>
    <w:rsid w:val="00D73D98"/>
    <w:rsid w:val="00D73E14"/>
    <w:rsid w:val="00D7420C"/>
    <w:rsid w:val="00D7476D"/>
    <w:rsid w:val="00D747B5"/>
    <w:rsid w:val="00D74CBA"/>
    <w:rsid w:val="00D74CD5"/>
    <w:rsid w:val="00D74D04"/>
    <w:rsid w:val="00D74E8B"/>
    <w:rsid w:val="00D74EE3"/>
    <w:rsid w:val="00D74F47"/>
    <w:rsid w:val="00D750F5"/>
    <w:rsid w:val="00D757AC"/>
    <w:rsid w:val="00D75BFF"/>
    <w:rsid w:val="00D76491"/>
    <w:rsid w:val="00D7665A"/>
    <w:rsid w:val="00D768D1"/>
    <w:rsid w:val="00D7731F"/>
    <w:rsid w:val="00D77F6C"/>
    <w:rsid w:val="00D802DF"/>
    <w:rsid w:val="00D8087A"/>
    <w:rsid w:val="00D8100B"/>
    <w:rsid w:val="00D81BAE"/>
    <w:rsid w:val="00D820E7"/>
    <w:rsid w:val="00D82166"/>
    <w:rsid w:val="00D826D4"/>
    <w:rsid w:val="00D828F8"/>
    <w:rsid w:val="00D82CC1"/>
    <w:rsid w:val="00D82E78"/>
    <w:rsid w:val="00D82FA4"/>
    <w:rsid w:val="00D832A6"/>
    <w:rsid w:val="00D83DB7"/>
    <w:rsid w:val="00D83F4E"/>
    <w:rsid w:val="00D83F92"/>
    <w:rsid w:val="00D843F3"/>
    <w:rsid w:val="00D846DF"/>
    <w:rsid w:val="00D847AF"/>
    <w:rsid w:val="00D8544F"/>
    <w:rsid w:val="00D85ABC"/>
    <w:rsid w:val="00D85E7B"/>
    <w:rsid w:val="00D8640A"/>
    <w:rsid w:val="00D865C9"/>
    <w:rsid w:val="00D8667C"/>
    <w:rsid w:val="00D86916"/>
    <w:rsid w:val="00D86AB9"/>
    <w:rsid w:val="00D86CFF"/>
    <w:rsid w:val="00D86F4F"/>
    <w:rsid w:val="00D87490"/>
    <w:rsid w:val="00D87633"/>
    <w:rsid w:val="00D87EA6"/>
    <w:rsid w:val="00D90225"/>
    <w:rsid w:val="00D90420"/>
    <w:rsid w:val="00D904B1"/>
    <w:rsid w:val="00D907BF"/>
    <w:rsid w:val="00D908F6"/>
    <w:rsid w:val="00D91339"/>
    <w:rsid w:val="00D913F2"/>
    <w:rsid w:val="00D91501"/>
    <w:rsid w:val="00D920C0"/>
    <w:rsid w:val="00D920ED"/>
    <w:rsid w:val="00D92105"/>
    <w:rsid w:val="00D92374"/>
    <w:rsid w:val="00D92983"/>
    <w:rsid w:val="00D92A16"/>
    <w:rsid w:val="00D92CCA"/>
    <w:rsid w:val="00D92CDA"/>
    <w:rsid w:val="00D92F48"/>
    <w:rsid w:val="00D93140"/>
    <w:rsid w:val="00D931A0"/>
    <w:rsid w:val="00D937EA"/>
    <w:rsid w:val="00D940D2"/>
    <w:rsid w:val="00D942FF"/>
    <w:rsid w:val="00D94389"/>
    <w:rsid w:val="00D94A3D"/>
    <w:rsid w:val="00D94E58"/>
    <w:rsid w:val="00D94EB8"/>
    <w:rsid w:val="00D9529C"/>
    <w:rsid w:val="00D96986"/>
    <w:rsid w:val="00D96B1A"/>
    <w:rsid w:val="00D96B30"/>
    <w:rsid w:val="00D970E5"/>
    <w:rsid w:val="00D975A6"/>
    <w:rsid w:val="00D97735"/>
    <w:rsid w:val="00D97831"/>
    <w:rsid w:val="00DA0097"/>
    <w:rsid w:val="00DA02D3"/>
    <w:rsid w:val="00DA0706"/>
    <w:rsid w:val="00DA0751"/>
    <w:rsid w:val="00DA0803"/>
    <w:rsid w:val="00DA081A"/>
    <w:rsid w:val="00DA216C"/>
    <w:rsid w:val="00DA2BC2"/>
    <w:rsid w:val="00DA2F48"/>
    <w:rsid w:val="00DA2FDF"/>
    <w:rsid w:val="00DA365C"/>
    <w:rsid w:val="00DA3753"/>
    <w:rsid w:val="00DA3957"/>
    <w:rsid w:val="00DA3ED8"/>
    <w:rsid w:val="00DA40A4"/>
    <w:rsid w:val="00DA4137"/>
    <w:rsid w:val="00DA4E1B"/>
    <w:rsid w:val="00DA5350"/>
    <w:rsid w:val="00DA5355"/>
    <w:rsid w:val="00DA589A"/>
    <w:rsid w:val="00DA5B79"/>
    <w:rsid w:val="00DA6023"/>
    <w:rsid w:val="00DA64B2"/>
    <w:rsid w:val="00DA6691"/>
    <w:rsid w:val="00DA66C2"/>
    <w:rsid w:val="00DA68F4"/>
    <w:rsid w:val="00DA69DE"/>
    <w:rsid w:val="00DA7470"/>
    <w:rsid w:val="00DA7909"/>
    <w:rsid w:val="00DA790A"/>
    <w:rsid w:val="00DA7CC3"/>
    <w:rsid w:val="00DA7FFA"/>
    <w:rsid w:val="00DB01AD"/>
    <w:rsid w:val="00DB03A6"/>
    <w:rsid w:val="00DB08F3"/>
    <w:rsid w:val="00DB0FE2"/>
    <w:rsid w:val="00DB13C5"/>
    <w:rsid w:val="00DB1E97"/>
    <w:rsid w:val="00DB1ED2"/>
    <w:rsid w:val="00DB206E"/>
    <w:rsid w:val="00DB23D9"/>
    <w:rsid w:val="00DB2D6B"/>
    <w:rsid w:val="00DB2DCF"/>
    <w:rsid w:val="00DB2DDB"/>
    <w:rsid w:val="00DB348F"/>
    <w:rsid w:val="00DB369F"/>
    <w:rsid w:val="00DB3A43"/>
    <w:rsid w:val="00DB3E57"/>
    <w:rsid w:val="00DB4D2D"/>
    <w:rsid w:val="00DB4DA3"/>
    <w:rsid w:val="00DB50D2"/>
    <w:rsid w:val="00DB51A5"/>
    <w:rsid w:val="00DB51BA"/>
    <w:rsid w:val="00DB5632"/>
    <w:rsid w:val="00DB59F1"/>
    <w:rsid w:val="00DB65C2"/>
    <w:rsid w:val="00DB6CAF"/>
    <w:rsid w:val="00DB6F56"/>
    <w:rsid w:val="00DB71F6"/>
    <w:rsid w:val="00DB7394"/>
    <w:rsid w:val="00DB7673"/>
    <w:rsid w:val="00DB78B9"/>
    <w:rsid w:val="00DB7A75"/>
    <w:rsid w:val="00DB7CBA"/>
    <w:rsid w:val="00DB7D69"/>
    <w:rsid w:val="00DC0082"/>
    <w:rsid w:val="00DC0162"/>
    <w:rsid w:val="00DC05B2"/>
    <w:rsid w:val="00DC06B2"/>
    <w:rsid w:val="00DC0731"/>
    <w:rsid w:val="00DC07C7"/>
    <w:rsid w:val="00DC09B8"/>
    <w:rsid w:val="00DC0AF7"/>
    <w:rsid w:val="00DC0D6F"/>
    <w:rsid w:val="00DC0E66"/>
    <w:rsid w:val="00DC10BA"/>
    <w:rsid w:val="00DC112A"/>
    <w:rsid w:val="00DC1808"/>
    <w:rsid w:val="00DC1FFC"/>
    <w:rsid w:val="00DC2022"/>
    <w:rsid w:val="00DC2460"/>
    <w:rsid w:val="00DC24E4"/>
    <w:rsid w:val="00DC2B9F"/>
    <w:rsid w:val="00DC2DDB"/>
    <w:rsid w:val="00DC2E27"/>
    <w:rsid w:val="00DC2FB1"/>
    <w:rsid w:val="00DC305A"/>
    <w:rsid w:val="00DC3A03"/>
    <w:rsid w:val="00DC4451"/>
    <w:rsid w:val="00DC4480"/>
    <w:rsid w:val="00DC4496"/>
    <w:rsid w:val="00DC45EF"/>
    <w:rsid w:val="00DC4A6B"/>
    <w:rsid w:val="00DC4DD8"/>
    <w:rsid w:val="00DC5AB0"/>
    <w:rsid w:val="00DC5E83"/>
    <w:rsid w:val="00DC603B"/>
    <w:rsid w:val="00DC65C7"/>
    <w:rsid w:val="00DC6C45"/>
    <w:rsid w:val="00DC6D62"/>
    <w:rsid w:val="00DC6E74"/>
    <w:rsid w:val="00DC6F97"/>
    <w:rsid w:val="00DC7037"/>
    <w:rsid w:val="00DC7180"/>
    <w:rsid w:val="00DC7D46"/>
    <w:rsid w:val="00DC7D6D"/>
    <w:rsid w:val="00DC7F54"/>
    <w:rsid w:val="00DC7F76"/>
    <w:rsid w:val="00DD0266"/>
    <w:rsid w:val="00DD04C1"/>
    <w:rsid w:val="00DD0578"/>
    <w:rsid w:val="00DD07B8"/>
    <w:rsid w:val="00DD08AF"/>
    <w:rsid w:val="00DD0C53"/>
    <w:rsid w:val="00DD0DD4"/>
    <w:rsid w:val="00DD0E19"/>
    <w:rsid w:val="00DD0F47"/>
    <w:rsid w:val="00DD13DD"/>
    <w:rsid w:val="00DD1D2D"/>
    <w:rsid w:val="00DD1EDA"/>
    <w:rsid w:val="00DD218B"/>
    <w:rsid w:val="00DD255B"/>
    <w:rsid w:val="00DD276A"/>
    <w:rsid w:val="00DD2E28"/>
    <w:rsid w:val="00DD2FA0"/>
    <w:rsid w:val="00DD30A5"/>
    <w:rsid w:val="00DD31B9"/>
    <w:rsid w:val="00DD34A5"/>
    <w:rsid w:val="00DD3B8B"/>
    <w:rsid w:val="00DD3FCE"/>
    <w:rsid w:val="00DD42C5"/>
    <w:rsid w:val="00DD47BF"/>
    <w:rsid w:val="00DD49E3"/>
    <w:rsid w:val="00DD5142"/>
    <w:rsid w:val="00DD5209"/>
    <w:rsid w:val="00DD5583"/>
    <w:rsid w:val="00DD56E3"/>
    <w:rsid w:val="00DD6110"/>
    <w:rsid w:val="00DD6E34"/>
    <w:rsid w:val="00DD7187"/>
    <w:rsid w:val="00DD7645"/>
    <w:rsid w:val="00DD780E"/>
    <w:rsid w:val="00DE0DB9"/>
    <w:rsid w:val="00DE1BDF"/>
    <w:rsid w:val="00DE1E34"/>
    <w:rsid w:val="00DE1F2F"/>
    <w:rsid w:val="00DE1F45"/>
    <w:rsid w:val="00DE2761"/>
    <w:rsid w:val="00DE2AA7"/>
    <w:rsid w:val="00DE2D12"/>
    <w:rsid w:val="00DE2FA3"/>
    <w:rsid w:val="00DE31B0"/>
    <w:rsid w:val="00DE356A"/>
    <w:rsid w:val="00DE3ED6"/>
    <w:rsid w:val="00DE42DE"/>
    <w:rsid w:val="00DE4421"/>
    <w:rsid w:val="00DE4433"/>
    <w:rsid w:val="00DE443E"/>
    <w:rsid w:val="00DE45C8"/>
    <w:rsid w:val="00DE45F1"/>
    <w:rsid w:val="00DE46CB"/>
    <w:rsid w:val="00DE4E05"/>
    <w:rsid w:val="00DE502D"/>
    <w:rsid w:val="00DE50AF"/>
    <w:rsid w:val="00DE5331"/>
    <w:rsid w:val="00DE55F6"/>
    <w:rsid w:val="00DE59AC"/>
    <w:rsid w:val="00DE5C72"/>
    <w:rsid w:val="00DE5E7C"/>
    <w:rsid w:val="00DE66F4"/>
    <w:rsid w:val="00DE6845"/>
    <w:rsid w:val="00DE69F5"/>
    <w:rsid w:val="00DE6A3C"/>
    <w:rsid w:val="00DE70DD"/>
    <w:rsid w:val="00DF00A7"/>
    <w:rsid w:val="00DF0AC4"/>
    <w:rsid w:val="00DF0B77"/>
    <w:rsid w:val="00DF0F33"/>
    <w:rsid w:val="00DF10B7"/>
    <w:rsid w:val="00DF1141"/>
    <w:rsid w:val="00DF142D"/>
    <w:rsid w:val="00DF1436"/>
    <w:rsid w:val="00DF14F4"/>
    <w:rsid w:val="00DF1A65"/>
    <w:rsid w:val="00DF212B"/>
    <w:rsid w:val="00DF21F1"/>
    <w:rsid w:val="00DF259D"/>
    <w:rsid w:val="00DF277E"/>
    <w:rsid w:val="00DF279A"/>
    <w:rsid w:val="00DF29BB"/>
    <w:rsid w:val="00DF3011"/>
    <w:rsid w:val="00DF3204"/>
    <w:rsid w:val="00DF3790"/>
    <w:rsid w:val="00DF393E"/>
    <w:rsid w:val="00DF3F23"/>
    <w:rsid w:val="00DF3FAC"/>
    <w:rsid w:val="00DF40C3"/>
    <w:rsid w:val="00DF4473"/>
    <w:rsid w:val="00DF44BB"/>
    <w:rsid w:val="00DF4670"/>
    <w:rsid w:val="00DF4A75"/>
    <w:rsid w:val="00DF4B9D"/>
    <w:rsid w:val="00DF4BC6"/>
    <w:rsid w:val="00DF500B"/>
    <w:rsid w:val="00DF5445"/>
    <w:rsid w:val="00DF5623"/>
    <w:rsid w:val="00DF6AEE"/>
    <w:rsid w:val="00DF6DBD"/>
    <w:rsid w:val="00DF6DC0"/>
    <w:rsid w:val="00DF6F44"/>
    <w:rsid w:val="00DF7234"/>
    <w:rsid w:val="00DF7302"/>
    <w:rsid w:val="00DF7311"/>
    <w:rsid w:val="00DF74CB"/>
    <w:rsid w:val="00DF79FB"/>
    <w:rsid w:val="00DF7D4F"/>
    <w:rsid w:val="00DF7F1F"/>
    <w:rsid w:val="00E00027"/>
    <w:rsid w:val="00E0043D"/>
    <w:rsid w:val="00E004C3"/>
    <w:rsid w:val="00E00DF8"/>
    <w:rsid w:val="00E014A7"/>
    <w:rsid w:val="00E015A1"/>
    <w:rsid w:val="00E0171C"/>
    <w:rsid w:val="00E01794"/>
    <w:rsid w:val="00E01A03"/>
    <w:rsid w:val="00E01E25"/>
    <w:rsid w:val="00E01F96"/>
    <w:rsid w:val="00E020AA"/>
    <w:rsid w:val="00E02334"/>
    <w:rsid w:val="00E02D68"/>
    <w:rsid w:val="00E02E5F"/>
    <w:rsid w:val="00E0337D"/>
    <w:rsid w:val="00E0384F"/>
    <w:rsid w:val="00E03C59"/>
    <w:rsid w:val="00E03D63"/>
    <w:rsid w:val="00E04086"/>
    <w:rsid w:val="00E04318"/>
    <w:rsid w:val="00E046E1"/>
    <w:rsid w:val="00E04F6B"/>
    <w:rsid w:val="00E055D5"/>
    <w:rsid w:val="00E05D64"/>
    <w:rsid w:val="00E06136"/>
    <w:rsid w:val="00E068EE"/>
    <w:rsid w:val="00E06B79"/>
    <w:rsid w:val="00E06BDF"/>
    <w:rsid w:val="00E06CAC"/>
    <w:rsid w:val="00E06CD2"/>
    <w:rsid w:val="00E07352"/>
    <w:rsid w:val="00E0778E"/>
    <w:rsid w:val="00E07AA7"/>
    <w:rsid w:val="00E07D1B"/>
    <w:rsid w:val="00E07E8F"/>
    <w:rsid w:val="00E10103"/>
    <w:rsid w:val="00E11410"/>
    <w:rsid w:val="00E11A84"/>
    <w:rsid w:val="00E11FA0"/>
    <w:rsid w:val="00E12886"/>
    <w:rsid w:val="00E12A29"/>
    <w:rsid w:val="00E12B48"/>
    <w:rsid w:val="00E13436"/>
    <w:rsid w:val="00E13812"/>
    <w:rsid w:val="00E13CDB"/>
    <w:rsid w:val="00E13F8E"/>
    <w:rsid w:val="00E14382"/>
    <w:rsid w:val="00E1441E"/>
    <w:rsid w:val="00E1446F"/>
    <w:rsid w:val="00E144D7"/>
    <w:rsid w:val="00E14747"/>
    <w:rsid w:val="00E14D1C"/>
    <w:rsid w:val="00E1557B"/>
    <w:rsid w:val="00E15A1B"/>
    <w:rsid w:val="00E15AA8"/>
    <w:rsid w:val="00E15BD9"/>
    <w:rsid w:val="00E1633D"/>
    <w:rsid w:val="00E1638E"/>
    <w:rsid w:val="00E169DC"/>
    <w:rsid w:val="00E16C49"/>
    <w:rsid w:val="00E16D4F"/>
    <w:rsid w:val="00E16E4A"/>
    <w:rsid w:val="00E16F95"/>
    <w:rsid w:val="00E1752B"/>
    <w:rsid w:val="00E17771"/>
    <w:rsid w:val="00E17B10"/>
    <w:rsid w:val="00E17B2F"/>
    <w:rsid w:val="00E17CB0"/>
    <w:rsid w:val="00E17DC8"/>
    <w:rsid w:val="00E17FC0"/>
    <w:rsid w:val="00E20726"/>
    <w:rsid w:val="00E2087F"/>
    <w:rsid w:val="00E2118B"/>
    <w:rsid w:val="00E216D3"/>
    <w:rsid w:val="00E21E41"/>
    <w:rsid w:val="00E2273B"/>
    <w:rsid w:val="00E227B4"/>
    <w:rsid w:val="00E22B48"/>
    <w:rsid w:val="00E232F6"/>
    <w:rsid w:val="00E23315"/>
    <w:rsid w:val="00E23745"/>
    <w:rsid w:val="00E240C4"/>
    <w:rsid w:val="00E24C5C"/>
    <w:rsid w:val="00E24CBD"/>
    <w:rsid w:val="00E254C5"/>
    <w:rsid w:val="00E25A02"/>
    <w:rsid w:val="00E25E16"/>
    <w:rsid w:val="00E26067"/>
    <w:rsid w:val="00E261B6"/>
    <w:rsid w:val="00E2625C"/>
    <w:rsid w:val="00E26EDA"/>
    <w:rsid w:val="00E27249"/>
    <w:rsid w:val="00E27278"/>
    <w:rsid w:val="00E275B3"/>
    <w:rsid w:val="00E28B98"/>
    <w:rsid w:val="00E300A8"/>
    <w:rsid w:val="00E302A4"/>
    <w:rsid w:val="00E30927"/>
    <w:rsid w:val="00E30A52"/>
    <w:rsid w:val="00E30F36"/>
    <w:rsid w:val="00E3115E"/>
    <w:rsid w:val="00E32033"/>
    <w:rsid w:val="00E321F6"/>
    <w:rsid w:val="00E3288E"/>
    <w:rsid w:val="00E32F24"/>
    <w:rsid w:val="00E3333E"/>
    <w:rsid w:val="00E337FA"/>
    <w:rsid w:val="00E33A13"/>
    <w:rsid w:val="00E34227"/>
    <w:rsid w:val="00E34767"/>
    <w:rsid w:val="00E34EDF"/>
    <w:rsid w:val="00E35CEE"/>
    <w:rsid w:val="00E36178"/>
    <w:rsid w:val="00E361A9"/>
    <w:rsid w:val="00E36303"/>
    <w:rsid w:val="00E366E7"/>
    <w:rsid w:val="00E368D1"/>
    <w:rsid w:val="00E369A4"/>
    <w:rsid w:val="00E3756E"/>
    <w:rsid w:val="00E375A9"/>
    <w:rsid w:val="00E376A3"/>
    <w:rsid w:val="00E37927"/>
    <w:rsid w:val="00E3794A"/>
    <w:rsid w:val="00E379E7"/>
    <w:rsid w:val="00E37A88"/>
    <w:rsid w:val="00E40B55"/>
    <w:rsid w:val="00E40BF3"/>
    <w:rsid w:val="00E40CE9"/>
    <w:rsid w:val="00E41055"/>
    <w:rsid w:val="00E4109D"/>
    <w:rsid w:val="00E411E9"/>
    <w:rsid w:val="00E41371"/>
    <w:rsid w:val="00E41766"/>
    <w:rsid w:val="00E417AE"/>
    <w:rsid w:val="00E4233C"/>
    <w:rsid w:val="00E42663"/>
    <w:rsid w:val="00E4283C"/>
    <w:rsid w:val="00E42941"/>
    <w:rsid w:val="00E42A79"/>
    <w:rsid w:val="00E43333"/>
    <w:rsid w:val="00E43485"/>
    <w:rsid w:val="00E4358F"/>
    <w:rsid w:val="00E43967"/>
    <w:rsid w:val="00E43D0F"/>
    <w:rsid w:val="00E442CF"/>
    <w:rsid w:val="00E4446A"/>
    <w:rsid w:val="00E44729"/>
    <w:rsid w:val="00E44CDF"/>
    <w:rsid w:val="00E45520"/>
    <w:rsid w:val="00E457E0"/>
    <w:rsid w:val="00E4581F"/>
    <w:rsid w:val="00E45B3A"/>
    <w:rsid w:val="00E45D58"/>
    <w:rsid w:val="00E463A8"/>
    <w:rsid w:val="00E468AA"/>
    <w:rsid w:val="00E46936"/>
    <w:rsid w:val="00E47232"/>
    <w:rsid w:val="00E47512"/>
    <w:rsid w:val="00E475E0"/>
    <w:rsid w:val="00E476E3"/>
    <w:rsid w:val="00E47C93"/>
    <w:rsid w:val="00E50025"/>
    <w:rsid w:val="00E500CC"/>
    <w:rsid w:val="00E5014A"/>
    <w:rsid w:val="00E50836"/>
    <w:rsid w:val="00E51A49"/>
    <w:rsid w:val="00E51B1C"/>
    <w:rsid w:val="00E525B4"/>
    <w:rsid w:val="00E526FC"/>
    <w:rsid w:val="00E527E7"/>
    <w:rsid w:val="00E52A0E"/>
    <w:rsid w:val="00E52E55"/>
    <w:rsid w:val="00E52F0B"/>
    <w:rsid w:val="00E53330"/>
    <w:rsid w:val="00E53993"/>
    <w:rsid w:val="00E53CDB"/>
    <w:rsid w:val="00E53F75"/>
    <w:rsid w:val="00E53FF5"/>
    <w:rsid w:val="00E55321"/>
    <w:rsid w:val="00E55375"/>
    <w:rsid w:val="00E554A5"/>
    <w:rsid w:val="00E571BA"/>
    <w:rsid w:val="00E573D5"/>
    <w:rsid w:val="00E577EA"/>
    <w:rsid w:val="00E57BC8"/>
    <w:rsid w:val="00E57D0B"/>
    <w:rsid w:val="00E57E63"/>
    <w:rsid w:val="00E57F10"/>
    <w:rsid w:val="00E60432"/>
    <w:rsid w:val="00E6063B"/>
    <w:rsid w:val="00E60B6E"/>
    <w:rsid w:val="00E61F8A"/>
    <w:rsid w:val="00E620D4"/>
    <w:rsid w:val="00E6216C"/>
    <w:rsid w:val="00E621E7"/>
    <w:rsid w:val="00E62353"/>
    <w:rsid w:val="00E62E11"/>
    <w:rsid w:val="00E62E14"/>
    <w:rsid w:val="00E62EA7"/>
    <w:rsid w:val="00E633EA"/>
    <w:rsid w:val="00E636DC"/>
    <w:rsid w:val="00E63795"/>
    <w:rsid w:val="00E639F9"/>
    <w:rsid w:val="00E63E1D"/>
    <w:rsid w:val="00E64441"/>
    <w:rsid w:val="00E64BFA"/>
    <w:rsid w:val="00E64DF5"/>
    <w:rsid w:val="00E64DFE"/>
    <w:rsid w:val="00E650A6"/>
    <w:rsid w:val="00E6516A"/>
    <w:rsid w:val="00E653D7"/>
    <w:rsid w:val="00E65615"/>
    <w:rsid w:val="00E656AE"/>
    <w:rsid w:val="00E66218"/>
    <w:rsid w:val="00E66229"/>
    <w:rsid w:val="00E662DB"/>
    <w:rsid w:val="00E66611"/>
    <w:rsid w:val="00E66CCC"/>
    <w:rsid w:val="00E67950"/>
    <w:rsid w:val="00E67ED7"/>
    <w:rsid w:val="00E70093"/>
    <w:rsid w:val="00E70D30"/>
    <w:rsid w:val="00E71560"/>
    <w:rsid w:val="00E720DA"/>
    <w:rsid w:val="00E7214D"/>
    <w:rsid w:val="00E72510"/>
    <w:rsid w:val="00E7264F"/>
    <w:rsid w:val="00E727A2"/>
    <w:rsid w:val="00E72920"/>
    <w:rsid w:val="00E72C30"/>
    <w:rsid w:val="00E72D2D"/>
    <w:rsid w:val="00E73375"/>
    <w:rsid w:val="00E73CE3"/>
    <w:rsid w:val="00E74096"/>
    <w:rsid w:val="00E7444C"/>
    <w:rsid w:val="00E74882"/>
    <w:rsid w:val="00E7500F"/>
    <w:rsid w:val="00E751FB"/>
    <w:rsid w:val="00E75275"/>
    <w:rsid w:val="00E75BCF"/>
    <w:rsid w:val="00E76B78"/>
    <w:rsid w:val="00E76BE6"/>
    <w:rsid w:val="00E76CDB"/>
    <w:rsid w:val="00E76E87"/>
    <w:rsid w:val="00E770F7"/>
    <w:rsid w:val="00E77C44"/>
    <w:rsid w:val="00E802CE"/>
    <w:rsid w:val="00E80466"/>
    <w:rsid w:val="00E805AE"/>
    <w:rsid w:val="00E80D8A"/>
    <w:rsid w:val="00E80D9F"/>
    <w:rsid w:val="00E813B3"/>
    <w:rsid w:val="00E814B2"/>
    <w:rsid w:val="00E81591"/>
    <w:rsid w:val="00E81D66"/>
    <w:rsid w:val="00E82C30"/>
    <w:rsid w:val="00E82DA5"/>
    <w:rsid w:val="00E832AD"/>
    <w:rsid w:val="00E836CF"/>
    <w:rsid w:val="00E83977"/>
    <w:rsid w:val="00E83A81"/>
    <w:rsid w:val="00E84083"/>
    <w:rsid w:val="00E840A8"/>
    <w:rsid w:val="00E8591D"/>
    <w:rsid w:val="00E85C61"/>
    <w:rsid w:val="00E868CA"/>
    <w:rsid w:val="00E86940"/>
    <w:rsid w:val="00E86B39"/>
    <w:rsid w:val="00E86F5C"/>
    <w:rsid w:val="00E870E0"/>
    <w:rsid w:val="00E871D4"/>
    <w:rsid w:val="00E87844"/>
    <w:rsid w:val="00E87EBB"/>
    <w:rsid w:val="00E90039"/>
    <w:rsid w:val="00E901A8"/>
    <w:rsid w:val="00E902BB"/>
    <w:rsid w:val="00E908FD"/>
    <w:rsid w:val="00E90E00"/>
    <w:rsid w:val="00E9118F"/>
    <w:rsid w:val="00E9147C"/>
    <w:rsid w:val="00E91D32"/>
    <w:rsid w:val="00E91F55"/>
    <w:rsid w:val="00E92126"/>
    <w:rsid w:val="00E9224C"/>
    <w:rsid w:val="00E92266"/>
    <w:rsid w:val="00E92922"/>
    <w:rsid w:val="00E929CC"/>
    <w:rsid w:val="00E92D93"/>
    <w:rsid w:val="00E92E2C"/>
    <w:rsid w:val="00E93935"/>
    <w:rsid w:val="00E93A3B"/>
    <w:rsid w:val="00E93D85"/>
    <w:rsid w:val="00E941D9"/>
    <w:rsid w:val="00E9482D"/>
    <w:rsid w:val="00E94854"/>
    <w:rsid w:val="00E95022"/>
    <w:rsid w:val="00E9511D"/>
    <w:rsid w:val="00E95163"/>
    <w:rsid w:val="00E95302"/>
    <w:rsid w:val="00E956B3"/>
    <w:rsid w:val="00E95ABC"/>
    <w:rsid w:val="00E95ED6"/>
    <w:rsid w:val="00E9602F"/>
    <w:rsid w:val="00E967CC"/>
    <w:rsid w:val="00E96CB2"/>
    <w:rsid w:val="00E97226"/>
    <w:rsid w:val="00E97603"/>
    <w:rsid w:val="00E978B2"/>
    <w:rsid w:val="00E978B5"/>
    <w:rsid w:val="00E97C64"/>
    <w:rsid w:val="00E97FF0"/>
    <w:rsid w:val="00EA06A1"/>
    <w:rsid w:val="00EA095F"/>
    <w:rsid w:val="00EA0974"/>
    <w:rsid w:val="00EA0DE1"/>
    <w:rsid w:val="00EA10E1"/>
    <w:rsid w:val="00EA1397"/>
    <w:rsid w:val="00EA16F9"/>
    <w:rsid w:val="00EA1C1A"/>
    <w:rsid w:val="00EA2B29"/>
    <w:rsid w:val="00EA2D6B"/>
    <w:rsid w:val="00EA2E3D"/>
    <w:rsid w:val="00EA304A"/>
    <w:rsid w:val="00EA3CBE"/>
    <w:rsid w:val="00EA3F07"/>
    <w:rsid w:val="00EA417F"/>
    <w:rsid w:val="00EA4335"/>
    <w:rsid w:val="00EA4406"/>
    <w:rsid w:val="00EA45D5"/>
    <w:rsid w:val="00EA478D"/>
    <w:rsid w:val="00EA4886"/>
    <w:rsid w:val="00EA4B50"/>
    <w:rsid w:val="00EA4ED2"/>
    <w:rsid w:val="00EA56E4"/>
    <w:rsid w:val="00EA58E6"/>
    <w:rsid w:val="00EA590C"/>
    <w:rsid w:val="00EA59C8"/>
    <w:rsid w:val="00EA5D1E"/>
    <w:rsid w:val="00EA5E04"/>
    <w:rsid w:val="00EA6476"/>
    <w:rsid w:val="00EA6630"/>
    <w:rsid w:val="00EA6BAB"/>
    <w:rsid w:val="00EA6DDF"/>
    <w:rsid w:val="00EA6FFA"/>
    <w:rsid w:val="00EA7595"/>
    <w:rsid w:val="00EA7BD1"/>
    <w:rsid w:val="00EA7D44"/>
    <w:rsid w:val="00EA7D4F"/>
    <w:rsid w:val="00EA7DF3"/>
    <w:rsid w:val="00EA7F20"/>
    <w:rsid w:val="00EB073E"/>
    <w:rsid w:val="00EB0769"/>
    <w:rsid w:val="00EB0884"/>
    <w:rsid w:val="00EB0ADA"/>
    <w:rsid w:val="00EB109E"/>
    <w:rsid w:val="00EB129F"/>
    <w:rsid w:val="00EB16F7"/>
    <w:rsid w:val="00EB1AE3"/>
    <w:rsid w:val="00EB1AFD"/>
    <w:rsid w:val="00EB205A"/>
    <w:rsid w:val="00EB2100"/>
    <w:rsid w:val="00EB21E8"/>
    <w:rsid w:val="00EB2383"/>
    <w:rsid w:val="00EB273D"/>
    <w:rsid w:val="00EB27C6"/>
    <w:rsid w:val="00EB2D34"/>
    <w:rsid w:val="00EB2D69"/>
    <w:rsid w:val="00EB3795"/>
    <w:rsid w:val="00EB3B64"/>
    <w:rsid w:val="00EB3D6F"/>
    <w:rsid w:val="00EB3D8C"/>
    <w:rsid w:val="00EB4354"/>
    <w:rsid w:val="00EB462B"/>
    <w:rsid w:val="00EB4A56"/>
    <w:rsid w:val="00EB5338"/>
    <w:rsid w:val="00EB53A1"/>
    <w:rsid w:val="00EB56A6"/>
    <w:rsid w:val="00EB619C"/>
    <w:rsid w:val="00EB62CB"/>
    <w:rsid w:val="00EB63AF"/>
    <w:rsid w:val="00EB64B5"/>
    <w:rsid w:val="00EB6B89"/>
    <w:rsid w:val="00EB6CED"/>
    <w:rsid w:val="00EB6ED0"/>
    <w:rsid w:val="00EB729D"/>
    <w:rsid w:val="00EB7469"/>
    <w:rsid w:val="00EB7693"/>
    <w:rsid w:val="00EB7997"/>
    <w:rsid w:val="00EB79CB"/>
    <w:rsid w:val="00EB79EF"/>
    <w:rsid w:val="00EB7B4F"/>
    <w:rsid w:val="00EB7BC1"/>
    <w:rsid w:val="00EB7D10"/>
    <w:rsid w:val="00EC07D0"/>
    <w:rsid w:val="00EC12F7"/>
    <w:rsid w:val="00EC2701"/>
    <w:rsid w:val="00EC276E"/>
    <w:rsid w:val="00EC2A2D"/>
    <w:rsid w:val="00EC2E71"/>
    <w:rsid w:val="00EC3095"/>
    <w:rsid w:val="00EC3168"/>
    <w:rsid w:val="00EC3467"/>
    <w:rsid w:val="00EC3917"/>
    <w:rsid w:val="00EC3CE6"/>
    <w:rsid w:val="00EC4354"/>
    <w:rsid w:val="00EC43DF"/>
    <w:rsid w:val="00EC43E0"/>
    <w:rsid w:val="00EC4432"/>
    <w:rsid w:val="00EC4631"/>
    <w:rsid w:val="00EC4BE1"/>
    <w:rsid w:val="00EC4CC6"/>
    <w:rsid w:val="00EC4FFA"/>
    <w:rsid w:val="00EC504C"/>
    <w:rsid w:val="00EC516B"/>
    <w:rsid w:val="00EC539D"/>
    <w:rsid w:val="00EC53FB"/>
    <w:rsid w:val="00EC550D"/>
    <w:rsid w:val="00EC6B6A"/>
    <w:rsid w:val="00EC72ED"/>
    <w:rsid w:val="00EC7592"/>
    <w:rsid w:val="00EC76E8"/>
    <w:rsid w:val="00EC7766"/>
    <w:rsid w:val="00EC7A7B"/>
    <w:rsid w:val="00EC7B52"/>
    <w:rsid w:val="00ED0046"/>
    <w:rsid w:val="00ED00B7"/>
    <w:rsid w:val="00ED05F9"/>
    <w:rsid w:val="00ED0E14"/>
    <w:rsid w:val="00ED0E75"/>
    <w:rsid w:val="00ED19D5"/>
    <w:rsid w:val="00ED1CC6"/>
    <w:rsid w:val="00ED1E09"/>
    <w:rsid w:val="00ED25FE"/>
    <w:rsid w:val="00ED27AF"/>
    <w:rsid w:val="00ED27BE"/>
    <w:rsid w:val="00ED2A8E"/>
    <w:rsid w:val="00ED2C0F"/>
    <w:rsid w:val="00ED3766"/>
    <w:rsid w:val="00ED3781"/>
    <w:rsid w:val="00ED3782"/>
    <w:rsid w:val="00ED3FC6"/>
    <w:rsid w:val="00ED4097"/>
    <w:rsid w:val="00ED47FA"/>
    <w:rsid w:val="00ED4EB4"/>
    <w:rsid w:val="00ED503F"/>
    <w:rsid w:val="00ED5475"/>
    <w:rsid w:val="00ED5517"/>
    <w:rsid w:val="00ED55E4"/>
    <w:rsid w:val="00ED56FC"/>
    <w:rsid w:val="00ED5711"/>
    <w:rsid w:val="00ED5722"/>
    <w:rsid w:val="00ED5E81"/>
    <w:rsid w:val="00ED657C"/>
    <w:rsid w:val="00ED688F"/>
    <w:rsid w:val="00ED6D32"/>
    <w:rsid w:val="00ED6E8B"/>
    <w:rsid w:val="00ED759C"/>
    <w:rsid w:val="00ED75CB"/>
    <w:rsid w:val="00ED783D"/>
    <w:rsid w:val="00EE079A"/>
    <w:rsid w:val="00EE0FE8"/>
    <w:rsid w:val="00EE10CB"/>
    <w:rsid w:val="00EE1160"/>
    <w:rsid w:val="00EE1485"/>
    <w:rsid w:val="00EE2051"/>
    <w:rsid w:val="00EE2CC3"/>
    <w:rsid w:val="00EE2FA8"/>
    <w:rsid w:val="00EE310C"/>
    <w:rsid w:val="00EE3139"/>
    <w:rsid w:val="00EE3FD6"/>
    <w:rsid w:val="00EE41E4"/>
    <w:rsid w:val="00EE4424"/>
    <w:rsid w:val="00EE484B"/>
    <w:rsid w:val="00EE492F"/>
    <w:rsid w:val="00EE49C8"/>
    <w:rsid w:val="00EE50D4"/>
    <w:rsid w:val="00EE5118"/>
    <w:rsid w:val="00EE5302"/>
    <w:rsid w:val="00EE550A"/>
    <w:rsid w:val="00EE5C9E"/>
    <w:rsid w:val="00EE5F3C"/>
    <w:rsid w:val="00EE5F7A"/>
    <w:rsid w:val="00EE60E5"/>
    <w:rsid w:val="00EE625E"/>
    <w:rsid w:val="00EE65E8"/>
    <w:rsid w:val="00EE6DD9"/>
    <w:rsid w:val="00EE6E1E"/>
    <w:rsid w:val="00EE6E64"/>
    <w:rsid w:val="00EE6F57"/>
    <w:rsid w:val="00EE7306"/>
    <w:rsid w:val="00EE75A7"/>
    <w:rsid w:val="00EF0195"/>
    <w:rsid w:val="00EF0386"/>
    <w:rsid w:val="00EF0500"/>
    <w:rsid w:val="00EF0DE2"/>
    <w:rsid w:val="00EF1F79"/>
    <w:rsid w:val="00EF22BF"/>
    <w:rsid w:val="00EF2300"/>
    <w:rsid w:val="00EF233E"/>
    <w:rsid w:val="00EF274A"/>
    <w:rsid w:val="00EF2853"/>
    <w:rsid w:val="00EF28BA"/>
    <w:rsid w:val="00EF2B34"/>
    <w:rsid w:val="00EF2E57"/>
    <w:rsid w:val="00EF2ECE"/>
    <w:rsid w:val="00EF3117"/>
    <w:rsid w:val="00EF329E"/>
    <w:rsid w:val="00EF3B43"/>
    <w:rsid w:val="00EF3C4B"/>
    <w:rsid w:val="00EF43FC"/>
    <w:rsid w:val="00EF45EC"/>
    <w:rsid w:val="00EF4CC9"/>
    <w:rsid w:val="00EF5395"/>
    <w:rsid w:val="00EF57AA"/>
    <w:rsid w:val="00EF585F"/>
    <w:rsid w:val="00EF5CE9"/>
    <w:rsid w:val="00EF645D"/>
    <w:rsid w:val="00EF65F0"/>
    <w:rsid w:val="00EF666C"/>
    <w:rsid w:val="00EF66BD"/>
    <w:rsid w:val="00EF68EF"/>
    <w:rsid w:val="00EF70AF"/>
    <w:rsid w:val="00EF77DF"/>
    <w:rsid w:val="00EF781D"/>
    <w:rsid w:val="00EF7B92"/>
    <w:rsid w:val="00EF7DB4"/>
    <w:rsid w:val="00EF7EE0"/>
    <w:rsid w:val="00F00727"/>
    <w:rsid w:val="00F00A3B"/>
    <w:rsid w:val="00F00E8B"/>
    <w:rsid w:val="00F01430"/>
    <w:rsid w:val="00F01A19"/>
    <w:rsid w:val="00F01F52"/>
    <w:rsid w:val="00F02018"/>
    <w:rsid w:val="00F02056"/>
    <w:rsid w:val="00F02224"/>
    <w:rsid w:val="00F02B59"/>
    <w:rsid w:val="00F02F42"/>
    <w:rsid w:val="00F032B3"/>
    <w:rsid w:val="00F03813"/>
    <w:rsid w:val="00F03B26"/>
    <w:rsid w:val="00F03D36"/>
    <w:rsid w:val="00F03D51"/>
    <w:rsid w:val="00F03F7B"/>
    <w:rsid w:val="00F04081"/>
    <w:rsid w:val="00F040F6"/>
    <w:rsid w:val="00F04FFD"/>
    <w:rsid w:val="00F050FC"/>
    <w:rsid w:val="00F05292"/>
    <w:rsid w:val="00F05564"/>
    <w:rsid w:val="00F05A7B"/>
    <w:rsid w:val="00F05DC3"/>
    <w:rsid w:val="00F05E88"/>
    <w:rsid w:val="00F06D09"/>
    <w:rsid w:val="00F109B8"/>
    <w:rsid w:val="00F10DC3"/>
    <w:rsid w:val="00F10DD0"/>
    <w:rsid w:val="00F10E37"/>
    <w:rsid w:val="00F10E4A"/>
    <w:rsid w:val="00F113B2"/>
    <w:rsid w:val="00F11435"/>
    <w:rsid w:val="00F11C89"/>
    <w:rsid w:val="00F11FF2"/>
    <w:rsid w:val="00F121CC"/>
    <w:rsid w:val="00F12528"/>
    <w:rsid w:val="00F1274F"/>
    <w:rsid w:val="00F12750"/>
    <w:rsid w:val="00F12B2D"/>
    <w:rsid w:val="00F12D24"/>
    <w:rsid w:val="00F12E3F"/>
    <w:rsid w:val="00F136D4"/>
    <w:rsid w:val="00F13730"/>
    <w:rsid w:val="00F14CF9"/>
    <w:rsid w:val="00F14F07"/>
    <w:rsid w:val="00F1512D"/>
    <w:rsid w:val="00F151A1"/>
    <w:rsid w:val="00F1545C"/>
    <w:rsid w:val="00F1560A"/>
    <w:rsid w:val="00F159B8"/>
    <w:rsid w:val="00F166B9"/>
    <w:rsid w:val="00F16A67"/>
    <w:rsid w:val="00F170A8"/>
    <w:rsid w:val="00F17395"/>
    <w:rsid w:val="00F17540"/>
    <w:rsid w:val="00F176A5"/>
    <w:rsid w:val="00F17F43"/>
    <w:rsid w:val="00F202E4"/>
    <w:rsid w:val="00F2066E"/>
    <w:rsid w:val="00F2078E"/>
    <w:rsid w:val="00F20B12"/>
    <w:rsid w:val="00F20FDB"/>
    <w:rsid w:val="00F210A9"/>
    <w:rsid w:val="00F2129E"/>
    <w:rsid w:val="00F216C0"/>
    <w:rsid w:val="00F21EDE"/>
    <w:rsid w:val="00F224A0"/>
    <w:rsid w:val="00F22C1D"/>
    <w:rsid w:val="00F22DF2"/>
    <w:rsid w:val="00F22E21"/>
    <w:rsid w:val="00F23016"/>
    <w:rsid w:val="00F23521"/>
    <w:rsid w:val="00F23640"/>
    <w:rsid w:val="00F23A6A"/>
    <w:rsid w:val="00F23CB7"/>
    <w:rsid w:val="00F23DCB"/>
    <w:rsid w:val="00F24B68"/>
    <w:rsid w:val="00F24EC0"/>
    <w:rsid w:val="00F250E5"/>
    <w:rsid w:val="00F2544D"/>
    <w:rsid w:val="00F25A88"/>
    <w:rsid w:val="00F25A8B"/>
    <w:rsid w:val="00F25C0F"/>
    <w:rsid w:val="00F25C5A"/>
    <w:rsid w:val="00F25EDC"/>
    <w:rsid w:val="00F275F5"/>
    <w:rsid w:val="00F2766F"/>
    <w:rsid w:val="00F27A2D"/>
    <w:rsid w:val="00F30032"/>
    <w:rsid w:val="00F30298"/>
    <w:rsid w:val="00F30668"/>
    <w:rsid w:val="00F307A5"/>
    <w:rsid w:val="00F30A8D"/>
    <w:rsid w:val="00F3137F"/>
    <w:rsid w:val="00F313B9"/>
    <w:rsid w:val="00F314ED"/>
    <w:rsid w:val="00F31CBC"/>
    <w:rsid w:val="00F31D23"/>
    <w:rsid w:val="00F31DA1"/>
    <w:rsid w:val="00F32CFB"/>
    <w:rsid w:val="00F32E7B"/>
    <w:rsid w:val="00F33C4D"/>
    <w:rsid w:val="00F33EFA"/>
    <w:rsid w:val="00F33F69"/>
    <w:rsid w:val="00F34047"/>
    <w:rsid w:val="00F348C7"/>
    <w:rsid w:val="00F34C26"/>
    <w:rsid w:val="00F34EF2"/>
    <w:rsid w:val="00F34F0B"/>
    <w:rsid w:val="00F3527A"/>
    <w:rsid w:val="00F353F3"/>
    <w:rsid w:val="00F357CA"/>
    <w:rsid w:val="00F35A0A"/>
    <w:rsid w:val="00F35C6C"/>
    <w:rsid w:val="00F35F2B"/>
    <w:rsid w:val="00F36D28"/>
    <w:rsid w:val="00F36E47"/>
    <w:rsid w:val="00F36FEE"/>
    <w:rsid w:val="00F4047B"/>
    <w:rsid w:val="00F404C5"/>
    <w:rsid w:val="00F40510"/>
    <w:rsid w:val="00F40679"/>
    <w:rsid w:val="00F40A6D"/>
    <w:rsid w:val="00F40A98"/>
    <w:rsid w:val="00F40F2A"/>
    <w:rsid w:val="00F41095"/>
    <w:rsid w:val="00F410A3"/>
    <w:rsid w:val="00F414E8"/>
    <w:rsid w:val="00F415B2"/>
    <w:rsid w:val="00F419C7"/>
    <w:rsid w:val="00F41AE8"/>
    <w:rsid w:val="00F41DDA"/>
    <w:rsid w:val="00F41F27"/>
    <w:rsid w:val="00F427A8"/>
    <w:rsid w:val="00F42F00"/>
    <w:rsid w:val="00F43C5C"/>
    <w:rsid w:val="00F43CFC"/>
    <w:rsid w:val="00F440B1"/>
    <w:rsid w:val="00F4417C"/>
    <w:rsid w:val="00F44473"/>
    <w:rsid w:val="00F44944"/>
    <w:rsid w:val="00F4514F"/>
    <w:rsid w:val="00F45177"/>
    <w:rsid w:val="00F456B1"/>
    <w:rsid w:val="00F45B72"/>
    <w:rsid w:val="00F460E6"/>
    <w:rsid w:val="00F4649E"/>
    <w:rsid w:val="00F46785"/>
    <w:rsid w:val="00F46A26"/>
    <w:rsid w:val="00F46CCA"/>
    <w:rsid w:val="00F472CA"/>
    <w:rsid w:val="00F474D1"/>
    <w:rsid w:val="00F47901"/>
    <w:rsid w:val="00F47AFC"/>
    <w:rsid w:val="00F47DF0"/>
    <w:rsid w:val="00F47F07"/>
    <w:rsid w:val="00F502EE"/>
    <w:rsid w:val="00F5077E"/>
    <w:rsid w:val="00F510C6"/>
    <w:rsid w:val="00F516AF"/>
    <w:rsid w:val="00F51723"/>
    <w:rsid w:val="00F52091"/>
    <w:rsid w:val="00F52155"/>
    <w:rsid w:val="00F5252D"/>
    <w:rsid w:val="00F52B3A"/>
    <w:rsid w:val="00F53210"/>
    <w:rsid w:val="00F53514"/>
    <w:rsid w:val="00F535A6"/>
    <w:rsid w:val="00F53B99"/>
    <w:rsid w:val="00F544A1"/>
    <w:rsid w:val="00F54CF5"/>
    <w:rsid w:val="00F54D70"/>
    <w:rsid w:val="00F54E4C"/>
    <w:rsid w:val="00F55312"/>
    <w:rsid w:val="00F55611"/>
    <w:rsid w:val="00F55EEA"/>
    <w:rsid w:val="00F56267"/>
    <w:rsid w:val="00F562D4"/>
    <w:rsid w:val="00F562E0"/>
    <w:rsid w:val="00F56347"/>
    <w:rsid w:val="00F566DC"/>
    <w:rsid w:val="00F56E61"/>
    <w:rsid w:val="00F56FC3"/>
    <w:rsid w:val="00F57121"/>
    <w:rsid w:val="00F57862"/>
    <w:rsid w:val="00F57A60"/>
    <w:rsid w:val="00F57E5C"/>
    <w:rsid w:val="00F6085F"/>
    <w:rsid w:val="00F60FF4"/>
    <w:rsid w:val="00F610E7"/>
    <w:rsid w:val="00F61206"/>
    <w:rsid w:val="00F61609"/>
    <w:rsid w:val="00F6188B"/>
    <w:rsid w:val="00F61B42"/>
    <w:rsid w:val="00F61F0B"/>
    <w:rsid w:val="00F625FC"/>
    <w:rsid w:val="00F6298C"/>
    <w:rsid w:val="00F62B87"/>
    <w:rsid w:val="00F633D2"/>
    <w:rsid w:val="00F6351A"/>
    <w:rsid w:val="00F636A8"/>
    <w:rsid w:val="00F63B12"/>
    <w:rsid w:val="00F63F03"/>
    <w:rsid w:val="00F64030"/>
    <w:rsid w:val="00F6492B"/>
    <w:rsid w:val="00F64964"/>
    <w:rsid w:val="00F64A30"/>
    <w:rsid w:val="00F64A8C"/>
    <w:rsid w:val="00F64CCD"/>
    <w:rsid w:val="00F64E0D"/>
    <w:rsid w:val="00F6532B"/>
    <w:rsid w:val="00F655BB"/>
    <w:rsid w:val="00F655CF"/>
    <w:rsid w:val="00F65BE9"/>
    <w:rsid w:val="00F65CB8"/>
    <w:rsid w:val="00F65D7B"/>
    <w:rsid w:val="00F65EAC"/>
    <w:rsid w:val="00F66213"/>
    <w:rsid w:val="00F66C2E"/>
    <w:rsid w:val="00F66C9A"/>
    <w:rsid w:val="00F66F6B"/>
    <w:rsid w:val="00F672EB"/>
    <w:rsid w:val="00F67827"/>
    <w:rsid w:val="00F67CBC"/>
    <w:rsid w:val="00F67CE9"/>
    <w:rsid w:val="00F67FED"/>
    <w:rsid w:val="00F70402"/>
    <w:rsid w:val="00F708EF"/>
    <w:rsid w:val="00F70D2D"/>
    <w:rsid w:val="00F712D2"/>
    <w:rsid w:val="00F7140F"/>
    <w:rsid w:val="00F7155C"/>
    <w:rsid w:val="00F71783"/>
    <w:rsid w:val="00F71F51"/>
    <w:rsid w:val="00F72023"/>
    <w:rsid w:val="00F72402"/>
    <w:rsid w:val="00F726BE"/>
    <w:rsid w:val="00F72B62"/>
    <w:rsid w:val="00F72CED"/>
    <w:rsid w:val="00F73111"/>
    <w:rsid w:val="00F749FA"/>
    <w:rsid w:val="00F75070"/>
    <w:rsid w:val="00F75250"/>
    <w:rsid w:val="00F767BE"/>
    <w:rsid w:val="00F7684D"/>
    <w:rsid w:val="00F7690E"/>
    <w:rsid w:val="00F76B9E"/>
    <w:rsid w:val="00F773EA"/>
    <w:rsid w:val="00F77588"/>
    <w:rsid w:val="00F77C68"/>
    <w:rsid w:val="00F80007"/>
    <w:rsid w:val="00F80051"/>
    <w:rsid w:val="00F80413"/>
    <w:rsid w:val="00F804D8"/>
    <w:rsid w:val="00F80609"/>
    <w:rsid w:val="00F8116E"/>
    <w:rsid w:val="00F81347"/>
    <w:rsid w:val="00F81FDF"/>
    <w:rsid w:val="00F8222F"/>
    <w:rsid w:val="00F822B6"/>
    <w:rsid w:val="00F824B8"/>
    <w:rsid w:val="00F8251E"/>
    <w:rsid w:val="00F82668"/>
    <w:rsid w:val="00F832B9"/>
    <w:rsid w:val="00F83563"/>
    <w:rsid w:val="00F83B58"/>
    <w:rsid w:val="00F83B9C"/>
    <w:rsid w:val="00F83E91"/>
    <w:rsid w:val="00F83FC6"/>
    <w:rsid w:val="00F843D8"/>
    <w:rsid w:val="00F84636"/>
    <w:rsid w:val="00F849D3"/>
    <w:rsid w:val="00F84B6D"/>
    <w:rsid w:val="00F84BCF"/>
    <w:rsid w:val="00F84C93"/>
    <w:rsid w:val="00F84CD2"/>
    <w:rsid w:val="00F851F9"/>
    <w:rsid w:val="00F85600"/>
    <w:rsid w:val="00F856EF"/>
    <w:rsid w:val="00F85F72"/>
    <w:rsid w:val="00F86123"/>
    <w:rsid w:val="00F86255"/>
    <w:rsid w:val="00F86289"/>
    <w:rsid w:val="00F868C1"/>
    <w:rsid w:val="00F86DAF"/>
    <w:rsid w:val="00F87118"/>
    <w:rsid w:val="00F875C2"/>
    <w:rsid w:val="00F87A2E"/>
    <w:rsid w:val="00F87D98"/>
    <w:rsid w:val="00F87E0E"/>
    <w:rsid w:val="00F87F7D"/>
    <w:rsid w:val="00F90B7C"/>
    <w:rsid w:val="00F90E80"/>
    <w:rsid w:val="00F9128D"/>
    <w:rsid w:val="00F91515"/>
    <w:rsid w:val="00F9199B"/>
    <w:rsid w:val="00F91FE7"/>
    <w:rsid w:val="00F921BF"/>
    <w:rsid w:val="00F92D91"/>
    <w:rsid w:val="00F92D93"/>
    <w:rsid w:val="00F92E1B"/>
    <w:rsid w:val="00F93198"/>
    <w:rsid w:val="00F93515"/>
    <w:rsid w:val="00F9373B"/>
    <w:rsid w:val="00F937A1"/>
    <w:rsid w:val="00F937C4"/>
    <w:rsid w:val="00F9382B"/>
    <w:rsid w:val="00F9389D"/>
    <w:rsid w:val="00F938FF"/>
    <w:rsid w:val="00F93A0B"/>
    <w:rsid w:val="00F93A28"/>
    <w:rsid w:val="00F93EFC"/>
    <w:rsid w:val="00F941BA"/>
    <w:rsid w:val="00F9421C"/>
    <w:rsid w:val="00F9432E"/>
    <w:rsid w:val="00F94358"/>
    <w:rsid w:val="00F94799"/>
    <w:rsid w:val="00F947D0"/>
    <w:rsid w:val="00F94FA6"/>
    <w:rsid w:val="00F95252"/>
    <w:rsid w:val="00F953B3"/>
    <w:rsid w:val="00F95799"/>
    <w:rsid w:val="00F95816"/>
    <w:rsid w:val="00F95A65"/>
    <w:rsid w:val="00F95CD1"/>
    <w:rsid w:val="00F95FBD"/>
    <w:rsid w:val="00F96674"/>
    <w:rsid w:val="00F96DB4"/>
    <w:rsid w:val="00F970AE"/>
    <w:rsid w:val="00F9720C"/>
    <w:rsid w:val="00F974DC"/>
    <w:rsid w:val="00F9794B"/>
    <w:rsid w:val="00F97AB3"/>
    <w:rsid w:val="00F97BEC"/>
    <w:rsid w:val="00FA0119"/>
    <w:rsid w:val="00FA0C1D"/>
    <w:rsid w:val="00FA0FEB"/>
    <w:rsid w:val="00FA1312"/>
    <w:rsid w:val="00FA14A3"/>
    <w:rsid w:val="00FA1640"/>
    <w:rsid w:val="00FA2256"/>
    <w:rsid w:val="00FA2D40"/>
    <w:rsid w:val="00FA2D4D"/>
    <w:rsid w:val="00FA2E66"/>
    <w:rsid w:val="00FA2EDD"/>
    <w:rsid w:val="00FA319B"/>
    <w:rsid w:val="00FA3394"/>
    <w:rsid w:val="00FA357B"/>
    <w:rsid w:val="00FA35A8"/>
    <w:rsid w:val="00FA3CDF"/>
    <w:rsid w:val="00FA4ADB"/>
    <w:rsid w:val="00FA4FFB"/>
    <w:rsid w:val="00FA5968"/>
    <w:rsid w:val="00FA626E"/>
    <w:rsid w:val="00FA6592"/>
    <w:rsid w:val="00FA6EB2"/>
    <w:rsid w:val="00FA7932"/>
    <w:rsid w:val="00FA79C7"/>
    <w:rsid w:val="00FA7C9B"/>
    <w:rsid w:val="00FA7D74"/>
    <w:rsid w:val="00FB0B6E"/>
    <w:rsid w:val="00FB0D83"/>
    <w:rsid w:val="00FB0DF6"/>
    <w:rsid w:val="00FB138E"/>
    <w:rsid w:val="00FB141B"/>
    <w:rsid w:val="00FB17A5"/>
    <w:rsid w:val="00FB18FF"/>
    <w:rsid w:val="00FB19C4"/>
    <w:rsid w:val="00FB1B1A"/>
    <w:rsid w:val="00FB1BAE"/>
    <w:rsid w:val="00FB1C44"/>
    <w:rsid w:val="00FB20FC"/>
    <w:rsid w:val="00FB22FA"/>
    <w:rsid w:val="00FB2435"/>
    <w:rsid w:val="00FB2C5C"/>
    <w:rsid w:val="00FB2E06"/>
    <w:rsid w:val="00FB356E"/>
    <w:rsid w:val="00FB37EC"/>
    <w:rsid w:val="00FB398F"/>
    <w:rsid w:val="00FB3B57"/>
    <w:rsid w:val="00FB3DEE"/>
    <w:rsid w:val="00FB3F5B"/>
    <w:rsid w:val="00FB406F"/>
    <w:rsid w:val="00FB463B"/>
    <w:rsid w:val="00FB49E8"/>
    <w:rsid w:val="00FB4E54"/>
    <w:rsid w:val="00FB52E9"/>
    <w:rsid w:val="00FB52FC"/>
    <w:rsid w:val="00FB551E"/>
    <w:rsid w:val="00FB634D"/>
    <w:rsid w:val="00FB68EE"/>
    <w:rsid w:val="00FB6908"/>
    <w:rsid w:val="00FB690E"/>
    <w:rsid w:val="00FB69A2"/>
    <w:rsid w:val="00FB6DC0"/>
    <w:rsid w:val="00FB6EA4"/>
    <w:rsid w:val="00FB71BD"/>
    <w:rsid w:val="00FB72B6"/>
    <w:rsid w:val="00FB74D4"/>
    <w:rsid w:val="00FB782A"/>
    <w:rsid w:val="00FB7920"/>
    <w:rsid w:val="00FB7933"/>
    <w:rsid w:val="00FB795C"/>
    <w:rsid w:val="00FB79BF"/>
    <w:rsid w:val="00FB7BE6"/>
    <w:rsid w:val="00FC00CC"/>
    <w:rsid w:val="00FC049A"/>
    <w:rsid w:val="00FC0564"/>
    <w:rsid w:val="00FC155E"/>
    <w:rsid w:val="00FC16BD"/>
    <w:rsid w:val="00FC1A6A"/>
    <w:rsid w:val="00FC1A91"/>
    <w:rsid w:val="00FC1E34"/>
    <w:rsid w:val="00FC1FCE"/>
    <w:rsid w:val="00FC22CD"/>
    <w:rsid w:val="00FC23B6"/>
    <w:rsid w:val="00FC269F"/>
    <w:rsid w:val="00FC2897"/>
    <w:rsid w:val="00FC28E7"/>
    <w:rsid w:val="00FC2AF5"/>
    <w:rsid w:val="00FC2D9B"/>
    <w:rsid w:val="00FC3467"/>
    <w:rsid w:val="00FC358F"/>
    <w:rsid w:val="00FC3817"/>
    <w:rsid w:val="00FC3A23"/>
    <w:rsid w:val="00FC3D2E"/>
    <w:rsid w:val="00FC3F0B"/>
    <w:rsid w:val="00FC430B"/>
    <w:rsid w:val="00FC4329"/>
    <w:rsid w:val="00FC499D"/>
    <w:rsid w:val="00FC5026"/>
    <w:rsid w:val="00FC51D3"/>
    <w:rsid w:val="00FC57BC"/>
    <w:rsid w:val="00FC5951"/>
    <w:rsid w:val="00FC596F"/>
    <w:rsid w:val="00FC5C86"/>
    <w:rsid w:val="00FC6564"/>
    <w:rsid w:val="00FC6908"/>
    <w:rsid w:val="00FC6B12"/>
    <w:rsid w:val="00FC6FCE"/>
    <w:rsid w:val="00FC7721"/>
    <w:rsid w:val="00FC78DF"/>
    <w:rsid w:val="00FC7F0E"/>
    <w:rsid w:val="00FD058A"/>
    <w:rsid w:val="00FD0654"/>
    <w:rsid w:val="00FD08CC"/>
    <w:rsid w:val="00FD0E27"/>
    <w:rsid w:val="00FD10E8"/>
    <w:rsid w:val="00FD173D"/>
    <w:rsid w:val="00FD1845"/>
    <w:rsid w:val="00FD1D1C"/>
    <w:rsid w:val="00FD2216"/>
    <w:rsid w:val="00FD22A0"/>
    <w:rsid w:val="00FD27F0"/>
    <w:rsid w:val="00FD2FA1"/>
    <w:rsid w:val="00FD3419"/>
    <w:rsid w:val="00FD370A"/>
    <w:rsid w:val="00FD440A"/>
    <w:rsid w:val="00FD44FB"/>
    <w:rsid w:val="00FD4A30"/>
    <w:rsid w:val="00FD4ADB"/>
    <w:rsid w:val="00FD4EE3"/>
    <w:rsid w:val="00FD4FA4"/>
    <w:rsid w:val="00FD5148"/>
    <w:rsid w:val="00FD5302"/>
    <w:rsid w:val="00FD58B6"/>
    <w:rsid w:val="00FD5B74"/>
    <w:rsid w:val="00FD6106"/>
    <w:rsid w:val="00FD65C6"/>
    <w:rsid w:val="00FD6623"/>
    <w:rsid w:val="00FD67F6"/>
    <w:rsid w:val="00FD682A"/>
    <w:rsid w:val="00FD7059"/>
    <w:rsid w:val="00FD75C7"/>
    <w:rsid w:val="00FD78DB"/>
    <w:rsid w:val="00FD7A6C"/>
    <w:rsid w:val="00FD7BCE"/>
    <w:rsid w:val="00FE011D"/>
    <w:rsid w:val="00FE043D"/>
    <w:rsid w:val="00FE063C"/>
    <w:rsid w:val="00FE0651"/>
    <w:rsid w:val="00FE06B4"/>
    <w:rsid w:val="00FE0F40"/>
    <w:rsid w:val="00FE136F"/>
    <w:rsid w:val="00FE15F6"/>
    <w:rsid w:val="00FE1772"/>
    <w:rsid w:val="00FE18D7"/>
    <w:rsid w:val="00FE190A"/>
    <w:rsid w:val="00FE1AFA"/>
    <w:rsid w:val="00FE1BC2"/>
    <w:rsid w:val="00FE1CEB"/>
    <w:rsid w:val="00FE2266"/>
    <w:rsid w:val="00FE2686"/>
    <w:rsid w:val="00FE3007"/>
    <w:rsid w:val="00FE3840"/>
    <w:rsid w:val="00FE3D35"/>
    <w:rsid w:val="00FE4378"/>
    <w:rsid w:val="00FE46FD"/>
    <w:rsid w:val="00FE4BD6"/>
    <w:rsid w:val="00FE4E55"/>
    <w:rsid w:val="00FE4E77"/>
    <w:rsid w:val="00FE5453"/>
    <w:rsid w:val="00FE54E8"/>
    <w:rsid w:val="00FE572E"/>
    <w:rsid w:val="00FE5D4B"/>
    <w:rsid w:val="00FE5DEA"/>
    <w:rsid w:val="00FE5EBA"/>
    <w:rsid w:val="00FE5F4E"/>
    <w:rsid w:val="00FE626F"/>
    <w:rsid w:val="00FE64AD"/>
    <w:rsid w:val="00FE6B96"/>
    <w:rsid w:val="00FE6C3A"/>
    <w:rsid w:val="00FE730F"/>
    <w:rsid w:val="00FE7B43"/>
    <w:rsid w:val="00FE7BA3"/>
    <w:rsid w:val="00FE7D28"/>
    <w:rsid w:val="00FF050E"/>
    <w:rsid w:val="00FF0765"/>
    <w:rsid w:val="00FF076C"/>
    <w:rsid w:val="00FF0ADD"/>
    <w:rsid w:val="00FF0CF5"/>
    <w:rsid w:val="00FF0E83"/>
    <w:rsid w:val="00FF0FAC"/>
    <w:rsid w:val="00FF101A"/>
    <w:rsid w:val="00FF135F"/>
    <w:rsid w:val="00FF13B4"/>
    <w:rsid w:val="00FF277C"/>
    <w:rsid w:val="00FF322C"/>
    <w:rsid w:val="00FF3657"/>
    <w:rsid w:val="00FF398A"/>
    <w:rsid w:val="00FF3C4B"/>
    <w:rsid w:val="00FF424A"/>
    <w:rsid w:val="00FF48E6"/>
    <w:rsid w:val="00FF4D57"/>
    <w:rsid w:val="00FF4D61"/>
    <w:rsid w:val="00FF4DAB"/>
    <w:rsid w:val="00FF4F5C"/>
    <w:rsid w:val="00FF5016"/>
    <w:rsid w:val="00FF5354"/>
    <w:rsid w:val="00FF540A"/>
    <w:rsid w:val="00FF5649"/>
    <w:rsid w:val="00FF5905"/>
    <w:rsid w:val="00FF5F1D"/>
    <w:rsid w:val="00FF5F8D"/>
    <w:rsid w:val="00FF60A5"/>
    <w:rsid w:val="00FF6204"/>
    <w:rsid w:val="00FF6278"/>
    <w:rsid w:val="00FF6467"/>
    <w:rsid w:val="00FF6619"/>
    <w:rsid w:val="00FF67A7"/>
    <w:rsid w:val="00FF67E3"/>
    <w:rsid w:val="00FF6C12"/>
    <w:rsid w:val="00FF6E46"/>
    <w:rsid w:val="00FF7CAD"/>
    <w:rsid w:val="00FF7EE1"/>
    <w:rsid w:val="01069948"/>
    <w:rsid w:val="011755C4"/>
    <w:rsid w:val="01191AC1"/>
    <w:rsid w:val="012FDCFD"/>
    <w:rsid w:val="013A43FF"/>
    <w:rsid w:val="0148CE19"/>
    <w:rsid w:val="015570E3"/>
    <w:rsid w:val="015C1DBC"/>
    <w:rsid w:val="0160C4A0"/>
    <w:rsid w:val="01776BFC"/>
    <w:rsid w:val="017E3511"/>
    <w:rsid w:val="018770B6"/>
    <w:rsid w:val="018EF6CA"/>
    <w:rsid w:val="01966599"/>
    <w:rsid w:val="01A26A0D"/>
    <w:rsid w:val="01A4777C"/>
    <w:rsid w:val="01B3FD29"/>
    <w:rsid w:val="01BDED77"/>
    <w:rsid w:val="01BE51B4"/>
    <w:rsid w:val="01D0C4D7"/>
    <w:rsid w:val="01DEF4FC"/>
    <w:rsid w:val="01E13282"/>
    <w:rsid w:val="01E268B3"/>
    <w:rsid w:val="01E43FB4"/>
    <w:rsid w:val="01E4940A"/>
    <w:rsid w:val="01EDF22D"/>
    <w:rsid w:val="02008F7B"/>
    <w:rsid w:val="0202CEDD"/>
    <w:rsid w:val="02109C98"/>
    <w:rsid w:val="0240F759"/>
    <w:rsid w:val="02424C40"/>
    <w:rsid w:val="024C9A0D"/>
    <w:rsid w:val="025A3F9D"/>
    <w:rsid w:val="025C581D"/>
    <w:rsid w:val="02627D94"/>
    <w:rsid w:val="027B6C77"/>
    <w:rsid w:val="02AA8B15"/>
    <w:rsid w:val="02ABD7FB"/>
    <w:rsid w:val="02CFD310"/>
    <w:rsid w:val="02EDBAAD"/>
    <w:rsid w:val="02F7EE1D"/>
    <w:rsid w:val="030B99FF"/>
    <w:rsid w:val="031E3561"/>
    <w:rsid w:val="032ADE46"/>
    <w:rsid w:val="033C011E"/>
    <w:rsid w:val="0343B6D8"/>
    <w:rsid w:val="03481C2E"/>
    <w:rsid w:val="0355925C"/>
    <w:rsid w:val="03595521"/>
    <w:rsid w:val="036D34AA"/>
    <w:rsid w:val="036E7E4F"/>
    <w:rsid w:val="036EEE0E"/>
    <w:rsid w:val="03742423"/>
    <w:rsid w:val="0382C840"/>
    <w:rsid w:val="038FC661"/>
    <w:rsid w:val="03B225A4"/>
    <w:rsid w:val="03C212E0"/>
    <w:rsid w:val="03E230EE"/>
    <w:rsid w:val="03F27D09"/>
    <w:rsid w:val="03F63D5D"/>
    <w:rsid w:val="03FD933D"/>
    <w:rsid w:val="04170026"/>
    <w:rsid w:val="041CD0D6"/>
    <w:rsid w:val="0421A0CA"/>
    <w:rsid w:val="043F9502"/>
    <w:rsid w:val="044158C5"/>
    <w:rsid w:val="04586AA5"/>
    <w:rsid w:val="0471141E"/>
    <w:rsid w:val="04766BE9"/>
    <w:rsid w:val="0493134C"/>
    <w:rsid w:val="049A344D"/>
    <w:rsid w:val="04AAF1B5"/>
    <w:rsid w:val="04ADED28"/>
    <w:rsid w:val="04B0308B"/>
    <w:rsid w:val="04B5B011"/>
    <w:rsid w:val="04C46533"/>
    <w:rsid w:val="04D27665"/>
    <w:rsid w:val="04DA0ACF"/>
    <w:rsid w:val="04F5CD7A"/>
    <w:rsid w:val="050CB4BB"/>
    <w:rsid w:val="051519B5"/>
    <w:rsid w:val="0515B8F0"/>
    <w:rsid w:val="051FAF08"/>
    <w:rsid w:val="053B1A08"/>
    <w:rsid w:val="0544D988"/>
    <w:rsid w:val="054ECA67"/>
    <w:rsid w:val="0551FFBB"/>
    <w:rsid w:val="0587C2B4"/>
    <w:rsid w:val="058D32BD"/>
    <w:rsid w:val="0596B566"/>
    <w:rsid w:val="05A1CFB4"/>
    <w:rsid w:val="05ACB278"/>
    <w:rsid w:val="05D734DF"/>
    <w:rsid w:val="05DA0C7B"/>
    <w:rsid w:val="05DC9C7A"/>
    <w:rsid w:val="05E63F1D"/>
    <w:rsid w:val="05EDCF2A"/>
    <w:rsid w:val="05EF1E81"/>
    <w:rsid w:val="05F0B136"/>
    <w:rsid w:val="05F36C38"/>
    <w:rsid w:val="060FB636"/>
    <w:rsid w:val="0613F847"/>
    <w:rsid w:val="0617B4A6"/>
    <w:rsid w:val="062BB331"/>
    <w:rsid w:val="064512A9"/>
    <w:rsid w:val="0674C7B0"/>
    <w:rsid w:val="0675DB30"/>
    <w:rsid w:val="068250D7"/>
    <w:rsid w:val="068D4E0A"/>
    <w:rsid w:val="06928299"/>
    <w:rsid w:val="069680D9"/>
    <w:rsid w:val="0696BBCE"/>
    <w:rsid w:val="06B461CA"/>
    <w:rsid w:val="06B7C661"/>
    <w:rsid w:val="06BA0524"/>
    <w:rsid w:val="06BE4EE3"/>
    <w:rsid w:val="06C60BE0"/>
    <w:rsid w:val="06C940FF"/>
    <w:rsid w:val="06C98C51"/>
    <w:rsid w:val="06C9F2A4"/>
    <w:rsid w:val="06CF1400"/>
    <w:rsid w:val="06E0F9AA"/>
    <w:rsid w:val="06E2A329"/>
    <w:rsid w:val="06E538B4"/>
    <w:rsid w:val="06E8F940"/>
    <w:rsid w:val="06F08A92"/>
    <w:rsid w:val="07000A27"/>
    <w:rsid w:val="070BC773"/>
    <w:rsid w:val="07103DD2"/>
    <w:rsid w:val="071106A0"/>
    <w:rsid w:val="0718F78D"/>
    <w:rsid w:val="0728BE7E"/>
    <w:rsid w:val="073991A0"/>
    <w:rsid w:val="07443796"/>
    <w:rsid w:val="0745D8AF"/>
    <w:rsid w:val="07499D5D"/>
    <w:rsid w:val="0755E5FE"/>
    <w:rsid w:val="07560D97"/>
    <w:rsid w:val="0756F314"/>
    <w:rsid w:val="07728790"/>
    <w:rsid w:val="07A2455D"/>
    <w:rsid w:val="07A78C4A"/>
    <w:rsid w:val="07AB77F7"/>
    <w:rsid w:val="07AB8697"/>
    <w:rsid w:val="07B43F2D"/>
    <w:rsid w:val="07BAE96D"/>
    <w:rsid w:val="07C412C0"/>
    <w:rsid w:val="07C919E5"/>
    <w:rsid w:val="07E6402D"/>
    <w:rsid w:val="07EBDDE7"/>
    <w:rsid w:val="07F245B0"/>
    <w:rsid w:val="07F6CFF7"/>
    <w:rsid w:val="080DE00E"/>
    <w:rsid w:val="08114CDE"/>
    <w:rsid w:val="0813F210"/>
    <w:rsid w:val="0816BF2F"/>
    <w:rsid w:val="082695D3"/>
    <w:rsid w:val="0830DE0D"/>
    <w:rsid w:val="08334090"/>
    <w:rsid w:val="083DEA5D"/>
    <w:rsid w:val="084861AE"/>
    <w:rsid w:val="085733E0"/>
    <w:rsid w:val="08609957"/>
    <w:rsid w:val="08615D3B"/>
    <w:rsid w:val="087AF90C"/>
    <w:rsid w:val="08853346"/>
    <w:rsid w:val="08893226"/>
    <w:rsid w:val="088D9279"/>
    <w:rsid w:val="08AEAC60"/>
    <w:rsid w:val="08B7C62A"/>
    <w:rsid w:val="08BD9CFA"/>
    <w:rsid w:val="08C3F4FE"/>
    <w:rsid w:val="08CADC75"/>
    <w:rsid w:val="08CFA82B"/>
    <w:rsid w:val="08FB703B"/>
    <w:rsid w:val="090D0579"/>
    <w:rsid w:val="09164240"/>
    <w:rsid w:val="092BC6FB"/>
    <w:rsid w:val="0937F69E"/>
    <w:rsid w:val="0939C99E"/>
    <w:rsid w:val="0943FC73"/>
    <w:rsid w:val="09528975"/>
    <w:rsid w:val="095694D5"/>
    <w:rsid w:val="0958B377"/>
    <w:rsid w:val="09604452"/>
    <w:rsid w:val="09624684"/>
    <w:rsid w:val="0967DE4A"/>
    <w:rsid w:val="0970FAE7"/>
    <w:rsid w:val="09714F1E"/>
    <w:rsid w:val="09854846"/>
    <w:rsid w:val="09A1A57A"/>
    <w:rsid w:val="09A5E0C7"/>
    <w:rsid w:val="09B56978"/>
    <w:rsid w:val="09BAF5DE"/>
    <w:rsid w:val="09E04CC2"/>
    <w:rsid w:val="09EE5F71"/>
    <w:rsid w:val="09F26427"/>
    <w:rsid w:val="0A01E546"/>
    <w:rsid w:val="0A1CCE75"/>
    <w:rsid w:val="0A3076F0"/>
    <w:rsid w:val="0A34BBAD"/>
    <w:rsid w:val="0A35D51A"/>
    <w:rsid w:val="0A3EA9E4"/>
    <w:rsid w:val="0A46FDE2"/>
    <w:rsid w:val="0A4C1E30"/>
    <w:rsid w:val="0A4DBE37"/>
    <w:rsid w:val="0A679174"/>
    <w:rsid w:val="0A714890"/>
    <w:rsid w:val="0A84B2A6"/>
    <w:rsid w:val="0A8CB310"/>
    <w:rsid w:val="0AA78078"/>
    <w:rsid w:val="0AB12D7C"/>
    <w:rsid w:val="0AB635EF"/>
    <w:rsid w:val="0AC65B4C"/>
    <w:rsid w:val="0ACFE153"/>
    <w:rsid w:val="0AD8FFCF"/>
    <w:rsid w:val="0ADCB272"/>
    <w:rsid w:val="0AE5237E"/>
    <w:rsid w:val="0AE86B7B"/>
    <w:rsid w:val="0AECCFD3"/>
    <w:rsid w:val="0AED67CE"/>
    <w:rsid w:val="0AFF59FE"/>
    <w:rsid w:val="0B077681"/>
    <w:rsid w:val="0B258456"/>
    <w:rsid w:val="0B32D34F"/>
    <w:rsid w:val="0B417A3D"/>
    <w:rsid w:val="0B653262"/>
    <w:rsid w:val="0B758B1F"/>
    <w:rsid w:val="0B75C64B"/>
    <w:rsid w:val="0B7CE758"/>
    <w:rsid w:val="0B9B074A"/>
    <w:rsid w:val="0BC923BC"/>
    <w:rsid w:val="0BCFE9D7"/>
    <w:rsid w:val="0BD25551"/>
    <w:rsid w:val="0BD263E2"/>
    <w:rsid w:val="0BD7DE58"/>
    <w:rsid w:val="0BE199A9"/>
    <w:rsid w:val="0BE2CE43"/>
    <w:rsid w:val="0BE5A966"/>
    <w:rsid w:val="0BE8BDAA"/>
    <w:rsid w:val="0BFD078D"/>
    <w:rsid w:val="0C045710"/>
    <w:rsid w:val="0C123D16"/>
    <w:rsid w:val="0C50CAC2"/>
    <w:rsid w:val="0C56E70C"/>
    <w:rsid w:val="0C60D7D5"/>
    <w:rsid w:val="0C670633"/>
    <w:rsid w:val="0C7347CD"/>
    <w:rsid w:val="0C76691E"/>
    <w:rsid w:val="0C76B2AB"/>
    <w:rsid w:val="0C7867FB"/>
    <w:rsid w:val="0C7D272F"/>
    <w:rsid w:val="0C866906"/>
    <w:rsid w:val="0C86A999"/>
    <w:rsid w:val="0C8F6A52"/>
    <w:rsid w:val="0C960C6A"/>
    <w:rsid w:val="0C99B0F1"/>
    <w:rsid w:val="0CA15082"/>
    <w:rsid w:val="0CA762C4"/>
    <w:rsid w:val="0CAC45D6"/>
    <w:rsid w:val="0CAC5622"/>
    <w:rsid w:val="0CC629F2"/>
    <w:rsid w:val="0CC84A10"/>
    <w:rsid w:val="0CCF94D8"/>
    <w:rsid w:val="0CD15B85"/>
    <w:rsid w:val="0CDA18D8"/>
    <w:rsid w:val="0CDC2582"/>
    <w:rsid w:val="0CE4497F"/>
    <w:rsid w:val="0CF4F8E0"/>
    <w:rsid w:val="0CFD0726"/>
    <w:rsid w:val="0D0FB683"/>
    <w:rsid w:val="0D17B559"/>
    <w:rsid w:val="0D296FA5"/>
    <w:rsid w:val="0D2A5232"/>
    <w:rsid w:val="0D311EF1"/>
    <w:rsid w:val="0D37D861"/>
    <w:rsid w:val="0D3F922F"/>
    <w:rsid w:val="0D472BDB"/>
    <w:rsid w:val="0D50814A"/>
    <w:rsid w:val="0D90FBE5"/>
    <w:rsid w:val="0D9A884A"/>
    <w:rsid w:val="0DA610F1"/>
    <w:rsid w:val="0DA6D296"/>
    <w:rsid w:val="0DA86A47"/>
    <w:rsid w:val="0DE468FC"/>
    <w:rsid w:val="0E002602"/>
    <w:rsid w:val="0E025AB3"/>
    <w:rsid w:val="0E1000A2"/>
    <w:rsid w:val="0E21C42D"/>
    <w:rsid w:val="0E220C05"/>
    <w:rsid w:val="0E287736"/>
    <w:rsid w:val="0E2C4CA1"/>
    <w:rsid w:val="0E3AD847"/>
    <w:rsid w:val="0E4109C4"/>
    <w:rsid w:val="0E430202"/>
    <w:rsid w:val="0E46ED15"/>
    <w:rsid w:val="0E5C02C2"/>
    <w:rsid w:val="0E5CD775"/>
    <w:rsid w:val="0E6545DA"/>
    <w:rsid w:val="0E6672AD"/>
    <w:rsid w:val="0E69E74A"/>
    <w:rsid w:val="0E6CBF78"/>
    <w:rsid w:val="0E6FD0FF"/>
    <w:rsid w:val="0E7534E6"/>
    <w:rsid w:val="0E78D895"/>
    <w:rsid w:val="0E7A5CB7"/>
    <w:rsid w:val="0E7ABA6C"/>
    <w:rsid w:val="0E8A3F94"/>
    <w:rsid w:val="0E8EE95D"/>
    <w:rsid w:val="0E92F23C"/>
    <w:rsid w:val="0EA1C460"/>
    <w:rsid w:val="0EAB4972"/>
    <w:rsid w:val="0ECA9686"/>
    <w:rsid w:val="0EDE7947"/>
    <w:rsid w:val="0EE35018"/>
    <w:rsid w:val="0EE4A443"/>
    <w:rsid w:val="0EE5310B"/>
    <w:rsid w:val="0EFBE4ED"/>
    <w:rsid w:val="0F0848AA"/>
    <w:rsid w:val="0F0987AC"/>
    <w:rsid w:val="0F1CFA88"/>
    <w:rsid w:val="0F1ECB88"/>
    <w:rsid w:val="0F34E0D8"/>
    <w:rsid w:val="0F41DB4A"/>
    <w:rsid w:val="0F43EACD"/>
    <w:rsid w:val="0F49DCBB"/>
    <w:rsid w:val="0F54468F"/>
    <w:rsid w:val="0F5A78D6"/>
    <w:rsid w:val="0F62A96F"/>
    <w:rsid w:val="0F673CE5"/>
    <w:rsid w:val="0F6F70FF"/>
    <w:rsid w:val="0F6F7F2D"/>
    <w:rsid w:val="0F779219"/>
    <w:rsid w:val="0F8905F4"/>
    <w:rsid w:val="0F8A5552"/>
    <w:rsid w:val="0F8BEB48"/>
    <w:rsid w:val="0FAB7A3F"/>
    <w:rsid w:val="0FB4FC0F"/>
    <w:rsid w:val="0FBA70B1"/>
    <w:rsid w:val="0FCE93AB"/>
    <w:rsid w:val="0FF79845"/>
    <w:rsid w:val="1013AF28"/>
    <w:rsid w:val="10256EB3"/>
    <w:rsid w:val="103DD11D"/>
    <w:rsid w:val="1044D997"/>
    <w:rsid w:val="1048FC42"/>
    <w:rsid w:val="1056567A"/>
    <w:rsid w:val="105E1DF8"/>
    <w:rsid w:val="1064B1E1"/>
    <w:rsid w:val="10749780"/>
    <w:rsid w:val="10A76B5B"/>
    <w:rsid w:val="10A9D99F"/>
    <w:rsid w:val="10B64BAE"/>
    <w:rsid w:val="10C41C0B"/>
    <w:rsid w:val="10CFF68F"/>
    <w:rsid w:val="10DA80CC"/>
    <w:rsid w:val="11045835"/>
    <w:rsid w:val="1109D327"/>
    <w:rsid w:val="111B8D7D"/>
    <w:rsid w:val="1127A2C1"/>
    <w:rsid w:val="1127BBA9"/>
    <w:rsid w:val="11324711"/>
    <w:rsid w:val="114217ED"/>
    <w:rsid w:val="1142214F"/>
    <w:rsid w:val="115686BE"/>
    <w:rsid w:val="115D03B5"/>
    <w:rsid w:val="116EBE44"/>
    <w:rsid w:val="119B4E8C"/>
    <w:rsid w:val="11B16ADD"/>
    <w:rsid w:val="11B26447"/>
    <w:rsid w:val="11B2C7C4"/>
    <w:rsid w:val="11C70B87"/>
    <w:rsid w:val="11C9EEB6"/>
    <w:rsid w:val="11D45C9E"/>
    <w:rsid w:val="11EE1803"/>
    <w:rsid w:val="11F1112A"/>
    <w:rsid w:val="11F2532E"/>
    <w:rsid w:val="11FC731B"/>
    <w:rsid w:val="11FF094C"/>
    <w:rsid w:val="12016974"/>
    <w:rsid w:val="12083551"/>
    <w:rsid w:val="1208625C"/>
    <w:rsid w:val="120B8781"/>
    <w:rsid w:val="1210AE73"/>
    <w:rsid w:val="12195B06"/>
    <w:rsid w:val="121EF5D8"/>
    <w:rsid w:val="1223017E"/>
    <w:rsid w:val="1246330D"/>
    <w:rsid w:val="1248721D"/>
    <w:rsid w:val="124BBC0E"/>
    <w:rsid w:val="124CD86D"/>
    <w:rsid w:val="1252227B"/>
    <w:rsid w:val="125298E0"/>
    <w:rsid w:val="1263786C"/>
    <w:rsid w:val="12649EDE"/>
    <w:rsid w:val="12700A2E"/>
    <w:rsid w:val="1279CEC3"/>
    <w:rsid w:val="127C14B9"/>
    <w:rsid w:val="12896F18"/>
    <w:rsid w:val="128C4712"/>
    <w:rsid w:val="1292A455"/>
    <w:rsid w:val="12AB348E"/>
    <w:rsid w:val="12B013A6"/>
    <w:rsid w:val="12D9AD17"/>
    <w:rsid w:val="12E40BF6"/>
    <w:rsid w:val="12E9CA2A"/>
    <w:rsid w:val="12FAC91D"/>
    <w:rsid w:val="130B4932"/>
    <w:rsid w:val="13139AB1"/>
    <w:rsid w:val="131F34D4"/>
    <w:rsid w:val="13340E2D"/>
    <w:rsid w:val="13349D3C"/>
    <w:rsid w:val="1345F11F"/>
    <w:rsid w:val="1353701E"/>
    <w:rsid w:val="136811BA"/>
    <w:rsid w:val="1382663D"/>
    <w:rsid w:val="13837B37"/>
    <w:rsid w:val="13AA6967"/>
    <w:rsid w:val="13B0FFBF"/>
    <w:rsid w:val="13CB0937"/>
    <w:rsid w:val="13D05CC4"/>
    <w:rsid w:val="13DE8DF8"/>
    <w:rsid w:val="13EDE028"/>
    <w:rsid w:val="13F2591F"/>
    <w:rsid w:val="13F84B1C"/>
    <w:rsid w:val="1421A931"/>
    <w:rsid w:val="14438612"/>
    <w:rsid w:val="144CE5E0"/>
    <w:rsid w:val="145E3651"/>
    <w:rsid w:val="1461F4A5"/>
    <w:rsid w:val="147498EE"/>
    <w:rsid w:val="1493E5D1"/>
    <w:rsid w:val="1498BF4A"/>
    <w:rsid w:val="149A7AE8"/>
    <w:rsid w:val="149AE191"/>
    <w:rsid w:val="149E1A84"/>
    <w:rsid w:val="14A2F589"/>
    <w:rsid w:val="14B84CEF"/>
    <w:rsid w:val="14BD0E2F"/>
    <w:rsid w:val="14D52EB0"/>
    <w:rsid w:val="14DB9AD2"/>
    <w:rsid w:val="14DE9EF8"/>
    <w:rsid w:val="14E6FBBD"/>
    <w:rsid w:val="14EABBFD"/>
    <w:rsid w:val="14F640D2"/>
    <w:rsid w:val="14FBFFD2"/>
    <w:rsid w:val="1503FD26"/>
    <w:rsid w:val="151DF757"/>
    <w:rsid w:val="1525115C"/>
    <w:rsid w:val="152797F7"/>
    <w:rsid w:val="152BB477"/>
    <w:rsid w:val="15318F1B"/>
    <w:rsid w:val="153CB87A"/>
    <w:rsid w:val="153F347D"/>
    <w:rsid w:val="15573D50"/>
    <w:rsid w:val="155CC4BC"/>
    <w:rsid w:val="155EC6C6"/>
    <w:rsid w:val="1568C3C1"/>
    <w:rsid w:val="156FFB65"/>
    <w:rsid w:val="15865055"/>
    <w:rsid w:val="159613C8"/>
    <w:rsid w:val="15A6F8F8"/>
    <w:rsid w:val="15AE56F8"/>
    <w:rsid w:val="15C2D29E"/>
    <w:rsid w:val="15C7A2B9"/>
    <w:rsid w:val="15CA6C2B"/>
    <w:rsid w:val="15CB7B21"/>
    <w:rsid w:val="15D04174"/>
    <w:rsid w:val="15E4009D"/>
    <w:rsid w:val="15EC0377"/>
    <w:rsid w:val="15F1559C"/>
    <w:rsid w:val="1602B04C"/>
    <w:rsid w:val="160A68C6"/>
    <w:rsid w:val="161422EF"/>
    <w:rsid w:val="16164C82"/>
    <w:rsid w:val="1617F7B0"/>
    <w:rsid w:val="1618DB0F"/>
    <w:rsid w:val="161D96E7"/>
    <w:rsid w:val="1623BC03"/>
    <w:rsid w:val="16364B49"/>
    <w:rsid w:val="16435A3D"/>
    <w:rsid w:val="16492651"/>
    <w:rsid w:val="164A0E91"/>
    <w:rsid w:val="164BBED6"/>
    <w:rsid w:val="1654DD79"/>
    <w:rsid w:val="166479BD"/>
    <w:rsid w:val="166E7A1D"/>
    <w:rsid w:val="166FA2B0"/>
    <w:rsid w:val="1675DDD5"/>
    <w:rsid w:val="16783D1C"/>
    <w:rsid w:val="167F63BF"/>
    <w:rsid w:val="16811AD2"/>
    <w:rsid w:val="16872967"/>
    <w:rsid w:val="168CC6CF"/>
    <w:rsid w:val="168F9DEC"/>
    <w:rsid w:val="16918124"/>
    <w:rsid w:val="16A6252D"/>
    <w:rsid w:val="16B91DDE"/>
    <w:rsid w:val="16BA6532"/>
    <w:rsid w:val="16CC6E19"/>
    <w:rsid w:val="16CD5F7C"/>
    <w:rsid w:val="16CF27E7"/>
    <w:rsid w:val="16D53F3E"/>
    <w:rsid w:val="16DF3199"/>
    <w:rsid w:val="1702E373"/>
    <w:rsid w:val="1709956F"/>
    <w:rsid w:val="17199837"/>
    <w:rsid w:val="1723E0C5"/>
    <w:rsid w:val="172D9B5D"/>
    <w:rsid w:val="173971C2"/>
    <w:rsid w:val="173C52AD"/>
    <w:rsid w:val="174DD103"/>
    <w:rsid w:val="174E1983"/>
    <w:rsid w:val="17533D68"/>
    <w:rsid w:val="1768CDC9"/>
    <w:rsid w:val="176E3D83"/>
    <w:rsid w:val="1770B929"/>
    <w:rsid w:val="1772918C"/>
    <w:rsid w:val="17748A9E"/>
    <w:rsid w:val="177974A2"/>
    <w:rsid w:val="1780BE4F"/>
    <w:rsid w:val="17850761"/>
    <w:rsid w:val="1792DBDF"/>
    <w:rsid w:val="17A66B21"/>
    <w:rsid w:val="17A88465"/>
    <w:rsid w:val="17ACAE03"/>
    <w:rsid w:val="17BE3FD6"/>
    <w:rsid w:val="17C4B668"/>
    <w:rsid w:val="17C56AC9"/>
    <w:rsid w:val="17C72CB2"/>
    <w:rsid w:val="17CF54A7"/>
    <w:rsid w:val="17D5B2BE"/>
    <w:rsid w:val="17DA3C52"/>
    <w:rsid w:val="17DB992B"/>
    <w:rsid w:val="17DCD0D8"/>
    <w:rsid w:val="17DEF7CD"/>
    <w:rsid w:val="17E1630C"/>
    <w:rsid w:val="18031E1B"/>
    <w:rsid w:val="1804CD99"/>
    <w:rsid w:val="181215BE"/>
    <w:rsid w:val="1818DF1D"/>
    <w:rsid w:val="18231868"/>
    <w:rsid w:val="1825D773"/>
    <w:rsid w:val="18301502"/>
    <w:rsid w:val="18429D71"/>
    <w:rsid w:val="184EED41"/>
    <w:rsid w:val="18560E21"/>
    <w:rsid w:val="1856740F"/>
    <w:rsid w:val="186826F5"/>
    <w:rsid w:val="186DB639"/>
    <w:rsid w:val="1876FC79"/>
    <w:rsid w:val="1883B1C6"/>
    <w:rsid w:val="1885E1DE"/>
    <w:rsid w:val="188753F6"/>
    <w:rsid w:val="1887C1AC"/>
    <w:rsid w:val="189947C4"/>
    <w:rsid w:val="18A07638"/>
    <w:rsid w:val="18A79C27"/>
    <w:rsid w:val="18B567B6"/>
    <w:rsid w:val="18B8839F"/>
    <w:rsid w:val="18C0C484"/>
    <w:rsid w:val="18D5AE51"/>
    <w:rsid w:val="18E5D806"/>
    <w:rsid w:val="18E715EE"/>
    <w:rsid w:val="18ED1BAA"/>
    <w:rsid w:val="18EFD4CF"/>
    <w:rsid w:val="18F4BC55"/>
    <w:rsid w:val="18FBE3C1"/>
    <w:rsid w:val="18FE07C2"/>
    <w:rsid w:val="19077D8F"/>
    <w:rsid w:val="190F966D"/>
    <w:rsid w:val="19187428"/>
    <w:rsid w:val="192BA3D6"/>
    <w:rsid w:val="1931167A"/>
    <w:rsid w:val="194B0C3F"/>
    <w:rsid w:val="195D2FDD"/>
    <w:rsid w:val="1961B4C9"/>
    <w:rsid w:val="1975FE58"/>
    <w:rsid w:val="19779C5D"/>
    <w:rsid w:val="1985425A"/>
    <w:rsid w:val="1989A985"/>
    <w:rsid w:val="199164EF"/>
    <w:rsid w:val="1996B20B"/>
    <w:rsid w:val="199C643E"/>
    <w:rsid w:val="199CD869"/>
    <w:rsid w:val="19A09C1E"/>
    <w:rsid w:val="19A3DC9A"/>
    <w:rsid w:val="19AD2285"/>
    <w:rsid w:val="19ADB584"/>
    <w:rsid w:val="19B8141E"/>
    <w:rsid w:val="19B879CB"/>
    <w:rsid w:val="19B8B1AF"/>
    <w:rsid w:val="19B8C5A6"/>
    <w:rsid w:val="19BE32B1"/>
    <w:rsid w:val="19C64EFC"/>
    <w:rsid w:val="19D23C2D"/>
    <w:rsid w:val="19E146C0"/>
    <w:rsid w:val="19ED40FA"/>
    <w:rsid w:val="19F0FBC1"/>
    <w:rsid w:val="19FC463E"/>
    <w:rsid w:val="1A05329D"/>
    <w:rsid w:val="1A0A9043"/>
    <w:rsid w:val="1A144A91"/>
    <w:rsid w:val="1A1ED4E7"/>
    <w:rsid w:val="1A3D8C08"/>
    <w:rsid w:val="1A406E70"/>
    <w:rsid w:val="1A407D62"/>
    <w:rsid w:val="1A469D17"/>
    <w:rsid w:val="1A50F4A5"/>
    <w:rsid w:val="1A588C46"/>
    <w:rsid w:val="1A6C7340"/>
    <w:rsid w:val="1A6C7591"/>
    <w:rsid w:val="1A86532F"/>
    <w:rsid w:val="1A8F2F03"/>
    <w:rsid w:val="1A95582B"/>
    <w:rsid w:val="1A973B35"/>
    <w:rsid w:val="1A99CCE0"/>
    <w:rsid w:val="1A9EEBF7"/>
    <w:rsid w:val="1AA7FF8F"/>
    <w:rsid w:val="1AB54B83"/>
    <w:rsid w:val="1AB9EC9E"/>
    <w:rsid w:val="1AC0A4F1"/>
    <w:rsid w:val="1ACB4BD3"/>
    <w:rsid w:val="1AE323B0"/>
    <w:rsid w:val="1AE63C12"/>
    <w:rsid w:val="1AF142A5"/>
    <w:rsid w:val="1B1CF156"/>
    <w:rsid w:val="1B20068F"/>
    <w:rsid w:val="1B315F1B"/>
    <w:rsid w:val="1B401715"/>
    <w:rsid w:val="1B42D7AA"/>
    <w:rsid w:val="1B584877"/>
    <w:rsid w:val="1B6E7E6C"/>
    <w:rsid w:val="1B71547A"/>
    <w:rsid w:val="1B7CDEAD"/>
    <w:rsid w:val="1B928893"/>
    <w:rsid w:val="1BA6B1A5"/>
    <w:rsid w:val="1BA7B38C"/>
    <w:rsid w:val="1BADA88F"/>
    <w:rsid w:val="1BD881EF"/>
    <w:rsid w:val="1BE8CAF1"/>
    <w:rsid w:val="1BEA45E0"/>
    <w:rsid w:val="1BEC17E2"/>
    <w:rsid w:val="1BFEE097"/>
    <w:rsid w:val="1C02AB65"/>
    <w:rsid w:val="1C0F02AB"/>
    <w:rsid w:val="1C1220BE"/>
    <w:rsid w:val="1C13A5D3"/>
    <w:rsid w:val="1C1DB631"/>
    <w:rsid w:val="1C2462A0"/>
    <w:rsid w:val="1C2E063F"/>
    <w:rsid w:val="1C3A9B24"/>
    <w:rsid w:val="1C41FA54"/>
    <w:rsid w:val="1C51B0CD"/>
    <w:rsid w:val="1C5CEDE9"/>
    <w:rsid w:val="1C5D6DA1"/>
    <w:rsid w:val="1C6A3263"/>
    <w:rsid w:val="1C7645F6"/>
    <w:rsid w:val="1C818DDA"/>
    <w:rsid w:val="1C967969"/>
    <w:rsid w:val="1CB0A4F5"/>
    <w:rsid w:val="1CB0C7EF"/>
    <w:rsid w:val="1CB27BDB"/>
    <w:rsid w:val="1CB36050"/>
    <w:rsid w:val="1CB93651"/>
    <w:rsid w:val="1CD0ABFD"/>
    <w:rsid w:val="1CD897FF"/>
    <w:rsid w:val="1CDCF66D"/>
    <w:rsid w:val="1CDEC9C5"/>
    <w:rsid w:val="1CEAB2F1"/>
    <w:rsid w:val="1CF7E43A"/>
    <w:rsid w:val="1CFA406F"/>
    <w:rsid w:val="1CFDD953"/>
    <w:rsid w:val="1D1A77E5"/>
    <w:rsid w:val="1D34BBCD"/>
    <w:rsid w:val="1D56B7B8"/>
    <w:rsid w:val="1D6241A0"/>
    <w:rsid w:val="1D6881B4"/>
    <w:rsid w:val="1D6F73A5"/>
    <w:rsid w:val="1D74F584"/>
    <w:rsid w:val="1D8764AC"/>
    <w:rsid w:val="1D9B2659"/>
    <w:rsid w:val="1D9E250D"/>
    <w:rsid w:val="1DA1BB50"/>
    <w:rsid w:val="1DC547FD"/>
    <w:rsid w:val="1DC5CD78"/>
    <w:rsid w:val="1DD3BE42"/>
    <w:rsid w:val="1DD5BD35"/>
    <w:rsid w:val="1DEC8E30"/>
    <w:rsid w:val="1E004884"/>
    <w:rsid w:val="1E02F2C8"/>
    <w:rsid w:val="1E183A97"/>
    <w:rsid w:val="1E1D4F6D"/>
    <w:rsid w:val="1E296B80"/>
    <w:rsid w:val="1E36BB4E"/>
    <w:rsid w:val="1E3F95A8"/>
    <w:rsid w:val="1E549218"/>
    <w:rsid w:val="1E583EC9"/>
    <w:rsid w:val="1E75AC42"/>
    <w:rsid w:val="1E76EEA6"/>
    <w:rsid w:val="1E79D194"/>
    <w:rsid w:val="1E829A72"/>
    <w:rsid w:val="1E8A0274"/>
    <w:rsid w:val="1E8AFDC7"/>
    <w:rsid w:val="1E8DC4AE"/>
    <w:rsid w:val="1E93B42E"/>
    <w:rsid w:val="1E9EFE65"/>
    <w:rsid w:val="1EA60F10"/>
    <w:rsid w:val="1EA9D366"/>
    <w:rsid w:val="1EABB5EE"/>
    <w:rsid w:val="1EB647FE"/>
    <w:rsid w:val="1EB7B457"/>
    <w:rsid w:val="1EBA81CF"/>
    <w:rsid w:val="1EC8BBA7"/>
    <w:rsid w:val="1ECD87DE"/>
    <w:rsid w:val="1EDA90AB"/>
    <w:rsid w:val="1EDC5B59"/>
    <w:rsid w:val="1EE45083"/>
    <w:rsid w:val="1EEE7AB4"/>
    <w:rsid w:val="1EEF7607"/>
    <w:rsid w:val="1F014922"/>
    <w:rsid w:val="1F086725"/>
    <w:rsid w:val="1F0E92B1"/>
    <w:rsid w:val="1F0F150D"/>
    <w:rsid w:val="1F2A18BF"/>
    <w:rsid w:val="1F2E8A46"/>
    <w:rsid w:val="1F2EAB7A"/>
    <w:rsid w:val="1F32F714"/>
    <w:rsid w:val="1F4039F6"/>
    <w:rsid w:val="1F542118"/>
    <w:rsid w:val="1F54D0A7"/>
    <w:rsid w:val="1F55DBD7"/>
    <w:rsid w:val="1F68B178"/>
    <w:rsid w:val="1F6C7EFD"/>
    <w:rsid w:val="1F709A5E"/>
    <w:rsid w:val="1F764686"/>
    <w:rsid w:val="1F8C65F0"/>
    <w:rsid w:val="1F9EBCF6"/>
    <w:rsid w:val="1FA43969"/>
    <w:rsid w:val="1FB1C51D"/>
    <w:rsid w:val="1FB374D4"/>
    <w:rsid w:val="1FB417BE"/>
    <w:rsid w:val="1FB4B814"/>
    <w:rsid w:val="1FB4C596"/>
    <w:rsid w:val="1FB4F76C"/>
    <w:rsid w:val="1FC37EA0"/>
    <w:rsid w:val="1FE2A3DB"/>
    <w:rsid w:val="1FE8C509"/>
    <w:rsid w:val="2002FAA2"/>
    <w:rsid w:val="200BFFE2"/>
    <w:rsid w:val="2015A1F5"/>
    <w:rsid w:val="201C94A6"/>
    <w:rsid w:val="201FF361"/>
    <w:rsid w:val="202E9F1E"/>
    <w:rsid w:val="2036A126"/>
    <w:rsid w:val="2038EA36"/>
    <w:rsid w:val="203F7CC2"/>
    <w:rsid w:val="204474F0"/>
    <w:rsid w:val="205FAEF1"/>
    <w:rsid w:val="20603D8D"/>
    <w:rsid w:val="206105BC"/>
    <w:rsid w:val="2074645D"/>
    <w:rsid w:val="20869547"/>
    <w:rsid w:val="208E166B"/>
    <w:rsid w:val="209BBC3B"/>
    <w:rsid w:val="20A4CFC5"/>
    <w:rsid w:val="20ACF18F"/>
    <w:rsid w:val="20BBAB82"/>
    <w:rsid w:val="20E26AD4"/>
    <w:rsid w:val="20F5E692"/>
    <w:rsid w:val="21171386"/>
    <w:rsid w:val="211BA319"/>
    <w:rsid w:val="212084E1"/>
    <w:rsid w:val="212E0952"/>
    <w:rsid w:val="21351372"/>
    <w:rsid w:val="2137EA2B"/>
    <w:rsid w:val="21384CD0"/>
    <w:rsid w:val="214FE5F2"/>
    <w:rsid w:val="2157295C"/>
    <w:rsid w:val="215E3D80"/>
    <w:rsid w:val="2191F8DF"/>
    <w:rsid w:val="219410D8"/>
    <w:rsid w:val="2197AACD"/>
    <w:rsid w:val="21A670FF"/>
    <w:rsid w:val="21A823E0"/>
    <w:rsid w:val="21AD59C9"/>
    <w:rsid w:val="21B18167"/>
    <w:rsid w:val="21BF57A7"/>
    <w:rsid w:val="21E379F6"/>
    <w:rsid w:val="21E7EC20"/>
    <w:rsid w:val="21FF8DAF"/>
    <w:rsid w:val="2202DDF3"/>
    <w:rsid w:val="220913F3"/>
    <w:rsid w:val="220FABB8"/>
    <w:rsid w:val="2215364B"/>
    <w:rsid w:val="22174FD5"/>
    <w:rsid w:val="223CFC8E"/>
    <w:rsid w:val="2241129F"/>
    <w:rsid w:val="22488FA8"/>
    <w:rsid w:val="225B5E16"/>
    <w:rsid w:val="225C1DC9"/>
    <w:rsid w:val="2260F1EF"/>
    <w:rsid w:val="2266E70A"/>
    <w:rsid w:val="22678393"/>
    <w:rsid w:val="227E4E10"/>
    <w:rsid w:val="228AF724"/>
    <w:rsid w:val="2293EEA6"/>
    <w:rsid w:val="2294E01D"/>
    <w:rsid w:val="229A803F"/>
    <w:rsid w:val="22A479A8"/>
    <w:rsid w:val="22A5E8DE"/>
    <w:rsid w:val="22B44B49"/>
    <w:rsid w:val="22BCCF99"/>
    <w:rsid w:val="22CB51B3"/>
    <w:rsid w:val="22D84D47"/>
    <w:rsid w:val="22D8BB71"/>
    <w:rsid w:val="22DEC02F"/>
    <w:rsid w:val="22E63C22"/>
    <w:rsid w:val="22EC209C"/>
    <w:rsid w:val="22FB4C28"/>
    <w:rsid w:val="22FBD595"/>
    <w:rsid w:val="230463FE"/>
    <w:rsid w:val="2308ADE1"/>
    <w:rsid w:val="231205BC"/>
    <w:rsid w:val="23221C2F"/>
    <w:rsid w:val="2322B29D"/>
    <w:rsid w:val="232F5BFE"/>
    <w:rsid w:val="23336AA1"/>
    <w:rsid w:val="2333AB88"/>
    <w:rsid w:val="2357E4C2"/>
    <w:rsid w:val="237C874F"/>
    <w:rsid w:val="237DF03B"/>
    <w:rsid w:val="238D26BB"/>
    <w:rsid w:val="2394C890"/>
    <w:rsid w:val="23BF7759"/>
    <w:rsid w:val="23CAFF5B"/>
    <w:rsid w:val="23DCB639"/>
    <w:rsid w:val="23E9A96D"/>
    <w:rsid w:val="23EE5A74"/>
    <w:rsid w:val="23EF9D1B"/>
    <w:rsid w:val="23F0E431"/>
    <w:rsid w:val="23F54B3C"/>
    <w:rsid w:val="2404CBA6"/>
    <w:rsid w:val="240A287F"/>
    <w:rsid w:val="24151EEE"/>
    <w:rsid w:val="241FD3AA"/>
    <w:rsid w:val="2424E6B5"/>
    <w:rsid w:val="243A3F52"/>
    <w:rsid w:val="243AC498"/>
    <w:rsid w:val="243ED4F2"/>
    <w:rsid w:val="244728F5"/>
    <w:rsid w:val="245116C3"/>
    <w:rsid w:val="246CA5E4"/>
    <w:rsid w:val="24705C37"/>
    <w:rsid w:val="2475886F"/>
    <w:rsid w:val="247B64E8"/>
    <w:rsid w:val="247EC0EC"/>
    <w:rsid w:val="24801CAA"/>
    <w:rsid w:val="2486F3E3"/>
    <w:rsid w:val="248D7F10"/>
    <w:rsid w:val="249AD05F"/>
    <w:rsid w:val="249C0146"/>
    <w:rsid w:val="24A89DA5"/>
    <w:rsid w:val="24B56611"/>
    <w:rsid w:val="24C50D51"/>
    <w:rsid w:val="24D2591A"/>
    <w:rsid w:val="24D5A792"/>
    <w:rsid w:val="24EB9DDF"/>
    <w:rsid w:val="2509EA4F"/>
    <w:rsid w:val="25119311"/>
    <w:rsid w:val="252926DC"/>
    <w:rsid w:val="253B6A59"/>
    <w:rsid w:val="25409ADF"/>
    <w:rsid w:val="2544CE09"/>
    <w:rsid w:val="25465977"/>
    <w:rsid w:val="2551FB62"/>
    <w:rsid w:val="2553CB51"/>
    <w:rsid w:val="2559D948"/>
    <w:rsid w:val="25613C34"/>
    <w:rsid w:val="2568E837"/>
    <w:rsid w:val="25699A3A"/>
    <w:rsid w:val="256EA634"/>
    <w:rsid w:val="256F65DC"/>
    <w:rsid w:val="2593A577"/>
    <w:rsid w:val="25951E91"/>
    <w:rsid w:val="259846E2"/>
    <w:rsid w:val="25A2458E"/>
    <w:rsid w:val="25AFFC87"/>
    <w:rsid w:val="25CF47DC"/>
    <w:rsid w:val="25D67406"/>
    <w:rsid w:val="25DC4877"/>
    <w:rsid w:val="25E8E990"/>
    <w:rsid w:val="25EB51DF"/>
    <w:rsid w:val="25EEE2C3"/>
    <w:rsid w:val="25FD13DC"/>
    <w:rsid w:val="260F5871"/>
    <w:rsid w:val="26147EC5"/>
    <w:rsid w:val="2619570D"/>
    <w:rsid w:val="261B4E78"/>
    <w:rsid w:val="261D8646"/>
    <w:rsid w:val="261E7CD5"/>
    <w:rsid w:val="263346B6"/>
    <w:rsid w:val="26369E14"/>
    <w:rsid w:val="263759E0"/>
    <w:rsid w:val="264226AA"/>
    <w:rsid w:val="2644CA10"/>
    <w:rsid w:val="264D1DA9"/>
    <w:rsid w:val="2668AD83"/>
    <w:rsid w:val="2669D42D"/>
    <w:rsid w:val="267E5C2D"/>
    <w:rsid w:val="268931D3"/>
    <w:rsid w:val="26959F09"/>
    <w:rsid w:val="269B5618"/>
    <w:rsid w:val="269B8CA7"/>
    <w:rsid w:val="269DE816"/>
    <w:rsid w:val="26A33E6D"/>
    <w:rsid w:val="26A89728"/>
    <w:rsid w:val="26AC9A94"/>
    <w:rsid w:val="26B80C92"/>
    <w:rsid w:val="26D46CA7"/>
    <w:rsid w:val="26D77D3E"/>
    <w:rsid w:val="26E45257"/>
    <w:rsid w:val="270109CC"/>
    <w:rsid w:val="27068ACE"/>
    <w:rsid w:val="2708041D"/>
    <w:rsid w:val="2712BB15"/>
    <w:rsid w:val="272D2C4B"/>
    <w:rsid w:val="272EB70C"/>
    <w:rsid w:val="273024B4"/>
    <w:rsid w:val="274695FB"/>
    <w:rsid w:val="275988D1"/>
    <w:rsid w:val="27797D73"/>
    <w:rsid w:val="277E16C3"/>
    <w:rsid w:val="277EA84B"/>
    <w:rsid w:val="278D7C29"/>
    <w:rsid w:val="2790AEEA"/>
    <w:rsid w:val="27963FE3"/>
    <w:rsid w:val="279A2F0C"/>
    <w:rsid w:val="279DBFF6"/>
    <w:rsid w:val="279FF204"/>
    <w:rsid w:val="27A3F1DF"/>
    <w:rsid w:val="27B51DA3"/>
    <w:rsid w:val="27B9E233"/>
    <w:rsid w:val="27BB28C7"/>
    <w:rsid w:val="27BB81A0"/>
    <w:rsid w:val="27C13C74"/>
    <w:rsid w:val="27C338CF"/>
    <w:rsid w:val="27C881F0"/>
    <w:rsid w:val="27CD92DC"/>
    <w:rsid w:val="27D8B63D"/>
    <w:rsid w:val="27E0931D"/>
    <w:rsid w:val="27F7CEA9"/>
    <w:rsid w:val="27FA2671"/>
    <w:rsid w:val="2807E145"/>
    <w:rsid w:val="2815E3BB"/>
    <w:rsid w:val="28162548"/>
    <w:rsid w:val="2828E098"/>
    <w:rsid w:val="283C1714"/>
    <w:rsid w:val="285340CC"/>
    <w:rsid w:val="285476EF"/>
    <w:rsid w:val="2857F7ED"/>
    <w:rsid w:val="285FE478"/>
    <w:rsid w:val="28655A9C"/>
    <w:rsid w:val="286B2EB0"/>
    <w:rsid w:val="28721F77"/>
    <w:rsid w:val="287FCE79"/>
    <w:rsid w:val="2894B4DC"/>
    <w:rsid w:val="289895AD"/>
    <w:rsid w:val="2899A7C8"/>
    <w:rsid w:val="289DEC07"/>
    <w:rsid w:val="28A04EE3"/>
    <w:rsid w:val="28B5D3FE"/>
    <w:rsid w:val="28BE4CB8"/>
    <w:rsid w:val="28DFFBEA"/>
    <w:rsid w:val="28EF8713"/>
    <w:rsid w:val="28F37B4B"/>
    <w:rsid w:val="2908FE8D"/>
    <w:rsid w:val="290AB533"/>
    <w:rsid w:val="290B63E5"/>
    <w:rsid w:val="29173C06"/>
    <w:rsid w:val="29234EDB"/>
    <w:rsid w:val="292558A1"/>
    <w:rsid w:val="29329EF0"/>
    <w:rsid w:val="294CAC35"/>
    <w:rsid w:val="2951A046"/>
    <w:rsid w:val="295BB0B5"/>
    <w:rsid w:val="29660DAC"/>
    <w:rsid w:val="296AE778"/>
    <w:rsid w:val="2974AD84"/>
    <w:rsid w:val="297AF534"/>
    <w:rsid w:val="2995FA0E"/>
    <w:rsid w:val="29A2313A"/>
    <w:rsid w:val="29B05B54"/>
    <w:rsid w:val="29BFD681"/>
    <w:rsid w:val="29C5AEC7"/>
    <w:rsid w:val="29C9D729"/>
    <w:rsid w:val="29CADCF5"/>
    <w:rsid w:val="29DFB9EE"/>
    <w:rsid w:val="29E1B10C"/>
    <w:rsid w:val="29F2372D"/>
    <w:rsid w:val="29F5789B"/>
    <w:rsid w:val="29FD82C8"/>
    <w:rsid w:val="29FDD619"/>
    <w:rsid w:val="2A13C07E"/>
    <w:rsid w:val="2A2146AD"/>
    <w:rsid w:val="2A25FF66"/>
    <w:rsid w:val="2A30C034"/>
    <w:rsid w:val="2A30F8C7"/>
    <w:rsid w:val="2A386D81"/>
    <w:rsid w:val="2A3B10A8"/>
    <w:rsid w:val="2A3F5355"/>
    <w:rsid w:val="2A44E715"/>
    <w:rsid w:val="2A599052"/>
    <w:rsid w:val="2A5FC872"/>
    <w:rsid w:val="2A66F81C"/>
    <w:rsid w:val="2A75FF51"/>
    <w:rsid w:val="2A89A15F"/>
    <w:rsid w:val="2A8B07B2"/>
    <w:rsid w:val="2A8F38EB"/>
    <w:rsid w:val="2A9E526E"/>
    <w:rsid w:val="2A9F0FD5"/>
    <w:rsid w:val="2ACD462C"/>
    <w:rsid w:val="2ADAA858"/>
    <w:rsid w:val="2B04C19D"/>
    <w:rsid w:val="2B123336"/>
    <w:rsid w:val="2B24CC7D"/>
    <w:rsid w:val="2B297E4D"/>
    <w:rsid w:val="2B37DBA5"/>
    <w:rsid w:val="2B38985D"/>
    <w:rsid w:val="2B407D94"/>
    <w:rsid w:val="2B502361"/>
    <w:rsid w:val="2B73CC06"/>
    <w:rsid w:val="2B7DDE89"/>
    <w:rsid w:val="2B89B5EF"/>
    <w:rsid w:val="2B9417A0"/>
    <w:rsid w:val="2B945982"/>
    <w:rsid w:val="2B9EDB48"/>
    <w:rsid w:val="2BA3D97B"/>
    <w:rsid w:val="2BAFFDFC"/>
    <w:rsid w:val="2BB8AD0D"/>
    <w:rsid w:val="2BC5A3EB"/>
    <w:rsid w:val="2BCABC12"/>
    <w:rsid w:val="2BDE0B1D"/>
    <w:rsid w:val="2BE9D2F1"/>
    <w:rsid w:val="2BF560B3"/>
    <w:rsid w:val="2BF976CA"/>
    <w:rsid w:val="2BFD4E39"/>
    <w:rsid w:val="2BFE0175"/>
    <w:rsid w:val="2C050EF7"/>
    <w:rsid w:val="2C0C0060"/>
    <w:rsid w:val="2C0D6289"/>
    <w:rsid w:val="2C13C6E1"/>
    <w:rsid w:val="2C194C9F"/>
    <w:rsid w:val="2C223DA8"/>
    <w:rsid w:val="2C2BF981"/>
    <w:rsid w:val="2C3E5AB5"/>
    <w:rsid w:val="2C416758"/>
    <w:rsid w:val="2C4BBB7B"/>
    <w:rsid w:val="2C5FAA74"/>
    <w:rsid w:val="2C6DE32A"/>
    <w:rsid w:val="2C8A8B4C"/>
    <w:rsid w:val="2C8B9ADF"/>
    <w:rsid w:val="2C8BBA7C"/>
    <w:rsid w:val="2CA0997A"/>
    <w:rsid w:val="2CA09D4E"/>
    <w:rsid w:val="2CA6919B"/>
    <w:rsid w:val="2CA6A5F3"/>
    <w:rsid w:val="2CADB2D2"/>
    <w:rsid w:val="2CBAA224"/>
    <w:rsid w:val="2CBEA8B9"/>
    <w:rsid w:val="2CD8CAAB"/>
    <w:rsid w:val="2CD9982A"/>
    <w:rsid w:val="2CDABA87"/>
    <w:rsid w:val="2CE012C3"/>
    <w:rsid w:val="2CF478E0"/>
    <w:rsid w:val="2CFA6581"/>
    <w:rsid w:val="2D0258B3"/>
    <w:rsid w:val="2D077055"/>
    <w:rsid w:val="2D0B6332"/>
    <w:rsid w:val="2D1FEBC4"/>
    <w:rsid w:val="2D328467"/>
    <w:rsid w:val="2D33C1C9"/>
    <w:rsid w:val="2D398E16"/>
    <w:rsid w:val="2D4C7A75"/>
    <w:rsid w:val="2D7352F4"/>
    <w:rsid w:val="2D8FA910"/>
    <w:rsid w:val="2D91CDB8"/>
    <w:rsid w:val="2D9E5D7A"/>
    <w:rsid w:val="2DAE9540"/>
    <w:rsid w:val="2DB7CBE3"/>
    <w:rsid w:val="2DC2A874"/>
    <w:rsid w:val="2DD07889"/>
    <w:rsid w:val="2DD4F913"/>
    <w:rsid w:val="2DE58480"/>
    <w:rsid w:val="2DE8FBF9"/>
    <w:rsid w:val="2DEEC5E4"/>
    <w:rsid w:val="2DF3F6B9"/>
    <w:rsid w:val="2DFC5906"/>
    <w:rsid w:val="2DFC7560"/>
    <w:rsid w:val="2E00CFA4"/>
    <w:rsid w:val="2E044946"/>
    <w:rsid w:val="2E0FAF0F"/>
    <w:rsid w:val="2E1A59A8"/>
    <w:rsid w:val="2E263833"/>
    <w:rsid w:val="2E2A6BD0"/>
    <w:rsid w:val="2E4E02D8"/>
    <w:rsid w:val="2E5A2898"/>
    <w:rsid w:val="2E5A5A9B"/>
    <w:rsid w:val="2E636F2C"/>
    <w:rsid w:val="2E6550F7"/>
    <w:rsid w:val="2E7A7EDC"/>
    <w:rsid w:val="2E7BE324"/>
    <w:rsid w:val="2E8F6679"/>
    <w:rsid w:val="2E92583F"/>
    <w:rsid w:val="2E965D63"/>
    <w:rsid w:val="2EAA37A6"/>
    <w:rsid w:val="2EABD5FE"/>
    <w:rsid w:val="2EC2DD9C"/>
    <w:rsid w:val="2EDAEDCD"/>
    <w:rsid w:val="2EDFB302"/>
    <w:rsid w:val="2EDFC1D1"/>
    <w:rsid w:val="2EE6FDE7"/>
    <w:rsid w:val="2EE84AD6"/>
    <w:rsid w:val="2EEAE516"/>
    <w:rsid w:val="2EEB4D4E"/>
    <w:rsid w:val="2EECEC3E"/>
    <w:rsid w:val="2F17BABA"/>
    <w:rsid w:val="2F204B41"/>
    <w:rsid w:val="2F35E495"/>
    <w:rsid w:val="2F37677A"/>
    <w:rsid w:val="2F41CAF4"/>
    <w:rsid w:val="2F51A731"/>
    <w:rsid w:val="2F685DC4"/>
    <w:rsid w:val="2F769468"/>
    <w:rsid w:val="2F788BE1"/>
    <w:rsid w:val="2F830722"/>
    <w:rsid w:val="2F9061F9"/>
    <w:rsid w:val="2F9B0487"/>
    <w:rsid w:val="2F9C180F"/>
    <w:rsid w:val="2F9D297D"/>
    <w:rsid w:val="2FA708BD"/>
    <w:rsid w:val="2FA82A30"/>
    <w:rsid w:val="2FB14FEC"/>
    <w:rsid w:val="2FB9F879"/>
    <w:rsid w:val="2FBE534D"/>
    <w:rsid w:val="2FC0CC42"/>
    <w:rsid w:val="2FE6B338"/>
    <w:rsid w:val="2FF14EBE"/>
    <w:rsid w:val="2FF8A15B"/>
    <w:rsid w:val="3005D1ED"/>
    <w:rsid w:val="3008063D"/>
    <w:rsid w:val="3008E162"/>
    <w:rsid w:val="300DC9E7"/>
    <w:rsid w:val="30143572"/>
    <w:rsid w:val="3015F387"/>
    <w:rsid w:val="3018F3A1"/>
    <w:rsid w:val="301ED262"/>
    <w:rsid w:val="3027ED75"/>
    <w:rsid w:val="302FA462"/>
    <w:rsid w:val="303A2C46"/>
    <w:rsid w:val="3053AC95"/>
    <w:rsid w:val="305512CA"/>
    <w:rsid w:val="30685CA9"/>
    <w:rsid w:val="306C05A1"/>
    <w:rsid w:val="30717505"/>
    <w:rsid w:val="3079264C"/>
    <w:rsid w:val="307CC624"/>
    <w:rsid w:val="307E102E"/>
    <w:rsid w:val="309E4EDC"/>
    <w:rsid w:val="309FA83F"/>
    <w:rsid w:val="30B5D12E"/>
    <w:rsid w:val="30C0D7B4"/>
    <w:rsid w:val="30D04C8B"/>
    <w:rsid w:val="3109DC56"/>
    <w:rsid w:val="310BC4F7"/>
    <w:rsid w:val="312B8D26"/>
    <w:rsid w:val="312C6680"/>
    <w:rsid w:val="31361B75"/>
    <w:rsid w:val="31456B8A"/>
    <w:rsid w:val="314A2794"/>
    <w:rsid w:val="314BD7C5"/>
    <w:rsid w:val="3152DE6E"/>
    <w:rsid w:val="3154A6DF"/>
    <w:rsid w:val="31650022"/>
    <w:rsid w:val="316C47B9"/>
    <w:rsid w:val="317421F8"/>
    <w:rsid w:val="317DE8E5"/>
    <w:rsid w:val="3184D951"/>
    <w:rsid w:val="31880570"/>
    <w:rsid w:val="31A70040"/>
    <w:rsid w:val="31C35997"/>
    <w:rsid w:val="31C842AA"/>
    <w:rsid w:val="31E13D6C"/>
    <w:rsid w:val="31E28797"/>
    <w:rsid w:val="31EFB28F"/>
    <w:rsid w:val="320F1CCF"/>
    <w:rsid w:val="320F5909"/>
    <w:rsid w:val="321027F5"/>
    <w:rsid w:val="32157576"/>
    <w:rsid w:val="32160957"/>
    <w:rsid w:val="32230E2D"/>
    <w:rsid w:val="3226E6B4"/>
    <w:rsid w:val="322BCCEB"/>
    <w:rsid w:val="322CDA9C"/>
    <w:rsid w:val="32355F0D"/>
    <w:rsid w:val="324DFAF4"/>
    <w:rsid w:val="325387FD"/>
    <w:rsid w:val="32566578"/>
    <w:rsid w:val="325911AC"/>
    <w:rsid w:val="325FECAA"/>
    <w:rsid w:val="3269BC50"/>
    <w:rsid w:val="327CF13A"/>
    <w:rsid w:val="327F6EFB"/>
    <w:rsid w:val="32901714"/>
    <w:rsid w:val="329061BF"/>
    <w:rsid w:val="329AC6C7"/>
    <w:rsid w:val="329C7E4B"/>
    <w:rsid w:val="32A180CE"/>
    <w:rsid w:val="32A551A0"/>
    <w:rsid w:val="32A6313E"/>
    <w:rsid w:val="32B99724"/>
    <w:rsid w:val="32BA3F26"/>
    <w:rsid w:val="32BB61A6"/>
    <w:rsid w:val="32BE604F"/>
    <w:rsid w:val="32C126CC"/>
    <w:rsid w:val="32C5C643"/>
    <w:rsid w:val="32CC31F5"/>
    <w:rsid w:val="32CE7D33"/>
    <w:rsid w:val="32D526FE"/>
    <w:rsid w:val="32D7520D"/>
    <w:rsid w:val="32E2E0F1"/>
    <w:rsid w:val="3304DFA7"/>
    <w:rsid w:val="3317A8B3"/>
    <w:rsid w:val="3318A8D1"/>
    <w:rsid w:val="331930B2"/>
    <w:rsid w:val="331E19FC"/>
    <w:rsid w:val="3322323C"/>
    <w:rsid w:val="3327FE12"/>
    <w:rsid w:val="3334E479"/>
    <w:rsid w:val="33363254"/>
    <w:rsid w:val="333CB9D3"/>
    <w:rsid w:val="335C7988"/>
    <w:rsid w:val="335CD6E2"/>
    <w:rsid w:val="3365EAD3"/>
    <w:rsid w:val="3366E4AD"/>
    <w:rsid w:val="3375CC6E"/>
    <w:rsid w:val="337E54F0"/>
    <w:rsid w:val="339B7B69"/>
    <w:rsid w:val="33A27834"/>
    <w:rsid w:val="33A9E076"/>
    <w:rsid w:val="33B22C20"/>
    <w:rsid w:val="33B6C7E8"/>
    <w:rsid w:val="33B77701"/>
    <w:rsid w:val="33D0A0FF"/>
    <w:rsid w:val="33D0DC48"/>
    <w:rsid w:val="33DDA90E"/>
    <w:rsid w:val="33E691EF"/>
    <w:rsid w:val="33EAC1C3"/>
    <w:rsid w:val="33F324EC"/>
    <w:rsid w:val="34096775"/>
    <w:rsid w:val="340C6BC4"/>
    <w:rsid w:val="3416CDF0"/>
    <w:rsid w:val="342F7057"/>
    <w:rsid w:val="34351748"/>
    <w:rsid w:val="343A2935"/>
    <w:rsid w:val="3448636C"/>
    <w:rsid w:val="34552D86"/>
    <w:rsid w:val="34559108"/>
    <w:rsid w:val="3460534A"/>
    <w:rsid w:val="3464774D"/>
    <w:rsid w:val="346CB7BA"/>
    <w:rsid w:val="347C7F91"/>
    <w:rsid w:val="347EF093"/>
    <w:rsid w:val="348A01CA"/>
    <w:rsid w:val="348AB734"/>
    <w:rsid w:val="349B5E4E"/>
    <w:rsid w:val="34A64652"/>
    <w:rsid w:val="34ABE6DD"/>
    <w:rsid w:val="34BA4F04"/>
    <w:rsid w:val="34C7E34E"/>
    <w:rsid w:val="34CA0C2C"/>
    <w:rsid w:val="34D06E0F"/>
    <w:rsid w:val="34D0A3DA"/>
    <w:rsid w:val="34DEEFC1"/>
    <w:rsid w:val="34FE22B5"/>
    <w:rsid w:val="3507C943"/>
    <w:rsid w:val="3519B5E0"/>
    <w:rsid w:val="351A7EBB"/>
    <w:rsid w:val="351DBA25"/>
    <w:rsid w:val="352F6B6D"/>
    <w:rsid w:val="353D4F17"/>
    <w:rsid w:val="354040D3"/>
    <w:rsid w:val="354313E4"/>
    <w:rsid w:val="355528FA"/>
    <w:rsid w:val="355986B3"/>
    <w:rsid w:val="355A882F"/>
    <w:rsid w:val="3561B88D"/>
    <w:rsid w:val="3563F263"/>
    <w:rsid w:val="356878F8"/>
    <w:rsid w:val="356EC8D0"/>
    <w:rsid w:val="3580122D"/>
    <w:rsid w:val="358124D0"/>
    <w:rsid w:val="3590B848"/>
    <w:rsid w:val="359A5F89"/>
    <w:rsid w:val="35A02A63"/>
    <w:rsid w:val="35A37454"/>
    <w:rsid w:val="35A4DDD8"/>
    <w:rsid w:val="35A8D40D"/>
    <w:rsid w:val="35AC7E70"/>
    <w:rsid w:val="35AEEF6F"/>
    <w:rsid w:val="35B1263A"/>
    <w:rsid w:val="35B885A3"/>
    <w:rsid w:val="35D9F172"/>
    <w:rsid w:val="35E00AF8"/>
    <w:rsid w:val="35E28CC5"/>
    <w:rsid w:val="35F5EC14"/>
    <w:rsid w:val="35FE5A4B"/>
    <w:rsid w:val="362AE84B"/>
    <w:rsid w:val="362C3D96"/>
    <w:rsid w:val="362D5913"/>
    <w:rsid w:val="363332D0"/>
    <w:rsid w:val="3646DA84"/>
    <w:rsid w:val="364947FE"/>
    <w:rsid w:val="364A625A"/>
    <w:rsid w:val="364D5DEB"/>
    <w:rsid w:val="36509102"/>
    <w:rsid w:val="3650C781"/>
    <w:rsid w:val="368150FC"/>
    <w:rsid w:val="36824806"/>
    <w:rsid w:val="368629E2"/>
    <w:rsid w:val="36993E26"/>
    <w:rsid w:val="369990DE"/>
    <w:rsid w:val="36A0F60F"/>
    <w:rsid w:val="36AB553C"/>
    <w:rsid w:val="36C245FB"/>
    <w:rsid w:val="36C7DD92"/>
    <w:rsid w:val="36C8D05D"/>
    <w:rsid w:val="36E8B253"/>
    <w:rsid w:val="3706FAD8"/>
    <w:rsid w:val="3715819B"/>
    <w:rsid w:val="371750FC"/>
    <w:rsid w:val="37240516"/>
    <w:rsid w:val="372B8FF7"/>
    <w:rsid w:val="37337604"/>
    <w:rsid w:val="3733D240"/>
    <w:rsid w:val="3734A101"/>
    <w:rsid w:val="3741A641"/>
    <w:rsid w:val="374FAF24"/>
    <w:rsid w:val="37595FA0"/>
    <w:rsid w:val="37596CAF"/>
    <w:rsid w:val="375E0A5E"/>
    <w:rsid w:val="376BBFDB"/>
    <w:rsid w:val="377948A6"/>
    <w:rsid w:val="377B4334"/>
    <w:rsid w:val="3784BF7A"/>
    <w:rsid w:val="3788372A"/>
    <w:rsid w:val="3790D94A"/>
    <w:rsid w:val="37919BCE"/>
    <w:rsid w:val="3791BAB2"/>
    <w:rsid w:val="37BD2694"/>
    <w:rsid w:val="37C9C671"/>
    <w:rsid w:val="37CF314B"/>
    <w:rsid w:val="37D1FB64"/>
    <w:rsid w:val="37E012DF"/>
    <w:rsid w:val="37EE164F"/>
    <w:rsid w:val="37F25D46"/>
    <w:rsid w:val="37F2BEF3"/>
    <w:rsid w:val="37FC33EA"/>
    <w:rsid w:val="38290270"/>
    <w:rsid w:val="383868E4"/>
    <w:rsid w:val="383ED28D"/>
    <w:rsid w:val="384DF095"/>
    <w:rsid w:val="38535F4F"/>
    <w:rsid w:val="386EF088"/>
    <w:rsid w:val="387AA41C"/>
    <w:rsid w:val="387B78FD"/>
    <w:rsid w:val="388F0A90"/>
    <w:rsid w:val="389018AE"/>
    <w:rsid w:val="389E41DC"/>
    <w:rsid w:val="38A04F8A"/>
    <w:rsid w:val="38BFF75F"/>
    <w:rsid w:val="38DE9C72"/>
    <w:rsid w:val="38DEC0B6"/>
    <w:rsid w:val="38E14B85"/>
    <w:rsid w:val="38E7A527"/>
    <w:rsid w:val="38EBE9DB"/>
    <w:rsid w:val="38F03B09"/>
    <w:rsid w:val="38F8319C"/>
    <w:rsid w:val="38FFB196"/>
    <w:rsid w:val="390E6B5F"/>
    <w:rsid w:val="39105B67"/>
    <w:rsid w:val="39114155"/>
    <w:rsid w:val="3930A90C"/>
    <w:rsid w:val="394414F5"/>
    <w:rsid w:val="3966B6F2"/>
    <w:rsid w:val="3968AE7D"/>
    <w:rsid w:val="396BD4D4"/>
    <w:rsid w:val="397A5A84"/>
    <w:rsid w:val="3982B828"/>
    <w:rsid w:val="398F1CCB"/>
    <w:rsid w:val="3996FE46"/>
    <w:rsid w:val="39BFAB3F"/>
    <w:rsid w:val="39C00D50"/>
    <w:rsid w:val="39CE845B"/>
    <w:rsid w:val="39D1D9E2"/>
    <w:rsid w:val="3A074D13"/>
    <w:rsid w:val="3A0C4292"/>
    <w:rsid w:val="3A1EDACA"/>
    <w:rsid w:val="3A20CF87"/>
    <w:rsid w:val="3A2C02BA"/>
    <w:rsid w:val="3A361F51"/>
    <w:rsid w:val="3A39A125"/>
    <w:rsid w:val="3A5CE060"/>
    <w:rsid w:val="3A5DB0EF"/>
    <w:rsid w:val="3A6FD0BA"/>
    <w:rsid w:val="3A760B32"/>
    <w:rsid w:val="3A782CE2"/>
    <w:rsid w:val="3A7D3EF1"/>
    <w:rsid w:val="3A7E832A"/>
    <w:rsid w:val="3A94C30E"/>
    <w:rsid w:val="3AA717A3"/>
    <w:rsid w:val="3AA9D3A5"/>
    <w:rsid w:val="3AAA6033"/>
    <w:rsid w:val="3AAA879E"/>
    <w:rsid w:val="3AB1FF78"/>
    <w:rsid w:val="3AC06FB0"/>
    <w:rsid w:val="3AD2D456"/>
    <w:rsid w:val="3AD6EC24"/>
    <w:rsid w:val="3AE52679"/>
    <w:rsid w:val="3AFAFC51"/>
    <w:rsid w:val="3B070819"/>
    <w:rsid w:val="3B20E023"/>
    <w:rsid w:val="3B280652"/>
    <w:rsid w:val="3B29CE0B"/>
    <w:rsid w:val="3B485D39"/>
    <w:rsid w:val="3B5341C2"/>
    <w:rsid w:val="3B59DB10"/>
    <w:rsid w:val="3B63D5B8"/>
    <w:rsid w:val="3B7A4FAA"/>
    <w:rsid w:val="3B7C5DB7"/>
    <w:rsid w:val="3B846457"/>
    <w:rsid w:val="3BAD3D3D"/>
    <w:rsid w:val="3BB3DDA5"/>
    <w:rsid w:val="3BBA3CFC"/>
    <w:rsid w:val="3BBA6278"/>
    <w:rsid w:val="3BBB391B"/>
    <w:rsid w:val="3BBEC420"/>
    <w:rsid w:val="3BDBE9D2"/>
    <w:rsid w:val="3BE25799"/>
    <w:rsid w:val="3BEE9914"/>
    <w:rsid w:val="3BF61775"/>
    <w:rsid w:val="3C0D5F10"/>
    <w:rsid w:val="3C1455DC"/>
    <w:rsid w:val="3C177DA9"/>
    <w:rsid w:val="3C2067BE"/>
    <w:rsid w:val="3C2326C8"/>
    <w:rsid w:val="3C502A92"/>
    <w:rsid w:val="3C593B7D"/>
    <w:rsid w:val="3C6663E8"/>
    <w:rsid w:val="3C7D6B05"/>
    <w:rsid w:val="3C8DE4B1"/>
    <w:rsid w:val="3C950968"/>
    <w:rsid w:val="3C9B7E4C"/>
    <w:rsid w:val="3C9D99DE"/>
    <w:rsid w:val="3CA148AD"/>
    <w:rsid w:val="3CA15A74"/>
    <w:rsid w:val="3CA7884B"/>
    <w:rsid w:val="3CE0E62B"/>
    <w:rsid w:val="3CE7EC7F"/>
    <w:rsid w:val="3CEBE058"/>
    <w:rsid w:val="3CEE952D"/>
    <w:rsid w:val="3CEF4C56"/>
    <w:rsid w:val="3CF314CE"/>
    <w:rsid w:val="3CF5DEDC"/>
    <w:rsid w:val="3D160EDF"/>
    <w:rsid w:val="3D1B1F8D"/>
    <w:rsid w:val="3D36BDE2"/>
    <w:rsid w:val="3D3F9993"/>
    <w:rsid w:val="3D45134D"/>
    <w:rsid w:val="3D5638B5"/>
    <w:rsid w:val="3D5C7DB2"/>
    <w:rsid w:val="3D5D5BF2"/>
    <w:rsid w:val="3D676EA6"/>
    <w:rsid w:val="3D7063AF"/>
    <w:rsid w:val="3D752859"/>
    <w:rsid w:val="3D7B97E8"/>
    <w:rsid w:val="3D8F43F0"/>
    <w:rsid w:val="3D9A25AD"/>
    <w:rsid w:val="3D9C9C1C"/>
    <w:rsid w:val="3DAFAE0F"/>
    <w:rsid w:val="3DCBA003"/>
    <w:rsid w:val="3DCD8DC2"/>
    <w:rsid w:val="3DCEA280"/>
    <w:rsid w:val="3DD6B643"/>
    <w:rsid w:val="3DE12F22"/>
    <w:rsid w:val="3E068715"/>
    <w:rsid w:val="3E0E786E"/>
    <w:rsid w:val="3E146C3B"/>
    <w:rsid w:val="3E174315"/>
    <w:rsid w:val="3E258459"/>
    <w:rsid w:val="3E387E30"/>
    <w:rsid w:val="3E442DE1"/>
    <w:rsid w:val="3E51A8F5"/>
    <w:rsid w:val="3E621B8A"/>
    <w:rsid w:val="3E639FED"/>
    <w:rsid w:val="3E7346F4"/>
    <w:rsid w:val="3E7CADC9"/>
    <w:rsid w:val="3E81BB9B"/>
    <w:rsid w:val="3E8525B8"/>
    <w:rsid w:val="3E85D95F"/>
    <w:rsid w:val="3E8E619D"/>
    <w:rsid w:val="3E8F2AEB"/>
    <w:rsid w:val="3EAF74D7"/>
    <w:rsid w:val="3ECCDA72"/>
    <w:rsid w:val="3EE3A01D"/>
    <w:rsid w:val="3EEB748D"/>
    <w:rsid w:val="3F0C933D"/>
    <w:rsid w:val="3F21FBF0"/>
    <w:rsid w:val="3F303C89"/>
    <w:rsid w:val="3F32B0A8"/>
    <w:rsid w:val="3F37787C"/>
    <w:rsid w:val="3F386B95"/>
    <w:rsid w:val="3F4112B9"/>
    <w:rsid w:val="3F41CED6"/>
    <w:rsid w:val="3F4504F7"/>
    <w:rsid w:val="3F4D72AE"/>
    <w:rsid w:val="3F6A01CA"/>
    <w:rsid w:val="3F6FCC38"/>
    <w:rsid w:val="3F85942B"/>
    <w:rsid w:val="3F8B960B"/>
    <w:rsid w:val="3F99678C"/>
    <w:rsid w:val="3F99C122"/>
    <w:rsid w:val="3F9C072A"/>
    <w:rsid w:val="3F9C72B9"/>
    <w:rsid w:val="3F9EB91F"/>
    <w:rsid w:val="3FAB4C75"/>
    <w:rsid w:val="3FB14D21"/>
    <w:rsid w:val="3FB5BCBB"/>
    <w:rsid w:val="3FC07EF9"/>
    <w:rsid w:val="3FC468FC"/>
    <w:rsid w:val="3FCB4F56"/>
    <w:rsid w:val="3FEBCB2A"/>
    <w:rsid w:val="3FF90F49"/>
    <w:rsid w:val="40042899"/>
    <w:rsid w:val="400981BD"/>
    <w:rsid w:val="400A2485"/>
    <w:rsid w:val="4010B3BA"/>
    <w:rsid w:val="40217092"/>
    <w:rsid w:val="4025790B"/>
    <w:rsid w:val="402C80B8"/>
    <w:rsid w:val="402F0B7B"/>
    <w:rsid w:val="4045F795"/>
    <w:rsid w:val="40487065"/>
    <w:rsid w:val="4055B9C5"/>
    <w:rsid w:val="405A444B"/>
    <w:rsid w:val="40800C13"/>
    <w:rsid w:val="408807AF"/>
    <w:rsid w:val="408AD0C7"/>
    <w:rsid w:val="408C76C3"/>
    <w:rsid w:val="40A1CBE4"/>
    <w:rsid w:val="40AA9451"/>
    <w:rsid w:val="40AC6E5E"/>
    <w:rsid w:val="40AED5EF"/>
    <w:rsid w:val="40AFDA96"/>
    <w:rsid w:val="40B9EE21"/>
    <w:rsid w:val="40C0945B"/>
    <w:rsid w:val="40C75AC6"/>
    <w:rsid w:val="40C778D3"/>
    <w:rsid w:val="40CB5454"/>
    <w:rsid w:val="40CF78B7"/>
    <w:rsid w:val="40D976B1"/>
    <w:rsid w:val="40E73171"/>
    <w:rsid w:val="40FF2E7C"/>
    <w:rsid w:val="410225E7"/>
    <w:rsid w:val="41158E6E"/>
    <w:rsid w:val="4118516F"/>
    <w:rsid w:val="4129BC85"/>
    <w:rsid w:val="412CA4DE"/>
    <w:rsid w:val="4135ED63"/>
    <w:rsid w:val="414C2163"/>
    <w:rsid w:val="4150EF74"/>
    <w:rsid w:val="415314A0"/>
    <w:rsid w:val="41659B10"/>
    <w:rsid w:val="417D836F"/>
    <w:rsid w:val="41811C6F"/>
    <w:rsid w:val="4191BA06"/>
    <w:rsid w:val="419E100C"/>
    <w:rsid w:val="419F0E79"/>
    <w:rsid w:val="41A31A30"/>
    <w:rsid w:val="41B40338"/>
    <w:rsid w:val="41B6D4D8"/>
    <w:rsid w:val="41BEB5E2"/>
    <w:rsid w:val="41C2C76C"/>
    <w:rsid w:val="41C37B82"/>
    <w:rsid w:val="41C397A1"/>
    <w:rsid w:val="41C49FE8"/>
    <w:rsid w:val="41C5944B"/>
    <w:rsid w:val="41CE2E87"/>
    <w:rsid w:val="42143EEB"/>
    <w:rsid w:val="42329F83"/>
    <w:rsid w:val="4242FF25"/>
    <w:rsid w:val="424D9BD2"/>
    <w:rsid w:val="4250DC7F"/>
    <w:rsid w:val="425C2782"/>
    <w:rsid w:val="42641C9D"/>
    <w:rsid w:val="4266AC4E"/>
    <w:rsid w:val="42698B2A"/>
    <w:rsid w:val="42799762"/>
    <w:rsid w:val="427C05DB"/>
    <w:rsid w:val="427E21D8"/>
    <w:rsid w:val="42800CC4"/>
    <w:rsid w:val="4280F9CF"/>
    <w:rsid w:val="4288F95D"/>
    <w:rsid w:val="4289BD2C"/>
    <w:rsid w:val="42965D0E"/>
    <w:rsid w:val="429CD3B7"/>
    <w:rsid w:val="42A8117E"/>
    <w:rsid w:val="42B5B0F8"/>
    <w:rsid w:val="42C62933"/>
    <w:rsid w:val="42CA9D96"/>
    <w:rsid w:val="42D6DCDB"/>
    <w:rsid w:val="42E8128E"/>
    <w:rsid w:val="42F6B3EA"/>
    <w:rsid w:val="42FE4097"/>
    <w:rsid w:val="4306303F"/>
    <w:rsid w:val="43108812"/>
    <w:rsid w:val="43125BE9"/>
    <w:rsid w:val="431F7CF6"/>
    <w:rsid w:val="4334E8F2"/>
    <w:rsid w:val="433AAAA0"/>
    <w:rsid w:val="433E6943"/>
    <w:rsid w:val="433E9368"/>
    <w:rsid w:val="434F35D5"/>
    <w:rsid w:val="4355DE0C"/>
    <w:rsid w:val="4361B6EA"/>
    <w:rsid w:val="436D626D"/>
    <w:rsid w:val="439A7B73"/>
    <w:rsid w:val="43AC4C00"/>
    <w:rsid w:val="43BED86F"/>
    <w:rsid w:val="43C6B880"/>
    <w:rsid w:val="43F3AF98"/>
    <w:rsid w:val="43F6656C"/>
    <w:rsid w:val="44026E32"/>
    <w:rsid w:val="4403B85D"/>
    <w:rsid w:val="441154B7"/>
    <w:rsid w:val="4412EC5E"/>
    <w:rsid w:val="44327CFA"/>
    <w:rsid w:val="4437DBC5"/>
    <w:rsid w:val="443BB577"/>
    <w:rsid w:val="44438A15"/>
    <w:rsid w:val="444CAC0E"/>
    <w:rsid w:val="4452EF06"/>
    <w:rsid w:val="445DDCC5"/>
    <w:rsid w:val="446EAA2A"/>
    <w:rsid w:val="446F784D"/>
    <w:rsid w:val="4483D646"/>
    <w:rsid w:val="448C6513"/>
    <w:rsid w:val="4498342B"/>
    <w:rsid w:val="449E7C1A"/>
    <w:rsid w:val="44A7AC7C"/>
    <w:rsid w:val="44A99C6A"/>
    <w:rsid w:val="44B9730E"/>
    <w:rsid w:val="44C5A420"/>
    <w:rsid w:val="44D486DD"/>
    <w:rsid w:val="44E98D89"/>
    <w:rsid w:val="45021062"/>
    <w:rsid w:val="451020F2"/>
    <w:rsid w:val="451515A0"/>
    <w:rsid w:val="451FF868"/>
    <w:rsid w:val="4524FE12"/>
    <w:rsid w:val="452BE642"/>
    <w:rsid w:val="453DC398"/>
    <w:rsid w:val="45441C0E"/>
    <w:rsid w:val="4563E0CE"/>
    <w:rsid w:val="456E2E54"/>
    <w:rsid w:val="4580D683"/>
    <w:rsid w:val="4586A7CB"/>
    <w:rsid w:val="458B9E7D"/>
    <w:rsid w:val="45995B25"/>
    <w:rsid w:val="45A819DE"/>
    <w:rsid w:val="45B1FF0E"/>
    <w:rsid w:val="45B62861"/>
    <w:rsid w:val="45BA1C79"/>
    <w:rsid w:val="45C73E42"/>
    <w:rsid w:val="45D53263"/>
    <w:rsid w:val="45DF1827"/>
    <w:rsid w:val="45F67A10"/>
    <w:rsid w:val="45FF37DB"/>
    <w:rsid w:val="46045AF4"/>
    <w:rsid w:val="460819C7"/>
    <w:rsid w:val="4615B796"/>
    <w:rsid w:val="461D2A0E"/>
    <w:rsid w:val="462E6ECC"/>
    <w:rsid w:val="46360956"/>
    <w:rsid w:val="46409406"/>
    <w:rsid w:val="46466834"/>
    <w:rsid w:val="4652E341"/>
    <w:rsid w:val="46540694"/>
    <w:rsid w:val="466261B7"/>
    <w:rsid w:val="467847B9"/>
    <w:rsid w:val="46874B3E"/>
    <w:rsid w:val="468C826A"/>
    <w:rsid w:val="46957BA6"/>
    <w:rsid w:val="469D26C4"/>
    <w:rsid w:val="46A192DE"/>
    <w:rsid w:val="46B084F1"/>
    <w:rsid w:val="46C26D15"/>
    <w:rsid w:val="46CEDC97"/>
    <w:rsid w:val="46DC767A"/>
    <w:rsid w:val="46EFBCA9"/>
    <w:rsid w:val="46F0125E"/>
    <w:rsid w:val="46F50A63"/>
    <w:rsid w:val="46F9BEFF"/>
    <w:rsid w:val="4705F15B"/>
    <w:rsid w:val="471D41D8"/>
    <w:rsid w:val="4720D1ED"/>
    <w:rsid w:val="4722F310"/>
    <w:rsid w:val="472EBCD7"/>
    <w:rsid w:val="4732CBA8"/>
    <w:rsid w:val="4738A72C"/>
    <w:rsid w:val="473C56EC"/>
    <w:rsid w:val="473E4834"/>
    <w:rsid w:val="4746791E"/>
    <w:rsid w:val="4746E0D2"/>
    <w:rsid w:val="474D47C4"/>
    <w:rsid w:val="47556B80"/>
    <w:rsid w:val="475FAB6E"/>
    <w:rsid w:val="477F0EE6"/>
    <w:rsid w:val="47837AEE"/>
    <w:rsid w:val="4789E64B"/>
    <w:rsid w:val="4797CA17"/>
    <w:rsid w:val="47AB74F0"/>
    <w:rsid w:val="47B29BF6"/>
    <w:rsid w:val="47B31EF9"/>
    <w:rsid w:val="47BDBFCC"/>
    <w:rsid w:val="47C28B8D"/>
    <w:rsid w:val="47C408E3"/>
    <w:rsid w:val="47C62715"/>
    <w:rsid w:val="47D3BA7D"/>
    <w:rsid w:val="480D0126"/>
    <w:rsid w:val="48225948"/>
    <w:rsid w:val="483354F7"/>
    <w:rsid w:val="48387E82"/>
    <w:rsid w:val="4838D5B6"/>
    <w:rsid w:val="48435ACD"/>
    <w:rsid w:val="4852FE16"/>
    <w:rsid w:val="4856FB7A"/>
    <w:rsid w:val="48666039"/>
    <w:rsid w:val="48856AEB"/>
    <w:rsid w:val="4893C7D6"/>
    <w:rsid w:val="489AE575"/>
    <w:rsid w:val="48A764A7"/>
    <w:rsid w:val="48A79C45"/>
    <w:rsid w:val="48A91DA7"/>
    <w:rsid w:val="48BE3FDE"/>
    <w:rsid w:val="48BF2B43"/>
    <w:rsid w:val="48C1AC09"/>
    <w:rsid w:val="48D61425"/>
    <w:rsid w:val="48EA9DB8"/>
    <w:rsid w:val="48EE5A52"/>
    <w:rsid w:val="48F44D08"/>
    <w:rsid w:val="48F4EB2E"/>
    <w:rsid w:val="48FF01CB"/>
    <w:rsid w:val="4913E5B7"/>
    <w:rsid w:val="492E9ACD"/>
    <w:rsid w:val="49365DAF"/>
    <w:rsid w:val="493C6CBC"/>
    <w:rsid w:val="493F9DCC"/>
    <w:rsid w:val="494307DD"/>
    <w:rsid w:val="49436FB5"/>
    <w:rsid w:val="494CAB74"/>
    <w:rsid w:val="495048C6"/>
    <w:rsid w:val="4954D568"/>
    <w:rsid w:val="49610CAD"/>
    <w:rsid w:val="49808E82"/>
    <w:rsid w:val="49850F4F"/>
    <w:rsid w:val="4988045D"/>
    <w:rsid w:val="4994A6C9"/>
    <w:rsid w:val="499B5C81"/>
    <w:rsid w:val="499D08A1"/>
    <w:rsid w:val="499F0410"/>
    <w:rsid w:val="49B72CEE"/>
    <w:rsid w:val="49BC2EB5"/>
    <w:rsid w:val="49C37EBE"/>
    <w:rsid w:val="49CC8FA1"/>
    <w:rsid w:val="49D11D1D"/>
    <w:rsid w:val="49DB8FDA"/>
    <w:rsid w:val="49E6BB88"/>
    <w:rsid w:val="49F23B64"/>
    <w:rsid w:val="49FEDC0F"/>
    <w:rsid w:val="49FFBA79"/>
    <w:rsid w:val="4A0F78F0"/>
    <w:rsid w:val="4A101613"/>
    <w:rsid w:val="4A1D260A"/>
    <w:rsid w:val="4A297AFB"/>
    <w:rsid w:val="4A321168"/>
    <w:rsid w:val="4A394B2A"/>
    <w:rsid w:val="4A39FA46"/>
    <w:rsid w:val="4A3B1FAA"/>
    <w:rsid w:val="4A3E68A0"/>
    <w:rsid w:val="4A3ED345"/>
    <w:rsid w:val="4A432016"/>
    <w:rsid w:val="4A523F76"/>
    <w:rsid w:val="4A531FD3"/>
    <w:rsid w:val="4A55B835"/>
    <w:rsid w:val="4A5CEEFC"/>
    <w:rsid w:val="4A5FB6A4"/>
    <w:rsid w:val="4A65F48F"/>
    <w:rsid w:val="4A793096"/>
    <w:rsid w:val="4A7F9536"/>
    <w:rsid w:val="4A83D0C4"/>
    <w:rsid w:val="4A998034"/>
    <w:rsid w:val="4AB30F3D"/>
    <w:rsid w:val="4AC544B7"/>
    <w:rsid w:val="4AC86184"/>
    <w:rsid w:val="4ACF6AD9"/>
    <w:rsid w:val="4ADCD5CD"/>
    <w:rsid w:val="4ADDFE99"/>
    <w:rsid w:val="4AF559E2"/>
    <w:rsid w:val="4AF5A87B"/>
    <w:rsid w:val="4AFBA9A5"/>
    <w:rsid w:val="4AFCDD0E"/>
    <w:rsid w:val="4B2259C9"/>
    <w:rsid w:val="4B5FE6CB"/>
    <w:rsid w:val="4B67EC77"/>
    <w:rsid w:val="4B687AD3"/>
    <w:rsid w:val="4B6C95D1"/>
    <w:rsid w:val="4B98270F"/>
    <w:rsid w:val="4BA521E2"/>
    <w:rsid w:val="4BA910C6"/>
    <w:rsid w:val="4BA95D9C"/>
    <w:rsid w:val="4BB936BF"/>
    <w:rsid w:val="4BBDDC53"/>
    <w:rsid w:val="4BD28B09"/>
    <w:rsid w:val="4BD4B2A0"/>
    <w:rsid w:val="4BEFEC7F"/>
    <w:rsid w:val="4BF59BDC"/>
    <w:rsid w:val="4C051C8B"/>
    <w:rsid w:val="4C14F213"/>
    <w:rsid w:val="4C1E8CA0"/>
    <w:rsid w:val="4C22905E"/>
    <w:rsid w:val="4C2DC9CE"/>
    <w:rsid w:val="4C2E8479"/>
    <w:rsid w:val="4C351FF8"/>
    <w:rsid w:val="4C3A67B1"/>
    <w:rsid w:val="4C3CBFF3"/>
    <w:rsid w:val="4C41075C"/>
    <w:rsid w:val="4C59CF16"/>
    <w:rsid w:val="4C5F2CD0"/>
    <w:rsid w:val="4C6DC584"/>
    <w:rsid w:val="4C6EBD9C"/>
    <w:rsid w:val="4C812411"/>
    <w:rsid w:val="4C85B116"/>
    <w:rsid w:val="4C8BCE76"/>
    <w:rsid w:val="4C982D9A"/>
    <w:rsid w:val="4CA7D521"/>
    <w:rsid w:val="4CAB4F20"/>
    <w:rsid w:val="4CB78C3E"/>
    <w:rsid w:val="4CC14661"/>
    <w:rsid w:val="4CC7D6F0"/>
    <w:rsid w:val="4CCE65ED"/>
    <w:rsid w:val="4CDD5E03"/>
    <w:rsid w:val="4CECEFBA"/>
    <w:rsid w:val="4CEDBE25"/>
    <w:rsid w:val="4CF6DB70"/>
    <w:rsid w:val="4CF9ED81"/>
    <w:rsid w:val="4CFF1D4F"/>
    <w:rsid w:val="4D09C475"/>
    <w:rsid w:val="4D0C8170"/>
    <w:rsid w:val="4D18D609"/>
    <w:rsid w:val="4D2C7C26"/>
    <w:rsid w:val="4D47FA29"/>
    <w:rsid w:val="4D55C854"/>
    <w:rsid w:val="4D58BB0B"/>
    <w:rsid w:val="4D5931C8"/>
    <w:rsid w:val="4D6032CF"/>
    <w:rsid w:val="4D69C7B6"/>
    <w:rsid w:val="4D7625D8"/>
    <w:rsid w:val="4D7FF52F"/>
    <w:rsid w:val="4D9B170A"/>
    <w:rsid w:val="4DA3AA37"/>
    <w:rsid w:val="4DAAFB5A"/>
    <w:rsid w:val="4DB1DE79"/>
    <w:rsid w:val="4DB4F197"/>
    <w:rsid w:val="4DBEE7A2"/>
    <w:rsid w:val="4DBF47C6"/>
    <w:rsid w:val="4DEAC425"/>
    <w:rsid w:val="4DF49F8F"/>
    <w:rsid w:val="4DF6780A"/>
    <w:rsid w:val="4DF8DBEE"/>
    <w:rsid w:val="4DFAAD1D"/>
    <w:rsid w:val="4E04DE47"/>
    <w:rsid w:val="4E0B0F34"/>
    <w:rsid w:val="4E10F28F"/>
    <w:rsid w:val="4E1327CB"/>
    <w:rsid w:val="4E28D041"/>
    <w:rsid w:val="4E3A8972"/>
    <w:rsid w:val="4E44C349"/>
    <w:rsid w:val="4E53E38A"/>
    <w:rsid w:val="4E555428"/>
    <w:rsid w:val="4E59FE1F"/>
    <w:rsid w:val="4E5E23D8"/>
    <w:rsid w:val="4E5F55E2"/>
    <w:rsid w:val="4E69D8A4"/>
    <w:rsid w:val="4E6D739C"/>
    <w:rsid w:val="4E729D09"/>
    <w:rsid w:val="4E744CD1"/>
    <w:rsid w:val="4E7F4BF9"/>
    <w:rsid w:val="4E887100"/>
    <w:rsid w:val="4EABC181"/>
    <w:rsid w:val="4EACC77D"/>
    <w:rsid w:val="4EAE3DE6"/>
    <w:rsid w:val="4EB2E70D"/>
    <w:rsid w:val="4EB8F204"/>
    <w:rsid w:val="4EBD7135"/>
    <w:rsid w:val="4ECB9775"/>
    <w:rsid w:val="4EDBFA87"/>
    <w:rsid w:val="4EE7E8BF"/>
    <w:rsid w:val="4F03BE65"/>
    <w:rsid w:val="4F22FFAC"/>
    <w:rsid w:val="4F2A0DE9"/>
    <w:rsid w:val="4F2D7578"/>
    <w:rsid w:val="4F34FB9D"/>
    <w:rsid w:val="4F7B43D4"/>
    <w:rsid w:val="4F83B1C5"/>
    <w:rsid w:val="4F8F541D"/>
    <w:rsid w:val="4F992C47"/>
    <w:rsid w:val="4F9A631A"/>
    <w:rsid w:val="4FAA5905"/>
    <w:rsid w:val="4FABE4F7"/>
    <w:rsid w:val="4FADDB0E"/>
    <w:rsid w:val="4FB8C3D7"/>
    <w:rsid w:val="4FBEEF0F"/>
    <w:rsid w:val="4FE6C385"/>
    <w:rsid w:val="4FE725EB"/>
    <w:rsid w:val="4FE84992"/>
    <w:rsid w:val="4FE960A6"/>
    <w:rsid w:val="4FF1ABE6"/>
    <w:rsid w:val="4FF580EE"/>
    <w:rsid w:val="4FF94729"/>
    <w:rsid w:val="4FF94879"/>
    <w:rsid w:val="50102A29"/>
    <w:rsid w:val="503124E9"/>
    <w:rsid w:val="50316D04"/>
    <w:rsid w:val="5031F4C7"/>
    <w:rsid w:val="5037EB41"/>
    <w:rsid w:val="503FDCCB"/>
    <w:rsid w:val="5061CF57"/>
    <w:rsid w:val="50624C6D"/>
    <w:rsid w:val="50680B91"/>
    <w:rsid w:val="50704C48"/>
    <w:rsid w:val="50778128"/>
    <w:rsid w:val="507C27DC"/>
    <w:rsid w:val="50824D23"/>
    <w:rsid w:val="50941B20"/>
    <w:rsid w:val="5096DD9A"/>
    <w:rsid w:val="50983EBF"/>
    <w:rsid w:val="509BD2D5"/>
    <w:rsid w:val="509E7503"/>
    <w:rsid w:val="50A1B5EB"/>
    <w:rsid w:val="50A2D4CF"/>
    <w:rsid w:val="50A74E6A"/>
    <w:rsid w:val="50A9DE1D"/>
    <w:rsid w:val="50AB4308"/>
    <w:rsid w:val="50B2912B"/>
    <w:rsid w:val="50B293FF"/>
    <w:rsid w:val="50C76667"/>
    <w:rsid w:val="50CDB841"/>
    <w:rsid w:val="50CEF8D7"/>
    <w:rsid w:val="50D30157"/>
    <w:rsid w:val="50E16832"/>
    <w:rsid w:val="50E83160"/>
    <w:rsid w:val="50E8F8AC"/>
    <w:rsid w:val="50ECDC05"/>
    <w:rsid w:val="50EEAA4B"/>
    <w:rsid w:val="50EFD7BF"/>
    <w:rsid w:val="50F838CF"/>
    <w:rsid w:val="50FFDA47"/>
    <w:rsid w:val="51199308"/>
    <w:rsid w:val="511F3710"/>
    <w:rsid w:val="51223F25"/>
    <w:rsid w:val="5128524D"/>
    <w:rsid w:val="512CA2CC"/>
    <w:rsid w:val="515AED4C"/>
    <w:rsid w:val="5163BB0F"/>
    <w:rsid w:val="5171F38E"/>
    <w:rsid w:val="517341CF"/>
    <w:rsid w:val="51A1F4CA"/>
    <w:rsid w:val="51AC5FA2"/>
    <w:rsid w:val="51C02299"/>
    <w:rsid w:val="51C13952"/>
    <w:rsid w:val="51CDE64A"/>
    <w:rsid w:val="51D82577"/>
    <w:rsid w:val="51D911E2"/>
    <w:rsid w:val="51DC4785"/>
    <w:rsid w:val="51E2750B"/>
    <w:rsid w:val="51F33447"/>
    <w:rsid w:val="51F434B2"/>
    <w:rsid w:val="51F76258"/>
    <w:rsid w:val="51F81A4B"/>
    <w:rsid w:val="51FC6A4A"/>
    <w:rsid w:val="51FEE677"/>
    <w:rsid w:val="5208241F"/>
    <w:rsid w:val="520B7BED"/>
    <w:rsid w:val="521A4B97"/>
    <w:rsid w:val="5221F457"/>
    <w:rsid w:val="52363123"/>
    <w:rsid w:val="52378DFD"/>
    <w:rsid w:val="523D0788"/>
    <w:rsid w:val="523FC6E1"/>
    <w:rsid w:val="52835DEA"/>
    <w:rsid w:val="528A1D4C"/>
    <w:rsid w:val="5290E0CE"/>
    <w:rsid w:val="5292349E"/>
    <w:rsid w:val="52B62947"/>
    <w:rsid w:val="52B741A0"/>
    <w:rsid w:val="52BC7075"/>
    <w:rsid w:val="52BE59A2"/>
    <w:rsid w:val="52CE8E7D"/>
    <w:rsid w:val="52CEC170"/>
    <w:rsid w:val="52E154F2"/>
    <w:rsid w:val="52E2F2DB"/>
    <w:rsid w:val="52F0A5B4"/>
    <w:rsid w:val="52F21DD3"/>
    <w:rsid w:val="52FCC0C3"/>
    <w:rsid w:val="53072A11"/>
    <w:rsid w:val="53124BB4"/>
    <w:rsid w:val="5327BC62"/>
    <w:rsid w:val="532EC726"/>
    <w:rsid w:val="532F476E"/>
    <w:rsid w:val="5344089C"/>
    <w:rsid w:val="535808E0"/>
    <w:rsid w:val="535A498A"/>
    <w:rsid w:val="535B648C"/>
    <w:rsid w:val="536CEBAA"/>
    <w:rsid w:val="53771FBB"/>
    <w:rsid w:val="538A0106"/>
    <w:rsid w:val="538AD135"/>
    <w:rsid w:val="538FA952"/>
    <w:rsid w:val="53A30D7C"/>
    <w:rsid w:val="53BA3A9F"/>
    <w:rsid w:val="53C96B8C"/>
    <w:rsid w:val="53EC3211"/>
    <w:rsid w:val="53ECACFC"/>
    <w:rsid w:val="53F59961"/>
    <w:rsid w:val="541CD19A"/>
    <w:rsid w:val="54202B30"/>
    <w:rsid w:val="542B4F97"/>
    <w:rsid w:val="54331B1F"/>
    <w:rsid w:val="5441BA24"/>
    <w:rsid w:val="5442B7D8"/>
    <w:rsid w:val="5443A896"/>
    <w:rsid w:val="5461A0E8"/>
    <w:rsid w:val="54639A21"/>
    <w:rsid w:val="5478CDC4"/>
    <w:rsid w:val="547C3825"/>
    <w:rsid w:val="5482BA86"/>
    <w:rsid w:val="548344E9"/>
    <w:rsid w:val="54920D85"/>
    <w:rsid w:val="54934DCB"/>
    <w:rsid w:val="54AA416C"/>
    <w:rsid w:val="54AF12D3"/>
    <w:rsid w:val="54B11513"/>
    <w:rsid w:val="54BB5F60"/>
    <w:rsid w:val="54BD4B0A"/>
    <w:rsid w:val="54BEF538"/>
    <w:rsid w:val="54D3E562"/>
    <w:rsid w:val="54D51A95"/>
    <w:rsid w:val="54D53ED8"/>
    <w:rsid w:val="54D6EF58"/>
    <w:rsid w:val="54D73511"/>
    <w:rsid w:val="54DEF106"/>
    <w:rsid w:val="54EC258B"/>
    <w:rsid w:val="54F084AC"/>
    <w:rsid w:val="54F4B467"/>
    <w:rsid w:val="550B1910"/>
    <w:rsid w:val="550BDF1F"/>
    <w:rsid w:val="55262405"/>
    <w:rsid w:val="552A61BB"/>
    <w:rsid w:val="555363D6"/>
    <w:rsid w:val="555C162B"/>
    <w:rsid w:val="5571FD98"/>
    <w:rsid w:val="5578A3D2"/>
    <w:rsid w:val="5595890E"/>
    <w:rsid w:val="559C6B08"/>
    <w:rsid w:val="55A6FD77"/>
    <w:rsid w:val="55A7D21B"/>
    <w:rsid w:val="55B2331C"/>
    <w:rsid w:val="55BFF758"/>
    <w:rsid w:val="55C76F16"/>
    <w:rsid w:val="55DB16AC"/>
    <w:rsid w:val="55E00A9E"/>
    <w:rsid w:val="55E0C867"/>
    <w:rsid w:val="55E21630"/>
    <w:rsid w:val="55EEF27B"/>
    <w:rsid w:val="55FA9F87"/>
    <w:rsid w:val="55FE3514"/>
    <w:rsid w:val="56032928"/>
    <w:rsid w:val="5607A19C"/>
    <w:rsid w:val="560B80F5"/>
    <w:rsid w:val="5618600E"/>
    <w:rsid w:val="5629B50D"/>
    <w:rsid w:val="563F79CD"/>
    <w:rsid w:val="564CF818"/>
    <w:rsid w:val="5662E626"/>
    <w:rsid w:val="567DAE22"/>
    <w:rsid w:val="5686931C"/>
    <w:rsid w:val="568FE32A"/>
    <w:rsid w:val="5691D6C5"/>
    <w:rsid w:val="5691EA4C"/>
    <w:rsid w:val="56A02CFE"/>
    <w:rsid w:val="56A9EF4C"/>
    <w:rsid w:val="56AEB3E4"/>
    <w:rsid w:val="56B12A30"/>
    <w:rsid w:val="56B64F1F"/>
    <w:rsid w:val="56B687B8"/>
    <w:rsid w:val="56C71AD0"/>
    <w:rsid w:val="56C71FEA"/>
    <w:rsid w:val="56D6BC88"/>
    <w:rsid w:val="56D7F848"/>
    <w:rsid w:val="56D7FCA4"/>
    <w:rsid w:val="56EFF611"/>
    <w:rsid w:val="56F4A7B7"/>
    <w:rsid w:val="570838CD"/>
    <w:rsid w:val="570C4580"/>
    <w:rsid w:val="570DCDF9"/>
    <w:rsid w:val="5719592C"/>
    <w:rsid w:val="5719C997"/>
    <w:rsid w:val="57276C10"/>
    <w:rsid w:val="57346403"/>
    <w:rsid w:val="57516D7C"/>
    <w:rsid w:val="5774CF88"/>
    <w:rsid w:val="5776E70D"/>
    <w:rsid w:val="577AEF0B"/>
    <w:rsid w:val="577BFB35"/>
    <w:rsid w:val="577CF6D6"/>
    <w:rsid w:val="579A2EB8"/>
    <w:rsid w:val="57B3C6C0"/>
    <w:rsid w:val="57B6F1BD"/>
    <w:rsid w:val="57BA31B2"/>
    <w:rsid w:val="57C0FEF2"/>
    <w:rsid w:val="57C5BF03"/>
    <w:rsid w:val="57EF6085"/>
    <w:rsid w:val="57FA5553"/>
    <w:rsid w:val="57FF269C"/>
    <w:rsid w:val="57FF340E"/>
    <w:rsid w:val="5813695D"/>
    <w:rsid w:val="581B93AA"/>
    <w:rsid w:val="581C0AFF"/>
    <w:rsid w:val="582172C3"/>
    <w:rsid w:val="58290203"/>
    <w:rsid w:val="582CB0A5"/>
    <w:rsid w:val="583B973C"/>
    <w:rsid w:val="5842C638"/>
    <w:rsid w:val="58466C66"/>
    <w:rsid w:val="5846CE8E"/>
    <w:rsid w:val="585519FA"/>
    <w:rsid w:val="586154F6"/>
    <w:rsid w:val="586F90A6"/>
    <w:rsid w:val="58700C84"/>
    <w:rsid w:val="587EAF12"/>
    <w:rsid w:val="58907818"/>
    <w:rsid w:val="58974E55"/>
    <w:rsid w:val="589AC3F7"/>
    <w:rsid w:val="58AA9114"/>
    <w:rsid w:val="58AD274B"/>
    <w:rsid w:val="58B2FC27"/>
    <w:rsid w:val="58B6D059"/>
    <w:rsid w:val="58C63964"/>
    <w:rsid w:val="58C75F4F"/>
    <w:rsid w:val="58DDD3A2"/>
    <w:rsid w:val="58E916B6"/>
    <w:rsid w:val="5907D55E"/>
    <w:rsid w:val="590D56B4"/>
    <w:rsid w:val="5916FBF3"/>
    <w:rsid w:val="59271B0F"/>
    <w:rsid w:val="592C81BF"/>
    <w:rsid w:val="5934A2CC"/>
    <w:rsid w:val="59365CC1"/>
    <w:rsid w:val="5936BABE"/>
    <w:rsid w:val="594DD5C1"/>
    <w:rsid w:val="595ED3DC"/>
    <w:rsid w:val="599042EC"/>
    <w:rsid w:val="599C4C1F"/>
    <w:rsid w:val="599DA2A4"/>
    <w:rsid w:val="599EEC4E"/>
    <w:rsid w:val="59A445E3"/>
    <w:rsid w:val="59A7F7B5"/>
    <w:rsid w:val="59A9B724"/>
    <w:rsid w:val="59C58116"/>
    <w:rsid w:val="59CCEC11"/>
    <w:rsid w:val="59D40AEB"/>
    <w:rsid w:val="59F52E02"/>
    <w:rsid w:val="59FCA1C5"/>
    <w:rsid w:val="5A007C72"/>
    <w:rsid w:val="5A07B57E"/>
    <w:rsid w:val="5A306832"/>
    <w:rsid w:val="5A46081C"/>
    <w:rsid w:val="5A5F8589"/>
    <w:rsid w:val="5A6092A8"/>
    <w:rsid w:val="5A652B07"/>
    <w:rsid w:val="5A6D9869"/>
    <w:rsid w:val="5A6D9AB7"/>
    <w:rsid w:val="5A7865C2"/>
    <w:rsid w:val="5A86B697"/>
    <w:rsid w:val="5A94174C"/>
    <w:rsid w:val="5A94E8D6"/>
    <w:rsid w:val="5A96BA05"/>
    <w:rsid w:val="5A98B660"/>
    <w:rsid w:val="5AA1683A"/>
    <w:rsid w:val="5AB55292"/>
    <w:rsid w:val="5ACAF6F8"/>
    <w:rsid w:val="5AD618D8"/>
    <w:rsid w:val="5AD71362"/>
    <w:rsid w:val="5AE0C0F9"/>
    <w:rsid w:val="5AF8CCCC"/>
    <w:rsid w:val="5AFD5CA4"/>
    <w:rsid w:val="5AFF609A"/>
    <w:rsid w:val="5B18F525"/>
    <w:rsid w:val="5B1C1175"/>
    <w:rsid w:val="5B34E6F4"/>
    <w:rsid w:val="5B3E1180"/>
    <w:rsid w:val="5B534866"/>
    <w:rsid w:val="5B54AD5F"/>
    <w:rsid w:val="5B57610C"/>
    <w:rsid w:val="5B5E2220"/>
    <w:rsid w:val="5B664887"/>
    <w:rsid w:val="5B72F478"/>
    <w:rsid w:val="5B911180"/>
    <w:rsid w:val="5B92AA18"/>
    <w:rsid w:val="5BA781EE"/>
    <w:rsid w:val="5BA80D07"/>
    <w:rsid w:val="5BAEDBB5"/>
    <w:rsid w:val="5BAEEC60"/>
    <w:rsid w:val="5BB637C5"/>
    <w:rsid w:val="5BDA6AC2"/>
    <w:rsid w:val="5BDC4BB6"/>
    <w:rsid w:val="5BE2045A"/>
    <w:rsid w:val="5BEB1023"/>
    <w:rsid w:val="5BEDF862"/>
    <w:rsid w:val="5BEE8403"/>
    <w:rsid w:val="5BFB7B6F"/>
    <w:rsid w:val="5C059062"/>
    <w:rsid w:val="5C11BBC3"/>
    <w:rsid w:val="5C2B2AF9"/>
    <w:rsid w:val="5C2D5D60"/>
    <w:rsid w:val="5C33F776"/>
    <w:rsid w:val="5C3486C1"/>
    <w:rsid w:val="5C4146EE"/>
    <w:rsid w:val="5C4E1AB0"/>
    <w:rsid w:val="5C578113"/>
    <w:rsid w:val="5C642759"/>
    <w:rsid w:val="5C791365"/>
    <w:rsid w:val="5C82251A"/>
    <w:rsid w:val="5C87799C"/>
    <w:rsid w:val="5C92396A"/>
    <w:rsid w:val="5C93B909"/>
    <w:rsid w:val="5C96CD79"/>
    <w:rsid w:val="5C9AA212"/>
    <w:rsid w:val="5C9DFB09"/>
    <w:rsid w:val="5CA2A2CD"/>
    <w:rsid w:val="5CA71FFB"/>
    <w:rsid w:val="5CB3D4CB"/>
    <w:rsid w:val="5CB4771E"/>
    <w:rsid w:val="5CBF313D"/>
    <w:rsid w:val="5CC48DA2"/>
    <w:rsid w:val="5CDCE61F"/>
    <w:rsid w:val="5D011DE7"/>
    <w:rsid w:val="5D1DD101"/>
    <w:rsid w:val="5D1E0CED"/>
    <w:rsid w:val="5D1FB31D"/>
    <w:rsid w:val="5D2B5230"/>
    <w:rsid w:val="5D3B99BA"/>
    <w:rsid w:val="5D42C853"/>
    <w:rsid w:val="5D434CA6"/>
    <w:rsid w:val="5D52EEF7"/>
    <w:rsid w:val="5D5F9179"/>
    <w:rsid w:val="5D74003C"/>
    <w:rsid w:val="5D790027"/>
    <w:rsid w:val="5D7B46CC"/>
    <w:rsid w:val="5D8065E0"/>
    <w:rsid w:val="5D8AEE10"/>
    <w:rsid w:val="5D908785"/>
    <w:rsid w:val="5DBD28BC"/>
    <w:rsid w:val="5DC332E8"/>
    <w:rsid w:val="5DCA3702"/>
    <w:rsid w:val="5DCB1BE9"/>
    <w:rsid w:val="5DDAE39C"/>
    <w:rsid w:val="5DEB99C9"/>
    <w:rsid w:val="5DEFE7B1"/>
    <w:rsid w:val="5DF6DD32"/>
    <w:rsid w:val="5DF8FA69"/>
    <w:rsid w:val="5E0B76D8"/>
    <w:rsid w:val="5E1094B2"/>
    <w:rsid w:val="5E152A45"/>
    <w:rsid w:val="5E2EF6D7"/>
    <w:rsid w:val="5E3F6785"/>
    <w:rsid w:val="5E50E58B"/>
    <w:rsid w:val="5E541D22"/>
    <w:rsid w:val="5E5540CB"/>
    <w:rsid w:val="5E68D97C"/>
    <w:rsid w:val="5E86E6A1"/>
    <w:rsid w:val="5E967819"/>
    <w:rsid w:val="5EA0AF75"/>
    <w:rsid w:val="5EA13E3F"/>
    <w:rsid w:val="5EB9486B"/>
    <w:rsid w:val="5EC49E1C"/>
    <w:rsid w:val="5ECAB0D3"/>
    <w:rsid w:val="5ECD3378"/>
    <w:rsid w:val="5EDAB340"/>
    <w:rsid w:val="5EE6913F"/>
    <w:rsid w:val="5EEAEDF7"/>
    <w:rsid w:val="5EFEEC47"/>
    <w:rsid w:val="5F099AD1"/>
    <w:rsid w:val="5F167FB9"/>
    <w:rsid w:val="5F1EECCE"/>
    <w:rsid w:val="5F2DFBDF"/>
    <w:rsid w:val="5F363BD0"/>
    <w:rsid w:val="5F4B9C97"/>
    <w:rsid w:val="5F5858E0"/>
    <w:rsid w:val="5F5C3123"/>
    <w:rsid w:val="5F5E0D96"/>
    <w:rsid w:val="5F5FAE5C"/>
    <w:rsid w:val="5F6C2783"/>
    <w:rsid w:val="5F7C0C79"/>
    <w:rsid w:val="5F7D3F78"/>
    <w:rsid w:val="5F807188"/>
    <w:rsid w:val="5F82FF65"/>
    <w:rsid w:val="5F8980E4"/>
    <w:rsid w:val="5F8C1DB4"/>
    <w:rsid w:val="5F8C8CF3"/>
    <w:rsid w:val="5F8EA825"/>
    <w:rsid w:val="5F9B3055"/>
    <w:rsid w:val="5FC0E980"/>
    <w:rsid w:val="5FD830C6"/>
    <w:rsid w:val="5FD9A33E"/>
    <w:rsid w:val="5FDDC68B"/>
    <w:rsid w:val="5FE6EE3E"/>
    <w:rsid w:val="5FED5204"/>
    <w:rsid w:val="600D3E50"/>
    <w:rsid w:val="6010CD76"/>
    <w:rsid w:val="601C7B3A"/>
    <w:rsid w:val="6026F343"/>
    <w:rsid w:val="604897BF"/>
    <w:rsid w:val="604D0D91"/>
    <w:rsid w:val="605074E1"/>
    <w:rsid w:val="60655106"/>
    <w:rsid w:val="607AADF3"/>
    <w:rsid w:val="6095E0DB"/>
    <w:rsid w:val="6099A39B"/>
    <w:rsid w:val="60A9E291"/>
    <w:rsid w:val="60B776F7"/>
    <w:rsid w:val="60BA1FDD"/>
    <w:rsid w:val="60BAA013"/>
    <w:rsid w:val="60BD7205"/>
    <w:rsid w:val="60DA1F06"/>
    <w:rsid w:val="60DD06F3"/>
    <w:rsid w:val="60F2F272"/>
    <w:rsid w:val="60F5CAA1"/>
    <w:rsid w:val="610D7A0E"/>
    <w:rsid w:val="61103A26"/>
    <w:rsid w:val="61133026"/>
    <w:rsid w:val="611A56E6"/>
    <w:rsid w:val="6126967C"/>
    <w:rsid w:val="6137987C"/>
    <w:rsid w:val="6137EE68"/>
    <w:rsid w:val="6138CEDD"/>
    <w:rsid w:val="613DA2EC"/>
    <w:rsid w:val="6140ED83"/>
    <w:rsid w:val="6143C5DC"/>
    <w:rsid w:val="61450CE3"/>
    <w:rsid w:val="61572C23"/>
    <w:rsid w:val="615E1570"/>
    <w:rsid w:val="618FD854"/>
    <w:rsid w:val="61990D1C"/>
    <w:rsid w:val="619D1396"/>
    <w:rsid w:val="61A8892E"/>
    <w:rsid w:val="61AC3DB7"/>
    <w:rsid w:val="61BF1227"/>
    <w:rsid w:val="61BFD2B3"/>
    <w:rsid w:val="61CBD836"/>
    <w:rsid w:val="61CF5CDD"/>
    <w:rsid w:val="61CF5EEE"/>
    <w:rsid w:val="61D49CF3"/>
    <w:rsid w:val="61D8A899"/>
    <w:rsid w:val="61D9307A"/>
    <w:rsid w:val="61D936B2"/>
    <w:rsid w:val="61D9D4E8"/>
    <w:rsid w:val="61E97B62"/>
    <w:rsid w:val="61EAEA6F"/>
    <w:rsid w:val="61EE1BBA"/>
    <w:rsid w:val="61F134AC"/>
    <w:rsid w:val="620E4F73"/>
    <w:rsid w:val="6217152E"/>
    <w:rsid w:val="621DC0A7"/>
    <w:rsid w:val="6222848B"/>
    <w:rsid w:val="623A69CF"/>
    <w:rsid w:val="623FB681"/>
    <w:rsid w:val="624541A0"/>
    <w:rsid w:val="624F62CF"/>
    <w:rsid w:val="6250625D"/>
    <w:rsid w:val="625EBC10"/>
    <w:rsid w:val="6265B30D"/>
    <w:rsid w:val="629230D0"/>
    <w:rsid w:val="62A63563"/>
    <w:rsid w:val="62BB0AF3"/>
    <w:rsid w:val="62C8ECAD"/>
    <w:rsid w:val="62CAB97A"/>
    <w:rsid w:val="62CF24B4"/>
    <w:rsid w:val="62E0F28C"/>
    <w:rsid w:val="62E3694A"/>
    <w:rsid w:val="62F0D39C"/>
    <w:rsid w:val="62FF98AE"/>
    <w:rsid w:val="631244C2"/>
    <w:rsid w:val="63294A63"/>
    <w:rsid w:val="63303629"/>
    <w:rsid w:val="63411925"/>
    <w:rsid w:val="6343D359"/>
    <w:rsid w:val="634A842B"/>
    <w:rsid w:val="635089FD"/>
    <w:rsid w:val="6351B715"/>
    <w:rsid w:val="635FB06C"/>
    <w:rsid w:val="636B016D"/>
    <w:rsid w:val="63830301"/>
    <w:rsid w:val="6386A697"/>
    <w:rsid w:val="63896C33"/>
    <w:rsid w:val="639262B0"/>
    <w:rsid w:val="63964ECC"/>
    <w:rsid w:val="63B4A7D1"/>
    <w:rsid w:val="63B881A2"/>
    <w:rsid w:val="63BABC08"/>
    <w:rsid w:val="63C07FFB"/>
    <w:rsid w:val="63C36FF5"/>
    <w:rsid w:val="63C940DE"/>
    <w:rsid w:val="63CB50FA"/>
    <w:rsid w:val="63D0AE20"/>
    <w:rsid w:val="63D936B3"/>
    <w:rsid w:val="63E55E21"/>
    <w:rsid w:val="63F3300F"/>
    <w:rsid w:val="6403E353"/>
    <w:rsid w:val="6405E427"/>
    <w:rsid w:val="6407D46B"/>
    <w:rsid w:val="6408C4E3"/>
    <w:rsid w:val="64370FA4"/>
    <w:rsid w:val="64413C76"/>
    <w:rsid w:val="644AF7AE"/>
    <w:rsid w:val="644F81B3"/>
    <w:rsid w:val="645261E4"/>
    <w:rsid w:val="6471BD7A"/>
    <w:rsid w:val="647FF14A"/>
    <w:rsid w:val="648123D3"/>
    <w:rsid w:val="649E8FA3"/>
    <w:rsid w:val="64A33E4A"/>
    <w:rsid w:val="64A992E1"/>
    <w:rsid w:val="64B269A6"/>
    <w:rsid w:val="64C57BE1"/>
    <w:rsid w:val="64C77628"/>
    <w:rsid w:val="64CDBE24"/>
    <w:rsid w:val="64D1A2F9"/>
    <w:rsid w:val="64E79964"/>
    <w:rsid w:val="64ECC1E7"/>
    <w:rsid w:val="64FB16EE"/>
    <w:rsid w:val="6503A43C"/>
    <w:rsid w:val="6504A7E8"/>
    <w:rsid w:val="65054168"/>
    <w:rsid w:val="650C27A3"/>
    <w:rsid w:val="65171A99"/>
    <w:rsid w:val="6518A012"/>
    <w:rsid w:val="652442B5"/>
    <w:rsid w:val="652F5D73"/>
    <w:rsid w:val="653B812D"/>
    <w:rsid w:val="654071D8"/>
    <w:rsid w:val="654770E4"/>
    <w:rsid w:val="654796A6"/>
    <w:rsid w:val="654B820C"/>
    <w:rsid w:val="654EFBAC"/>
    <w:rsid w:val="654F5FA0"/>
    <w:rsid w:val="6550C377"/>
    <w:rsid w:val="656633A9"/>
    <w:rsid w:val="656D56E6"/>
    <w:rsid w:val="65720A91"/>
    <w:rsid w:val="657A3E16"/>
    <w:rsid w:val="657A5282"/>
    <w:rsid w:val="658DF7EC"/>
    <w:rsid w:val="658F015D"/>
    <w:rsid w:val="65A91B16"/>
    <w:rsid w:val="65AA17AB"/>
    <w:rsid w:val="65B4602E"/>
    <w:rsid w:val="65C1C6BD"/>
    <w:rsid w:val="65C96988"/>
    <w:rsid w:val="65D133D3"/>
    <w:rsid w:val="65E50A28"/>
    <w:rsid w:val="65EAF847"/>
    <w:rsid w:val="6600736D"/>
    <w:rsid w:val="6604FF0E"/>
    <w:rsid w:val="661F9ED1"/>
    <w:rsid w:val="662038BB"/>
    <w:rsid w:val="66220585"/>
    <w:rsid w:val="662757DE"/>
    <w:rsid w:val="664963C4"/>
    <w:rsid w:val="664EA174"/>
    <w:rsid w:val="66526EB8"/>
    <w:rsid w:val="66529E86"/>
    <w:rsid w:val="66701D5B"/>
    <w:rsid w:val="66835002"/>
    <w:rsid w:val="669A4C88"/>
    <w:rsid w:val="66A2A6A9"/>
    <w:rsid w:val="66C85564"/>
    <w:rsid w:val="66CC33F0"/>
    <w:rsid w:val="66D0A70C"/>
    <w:rsid w:val="66D1A253"/>
    <w:rsid w:val="66D5677F"/>
    <w:rsid w:val="66D59854"/>
    <w:rsid w:val="66EC8616"/>
    <w:rsid w:val="66F52B65"/>
    <w:rsid w:val="66F9027B"/>
    <w:rsid w:val="66F95BBE"/>
    <w:rsid w:val="66FCCD9B"/>
    <w:rsid w:val="66FE3DC4"/>
    <w:rsid w:val="6711A8D0"/>
    <w:rsid w:val="672EE5C8"/>
    <w:rsid w:val="6732D4DB"/>
    <w:rsid w:val="6734EE8E"/>
    <w:rsid w:val="674F7D2B"/>
    <w:rsid w:val="675E1067"/>
    <w:rsid w:val="676644BA"/>
    <w:rsid w:val="6789F65B"/>
    <w:rsid w:val="6797A89B"/>
    <w:rsid w:val="679E84CC"/>
    <w:rsid w:val="67A78622"/>
    <w:rsid w:val="67B82D47"/>
    <w:rsid w:val="67B94454"/>
    <w:rsid w:val="67C7D49D"/>
    <w:rsid w:val="67D907AA"/>
    <w:rsid w:val="67ECEA67"/>
    <w:rsid w:val="6820D0A8"/>
    <w:rsid w:val="6831FA39"/>
    <w:rsid w:val="68345B66"/>
    <w:rsid w:val="68353B06"/>
    <w:rsid w:val="683E770A"/>
    <w:rsid w:val="68401B2D"/>
    <w:rsid w:val="6857E21B"/>
    <w:rsid w:val="6861A292"/>
    <w:rsid w:val="6870AF22"/>
    <w:rsid w:val="6876204D"/>
    <w:rsid w:val="6883F770"/>
    <w:rsid w:val="688B17B4"/>
    <w:rsid w:val="688C4101"/>
    <w:rsid w:val="689F6C4C"/>
    <w:rsid w:val="68B52D87"/>
    <w:rsid w:val="68D3F614"/>
    <w:rsid w:val="68DB1DF1"/>
    <w:rsid w:val="68DE7352"/>
    <w:rsid w:val="68F01FE5"/>
    <w:rsid w:val="690335D9"/>
    <w:rsid w:val="690C283E"/>
    <w:rsid w:val="69278BEC"/>
    <w:rsid w:val="6927F233"/>
    <w:rsid w:val="692FE718"/>
    <w:rsid w:val="6935BE40"/>
    <w:rsid w:val="69406577"/>
    <w:rsid w:val="6947D653"/>
    <w:rsid w:val="694C2C71"/>
    <w:rsid w:val="696F7DC1"/>
    <w:rsid w:val="6971685A"/>
    <w:rsid w:val="6987DE84"/>
    <w:rsid w:val="6992B7D7"/>
    <w:rsid w:val="6996FB07"/>
    <w:rsid w:val="69A9CB57"/>
    <w:rsid w:val="69BE5936"/>
    <w:rsid w:val="69C295AE"/>
    <w:rsid w:val="69EC14FC"/>
    <w:rsid w:val="69FB9570"/>
    <w:rsid w:val="69FBDB3C"/>
    <w:rsid w:val="6A10752B"/>
    <w:rsid w:val="6A130C81"/>
    <w:rsid w:val="6A2DF105"/>
    <w:rsid w:val="6A4D1D70"/>
    <w:rsid w:val="6A4F7389"/>
    <w:rsid w:val="6A50BFB3"/>
    <w:rsid w:val="6A625063"/>
    <w:rsid w:val="6A628380"/>
    <w:rsid w:val="6A65D35F"/>
    <w:rsid w:val="6A69E3D6"/>
    <w:rsid w:val="6A707F39"/>
    <w:rsid w:val="6A760D31"/>
    <w:rsid w:val="6A8EA0AA"/>
    <w:rsid w:val="6A922A9E"/>
    <w:rsid w:val="6A97E022"/>
    <w:rsid w:val="6A98466E"/>
    <w:rsid w:val="6A9D846C"/>
    <w:rsid w:val="6AA09F8B"/>
    <w:rsid w:val="6AA8F08F"/>
    <w:rsid w:val="6AB39DE1"/>
    <w:rsid w:val="6AC3C294"/>
    <w:rsid w:val="6AC3EB15"/>
    <w:rsid w:val="6ACE9D8A"/>
    <w:rsid w:val="6AD094FC"/>
    <w:rsid w:val="6AF3FBEE"/>
    <w:rsid w:val="6AF4E8C7"/>
    <w:rsid w:val="6B0D689F"/>
    <w:rsid w:val="6B29FA4F"/>
    <w:rsid w:val="6B2E3F95"/>
    <w:rsid w:val="6B3451E3"/>
    <w:rsid w:val="6B4228B9"/>
    <w:rsid w:val="6B4BA67D"/>
    <w:rsid w:val="6B4C2B0A"/>
    <w:rsid w:val="6B65652D"/>
    <w:rsid w:val="6B6FA017"/>
    <w:rsid w:val="6B8ACFF0"/>
    <w:rsid w:val="6B8D1921"/>
    <w:rsid w:val="6B93C318"/>
    <w:rsid w:val="6B98B33C"/>
    <w:rsid w:val="6B9C19BC"/>
    <w:rsid w:val="6BA24311"/>
    <w:rsid w:val="6BA33D60"/>
    <w:rsid w:val="6BB2585C"/>
    <w:rsid w:val="6BB8BAA8"/>
    <w:rsid w:val="6BC81B05"/>
    <w:rsid w:val="6BCA2009"/>
    <w:rsid w:val="6BE5662D"/>
    <w:rsid w:val="6BE59CC3"/>
    <w:rsid w:val="6BF0B926"/>
    <w:rsid w:val="6BF255DF"/>
    <w:rsid w:val="6C0EC82A"/>
    <w:rsid w:val="6C164A7C"/>
    <w:rsid w:val="6C21BF43"/>
    <w:rsid w:val="6C220288"/>
    <w:rsid w:val="6C2AB059"/>
    <w:rsid w:val="6C347082"/>
    <w:rsid w:val="6C43FABB"/>
    <w:rsid w:val="6C5C8D13"/>
    <w:rsid w:val="6C63425B"/>
    <w:rsid w:val="6C6B53CB"/>
    <w:rsid w:val="6C86BDE4"/>
    <w:rsid w:val="6C8F5126"/>
    <w:rsid w:val="6CA5E9D6"/>
    <w:rsid w:val="6CAB3164"/>
    <w:rsid w:val="6CAD1045"/>
    <w:rsid w:val="6CC51E85"/>
    <w:rsid w:val="6CCBD59A"/>
    <w:rsid w:val="6CD3A22C"/>
    <w:rsid w:val="6CFA332D"/>
    <w:rsid w:val="6D008C21"/>
    <w:rsid w:val="6D0846D6"/>
    <w:rsid w:val="6D210440"/>
    <w:rsid w:val="6D221B52"/>
    <w:rsid w:val="6D2C6C50"/>
    <w:rsid w:val="6D34839D"/>
    <w:rsid w:val="6D35230C"/>
    <w:rsid w:val="6D3CAD91"/>
    <w:rsid w:val="6D53F9E4"/>
    <w:rsid w:val="6D59F43C"/>
    <w:rsid w:val="6D5B7345"/>
    <w:rsid w:val="6D65F62B"/>
    <w:rsid w:val="6D9F79B1"/>
    <w:rsid w:val="6DA0075A"/>
    <w:rsid w:val="6DAE1A3A"/>
    <w:rsid w:val="6DB2422D"/>
    <w:rsid w:val="6DB306B3"/>
    <w:rsid w:val="6DBEBBC1"/>
    <w:rsid w:val="6DBF7E80"/>
    <w:rsid w:val="6DCA4C99"/>
    <w:rsid w:val="6DCEC68F"/>
    <w:rsid w:val="6DD13756"/>
    <w:rsid w:val="6DD4E60C"/>
    <w:rsid w:val="6DD7A5BC"/>
    <w:rsid w:val="6DDD961C"/>
    <w:rsid w:val="6DE54F04"/>
    <w:rsid w:val="6DF7D96D"/>
    <w:rsid w:val="6DFD1AC9"/>
    <w:rsid w:val="6E024832"/>
    <w:rsid w:val="6E1107A3"/>
    <w:rsid w:val="6E1436BF"/>
    <w:rsid w:val="6E1C6174"/>
    <w:rsid w:val="6E1ED9C9"/>
    <w:rsid w:val="6E21B9E9"/>
    <w:rsid w:val="6E27818C"/>
    <w:rsid w:val="6E3EF4C9"/>
    <w:rsid w:val="6E4D9872"/>
    <w:rsid w:val="6E5CAD7B"/>
    <w:rsid w:val="6E5DF187"/>
    <w:rsid w:val="6E72E080"/>
    <w:rsid w:val="6E99E5F6"/>
    <w:rsid w:val="6EA0B541"/>
    <w:rsid w:val="6EA9416A"/>
    <w:rsid w:val="6EAD4B22"/>
    <w:rsid w:val="6EB8C123"/>
    <w:rsid w:val="6EC52569"/>
    <w:rsid w:val="6EDA142D"/>
    <w:rsid w:val="6EEA42C5"/>
    <w:rsid w:val="6EEC8C39"/>
    <w:rsid w:val="6EFB7B81"/>
    <w:rsid w:val="6F0CC3ED"/>
    <w:rsid w:val="6F102F30"/>
    <w:rsid w:val="6F16FF14"/>
    <w:rsid w:val="6F20DA5D"/>
    <w:rsid w:val="6F232BEA"/>
    <w:rsid w:val="6F36BB1D"/>
    <w:rsid w:val="6F408E4D"/>
    <w:rsid w:val="6F4ADDE7"/>
    <w:rsid w:val="6F4B7694"/>
    <w:rsid w:val="6F4E1DDE"/>
    <w:rsid w:val="6F54BA43"/>
    <w:rsid w:val="6F5761F6"/>
    <w:rsid w:val="6F77CB5F"/>
    <w:rsid w:val="6F78D05B"/>
    <w:rsid w:val="6F7E7B66"/>
    <w:rsid w:val="6F82C3BF"/>
    <w:rsid w:val="6FA350A5"/>
    <w:rsid w:val="6FA8A9B1"/>
    <w:rsid w:val="6FBD5384"/>
    <w:rsid w:val="6FC0F886"/>
    <w:rsid w:val="6FF07468"/>
    <w:rsid w:val="6FFA5960"/>
    <w:rsid w:val="6FFDCE57"/>
    <w:rsid w:val="7007A600"/>
    <w:rsid w:val="70092E04"/>
    <w:rsid w:val="700A3A5C"/>
    <w:rsid w:val="7013E225"/>
    <w:rsid w:val="702CB24F"/>
    <w:rsid w:val="70321FDB"/>
    <w:rsid w:val="70354284"/>
    <w:rsid w:val="7040EED5"/>
    <w:rsid w:val="70413E09"/>
    <w:rsid w:val="704EEC1F"/>
    <w:rsid w:val="704F314B"/>
    <w:rsid w:val="70563CF7"/>
    <w:rsid w:val="705C6BF6"/>
    <w:rsid w:val="705D0674"/>
    <w:rsid w:val="705F3B1C"/>
    <w:rsid w:val="7085892A"/>
    <w:rsid w:val="708784B3"/>
    <w:rsid w:val="708CB368"/>
    <w:rsid w:val="709BB01E"/>
    <w:rsid w:val="70AAC654"/>
    <w:rsid w:val="70AF4B87"/>
    <w:rsid w:val="70BEE181"/>
    <w:rsid w:val="70D648B9"/>
    <w:rsid w:val="70E2FB65"/>
    <w:rsid w:val="70E57F26"/>
    <w:rsid w:val="70F09F8B"/>
    <w:rsid w:val="70F37C39"/>
    <w:rsid w:val="70FCBB3F"/>
    <w:rsid w:val="71066942"/>
    <w:rsid w:val="71340520"/>
    <w:rsid w:val="7146B596"/>
    <w:rsid w:val="7146BEF5"/>
    <w:rsid w:val="7148CB89"/>
    <w:rsid w:val="715315F4"/>
    <w:rsid w:val="7158A453"/>
    <w:rsid w:val="7159AD60"/>
    <w:rsid w:val="716EF4A6"/>
    <w:rsid w:val="71746845"/>
    <w:rsid w:val="717F925C"/>
    <w:rsid w:val="7184D661"/>
    <w:rsid w:val="718C88F0"/>
    <w:rsid w:val="718D07DC"/>
    <w:rsid w:val="718FE4DE"/>
    <w:rsid w:val="7193CBE1"/>
    <w:rsid w:val="71A56E9F"/>
    <w:rsid w:val="71A9FFB2"/>
    <w:rsid w:val="71AF7970"/>
    <w:rsid w:val="71B82BB3"/>
    <w:rsid w:val="71C13AC1"/>
    <w:rsid w:val="71DE9E94"/>
    <w:rsid w:val="71DEE19B"/>
    <w:rsid w:val="71EA631A"/>
    <w:rsid w:val="71F41DE4"/>
    <w:rsid w:val="720E2BA6"/>
    <w:rsid w:val="721D2E3F"/>
    <w:rsid w:val="721DB9BF"/>
    <w:rsid w:val="722461AA"/>
    <w:rsid w:val="7227B4DF"/>
    <w:rsid w:val="722BB298"/>
    <w:rsid w:val="7230CB5A"/>
    <w:rsid w:val="7241014D"/>
    <w:rsid w:val="72587B1F"/>
    <w:rsid w:val="7264DBBD"/>
    <w:rsid w:val="726DC533"/>
    <w:rsid w:val="72763012"/>
    <w:rsid w:val="727B7080"/>
    <w:rsid w:val="727FD703"/>
    <w:rsid w:val="72856A7E"/>
    <w:rsid w:val="7285D597"/>
    <w:rsid w:val="728B1B75"/>
    <w:rsid w:val="72980A2C"/>
    <w:rsid w:val="729F36AF"/>
    <w:rsid w:val="72A24A99"/>
    <w:rsid w:val="72AF4C3B"/>
    <w:rsid w:val="72B06273"/>
    <w:rsid w:val="72BCBF99"/>
    <w:rsid w:val="72BEAEBA"/>
    <w:rsid w:val="72BF27CE"/>
    <w:rsid w:val="72C4CBDA"/>
    <w:rsid w:val="72DD6053"/>
    <w:rsid w:val="72E31CA3"/>
    <w:rsid w:val="72E64B8C"/>
    <w:rsid w:val="72E74EBF"/>
    <w:rsid w:val="72F0B755"/>
    <w:rsid w:val="72F53862"/>
    <w:rsid w:val="72F801D0"/>
    <w:rsid w:val="72FEC066"/>
    <w:rsid w:val="7313B45B"/>
    <w:rsid w:val="7337573A"/>
    <w:rsid w:val="733C1837"/>
    <w:rsid w:val="733DCED4"/>
    <w:rsid w:val="733E3247"/>
    <w:rsid w:val="73405D56"/>
    <w:rsid w:val="734650F0"/>
    <w:rsid w:val="734838DA"/>
    <w:rsid w:val="7348A273"/>
    <w:rsid w:val="734A82CF"/>
    <w:rsid w:val="735AB853"/>
    <w:rsid w:val="737CB28D"/>
    <w:rsid w:val="7396C725"/>
    <w:rsid w:val="739E1C15"/>
    <w:rsid w:val="73AC8822"/>
    <w:rsid w:val="73B62CFA"/>
    <w:rsid w:val="73C06B62"/>
    <w:rsid w:val="73C93296"/>
    <w:rsid w:val="73CA5ACA"/>
    <w:rsid w:val="73D782C6"/>
    <w:rsid w:val="73DE3575"/>
    <w:rsid w:val="73E73070"/>
    <w:rsid w:val="73E94C6E"/>
    <w:rsid w:val="73F3020D"/>
    <w:rsid w:val="7409AFAA"/>
    <w:rsid w:val="7419213F"/>
    <w:rsid w:val="741CE915"/>
    <w:rsid w:val="74385F2D"/>
    <w:rsid w:val="744E8133"/>
    <w:rsid w:val="74527F3B"/>
    <w:rsid w:val="74622DBC"/>
    <w:rsid w:val="746E80AD"/>
    <w:rsid w:val="748AC339"/>
    <w:rsid w:val="74954B80"/>
    <w:rsid w:val="74B58D1F"/>
    <w:rsid w:val="74B7A944"/>
    <w:rsid w:val="74F08769"/>
    <w:rsid w:val="7500E6FD"/>
    <w:rsid w:val="7502D245"/>
    <w:rsid w:val="751278D2"/>
    <w:rsid w:val="7515DC42"/>
    <w:rsid w:val="7517A7D5"/>
    <w:rsid w:val="751F1885"/>
    <w:rsid w:val="75237121"/>
    <w:rsid w:val="75266921"/>
    <w:rsid w:val="752D751C"/>
    <w:rsid w:val="752D90DD"/>
    <w:rsid w:val="75323852"/>
    <w:rsid w:val="7544D56E"/>
    <w:rsid w:val="7544D7A1"/>
    <w:rsid w:val="754A41B0"/>
    <w:rsid w:val="754E6030"/>
    <w:rsid w:val="756BD1AD"/>
    <w:rsid w:val="757051AD"/>
    <w:rsid w:val="7584E230"/>
    <w:rsid w:val="75901BE1"/>
    <w:rsid w:val="759E8266"/>
    <w:rsid w:val="75A5E9FC"/>
    <w:rsid w:val="75AAE6E2"/>
    <w:rsid w:val="75AF22B4"/>
    <w:rsid w:val="75AF75DB"/>
    <w:rsid w:val="75B8100D"/>
    <w:rsid w:val="75BE2BF0"/>
    <w:rsid w:val="75C48BEF"/>
    <w:rsid w:val="75C564F8"/>
    <w:rsid w:val="75C78B92"/>
    <w:rsid w:val="75C7DBF1"/>
    <w:rsid w:val="75CF4647"/>
    <w:rsid w:val="75ED2937"/>
    <w:rsid w:val="75EE5F12"/>
    <w:rsid w:val="75F40D9A"/>
    <w:rsid w:val="75F64667"/>
    <w:rsid w:val="75F70FEE"/>
    <w:rsid w:val="75FC70A2"/>
    <w:rsid w:val="76150115"/>
    <w:rsid w:val="761AC2B0"/>
    <w:rsid w:val="7622731C"/>
    <w:rsid w:val="7629CD8C"/>
    <w:rsid w:val="7635ACC7"/>
    <w:rsid w:val="76378017"/>
    <w:rsid w:val="76479BD2"/>
    <w:rsid w:val="764831B5"/>
    <w:rsid w:val="765446C9"/>
    <w:rsid w:val="765D104E"/>
    <w:rsid w:val="76669BA7"/>
    <w:rsid w:val="766D0FDB"/>
    <w:rsid w:val="7673B090"/>
    <w:rsid w:val="767D6DCD"/>
    <w:rsid w:val="76812F7B"/>
    <w:rsid w:val="7694A26D"/>
    <w:rsid w:val="76961EA3"/>
    <w:rsid w:val="769804B2"/>
    <w:rsid w:val="769D3108"/>
    <w:rsid w:val="769D7B55"/>
    <w:rsid w:val="76AAB793"/>
    <w:rsid w:val="76B15483"/>
    <w:rsid w:val="76B63E76"/>
    <w:rsid w:val="76BCD35B"/>
    <w:rsid w:val="76BDFDAC"/>
    <w:rsid w:val="76EB872F"/>
    <w:rsid w:val="76F90A0D"/>
    <w:rsid w:val="76F9D7F9"/>
    <w:rsid w:val="7701A49E"/>
    <w:rsid w:val="7713ED95"/>
    <w:rsid w:val="7714F8C1"/>
    <w:rsid w:val="7719C5C0"/>
    <w:rsid w:val="7720ED30"/>
    <w:rsid w:val="772BBBCC"/>
    <w:rsid w:val="7730C95C"/>
    <w:rsid w:val="7745ED90"/>
    <w:rsid w:val="775407D7"/>
    <w:rsid w:val="77610666"/>
    <w:rsid w:val="7762B286"/>
    <w:rsid w:val="7762C812"/>
    <w:rsid w:val="776D3E34"/>
    <w:rsid w:val="7770B2BB"/>
    <w:rsid w:val="777150B1"/>
    <w:rsid w:val="77734271"/>
    <w:rsid w:val="77875531"/>
    <w:rsid w:val="778B60D7"/>
    <w:rsid w:val="779A4CEB"/>
    <w:rsid w:val="77A38A76"/>
    <w:rsid w:val="77F1B6F4"/>
    <w:rsid w:val="77F38CB3"/>
    <w:rsid w:val="77FB87C6"/>
    <w:rsid w:val="7808E03C"/>
    <w:rsid w:val="780F7F48"/>
    <w:rsid w:val="7818946D"/>
    <w:rsid w:val="782CD978"/>
    <w:rsid w:val="783C1B28"/>
    <w:rsid w:val="784AFF2C"/>
    <w:rsid w:val="785318D9"/>
    <w:rsid w:val="785B4BBC"/>
    <w:rsid w:val="7866238C"/>
    <w:rsid w:val="7867AEE5"/>
    <w:rsid w:val="7875CF29"/>
    <w:rsid w:val="78880CF4"/>
    <w:rsid w:val="789467D7"/>
    <w:rsid w:val="78965B1A"/>
    <w:rsid w:val="789790C0"/>
    <w:rsid w:val="78A61476"/>
    <w:rsid w:val="78C7BCA3"/>
    <w:rsid w:val="78CA6095"/>
    <w:rsid w:val="78D003C3"/>
    <w:rsid w:val="78D6E8E8"/>
    <w:rsid w:val="78D86693"/>
    <w:rsid w:val="78E134CB"/>
    <w:rsid w:val="78F7EA2C"/>
    <w:rsid w:val="78F9E26A"/>
    <w:rsid w:val="78FA9186"/>
    <w:rsid w:val="79028855"/>
    <w:rsid w:val="7914C8ED"/>
    <w:rsid w:val="79191CAD"/>
    <w:rsid w:val="7920373E"/>
    <w:rsid w:val="7926A878"/>
    <w:rsid w:val="7939B83F"/>
    <w:rsid w:val="79409603"/>
    <w:rsid w:val="7944CCF3"/>
    <w:rsid w:val="7946CAF9"/>
    <w:rsid w:val="79485DC7"/>
    <w:rsid w:val="794E51FB"/>
    <w:rsid w:val="79664735"/>
    <w:rsid w:val="796FFC16"/>
    <w:rsid w:val="797B7E1B"/>
    <w:rsid w:val="797D42B1"/>
    <w:rsid w:val="797E0EC3"/>
    <w:rsid w:val="7989AF3E"/>
    <w:rsid w:val="7989DE63"/>
    <w:rsid w:val="799F9DF2"/>
    <w:rsid w:val="79A4B09D"/>
    <w:rsid w:val="79B91EFC"/>
    <w:rsid w:val="79C05119"/>
    <w:rsid w:val="79C5A5FB"/>
    <w:rsid w:val="79C98927"/>
    <w:rsid w:val="79D027C1"/>
    <w:rsid w:val="79D7BA16"/>
    <w:rsid w:val="79E9F380"/>
    <w:rsid w:val="79F21EF0"/>
    <w:rsid w:val="79F9C0C8"/>
    <w:rsid w:val="79FA7227"/>
    <w:rsid w:val="7A28EC91"/>
    <w:rsid w:val="7A2D9337"/>
    <w:rsid w:val="7A39BE8E"/>
    <w:rsid w:val="7A4B86E4"/>
    <w:rsid w:val="7A4F7032"/>
    <w:rsid w:val="7A588DF2"/>
    <w:rsid w:val="7A58BE4F"/>
    <w:rsid w:val="7A600B3E"/>
    <w:rsid w:val="7A61C257"/>
    <w:rsid w:val="7A6F8D88"/>
    <w:rsid w:val="7A7B77EF"/>
    <w:rsid w:val="7A7DDFE4"/>
    <w:rsid w:val="7A8FC105"/>
    <w:rsid w:val="7A9946C6"/>
    <w:rsid w:val="7A9C4279"/>
    <w:rsid w:val="7AA5645D"/>
    <w:rsid w:val="7AB5AEAB"/>
    <w:rsid w:val="7AB8C729"/>
    <w:rsid w:val="7AB98E54"/>
    <w:rsid w:val="7AD9D47D"/>
    <w:rsid w:val="7AE70B43"/>
    <w:rsid w:val="7AF1831B"/>
    <w:rsid w:val="7AF259A2"/>
    <w:rsid w:val="7AF5E614"/>
    <w:rsid w:val="7B0C239F"/>
    <w:rsid w:val="7B111FF4"/>
    <w:rsid w:val="7B14C436"/>
    <w:rsid w:val="7B2940C2"/>
    <w:rsid w:val="7B4080FE"/>
    <w:rsid w:val="7B5F0C0C"/>
    <w:rsid w:val="7B67D44F"/>
    <w:rsid w:val="7B6A0C6F"/>
    <w:rsid w:val="7B6BD571"/>
    <w:rsid w:val="7B6FFDD6"/>
    <w:rsid w:val="7B7AABAF"/>
    <w:rsid w:val="7B851508"/>
    <w:rsid w:val="7B894F73"/>
    <w:rsid w:val="7B897ED7"/>
    <w:rsid w:val="7B9F988A"/>
    <w:rsid w:val="7BAB2638"/>
    <w:rsid w:val="7BBC4164"/>
    <w:rsid w:val="7BBF039E"/>
    <w:rsid w:val="7BDE7894"/>
    <w:rsid w:val="7BE0B3CB"/>
    <w:rsid w:val="7BE2E69C"/>
    <w:rsid w:val="7BE4160D"/>
    <w:rsid w:val="7BEA11A3"/>
    <w:rsid w:val="7BEC2842"/>
    <w:rsid w:val="7BEDBA05"/>
    <w:rsid w:val="7BEFE8B9"/>
    <w:rsid w:val="7BF18C6F"/>
    <w:rsid w:val="7BFF5D65"/>
    <w:rsid w:val="7C00272F"/>
    <w:rsid w:val="7C04EE73"/>
    <w:rsid w:val="7C10A115"/>
    <w:rsid w:val="7C1330CB"/>
    <w:rsid w:val="7C13E015"/>
    <w:rsid w:val="7C20A616"/>
    <w:rsid w:val="7C39FDE6"/>
    <w:rsid w:val="7C40AF57"/>
    <w:rsid w:val="7C42D899"/>
    <w:rsid w:val="7C44493A"/>
    <w:rsid w:val="7C4AB8F8"/>
    <w:rsid w:val="7C5D334E"/>
    <w:rsid w:val="7C66D6F5"/>
    <w:rsid w:val="7C6B1A3C"/>
    <w:rsid w:val="7C7FFE89"/>
    <w:rsid w:val="7C8D8E32"/>
    <w:rsid w:val="7C9DF1D9"/>
    <w:rsid w:val="7C9F338C"/>
    <w:rsid w:val="7CA07C65"/>
    <w:rsid w:val="7CA8F7AD"/>
    <w:rsid w:val="7CACDB40"/>
    <w:rsid w:val="7CBB48D1"/>
    <w:rsid w:val="7CC3EBAB"/>
    <w:rsid w:val="7CC511AC"/>
    <w:rsid w:val="7CC76EC0"/>
    <w:rsid w:val="7CD3D9B6"/>
    <w:rsid w:val="7CDC515F"/>
    <w:rsid w:val="7CE2F06B"/>
    <w:rsid w:val="7CE743F3"/>
    <w:rsid w:val="7CF75581"/>
    <w:rsid w:val="7D0D21B1"/>
    <w:rsid w:val="7D10E15D"/>
    <w:rsid w:val="7D20520D"/>
    <w:rsid w:val="7D32194D"/>
    <w:rsid w:val="7D3998E2"/>
    <w:rsid w:val="7D3B68EB"/>
    <w:rsid w:val="7D3BD267"/>
    <w:rsid w:val="7D3EF0F2"/>
    <w:rsid w:val="7D4130AB"/>
    <w:rsid w:val="7D42539A"/>
    <w:rsid w:val="7D49CEB7"/>
    <w:rsid w:val="7D4B1EA0"/>
    <w:rsid w:val="7D5A3365"/>
    <w:rsid w:val="7D5ABEE1"/>
    <w:rsid w:val="7D6266C9"/>
    <w:rsid w:val="7D70DA42"/>
    <w:rsid w:val="7D754AA9"/>
    <w:rsid w:val="7D82BEFA"/>
    <w:rsid w:val="7D83F395"/>
    <w:rsid w:val="7D8BF406"/>
    <w:rsid w:val="7D931951"/>
    <w:rsid w:val="7D9320A3"/>
    <w:rsid w:val="7DA13FD9"/>
    <w:rsid w:val="7DA4DDFF"/>
    <w:rsid w:val="7DB4AC2D"/>
    <w:rsid w:val="7DBD8386"/>
    <w:rsid w:val="7DC193CA"/>
    <w:rsid w:val="7DD20996"/>
    <w:rsid w:val="7DDBF34A"/>
    <w:rsid w:val="7DDD0DC3"/>
    <w:rsid w:val="7DDFA052"/>
    <w:rsid w:val="7DEEFE35"/>
    <w:rsid w:val="7DF08923"/>
    <w:rsid w:val="7E0C97AC"/>
    <w:rsid w:val="7E13A82A"/>
    <w:rsid w:val="7E325A1F"/>
    <w:rsid w:val="7E42ABE2"/>
    <w:rsid w:val="7E46A499"/>
    <w:rsid w:val="7E4BB241"/>
    <w:rsid w:val="7E502248"/>
    <w:rsid w:val="7E5168B5"/>
    <w:rsid w:val="7E5B1FC5"/>
    <w:rsid w:val="7E5CCA93"/>
    <w:rsid w:val="7E69A9C5"/>
    <w:rsid w:val="7E6ACDF0"/>
    <w:rsid w:val="7E7FC0AE"/>
    <w:rsid w:val="7E880819"/>
    <w:rsid w:val="7EA43C46"/>
    <w:rsid w:val="7EA7464F"/>
    <w:rsid w:val="7EB1F5E0"/>
    <w:rsid w:val="7EB82838"/>
    <w:rsid w:val="7EC9E4F8"/>
    <w:rsid w:val="7ED5C4D2"/>
    <w:rsid w:val="7EF0D77C"/>
    <w:rsid w:val="7EF1000C"/>
    <w:rsid w:val="7EFCA89F"/>
    <w:rsid w:val="7F1B9776"/>
    <w:rsid w:val="7F280174"/>
    <w:rsid w:val="7F2A5078"/>
    <w:rsid w:val="7F2CB617"/>
    <w:rsid w:val="7F34EEDC"/>
    <w:rsid w:val="7F556D3A"/>
    <w:rsid w:val="7F5A59DF"/>
    <w:rsid w:val="7F613E7D"/>
    <w:rsid w:val="7F629DCD"/>
    <w:rsid w:val="7F9819AE"/>
    <w:rsid w:val="7FACE028"/>
    <w:rsid w:val="7FB0DBED"/>
    <w:rsid w:val="7FD5C622"/>
    <w:rsid w:val="7FD6E2A2"/>
    <w:rsid w:val="7FD7EAB3"/>
    <w:rsid w:val="7FD98F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279F"/>
  <w15:chartTrackingRefBased/>
  <w15:docId w15:val="{E42CF910-2009-4833-83FF-33B27C9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7D6C"/>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81393D"/>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12377"/>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EB79CB"/>
    <w:pPr>
      <w:keepNext/>
      <w:keepLines/>
      <w:spacing w:before="240" w:after="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6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393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1237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B79CB"/>
    <w:rPr>
      <w:rFonts w:ascii="Arial" w:eastAsiaTheme="majorEastAsia" w:hAnsi="Arial" w:cstheme="majorBidi"/>
      <w:b/>
      <w:i/>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Indented Paragraph,List1"/>
    <w:basedOn w:val="Normal"/>
    <w:link w:val="ListParagraphChar"/>
    <w:uiPriority w:val="34"/>
    <w:qFormat/>
    <w:rsid w:val="005B38DD"/>
    <w:pPr>
      <w:spacing w:after="240"/>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Indented Paragraph Char,List1 Char"/>
    <w:basedOn w:val="DefaultParagraphFont"/>
    <w:link w:val="ListParagraph"/>
    <w:uiPriority w:val="34"/>
    <w:locked/>
    <w:rsid w:val="005B38DD"/>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normaltextrun">
    <w:name w:val="normaltextrun"/>
    <w:basedOn w:val="DefaultParagraphFont"/>
    <w:rsid w:val="002F6B97"/>
  </w:style>
  <w:style w:type="character" w:customStyle="1" w:styleId="eop">
    <w:name w:val="eop"/>
    <w:basedOn w:val="DefaultParagraphFont"/>
    <w:rsid w:val="002F6B97"/>
  </w:style>
  <w:style w:type="paragraph" w:customStyle="1" w:styleId="paragraph">
    <w:name w:val="paragraph"/>
    <w:basedOn w:val="Normal"/>
    <w:rsid w:val="002F6B97"/>
    <w:pPr>
      <w:spacing w:before="100" w:beforeAutospacing="1" w:after="100" w:afterAutospacing="1"/>
    </w:pPr>
    <w:rPr>
      <w:rFonts w:ascii="Times New Roman" w:hAnsi="Times New Roman"/>
      <w:lang w:bidi="he-IL"/>
    </w:rPr>
  </w:style>
  <w:style w:type="character" w:customStyle="1" w:styleId="scxw96359127">
    <w:name w:val="scxw96359127"/>
    <w:basedOn w:val="DefaultParagraphFont"/>
    <w:rsid w:val="002F6B97"/>
  </w:style>
  <w:style w:type="character" w:styleId="UnresolvedMention">
    <w:name w:val="Unresolved Mention"/>
    <w:basedOn w:val="DefaultParagraphFont"/>
    <w:uiPriority w:val="99"/>
    <w:semiHidden/>
    <w:unhideWhenUsed/>
    <w:rsid w:val="004C14AF"/>
    <w:rPr>
      <w:color w:val="605E5C"/>
      <w:shd w:val="clear" w:color="auto" w:fill="E1DFDD"/>
    </w:rPr>
  </w:style>
  <w:style w:type="table" w:customStyle="1" w:styleId="TableGrid1">
    <w:name w:val="Table Grid1"/>
    <w:basedOn w:val="TableNormal"/>
    <w:next w:val="TableGrid"/>
    <w:uiPriority w:val="39"/>
    <w:rsid w:val="007B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6B9"/>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B63A4C"/>
    <w:pPr>
      <w:widowControl w:val="0"/>
      <w:ind w:left="119"/>
    </w:pPr>
    <w:rPr>
      <w:rFonts w:ascii="Times New Roman" w:hAnsi="Times New Roman" w:cstheme="minorBidi"/>
    </w:rPr>
  </w:style>
  <w:style w:type="character" w:customStyle="1" w:styleId="BodyTextChar">
    <w:name w:val="Body Text Char"/>
    <w:basedOn w:val="DefaultParagraphFont"/>
    <w:link w:val="BodyText"/>
    <w:uiPriority w:val="1"/>
    <w:rsid w:val="00B63A4C"/>
    <w:rPr>
      <w:rFonts w:ascii="Times New Roman" w:eastAsia="Times New Roman" w:hAnsi="Times New Roman"/>
      <w:sz w:val="24"/>
      <w:szCs w:val="24"/>
    </w:rPr>
  </w:style>
  <w:style w:type="character" w:styleId="Emphasis">
    <w:name w:val="Emphasis"/>
    <w:basedOn w:val="DefaultParagraphFont"/>
    <w:uiPriority w:val="20"/>
    <w:qFormat/>
    <w:rsid w:val="00F46785"/>
    <w:rPr>
      <w:i/>
      <w:iCs/>
    </w:rPr>
  </w:style>
  <w:style w:type="character" w:customStyle="1" w:styleId="issue-underline">
    <w:name w:val="issue-underline"/>
    <w:basedOn w:val="DefaultParagraphFont"/>
    <w:rsid w:val="00E47C93"/>
  </w:style>
  <w:style w:type="character" w:styleId="Mention">
    <w:name w:val="Mention"/>
    <w:basedOn w:val="DefaultParagraphFont"/>
    <w:uiPriority w:val="99"/>
    <w:unhideWhenUsed/>
    <w:rsid w:val="007412E5"/>
    <w:rPr>
      <w:color w:val="2B579A"/>
      <w:shd w:val="clear" w:color="auto" w:fill="E1DFDD"/>
    </w:rPr>
  </w:style>
  <w:style w:type="character" w:styleId="Strong">
    <w:name w:val="Strong"/>
    <w:basedOn w:val="DefaultParagraphFont"/>
    <w:uiPriority w:val="22"/>
    <w:qFormat/>
    <w:rsid w:val="007A77AC"/>
    <w:rPr>
      <w:b/>
      <w:bCs/>
    </w:rPr>
  </w:style>
  <w:style w:type="table" w:styleId="TableWeb3">
    <w:name w:val="Table Web 3"/>
    <w:basedOn w:val="TableNormal"/>
    <w:uiPriority w:val="99"/>
    <w:rsid w:val="005F1FB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8F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65FF9"/>
  </w:style>
  <w:style w:type="paragraph" w:customStyle="1" w:styleId="Body">
    <w:name w:val="Body"/>
    <w:rsid w:val="003C484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D74F47"/>
    <w:pPr>
      <w:spacing w:before="100" w:beforeAutospacing="1" w:after="100" w:afterAutospacing="1"/>
    </w:pPr>
    <w:rPr>
      <w:rFonts w:ascii="Times New Roman" w:hAnsi="Times New Roman"/>
    </w:rPr>
  </w:style>
  <w:style w:type="character" w:customStyle="1" w:styleId="xcontentpasted0">
    <w:name w:val="x_contentpasted0"/>
    <w:basedOn w:val="DefaultParagraphFont"/>
    <w:rsid w:val="00D74F47"/>
  </w:style>
  <w:style w:type="character" w:customStyle="1" w:styleId="linknotation">
    <w:name w:val="linknotation"/>
    <w:basedOn w:val="DefaultParagraphFont"/>
    <w:rsid w:val="00B0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69354626">
      <w:bodyDiv w:val="1"/>
      <w:marLeft w:val="0"/>
      <w:marRight w:val="0"/>
      <w:marTop w:val="0"/>
      <w:marBottom w:val="0"/>
      <w:divBdr>
        <w:top w:val="none" w:sz="0" w:space="0" w:color="auto"/>
        <w:left w:val="none" w:sz="0" w:space="0" w:color="auto"/>
        <w:bottom w:val="none" w:sz="0" w:space="0" w:color="auto"/>
        <w:right w:val="none" w:sz="0" w:space="0" w:color="auto"/>
      </w:divBdr>
      <w:divsChild>
        <w:div w:id="1627615250">
          <w:marLeft w:val="547"/>
          <w:marRight w:val="0"/>
          <w:marTop w:val="0"/>
          <w:marBottom w:val="0"/>
          <w:divBdr>
            <w:top w:val="none" w:sz="0" w:space="0" w:color="auto"/>
            <w:left w:val="none" w:sz="0" w:space="0" w:color="auto"/>
            <w:bottom w:val="none" w:sz="0" w:space="0" w:color="auto"/>
            <w:right w:val="none" w:sz="0" w:space="0" w:color="auto"/>
          </w:divBdr>
        </w:div>
      </w:divsChild>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04202794">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207422154">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547"/>
          <w:marRight w:val="0"/>
          <w:marTop w:val="0"/>
          <w:marBottom w:val="0"/>
          <w:divBdr>
            <w:top w:val="none" w:sz="0" w:space="0" w:color="auto"/>
            <w:left w:val="none" w:sz="0" w:space="0" w:color="auto"/>
            <w:bottom w:val="none" w:sz="0" w:space="0" w:color="auto"/>
            <w:right w:val="none" w:sz="0" w:space="0" w:color="auto"/>
          </w:divBdr>
        </w:div>
        <w:div w:id="1355692050">
          <w:marLeft w:val="547"/>
          <w:marRight w:val="0"/>
          <w:marTop w:val="0"/>
          <w:marBottom w:val="0"/>
          <w:divBdr>
            <w:top w:val="none" w:sz="0" w:space="0" w:color="auto"/>
            <w:left w:val="none" w:sz="0" w:space="0" w:color="auto"/>
            <w:bottom w:val="none" w:sz="0" w:space="0" w:color="auto"/>
            <w:right w:val="none" w:sz="0" w:space="0" w:color="auto"/>
          </w:divBdr>
        </w:div>
      </w:divsChild>
    </w:div>
    <w:div w:id="271517635">
      <w:bodyDiv w:val="1"/>
      <w:marLeft w:val="0"/>
      <w:marRight w:val="0"/>
      <w:marTop w:val="0"/>
      <w:marBottom w:val="0"/>
      <w:divBdr>
        <w:top w:val="none" w:sz="0" w:space="0" w:color="auto"/>
        <w:left w:val="none" w:sz="0" w:space="0" w:color="auto"/>
        <w:bottom w:val="none" w:sz="0" w:space="0" w:color="auto"/>
        <w:right w:val="none" w:sz="0" w:space="0" w:color="auto"/>
      </w:divBdr>
    </w:div>
    <w:div w:id="317653176">
      <w:bodyDiv w:val="1"/>
      <w:marLeft w:val="0"/>
      <w:marRight w:val="0"/>
      <w:marTop w:val="0"/>
      <w:marBottom w:val="0"/>
      <w:divBdr>
        <w:top w:val="none" w:sz="0" w:space="0" w:color="auto"/>
        <w:left w:val="none" w:sz="0" w:space="0" w:color="auto"/>
        <w:bottom w:val="none" w:sz="0" w:space="0" w:color="auto"/>
        <w:right w:val="none" w:sz="0" w:space="0" w:color="auto"/>
      </w:divBdr>
    </w:div>
    <w:div w:id="322198150">
      <w:bodyDiv w:val="1"/>
      <w:marLeft w:val="0"/>
      <w:marRight w:val="0"/>
      <w:marTop w:val="0"/>
      <w:marBottom w:val="0"/>
      <w:divBdr>
        <w:top w:val="none" w:sz="0" w:space="0" w:color="auto"/>
        <w:left w:val="none" w:sz="0" w:space="0" w:color="auto"/>
        <w:bottom w:val="none" w:sz="0" w:space="0" w:color="auto"/>
        <w:right w:val="none" w:sz="0" w:space="0" w:color="auto"/>
      </w:divBdr>
      <w:divsChild>
        <w:div w:id="2064593457">
          <w:marLeft w:val="547"/>
          <w:marRight w:val="0"/>
          <w:marTop w:val="0"/>
          <w:marBottom w:val="0"/>
          <w:divBdr>
            <w:top w:val="none" w:sz="0" w:space="0" w:color="auto"/>
            <w:left w:val="none" w:sz="0" w:space="0" w:color="auto"/>
            <w:bottom w:val="none" w:sz="0" w:space="0" w:color="auto"/>
            <w:right w:val="none" w:sz="0" w:space="0" w:color="auto"/>
          </w:divBdr>
        </w:div>
      </w:divsChild>
    </w:div>
    <w:div w:id="323750524">
      <w:bodyDiv w:val="1"/>
      <w:marLeft w:val="0"/>
      <w:marRight w:val="0"/>
      <w:marTop w:val="0"/>
      <w:marBottom w:val="0"/>
      <w:divBdr>
        <w:top w:val="none" w:sz="0" w:space="0" w:color="auto"/>
        <w:left w:val="none" w:sz="0" w:space="0" w:color="auto"/>
        <w:bottom w:val="none" w:sz="0" w:space="0" w:color="auto"/>
        <w:right w:val="none" w:sz="0" w:space="0" w:color="auto"/>
      </w:divBdr>
    </w:div>
    <w:div w:id="329598302">
      <w:bodyDiv w:val="1"/>
      <w:marLeft w:val="0"/>
      <w:marRight w:val="0"/>
      <w:marTop w:val="0"/>
      <w:marBottom w:val="0"/>
      <w:divBdr>
        <w:top w:val="none" w:sz="0" w:space="0" w:color="auto"/>
        <w:left w:val="none" w:sz="0" w:space="0" w:color="auto"/>
        <w:bottom w:val="none" w:sz="0" w:space="0" w:color="auto"/>
        <w:right w:val="none" w:sz="0" w:space="0" w:color="auto"/>
      </w:divBdr>
    </w:div>
    <w:div w:id="368067890">
      <w:bodyDiv w:val="1"/>
      <w:marLeft w:val="0"/>
      <w:marRight w:val="0"/>
      <w:marTop w:val="0"/>
      <w:marBottom w:val="0"/>
      <w:divBdr>
        <w:top w:val="none" w:sz="0" w:space="0" w:color="auto"/>
        <w:left w:val="none" w:sz="0" w:space="0" w:color="auto"/>
        <w:bottom w:val="none" w:sz="0" w:space="0" w:color="auto"/>
        <w:right w:val="none" w:sz="0" w:space="0" w:color="auto"/>
      </w:divBdr>
      <w:divsChild>
        <w:div w:id="692877007">
          <w:marLeft w:val="0"/>
          <w:marRight w:val="0"/>
          <w:marTop w:val="0"/>
          <w:marBottom w:val="0"/>
          <w:divBdr>
            <w:top w:val="none" w:sz="0" w:space="0" w:color="auto"/>
            <w:left w:val="none" w:sz="0" w:space="0" w:color="auto"/>
            <w:bottom w:val="none" w:sz="0" w:space="0" w:color="auto"/>
            <w:right w:val="none" w:sz="0" w:space="0" w:color="auto"/>
          </w:divBdr>
        </w:div>
        <w:div w:id="711923831">
          <w:marLeft w:val="0"/>
          <w:marRight w:val="0"/>
          <w:marTop w:val="0"/>
          <w:marBottom w:val="0"/>
          <w:divBdr>
            <w:top w:val="none" w:sz="0" w:space="0" w:color="auto"/>
            <w:left w:val="none" w:sz="0" w:space="0" w:color="auto"/>
            <w:bottom w:val="none" w:sz="0" w:space="0" w:color="auto"/>
            <w:right w:val="none" w:sz="0" w:space="0" w:color="auto"/>
          </w:divBdr>
        </w:div>
      </w:divsChild>
    </w:div>
    <w:div w:id="38071326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60880068">
      <w:bodyDiv w:val="1"/>
      <w:marLeft w:val="0"/>
      <w:marRight w:val="0"/>
      <w:marTop w:val="0"/>
      <w:marBottom w:val="0"/>
      <w:divBdr>
        <w:top w:val="none" w:sz="0" w:space="0" w:color="auto"/>
        <w:left w:val="none" w:sz="0" w:space="0" w:color="auto"/>
        <w:bottom w:val="none" w:sz="0" w:space="0" w:color="auto"/>
        <w:right w:val="none" w:sz="0" w:space="0" w:color="auto"/>
      </w:divBdr>
      <w:divsChild>
        <w:div w:id="948127463">
          <w:marLeft w:val="547"/>
          <w:marRight w:val="0"/>
          <w:marTop w:val="0"/>
          <w:marBottom w:val="0"/>
          <w:divBdr>
            <w:top w:val="none" w:sz="0" w:space="0" w:color="auto"/>
            <w:left w:val="none" w:sz="0" w:space="0" w:color="auto"/>
            <w:bottom w:val="none" w:sz="0" w:space="0" w:color="auto"/>
            <w:right w:val="none" w:sz="0" w:space="0" w:color="auto"/>
          </w:divBdr>
        </w:div>
      </w:divsChild>
    </w:div>
    <w:div w:id="499203464">
      <w:bodyDiv w:val="1"/>
      <w:marLeft w:val="0"/>
      <w:marRight w:val="0"/>
      <w:marTop w:val="0"/>
      <w:marBottom w:val="0"/>
      <w:divBdr>
        <w:top w:val="none" w:sz="0" w:space="0" w:color="auto"/>
        <w:left w:val="none" w:sz="0" w:space="0" w:color="auto"/>
        <w:bottom w:val="none" w:sz="0" w:space="0" w:color="auto"/>
        <w:right w:val="none" w:sz="0" w:space="0" w:color="auto"/>
      </w:divBdr>
    </w:div>
    <w:div w:id="536704556">
      <w:bodyDiv w:val="1"/>
      <w:marLeft w:val="0"/>
      <w:marRight w:val="0"/>
      <w:marTop w:val="0"/>
      <w:marBottom w:val="0"/>
      <w:divBdr>
        <w:top w:val="none" w:sz="0" w:space="0" w:color="auto"/>
        <w:left w:val="none" w:sz="0" w:space="0" w:color="auto"/>
        <w:bottom w:val="none" w:sz="0" w:space="0" w:color="auto"/>
        <w:right w:val="none" w:sz="0" w:space="0" w:color="auto"/>
      </w:divBdr>
      <w:divsChild>
        <w:div w:id="1443957558">
          <w:marLeft w:val="547"/>
          <w:marRight w:val="0"/>
          <w:marTop w:val="0"/>
          <w:marBottom w:val="0"/>
          <w:divBdr>
            <w:top w:val="none" w:sz="0" w:space="0" w:color="auto"/>
            <w:left w:val="none" w:sz="0" w:space="0" w:color="auto"/>
            <w:bottom w:val="none" w:sz="0" w:space="0" w:color="auto"/>
            <w:right w:val="none" w:sz="0" w:space="0" w:color="auto"/>
          </w:divBdr>
        </w:div>
      </w:divsChild>
    </w:div>
    <w:div w:id="594485100">
      <w:bodyDiv w:val="1"/>
      <w:marLeft w:val="0"/>
      <w:marRight w:val="0"/>
      <w:marTop w:val="0"/>
      <w:marBottom w:val="0"/>
      <w:divBdr>
        <w:top w:val="none" w:sz="0" w:space="0" w:color="auto"/>
        <w:left w:val="none" w:sz="0" w:space="0" w:color="auto"/>
        <w:bottom w:val="none" w:sz="0" w:space="0" w:color="auto"/>
        <w:right w:val="none" w:sz="0" w:space="0" w:color="auto"/>
      </w:divBdr>
      <w:divsChild>
        <w:div w:id="1785034528">
          <w:marLeft w:val="547"/>
          <w:marRight w:val="0"/>
          <w:marTop w:val="0"/>
          <w:marBottom w:val="0"/>
          <w:divBdr>
            <w:top w:val="none" w:sz="0" w:space="0" w:color="auto"/>
            <w:left w:val="none" w:sz="0" w:space="0" w:color="auto"/>
            <w:bottom w:val="none" w:sz="0" w:space="0" w:color="auto"/>
            <w:right w:val="none" w:sz="0" w:space="0" w:color="auto"/>
          </w:divBdr>
        </w:div>
      </w:divsChild>
    </w:div>
    <w:div w:id="631326932">
      <w:bodyDiv w:val="1"/>
      <w:marLeft w:val="0"/>
      <w:marRight w:val="0"/>
      <w:marTop w:val="0"/>
      <w:marBottom w:val="0"/>
      <w:divBdr>
        <w:top w:val="none" w:sz="0" w:space="0" w:color="auto"/>
        <w:left w:val="none" w:sz="0" w:space="0" w:color="auto"/>
        <w:bottom w:val="none" w:sz="0" w:space="0" w:color="auto"/>
        <w:right w:val="none" w:sz="0" w:space="0" w:color="auto"/>
      </w:divBdr>
      <w:divsChild>
        <w:div w:id="290063695">
          <w:marLeft w:val="0"/>
          <w:marRight w:val="0"/>
          <w:marTop w:val="0"/>
          <w:marBottom w:val="0"/>
          <w:divBdr>
            <w:top w:val="none" w:sz="0" w:space="0" w:color="auto"/>
            <w:left w:val="none" w:sz="0" w:space="0" w:color="auto"/>
            <w:bottom w:val="none" w:sz="0" w:space="0" w:color="auto"/>
            <w:right w:val="none" w:sz="0" w:space="0" w:color="auto"/>
          </w:divBdr>
        </w:div>
        <w:div w:id="600450644">
          <w:marLeft w:val="0"/>
          <w:marRight w:val="0"/>
          <w:marTop w:val="0"/>
          <w:marBottom w:val="0"/>
          <w:divBdr>
            <w:top w:val="none" w:sz="0" w:space="0" w:color="auto"/>
            <w:left w:val="none" w:sz="0" w:space="0" w:color="auto"/>
            <w:bottom w:val="none" w:sz="0" w:space="0" w:color="auto"/>
            <w:right w:val="none" w:sz="0" w:space="0" w:color="auto"/>
          </w:divBdr>
        </w:div>
        <w:div w:id="921833175">
          <w:marLeft w:val="0"/>
          <w:marRight w:val="0"/>
          <w:marTop w:val="0"/>
          <w:marBottom w:val="0"/>
          <w:divBdr>
            <w:top w:val="none" w:sz="0" w:space="0" w:color="auto"/>
            <w:left w:val="none" w:sz="0" w:space="0" w:color="auto"/>
            <w:bottom w:val="none" w:sz="0" w:space="0" w:color="auto"/>
            <w:right w:val="none" w:sz="0" w:space="0" w:color="auto"/>
          </w:divBdr>
        </w:div>
        <w:div w:id="1694376366">
          <w:marLeft w:val="0"/>
          <w:marRight w:val="0"/>
          <w:marTop w:val="0"/>
          <w:marBottom w:val="0"/>
          <w:divBdr>
            <w:top w:val="none" w:sz="0" w:space="0" w:color="auto"/>
            <w:left w:val="none" w:sz="0" w:space="0" w:color="auto"/>
            <w:bottom w:val="none" w:sz="0" w:space="0" w:color="auto"/>
            <w:right w:val="none" w:sz="0" w:space="0" w:color="auto"/>
          </w:divBdr>
        </w:div>
        <w:div w:id="1769502115">
          <w:marLeft w:val="0"/>
          <w:marRight w:val="0"/>
          <w:marTop w:val="0"/>
          <w:marBottom w:val="0"/>
          <w:divBdr>
            <w:top w:val="none" w:sz="0" w:space="0" w:color="auto"/>
            <w:left w:val="none" w:sz="0" w:space="0" w:color="auto"/>
            <w:bottom w:val="none" w:sz="0" w:space="0" w:color="auto"/>
            <w:right w:val="none" w:sz="0" w:space="0" w:color="auto"/>
          </w:divBdr>
        </w:div>
      </w:divsChild>
    </w:div>
    <w:div w:id="663045974">
      <w:bodyDiv w:val="1"/>
      <w:marLeft w:val="0"/>
      <w:marRight w:val="0"/>
      <w:marTop w:val="0"/>
      <w:marBottom w:val="0"/>
      <w:divBdr>
        <w:top w:val="none" w:sz="0" w:space="0" w:color="auto"/>
        <w:left w:val="none" w:sz="0" w:space="0" w:color="auto"/>
        <w:bottom w:val="none" w:sz="0" w:space="0" w:color="auto"/>
        <w:right w:val="none" w:sz="0" w:space="0" w:color="auto"/>
      </w:divBdr>
      <w:divsChild>
        <w:div w:id="74207838">
          <w:marLeft w:val="576"/>
          <w:marRight w:val="0"/>
          <w:marTop w:val="120"/>
          <w:marBottom w:val="120"/>
          <w:divBdr>
            <w:top w:val="none" w:sz="0" w:space="0" w:color="auto"/>
            <w:left w:val="none" w:sz="0" w:space="0" w:color="auto"/>
            <w:bottom w:val="none" w:sz="0" w:space="0" w:color="auto"/>
            <w:right w:val="none" w:sz="0" w:space="0" w:color="auto"/>
          </w:divBdr>
        </w:div>
        <w:div w:id="427392934">
          <w:marLeft w:val="576"/>
          <w:marRight w:val="0"/>
          <w:marTop w:val="120"/>
          <w:marBottom w:val="120"/>
          <w:divBdr>
            <w:top w:val="none" w:sz="0" w:space="0" w:color="auto"/>
            <w:left w:val="none" w:sz="0" w:space="0" w:color="auto"/>
            <w:bottom w:val="none" w:sz="0" w:space="0" w:color="auto"/>
            <w:right w:val="none" w:sz="0" w:space="0" w:color="auto"/>
          </w:divBdr>
        </w:div>
        <w:div w:id="442001821">
          <w:marLeft w:val="1080"/>
          <w:marRight w:val="0"/>
          <w:marTop w:val="120"/>
          <w:marBottom w:val="120"/>
          <w:divBdr>
            <w:top w:val="none" w:sz="0" w:space="0" w:color="auto"/>
            <w:left w:val="none" w:sz="0" w:space="0" w:color="auto"/>
            <w:bottom w:val="none" w:sz="0" w:space="0" w:color="auto"/>
            <w:right w:val="none" w:sz="0" w:space="0" w:color="auto"/>
          </w:divBdr>
        </w:div>
        <w:div w:id="729424097">
          <w:marLeft w:val="1080"/>
          <w:marRight w:val="0"/>
          <w:marTop w:val="120"/>
          <w:marBottom w:val="120"/>
          <w:divBdr>
            <w:top w:val="none" w:sz="0" w:space="0" w:color="auto"/>
            <w:left w:val="none" w:sz="0" w:space="0" w:color="auto"/>
            <w:bottom w:val="none" w:sz="0" w:space="0" w:color="auto"/>
            <w:right w:val="none" w:sz="0" w:space="0" w:color="auto"/>
          </w:divBdr>
        </w:div>
        <w:div w:id="1529442804">
          <w:marLeft w:val="576"/>
          <w:marRight w:val="0"/>
          <w:marTop w:val="120"/>
          <w:marBottom w:val="120"/>
          <w:divBdr>
            <w:top w:val="none" w:sz="0" w:space="0" w:color="auto"/>
            <w:left w:val="none" w:sz="0" w:space="0" w:color="auto"/>
            <w:bottom w:val="none" w:sz="0" w:space="0" w:color="auto"/>
            <w:right w:val="none" w:sz="0" w:space="0" w:color="auto"/>
          </w:divBdr>
        </w:div>
        <w:div w:id="2141880296">
          <w:marLeft w:val="1080"/>
          <w:marRight w:val="0"/>
          <w:marTop w:val="120"/>
          <w:marBottom w:val="120"/>
          <w:divBdr>
            <w:top w:val="none" w:sz="0" w:space="0" w:color="auto"/>
            <w:left w:val="none" w:sz="0" w:space="0" w:color="auto"/>
            <w:bottom w:val="none" w:sz="0" w:space="0" w:color="auto"/>
            <w:right w:val="none" w:sz="0" w:space="0" w:color="auto"/>
          </w:divBdr>
        </w:div>
      </w:divsChild>
    </w:div>
    <w:div w:id="682903165">
      <w:bodyDiv w:val="1"/>
      <w:marLeft w:val="0"/>
      <w:marRight w:val="0"/>
      <w:marTop w:val="0"/>
      <w:marBottom w:val="0"/>
      <w:divBdr>
        <w:top w:val="none" w:sz="0" w:space="0" w:color="auto"/>
        <w:left w:val="none" w:sz="0" w:space="0" w:color="auto"/>
        <w:bottom w:val="none" w:sz="0" w:space="0" w:color="auto"/>
        <w:right w:val="none" w:sz="0" w:space="0" w:color="auto"/>
      </w:divBdr>
    </w:div>
    <w:div w:id="685982173">
      <w:bodyDiv w:val="1"/>
      <w:marLeft w:val="0"/>
      <w:marRight w:val="0"/>
      <w:marTop w:val="0"/>
      <w:marBottom w:val="0"/>
      <w:divBdr>
        <w:top w:val="none" w:sz="0" w:space="0" w:color="auto"/>
        <w:left w:val="none" w:sz="0" w:space="0" w:color="auto"/>
        <w:bottom w:val="none" w:sz="0" w:space="0" w:color="auto"/>
        <w:right w:val="none" w:sz="0" w:space="0" w:color="auto"/>
      </w:divBdr>
      <w:divsChild>
        <w:div w:id="406808423">
          <w:marLeft w:val="547"/>
          <w:marRight w:val="0"/>
          <w:marTop w:val="0"/>
          <w:marBottom w:val="0"/>
          <w:divBdr>
            <w:top w:val="none" w:sz="0" w:space="0" w:color="auto"/>
            <w:left w:val="none" w:sz="0" w:space="0" w:color="auto"/>
            <w:bottom w:val="none" w:sz="0" w:space="0" w:color="auto"/>
            <w:right w:val="none" w:sz="0" w:space="0" w:color="auto"/>
          </w:divBdr>
        </w:div>
        <w:div w:id="1703551593">
          <w:marLeft w:val="547"/>
          <w:marRight w:val="0"/>
          <w:marTop w:val="0"/>
          <w:marBottom w:val="0"/>
          <w:divBdr>
            <w:top w:val="none" w:sz="0" w:space="0" w:color="auto"/>
            <w:left w:val="none" w:sz="0" w:space="0" w:color="auto"/>
            <w:bottom w:val="none" w:sz="0" w:space="0" w:color="auto"/>
            <w:right w:val="none" w:sz="0" w:space="0" w:color="auto"/>
          </w:divBdr>
        </w:div>
        <w:div w:id="2018658091">
          <w:marLeft w:val="547"/>
          <w:marRight w:val="0"/>
          <w:marTop w:val="0"/>
          <w:marBottom w:val="0"/>
          <w:divBdr>
            <w:top w:val="none" w:sz="0" w:space="0" w:color="auto"/>
            <w:left w:val="none" w:sz="0" w:space="0" w:color="auto"/>
            <w:bottom w:val="none" w:sz="0" w:space="0" w:color="auto"/>
            <w:right w:val="none" w:sz="0" w:space="0" w:color="auto"/>
          </w:divBdr>
        </w:div>
      </w:divsChild>
    </w:div>
    <w:div w:id="690641101">
      <w:bodyDiv w:val="1"/>
      <w:marLeft w:val="0"/>
      <w:marRight w:val="0"/>
      <w:marTop w:val="0"/>
      <w:marBottom w:val="0"/>
      <w:divBdr>
        <w:top w:val="none" w:sz="0" w:space="0" w:color="auto"/>
        <w:left w:val="none" w:sz="0" w:space="0" w:color="auto"/>
        <w:bottom w:val="none" w:sz="0" w:space="0" w:color="auto"/>
        <w:right w:val="none" w:sz="0" w:space="0" w:color="auto"/>
      </w:divBdr>
      <w:divsChild>
        <w:div w:id="604651064">
          <w:marLeft w:val="576"/>
          <w:marRight w:val="0"/>
          <w:marTop w:val="120"/>
          <w:marBottom w:val="120"/>
          <w:divBdr>
            <w:top w:val="none" w:sz="0" w:space="0" w:color="auto"/>
            <w:left w:val="none" w:sz="0" w:space="0" w:color="auto"/>
            <w:bottom w:val="none" w:sz="0" w:space="0" w:color="auto"/>
            <w:right w:val="none" w:sz="0" w:space="0" w:color="auto"/>
          </w:divBdr>
        </w:div>
        <w:div w:id="1088967332">
          <w:marLeft w:val="1080"/>
          <w:marRight w:val="0"/>
          <w:marTop w:val="120"/>
          <w:marBottom w:val="120"/>
          <w:divBdr>
            <w:top w:val="none" w:sz="0" w:space="0" w:color="auto"/>
            <w:left w:val="none" w:sz="0" w:space="0" w:color="auto"/>
            <w:bottom w:val="none" w:sz="0" w:space="0" w:color="auto"/>
            <w:right w:val="none" w:sz="0" w:space="0" w:color="auto"/>
          </w:divBdr>
        </w:div>
        <w:div w:id="2119257621">
          <w:marLeft w:val="1080"/>
          <w:marRight w:val="0"/>
          <w:marTop w:val="120"/>
          <w:marBottom w:val="120"/>
          <w:divBdr>
            <w:top w:val="none" w:sz="0" w:space="0" w:color="auto"/>
            <w:left w:val="none" w:sz="0" w:space="0" w:color="auto"/>
            <w:bottom w:val="none" w:sz="0" w:space="0" w:color="auto"/>
            <w:right w:val="none" w:sz="0" w:space="0" w:color="auto"/>
          </w:divBdr>
        </w:div>
      </w:divsChild>
    </w:div>
    <w:div w:id="749887723">
      <w:bodyDiv w:val="1"/>
      <w:marLeft w:val="0"/>
      <w:marRight w:val="0"/>
      <w:marTop w:val="0"/>
      <w:marBottom w:val="0"/>
      <w:divBdr>
        <w:top w:val="none" w:sz="0" w:space="0" w:color="auto"/>
        <w:left w:val="none" w:sz="0" w:space="0" w:color="auto"/>
        <w:bottom w:val="none" w:sz="0" w:space="0" w:color="auto"/>
        <w:right w:val="none" w:sz="0" w:space="0" w:color="auto"/>
      </w:divBdr>
      <w:divsChild>
        <w:div w:id="1072771079">
          <w:marLeft w:val="547"/>
          <w:marRight w:val="0"/>
          <w:marTop w:val="0"/>
          <w:marBottom w:val="0"/>
          <w:divBdr>
            <w:top w:val="none" w:sz="0" w:space="0" w:color="auto"/>
            <w:left w:val="none" w:sz="0" w:space="0" w:color="auto"/>
            <w:bottom w:val="none" w:sz="0" w:space="0" w:color="auto"/>
            <w:right w:val="none" w:sz="0" w:space="0" w:color="auto"/>
          </w:divBdr>
        </w:div>
        <w:div w:id="1264143530">
          <w:marLeft w:val="547"/>
          <w:marRight w:val="0"/>
          <w:marTop w:val="0"/>
          <w:marBottom w:val="0"/>
          <w:divBdr>
            <w:top w:val="none" w:sz="0" w:space="0" w:color="auto"/>
            <w:left w:val="none" w:sz="0" w:space="0" w:color="auto"/>
            <w:bottom w:val="none" w:sz="0" w:space="0" w:color="auto"/>
            <w:right w:val="none" w:sz="0" w:space="0" w:color="auto"/>
          </w:divBdr>
        </w:div>
        <w:div w:id="1857109087">
          <w:marLeft w:val="547"/>
          <w:marRight w:val="0"/>
          <w:marTop w:val="0"/>
          <w:marBottom w:val="0"/>
          <w:divBdr>
            <w:top w:val="none" w:sz="0" w:space="0" w:color="auto"/>
            <w:left w:val="none" w:sz="0" w:space="0" w:color="auto"/>
            <w:bottom w:val="none" w:sz="0" w:space="0" w:color="auto"/>
            <w:right w:val="none" w:sz="0" w:space="0" w:color="auto"/>
          </w:divBdr>
        </w:div>
      </w:divsChild>
    </w:div>
    <w:div w:id="792597349">
      <w:bodyDiv w:val="1"/>
      <w:marLeft w:val="0"/>
      <w:marRight w:val="0"/>
      <w:marTop w:val="0"/>
      <w:marBottom w:val="0"/>
      <w:divBdr>
        <w:top w:val="none" w:sz="0" w:space="0" w:color="auto"/>
        <w:left w:val="none" w:sz="0" w:space="0" w:color="auto"/>
        <w:bottom w:val="none" w:sz="0" w:space="0" w:color="auto"/>
        <w:right w:val="none" w:sz="0" w:space="0" w:color="auto"/>
      </w:divBdr>
      <w:divsChild>
        <w:div w:id="639113456">
          <w:marLeft w:val="547"/>
          <w:marRight w:val="0"/>
          <w:marTop w:val="0"/>
          <w:marBottom w:val="0"/>
          <w:divBdr>
            <w:top w:val="none" w:sz="0" w:space="0" w:color="auto"/>
            <w:left w:val="none" w:sz="0" w:space="0" w:color="auto"/>
            <w:bottom w:val="none" w:sz="0" w:space="0" w:color="auto"/>
            <w:right w:val="none" w:sz="0" w:space="0" w:color="auto"/>
          </w:divBdr>
        </w:div>
        <w:div w:id="1148011330">
          <w:marLeft w:val="547"/>
          <w:marRight w:val="0"/>
          <w:marTop w:val="0"/>
          <w:marBottom w:val="0"/>
          <w:divBdr>
            <w:top w:val="none" w:sz="0" w:space="0" w:color="auto"/>
            <w:left w:val="none" w:sz="0" w:space="0" w:color="auto"/>
            <w:bottom w:val="none" w:sz="0" w:space="0" w:color="auto"/>
            <w:right w:val="none" w:sz="0" w:space="0" w:color="auto"/>
          </w:divBdr>
        </w:div>
      </w:divsChild>
    </w:div>
    <w:div w:id="946231294">
      <w:bodyDiv w:val="1"/>
      <w:marLeft w:val="0"/>
      <w:marRight w:val="0"/>
      <w:marTop w:val="0"/>
      <w:marBottom w:val="0"/>
      <w:divBdr>
        <w:top w:val="none" w:sz="0" w:space="0" w:color="auto"/>
        <w:left w:val="none" w:sz="0" w:space="0" w:color="auto"/>
        <w:bottom w:val="none" w:sz="0" w:space="0" w:color="auto"/>
        <w:right w:val="none" w:sz="0" w:space="0" w:color="auto"/>
      </w:divBdr>
    </w:div>
    <w:div w:id="958953493">
      <w:bodyDiv w:val="1"/>
      <w:marLeft w:val="0"/>
      <w:marRight w:val="0"/>
      <w:marTop w:val="0"/>
      <w:marBottom w:val="0"/>
      <w:divBdr>
        <w:top w:val="none" w:sz="0" w:space="0" w:color="auto"/>
        <w:left w:val="none" w:sz="0" w:space="0" w:color="auto"/>
        <w:bottom w:val="none" w:sz="0" w:space="0" w:color="auto"/>
        <w:right w:val="none" w:sz="0" w:space="0" w:color="auto"/>
      </w:divBdr>
    </w:div>
    <w:div w:id="1000700687">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8582064">
      <w:bodyDiv w:val="1"/>
      <w:marLeft w:val="0"/>
      <w:marRight w:val="0"/>
      <w:marTop w:val="0"/>
      <w:marBottom w:val="0"/>
      <w:divBdr>
        <w:top w:val="none" w:sz="0" w:space="0" w:color="auto"/>
        <w:left w:val="none" w:sz="0" w:space="0" w:color="auto"/>
        <w:bottom w:val="none" w:sz="0" w:space="0" w:color="auto"/>
        <w:right w:val="none" w:sz="0" w:space="0" w:color="auto"/>
      </w:divBdr>
      <w:divsChild>
        <w:div w:id="1900705684">
          <w:marLeft w:val="547"/>
          <w:marRight w:val="0"/>
          <w:marTop w:val="0"/>
          <w:marBottom w:val="0"/>
          <w:divBdr>
            <w:top w:val="none" w:sz="0" w:space="0" w:color="auto"/>
            <w:left w:val="none" w:sz="0" w:space="0" w:color="auto"/>
            <w:bottom w:val="none" w:sz="0" w:space="0" w:color="auto"/>
            <w:right w:val="none" w:sz="0" w:space="0" w:color="auto"/>
          </w:divBdr>
        </w:div>
      </w:divsChild>
    </w:div>
    <w:div w:id="1018627904">
      <w:bodyDiv w:val="1"/>
      <w:marLeft w:val="0"/>
      <w:marRight w:val="0"/>
      <w:marTop w:val="0"/>
      <w:marBottom w:val="0"/>
      <w:divBdr>
        <w:top w:val="none" w:sz="0" w:space="0" w:color="auto"/>
        <w:left w:val="none" w:sz="0" w:space="0" w:color="auto"/>
        <w:bottom w:val="none" w:sz="0" w:space="0" w:color="auto"/>
        <w:right w:val="none" w:sz="0" w:space="0" w:color="auto"/>
      </w:divBdr>
    </w:div>
    <w:div w:id="1020085571">
      <w:bodyDiv w:val="1"/>
      <w:marLeft w:val="0"/>
      <w:marRight w:val="0"/>
      <w:marTop w:val="0"/>
      <w:marBottom w:val="0"/>
      <w:divBdr>
        <w:top w:val="none" w:sz="0" w:space="0" w:color="auto"/>
        <w:left w:val="none" w:sz="0" w:space="0" w:color="auto"/>
        <w:bottom w:val="none" w:sz="0" w:space="0" w:color="auto"/>
        <w:right w:val="none" w:sz="0" w:space="0" w:color="auto"/>
      </w:divBdr>
    </w:div>
    <w:div w:id="1032657069">
      <w:bodyDiv w:val="1"/>
      <w:marLeft w:val="0"/>
      <w:marRight w:val="0"/>
      <w:marTop w:val="0"/>
      <w:marBottom w:val="0"/>
      <w:divBdr>
        <w:top w:val="none" w:sz="0" w:space="0" w:color="auto"/>
        <w:left w:val="none" w:sz="0" w:space="0" w:color="auto"/>
        <w:bottom w:val="none" w:sz="0" w:space="0" w:color="auto"/>
        <w:right w:val="none" w:sz="0" w:space="0" w:color="auto"/>
      </w:divBdr>
    </w:div>
    <w:div w:id="1033114861">
      <w:bodyDiv w:val="1"/>
      <w:marLeft w:val="0"/>
      <w:marRight w:val="0"/>
      <w:marTop w:val="0"/>
      <w:marBottom w:val="0"/>
      <w:divBdr>
        <w:top w:val="none" w:sz="0" w:space="0" w:color="auto"/>
        <w:left w:val="none" w:sz="0" w:space="0" w:color="auto"/>
        <w:bottom w:val="none" w:sz="0" w:space="0" w:color="auto"/>
        <w:right w:val="none" w:sz="0" w:space="0" w:color="auto"/>
      </w:divBdr>
      <w:divsChild>
        <w:div w:id="606545761">
          <w:marLeft w:val="547"/>
          <w:marRight w:val="0"/>
          <w:marTop w:val="0"/>
          <w:marBottom w:val="0"/>
          <w:divBdr>
            <w:top w:val="none" w:sz="0" w:space="0" w:color="auto"/>
            <w:left w:val="none" w:sz="0" w:space="0" w:color="auto"/>
            <w:bottom w:val="none" w:sz="0" w:space="0" w:color="auto"/>
            <w:right w:val="none" w:sz="0" w:space="0" w:color="auto"/>
          </w:divBdr>
        </w:div>
      </w:divsChild>
    </w:div>
    <w:div w:id="1033120196">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46563492">
      <w:bodyDiv w:val="1"/>
      <w:marLeft w:val="0"/>
      <w:marRight w:val="0"/>
      <w:marTop w:val="0"/>
      <w:marBottom w:val="0"/>
      <w:divBdr>
        <w:top w:val="none" w:sz="0" w:space="0" w:color="auto"/>
        <w:left w:val="none" w:sz="0" w:space="0" w:color="auto"/>
        <w:bottom w:val="none" w:sz="0" w:space="0" w:color="auto"/>
        <w:right w:val="none" w:sz="0" w:space="0" w:color="auto"/>
      </w:divBdr>
    </w:div>
    <w:div w:id="1071344846">
      <w:bodyDiv w:val="1"/>
      <w:marLeft w:val="0"/>
      <w:marRight w:val="0"/>
      <w:marTop w:val="0"/>
      <w:marBottom w:val="0"/>
      <w:divBdr>
        <w:top w:val="none" w:sz="0" w:space="0" w:color="auto"/>
        <w:left w:val="none" w:sz="0" w:space="0" w:color="auto"/>
        <w:bottom w:val="none" w:sz="0" w:space="0" w:color="auto"/>
        <w:right w:val="none" w:sz="0" w:space="0" w:color="auto"/>
      </w:divBdr>
    </w:div>
    <w:div w:id="1074595577">
      <w:bodyDiv w:val="1"/>
      <w:marLeft w:val="0"/>
      <w:marRight w:val="0"/>
      <w:marTop w:val="0"/>
      <w:marBottom w:val="0"/>
      <w:divBdr>
        <w:top w:val="none" w:sz="0" w:space="0" w:color="auto"/>
        <w:left w:val="none" w:sz="0" w:space="0" w:color="auto"/>
        <w:bottom w:val="none" w:sz="0" w:space="0" w:color="auto"/>
        <w:right w:val="none" w:sz="0" w:space="0" w:color="auto"/>
      </w:divBdr>
    </w:div>
    <w:div w:id="1121919306">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209147177">
      <w:bodyDiv w:val="1"/>
      <w:marLeft w:val="0"/>
      <w:marRight w:val="0"/>
      <w:marTop w:val="0"/>
      <w:marBottom w:val="0"/>
      <w:divBdr>
        <w:top w:val="none" w:sz="0" w:space="0" w:color="auto"/>
        <w:left w:val="none" w:sz="0" w:space="0" w:color="auto"/>
        <w:bottom w:val="none" w:sz="0" w:space="0" w:color="auto"/>
        <w:right w:val="none" w:sz="0" w:space="0" w:color="auto"/>
      </w:divBdr>
    </w:div>
    <w:div w:id="1362394058">
      <w:bodyDiv w:val="1"/>
      <w:marLeft w:val="0"/>
      <w:marRight w:val="0"/>
      <w:marTop w:val="0"/>
      <w:marBottom w:val="0"/>
      <w:divBdr>
        <w:top w:val="none" w:sz="0" w:space="0" w:color="auto"/>
        <w:left w:val="none" w:sz="0" w:space="0" w:color="auto"/>
        <w:bottom w:val="none" w:sz="0" w:space="0" w:color="auto"/>
        <w:right w:val="none" w:sz="0" w:space="0" w:color="auto"/>
      </w:divBdr>
    </w:div>
    <w:div w:id="1372456896">
      <w:bodyDiv w:val="1"/>
      <w:marLeft w:val="0"/>
      <w:marRight w:val="0"/>
      <w:marTop w:val="0"/>
      <w:marBottom w:val="0"/>
      <w:divBdr>
        <w:top w:val="none" w:sz="0" w:space="0" w:color="auto"/>
        <w:left w:val="none" w:sz="0" w:space="0" w:color="auto"/>
        <w:bottom w:val="none" w:sz="0" w:space="0" w:color="auto"/>
        <w:right w:val="none" w:sz="0" w:space="0" w:color="auto"/>
      </w:divBdr>
      <w:divsChild>
        <w:div w:id="270666465">
          <w:marLeft w:val="0"/>
          <w:marRight w:val="0"/>
          <w:marTop w:val="0"/>
          <w:marBottom w:val="0"/>
          <w:divBdr>
            <w:top w:val="none" w:sz="0" w:space="0" w:color="auto"/>
            <w:left w:val="none" w:sz="0" w:space="0" w:color="auto"/>
            <w:bottom w:val="none" w:sz="0" w:space="0" w:color="auto"/>
            <w:right w:val="none" w:sz="0" w:space="0" w:color="auto"/>
          </w:divBdr>
        </w:div>
        <w:div w:id="824202925">
          <w:marLeft w:val="0"/>
          <w:marRight w:val="0"/>
          <w:marTop w:val="0"/>
          <w:marBottom w:val="0"/>
          <w:divBdr>
            <w:top w:val="none" w:sz="0" w:space="0" w:color="auto"/>
            <w:left w:val="none" w:sz="0" w:space="0" w:color="auto"/>
            <w:bottom w:val="none" w:sz="0" w:space="0" w:color="auto"/>
            <w:right w:val="none" w:sz="0" w:space="0" w:color="auto"/>
          </w:divBdr>
        </w:div>
        <w:div w:id="1206681487">
          <w:marLeft w:val="0"/>
          <w:marRight w:val="0"/>
          <w:marTop w:val="0"/>
          <w:marBottom w:val="0"/>
          <w:divBdr>
            <w:top w:val="none" w:sz="0" w:space="0" w:color="auto"/>
            <w:left w:val="none" w:sz="0" w:space="0" w:color="auto"/>
            <w:bottom w:val="none" w:sz="0" w:space="0" w:color="auto"/>
            <w:right w:val="none" w:sz="0" w:space="0" w:color="auto"/>
          </w:divBdr>
        </w:div>
      </w:divsChild>
    </w:div>
    <w:div w:id="1373968184">
      <w:bodyDiv w:val="1"/>
      <w:marLeft w:val="0"/>
      <w:marRight w:val="0"/>
      <w:marTop w:val="0"/>
      <w:marBottom w:val="0"/>
      <w:divBdr>
        <w:top w:val="none" w:sz="0" w:space="0" w:color="auto"/>
        <w:left w:val="none" w:sz="0" w:space="0" w:color="auto"/>
        <w:bottom w:val="none" w:sz="0" w:space="0" w:color="auto"/>
        <w:right w:val="none" w:sz="0" w:space="0" w:color="auto"/>
      </w:divBdr>
      <w:divsChild>
        <w:div w:id="581791176">
          <w:marLeft w:val="547"/>
          <w:marRight w:val="0"/>
          <w:marTop w:val="0"/>
          <w:marBottom w:val="0"/>
          <w:divBdr>
            <w:top w:val="none" w:sz="0" w:space="0" w:color="auto"/>
            <w:left w:val="none" w:sz="0" w:space="0" w:color="auto"/>
            <w:bottom w:val="none" w:sz="0" w:space="0" w:color="auto"/>
            <w:right w:val="none" w:sz="0" w:space="0" w:color="auto"/>
          </w:divBdr>
        </w:div>
        <w:div w:id="986007592">
          <w:marLeft w:val="547"/>
          <w:marRight w:val="0"/>
          <w:marTop w:val="0"/>
          <w:marBottom w:val="0"/>
          <w:divBdr>
            <w:top w:val="none" w:sz="0" w:space="0" w:color="auto"/>
            <w:left w:val="none" w:sz="0" w:space="0" w:color="auto"/>
            <w:bottom w:val="none" w:sz="0" w:space="0" w:color="auto"/>
            <w:right w:val="none" w:sz="0" w:space="0" w:color="auto"/>
          </w:divBdr>
        </w:div>
      </w:divsChild>
    </w:div>
    <w:div w:id="1384017580">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78937">
      <w:bodyDiv w:val="1"/>
      <w:marLeft w:val="0"/>
      <w:marRight w:val="0"/>
      <w:marTop w:val="0"/>
      <w:marBottom w:val="0"/>
      <w:divBdr>
        <w:top w:val="none" w:sz="0" w:space="0" w:color="auto"/>
        <w:left w:val="none" w:sz="0" w:space="0" w:color="auto"/>
        <w:bottom w:val="none" w:sz="0" w:space="0" w:color="auto"/>
        <w:right w:val="none" w:sz="0" w:space="0" w:color="auto"/>
      </w:divBdr>
      <w:divsChild>
        <w:div w:id="1917546095">
          <w:marLeft w:val="547"/>
          <w:marRight w:val="0"/>
          <w:marTop w:val="0"/>
          <w:marBottom w:val="0"/>
          <w:divBdr>
            <w:top w:val="none" w:sz="0" w:space="0" w:color="auto"/>
            <w:left w:val="none" w:sz="0" w:space="0" w:color="auto"/>
            <w:bottom w:val="none" w:sz="0" w:space="0" w:color="auto"/>
            <w:right w:val="none" w:sz="0" w:space="0" w:color="auto"/>
          </w:divBdr>
        </w:div>
      </w:divsChild>
    </w:div>
    <w:div w:id="1414007839">
      <w:bodyDiv w:val="1"/>
      <w:marLeft w:val="0"/>
      <w:marRight w:val="0"/>
      <w:marTop w:val="0"/>
      <w:marBottom w:val="0"/>
      <w:divBdr>
        <w:top w:val="none" w:sz="0" w:space="0" w:color="auto"/>
        <w:left w:val="none" w:sz="0" w:space="0" w:color="auto"/>
        <w:bottom w:val="none" w:sz="0" w:space="0" w:color="auto"/>
        <w:right w:val="none" w:sz="0" w:space="0" w:color="auto"/>
      </w:divBdr>
    </w:div>
    <w:div w:id="1416366251">
      <w:bodyDiv w:val="1"/>
      <w:marLeft w:val="0"/>
      <w:marRight w:val="0"/>
      <w:marTop w:val="0"/>
      <w:marBottom w:val="0"/>
      <w:divBdr>
        <w:top w:val="none" w:sz="0" w:space="0" w:color="auto"/>
        <w:left w:val="none" w:sz="0" w:space="0" w:color="auto"/>
        <w:bottom w:val="none" w:sz="0" w:space="0" w:color="auto"/>
        <w:right w:val="none" w:sz="0" w:space="0" w:color="auto"/>
      </w:divBdr>
      <w:divsChild>
        <w:div w:id="1342126947">
          <w:marLeft w:val="1080"/>
          <w:marRight w:val="0"/>
          <w:marTop w:val="0"/>
          <w:marBottom w:val="160"/>
          <w:divBdr>
            <w:top w:val="none" w:sz="0" w:space="0" w:color="auto"/>
            <w:left w:val="none" w:sz="0" w:space="0" w:color="auto"/>
            <w:bottom w:val="none" w:sz="0" w:space="0" w:color="auto"/>
            <w:right w:val="none" w:sz="0" w:space="0" w:color="auto"/>
          </w:divBdr>
        </w:div>
      </w:divsChild>
    </w:div>
    <w:div w:id="1429622241">
      <w:bodyDiv w:val="1"/>
      <w:marLeft w:val="0"/>
      <w:marRight w:val="0"/>
      <w:marTop w:val="0"/>
      <w:marBottom w:val="0"/>
      <w:divBdr>
        <w:top w:val="none" w:sz="0" w:space="0" w:color="auto"/>
        <w:left w:val="none" w:sz="0" w:space="0" w:color="auto"/>
        <w:bottom w:val="none" w:sz="0" w:space="0" w:color="auto"/>
        <w:right w:val="none" w:sz="0" w:space="0" w:color="auto"/>
      </w:divBdr>
    </w:div>
    <w:div w:id="1498036905">
      <w:bodyDiv w:val="1"/>
      <w:marLeft w:val="0"/>
      <w:marRight w:val="0"/>
      <w:marTop w:val="0"/>
      <w:marBottom w:val="0"/>
      <w:divBdr>
        <w:top w:val="none" w:sz="0" w:space="0" w:color="auto"/>
        <w:left w:val="none" w:sz="0" w:space="0" w:color="auto"/>
        <w:bottom w:val="none" w:sz="0" w:space="0" w:color="auto"/>
        <w:right w:val="none" w:sz="0" w:space="0" w:color="auto"/>
      </w:divBdr>
    </w:div>
    <w:div w:id="1551958126">
      <w:bodyDiv w:val="1"/>
      <w:marLeft w:val="0"/>
      <w:marRight w:val="0"/>
      <w:marTop w:val="0"/>
      <w:marBottom w:val="0"/>
      <w:divBdr>
        <w:top w:val="none" w:sz="0" w:space="0" w:color="auto"/>
        <w:left w:val="none" w:sz="0" w:space="0" w:color="auto"/>
        <w:bottom w:val="none" w:sz="0" w:space="0" w:color="auto"/>
        <w:right w:val="none" w:sz="0" w:space="0" w:color="auto"/>
      </w:divBdr>
    </w:div>
    <w:div w:id="1577780318">
      <w:bodyDiv w:val="1"/>
      <w:marLeft w:val="0"/>
      <w:marRight w:val="0"/>
      <w:marTop w:val="0"/>
      <w:marBottom w:val="0"/>
      <w:divBdr>
        <w:top w:val="none" w:sz="0" w:space="0" w:color="auto"/>
        <w:left w:val="none" w:sz="0" w:space="0" w:color="auto"/>
        <w:bottom w:val="none" w:sz="0" w:space="0" w:color="auto"/>
        <w:right w:val="none" w:sz="0" w:space="0" w:color="auto"/>
      </w:divBdr>
    </w:div>
    <w:div w:id="1612741329">
      <w:bodyDiv w:val="1"/>
      <w:marLeft w:val="0"/>
      <w:marRight w:val="0"/>
      <w:marTop w:val="0"/>
      <w:marBottom w:val="0"/>
      <w:divBdr>
        <w:top w:val="none" w:sz="0" w:space="0" w:color="auto"/>
        <w:left w:val="none" w:sz="0" w:space="0" w:color="auto"/>
        <w:bottom w:val="none" w:sz="0" w:space="0" w:color="auto"/>
        <w:right w:val="none" w:sz="0" w:space="0" w:color="auto"/>
      </w:divBdr>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29497992">
      <w:bodyDiv w:val="1"/>
      <w:marLeft w:val="0"/>
      <w:marRight w:val="0"/>
      <w:marTop w:val="0"/>
      <w:marBottom w:val="0"/>
      <w:divBdr>
        <w:top w:val="none" w:sz="0" w:space="0" w:color="auto"/>
        <w:left w:val="none" w:sz="0" w:space="0" w:color="auto"/>
        <w:bottom w:val="none" w:sz="0" w:space="0" w:color="auto"/>
        <w:right w:val="none" w:sz="0" w:space="0" w:color="auto"/>
      </w:divBdr>
    </w:div>
    <w:div w:id="1733187342">
      <w:bodyDiv w:val="1"/>
      <w:marLeft w:val="0"/>
      <w:marRight w:val="0"/>
      <w:marTop w:val="0"/>
      <w:marBottom w:val="0"/>
      <w:divBdr>
        <w:top w:val="none" w:sz="0" w:space="0" w:color="auto"/>
        <w:left w:val="none" w:sz="0" w:space="0" w:color="auto"/>
        <w:bottom w:val="none" w:sz="0" w:space="0" w:color="auto"/>
        <w:right w:val="none" w:sz="0" w:space="0" w:color="auto"/>
      </w:divBdr>
      <w:divsChild>
        <w:div w:id="53236184">
          <w:marLeft w:val="1008"/>
          <w:marRight w:val="0"/>
          <w:marTop w:val="120"/>
          <w:marBottom w:val="120"/>
          <w:divBdr>
            <w:top w:val="none" w:sz="0" w:space="0" w:color="auto"/>
            <w:left w:val="none" w:sz="0" w:space="0" w:color="auto"/>
            <w:bottom w:val="none" w:sz="0" w:space="0" w:color="auto"/>
            <w:right w:val="none" w:sz="0" w:space="0" w:color="auto"/>
          </w:divBdr>
        </w:div>
        <w:div w:id="677971235">
          <w:marLeft w:val="576"/>
          <w:marRight w:val="0"/>
          <w:marTop w:val="120"/>
          <w:marBottom w:val="120"/>
          <w:divBdr>
            <w:top w:val="none" w:sz="0" w:space="0" w:color="auto"/>
            <w:left w:val="none" w:sz="0" w:space="0" w:color="auto"/>
            <w:bottom w:val="none" w:sz="0" w:space="0" w:color="auto"/>
            <w:right w:val="none" w:sz="0" w:space="0" w:color="auto"/>
          </w:divBdr>
        </w:div>
        <w:div w:id="806170950">
          <w:marLeft w:val="576"/>
          <w:marRight w:val="0"/>
          <w:marTop w:val="120"/>
          <w:marBottom w:val="120"/>
          <w:divBdr>
            <w:top w:val="none" w:sz="0" w:space="0" w:color="auto"/>
            <w:left w:val="none" w:sz="0" w:space="0" w:color="auto"/>
            <w:bottom w:val="none" w:sz="0" w:space="0" w:color="auto"/>
            <w:right w:val="none" w:sz="0" w:space="0" w:color="auto"/>
          </w:divBdr>
        </w:div>
        <w:div w:id="963345573">
          <w:marLeft w:val="1008"/>
          <w:marRight w:val="0"/>
          <w:marTop w:val="120"/>
          <w:marBottom w:val="120"/>
          <w:divBdr>
            <w:top w:val="none" w:sz="0" w:space="0" w:color="auto"/>
            <w:left w:val="none" w:sz="0" w:space="0" w:color="auto"/>
            <w:bottom w:val="none" w:sz="0" w:space="0" w:color="auto"/>
            <w:right w:val="none" w:sz="0" w:space="0" w:color="auto"/>
          </w:divBdr>
        </w:div>
        <w:div w:id="1584872372">
          <w:marLeft w:val="576"/>
          <w:marRight w:val="0"/>
          <w:marTop w:val="120"/>
          <w:marBottom w:val="120"/>
          <w:divBdr>
            <w:top w:val="none" w:sz="0" w:space="0" w:color="auto"/>
            <w:left w:val="none" w:sz="0" w:space="0" w:color="auto"/>
            <w:bottom w:val="none" w:sz="0" w:space="0" w:color="auto"/>
            <w:right w:val="none" w:sz="0" w:space="0" w:color="auto"/>
          </w:divBdr>
        </w:div>
        <w:div w:id="1608124795">
          <w:marLeft w:val="1008"/>
          <w:marRight w:val="0"/>
          <w:marTop w:val="120"/>
          <w:marBottom w:val="120"/>
          <w:divBdr>
            <w:top w:val="none" w:sz="0" w:space="0" w:color="auto"/>
            <w:left w:val="none" w:sz="0" w:space="0" w:color="auto"/>
            <w:bottom w:val="none" w:sz="0" w:space="0" w:color="auto"/>
            <w:right w:val="none" w:sz="0" w:space="0" w:color="auto"/>
          </w:divBdr>
        </w:div>
        <w:div w:id="1688410169">
          <w:marLeft w:val="576"/>
          <w:marRight w:val="0"/>
          <w:marTop w:val="120"/>
          <w:marBottom w:val="120"/>
          <w:divBdr>
            <w:top w:val="none" w:sz="0" w:space="0" w:color="auto"/>
            <w:left w:val="none" w:sz="0" w:space="0" w:color="auto"/>
            <w:bottom w:val="none" w:sz="0" w:space="0" w:color="auto"/>
            <w:right w:val="none" w:sz="0" w:space="0" w:color="auto"/>
          </w:divBdr>
        </w:div>
      </w:divsChild>
    </w:div>
    <w:div w:id="1822624515">
      <w:bodyDiv w:val="1"/>
      <w:marLeft w:val="0"/>
      <w:marRight w:val="0"/>
      <w:marTop w:val="0"/>
      <w:marBottom w:val="0"/>
      <w:divBdr>
        <w:top w:val="none" w:sz="0" w:space="0" w:color="auto"/>
        <w:left w:val="none" w:sz="0" w:space="0" w:color="auto"/>
        <w:bottom w:val="none" w:sz="0" w:space="0" w:color="auto"/>
        <w:right w:val="none" w:sz="0" w:space="0" w:color="auto"/>
      </w:divBdr>
    </w:div>
    <w:div w:id="1935169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6210">
          <w:marLeft w:val="547"/>
          <w:marRight w:val="0"/>
          <w:marTop w:val="0"/>
          <w:marBottom w:val="0"/>
          <w:divBdr>
            <w:top w:val="none" w:sz="0" w:space="0" w:color="auto"/>
            <w:left w:val="none" w:sz="0" w:space="0" w:color="auto"/>
            <w:bottom w:val="none" w:sz="0" w:space="0" w:color="auto"/>
            <w:right w:val="none" w:sz="0" w:space="0" w:color="auto"/>
          </w:divBdr>
        </w:div>
      </w:divsChild>
    </w:div>
    <w:div w:id="1959944986">
      <w:bodyDiv w:val="1"/>
      <w:marLeft w:val="0"/>
      <w:marRight w:val="0"/>
      <w:marTop w:val="0"/>
      <w:marBottom w:val="0"/>
      <w:divBdr>
        <w:top w:val="none" w:sz="0" w:space="0" w:color="auto"/>
        <w:left w:val="none" w:sz="0" w:space="0" w:color="auto"/>
        <w:bottom w:val="none" w:sz="0" w:space="0" w:color="auto"/>
        <w:right w:val="none" w:sz="0" w:space="0" w:color="auto"/>
      </w:divBdr>
    </w:div>
    <w:div w:id="1960915898">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4987981">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hyperlink" Target="https://www.cde.ca.gov/be/ag/ag/yr22/documents/mar22item03rev.docx"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www.cde.ca.gov/be/ag/ag/yr23/documents/mar23item03.docx"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https://www.cde.ca.gov/be/ag/ag/yr14/documents/nov14item14.doc" TargetMode="External"/><Relationship Id="rId112" Type="http://schemas.openxmlformats.org/officeDocument/2006/relationships/hyperlink" Target="about:blank" TargetMode="External"/><Relationship Id="rId133" Type="http://schemas.openxmlformats.org/officeDocument/2006/relationships/hyperlink" Target="https://www.cde.ca.gov/be/ag/ag/yr16/documents/sep16item02.doc" TargetMode="External"/><Relationship Id="rId138" Type="http://schemas.openxmlformats.org/officeDocument/2006/relationships/footer" Target="footer4.xml"/><Relationship Id="rId154" Type="http://schemas.openxmlformats.org/officeDocument/2006/relationships/image" Target="media/image2.png"/><Relationship Id="rId159" Type="http://schemas.openxmlformats.org/officeDocument/2006/relationships/hyperlink" Target="https://www.cde.ca.gov/be/ag/ag/yr23/agenda202309.asp" TargetMode="External"/><Relationship Id="rId16" Type="http://schemas.openxmlformats.org/officeDocument/2006/relationships/footer" Target="footer3.xml"/><Relationship Id="rId107" Type="http://schemas.openxmlformats.org/officeDocument/2006/relationships/hyperlink" Target="about:blank" TargetMode="External"/><Relationship Id="rId11" Type="http://schemas.openxmlformats.org/officeDocument/2006/relationships/image" Target="media/image1.pn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https://www.cde.ca.gov/be/ag/ag/yr18/documents/jul18item02.docx" TargetMode="External"/><Relationship Id="rId128" Type="http://schemas.openxmlformats.org/officeDocument/2006/relationships/hyperlink" Target="https://www.cde.ca.gov/be/ag/ag/yr17/documents/jul17item03rev.doc" TargetMode="External"/><Relationship Id="rId144" Type="http://schemas.openxmlformats.org/officeDocument/2006/relationships/header" Target="header6.xml"/><Relationship Id="rId149" Type="http://schemas.openxmlformats.org/officeDocument/2006/relationships/hyperlink" Target="https://www.cde.ca.gov/ta/tg/ep/documents/eldconnectorsaltelpac.docx" TargetMode="External"/><Relationship Id="rId5" Type="http://schemas.openxmlformats.org/officeDocument/2006/relationships/numbering" Target="numbering.xml"/><Relationship Id="rId90" Type="http://schemas.openxmlformats.org/officeDocument/2006/relationships/hyperlink" Target="https://www.cde.ca.gov/be/ag/ag/yr16/documents/may16item02revised.doc" TargetMode="External"/><Relationship Id="rId95" Type="http://schemas.openxmlformats.org/officeDocument/2006/relationships/hyperlink" Target="https://www.cde.ca.gov/be/ag/ag/yr18/documents/sep18item01.docx" TargetMode="External"/><Relationship Id="rId160" Type="http://schemas.openxmlformats.org/officeDocument/2006/relationships/header" Target="header10.xml"/><Relationship Id="rId165" Type="http://schemas.openxmlformats.org/officeDocument/2006/relationships/theme" Target="theme/theme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https://www.cde.ca.gov/be/ag/ag/yr21/documents/nov21item06.docx" TargetMode="External"/><Relationship Id="rId134" Type="http://schemas.openxmlformats.org/officeDocument/2006/relationships/hyperlink" Target="https://www.cde.ca.gov/be/ag/ag/yr16/documents/jul16item04.doc" TargetMode="External"/><Relationship Id="rId139" Type="http://schemas.openxmlformats.org/officeDocument/2006/relationships/header" Target="header4.xm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https://www.cde.ca.gov/be/ag/ag/yr23/documents/mar23item03.docx" TargetMode="External"/><Relationship Id="rId155"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hyperlink" Target="https://www.cde.ca.gov/essa"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https://www.cde.ca.gov/be/pn/im/documents/jun22memoamard01.docx" TargetMode="External"/><Relationship Id="rId108" Type="http://schemas.openxmlformats.org/officeDocument/2006/relationships/hyperlink" Target="about:blank" TargetMode="External"/><Relationship Id="rId124" Type="http://schemas.openxmlformats.org/officeDocument/2006/relationships/hyperlink" Target="https://www.cde.ca.gov/be/ag/ag/yr18/documents/apr18item01.docx" TargetMode="External"/><Relationship Id="rId129" Type="http://schemas.openxmlformats.org/officeDocument/2006/relationships/hyperlink" Target="https://www.cde.ca.gov/be/ag/ag/yr17/documents/may17item03.doc" TargetMode="External"/><Relationship Id="rId54" Type="http://schemas.openxmlformats.org/officeDocument/2006/relationships/hyperlink" Target="about:blank" TargetMode="External"/><Relationship Id="rId70" Type="http://schemas.openxmlformats.org/officeDocument/2006/relationships/hyperlink" Target="https://www.cde.ca.gov/be/ag/ag/yr23/documents/mar23item03.docx" TargetMode="External"/><Relationship Id="rId75" Type="http://schemas.openxmlformats.org/officeDocument/2006/relationships/hyperlink" Target="https://www.cde.ca.gov/be/pn/im/documents/memo-pptb-amard-jun18item02.docx" TargetMode="External"/><Relationship Id="rId91" Type="http://schemas.openxmlformats.org/officeDocument/2006/relationships/hyperlink" Target="https://www.cde.ca.gov/be/ag/ag/yr17/documents/sep17item02.doc" TargetMode="External"/><Relationship Id="rId96" Type="http://schemas.openxmlformats.org/officeDocument/2006/relationships/hyperlink" Target="https://www.cde.ca.gov/be/ag/ag/yr18/documents/nov18item04.docx" TargetMode="External"/><Relationship Id="rId140" Type="http://schemas.openxmlformats.org/officeDocument/2006/relationships/footer" Target="footer5.xml"/><Relationship Id="rId145" Type="http://schemas.openxmlformats.org/officeDocument/2006/relationships/footer" Target="footer6.xml"/><Relationship Id="rId161" Type="http://schemas.openxmlformats.org/officeDocument/2006/relationships/header" Target="header11.xml"/><Relationship Id="rId16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https://www.cde.ca.gov/be/pn/im/documents/jun21memoeeed01.docx" TargetMode="External"/><Relationship Id="rId127" Type="http://schemas.openxmlformats.org/officeDocument/2006/relationships/hyperlink" Target="https://www.cde.ca.gov/be/ag/ag/yr17/documents/sep17item04.doc" TargetMode="External"/><Relationship Id="rId10" Type="http://schemas.openxmlformats.org/officeDocument/2006/relationships/endnotes" Target="endnote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https://www.cde.ca.gov/be/pn/im/documents/memo-pptb-amard-aug18item02.docx"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https://www.cde.ca.gov/be/ag/ag/yr19/documents/nov19item05rev.docx" TargetMode="External"/><Relationship Id="rId130" Type="http://schemas.openxmlformats.org/officeDocument/2006/relationships/hyperlink" Target="https://www.cde.ca.gov/be/ag/ag/yr17/documents/mar17item04.doc" TargetMode="External"/><Relationship Id="rId135" Type="http://schemas.openxmlformats.org/officeDocument/2006/relationships/hyperlink" Target="https://www.cde.ca.gov/be/ag/ag/yr16/documents/may16item05.doc" TargetMode="External"/><Relationship Id="rId143" Type="http://schemas.openxmlformats.org/officeDocument/2006/relationships/header" Target="header5.xml"/><Relationship Id="rId148" Type="http://schemas.openxmlformats.org/officeDocument/2006/relationships/footer" Target="footer8.xml"/><Relationship Id="rId151" Type="http://schemas.openxmlformats.org/officeDocument/2006/relationships/hyperlink" Target="https://www.cde.ca.gov/be/ag/ag/yr23/documents/jul23item02.docx" TargetMode="External"/><Relationship Id="rId156" Type="http://schemas.openxmlformats.org/officeDocument/2006/relationships/header" Target="header8.xm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https://www.cde.ca.gov/be/ag/ag/yr23/documents/jul23item02.docx" TargetMode="External"/><Relationship Id="rId104" Type="http://schemas.openxmlformats.org/officeDocument/2006/relationships/hyperlink" Target="https://www.cde.ca.gov/be/ag/ag/yr22/documents/sep22item02rev.docx" TargetMode="External"/><Relationship Id="rId120" Type="http://schemas.openxmlformats.org/officeDocument/2006/relationships/hyperlink" Target="https://www.cde.ca.gov/be/pn/im/documents/dec20gad01.docx" TargetMode="External"/><Relationship Id="rId125" Type="http://schemas.openxmlformats.org/officeDocument/2006/relationships/hyperlink" Target="https://www.cde.ca.gov/be/ag/ag/yr18/documents/mar18item04.docx" TargetMode="External"/><Relationship Id="rId141" Type="http://schemas.openxmlformats.org/officeDocument/2006/relationships/hyperlink" Target="https://www.cde.ca.gov/be/ag/ag/yr17/documents/sep17item02.doc" TargetMode="External"/><Relationship Id="rId146" Type="http://schemas.openxmlformats.org/officeDocument/2006/relationships/footer" Target="footer7.xml"/><Relationship Id="rId167"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about:blank" TargetMode="External"/><Relationship Id="rId92" Type="http://schemas.openxmlformats.org/officeDocument/2006/relationships/hyperlink" Target="https://www.cde.ca.gov/be/ag/ag/yr17/documents/nov17item03.doc" TargetMode="External"/><Relationship Id="rId162"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https://www.cde.ca.gov/be/ag/ag/yr23/documents/mar23item03.docx"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https://www.cde.ca.gov/be/ag/ag/yr17/documents/jan17item04.doc" TargetMode="External"/><Relationship Id="rId136" Type="http://schemas.openxmlformats.org/officeDocument/2006/relationships/hyperlink" Target="https://www.cde.ca.gov/be/ag/ag/yr16/documents/jan16item01.doc" TargetMode="External"/><Relationship Id="rId157" Type="http://schemas.openxmlformats.org/officeDocument/2006/relationships/footer" Target="footer9.xm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https://www.cde.ca.gov/ds/ad/tamoinfo.asp" TargetMode="External"/><Relationship Id="rId19" Type="http://schemas.openxmlformats.org/officeDocument/2006/relationships/hyperlink" Target="about:blank" TargetMode="External"/><Relationship Id="rId14" Type="http://schemas.openxmlformats.org/officeDocument/2006/relationships/footer" Target="footer2.xm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https://www.cde.ca.gov/be/ag/ag/yr18/documents/jan18item05.docx" TargetMode="External"/><Relationship Id="rId147"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https://www.cde.ca.gov/be/ag/ag/yr18/documents/mar18item01.docx" TargetMode="External"/><Relationship Id="rId98" Type="http://schemas.openxmlformats.org/officeDocument/2006/relationships/hyperlink" Target="about:blank" TargetMode="External"/><Relationship Id="rId121" Type="http://schemas.openxmlformats.org/officeDocument/2006/relationships/hyperlink" Target="https://www.cde.ca.gov/be/ag/ag/yr20/documents/jan20item07.docx" TargetMode="External"/><Relationship Id="rId142" Type="http://schemas.openxmlformats.org/officeDocument/2006/relationships/hyperlink" Target="https://www.cde.ca.gov/be/pn/im/memo-pptb-amard-apr18item01a1.asp)" TargetMode="External"/><Relationship Id="rId163" Type="http://schemas.openxmlformats.org/officeDocument/2006/relationships/footer" Target="footer10.xml"/><Relationship Id="rId3" Type="http://schemas.openxmlformats.org/officeDocument/2006/relationships/customXml" Target="../customXml/item3.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https://www.cde.ca.gov/be/pn/im/documents/feb23memoamard01revb.docx" TargetMode="External"/><Relationship Id="rId137" Type="http://schemas.openxmlformats.org/officeDocument/2006/relationships/header" Target="header3.xml"/><Relationship Id="rId158" Type="http://schemas.openxmlformats.org/officeDocument/2006/relationships/header" Target="header9.xm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https://www.cde.ca.gov/be/pn/im/documents/jun23memoamard02.docx" TargetMode="External"/><Relationship Id="rId111" Type="http://schemas.openxmlformats.org/officeDocument/2006/relationships/hyperlink" Target="about:blank" TargetMode="External"/><Relationship Id="rId132" Type="http://schemas.openxmlformats.org/officeDocument/2006/relationships/hyperlink" Target="https://www.cde.ca.gov/be/ag/ag/yr16/documents/nov16item05.doc" TargetMode="External"/><Relationship Id="rId153" Type="http://schemas.openxmlformats.org/officeDocument/2006/relationships/hyperlink" Target="https://dq.cde.ca.gov/dataquest/DQCensus/TchAssgnOutcomeLevels.aspx?cds=3467439&amp;agglevel=District&amp;year=2021-22&amp;initrow=Yr&amp;ro=y&amp;ro=y" TargetMode="External"/></Relationships>
</file>

<file path=word/documenttasks/documenttasks1.xml><?xml version="1.0" encoding="utf-8"?>
<t:Tasks xmlns:t="http://schemas.microsoft.com/office/tasks/2019/documenttasks" xmlns:oel="http://schemas.microsoft.com/office/2019/extlst">
  <t:Task id="{C25DD4FA-9598-4CA2-9AFD-855F061EF379}">
    <t:Anchor>
      <t:Comment id="63676022"/>
    </t:Anchor>
    <t:History>
      <t:Event id="{5CE7AE14-8FC2-4336-956D-DECB126455D0}" time="2023-08-29T22:58:06.321Z">
        <t:Attribution userId="S::kmundhenk@cde.ca.gov::2690db94-bff9-4ca8-85c8-228871e6b5de" userProvider="AD" userName="Kimberly Mundhenk"/>
        <t:Anchor>
          <t:Comment id="63676022"/>
        </t:Anchor>
        <t:Create/>
      </t:Event>
      <t:Event id="{5F7B2524-5B8A-4C5C-81CA-BDB4578C66F7}" time="2023-08-29T22:58:06.321Z">
        <t:Attribution userId="S::kmundhenk@cde.ca.gov::2690db94-bff9-4ca8-85c8-228871e6b5de" userProvider="AD" userName="Kimberly Mundhenk"/>
        <t:Anchor>
          <t:Comment id="63676022"/>
        </t:Anchor>
        <t:Assign userId="S::JLane@cde.ca.gov::5f31924b-c949-4cb3-aad1-b71d44a7db32" userProvider="AD" userName="Justin Lane"/>
      </t:Event>
      <t:Event id="{88FCF7B1-2CF6-4E6A-B612-E6649CCF3ED5}" time="2023-08-29T22:58:06.321Z">
        <t:Attribution userId="S::kmundhenk@cde.ca.gov::2690db94-bff9-4ca8-85c8-228871e6b5de" userProvider="AD" userName="Kimberly Mundhenk"/>
        <t:Anchor>
          <t:Comment id="63676022"/>
        </t:Anchor>
        <t:SetTitle title="@Justin Lane"/>
      </t:Event>
    </t:History>
  </t:Task>
  <t:Task id="{6F0EDCF6-AD4B-4CDB-BCFB-6F6619B66CDA}">
    <t:Anchor>
      <t:Comment id="679266874"/>
    </t:Anchor>
    <t:History>
      <t:Event id="{78CA7B90-831C-4BEA-A0BC-D8B741C97B85}" time="2023-08-29T22:57:46.66Z">
        <t:Attribution userId="S::kmundhenk@cde.ca.gov::2690db94-bff9-4ca8-85c8-228871e6b5de" userProvider="AD" userName="Kimberly Mundhenk"/>
        <t:Anchor>
          <t:Comment id="278197045"/>
        </t:Anchor>
        <t:Create/>
      </t:Event>
      <t:Event id="{4995485A-EB1C-4A02-B7A4-20DF37AEAD53}" time="2023-08-29T22:57:46.66Z">
        <t:Attribution userId="S::kmundhenk@cde.ca.gov::2690db94-bff9-4ca8-85c8-228871e6b5de" userProvider="AD" userName="Kimberly Mundhenk"/>
        <t:Anchor>
          <t:Comment id="278197045"/>
        </t:Anchor>
        <t:Assign userId="S::JLane@cde.ca.gov::5f31924b-c949-4cb3-aad1-b71d44a7db32" userProvider="AD" userName="Justin Lane"/>
      </t:Event>
      <t:Event id="{A735619D-DA1B-497D-8919-DA2682FFA69E}" time="2023-08-29T22:57:46.66Z">
        <t:Attribution userId="S::kmundhenk@cde.ca.gov::2690db94-bff9-4ca8-85c8-228871e6b5de" userProvider="AD" userName="Kimberly Mundhenk"/>
        <t:Anchor>
          <t:Comment id="278197045"/>
        </t:Anchor>
        <t:SetTitle title="@Justin Lane"/>
      </t:Event>
    </t:History>
  </t:Task>
  <t:Task id="{D50E5918-B2C6-4A7F-A9CB-6C17DA7B8730}">
    <t:Anchor>
      <t:Comment id="994874166"/>
    </t:Anchor>
    <t:History>
      <t:Event id="{D2A360D7-D939-489A-AC84-F46F0C055370}" time="2023-08-29T22:58:24.469Z">
        <t:Attribution userId="S::kmundhenk@cde.ca.gov::2690db94-bff9-4ca8-85c8-228871e6b5de" userProvider="AD" userName="Kimberly Mundhenk"/>
        <t:Anchor>
          <t:Comment id="582514823"/>
        </t:Anchor>
        <t:Create/>
      </t:Event>
      <t:Event id="{0086AD0E-5A37-4667-A9EF-8CD749174B9E}" time="2023-08-29T22:58:24.469Z">
        <t:Attribution userId="S::kmundhenk@cde.ca.gov::2690db94-bff9-4ca8-85c8-228871e6b5de" userProvider="AD" userName="Kimberly Mundhenk"/>
        <t:Anchor>
          <t:Comment id="582514823"/>
        </t:Anchor>
        <t:Assign userId="S::JLane@cde.ca.gov::5f31924b-c949-4cb3-aad1-b71d44a7db32" userProvider="AD" userName="Justin Lane"/>
      </t:Event>
      <t:Event id="{D9D09C46-E4BC-40F6-B694-33646A6788AA}" time="2023-08-29T22:58:24.469Z">
        <t:Attribution userId="S::kmundhenk@cde.ca.gov::2690db94-bff9-4ca8-85c8-228871e6b5de" userProvider="AD" userName="Kimberly Mundhenk"/>
        <t:Anchor>
          <t:Comment id="582514823"/>
        </t:Anchor>
        <t:SetTitle title="@Justin La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UserInfo>
        <DisplayName>Kimberly Mundhenk</DisplayName>
        <AccountId>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3990f0b8a4369770e3eba29907b7d95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aaf8229932589f99ea3a037ea4b5ff1"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7CE268BC-2DC7-461B-AA73-F48EA9B51AED}">
  <ds:schemaRefs>
    <ds:schemaRef ds:uri="http://schemas.openxmlformats.org/officeDocument/2006/bibliography"/>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CC962C84-D729-4FE4-BD3D-DB7B1EF1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70</Pages>
  <Words>21877</Words>
  <Characters>124700</Characters>
  <DocSecurity>0</DocSecurity>
  <Lines>1039</Lines>
  <Paragraphs>292</Paragraphs>
  <ScaleCrop>false</ScaleCrop>
  <HeadingPairs>
    <vt:vector size="2" baseType="variant">
      <vt:variant>
        <vt:lpstr>Title</vt:lpstr>
      </vt:variant>
      <vt:variant>
        <vt:i4>1</vt:i4>
      </vt:variant>
    </vt:vector>
  </HeadingPairs>
  <TitlesOfParts>
    <vt:vector size="1" baseType="lpstr">
      <vt:lpstr>September 2023 Agenda Item 08 - Meeting Agendas (CA State Board of Education)</vt:lpstr>
    </vt:vector>
  </TitlesOfParts>
  <Company>California State Board of Education</Company>
  <LinksUpToDate>false</LinksUpToDate>
  <CharactersWithSpaces>146285</CharactersWithSpaces>
  <SharedDoc>false</SharedDoc>
  <HLinks>
    <vt:vector size="768" baseType="variant">
      <vt:variant>
        <vt:i4>5898320</vt:i4>
      </vt:variant>
      <vt:variant>
        <vt:i4>381</vt:i4>
      </vt:variant>
      <vt:variant>
        <vt:i4>0</vt:i4>
      </vt:variant>
      <vt:variant>
        <vt:i4>5</vt:i4>
      </vt:variant>
      <vt:variant>
        <vt:lpwstr>https://www.cde.ca.gov/be/ag/ag/yr23/agenda202309.asp</vt:lpwstr>
      </vt:variant>
      <vt:variant>
        <vt:lpwstr/>
      </vt:variant>
      <vt:variant>
        <vt:i4>6750315</vt:i4>
      </vt:variant>
      <vt:variant>
        <vt:i4>378</vt:i4>
      </vt:variant>
      <vt:variant>
        <vt:i4>0</vt:i4>
      </vt:variant>
      <vt:variant>
        <vt:i4>5</vt:i4>
      </vt:variant>
      <vt:variant>
        <vt:lpwstr>https://dq.cde.ca.gov/dataquest/DQCensus/TchAssgnOutcomeLevels.aspx?cds=3467439&amp;agglevel=District&amp;year=2021-22&amp;initrow=Yr&amp;ro=y&amp;ro=y</vt:lpwstr>
      </vt:variant>
      <vt:variant>
        <vt:lpwstr/>
      </vt:variant>
      <vt:variant>
        <vt:i4>1441816</vt:i4>
      </vt:variant>
      <vt:variant>
        <vt:i4>375</vt:i4>
      </vt:variant>
      <vt:variant>
        <vt:i4>0</vt:i4>
      </vt:variant>
      <vt:variant>
        <vt:i4>5</vt:i4>
      </vt:variant>
      <vt:variant>
        <vt:lpwstr>https://www.cde.ca.gov/ds/ad/tamoinfo.asp</vt:lpwstr>
      </vt:variant>
      <vt:variant>
        <vt:lpwstr/>
      </vt:variant>
      <vt:variant>
        <vt:i4>3735677</vt:i4>
      </vt:variant>
      <vt:variant>
        <vt:i4>372</vt:i4>
      </vt:variant>
      <vt:variant>
        <vt:i4>0</vt:i4>
      </vt:variant>
      <vt:variant>
        <vt:i4>5</vt:i4>
      </vt:variant>
      <vt:variant>
        <vt:lpwstr>https://www.cde.ca.gov/be/ag/ag/yr23/documents/jul23item02.docx</vt:lpwstr>
      </vt:variant>
      <vt:variant>
        <vt:lpwstr/>
      </vt:variant>
      <vt:variant>
        <vt:i4>2162793</vt:i4>
      </vt:variant>
      <vt:variant>
        <vt:i4>369</vt:i4>
      </vt:variant>
      <vt:variant>
        <vt:i4>0</vt:i4>
      </vt:variant>
      <vt:variant>
        <vt:i4>5</vt:i4>
      </vt:variant>
      <vt:variant>
        <vt:lpwstr>https://www.cde.ca.gov/be/ag/ag/yr23/documents/mar23item03.docx</vt:lpwstr>
      </vt:variant>
      <vt:variant>
        <vt:lpwstr/>
      </vt:variant>
      <vt:variant>
        <vt:i4>196628</vt:i4>
      </vt:variant>
      <vt:variant>
        <vt:i4>366</vt:i4>
      </vt:variant>
      <vt:variant>
        <vt:i4>0</vt:i4>
      </vt:variant>
      <vt:variant>
        <vt:i4>5</vt:i4>
      </vt:variant>
      <vt:variant>
        <vt:lpwstr>https://www.cde.ca.gov/ta/tg/ep/documents/eldconnectorsaltelpac.docx</vt:lpwstr>
      </vt:variant>
      <vt:variant>
        <vt:lpwstr/>
      </vt:variant>
      <vt:variant>
        <vt:i4>7209060</vt:i4>
      </vt:variant>
      <vt:variant>
        <vt:i4>363</vt:i4>
      </vt:variant>
      <vt:variant>
        <vt:i4>0</vt:i4>
      </vt:variant>
      <vt:variant>
        <vt:i4>5</vt:i4>
      </vt:variant>
      <vt:variant>
        <vt:lpwstr>https://www.cde.ca.gov/be/pn/im/memo-pptb-amard-apr18item01a1.asp)</vt:lpwstr>
      </vt:variant>
      <vt:variant>
        <vt:lpwstr/>
      </vt:variant>
      <vt:variant>
        <vt:i4>3932269</vt:i4>
      </vt:variant>
      <vt:variant>
        <vt:i4>360</vt:i4>
      </vt:variant>
      <vt:variant>
        <vt:i4>0</vt:i4>
      </vt:variant>
      <vt:variant>
        <vt:i4>5</vt:i4>
      </vt:variant>
      <vt:variant>
        <vt:lpwstr>https://www.cde.ca.gov/be/ag/ag/yr17/documents/sep17item02.doc</vt:lpwstr>
      </vt:variant>
      <vt:variant>
        <vt:lpwstr/>
      </vt:variant>
      <vt:variant>
        <vt:i4>3670121</vt:i4>
      </vt:variant>
      <vt:variant>
        <vt:i4>357</vt:i4>
      </vt:variant>
      <vt:variant>
        <vt:i4>0</vt:i4>
      </vt:variant>
      <vt:variant>
        <vt:i4>5</vt:i4>
      </vt:variant>
      <vt:variant>
        <vt:lpwstr>https://www.cde.ca.gov/be/ag/ag/yr16/documents/jan16item01.doc</vt:lpwstr>
      </vt:variant>
      <vt:variant>
        <vt:lpwstr/>
      </vt:variant>
      <vt:variant>
        <vt:i4>2883689</vt:i4>
      </vt:variant>
      <vt:variant>
        <vt:i4>354</vt:i4>
      </vt:variant>
      <vt:variant>
        <vt:i4>0</vt:i4>
      </vt:variant>
      <vt:variant>
        <vt:i4>5</vt:i4>
      </vt:variant>
      <vt:variant>
        <vt:lpwstr>https://www.cde.ca.gov/be/ag/ag/yr16/documents/may16item05.doc</vt:lpwstr>
      </vt:variant>
      <vt:variant>
        <vt:lpwstr/>
      </vt:variant>
      <vt:variant>
        <vt:i4>4128893</vt:i4>
      </vt:variant>
      <vt:variant>
        <vt:i4>351</vt:i4>
      </vt:variant>
      <vt:variant>
        <vt:i4>0</vt:i4>
      </vt:variant>
      <vt:variant>
        <vt:i4>5</vt:i4>
      </vt:variant>
      <vt:variant>
        <vt:lpwstr>https://www.cde.ca.gov/be/ag/ag/yr16/documents/jul16item04.doc</vt:lpwstr>
      </vt:variant>
      <vt:variant>
        <vt:lpwstr/>
      </vt:variant>
      <vt:variant>
        <vt:i4>3932269</vt:i4>
      </vt:variant>
      <vt:variant>
        <vt:i4>348</vt:i4>
      </vt:variant>
      <vt:variant>
        <vt:i4>0</vt:i4>
      </vt:variant>
      <vt:variant>
        <vt:i4>5</vt:i4>
      </vt:variant>
      <vt:variant>
        <vt:lpwstr>https://www.cde.ca.gov/be/ag/ag/yr16/documents/sep16item02.doc</vt:lpwstr>
      </vt:variant>
      <vt:variant>
        <vt:lpwstr/>
      </vt:variant>
      <vt:variant>
        <vt:i4>2097255</vt:i4>
      </vt:variant>
      <vt:variant>
        <vt:i4>345</vt:i4>
      </vt:variant>
      <vt:variant>
        <vt:i4>0</vt:i4>
      </vt:variant>
      <vt:variant>
        <vt:i4>5</vt:i4>
      </vt:variant>
      <vt:variant>
        <vt:lpwstr>https://www.cde.ca.gov/be/ag/ag/yr16/documents/nov16item05.doc</vt:lpwstr>
      </vt:variant>
      <vt:variant>
        <vt:lpwstr/>
      </vt:variant>
      <vt:variant>
        <vt:i4>3997801</vt:i4>
      </vt:variant>
      <vt:variant>
        <vt:i4>342</vt:i4>
      </vt:variant>
      <vt:variant>
        <vt:i4>0</vt:i4>
      </vt:variant>
      <vt:variant>
        <vt:i4>5</vt:i4>
      </vt:variant>
      <vt:variant>
        <vt:lpwstr>https://www.cde.ca.gov/be/ag/ag/yr17/documents/jan17item04.doc</vt:lpwstr>
      </vt:variant>
      <vt:variant>
        <vt:lpwstr/>
      </vt:variant>
      <vt:variant>
        <vt:i4>2490473</vt:i4>
      </vt:variant>
      <vt:variant>
        <vt:i4>339</vt:i4>
      </vt:variant>
      <vt:variant>
        <vt:i4>0</vt:i4>
      </vt:variant>
      <vt:variant>
        <vt:i4>5</vt:i4>
      </vt:variant>
      <vt:variant>
        <vt:lpwstr>https://www.cde.ca.gov/be/ag/ag/yr17/documents/mar17item04.doc</vt:lpwstr>
      </vt:variant>
      <vt:variant>
        <vt:lpwstr/>
      </vt:variant>
      <vt:variant>
        <vt:i4>2752617</vt:i4>
      </vt:variant>
      <vt:variant>
        <vt:i4>336</vt:i4>
      </vt:variant>
      <vt:variant>
        <vt:i4>0</vt:i4>
      </vt:variant>
      <vt:variant>
        <vt:i4>5</vt:i4>
      </vt:variant>
      <vt:variant>
        <vt:lpwstr>https://www.cde.ca.gov/be/ag/ag/yr17/documents/may17item03.doc</vt:lpwstr>
      </vt:variant>
      <vt:variant>
        <vt:lpwstr/>
      </vt:variant>
      <vt:variant>
        <vt:i4>1769564</vt:i4>
      </vt:variant>
      <vt:variant>
        <vt:i4>333</vt:i4>
      </vt:variant>
      <vt:variant>
        <vt:i4>0</vt:i4>
      </vt:variant>
      <vt:variant>
        <vt:i4>5</vt:i4>
      </vt:variant>
      <vt:variant>
        <vt:lpwstr>https://www.cde.ca.gov/be/ag/ag/yr17/documents/jul17item03rev.doc</vt:lpwstr>
      </vt:variant>
      <vt:variant>
        <vt:lpwstr/>
      </vt:variant>
      <vt:variant>
        <vt:i4>3801197</vt:i4>
      </vt:variant>
      <vt:variant>
        <vt:i4>330</vt:i4>
      </vt:variant>
      <vt:variant>
        <vt:i4>0</vt:i4>
      </vt:variant>
      <vt:variant>
        <vt:i4>5</vt:i4>
      </vt:variant>
      <vt:variant>
        <vt:lpwstr>https://www.cde.ca.gov/be/ag/ag/yr17/documents/sep17item04.doc</vt:lpwstr>
      </vt:variant>
      <vt:variant>
        <vt:lpwstr/>
      </vt:variant>
      <vt:variant>
        <vt:i4>3932265</vt:i4>
      </vt:variant>
      <vt:variant>
        <vt:i4>327</vt:i4>
      </vt:variant>
      <vt:variant>
        <vt:i4>0</vt:i4>
      </vt:variant>
      <vt:variant>
        <vt:i4>5</vt:i4>
      </vt:variant>
      <vt:variant>
        <vt:lpwstr>https://www.cde.ca.gov/be/ag/ag/yr18/documents/jan18item05.docx</vt:lpwstr>
      </vt:variant>
      <vt:variant>
        <vt:lpwstr/>
      </vt:variant>
      <vt:variant>
        <vt:i4>2490473</vt:i4>
      </vt:variant>
      <vt:variant>
        <vt:i4>324</vt:i4>
      </vt:variant>
      <vt:variant>
        <vt:i4>0</vt:i4>
      </vt:variant>
      <vt:variant>
        <vt:i4>5</vt:i4>
      </vt:variant>
      <vt:variant>
        <vt:lpwstr>https://www.cde.ca.gov/be/ag/ag/yr18/documents/mar18item04.docx</vt:lpwstr>
      </vt:variant>
      <vt:variant>
        <vt:lpwstr/>
      </vt:variant>
      <vt:variant>
        <vt:i4>3080312</vt:i4>
      </vt:variant>
      <vt:variant>
        <vt:i4>321</vt:i4>
      </vt:variant>
      <vt:variant>
        <vt:i4>0</vt:i4>
      </vt:variant>
      <vt:variant>
        <vt:i4>5</vt:i4>
      </vt:variant>
      <vt:variant>
        <vt:lpwstr>https://www.cde.ca.gov/be/ag/ag/yr18/documents/apr18item01.docx</vt:lpwstr>
      </vt:variant>
      <vt:variant>
        <vt:lpwstr/>
      </vt:variant>
      <vt:variant>
        <vt:i4>3735677</vt:i4>
      </vt:variant>
      <vt:variant>
        <vt:i4>318</vt:i4>
      </vt:variant>
      <vt:variant>
        <vt:i4>0</vt:i4>
      </vt:variant>
      <vt:variant>
        <vt:i4>5</vt:i4>
      </vt:variant>
      <vt:variant>
        <vt:lpwstr>https://www.cde.ca.gov/be/ag/ag/yr18/documents/jul18item02.docx</vt:lpwstr>
      </vt:variant>
      <vt:variant>
        <vt:lpwstr/>
      </vt:variant>
      <vt:variant>
        <vt:i4>8060965</vt:i4>
      </vt:variant>
      <vt:variant>
        <vt:i4>315</vt:i4>
      </vt:variant>
      <vt:variant>
        <vt:i4>0</vt:i4>
      </vt:variant>
      <vt:variant>
        <vt:i4>5</vt:i4>
      </vt:variant>
      <vt:variant>
        <vt:lpwstr>https://www.cde.ca.gov/be/ag/ag/yr19/documents/nov19item05rev.docx</vt:lpwstr>
      </vt:variant>
      <vt:variant>
        <vt:lpwstr/>
      </vt:variant>
      <vt:variant>
        <vt:i4>4063337</vt:i4>
      </vt:variant>
      <vt:variant>
        <vt:i4>312</vt:i4>
      </vt:variant>
      <vt:variant>
        <vt:i4>0</vt:i4>
      </vt:variant>
      <vt:variant>
        <vt:i4>5</vt:i4>
      </vt:variant>
      <vt:variant>
        <vt:lpwstr>https://www.cde.ca.gov/be/ag/ag/yr20/documents/jan20item07.docx</vt:lpwstr>
      </vt:variant>
      <vt:variant>
        <vt:lpwstr/>
      </vt:variant>
      <vt:variant>
        <vt:i4>5308492</vt:i4>
      </vt:variant>
      <vt:variant>
        <vt:i4>309</vt:i4>
      </vt:variant>
      <vt:variant>
        <vt:i4>0</vt:i4>
      </vt:variant>
      <vt:variant>
        <vt:i4>5</vt:i4>
      </vt:variant>
      <vt:variant>
        <vt:lpwstr>https://www.cde.ca.gov/be/pn/im/documents/dec20gad01.docx</vt:lpwstr>
      </vt:variant>
      <vt:variant>
        <vt:lpwstr/>
      </vt:variant>
      <vt:variant>
        <vt:i4>8192099</vt:i4>
      </vt:variant>
      <vt:variant>
        <vt:i4>306</vt:i4>
      </vt:variant>
      <vt:variant>
        <vt:i4>0</vt:i4>
      </vt:variant>
      <vt:variant>
        <vt:i4>5</vt:i4>
      </vt:variant>
      <vt:variant>
        <vt:lpwstr>https://www.cde.ca.gov/be/pn/im/documents/jun21memoeeed01.docx</vt:lpwstr>
      </vt:variant>
      <vt:variant>
        <vt:lpwstr/>
      </vt:variant>
      <vt:variant>
        <vt:i4>2293863</vt:i4>
      </vt:variant>
      <vt:variant>
        <vt:i4>303</vt:i4>
      </vt:variant>
      <vt:variant>
        <vt:i4>0</vt:i4>
      </vt:variant>
      <vt:variant>
        <vt:i4>5</vt:i4>
      </vt:variant>
      <vt:variant>
        <vt:lpwstr>https://www.cde.ca.gov/be/ag/ag/yr21/documents/nov21item06.docx</vt:lpwstr>
      </vt:variant>
      <vt:variant>
        <vt:lpwstr/>
      </vt:variant>
      <vt:variant>
        <vt:i4>7995435</vt:i4>
      </vt:variant>
      <vt:variant>
        <vt:i4>300</vt:i4>
      </vt:variant>
      <vt:variant>
        <vt:i4>0</vt:i4>
      </vt:variant>
      <vt:variant>
        <vt:i4>5</vt:i4>
      </vt:variant>
      <vt:variant>
        <vt:lpwstr>https://www.cde.ca.gov/be/ag/ag/yr22/documents/mar22item03rev.docx</vt:lpwstr>
      </vt:variant>
      <vt:variant>
        <vt:lpwstr/>
      </vt:variant>
      <vt:variant>
        <vt:i4>3211324</vt:i4>
      </vt:variant>
      <vt:variant>
        <vt:i4>297</vt:i4>
      </vt:variant>
      <vt:variant>
        <vt:i4>0</vt:i4>
      </vt:variant>
      <vt:variant>
        <vt:i4>5</vt:i4>
      </vt:variant>
      <vt:variant>
        <vt:lpwstr>https://www.cde.ca.gov/be/pn/im/documents/feb23memoamard01revb.docx</vt:lpwstr>
      </vt:variant>
      <vt:variant>
        <vt:lpwstr/>
      </vt:variant>
      <vt:variant>
        <vt:i4>3080313</vt:i4>
      </vt:variant>
      <vt:variant>
        <vt:i4>294</vt:i4>
      </vt:variant>
      <vt:variant>
        <vt:i4>0</vt:i4>
      </vt:variant>
      <vt:variant>
        <vt:i4>5</vt:i4>
      </vt:variant>
      <vt:variant>
        <vt:lpwstr>about:blank</vt:lpwstr>
      </vt:variant>
      <vt:variant>
        <vt:lpwstr/>
      </vt:variant>
      <vt:variant>
        <vt:i4>3080313</vt:i4>
      </vt:variant>
      <vt:variant>
        <vt:i4>291</vt:i4>
      </vt:variant>
      <vt:variant>
        <vt:i4>0</vt:i4>
      </vt:variant>
      <vt:variant>
        <vt:i4>5</vt:i4>
      </vt:variant>
      <vt:variant>
        <vt:lpwstr>about:blank</vt:lpwstr>
      </vt:variant>
      <vt:variant>
        <vt:lpwstr/>
      </vt:variant>
      <vt:variant>
        <vt:i4>3080313</vt:i4>
      </vt:variant>
      <vt:variant>
        <vt:i4>288</vt:i4>
      </vt:variant>
      <vt:variant>
        <vt:i4>0</vt:i4>
      </vt:variant>
      <vt:variant>
        <vt:i4>5</vt:i4>
      </vt:variant>
      <vt:variant>
        <vt:lpwstr>about:blank</vt:lpwstr>
      </vt:variant>
      <vt:variant>
        <vt:lpwstr/>
      </vt:variant>
      <vt:variant>
        <vt:i4>3080313</vt:i4>
      </vt:variant>
      <vt:variant>
        <vt:i4>285</vt:i4>
      </vt:variant>
      <vt:variant>
        <vt:i4>0</vt:i4>
      </vt:variant>
      <vt:variant>
        <vt:i4>5</vt:i4>
      </vt:variant>
      <vt:variant>
        <vt:lpwstr>about:blank</vt:lpwstr>
      </vt:variant>
      <vt:variant>
        <vt:lpwstr/>
      </vt:variant>
      <vt:variant>
        <vt:i4>3080313</vt:i4>
      </vt:variant>
      <vt:variant>
        <vt:i4>282</vt:i4>
      </vt:variant>
      <vt:variant>
        <vt:i4>0</vt:i4>
      </vt:variant>
      <vt:variant>
        <vt:i4>5</vt:i4>
      </vt:variant>
      <vt:variant>
        <vt:lpwstr>about:blank</vt:lpwstr>
      </vt:variant>
      <vt:variant>
        <vt:lpwstr/>
      </vt:variant>
      <vt:variant>
        <vt:i4>3080313</vt:i4>
      </vt:variant>
      <vt:variant>
        <vt:i4>279</vt:i4>
      </vt:variant>
      <vt:variant>
        <vt:i4>0</vt:i4>
      </vt:variant>
      <vt:variant>
        <vt:i4>5</vt:i4>
      </vt:variant>
      <vt:variant>
        <vt:lpwstr>about:blank</vt:lpwstr>
      </vt:variant>
      <vt:variant>
        <vt:lpwstr/>
      </vt:variant>
      <vt:variant>
        <vt:i4>3080313</vt:i4>
      </vt:variant>
      <vt:variant>
        <vt:i4>276</vt:i4>
      </vt:variant>
      <vt:variant>
        <vt:i4>0</vt:i4>
      </vt:variant>
      <vt:variant>
        <vt:i4>5</vt:i4>
      </vt:variant>
      <vt:variant>
        <vt:lpwstr>about:blank</vt:lpwstr>
      </vt:variant>
      <vt:variant>
        <vt:lpwstr/>
      </vt:variant>
      <vt:variant>
        <vt:i4>3080313</vt:i4>
      </vt:variant>
      <vt:variant>
        <vt:i4>273</vt:i4>
      </vt:variant>
      <vt:variant>
        <vt:i4>0</vt:i4>
      </vt:variant>
      <vt:variant>
        <vt:i4>5</vt:i4>
      </vt:variant>
      <vt:variant>
        <vt:lpwstr>about:blank</vt:lpwstr>
      </vt:variant>
      <vt:variant>
        <vt:lpwstr/>
      </vt:variant>
      <vt:variant>
        <vt:i4>3080313</vt:i4>
      </vt:variant>
      <vt:variant>
        <vt:i4>270</vt:i4>
      </vt:variant>
      <vt:variant>
        <vt:i4>0</vt:i4>
      </vt:variant>
      <vt:variant>
        <vt:i4>5</vt:i4>
      </vt:variant>
      <vt:variant>
        <vt:lpwstr>about:blank</vt:lpwstr>
      </vt:variant>
      <vt:variant>
        <vt:lpwstr/>
      </vt:variant>
      <vt:variant>
        <vt:i4>3080313</vt:i4>
      </vt:variant>
      <vt:variant>
        <vt:i4>267</vt:i4>
      </vt:variant>
      <vt:variant>
        <vt:i4>0</vt:i4>
      </vt:variant>
      <vt:variant>
        <vt:i4>5</vt:i4>
      </vt:variant>
      <vt:variant>
        <vt:lpwstr>about:blank</vt:lpwstr>
      </vt:variant>
      <vt:variant>
        <vt:lpwstr/>
      </vt:variant>
      <vt:variant>
        <vt:i4>3080313</vt:i4>
      </vt:variant>
      <vt:variant>
        <vt:i4>264</vt:i4>
      </vt:variant>
      <vt:variant>
        <vt:i4>0</vt:i4>
      </vt:variant>
      <vt:variant>
        <vt:i4>5</vt:i4>
      </vt:variant>
      <vt:variant>
        <vt:lpwstr>about:blank</vt:lpwstr>
      </vt:variant>
      <vt:variant>
        <vt:lpwstr/>
      </vt:variant>
      <vt:variant>
        <vt:i4>6750255</vt:i4>
      </vt:variant>
      <vt:variant>
        <vt:i4>261</vt:i4>
      </vt:variant>
      <vt:variant>
        <vt:i4>0</vt:i4>
      </vt:variant>
      <vt:variant>
        <vt:i4>5</vt:i4>
      </vt:variant>
      <vt:variant>
        <vt:lpwstr>https://www.cde.ca.gov/be/ag/ag/yr22/documents/sep22item02rev.docx</vt:lpwstr>
      </vt:variant>
      <vt:variant>
        <vt:lpwstr/>
      </vt:variant>
      <vt:variant>
        <vt:i4>2490425</vt:i4>
      </vt:variant>
      <vt:variant>
        <vt:i4>258</vt:i4>
      </vt:variant>
      <vt:variant>
        <vt:i4>0</vt:i4>
      </vt:variant>
      <vt:variant>
        <vt:i4>5</vt:i4>
      </vt:variant>
      <vt:variant>
        <vt:lpwstr>https://www.cde.ca.gov/be/pn/im/documents/jun22memoamard01.docx</vt:lpwstr>
      </vt:variant>
      <vt:variant>
        <vt:lpwstr/>
      </vt:variant>
      <vt:variant>
        <vt:i4>3080313</vt:i4>
      </vt:variant>
      <vt:variant>
        <vt:i4>255</vt:i4>
      </vt:variant>
      <vt:variant>
        <vt:i4>0</vt:i4>
      </vt:variant>
      <vt:variant>
        <vt:i4>5</vt:i4>
      </vt:variant>
      <vt:variant>
        <vt:lpwstr>about:blank</vt:lpwstr>
      </vt:variant>
      <vt:variant>
        <vt:lpwstr/>
      </vt:variant>
      <vt:variant>
        <vt:i4>3080313</vt:i4>
      </vt:variant>
      <vt:variant>
        <vt:i4>252</vt:i4>
      </vt:variant>
      <vt:variant>
        <vt:i4>0</vt:i4>
      </vt:variant>
      <vt:variant>
        <vt:i4>5</vt:i4>
      </vt:variant>
      <vt:variant>
        <vt:lpwstr>about:blank</vt:lpwstr>
      </vt:variant>
      <vt:variant>
        <vt:lpwstr/>
      </vt:variant>
      <vt:variant>
        <vt:i4>3080313</vt:i4>
      </vt:variant>
      <vt:variant>
        <vt:i4>249</vt:i4>
      </vt:variant>
      <vt:variant>
        <vt:i4>0</vt:i4>
      </vt:variant>
      <vt:variant>
        <vt:i4>5</vt:i4>
      </vt:variant>
      <vt:variant>
        <vt:lpwstr>about:blank</vt:lpwstr>
      </vt:variant>
      <vt:variant>
        <vt:lpwstr/>
      </vt:variant>
      <vt:variant>
        <vt:i4>3080313</vt:i4>
      </vt:variant>
      <vt:variant>
        <vt:i4>246</vt:i4>
      </vt:variant>
      <vt:variant>
        <vt:i4>0</vt:i4>
      </vt:variant>
      <vt:variant>
        <vt:i4>5</vt:i4>
      </vt:variant>
      <vt:variant>
        <vt:lpwstr>about:blank</vt:lpwstr>
      </vt:variant>
      <vt:variant>
        <vt:lpwstr/>
      </vt:variant>
      <vt:variant>
        <vt:i4>3080313</vt:i4>
      </vt:variant>
      <vt:variant>
        <vt:i4>243</vt:i4>
      </vt:variant>
      <vt:variant>
        <vt:i4>0</vt:i4>
      </vt:variant>
      <vt:variant>
        <vt:i4>5</vt:i4>
      </vt:variant>
      <vt:variant>
        <vt:lpwstr>about:blank</vt:lpwstr>
      </vt:variant>
      <vt:variant>
        <vt:lpwstr/>
      </vt:variant>
      <vt:variant>
        <vt:i4>3735677</vt:i4>
      </vt:variant>
      <vt:variant>
        <vt:i4>240</vt:i4>
      </vt:variant>
      <vt:variant>
        <vt:i4>0</vt:i4>
      </vt:variant>
      <vt:variant>
        <vt:i4>5</vt:i4>
      </vt:variant>
      <vt:variant>
        <vt:lpwstr>https://www.cde.ca.gov/be/ag/ag/yr23/documents/jul23item02.docx</vt:lpwstr>
      </vt:variant>
      <vt:variant>
        <vt:lpwstr/>
      </vt:variant>
      <vt:variant>
        <vt:i4>2162791</vt:i4>
      </vt:variant>
      <vt:variant>
        <vt:i4>237</vt:i4>
      </vt:variant>
      <vt:variant>
        <vt:i4>0</vt:i4>
      </vt:variant>
      <vt:variant>
        <vt:i4>5</vt:i4>
      </vt:variant>
      <vt:variant>
        <vt:lpwstr>https://www.cde.ca.gov/be/ag/ag/yr18/documents/nov18item04.docx</vt:lpwstr>
      </vt:variant>
      <vt:variant>
        <vt:lpwstr/>
      </vt:variant>
      <vt:variant>
        <vt:i4>4128877</vt:i4>
      </vt:variant>
      <vt:variant>
        <vt:i4>234</vt:i4>
      </vt:variant>
      <vt:variant>
        <vt:i4>0</vt:i4>
      </vt:variant>
      <vt:variant>
        <vt:i4>5</vt:i4>
      </vt:variant>
      <vt:variant>
        <vt:lpwstr>https://www.cde.ca.gov/be/ag/ag/yr18/documents/sep18item01.docx</vt:lpwstr>
      </vt:variant>
      <vt:variant>
        <vt:lpwstr/>
      </vt:variant>
      <vt:variant>
        <vt:i4>6488098</vt:i4>
      </vt:variant>
      <vt:variant>
        <vt:i4>231</vt:i4>
      </vt:variant>
      <vt:variant>
        <vt:i4>0</vt:i4>
      </vt:variant>
      <vt:variant>
        <vt:i4>5</vt:i4>
      </vt:variant>
      <vt:variant>
        <vt:lpwstr>https://www.cde.ca.gov/be/pn/im/documents/memo-pptb-amard-aug18item02.docx</vt:lpwstr>
      </vt:variant>
      <vt:variant>
        <vt:lpwstr/>
      </vt:variant>
      <vt:variant>
        <vt:i4>2293865</vt:i4>
      </vt:variant>
      <vt:variant>
        <vt:i4>228</vt:i4>
      </vt:variant>
      <vt:variant>
        <vt:i4>0</vt:i4>
      </vt:variant>
      <vt:variant>
        <vt:i4>5</vt:i4>
      </vt:variant>
      <vt:variant>
        <vt:lpwstr>https://www.cde.ca.gov/be/ag/ag/yr18/documents/mar18item01.docx</vt:lpwstr>
      </vt:variant>
      <vt:variant>
        <vt:lpwstr/>
      </vt:variant>
      <vt:variant>
        <vt:i4>2490471</vt:i4>
      </vt:variant>
      <vt:variant>
        <vt:i4>225</vt:i4>
      </vt:variant>
      <vt:variant>
        <vt:i4>0</vt:i4>
      </vt:variant>
      <vt:variant>
        <vt:i4>5</vt:i4>
      </vt:variant>
      <vt:variant>
        <vt:lpwstr>https://www.cde.ca.gov/be/ag/ag/yr17/documents/nov17item03.doc</vt:lpwstr>
      </vt:variant>
      <vt:variant>
        <vt:lpwstr/>
      </vt:variant>
      <vt:variant>
        <vt:i4>3932269</vt:i4>
      </vt:variant>
      <vt:variant>
        <vt:i4>222</vt:i4>
      </vt:variant>
      <vt:variant>
        <vt:i4>0</vt:i4>
      </vt:variant>
      <vt:variant>
        <vt:i4>5</vt:i4>
      </vt:variant>
      <vt:variant>
        <vt:lpwstr>https://www.cde.ca.gov/be/ag/ag/yr17/documents/sep17item02.doc</vt:lpwstr>
      </vt:variant>
      <vt:variant>
        <vt:lpwstr/>
      </vt:variant>
      <vt:variant>
        <vt:i4>262239</vt:i4>
      </vt:variant>
      <vt:variant>
        <vt:i4>219</vt:i4>
      </vt:variant>
      <vt:variant>
        <vt:i4>0</vt:i4>
      </vt:variant>
      <vt:variant>
        <vt:i4>5</vt:i4>
      </vt:variant>
      <vt:variant>
        <vt:lpwstr>https://www.cde.ca.gov/be/ag/ag/yr16/documents/may16item02revised.doc</vt:lpwstr>
      </vt:variant>
      <vt:variant>
        <vt:lpwstr/>
      </vt:variant>
      <vt:variant>
        <vt:i4>2162790</vt:i4>
      </vt:variant>
      <vt:variant>
        <vt:i4>216</vt:i4>
      </vt:variant>
      <vt:variant>
        <vt:i4>0</vt:i4>
      </vt:variant>
      <vt:variant>
        <vt:i4>5</vt:i4>
      </vt:variant>
      <vt:variant>
        <vt:lpwstr>https://www.cde.ca.gov/be/ag/ag/yr14/documents/nov14item14.doc</vt:lpwstr>
      </vt:variant>
      <vt:variant>
        <vt:lpwstr/>
      </vt:variant>
      <vt:variant>
        <vt:i4>2424888</vt:i4>
      </vt:variant>
      <vt:variant>
        <vt:i4>213</vt:i4>
      </vt:variant>
      <vt:variant>
        <vt:i4>0</vt:i4>
      </vt:variant>
      <vt:variant>
        <vt:i4>5</vt:i4>
      </vt:variant>
      <vt:variant>
        <vt:lpwstr>https://www.cde.ca.gov/be/pn/im/documents/jun23memoamard02.docx</vt:lpwstr>
      </vt:variant>
      <vt:variant>
        <vt:lpwstr/>
      </vt:variant>
      <vt:variant>
        <vt:i4>2162793</vt:i4>
      </vt:variant>
      <vt:variant>
        <vt:i4>210</vt:i4>
      </vt:variant>
      <vt:variant>
        <vt:i4>0</vt:i4>
      </vt:variant>
      <vt:variant>
        <vt:i4>5</vt:i4>
      </vt:variant>
      <vt:variant>
        <vt:lpwstr>https://www.cde.ca.gov/be/ag/ag/yr23/documents/mar23item03.docx</vt:lpwstr>
      </vt:variant>
      <vt:variant>
        <vt:lpwstr/>
      </vt:variant>
      <vt:variant>
        <vt:i4>3080313</vt:i4>
      </vt:variant>
      <vt:variant>
        <vt:i4>207</vt:i4>
      </vt:variant>
      <vt:variant>
        <vt:i4>0</vt:i4>
      </vt:variant>
      <vt:variant>
        <vt:i4>5</vt:i4>
      </vt:variant>
      <vt:variant>
        <vt:lpwstr>about:blank</vt:lpwstr>
      </vt:variant>
      <vt:variant>
        <vt:lpwstr/>
      </vt:variant>
      <vt:variant>
        <vt:i4>3080313</vt:i4>
      </vt:variant>
      <vt:variant>
        <vt:i4>204</vt:i4>
      </vt:variant>
      <vt:variant>
        <vt:i4>0</vt:i4>
      </vt:variant>
      <vt:variant>
        <vt:i4>5</vt:i4>
      </vt:variant>
      <vt:variant>
        <vt:lpwstr>about:blank</vt:lpwstr>
      </vt:variant>
      <vt:variant>
        <vt:lpwstr/>
      </vt:variant>
      <vt:variant>
        <vt:i4>3080313</vt:i4>
      </vt:variant>
      <vt:variant>
        <vt:i4>201</vt:i4>
      </vt:variant>
      <vt:variant>
        <vt:i4>0</vt:i4>
      </vt:variant>
      <vt:variant>
        <vt:i4>5</vt:i4>
      </vt:variant>
      <vt:variant>
        <vt:lpwstr>about:blank</vt:lpwstr>
      </vt:variant>
      <vt:variant>
        <vt:lpwstr/>
      </vt:variant>
      <vt:variant>
        <vt:i4>3080313</vt:i4>
      </vt:variant>
      <vt:variant>
        <vt:i4>198</vt:i4>
      </vt:variant>
      <vt:variant>
        <vt:i4>0</vt:i4>
      </vt:variant>
      <vt:variant>
        <vt:i4>5</vt:i4>
      </vt:variant>
      <vt:variant>
        <vt:lpwstr>about:blank</vt:lpwstr>
      </vt:variant>
      <vt:variant>
        <vt:lpwstr/>
      </vt:variant>
      <vt:variant>
        <vt:i4>3080313</vt:i4>
      </vt:variant>
      <vt:variant>
        <vt:i4>195</vt:i4>
      </vt:variant>
      <vt:variant>
        <vt:i4>0</vt:i4>
      </vt:variant>
      <vt:variant>
        <vt:i4>5</vt:i4>
      </vt:variant>
      <vt:variant>
        <vt:lpwstr>about:blank</vt:lpwstr>
      </vt:variant>
      <vt:variant>
        <vt:lpwstr/>
      </vt:variant>
      <vt:variant>
        <vt:i4>3080313</vt:i4>
      </vt:variant>
      <vt:variant>
        <vt:i4>192</vt:i4>
      </vt:variant>
      <vt:variant>
        <vt:i4>0</vt:i4>
      </vt:variant>
      <vt:variant>
        <vt:i4>5</vt:i4>
      </vt:variant>
      <vt:variant>
        <vt:lpwstr>about:blank</vt:lpwstr>
      </vt:variant>
      <vt:variant>
        <vt:lpwstr/>
      </vt:variant>
      <vt:variant>
        <vt:i4>3080313</vt:i4>
      </vt:variant>
      <vt:variant>
        <vt:i4>189</vt:i4>
      </vt:variant>
      <vt:variant>
        <vt:i4>0</vt:i4>
      </vt:variant>
      <vt:variant>
        <vt:i4>5</vt:i4>
      </vt:variant>
      <vt:variant>
        <vt:lpwstr>about:blank</vt:lpwstr>
      </vt:variant>
      <vt:variant>
        <vt:lpwstr/>
      </vt:variant>
      <vt:variant>
        <vt:i4>3080313</vt:i4>
      </vt:variant>
      <vt:variant>
        <vt:i4>186</vt:i4>
      </vt:variant>
      <vt:variant>
        <vt:i4>0</vt:i4>
      </vt:variant>
      <vt:variant>
        <vt:i4>5</vt:i4>
      </vt:variant>
      <vt:variant>
        <vt:lpwstr>about:blank</vt:lpwstr>
      </vt:variant>
      <vt:variant>
        <vt:lpwstr/>
      </vt:variant>
      <vt:variant>
        <vt:i4>3080313</vt:i4>
      </vt:variant>
      <vt:variant>
        <vt:i4>183</vt:i4>
      </vt:variant>
      <vt:variant>
        <vt:i4>0</vt:i4>
      </vt:variant>
      <vt:variant>
        <vt:i4>5</vt:i4>
      </vt:variant>
      <vt:variant>
        <vt:lpwstr>about:blank</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6488096</vt:i4>
      </vt:variant>
      <vt:variant>
        <vt:i4>174</vt:i4>
      </vt:variant>
      <vt:variant>
        <vt:i4>0</vt:i4>
      </vt:variant>
      <vt:variant>
        <vt:i4>5</vt:i4>
      </vt:variant>
      <vt:variant>
        <vt:lpwstr>https://www.cde.ca.gov/be/pn/im/documents/memo-pptb-amard-jun18item02.docx</vt:lpwstr>
      </vt:variant>
      <vt:variant>
        <vt:lpwstr/>
      </vt:variant>
      <vt:variant>
        <vt:i4>3080313</vt:i4>
      </vt:variant>
      <vt:variant>
        <vt:i4>171</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2162793</vt:i4>
      </vt:variant>
      <vt:variant>
        <vt:i4>159</vt:i4>
      </vt:variant>
      <vt:variant>
        <vt:i4>0</vt:i4>
      </vt:variant>
      <vt:variant>
        <vt:i4>5</vt:i4>
      </vt:variant>
      <vt:variant>
        <vt:lpwstr>https://www.cde.ca.gov/be/ag/ag/yr23/documents/mar23item03.docx</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141</vt:i4>
      </vt:variant>
      <vt:variant>
        <vt:i4>0</vt:i4>
      </vt:variant>
      <vt:variant>
        <vt:i4>5</vt:i4>
      </vt:variant>
      <vt:variant>
        <vt:lpwstr>about:blank</vt:lpwstr>
      </vt:variant>
      <vt:variant>
        <vt:lpwstr/>
      </vt:variant>
      <vt:variant>
        <vt:i4>2162793</vt:i4>
      </vt:variant>
      <vt:variant>
        <vt:i4>138</vt:i4>
      </vt:variant>
      <vt:variant>
        <vt:i4>0</vt:i4>
      </vt:variant>
      <vt:variant>
        <vt:i4>5</vt:i4>
      </vt:variant>
      <vt:variant>
        <vt:lpwstr>https://www.cde.ca.gov/be/ag/ag/yr23/documents/mar23item03.docx</vt:lpwstr>
      </vt:variant>
      <vt:variant>
        <vt:lpwstr/>
      </vt: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117</vt:i4>
      </vt:variant>
      <vt:variant>
        <vt:i4>0</vt:i4>
      </vt:variant>
      <vt:variant>
        <vt:i4>5</vt:i4>
      </vt:variant>
      <vt:variant>
        <vt:lpwstr>about:blank</vt:lpwstr>
      </vt:variant>
      <vt:variant>
        <vt:lpwstr/>
      </vt:variant>
      <vt:variant>
        <vt:i4>3080313</vt:i4>
      </vt:variant>
      <vt:variant>
        <vt:i4>114</vt:i4>
      </vt:variant>
      <vt:variant>
        <vt:i4>0</vt:i4>
      </vt:variant>
      <vt:variant>
        <vt:i4>5</vt:i4>
      </vt:variant>
      <vt:variant>
        <vt:lpwstr>about:blank</vt:lpwstr>
      </vt:variant>
      <vt:variant>
        <vt:lpwstr/>
      </vt:variant>
      <vt:variant>
        <vt:i4>3080313</vt:i4>
      </vt:variant>
      <vt:variant>
        <vt:i4>111</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105</vt:i4>
      </vt:variant>
      <vt:variant>
        <vt:i4>0</vt:i4>
      </vt:variant>
      <vt:variant>
        <vt:i4>5</vt:i4>
      </vt:variant>
      <vt:variant>
        <vt:lpwstr>about:blank</vt:lpwstr>
      </vt:variant>
      <vt:variant>
        <vt:lpwstr/>
      </vt:variant>
      <vt:variant>
        <vt:i4>3080313</vt:i4>
      </vt:variant>
      <vt:variant>
        <vt:i4>102</vt:i4>
      </vt:variant>
      <vt:variant>
        <vt:i4>0</vt:i4>
      </vt:variant>
      <vt:variant>
        <vt:i4>5</vt:i4>
      </vt:variant>
      <vt:variant>
        <vt:lpwstr>about:blank</vt:lpwstr>
      </vt:variant>
      <vt:variant>
        <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6553656</vt:i4>
      </vt:variant>
      <vt:variant>
        <vt:i4>0</vt:i4>
      </vt:variant>
      <vt:variant>
        <vt:i4>0</vt:i4>
      </vt:variant>
      <vt:variant>
        <vt:i4>5</vt:i4>
      </vt:variant>
      <vt:variant>
        <vt:lpwstr>https://www.cde.ca.gov/essa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08 - Meeting Agendas (CA State Board of Education)</dc:title>
  <dc:subject>Update on the Implementation of the Integrated Local, State, and Federal Accountability and Continuous Improvement System: Action to Implement the 2023 Dashboard Workplan.</dc:subject>
  <cp:keywords/>
  <dc:description/>
  <cp:lastPrinted>2019-02-28T22:21:00Z</cp:lastPrinted>
  <dcterms:created xsi:type="dcterms:W3CDTF">2023-08-30T23:30:00Z</dcterms:created>
  <dcterms:modified xsi:type="dcterms:W3CDTF">2023-08-31T21:15:00Z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