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279F" w14:textId="77777777" w:rsidR="006E06C6" w:rsidRPr="00491731" w:rsidRDefault="00D5115F" w:rsidP="00996116">
      <w:pPr>
        <w:rPr>
          <w:rFonts w:cs="Arial"/>
        </w:rPr>
      </w:pPr>
      <w:r w:rsidRPr="00491731">
        <w:rPr>
          <w:rFonts w:cs="Arial"/>
          <w:noProof/>
          <w:lang w:eastAsia="ja-JP"/>
        </w:rPr>
        <w:drawing>
          <wp:inline distT="0" distB="0" distL="0" distR="0" wp14:anchorId="423228C7" wp14:editId="423228C8">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423227A0" w14:textId="77777777" w:rsidR="00B723BE" w:rsidRPr="00491731" w:rsidRDefault="00FC1FCE" w:rsidP="00614C33">
      <w:pPr>
        <w:spacing w:before="0" w:after="0"/>
        <w:jc w:val="right"/>
        <w:rPr>
          <w:rFonts w:cs="Arial"/>
        </w:rPr>
      </w:pPr>
      <w:r w:rsidRPr="00491731">
        <w:rPr>
          <w:rFonts w:cs="Arial"/>
        </w:rPr>
        <w:t>California Department of Education</w:t>
      </w:r>
    </w:p>
    <w:p w14:paraId="423227A1" w14:textId="77777777" w:rsidR="00B723BE" w:rsidRPr="00491731" w:rsidRDefault="00FC1FCE" w:rsidP="00332ED3">
      <w:pPr>
        <w:spacing w:before="0" w:after="0"/>
        <w:jc w:val="right"/>
        <w:rPr>
          <w:rFonts w:cs="Arial"/>
        </w:rPr>
      </w:pPr>
      <w:r w:rsidRPr="00491731">
        <w:rPr>
          <w:rFonts w:cs="Arial"/>
        </w:rPr>
        <w:t>Executive Office</w:t>
      </w:r>
    </w:p>
    <w:p w14:paraId="423227A2" w14:textId="77777777" w:rsidR="002B4B14" w:rsidRPr="00491731" w:rsidRDefault="00692300" w:rsidP="00332ED3">
      <w:pPr>
        <w:spacing w:before="0" w:after="0"/>
        <w:jc w:val="right"/>
        <w:rPr>
          <w:rFonts w:cs="Arial"/>
        </w:rPr>
      </w:pPr>
      <w:r w:rsidRPr="00491731">
        <w:rPr>
          <w:rFonts w:cs="Arial"/>
        </w:rPr>
        <w:t>SBE-00</w:t>
      </w:r>
      <w:r w:rsidR="000324AD" w:rsidRPr="00491731">
        <w:rPr>
          <w:rFonts w:cs="Arial"/>
        </w:rPr>
        <w:t>3</w:t>
      </w:r>
      <w:r w:rsidRPr="00491731">
        <w:rPr>
          <w:rFonts w:cs="Arial"/>
        </w:rPr>
        <w:t xml:space="preserve"> (REV. 1</w:t>
      </w:r>
      <w:r w:rsidR="00C27D57" w:rsidRPr="00491731">
        <w:rPr>
          <w:rFonts w:cs="Arial"/>
        </w:rPr>
        <w:t>1</w:t>
      </w:r>
      <w:r w:rsidRPr="00491731">
        <w:rPr>
          <w:rFonts w:cs="Arial"/>
        </w:rPr>
        <w:t>/2017</w:t>
      </w:r>
      <w:r w:rsidR="00FC1FCE" w:rsidRPr="00491731">
        <w:rPr>
          <w:rFonts w:cs="Arial"/>
        </w:rPr>
        <w:t>)</w:t>
      </w:r>
    </w:p>
    <w:p w14:paraId="423227A4" w14:textId="4DBDBDE1" w:rsidR="00B723BE" w:rsidRPr="00491731" w:rsidRDefault="64370FA4" w:rsidP="00332ED3">
      <w:pPr>
        <w:spacing w:before="0" w:after="0"/>
        <w:jc w:val="right"/>
        <w:rPr>
          <w:rFonts w:cs="Arial"/>
        </w:rPr>
        <w:sectPr w:rsidR="00B723BE" w:rsidRPr="00491731" w:rsidSect="0089621B">
          <w:headerReference w:type="default" r:id="rId12"/>
          <w:footerReference w:type="default" r:id="rId13"/>
          <w:pgSz w:w="12240" w:h="15840"/>
          <w:pgMar w:top="720" w:right="1440" w:bottom="1440" w:left="1440" w:header="720" w:footer="720" w:gutter="0"/>
          <w:cols w:num="2" w:space="720"/>
          <w:titlePg/>
          <w:docGrid w:linePitch="360"/>
        </w:sectPr>
      </w:pPr>
      <w:r w:rsidRPr="6B49241F">
        <w:rPr>
          <w:rFonts w:cs="Arial"/>
        </w:rPr>
        <w:t>i</w:t>
      </w:r>
      <w:r w:rsidR="00E23745" w:rsidRPr="6B49241F">
        <w:rPr>
          <w:rFonts w:cs="Arial"/>
        </w:rPr>
        <w:t>t</w:t>
      </w:r>
      <w:r w:rsidRPr="6B49241F">
        <w:rPr>
          <w:rFonts w:cs="Arial"/>
        </w:rPr>
        <w:t>b</w:t>
      </w:r>
      <w:r w:rsidR="00820B71" w:rsidRPr="6B49241F">
        <w:rPr>
          <w:rFonts w:cs="Arial"/>
        </w:rPr>
        <w:t>-amard-</w:t>
      </w:r>
      <w:r w:rsidR="4778065E" w:rsidRPr="6B49241F">
        <w:rPr>
          <w:rFonts w:cs="Arial"/>
        </w:rPr>
        <w:t>may</w:t>
      </w:r>
      <w:r w:rsidR="00552355" w:rsidRPr="6B49241F">
        <w:rPr>
          <w:rFonts w:cs="Arial"/>
        </w:rPr>
        <w:t>2</w:t>
      </w:r>
      <w:r w:rsidR="3DEAEEDE" w:rsidRPr="6B49241F">
        <w:rPr>
          <w:rFonts w:cs="Arial"/>
        </w:rPr>
        <w:t>5</w:t>
      </w:r>
      <w:r w:rsidR="00820B71" w:rsidRPr="6B49241F">
        <w:rPr>
          <w:rFonts w:cs="Arial"/>
        </w:rPr>
        <w:t>ite</w:t>
      </w:r>
      <w:r w:rsidR="00820B71" w:rsidRPr="006058EF">
        <w:rPr>
          <w:rFonts w:cs="Arial"/>
        </w:rPr>
        <w:t>m</w:t>
      </w:r>
      <w:r w:rsidR="00DE205F" w:rsidRPr="006058EF">
        <w:rPr>
          <w:rFonts w:cs="Arial"/>
        </w:rPr>
        <w:t>01</w:t>
      </w:r>
    </w:p>
    <w:p w14:paraId="423227A5" w14:textId="77777777" w:rsidR="006E06C6" w:rsidRPr="00491731" w:rsidRDefault="006E06C6" w:rsidP="00125199">
      <w:pPr>
        <w:keepNext/>
        <w:keepLines/>
        <w:spacing w:before="0" w:after="0"/>
        <w:outlineLvl w:val="0"/>
        <w:rPr>
          <w:rFonts w:cs="Arial"/>
          <w:b/>
          <w:sz w:val="40"/>
        </w:rPr>
        <w:sectPr w:rsidR="006E06C6" w:rsidRPr="00491731" w:rsidSect="0089621B">
          <w:footerReference w:type="default" r:id="rId14"/>
          <w:headerReference w:type="first" r:id="rId15"/>
          <w:footerReference w:type="first" r:id="rId16"/>
          <w:type w:val="continuous"/>
          <w:pgSz w:w="12240" w:h="15840"/>
          <w:pgMar w:top="720" w:right="1440" w:bottom="1440" w:left="1440" w:header="720" w:footer="720" w:gutter="0"/>
          <w:cols w:space="720"/>
          <w:docGrid w:linePitch="360"/>
        </w:sectPr>
      </w:pPr>
    </w:p>
    <w:p w14:paraId="423227A6" w14:textId="4A8C0BF9" w:rsidR="00FC1FCE" w:rsidRPr="009F7703" w:rsidRDefault="0091117B" w:rsidP="0089032C">
      <w:pPr>
        <w:pStyle w:val="Heading1"/>
        <w:spacing w:before="0" w:after="0"/>
        <w:rPr>
          <w:rFonts w:cs="Arial"/>
        </w:rPr>
      </w:pPr>
      <w:r w:rsidRPr="3BCD27D0">
        <w:rPr>
          <w:rFonts w:cs="Arial"/>
        </w:rPr>
        <w:t>Californ</w:t>
      </w:r>
      <w:r w:rsidR="00693951" w:rsidRPr="3BCD27D0">
        <w:rPr>
          <w:rFonts w:cs="Arial"/>
        </w:rPr>
        <w:t>ia State Board of Education</w:t>
      </w:r>
      <w:r w:rsidR="0089032C">
        <w:rPr>
          <w:rFonts w:cs="Arial"/>
        </w:rPr>
        <w:br/>
      </w:r>
      <w:r w:rsidR="0F71BA13" w:rsidRPr="3BCD27D0">
        <w:rPr>
          <w:rFonts w:cs="Arial"/>
        </w:rPr>
        <w:t>Ma</w:t>
      </w:r>
      <w:r w:rsidR="30918962" w:rsidRPr="3BCD27D0">
        <w:rPr>
          <w:rFonts w:cs="Arial"/>
        </w:rPr>
        <w:t>y</w:t>
      </w:r>
      <w:r w:rsidR="00820B71" w:rsidRPr="3BCD27D0">
        <w:rPr>
          <w:rFonts w:cs="Arial"/>
        </w:rPr>
        <w:t xml:space="preserve"> 20</w:t>
      </w:r>
      <w:r w:rsidR="00FA14A3" w:rsidRPr="3BCD27D0">
        <w:rPr>
          <w:rFonts w:cs="Arial"/>
        </w:rPr>
        <w:t>2</w:t>
      </w:r>
      <w:r w:rsidR="6A442A23" w:rsidRPr="3BCD27D0">
        <w:rPr>
          <w:rFonts w:cs="Arial"/>
        </w:rPr>
        <w:t>5</w:t>
      </w:r>
      <w:r w:rsidRPr="3BCD27D0">
        <w:rPr>
          <w:rFonts w:cs="Arial"/>
        </w:rPr>
        <w:t xml:space="preserve"> Agenda</w:t>
      </w:r>
      <w:r w:rsidR="0089032C">
        <w:rPr>
          <w:rFonts w:cs="Arial"/>
        </w:rPr>
        <w:br/>
      </w:r>
      <w:r w:rsidR="00FC1FCE" w:rsidRPr="3BCD27D0">
        <w:rPr>
          <w:rFonts w:cs="Arial"/>
        </w:rPr>
        <w:t>Item</w:t>
      </w:r>
      <w:r w:rsidR="00486B61" w:rsidRPr="3BCD27D0">
        <w:rPr>
          <w:rFonts w:cs="Arial"/>
        </w:rPr>
        <w:t xml:space="preserve"> #</w:t>
      </w:r>
      <w:r w:rsidR="00125199">
        <w:rPr>
          <w:rFonts w:cs="Arial"/>
        </w:rPr>
        <w:t>02</w:t>
      </w:r>
    </w:p>
    <w:p w14:paraId="5C27AA09" w14:textId="7C1EF15C" w:rsidR="00FC1FCE" w:rsidRPr="0090115C" w:rsidRDefault="578FEA9F" w:rsidP="3BCD27D0">
      <w:pPr>
        <w:pStyle w:val="Heading2"/>
        <w:rPr>
          <w:rFonts w:cs="Arial"/>
        </w:rPr>
      </w:pPr>
      <w:r w:rsidRPr="3BCD27D0">
        <w:rPr>
          <w:rFonts w:cs="Arial"/>
        </w:rPr>
        <w:t>Subject</w:t>
      </w:r>
    </w:p>
    <w:p w14:paraId="4D18A6E6" w14:textId="0D2EDC1E" w:rsidR="4AE6CDC1" w:rsidRPr="00491731" w:rsidRDefault="7328F3C8" w:rsidP="00996116">
      <w:pPr>
        <w:rPr>
          <w:rFonts w:eastAsia="Arial" w:cs="Arial"/>
          <w:color w:val="000000" w:themeColor="text1"/>
        </w:rPr>
      </w:pPr>
      <w:r w:rsidRPr="5F48C630">
        <w:rPr>
          <w:rFonts w:eastAsia="Arial" w:cs="Arial"/>
          <w:color w:val="000000" w:themeColor="text1"/>
        </w:rPr>
        <w:t xml:space="preserve">Update on the Implementation of the Integrated Local, State, and Federal Accountability and Continuous Improvement System: A Review of New </w:t>
      </w:r>
      <w:r w:rsidRPr="0089273A">
        <w:rPr>
          <w:rFonts w:eastAsia="Arial" w:cs="Arial"/>
          <w:color w:val="000000" w:themeColor="text1"/>
        </w:rPr>
        <w:t>and Existing College</w:t>
      </w:r>
      <w:r w:rsidR="683A9307" w:rsidRPr="0089273A">
        <w:rPr>
          <w:rFonts w:eastAsia="Arial" w:cs="Arial"/>
          <w:color w:val="000000" w:themeColor="text1"/>
        </w:rPr>
        <w:t>/</w:t>
      </w:r>
      <w:r w:rsidRPr="0089273A">
        <w:rPr>
          <w:rFonts w:eastAsia="Arial" w:cs="Arial"/>
          <w:color w:val="000000" w:themeColor="text1"/>
        </w:rPr>
        <w:t>Career Indicator Measures, Options for Adoption of Growth Model Performance Categories,</w:t>
      </w:r>
      <w:r w:rsidR="00C57156" w:rsidRPr="0089273A">
        <w:rPr>
          <w:rFonts w:eastAsia="Arial" w:cs="Arial"/>
          <w:color w:val="000000" w:themeColor="text1"/>
        </w:rPr>
        <w:t xml:space="preserve"> Analysis of the Long-Term English Learner Student Group,</w:t>
      </w:r>
      <w:r w:rsidRPr="0089273A">
        <w:rPr>
          <w:rFonts w:eastAsia="Arial" w:cs="Arial"/>
          <w:color w:val="000000" w:themeColor="text1"/>
        </w:rPr>
        <w:t xml:space="preserve"> </w:t>
      </w:r>
      <w:r w:rsidR="1C7A7211" w:rsidRPr="0089273A">
        <w:rPr>
          <w:rFonts w:eastAsia="Arial" w:cs="Arial"/>
          <w:color w:val="000000" w:themeColor="text1"/>
        </w:rPr>
        <w:t xml:space="preserve">Options for </w:t>
      </w:r>
      <w:r w:rsidR="009750B1" w:rsidRPr="0089273A">
        <w:rPr>
          <w:rFonts w:eastAsia="Arial" w:cs="Arial"/>
          <w:color w:val="000000" w:themeColor="text1"/>
        </w:rPr>
        <w:t>Incorporation</w:t>
      </w:r>
      <w:r w:rsidR="009750B1">
        <w:rPr>
          <w:rFonts w:eastAsia="Arial" w:cs="Arial"/>
          <w:color w:val="000000" w:themeColor="text1"/>
        </w:rPr>
        <w:t xml:space="preserve"> of the Science Indicator, Priority 1 Teacher Data Update, </w:t>
      </w:r>
      <w:r w:rsidRPr="5F48C630">
        <w:rPr>
          <w:rFonts w:eastAsia="Arial" w:cs="Arial"/>
          <w:color w:val="000000" w:themeColor="text1"/>
        </w:rPr>
        <w:t>and Overview of Dashboard Alternative School Status Criteria.</w:t>
      </w:r>
    </w:p>
    <w:p w14:paraId="423227A9" w14:textId="77777777" w:rsidR="00FC1FCE" w:rsidRPr="00A92916" w:rsidRDefault="00FC1FCE" w:rsidP="00A92916">
      <w:pPr>
        <w:pStyle w:val="Heading2"/>
        <w:rPr>
          <w:rFonts w:cs="Arial"/>
        </w:rPr>
      </w:pPr>
      <w:r w:rsidRPr="00A92916">
        <w:rPr>
          <w:rFonts w:cs="Arial"/>
        </w:rPr>
        <w:t>Type of Action</w:t>
      </w:r>
    </w:p>
    <w:p w14:paraId="423227AA" w14:textId="23EF8E2F" w:rsidR="0091117B" w:rsidRPr="00491731" w:rsidRDefault="00125199" w:rsidP="00996116">
      <w:pPr>
        <w:rPr>
          <w:rFonts w:eastAsia="Arial" w:cs="Arial"/>
        </w:rPr>
      </w:pPr>
      <w:r>
        <w:rPr>
          <w:rFonts w:eastAsia="Arial" w:cs="Arial"/>
        </w:rPr>
        <w:t>Action</w:t>
      </w:r>
      <w:r w:rsidR="6550C377" w:rsidRPr="29545230">
        <w:rPr>
          <w:rFonts w:eastAsia="Arial" w:cs="Arial"/>
        </w:rPr>
        <w:t xml:space="preserve">, </w:t>
      </w:r>
      <w:r>
        <w:rPr>
          <w:rFonts w:eastAsia="Arial" w:cs="Arial"/>
        </w:rPr>
        <w:t>Informat</w:t>
      </w:r>
      <w:r w:rsidR="6550C377" w:rsidRPr="29545230">
        <w:rPr>
          <w:rFonts w:eastAsia="Arial" w:cs="Arial"/>
        </w:rPr>
        <w:t>ion</w:t>
      </w:r>
    </w:p>
    <w:p w14:paraId="423227AB" w14:textId="4E2178CA" w:rsidR="00FC1FCE" w:rsidRPr="00A92916" w:rsidRDefault="11966932" w:rsidP="00A92916">
      <w:pPr>
        <w:pStyle w:val="Heading2"/>
        <w:rPr>
          <w:rFonts w:cs="Arial"/>
        </w:rPr>
      </w:pPr>
      <w:r w:rsidRPr="00A92916">
        <w:rPr>
          <w:rFonts w:cs="Arial"/>
        </w:rPr>
        <w:t>Summary of the Issue(s)</w:t>
      </w:r>
    </w:p>
    <w:p w14:paraId="25BA0062" w14:textId="365BEEB7" w:rsidR="002F3DDD" w:rsidRDefault="002F3DDD" w:rsidP="002F3DDD">
      <w:pPr>
        <w:rPr>
          <w:rFonts w:eastAsia="Arial" w:cs="Arial"/>
          <w:color w:val="000000" w:themeColor="text1"/>
        </w:rPr>
      </w:pPr>
      <w:r w:rsidRPr="5A149638">
        <w:rPr>
          <w:rFonts w:eastAsia="Arial" w:cs="Arial"/>
          <w:color w:val="000000" w:themeColor="text1"/>
        </w:rPr>
        <w:t>The State Board of Education (SBE)</w:t>
      </w:r>
      <w:r>
        <w:rPr>
          <w:rFonts w:eastAsia="Arial" w:cs="Arial"/>
          <w:color w:val="000000" w:themeColor="text1"/>
        </w:rPr>
        <w:t xml:space="preserve"> adopted </w:t>
      </w:r>
      <w:r w:rsidRPr="2D364077">
        <w:rPr>
          <w:rFonts w:eastAsia="Arial" w:cs="Arial"/>
          <w:color w:val="000000" w:themeColor="text1"/>
        </w:rPr>
        <w:t xml:space="preserve">the </w:t>
      </w:r>
      <w:r>
        <w:rPr>
          <w:rFonts w:eastAsia="Arial" w:cs="Arial"/>
          <w:color w:val="000000" w:themeColor="text1"/>
        </w:rPr>
        <w:t xml:space="preserve">2025 </w:t>
      </w:r>
      <w:r w:rsidRPr="2D364077">
        <w:rPr>
          <w:rFonts w:eastAsia="Arial" w:cs="Arial"/>
          <w:color w:val="000000" w:themeColor="text1"/>
        </w:rPr>
        <w:t xml:space="preserve">Accountability Workplan </w:t>
      </w:r>
      <w:r>
        <w:rPr>
          <w:rFonts w:eastAsia="Arial" w:cs="Arial"/>
          <w:color w:val="000000" w:themeColor="text1"/>
        </w:rPr>
        <w:t>at the</w:t>
      </w:r>
      <w:r w:rsidR="00F665C1">
        <w:rPr>
          <w:rFonts w:eastAsia="Arial" w:cs="Arial"/>
          <w:color w:val="000000" w:themeColor="text1"/>
        </w:rPr>
        <w:t>ir</w:t>
      </w:r>
      <w:r>
        <w:rPr>
          <w:rFonts w:eastAsia="Arial" w:cs="Arial"/>
          <w:color w:val="000000" w:themeColor="text1"/>
        </w:rPr>
        <w:t xml:space="preserve"> January 2025 meeting</w:t>
      </w:r>
      <w:r w:rsidR="0096746F">
        <w:rPr>
          <w:rFonts w:eastAsia="Arial" w:cs="Arial"/>
          <w:color w:val="000000" w:themeColor="text1"/>
        </w:rPr>
        <w:t>. The Accountability Workplan</w:t>
      </w:r>
      <w:r>
        <w:rPr>
          <w:rFonts w:eastAsia="Arial" w:cs="Arial"/>
          <w:color w:val="000000" w:themeColor="text1"/>
        </w:rPr>
        <w:t xml:space="preserve"> details the items that the </w:t>
      </w:r>
      <w:r w:rsidR="00445855">
        <w:rPr>
          <w:rFonts w:eastAsia="Arial" w:cs="Arial"/>
          <w:color w:val="000000" w:themeColor="text1"/>
        </w:rPr>
        <w:t>C</w:t>
      </w:r>
      <w:r w:rsidR="00BD50F9">
        <w:rPr>
          <w:rFonts w:eastAsia="Arial" w:cs="Arial"/>
          <w:color w:val="000000" w:themeColor="text1"/>
        </w:rPr>
        <w:t>alifornia Department of Education (</w:t>
      </w:r>
      <w:r>
        <w:rPr>
          <w:rFonts w:eastAsia="Arial" w:cs="Arial"/>
          <w:color w:val="000000" w:themeColor="text1"/>
        </w:rPr>
        <w:t>CDE</w:t>
      </w:r>
      <w:r w:rsidR="00BD50F9">
        <w:rPr>
          <w:rFonts w:eastAsia="Arial" w:cs="Arial"/>
          <w:color w:val="000000" w:themeColor="text1"/>
        </w:rPr>
        <w:t>)</w:t>
      </w:r>
      <w:r>
        <w:rPr>
          <w:rFonts w:eastAsia="Arial" w:cs="Arial"/>
          <w:color w:val="000000" w:themeColor="text1"/>
        </w:rPr>
        <w:t xml:space="preserve"> will present to the SBE at their March, May, and July 2025 meetings. </w:t>
      </w:r>
      <w:r w:rsidRPr="2D364077">
        <w:rPr>
          <w:rFonts w:eastAsia="Arial" w:cs="Arial"/>
          <w:color w:val="000000" w:themeColor="text1"/>
        </w:rPr>
        <w:t xml:space="preserve">This </w:t>
      </w:r>
      <w:r>
        <w:rPr>
          <w:rFonts w:eastAsia="Arial" w:cs="Arial"/>
          <w:color w:val="000000" w:themeColor="text1"/>
        </w:rPr>
        <w:t>process ensures that there is adequate time</w:t>
      </w:r>
      <w:r w:rsidRPr="2D364077">
        <w:rPr>
          <w:rFonts w:eastAsia="Arial" w:cs="Arial"/>
          <w:color w:val="000000" w:themeColor="text1"/>
        </w:rPr>
        <w:t xml:space="preserve"> to </w:t>
      </w:r>
      <w:r>
        <w:rPr>
          <w:rFonts w:eastAsia="Arial" w:cs="Arial"/>
          <w:color w:val="000000" w:themeColor="text1"/>
        </w:rPr>
        <w:t xml:space="preserve">engage with educational partners and </w:t>
      </w:r>
      <w:r w:rsidRPr="2D364077">
        <w:rPr>
          <w:rFonts w:eastAsia="Arial" w:cs="Arial"/>
          <w:color w:val="000000" w:themeColor="text1"/>
        </w:rPr>
        <w:t xml:space="preserve">incorporate </w:t>
      </w:r>
      <w:r>
        <w:rPr>
          <w:rFonts w:eastAsia="Arial" w:cs="Arial"/>
          <w:color w:val="000000" w:themeColor="text1"/>
        </w:rPr>
        <w:t xml:space="preserve">technical and policy </w:t>
      </w:r>
      <w:r w:rsidRPr="2D364077">
        <w:rPr>
          <w:rFonts w:eastAsia="Arial" w:cs="Arial"/>
          <w:color w:val="000000" w:themeColor="text1"/>
        </w:rPr>
        <w:t xml:space="preserve">changes </w:t>
      </w:r>
      <w:r>
        <w:rPr>
          <w:rFonts w:eastAsia="Arial" w:cs="Arial"/>
          <w:color w:val="000000" w:themeColor="text1"/>
        </w:rPr>
        <w:t xml:space="preserve">to process student-level data and develop the resources necessary to support </w:t>
      </w:r>
      <w:r w:rsidRPr="2D364077">
        <w:rPr>
          <w:rFonts w:eastAsia="Arial" w:cs="Arial"/>
          <w:color w:val="000000" w:themeColor="text1"/>
        </w:rPr>
        <w:t xml:space="preserve">the annual release of the </w:t>
      </w:r>
      <w:r w:rsidR="00452F68">
        <w:rPr>
          <w:rFonts w:eastAsia="Arial" w:cs="Arial"/>
          <w:color w:val="000000" w:themeColor="text1"/>
        </w:rPr>
        <w:t xml:space="preserve">California School </w:t>
      </w:r>
      <w:r w:rsidRPr="2D364077">
        <w:rPr>
          <w:rFonts w:eastAsia="Arial" w:cs="Arial"/>
          <w:color w:val="000000" w:themeColor="text1"/>
        </w:rPr>
        <w:t xml:space="preserve">Dashboard </w:t>
      </w:r>
      <w:r w:rsidR="00452F68">
        <w:rPr>
          <w:rFonts w:eastAsia="Arial" w:cs="Arial"/>
          <w:color w:val="000000" w:themeColor="text1"/>
        </w:rPr>
        <w:t xml:space="preserve">(Dashboard) </w:t>
      </w:r>
      <w:r w:rsidRPr="2D364077">
        <w:rPr>
          <w:rFonts w:eastAsia="Arial" w:cs="Arial"/>
          <w:color w:val="000000" w:themeColor="text1"/>
        </w:rPr>
        <w:t xml:space="preserve">by November 15, 2025, as required by </w:t>
      </w:r>
      <w:r>
        <w:t>Senate Bill 114 (Chapter 48, Statutes of 2023)</w:t>
      </w:r>
      <w:r w:rsidRPr="2D364077">
        <w:rPr>
          <w:rFonts w:eastAsia="Arial" w:cs="Arial"/>
          <w:color w:val="000000" w:themeColor="text1"/>
        </w:rPr>
        <w:t>.</w:t>
      </w:r>
    </w:p>
    <w:p w14:paraId="64ABEF7A" w14:textId="670147C4" w:rsidR="00BF697A" w:rsidRPr="00BF697A" w:rsidRDefault="00350399" w:rsidP="00BF697A">
      <w:pPr>
        <w:rPr>
          <w:rFonts w:eastAsia="Arial" w:cs="Arial"/>
        </w:rPr>
      </w:pPr>
      <w:r w:rsidRPr="0089273A">
        <w:rPr>
          <w:rFonts w:eastAsia="Arial" w:cs="Arial"/>
          <w:color w:val="000000" w:themeColor="text1"/>
        </w:rPr>
        <w:t xml:space="preserve">In this item, similar to the Accountability Workplan items presented to the SBE at </w:t>
      </w:r>
      <w:r w:rsidR="0089273A" w:rsidRPr="0089273A">
        <w:rPr>
          <w:rFonts w:eastAsia="Arial" w:cs="Arial"/>
          <w:color w:val="000000" w:themeColor="text1"/>
        </w:rPr>
        <w:t>their</w:t>
      </w:r>
      <w:r w:rsidRPr="0089273A">
        <w:rPr>
          <w:rFonts w:eastAsia="Arial" w:cs="Arial"/>
          <w:color w:val="000000" w:themeColor="text1"/>
        </w:rPr>
        <w:t xml:space="preserve"> January and March 2025 meetings, the CDE is seeking to gather feedback and help inform the SBE's decision making in advance of their July 2025 meeting. To that end, the CDE is committed to ensuring the presentation at the May meeting includes clear decision points and next steps regarding the various issues included in this item.</w:t>
      </w:r>
      <w:r w:rsidR="00BF697A" w:rsidRPr="0089273A">
        <w:rPr>
          <w:rFonts w:eastAsia="Arial" w:cs="Arial"/>
        </w:rPr>
        <w:t xml:space="preserve"> </w:t>
      </w:r>
    </w:p>
    <w:p w14:paraId="719DB2F4" w14:textId="72966991" w:rsidR="44FD9C8D" w:rsidRDefault="00170109" w:rsidP="56185A24">
      <w:pPr>
        <w:rPr>
          <w:rFonts w:eastAsia="Arial" w:cs="Arial"/>
        </w:rPr>
      </w:pPr>
      <w:r>
        <w:rPr>
          <w:rFonts w:eastAsia="Arial" w:cs="Arial"/>
        </w:rPr>
        <w:t xml:space="preserve">Following this discussion, </w:t>
      </w:r>
      <w:r w:rsidR="08EC5BFC" w:rsidRPr="56185A24">
        <w:rPr>
          <w:rFonts w:eastAsia="Arial" w:cs="Arial"/>
        </w:rPr>
        <w:t xml:space="preserve">the CDE will </w:t>
      </w:r>
      <w:r>
        <w:rPr>
          <w:rFonts w:eastAsia="Arial" w:cs="Arial"/>
        </w:rPr>
        <w:t xml:space="preserve">then </w:t>
      </w:r>
      <w:r w:rsidR="08EC5BFC" w:rsidRPr="56185A24">
        <w:rPr>
          <w:rFonts w:eastAsia="Arial" w:cs="Arial"/>
        </w:rPr>
        <w:t>present the</w:t>
      </w:r>
      <w:r w:rsidR="001B15E0">
        <w:rPr>
          <w:rFonts w:eastAsia="Arial" w:cs="Arial"/>
        </w:rPr>
        <w:t xml:space="preserve"> formal analysis and recommendations based on the</w:t>
      </w:r>
      <w:r w:rsidR="08EC5BFC" w:rsidRPr="56185A24">
        <w:rPr>
          <w:rFonts w:eastAsia="Arial" w:cs="Arial"/>
        </w:rPr>
        <w:t xml:space="preserve"> Accountability Workplan </w:t>
      </w:r>
      <w:r w:rsidR="001B15E0">
        <w:rPr>
          <w:rFonts w:eastAsia="Arial" w:cs="Arial"/>
        </w:rPr>
        <w:t>to</w:t>
      </w:r>
      <w:r w:rsidR="08EC5BFC" w:rsidRPr="56185A24">
        <w:rPr>
          <w:rFonts w:eastAsia="Arial" w:cs="Arial"/>
        </w:rPr>
        <w:t xml:space="preserve"> the California Practitioners Advisory Group </w:t>
      </w:r>
      <w:r w:rsidR="001B15E0">
        <w:rPr>
          <w:rFonts w:eastAsia="Arial" w:cs="Arial"/>
        </w:rPr>
        <w:t xml:space="preserve">(CPAG) </w:t>
      </w:r>
      <w:r w:rsidR="08EC5BFC" w:rsidRPr="56185A24">
        <w:rPr>
          <w:rFonts w:eastAsia="Arial" w:cs="Arial"/>
        </w:rPr>
        <w:t xml:space="preserve">at </w:t>
      </w:r>
      <w:r w:rsidR="001B15E0">
        <w:rPr>
          <w:rFonts w:eastAsia="Arial" w:cs="Arial"/>
        </w:rPr>
        <w:t xml:space="preserve">their </w:t>
      </w:r>
      <w:r w:rsidR="08EC5BFC" w:rsidRPr="56185A24">
        <w:rPr>
          <w:rFonts w:eastAsia="Arial" w:cs="Arial"/>
        </w:rPr>
        <w:t xml:space="preserve">June </w:t>
      </w:r>
      <w:r w:rsidR="001B15E0">
        <w:rPr>
          <w:rFonts w:eastAsia="Arial" w:cs="Arial"/>
        </w:rPr>
        <w:t xml:space="preserve">2025 </w:t>
      </w:r>
      <w:r w:rsidR="08EC5BFC" w:rsidRPr="56185A24">
        <w:rPr>
          <w:rFonts w:eastAsia="Arial" w:cs="Arial"/>
        </w:rPr>
        <w:t>meeting</w:t>
      </w:r>
      <w:r w:rsidR="001B15E0">
        <w:rPr>
          <w:rFonts w:eastAsia="Arial" w:cs="Arial"/>
        </w:rPr>
        <w:t xml:space="preserve">. The CPAG </w:t>
      </w:r>
      <w:r w:rsidR="00831ED9">
        <w:rPr>
          <w:rFonts w:eastAsia="Arial" w:cs="Arial"/>
        </w:rPr>
        <w:t xml:space="preserve">discussion and feedback will be </w:t>
      </w:r>
      <w:r w:rsidR="08EC5BFC" w:rsidRPr="56185A24">
        <w:rPr>
          <w:rFonts w:eastAsia="Arial" w:cs="Arial"/>
        </w:rPr>
        <w:t>incorporat</w:t>
      </w:r>
      <w:r w:rsidR="00831ED9">
        <w:rPr>
          <w:rFonts w:eastAsia="Arial" w:cs="Arial"/>
        </w:rPr>
        <w:t xml:space="preserve">ed </w:t>
      </w:r>
      <w:r w:rsidR="08EC5BFC" w:rsidRPr="56185A24">
        <w:rPr>
          <w:rFonts w:eastAsia="Arial" w:cs="Arial"/>
        </w:rPr>
        <w:t xml:space="preserve">into the July </w:t>
      </w:r>
      <w:r w:rsidR="00831ED9">
        <w:rPr>
          <w:rFonts w:eastAsia="Arial" w:cs="Arial"/>
        </w:rPr>
        <w:t xml:space="preserve">2025 </w:t>
      </w:r>
      <w:r w:rsidR="08EC5BFC" w:rsidRPr="56185A24">
        <w:rPr>
          <w:rFonts w:eastAsia="Arial" w:cs="Arial"/>
        </w:rPr>
        <w:t>SBE meeting item.</w:t>
      </w:r>
    </w:p>
    <w:p w14:paraId="619EFBAB" w14:textId="5E2DC52B" w:rsidR="007278B8" w:rsidRPr="0089273A" w:rsidRDefault="7DA04E14" w:rsidP="5F48C630">
      <w:pPr>
        <w:rPr>
          <w:rFonts w:eastAsia="Arial" w:cs="Arial"/>
          <w:color w:val="000000" w:themeColor="text1"/>
        </w:rPr>
      </w:pPr>
      <w:r w:rsidRPr="56185A24">
        <w:rPr>
          <w:rFonts w:eastAsia="Arial" w:cs="Arial"/>
          <w:color w:val="000000" w:themeColor="text1"/>
        </w:rPr>
        <w:lastRenderedPageBreak/>
        <w:t xml:space="preserve">Attachment 1 </w:t>
      </w:r>
      <w:r w:rsidR="1F23561F" w:rsidRPr="56185A24">
        <w:rPr>
          <w:rFonts w:eastAsia="Arial" w:cs="Arial"/>
          <w:color w:val="000000" w:themeColor="text1"/>
        </w:rPr>
        <w:t>includes</w:t>
      </w:r>
      <w:r w:rsidR="4D1DB230" w:rsidRPr="56185A24">
        <w:rPr>
          <w:rFonts w:eastAsia="Arial" w:cs="Arial"/>
          <w:color w:val="000000" w:themeColor="text1"/>
        </w:rPr>
        <w:t xml:space="preserve"> an</w:t>
      </w:r>
      <w:r w:rsidR="65C7E8D3" w:rsidRPr="56185A24">
        <w:rPr>
          <w:rFonts w:eastAsia="Arial" w:cs="Arial"/>
          <w:color w:val="000000" w:themeColor="text1"/>
        </w:rPr>
        <w:t xml:space="preserve"> extensive </w:t>
      </w:r>
      <w:r w:rsidR="65C7E8D3" w:rsidRPr="0089273A">
        <w:rPr>
          <w:rFonts w:eastAsia="Arial" w:cs="Arial"/>
          <w:color w:val="000000" w:themeColor="text1"/>
        </w:rPr>
        <w:t xml:space="preserve">deliberation of data analysis to </w:t>
      </w:r>
      <w:r w:rsidR="5460F0E4" w:rsidRPr="0089273A">
        <w:rPr>
          <w:rFonts w:eastAsia="Arial" w:cs="Arial"/>
          <w:color w:val="000000" w:themeColor="text1"/>
        </w:rPr>
        <w:t>be utilized by</w:t>
      </w:r>
      <w:r w:rsidR="65C7E8D3" w:rsidRPr="0089273A">
        <w:rPr>
          <w:rFonts w:eastAsia="Arial" w:cs="Arial"/>
          <w:color w:val="000000" w:themeColor="text1"/>
        </w:rPr>
        <w:t xml:space="preserve"> the SBE </w:t>
      </w:r>
      <w:r w:rsidR="7439A0B5" w:rsidRPr="0089273A">
        <w:rPr>
          <w:rFonts w:eastAsia="Arial" w:cs="Arial"/>
          <w:color w:val="000000" w:themeColor="text1"/>
        </w:rPr>
        <w:t>to assist with</w:t>
      </w:r>
      <w:r w:rsidR="553A5C49" w:rsidRPr="0089273A">
        <w:rPr>
          <w:rFonts w:eastAsia="Arial" w:cs="Arial"/>
          <w:color w:val="000000" w:themeColor="text1"/>
        </w:rPr>
        <w:t xml:space="preserve"> </w:t>
      </w:r>
      <w:r w:rsidR="65C7E8D3" w:rsidRPr="0089273A">
        <w:rPr>
          <w:rFonts w:eastAsia="Arial" w:cs="Arial"/>
          <w:color w:val="000000" w:themeColor="text1"/>
        </w:rPr>
        <w:t>their determination</w:t>
      </w:r>
      <w:r w:rsidR="66E211F2" w:rsidRPr="0089273A">
        <w:rPr>
          <w:rFonts w:eastAsia="Arial" w:cs="Arial"/>
          <w:color w:val="000000" w:themeColor="text1"/>
        </w:rPr>
        <w:t xml:space="preserve"> for the College</w:t>
      </w:r>
      <w:r w:rsidR="7350744B" w:rsidRPr="0089273A">
        <w:rPr>
          <w:rFonts w:eastAsia="Arial" w:cs="Arial"/>
          <w:color w:val="000000" w:themeColor="text1"/>
        </w:rPr>
        <w:t>/</w:t>
      </w:r>
      <w:r w:rsidR="66E211F2" w:rsidRPr="0089273A">
        <w:rPr>
          <w:rFonts w:eastAsia="Arial" w:cs="Arial"/>
          <w:color w:val="000000" w:themeColor="text1"/>
        </w:rPr>
        <w:t>Career Indicator</w:t>
      </w:r>
      <w:r w:rsidR="0D694062" w:rsidRPr="0089273A">
        <w:rPr>
          <w:rFonts w:eastAsia="Arial" w:cs="Arial"/>
          <w:color w:val="000000" w:themeColor="text1"/>
        </w:rPr>
        <w:t xml:space="preserve"> (CCI)</w:t>
      </w:r>
      <w:r w:rsidR="05A6A1B5" w:rsidRPr="0089273A">
        <w:rPr>
          <w:rFonts w:eastAsia="Arial" w:cs="Arial"/>
          <w:color w:val="000000" w:themeColor="text1"/>
        </w:rPr>
        <w:t xml:space="preserve">. </w:t>
      </w:r>
      <w:r w:rsidR="40A305E7" w:rsidRPr="0089273A">
        <w:rPr>
          <w:rFonts w:eastAsia="Arial" w:cs="Arial"/>
          <w:color w:val="000000" w:themeColor="text1"/>
        </w:rPr>
        <w:t xml:space="preserve">The CCI </w:t>
      </w:r>
      <w:r w:rsidR="62A5081B" w:rsidRPr="0089273A">
        <w:rPr>
          <w:rFonts w:eastAsia="Arial" w:cs="Arial"/>
          <w:color w:val="000000" w:themeColor="text1"/>
        </w:rPr>
        <w:t>d</w:t>
      </w:r>
      <w:r w:rsidR="05A6A1B5" w:rsidRPr="0089273A">
        <w:rPr>
          <w:rFonts w:eastAsia="Arial" w:cs="Arial"/>
          <w:color w:val="000000" w:themeColor="text1"/>
        </w:rPr>
        <w:t>ata focuses on a review of currently adopted measures, Seal of Civic Engagement, and career measures.</w:t>
      </w:r>
    </w:p>
    <w:p w14:paraId="7B6892D3" w14:textId="1CF1E24F" w:rsidR="007278B8" w:rsidRPr="0089273A" w:rsidRDefault="00D55A83" w:rsidP="5F48C630">
      <w:pPr>
        <w:rPr>
          <w:rFonts w:eastAsia="Arial" w:cs="Arial"/>
          <w:color w:val="000000" w:themeColor="text1"/>
        </w:rPr>
      </w:pPr>
      <w:r w:rsidRPr="0089273A">
        <w:rPr>
          <w:rFonts w:eastAsia="Arial" w:cs="Arial"/>
          <w:color w:val="000000" w:themeColor="text1"/>
        </w:rPr>
        <w:t xml:space="preserve">Attachment 2 is the </w:t>
      </w:r>
      <w:r w:rsidR="00B226F6" w:rsidRPr="0089273A">
        <w:rPr>
          <w:rFonts w:eastAsia="Arial" w:cs="Arial"/>
          <w:color w:val="000000" w:themeColor="text1"/>
        </w:rPr>
        <w:t>next step in the discussion abo</w:t>
      </w:r>
      <w:r w:rsidR="00201C99" w:rsidRPr="0089273A">
        <w:rPr>
          <w:rFonts w:eastAsia="Arial" w:cs="Arial"/>
          <w:color w:val="000000" w:themeColor="text1"/>
        </w:rPr>
        <w:t>ut the incorporation of the gr</w:t>
      </w:r>
      <w:r w:rsidR="67F92B9E" w:rsidRPr="0089273A">
        <w:rPr>
          <w:rFonts w:eastAsia="Arial" w:cs="Arial"/>
          <w:color w:val="000000" w:themeColor="text1"/>
        </w:rPr>
        <w:t xml:space="preserve">owth data </w:t>
      </w:r>
      <w:r w:rsidR="00201C99" w:rsidRPr="0089273A">
        <w:rPr>
          <w:rFonts w:eastAsia="Arial" w:cs="Arial"/>
          <w:color w:val="000000" w:themeColor="text1"/>
        </w:rPr>
        <w:t xml:space="preserve">in the Dashboard. </w:t>
      </w:r>
      <w:r w:rsidR="007278B8" w:rsidRPr="0089273A">
        <w:rPr>
          <w:rFonts w:eastAsia="Arial" w:cs="Arial"/>
          <w:color w:val="000000" w:themeColor="text1"/>
        </w:rPr>
        <w:t xml:space="preserve">At the </w:t>
      </w:r>
      <w:r w:rsidR="67F92B9E" w:rsidRPr="0089273A">
        <w:rPr>
          <w:rFonts w:eastAsia="Arial" w:cs="Arial"/>
          <w:color w:val="000000" w:themeColor="text1"/>
        </w:rPr>
        <w:t>January</w:t>
      </w:r>
      <w:r w:rsidR="007278B8" w:rsidRPr="0089273A">
        <w:rPr>
          <w:rFonts w:eastAsia="Arial" w:cs="Arial"/>
          <w:color w:val="000000" w:themeColor="text1"/>
        </w:rPr>
        <w:t xml:space="preserve"> 2025 meeting</w:t>
      </w:r>
      <w:r w:rsidR="67F92B9E" w:rsidRPr="0089273A">
        <w:rPr>
          <w:rFonts w:eastAsia="Arial" w:cs="Arial"/>
          <w:color w:val="000000" w:themeColor="text1"/>
        </w:rPr>
        <w:t xml:space="preserve">, the </w:t>
      </w:r>
      <w:r w:rsidR="15A964CB" w:rsidRPr="0089273A">
        <w:rPr>
          <w:rFonts w:eastAsia="Arial" w:cs="Arial"/>
          <w:color w:val="000000" w:themeColor="text1"/>
        </w:rPr>
        <w:t>SBE requested additional descriptive</w:t>
      </w:r>
      <w:r w:rsidR="67F92B9E" w:rsidRPr="0089273A">
        <w:rPr>
          <w:rFonts w:eastAsia="Arial" w:cs="Arial"/>
          <w:color w:val="000000" w:themeColor="text1"/>
        </w:rPr>
        <w:t xml:space="preserve"> data </w:t>
      </w:r>
      <w:r w:rsidR="15A964CB" w:rsidRPr="0089273A">
        <w:rPr>
          <w:rFonts w:eastAsia="Arial" w:cs="Arial"/>
          <w:color w:val="000000" w:themeColor="text1"/>
        </w:rPr>
        <w:t xml:space="preserve">about how schools and districts performed. </w:t>
      </w:r>
      <w:r w:rsidR="67F92B9E" w:rsidRPr="0089273A">
        <w:rPr>
          <w:rFonts w:eastAsia="Arial" w:cs="Arial"/>
          <w:color w:val="000000" w:themeColor="text1"/>
        </w:rPr>
        <w:t xml:space="preserve">CDE </w:t>
      </w:r>
      <w:r w:rsidR="04C39B8B" w:rsidRPr="0089273A">
        <w:rPr>
          <w:rFonts w:eastAsia="Arial" w:cs="Arial"/>
          <w:color w:val="000000" w:themeColor="text1"/>
        </w:rPr>
        <w:t>provide</w:t>
      </w:r>
      <w:r w:rsidR="67F92B9E" w:rsidRPr="0089273A">
        <w:rPr>
          <w:rFonts w:eastAsia="Arial" w:cs="Arial"/>
          <w:color w:val="000000" w:themeColor="text1"/>
        </w:rPr>
        <w:t xml:space="preserve">s </w:t>
      </w:r>
      <w:r w:rsidR="4C612CD3" w:rsidRPr="0089273A">
        <w:rPr>
          <w:rFonts w:eastAsia="Arial" w:cs="Arial"/>
          <w:color w:val="000000" w:themeColor="text1"/>
        </w:rPr>
        <w:t xml:space="preserve">this </w:t>
      </w:r>
      <w:r w:rsidR="67F92B9E" w:rsidRPr="0089273A">
        <w:rPr>
          <w:rFonts w:eastAsia="Arial" w:cs="Arial"/>
          <w:color w:val="000000" w:themeColor="text1"/>
        </w:rPr>
        <w:t xml:space="preserve">data analysis in </w:t>
      </w:r>
      <w:r w:rsidR="71268A3C" w:rsidRPr="0089273A">
        <w:rPr>
          <w:rFonts w:eastAsia="Arial" w:cs="Arial"/>
          <w:color w:val="000000" w:themeColor="text1"/>
        </w:rPr>
        <w:t>Attachment 2</w:t>
      </w:r>
      <w:r w:rsidR="67F92B9E" w:rsidRPr="0089273A">
        <w:rPr>
          <w:rFonts w:eastAsia="Arial" w:cs="Arial"/>
          <w:color w:val="000000" w:themeColor="text1"/>
        </w:rPr>
        <w:t xml:space="preserve"> </w:t>
      </w:r>
      <w:r w:rsidR="602279E4" w:rsidRPr="0089273A">
        <w:rPr>
          <w:rFonts w:eastAsia="Arial" w:cs="Arial"/>
          <w:color w:val="000000" w:themeColor="text1"/>
        </w:rPr>
        <w:t xml:space="preserve">in preparation </w:t>
      </w:r>
      <w:r w:rsidR="67F92B9E" w:rsidRPr="0089273A">
        <w:rPr>
          <w:rFonts w:eastAsia="Arial" w:cs="Arial"/>
          <w:color w:val="000000" w:themeColor="text1"/>
        </w:rPr>
        <w:t>for the SBE</w:t>
      </w:r>
      <w:r w:rsidR="007278B8" w:rsidRPr="0089273A">
        <w:rPr>
          <w:rFonts w:eastAsia="Arial" w:cs="Arial"/>
          <w:color w:val="000000" w:themeColor="text1"/>
        </w:rPr>
        <w:t>’s</w:t>
      </w:r>
      <w:r w:rsidR="67F92B9E" w:rsidRPr="0089273A">
        <w:rPr>
          <w:rFonts w:eastAsia="Arial" w:cs="Arial"/>
          <w:color w:val="000000" w:themeColor="text1"/>
        </w:rPr>
        <w:t xml:space="preserve"> </w:t>
      </w:r>
      <w:r w:rsidR="006514E3" w:rsidRPr="0089273A">
        <w:rPr>
          <w:rFonts w:eastAsia="Arial" w:cs="Arial"/>
          <w:color w:val="000000" w:themeColor="text1"/>
        </w:rPr>
        <w:t>adopt</w:t>
      </w:r>
      <w:r w:rsidR="007278B8" w:rsidRPr="0089273A">
        <w:rPr>
          <w:rFonts w:eastAsia="Arial" w:cs="Arial"/>
          <w:color w:val="000000" w:themeColor="text1"/>
        </w:rPr>
        <w:t>ion of</w:t>
      </w:r>
      <w:r w:rsidR="67F92B9E" w:rsidRPr="0089273A">
        <w:rPr>
          <w:rFonts w:eastAsia="Arial" w:cs="Arial"/>
          <w:color w:val="000000" w:themeColor="text1"/>
        </w:rPr>
        <w:t xml:space="preserve"> </w:t>
      </w:r>
      <w:r w:rsidR="1A1B775F" w:rsidRPr="0089273A">
        <w:rPr>
          <w:rFonts w:eastAsia="Arial" w:cs="Arial"/>
          <w:color w:val="000000" w:themeColor="text1"/>
        </w:rPr>
        <w:t>performance standards</w:t>
      </w:r>
      <w:r w:rsidR="006514E3" w:rsidRPr="0089273A">
        <w:rPr>
          <w:rFonts w:eastAsia="Arial" w:cs="Arial"/>
          <w:color w:val="000000" w:themeColor="text1"/>
        </w:rPr>
        <w:t xml:space="preserve"> for</w:t>
      </w:r>
      <w:r w:rsidR="67F92B9E" w:rsidRPr="0089273A">
        <w:rPr>
          <w:rFonts w:eastAsia="Arial" w:cs="Arial"/>
          <w:color w:val="000000" w:themeColor="text1"/>
        </w:rPr>
        <w:t xml:space="preserve"> growth </w:t>
      </w:r>
      <w:r w:rsidR="1A1B775F" w:rsidRPr="0089273A">
        <w:rPr>
          <w:rFonts w:eastAsia="Arial" w:cs="Arial"/>
          <w:color w:val="000000" w:themeColor="text1"/>
        </w:rPr>
        <w:t xml:space="preserve">at their July </w:t>
      </w:r>
      <w:r w:rsidR="007278B8" w:rsidRPr="0089273A">
        <w:rPr>
          <w:rFonts w:eastAsia="Arial" w:cs="Arial"/>
          <w:color w:val="000000" w:themeColor="text1"/>
        </w:rPr>
        <w:t xml:space="preserve">2025 </w:t>
      </w:r>
      <w:r w:rsidR="1A1B775F" w:rsidRPr="0089273A">
        <w:rPr>
          <w:rFonts w:eastAsia="Arial" w:cs="Arial"/>
          <w:color w:val="000000" w:themeColor="text1"/>
        </w:rPr>
        <w:t>meeting</w:t>
      </w:r>
      <w:r w:rsidR="67F92B9E" w:rsidRPr="0089273A">
        <w:rPr>
          <w:rFonts w:eastAsia="Arial" w:cs="Arial"/>
          <w:color w:val="000000" w:themeColor="text1"/>
        </w:rPr>
        <w:t>.</w:t>
      </w:r>
    </w:p>
    <w:p w14:paraId="6E78E088" w14:textId="0683A275" w:rsidR="007278B8" w:rsidRPr="0089273A" w:rsidRDefault="00AB33F9" w:rsidP="5F48C630">
      <w:pPr>
        <w:rPr>
          <w:rFonts w:eastAsia="Arial" w:cs="Arial"/>
          <w:color w:val="000000" w:themeColor="text1"/>
        </w:rPr>
      </w:pPr>
      <w:r w:rsidRPr="0089273A">
        <w:rPr>
          <w:rFonts w:eastAsia="Arial" w:cs="Arial"/>
          <w:color w:val="000000" w:themeColor="text1"/>
        </w:rPr>
        <w:t>Attachment 3 provide</w:t>
      </w:r>
      <w:r w:rsidR="00913F9F" w:rsidRPr="0089273A">
        <w:rPr>
          <w:rFonts w:eastAsia="Arial" w:cs="Arial"/>
          <w:color w:val="000000" w:themeColor="text1"/>
        </w:rPr>
        <w:t xml:space="preserve">s analysis of how the Long-Term English Learners </w:t>
      </w:r>
      <w:r w:rsidR="007278B8" w:rsidRPr="0089273A">
        <w:rPr>
          <w:rFonts w:eastAsia="Arial" w:cs="Arial"/>
          <w:color w:val="000000" w:themeColor="text1"/>
        </w:rPr>
        <w:t xml:space="preserve">(LTEL) </w:t>
      </w:r>
      <w:r w:rsidR="00913F9F" w:rsidRPr="0089273A">
        <w:rPr>
          <w:rFonts w:eastAsia="Arial" w:cs="Arial"/>
          <w:color w:val="000000" w:themeColor="text1"/>
        </w:rPr>
        <w:t xml:space="preserve">student group </w:t>
      </w:r>
      <w:r w:rsidR="000D477B" w:rsidRPr="0089273A">
        <w:rPr>
          <w:rFonts w:eastAsia="Arial" w:cs="Arial"/>
          <w:color w:val="000000" w:themeColor="text1"/>
        </w:rPr>
        <w:t>qualified for Differentiated Assistance</w:t>
      </w:r>
      <w:r w:rsidR="00913F9F" w:rsidRPr="0089273A">
        <w:rPr>
          <w:rFonts w:eastAsia="Arial" w:cs="Arial"/>
          <w:color w:val="000000" w:themeColor="text1"/>
        </w:rPr>
        <w:t xml:space="preserve"> on the 2024 </w:t>
      </w:r>
      <w:r w:rsidR="00F25694" w:rsidRPr="0089273A">
        <w:rPr>
          <w:rFonts w:eastAsia="Arial" w:cs="Arial"/>
          <w:color w:val="000000" w:themeColor="text1"/>
        </w:rPr>
        <w:t xml:space="preserve">Dashboard </w:t>
      </w:r>
      <w:r w:rsidR="000D477B" w:rsidRPr="0089273A">
        <w:rPr>
          <w:rFonts w:eastAsia="Arial" w:cs="Arial"/>
          <w:color w:val="000000" w:themeColor="text1"/>
        </w:rPr>
        <w:t>and</w:t>
      </w:r>
      <w:r w:rsidR="002F7990" w:rsidRPr="0089273A">
        <w:rPr>
          <w:rFonts w:eastAsia="Arial" w:cs="Arial"/>
          <w:color w:val="000000" w:themeColor="text1"/>
        </w:rPr>
        <w:t xml:space="preserve"> suggested changes to the Suspension Rate Indicator for LTELs.</w:t>
      </w:r>
    </w:p>
    <w:p w14:paraId="009421CE" w14:textId="02FC06FF" w:rsidR="007278B8" w:rsidRDefault="36C86F65" w:rsidP="5F48C630">
      <w:pPr>
        <w:rPr>
          <w:rFonts w:eastAsia="Arial" w:cs="Arial"/>
          <w:color w:val="000000" w:themeColor="text1"/>
        </w:rPr>
      </w:pPr>
      <w:r w:rsidRPr="0089273A">
        <w:rPr>
          <w:rFonts w:eastAsia="Arial" w:cs="Arial"/>
          <w:color w:val="000000" w:themeColor="text1"/>
        </w:rPr>
        <w:t xml:space="preserve">Attachment </w:t>
      </w:r>
      <w:r w:rsidR="00AB33F9" w:rsidRPr="0089273A">
        <w:rPr>
          <w:rFonts w:eastAsia="Arial" w:cs="Arial"/>
          <w:color w:val="000000" w:themeColor="text1"/>
        </w:rPr>
        <w:t>4</w:t>
      </w:r>
      <w:r w:rsidRPr="0089273A">
        <w:rPr>
          <w:rFonts w:eastAsia="Arial" w:cs="Arial"/>
          <w:color w:val="000000" w:themeColor="text1"/>
        </w:rPr>
        <w:t xml:space="preserve"> </w:t>
      </w:r>
      <w:r w:rsidR="00C71380" w:rsidRPr="0089273A">
        <w:rPr>
          <w:rFonts w:eastAsia="Arial" w:cs="Arial"/>
          <w:color w:val="000000" w:themeColor="text1"/>
        </w:rPr>
        <w:t xml:space="preserve">includes a review of options to incorporate </w:t>
      </w:r>
      <w:r w:rsidR="0A0BC7F5" w:rsidRPr="0089273A">
        <w:rPr>
          <w:rFonts w:eastAsia="Arial" w:cs="Arial"/>
          <w:color w:val="000000" w:themeColor="text1"/>
        </w:rPr>
        <w:t xml:space="preserve">the </w:t>
      </w:r>
      <w:r w:rsidR="00C71380" w:rsidRPr="0089273A">
        <w:rPr>
          <w:rFonts w:eastAsia="Arial" w:cs="Arial"/>
          <w:color w:val="000000" w:themeColor="text1"/>
        </w:rPr>
        <w:t>Science</w:t>
      </w:r>
      <w:r w:rsidR="00C71380" w:rsidRPr="0C26C3EC">
        <w:rPr>
          <w:rFonts w:eastAsia="Arial" w:cs="Arial"/>
          <w:color w:val="000000" w:themeColor="text1"/>
        </w:rPr>
        <w:t xml:space="preserve"> Indicator into LCFF Eligibility Criteria</w:t>
      </w:r>
      <w:r w:rsidR="00C71380">
        <w:rPr>
          <w:rFonts w:eastAsia="Arial" w:cs="Arial"/>
          <w:color w:val="000000" w:themeColor="text1"/>
        </w:rPr>
        <w:t>.</w:t>
      </w:r>
    </w:p>
    <w:p w14:paraId="620FD88D" w14:textId="19A529B9" w:rsidR="007278B8" w:rsidRDefault="00B74E34" w:rsidP="5F48C630">
      <w:pPr>
        <w:rPr>
          <w:rFonts w:eastAsia="Arial" w:cs="Arial"/>
          <w:color w:val="000000" w:themeColor="text1"/>
        </w:rPr>
      </w:pPr>
      <w:r>
        <w:rPr>
          <w:rFonts w:eastAsia="Arial" w:cs="Arial"/>
          <w:color w:val="000000" w:themeColor="text1"/>
        </w:rPr>
        <w:t>Attachment 5</w:t>
      </w:r>
      <w:r w:rsidR="36C86F65" w:rsidRPr="56185A24">
        <w:rPr>
          <w:rFonts w:eastAsia="Arial" w:cs="Arial"/>
          <w:color w:val="000000" w:themeColor="text1"/>
        </w:rPr>
        <w:t xml:space="preserve"> includes t</w:t>
      </w:r>
      <w:r w:rsidR="66E211F2" w:rsidRPr="56185A24">
        <w:rPr>
          <w:rFonts w:eastAsia="Arial" w:cs="Arial"/>
          <w:color w:val="000000" w:themeColor="text1"/>
        </w:rPr>
        <w:t xml:space="preserve">he Dashboard Alternative School Status </w:t>
      </w:r>
      <w:r w:rsidR="1C86E02E" w:rsidRPr="56185A24">
        <w:rPr>
          <w:rFonts w:eastAsia="Arial" w:cs="Arial"/>
          <w:color w:val="000000" w:themeColor="text1"/>
        </w:rPr>
        <w:t xml:space="preserve">(DASS) </w:t>
      </w:r>
      <w:r w:rsidR="6C7B5574" w:rsidRPr="56185A24">
        <w:rPr>
          <w:rFonts w:eastAsia="Arial" w:cs="Arial"/>
          <w:color w:val="000000" w:themeColor="text1"/>
        </w:rPr>
        <w:t>along with</w:t>
      </w:r>
      <w:r w:rsidR="33E3E9B9" w:rsidRPr="56185A24">
        <w:rPr>
          <w:rFonts w:eastAsia="Arial" w:cs="Arial"/>
          <w:color w:val="000000" w:themeColor="text1"/>
        </w:rPr>
        <w:t xml:space="preserve"> a review of DASS Application/Renewal Criteria</w:t>
      </w:r>
      <w:r w:rsidR="2524B13C" w:rsidRPr="56185A24">
        <w:rPr>
          <w:rFonts w:eastAsia="Arial" w:cs="Arial"/>
          <w:color w:val="000000" w:themeColor="text1"/>
        </w:rPr>
        <w:t xml:space="preserve"> as part of</w:t>
      </w:r>
      <w:r w:rsidR="09373E09" w:rsidRPr="56185A24">
        <w:rPr>
          <w:rFonts w:eastAsia="Arial" w:cs="Arial"/>
          <w:color w:val="000000" w:themeColor="text1"/>
        </w:rPr>
        <w:t xml:space="preserve"> the </w:t>
      </w:r>
      <w:r w:rsidR="4D1DB230" w:rsidRPr="56185A24">
        <w:rPr>
          <w:rFonts w:eastAsia="Arial" w:cs="Arial"/>
          <w:color w:val="000000" w:themeColor="text1"/>
        </w:rPr>
        <w:t>202</w:t>
      </w:r>
      <w:r w:rsidR="120B473B" w:rsidRPr="56185A24">
        <w:rPr>
          <w:rFonts w:eastAsia="Arial" w:cs="Arial"/>
          <w:color w:val="000000" w:themeColor="text1"/>
        </w:rPr>
        <w:t>5</w:t>
      </w:r>
      <w:r w:rsidR="4D1DB230" w:rsidRPr="56185A24">
        <w:rPr>
          <w:rFonts w:eastAsia="Arial" w:cs="Arial"/>
          <w:color w:val="000000" w:themeColor="text1"/>
        </w:rPr>
        <w:t xml:space="preserve"> Accountability Workplan</w:t>
      </w:r>
      <w:r w:rsidR="75949092" w:rsidRPr="56185A24">
        <w:rPr>
          <w:rFonts w:eastAsia="Arial" w:cs="Arial"/>
          <w:color w:val="000000" w:themeColor="text1"/>
        </w:rPr>
        <w:t>.</w:t>
      </w:r>
    </w:p>
    <w:p w14:paraId="21D90F76" w14:textId="77777777" w:rsidR="00447AB9" w:rsidRDefault="00B74E34" w:rsidP="5F48C630">
      <w:pPr>
        <w:rPr>
          <w:rFonts w:eastAsia="Arial" w:cs="Arial"/>
          <w:color w:val="000000" w:themeColor="text1"/>
        </w:rPr>
      </w:pPr>
      <w:r>
        <w:rPr>
          <w:rFonts w:eastAsia="Arial" w:cs="Arial"/>
          <w:color w:val="000000" w:themeColor="text1"/>
        </w:rPr>
        <w:t xml:space="preserve">Attachment 6 </w:t>
      </w:r>
      <w:r w:rsidR="00D20D0C">
        <w:rPr>
          <w:rFonts w:eastAsia="Arial" w:cs="Arial"/>
          <w:color w:val="000000" w:themeColor="text1"/>
        </w:rPr>
        <w:t>provides a r</w:t>
      </w:r>
      <w:r w:rsidR="00D20D0C" w:rsidRPr="0C26C3EC">
        <w:rPr>
          <w:rFonts w:eastAsia="Arial" w:cs="Arial"/>
          <w:color w:val="000000" w:themeColor="text1"/>
        </w:rPr>
        <w:t>eview of</w:t>
      </w:r>
      <w:r w:rsidR="00901BBB">
        <w:rPr>
          <w:rFonts w:eastAsia="Arial" w:cs="Arial"/>
          <w:color w:val="000000" w:themeColor="text1"/>
        </w:rPr>
        <w:t xml:space="preserve"> the incorporation of </w:t>
      </w:r>
      <w:r w:rsidR="00D20D0C" w:rsidRPr="0C26C3EC">
        <w:rPr>
          <w:rFonts w:eastAsia="Arial" w:cs="Arial"/>
          <w:color w:val="000000" w:themeColor="text1"/>
        </w:rPr>
        <w:t xml:space="preserve">Priority 1 Teacher Assignment </w:t>
      </w:r>
      <w:r w:rsidR="00447AB9">
        <w:rPr>
          <w:rFonts w:eastAsia="Arial" w:cs="Arial"/>
          <w:color w:val="000000" w:themeColor="text1"/>
        </w:rPr>
        <w:t>d</w:t>
      </w:r>
      <w:r w:rsidR="00D20D0C" w:rsidRPr="0C26C3EC">
        <w:rPr>
          <w:rFonts w:eastAsia="Arial" w:cs="Arial"/>
          <w:color w:val="000000" w:themeColor="text1"/>
        </w:rPr>
        <w:t>at</w:t>
      </w:r>
      <w:r w:rsidR="00901BBB">
        <w:rPr>
          <w:rFonts w:eastAsia="Arial" w:cs="Arial"/>
          <w:color w:val="000000" w:themeColor="text1"/>
        </w:rPr>
        <w:t>a.</w:t>
      </w:r>
    </w:p>
    <w:p w14:paraId="7963D4DE" w14:textId="7C352261" w:rsidR="7DA04E14" w:rsidRDefault="4D56C34C" w:rsidP="5F48C630">
      <w:pPr>
        <w:rPr>
          <w:rFonts w:eastAsia="Arial" w:cs="Arial"/>
          <w:color w:val="000000" w:themeColor="text1"/>
        </w:rPr>
      </w:pPr>
      <w:r w:rsidRPr="56185A24">
        <w:rPr>
          <w:rFonts w:eastAsia="Arial" w:cs="Arial"/>
          <w:color w:val="000000" w:themeColor="text1"/>
        </w:rPr>
        <w:t xml:space="preserve">Attachment </w:t>
      </w:r>
      <w:r w:rsidR="00447AB9">
        <w:rPr>
          <w:rFonts w:eastAsia="Arial" w:cs="Arial"/>
          <w:color w:val="000000" w:themeColor="text1"/>
        </w:rPr>
        <w:t>7</w:t>
      </w:r>
      <w:r w:rsidR="4CD04349" w:rsidRPr="56185A24">
        <w:rPr>
          <w:rFonts w:eastAsia="Arial" w:cs="Arial"/>
          <w:color w:val="000000" w:themeColor="text1"/>
        </w:rPr>
        <w:t xml:space="preserve"> is an</w:t>
      </w:r>
      <w:r w:rsidRPr="56185A24">
        <w:rPr>
          <w:rFonts w:eastAsia="Arial" w:cs="Arial"/>
          <w:color w:val="000000" w:themeColor="text1"/>
        </w:rPr>
        <w:t xml:space="preserve"> </w:t>
      </w:r>
      <w:r w:rsidR="6A33CA11" w:rsidRPr="56185A24">
        <w:rPr>
          <w:rFonts w:eastAsia="Arial" w:cs="Arial"/>
          <w:color w:val="000000" w:themeColor="text1"/>
        </w:rPr>
        <w:t>overview of the outreach activities completed to date in support of the Dashboard.</w:t>
      </w:r>
    </w:p>
    <w:p w14:paraId="6E01BEE9" w14:textId="6B93650B" w:rsidR="00DF68E3" w:rsidRPr="00A92916" w:rsidRDefault="00DF68E3" w:rsidP="00811F21">
      <w:pPr>
        <w:pStyle w:val="Heading2"/>
        <w:rPr>
          <w:rFonts w:cs="Arial"/>
        </w:rPr>
      </w:pPr>
      <w:r w:rsidRPr="00A92916">
        <w:rPr>
          <w:rFonts w:cs="Arial"/>
        </w:rPr>
        <w:t>Recommendation</w:t>
      </w:r>
    </w:p>
    <w:p w14:paraId="17D54683" w14:textId="08CBBCF2" w:rsidR="00BC2369" w:rsidRPr="002974EF" w:rsidRDefault="00BC2369" w:rsidP="00BC2369">
      <w:pPr>
        <w:rPr>
          <w:rFonts w:eastAsia="Arial" w:cs="Arial"/>
        </w:rPr>
      </w:pPr>
      <w:r w:rsidRPr="002974EF">
        <w:rPr>
          <w:rFonts w:eastAsia="Arial" w:cs="Arial"/>
          <w:color w:val="000000" w:themeColor="text1"/>
        </w:rPr>
        <w:t>The C</w:t>
      </w:r>
      <w:r>
        <w:rPr>
          <w:rFonts w:eastAsia="Arial" w:cs="Arial"/>
          <w:color w:val="000000" w:themeColor="text1"/>
        </w:rPr>
        <w:t>DE</w:t>
      </w:r>
      <w:r w:rsidRPr="002974EF">
        <w:rPr>
          <w:rFonts w:eastAsia="Arial" w:cs="Arial"/>
          <w:color w:val="000000" w:themeColor="text1"/>
        </w:rPr>
        <w:t xml:space="preserve"> recommends that the SBE</w:t>
      </w:r>
      <w:r w:rsidRPr="002974EF">
        <w:t xml:space="preserve"> provide guidance on the </w:t>
      </w:r>
      <w:r w:rsidR="00204A24">
        <w:t xml:space="preserve">work on the 2025 </w:t>
      </w:r>
      <w:r w:rsidRPr="002974EF">
        <w:t>Accountability Workplan and take additional action</w:t>
      </w:r>
      <w:r w:rsidRPr="002974EF">
        <w:rPr>
          <w:rFonts w:eastAsia="Arial" w:cs="Arial"/>
          <w:color w:val="000000" w:themeColor="text1"/>
        </w:rPr>
        <w:t xml:space="preserve"> as deemed necessary and appropriate.</w:t>
      </w:r>
    </w:p>
    <w:p w14:paraId="423227AF" w14:textId="1A349340" w:rsidR="00F40510" w:rsidRPr="00A92916" w:rsidRDefault="003E4DF7" w:rsidP="00811F21">
      <w:pPr>
        <w:pStyle w:val="Heading2"/>
        <w:rPr>
          <w:rFonts w:cs="Arial"/>
        </w:rPr>
      </w:pPr>
      <w:r w:rsidRPr="00A92916">
        <w:rPr>
          <w:rFonts w:cs="Arial"/>
        </w:rPr>
        <w:t>Brief History of Key Issues</w:t>
      </w:r>
    </w:p>
    <w:p w14:paraId="22E2BB14" w14:textId="4C551421" w:rsidR="00E95ABC" w:rsidRPr="00420316" w:rsidRDefault="009B60A5" w:rsidP="00420316">
      <w:pPr>
        <w:pStyle w:val="Heading3"/>
      </w:pPr>
      <w:r w:rsidRPr="00420316">
        <w:t>Background</w:t>
      </w:r>
    </w:p>
    <w:p w14:paraId="21E3706F" w14:textId="5A1358DC" w:rsidR="00B100C0" w:rsidRPr="006058EF" w:rsidRDefault="00B100C0" w:rsidP="00B100C0">
      <w:pPr>
        <w:rPr>
          <w:rFonts w:eastAsia="Arial" w:cs="Arial"/>
        </w:rPr>
      </w:pPr>
      <w:r w:rsidRPr="006058EF">
        <w:rPr>
          <w:rFonts w:eastAsia="Arial" w:cs="Arial"/>
          <w:color w:val="000000" w:themeColor="text1"/>
        </w:rPr>
        <w:t xml:space="preserve">The </w:t>
      </w:r>
      <w:r w:rsidRPr="545CD93B">
        <w:rPr>
          <w:rFonts w:eastAsia="Arial" w:cs="Arial"/>
        </w:rPr>
        <w:t xml:space="preserve">primary purpose of the Dashboard since it was first published in 2017 </w:t>
      </w:r>
      <w:r w:rsidR="00B72568" w:rsidRPr="545CD93B">
        <w:rPr>
          <w:rFonts w:eastAsia="Arial" w:cs="Arial"/>
        </w:rPr>
        <w:t xml:space="preserve">continues to be </w:t>
      </w:r>
      <w:r w:rsidRPr="545CD93B">
        <w:rPr>
          <w:rFonts w:eastAsia="Arial" w:cs="Arial"/>
        </w:rPr>
        <w:t xml:space="preserve">to assist local educational agencies (LEAs) in identifying strengths, weaknesses, and areas in need of improvement for the LEA and its schools. The Dashboard is used to determine LEAs in need of additional assistance or intervention based on the criteria set forth in California </w:t>
      </w:r>
      <w:r w:rsidRPr="0089273A">
        <w:rPr>
          <w:rFonts w:eastAsia="Arial" w:cs="Arial"/>
          <w:i/>
        </w:rPr>
        <w:t>Education Code</w:t>
      </w:r>
      <w:r w:rsidRPr="0089273A">
        <w:rPr>
          <w:rFonts w:eastAsia="Arial" w:cs="Arial"/>
        </w:rPr>
        <w:t xml:space="preserve"> Section 52064.5. It is also used to determine schools in need of support under </w:t>
      </w:r>
      <w:r w:rsidR="30DBCEB4" w:rsidRPr="0089273A">
        <w:rPr>
          <w:rFonts w:eastAsia="Arial" w:cs="Arial"/>
        </w:rPr>
        <w:t>the Every Student Succeeds Act (</w:t>
      </w:r>
      <w:r w:rsidRPr="0089273A">
        <w:rPr>
          <w:rFonts w:eastAsia="Arial" w:cs="Arial"/>
        </w:rPr>
        <w:t>ESSA</w:t>
      </w:r>
      <w:r w:rsidR="2BB89535" w:rsidRPr="0089273A">
        <w:rPr>
          <w:rFonts w:eastAsia="Arial" w:cs="Arial"/>
        </w:rPr>
        <w:t xml:space="preserve">) </w:t>
      </w:r>
      <w:r w:rsidRPr="0089273A">
        <w:rPr>
          <w:rFonts w:eastAsia="Arial" w:cs="Arial"/>
        </w:rPr>
        <w:t xml:space="preserve">i.e., Comprehensive Support and Improvement, and Targeted Support and Improvement/Additional Targeted </w:t>
      </w:r>
      <w:r w:rsidRPr="0089273A">
        <w:rPr>
          <w:rFonts w:eastAsia="Arial" w:cs="Arial"/>
        </w:rPr>
        <w:lastRenderedPageBreak/>
        <w:t>Support and Improvement. In 202</w:t>
      </w:r>
      <w:r w:rsidR="00925F47" w:rsidRPr="0089273A">
        <w:rPr>
          <w:rFonts w:eastAsia="Arial" w:cs="Arial"/>
        </w:rPr>
        <w:t>4</w:t>
      </w:r>
      <w:r w:rsidRPr="0089273A">
        <w:rPr>
          <w:rFonts w:eastAsia="Arial" w:cs="Arial"/>
        </w:rPr>
        <w:t>, the Dashboard reflect</w:t>
      </w:r>
      <w:r w:rsidR="0B4BA10A" w:rsidRPr="0089273A">
        <w:rPr>
          <w:rFonts w:eastAsia="Arial" w:cs="Arial"/>
        </w:rPr>
        <w:t>ed</w:t>
      </w:r>
      <w:r w:rsidRPr="0089273A">
        <w:rPr>
          <w:rFonts w:eastAsia="Arial" w:cs="Arial"/>
        </w:rPr>
        <w:t xml:space="preserve"> a full return of California’s accountability system with the reporting of Status (current year data), Change (the</w:t>
      </w:r>
      <w:r w:rsidRPr="545CD93B">
        <w:rPr>
          <w:rFonts w:eastAsia="Arial" w:cs="Arial"/>
        </w:rPr>
        <w:t xml:space="preserve"> difference from prior year data), and performance levels (or colors) for all state indicators.</w:t>
      </w:r>
    </w:p>
    <w:p w14:paraId="74F6BAF1" w14:textId="4B329FC5" w:rsidR="003F5CB5" w:rsidRPr="006058EF" w:rsidRDefault="003F5CB5" w:rsidP="00420316">
      <w:pPr>
        <w:pStyle w:val="Heading3"/>
      </w:pPr>
      <w:r w:rsidRPr="00420316">
        <w:t>California School Dashboard Principles</w:t>
      </w:r>
    </w:p>
    <w:p w14:paraId="13A37A41" w14:textId="45E7F45F" w:rsidR="003D3465" w:rsidRPr="00491731" w:rsidRDefault="0888C1CC" w:rsidP="01C12914">
      <w:pPr>
        <w:rPr>
          <w:rFonts w:eastAsia="Arial" w:cs="Arial"/>
        </w:rPr>
      </w:pPr>
      <w:r w:rsidRPr="545CD93B">
        <w:rPr>
          <w:rFonts w:eastAsia="Arial" w:cs="Arial"/>
        </w:rPr>
        <w:t xml:space="preserve">The SBE adopted the California School Dashboard Principles (Dashboard Principles) </w:t>
      </w:r>
      <w:r w:rsidR="6E1A9094" w:rsidRPr="545CD93B">
        <w:rPr>
          <w:rFonts w:eastAsia="Arial" w:cs="Arial"/>
        </w:rPr>
        <w:t xml:space="preserve">in 2022. The Dashboard Principles </w:t>
      </w:r>
      <w:r w:rsidR="704BE27B" w:rsidRPr="545CD93B">
        <w:rPr>
          <w:rFonts w:eastAsia="Arial" w:cs="Arial"/>
        </w:rPr>
        <w:t xml:space="preserve">are designed to guide the SBE’s work as they consider fully onboarding the Science </w:t>
      </w:r>
      <w:r w:rsidR="6E1A9094" w:rsidRPr="545CD93B">
        <w:rPr>
          <w:rFonts w:eastAsia="Arial" w:cs="Arial"/>
        </w:rPr>
        <w:t>I</w:t>
      </w:r>
      <w:r w:rsidR="2B6C5191" w:rsidRPr="545CD93B">
        <w:rPr>
          <w:rFonts w:eastAsia="Arial" w:cs="Arial"/>
        </w:rPr>
        <w:t>ndicator to the Da</w:t>
      </w:r>
      <w:r w:rsidR="2B6C5191" w:rsidRPr="5F48C630">
        <w:rPr>
          <w:rFonts w:eastAsia="Arial" w:cs="Arial"/>
        </w:rPr>
        <w:t xml:space="preserve">shboard </w:t>
      </w:r>
      <w:r w:rsidR="6E1A9094" w:rsidRPr="5F48C630">
        <w:rPr>
          <w:rFonts w:eastAsia="Arial" w:cs="Arial"/>
        </w:rPr>
        <w:t xml:space="preserve">and use of </w:t>
      </w:r>
      <w:r w:rsidR="2B6C5191" w:rsidRPr="5F48C630">
        <w:rPr>
          <w:rFonts w:eastAsia="Arial" w:cs="Arial"/>
        </w:rPr>
        <w:t xml:space="preserve">growth </w:t>
      </w:r>
      <w:r w:rsidR="6E1A9094" w:rsidRPr="5F48C630">
        <w:rPr>
          <w:rFonts w:eastAsia="Arial" w:cs="Arial"/>
        </w:rPr>
        <w:t xml:space="preserve">data in the accountability system. </w:t>
      </w:r>
      <w:r w:rsidR="6CDDC87E" w:rsidRPr="5F48C630">
        <w:rPr>
          <w:rFonts w:eastAsia="Arial" w:cs="Arial"/>
        </w:rPr>
        <w:t>The</w:t>
      </w:r>
      <w:r w:rsidR="6E1A9094" w:rsidRPr="5F48C630">
        <w:rPr>
          <w:rFonts w:eastAsia="Arial" w:cs="Arial"/>
        </w:rPr>
        <w:t xml:space="preserve"> Dashboard P</w:t>
      </w:r>
      <w:r w:rsidR="6CDDC87E" w:rsidRPr="5F48C630">
        <w:rPr>
          <w:rFonts w:eastAsia="Arial" w:cs="Arial"/>
        </w:rPr>
        <w:t>rinciples are used as a framework during Dashboard-related discussions and deliberations to ensure that decisions align with SBE’s policy objectives</w:t>
      </w:r>
      <w:r w:rsidR="32C3D740" w:rsidRPr="5F48C630">
        <w:rPr>
          <w:rFonts w:eastAsia="Arial" w:cs="Arial"/>
        </w:rPr>
        <w:t xml:space="preserve">. The </w:t>
      </w:r>
      <w:r w:rsidR="7A6A9A64" w:rsidRPr="5F48C630">
        <w:rPr>
          <w:rFonts w:eastAsia="Arial" w:cs="Arial"/>
        </w:rPr>
        <w:t>adopted principles are available on the California School Dashboard Principl</w:t>
      </w:r>
      <w:r w:rsidR="799ABA55" w:rsidRPr="5F48C630">
        <w:rPr>
          <w:rFonts w:eastAsia="Arial" w:cs="Arial"/>
        </w:rPr>
        <w:t>e</w:t>
      </w:r>
      <w:r w:rsidR="7A6A9A64" w:rsidRPr="5F48C630">
        <w:rPr>
          <w:rFonts w:eastAsia="Arial" w:cs="Arial"/>
        </w:rPr>
        <w:t xml:space="preserve">s webpage at </w:t>
      </w:r>
      <w:hyperlink r:id="rId17" w:tooltip="California School Dashboard Principles">
        <w:r w:rsidR="03364928" w:rsidRPr="545CD93B">
          <w:rPr>
            <w:rStyle w:val="Hyperlink"/>
            <w:rFonts w:eastAsia="Arial" w:cs="Arial"/>
          </w:rPr>
          <w:t>https://www.cde.ca.gov/ta/ac/cm/dbprinciples.asp</w:t>
        </w:r>
      </w:hyperlink>
      <w:r w:rsidR="03364928" w:rsidRPr="545CD93B">
        <w:rPr>
          <w:rFonts w:eastAsia="Arial" w:cs="Arial"/>
        </w:rPr>
        <w:t>.</w:t>
      </w:r>
    </w:p>
    <w:p w14:paraId="78AD2666" w14:textId="303B1D5B" w:rsidR="00287D20" w:rsidRPr="00A92916" w:rsidRDefault="64A7D75F" w:rsidP="00A92916">
      <w:pPr>
        <w:pStyle w:val="Heading2"/>
        <w:rPr>
          <w:rFonts w:cs="Arial"/>
        </w:rPr>
      </w:pPr>
      <w:r w:rsidRPr="00A92916">
        <w:rPr>
          <w:rFonts w:cs="Arial"/>
        </w:rPr>
        <w:t>Summary of Previous State Board of Education Discussion and Action</w:t>
      </w:r>
    </w:p>
    <w:p w14:paraId="05838713" w14:textId="1D7312EC" w:rsidR="12C9B0AD" w:rsidRPr="00420316" w:rsidRDefault="12C9B0AD" w:rsidP="00420316">
      <w:pPr>
        <w:pStyle w:val="Heading3"/>
      </w:pPr>
      <w:r w:rsidRPr="00420316">
        <w:t>College/Career Indicator</w:t>
      </w:r>
    </w:p>
    <w:p w14:paraId="3C95C1E0" w14:textId="42FD2F5D" w:rsidR="12C9B0AD" w:rsidRPr="006058EF" w:rsidRDefault="12C9B0AD" w:rsidP="1D0ABA6F">
      <w:pPr>
        <w:rPr>
          <w:rFonts w:eastAsia="Arial" w:cs="Arial"/>
        </w:rPr>
      </w:pPr>
      <w:r w:rsidRPr="545CD93B">
        <w:rPr>
          <w:rFonts w:eastAsia="Arial" w:cs="Arial"/>
        </w:rPr>
        <w:t>In July 2016, the SBE reviewed and approved the College/Career Indicator (CCI) as a state indicator (</w:t>
      </w:r>
      <w:hyperlink r:id="rId18" w:tooltip="College/Career Indicator (CCI)">
        <w:r w:rsidRPr="545CD93B">
          <w:rPr>
            <w:rStyle w:val="Hyperlink"/>
            <w:rFonts w:eastAsia="Arial" w:cs="Arial"/>
          </w:rPr>
          <w:t>https://www.cde.ca.gov/be/mt/ms/documents/finalminutes1314jul2016.doc</w:t>
        </w:r>
      </w:hyperlink>
      <w:r w:rsidRPr="545CD93B">
        <w:rPr>
          <w:rFonts w:eastAsia="Arial" w:cs="Arial"/>
        </w:rPr>
        <w:t>).</w:t>
      </w:r>
    </w:p>
    <w:p w14:paraId="37EB6EEC" w14:textId="77777777" w:rsidR="12C9B0AD" w:rsidRPr="006058EF" w:rsidRDefault="12C9B0AD" w:rsidP="005A47DA">
      <w:pPr>
        <w:spacing w:after="0"/>
        <w:rPr>
          <w:rFonts w:eastAsia="Arial" w:cs="Arial"/>
          <w:color w:val="000000" w:themeColor="text1"/>
        </w:rPr>
      </w:pPr>
      <w:r w:rsidRPr="545CD93B">
        <w:rPr>
          <w:rFonts w:eastAsia="Arial" w:cs="Arial"/>
        </w:rPr>
        <w:t xml:space="preserve">In September 2016, the SBE reviewed and approved Status performance levels for the CCI based on the 2013–14 cohort data file and approved the re-evaluation of the performance levels in September 2017 once the first year of results of Smarter Balanced assessment were included in the CCI. The SBE also directed the removal of the </w:t>
      </w:r>
      <w:r w:rsidRPr="545CD93B">
        <w:rPr>
          <w:rFonts w:eastAsia="Arial" w:cs="Arial"/>
          <w:color w:val="000000" w:themeColor="text1"/>
        </w:rPr>
        <w:t>“Well Prepared” category until additional data on career readiness becomes available</w:t>
      </w:r>
    </w:p>
    <w:p w14:paraId="40247D30" w14:textId="51027D33" w:rsidR="12C9B0AD" w:rsidRPr="006058EF" w:rsidRDefault="12C9B0AD" w:rsidP="005A47DA">
      <w:pPr>
        <w:spacing w:before="0"/>
        <w:rPr>
          <w:rFonts w:eastAsia="Arial" w:cs="Arial"/>
        </w:rPr>
      </w:pPr>
      <w:r w:rsidRPr="545CD93B">
        <w:rPr>
          <w:rFonts w:eastAsia="Arial" w:cs="Arial"/>
        </w:rPr>
        <w:t>(</w:t>
      </w:r>
      <w:hyperlink r:id="rId19" w:tooltip="September 2016 SBE Meeting">
        <w:r w:rsidRPr="545CD93B">
          <w:rPr>
            <w:rStyle w:val="Hyperlink"/>
            <w:rFonts w:eastAsia="Arial" w:cs="Arial"/>
          </w:rPr>
          <w:t>https://www.cde.ca.gov/be/ag/ag/yr16/documents/sep16item01.doc</w:t>
        </w:r>
      </w:hyperlink>
      <w:r w:rsidRPr="545CD93B">
        <w:rPr>
          <w:rFonts w:eastAsia="Arial" w:cs="Arial"/>
        </w:rPr>
        <w:t>).</w:t>
      </w:r>
    </w:p>
    <w:p w14:paraId="327C467E" w14:textId="0A87F6C9" w:rsidR="12C9B0AD" w:rsidRPr="006058EF" w:rsidRDefault="12C9B0AD" w:rsidP="1D0ABA6F">
      <w:pPr>
        <w:rPr>
          <w:rFonts w:eastAsia="Arial" w:cs="Arial"/>
        </w:rPr>
      </w:pPr>
      <w:r w:rsidRPr="545CD93B">
        <w:rPr>
          <w:rFonts w:eastAsia="Arial" w:cs="Arial"/>
        </w:rPr>
        <w:t>In September 2017, the SBE reviewed a three-year implementation plan for the CCI. In addition, the SBE reviewed a clarification to one of the CCI criterion in the “Approaching Prepared” level within the CCI and the recommended revised Status cut scores based on the Class of 2016. The SBE approved the revised cut scores for Status. The SBE also reviewed the three-year plan timeline for fully building out this indicator to include additional career and college measures (</w:t>
      </w:r>
      <w:hyperlink r:id="rId20" w:tooltip="September 2017 SBE Meeting">
        <w:r w:rsidRPr="545CD93B">
          <w:rPr>
            <w:rStyle w:val="Hyperlink"/>
            <w:rFonts w:eastAsia="Arial" w:cs="Arial"/>
          </w:rPr>
          <w:t>https://www.cde.ca.gov/be/ag/ag/yr17/documents/sep17item02.doc</w:t>
        </w:r>
      </w:hyperlink>
      <w:r w:rsidRPr="545CD93B">
        <w:rPr>
          <w:rFonts w:eastAsia="Arial" w:cs="Arial"/>
        </w:rPr>
        <w:t>).</w:t>
      </w:r>
    </w:p>
    <w:p w14:paraId="36C2E296" w14:textId="37410B7E" w:rsidR="12C9B0AD" w:rsidRPr="006058EF" w:rsidRDefault="12C9B0AD" w:rsidP="1D0ABA6F">
      <w:pPr>
        <w:rPr>
          <w:rFonts w:eastAsia="Arial" w:cs="Arial"/>
        </w:rPr>
      </w:pPr>
      <w:r w:rsidRPr="545CD93B">
        <w:rPr>
          <w:rFonts w:eastAsia="Arial" w:cs="Arial"/>
        </w:rPr>
        <w:t>In February 2018, the SBE received an Information Memorandum that provided an update on the status of the three-year CCI timeline and the development of new career measures, including Leadership/Military Science (</w:t>
      </w:r>
      <w:hyperlink r:id="rId21" w:tooltip="February 2018 SBE Meeting">
        <w:r w:rsidRPr="545CD93B">
          <w:rPr>
            <w:rStyle w:val="Hyperlink"/>
            <w:rFonts w:eastAsia="Arial" w:cs="Arial"/>
          </w:rPr>
          <w:t>https://www.cde.ca.gov/be/pn/im/documents/memo-pptb-amard-feb18item02.docx</w:t>
        </w:r>
      </w:hyperlink>
      <w:r w:rsidRPr="545CD93B">
        <w:rPr>
          <w:rFonts w:eastAsia="Arial" w:cs="Arial"/>
        </w:rPr>
        <w:t>).</w:t>
      </w:r>
    </w:p>
    <w:p w14:paraId="66CA7F46" w14:textId="110F57B6" w:rsidR="12C9B0AD" w:rsidRPr="006058EF" w:rsidRDefault="12C9B0AD" w:rsidP="1D0ABA6F">
      <w:pPr>
        <w:rPr>
          <w:rFonts w:eastAsia="Arial" w:cs="Arial"/>
        </w:rPr>
      </w:pPr>
      <w:r w:rsidRPr="545CD93B">
        <w:rPr>
          <w:rFonts w:eastAsia="Arial" w:cs="Arial"/>
        </w:rPr>
        <w:lastRenderedPageBreak/>
        <w:t>In March 2018, the SBE was informed of the revisions made to the Fall 2017 Dashboard, including items that were being prepared for the 2018 Dashboard release, such as the potential use of the following three CCI measures: State Seal of Biliteracy, Golden State Seal Merit Diploma, and Articulated Career Technical Education Courses (</w:t>
      </w:r>
      <w:hyperlink r:id="rId22" w:tooltip="March 2018 SBE Meeting">
        <w:r w:rsidRPr="545CD93B">
          <w:rPr>
            <w:rStyle w:val="Hyperlink"/>
            <w:rFonts w:eastAsia="Arial" w:cs="Arial"/>
          </w:rPr>
          <w:t>https://www.cde.ca.gov/be/ag/ag/yr18/documents/mar18item01.docx</w:t>
        </w:r>
      </w:hyperlink>
      <w:r w:rsidRPr="545CD93B">
        <w:rPr>
          <w:rFonts w:eastAsia="Arial" w:cs="Arial"/>
        </w:rPr>
        <w:t>).</w:t>
      </w:r>
    </w:p>
    <w:p w14:paraId="5F40A788" w14:textId="5E96C7A7" w:rsidR="12C9B0AD" w:rsidRPr="006058EF" w:rsidRDefault="12C9B0AD" w:rsidP="1D0ABA6F">
      <w:pPr>
        <w:rPr>
          <w:rFonts w:eastAsia="Arial" w:cs="Arial"/>
        </w:rPr>
      </w:pPr>
      <w:r w:rsidRPr="545CD93B">
        <w:rPr>
          <w:rFonts w:eastAsia="Arial" w:cs="Arial"/>
        </w:rPr>
        <w:t>In April 2018, the SBE received an Information Memorandum that provided an overview of the research conducted in the development of the CCI and the rigorous vetting criteria and processes that were applied to select CCI measures (</w:t>
      </w:r>
      <w:hyperlink r:id="rId23" w:tooltip="CCI measures">
        <w:r w:rsidRPr="545CD93B">
          <w:rPr>
            <w:rStyle w:val="Hyperlink"/>
            <w:rFonts w:eastAsia="Arial" w:cs="Arial"/>
          </w:rPr>
          <w:t>https://www.cde.ca.gov/be/pn/im/documents/memo-pptb-amard-apr18item02.docx</w:t>
        </w:r>
      </w:hyperlink>
      <w:r w:rsidRPr="545CD93B">
        <w:rPr>
          <w:rFonts w:eastAsia="Arial" w:cs="Arial"/>
        </w:rPr>
        <w:t>).</w:t>
      </w:r>
    </w:p>
    <w:p w14:paraId="1FC3ECB6" w14:textId="07D219FD" w:rsidR="12C9B0AD" w:rsidRPr="006058EF" w:rsidRDefault="12C9B0AD" w:rsidP="1D0ABA6F">
      <w:pPr>
        <w:rPr>
          <w:rFonts w:eastAsia="Arial" w:cs="Arial"/>
        </w:rPr>
      </w:pPr>
      <w:r w:rsidRPr="545CD93B">
        <w:rPr>
          <w:rFonts w:eastAsia="Arial" w:cs="Arial"/>
        </w:rPr>
        <w:t>In May 2018, the SBE held a Study Session on the CCI and received an overview of the indicator and presentation from an LEA on their local use of the CCI (</w:t>
      </w:r>
      <w:hyperlink r:id="rId24" w:tooltip="May 2018 SBE Meeting">
        <w:r w:rsidRPr="545CD93B">
          <w:rPr>
            <w:rStyle w:val="Hyperlink"/>
            <w:rFonts w:eastAsia="Arial" w:cs="Arial"/>
          </w:rPr>
          <w:t>https://www.cde.ca.gov/be/ag/ag/yr18/documents/may18item02slides.pdf</w:t>
        </w:r>
      </w:hyperlink>
      <w:r w:rsidRPr="545CD93B">
        <w:rPr>
          <w:rFonts w:eastAsia="Arial" w:cs="Arial"/>
        </w:rPr>
        <w:t>).</w:t>
      </w:r>
    </w:p>
    <w:p w14:paraId="032C2EA3" w14:textId="38E88D92" w:rsidR="12C9B0AD" w:rsidRPr="006058EF" w:rsidRDefault="12C9B0AD" w:rsidP="1D0ABA6F">
      <w:pPr>
        <w:rPr>
          <w:rFonts w:eastAsia="Arial" w:cs="Arial"/>
        </w:rPr>
      </w:pPr>
      <w:r w:rsidRPr="545CD93B">
        <w:rPr>
          <w:rFonts w:eastAsia="Arial" w:cs="Arial"/>
        </w:rPr>
        <w:t>In August 2018, the SBE received an Information Memorandum on the additional measures proposed for the CCI for the 2019 Dashboard (</w:t>
      </w:r>
      <w:hyperlink r:id="rId25" w:tooltip="August 2018 SBE Information Memorandum">
        <w:r w:rsidRPr="545CD93B">
          <w:rPr>
            <w:rStyle w:val="Hyperlink"/>
            <w:rFonts w:eastAsia="Arial" w:cs="Arial"/>
          </w:rPr>
          <w:t>https://www.cde.ca.gov/be/pn/im/documents/memo-pptb-amard-aug18item02.docx</w:t>
        </w:r>
      </w:hyperlink>
      <w:r w:rsidRPr="545CD93B">
        <w:rPr>
          <w:rFonts w:eastAsia="Arial" w:cs="Arial"/>
        </w:rPr>
        <w:t>).</w:t>
      </w:r>
    </w:p>
    <w:p w14:paraId="035B4D4D" w14:textId="7BCEFC73" w:rsidR="12C9B0AD" w:rsidRPr="006058EF" w:rsidRDefault="12C9B0AD" w:rsidP="1D0ABA6F">
      <w:pPr>
        <w:rPr>
          <w:rFonts w:eastAsia="Arial" w:cs="Arial"/>
        </w:rPr>
      </w:pPr>
      <w:r w:rsidRPr="545CD93B">
        <w:rPr>
          <w:rFonts w:eastAsia="Arial" w:cs="Arial"/>
        </w:rPr>
        <w:t>In September 2018, the SBE approved the State Seal of Biliteracy and Leadership/Military Science for inclusion in the CCI. In addition, the SBE approved placement criteria for the two new measures (</w:t>
      </w:r>
      <w:hyperlink r:id="rId26" w:tooltip="State Seal of Biliteracy and Leadership/Military Science for inclusion in the CCI">
        <w:r w:rsidRPr="545CD93B">
          <w:rPr>
            <w:rStyle w:val="Hyperlink"/>
            <w:rFonts w:eastAsia="Arial" w:cs="Arial"/>
          </w:rPr>
          <w:t>https://www.cde.ca.gov/be/ag/ag/yr18/documents/sep18item01.docx</w:t>
        </w:r>
      </w:hyperlink>
      <w:r w:rsidRPr="545CD93B">
        <w:rPr>
          <w:rFonts w:eastAsia="Arial" w:cs="Arial"/>
        </w:rPr>
        <w:t>).</w:t>
      </w:r>
    </w:p>
    <w:p w14:paraId="5109A2E7" w14:textId="2EDFB439" w:rsidR="12C9B0AD" w:rsidRPr="006058EF" w:rsidRDefault="12C9B0AD" w:rsidP="1D0ABA6F">
      <w:pPr>
        <w:rPr>
          <w:rFonts w:eastAsia="Arial" w:cs="Arial"/>
          <w:color w:val="000000" w:themeColor="text1"/>
          <w:u w:val="single"/>
        </w:rPr>
      </w:pPr>
      <w:r w:rsidRPr="545CD93B">
        <w:rPr>
          <w:rFonts w:eastAsia="Arial" w:cs="Arial"/>
        </w:rPr>
        <w:t>In November 2018, the SBE approved Status and Change cut scores for the CCI (</w:t>
      </w:r>
      <w:hyperlink r:id="rId27" w:tooltip="Status and Change cut scores for the CCI">
        <w:r w:rsidRPr="545CD93B">
          <w:rPr>
            <w:rStyle w:val="Hyperlink"/>
            <w:rFonts w:eastAsia="Arial" w:cs="Arial"/>
          </w:rPr>
          <w:t>https://www.cde.ca.gov/be/ag/ag/yr18/documents/nov18item04.docx</w:t>
        </w:r>
      </w:hyperlink>
      <w:r w:rsidRPr="545CD93B">
        <w:rPr>
          <w:rFonts w:eastAsia="Arial" w:cs="Arial"/>
          <w:color w:val="000000" w:themeColor="text1"/>
        </w:rPr>
        <w:t>).</w:t>
      </w:r>
    </w:p>
    <w:p w14:paraId="4CC9C185" w14:textId="16C23048" w:rsidR="12C9B0AD" w:rsidRPr="006058EF" w:rsidRDefault="12C9B0AD" w:rsidP="005A47DA">
      <w:pPr>
        <w:spacing w:after="0"/>
        <w:rPr>
          <w:rFonts w:eastAsia="Arial" w:cs="Arial"/>
        </w:rPr>
      </w:pPr>
      <w:r w:rsidRPr="545CD93B">
        <w:rPr>
          <w:rFonts w:eastAsia="Arial" w:cs="Arial"/>
        </w:rPr>
        <w:t>In April 2019, the CDE provided an Information Memorandum on the history, implementation, and purpose of the CCI in the Accountability System which was used for the May Study Session</w:t>
      </w:r>
    </w:p>
    <w:p w14:paraId="1D77C2B8" w14:textId="32494EE0" w:rsidR="12C9B0AD" w:rsidRPr="006058EF" w:rsidRDefault="12C9B0AD" w:rsidP="005A47DA">
      <w:pPr>
        <w:spacing w:before="0"/>
        <w:rPr>
          <w:rFonts w:eastAsia="Arial" w:cs="Arial"/>
        </w:rPr>
      </w:pPr>
      <w:r w:rsidRPr="545CD93B">
        <w:rPr>
          <w:rFonts w:eastAsia="Arial" w:cs="Arial"/>
        </w:rPr>
        <w:t>(</w:t>
      </w:r>
      <w:hyperlink r:id="rId28" w:tooltip="Information Memorandum on the history, implementation, and purpose of the CCI in the Accountability System">
        <w:r w:rsidRPr="545CD93B">
          <w:rPr>
            <w:rStyle w:val="Hyperlink"/>
            <w:rFonts w:eastAsia="Arial" w:cs="Arial"/>
          </w:rPr>
          <w:t>https://www.cde.ca.gov/be/pn/im/documents/memo-pptb-amard-apr19item01.docx</w:t>
        </w:r>
      </w:hyperlink>
      <w:r w:rsidRPr="545CD93B">
        <w:rPr>
          <w:rFonts w:eastAsia="Arial" w:cs="Arial"/>
        </w:rPr>
        <w:t>).</w:t>
      </w:r>
    </w:p>
    <w:p w14:paraId="09C8CB1E" w14:textId="0B1607FD" w:rsidR="12C9B0AD" w:rsidRPr="006058EF" w:rsidRDefault="12C9B0AD" w:rsidP="1D0ABA6F">
      <w:pPr>
        <w:rPr>
          <w:rFonts w:eastAsia="Arial" w:cs="Arial"/>
        </w:rPr>
      </w:pPr>
      <w:r w:rsidRPr="545CD93B">
        <w:rPr>
          <w:rFonts w:eastAsia="Arial" w:cs="Arial"/>
        </w:rPr>
        <w:t>In May 2019, the SBE held a study session on the CCI (</w:t>
      </w:r>
      <w:hyperlink r:id="rId29" w:tooltip="Study session on the CCI">
        <w:r w:rsidRPr="545CD93B">
          <w:rPr>
            <w:rStyle w:val="Hyperlink"/>
            <w:rFonts w:eastAsia="Arial" w:cs="Arial"/>
          </w:rPr>
          <w:t>https://www.cde.ca.gov/be/ag/ag/yr19/documents/may19item01studysession.docx</w:t>
        </w:r>
      </w:hyperlink>
      <w:r w:rsidRPr="545CD93B">
        <w:rPr>
          <w:rFonts w:eastAsia="Arial" w:cs="Arial"/>
        </w:rPr>
        <w:t>).</w:t>
      </w:r>
    </w:p>
    <w:p w14:paraId="55642626" w14:textId="2E5BB1BC" w:rsidR="12C9B0AD" w:rsidRPr="006058EF" w:rsidRDefault="12C9B0AD" w:rsidP="005A47DA">
      <w:pPr>
        <w:spacing w:after="0"/>
        <w:rPr>
          <w:rFonts w:eastAsia="Arial" w:cs="Arial"/>
        </w:rPr>
      </w:pPr>
      <w:r w:rsidRPr="545CD93B">
        <w:rPr>
          <w:rFonts w:eastAsia="Arial" w:cs="Arial"/>
        </w:rPr>
        <w:t>In June 2019, the SBE received an Information Memorandum providing an update on the definitions used in California Longitudinal Pupil Achievement Data System (CALPADS) and California Special Education Management Information System (CASEMIS) for career measures collected in 2018–19 and 2019–2020 for possible inclusion in the CCI</w:t>
      </w:r>
    </w:p>
    <w:p w14:paraId="14AB3B61" w14:textId="15ECBEC5" w:rsidR="12C9B0AD" w:rsidRPr="006058EF" w:rsidRDefault="12C9B0AD" w:rsidP="005A47DA">
      <w:pPr>
        <w:spacing w:before="0"/>
        <w:rPr>
          <w:rFonts w:eastAsia="Arial" w:cs="Arial"/>
        </w:rPr>
      </w:pPr>
      <w:r w:rsidRPr="545CD93B">
        <w:rPr>
          <w:rFonts w:eastAsia="Arial" w:cs="Arial"/>
        </w:rPr>
        <w:t>(</w:t>
      </w:r>
      <w:hyperlink r:id="rId30" w:tooltip="June 2019 SBE Information Memorandum">
        <w:r w:rsidRPr="545CD93B">
          <w:rPr>
            <w:rStyle w:val="Hyperlink"/>
            <w:rFonts w:eastAsia="Arial" w:cs="Arial"/>
          </w:rPr>
          <w:t>https://www.cde.ca.gov/be/pn/im/documents/memo-pptb-amard-jun19item02.docx</w:t>
        </w:r>
      </w:hyperlink>
      <w:r w:rsidRPr="545CD93B">
        <w:rPr>
          <w:rFonts w:eastAsia="Arial" w:cs="Arial"/>
        </w:rPr>
        <w:t>).</w:t>
      </w:r>
    </w:p>
    <w:p w14:paraId="15051C6F" w14:textId="7C8FEE0A" w:rsidR="12C9B0AD" w:rsidRPr="006058EF" w:rsidRDefault="12C9B0AD" w:rsidP="1D0ABA6F">
      <w:pPr>
        <w:rPr>
          <w:rFonts w:eastAsia="Arial" w:cs="Arial"/>
        </w:rPr>
      </w:pPr>
      <w:r w:rsidRPr="545CD93B">
        <w:rPr>
          <w:rFonts w:eastAsia="Arial" w:cs="Arial"/>
        </w:rPr>
        <w:t>As shared with the SBE in an August 2019 Information Memorandum, the CDE is examining the inclusion of civic engagement as a potential career measure in the CCI (</w:t>
      </w:r>
      <w:hyperlink r:id="rId31" w:tooltip="August 2019 Information Memorandum">
        <w:r w:rsidRPr="545CD93B">
          <w:rPr>
            <w:rStyle w:val="Hyperlink"/>
            <w:rFonts w:eastAsia="Arial" w:cs="Arial"/>
          </w:rPr>
          <w:t>https://www.cde.ca.gov/be/pn/im/documents/memo-branch-eeed-aug19item02.docx</w:t>
        </w:r>
      </w:hyperlink>
      <w:r w:rsidRPr="545CD93B">
        <w:rPr>
          <w:rFonts w:eastAsia="Arial" w:cs="Arial"/>
        </w:rPr>
        <w:t>).</w:t>
      </w:r>
    </w:p>
    <w:p w14:paraId="7D0BEF2B" w14:textId="3CCBDD69" w:rsidR="12C9B0AD" w:rsidRPr="006058EF" w:rsidRDefault="12C9B0AD" w:rsidP="1D0ABA6F">
      <w:pPr>
        <w:rPr>
          <w:rFonts w:eastAsia="Arial" w:cs="Arial"/>
          <w:color w:val="000000" w:themeColor="text1"/>
        </w:rPr>
      </w:pPr>
      <w:r w:rsidRPr="545CD93B">
        <w:rPr>
          <w:rFonts w:eastAsia="Arial" w:cs="Arial"/>
        </w:rPr>
        <w:lastRenderedPageBreak/>
        <w:t xml:space="preserve">In September 2020, the SBE adopted four career measures for inclusion in the CCI: Pre-Apprenticeships, State or Federal Job Programs, Transition Work-Based Learning Experiences, and </w:t>
      </w:r>
      <w:r w:rsidRPr="545CD93B">
        <w:rPr>
          <w:rFonts w:eastAsia="Arial" w:cs="Arial"/>
          <w:color w:val="000000" w:themeColor="text1"/>
        </w:rPr>
        <w:t>Transition Classroom-Based Learning Experiences (</w:t>
      </w:r>
      <w:hyperlink r:id="rId32" w:tooltip="September 2020 the SBE adopted four career measures for inclusion in the CCI">
        <w:r w:rsidRPr="545CD93B">
          <w:rPr>
            <w:rStyle w:val="Hyperlink"/>
            <w:rFonts w:eastAsia="Arial" w:cs="Arial"/>
          </w:rPr>
          <w:t>https://www.cde.ca.gov/be/ag/ag/yr20/documents/sep20item02.docx</w:t>
        </w:r>
      </w:hyperlink>
      <w:r w:rsidRPr="545CD93B">
        <w:rPr>
          <w:rFonts w:eastAsia="Arial" w:cs="Arial"/>
          <w:color w:val="000000" w:themeColor="text1"/>
        </w:rPr>
        <w:t>).</w:t>
      </w:r>
    </w:p>
    <w:p w14:paraId="06AC1531" w14:textId="3AAB238E" w:rsidR="12C9B0AD" w:rsidRPr="006058EF" w:rsidRDefault="12C9B0AD" w:rsidP="1D0ABA6F">
      <w:pPr>
        <w:rPr>
          <w:rFonts w:eastAsia="Arial" w:cs="Arial"/>
        </w:rPr>
      </w:pPr>
      <w:r w:rsidRPr="545CD93B">
        <w:rPr>
          <w:rFonts w:eastAsia="Arial" w:cs="Arial"/>
          <w:color w:val="000000" w:themeColor="text1"/>
        </w:rPr>
        <w:t xml:space="preserve">At the March 2020 SBE meeting, the CDE reviewed the career measures collected in 2018–19 and its plans to conduct simulations for each of these measures to determine if the measures are valid and reliable and to set criteria that graduates must meet to be placed in the Prepared or Approaching Prepared CCI levels </w:t>
      </w:r>
      <w:r w:rsidRPr="545CD93B">
        <w:rPr>
          <w:rFonts w:eastAsia="Arial" w:cs="Arial"/>
        </w:rPr>
        <w:t>(</w:t>
      </w:r>
      <w:hyperlink r:id="rId33" w:tooltip="Prepared or Approaching Prepared CCI levels">
        <w:r w:rsidRPr="545CD93B">
          <w:rPr>
            <w:rStyle w:val="Hyperlink"/>
            <w:rFonts w:eastAsia="Arial" w:cs="Arial"/>
          </w:rPr>
          <w:t>https://www.cde.ca.gov/be/ag/ag/yr20/documents/mar20item05.docx</w:t>
        </w:r>
      </w:hyperlink>
      <w:r w:rsidRPr="545CD93B">
        <w:rPr>
          <w:rFonts w:eastAsia="Arial" w:cs="Arial"/>
        </w:rPr>
        <w:t>).</w:t>
      </w:r>
    </w:p>
    <w:p w14:paraId="1781B5C5" w14:textId="647AEF57" w:rsidR="12C9B0AD" w:rsidRPr="006058EF" w:rsidRDefault="12C9B0AD" w:rsidP="1D0ABA6F">
      <w:pPr>
        <w:rPr>
          <w:rFonts w:eastAsia="Arial" w:cs="Arial"/>
        </w:rPr>
      </w:pPr>
      <w:r w:rsidRPr="545CD93B">
        <w:rPr>
          <w:rFonts w:eastAsia="Arial" w:cs="Arial"/>
        </w:rPr>
        <w:t>At the May 2020 SBE meeting, the CDE shared its data analyses on several new career measures currently being collected in CALPADS for future incorporation into the CCI (</w:t>
      </w:r>
      <w:hyperlink r:id="rId34" w:tooltip="New career measures currently being collected in CALPADS for future incorporation into the CCI">
        <w:r w:rsidRPr="545CD93B">
          <w:rPr>
            <w:rStyle w:val="Hyperlink"/>
            <w:rFonts w:eastAsia="Arial" w:cs="Arial"/>
          </w:rPr>
          <w:t>https://www.cde.ca.gov/be/ag/ag/yr20/documents/may20item02.docx</w:t>
        </w:r>
      </w:hyperlink>
      <w:r w:rsidRPr="545CD93B">
        <w:rPr>
          <w:rFonts w:eastAsia="Arial" w:cs="Arial"/>
          <w:color w:val="000000" w:themeColor="text1"/>
        </w:rPr>
        <w:t>).</w:t>
      </w:r>
    </w:p>
    <w:p w14:paraId="67021F65" w14:textId="0B1977D2" w:rsidR="12C9B0AD" w:rsidRPr="006058EF" w:rsidRDefault="12C9B0AD" w:rsidP="1D0ABA6F">
      <w:pPr>
        <w:rPr>
          <w:rFonts w:eastAsia="Arial" w:cs="Arial"/>
          <w:color w:val="000000" w:themeColor="text1"/>
        </w:rPr>
      </w:pPr>
      <w:r w:rsidRPr="545CD93B">
        <w:rPr>
          <w:rFonts w:eastAsia="Arial" w:cs="Arial"/>
          <w:color w:val="000000" w:themeColor="text1"/>
        </w:rPr>
        <w:t>In September 2020, the SBE adopted the State Seal of Civic Engagement (SSCE), and the SBE directed the CDE to determine how to incorporate civic engagement into the CCI (</w:t>
      </w:r>
      <w:hyperlink r:id="rId35" w:tooltip="State Seal of Civic Engagement (SSCE)">
        <w:r w:rsidRPr="6C8B62F6">
          <w:rPr>
            <w:rStyle w:val="Hyperlink"/>
            <w:rFonts w:eastAsia="Arial" w:cs="Arial"/>
          </w:rPr>
          <w:t>https://www.cde.ca.gov/be/ag/ag/yr20/documents/sep20item05rev.docx</w:t>
        </w:r>
      </w:hyperlink>
      <w:r w:rsidRPr="6C8B62F6">
        <w:rPr>
          <w:rFonts w:eastAsia="Arial" w:cs="Arial"/>
          <w:color w:val="000000" w:themeColor="text1"/>
        </w:rPr>
        <w:t>).</w:t>
      </w:r>
    </w:p>
    <w:p w14:paraId="3B593C2E" w14:textId="59D6068C" w:rsidR="12C9B0AD" w:rsidRPr="006058EF" w:rsidRDefault="12C9B0AD" w:rsidP="1D0ABA6F">
      <w:pPr>
        <w:rPr>
          <w:rFonts w:eastAsia="Arial" w:cs="Arial"/>
        </w:rPr>
      </w:pPr>
      <w:r w:rsidRPr="6C8B62F6">
        <w:rPr>
          <w:rFonts w:eastAsia="Arial" w:cs="Arial"/>
        </w:rPr>
        <w:t>At the January 2021 SBE meeting, the CDE submitted revisions to the ESSA Consolidated State Plan (via the COVID-19 State Plan Addendum) to request that the CCI not be reported on the 2021 Dashboard due to the suspension of the CAASPP in March 2020, which is one of the key measures in the CCI (</w:t>
      </w:r>
      <w:hyperlink r:id="rId36" w:tooltip="Revisions to the ESSA Consolidated State Plan (via the COVID-19 State Plan Addendum)">
        <w:r w:rsidRPr="6C8B62F6">
          <w:rPr>
            <w:rStyle w:val="Hyperlink"/>
            <w:rFonts w:eastAsia="Arial" w:cs="Arial"/>
          </w:rPr>
          <w:t>https://www.cde.ca.gov/be/ag/ag/yr21/documents/jan21item04.docx</w:t>
        </w:r>
      </w:hyperlink>
      <w:r w:rsidRPr="6C8B62F6">
        <w:rPr>
          <w:rFonts w:eastAsia="Arial" w:cs="Arial"/>
        </w:rPr>
        <w:t>).</w:t>
      </w:r>
    </w:p>
    <w:p w14:paraId="7226A3F6" w14:textId="3EE77809" w:rsidR="12C9B0AD" w:rsidRPr="006058EF" w:rsidRDefault="12C9B0AD" w:rsidP="1D0ABA6F">
      <w:pPr>
        <w:rPr>
          <w:rFonts w:eastAsia="Arial" w:cs="Arial"/>
        </w:rPr>
      </w:pPr>
      <w:r w:rsidRPr="6C8B62F6">
        <w:rPr>
          <w:rFonts w:eastAsia="Arial" w:cs="Arial"/>
        </w:rPr>
        <w:t>At the May 2021 SBE meeting, the CDE reviewed the work conducted thus far on two new measures for possible inclusion in the CCI: civic engagement and industry certifications. The CDE also proposed the production of student-level data files for the CCI that can be shared with authorized LEA staff (</w:t>
      </w:r>
      <w:hyperlink r:id="rId37" w:tooltip="The CDE also proposed the production of student-level data files for the CCI that can be shared with authorized LEA staff">
        <w:r w:rsidRPr="6C8B62F6">
          <w:rPr>
            <w:rStyle w:val="Hyperlink"/>
            <w:rFonts w:eastAsia="Arial" w:cs="Arial"/>
          </w:rPr>
          <w:t>https://www.cde.ca.gov/be/ag/ag/yr21/documents/may21item04.docx</w:t>
        </w:r>
      </w:hyperlink>
      <w:r w:rsidRPr="6C8B62F6">
        <w:rPr>
          <w:rFonts w:eastAsia="Arial" w:cs="Arial"/>
        </w:rPr>
        <w:t>).</w:t>
      </w:r>
    </w:p>
    <w:p w14:paraId="59687A3C" w14:textId="3FA6391B" w:rsidR="12C9B0AD" w:rsidRPr="006058EF" w:rsidRDefault="12C9B0AD" w:rsidP="1D0ABA6F">
      <w:pPr>
        <w:rPr>
          <w:rFonts w:eastAsia="Arial" w:cs="Arial"/>
        </w:rPr>
      </w:pPr>
      <w:r w:rsidRPr="6C8B62F6">
        <w:rPr>
          <w:rFonts w:eastAsia="Arial" w:cs="Arial"/>
        </w:rPr>
        <w:t xml:space="preserve">In March 2022, the SBE </w:t>
      </w:r>
      <w:r w:rsidRPr="6C8B62F6">
        <w:rPr>
          <w:rFonts w:eastAsia="Arial" w:cs="Arial"/>
          <w:color w:val="000000" w:themeColor="text1"/>
        </w:rPr>
        <w:t>received a statue update on two new career measures–civic engagement and industry certifications–that are being developed for future potential inclusion in the CCI (</w:t>
      </w:r>
      <w:hyperlink r:id="rId38" w:tooltip="Two new career measures–civic engagement and industry certifications are being developed for future potential inclusion in the CCI">
        <w:r w:rsidRPr="6C8B62F6">
          <w:rPr>
            <w:rStyle w:val="Hyperlink"/>
            <w:rFonts w:eastAsia="Arial" w:cs="Arial"/>
          </w:rPr>
          <w:t>https://www.cde.ca.gov/be/ag/ag/yr22/documents/mar22item04.docx</w:t>
        </w:r>
      </w:hyperlink>
      <w:r w:rsidRPr="6C8B62F6">
        <w:rPr>
          <w:rFonts w:eastAsia="Arial" w:cs="Arial"/>
        </w:rPr>
        <w:t>).</w:t>
      </w:r>
    </w:p>
    <w:p w14:paraId="17CDCF82" w14:textId="4F7E159F" w:rsidR="12C9B0AD" w:rsidRDefault="12C9B0AD" w:rsidP="1D0ABA6F">
      <w:pPr>
        <w:rPr>
          <w:rFonts w:eastAsia="Arial" w:cs="Arial"/>
        </w:rPr>
      </w:pPr>
      <w:r w:rsidRPr="1D0ABA6F">
        <w:rPr>
          <w:rFonts w:eastAsia="Arial" w:cs="Arial"/>
          <w:color w:val="000000" w:themeColor="text1"/>
        </w:rPr>
        <w:t>In September 2023, the CDE presented the workplan for the College/Career Indicator (CCI) included a review of the Non-Registered Pre-Apprenticeship measure and use of modified criteria for Differentiated Assistance to incorporate the inclusion of CCI status only for the 2023 Dashboard. Additionally, CCI is the only indicator that reports “Status” only on the 2023 Dashboard</w:t>
      </w:r>
      <w:r w:rsidRPr="6C8B62F6">
        <w:rPr>
          <w:rFonts w:eastAsia="Arial" w:cs="Arial"/>
          <w:color w:val="000000" w:themeColor="text1"/>
        </w:rPr>
        <w:t xml:space="preserve"> (</w:t>
      </w:r>
      <w:hyperlink r:id="rId39" w:tooltip="In September 2023 the CDE presented the workplan for the College/Career Indicator">
        <w:r w:rsidRPr="6C8B62F6">
          <w:rPr>
            <w:rStyle w:val="Hyperlink"/>
            <w:rFonts w:eastAsia="Arial" w:cs="Arial"/>
          </w:rPr>
          <w:t>https://www.cde.ca.gov/be/ag/ag/yr23/documents/sep23item08.docx</w:t>
        </w:r>
      </w:hyperlink>
      <w:r w:rsidRPr="1D0ABA6F">
        <w:rPr>
          <w:rFonts w:eastAsia="Arial" w:cs="Arial"/>
        </w:rPr>
        <w:t>)</w:t>
      </w:r>
    </w:p>
    <w:p w14:paraId="2C7235A8" w14:textId="5F9C2A25" w:rsidR="12C9B0AD" w:rsidRDefault="52D42CCF" w:rsidP="1D0ABA6F">
      <w:pPr>
        <w:rPr>
          <w:rFonts w:eastAsia="Arial" w:cs="Arial"/>
          <w:u w:val="single"/>
        </w:rPr>
      </w:pPr>
      <w:r w:rsidRPr="6C8B62F6">
        <w:rPr>
          <w:rFonts w:eastAsia="Arial" w:cs="Arial"/>
          <w:color w:val="000000" w:themeColor="text1"/>
        </w:rPr>
        <w:t xml:space="preserve">In March 2023, the CDE continued its work on the: (1) review and analysis of data collected on four new career measures, (2) exploration of current measures approved by the SBE, and (3) development of two new career measures: Civic Engagement, and </w:t>
      </w:r>
      <w:r w:rsidRPr="6C8B62F6">
        <w:rPr>
          <w:rFonts w:eastAsia="Arial" w:cs="Arial"/>
          <w:color w:val="000000" w:themeColor="text1"/>
        </w:rPr>
        <w:lastRenderedPageBreak/>
        <w:t xml:space="preserve">Industry Certifications </w:t>
      </w:r>
      <w:r w:rsidRPr="5F48C630">
        <w:rPr>
          <w:rFonts w:eastAsia="Arial" w:cs="Arial"/>
          <w:color w:val="000000" w:themeColor="text1"/>
        </w:rPr>
        <w:t>(</w:t>
      </w:r>
      <w:hyperlink r:id="rId40" w:tooltip="Development of two new career measures: Civic Engagement, and Industry Certifications">
        <w:r w:rsidRPr="5F48C630">
          <w:rPr>
            <w:rStyle w:val="Hyperlink"/>
            <w:rFonts w:eastAsia="Arial" w:cs="Arial"/>
          </w:rPr>
          <w:t>https://www.cde.ca.gov/be/ag/ag/yr23/documents/mar23item03.docx</w:t>
        </w:r>
      </w:hyperlink>
      <w:r w:rsidRPr="5F48C630">
        <w:rPr>
          <w:rFonts w:eastAsia="Arial" w:cs="Arial"/>
          <w:color w:val="000000" w:themeColor="text1"/>
        </w:rPr>
        <w:t>)</w:t>
      </w:r>
    </w:p>
    <w:p w14:paraId="3DA98818" w14:textId="76E1335F" w:rsidR="5CA84BF0" w:rsidRDefault="5CA84BF0" w:rsidP="5F48C630">
      <w:pPr>
        <w:rPr>
          <w:rFonts w:eastAsia="Arial" w:cs="Arial"/>
        </w:rPr>
      </w:pPr>
      <w:r w:rsidRPr="6C8B62F6">
        <w:rPr>
          <w:rFonts w:eastAsia="Arial" w:cs="Arial"/>
          <w:color w:val="000000" w:themeColor="text1"/>
        </w:rPr>
        <w:t>In March 202</w:t>
      </w:r>
      <w:r w:rsidR="18444C51" w:rsidRPr="6C8B62F6">
        <w:rPr>
          <w:rFonts w:eastAsia="Arial" w:cs="Arial"/>
          <w:color w:val="000000" w:themeColor="text1"/>
        </w:rPr>
        <w:t>4</w:t>
      </w:r>
      <w:r w:rsidRPr="6C8B62F6">
        <w:rPr>
          <w:rFonts w:eastAsia="Arial" w:cs="Arial"/>
          <w:color w:val="000000" w:themeColor="text1"/>
        </w:rPr>
        <w:t>, the CDE: (1) Seeks guidance from the SBE on whether to continue a review of the data for the four new career measures (Internships, Student-led enterprise, Simulated work-based learning, ASVAB), (2) Updates the SBE on the data collection for the seal of civic engagement, and (3) Discusses exploration of industry certifications</w:t>
      </w:r>
      <w:r w:rsidR="7DB432F2" w:rsidRPr="6C8B62F6">
        <w:rPr>
          <w:rFonts w:eastAsia="Arial" w:cs="Arial"/>
          <w:color w:val="000000" w:themeColor="text1"/>
        </w:rPr>
        <w:t xml:space="preserve"> prior to the release of the 2024 CCI.</w:t>
      </w:r>
      <w:r w:rsidR="0ABFE62E" w:rsidRPr="6C8B62F6">
        <w:rPr>
          <w:rFonts w:eastAsia="Arial" w:cs="Arial"/>
          <w:color w:val="000000" w:themeColor="text1"/>
        </w:rPr>
        <w:t xml:space="preserve"> </w:t>
      </w:r>
      <w:r w:rsidR="7DB432F2" w:rsidRPr="6C8B62F6">
        <w:rPr>
          <w:rFonts w:eastAsia="Arial" w:cs="Arial"/>
          <w:color w:val="000000" w:themeColor="text1"/>
        </w:rPr>
        <w:t>(</w:t>
      </w:r>
      <w:hyperlink r:id="rId41" w:tooltip="March 2024 SBE Meeting">
        <w:r w:rsidR="7DB432F2" w:rsidRPr="6C8B62F6">
          <w:rPr>
            <w:rStyle w:val="Hyperlink"/>
            <w:rFonts w:eastAsia="Arial" w:cs="Arial"/>
          </w:rPr>
          <w:t>https://www.cde.ca.gov/be/ag/ag/yr24/documents/mar24item02.docx</w:t>
        </w:r>
      </w:hyperlink>
      <w:r w:rsidR="15DC2B20" w:rsidRPr="6C8B62F6">
        <w:rPr>
          <w:rFonts w:eastAsia="Arial" w:cs="Arial"/>
        </w:rPr>
        <w:t>)</w:t>
      </w:r>
    </w:p>
    <w:p w14:paraId="1ECBE4EE" w14:textId="63752518" w:rsidR="6E20180B" w:rsidRPr="006058EF" w:rsidRDefault="6E20180B" w:rsidP="5F48C630">
      <w:pPr>
        <w:rPr>
          <w:rFonts w:eastAsia="Arial" w:cs="Arial"/>
          <w:color w:val="000000" w:themeColor="text1"/>
        </w:rPr>
      </w:pPr>
      <w:r w:rsidRPr="6C8B62F6">
        <w:rPr>
          <w:rFonts w:eastAsia="Arial" w:cs="Arial"/>
          <w:color w:val="000000" w:themeColor="text1"/>
        </w:rPr>
        <w:t xml:space="preserve">In January 2025, the CDE </w:t>
      </w:r>
      <w:r w:rsidR="08A42A59" w:rsidRPr="6C8B62F6">
        <w:rPr>
          <w:rFonts w:eastAsia="Arial" w:cs="Arial"/>
          <w:color w:val="000000" w:themeColor="text1"/>
        </w:rPr>
        <w:t>suggested t</w:t>
      </w:r>
      <w:r w:rsidRPr="6C8B62F6">
        <w:rPr>
          <w:rFonts w:eastAsia="Arial" w:cs="Arial"/>
          <w:color w:val="000000" w:themeColor="text1"/>
        </w:rPr>
        <w:t>hat the ROC/P criterion be excluded from the CCI beginning with the 2025 Dashboard in order to align with current data collection practices.</w:t>
      </w:r>
      <w:r w:rsidR="30F35504" w:rsidRPr="6C8B62F6">
        <w:rPr>
          <w:rFonts w:eastAsia="Arial" w:cs="Arial"/>
          <w:color w:val="000000" w:themeColor="text1"/>
        </w:rPr>
        <w:t xml:space="preserve"> Additionally, CDE explores adding additional requirements to the college credit course-taking options in the CCI as well as the data collection process in CALPADS.</w:t>
      </w:r>
      <w:r w:rsidR="63247FE7" w:rsidRPr="6C8B62F6">
        <w:rPr>
          <w:rFonts w:eastAsia="Arial" w:cs="Arial"/>
          <w:color w:val="000000" w:themeColor="text1"/>
        </w:rPr>
        <w:t xml:space="preserve"> (</w:t>
      </w:r>
      <w:hyperlink r:id="rId42" w:tooltip="The CDE suggested that the ROC/P criterion be excluded from the CCI beginning with the 2025 Dashboard">
        <w:r w:rsidR="63247FE7" w:rsidRPr="6C8B62F6">
          <w:rPr>
            <w:rStyle w:val="Hyperlink"/>
            <w:rFonts w:eastAsia="Arial" w:cs="Arial"/>
          </w:rPr>
          <w:t>https://www.cde.ca.gov/be/ag/ag/yr25/documents/jan25item03.docx</w:t>
        </w:r>
      </w:hyperlink>
      <w:r w:rsidR="63247FE7" w:rsidRPr="6C8B62F6">
        <w:rPr>
          <w:rFonts w:eastAsia="Arial" w:cs="Arial"/>
          <w:color w:val="000000" w:themeColor="text1"/>
        </w:rPr>
        <w:t>)</w:t>
      </w:r>
    </w:p>
    <w:p w14:paraId="0498922A" w14:textId="29BA8D49" w:rsidR="00C57C96" w:rsidRPr="006058EF" w:rsidRDefault="00C57C96" w:rsidP="00996116">
      <w:pPr>
        <w:pStyle w:val="Heading3"/>
        <w:rPr>
          <w:rFonts w:eastAsia="Arial" w:cs="Arial"/>
          <w:szCs w:val="32"/>
        </w:rPr>
      </w:pPr>
      <w:r w:rsidRPr="6FF67CBA">
        <w:rPr>
          <w:rFonts w:eastAsia="Arial" w:cs="Arial"/>
          <w:szCs w:val="32"/>
        </w:rPr>
        <w:t>Growth Model</w:t>
      </w:r>
    </w:p>
    <w:p w14:paraId="5540EAEB" w14:textId="1C06BDEE" w:rsidR="3D0EAF82" w:rsidRPr="006058EF" w:rsidRDefault="3D0EAF82" w:rsidP="2D3341D8">
      <w:pPr>
        <w:rPr>
          <w:rFonts w:eastAsia="Arial" w:cs="Arial"/>
        </w:rPr>
      </w:pPr>
      <w:r w:rsidRPr="2D3341D8">
        <w:rPr>
          <w:rFonts w:eastAsia="Arial" w:cs="Arial"/>
        </w:rPr>
        <w:t>In February 2016, the SBE received an Information Memorandum that provided an overview of student-level growth models that can be used to communicate Smarter Balanced Summative Assessment results</w:t>
      </w:r>
      <w:r w:rsidR="00010B6A">
        <w:rPr>
          <w:rFonts w:eastAsia="Arial" w:cs="Arial"/>
        </w:rPr>
        <w:t xml:space="preserve"> </w:t>
      </w:r>
      <w:r w:rsidRPr="2D3341D8">
        <w:rPr>
          <w:rFonts w:eastAsia="Arial" w:cs="Arial"/>
        </w:rPr>
        <w:t>(</w:t>
      </w:r>
      <w:hyperlink r:id="rId43" w:tooltip="Smarter Balanced Summative Assessment results">
        <w:r w:rsidRPr="2D3341D8">
          <w:rPr>
            <w:rStyle w:val="Hyperlink"/>
            <w:rFonts w:eastAsia="Arial" w:cs="Arial"/>
          </w:rPr>
          <w:t>https://www.cde.ca.gov/be/pn/im/documents/memo-dsib-amard-feb16item01.doc</w:t>
        </w:r>
      </w:hyperlink>
      <w:r w:rsidRPr="2D3341D8">
        <w:rPr>
          <w:rFonts w:eastAsia="Arial" w:cs="Arial"/>
        </w:rPr>
        <w:t>).</w:t>
      </w:r>
    </w:p>
    <w:p w14:paraId="6C2BFBB2" w14:textId="2996F77E" w:rsidR="00C57C96" w:rsidRPr="006058EF" w:rsidRDefault="00C57C96" w:rsidP="729F9455">
      <w:pPr>
        <w:rPr>
          <w:rFonts w:eastAsia="Arial" w:cs="Arial"/>
        </w:rPr>
      </w:pPr>
      <w:r w:rsidRPr="2D3341D8">
        <w:rPr>
          <w:rFonts w:eastAsia="Arial" w:cs="Arial"/>
        </w:rPr>
        <w:t>In June 2016</w:t>
      </w:r>
      <w:r w:rsidR="3BC59C00" w:rsidRPr="2D3341D8">
        <w:rPr>
          <w:rFonts w:eastAsia="Arial" w:cs="Arial"/>
        </w:rPr>
        <w:t>,</w:t>
      </w:r>
      <w:r w:rsidRPr="2D3341D8">
        <w:rPr>
          <w:rFonts w:eastAsia="Arial" w:cs="Arial"/>
        </w:rPr>
        <w:t xml:space="preserve"> Information Memorandum, the CDE provided a progress update and clarified key issues related to the design of a school- and district-level accountability model, as opposed to reporting individual student-level growth and performance (</w:t>
      </w:r>
      <w:hyperlink r:id="rId44" w:tooltip="June 2016 Information Memorandum">
        <w:r w:rsidRPr="6C8B62F6">
          <w:rPr>
            <w:rStyle w:val="Hyperlink"/>
            <w:rFonts w:eastAsia="Arial" w:cs="Arial"/>
          </w:rPr>
          <w:t>https://www.cde.ca.gov/be/pn/im/documents/memo-dsib-amard-jun16item01.doc</w:t>
        </w:r>
      </w:hyperlink>
      <w:r w:rsidR="1E46BBDC" w:rsidRPr="2D3341D8">
        <w:rPr>
          <w:rFonts w:eastAsia="Arial" w:cs="Arial"/>
        </w:rPr>
        <w:t>)</w:t>
      </w:r>
      <w:r w:rsidR="01C18079" w:rsidRPr="2D3341D8">
        <w:rPr>
          <w:rFonts w:eastAsia="Arial" w:cs="Arial"/>
        </w:rPr>
        <w:t>.</w:t>
      </w:r>
    </w:p>
    <w:p w14:paraId="03423B83" w14:textId="1B06D09B" w:rsidR="00C57C96" w:rsidRPr="006058EF" w:rsidRDefault="00C57C96" w:rsidP="00996116">
      <w:pPr>
        <w:rPr>
          <w:rFonts w:eastAsia="Arial" w:cs="Arial"/>
        </w:rPr>
      </w:pPr>
      <w:r w:rsidRPr="6C8B62F6">
        <w:rPr>
          <w:rFonts w:eastAsia="Arial" w:cs="Arial"/>
        </w:rPr>
        <w:t>In January 2017, the SBE discussed criteria for selecting a growth model used for school and district accountability (</w:t>
      </w:r>
      <w:hyperlink r:id="rId45" w:tooltip="Criteria for selecting a growth model used for school and district accountability">
        <w:r w:rsidRPr="6C8B62F6">
          <w:rPr>
            <w:rFonts w:eastAsia="Arial" w:cs="Arial"/>
            <w:color w:val="0000FF"/>
            <w:u w:val="single"/>
          </w:rPr>
          <w:t>https://www.cde.ca.gov/be/ag/ag/yr17/documents/jan17item02.doc</w:t>
        </w:r>
      </w:hyperlink>
      <w:r w:rsidRPr="6C8B62F6">
        <w:rPr>
          <w:rFonts w:eastAsia="Arial" w:cs="Arial"/>
        </w:rPr>
        <w:t>).</w:t>
      </w:r>
    </w:p>
    <w:p w14:paraId="56341E2C" w14:textId="1CD45474" w:rsidR="529C3D7C" w:rsidRDefault="529C3D7C" w:rsidP="0C26C3EC">
      <w:pPr>
        <w:rPr>
          <w:rFonts w:eastAsia="Arial" w:cs="Arial"/>
        </w:rPr>
      </w:pPr>
      <w:r w:rsidRPr="0C26C3EC">
        <w:rPr>
          <w:rFonts w:eastAsia="Arial" w:cs="Arial"/>
        </w:rPr>
        <w:t>In March 2017, the SBE provided feedback discussed on the outreach to the CAASPP Stakeholder Group and TDG. Directed the CDE to work with ETS to provide simulations of growth models for review. (</w:t>
      </w:r>
      <w:hyperlink r:id="rId46" w:tooltip="March 2017 SBE Meeting">
        <w:r w:rsidRPr="0C26C3EC">
          <w:rPr>
            <w:rStyle w:val="Hyperlink"/>
            <w:rFonts w:eastAsia="Arial" w:cs="Arial"/>
          </w:rPr>
          <w:t>http://www.cde.ca.gov/be/ag/ag/yr17/documents/mar17item02.doc</w:t>
        </w:r>
      </w:hyperlink>
      <w:r w:rsidRPr="0C26C3EC">
        <w:rPr>
          <w:rFonts w:eastAsia="Arial" w:cs="Arial"/>
        </w:rPr>
        <w:t>).</w:t>
      </w:r>
    </w:p>
    <w:p w14:paraId="7D049C03" w14:textId="5D86CAB3" w:rsidR="005C7E57" w:rsidRPr="006058EF" w:rsidRDefault="00C57C96" w:rsidP="0066487B">
      <w:pPr>
        <w:spacing w:after="0"/>
        <w:rPr>
          <w:rFonts w:eastAsia="Arial" w:cs="Arial"/>
        </w:rPr>
      </w:pPr>
      <w:r w:rsidRPr="6C8B62F6">
        <w:rPr>
          <w:rFonts w:eastAsia="Arial" w:cs="Arial"/>
        </w:rPr>
        <w:t>Following the SBE discussion in January 2017, the CDE further consulted with Educational Testing Service (ETS), the Technical Design Group, the California Assessment of Student Performance and Progress (CAASPP) Technical Advisory Group (TAG), and the Statewide Assessment Stakeholder Group, regarding potential growth models. Three models were selected for simulation. The discussion and recommendations of the groups were summarized and presented to the SBE in a June 2017 Information Memorandum</w:t>
      </w:r>
    </w:p>
    <w:p w14:paraId="1EF1C411" w14:textId="12915837" w:rsidR="00C57C96" w:rsidRPr="006058EF" w:rsidRDefault="00C57C96" w:rsidP="0066487B">
      <w:pPr>
        <w:spacing w:before="0"/>
        <w:rPr>
          <w:rFonts w:eastAsia="Arial" w:cs="Arial"/>
        </w:rPr>
      </w:pPr>
      <w:r w:rsidRPr="6C8B62F6">
        <w:rPr>
          <w:rFonts w:eastAsia="Arial" w:cs="Arial"/>
        </w:rPr>
        <w:t>(</w:t>
      </w:r>
      <w:hyperlink r:id="rId47" w:tooltip="January 2017 SBE Meeting">
        <w:r w:rsidR="00B414C4" w:rsidRPr="6C8B62F6">
          <w:rPr>
            <w:rFonts w:eastAsia="Arial" w:cs="Arial"/>
            <w:color w:val="0000FF"/>
            <w:u w:val="single"/>
          </w:rPr>
          <w:t>https://www.cde.ca.gov/be/pn/im/documents/memo-asb-adad-jun17item03.doc</w:t>
        </w:r>
      </w:hyperlink>
      <w:r w:rsidRPr="6C8B62F6">
        <w:rPr>
          <w:rFonts w:eastAsia="Arial" w:cs="Arial"/>
        </w:rPr>
        <w:t>).</w:t>
      </w:r>
    </w:p>
    <w:p w14:paraId="1B8693BD" w14:textId="20B3311C" w:rsidR="0055017C" w:rsidRPr="006058EF" w:rsidRDefault="00C57C96" w:rsidP="0066487B">
      <w:pPr>
        <w:spacing w:after="0"/>
        <w:rPr>
          <w:rFonts w:eastAsia="Arial" w:cs="Arial"/>
        </w:rPr>
      </w:pPr>
      <w:r w:rsidRPr="6C8B62F6">
        <w:rPr>
          <w:rFonts w:eastAsia="Arial" w:cs="Arial"/>
        </w:rPr>
        <w:lastRenderedPageBreak/>
        <w:t>In February 2018, the SBE received an Information Memorandum with the results of the ETS Growth Study, which provided a statistical analysis of three proposed growth models</w:t>
      </w:r>
    </w:p>
    <w:p w14:paraId="3BFB91DA" w14:textId="4ACD2E1E" w:rsidR="00C57C96" w:rsidRPr="006058EF" w:rsidRDefault="00C57C96" w:rsidP="0066487B">
      <w:pPr>
        <w:spacing w:before="0"/>
        <w:rPr>
          <w:rFonts w:eastAsia="Arial" w:cs="Arial"/>
        </w:rPr>
      </w:pPr>
      <w:r w:rsidRPr="6C8B62F6">
        <w:rPr>
          <w:rFonts w:eastAsia="Arial" w:cs="Arial"/>
        </w:rPr>
        <w:t>(</w:t>
      </w:r>
      <w:hyperlink r:id="rId48" w:tooltip="Information Memorandum with the results of the ETS Growth Study">
        <w:r w:rsidRPr="6C8B62F6">
          <w:rPr>
            <w:rStyle w:val="Hyperlink"/>
            <w:rFonts w:eastAsia="Arial" w:cs="Arial"/>
          </w:rPr>
          <w:t>https://www.cde.ca.gov/be/pn/im/documents/memo-pptb-amard-feb18item01.docx</w:t>
        </w:r>
      </w:hyperlink>
      <w:r w:rsidRPr="6C8B62F6">
        <w:rPr>
          <w:rFonts w:eastAsia="Arial" w:cs="Arial"/>
        </w:rPr>
        <w:t>).</w:t>
      </w:r>
    </w:p>
    <w:p w14:paraId="3D17223A" w14:textId="0F4EE6E5" w:rsidR="00C57C96" w:rsidRPr="006058EF" w:rsidRDefault="00C57C96" w:rsidP="729F9455">
      <w:pPr>
        <w:rPr>
          <w:rFonts w:eastAsia="Arial" w:cs="Arial"/>
        </w:rPr>
      </w:pPr>
      <w:r w:rsidRPr="6C8B62F6">
        <w:rPr>
          <w:rFonts w:eastAsia="Arial" w:cs="Arial"/>
        </w:rPr>
        <w:t>In May 2018, the SBE reviewed analyses of the three student-level growth models conducted by ETS and directed the CDE to further explore the Residual Gain model for possible inclusion in the Dashboard (</w:t>
      </w:r>
      <w:hyperlink r:id="rId49" w:tooltip="Residual Gain model for possible inclusion in the Dashboard">
        <w:r w:rsidRPr="6C8B62F6">
          <w:rPr>
            <w:rStyle w:val="Hyperlink"/>
            <w:rFonts w:eastAsia="Arial" w:cs="Arial"/>
          </w:rPr>
          <w:t>https://www.cde.ca.gov/be/ag/ag/yr18/documents/may18item02.docx</w:t>
        </w:r>
      </w:hyperlink>
      <w:r w:rsidRPr="6C8B62F6">
        <w:rPr>
          <w:rFonts w:eastAsia="Arial" w:cs="Arial"/>
        </w:rPr>
        <w:t>).</w:t>
      </w:r>
    </w:p>
    <w:p w14:paraId="155A3803" w14:textId="18B8ADC6" w:rsidR="00185C27" w:rsidRDefault="5F5BD3BB" w:rsidP="00185C27">
      <w:pPr>
        <w:spacing w:after="0"/>
        <w:rPr>
          <w:rFonts w:eastAsia="Arial" w:cs="Arial"/>
        </w:rPr>
      </w:pPr>
      <w:r w:rsidRPr="0C26C3EC">
        <w:rPr>
          <w:rFonts w:eastAsia="Arial" w:cs="Arial"/>
        </w:rPr>
        <w:t>In June 2018, the CDE provided a Memor</w:t>
      </w:r>
      <w:r w:rsidR="006F4D11">
        <w:rPr>
          <w:rFonts w:eastAsia="Arial" w:cs="Arial"/>
        </w:rPr>
        <w:t>a</w:t>
      </w:r>
      <w:r w:rsidRPr="0C26C3EC">
        <w:rPr>
          <w:rFonts w:eastAsia="Arial" w:cs="Arial"/>
        </w:rPr>
        <w:t>ndum which addressed the SBE's Questions on the RG model: 1.</w:t>
      </w:r>
      <w:r w:rsidR="00010B6A">
        <w:rPr>
          <w:rFonts w:eastAsia="Arial" w:cs="Arial"/>
        </w:rPr>
        <w:t xml:space="preserve"> </w:t>
      </w:r>
      <w:r w:rsidRPr="0C26C3EC">
        <w:rPr>
          <w:rFonts w:eastAsia="Arial" w:cs="Arial"/>
        </w:rPr>
        <w:t>What information does the RG model provide compared to the information that the current District from Level 3 (DF3) provides? 2. How would the RG model fit into the current accountability five-by-five structure?</w:t>
      </w:r>
    </w:p>
    <w:p w14:paraId="30C69E78" w14:textId="711D6259" w:rsidR="5F5BD3BB" w:rsidRDefault="00185C27" w:rsidP="00185C27">
      <w:pPr>
        <w:spacing w:before="0"/>
        <w:rPr>
          <w:rFonts w:eastAsia="Arial" w:cs="Arial"/>
        </w:rPr>
      </w:pPr>
      <w:hyperlink r:id="rId50" w:tooltip="In June 2018 the CDE provided a Memorandum which addressed the SBE's Questions on the RG model" w:history="1">
        <w:r w:rsidRPr="003B76C2">
          <w:rPr>
            <w:rStyle w:val="Hyperlink"/>
            <w:rFonts w:eastAsia="Arial" w:cs="Arial"/>
          </w:rPr>
          <w:t>https://www.cde.ca.gov/be/pn/im/documents/memo-pptb-amard-jun18item01.docx</w:t>
        </w:r>
      </w:hyperlink>
      <w:r w:rsidR="5F5BD3BB" w:rsidRPr="0C26C3EC">
        <w:rPr>
          <w:rFonts w:eastAsia="Arial" w:cs="Arial"/>
        </w:rPr>
        <w:t>).</w:t>
      </w:r>
    </w:p>
    <w:p w14:paraId="3B88D03B" w14:textId="5C6F0F01" w:rsidR="00C57C96" w:rsidRPr="00D8764F" w:rsidRDefault="00C57C96" w:rsidP="729F9455">
      <w:pPr>
        <w:rPr>
          <w:rFonts w:eastAsia="Arial" w:cs="Arial"/>
        </w:rPr>
      </w:pPr>
      <w:r w:rsidRPr="2D3341D8">
        <w:rPr>
          <w:rFonts w:eastAsia="Arial" w:cs="Arial"/>
        </w:rPr>
        <w:t>At its July 2018 meeting, the SBE directed the CDE to conduct further analyses on the Residual Growth model, including the impact of future years of assessment data, changes in the model to reduce year-to-year volatility, consideration of additional growth models or options, and an examination of growth models implemented in other states (</w:t>
      </w:r>
      <w:hyperlink r:id="rId51" w:tooltip="CDE to conduct further analyses on the Residual Growth model">
        <w:r w:rsidRPr="6C8B62F6">
          <w:rPr>
            <w:rStyle w:val="Hyperlink"/>
            <w:rFonts w:eastAsia="Arial" w:cs="Arial"/>
          </w:rPr>
          <w:t>https://www.cde.ca.gov/be/ag/ag/yr18/documents/jul18item01.docx</w:t>
        </w:r>
      </w:hyperlink>
      <w:r w:rsidRPr="2D3341D8">
        <w:rPr>
          <w:rFonts w:eastAsia="Arial" w:cs="Arial"/>
        </w:rPr>
        <w:t>).</w:t>
      </w:r>
    </w:p>
    <w:p w14:paraId="121DB912" w14:textId="3613AE6F" w:rsidR="003A063E" w:rsidRDefault="45317F49" w:rsidP="0066487B">
      <w:pPr>
        <w:spacing w:before="0" w:after="0"/>
        <w:rPr>
          <w:rFonts w:eastAsia="Arial" w:cs="Arial"/>
        </w:rPr>
      </w:pPr>
      <w:r w:rsidRPr="2D3341D8">
        <w:rPr>
          <w:rFonts w:eastAsia="Arial" w:cs="Arial"/>
        </w:rPr>
        <w:t xml:space="preserve">In February 2019, the SBE received an Information Memorandum, providing a summary of the first student growth model stakeholder meeting. </w:t>
      </w:r>
      <w:r w:rsidR="46E65864" w:rsidRPr="6C8B62F6">
        <w:rPr>
          <w:rFonts w:eastAsia="Arial" w:cs="Arial"/>
        </w:rPr>
        <w:t>The CDE engaged the California Comprehensive Center to conduct research and facilitate a stakeholder process on the future direction of this work.</w:t>
      </w:r>
    </w:p>
    <w:p w14:paraId="0AA93404" w14:textId="59A6A7F9" w:rsidR="00C57C96" w:rsidRPr="00D8764F" w:rsidRDefault="46E65864" w:rsidP="0066487B">
      <w:pPr>
        <w:spacing w:before="0"/>
        <w:rPr>
          <w:rFonts w:eastAsia="Arial" w:cs="Arial"/>
        </w:rPr>
      </w:pPr>
      <w:r w:rsidRPr="6C8B62F6">
        <w:rPr>
          <w:rFonts w:eastAsia="Arial" w:cs="Arial"/>
          <w:color w:val="000000" w:themeColor="text1"/>
        </w:rPr>
        <w:t>(</w:t>
      </w:r>
      <w:hyperlink r:id="rId52" w:tooltip="Information Memorandum providing a summary of the first student growth model stakeholder meeting">
        <w:r w:rsidR="5346B867" w:rsidRPr="6C8B62F6">
          <w:rPr>
            <w:rFonts w:eastAsia="Arial" w:cs="Arial"/>
            <w:color w:val="0000FF"/>
            <w:u w:val="single"/>
          </w:rPr>
          <w:t>https://www.cde.ca.gov/be/pn/im/documents/memo-pptb-amard-feb19item03.docx</w:t>
        </w:r>
      </w:hyperlink>
      <w:r w:rsidRPr="6C8B62F6">
        <w:rPr>
          <w:rFonts w:eastAsia="Arial" w:cs="Arial"/>
          <w:color w:val="000000" w:themeColor="text1"/>
        </w:rPr>
        <w:t>).</w:t>
      </w:r>
    </w:p>
    <w:p w14:paraId="183D22FF" w14:textId="3E1610C0" w:rsidR="00C57C96" w:rsidRPr="00D8764F" w:rsidRDefault="00C57C96" w:rsidP="729F9455">
      <w:pPr>
        <w:rPr>
          <w:rFonts w:eastAsia="Arial" w:cs="Arial"/>
          <w:color w:val="000000"/>
        </w:rPr>
      </w:pPr>
      <w:r w:rsidRPr="6C8B62F6">
        <w:rPr>
          <w:rFonts w:eastAsia="Arial" w:cs="Arial"/>
          <w:color w:val="000000" w:themeColor="text1"/>
        </w:rPr>
        <w:t>In April 2019, the SBE received an Information Memorandum, providing a summary of the second growth model stakeholder feedback group meeting (</w:t>
      </w:r>
      <w:hyperlink r:id="rId53" w:tooltip="Information Memorandum providing a summary of the second growth model stakeholder feedback group meeting">
        <w:r w:rsidRPr="6C8B62F6">
          <w:rPr>
            <w:rStyle w:val="Hyperlink"/>
            <w:rFonts w:eastAsia="Arial" w:cs="Arial"/>
          </w:rPr>
          <w:t>https://www.cde.ca.gov/be/pn/im/documents/memo-pptb-amard-apr19item02.docx</w:t>
        </w:r>
      </w:hyperlink>
      <w:r w:rsidRPr="6C8B62F6">
        <w:rPr>
          <w:rFonts w:eastAsia="Arial" w:cs="Arial"/>
          <w:color w:val="000000" w:themeColor="text1"/>
        </w:rPr>
        <w:t>).</w:t>
      </w:r>
    </w:p>
    <w:p w14:paraId="7C74442F" w14:textId="250CA1A6" w:rsidR="00C57C96" w:rsidRPr="00D8764F" w:rsidRDefault="00C57C96" w:rsidP="7B9E67A0">
      <w:pPr>
        <w:rPr>
          <w:rFonts w:eastAsia="Arial" w:cs="Arial"/>
          <w:color w:val="000000"/>
        </w:rPr>
      </w:pPr>
      <w:r w:rsidRPr="6C8B62F6">
        <w:rPr>
          <w:rFonts w:eastAsia="Arial" w:cs="Arial"/>
          <w:color w:val="000000" w:themeColor="text1"/>
        </w:rPr>
        <w:t>In November 2019, the SBE received an Information Memorandum, providing a summary of the growth model stakeholder feedback group process (</w:t>
      </w:r>
      <w:hyperlink r:id="rId54" w:tooltip="Information Memorandum providing a summary of the growth model stakeholder feedback group process">
        <w:r w:rsidRPr="6C8B62F6">
          <w:rPr>
            <w:rStyle w:val="Hyperlink"/>
            <w:rFonts w:eastAsia="Arial" w:cs="Arial"/>
          </w:rPr>
          <w:t>https://www.cde.ca.gov/be/pn/im/documents/nov19memoamard01.docx</w:t>
        </w:r>
      </w:hyperlink>
      <w:r w:rsidRPr="00D8764F">
        <w:rPr>
          <w:rFonts w:eastAsia="Arial" w:cs="Arial"/>
          <w:color w:val="000000" w:themeColor="text1"/>
        </w:rPr>
        <w:t>).</w:t>
      </w:r>
    </w:p>
    <w:p w14:paraId="1368BE15" w14:textId="645A5867" w:rsidR="00C57C96" w:rsidRPr="00D8764F" w:rsidRDefault="00C57C96" w:rsidP="00996116">
      <w:pPr>
        <w:rPr>
          <w:rFonts w:eastAsia="Arial" w:cs="Arial"/>
        </w:rPr>
      </w:pPr>
      <w:r w:rsidRPr="6C8B62F6">
        <w:rPr>
          <w:rFonts w:eastAsia="Arial" w:cs="Arial"/>
          <w:color w:val="000000" w:themeColor="text1"/>
        </w:rPr>
        <w:t xml:space="preserve">At the March 2020 meeting, the SBE directed the CDE to provide a presentation at the May 2020 meeting regarding the work conducted to date on the development of a student-level growth model. </w:t>
      </w:r>
      <w:r w:rsidR="7396C725" w:rsidRPr="6C8B62F6">
        <w:rPr>
          <w:rFonts w:eastAsia="Arial" w:cs="Arial"/>
          <w:color w:val="000000" w:themeColor="text1"/>
        </w:rPr>
        <w:t>Due to the national health crisis, this presentation was postponed until the July 2020 SBE meeting (</w:t>
      </w:r>
      <w:hyperlink r:id="rId55" w:tooltip="CDE provided a presentation at the May 2020 meeting regarding the work conducted to date on the development of a student-level growth model">
        <w:r w:rsidR="7396C725" w:rsidRPr="6C8B62F6">
          <w:rPr>
            <w:rStyle w:val="Hyperlink"/>
            <w:rFonts w:eastAsia="Arial" w:cs="Arial"/>
          </w:rPr>
          <w:t>https://www.cde.ca.gov/be/ag/ag/yr20/documents/mar20item05.docx</w:t>
        </w:r>
      </w:hyperlink>
      <w:r w:rsidR="7396C725" w:rsidRPr="00D8764F">
        <w:rPr>
          <w:rFonts w:eastAsia="Arial" w:cs="Arial"/>
        </w:rPr>
        <w:t>).</w:t>
      </w:r>
    </w:p>
    <w:p w14:paraId="3450DA9C" w14:textId="0FBCAD98" w:rsidR="00C57C96" w:rsidRPr="00D8764F" w:rsidRDefault="7396C725" w:rsidP="00996116">
      <w:pPr>
        <w:rPr>
          <w:rFonts w:eastAsia="Arial" w:cs="Arial"/>
        </w:rPr>
      </w:pPr>
      <w:r w:rsidRPr="6C8B62F6">
        <w:rPr>
          <w:rFonts w:eastAsia="Arial" w:cs="Arial"/>
          <w:color w:val="000000" w:themeColor="text1"/>
        </w:rPr>
        <w:t xml:space="preserve">In June 2020, the SBE received an Information Memorandum, </w:t>
      </w:r>
      <w:r w:rsidRPr="6C8B62F6">
        <w:rPr>
          <w:rFonts w:eastAsia="Arial" w:cs="Arial"/>
        </w:rPr>
        <w:t>providing the history and background on the student growth model work to date (</w:t>
      </w:r>
      <w:hyperlink r:id="rId56" w:tooltip="June 2020 Information Memorandum providing the history and background on the student growth model work to date">
        <w:r w:rsidRPr="6C8B62F6">
          <w:rPr>
            <w:rStyle w:val="Hyperlink"/>
            <w:rFonts w:eastAsia="Arial" w:cs="Arial"/>
          </w:rPr>
          <w:t>https://www.cde.ca.gov/be/pn/im/documents/memo-imb-amard-june20item01.docx</w:t>
        </w:r>
      </w:hyperlink>
      <w:r w:rsidRPr="00D8764F">
        <w:rPr>
          <w:rFonts w:eastAsia="Arial" w:cs="Arial"/>
        </w:rPr>
        <w:t>).</w:t>
      </w:r>
    </w:p>
    <w:p w14:paraId="1CDF683E" w14:textId="687372DA" w:rsidR="00C57C96" w:rsidRPr="00D8764F" w:rsidRDefault="00C57C96" w:rsidP="00996116">
      <w:pPr>
        <w:rPr>
          <w:rFonts w:eastAsia="Arial" w:cs="Arial"/>
        </w:rPr>
      </w:pPr>
      <w:r w:rsidRPr="6C8B62F6">
        <w:rPr>
          <w:rFonts w:eastAsia="Arial" w:cs="Arial"/>
        </w:rPr>
        <w:lastRenderedPageBreak/>
        <w:t>At the July 2020 SBE meeting, the CDE provided a presentation regarding the work conducted to data on the development of a student-level growth model (</w:t>
      </w:r>
      <w:hyperlink r:id="rId57" w:tooltip="CDE provided a presentation regarding the work conducted to data on the development of a student-level growth model">
        <w:r w:rsidR="7396C725" w:rsidRPr="6C8B62F6">
          <w:rPr>
            <w:rStyle w:val="Hyperlink"/>
            <w:rFonts w:eastAsia="Arial" w:cs="Arial"/>
          </w:rPr>
          <w:t>https://www.cde.ca.gov/be/ag/ag/yr20/documents/jul20item02.docx</w:t>
        </w:r>
      </w:hyperlink>
      <w:r w:rsidRPr="00D8764F">
        <w:rPr>
          <w:rFonts w:eastAsia="Arial" w:cs="Arial"/>
        </w:rPr>
        <w:t>).</w:t>
      </w:r>
    </w:p>
    <w:p w14:paraId="41AED6A2" w14:textId="3227242B" w:rsidR="00C57C96" w:rsidRPr="00D8764F" w:rsidRDefault="00C57C96" w:rsidP="00996116">
      <w:pPr>
        <w:rPr>
          <w:rFonts w:eastAsia="Arial" w:cs="Arial"/>
        </w:rPr>
      </w:pPr>
      <w:r w:rsidRPr="0A996053">
        <w:rPr>
          <w:rFonts w:eastAsia="Arial" w:cs="Arial"/>
        </w:rPr>
        <w:t xml:space="preserve">In September 2020, the CDE presented </w:t>
      </w:r>
      <w:r w:rsidRPr="0A996053">
        <w:rPr>
          <w:rFonts w:eastAsia="Arial" w:cs="Arial"/>
          <w:color w:val="000000"/>
          <w:bdr w:val="none" w:sz="0" w:space="0" w:color="auto" w:frame="1"/>
        </w:rPr>
        <w:t xml:space="preserve">an update on the progress by the CDE on refining the statistical methodology used to develop a student growth model. In addition, the ETS presented the results of its study on the potential of the </w:t>
      </w:r>
      <w:r w:rsidRPr="0A996053">
        <w:rPr>
          <w:rFonts w:eastAsia="Arial" w:cs="Arial"/>
          <w:color w:val="000000"/>
          <w:shd w:val="clear" w:color="auto" w:fill="FFFFFF"/>
        </w:rPr>
        <w:t xml:space="preserve">EBLP method to estimate aggregate growth measures for LEAs and schools </w:t>
      </w:r>
      <w:r w:rsidRPr="0A996053">
        <w:rPr>
          <w:rFonts w:eastAsia="Arial" w:cs="Arial"/>
        </w:rPr>
        <w:t>(</w:t>
      </w:r>
      <w:hyperlink r:id="rId58" w:tooltip="SBE, September 2020 Item 02">
        <w:r w:rsidR="7396C725" w:rsidRPr="0A996053">
          <w:rPr>
            <w:rStyle w:val="Hyperlink"/>
            <w:rFonts w:eastAsia="Arial" w:cs="Arial"/>
          </w:rPr>
          <w:t>https://www.cde.ca.gov/be/ag/ag/yr20/documents/sep20item02.docx</w:t>
        </w:r>
      </w:hyperlink>
      <w:r w:rsidR="7396C725" w:rsidRPr="0A996053">
        <w:rPr>
          <w:rFonts w:eastAsia="Arial" w:cs="Arial"/>
        </w:rPr>
        <w:t>).</w:t>
      </w:r>
    </w:p>
    <w:p w14:paraId="500E5A3B" w14:textId="16976C55" w:rsidR="00C57C96" w:rsidRPr="00D8764F" w:rsidRDefault="00C57C96" w:rsidP="0C26C3EC">
      <w:pPr>
        <w:rPr>
          <w:rFonts w:eastAsia="Arial" w:cs="Arial"/>
        </w:rPr>
      </w:pPr>
      <w:r w:rsidRPr="0C26C3EC">
        <w:rPr>
          <w:rFonts w:eastAsia="Arial" w:cs="Arial"/>
        </w:rPr>
        <w:t xml:space="preserve">In November 2020, the CDE presented an item recommending that the SBE adopt a single subject </w:t>
      </w:r>
      <w:r w:rsidRPr="0C26C3EC">
        <w:rPr>
          <w:rFonts w:eastAsia="Arial" w:cs="Arial"/>
          <w:color w:val="000000" w:themeColor="text1"/>
        </w:rPr>
        <w:t>Empirical Best Linear Prediction (EBLP)</w:t>
      </w:r>
      <w:r w:rsidRPr="0C26C3EC">
        <w:rPr>
          <w:rFonts w:eastAsia="Arial" w:cs="Arial"/>
        </w:rPr>
        <w:t xml:space="preserve"> methodology to improve growth model communication</w:t>
      </w:r>
      <w:r w:rsidR="7AAAD49C" w:rsidRPr="0C26C3EC">
        <w:rPr>
          <w:rFonts w:eastAsia="Arial" w:cs="Arial"/>
        </w:rPr>
        <w:t xml:space="preserve"> (</w:t>
      </w:r>
      <w:hyperlink r:id="rId59" w:tooltip="Empirical Best Linear Prediction (EBLP) methodology to improve growth model communication">
        <w:r w:rsidR="7AAAD49C" w:rsidRPr="0C26C3EC">
          <w:rPr>
            <w:rStyle w:val="Hyperlink"/>
            <w:rFonts w:eastAsia="Arial" w:cs="Arial"/>
          </w:rPr>
          <w:t>https://www.cde.ca.gov/be/ag/ag/yr20/documents/nov20item05rev.docx</w:t>
        </w:r>
      </w:hyperlink>
      <w:r w:rsidR="7AAAD49C" w:rsidRPr="0C26C3EC">
        <w:rPr>
          <w:rFonts w:eastAsia="Arial" w:cs="Arial"/>
        </w:rPr>
        <w:t>).</w:t>
      </w:r>
    </w:p>
    <w:p w14:paraId="4B4BD69A" w14:textId="4D8CC38B" w:rsidR="00C57C96" w:rsidRPr="00D8764F" w:rsidRDefault="00C57C96" w:rsidP="00996116">
      <w:pPr>
        <w:rPr>
          <w:rFonts w:eastAsia="Arial" w:cs="Arial"/>
        </w:rPr>
      </w:pPr>
      <w:r w:rsidRPr="6C8B62F6">
        <w:rPr>
          <w:rFonts w:eastAsia="Arial" w:cs="Arial"/>
        </w:rPr>
        <w:t xml:space="preserve">In February 2021, the SBE received an Information Memorandum, providing the final ETS report on the student growth model and recommendations for criteria for determining the assignment of the EBLP or simple average </w:t>
      </w:r>
      <w:r w:rsidR="7396C725" w:rsidRPr="6C8B62F6">
        <w:rPr>
          <w:rFonts w:eastAsia="Arial" w:cs="Arial"/>
        </w:rPr>
        <w:t>(</w:t>
      </w:r>
      <w:hyperlink r:id="rId60" w:tooltip="Information Memorandum providing the final ETS report on the student growth model and recommendations">
        <w:r w:rsidR="7396C725" w:rsidRPr="6C8B62F6">
          <w:rPr>
            <w:rStyle w:val="Hyperlink"/>
            <w:rFonts w:eastAsia="Arial" w:cs="Arial"/>
          </w:rPr>
          <w:t>https://www.cde.ca.gov/be/pn/im/documents/feb21memoamard02.docx</w:t>
        </w:r>
      </w:hyperlink>
      <w:r w:rsidR="7396C725" w:rsidRPr="6C8B62F6">
        <w:rPr>
          <w:rFonts w:eastAsia="Arial" w:cs="Arial"/>
        </w:rPr>
        <w:t>).</w:t>
      </w:r>
    </w:p>
    <w:p w14:paraId="7F37920A" w14:textId="6CD509C8" w:rsidR="0089133C" w:rsidRPr="00D8764F" w:rsidRDefault="7396C725" w:rsidP="0066487B">
      <w:pPr>
        <w:spacing w:before="0" w:after="0"/>
        <w:rPr>
          <w:rFonts w:eastAsia="Arial" w:cs="Arial"/>
        </w:rPr>
      </w:pPr>
      <w:r w:rsidRPr="6C8B62F6">
        <w:rPr>
          <w:rFonts w:eastAsia="Arial" w:cs="Arial"/>
        </w:rPr>
        <w:t>In May 2021, the SBE adopted the student growth model methodology, which includes using residual gain (RG) scores and the EBLP hybrid approach to report aggregated student growth</w:t>
      </w:r>
    </w:p>
    <w:p w14:paraId="5E7548B6" w14:textId="61FA0667" w:rsidR="00C57C96" w:rsidRPr="00D8764F" w:rsidRDefault="7396C725" w:rsidP="0066487B">
      <w:pPr>
        <w:spacing w:before="0"/>
        <w:rPr>
          <w:rFonts w:eastAsia="Arial" w:cs="Arial"/>
        </w:rPr>
      </w:pPr>
      <w:r w:rsidRPr="0A996053">
        <w:rPr>
          <w:rFonts w:eastAsia="Arial" w:cs="Arial"/>
          <w:color w:val="000000" w:themeColor="text1"/>
        </w:rPr>
        <w:t>(</w:t>
      </w:r>
      <w:hyperlink r:id="rId61" w:tooltip="Student Growth Model Methodology">
        <w:r w:rsidRPr="0A996053">
          <w:rPr>
            <w:rStyle w:val="Hyperlink"/>
            <w:rFonts w:eastAsia="Arial" w:cs="Arial"/>
          </w:rPr>
          <w:t>https://www.cde.ca.gov/be/ag/ag/yr21/documents/may21item03.docx</w:t>
        </w:r>
      </w:hyperlink>
      <w:r w:rsidRPr="0A996053">
        <w:rPr>
          <w:rFonts w:eastAsia="Arial" w:cs="Arial"/>
          <w:color w:val="000000" w:themeColor="text1"/>
        </w:rPr>
        <w:t>).</w:t>
      </w:r>
    </w:p>
    <w:p w14:paraId="26A4CC84" w14:textId="625ADDD1" w:rsidR="00C57C96" w:rsidRPr="00D8764F" w:rsidRDefault="7396C725" w:rsidP="0066487B">
      <w:pPr>
        <w:spacing w:before="0"/>
        <w:rPr>
          <w:rFonts w:eastAsia="Arial" w:cs="Arial"/>
        </w:rPr>
      </w:pPr>
      <w:r w:rsidRPr="6C8B62F6">
        <w:rPr>
          <w:rFonts w:eastAsia="Arial" w:cs="Arial"/>
        </w:rPr>
        <w:t>In October 2021, the SBE received an Information Memorandum with information on CDE’s September 2021 release of historical growth scores from 2016–19, as well as a timeline for next release of growth scores from 2021–24</w:t>
      </w:r>
      <w:r w:rsidR="7E13A82A" w:rsidRPr="6C8B62F6">
        <w:rPr>
          <w:rFonts w:eastAsia="Arial" w:cs="Arial"/>
        </w:rPr>
        <w:t xml:space="preserve"> </w:t>
      </w:r>
      <w:r w:rsidRPr="6C8B62F6">
        <w:rPr>
          <w:rFonts w:eastAsia="Arial" w:cs="Arial"/>
        </w:rPr>
        <w:t>(</w:t>
      </w:r>
      <w:hyperlink r:id="rId62" w:tooltip="Information Memorandum with CDE’s September 2021 release of historical growth scores from 2016–19">
        <w:r w:rsidRPr="6C8B62F6">
          <w:rPr>
            <w:rStyle w:val="Hyperlink"/>
            <w:rFonts w:eastAsia="Arial" w:cs="Arial"/>
          </w:rPr>
          <w:t>https://www.cde.ca.gov/be/pn/im/documents/oct21memoamard01.docx</w:t>
        </w:r>
      </w:hyperlink>
      <w:r w:rsidRPr="6C8B62F6">
        <w:rPr>
          <w:rFonts w:eastAsia="Arial" w:cs="Arial"/>
        </w:rPr>
        <w:t>).</w:t>
      </w:r>
    </w:p>
    <w:p w14:paraId="01A9FF0E" w14:textId="720A45F0" w:rsidR="00C57C96" w:rsidRPr="00D8764F" w:rsidRDefault="1717D370" w:rsidP="0066487B">
      <w:pPr>
        <w:spacing w:before="0"/>
        <w:rPr>
          <w:rFonts w:eastAsia="Arial" w:cs="Arial"/>
        </w:rPr>
      </w:pPr>
      <w:r w:rsidRPr="00491731">
        <w:rPr>
          <w:rFonts w:eastAsia="Arial" w:cs="Arial"/>
        </w:rPr>
        <w:t>In January 2022, the SBE was provided a December 2021 Information Memorandum on data reporting for the 2020–21 school year</w:t>
      </w:r>
      <w:r w:rsidR="4436C81D" w:rsidRPr="00491731">
        <w:rPr>
          <w:rFonts w:eastAsia="Arial" w:cs="Arial"/>
        </w:rPr>
        <w:t xml:space="preserve"> </w:t>
      </w:r>
      <w:r w:rsidRPr="00491731">
        <w:rPr>
          <w:rFonts w:eastAsia="Arial" w:cs="Arial"/>
        </w:rPr>
        <w:t>(</w:t>
      </w:r>
      <w:hyperlink r:id="rId63" w:tooltip="December 2021 Information Memorandum on data reporting for the 2020–21 school year">
        <w:r w:rsidRPr="0A996053">
          <w:rPr>
            <w:rStyle w:val="Hyperlink"/>
            <w:rFonts w:eastAsia="Arial" w:cs="Arial"/>
          </w:rPr>
          <w:t>https://www.cde.ca.gov/be/pn/im/documents/dec21memoamard01.docx</w:t>
        </w:r>
      </w:hyperlink>
      <w:r w:rsidRPr="00491731">
        <w:rPr>
          <w:rFonts w:eastAsia="Arial" w:cs="Arial"/>
        </w:rPr>
        <w:t>)</w:t>
      </w:r>
      <w:r w:rsidR="070B9057" w:rsidRPr="00491731">
        <w:rPr>
          <w:rFonts w:eastAsia="Arial" w:cs="Arial"/>
        </w:rPr>
        <w:t>.</w:t>
      </w:r>
    </w:p>
    <w:p w14:paraId="5024C246" w14:textId="77777777" w:rsidR="0089133C" w:rsidRPr="00D8764F" w:rsidRDefault="00C57C96" w:rsidP="0066487B">
      <w:pPr>
        <w:spacing w:before="0" w:after="0"/>
        <w:rPr>
          <w:rFonts w:eastAsia="Arial" w:cs="Arial"/>
          <w:color w:val="000000" w:themeColor="text1"/>
          <w:lang w:val="en"/>
        </w:rPr>
      </w:pPr>
      <w:r w:rsidRPr="6C8B62F6">
        <w:rPr>
          <w:rFonts w:eastAsia="Arial" w:cs="Arial"/>
        </w:rPr>
        <w:t>In February 2022, the SBE received an update on the exploration</w:t>
      </w:r>
      <w:r w:rsidRPr="6C8B62F6">
        <w:rPr>
          <w:rFonts w:eastAsia="Arial" w:cs="Arial"/>
          <w:color w:val="000000" w:themeColor="text1"/>
          <w:lang w:val="en"/>
        </w:rPr>
        <w:t xml:space="preserve"> into reporting academic student growth by English Language Proficiency Assessments for California Achievement Level</w:t>
      </w:r>
    </w:p>
    <w:p w14:paraId="340F50BD" w14:textId="71BE4709" w:rsidR="00C57C96" w:rsidRPr="00D8764F" w:rsidRDefault="00C57C96" w:rsidP="0066487B">
      <w:pPr>
        <w:spacing w:before="0"/>
        <w:rPr>
          <w:rFonts w:eastAsia="Arial" w:cs="Arial"/>
        </w:rPr>
      </w:pPr>
      <w:r w:rsidRPr="6C8B62F6">
        <w:rPr>
          <w:rFonts w:eastAsia="Arial" w:cs="Arial"/>
          <w:color w:val="000000" w:themeColor="text1"/>
          <w:lang w:val="en"/>
        </w:rPr>
        <w:t>(</w:t>
      </w:r>
      <w:hyperlink r:id="rId64" w:tooltip="Academic student growth by English Language Proficiency Assessments for California Achievement Level">
        <w:r w:rsidR="00881FFE" w:rsidRPr="6C8B62F6">
          <w:rPr>
            <w:rStyle w:val="Hyperlink"/>
            <w:rFonts w:eastAsia="Arial" w:cs="Arial"/>
          </w:rPr>
          <w:t>https://www.cde.ca.gov/be/pn/im/infomemofeb2022.asp</w:t>
        </w:r>
      </w:hyperlink>
      <w:r w:rsidRPr="6C8B62F6">
        <w:rPr>
          <w:rFonts w:eastAsia="Arial" w:cs="Arial"/>
        </w:rPr>
        <w:t>)</w:t>
      </w:r>
      <w:r w:rsidR="00FE4378" w:rsidRPr="6C8B62F6">
        <w:rPr>
          <w:rFonts w:eastAsia="Arial" w:cs="Arial"/>
        </w:rPr>
        <w:t>.</w:t>
      </w:r>
    </w:p>
    <w:p w14:paraId="2C8D6577" w14:textId="77774A83" w:rsidR="1C0F02AB" w:rsidRPr="00D8764F" w:rsidRDefault="1C0F02AB" w:rsidP="0066487B">
      <w:pPr>
        <w:spacing w:before="0"/>
        <w:rPr>
          <w:rFonts w:eastAsia="Arial" w:cs="Arial"/>
        </w:rPr>
      </w:pPr>
      <w:r w:rsidRPr="00491731">
        <w:rPr>
          <w:rFonts w:eastAsia="Arial" w:cs="Arial"/>
        </w:rPr>
        <w:t xml:space="preserve">In March 2022, the SBE </w:t>
      </w:r>
      <w:r w:rsidRPr="00491731">
        <w:rPr>
          <w:rFonts w:eastAsia="Arial" w:cs="Arial"/>
          <w:color w:val="000000" w:themeColor="text1"/>
        </w:rPr>
        <w:t>received an annual update on items that were being considered by the CDE for the 2022 Dashboard (</w:t>
      </w:r>
      <w:hyperlink r:id="rId65" w:tooltip="Annual update on items that were being considered by the CDE for the 2022 Dashboard">
        <w:r w:rsidRPr="0A996053">
          <w:rPr>
            <w:rStyle w:val="Hyperlink"/>
            <w:rFonts w:eastAsia="Arial" w:cs="Arial"/>
          </w:rPr>
          <w:t>https://www.cde.ca.gov/be/ag/ag/yr22/documents/mar22item04.docx</w:t>
        </w:r>
      </w:hyperlink>
      <w:r w:rsidRPr="00491731">
        <w:rPr>
          <w:rFonts w:eastAsia="Arial" w:cs="Arial"/>
          <w:color w:val="000000" w:themeColor="text1"/>
        </w:rPr>
        <w:t>)</w:t>
      </w:r>
      <w:r w:rsidR="005E119F" w:rsidRPr="00491731">
        <w:rPr>
          <w:rFonts w:eastAsia="Arial" w:cs="Arial"/>
          <w:color w:val="000000" w:themeColor="text1"/>
        </w:rPr>
        <w:t>.</w:t>
      </w:r>
    </w:p>
    <w:p w14:paraId="4FC81763" w14:textId="776C8ECB" w:rsidR="1C0F02AB" w:rsidRPr="00D8764F" w:rsidRDefault="1C0F02AB" w:rsidP="0066487B">
      <w:pPr>
        <w:spacing w:before="0"/>
        <w:rPr>
          <w:rFonts w:eastAsia="Arial" w:cs="Arial"/>
        </w:rPr>
      </w:pPr>
      <w:r w:rsidRPr="00491731">
        <w:rPr>
          <w:rFonts w:eastAsia="Arial" w:cs="Arial"/>
        </w:rPr>
        <w:t xml:space="preserve">In July 2022, the CDE presented </w:t>
      </w:r>
      <w:r w:rsidRPr="00491731">
        <w:rPr>
          <w:rFonts w:eastAsia="Arial" w:cs="Arial"/>
          <w:color w:val="000000" w:themeColor="text1"/>
        </w:rPr>
        <w:t>an update on</w:t>
      </w:r>
      <w:r w:rsidRPr="00491731">
        <w:rPr>
          <w:rFonts w:eastAsia="Arial" w:cs="Arial"/>
        </w:rPr>
        <w:t xml:space="preserve"> </w:t>
      </w:r>
      <w:r w:rsidRPr="00491731">
        <w:rPr>
          <w:rFonts w:eastAsia="Arial" w:cs="Arial"/>
          <w:color w:val="000000" w:themeColor="text1"/>
        </w:rPr>
        <w:t>the Implementation of the Integrated Local, State, and Federal Accountability and Continuous Improvement System</w:t>
      </w:r>
      <w:r w:rsidR="00246B3E" w:rsidRPr="00491731">
        <w:rPr>
          <w:rFonts w:eastAsia="Arial" w:cs="Arial"/>
          <w:color w:val="000000" w:themeColor="text1"/>
        </w:rPr>
        <w:t xml:space="preserve"> </w:t>
      </w:r>
      <w:r w:rsidR="4A66B7E8" w:rsidRPr="00491731">
        <w:rPr>
          <w:rFonts w:eastAsia="Arial" w:cs="Arial"/>
        </w:rPr>
        <w:t>(</w:t>
      </w:r>
      <w:hyperlink r:id="rId66" w:tooltip="Implementation of the Integrated Local, State, and Federal Accountability and Continuous Improvement System">
        <w:r w:rsidR="4A66B7E8" w:rsidRPr="0A996053">
          <w:rPr>
            <w:rStyle w:val="Hyperlink"/>
            <w:rFonts w:eastAsia="Arial" w:cs="Arial"/>
          </w:rPr>
          <w:t>https://www.cde.ca.gov/be/ag/ag/yr22/documents/jul22item02.docx</w:t>
        </w:r>
      </w:hyperlink>
      <w:r w:rsidR="4A66B7E8" w:rsidRPr="00491731">
        <w:rPr>
          <w:rFonts w:eastAsia="Arial" w:cs="Arial"/>
        </w:rPr>
        <w:t>)</w:t>
      </w:r>
      <w:r w:rsidR="1EDAD1CB" w:rsidRPr="00491731">
        <w:rPr>
          <w:rFonts w:eastAsia="Arial" w:cs="Arial"/>
        </w:rPr>
        <w:t>.</w:t>
      </w:r>
    </w:p>
    <w:p w14:paraId="2B869EA1" w14:textId="289D0C05" w:rsidR="00E64210" w:rsidRPr="00491731" w:rsidRDefault="07D0CDE3" w:rsidP="281F40DC">
      <w:pPr>
        <w:rPr>
          <w:rFonts w:eastAsia="Arial" w:cs="Arial"/>
          <w:color w:val="000000" w:themeColor="text1"/>
        </w:rPr>
      </w:pPr>
      <w:r w:rsidRPr="00491731">
        <w:rPr>
          <w:rFonts w:eastAsia="Arial" w:cs="Arial"/>
          <w:color w:val="000000" w:themeColor="text1"/>
        </w:rPr>
        <w:lastRenderedPageBreak/>
        <w:t>In September 2023, the CDE provides a workplan for 2023 about the student growth model for California’s schools and LEAs. It includes identifying key audiences, receiving feedback from focus groups, CPAG, and TDG, and an anticipated date which average growth scores can be officially reported is December 2024</w:t>
      </w:r>
      <w:r w:rsidR="7567378D" w:rsidRPr="00491731">
        <w:rPr>
          <w:rFonts w:eastAsia="Arial" w:cs="Arial"/>
          <w:color w:val="000000" w:themeColor="text1"/>
        </w:rPr>
        <w:t xml:space="preserve"> </w:t>
      </w:r>
      <w:r w:rsidR="0225D646" w:rsidRPr="00491731">
        <w:rPr>
          <w:rFonts w:eastAsia="Arial" w:cs="Arial"/>
          <w:color w:val="000000" w:themeColor="text1"/>
        </w:rPr>
        <w:t>(</w:t>
      </w:r>
      <w:hyperlink r:id="rId67" w:tooltip="Workplan for 2023 about the student growth model for California’s schools and LEAs">
        <w:r w:rsidR="0225D646" w:rsidRPr="0A996053">
          <w:rPr>
            <w:rStyle w:val="Hyperlink"/>
            <w:rFonts w:eastAsia="Arial" w:cs="Arial"/>
          </w:rPr>
          <w:t>https://www.cde.ca.gov/be/ag/ag/yr23/documents/sep23item08.docx</w:t>
        </w:r>
      </w:hyperlink>
      <w:r w:rsidR="0225D646" w:rsidRPr="00491731">
        <w:rPr>
          <w:rFonts w:eastAsia="Arial" w:cs="Arial"/>
        </w:rPr>
        <w:t>)</w:t>
      </w:r>
      <w:r w:rsidR="3D9FD4DA" w:rsidRPr="00491731">
        <w:rPr>
          <w:rFonts w:eastAsia="Arial" w:cs="Arial"/>
        </w:rPr>
        <w:t>.</w:t>
      </w:r>
    </w:p>
    <w:p w14:paraId="7A308A3A" w14:textId="49AF59F6" w:rsidR="1DAA58D5" w:rsidRPr="00D8764F" w:rsidRDefault="1DAA58D5" w:rsidP="729F9455">
      <w:pPr>
        <w:rPr>
          <w:rFonts w:eastAsia="Arial" w:cs="Arial"/>
        </w:rPr>
      </w:pPr>
      <w:r w:rsidRPr="6C8B62F6">
        <w:rPr>
          <w:rFonts w:eastAsia="Arial" w:cs="Arial"/>
          <w:color w:val="000000" w:themeColor="text1"/>
        </w:rPr>
        <w:t>In March 2023, the CDE repor</w:t>
      </w:r>
      <w:r w:rsidR="5CCC3FCA" w:rsidRPr="6C8B62F6">
        <w:rPr>
          <w:rFonts w:eastAsia="Arial" w:cs="Arial"/>
          <w:color w:val="000000" w:themeColor="text1"/>
        </w:rPr>
        <w:t xml:space="preserve">ted about the communications toolkit and its </w:t>
      </w:r>
      <w:r w:rsidR="1E275A99" w:rsidRPr="6C8B62F6">
        <w:rPr>
          <w:rFonts w:eastAsia="Arial" w:cs="Arial"/>
          <w:color w:val="000000" w:themeColor="text1"/>
        </w:rPr>
        <w:t xml:space="preserve">purpose. Additionally, </w:t>
      </w:r>
      <w:r w:rsidR="25DBDEF4" w:rsidRPr="6C8B62F6">
        <w:rPr>
          <w:rFonts w:eastAsia="Arial" w:cs="Arial"/>
          <w:color w:val="000000" w:themeColor="text1"/>
        </w:rPr>
        <w:t xml:space="preserve">the </w:t>
      </w:r>
      <w:r w:rsidR="409F532F" w:rsidRPr="6C8B62F6">
        <w:rPr>
          <w:rFonts w:eastAsia="Arial" w:cs="Arial"/>
          <w:color w:val="000000" w:themeColor="text1"/>
        </w:rPr>
        <w:t xml:space="preserve">CDE works with California’s assessment contractor, ETS, to evaluate and analyze visualizations and communications tools to appropriately display growth data to multiple audiences. </w:t>
      </w:r>
      <w:r w:rsidR="0700FC87" w:rsidRPr="6C8B62F6">
        <w:rPr>
          <w:rFonts w:eastAsia="Arial" w:cs="Arial"/>
          <w:color w:val="000000" w:themeColor="text1"/>
        </w:rPr>
        <w:t>The</w:t>
      </w:r>
      <w:r w:rsidR="409F532F" w:rsidRPr="6C8B62F6">
        <w:rPr>
          <w:rFonts w:eastAsia="Arial" w:cs="Arial"/>
          <w:color w:val="000000" w:themeColor="text1"/>
        </w:rPr>
        <w:t xml:space="preserve"> CDE continues to solicit feedback from focus groups, educational partners, and the SBE on the best approach to display these data and communicate about the approved methodology in the future</w:t>
      </w:r>
      <w:r w:rsidR="00B4115C" w:rsidRPr="6C8B62F6">
        <w:rPr>
          <w:rFonts w:eastAsia="Arial" w:cs="Arial"/>
          <w:color w:val="000000" w:themeColor="text1"/>
        </w:rPr>
        <w:t xml:space="preserve"> </w:t>
      </w:r>
      <w:r w:rsidR="2DC31BE3" w:rsidRPr="6C8B62F6">
        <w:rPr>
          <w:rFonts w:eastAsia="Arial" w:cs="Arial"/>
          <w:color w:val="000000" w:themeColor="text1"/>
        </w:rPr>
        <w:t>(</w:t>
      </w:r>
      <w:hyperlink r:id="rId68" w:tooltip="Communications toolkit and its purpose">
        <w:r w:rsidR="00455BF5" w:rsidRPr="6C8B62F6">
          <w:rPr>
            <w:rStyle w:val="Hyperlink"/>
            <w:rFonts w:eastAsia="Arial" w:cs="Arial"/>
          </w:rPr>
          <w:t>https://www.cde.ca.gov/be/ag/ag/yr23/documents/mar23item03.docx</w:t>
        </w:r>
      </w:hyperlink>
      <w:r w:rsidR="74E0DFEB" w:rsidRPr="6C8B62F6">
        <w:rPr>
          <w:rFonts w:eastAsia="Arial" w:cs="Arial"/>
        </w:rPr>
        <w:t>)</w:t>
      </w:r>
      <w:r w:rsidR="6741E9F4" w:rsidRPr="6C8B62F6">
        <w:rPr>
          <w:rFonts w:eastAsia="Arial" w:cs="Arial"/>
        </w:rPr>
        <w:t>.</w:t>
      </w:r>
    </w:p>
    <w:p w14:paraId="3AE807EC" w14:textId="77777777" w:rsidR="008617F8" w:rsidRPr="00D8764F" w:rsidRDefault="008617F8" w:rsidP="0066487B">
      <w:pPr>
        <w:spacing w:after="0"/>
        <w:rPr>
          <w:rFonts w:eastAsia="Arial" w:cs="Arial"/>
          <w:color w:val="000000" w:themeColor="text1"/>
        </w:rPr>
      </w:pPr>
      <w:r w:rsidRPr="6C8B62F6">
        <w:rPr>
          <w:rFonts w:eastAsia="Arial" w:cs="Arial"/>
          <w:color w:val="000000" w:themeColor="text1"/>
        </w:rPr>
        <w:t>In March 2024, The CDE provided information regarding the Growth Model incorporation in the 2024 Dashboard. Additionally, the CDE presented a communications webpage to support educational communities.</w:t>
      </w:r>
    </w:p>
    <w:p w14:paraId="3DF89559" w14:textId="7DCF8D7A" w:rsidR="00335AB8" w:rsidRPr="00D8764F" w:rsidRDefault="70D6FC48" w:rsidP="0066487B">
      <w:pPr>
        <w:spacing w:before="0"/>
        <w:rPr>
          <w:rFonts w:eastAsia="Arial" w:cs="Arial"/>
        </w:rPr>
      </w:pPr>
      <w:bookmarkStart w:id="0" w:name="_Hlk169096560"/>
      <w:r w:rsidRPr="5F48C630">
        <w:rPr>
          <w:rFonts w:eastAsia="Arial" w:cs="Arial"/>
          <w:color w:val="000000" w:themeColor="text1"/>
        </w:rPr>
        <w:t>(</w:t>
      </w:r>
      <w:hyperlink r:id="rId69" w:tooltip="Growth Model incorporation in the 2024 Dashboard">
        <w:r w:rsidRPr="5F48C630">
          <w:rPr>
            <w:rStyle w:val="Hyperlink"/>
            <w:rFonts w:eastAsia="Arial" w:cs="Arial"/>
          </w:rPr>
          <w:t>https://www.cde.ca.gov/be/ag/ag/yr24/documents/mar24item02.docx</w:t>
        </w:r>
      </w:hyperlink>
      <w:r w:rsidRPr="5F48C630">
        <w:rPr>
          <w:rFonts w:eastAsia="Arial" w:cs="Arial"/>
          <w:color w:val="000000" w:themeColor="text1"/>
        </w:rPr>
        <w:t>).</w:t>
      </w:r>
      <w:bookmarkEnd w:id="0"/>
    </w:p>
    <w:p w14:paraId="231F8823" w14:textId="17A856EB" w:rsidR="437D05AE" w:rsidRPr="00D8764F" w:rsidRDefault="437D05AE" w:rsidP="5F48C630">
      <w:pPr>
        <w:rPr>
          <w:rFonts w:eastAsia="Arial" w:cs="Arial"/>
          <w:color w:val="000000" w:themeColor="text1"/>
        </w:rPr>
      </w:pPr>
      <w:r w:rsidRPr="6C8B62F6">
        <w:rPr>
          <w:rFonts w:eastAsia="Arial" w:cs="Arial"/>
          <w:color w:val="000000" w:themeColor="text1"/>
        </w:rPr>
        <w:t>In January 2025, the CDE provided an overview of the 2025 Accountability Workplan which included an incorporation of the Student-Level Growth Model for Grades 4 through 8 in English Language Arts and Mathematics into the Dashboard. The CDE sought direction about the potential incorporation of the results into the California School Dashboard. (</w:t>
      </w:r>
      <w:hyperlink r:id="rId70" w:tooltip="Overview of the 2025 Accountability Workplan">
        <w:r w:rsidRPr="6C8B62F6">
          <w:rPr>
            <w:rStyle w:val="Hyperlink"/>
            <w:rFonts w:eastAsia="Arial" w:cs="Arial"/>
          </w:rPr>
          <w:t>https://www.cde.ca.gov/be/ag/ag/yr25/documents/jan25item03.docx</w:t>
        </w:r>
      </w:hyperlink>
      <w:r w:rsidRPr="6C8B62F6">
        <w:rPr>
          <w:rFonts w:eastAsia="Arial" w:cs="Arial"/>
          <w:color w:val="000000" w:themeColor="text1"/>
        </w:rPr>
        <w:t>)</w:t>
      </w:r>
    </w:p>
    <w:p w14:paraId="5ACC1A1F" w14:textId="658B08E4" w:rsidR="543CCEC6" w:rsidRPr="00D8764F" w:rsidRDefault="543CCEC6" w:rsidP="5F48C630">
      <w:pPr>
        <w:rPr>
          <w:rFonts w:eastAsia="Arial" w:cs="Arial"/>
          <w:color w:val="000000" w:themeColor="text1"/>
        </w:rPr>
      </w:pPr>
      <w:r w:rsidRPr="2D3341D8">
        <w:rPr>
          <w:rFonts w:eastAsia="Arial" w:cs="Arial"/>
          <w:color w:val="000000" w:themeColor="text1"/>
        </w:rPr>
        <w:t>In March 2025, both CDE and Educational Testing Service (ETS) presented the growth data from schools, districts and student groups available on the California School Dashboard (Dashboard). Katherine Castellano, Principal Research Scientist at the ETS Research Institute, reviewed the steps to date in adopting a student growth model in California.</w:t>
      </w:r>
      <w:r w:rsidR="144B9E3C" w:rsidRPr="2D3341D8">
        <w:rPr>
          <w:rFonts w:eastAsia="Arial" w:cs="Arial"/>
          <w:color w:val="000000" w:themeColor="text1"/>
        </w:rPr>
        <w:t xml:space="preserve"> </w:t>
      </w:r>
      <w:r w:rsidR="144B9E3C" w:rsidRPr="6C8B62F6">
        <w:rPr>
          <w:rFonts w:eastAsia="Arial" w:cs="Arial"/>
          <w:color w:val="000000" w:themeColor="text1"/>
        </w:rPr>
        <w:t>(</w:t>
      </w:r>
      <w:hyperlink r:id="rId71" w:tooltip="CDE and Educational Testing Service presented the growth data from schools, districts and student groups available on the California School Dashboard">
        <w:r w:rsidR="144B9E3C" w:rsidRPr="6C8B62F6">
          <w:rPr>
            <w:rStyle w:val="Hyperlink"/>
            <w:rFonts w:eastAsia="Arial" w:cs="Arial"/>
          </w:rPr>
          <w:t>https://www.cde.ca.gov/be/ag/ag/yr25/documents/mar25item02rev.docx</w:t>
        </w:r>
      </w:hyperlink>
      <w:r w:rsidR="144B9E3C" w:rsidRPr="6C8B62F6">
        <w:rPr>
          <w:rFonts w:eastAsia="Arial" w:cs="Arial"/>
          <w:color w:val="000000" w:themeColor="text1"/>
        </w:rPr>
        <w:t>)</w:t>
      </w:r>
    </w:p>
    <w:p w14:paraId="2D2E044A" w14:textId="7A776370" w:rsidR="2109057A" w:rsidRPr="00D8764F" w:rsidRDefault="2109057A" w:rsidP="2D3341D8">
      <w:pPr>
        <w:rPr>
          <w:rFonts w:eastAsia="Arial" w:cs="Arial"/>
          <w:color w:val="000000" w:themeColor="text1"/>
        </w:rPr>
      </w:pPr>
      <w:r w:rsidRPr="0089273A">
        <w:rPr>
          <w:rFonts w:eastAsia="Arial" w:cs="Arial"/>
          <w:color w:val="000000" w:themeColor="text1"/>
        </w:rPr>
        <w:t>In April 2025, the CDE provided a</w:t>
      </w:r>
      <w:r w:rsidR="43DDF0D1" w:rsidRPr="0089273A">
        <w:rPr>
          <w:rFonts w:eastAsia="Arial" w:cs="Arial"/>
          <w:color w:val="000000" w:themeColor="text1"/>
        </w:rPr>
        <w:t xml:space="preserve">n information </w:t>
      </w:r>
      <w:r w:rsidRPr="0089273A">
        <w:rPr>
          <w:rFonts w:eastAsia="Arial" w:cs="Arial"/>
          <w:color w:val="000000" w:themeColor="text1"/>
        </w:rPr>
        <w:t>memorandum to the SBE with a summary of students Growth data results from the 2024 Dashboard</w:t>
      </w:r>
      <w:r w:rsidR="004A07E8" w:rsidRPr="0089273A">
        <w:rPr>
          <w:rFonts w:eastAsia="Arial" w:cs="Arial"/>
          <w:color w:val="000000" w:themeColor="text1"/>
        </w:rPr>
        <w:t xml:space="preserve"> (</w:t>
      </w:r>
      <w:hyperlink r:id="rId72" w:tooltip="Summary of students Growth data results from the 2024 Dashboard">
        <w:r w:rsidR="42515262" w:rsidRPr="0089273A">
          <w:rPr>
            <w:rStyle w:val="Hyperlink"/>
            <w:rFonts w:eastAsia="Arial" w:cs="Arial"/>
          </w:rPr>
          <w:t>https://www.cde.ca.gov/be/pn/im/documents/apr25memoamard01.docx</w:t>
        </w:r>
      </w:hyperlink>
      <w:r w:rsidR="004A07E8" w:rsidRPr="0089273A">
        <w:rPr>
          <w:rFonts w:eastAsia="Arial" w:cs="Arial"/>
          <w:color w:val="000000" w:themeColor="text1"/>
        </w:rPr>
        <w:t>).</w:t>
      </w:r>
    </w:p>
    <w:p w14:paraId="5AE9A5CA" w14:textId="77777777" w:rsidR="00B71C9F" w:rsidRPr="00D950C6" w:rsidRDefault="00B71C9F" w:rsidP="00B71C9F">
      <w:pPr>
        <w:pStyle w:val="Heading3"/>
        <w:rPr>
          <w:rFonts w:cs="Arial"/>
        </w:rPr>
      </w:pPr>
      <w:r w:rsidRPr="00D950C6">
        <w:rPr>
          <w:rFonts w:cs="Arial"/>
        </w:rPr>
        <w:t>Long-Term English Learners</w:t>
      </w:r>
    </w:p>
    <w:p w14:paraId="508A2C3F" w14:textId="709D433A" w:rsidR="00B71C9F" w:rsidRPr="00D950C6" w:rsidRDefault="00B71C9F" w:rsidP="00B71C9F">
      <w:pPr>
        <w:rPr>
          <w:rFonts w:eastAsia="Arial" w:cs="Arial"/>
        </w:rPr>
      </w:pPr>
      <w:r w:rsidRPr="00D950C6">
        <w:rPr>
          <w:rFonts w:eastAsia="Arial" w:cs="Arial"/>
        </w:rPr>
        <w:t>In May 2016, the SBE approved a proposed design of the Local Control Funding Formula (LCFF) Evaluation Rubrics to include a state level indicator which measures English learner (EL) progress. The SBE directed the CDE staff to provide options for incorporating a composite measure of EL proficiency, including EL proficiency rates, reclassification rates, and LTEL rates into the LCFF Evaluation Rubrics (</w:t>
      </w:r>
      <w:hyperlink r:id="rId73" w:tooltip="May 2016 Item 02">
        <w:r w:rsidRPr="00D950C6">
          <w:rPr>
            <w:rStyle w:val="Hyperlink"/>
            <w:rFonts w:eastAsia="Arial" w:cs="Arial"/>
          </w:rPr>
          <w:t>https://www.cde.ca.gov/be/ag/ag/yr16/documents/may16item02.doc</w:t>
        </w:r>
      </w:hyperlink>
      <w:r w:rsidRPr="00D950C6">
        <w:rPr>
          <w:rFonts w:eastAsia="Arial" w:cs="Arial"/>
        </w:rPr>
        <w:t xml:space="preserve">). </w:t>
      </w:r>
    </w:p>
    <w:p w14:paraId="5FD03C02" w14:textId="77777777" w:rsidR="00B71C9F" w:rsidRPr="00D950C6" w:rsidRDefault="00B71C9F" w:rsidP="00B71C9F">
      <w:pPr>
        <w:rPr>
          <w:rFonts w:eastAsia="Arial" w:cs="Arial"/>
        </w:rPr>
      </w:pPr>
      <w:r w:rsidRPr="00D950C6">
        <w:rPr>
          <w:rFonts w:eastAsia="Arial" w:cs="Arial"/>
        </w:rPr>
        <w:lastRenderedPageBreak/>
        <w:t>In June 2016, the SBE received an Information Memorandum showcasing options for a composite measure, including LTELs, for the English Learner Progress Indicator (ELPI) (</w:t>
      </w:r>
      <w:hyperlink r:id="rId74" w:tooltip="including LTELs, for the English Learner Progress Indicator (ELPI)">
        <w:r w:rsidRPr="00D950C6">
          <w:rPr>
            <w:rFonts w:eastAsia="Arial" w:cs="Arial"/>
            <w:color w:val="0000FF"/>
            <w:u w:val="single"/>
          </w:rPr>
          <w:t>https://www.cde.ca.gov/be/pn/im/documents/memo-sbe-jun16item01.doc</w:t>
        </w:r>
      </w:hyperlink>
      <w:r w:rsidRPr="00D950C6">
        <w:rPr>
          <w:rFonts w:eastAsia="Arial" w:cs="Arial"/>
        </w:rPr>
        <w:t>).</w:t>
      </w:r>
    </w:p>
    <w:p w14:paraId="529B11BC" w14:textId="77777777" w:rsidR="00B71C9F" w:rsidRPr="00D950C6" w:rsidRDefault="00B71C9F" w:rsidP="00B71C9F">
      <w:pPr>
        <w:rPr>
          <w:rFonts w:eastAsia="Arial" w:cs="Arial"/>
        </w:rPr>
      </w:pPr>
      <w:r w:rsidRPr="00D950C6">
        <w:rPr>
          <w:rFonts w:eastAsia="Arial" w:cs="Arial"/>
        </w:rPr>
        <w:t>In July 2016, the SBE approved the CDE to convene a Workgroup of practitioners and technical experts, in partnership with the California Comprehensive Center (CA CC) at WestEd, to explore the possible inclusion of LTEL data into the ELPI. Additionally, the CDE presented options for incorporating EL proficiency rates and reclassification rates for the ELPI to the SBE (</w:t>
      </w:r>
      <w:hyperlink r:id="rId75" w:tooltip="EL proficiency rates and reclassification rates for the ELPI to the SBE">
        <w:r w:rsidRPr="00D950C6">
          <w:rPr>
            <w:rStyle w:val="Hyperlink"/>
            <w:rFonts w:eastAsia="Arial" w:cs="Arial"/>
          </w:rPr>
          <w:t>http://www.cde.ca.gov/be/ag/ag/yr16/documents/jul16item02.doc</w:t>
        </w:r>
      </w:hyperlink>
      <w:r w:rsidRPr="00D950C6">
        <w:rPr>
          <w:rFonts w:eastAsia="Arial" w:cs="Arial"/>
        </w:rPr>
        <w:t>).</w:t>
      </w:r>
    </w:p>
    <w:p w14:paraId="2204408D" w14:textId="77777777" w:rsidR="00B71C9F" w:rsidRPr="00D950C6" w:rsidRDefault="00B71C9F" w:rsidP="00B71C9F">
      <w:pPr>
        <w:rPr>
          <w:rFonts w:eastAsia="Arial" w:cs="Arial"/>
        </w:rPr>
      </w:pPr>
      <w:r w:rsidRPr="00D950C6">
        <w:rPr>
          <w:rFonts w:eastAsia="Arial" w:cs="Arial"/>
        </w:rPr>
        <w:t>In October 2016, the SBE received an Information Memorandum with an overview of the ELPI Workgroup’s role and responsibilities (</w:t>
      </w:r>
      <w:hyperlink r:id="rId76" w:tooltip="October 2016 Item 02">
        <w:r w:rsidRPr="00D950C6">
          <w:rPr>
            <w:rStyle w:val="Hyperlink"/>
            <w:rFonts w:eastAsia="Arial" w:cs="Arial"/>
          </w:rPr>
          <w:t>https://www.cde.ca.gov/be/pn/im/documents/memo-dsib-amard-oct16item02.doc</w:t>
        </w:r>
      </w:hyperlink>
      <w:r w:rsidRPr="00D950C6">
        <w:rPr>
          <w:rFonts w:eastAsia="Arial" w:cs="Arial"/>
        </w:rPr>
        <w:t>).</w:t>
      </w:r>
    </w:p>
    <w:p w14:paraId="182D203D" w14:textId="77777777" w:rsidR="00B71C9F" w:rsidRPr="00D950C6" w:rsidRDefault="00B71C9F" w:rsidP="00B71C9F">
      <w:pPr>
        <w:rPr>
          <w:rFonts w:eastAsia="Arial" w:cs="Arial"/>
        </w:rPr>
      </w:pPr>
      <w:r w:rsidRPr="00D950C6">
        <w:rPr>
          <w:rFonts w:eastAsia="Arial" w:cs="Arial"/>
        </w:rPr>
        <w:t xml:space="preserve">In November 2016, January 2017, and March 2017, SBE received updates on the ELPI Workgroup and the Technical Design Group (TDG) activities regarding the incorporation of LTELs into the ELPI </w:t>
      </w:r>
      <w:r w:rsidRPr="00D950C6">
        <w:rPr>
          <w:rStyle w:val="Hyperlink"/>
          <w:rFonts w:eastAsia="Arial" w:cs="Arial"/>
          <w:color w:val="auto"/>
          <w:u w:val="none"/>
        </w:rPr>
        <w:t>(</w:t>
      </w:r>
      <w:hyperlink r:id="rId77" w:tooltip="November 2016 Item 03">
        <w:r w:rsidRPr="00D950C6">
          <w:rPr>
            <w:rStyle w:val="Hyperlink"/>
            <w:rFonts w:eastAsia="Arial" w:cs="Arial"/>
          </w:rPr>
          <w:t>https://www.cde.ca.gov/be/ag/ag/yr16/documents/nov16item03.doc</w:t>
        </w:r>
      </w:hyperlink>
      <w:r w:rsidRPr="00D950C6">
        <w:rPr>
          <w:rFonts w:eastAsia="Arial" w:cs="Arial"/>
        </w:rPr>
        <w:t>)</w:t>
      </w:r>
      <w:r w:rsidRPr="00D950C6">
        <w:rPr>
          <w:rStyle w:val="Hyperlink"/>
          <w:rFonts w:eastAsia="Arial" w:cs="Arial"/>
          <w:color w:val="auto"/>
          <w:u w:val="none"/>
        </w:rPr>
        <w:t xml:space="preserve"> </w:t>
      </w:r>
      <w:r w:rsidRPr="00D950C6">
        <w:rPr>
          <w:rFonts w:eastAsia="Arial" w:cs="Arial"/>
        </w:rPr>
        <w:t>(</w:t>
      </w:r>
      <w:hyperlink r:id="rId78" w:tooltip="January 2017 Item 02">
        <w:r w:rsidRPr="00D950C6">
          <w:rPr>
            <w:rStyle w:val="Hyperlink"/>
            <w:rFonts w:eastAsia="Arial" w:cs="Arial"/>
          </w:rPr>
          <w:t>https://www.cde.ca.gov/be/ag/ag/yr17/documents/jan17item02.doc</w:t>
        </w:r>
      </w:hyperlink>
      <w:r w:rsidRPr="00D950C6">
        <w:rPr>
          <w:rFonts w:eastAsia="Arial" w:cs="Arial"/>
        </w:rPr>
        <w:t>) (</w:t>
      </w:r>
      <w:hyperlink r:id="rId79" w:tooltip="March 2017 Item 02">
        <w:r w:rsidRPr="00D950C6">
          <w:rPr>
            <w:rStyle w:val="Hyperlink"/>
            <w:rFonts w:eastAsia="Arial" w:cs="Arial"/>
          </w:rPr>
          <w:t>https://www.cde.ca.gov/be/ag/ag/yr17/documents/mar17item02.doc</w:t>
        </w:r>
      </w:hyperlink>
      <w:r w:rsidRPr="00D950C6">
        <w:rPr>
          <w:rFonts w:eastAsia="Arial" w:cs="Arial"/>
        </w:rPr>
        <w:t>)</w:t>
      </w:r>
    </w:p>
    <w:p w14:paraId="163A94C9" w14:textId="77777777" w:rsidR="00B71C9F" w:rsidRPr="00D950C6" w:rsidRDefault="00B71C9F" w:rsidP="00B71C9F">
      <w:pPr>
        <w:rPr>
          <w:rFonts w:eastAsia="Arial" w:cs="Arial"/>
        </w:rPr>
      </w:pPr>
      <w:r w:rsidRPr="00D950C6">
        <w:rPr>
          <w:rStyle w:val="eop"/>
          <w:rFonts w:eastAsia="Arial" w:cs="Arial"/>
        </w:rPr>
        <w:t xml:space="preserve">In September 2017, the SBE adopted the Inclusion of LTEL students in the ELPI through a </w:t>
      </w:r>
      <w:r w:rsidRPr="00D950C6">
        <w:rPr>
          <w:rFonts w:eastAsia="Arial" w:cs="Arial"/>
          <w:color w:val="000000" w:themeColor="text1"/>
        </w:rPr>
        <w:t>revised ELPI formula to include LTEL’s in its numerator (</w:t>
      </w:r>
      <w:hyperlink r:id="rId80" w:tooltip="September 2017 Item 02">
        <w:r w:rsidRPr="00D950C6">
          <w:rPr>
            <w:rStyle w:val="Hyperlink"/>
            <w:rFonts w:eastAsia="Arial" w:cs="Arial"/>
          </w:rPr>
          <w:t>https://www.cde.ca.gov/be/ag/ag/yr17/documents/sep17item02.doc</w:t>
        </w:r>
      </w:hyperlink>
      <w:r w:rsidRPr="00D950C6">
        <w:rPr>
          <w:rFonts w:eastAsia="Arial" w:cs="Arial"/>
        </w:rPr>
        <w:t>).</w:t>
      </w:r>
    </w:p>
    <w:p w14:paraId="606AA794" w14:textId="77777777" w:rsidR="00B71C9F" w:rsidRPr="00D950C6" w:rsidRDefault="00B71C9F" w:rsidP="00B71C9F">
      <w:pPr>
        <w:rPr>
          <w:rFonts w:eastAsia="Arial" w:cs="Arial"/>
          <w:u w:val="single"/>
        </w:rPr>
      </w:pPr>
      <w:r w:rsidRPr="00D950C6">
        <w:rPr>
          <w:rFonts w:eastAsia="Arial" w:cs="Arial"/>
        </w:rPr>
        <w:t xml:space="preserve">In April 2017, the SBE received an Information Memorandum discussing ELPI and a way to increase incentive for LTEL performance improvement by adding extra credit to the performance of LTEL students in the CELDT </w:t>
      </w:r>
      <w:r w:rsidRPr="00D950C6">
        <w:rPr>
          <w:rFonts w:eastAsia="Arial" w:cs="Arial"/>
          <w:u w:val="single"/>
        </w:rPr>
        <w:t>(</w:t>
      </w:r>
      <w:hyperlink r:id="rId81" w:tooltip="April 2017 Item 01">
        <w:r w:rsidRPr="00D950C6">
          <w:rPr>
            <w:rStyle w:val="Hyperlink"/>
            <w:rFonts w:eastAsia="Arial" w:cs="Arial"/>
          </w:rPr>
          <w:t>https://www.cde.ca.gov/be/pn/im/documents/memo-dsib-amard-apr17item01.doc</w:t>
        </w:r>
      </w:hyperlink>
      <w:r w:rsidRPr="00D950C6">
        <w:rPr>
          <w:rFonts w:eastAsia="Arial" w:cs="Arial"/>
          <w:u w:val="single"/>
        </w:rPr>
        <w:t>).</w:t>
      </w:r>
    </w:p>
    <w:p w14:paraId="76ABBA52" w14:textId="77777777" w:rsidR="00B71C9F" w:rsidRPr="00D950C6" w:rsidRDefault="00B71C9F" w:rsidP="00B71C9F">
      <w:pPr>
        <w:rPr>
          <w:rFonts w:eastAsia="Arial" w:cs="Arial"/>
        </w:rPr>
      </w:pPr>
      <w:r w:rsidRPr="00D950C6">
        <w:rPr>
          <w:rFonts w:eastAsia="Arial" w:cs="Arial"/>
        </w:rPr>
        <w:t xml:space="preserve">In April 2018, the SBE directed the CDE to request an ESSA waiver from the </w:t>
      </w:r>
      <w:r w:rsidRPr="00D950C6">
        <w:rPr>
          <w:rFonts w:eastAsiaTheme="minorEastAsia" w:cs="Arial"/>
          <w:color w:val="000000" w:themeColor="text1"/>
        </w:rPr>
        <w:t>U.S. Department of Education (ED)</w:t>
      </w:r>
      <w:r w:rsidRPr="00D950C6">
        <w:rPr>
          <w:rFonts w:eastAsia="Arial" w:cs="Arial"/>
        </w:rPr>
        <w:t xml:space="preserve"> regarding the inclusion of RFEPs and LTELs in the ELPI (</w:t>
      </w:r>
      <w:hyperlink r:id="rId82" w:tooltip="April 2018 Item 01">
        <w:r w:rsidRPr="00D950C6">
          <w:rPr>
            <w:rStyle w:val="Hyperlink"/>
            <w:rFonts w:eastAsia="Arial" w:cs="Arial"/>
          </w:rPr>
          <w:t>https://www.cde.ca.gov/be/ag/ag/yr18/documents/apr18item01.docx</w:t>
        </w:r>
      </w:hyperlink>
      <w:r w:rsidRPr="00D950C6">
        <w:rPr>
          <w:rFonts w:eastAsia="Arial" w:cs="Arial"/>
        </w:rPr>
        <w:t>).</w:t>
      </w:r>
    </w:p>
    <w:p w14:paraId="3517C8A9" w14:textId="77777777" w:rsidR="00B71C9F" w:rsidRPr="00D950C6" w:rsidRDefault="00B71C9F" w:rsidP="00B71C9F">
      <w:pPr>
        <w:rPr>
          <w:rFonts w:eastAsia="Arial" w:cs="Arial"/>
        </w:rPr>
      </w:pPr>
      <w:r w:rsidRPr="00D950C6">
        <w:rPr>
          <w:rFonts w:eastAsia="Arial" w:cs="Arial"/>
        </w:rPr>
        <w:t xml:space="preserve">In April 2019, the SBE received an Information Memorandum about a final determination of a disapproval letter from the </w:t>
      </w:r>
      <w:r w:rsidRPr="00D950C6">
        <w:rPr>
          <w:rFonts w:eastAsiaTheme="minorEastAsia" w:cs="Arial"/>
          <w:color w:val="000000" w:themeColor="text1"/>
        </w:rPr>
        <w:t>ED</w:t>
      </w:r>
      <w:r w:rsidRPr="00D950C6">
        <w:rPr>
          <w:rFonts w:eastAsia="Arial" w:cs="Arial"/>
        </w:rPr>
        <w:t xml:space="preserve"> related to California’s request for a waiver to allow an additional weight in the ELPI calculation for LTELs who advanced at least one level on California’s English Proficiency assessment (</w:t>
      </w:r>
      <w:hyperlink r:id="rId83" w:tooltip="April 2019 Item 02">
        <w:r w:rsidRPr="00D950C6">
          <w:rPr>
            <w:rStyle w:val="Hyperlink"/>
            <w:rFonts w:eastAsia="Arial" w:cs="Arial"/>
          </w:rPr>
          <w:t>https://www.cde.ca.gov/be/pn/im/documents/memo-gad-lao-apr19item02.docx</w:t>
        </w:r>
      </w:hyperlink>
      <w:r w:rsidRPr="00D950C6">
        <w:rPr>
          <w:rFonts w:eastAsia="Arial" w:cs="Arial"/>
        </w:rPr>
        <w:t>).</w:t>
      </w:r>
    </w:p>
    <w:p w14:paraId="6C79D262" w14:textId="4C2E40F4" w:rsidR="00B71C9F" w:rsidRPr="00D950C6" w:rsidRDefault="00B71C9F" w:rsidP="00ED781C">
      <w:pPr>
        <w:spacing w:after="0"/>
        <w:rPr>
          <w:rFonts w:eastAsia="Arial" w:cs="Arial"/>
        </w:rPr>
      </w:pPr>
      <w:r w:rsidRPr="00D950C6">
        <w:rPr>
          <w:rFonts w:eastAsiaTheme="minorEastAsia" w:cs="Arial"/>
          <w:color w:val="000000" w:themeColor="text1"/>
        </w:rPr>
        <w:t>In July 2019, the CDE determined that a</w:t>
      </w:r>
      <w:r w:rsidRPr="00D950C6">
        <w:rPr>
          <w:rFonts w:eastAsia="Arial" w:cs="Arial"/>
        </w:rPr>
        <w:t>fter convening with the ELPI Workgroup on May 20, 2019, members agreed that the CDE had exhausted all available options in an attempt to include RFEP and LTEL students into the final ELPI</w:t>
      </w:r>
    </w:p>
    <w:p w14:paraId="1888F563" w14:textId="77777777" w:rsidR="00B71C9F" w:rsidRPr="00D950C6" w:rsidRDefault="00B71C9F" w:rsidP="00ED781C">
      <w:pPr>
        <w:spacing w:before="0"/>
        <w:rPr>
          <w:rFonts w:eastAsia="Arial" w:cs="Arial"/>
          <w:color w:val="000000" w:themeColor="text1"/>
        </w:rPr>
      </w:pPr>
      <w:r w:rsidRPr="00D950C6">
        <w:rPr>
          <w:rFonts w:eastAsia="Arial" w:cs="Arial"/>
        </w:rPr>
        <w:t>(</w:t>
      </w:r>
      <w:hyperlink r:id="rId84" w:tooltip="July 2019 Item 01">
        <w:r w:rsidRPr="00D950C6">
          <w:rPr>
            <w:rStyle w:val="Hyperlink"/>
            <w:rFonts w:eastAsia="Arial" w:cs="Arial"/>
          </w:rPr>
          <w:t>https://www.cde.ca.gov/be/ag/ag/yr19/documents/jul19item01.docx</w:t>
        </w:r>
      </w:hyperlink>
      <w:r w:rsidRPr="00D950C6">
        <w:rPr>
          <w:rFonts w:eastAsia="Arial" w:cs="Arial"/>
        </w:rPr>
        <w:t>).</w:t>
      </w:r>
    </w:p>
    <w:p w14:paraId="593A8D23" w14:textId="77777777" w:rsidR="00B71C9F" w:rsidRPr="00D950C6" w:rsidRDefault="00B71C9F" w:rsidP="00B71C9F">
      <w:pPr>
        <w:rPr>
          <w:rFonts w:eastAsia="Arial" w:cs="Arial"/>
          <w:color w:val="000000" w:themeColor="text1"/>
        </w:rPr>
      </w:pPr>
      <w:r w:rsidRPr="00D950C6">
        <w:rPr>
          <w:rFonts w:eastAsiaTheme="minorEastAsia" w:cs="Arial"/>
          <w:color w:val="000000" w:themeColor="text1"/>
        </w:rPr>
        <w:lastRenderedPageBreak/>
        <w:t>In September 2023, the SBE approved the 2023 workplan for the ELPI. The CDE discusses the waiver rejection by the U.S. Department of Education (ED) in which LTEL bonus criteria could not be included in the ELPI in subsequent years (</w:t>
      </w:r>
      <w:hyperlink r:id="rId85" w:tooltip="September 2023 Item 02">
        <w:r w:rsidRPr="00D950C6">
          <w:rPr>
            <w:rStyle w:val="Hyperlink"/>
            <w:rFonts w:eastAsiaTheme="minorEastAsia" w:cs="Arial"/>
          </w:rPr>
          <w:t>https://www.cde.ca.gov/be/ag/ag/yr23/documents/sep23item02.docx</w:t>
        </w:r>
      </w:hyperlink>
      <w:r w:rsidRPr="00D950C6">
        <w:rPr>
          <w:rFonts w:eastAsia="Arial" w:cs="Arial"/>
          <w:color w:val="000000" w:themeColor="text1"/>
        </w:rPr>
        <w:t>).</w:t>
      </w:r>
    </w:p>
    <w:p w14:paraId="36455E11" w14:textId="77777777" w:rsidR="00B71C9F" w:rsidRDefault="00B71C9F" w:rsidP="00B71C9F">
      <w:pPr>
        <w:rPr>
          <w:rFonts w:eastAsia="Arial" w:cs="Arial"/>
        </w:rPr>
      </w:pPr>
      <w:r w:rsidRPr="00D950C6">
        <w:rPr>
          <w:rFonts w:eastAsia="Arial" w:cs="Arial"/>
          <w:color w:val="000000" w:themeColor="text1"/>
        </w:rPr>
        <w:t>In December 2023, the SBE received an Information Memorandum containing an introduction about LTELs, as a student population that will be a part of the 2024 Dashboard, along with policy considerations (</w:t>
      </w:r>
      <w:hyperlink r:id="rId86" w:tooltip="December 2023 Information Memoranda">
        <w:r w:rsidRPr="00D950C6">
          <w:rPr>
            <w:rStyle w:val="Hyperlink"/>
            <w:rFonts w:eastAsia="Arial" w:cs="Arial"/>
          </w:rPr>
          <w:t>https://www.cde.ca.gov/be/pn/im/documents/dec23memoamard01.docx</w:t>
        </w:r>
      </w:hyperlink>
      <w:r w:rsidRPr="00D950C6">
        <w:rPr>
          <w:rFonts w:eastAsia="Arial" w:cs="Arial"/>
        </w:rPr>
        <w:t>).</w:t>
      </w:r>
    </w:p>
    <w:p w14:paraId="71A1C769" w14:textId="77777777" w:rsidR="0071251C" w:rsidRPr="00D950C6" w:rsidRDefault="0071251C" w:rsidP="0071251C">
      <w:pPr>
        <w:pStyle w:val="Heading3"/>
        <w:spacing w:before="0"/>
        <w:rPr>
          <w:rFonts w:cs="Arial"/>
        </w:rPr>
      </w:pPr>
      <w:r w:rsidRPr="00D950C6">
        <w:rPr>
          <w:rFonts w:cs="Arial"/>
        </w:rPr>
        <w:t>Eligibility Criteria for Differentiated Assistance</w:t>
      </w:r>
    </w:p>
    <w:p w14:paraId="666BE8A0" w14:textId="77777777" w:rsidR="0071251C" w:rsidRPr="00D950C6" w:rsidRDefault="0071251C" w:rsidP="0071251C">
      <w:pPr>
        <w:rPr>
          <w:rFonts w:eastAsia="Calibri" w:cs="Arial"/>
          <w:szCs w:val="22"/>
        </w:rPr>
      </w:pPr>
      <w:r w:rsidRPr="00D950C6">
        <w:rPr>
          <w:rFonts w:eastAsia="Calibri" w:cs="Arial"/>
          <w:szCs w:val="22"/>
        </w:rPr>
        <w:t>In August 2016, an information memorandum provided a proposal for how the proposed performance levels on state indicators and local performance indicators will assist in identifying LEAs eligible for differentiated assistance and intensive intervention. (</w:t>
      </w:r>
      <w:hyperlink r:id="rId87" w:tooltip="California State Board August 2016 Item" w:history="1">
        <w:r w:rsidRPr="00D950C6">
          <w:rPr>
            <w:rFonts w:eastAsia="Calibri" w:cs="Arial"/>
            <w:color w:val="0000FF"/>
            <w:szCs w:val="22"/>
            <w:u w:val="single"/>
          </w:rPr>
          <w:t>http://www.cde.ca.gov/be/pn/im/documents/memo-sbe-aug16item02.doc</w:t>
        </w:r>
      </w:hyperlink>
      <w:r w:rsidRPr="00D950C6">
        <w:rPr>
          <w:rFonts w:eastAsia="Calibri" w:cs="Arial"/>
          <w:szCs w:val="22"/>
        </w:rPr>
        <w:t>).</w:t>
      </w:r>
    </w:p>
    <w:p w14:paraId="54C8281A" w14:textId="77777777" w:rsidR="0071251C" w:rsidRPr="00D950C6" w:rsidRDefault="0071251C" w:rsidP="0071251C">
      <w:pPr>
        <w:rPr>
          <w:rFonts w:eastAsia="Calibri" w:cs="Arial"/>
          <w:szCs w:val="22"/>
        </w:rPr>
      </w:pPr>
      <w:r w:rsidRPr="00D950C6">
        <w:rPr>
          <w:rFonts w:eastAsia="Calibri" w:cs="Arial"/>
          <w:szCs w:val="22"/>
        </w:rPr>
        <w:t xml:space="preserve">In September 2016, the SBE adopts the Local Control Funding Formula Evaluation Rubrics and Update on Local Control and Accountability Plan and Annual Update Template Revisions and Progress on the Every Student Succeeds Act State Plan. </w:t>
      </w:r>
      <w:r w:rsidRPr="00D950C6">
        <w:rPr>
          <w:rFonts w:eastAsia="Calibri" w:cs="Arial"/>
          <w:color w:val="0000FF"/>
          <w:szCs w:val="22"/>
          <w:u w:val="single"/>
        </w:rPr>
        <w:t>(</w:t>
      </w:r>
      <w:hyperlink r:id="rId88" w:tooltip="California State Board September 2016 Item" w:history="1">
        <w:r w:rsidRPr="00D950C6">
          <w:rPr>
            <w:rFonts w:eastAsia="Calibri" w:cs="Arial"/>
            <w:color w:val="0000FF"/>
            <w:szCs w:val="22"/>
            <w:u w:val="single"/>
          </w:rPr>
          <w:t>https://www.cde.ca.gov/be/ag/ag/yr16/documents/sep16item01.doc</w:t>
        </w:r>
      </w:hyperlink>
      <w:r w:rsidRPr="00D950C6">
        <w:rPr>
          <w:rFonts w:eastAsia="Calibri" w:cs="Arial"/>
          <w:color w:val="0000FF"/>
          <w:szCs w:val="22"/>
          <w:u w:val="single"/>
        </w:rPr>
        <w:t>)</w:t>
      </w:r>
    </w:p>
    <w:p w14:paraId="1DB74F74" w14:textId="77777777" w:rsidR="0071251C" w:rsidRPr="00D950C6" w:rsidRDefault="0071251C" w:rsidP="0071251C">
      <w:pPr>
        <w:rPr>
          <w:rFonts w:eastAsia="Arial" w:cs="Arial"/>
          <w:szCs w:val="22"/>
        </w:rPr>
      </w:pPr>
      <w:r w:rsidRPr="00D950C6">
        <w:rPr>
          <w:rFonts w:eastAsia="Calibri" w:cs="Arial"/>
          <w:szCs w:val="22"/>
        </w:rPr>
        <w:t xml:space="preserve">In November 2016, the SBE further clarified the applicability of the criteria to charter schools. </w:t>
      </w:r>
      <w:r w:rsidRPr="00D950C6">
        <w:rPr>
          <w:rFonts w:eastAsia="Calibri" w:cs="Arial"/>
          <w:szCs w:val="22"/>
          <w:u w:val="single"/>
        </w:rPr>
        <w:t>(</w:t>
      </w:r>
      <w:hyperlink r:id="rId89" w:tooltip="California State Board November 2016 Item" w:history="1">
        <w:r w:rsidRPr="00D950C6">
          <w:rPr>
            <w:rFonts w:eastAsia="Calibri" w:cs="Arial"/>
            <w:color w:val="0000FF"/>
            <w:szCs w:val="22"/>
            <w:u w:val="single"/>
          </w:rPr>
          <w:t>https://www.cde.ca.gov/be/ag/ag/yr16/documents/nov16item03.doc)</w:t>
        </w:r>
      </w:hyperlink>
    </w:p>
    <w:p w14:paraId="1C6FDF19" w14:textId="77777777" w:rsidR="0071251C" w:rsidRPr="00D950C6" w:rsidRDefault="0071251C" w:rsidP="0071251C">
      <w:pPr>
        <w:rPr>
          <w:rFonts w:eastAsia="Arial" w:cs="Arial"/>
        </w:rPr>
      </w:pPr>
      <w:r w:rsidRPr="00D950C6">
        <w:rPr>
          <w:rFonts w:eastAsia="Arial" w:cs="Arial"/>
        </w:rPr>
        <w:t>In December 2017, the California Department of Education identified, in an Information Memorandum for the SBE, 228 LEAs that were eligible for differentiated assistance based on the Fall 2017 California School Dashboard (Dashboard) release. (</w:t>
      </w:r>
      <w:hyperlink r:id="rId90" w:tooltip="California State Board December 2017 Item" w:history="1">
        <w:r w:rsidRPr="00D950C6">
          <w:rPr>
            <w:rFonts w:eastAsia="Calibri" w:cs="Arial"/>
            <w:color w:val="0000FF"/>
            <w:szCs w:val="22"/>
            <w:u w:val="single"/>
          </w:rPr>
          <w:t>https://www.cde.ca.gov/be/pn/im/documents/memo-pptb-amard-dec17item02rev.docx</w:t>
        </w:r>
      </w:hyperlink>
      <w:r w:rsidRPr="00D950C6">
        <w:rPr>
          <w:rFonts w:eastAsia="Arial" w:cs="Arial"/>
        </w:rPr>
        <w:t>)</w:t>
      </w:r>
    </w:p>
    <w:p w14:paraId="0ACE8047" w14:textId="77777777" w:rsidR="0071251C" w:rsidRPr="00D950C6" w:rsidRDefault="0071251C" w:rsidP="0071251C">
      <w:pPr>
        <w:rPr>
          <w:rFonts w:eastAsia="Arial" w:cs="Arial"/>
        </w:rPr>
      </w:pPr>
      <w:r w:rsidRPr="00D950C6">
        <w:rPr>
          <w:rFonts w:eastAsia="Arial" w:cs="Arial"/>
        </w:rPr>
        <w:t xml:space="preserve">In March 2018, the CDE provided an update on the Implementation of the Local, State and Federal Accountability and Continuous Improvement System: Local Control Funding Formula Identification of Local Educational Agencies for Differentiated Assistance. </w:t>
      </w:r>
      <w:r w:rsidRPr="00D950C6">
        <w:rPr>
          <w:rFonts w:eastAsia="Calibri" w:cs="Arial"/>
          <w:szCs w:val="22"/>
        </w:rPr>
        <w:t>(</w:t>
      </w:r>
      <w:hyperlink r:id="rId91" w:tooltip="California State Board March 2018 Item" w:history="1">
        <w:r w:rsidRPr="00D950C6">
          <w:rPr>
            <w:rFonts w:eastAsia="Calibri" w:cs="Arial"/>
            <w:color w:val="0000FF"/>
            <w:szCs w:val="22"/>
            <w:u w:val="single"/>
          </w:rPr>
          <w:t>https://www.cde.ca.gov/be/ag/ag/yr18/documents/mar18item01.docx</w:t>
        </w:r>
      </w:hyperlink>
      <w:r w:rsidRPr="00D950C6">
        <w:rPr>
          <w:rFonts w:eastAsia="Calibri" w:cs="Arial"/>
          <w:szCs w:val="22"/>
        </w:rPr>
        <w:t>)</w:t>
      </w:r>
    </w:p>
    <w:p w14:paraId="2F1BCE21" w14:textId="77777777" w:rsidR="0071251C" w:rsidRPr="00D950C6" w:rsidRDefault="0071251C" w:rsidP="0071251C">
      <w:pPr>
        <w:tabs>
          <w:tab w:val="left" w:pos="450"/>
        </w:tabs>
        <w:rPr>
          <w:rFonts w:cs="Arial"/>
        </w:rPr>
      </w:pPr>
      <w:r w:rsidRPr="00D950C6">
        <w:rPr>
          <w:rFonts w:eastAsia="Arial" w:cs="Arial"/>
        </w:rPr>
        <w:t xml:space="preserve">In November 2018, the SBE approved the use of the ELPI Status for 2019 Local Control Funding Formula differentiated assistance and Every Student Succeeds Act (ESSA) school assistance eligibility </w:t>
      </w:r>
      <w:bookmarkStart w:id="1" w:name="_Int_oSjAT05a"/>
      <w:r w:rsidRPr="00D950C6">
        <w:rPr>
          <w:rFonts w:eastAsia="Arial" w:cs="Arial"/>
        </w:rPr>
        <w:t>determinations.</w:t>
      </w:r>
      <w:bookmarkEnd w:id="1"/>
      <w:r w:rsidRPr="00D950C6">
        <w:rPr>
          <w:rFonts w:eastAsia="Arial" w:cs="Arial"/>
        </w:rPr>
        <w:t xml:space="preserve"> (</w:t>
      </w:r>
      <w:hyperlink r:id="rId92" w:tooltip="SBE November 2018 Item 04" w:history="1">
        <w:r w:rsidRPr="00D950C6">
          <w:rPr>
            <w:rStyle w:val="Hyperlink"/>
            <w:rFonts w:eastAsia="Arial" w:cs="Arial"/>
          </w:rPr>
          <w:t>https://www.cde.ca.gov/be/ag/ag/yr18/documents/nov18item04.docx</w:t>
        </w:r>
      </w:hyperlink>
      <w:r w:rsidRPr="00D950C6">
        <w:rPr>
          <w:rFonts w:eastAsia="Arial" w:cs="Arial"/>
        </w:rPr>
        <w:t>).</w:t>
      </w:r>
    </w:p>
    <w:p w14:paraId="58BF9384" w14:textId="77777777" w:rsidR="0071251C" w:rsidRPr="00D950C6" w:rsidRDefault="0071251C" w:rsidP="0071251C">
      <w:pPr>
        <w:rPr>
          <w:rFonts w:eastAsia="Arial" w:cs="Arial"/>
        </w:rPr>
      </w:pPr>
      <w:r w:rsidRPr="00D950C6">
        <w:rPr>
          <w:rFonts w:eastAsia="Arial" w:cs="Arial"/>
        </w:rPr>
        <w:t>In September 2019, the SBE approved the criteria for determining LEA eligibility for differentiated assistance at its September 2016 meeting. (</w:t>
      </w:r>
      <w:hyperlink r:id="rId93" w:tooltip="California State Board September 2019 Item" w:history="1">
        <w:r w:rsidRPr="00D950C6">
          <w:rPr>
            <w:rFonts w:eastAsia="Calibri" w:cs="Arial"/>
            <w:color w:val="0000FF"/>
            <w:szCs w:val="22"/>
            <w:u w:val="single"/>
          </w:rPr>
          <w:t>https://www.cde.ca.gov/be/ag/ag/yr16/documents/sep16item01.doc</w:t>
        </w:r>
      </w:hyperlink>
      <w:r w:rsidRPr="00D950C6">
        <w:rPr>
          <w:rFonts w:eastAsia="Arial" w:cs="Arial"/>
        </w:rPr>
        <w:t>)</w:t>
      </w:r>
    </w:p>
    <w:p w14:paraId="488B0C63" w14:textId="77777777" w:rsidR="0071251C" w:rsidRPr="00D950C6" w:rsidRDefault="0071251C" w:rsidP="0071251C">
      <w:pPr>
        <w:rPr>
          <w:rFonts w:eastAsia="Arial" w:cs="Arial"/>
        </w:rPr>
      </w:pPr>
      <w:r w:rsidRPr="00D950C6">
        <w:rPr>
          <w:rFonts w:eastAsia="Arial" w:cs="Arial"/>
        </w:rPr>
        <w:lastRenderedPageBreak/>
        <w:t>In December 2019, the CDE provided an update regarding LEAs that were eligible for differentiated assistance under Local Control Funding Formula (LCFF) in 2019 (</w:t>
      </w:r>
      <w:hyperlink r:id="rId94" w:tooltip="California State Board December 2019 Item">
        <w:r w:rsidRPr="00D950C6">
          <w:rPr>
            <w:rFonts w:eastAsia="Arial" w:cs="Arial"/>
            <w:color w:val="0000FF"/>
            <w:u w:val="single"/>
          </w:rPr>
          <w:t>https://www.cde.ca.gov/be/pn/im/documents/apr20memoamard01.docx</w:t>
        </w:r>
      </w:hyperlink>
      <w:r w:rsidRPr="00D950C6">
        <w:rPr>
          <w:rFonts w:eastAsia="Arial" w:cs="Arial"/>
        </w:rPr>
        <w:t>).</w:t>
      </w:r>
    </w:p>
    <w:p w14:paraId="19671F37" w14:textId="77777777" w:rsidR="0071251C" w:rsidRPr="00D950C6" w:rsidRDefault="0071251C" w:rsidP="0071251C">
      <w:pPr>
        <w:rPr>
          <w:rFonts w:eastAsia="Arial" w:cs="Arial"/>
          <w:szCs w:val="22"/>
        </w:rPr>
      </w:pPr>
      <w:r w:rsidRPr="00D950C6">
        <w:rPr>
          <w:rFonts w:eastAsia="Arial" w:cs="Arial"/>
          <w:szCs w:val="22"/>
        </w:rPr>
        <w:t>In March 2020, the CDE provided an update on the Implementation of the Local, State and Federal Accountability and Continuous Improvement System: Local Control Funding Formula Eligibility for Differentiated Assistance for Districts, County Offices of Education, and Charter Schools (</w:t>
      </w:r>
      <w:hyperlink r:id="rId95" w:tooltip="California State Board March 2020 Item" w:history="1">
        <w:r w:rsidRPr="00D950C6">
          <w:rPr>
            <w:rFonts w:eastAsia="Arial" w:cs="Arial"/>
            <w:color w:val="0000FF"/>
            <w:szCs w:val="22"/>
            <w:u w:val="single"/>
          </w:rPr>
          <w:t>https://www.cde.ca.gov/be/ag/ag/yr20/documents/mar20item05.docx</w:t>
        </w:r>
      </w:hyperlink>
      <w:r w:rsidRPr="00D950C6">
        <w:rPr>
          <w:rFonts w:eastAsia="Arial" w:cs="Arial"/>
          <w:szCs w:val="22"/>
        </w:rPr>
        <w:t>)</w:t>
      </w:r>
    </w:p>
    <w:p w14:paraId="24252E04" w14:textId="77777777" w:rsidR="0071251C" w:rsidRPr="00D950C6" w:rsidRDefault="0071251C" w:rsidP="00036883">
      <w:pPr>
        <w:spacing w:after="0"/>
        <w:rPr>
          <w:rFonts w:eastAsia="Arial" w:cs="Arial"/>
          <w:szCs w:val="22"/>
        </w:rPr>
      </w:pPr>
      <w:r w:rsidRPr="00D950C6">
        <w:rPr>
          <w:rFonts w:eastAsia="Arial" w:cs="Arial"/>
          <w:szCs w:val="22"/>
        </w:rPr>
        <w:t xml:space="preserve">In October 2021, the CDE Consistently Low-Performing Student Groups Per California Education Code Section 52064(e)(6)(A) and Consistently Low-Performing Schools Per California </w:t>
      </w:r>
      <w:r w:rsidRPr="00D950C6">
        <w:rPr>
          <w:rFonts w:eastAsia="Arial" w:cs="Arial"/>
          <w:i/>
          <w:szCs w:val="22"/>
        </w:rPr>
        <w:t>Education Code</w:t>
      </w:r>
      <w:r w:rsidRPr="00D950C6">
        <w:rPr>
          <w:rFonts w:eastAsia="Arial" w:cs="Arial"/>
          <w:szCs w:val="22"/>
        </w:rPr>
        <w:t xml:space="preserve"> Section 52064(e)(6)(B)</w:t>
      </w:r>
    </w:p>
    <w:p w14:paraId="4163094C" w14:textId="38497EC5" w:rsidR="0071251C" w:rsidRPr="00D950C6" w:rsidRDefault="0071251C" w:rsidP="00036883">
      <w:pPr>
        <w:spacing w:before="0"/>
        <w:rPr>
          <w:rFonts w:eastAsia="Calibri" w:cs="Arial"/>
          <w:szCs w:val="22"/>
        </w:rPr>
      </w:pPr>
      <w:r w:rsidRPr="00D950C6">
        <w:rPr>
          <w:rFonts w:eastAsia="Arial" w:cs="Arial"/>
          <w:szCs w:val="22"/>
        </w:rPr>
        <w:t>(</w:t>
      </w:r>
      <w:hyperlink r:id="rId96" w:tooltip="California State Board October 2021 Item" w:history="1">
        <w:r w:rsidRPr="00D950C6">
          <w:rPr>
            <w:rFonts w:eastAsia="Calibri" w:cs="Arial"/>
            <w:color w:val="0000FF"/>
            <w:szCs w:val="22"/>
            <w:u w:val="single"/>
          </w:rPr>
          <w:t>https://www.cde.ca.gov/be/pn/im/documents/oct21memoamard01.docx</w:t>
        </w:r>
      </w:hyperlink>
      <w:r w:rsidRPr="00D950C6">
        <w:rPr>
          <w:rFonts w:eastAsia="Calibri" w:cs="Arial"/>
          <w:szCs w:val="22"/>
        </w:rPr>
        <w:t>)</w:t>
      </w:r>
      <w:r w:rsidR="00151383">
        <w:rPr>
          <w:rFonts w:eastAsia="Calibri" w:cs="Arial"/>
          <w:szCs w:val="22"/>
        </w:rPr>
        <w:t>.</w:t>
      </w:r>
    </w:p>
    <w:p w14:paraId="0F688B25" w14:textId="77777777" w:rsidR="0071251C" w:rsidRPr="00D950C6" w:rsidRDefault="0071251C" w:rsidP="0071251C">
      <w:pPr>
        <w:rPr>
          <w:rStyle w:val="Hyperlink"/>
          <w:rFonts w:cs="Arial"/>
          <w:color w:val="auto"/>
          <w:u w:val="none"/>
        </w:rPr>
      </w:pPr>
      <w:r w:rsidRPr="00D950C6">
        <w:rPr>
          <w:rFonts w:eastAsia="Calibri" w:cs="Arial"/>
          <w:szCs w:val="22"/>
        </w:rPr>
        <w:t xml:space="preserve">In September 2022, the SBE adopted the </w:t>
      </w:r>
      <w:r w:rsidRPr="00D950C6">
        <w:rPr>
          <w:rFonts w:cs="Arial"/>
        </w:rPr>
        <w:t>use of the lowest Status level as a proxy for Red as reported on the 2022 Dashboard to determine county offices of education and districts eligible for Differentiated Assistance (</w:t>
      </w:r>
      <w:hyperlink r:id="rId97" w:tooltip="County offices of education and districts eligible for Differentiated Assistance" w:history="1">
        <w:r w:rsidRPr="00D950C6">
          <w:rPr>
            <w:rStyle w:val="Hyperlink"/>
            <w:rFonts w:cs="Arial"/>
          </w:rPr>
          <w:t>https://www.cde.ca.gov/be/ag/ag/yr22/documents/sep22item03.docx</w:t>
        </w:r>
      </w:hyperlink>
      <w:r w:rsidRPr="00D950C6">
        <w:rPr>
          <w:rStyle w:val="Hyperlink"/>
          <w:rFonts w:cs="Arial"/>
          <w:color w:val="auto"/>
          <w:u w:val="none"/>
        </w:rPr>
        <w:t>).</w:t>
      </w:r>
    </w:p>
    <w:p w14:paraId="38AEB873" w14:textId="77777777" w:rsidR="0071251C" w:rsidRPr="00D950C6" w:rsidRDefault="0071251C" w:rsidP="0071251C">
      <w:pPr>
        <w:rPr>
          <w:rFonts w:eastAsia="Arial" w:cs="Arial"/>
        </w:rPr>
      </w:pPr>
      <w:r w:rsidRPr="00D950C6">
        <w:rPr>
          <w:rFonts w:eastAsia="Arial" w:cs="Arial"/>
        </w:rPr>
        <w:t>In December 2022, the CDE provided an update regarding LEAs that were eligible for differentiated assistance under LCFF in 2022. A revised update to this memo was provided to the SBE in February 2023 (</w:t>
      </w:r>
      <w:hyperlink r:id="rId98" w:tooltip="CSI/ATSI SBE Information Memorandum February 2023" w:history="1">
        <w:r w:rsidRPr="00D950C6">
          <w:rPr>
            <w:rStyle w:val="Hyperlink"/>
            <w:rFonts w:cs="Arial"/>
          </w:rPr>
          <w:t>https://www.cde.ca.gov/be/pn/im/documents/feb23memoamard01revb.docx</w:t>
        </w:r>
      </w:hyperlink>
      <w:r w:rsidRPr="00D950C6">
        <w:rPr>
          <w:rFonts w:eastAsia="Arial" w:cs="Arial"/>
        </w:rPr>
        <w:t>).</w:t>
      </w:r>
    </w:p>
    <w:p w14:paraId="21E6DB7C" w14:textId="235FB2E0" w:rsidR="0071251C" w:rsidRPr="00D950C6" w:rsidRDefault="0071251C" w:rsidP="0071251C">
      <w:pPr>
        <w:rPr>
          <w:rFonts w:eastAsia="Arial" w:cs="Arial"/>
        </w:rPr>
      </w:pPr>
      <w:r w:rsidRPr="00D950C6">
        <w:rPr>
          <w:rFonts w:eastAsia="Arial" w:cs="Arial"/>
          <w:color w:val="000000" w:themeColor="text1"/>
        </w:rPr>
        <w:t xml:space="preserve">In September 2023, the CDE presented the workplan for the differentiated assistance criteria and recommended inclusion of using </w:t>
      </w:r>
      <w:r w:rsidRPr="00D950C6">
        <w:rPr>
          <w:rFonts w:cs="Arial"/>
        </w:rPr>
        <w:t xml:space="preserve">the status of College/Career indicator on the 2023 Dashboard in the criteria </w:t>
      </w:r>
      <w:r w:rsidRPr="00D950C6">
        <w:rPr>
          <w:rFonts w:eastAsiaTheme="minorEastAsia" w:cs="Arial"/>
          <w:color w:val="000000" w:themeColor="text1"/>
        </w:rPr>
        <w:t>(</w:t>
      </w:r>
      <w:hyperlink r:id="rId99" w:tooltip="SBE Septeber 2023 Item 08">
        <w:r w:rsidRPr="00D950C6">
          <w:rPr>
            <w:rStyle w:val="Hyperlink"/>
            <w:rFonts w:eastAsiaTheme="minorEastAsia" w:cs="Arial"/>
          </w:rPr>
          <w:t>https://www.cde.ca.gov/be/ag/ag/yr23/documents/sep23item08.docx</w:t>
        </w:r>
      </w:hyperlink>
      <w:r w:rsidRPr="00D950C6">
        <w:rPr>
          <w:rFonts w:eastAsia="Arial" w:cs="Arial"/>
        </w:rPr>
        <w:t>)</w:t>
      </w:r>
      <w:r w:rsidR="00180A3F">
        <w:rPr>
          <w:rFonts w:eastAsia="Arial" w:cs="Arial"/>
        </w:rPr>
        <w:t>.</w:t>
      </w:r>
    </w:p>
    <w:p w14:paraId="307EF75E" w14:textId="77777777" w:rsidR="0071251C" w:rsidRPr="00D950C6" w:rsidRDefault="0071251C" w:rsidP="0071251C">
      <w:pPr>
        <w:rPr>
          <w:rFonts w:eastAsia="Arial" w:cs="Arial"/>
        </w:rPr>
      </w:pPr>
      <w:r w:rsidRPr="00D950C6">
        <w:rPr>
          <w:rFonts w:eastAsia="Arial" w:cs="Arial"/>
        </w:rPr>
        <w:t>In December 2023, the CDE provided the SBE with a memorandum that includes differentiated assistance data analysis for the 2023 school year. Additionally, Charter schools are returning to differentiated assistance determinations for the first time since 2019 and their eligibility criteria have changed in accordance with new statutory requirements. (</w:t>
      </w:r>
      <w:hyperlink r:id="rId100" w:tooltip="SBE December 2023 Memo 02">
        <w:r w:rsidRPr="00D950C6">
          <w:rPr>
            <w:rStyle w:val="Hyperlink"/>
            <w:rFonts w:eastAsia="Arial" w:cs="Arial"/>
          </w:rPr>
          <w:t>https://www.cde.ca.gov/be/pn/im/documents/dec23memoamard02.docx</w:t>
        </w:r>
      </w:hyperlink>
      <w:r w:rsidRPr="00D950C6">
        <w:rPr>
          <w:rFonts w:eastAsia="Arial" w:cs="Arial"/>
        </w:rPr>
        <w:t>)</w:t>
      </w:r>
    </w:p>
    <w:p w14:paraId="11E4AA64" w14:textId="317114BB" w:rsidR="0071251C" w:rsidRPr="00D950C6" w:rsidRDefault="0071251C" w:rsidP="0071251C">
      <w:pPr>
        <w:rPr>
          <w:rFonts w:eastAsia="Arial" w:cs="Arial"/>
        </w:rPr>
      </w:pPr>
      <w:r w:rsidRPr="00D950C6">
        <w:rPr>
          <w:rFonts w:eastAsia="Arial" w:cs="Arial"/>
        </w:rPr>
        <w:t>In November 2024, the CDE provided the SBE with a memorandum that includes differentiated assistance data analysis for the 2024 school year. (</w:t>
      </w:r>
      <w:hyperlink r:id="rId101" w:tooltip="SBE with a memorandum that includes differentiated assistance data analysis for the 2024 school year">
        <w:r w:rsidRPr="00D950C6">
          <w:rPr>
            <w:rStyle w:val="Hyperlink"/>
            <w:rFonts w:eastAsia="Arial" w:cs="Arial"/>
          </w:rPr>
          <w:t>https://www.cde.ca.gov/be/pn/im/documents/nov24memoamard01.docx</w:t>
        </w:r>
      </w:hyperlink>
      <w:r w:rsidRPr="00D950C6">
        <w:rPr>
          <w:rFonts w:eastAsia="Arial" w:cs="Arial"/>
        </w:rPr>
        <w:t>)</w:t>
      </w:r>
    </w:p>
    <w:p w14:paraId="046F9BE4" w14:textId="77777777" w:rsidR="00825C49" w:rsidRDefault="00825C49" w:rsidP="00231C14">
      <w:pPr>
        <w:pStyle w:val="Heading3"/>
        <w:rPr>
          <w:rFonts w:eastAsia="Arial" w:cs="Arial"/>
          <w:b w:val="0"/>
          <w:bCs/>
          <w:color w:val="000000" w:themeColor="text1"/>
          <w:szCs w:val="32"/>
        </w:rPr>
      </w:pPr>
      <w:r w:rsidRPr="6FF67CBA">
        <w:t>Science Indicator</w:t>
      </w:r>
    </w:p>
    <w:p w14:paraId="48BC3625" w14:textId="62DC21BB" w:rsidR="00825C49" w:rsidRDefault="00825C49" w:rsidP="00825C49">
      <w:pPr>
        <w:rPr>
          <w:rFonts w:eastAsia="Arial" w:cs="Arial"/>
          <w:color w:val="000000" w:themeColor="text1"/>
        </w:rPr>
      </w:pPr>
      <w:r w:rsidRPr="6FF67CBA">
        <w:rPr>
          <w:rFonts w:eastAsia="Arial" w:cs="Arial"/>
          <w:color w:val="000000" w:themeColor="text1"/>
        </w:rPr>
        <w:t xml:space="preserve">In March 2016, the SBE approved a design for the LCFF evaluation rubrics that includes the following key indicators: (i) student test scores on English Language Arts and Math, including a measure of individual student growth, and results on the Next Generation Science Standards (NGSS) assessment, (ii) progress of ELs toward English </w:t>
      </w:r>
      <w:r w:rsidRPr="6FF67CBA">
        <w:rPr>
          <w:rFonts w:eastAsia="Arial" w:cs="Arial"/>
          <w:color w:val="000000" w:themeColor="text1"/>
        </w:rPr>
        <w:lastRenderedPageBreak/>
        <w:t>language proficiency; (iii) high school graduation rate; and (iv) measures of student engagement, including suspension rates by grade span and chronic absence. (</w:t>
      </w:r>
      <w:hyperlink r:id="rId102" w:tooltip="Design for the LCFF evaluation rubrics">
        <w:r w:rsidRPr="6FF67CBA">
          <w:rPr>
            <w:rStyle w:val="Hyperlink"/>
            <w:rFonts w:eastAsia="Arial" w:cs="Arial"/>
          </w:rPr>
          <w:t>https://www.cde.ca.gov/be/ag/ag/yr16/documents/may16item02.doc</w:t>
        </w:r>
      </w:hyperlink>
      <w:r w:rsidRPr="6FF67CBA">
        <w:rPr>
          <w:rFonts w:eastAsia="Arial" w:cs="Arial"/>
          <w:color w:val="000000" w:themeColor="text1"/>
        </w:rPr>
        <w:t>).</w:t>
      </w:r>
    </w:p>
    <w:p w14:paraId="06AD8438" w14:textId="37A22755" w:rsidR="00825C49" w:rsidRDefault="00825C49" w:rsidP="00A8282F">
      <w:pPr>
        <w:spacing w:after="120"/>
        <w:rPr>
          <w:rFonts w:eastAsia="Arial" w:cs="Arial"/>
          <w:color w:val="000000" w:themeColor="text1"/>
        </w:rPr>
      </w:pPr>
      <w:r w:rsidRPr="6FF67CBA">
        <w:rPr>
          <w:rFonts w:eastAsia="Arial" w:cs="Arial"/>
          <w:color w:val="000000" w:themeColor="text1"/>
        </w:rPr>
        <w:t>In March 2020, the SBE received the annual Dashboard update, which included potential revisions that the CDE was considering for the Dashboard beyond 2020,</w:t>
      </w:r>
      <w:r w:rsidR="00A8282F">
        <w:rPr>
          <w:rFonts w:eastAsia="Arial" w:cs="Arial"/>
          <w:color w:val="000000" w:themeColor="text1"/>
        </w:rPr>
        <w:t xml:space="preserve"> </w:t>
      </w:r>
      <w:r w:rsidRPr="6FF67CBA">
        <w:rPr>
          <w:rFonts w:eastAsia="Arial" w:cs="Arial"/>
          <w:color w:val="000000" w:themeColor="text1"/>
        </w:rPr>
        <w:t>including the inclusion of the science assessment results (</w:t>
      </w:r>
      <w:hyperlink r:id="rId103" w:tooltip="CDE considering for the Dashboard beyond 2020 for the inclusion of the science assessment results">
        <w:r w:rsidRPr="6FF67CBA">
          <w:rPr>
            <w:rStyle w:val="Hyperlink"/>
            <w:rFonts w:eastAsia="Arial" w:cs="Arial"/>
          </w:rPr>
          <w:t>https://www.cde.ca.gov/be/ag/ag/yr20/documents/mar20item05.docx</w:t>
        </w:r>
      </w:hyperlink>
      <w:r w:rsidRPr="6FF67CBA">
        <w:rPr>
          <w:rFonts w:eastAsia="Arial" w:cs="Arial"/>
          <w:color w:val="000000" w:themeColor="text1"/>
        </w:rPr>
        <w:t>).</w:t>
      </w:r>
    </w:p>
    <w:p w14:paraId="49B60620" w14:textId="3255861D" w:rsidR="00825C49" w:rsidRDefault="00825C49" w:rsidP="00825C49">
      <w:pPr>
        <w:rPr>
          <w:rFonts w:eastAsia="Arial" w:cs="Arial"/>
          <w:color w:val="000000" w:themeColor="text1"/>
        </w:rPr>
      </w:pPr>
      <w:r w:rsidRPr="6FF67CBA">
        <w:rPr>
          <w:rFonts w:eastAsia="Arial" w:cs="Arial"/>
          <w:color w:val="000000" w:themeColor="text1"/>
        </w:rPr>
        <w:t>In March 2022, the CDE provided an update on the feasibility of when the science results could be incorporated into the Dashboard given the low participation on the science test during 2020–21, the use of the revised blueprint for the 2021–22 administration of the California Science Test (CAST), and the gaps in implementing the science instructional materials due to the challenges that schools faced because of COVID-19 (</w:t>
      </w:r>
      <w:hyperlink r:id="rId104" w:tooltip="Update on the feasibility of when the science results could be incorporated into the Dashboard">
        <w:r w:rsidRPr="6FF67CBA">
          <w:rPr>
            <w:rStyle w:val="Hyperlink"/>
            <w:rFonts w:eastAsia="Arial" w:cs="Arial"/>
          </w:rPr>
          <w:t>https://www.cde.ca.gov/be/ag/ag/yr22/documents/mar22item04.docx</w:t>
        </w:r>
      </w:hyperlink>
      <w:r w:rsidRPr="6FF67CBA">
        <w:rPr>
          <w:rFonts w:eastAsia="Arial" w:cs="Arial"/>
          <w:color w:val="000000" w:themeColor="text1"/>
        </w:rPr>
        <w:t>).</w:t>
      </w:r>
    </w:p>
    <w:p w14:paraId="6715D2CA" w14:textId="10D6FF6A" w:rsidR="00825C49" w:rsidRDefault="00825C49" w:rsidP="00825C49">
      <w:pPr>
        <w:rPr>
          <w:rFonts w:eastAsia="Arial" w:cs="Arial"/>
          <w:color w:val="000000" w:themeColor="text1"/>
        </w:rPr>
      </w:pPr>
      <w:r w:rsidRPr="6FF67CBA">
        <w:rPr>
          <w:rFonts w:eastAsia="Arial" w:cs="Arial"/>
          <w:color w:val="000000" w:themeColor="text1"/>
        </w:rPr>
        <w:t>In March 2023, the CDE recommended providing a link to each school/LEA’s CAASPP science results. With two years of results from the 2021–22 and 2022–23 CAST assessments based on the revised blueprint, the CDE provided an update on the use of these results for accountability purposes and options toward inclusion of this test on the Dashboard (</w:t>
      </w:r>
      <w:hyperlink r:id="rId105" w:tooltip="CDE recommended providing a link to each school/LEA’s CAASPP science results">
        <w:r w:rsidRPr="6FF67CBA">
          <w:rPr>
            <w:rStyle w:val="Hyperlink"/>
            <w:rFonts w:eastAsia="Arial" w:cs="Arial"/>
          </w:rPr>
          <w:t>https://www.cde.ca.gov/be/ag/ag/yr23/documents/mar23item03.docx</w:t>
        </w:r>
      </w:hyperlink>
      <w:r w:rsidRPr="6FF67CBA">
        <w:rPr>
          <w:rFonts w:eastAsia="Arial" w:cs="Arial"/>
          <w:color w:val="000000" w:themeColor="text1"/>
        </w:rPr>
        <w:t>).</w:t>
      </w:r>
    </w:p>
    <w:p w14:paraId="4B446F11" w14:textId="3C415720" w:rsidR="00825C49" w:rsidRDefault="00825C49" w:rsidP="00825C49">
      <w:pPr>
        <w:rPr>
          <w:rFonts w:eastAsia="Arial" w:cs="Arial"/>
          <w:color w:val="000000" w:themeColor="text1"/>
        </w:rPr>
      </w:pPr>
      <w:r w:rsidRPr="6FF67CBA">
        <w:rPr>
          <w:rFonts w:eastAsia="Arial" w:cs="Arial"/>
          <w:color w:val="000000" w:themeColor="text1"/>
        </w:rPr>
        <w:t>In March 2024, The CDE provided the SBE with a timeline for a workplan for the Science Indicator which includes six individual decision points. The workplan will be operationalized and brought to the SBE in stages for approvals from February 2024 through July 2025. (</w:t>
      </w:r>
      <w:hyperlink r:id="rId106" w:tooltip="SBE timeline for a workplan for the Science Indicator which includes six individual decision points">
        <w:r w:rsidRPr="6FF67CBA">
          <w:rPr>
            <w:rStyle w:val="Hyperlink"/>
            <w:rFonts w:eastAsia="Arial" w:cs="Arial"/>
          </w:rPr>
          <w:t>https://www.cde.ca.gov/be/ag/ag/yr24/documents/mar24item02.docx</w:t>
        </w:r>
      </w:hyperlink>
      <w:r w:rsidRPr="6FF67CBA">
        <w:rPr>
          <w:rFonts w:eastAsia="Arial" w:cs="Arial"/>
          <w:color w:val="000000" w:themeColor="text1"/>
        </w:rPr>
        <w:t>)</w:t>
      </w:r>
    </w:p>
    <w:p w14:paraId="1B65B74B" w14:textId="07111D25" w:rsidR="00825C49" w:rsidRDefault="00825C49" w:rsidP="00825C49">
      <w:pPr>
        <w:rPr>
          <w:rFonts w:eastAsia="Arial" w:cs="Arial"/>
          <w:color w:val="000000" w:themeColor="text1"/>
        </w:rPr>
      </w:pPr>
      <w:r w:rsidRPr="6FF67CBA">
        <w:rPr>
          <w:rFonts w:eastAsia="Arial" w:cs="Arial"/>
          <w:color w:val="000000" w:themeColor="text1"/>
        </w:rPr>
        <w:t>In July 2024, the SBE approved a metric to measure science assessment performance for use on the Dashboard. The following decisions were made: (i) distance from standard would be the unit of measure; current year scores will be used for high school results; and a participation rate requirement will begin with the 2025 dashboard. (</w:t>
      </w:r>
      <w:hyperlink r:id="rId107" w:tooltip="Metric to measure science assessment performance for use on the Dashboard">
        <w:r w:rsidRPr="6FF67CBA">
          <w:rPr>
            <w:rStyle w:val="Hyperlink"/>
            <w:rFonts w:eastAsia="Arial" w:cs="Arial"/>
          </w:rPr>
          <w:t>https://www.cde.ca.gov/be/ag/ag/yr24/documents/jul24item02.docx</w:t>
        </w:r>
      </w:hyperlink>
      <w:r w:rsidRPr="6FF67CBA">
        <w:rPr>
          <w:rFonts w:eastAsia="Arial" w:cs="Arial"/>
          <w:color w:val="000000" w:themeColor="text1"/>
        </w:rPr>
        <w:t>)</w:t>
      </w:r>
    </w:p>
    <w:p w14:paraId="2835831A" w14:textId="4D049BAE" w:rsidR="00825C49" w:rsidRDefault="00825C49" w:rsidP="00825C49">
      <w:pPr>
        <w:rPr>
          <w:rFonts w:eastAsia="Arial" w:cs="Arial"/>
          <w:color w:val="000000" w:themeColor="text1"/>
        </w:rPr>
      </w:pPr>
      <w:r w:rsidRPr="3145905A">
        <w:rPr>
          <w:rFonts w:eastAsia="Arial" w:cs="Arial"/>
          <w:color w:val="000000" w:themeColor="text1"/>
        </w:rPr>
        <w:t xml:space="preserve">In January 2025, the SBE approved the Accountability Workplan for 2025 which included the incorporation of the Science indicator into the Dashboard using the remaining key decisions: (2) Approval of Status Cut Points (3) Approval of Change Cut Points, and (4) Approval of a Color Scheme for the Five-by-Five Color Grid, (5) Inclusion of the Indicator within the State Accountability System through Differentiated Assistance Criteria, and (6) Inclusion of the Indicator within the Federal Accountability System through ESSA Eligibility Identification. </w:t>
      </w:r>
      <w:r w:rsidRPr="6FF67CBA">
        <w:rPr>
          <w:rFonts w:eastAsia="Arial" w:cs="Arial"/>
          <w:color w:val="000000" w:themeColor="text1"/>
        </w:rPr>
        <w:t>(</w:t>
      </w:r>
      <w:hyperlink r:id="rId108" w:tooltip="Accountability Workplan for 2025">
        <w:r w:rsidRPr="6FF67CBA">
          <w:rPr>
            <w:rStyle w:val="Hyperlink"/>
            <w:rFonts w:eastAsia="Arial" w:cs="Arial"/>
          </w:rPr>
          <w:t>https://www.cde.ca.gov/be/ag/ag/yr25/documents/jan25item03.docx</w:t>
        </w:r>
      </w:hyperlink>
      <w:r w:rsidRPr="6FF67CBA">
        <w:rPr>
          <w:rFonts w:eastAsia="Arial" w:cs="Arial"/>
          <w:color w:val="000000" w:themeColor="text1"/>
        </w:rPr>
        <w:t>)</w:t>
      </w:r>
    </w:p>
    <w:p w14:paraId="20A50972" w14:textId="77475A4F" w:rsidR="19C72548" w:rsidRDefault="19C72548" w:rsidP="3145905A">
      <w:pPr>
        <w:rPr>
          <w:rFonts w:eastAsia="Arial" w:cs="Arial"/>
          <w:color w:val="000000" w:themeColor="text1"/>
        </w:rPr>
      </w:pPr>
      <w:r w:rsidRPr="3145905A">
        <w:rPr>
          <w:rFonts w:eastAsia="Arial" w:cs="Arial"/>
          <w:color w:val="000000" w:themeColor="text1"/>
        </w:rPr>
        <w:t>In March 2025, the CDE is proposing action on the Science Indicator with the adoption of cut scores for status and change and five-by-five grid.</w:t>
      </w:r>
      <w:r w:rsidR="59DCA81D" w:rsidRPr="3145905A">
        <w:rPr>
          <w:rFonts w:eastAsia="Arial" w:cs="Arial"/>
          <w:color w:val="000000" w:themeColor="text1"/>
        </w:rPr>
        <w:t xml:space="preserve"> (</w:t>
      </w:r>
      <w:hyperlink r:id="rId109" w:tooltip="CDE proposes action on the Science Indicator with the adoption of cut scores for status and change and five-by-five grid">
        <w:r w:rsidR="314BFBD1" w:rsidRPr="3145905A">
          <w:rPr>
            <w:rStyle w:val="Hyperlink"/>
            <w:rFonts w:eastAsia="Arial" w:cs="Arial"/>
          </w:rPr>
          <w:t>https://www.cde.ca.gov/be/ag/ag/yr25/documents/mar25item02.docx</w:t>
        </w:r>
      </w:hyperlink>
      <w:r w:rsidR="314BFBD1" w:rsidRPr="3145905A">
        <w:rPr>
          <w:rFonts w:eastAsia="Arial" w:cs="Arial"/>
        </w:rPr>
        <w:t>).</w:t>
      </w:r>
    </w:p>
    <w:p w14:paraId="4CE31BDB" w14:textId="7E8E2307" w:rsidR="426DF90E" w:rsidRPr="00D8764F" w:rsidRDefault="426DF90E" w:rsidP="00231C14">
      <w:pPr>
        <w:pStyle w:val="Heading3"/>
        <w:rPr>
          <w:rFonts w:eastAsia="Arial" w:cs="Arial"/>
          <w:color w:val="000000" w:themeColor="text1"/>
          <w:szCs w:val="32"/>
        </w:rPr>
      </w:pPr>
      <w:r w:rsidRPr="6FF67CBA">
        <w:lastRenderedPageBreak/>
        <w:t>Dashboard Alternative School Status</w:t>
      </w:r>
    </w:p>
    <w:p w14:paraId="48CCF03A" w14:textId="719BE687" w:rsidR="2F2D5B6D" w:rsidRPr="00D8764F" w:rsidRDefault="2F2D5B6D" w:rsidP="5F48C630">
      <w:pPr>
        <w:rPr>
          <w:rFonts w:eastAsia="Arial" w:cs="Arial"/>
        </w:rPr>
      </w:pPr>
      <w:r w:rsidRPr="5F48C630">
        <w:rPr>
          <w:rFonts w:eastAsia="Arial" w:cs="Arial"/>
        </w:rPr>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School Conditions and Climate Work Group. (</w:t>
      </w:r>
      <w:hyperlink r:id="rId110" w:tooltip="Update on the development of the new accountability system">
        <w:r w:rsidRPr="5F48C630">
          <w:rPr>
            <w:rStyle w:val="Hyperlink"/>
            <w:rFonts w:eastAsia="Arial" w:cs="Arial"/>
          </w:rPr>
          <w:t>http://www.cde.ca.gov/be/ag/ag/yr17/documents/mar17item02.doc</w:t>
        </w:r>
      </w:hyperlink>
      <w:r w:rsidRPr="5F48C630">
        <w:rPr>
          <w:rFonts w:eastAsia="Arial" w:cs="Arial"/>
        </w:rPr>
        <w:t>)</w:t>
      </w:r>
    </w:p>
    <w:p w14:paraId="73F07395" w14:textId="78C54633" w:rsidR="2F2D5B6D" w:rsidRPr="00D8764F" w:rsidRDefault="2F2D5B6D" w:rsidP="5F48C630">
      <w:pPr>
        <w:rPr>
          <w:rFonts w:eastAsia="Arial" w:cs="Arial"/>
        </w:rPr>
      </w:pPr>
      <w:r w:rsidRPr="5F48C630">
        <w:rPr>
          <w:rFonts w:eastAsia="Arial" w:cs="Arial"/>
        </w:rPr>
        <w:t xml:space="preserve">In May 2017, the </w:t>
      </w:r>
      <w:r w:rsidR="113B11BF" w:rsidRPr="5F48C630">
        <w:rPr>
          <w:rFonts w:eastAsia="Arial" w:cs="Arial"/>
        </w:rPr>
        <w:t>CDE provide</w:t>
      </w:r>
      <w:r w:rsidR="65DA1916" w:rsidRPr="5F48C630">
        <w:rPr>
          <w:rFonts w:eastAsia="Arial" w:cs="Arial"/>
        </w:rPr>
        <w:t>d</w:t>
      </w:r>
      <w:r w:rsidR="113B11BF" w:rsidRPr="5F48C630">
        <w:rPr>
          <w:rFonts w:eastAsia="Arial" w:cs="Arial"/>
        </w:rPr>
        <w:t xml:space="preserve"> an update to the </w:t>
      </w:r>
      <w:r w:rsidRPr="5F48C630">
        <w:rPr>
          <w:rFonts w:eastAsia="Arial" w:cs="Arial"/>
        </w:rPr>
        <w:t xml:space="preserve">SBE </w:t>
      </w:r>
      <w:r w:rsidR="5E93DD0B" w:rsidRPr="5F48C630">
        <w:rPr>
          <w:rFonts w:eastAsia="Arial" w:cs="Arial"/>
        </w:rPr>
        <w:t>about</w:t>
      </w:r>
      <w:r w:rsidRPr="5F48C630">
        <w:rPr>
          <w:rFonts w:eastAsia="Arial" w:cs="Arial"/>
        </w:rPr>
        <w:t xml:space="preserve"> the Dashboard, and an overview of the recommendations of the English Learner Progress Indicator (ELPI) Workgroup. The SBE took action to approve the development of an application process to require alternative schools of choice and charter schools to re-certify—every three years—that at least 70 percent of their enrollment is comprised of high-risk students (as defined in the SBE-approved eligibility criteria) in order to continue participating as an alternative school in the accountability system. (</w:t>
      </w:r>
      <w:hyperlink r:id="rId111" w:tooltip="Update to the SBE about the Dashboard and an overview of the recommendations of the English Learner Progress Indicator Workgroup">
        <w:r w:rsidRPr="5F48C630">
          <w:rPr>
            <w:rStyle w:val="Hyperlink"/>
            <w:rFonts w:eastAsia="Arial" w:cs="Arial"/>
          </w:rPr>
          <w:t>https://www.cde.ca.gov/be/ag/ag/yr17/documents/may17item01.doc</w:t>
        </w:r>
      </w:hyperlink>
      <w:r w:rsidRPr="5F48C630">
        <w:rPr>
          <w:rFonts w:eastAsia="Arial" w:cs="Arial"/>
        </w:rPr>
        <w:t>)</w:t>
      </w:r>
    </w:p>
    <w:p w14:paraId="62F82964" w14:textId="1E205B71" w:rsidR="2F2D5B6D" w:rsidRPr="00D8764F" w:rsidRDefault="2F2D5B6D" w:rsidP="5F48C630">
      <w:pPr>
        <w:rPr>
          <w:rFonts w:eastAsia="Arial" w:cs="Arial"/>
          <w:color w:val="000000" w:themeColor="text1"/>
        </w:rPr>
      </w:pPr>
      <w:r w:rsidRPr="5F48C630">
        <w:rPr>
          <w:rFonts w:eastAsia="Arial" w:cs="Arial"/>
          <w:color w:val="000000" w:themeColor="text1"/>
        </w:rPr>
        <w:t>In July 2017, the SBE approved criteria for schools to apply for Dashboard Alternative School Status (DASS) (</w:t>
      </w:r>
      <w:hyperlink r:id="rId112" w:tooltip="Dashboard Alternative School Status">
        <w:r w:rsidRPr="5F48C630">
          <w:rPr>
            <w:rStyle w:val="Hyperlink"/>
            <w:rFonts w:eastAsia="Arial" w:cs="Arial"/>
          </w:rPr>
          <w:t>https://www.cde.ca.gov/be/ag/ag/yr17/documents/jul17item01.doc</w:t>
        </w:r>
      </w:hyperlink>
      <w:r w:rsidRPr="5F48C630">
        <w:rPr>
          <w:rFonts w:eastAsia="Arial" w:cs="Arial"/>
          <w:color w:val="000000" w:themeColor="text1"/>
        </w:rPr>
        <w:t>).</w:t>
      </w:r>
    </w:p>
    <w:p w14:paraId="76C977F6" w14:textId="77777777" w:rsidR="00CA49BD" w:rsidRDefault="2F2D5B6D" w:rsidP="007F1364">
      <w:pPr>
        <w:spacing w:before="0" w:after="0"/>
        <w:rPr>
          <w:rFonts w:eastAsia="Arial" w:cs="Arial"/>
        </w:rPr>
      </w:pPr>
      <w:r w:rsidRPr="5F48C630">
        <w:rPr>
          <w:rFonts w:eastAsia="Arial" w:cs="Arial"/>
        </w:rPr>
        <w:t>In August 2018, the SBE received an Information Memorandum on the proposed Status and Change Cut scores for the one-year graduation rate for DASS schools.</w:t>
      </w:r>
    </w:p>
    <w:p w14:paraId="2270D2F9" w14:textId="4982E3F6" w:rsidR="2F2D5B6D" w:rsidRPr="00D8764F" w:rsidRDefault="2F2D5B6D" w:rsidP="007F1364">
      <w:pPr>
        <w:spacing w:before="0"/>
        <w:rPr>
          <w:rFonts w:eastAsia="Arial" w:cs="Arial"/>
        </w:rPr>
      </w:pPr>
      <w:r w:rsidRPr="5F48C630">
        <w:rPr>
          <w:rFonts w:eastAsia="Arial" w:cs="Arial"/>
        </w:rPr>
        <w:t>(</w:t>
      </w:r>
      <w:hyperlink r:id="rId113" w:tooltip="Information Memorandum on the proposed Status and Change Cut scores">
        <w:r w:rsidRPr="5F48C630">
          <w:rPr>
            <w:rStyle w:val="Hyperlink"/>
            <w:rFonts w:eastAsia="Arial" w:cs="Arial"/>
          </w:rPr>
          <w:t>https://www.cde.ca.gov/be/pn/im/documents/memo-pptb-amard-aug18item02.docx</w:t>
        </w:r>
      </w:hyperlink>
      <w:r w:rsidRPr="5F48C630">
        <w:rPr>
          <w:rFonts w:eastAsia="Arial" w:cs="Arial"/>
        </w:rPr>
        <w:t>)</w:t>
      </w:r>
    </w:p>
    <w:p w14:paraId="0E1B9467" w14:textId="0569DB5B" w:rsidR="2F2D5B6D" w:rsidRPr="00D8764F" w:rsidRDefault="2F2D5B6D" w:rsidP="5F48C630">
      <w:pPr>
        <w:rPr>
          <w:rFonts w:eastAsia="Arial" w:cs="Arial"/>
        </w:rPr>
      </w:pPr>
      <w:r w:rsidRPr="5F48C630">
        <w:rPr>
          <w:rFonts w:eastAsia="Arial" w:cs="Arial"/>
        </w:rPr>
        <w:t>In September 2018, the SBE approved Status and Change cut scores for the one-year graduation rate for DASS schools. (</w:t>
      </w:r>
      <w:hyperlink r:id="rId114" w:tooltip="SBE approved Status and Change cut scores for the one-year graduation rate for DASS schools">
        <w:r w:rsidRPr="5F48C630">
          <w:rPr>
            <w:rStyle w:val="Hyperlink"/>
            <w:rFonts w:eastAsia="Arial" w:cs="Arial"/>
          </w:rPr>
          <w:t>https://www.cde.ca.gov/be/ag/ag/yr18/documents/sep18item01.docx</w:t>
        </w:r>
      </w:hyperlink>
      <w:r w:rsidRPr="5F48C630">
        <w:rPr>
          <w:rFonts w:eastAsia="Arial" w:cs="Arial"/>
        </w:rPr>
        <w:t>)</w:t>
      </w:r>
    </w:p>
    <w:p w14:paraId="14BDA311" w14:textId="5BC5B22B" w:rsidR="2F2D5B6D" w:rsidRPr="00D8764F" w:rsidRDefault="2F2D5B6D" w:rsidP="5F48C630">
      <w:pPr>
        <w:rPr>
          <w:rFonts w:eastAsia="Arial" w:cs="Arial"/>
        </w:rPr>
      </w:pPr>
      <w:r w:rsidRPr="5F48C630">
        <w:rPr>
          <w:rFonts w:eastAsia="Arial" w:cs="Arial"/>
        </w:rPr>
        <w:t>In November 2018, the SBE approved modification to the Status cut scores for the Graduation Rate Indicator based on the inclusion of DASS schools for the first time within the calculation of the indicator and business rule changes to the calculation of the four-year cohort graduation rate based on audit findings from the ED OIG. (</w:t>
      </w:r>
      <w:hyperlink r:id="rId115" w:tooltip="Modification to the Status cut scores for the Graduation Rate Indicator based on the inclusion of DASS schools for the first time">
        <w:r w:rsidRPr="5F48C630">
          <w:rPr>
            <w:rStyle w:val="Hyperlink"/>
            <w:rFonts w:eastAsia="Arial" w:cs="Arial"/>
          </w:rPr>
          <w:t>https://www.cde.ca.gov/be/ag/ag/yr18/documents/nov18item04.docx</w:t>
        </w:r>
      </w:hyperlink>
      <w:r w:rsidRPr="5F48C630">
        <w:rPr>
          <w:rFonts w:eastAsia="Arial" w:cs="Arial"/>
        </w:rPr>
        <w:t>)</w:t>
      </w:r>
    </w:p>
    <w:p w14:paraId="56D204F9" w14:textId="13FB7D1E" w:rsidR="2F2D5B6D" w:rsidRPr="00D8764F" w:rsidRDefault="2F2D5B6D" w:rsidP="5F48C630">
      <w:pPr>
        <w:rPr>
          <w:rFonts w:eastAsia="Arial" w:cs="Arial"/>
        </w:rPr>
      </w:pPr>
      <w:r w:rsidRPr="5F48C630">
        <w:rPr>
          <w:rFonts w:eastAsia="Arial" w:cs="Arial"/>
        </w:rPr>
        <w:t>In March 2018, the SBE reviewed proposed revisions for the 2018 Dashboard, including the incorporation of modified methods for schools with Dashboard Alternative School Status. (</w:t>
      </w:r>
      <w:hyperlink r:id="rId116" w:tooltip="In March 2018 the SBE reviewed proposed revisions for the 2018 Dashboard">
        <w:r w:rsidRPr="5F48C630">
          <w:rPr>
            <w:rStyle w:val="Hyperlink"/>
            <w:rFonts w:eastAsia="Arial" w:cs="Arial"/>
          </w:rPr>
          <w:t>https://www.cde.ca.gov/be/ag/ag/yr18/documents/mar18item01.docx</w:t>
        </w:r>
      </w:hyperlink>
      <w:r w:rsidRPr="5F48C630">
        <w:rPr>
          <w:rFonts w:eastAsia="Arial" w:cs="Arial"/>
        </w:rPr>
        <w:t>)</w:t>
      </w:r>
    </w:p>
    <w:p w14:paraId="68AD6E22" w14:textId="0446CA23" w:rsidR="2F2D5B6D" w:rsidRPr="00D8764F" w:rsidRDefault="2F2D5B6D" w:rsidP="5F48C630">
      <w:pPr>
        <w:rPr>
          <w:rFonts w:eastAsia="Arial" w:cs="Arial"/>
          <w:color w:val="000000" w:themeColor="text1"/>
        </w:rPr>
      </w:pPr>
      <w:r w:rsidRPr="5F48C630">
        <w:rPr>
          <w:rFonts w:eastAsia="Arial" w:cs="Arial"/>
        </w:rPr>
        <w:t xml:space="preserve">In May 2018, the SBE approved the methodology for calculating the one-year graduation rate and directed the CDE to conduct analyses of enrollment data when it became available </w:t>
      </w:r>
      <w:r w:rsidRPr="5F48C630">
        <w:rPr>
          <w:rFonts w:eastAsia="Arial" w:cs="Arial"/>
          <w:color w:val="000000" w:themeColor="text1"/>
        </w:rPr>
        <w:t>(</w:t>
      </w:r>
      <w:hyperlink r:id="rId117" w:tooltip="Methodology for calculating the one-year graduation rate">
        <w:r w:rsidRPr="5F48C630">
          <w:rPr>
            <w:rStyle w:val="Hyperlink"/>
            <w:rFonts w:eastAsia="Arial" w:cs="Arial"/>
          </w:rPr>
          <w:t>https://www.cde.ca.gov/be/ag/ag/yr18/documents/may18item02.docx</w:t>
        </w:r>
      </w:hyperlink>
      <w:r w:rsidRPr="5F48C630">
        <w:rPr>
          <w:rFonts w:eastAsia="Arial" w:cs="Arial"/>
          <w:color w:val="000000" w:themeColor="text1"/>
        </w:rPr>
        <w:t>).</w:t>
      </w:r>
    </w:p>
    <w:p w14:paraId="5A06F523" w14:textId="69F07CD8" w:rsidR="2F2D5B6D" w:rsidRPr="00D8764F" w:rsidRDefault="2F2D5B6D" w:rsidP="5F48C630">
      <w:pPr>
        <w:rPr>
          <w:rFonts w:eastAsia="Arial" w:cs="Arial"/>
        </w:rPr>
      </w:pPr>
      <w:r w:rsidRPr="5F48C630">
        <w:rPr>
          <w:rFonts w:eastAsia="Arial" w:cs="Arial"/>
        </w:rPr>
        <w:t xml:space="preserve">In September 2019, the SBE approved a modified set of Status cut scores for DASS schools and approved the incorporation of the California Alternate Assessment for the </w:t>
      </w:r>
      <w:r w:rsidRPr="5F48C630">
        <w:rPr>
          <w:rFonts w:eastAsia="Arial" w:cs="Arial"/>
        </w:rPr>
        <w:lastRenderedPageBreak/>
        <w:t>Academic Indicator. (</w:t>
      </w:r>
      <w:hyperlink r:id="rId118" w:tooltip="Approved the incorporation of the California Alternate Assessment for the Academic Indicator">
        <w:r w:rsidRPr="5F48C630">
          <w:rPr>
            <w:rStyle w:val="Hyperlink"/>
            <w:rFonts w:eastAsia="Arial" w:cs="Arial"/>
          </w:rPr>
          <w:t>https://www.cde.ca.gov/be/ag/ag/yr19/documents/sep19item01.docx</w:t>
        </w:r>
      </w:hyperlink>
      <w:r w:rsidRPr="5F48C630">
        <w:rPr>
          <w:rFonts w:eastAsia="Arial" w:cs="Arial"/>
        </w:rPr>
        <w:t>)</w:t>
      </w:r>
    </w:p>
    <w:p w14:paraId="0E9DE1B2" w14:textId="23A2A6D9" w:rsidR="2F2D5B6D" w:rsidRPr="00D8764F" w:rsidRDefault="2F2D5B6D" w:rsidP="5F48C630">
      <w:pPr>
        <w:rPr>
          <w:rFonts w:eastAsia="Arial" w:cs="Arial"/>
          <w:color w:val="000000" w:themeColor="text1"/>
        </w:rPr>
      </w:pPr>
      <w:r w:rsidRPr="5F48C630">
        <w:rPr>
          <w:rFonts w:eastAsia="Arial" w:cs="Arial"/>
          <w:color w:val="000000" w:themeColor="text1"/>
        </w:rPr>
        <w:t>In November 2019, with the long-term goal increasing to 90.5 percent from 90 percent as required via the federal ESSA State Plan, the SBE approved the revisions to the High and Medium Status cut scores for comprehensive non-DASS high schools and the High and Very High Status cut scores for DASS schools. (</w:t>
      </w:r>
      <w:hyperlink r:id="rId119" w:tooltip="SBE approved the revisions to the High and Medium Status cut scores">
        <w:r w:rsidRPr="5F48C630">
          <w:rPr>
            <w:rStyle w:val="Hyperlink"/>
            <w:rFonts w:eastAsia="Arial" w:cs="Arial"/>
          </w:rPr>
          <w:t>https://www.cde.ca.gov/be/ag/ag/yr19/documents/nov19item05rev.docx</w:t>
        </w:r>
      </w:hyperlink>
      <w:r w:rsidRPr="5F48C630">
        <w:rPr>
          <w:rFonts w:eastAsia="Arial" w:cs="Arial"/>
          <w:color w:val="000000" w:themeColor="text1"/>
        </w:rPr>
        <w:t>)</w:t>
      </w:r>
    </w:p>
    <w:p w14:paraId="1F5AC5C2" w14:textId="265B37A3" w:rsidR="2F2D5B6D" w:rsidRPr="00D8764F" w:rsidRDefault="2F2D5B6D" w:rsidP="5F48C630">
      <w:pPr>
        <w:rPr>
          <w:rFonts w:eastAsia="Arial" w:cs="Arial"/>
          <w:color w:val="000000" w:themeColor="text1"/>
        </w:rPr>
      </w:pPr>
      <w:r w:rsidRPr="5F48C630">
        <w:rPr>
          <w:rFonts w:eastAsia="Arial" w:cs="Arial"/>
        </w:rPr>
        <w:t>In July 2019, the SBE approved the implementation of the combined graduation rate for all comprehensive non-DASS high schools. (</w:t>
      </w:r>
      <w:hyperlink r:id="rId120" w:tooltip="Implementation of the combined graduation rate for all comprehensive non-DASS high schools">
        <w:r w:rsidRPr="5F48C630">
          <w:rPr>
            <w:rStyle w:val="Hyperlink"/>
            <w:rFonts w:eastAsia="Arial" w:cs="Arial"/>
          </w:rPr>
          <w:t>https://www.cde.ca.gov/be/ag/ag/yr19/documents/jul19item01.docx</w:t>
        </w:r>
      </w:hyperlink>
      <w:r w:rsidRPr="5F48C630">
        <w:rPr>
          <w:rFonts w:eastAsia="Arial" w:cs="Arial"/>
          <w:color w:val="000000" w:themeColor="text1"/>
        </w:rPr>
        <w:t>)</w:t>
      </w:r>
    </w:p>
    <w:p w14:paraId="26E2F5F7" w14:textId="32F2043E" w:rsidR="2F2D5B6D" w:rsidRPr="00D8764F" w:rsidRDefault="2F2D5B6D" w:rsidP="5F48C630">
      <w:pPr>
        <w:rPr>
          <w:rFonts w:eastAsia="Arial" w:cs="Arial"/>
        </w:rPr>
      </w:pPr>
      <w:r w:rsidRPr="5F48C630">
        <w:rPr>
          <w:rFonts w:eastAsia="Arial" w:cs="Arial"/>
        </w:rPr>
        <w:t>In August 2019, the SBE received an Information Memorandum identifying the enrollment data for DASS and non-DASS schools and the rates of transition from non-DASS to DASS schools during the 2017–18 and 2018–19 school years (</w:t>
      </w:r>
      <w:hyperlink r:id="rId121" w:tooltip="Information Memorandum identifying the enrollment data for DASS and non-DASS schools">
        <w:r w:rsidRPr="5F48C630">
          <w:rPr>
            <w:rStyle w:val="Hyperlink"/>
            <w:rFonts w:eastAsia="Arial" w:cs="Arial"/>
          </w:rPr>
          <w:t>https://www.cde.ca.gov/be/pn/im/documents/memo-pptb-amard-aug19item01.docx</w:t>
        </w:r>
      </w:hyperlink>
      <w:r w:rsidRPr="5F48C630">
        <w:rPr>
          <w:rFonts w:eastAsia="Arial" w:cs="Arial"/>
        </w:rPr>
        <w:t>).</w:t>
      </w:r>
    </w:p>
    <w:p w14:paraId="3AEF215A" w14:textId="59B99986" w:rsidR="2F2D5B6D" w:rsidRPr="00D8764F" w:rsidRDefault="2F2D5B6D" w:rsidP="5F48C630">
      <w:pPr>
        <w:rPr>
          <w:rFonts w:eastAsia="Arial" w:cs="Arial"/>
        </w:rPr>
      </w:pPr>
      <w:r w:rsidRPr="5F48C630">
        <w:rPr>
          <w:rFonts w:eastAsia="Arial" w:cs="Arial"/>
        </w:rPr>
        <w:t>In April 2021, the CDE provided a second analysis on the transfer patterns between non-DASS schools and DASS schools and reviewed the impact of the DASS graduation rate on school transfer patterns during the 2017–18, 2018–19, and 2019–20 school years (</w:t>
      </w:r>
      <w:hyperlink r:id="rId122" w:tooltip="Second analysis on transfer patterns between non-DASS schools and DASS schools">
        <w:r w:rsidRPr="5F48C630">
          <w:rPr>
            <w:rStyle w:val="Hyperlink"/>
            <w:rFonts w:eastAsia="Arial" w:cs="Arial"/>
          </w:rPr>
          <w:t>https://www.cde.ca.gov/be/pn/im/documents/apr21memoamard01.docx</w:t>
        </w:r>
      </w:hyperlink>
      <w:r w:rsidRPr="5F48C630">
        <w:rPr>
          <w:rFonts w:eastAsia="Arial" w:cs="Arial"/>
        </w:rPr>
        <w:t>).</w:t>
      </w:r>
    </w:p>
    <w:p w14:paraId="0D5009FE" w14:textId="381763B7" w:rsidR="04457C67" w:rsidRPr="00D8764F" w:rsidRDefault="04457C67" w:rsidP="008A6B25">
      <w:pPr>
        <w:rPr>
          <w:rFonts w:eastAsia="Arial" w:cs="Arial"/>
          <w:u w:val="single"/>
        </w:rPr>
      </w:pPr>
      <w:r w:rsidRPr="5F48C630">
        <w:rPr>
          <w:rFonts w:eastAsia="Arial" w:cs="Arial"/>
        </w:rPr>
        <w:t>In February 2022, the SBE received an update to California’s Every Student Succeeds Act State Plan which included a January 12, 2022</w:t>
      </w:r>
      <w:r w:rsidR="008356E6">
        <w:rPr>
          <w:rFonts w:eastAsia="Arial" w:cs="Arial"/>
        </w:rPr>
        <w:t>,</w:t>
      </w:r>
      <w:r w:rsidRPr="5F48C630">
        <w:rPr>
          <w:rFonts w:eastAsia="Arial" w:cs="Arial"/>
        </w:rPr>
        <w:t xml:space="preserve"> letter from the ED denying the amendments approved by the SBE in January 2021 regarding the DASS modified methods. (</w:t>
      </w:r>
      <w:hyperlink r:id="rId123" w:tooltip="Update to California’s Every Student Succeeds Act State Plan">
        <w:r w:rsidRPr="5F48C630">
          <w:rPr>
            <w:rStyle w:val="Hyperlink"/>
            <w:rFonts w:eastAsia="Arial" w:cs="Arial"/>
          </w:rPr>
          <w:t>https://www.cde.ca.gov/be/pn/im/documents/feb22memogad01.docx</w:t>
        </w:r>
      </w:hyperlink>
      <w:r w:rsidRPr="5F48C630">
        <w:rPr>
          <w:rFonts w:eastAsia="Arial" w:cs="Arial"/>
        </w:rPr>
        <w:t>)</w:t>
      </w:r>
    </w:p>
    <w:p w14:paraId="6C272911" w14:textId="0637AB97" w:rsidR="04457C67" w:rsidRPr="00D8764F" w:rsidRDefault="04457C67" w:rsidP="008A6B25">
      <w:pPr>
        <w:rPr>
          <w:rFonts w:eastAsia="Arial" w:cs="Arial"/>
        </w:rPr>
      </w:pPr>
      <w:r w:rsidRPr="5F48C630">
        <w:rPr>
          <w:rFonts w:eastAsia="Arial" w:cs="Arial"/>
        </w:rPr>
        <w:t>In March 2022, the SBE approved the submission of a waiver to the ED to allow the application of the DASS modified methods to continue for the Academic and Graduation Rate Indicators (</w:t>
      </w:r>
      <w:hyperlink r:id="rId124" w:tooltip="Application of the DASS modified methods to continue for the Academic and Graduation Rate Indicators">
        <w:r w:rsidRPr="5F48C630">
          <w:rPr>
            <w:rStyle w:val="Hyperlink"/>
            <w:rFonts w:eastAsia="Arial" w:cs="Arial"/>
          </w:rPr>
          <w:t>https://www.cde.ca.gov/be/ag/ag/yr22/documents/mar22item04.docx</w:t>
        </w:r>
      </w:hyperlink>
      <w:r w:rsidRPr="5F48C630">
        <w:rPr>
          <w:rFonts w:eastAsia="Arial" w:cs="Arial"/>
        </w:rPr>
        <w:t>)</w:t>
      </w:r>
    </w:p>
    <w:p w14:paraId="55F2FECC" w14:textId="7EDB8DF7" w:rsidR="5E5F1B72" w:rsidRPr="00D8764F" w:rsidRDefault="5E5F1B72" w:rsidP="008A6B25">
      <w:pPr>
        <w:rPr>
          <w:rFonts w:eastAsia="Arial" w:cs="Arial"/>
        </w:rPr>
      </w:pPr>
      <w:r w:rsidRPr="5F48C630">
        <w:rPr>
          <w:rFonts w:eastAsia="Arial" w:cs="Arial"/>
          <w:color w:val="000000" w:themeColor="text1"/>
        </w:rPr>
        <w:t xml:space="preserve">In </w:t>
      </w:r>
      <w:r w:rsidR="2F2D5B6D" w:rsidRPr="5F48C630">
        <w:rPr>
          <w:rFonts w:eastAsia="Arial" w:cs="Arial"/>
          <w:color w:val="000000" w:themeColor="text1"/>
        </w:rPr>
        <w:t>April 2022</w:t>
      </w:r>
      <w:r w:rsidR="3E5F90A7" w:rsidRPr="5F48C630">
        <w:rPr>
          <w:rFonts w:eastAsia="Arial" w:cs="Arial"/>
          <w:color w:val="000000" w:themeColor="text1"/>
        </w:rPr>
        <w:t>, the CDE provided a</w:t>
      </w:r>
      <w:r w:rsidR="2F2D5B6D" w:rsidRPr="5F48C630">
        <w:rPr>
          <w:rFonts w:eastAsia="Arial" w:cs="Arial"/>
          <w:color w:val="000000" w:themeColor="text1"/>
        </w:rPr>
        <w:t xml:space="preserve"> </w:t>
      </w:r>
      <w:r w:rsidR="78EE1F78" w:rsidRPr="5F48C630">
        <w:rPr>
          <w:rFonts w:eastAsia="Arial" w:cs="Arial"/>
          <w:color w:val="000000" w:themeColor="text1"/>
        </w:rPr>
        <w:t xml:space="preserve">Memorandum with </w:t>
      </w:r>
      <w:r w:rsidR="78EE1F78" w:rsidRPr="5F48C630">
        <w:rPr>
          <w:rFonts w:eastAsia="Arial" w:cs="Arial"/>
        </w:rPr>
        <w:t xml:space="preserve">results of </w:t>
      </w:r>
      <w:r w:rsidR="5314564B" w:rsidRPr="5F48C630">
        <w:rPr>
          <w:rFonts w:eastAsia="Arial" w:cs="Arial"/>
        </w:rPr>
        <w:t xml:space="preserve">DASS transfer enrollment </w:t>
      </w:r>
      <w:r w:rsidR="78EE1F78" w:rsidRPr="5F48C630">
        <w:rPr>
          <w:rFonts w:eastAsia="Arial" w:cs="Arial"/>
        </w:rPr>
        <w:t>analyses based on data from the last four years (2017–18, 2018–19, 2019–20, and 2020–21).</w:t>
      </w:r>
      <w:r w:rsidR="5407B25E" w:rsidRPr="5F48C630">
        <w:rPr>
          <w:rFonts w:eastAsia="Arial" w:cs="Arial"/>
        </w:rPr>
        <w:t xml:space="preserve"> </w:t>
      </w:r>
      <w:r w:rsidR="15404102" w:rsidRPr="5F48C630">
        <w:rPr>
          <w:rFonts w:eastAsia="Arial" w:cs="Arial"/>
        </w:rPr>
        <w:t>(</w:t>
      </w:r>
      <w:hyperlink r:id="rId125" w:tooltip="Results of DASS transfer enrollment analyses based on data from 2018-2021">
        <w:r w:rsidR="2F2D5B6D" w:rsidRPr="6FF67CBA">
          <w:rPr>
            <w:rStyle w:val="Hyperlink"/>
            <w:rFonts w:eastAsia="Arial" w:cs="Arial"/>
          </w:rPr>
          <w:t>https://www.cde.ca.gov/be/pn/im/documents/apr22memoamard01.docx</w:t>
        </w:r>
      </w:hyperlink>
      <w:r w:rsidR="69A37709" w:rsidRPr="5F48C630">
        <w:rPr>
          <w:rFonts w:eastAsia="Arial" w:cs="Arial"/>
        </w:rPr>
        <w:t>)</w:t>
      </w:r>
    </w:p>
    <w:p w14:paraId="5DEF31A2" w14:textId="56D7BB74" w:rsidR="6F37D33F" w:rsidRPr="00D8764F" w:rsidRDefault="6F37D33F" w:rsidP="3145905A">
      <w:pPr>
        <w:rPr>
          <w:rFonts w:eastAsia="Arial" w:cs="Arial"/>
        </w:rPr>
      </w:pPr>
      <w:r w:rsidRPr="3145905A">
        <w:rPr>
          <w:rFonts w:eastAsia="Arial" w:cs="Arial"/>
        </w:rPr>
        <w:t xml:space="preserve">In January 2025, per SBE’s request, the CDE </w:t>
      </w:r>
      <w:r w:rsidR="00A01BAA">
        <w:rPr>
          <w:rFonts w:eastAsia="Arial" w:cs="Arial"/>
        </w:rPr>
        <w:t xml:space="preserve">is </w:t>
      </w:r>
      <w:r w:rsidRPr="3145905A">
        <w:rPr>
          <w:rFonts w:eastAsia="Arial" w:cs="Arial"/>
        </w:rPr>
        <w:t>monitor</w:t>
      </w:r>
      <w:r w:rsidR="00A01BAA">
        <w:rPr>
          <w:rFonts w:eastAsia="Arial" w:cs="Arial"/>
        </w:rPr>
        <w:t>ing the</w:t>
      </w:r>
      <w:r w:rsidRPr="3145905A">
        <w:rPr>
          <w:rFonts w:eastAsia="Arial" w:cs="Arial"/>
        </w:rPr>
        <w:t xml:space="preserve"> DASS application </w:t>
      </w:r>
      <w:r w:rsidR="00A01BAA">
        <w:rPr>
          <w:rFonts w:eastAsia="Arial" w:cs="Arial"/>
        </w:rPr>
        <w:t>process</w:t>
      </w:r>
      <w:r w:rsidRPr="3145905A">
        <w:rPr>
          <w:rFonts w:eastAsia="Arial" w:cs="Arial"/>
        </w:rPr>
        <w:t xml:space="preserve"> which include</w:t>
      </w:r>
      <w:r w:rsidR="00A01BAA">
        <w:rPr>
          <w:rFonts w:eastAsia="Arial" w:cs="Arial"/>
        </w:rPr>
        <w:t>s</w:t>
      </w:r>
      <w:r w:rsidRPr="3145905A">
        <w:rPr>
          <w:rFonts w:eastAsia="Arial" w:cs="Arial"/>
        </w:rPr>
        <w:t xml:space="preserve"> the DASS application validation process </w:t>
      </w:r>
      <w:r w:rsidR="2723818E" w:rsidRPr="3145905A">
        <w:rPr>
          <w:rFonts w:eastAsia="Arial" w:cs="Arial"/>
        </w:rPr>
        <w:t xml:space="preserve">review and </w:t>
      </w:r>
      <w:r w:rsidRPr="3145905A">
        <w:rPr>
          <w:rFonts w:eastAsia="Arial" w:cs="Arial"/>
        </w:rPr>
        <w:t>DASS application criteria and information needed to confirm high-risk populations</w:t>
      </w:r>
      <w:r w:rsidR="16E17D77" w:rsidRPr="3145905A">
        <w:rPr>
          <w:rFonts w:eastAsia="Arial" w:cs="Arial"/>
        </w:rPr>
        <w:t xml:space="preserve"> evaluation. </w:t>
      </w:r>
      <w:r w:rsidR="5EA8B423" w:rsidRPr="3145905A">
        <w:rPr>
          <w:rFonts w:eastAsia="Arial" w:cs="Arial"/>
        </w:rPr>
        <w:t>(</w:t>
      </w:r>
      <w:hyperlink r:id="rId126" w:tooltip="DASS application criteria and information needed to confirm high-risk populations evaluation">
        <w:r w:rsidR="5EA8B423" w:rsidRPr="3145905A">
          <w:rPr>
            <w:rStyle w:val="Hyperlink"/>
            <w:rFonts w:eastAsia="Arial" w:cs="Arial"/>
          </w:rPr>
          <w:t>https://www.cde.ca.gov/be/ag/ag/yr25/documents/jan25item03.docx</w:t>
        </w:r>
      </w:hyperlink>
      <w:r w:rsidR="5EA8B423" w:rsidRPr="3145905A">
        <w:rPr>
          <w:rFonts w:eastAsia="Arial" w:cs="Arial"/>
        </w:rPr>
        <w:t>).</w:t>
      </w:r>
    </w:p>
    <w:p w14:paraId="4588642C" w14:textId="77777777" w:rsidR="0018295C" w:rsidRPr="00D950C6" w:rsidRDefault="0018295C" w:rsidP="00231C14">
      <w:pPr>
        <w:pStyle w:val="Heading3"/>
        <w:rPr>
          <w:rFonts w:eastAsia="Arial"/>
          <w:color w:val="000000" w:themeColor="text1"/>
        </w:rPr>
      </w:pPr>
      <w:r w:rsidRPr="00D950C6">
        <w:lastRenderedPageBreak/>
        <w:t>Priority 1 Assignment of Teachers</w:t>
      </w:r>
    </w:p>
    <w:p w14:paraId="1C77CA9F" w14:textId="77777777" w:rsidR="0018295C" w:rsidRPr="00D950C6" w:rsidRDefault="0018295C" w:rsidP="0018295C">
      <w:pPr>
        <w:rPr>
          <w:rFonts w:eastAsia="Arial" w:cs="Arial"/>
          <w:color w:val="000000" w:themeColor="text1"/>
        </w:rPr>
      </w:pPr>
      <w:r w:rsidRPr="00D950C6">
        <w:rPr>
          <w:rFonts w:eastAsia="Arial" w:cs="Arial"/>
          <w:color w:val="000000" w:themeColor="text1"/>
        </w:rPr>
        <w:t>In November 2019, the SBE adopted updated teacher equity definitions under Every Student Succeeds Act and state reporting requirements based on feedback from LEAs (</w:t>
      </w:r>
      <w:hyperlink r:id="rId127" w:tooltip="SBE, November 2019 Item 05">
        <w:r w:rsidRPr="00D950C6">
          <w:rPr>
            <w:rStyle w:val="Hyperlink"/>
            <w:rFonts w:eastAsia="Arial" w:cs="Arial"/>
          </w:rPr>
          <w:t>https://www.cde.ca.gov/be/ag/ag/yr19/documents/nov19item05rev.docx</w:t>
        </w:r>
      </w:hyperlink>
      <w:r w:rsidRPr="00D950C6">
        <w:rPr>
          <w:rFonts w:eastAsia="Arial" w:cs="Arial"/>
          <w:color w:val="000000" w:themeColor="text1"/>
        </w:rPr>
        <w:t>).</w:t>
      </w:r>
    </w:p>
    <w:p w14:paraId="3AA4F90C" w14:textId="77777777" w:rsidR="0018295C" w:rsidRPr="00D950C6" w:rsidRDefault="0018295C" w:rsidP="0018295C">
      <w:pPr>
        <w:rPr>
          <w:rFonts w:eastAsia="Arial" w:cs="Arial"/>
          <w:color w:val="000000" w:themeColor="text1"/>
        </w:rPr>
      </w:pPr>
      <w:r w:rsidRPr="00D950C6">
        <w:rPr>
          <w:rFonts w:eastAsia="Arial" w:cs="Arial"/>
          <w:color w:val="000000" w:themeColor="text1"/>
        </w:rPr>
        <w:t>In August 2020, the SBE received an Information Memorandum which provided background information and an implementation plan for Education Code 52064.5 related to the Standards for Local Indicators (</w:t>
      </w:r>
      <w:hyperlink r:id="rId128" w:tooltip="SBE, August 2020 Item 01">
        <w:r w:rsidRPr="00D950C6">
          <w:rPr>
            <w:rStyle w:val="Hyperlink"/>
            <w:rFonts w:eastAsia="Arial" w:cs="Arial"/>
          </w:rPr>
          <w:t>https://www.cde.ca.gov/be/pn/im/documents/aug20amard01.docx</w:t>
        </w:r>
      </w:hyperlink>
      <w:r w:rsidRPr="00D950C6">
        <w:rPr>
          <w:rFonts w:eastAsia="Arial" w:cs="Arial"/>
          <w:color w:val="000000" w:themeColor="text1"/>
        </w:rPr>
        <w:t>).</w:t>
      </w:r>
    </w:p>
    <w:p w14:paraId="65F31F8B" w14:textId="77777777" w:rsidR="0018295C" w:rsidRPr="00D950C6" w:rsidRDefault="0018295C" w:rsidP="0018295C">
      <w:pPr>
        <w:rPr>
          <w:rFonts w:eastAsia="Arial" w:cs="Arial"/>
          <w:color w:val="000000" w:themeColor="text1"/>
        </w:rPr>
      </w:pPr>
      <w:r w:rsidRPr="00D950C6">
        <w:rPr>
          <w:rFonts w:eastAsia="Arial" w:cs="Arial"/>
          <w:color w:val="000000" w:themeColor="text1"/>
        </w:rPr>
        <w:t>In September 2020, the CDE presented an update on the implementation of Education Code (EC) Section 52064.5, related to local indicators. (</w:t>
      </w:r>
      <w:hyperlink r:id="rId129" w:tooltip="SBE, September 2020 Item 02">
        <w:r w:rsidRPr="00D950C6">
          <w:rPr>
            <w:rStyle w:val="Hyperlink"/>
            <w:rFonts w:eastAsia="Arial" w:cs="Arial"/>
          </w:rPr>
          <w:t>https://www.cde.ca.gov/be/ag/ag/yr20/documents/sep20item02.docx</w:t>
        </w:r>
      </w:hyperlink>
      <w:r w:rsidRPr="00D950C6">
        <w:rPr>
          <w:rFonts w:eastAsia="Arial" w:cs="Arial"/>
          <w:color w:val="000000" w:themeColor="text1"/>
        </w:rPr>
        <w:t>).</w:t>
      </w:r>
    </w:p>
    <w:p w14:paraId="3B0DFDB3" w14:textId="77777777" w:rsidR="0018295C" w:rsidRPr="00D950C6" w:rsidRDefault="0018295C" w:rsidP="0018295C">
      <w:pPr>
        <w:rPr>
          <w:rFonts w:eastAsia="Arial" w:cs="Arial"/>
          <w:color w:val="000000" w:themeColor="text1"/>
        </w:rPr>
      </w:pPr>
      <w:r w:rsidRPr="00D950C6">
        <w:rPr>
          <w:rFonts w:eastAsia="Arial" w:cs="Arial"/>
          <w:color w:val="000000" w:themeColor="text1"/>
        </w:rPr>
        <w:t>In November 2021, the CDE presented an update on ESSA state plan amendments and proposed changes to data tables related to ineffective teachers. (</w:t>
      </w:r>
      <w:hyperlink r:id="rId130" w:tooltip="SBE, November 2021 Item 06">
        <w:r w:rsidRPr="00D950C6">
          <w:rPr>
            <w:rStyle w:val="Hyperlink"/>
            <w:rFonts w:eastAsia="Arial" w:cs="Arial"/>
          </w:rPr>
          <w:t>https://www.cde.ca.gov/be/ag/ag/yr21/documents/nov21item06.docx</w:t>
        </w:r>
      </w:hyperlink>
      <w:r w:rsidRPr="00D950C6">
        <w:rPr>
          <w:rFonts w:eastAsia="Arial" w:cs="Arial"/>
          <w:color w:val="000000" w:themeColor="text1"/>
        </w:rPr>
        <w:t>).</w:t>
      </w:r>
    </w:p>
    <w:p w14:paraId="22CA8C94" w14:textId="77777777" w:rsidR="0018295C" w:rsidRPr="00D950C6" w:rsidRDefault="0018295C" w:rsidP="0018295C">
      <w:pPr>
        <w:rPr>
          <w:rFonts w:eastAsia="Arial" w:cs="Arial"/>
          <w:color w:val="000000" w:themeColor="text1"/>
        </w:rPr>
      </w:pPr>
      <w:r w:rsidRPr="00D950C6">
        <w:rPr>
          <w:rFonts w:eastAsia="Arial" w:cs="Arial"/>
          <w:color w:val="000000" w:themeColor="text1"/>
        </w:rPr>
        <w:t>In June 2022, the SBE received an Information Memorandum that announced the release of the Teaching Assignment Monitoring Outcome (AMO) by Full-Time Equivalency (FTE) reports on DataQuest. (</w:t>
      </w:r>
      <w:hyperlink r:id="rId131" w:tooltip="SBE, June 2022 Information Memorandum">
        <w:r w:rsidRPr="00D950C6">
          <w:rPr>
            <w:rStyle w:val="Hyperlink"/>
            <w:rFonts w:eastAsia="Arial" w:cs="Arial"/>
          </w:rPr>
          <w:t>https://www.cde.ca.gov/be/pn/im/documents/jun22memoamard01.docx</w:t>
        </w:r>
      </w:hyperlink>
      <w:r w:rsidRPr="00D950C6">
        <w:rPr>
          <w:rFonts w:eastAsia="Arial" w:cs="Arial"/>
          <w:color w:val="000000" w:themeColor="text1"/>
        </w:rPr>
        <w:t>)</w:t>
      </w:r>
    </w:p>
    <w:p w14:paraId="4F7FC75B" w14:textId="77777777" w:rsidR="0018295C" w:rsidRPr="00D950C6" w:rsidRDefault="0018295C" w:rsidP="0018295C">
      <w:pPr>
        <w:rPr>
          <w:rFonts w:eastAsia="Arial" w:cs="Arial"/>
          <w:color w:val="000000" w:themeColor="text1"/>
        </w:rPr>
      </w:pPr>
      <w:r w:rsidRPr="00D950C6">
        <w:rPr>
          <w:rFonts w:eastAsia="Arial" w:cs="Arial"/>
          <w:color w:val="000000" w:themeColor="text1"/>
        </w:rPr>
        <w:t>In September 2022, the SBE adopted the inclusion of a link to the Teacher Assignment Monitoring Outcomes data on the Dashboard (</w:t>
      </w:r>
      <w:hyperlink r:id="rId132" w:tooltip="SBE, June 2022 Memorandum 01">
        <w:r w:rsidRPr="00D950C6">
          <w:rPr>
            <w:rStyle w:val="Hyperlink"/>
            <w:rFonts w:eastAsia="Arial" w:cs="Arial"/>
          </w:rPr>
          <w:t>https://www.cde.ca.gov/be/pn/im/documents/jun22memoamard01.docx</w:t>
        </w:r>
      </w:hyperlink>
      <w:r w:rsidRPr="00D950C6">
        <w:rPr>
          <w:rFonts w:eastAsia="Arial" w:cs="Arial"/>
          <w:color w:val="000000" w:themeColor="text1"/>
        </w:rPr>
        <w:t>) (</w:t>
      </w:r>
      <w:hyperlink r:id="rId133" w:tooltip="SBE, September 2022 Revised Item 02">
        <w:r w:rsidRPr="00D950C6">
          <w:rPr>
            <w:rStyle w:val="Hyperlink"/>
            <w:rFonts w:eastAsia="Arial" w:cs="Arial"/>
          </w:rPr>
          <w:t>https://www.cde.ca.gov/be/ag/ag/yr22/documents/sep22item02rev.docx</w:t>
        </w:r>
      </w:hyperlink>
      <w:r w:rsidRPr="00D950C6">
        <w:rPr>
          <w:rFonts w:eastAsia="Arial" w:cs="Arial"/>
          <w:color w:val="000000" w:themeColor="text1"/>
        </w:rPr>
        <w:t>)</w:t>
      </w:r>
    </w:p>
    <w:p w14:paraId="740FD3BC" w14:textId="77777777" w:rsidR="0018295C" w:rsidRPr="00D950C6" w:rsidRDefault="0018295C" w:rsidP="0018295C">
      <w:pPr>
        <w:rPr>
          <w:rStyle w:val="Hyperlink"/>
          <w:rFonts w:eastAsia="Arial" w:cs="Arial"/>
          <w:color w:val="auto"/>
          <w:u w:val="none"/>
        </w:rPr>
      </w:pPr>
      <w:r w:rsidRPr="00D950C6">
        <w:rPr>
          <w:rFonts w:eastAsia="Arial" w:cs="Arial"/>
          <w:color w:val="000000" w:themeColor="text1"/>
        </w:rPr>
        <w:t xml:space="preserve">In November 2023, </w:t>
      </w:r>
      <w:r w:rsidRPr="00D950C6">
        <w:rPr>
          <w:rFonts w:cs="Arial"/>
        </w:rPr>
        <w:t xml:space="preserve">the SBE approved a revision of the self-reflection tool for Priority 1 to reflect the approved objective criteria from the September 2023 SBE; the 2021–22 Teacher Assignment Outcomes within Priority 1 </w:t>
      </w:r>
      <w:r w:rsidRPr="00D950C6">
        <w:rPr>
          <w:rFonts w:eastAsia="Arial" w:cs="Arial"/>
        </w:rPr>
        <w:t>(</w:t>
      </w:r>
      <w:hyperlink r:id="rId134" w:tooltip="November 2023 Item 08">
        <w:r w:rsidRPr="00D950C6">
          <w:rPr>
            <w:rStyle w:val="Hyperlink"/>
            <w:rFonts w:eastAsia="Arial" w:cs="Arial"/>
          </w:rPr>
          <w:t>https://www.cde.ca.gov/be/ag/ag/yr23/documents/nov23item08.docx</w:t>
        </w:r>
      </w:hyperlink>
      <w:r w:rsidRPr="00D950C6">
        <w:rPr>
          <w:rStyle w:val="Hyperlink"/>
          <w:rFonts w:eastAsia="Arial" w:cs="Arial"/>
          <w:color w:val="auto"/>
          <w:u w:val="none"/>
        </w:rPr>
        <w:t>).</w:t>
      </w:r>
    </w:p>
    <w:p w14:paraId="65C5278B" w14:textId="296697E2" w:rsidR="00F87917" w:rsidRPr="00D950C6" w:rsidRDefault="00F87917" w:rsidP="3145905A">
      <w:pPr>
        <w:rPr>
          <w:rFonts w:eastAsia="Arial" w:cs="Arial"/>
        </w:rPr>
      </w:pPr>
      <w:r w:rsidRPr="3145905A">
        <w:rPr>
          <w:rFonts w:eastAsia="Arial" w:cs="Arial"/>
        </w:rPr>
        <w:t>In January 202</w:t>
      </w:r>
      <w:r w:rsidR="1740DB23" w:rsidRPr="3145905A">
        <w:rPr>
          <w:rFonts w:eastAsia="Arial" w:cs="Arial"/>
        </w:rPr>
        <w:t>5</w:t>
      </w:r>
      <w:r w:rsidRPr="3145905A">
        <w:rPr>
          <w:rFonts w:eastAsia="Arial" w:cs="Arial"/>
        </w:rPr>
        <w:t>, the CDE continues to provide technical and policy support to LEAs for these reports and similar reports on the School Accountability Report Card (SARC).</w:t>
      </w:r>
      <w:r w:rsidR="5441C962" w:rsidRPr="3145905A">
        <w:rPr>
          <w:rFonts w:eastAsia="Arial" w:cs="Arial"/>
        </w:rPr>
        <w:t>(</w:t>
      </w:r>
      <w:hyperlink r:id="rId135" w:tooltip="CDE continues to provide technical and policy support to LEAs for SARC">
        <w:r w:rsidR="2B893DA0" w:rsidRPr="3145905A">
          <w:rPr>
            <w:rStyle w:val="Hyperlink"/>
            <w:rFonts w:eastAsia="Arial" w:cs="Arial"/>
          </w:rPr>
          <w:t>https://www.cde.ca.gov/be/ag/ag/yr25/documents/jan25item03.docx</w:t>
        </w:r>
      </w:hyperlink>
      <w:r w:rsidR="2B893DA0" w:rsidRPr="3145905A">
        <w:rPr>
          <w:rFonts w:eastAsia="Arial" w:cs="Arial"/>
        </w:rPr>
        <w:t>).</w:t>
      </w:r>
    </w:p>
    <w:p w14:paraId="423227C9" w14:textId="5F8A4CB1" w:rsidR="003E4DF7" w:rsidRPr="003C2B3B" w:rsidRDefault="003E4DF7" w:rsidP="003C2B3B">
      <w:pPr>
        <w:pStyle w:val="Heading2"/>
      </w:pPr>
      <w:r w:rsidRPr="003C2B3B">
        <w:t>Fiscal Analysis (as appropriate)</w:t>
      </w:r>
    </w:p>
    <w:p w14:paraId="76517D02" w14:textId="53A35F90" w:rsidR="54FB9124" w:rsidRPr="00491731" w:rsidRDefault="54FB9124" w:rsidP="00996116">
      <w:pPr>
        <w:rPr>
          <w:rFonts w:eastAsia="Arial" w:cs="Arial"/>
        </w:rPr>
      </w:pPr>
      <w:r w:rsidRPr="00491731">
        <w:rPr>
          <w:rFonts w:eastAsia="Arial" w:cs="Arial"/>
        </w:rPr>
        <w:t>California’s total kindergarten through grade twelve funding within the 202</w:t>
      </w:r>
      <w:r w:rsidR="7A0CEB6A" w:rsidRPr="00491731">
        <w:rPr>
          <w:rFonts w:eastAsia="Arial" w:cs="Arial"/>
        </w:rPr>
        <w:t>4</w:t>
      </w:r>
      <w:r w:rsidRPr="00491731">
        <w:rPr>
          <w:rFonts w:eastAsia="Arial" w:cs="Arial"/>
        </w:rPr>
        <w:t>–2</w:t>
      </w:r>
      <w:r w:rsidR="2664FEDB" w:rsidRPr="00491731">
        <w:rPr>
          <w:rFonts w:eastAsia="Arial" w:cs="Arial"/>
        </w:rPr>
        <w:t>5</w:t>
      </w:r>
      <w:r w:rsidRPr="00491731">
        <w:rPr>
          <w:rFonts w:eastAsia="Arial" w:cs="Arial"/>
        </w:rPr>
        <w:t xml:space="preserve"> California Budget Act is $1</w:t>
      </w:r>
      <w:r w:rsidR="424B7FCA" w:rsidRPr="00491731">
        <w:rPr>
          <w:rFonts w:eastAsia="Arial" w:cs="Arial"/>
        </w:rPr>
        <w:t>33</w:t>
      </w:r>
      <w:r w:rsidRPr="00491731">
        <w:rPr>
          <w:rFonts w:eastAsia="Arial" w:cs="Arial"/>
        </w:rPr>
        <w:t>.8 billion from the following sources:</w:t>
      </w:r>
    </w:p>
    <w:p w14:paraId="21EC6AE4" w14:textId="13DBDA2F" w:rsidR="54FB9124" w:rsidRPr="00491731" w:rsidRDefault="54FB9124" w:rsidP="003F6B42">
      <w:pPr>
        <w:pStyle w:val="ListParagraph"/>
        <w:numPr>
          <w:ilvl w:val="0"/>
          <w:numId w:val="6"/>
        </w:numPr>
        <w:spacing w:after="0"/>
        <w:rPr>
          <w:rFonts w:eastAsia="Arial" w:cs="Arial"/>
        </w:rPr>
      </w:pPr>
      <w:r w:rsidRPr="00491731">
        <w:rPr>
          <w:rFonts w:eastAsia="Arial" w:cs="Arial"/>
        </w:rPr>
        <w:t>State: $</w:t>
      </w:r>
      <w:r w:rsidR="13415812" w:rsidRPr="00491731">
        <w:rPr>
          <w:rFonts w:eastAsia="Arial" w:cs="Arial"/>
        </w:rPr>
        <w:t>81</w:t>
      </w:r>
      <w:r w:rsidR="01131F20" w:rsidRPr="00491731">
        <w:rPr>
          <w:rFonts w:eastAsia="Arial" w:cs="Arial"/>
        </w:rPr>
        <w:t>.</w:t>
      </w:r>
      <w:r w:rsidR="6300D5F5" w:rsidRPr="00491731">
        <w:rPr>
          <w:rFonts w:eastAsia="Arial" w:cs="Arial"/>
        </w:rPr>
        <w:t>8</w:t>
      </w:r>
      <w:r w:rsidRPr="00491731">
        <w:rPr>
          <w:rFonts w:eastAsia="Arial" w:cs="Arial"/>
        </w:rPr>
        <w:t xml:space="preserve"> billion (6</w:t>
      </w:r>
      <w:r w:rsidR="6982233E" w:rsidRPr="00491731">
        <w:rPr>
          <w:rFonts w:eastAsia="Arial" w:cs="Arial"/>
        </w:rPr>
        <w:t>1</w:t>
      </w:r>
      <w:r w:rsidRPr="00491731">
        <w:rPr>
          <w:rFonts w:eastAsia="Arial" w:cs="Arial"/>
        </w:rPr>
        <w:t>.</w:t>
      </w:r>
      <w:r w:rsidR="6F62E2C5" w:rsidRPr="00491731">
        <w:rPr>
          <w:rFonts w:eastAsia="Arial" w:cs="Arial"/>
        </w:rPr>
        <w:t>1</w:t>
      </w:r>
      <w:r w:rsidRPr="00491731">
        <w:rPr>
          <w:rFonts w:eastAsia="Arial" w:cs="Arial"/>
        </w:rPr>
        <w:t xml:space="preserve"> percent)</w:t>
      </w:r>
    </w:p>
    <w:p w14:paraId="6770CBB1" w14:textId="2A5CA75A" w:rsidR="54FB9124" w:rsidRPr="00491731" w:rsidRDefault="54FB9124" w:rsidP="003F6B42">
      <w:pPr>
        <w:pStyle w:val="ListParagraph"/>
        <w:numPr>
          <w:ilvl w:val="0"/>
          <w:numId w:val="5"/>
        </w:numPr>
        <w:spacing w:after="0"/>
        <w:rPr>
          <w:rFonts w:eastAsia="Arial" w:cs="Arial"/>
        </w:rPr>
      </w:pPr>
      <w:r w:rsidRPr="00491731">
        <w:rPr>
          <w:rFonts w:eastAsia="Arial" w:cs="Arial"/>
        </w:rPr>
        <w:t>Federal: $</w:t>
      </w:r>
      <w:r w:rsidR="7A2EAF78" w:rsidRPr="00491731">
        <w:rPr>
          <w:rFonts w:eastAsia="Arial" w:cs="Arial"/>
        </w:rPr>
        <w:t>8</w:t>
      </w:r>
      <w:r w:rsidR="7C4D708D" w:rsidRPr="00491731">
        <w:rPr>
          <w:rFonts w:eastAsia="Arial" w:cs="Arial"/>
        </w:rPr>
        <w:t>.1</w:t>
      </w:r>
      <w:r w:rsidRPr="00491731">
        <w:rPr>
          <w:rFonts w:eastAsia="Arial" w:cs="Arial"/>
        </w:rPr>
        <w:t xml:space="preserve"> billion (6.</w:t>
      </w:r>
      <w:r w:rsidR="449A2ECE" w:rsidRPr="00491731">
        <w:rPr>
          <w:rFonts w:eastAsia="Arial" w:cs="Arial"/>
        </w:rPr>
        <w:t>1</w:t>
      </w:r>
      <w:r w:rsidRPr="00491731">
        <w:rPr>
          <w:rFonts w:eastAsia="Arial" w:cs="Arial"/>
        </w:rPr>
        <w:t xml:space="preserve"> percent)</w:t>
      </w:r>
    </w:p>
    <w:p w14:paraId="41BAA801" w14:textId="3B80F2A1" w:rsidR="54FB9124" w:rsidRPr="00491731" w:rsidRDefault="54FB9124" w:rsidP="003F6B42">
      <w:pPr>
        <w:pStyle w:val="ListParagraph"/>
        <w:numPr>
          <w:ilvl w:val="0"/>
          <w:numId w:val="4"/>
        </w:numPr>
        <w:spacing w:after="0"/>
        <w:rPr>
          <w:rFonts w:eastAsia="Arial" w:cs="Arial"/>
        </w:rPr>
      </w:pPr>
      <w:r w:rsidRPr="00491731">
        <w:rPr>
          <w:rFonts w:eastAsia="Arial" w:cs="Arial"/>
        </w:rPr>
        <w:lastRenderedPageBreak/>
        <w:t>Local: $</w:t>
      </w:r>
      <w:r w:rsidR="6A3C17A2" w:rsidRPr="00491731">
        <w:rPr>
          <w:rFonts w:eastAsia="Arial" w:cs="Arial"/>
        </w:rPr>
        <w:t>42</w:t>
      </w:r>
      <w:r w:rsidR="368AF9C0" w:rsidRPr="00491731">
        <w:rPr>
          <w:rFonts w:eastAsia="Arial" w:cs="Arial"/>
        </w:rPr>
        <w:t>.</w:t>
      </w:r>
      <w:r w:rsidR="708CC179" w:rsidRPr="00491731">
        <w:rPr>
          <w:rFonts w:eastAsia="Arial" w:cs="Arial"/>
        </w:rPr>
        <w:t>5</w:t>
      </w:r>
      <w:r w:rsidR="0A247348" w:rsidRPr="00491731">
        <w:rPr>
          <w:rFonts w:eastAsia="Arial" w:cs="Arial"/>
        </w:rPr>
        <w:t xml:space="preserve"> </w:t>
      </w:r>
      <w:r w:rsidRPr="00491731">
        <w:rPr>
          <w:rFonts w:eastAsia="Arial" w:cs="Arial"/>
        </w:rPr>
        <w:t>billion (</w:t>
      </w:r>
      <w:r w:rsidR="6D5FE191" w:rsidRPr="00491731">
        <w:rPr>
          <w:rFonts w:eastAsia="Arial" w:cs="Arial"/>
        </w:rPr>
        <w:t>31</w:t>
      </w:r>
      <w:r w:rsidRPr="00491731">
        <w:rPr>
          <w:rFonts w:eastAsia="Arial" w:cs="Arial"/>
        </w:rPr>
        <w:t>.</w:t>
      </w:r>
      <w:r w:rsidR="6B18AC5F" w:rsidRPr="00491731">
        <w:rPr>
          <w:rFonts w:eastAsia="Arial" w:cs="Arial"/>
        </w:rPr>
        <w:t>8</w:t>
      </w:r>
      <w:r w:rsidRPr="00491731">
        <w:rPr>
          <w:rFonts w:eastAsia="Arial" w:cs="Arial"/>
        </w:rPr>
        <w:t xml:space="preserve"> percent)</w:t>
      </w:r>
    </w:p>
    <w:p w14:paraId="0DD19FE4" w14:textId="7EF4FDB8" w:rsidR="54FB9124" w:rsidRPr="00491731" w:rsidRDefault="54FB9124" w:rsidP="003F6B42">
      <w:pPr>
        <w:pStyle w:val="ListParagraph"/>
        <w:numPr>
          <w:ilvl w:val="0"/>
          <w:numId w:val="3"/>
        </w:numPr>
        <w:spacing w:after="0"/>
        <w:rPr>
          <w:rFonts w:eastAsia="Arial" w:cs="Arial"/>
        </w:rPr>
      </w:pPr>
      <w:r w:rsidRPr="00491731">
        <w:rPr>
          <w:rFonts w:eastAsia="Arial" w:cs="Arial"/>
        </w:rPr>
        <w:t>Lottery $1.</w:t>
      </w:r>
      <w:r w:rsidR="1FA0E677" w:rsidRPr="00491731">
        <w:rPr>
          <w:rFonts w:eastAsia="Arial" w:cs="Arial"/>
        </w:rPr>
        <w:t>4</w:t>
      </w:r>
      <w:r w:rsidRPr="00491731">
        <w:rPr>
          <w:rFonts w:eastAsia="Arial" w:cs="Arial"/>
        </w:rPr>
        <w:t xml:space="preserve"> (1</w:t>
      </w:r>
      <w:r w:rsidR="413C5689" w:rsidRPr="00491731">
        <w:rPr>
          <w:rFonts w:eastAsia="Arial" w:cs="Arial"/>
        </w:rPr>
        <w:t>.0</w:t>
      </w:r>
      <w:r w:rsidRPr="00491731">
        <w:rPr>
          <w:rFonts w:eastAsia="Arial" w:cs="Arial"/>
        </w:rPr>
        <w:t xml:space="preserve"> percent)</w:t>
      </w:r>
    </w:p>
    <w:p w14:paraId="434C0210" w14:textId="507926B1" w:rsidR="54FB9124" w:rsidRPr="00491731" w:rsidRDefault="54FB9124" w:rsidP="00996116">
      <w:pPr>
        <w:rPr>
          <w:rFonts w:eastAsia="Arial" w:cs="Arial"/>
        </w:rPr>
      </w:pPr>
      <w:r w:rsidRPr="00491731">
        <w:rPr>
          <w:rFonts w:eastAsia="Arial" w:cs="Arial"/>
        </w:rPr>
        <w:t>The Every Student Succeeds Act funds are also typically a portion of the total federal funding amount.</w:t>
      </w:r>
    </w:p>
    <w:p w14:paraId="423227CB" w14:textId="7236D909" w:rsidR="00406F50" w:rsidRPr="00281F35" w:rsidRDefault="00406F50" w:rsidP="00281F35">
      <w:pPr>
        <w:pStyle w:val="Heading2"/>
      </w:pPr>
      <w:r w:rsidRPr="00281F35">
        <w:t>Attachment(s)</w:t>
      </w:r>
    </w:p>
    <w:p w14:paraId="41158E6B" w14:textId="116B2012" w:rsidR="2A05DCD7" w:rsidRDefault="0FCCC921" w:rsidP="003F6B42">
      <w:pPr>
        <w:pStyle w:val="ListParagraph"/>
        <w:numPr>
          <w:ilvl w:val="0"/>
          <w:numId w:val="2"/>
        </w:numPr>
        <w:rPr>
          <w:rFonts w:eastAsia="Arial" w:cs="Arial"/>
          <w:color w:val="000000" w:themeColor="text1"/>
        </w:rPr>
      </w:pPr>
      <w:r w:rsidRPr="641D0F26">
        <w:rPr>
          <w:rFonts w:eastAsia="Arial" w:cs="Arial"/>
          <w:color w:val="000000" w:themeColor="text1"/>
        </w:rPr>
        <w:t xml:space="preserve">Attachment 1: </w:t>
      </w:r>
      <w:r w:rsidR="5AA6E31C" w:rsidRPr="641D0F26">
        <w:rPr>
          <w:rFonts w:eastAsia="Arial" w:cs="Arial"/>
          <w:color w:val="000000" w:themeColor="text1"/>
        </w:rPr>
        <w:t xml:space="preserve">A Review of New and Existing </w:t>
      </w:r>
      <w:r w:rsidR="5AA6E31C" w:rsidRPr="5129101B">
        <w:rPr>
          <w:rFonts w:eastAsia="Arial" w:cs="Arial"/>
          <w:color w:val="000000" w:themeColor="text1"/>
        </w:rPr>
        <w:t>College</w:t>
      </w:r>
      <w:r w:rsidR="47F67EE3" w:rsidRPr="5129101B">
        <w:rPr>
          <w:rFonts w:eastAsia="Arial" w:cs="Arial"/>
          <w:color w:val="000000" w:themeColor="text1"/>
        </w:rPr>
        <w:t>/</w:t>
      </w:r>
      <w:r w:rsidR="5AA6E31C" w:rsidRPr="5129101B">
        <w:rPr>
          <w:rFonts w:eastAsia="Arial" w:cs="Arial"/>
          <w:color w:val="000000" w:themeColor="text1"/>
        </w:rPr>
        <w:t>Career</w:t>
      </w:r>
      <w:r w:rsidR="5AA6E31C" w:rsidRPr="641D0F26">
        <w:rPr>
          <w:rFonts w:eastAsia="Arial" w:cs="Arial"/>
          <w:color w:val="000000" w:themeColor="text1"/>
        </w:rPr>
        <w:t xml:space="preserve"> Indicator</w:t>
      </w:r>
      <w:r w:rsidR="6450B340" w:rsidRPr="641D0F26">
        <w:rPr>
          <w:rFonts w:eastAsia="Arial" w:cs="Arial"/>
          <w:color w:val="000000" w:themeColor="text1"/>
        </w:rPr>
        <w:t xml:space="preserve"> (CCI)</w:t>
      </w:r>
      <w:r w:rsidR="5AA6E31C" w:rsidRPr="641D0F26">
        <w:rPr>
          <w:rFonts w:eastAsia="Arial" w:cs="Arial"/>
          <w:color w:val="000000" w:themeColor="text1"/>
        </w:rPr>
        <w:t xml:space="preserve"> Measures</w:t>
      </w:r>
      <w:r w:rsidRPr="641D0F26">
        <w:rPr>
          <w:rFonts w:eastAsia="Arial" w:cs="Arial"/>
          <w:color w:val="000000" w:themeColor="text1"/>
        </w:rPr>
        <w:t xml:space="preserve"> (</w:t>
      </w:r>
      <w:r w:rsidR="009D7DA0" w:rsidRPr="009D7DA0">
        <w:rPr>
          <w:rFonts w:eastAsia="Arial" w:cs="Arial"/>
        </w:rPr>
        <w:t>12</w:t>
      </w:r>
      <w:r w:rsidR="32546635" w:rsidRPr="641D0F26">
        <w:rPr>
          <w:rFonts w:eastAsia="Arial" w:cs="Arial"/>
          <w:color w:val="000000" w:themeColor="text1"/>
        </w:rPr>
        <w:t xml:space="preserve"> </w:t>
      </w:r>
      <w:r w:rsidRPr="641D0F26">
        <w:rPr>
          <w:rFonts w:eastAsia="Arial" w:cs="Arial"/>
          <w:color w:val="000000" w:themeColor="text1"/>
        </w:rPr>
        <w:t>Pages)</w:t>
      </w:r>
    </w:p>
    <w:p w14:paraId="27E88827" w14:textId="6A4AB1EF" w:rsidR="2A05DCD7" w:rsidRDefault="0FCCC921" w:rsidP="003F6B42">
      <w:pPr>
        <w:pStyle w:val="ListParagraph"/>
        <w:numPr>
          <w:ilvl w:val="0"/>
          <w:numId w:val="2"/>
        </w:numPr>
        <w:rPr>
          <w:rFonts w:eastAsia="Arial" w:cs="Arial"/>
          <w:color w:val="000000" w:themeColor="text1"/>
        </w:rPr>
      </w:pPr>
      <w:r w:rsidRPr="5F48C630">
        <w:rPr>
          <w:rFonts w:eastAsia="Arial" w:cs="Arial"/>
          <w:color w:val="000000" w:themeColor="text1"/>
        </w:rPr>
        <w:t xml:space="preserve">Attachment 2: </w:t>
      </w:r>
      <w:r w:rsidR="1A2B6B51" w:rsidRPr="5F48C630">
        <w:rPr>
          <w:rFonts w:eastAsia="Arial" w:cs="Arial"/>
          <w:color w:val="000000" w:themeColor="text1"/>
        </w:rPr>
        <w:t xml:space="preserve">Options for Adoption of Growth Model Performance Categories </w:t>
      </w:r>
      <w:r w:rsidRPr="5F48C630">
        <w:rPr>
          <w:rFonts w:eastAsia="Arial" w:cs="Arial"/>
          <w:color w:val="000000" w:themeColor="text1"/>
        </w:rPr>
        <w:t>(</w:t>
      </w:r>
      <w:r w:rsidR="002E6B05" w:rsidRPr="003931A8">
        <w:rPr>
          <w:rFonts w:eastAsia="Arial" w:cs="Arial"/>
        </w:rPr>
        <w:t>5</w:t>
      </w:r>
      <w:r w:rsidRPr="5F48C630">
        <w:rPr>
          <w:rFonts w:eastAsia="Arial" w:cs="Arial"/>
          <w:color w:val="000000" w:themeColor="text1"/>
        </w:rPr>
        <w:t xml:space="preserve"> Page</w:t>
      </w:r>
      <w:r w:rsidR="00441714">
        <w:rPr>
          <w:rFonts w:eastAsia="Arial" w:cs="Arial"/>
          <w:color w:val="000000" w:themeColor="text1"/>
        </w:rPr>
        <w:t>s</w:t>
      </w:r>
      <w:r w:rsidRPr="5F48C630">
        <w:rPr>
          <w:rFonts w:eastAsia="Arial" w:cs="Arial"/>
          <w:color w:val="000000" w:themeColor="text1"/>
        </w:rPr>
        <w:t>)</w:t>
      </w:r>
    </w:p>
    <w:p w14:paraId="6935BD24" w14:textId="17220006" w:rsidR="006E2BAA" w:rsidRDefault="0FCCC921" w:rsidP="003F6B42">
      <w:pPr>
        <w:pStyle w:val="ListParagraph"/>
        <w:numPr>
          <w:ilvl w:val="0"/>
          <w:numId w:val="2"/>
        </w:numPr>
        <w:rPr>
          <w:rFonts w:eastAsia="Arial" w:cs="Arial"/>
          <w:color w:val="000000" w:themeColor="text1"/>
        </w:rPr>
      </w:pPr>
      <w:r w:rsidRPr="5F48C630">
        <w:rPr>
          <w:rFonts w:eastAsia="Arial" w:cs="Arial"/>
          <w:color w:val="000000" w:themeColor="text1"/>
        </w:rPr>
        <w:t xml:space="preserve">Attachment 3: </w:t>
      </w:r>
      <w:r w:rsidR="004B4A6B" w:rsidRPr="0C26C3EC">
        <w:rPr>
          <w:rFonts w:eastAsia="Arial" w:cs="Arial"/>
          <w:color w:val="000000" w:themeColor="text1"/>
        </w:rPr>
        <w:t xml:space="preserve">Differentiated Assistance Outcomes for Long-Term English Learners </w:t>
      </w:r>
      <w:r w:rsidR="0038596B" w:rsidRPr="0C26C3EC">
        <w:rPr>
          <w:rFonts w:eastAsia="Arial" w:cs="Arial"/>
          <w:color w:val="000000" w:themeColor="text1"/>
        </w:rPr>
        <w:t>(</w:t>
      </w:r>
      <w:r w:rsidR="00C23CA5">
        <w:rPr>
          <w:rFonts w:eastAsia="Arial" w:cs="Arial"/>
          <w:color w:val="000000" w:themeColor="text1"/>
        </w:rPr>
        <w:t>6</w:t>
      </w:r>
      <w:r w:rsidR="0038596B" w:rsidRPr="0C26C3EC">
        <w:rPr>
          <w:rFonts w:eastAsia="Arial" w:cs="Arial"/>
          <w:color w:val="000000" w:themeColor="text1"/>
        </w:rPr>
        <w:t xml:space="preserve"> Pages)</w:t>
      </w:r>
    </w:p>
    <w:p w14:paraId="512DE7E4" w14:textId="74279B6A" w:rsidR="577D445F" w:rsidRDefault="577D445F" w:rsidP="0C26C3EC">
      <w:pPr>
        <w:pStyle w:val="ListParagraph"/>
        <w:numPr>
          <w:ilvl w:val="0"/>
          <w:numId w:val="2"/>
        </w:numPr>
        <w:rPr>
          <w:rFonts w:eastAsia="Arial" w:cs="Arial"/>
          <w:color w:val="000000" w:themeColor="text1"/>
        </w:rPr>
      </w:pPr>
      <w:r w:rsidRPr="0C26C3EC">
        <w:rPr>
          <w:rFonts w:eastAsia="Arial" w:cs="Arial"/>
          <w:color w:val="000000" w:themeColor="text1"/>
        </w:rPr>
        <w:t xml:space="preserve">Attachment 4: Review Options to Incorporate Science Indicator into LCFF Eligibility </w:t>
      </w:r>
      <w:r w:rsidR="001510DB" w:rsidRPr="0C26C3EC">
        <w:rPr>
          <w:rFonts w:eastAsia="Arial" w:cs="Arial"/>
          <w:color w:val="000000" w:themeColor="text1"/>
        </w:rPr>
        <w:t>Criteria</w:t>
      </w:r>
      <w:r w:rsidRPr="0C26C3EC">
        <w:rPr>
          <w:rFonts w:eastAsia="Arial" w:cs="Arial"/>
          <w:color w:val="000000" w:themeColor="text1"/>
        </w:rPr>
        <w:t xml:space="preserve"> (</w:t>
      </w:r>
      <w:r w:rsidR="006F6656">
        <w:rPr>
          <w:rFonts w:eastAsia="Arial" w:cs="Arial"/>
          <w:color w:val="000000" w:themeColor="text1"/>
        </w:rPr>
        <w:t>3</w:t>
      </w:r>
      <w:r w:rsidRPr="0C26C3EC">
        <w:rPr>
          <w:rFonts w:eastAsia="Arial" w:cs="Arial"/>
          <w:color w:val="000000" w:themeColor="text1"/>
        </w:rPr>
        <w:t xml:space="preserve"> Pages)</w:t>
      </w:r>
    </w:p>
    <w:p w14:paraId="261AEA2E" w14:textId="3CD64E13" w:rsidR="2A05DCD7" w:rsidRDefault="006E2BAA" w:rsidP="003F6B42">
      <w:pPr>
        <w:pStyle w:val="ListParagraph"/>
        <w:numPr>
          <w:ilvl w:val="0"/>
          <w:numId w:val="2"/>
        </w:numPr>
        <w:rPr>
          <w:rFonts w:eastAsia="Arial" w:cs="Arial"/>
          <w:color w:val="000000" w:themeColor="text1"/>
        </w:rPr>
      </w:pPr>
      <w:r w:rsidRPr="0C26C3EC">
        <w:rPr>
          <w:rFonts w:eastAsia="Arial" w:cs="Arial"/>
          <w:color w:val="000000" w:themeColor="text1"/>
        </w:rPr>
        <w:t xml:space="preserve">Attachment </w:t>
      </w:r>
      <w:r w:rsidR="5799214B" w:rsidRPr="0C26C3EC">
        <w:rPr>
          <w:rFonts w:eastAsia="Arial" w:cs="Arial"/>
          <w:color w:val="000000" w:themeColor="text1"/>
        </w:rPr>
        <w:t>5</w:t>
      </w:r>
      <w:r w:rsidR="0FCCC921" w:rsidRPr="0C26C3EC">
        <w:rPr>
          <w:rFonts w:eastAsia="Arial" w:cs="Arial"/>
          <w:color w:val="000000" w:themeColor="text1"/>
        </w:rPr>
        <w:t xml:space="preserve">: </w:t>
      </w:r>
      <w:r w:rsidR="421ABE18" w:rsidRPr="5F48C630">
        <w:rPr>
          <w:rFonts w:eastAsia="Arial" w:cs="Arial"/>
          <w:color w:val="000000" w:themeColor="text1"/>
        </w:rPr>
        <w:t xml:space="preserve">Overview of Dashboard Alternative School Status Criteria </w:t>
      </w:r>
      <w:r w:rsidR="0FCCC921" w:rsidRPr="5F48C630">
        <w:rPr>
          <w:rFonts w:eastAsia="Arial" w:cs="Arial"/>
          <w:color w:val="000000" w:themeColor="text1"/>
        </w:rPr>
        <w:t>(</w:t>
      </w:r>
      <w:r w:rsidR="006F6656">
        <w:rPr>
          <w:rFonts w:eastAsia="Arial" w:cs="Arial"/>
          <w:color w:val="000000" w:themeColor="text1"/>
        </w:rPr>
        <w:t>5</w:t>
      </w:r>
      <w:r w:rsidR="00441714">
        <w:rPr>
          <w:rFonts w:eastAsia="Arial" w:cs="Arial"/>
          <w:color w:val="000000" w:themeColor="text1"/>
        </w:rPr>
        <w:t xml:space="preserve"> </w:t>
      </w:r>
      <w:r w:rsidR="0FCCC921" w:rsidRPr="5F48C630">
        <w:rPr>
          <w:rFonts w:eastAsia="Arial" w:cs="Arial"/>
          <w:color w:val="000000" w:themeColor="text1"/>
        </w:rPr>
        <w:t>Page</w:t>
      </w:r>
      <w:r w:rsidR="00441714">
        <w:rPr>
          <w:rFonts w:eastAsia="Arial" w:cs="Arial"/>
          <w:color w:val="000000" w:themeColor="text1"/>
        </w:rPr>
        <w:t>s</w:t>
      </w:r>
      <w:r w:rsidR="0FCCC921" w:rsidRPr="5F48C630">
        <w:rPr>
          <w:rFonts w:eastAsia="Arial" w:cs="Arial"/>
          <w:color w:val="000000" w:themeColor="text1"/>
        </w:rPr>
        <w:t>)</w:t>
      </w:r>
    </w:p>
    <w:p w14:paraId="41E92D49" w14:textId="4058F005" w:rsidR="465D8382" w:rsidRDefault="50DC0DCE" w:rsidP="0C26C3EC">
      <w:pPr>
        <w:pStyle w:val="ListParagraph"/>
        <w:numPr>
          <w:ilvl w:val="0"/>
          <w:numId w:val="2"/>
        </w:numPr>
        <w:rPr>
          <w:rFonts w:eastAsia="Arial" w:cs="Arial"/>
          <w:color w:val="000000" w:themeColor="text1"/>
        </w:rPr>
      </w:pPr>
      <w:r w:rsidRPr="5F48C630">
        <w:rPr>
          <w:rFonts w:eastAsia="Arial" w:cs="Arial"/>
          <w:color w:val="000000" w:themeColor="text1"/>
        </w:rPr>
        <w:t xml:space="preserve">Attachment </w:t>
      </w:r>
      <w:r w:rsidR="465D8382" w:rsidRPr="0C26C3EC">
        <w:rPr>
          <w:rFonts w:eastAsia="Arial" w:cs="Arial"/>
          <w:color w:val="000000" w:themeColor="text1"/>
        </w:rPr>
        <w:t>6: Review of Priority 1 Teacher Assignment Data (1 Page)</w:t>
      </w:r>
    </w:p>
    <w:p w14:paraId="5CF3F444" w14:textId="2B27F738" w:rsidR="50DC0DCE" w:rsidRPr="00D8764F" w:rsidRDefault="50DC0DCE" w:rsidP="003F6B42">
      <w:pPr>
        <w:pStyle w:val="ListParagraph"/>
        <w:numPr>
          <w:ilvl w:val="0"/>
          <w:numId w:val="2"/>
        </w:numPr>
        <w:rPr>
          <w:rFonts w:eastAsia="Arial" w:cs="Arial"/>
          <w:color w:val="000000" w:themeColor="text1"/>
        </w:rPr>
      </w:pPr>
      <w:r w:rsidRPr="0C26C3EC">
        <w:rPr>
          <w:rFonts w:eastAsia="Arial" w:cs="Arial"/>
          <w:color w:val="000000" w:themeColor="text1"/>
        </w:rPr>
        <w:t xml:space="preserve">Attachment </w:t>
      </w:r>
      <w:r w:rsidR="75C4A87E" w:rsidRPr="0C26C3EC">
        <w:rPr>
          <w:rFonts w:eastAsia="Arial" w:cs="Arial"/>
          <w:color w:val="000000" w:themeColor="text1"/>
        </w:rPr>
        <w:t>7</w:t>
      </w:r>
      <w:r w:rsidRPr="5F48C630">
        <w:rPr>
          <w:rFonts w:eastAsia="Arial" w:cs="Arial"/>
          <w:color w:val="000000" w:themeColor="text1"/>
        </w:rPr>
        <w:t xml:space="preserve">: </w:t>
      </w:r>
      <w:r w:rsidR="1AAF1F5A" w:rsidRPr="5F48C630">
        <w:rPr>
          <w:rFonts w:eastAsia="Arial" w:cs="Arial"/>
          <w:color w:val="000000" w:themeColor="text1"/>
        </w:rPr>
        <w:t>California School Dashboard Educational Outreach Activities (</w:t>
      </w:r>
      <w:r w:rsidR="00BD7405">
        <w:rPr>
          <w:rFonts w:eastAsia="Arial" w:cs="Arial"/>
          <w:color w:val="000000" w:themeColor="text1"/>
        </w:rPr>
        <w:t>2</w:t>
      </w:r>
      <w:r w:rsidR="00AD2B77">
        <w:rPr>
          <w:rFonts w:eastAsia="Arial" w:cs="Arial"/>
          <w:color w:val="000000" w:themeColor="text1"/>
        </w:rPr>
        <w:t xml:space="preserve"> </w:t>
      </w:r>
      <w:r w:rsidR="1AAF1F5A" w:rsidRPr="5F48C630">
        <w:rPr>
          <w:rFonts w:eastAsia="Arial" w:cs="Arial"/>
          <w:color w:val="000000" w:themeColor="text1"/>
        </w:rPr>
        <w:t>Page</w:t>
      </w:r>
      <w:r w:rsidR="00441714">
        <w:rPr>
          <w:rFonts w:eastAsia="Arial" w:cs="Arial"/>
          <w:color w:val="000000" w:themeColor="text1"/>
        </w:rPr>
        <w:t>s</w:t>
      </w:r>
      <w:r w:rsidR="1AAF1F5A" w:rsidRPr="5F48C630">
        <w:rPr>
          <w:rFonts w:eastAsia="Arial" w:cs="Arial"/>
          <w:color w:val="000000" w:themeColor="text1"/>
        </w:rPr>
        <w:t>)</w:t>
      </w:r>
    </w:p>
    <w:p w14:paraId="7144E05F" w14:textId="29E6320E" w:rsidR="5F48C630" w:rsidRDefault="5F48C630" w:rsidP="5F48C630">
      <w:pPr>
        <w:ind w:left="720"/>
        <w:rPr>
          <w:rFonts w:eastAsia="Arial" w:cs="Arial"/>
          <w:color w:val="000000" w:themeColor="text1"/>
        </w:rPr>
        <w:sectPr w:rsidR="5F48C630" w:rsidSect="0089621B">
          <w:headerReference w:type="default" r:id="rId136"/>
          <w:footerReference w:type="default" r:id="rId137"/>
          <w:headerReference w:type="first" r:id="rId138"/>
          <w:footerReference w:type="first" r:id="rId139"/>
          <w:type w:val="continuous"/>
          <w:pgSz w:w="12240" w:h="15840"/>
          <w:pgMar w:top="1440" w:right="1440" w:bottom="1440" w:left="1440" w:header="720" w:footer="720" w:gutter="0"/>
          <w:cols w:space="720"/>
          <w:titlePg/>
          <w:docGrid w:linePitch="360"/>
        </w:sectPr>
      </w:pPr>
      <w:r w:rsidRPr="4FB32448">
        <w:rPr>
          <w:rFonts w:eastAsia="Arial" w:cs="Arial"/>
          <w:color w:val="000000" w:themeColor="text1"/>
        </w:rPr>
        <w:br w:type="page"/>
      </w:r>
    </w:p>
    <w:p w14:paraId="2F3114AD" w14:textId="33DC4552" w:rsidR="14FAA697" w:rsidRPr="00A92916" w:rsidRDefault="14FAA697" w:rsidP="00A92916">
      <w:pPr>
        <w:pStyle w:val="Heading1"/>
        <w:jc w:val="left"/>
        <w:rPr>
          <w:sz w:val="36"/>
          <w:szCs w:val="28"/>
        </w:rPr>
      </w:pPr>
      <w:r w:rsidRPr="00A92916">
        <w:rPr>
          <w:sz w:val="36"/>
          <w:szCs w:val="28"/>
        </w:rPr>
        <w:lastRenderedPageBreak/>
        <w:t xml:space="preserve">Attachment </w:t>
      </w:r>
      <w:r w:rsidR="1071DAFA" w:rsidRPr="00A92916">
        <w:rPr>
          <w:sz w:val="36"/>
          <w:szCs w:val="28"/>
        </w:rPr>
        <w:t>1</w:t>
      </w:r>
    </w:p>
    <w:p w14:paraId="372DE3B8" w14:textId="3FFDA9BA" w:rsidR="7EDFC931" w:rsidRPr="00C128DA" w:rsidRDefault="18F48005" w:rsidP="00DA5325">
      <w:pPr>
        <w:pStyle w:val="Heading2"/>
        <w:spacing w:after="120"/>
        <w:rPr>
          <w:sz w:val="28"/>
          <w:szCs w:val="22"/>
        </w:rPr>
      </w:pPr>
      <w:r w:rsidRPr="00C128DA">
        <w:rPr>
          <w:sz w:val="28"/>
          <w:szCs w:val="22"/>
        </w:rPr>
        <w:t>A Review of New and Existing College</w:t>
      </w:r>
      <w:r w:rsidR="0A5B62A7" w:rsidRPr="00C128DA">
        <w:rPr>
          <w:sz w:val="28"/>
          <w:szCs w:val="22"/>
        </w:rPr>
        <w:t>/</w:t>
      </w:r>
      <w:r w:rsidRPr="00C128DA">
        <w:rPr>
          <w:sz w:val="28"/>
          <w:szCs w:val="22"/>
        </w:rPr>
        <w:t>Career Indicator (CCI) Measures</w:t>
      </w:r>
    </w:p>
    <w:p w14:paraId="5487F3A9" w14:textId="636616FE" w:rsidR="5F48C630" w:rsidRPr="0089273A" w:rsidRDefault="000848D8" w:rsidP="00DA5325">
      <w:pPr>
        <w:spacing w:before="0"/>
        <w:rPr>
          <w:rFonts w:eastAsia="Arial" w:cs="Arial"/>
          <w:color w:val="000000" w:themeColor="text1"/>
        </w:rPr>
      </w:pPr>
      <w:r>
        <w:t xml:space="preserve">The 2025 Accountability Workplan </w:t>
      </w:r>
      <w:r w:rsidR="00694EA2">
        <w:t>provides</w:t>
      </w:r>
      <w:r w:rsidR="00694EA2">
        <w:rPr>
          <w:rFonts w:eastAsia="Arial"/>
        </w:rPr>
        <w:t xml:space="preserve"> </w:t>
      </w:r>
      <w:r w:rsidR="00A83486" w:rsidRPr="0C26C3EC">
        <w:rPr>
          <w:rFonts w:eastAsia="Arial" w:cs="Arial"/>
          <w:color w:val="000000" w:themeColor="text1"/>
        </w:rPr>
        <w:t xml:space="preserve">the </w:t>
      </w:r>
      <w:r w:rsidR="008E3B2C">
        <w:rPr>
          <w:rFonts w:eastAsia="Arial" w:cs="Arial"/>
          <w:color w:val="000000" w:themeColor="text1"/>
        </w:rPr>
        <w:t>State Board of Education (</w:t>
      </w:r>
      <w:r w:rsidR="00A83486" w:rsidRPr="0C26C3EC">
        <w:rPr>
          <w:rFonts w:eastAsia="Arial" w:cs="Arial"/>
          <w:color w:val="000000" w:themeColor="text1"/>
        </w:rPr>
        <w:t>SBE</w:t>
      </w:r>
      <w:r w:rsidR="008E3B2C">
        <w:rPr>
          <w:rFonts w:eastAsia="Arial" w:cs="Arial"/>
          <w:color w:val="000000" w:themeColor="text1"/>
        </w:rPr>
        <w:t>)</w:t>
      </w:r>
      <w:r w:rsidR="00A83486" w:rsidRPr="0C26C3EC">
        <w:rPr>
          <w:rFonts w:eastAsia="Arial" w:cs="Arial"/>
          <w:color w:val="000000" w:themeColor="text1"/>
        </w:rPr>
        <w:t xml:space="preserve"> </w:t>
      </w:r>
      <w:r w:rsidR="00694EA2">
        <w:rPr>
          <w:rFonts w:eastAsia="Arial" w:cs="Arial"/>
          <w:color w:val="000000" w:themeColor="text1"/>
        </w:rPr>
        <w:t>an opportunity to adapt the</w:t>
      </w:r>
      <w:r w:rsidR="00694EA2" w:rsidRPr="0C26C3EC">
        <w:rPr>
          <w:rFonts w:eastAsia="Arial" w:cs="Arial"/>
          <w:color w:val="000000" w:themeColor="text1"/>
        </w:rPr>
        <w:t xml:space="preserve"> College/Career Indicator (CCI)</w:t>
      </w:r>
      <w:r w:rsidR="00694EA2">
        <w:rPr>
          <w:rFonts w:eastAsia="Arial" w:cs="Arial"/>
          <w:color w:val="000000" w:themeColor="text1"/>
        </w:rPr>
        <w:t xml:space="preserve"> to the evolving nature of college and career preparation in California’s schools and </w:t>
      </w:r>
      <w:r w:rsidR="00991E26">
        <w:rPr>
          <w:rFonts w:eastAsia="Arial" w:cs="Arial"/>
          <w:color w:val="000000" w:themeColor="text1"/>
        </w:rPr>
        <w:t>align the measures with</w:t>
      </w:r>
      <w:r w:rsidR="001F5B09">
        <w:rPr>
          <w:rFonts w:eastAsia="Arial" w:cs="Arial"/>
          <w:color w:val="000000" w:themeColor="text1"/>
        </w:rPr>
        <w:t xml:space="preserve"> </w:t>
      </w:r>
      <w:r w:rsidR="00122DDD">
        <w:rPr>
          <w:rFonts w:eastAsia="Arial" w:cs="Arial"/>
          <w:color w:val="000000" w:themeColor="text1"/>
        </w:rPr>
        <w:t xml:space="preserve">course taking </w:t>
      </w:r>
      <w:r w:rsidR="001F5B09">
        <w:rPr>
          <w:rFonts w:eastAsia="Arial" w:cs="Arial"/>
          <w:color w:val="000000" w:themeColor="text1"/>
        </w:rPr>
        <w:t xml:space="preserve">data </w:t>
      </w:r>
      <w:r w:rsidR="00122DDD">
        <w:rPr>
          <w:rFonts w:eastAsia="Arial" w:cs="Arial"/>
          <w:color w:val="000000" w:themeColor="text1"/>
        </w:rPr>
        <w:t>collected</w:t>
      </w:r>
      <w:r w:rsidR="00694EA2">
        <w:rPr>
          <w:rFonts w:eastAsia="Arial" w:cs="Arial"/>
          <w:color w:val="000000" w:themeColor="text1"/>
        </w:rPr>
        <w:t xml:space="preserve"> </w:t>
      </w:r>
      <w:r w:rsidR="003E437B">
        <w:rPr>
          <w:rFonts w:eastAsia="Arial" w:cs="Arial"/>
          <w:color w:val="000000" w:themeColor="text1"/>
        </w:rPr>
        <w:t xml:space="preserve">by the </w:t>
      </w:r>
      <w:r w:rsidR="00694EA2">
        <w:rPr>
          <w:rFonts w:eastAsia="Arial" w:cs="Arial"/>
          <w:color w:val="000000" w:themeColor="text1"/>
        </w:rPr>
        <w:t>California Department of Education (</w:t>
      </w:r>
      <w:r w:rsidR="00694EA2" w:rsidRPr="0089273A">
        <w:rPr>
          <w:rFonts w:eastAsia="Arial" w:cs="Arial"/>
          <w:color w:val="000000" w:themeColor="text1"/>
        </w:rPr>
        <w:t xml:space="preserve">CDE). </w:t>
      </w:r>
      <w:r w:rsidR="00AC389D" w:rsidRPr="0089273A">
        <w:rPr>
          <w:rFonts w:eastAsia="Arial" w:cs="Arial"/>
          <w:color w:val="000000" w:themeColor="text1"/>
        </w:rPr>
        <w:t xml:space="preserve">Attachment </w:t>
      </w:r>
      <w:r w:rsidR="00122DDD" w:rsidRPr="0089273A">
        <w:rPr>
          <w:rFonts w:eastAsia="Arial" w:cs="Arial"/>
          <w:color w:val="000000" w:themeColor="text1"/>
        </w:rPr>
        <w:t xml:space="preserve">1 </w:t>
      </w:r>
      <w:r w:rsidR="00AC389D" w:rsidRPr="0089273A">
        <w:rPr>
          <w:rFonts w:eastAsia="Arial" w:cs="Arial"/>
          <w:color w:val="000000" w:themeColor="text1"/>
        </w:rPr>
        <w:t xml:space="preserve">provides an update on this ongoing work </w:t>
      </w:r>
      <w:r w:rsidR="00A83486" w:rsidRPr="0089273A">
        <w:rPr>
          <w:rFonts w:eastAsia="Arial" w:cs="Arial"/>
          <w:color w:val="000000" w:themeColor="text1"/>
        </w:rPr>
        <w:t xml:space="preserve">to review the scope and direction of </w:t>
      </w:r>
      <w:r w:rsidR="00AC389D" w:rsidRPr="0089273A">
        <w:rPr>
          <w:rFonts w:eastAsia="Arial" w:cs="Arial"/>
          <w:color w:val="000000" w:themeColor="text1"/>
        </w:rPr>
        <w:t xml:space="preserve">the CCI </w:t>
      </w:r>
      <w:r w:rsidR="00A83486" w:rsidRPr="0089273A">
        <w:rPr>
          <w:rFonts w:eastAsia="Arial" w:cs="Arial"/>
          <w:color w:val="000000" w:themeColor="text1"/>
        </w:rPr>
        <w:t>on the current and future year</w:t>
      </w:r>
      <w:r w:rsidR="00314CED" w:rsidRPr="0089273A">
        <w:rPr>
          <w:rFonts w:eastAsia="Arial" w:cs="Arial"/>
          <w:color w:val="000000" w:themeColor="text1"/>
        </w:rPr>
        <w:t xml:space="preserve">s </w:t>
      </w:r>
      <w:r w:rsidR="005036F4" w:rsidRPr="0089273A">
        <w:rPr>
          <w:rFonts w:eastAsia="Arial" w:cs="Arial"/>
          <w:color w:val="000000" w:themeColor="text1"/>
        </w:rPr>
        <w:t>o</w:t>
      </w:r>
      <w:r w:rsidR="00824C83" w:rsidRPr="0089273A">
        <w:rPr>
          <w:rFonts w:eastAsia="Arial" w:cs="Arial"/>
          <w:color w:val="000000" w:themeColor="text1"/>
        </w:rPr>
        <w:t>f the California School</w:t>
      </w:r>
      <w:r w:rsidR="00A83486" w:rsidRPr="0089273A">
        <w:rPr>
          <w:rFonts w:eastAsia="Arial" w:cs="Arial"/>
          <w:color w:val="000000" w:themeColor="text1"/>
        </w:rPr>
        <w:t xml:space="preserve"> Dashboard</w:t>
      </w:r>
      <w:r w:rsidR="00824C83" w:rsidRPr="0089273A">
        <w:rPr>
          <w:rFonts w:eastAsia="Arial" w:cs="Arial"/>
          <w:color w:val="000000" w:themeColor="text1"/>
        </w:rPr>
        <w:t xml:space="preserve"> (Dashboard)</w:t>
      </w:r>
      <w:r w:rsidR="00A83486" w:rsidRPr="0089273A">
        <w:rPr>
          <w:rFonts w:eastAsia="Arial" w:cs="Arial"/>
          <w:color w:val="000000" w:themeColor="text1"/>
        </w:rPr>
        <w:t>.</w:t>
      </w:r>
      <w:r w:rsidR="00AF706C" w:rsidRPr="0089273A">
        <w:rPr>
          <w:rFonts w:eastAsia="Arial" w:cs="Arial"/>
          <w:color w:val="000000" w:themeColor="text1"/>
        </w:rPr>
        <w:t xml:space="preserve"> </w:t>
      </w:r>
      <w:r w:rsidR="6D1A8A36" w:rsidRPr="0089273A">
        <w:rPr>
          <w:rFonts w:eastAsia="Arial" w:cs="Arial"/>
          <w:color w:val="000000" w:themeColor="text1"/>
        </w:rPr>
        <w:t xml:space="preserve">Table </w:t>
      </w:r>
      <w:r w:rsidR="002A7AE0" w:rsidRPr="0089273A">
        <w:rPr>
          <w:rFonts w:eastAsia="Arial" w:cs="Arial"/>
          <w:color w:val="000000" w:themeColor="text1"/>
        </w:rPr>
        <w:t>1</w:t>
      </w:r>
      <w:r w:rsidR="6D1A8A36" w:rsidRPr="0089273A">
        <w:rPr>
          <w:rFonts w:eastAsia="Arial" w:cs="Arial"/>
          <w:color w:val="000000" w:themeColor="text1"/>
        </w:rPr>
        <w:t xml:space="preserve"> provides the details of CDE’s work in 2025 to fulfill this objective</w:t>
      </w:r>
      <w:r w:rsidR="0060197E" w:rsidRPr="0089273A">
        <w:rPr>
          <w:rFonts w:eastAsia="Arial" w:cs="Arial"/>
          <w:color w:val="000000" w:themeColor="text1"/>
        </w:rPr>
        <w:t xml:space="preserve"> and the </w:t>
      </w:r>
      <w:r w:rsidR="00F133AB" w:rsidRPr="0089273A">
        <w:rPr>
          <w:rFonts w:eastAsia="Arial" w:cs="Arial"/>
          <w:color w:val="000000" w:themeColor="text1"/>
        </w:rPr>
        <w:t xml:space="preserve">items </w:t>
      </w:r>
      <w:r w:rsidR="00AF354F" w:rsidRPr="0089273A">
        <w:rPr>
          <w:rFonts w:eastAsia="Arial" w:cs="Arial"/>
          <w:color w:val="000000" w:themeColor="text1"/>
        </w:rPr>
        <w:t>presented at</w:t>
      </w:r>
      <w:r w:rsidR="00F133AB" w:rsidRPr="0089273A">
        <w:rPr>
          <w:rFonts w:eastAsia="Arial" w:cs="Arial"/>
          <w:color w:val="000000" w:themeColor="text1"/>
        </w:rPr>
        <w:t xml:space="preserve"> </w:t>
      </w:r>
      <w:r w:rsidR="00AF354F" w:rsidRPr="0089273A">
        <w:rPr>
          <w:rFonts w:eastAsia="Arial" w:cs="Arial"/>
          <w:color w:val="000000" w:themeColor="text1"/>
        </w:rPr>
        <w:t>prior and upcoming</w:t>
      </w:r>
      <w:r w:rsidR="00F133AB" w:rsidRPr="0089273A">
        <w:rPr>
          <w:rFonts w:eastAsia="Arial" w:cs="Arial"/>
          <w:color w:val="000000" w:themeColor="text1"/>
        </w:rPr>
        <w:t xml:space="preserve"> SBE and California Practitioners Advisory Group (CPAG) </w:t>
      </w:r>
      <w:r w:rsidR="00AF354F" w:rsidRPr="0089273A">
        <w:rPr>
          <w:rFonts w:eastAsia="Arial" w:cs="Arial"/>
          <w:color w:val="000000" w:themeColor="text1"/>
        </w:rPr>
        <w:t>m</w:t>
      </w:r>
      <w:r w:rsidR="00F133AB" w:rsidRPr="0089273A">
        <w:rPr>
          <w:rFonts w:eastAsia="Arial" w:cs="Arial"/>
          <w:color w:val="000000" w:themeColor="text1"/>
        </w:rPr>
        <w:t>eetings</w:t>
      </w:r>
      <w:r w:rsidR="6D1A8A36" w:rsidRPr="0089273A">
        <w:rPr>
          <w:rFonts w:eastAsia="Arial" w:cs="Arial"/>
          <w:color w:val="000000" w:themeColor="text1"/>
        </w:rPr>
        <w:t>.</w:t>
      </w:r>
    </w:p>
    <w:p w14:paraId="7E104C40" w14:textId="670BF9F5" w:rsidR="5F48C630" w:rsidRPr="00533E6D" w:rsidRDefault="19878D3F" w:rsidP="00DA5325">
      <w:pPr>
        <w:pStyle w:val="Heading3"/>
        <w:spacing w:after="120"/>
        <w:rPr>
          <w:sz w:val="24"/>
          <w:szCs w:val="20"/>
        </w:rPr>
      </w:pPr>
      <w:r w:rsidRPr="00533E6D">
        <w:rPr>
          <w:sz w:val="24"/>
          <w:szCs w:val="20"/>
        </w:rPr>
        <w:t xml:space="preserve">Table </w:t>
      </w:r>
      <w:r w:rsidR="002A7AE0" w:rsidRPr="00533E6D">
        <w:rPr>
          <w:sz w:val="24"/>
          <w:szCs w:val="20"/>
        </w:rPr>
        <w:t>1</w:t>
      </w:r>
      <w:r w:rsidRPr="00533E6D">
        <w:rPr>
          <w:sz w:val="24"/>
          <w:szCs w:val="20"/>
        </w:rPr>
        <w:t>: Timeline of Ongoing Developmental Activities for the College/Career Indicator in the 2025 Accountability Workplan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imeline of Ongoing Developmental Activities for the College/Career Indicator in the 2025 Accountability Workplan"/>
        <w:tblDescription w:val="Timeline of Ongoing Developmental Activities for the College/Career Indicator in the 2025 Accountability Workplan"/>
      </w:tblPr>
      <w:tblGrid>
        <w:gridCol w:w="1695"/>
        <w:gridCol w:w="1248"/>
        <w:gridCol w:w="2183"/>
        <w:gridCol w:w="2020"/>
        <w:gridCol w:w="2215"/>
      </w:tblGrid>
      <w:tr w:rsidR="0C26C3EC" w14:paraId="599F30D1" w14:textId="77777777" w:rsidTr="00DA5325">
        <w:trPr>
          <w:cantSplit/>
          <w:trHeight w:val="300"/>
          <w:tblHeader/>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5C0A5F06" w14:textId="09F3DFF7" w:rsidR="0C26C3EC" w:rsidRDefault="0C26C3EC" w:rsidP="0C26C3EC">
            <w:pPr>
              <w:contextualSpacing/>
              <w:jc w:val="center"/>
              <w:rPr>
                <w:rFonts w:eastAsia="Arial" w:cs="Arial"/>
                <w:color w:val="000000" w:themeColor="text1"/>
              </w:rPr>
            </w:pPr>
            <w:r w:rsidRPr="0C26C3EC">
              <w:rPr>
                <w:rFonts w:eastAsia="Arial" w:cs="Arial"/>
                <w:b/>
                <w:bCs/>
                <w:color w:val="000000" w:themeColor="text1"/>
              </w:rPr>
              <w:t>Subject</w:t>
            </w:r>
          </w:p>
        </w:tc>
        <w:tc>
          <w:tcPr>
            <w:tcW w:w="1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69FA7D4B" w14:textId="0BF2A1CC" w:rsidR="0C26C3EC" w:rsidRDefault="0C26C3EC" w:rsidP="0C26C3EC">
            <w:pPr>
              <w:contextualSpacing/>
              <w:jc w:val="center"/>
              <w:rPr>
                <w:rFonts w:eastAsia="Arial" w:cs="Arial"/>
                <w:color w:val="000000" w:themeColor="text1"/>
              </w:rPr>
            </w:pPr>
            <w:r w:rsidRPr="0C26C3EC">
              <w:rPr>
                <w:rFonts w:eastAsia="Arial" w:cs="Arial"/>
                <w:b/>
                <w:bCs/>
                <w:color w:val="000000" w:themeColor="text1"/>
              </w:rPr>
              <w:t>March 2025</w:t>
            </w:r>
            <w:r w:rsidR="006E7607">
              <w:rPr>
                <w:rFonts w:eastAsia="Arial" w:cs="Arial"/>
                <w:b/>
                <w:bCs/>
                <w:color w:val="000000" w:themeColor="text1"/>
              </w:rPr>
              <w:t xml:space="preserve"> </w:t>
            </w:r>
            <w:r w:rsidRPr="0C26C3EC">
              <w:rPr>
                <w:rFonts w:eastAsia="Arial" w:cs="Arial"/>
                <w:b/>
                <w:bCs/>
                <w:color w:val="000000" w:themeColor="text1"/>
              </w:rPr>
              <w:t>SBE Meeting</w:t>
            </w:r>
          </w:p>
        </w:tc>
        <w:tc>
          <w:tcPr>
            <w:tcW w:w="21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D84928B" w14:textId="6EE25123" w:rsidR="0C26C3EC" w:rsidRDefault="0C26C3EC" w:rsidP="0C26C3EC">
            <w:pPr>
              <w:contextualSpacing/>
              <w:jc w:val="center"/>
              <w:rPr>
                <w:rFonts w:eastAsia="Arial" w:cs="Arial"/>
                <w:b/>
                <w:color w:val="000000" w:themeColor="text1"/>
              </w:rPr>
            </w:pPr>
            <w:r w:rsidRPr="0C26C3EC">
              <w:rPr>
                <w:rFonts w:eastAsia="Arial" w:cs="Arial"/>
                <w:b/>
                <w:bCs/>
                <w:color w:val="000000" w:themeColor="text1"/>
              </w:rPr>
              <w:t>May 2025</w:t>
            </w:r>
          </w:p>
          <w:p w14:paraId="429894DE" w14:textId="1D46E5BE" w:rsidR="0C26C3EC" w:rsidRDefault="0C26C3EC" w:rsidP="0C26C3EC">
            <w:pPr>
              <w:contextualSpacing/>
              <w:jc w:val="center"/>
              <w:rPr>
                <w:rFonts w:eastAsia="Arial" w:cs="Arial"/>
                <w:color w:val="000000" w:themeColor="text1"/>
              </w:rPr>
            </w:pPr>
            <w:r w:rsidRPr="0C26C3EC">
              <w:rPr>
                <w:rFonts w:eastAsia="Arial" w:cs="Arial"/>
                <w:b/>
                <w:bCs/>
                <w:color w:val="000000" w:themeColor="text1"/>
              </w:rPr>
              <w:t>SBE Meeting</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534AABF0" w14:textId="63980854" w:rsidR="0C26C3EC" w:rsidRDefault="0C26C3EC" w:rsidP="0C26C3EC">
            <w:pPr>
              <w:jc w:val="center"/>
              <w:rPr>
                <w:rFonts w:eastAsia="Arial" w:cs="Arial"/>
                <w:color w:val="000000" w:themeColor="text1"/>
              </w:rPr>
            </w:pPr>
            <w:r w:rsidRPr="0C26C3EC">
              <w:rPr>
                <w:rFonts w:eastAsia="Arial" w:cs="Arial"/>
                <w:b/>
                <w:bCs/>
                <w:color w:val="000000" w:themeColor="text1"/>
              </w:rPr>
              <w:t>June 2025</w:t>
            </w:r>
            <w:r w:rsidR="006E7607">
              <w:rPr>
                <w:rFonts w:eastAsia="Arial" w:cs="Arial"/>
                <w:b/>
                <w:bCs/>
                <w:color w:val="000000" w:themeColor="text1"/>
              </w:rPr>
              <w:t xml:space="preserve"> </w:t>
            </w:r>
            <w:r w:rsidRPr="0C26C3EC">
              <w:rPr>
                <w:rFonts w:eastAsia="Arial" w:cs="Arial"/>
                <w:b/>
                <w:bCs/>
                <w:color w:val="000000" w:themeColor="text1"/>
              </w:rPr>
              <w:t>CPAG Meeting</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9ECA939" w14:textId="620143A3" w:rsidR="0C26C3EC" w:rsidRDefault="0C26C3EC" w:rsidP="0C26C3EC">
            <w:pPr>
              <w:contextualSpacing/>
              <w:jc w:val="center"/>
              <w:rPr>
                <w:rFonts w:eastAsia="Arial" w:cs="Arial"/>
                <w:color w:val="000000" w:themeColor="text1"/>
              </w:rPr>
            </w:pPr>
            <w:r w:rsidRPr="0C26C3EC">
              <w:rPr>
                <w:rFonts w:eastAsia="Arial" w:cs="Arial"/>
                <w:b/>
                <w:bCs/>
                <w:color w:val="000000" w:themeColor="text1"/>
              </w:rPr>
              <w:t>July 2025</w:t>
            </w:r>
          </w:p>
          <w:p w14:paraId="6FEB45AE" w14:textId="697897D5" w:rsidR="0C26C3EC" w:rsidRDefault="0C26C3EC" w:rsidP="0C26C3EC">
            <w:pPr>
              <w:contextualSpacing/>
              <w:jc w:val="center"/>
              <w:rPr>
                <w:rFonts w:eastAsia="Arial" w:cs="Arial"/>
                <w:color w:val="000000" w:themeColor="text1"/>
              </w:rPr>
            </w:pPr>
            <w:r w:rsidRPr="0C26C3EC">
              <w:rPr>
                <w:rFonts w:eastAsia="Arial" w:cs="Arial"/>
                <w:b/>
                <w:bCs/>
                <w:color w:val="000000" w:themeColor="text1"/>
              </w:rPr>
              <w:t>SBE Meeting</w:t>
            </w:r>
          </w:p>
        </w:tc>
      </w:tr>
      <w:tr w:rsidR="0C26C3EC" w14:paraId="40596D41" w14:textId="77777777" w:rsidTr="00DA5325">
        <w:trPr>
          <w:cantSplit/>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7D03AC" w14:textId="70DC83F1" w:rsidR="0C26C3EC" w:rsidRDefault="0C26C3EC" w:rsidP="0C26C3EC">
            <w:pPr>
              <w:contextualSpacing/>
              <w:rPr>
                <w:rFonts w:eastAsia="Arial" w:cs="Arial"/>
                <w:color w:val="000000" w:themeColor="text1"/>
              </w:rPr>
            </w:pPr>
            <w:r w:rsidRPr="0C26C3EC">
              <w:rPr>
                <w:rFonts w:eastAsia="Arial" w:cs="Arial"/>
                <w:color w:val="000000" w:themeColor="text1"/>
              </w:rPr>
              <w:t>Review of currently adopted College/</w:t>
            </w:r>
            <w:r>
              <w:br/>
            </w:r>
            <w:r w:rsidRPr="0C26C3EC">
              <w:rPr>
                <w:rFonts w:eastAsia="Arial" w:cs="Arial"/>
                <w:color w:val="000000" w:themeColor="text1"/>
              </w:rPr>
              <w:t>Career Indicator components</w:t>
            </w:r>
          </w:p>
        </w:tc>
        <w:tc>
          <w:tcPr>
            <w:tcW w:w="1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A4BF6C" w14:textId="68FB612B" w:rsidR="0C26C3EC" w:rsidRDefault="0C26C3EC" w:rsidP="0C26C3EC">
            <w:pPr>
              <w:contextualSpacing/>
              <w:rPr>
                <w:rFonts w:eastAsia="Arial" w:cs="Arial"/>
                <w:color w:val="000000" w:themeColor="text1"/>
              </w:rPr>
            </w:pPr>
            <w:r w:rsidRPr="0C26C3EC">
              <w:rPr>
                <w:rFonts w:eastAsia="Arial" w:cs="Arial"/>
                <w:color w:val="000000" w:themeColor="text1"/>
              </w:rPr>
              <w:t>N/A</w:t>
            </w:r>
          </w:p>
        </w:tc>
        <w:tc>
          <w:tcPr>
            <w:tcW w:w="2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AAD0A3" w14:textId="47F82CC4" w:rsidR="0C26C3EC" w:rsidRDefault="0C26C3EC" w:rsidP="0088785B">
            <w:pPr>
              <w:pStyle w:val="ListParagraph"/>
              <w:numPr>
                <w:ilvl w:val="0"/>
                <w:numId w:val="9"/>
              </w:numPr>
              <w:spacing w:before="0" w:after="0"/>
              <w:rPr>
                <w:rFonts w:eastAsia="Arial" w:cs="Arial"/>
                <w:color w:val="000000" w:themeColor="text1"/>
              </w:rPr>
            </w:pPr>
            <w:r w:rsidRPr="0C26C3EC">
              <w:rPr>
                <w:rFonts w:eastAsia="Arial" w:cs="Arial"/>
                <w:color w:val="000000" w:themeColor="text1"/>
              </w:rPr>
              <w:t>Review of Existing Measures</w:t>
            </w:r>
          </w:p>
          <w:p w14:paraId="111AC6FD" w14:textId="1BBF6AC8" w:rsidR="0C26C3EC" w:rsidRDefault="0C26C3EC" w:rsidP="00D11ED0">
            <w:pPr>
              <w:pStyle w:val="ListParagraph"/>
              <w:numPr>
                <w:ilvl w:val="0"/>
                <w:numId w:val="9"/>
              </w:numPr>
              <w:spacing w:after="0"/>
              <w:rPr>
                <w:rFonts w:eastAsia="Arial" w:cs="Arial"/>
                <w:color w:val="000000" w:themeColor="text1"/>
              </w:rPr>
            </w:pPr>
            <w:r w:rsidRPr="0C26C3EC">
              <w:rPr>
                <w:rFonts w:eastAsia="Arial" w:cs="Arial"/>
                <w:color w:val="000000" w:themeColor="text1"/>
              </w:rPr>
              <w:t>Review of State Seal of Civic Engagement data</w:t>
            </w:r>
          </w:p>
          <w:p w14:paraId="10AC5ADE" w14:textId="4A15CFA1" w:rsidR="0C26C3EC" w:rsidRDefault="0C26C3EC" w:rsidP="00D11ED0">
            <w:pPr>
              <w:pStyle w:val="ListParagraph"/>
              <w:numPr>
                <w:ilvl w:val="0"/>
                <w:numId w:val="9"/>
              </w:numPr>
              <w:spacing w:after="0"/>
              <w:rPr>
                <w:rFonts w:eastAsia="Arial" w:cs="Arial"/>
                <w:color w:val="000000" w:themeColor="text1"/>
              </w:rPr>
            </w:pPr>
            <w:r w:rsidRPr="0C26C3EC">
              <w:rPr>
                <w:rFonts w:eastAsia="Arial" w:cs="Arial"/>
                <w:color w:val="000000" w:themeColor="text1"/>
              </w:rPr>
              <w:t>Review of data collected on Career measures</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C471D7" w14:textId="3021EAD7" w:rsidR="0C26C3EC" w:rsidRDefault="0C26C3EC" w:rsidP="0088785B">
            <w:pPr>
              <w:pStyle w:val="ListParagraph"/>
              <w:numPr>
                <w:ilvl w:val="0"/>
                <w:numId w:val="10"/>
              </w:numPr>
              <w:spacing w:before="0" w:after="0"/>
              <w:rPr>
                <w:rFonts w:eastAsia="Arial" w:cs="Arial"/>
                <w:color w:val="000000" w:themeColor="text1"/>
              </w:rPr>
            </w:pPr>
            <w:r w:rsidRPr="0C26C3EC">
              <w:rPr>
                <w:rFonts w:eastAsia="Arial" w:cs="Arial"/>
                <w:color w:val="000000" w:themeColor="text1"/>
              </w:rPr>
              <w:t>Feedback on Adoption of CCI Modifications</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0FB146" w14:textId="558FAB68" w:rsidR="0C26C3EC" w:rsidRDefault="0C26C3EC" w:rsidP="0088785B">
            <w:pPr>
              <w:pStyle w:val="ListParagraph"/>
              <w:numPr>
                <w:ilvl w:val="0"/>
                <w:numId w:val="10"/>
              </w:numPr>
              <w:spacing w:before="0" w:after="0"/>
              <w:rPr>
                <w:rFonts w:eastAsia="Arial" w:cs="Arial"/>
                <w:color w:val="000000" w:themeColor="text1"/>
              </w:rPr>
            </w:pPr>
            <w:r w:rsidRPr="0C26C3EC">
              <w:rPr>
                <w:rFonts w:eastAsia="Arial" w:cs="Arial"/>
                <w:color w:val="000000" w:themeColor="text1"/>
              </w:rPr>
              <w:t>Adoption of CCI Modifications</w:t>
            </w:r>
          </w:p>
        </w:tc>
      </w:tr>
    </w:tbl>
    <w:p w14:paraId="3F329D71" w14:textId="7D1F6ABA" w:rsidR="5F48C630" w:rsidRPr="0073084C" w:rsidRDefault="00EF05C8" w:rsidP="00E0595B">
      <w:pPr>
        <w:rPr>
          <w:rFonts w:cs="Arial"/>
        </w:rPr>
      </w:pPr>
      <w:r>
        <w:rPr>
          <w:rFonts w:eastAsia="Arial" w:cs="Arial"/>
          <w:color w:val="000000" w:themeColor="text1"/>
        </w:rPr>
        <w:t>T</w:t>
      </w:r>
      <w:r w:rsidR="00AF706C" w:rsidRPr="0C26C3EC">
        <w:rPr>
          <w:rFonts w:eastAsia="Arial" w:cs="Arial"/>
          <w:color w:val="000000" w:themeColor="text1"/>
        </w:rPr>
        <w:t>o supp</w:t>
      </w:r>
      <w:r w:rsidR="0028092B" w:rsidRPr="0C26C3EC">
        <w:rPr>
          <w:rFonts w:eastAsia="Arial" w:cs="Arial"/>
          <w:color w:val="000000" w:themeColor="text1"/>
        </w:rPr>
        <w:t xml:space="preserve">ort modifications to this measure, </w:t>
      </w:r>
      <w:r>
        <w:rPr>
          <w:rFonts w:eastAsia="Arial" w:cs="Arial"/>
          <w:color w:val="000000" w:themeColor="text1"/>
        </w:rPr>
        <w:t xml:space="preserve">this attachment </w:t>
      </w:r>
      <w:r w:rsidR="00CF401F" w:rsidRPr="0C26C3EC">
        <w:rPr>
          <w:rFonts w:eastAsia="Arial" w:cs="Arial"/>
          <w:color w:val="000000" w:themeColor="text1"/>
        </w:rPr>
        <w:t>provide</w:t>
      </w:r>
      <w:r>
        <w:rPr>
          <w:rFonts w:eastAsia="Arial" w:cs="Arial"/>
          <w:color w:val="000000" w:themeColor="text1"/>
        </w:rPr>
        <w:t>s</w:t>
      </w:r>
      <w:r w:rsidR="00CF401F" w:rsidRPr="0C26C3EC">
        <w:rPr>
          <w:rFonts w:eastAsia="Arial" w:cs="Arial"/>
          <w:color w:val="000000" w:themeColor="text1"/>
        </w:rPr>
        <w:t xml:space="preserve"> </w:t>
      </w:r>
      <w:r w:rsidR="07400E82" w:rsidRPr="5935A609">
        <w:rPr>
          <w:rFonts w:eastAsia="Arial" w:cs="Arial"/>
          <w:color w:val="000000" w:themeColor="text1"/>
        </w:rPr>
        <w:t xml:space="preserve">a review of </w:t>
      </w:r>
      <w:r w:rsidR="00CF401F" w:rsidRPr="5935A609">
        <w:rPr>
          <w:rFonts w:eastAsia="Arial" w:cs="Arial"/>
          <w:color w:val="000000" w:themeColor="text1"/>
        </w:rPr>
        <w:t>data</w:t>
      </w:r>
      <w:r w:rsidR="74B067E9" w:rsidRPr="5935A609">
        <w:rPr>
          <w:rFonts w:eastAsia="Arial" w:cs="Arial"/>
          <w:color w:val="000000" w:themeColor="text1"/>
        </w:rPr>
        <w:t xml:space="preserve"> o</w:t>
      </w:r>
      <w:r w:rsidR="00C6057E">
        <w:rPr>
          <w:rFonts w:eastAsia="Arial" w:cs="Arial"/>
          <w:color w:val="000000" w:themeColor="text1"/>
        </w:rPr>
        <w:t>f the</w:t>
      </w:r>
      <w:r w:rsidR="74B067E9" w:rsidRPr="5935A609">
        <w:rPr>
          <w:rFonts w:eastAsia="Arial" w:cs="Arial"/>
          <w:color w:val="000000" w:themeColor="text1"/>
        </w:rPr>
        <w:t xml:space="preserve"> existing measures </w:t>
      </w:r>
      <w:r w:rsidR="74B067E9" w:rsidRPr="23F6A04A">
        <w:rPr>
          <w:rFonts w:eastAsia="Arial" w:cs="Arial"/>
          <w:color w:val="000000" w:themeColor="text1"/>
        </w:rPr>
        <w:t>for</w:t>
      </w:r>
      <w:r w:rsidR="0073084C" w:rsidRPr="0C26C3EC">
        <w:rPr>
          <w:rFonts w:eastAsia="Arial" w:cs="Arial"/>
          <w:color w:val="000000" w:themeColor="text1"/>
        </w:rPr>
        <w:t xml:space="preserve"> the following</w:t>
      </w:r>
      <w:r w:rsidR="00A22520" w:rsidRPr="0C26C3EC">
        <w:rPr>
          <w:rFonts w:eastAsia="Arial" w:cs="Arial"/>
          <w:color w:val="000000" w:themeColor="text1"/>
        </w:rPr>
        <w:t xml:space="preserve"> existing CCI </w:t>
      </w:r>
      <w:r w:rsidR="0073084C" w:rsidRPr="0C26C3EC">
        <w:rPr>
          <w:rFonts w:eastAsia="Arial" w:cs="Arial"/>
          <w:color w:val="000000" w:themeColor="text1"/>
        </w:rPr>
        <w:t xml:space="preserve">components for </w:t>
      </w:r>
      <w:r w:rsidR="007F7E6C">
        <w:rPr>
          <w:rFonts w:eastAsia="Arial" w:cs="Arial"/>
          <w:color w:val="000000" w:themeColor="text1"/>
        </w:rPr>
        <w:t xml:space="preserve">the </w:t>
      </w:r>
      <w:r w:rsidR="0073084C" w:rsidRPr="0C26C3EC">
        <w:rPr>
          <w:rFonts w:eastAsia="Arial" w:cs="Arial"/>
          <w:color w:val="000000" w:themeColor="text1"/>
        </w:rPr>
        <w:t>SBE’s review</w:t>
      </w:r>
      <w:r w:rsidR="00CF401F" w:rsidRPr="0C26C3EC">
        <w:rPr>
          <w:rFonts w:eastAsia="Arial" w:cs="Arial"/>
          <w:color w:val="000000" w:themeColor="text1"/>
        </w:rPr>
        <w:t xml:space="preserve"> and possible modification in </w:t>
      </w:r>
      <w:r w:rsidR="004A4982" w:rsidRPr="0C26C3EC">
        <w:rPr>
          <w:rFonts w:eastAsia="Arial" w:cs="Arial"/>
          <w:color w:val="000000" w:themeColor="text1"/>
        </w:rPr>
        <w:t>July</w:t>
      </w:r>
      <w:r w:rsidR="00EC2E28">
        <w:rPr>
          <w:rFonts w:eastAsia="Arial" w:cs="Arial"/>
          <w:color w:val="000000" w:themeColor="text1"/>
        </w:rPr>
        <w:t xml:space="preserve"> 2025</w:t>
      </w:r>
      <w:r w:rsidR="0073084C" w:rsidRPr="0C26C3EC">
        <w:rPr>
          <w:rFonts w:eastAsia="Arial" w:cs="Arial"/>
          <w:color w:val="000000" w:themeColor="text1"/>
        </w:rPr>
        <w:t>:</w:t>
      </w:r>
    </w:p>
    <w:p w14:paraId="1D85374D" w14:textId="175F968E" w:rsidR="00561576" w:rsidRDefault="00561576" w:rsidP="00561576">
      <w:pPr>
        <w:pStyle w:val="ListParagraph"/>
        <w:numPr>
          <w:ilvl w:val="0"/>
          <w:numId w:val="1"/>
        </w:numPr>
      </w:pPr>
      <w:r>
        <w:t>College Credit Courses</w:t>
      </w:r>
    </w:p>
    <w:p w14:paraId="219161EE" w14:textId="7E7CCD64" w:rsidR="2E0789A1" w:rsidRDefault="2E0789A1" w:rsidP="5F48C630">
      <w:pPr>
        <w:pStyle w:val="ListParagraph"/>
        <w:numPr>
          <w:ilvl w:val="0"/>
          <w:numId w:val="1"/>
        </w:numPr>
      </w:pPr>
      <w:r w:rsidRPr="7FA23452">
        <w:t>Advanced Placement</w:t>
      </w:r>
      <w:r w:rsidR="00CC0CA2">
        <w:t xml:space="preserve"> (AP)</w:t>
      </w:r>
      <w:r w:rsidR="004A4982">
        <w:t>/</w:t>
      </w:r>
      <w:r w:rsidR="00CC0CA2" w:rsidRPr="00CC0CA2">
        <w:t>International Baccalaureate</w:t>
      </w:r>
      <w:r w:rsidR="00CC0CA2">
        <w:t xml:space="preserve"> (IB)</w:t>
      </w:r>
    </w:p>
    <w:p w14:paraId="356F30A4" w14:textId="7CF528F4" w:rsidR="2E0789A1" w:rsidRDefault="2E0789A1" w:rsidP="6178E98B">
      <w:pPr>
        <w:numPr>
          <w:ilvl w:val="0"/>
          <w:numId w:val="1"/>
        </w:numPr>
      </w:pPr>
      <w:r>
        <w:lastRenderedPageBreak/>
        <w:t xml:space="preserve">Regional Occupation Centers &amp; Programs (ROCP) </w:t>
      </w:r>
      <w:r w:rsidR="00300C03">
        <w:t>in the</w:t>
      </w:r>
      <w:r>
        <w:t xml:space="preserve"> State and Federal Jobs Program Measure</w:t>
      </w:r>
    </w:p>
    <w:p w14:paraId="42961AB1" w14:textId="6924E87D" w:rsidR="00314DAB" w:rsidRDefault="00B065EB" w:rsidP="00314DAB">
      <w:r>
        <w:t xml:space="preserve">Additionally, the CDE has committed to the annual review of data points </w:t>
      </w:r>
      <w:r w:rsidR="00374B0E">
        <w:t xml:space="preserve">as potential </w:t>
      </w:r>
      <w:r w:rsidR="00485B69">
        <w:t xml:space="preserve">criteria for the CCI. </w:t>
      </w:r>
      <w:r w:rsidR="00314DAB">
        <w:t xml:space="preserve">This attachment </w:t>
      </w:r>
      <w:r w:rsidR="00485B69">
        <w:t>provide</w:t>
      </w:r>
      <w:r w:rsidR="00314DAB">
        <w:t>s</w:t>
      </w:r>
      <w:r w:rsidR="00485B69">
        <w:t xml:space="preserve"> </w:t>
      </w:r>
      <w:r w:rsidR="007168DD">
        <w:t>data and analysis from the 2023</w:t>
      </w:r>
      <w:r w:rsidR="007106EF">
        <w:rPr>
          <w:rFonts w:cs="Arial"/>
        </w:rPr>
        <w:t>–</w:t>
      </w:r>
      <w:r w:rsidR="007168DD">
        <w:t>24 school year on the following data elements:</w:t>
      </w:r>
    </w:p>
    <w:p w14:paraId="381F07F3" w14:textId="717A4FC5" w:rsidR="00B065EB" w:rsidRDefault="00B065EB" w:rsidP="00B065EB">
      <w:pPr>
        <w:pStyle w:val="ListParagraph"/>
        <w:numPr>
          <w:ilvl w:val="0"/>
          <w:numId w:val="1"/>
        </w:numPr>
      </w:pPr>
      <w:r>
        <w:t>State Seal of Civic Engagement</w:t>
      </w:r>
      <w:r w:rsidR="1890EF7D">
        <w:t xml:space="preserve"> (SSCE)</w:t>
      </w:r>
    </w:p>
    <w:p w14:paraId="153294F8" w14:textId="6024ADFB" w:rsidR="007168DD" w:rsidRDefault="007168DD" w:rsidP="00B065EB">
      <w:pPr>
        <w:pStyle w:val="ListParagraph"/>
        <w:numPr>
          <w:ilvl w:val="0"/>
          <w:numId w:val="1"/>
        </w:numPr>
      </w:pPr>
      <w:r>
        <w:t xml:space="preserve">Career-Based </w:t>
      </w:r>
      <w:r w:rsidR="5F6C4B3A">
        <w:t xml:space="preserve">Measures </w:t>
      </w:r>
      <w:r>
        <w:t>Data:</w:t>
      </w:r>
    </w:p>
    <w:p w14:paraId="3BFD4375" w14:textId="36772E28" w:rsidR="007168DD" w:rsidRDefault="00B065EB" w:rsidP="007168DD">
      <w:pPr>
        <w:pStyle w:val="ListParagraph"/>
        <w:numPr>
          <w:ilvl w:val="1"/>
          <w:numId w:val="1"/>
        </w:numPr>
      </w:pPr>
      <w:r>
        <w:t>Internships</w:t>
      </w:r>
    </w:p>
    <w:p w14:paraId="708CCBBA" w14:textId="77777777" w:rsidR="007168DD" w:rsidRDefault="00B065EB" w:rsidP="007168DD">
      <w:pPr>
        <w:pStyle w:val="ListParagraph"/>
        <w:numPr>
          <w:ilvl w:val="1"/>
          <w:numId w:val="1"/>
        </w:numPr>
      </w:pPr>
      <w:r>
        <w:t>Student-led Enterprise</w:t>
      </w:r>
    </w:p>
    <w:p w14:paraId="2779482A" w14:textId="77777777" w:rsidR="007168DD" w:rsidRDefault="00B065EB" w:rsidP="007168DD">
      <w:pPr>
        <w:pStyle w:val="ListParagraph"/>
        <w:numPr>
          <w:ilvl w:val="1"/>
          <w:numId w:val="1"/>
        </w:numPr>
      </w:pPr>
      <w:r>
        <w:t>Simulated Work-Based Learning</w:t>
      </w:r>
    </w:p>
    <w:p w14:paraId="29E80EE7" w14:textId="487286CC" w:rsidR="5F48C630" w:rsidRDefault="00586AE9" w:rsidP="005969E3">
      <w:pPr>
        <w:pStyle w:val="ListParagraph"/>
        <w:numPr>
          <w:ilvl w:val="1"/>
          <w:numId w:val="1"/>
        </w:numPr>
      </w:pPr>
      <w:r w:rsidRPr="00586AE9">
        <w:t>Armed Services Vocational Aptitude Battery</w:t>
      </w:r>
      <w:r>
        <w:t xml:space="preserve"> (A</w:t>
      </w:r>
      <w:r w:rsidR="00B065EB">
        <w:t>SVAB</w:t>
      </w:r>
      <w:r>
        <w:t>)</w:t>
      </w:r>
    </w:p>
    <w:p w14:paraId="086932BF" w14:textId="26D13240" w:rsidR="14FAA697" w:rsidRPr="00C128DA" w:rsidRDefault="14FAA697" w:rsidP="00DA5325">
      <w:pPr>
        <w:pStyle w:val="Heading2"/>
        <w:spacing w:after="120"/>
        <w:rPr>
          <w:sz w:val="28"/>
          <w:szCs w:val="22"/>
        </w:rPr>
      </w:pPr>
      <w:r w:rsidRPr="00C128DA">
        <w:rPr>
          <w:sz w:val="28"/>
          <w:szCs w:val="22"/>
        </w:rPr>
        <w:t xml:space="preserve">Review of </w:t>
      </w:r>
      <w:r w:rsidR="3F649B9D" w:rsidRPr="00C128DA">
        <w:rPr>
          <w:sz w:val="28"/>
          <w:szCs w:val="22"/>
        </w:rPr>
        <w:t>C</w:t>
      </w:r>
      <w:r w:rsidRPr="00C128DA">
        <w:rPr>
          <w:sz w:val="28"/>
          <w:szCs w:val="22"/>
        </w:rPr>
        <w:t xml:space="preserve">urrently </w:t>
      </w:r>
      <w:r w:rsidR="0596AD8F" w:rsidRPr="00C128DA">
        <w:rPr>
          <w:sz w:val="28"/>
          <w:szCs w:val="22"/>
        </w:rPr>
        <w:t>A</w:t>
      </w:r>
      <w:r w:rsidRPr="00C128DA">
        <w:rPr>
          <w:sz w:val="28"/>
          <w:szCs w:val="22"/>
        </w:rPr>
        <w:t xml:space="preserve">dopted College/Career Indicator </w:t>
      </w:r>
      <w:r w:rsidR="36D066C5" w:rsidRPr="00C128DA">
        <w:rPr>
          <w:sz w:val="28"/>
          <w:szCs w:val="22"/>
        </w:rPr>
        <w:t>C</w:t>
      </w:r>
      <w:r w:rsidRPr="00C128DA">
        <w:rPr>
          <w:sz w:val="28"/>
          <w:szCs w:val="22"/>
        </w:rPr>
        <w:t>omponents</w:t>
      </w:r>
    </w:p>
    <w:p w14:paraId="65E41699" w14:textId="424A9A4C" w:rsidR="00C92EB1" w:rsidRPr="00C92EB1" w:rsidRDefault="00C92EB1" w:rsidP="00C92EB1">
      <w:pPr>
        <w:rPr>
          <w:rFonts w:eastAsia="Arial" w:cs="Arial"/>
          <w:color w:val="000000" w:themeColor="text1"/>
        </w:rPr>
      </w:pPr>
      <w:r w:rsidRPr="00C92EB1">
        <w:rPr>
          <w:rFonts w:eastAsia="Arial" w:cs="Arial"/>
          <w:color w:val="000000" w:themeColor="text1"/>
        </w:rPr>
        <w:t>The CCI represents the percentage of high school graduates that local education</w:t>
      </w:r>
      <w:r w:rsidR="00D94877">
        <w:rPr>
          <w:rFonts w:eastAsia="Arial" w:cs="Arial"/>
          <w:color w:val="000000" w:themeColor="text1"/>
        </w:rPr>
        <w:t>al</w:t>
      </w:r>
      <w:r w:rsidRPr="00C92EB1">
        <w:rPr>
          <w:rFonts w:eastAsia="Arial" w:cs="Arial"/>
          <w:color w:val="000000" w:themeColor="text1"/>
        </w:rPr>
        <w:t xml:space="preserve"> agencies (LEAs) prepare for college or a career. This indicator was designed to encourage high schools to provide all students with a rigorous broad course of study that prepares them for postsecondary success. The following measures have been approved by the </w:t>
      </w:r>
      <w:r w:rsidR="000B749F">
        <w:rPr>
          <w:rFonts w:eastAsia="Arial" w:cs="Arial"/>
          <w:color w:val="000000" w:themeColor="text1"/>
        </w:rPr>
        <w:t>SBE</w:t>
      </w:r>
      <w:r w:rsidRPr="00C92EB1">
        <w:rPr>
          <w:rFonts w:eastAsia="Arial" w:cs="Arial"/>
          <w:color w:val="000000" w:themeColor="text1"/>
        </w:rPr>
        <w:t xml:space="preserve"> for inclusion into the indicator:</w:t>
      </w:r>
    </w:p>
    <w:p w14:paraId="7A43C771" w14:textId="77777777" w:rsidR="00C92EB1" w:rsidRPr="0089273A" w:rsidRDefault="00C92EB1" w:rsidP="00D11ED0">
      <w:pPr>
        <w:numPr>
          <w:ilvl w:val="0"/>
          <w:numId w:val="20"/>
        </w:numPr>
        <w:rPr>
          <w:rFonts w:eastAsia="Arial" w:cs="Arial"/>
          <w:color w:val="000000" w:themeColor="text1"/>
        </w:rPr>
      </w:pPr>
      <w:r w:rsidRPr="0089273A">
        <w:rPr>
          <w:rFonts w:eastAsia="Arial" w:cs="Arial"/>
          <w:color w:val="000000" w:themeColor="text1"/>
        </w:rPr>
        <w:t>Advanced Placement Exams</w:t>
      </w:r>
    </w:p>
    <w:p w14:paraId="15472E6B" w14:textId="474110E5" w:rsidR="00C92EB1" w:rsidRPr="0089273A" w:rsidRDefault="2E533EC8" w:rsidP="00D11ED0">
      <w:pPr>
        <w:numPr>
          <w:ilvl w:val="0"/>
          <w:numId w:val="20"/>
        </w:numPr>
        <w:rPr>
          <w:rFonts w:eastAsia="Arial" w:cs="Arial"/>
          <w:color w:val="000000" w:themeColor="text1"/>
        </w:rPr>
      </w:pPr>
      <w:r w:rsidRPr="0089273A">
        <w:rPr>
          <w:rFonts w:eastAsia="Arial" w:cs="Arial"/>
          <w:color w:val="000000" w:themeColor="text1"/>
        </w:rPr>
        <w:t>A-G</w:t>
      </w:r>
      <w:r w:rsidR="00C92EB1" w:rsidRPr="0089273A">
        <w:rPr>
          <w:rFonts w:eastAsia="Arial" w:cs="Arial"/>
          <w:color w:val="000000" w:themeColor="text1"/>
        </w:rPr>
        <w:t xml:space="preserve"> Completion</w:t>
      </w:r>
    </w:p>
    <w:p w14:paraId="66CC75CB" w14:textId="77777777" w:rsidR="00C92EB1" w:rsidRPr="00C92EB1" w:rsidRDefault="00C92EB1" w:rsidP="00D11ED0">
      <w:pPr>
        <w:numPr>
          <w:ilvl w:val="0"/>
          <w:numId w:val="20"/>
        </w:numPr>
        <w:rPr>
          <w:rFonts w:eastAsia="Arial" w:cs="Arial"/>
          <w:color w:val="000000" w:themeColor="text1"/>
        </w:rPr>
      </w:pPr>
      <w:r w:rsidRPr="0089273A">
        <w:rPr>
          <w:rFonts w:eastAsia="Arial" w:cs="Arial"/>
          <w:color w:val="000000" w:themeColor="text1"/>
        </w:rPr>
        <w:t>Career Technical Education</w:t>
      </w:r>
      <w:r w:rsidRPr="00C92EB1">
        <w:rPr>
          <w:rFonts w:eastAsia="Arial" w:cs="Arial"/>
          <w:color w:val="000000" w:themeColor="text1"/>
        </w:rPr>
        <w:t xml:space="preserve"> Pathway Completion</w:t>
      </w:r>
    </w:p>
    <w:p w14:paraId="4CCFCC0E"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College Credit Course (formerly called Dual Enrollment)</w:t>
      </w:r>
    </w:p>
    <w:p w14:paraId="5AD410B9"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International Baccalaureate Exams</w:t>
      </w:r>
    </w:p>
    <w:p w14:paraId="149268AB"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Leadership/Military Science</w:t>
      </w:r>
    </w:p>
    <w:p w14:paraId="4FC62B55"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Registered Pre-Apprenticeships</w:t>
      </w:r>
    </w:p>
    <w:p w14:paraId="0079331A"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Smarter Balanced Summative Assessments in English Language Arts/Literacy and mathematics (Grade 11)</w:t>
      </w:r>
    </w:p>
    <w:p w14:paraId="44AA0A0B"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State and Federal Job Programs</w:t>
      </w:r>
    </w:p>
    <w:p w14:paraId="4A50182C"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lastRenderedPageBreak/>
        <w:t>State Seal of Biliteracy</w:t>
      </w:r>
    </w:p>
    <w:p w14:paraId="7DBC1C8F" w14:textId="77777777" w:rsidR="00C92EB1" w:rsidRPr="00C92EB1" w:rsidRDefault="00C92EB1" w:rsidP="00D11ED0">
      <w:pPr>
        <w:numPr>
          <w:ilvl w:val="0"/>
          <w:numId w:val="20"/>
        </w:numPr>
        <w:rPr>
          <w:rFonts w:eastAsia="Arial" w:cs="Arial"/>
          <w:color w:val="000000" w:themeColor="text1"/>
        </w:rPr>
      </w:pPr>
      <w:r w:rsidRPr="00C92EB1">
        <w:rPr>
          <w:rFonts w:eastAsia="Arial" w:cs="Arial"/>
          <w:color w:val="000000" w:themeColor="text1"/>
        </w:rPr>
        <w:t>Transition Classroom and Work-Based Learning Experiences</w:t>
      </w:r>
    </w:p>
    <w:p w14:paraId="34A08C37" w14:textId="0941E135" w:rsidR="00C92EB1" w:rsidRPr="00C92EB1" w:rsidRDefault="00C92EB1" w:rsidP="00C92EB1">
      <w:pPr>
        <w:rPr>
          <w:rFonts w:eastAsia="Arial" w:cs="Arial"/>
          <w:color w:val="000000" w:themeColor="text1"/>
        </w:rPr>
      </w:pPr>
      <w:r w:rsidRPr="00C92EB1">
        <w:rPr>
          <w:rFonts w:eastAsia="Arial" w:cs="Arial"/>
          <w:color w:val="000000" w:themeColor="text1"/>
        </w:rPr>
        <w:t>This indicator is reported on the Dashboard for any LEA and high school that enrolls students in grade twelve.</w:t>
      </w:r>
    </w:p>
    <w:p w14:paraId="5C0C01DD" w14:textId="77777777" w:rsidR="00AC30C5" w:rsidRPr="00C128DA" w:rsidRDefault="00AC30C5" w:rsidP="00DA5325">
      <w:pPr>
        <w:pStyle w:val="Heading2"/>
        <w:spacing w:after="120"/>
        <w:rPr>
          <w:sz w:val="28"/>
          <w:szCs w:val="22"/>
        </w:rPr>
      </w:pPr>
      <w:r w:rsidRPr="00C128DA">
        <w:rPr>
          <w:sz w:val="28"/>
          <w:szCs w:val="22"/>
        </w:rPr>
        <w:t>College Credit Courses</w:t>
      </w:r>
    </w:p>
    <w:p w14:paraId="53B0697C" w14:textId="7FFACB82" w:rsidR="00AC30C5" w:rsidRDefault="00AC30C5" w:rsidP="00AC30C5">
      <w:pPr>
        <w:rPr>
          <w:rFonts w:eastAsia="Arial" w:cs="Arial"/>
          <w:color w:val="000000" w:themeColor="text1"/>
        </w:rPr>
      </w:pPr>
      <w:r w:rsidRPr="5F48C630">
        <w:rPr>
          <w:rFonts w:eastAsia="Arial" w:cs="Arial"/>
          <w:color w:val="000000" w:themeColor="text1"/>
        </w:rPr>
        <w:t xml:space="preserve">California has seen tremendous growth in the offering of college credit courses on high school campuses since the adoption of the </w:t>
      </w:r>
      <w:r w:rsidR="00AA521B">
        <w:rPr>
          <w:rFonts w:eastAsia="Arial" w:cs="Arial"/>
          <w:color w:val="000000" w:themeColor="text1"/>
        </w:rPr>
        <w:t>CCI</w:t>
      </w:r>
      <w:r w:rsidRPr="5F48C630">
        <w:rPr>
          <w:rFonts w:eastAsia="Arial" w:cs="Arial"/>
          <w:color w:val="000000" w:themeColor="text1"/>
        </w:rPr>
        <w:t xml:space="preserve">. </w:t>
      </w:r>
      <w:r w:rsidR="000077ED">
        <w:rPr>
          <w:rFonts w:eastAsia="Arial" w:cs="Arial"/>
          <w:color w:val="000000" w:themeColor="text1"/>
        </w:rPr>
        <w:t>C</w:t>
      </w:r>
      <w:r w:rsidRPr="5F48C630">
        <w:rPr>
          <w:rFonts w:eastAsia="Arial" w:cs="Arial"/>
          <w:color w:val="000000" w:themeColor="text1"/>
        </w:rPr>
        <w:t>ourse</w:t>
      </w:r>
      <w:r w:rsidR="000077ED">
        <w:rPr>
          <w:rFonts w:eastAsia="Arial" w:cs="Arial"/>
          <w:color w:val="000000" w:themeColor="text1"/>
        </w:rPr>
        <w:t xml:space="preserve"> completion data </w:t>
      </w:r>
      <w:r w:rsidR="008D2D0E">
        <w:rPr>
          <w:rFonts w:eastAsia="Arial" w:cs="Arial"/>
          <w:color w:val="000000" w:themeColor="text1"/>
        </w:rPr>
        <w:t xml:space="preserve">used on the Dashboard </w:t>
      </w:r>
      <w:r w:rsidRPr="5F48C630">
        <w:rPr>
          <w:rFonts w:eastAsia="Arial" w:cs="Arial"/>
          <w:color w:val="000000" w:themeColor="text1"/>
        </w:rPr>
        <w:t xml:space="preserve">is </w:t>
      </w:r>
      <w:r w:rsidR="00192E94">
        <w:rPr>
          <w:rFonts w:eastAsia="Arial" w:cs="Arial"/>
          <w:color w:val="000000" w:themeColor="text1"/>
        </w:rPr>
        <w:t>collected through</w:t>
      </w:r>
      <w:r w:rsidRPr="5F48C630">
        <w:rPr>
          <w:rFonts w:eastAsia="Arial" w:cs="Arial"/>
          <w:color w:val="000000" w:themeColor="text1"/>
        </w:rPr>
        <w:t xml:space="preserve"> the California Longitudinal Pupil Achievement Data System (CALPADS</w:t>
      </w:r>
      <w:r w:rsidRPr="6FF67CBA">
        <w:rPr>
          <w:rFonts w:eastAsia="Arial" w:cs="Arial"/>
          <w:color w:val="000000" w:themeColor="text1"/>
        </w:rPr>
        <w:t>)</w:t>
      </w:r>
      <w:r w:rsidRPr="5F48C630">
        <w:rPr>
          <w:rFonts w:eastAsia="Arial" w:cs="Arial"/>
          <w:color w:val="000000" w:themeColor="text1"/>
        </w:rPr>
        <w:t xml:space="preserve"> during the End-of-Year data collection. The CCI uses </w:t>
      </w:r>
      <w:r>
        <w:rPr>
          <w:rFonts w:eastAsia="Arial" w:cs="Arial"/>
          <w:color w:val="000000" w:themeColor="text1"/>
        </w:rPr>
        <w:t xml:space="preserve">specific course codes from CALPADS, shown </w:t>
      </w:r>
      <w:r w:rsidRPr="5F48C630">
        <w:rPr>
          <w:rFonts w:eastAsia="Arial" w:cs="Arial"/>
          <w:color w:val="000000" w:themeColor="text1"/>
        </w:rPr>
        <w:t xml:space="preserve">in Table </w:t>
      </w:r>
      <w:r w:rsidR="002A7AE0">
        <w:rPr>
          <w:rFonts w:eastAsia="Arial" w:cs="Arial"/>
          <w:color w:val="000000" w:themeColor="text1"/>
        </w:rPr>
        <w:t>2</w:t>
      </w:r>
      <w:r>
        <w:rPr>
          <w:rFonts w:eastAsia="Arial" w:cs="Arial"/>
          <w:color w:val="000000" w:themeColor="text1"/>
        </w:rPr>
        <w:t xml:space="preserve">, for college credit courses: </w:t>
      </w:r>
    </w:p>
    <w:p w14:paraId="31CBA32C" w14:textId="5740629B" w:rsidR="00AC30C5" w:rsidRPr="00533E6D" w:rsidRDefault="00AC30C5" w:rsidP="00DA5325">
      <w:pPr>
        <w:pStyle w:val="Heading3"/>
        <w:spacing w:after="120"/>
        <w:rPr>
          <w:sz w:val="24"/>
          <w:szCs w:val="20"/>
        </w:rPr>
      </w:pPr>
      <w:r w:rsidRPr="00533E6D">
        <w:rPr>
          <w:sz w:val="24"/>
          <w:szCs w:val="20"/>
        </w:rPr>
        <w:t xml:space="preserve">Table </w:t>
      </w:r>
      <w:r w:rsidR="002A7AE0" w:rsidRPr="00533E6D">
        <w:rPr>
          <w:sz w:val="24"/>
          <w:szCs w:val="20"/>
        </w:rPr>
        <w:t>2</w:t>
      </w:r>
      <w:r w:rsidRPr="00533E6D">
        <w:rPr>
          <w:sz w:val="24"/>
          <w:szCs w:val="20"/>
        </w:rPr>
        <w:t>: Course Codes Used for the College Credit Course Measure</w:t>
      </w:r>
    </w:p>
    <w:tbl>
      <w:tblPr>
        <w:tblStyle w:val="GridTable4-Accent3"/>
        <w:tblW w:w="0" w:type="auto"/>
        <w:tblLook w:val="04A0" w:firstRow="1" w:lastRow="0" w:firstColumn="1" w:lastColumn="0" w:noHBand="0" w:noVBand="1"/>
        <w:tblCaption w:val="Table A: Course Codes Used for the College Credit Course Measure"/>
        <w:tblDescription w:val="Table A: Course Codes Used for the College Credit Course Measure"/>
      </w:tblPr>
      <w:tblGrid>
        <w:gridCol w:w="1763"/>
        <w:gridCol w:w="1615"/>
        <w:gridCol w:w="5972"/>
      </w:tblGrid>
      <w:tr w:rsidR="00AC30C5" w14:paraId="3E7C4CF6" w14:textId="77777777" w:rsidTr="00DA532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auto"/>
              <w:left w:val="single" w:sz="4" w:space="0" w:color="auto"/>
              <w:bottom w:val="single" w:sz="4" w:space="0" w:color="auto"/>
              <w:right w:val="single" w:sz="4" w:space="0" w:color="auto"/>
            </w:tcBorders>
            <w:shd w:val="clear" w:color="auto" w:fill="E7E6E6" w:themeFill="background2"/>
          </w:tcPr>
          <w:p w14:paraId="6C3FA2C0" w14:textId="77777777" w:rsidR="00AC30C5" w:rsidRPr="006E7607" w:rsidRDefault="00AC30C5" w:rsidP="00473B83">
            <w:pPr>
              <w:spacing w:before="100" w:beforeAutospacing="1" w:after="0"/>
              <w:ind w:right="52"/>
              <w:jc w:val="center"/>
              <w:rPr>
                <w:rFonts w:cs="Arial"/>
                <w:color w:val="auto"/>
              </w:rPr>
            </w:pPr>
            <w:r w:rsidRPr="5F48C630">
              <w:rPr>
                <w:rFonts w:eastAsia="Arial" w:cs="Arial"/>
                <w:color w:val="000000" w:themeColor="text1"/>
              </w:rPr>
              <w:t>CCI Measure</w:t>
            </w:r>
          </w:p>
        </w:tc>
        <w:tc>
          <w:tcPr>
            <w:tcW w:w="1621" w:type="dxa"/>
            <w:tcBorders>
              <w:top w:val="single" w:sz="4" w:space="0" w:color="auto"/>
              <w:left w:val="single" w:sz="4" w:space="0" w:color="auto"/>
              <w:bottom w:val="single" w:sz="4" w:space="0" w:color="auto"/>
              <w:right w:val="single" w:sz="4" w:space="0" w:color="auto"/>
            </w:tcBorders>
            <w:shd w:val="clear" w:color="auto" w:fill="E7E6E6" w:themeFill="background2"/>
          </w:tcPr>
          <w:p w14:paraId="0399607A" w14:textId="69B89B8E" w:rsidR="00AC30C5" w:rsidRPr="006E7607" w:rsidRDefault="00AC30C5" w:rsidP="00473B83">
            <w:pPr>
              <w:spacing w:before="100" w:beforeAutospacing="1" w:after="0"/>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5F48C630">
              <w:rPr>
                <w:rFonts w:eastAsia="Arial" w:cs="Arial"/>
                <w:color w:val="000000" w:themeColor="text1"/>
              </w:rPr>
              <w:t>Field Number</w:t>
            </w:r>
            <w:r w:rsidR="00FC50C7">
              <w:rPr>
                <w:rFonts w:eastAsia="Arial" w:cs="Arial"/>
                <w:color w:val="000000" w:themeColor="text1"/>
              </w:rPr>
              <w:t xml:space="preserve"> </w:t>
            </w:r>
            <w:r w:rsidRPr="5F48C630">
              <w:rPr>
                <w:rFonts w:eastAsia="Arial" w:cs="Arial"/>
                <w:color w:val="000000" w:themeColor="text1"/>
              </w:rPr>
              <w:t>in CALPADS</w:t>
            </w:r>
          </w:p>
        </w:tc>
        <w:tc>
          <w:tcPr>
            <w:tcW w:w="6085" w:type="dxa"/>
            <w:tcBorders>
              <w:top w:val="single" w:sz="4" w:space="0" w:color="auto"/>
              <w:left w:val="single" w:sz="4" w:space="0" w:color="auto"/>
              <w:bottom w:val="single" w:sz="4" w:space="0" w:color="auto"/>
              <w:right w:val="single" w:sz="4" w:space="0" w:color="auto"/>
            </w:tcBorders>
            <w:shd w:val="clear" w:color="auto" w:fill="E7E6E6" w:themeFill="background2"/>
          </w:tcPr>
          <w:p w14:paraId="2E16DF2B" w14:textId="77777777" w:rsidR="00AC30C5" w:rsidRPr="006E7607" w:rsidRDefault="00AC30C5" w:rsidP="00473B83">
            <w:pPr>
              <w:spacing w:before="100" w:beforeAutospacing="1" w:after="0"/>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5F48C630">
              <w:rPr>
                <w:rFonts w:eastAsia="Arial" w:cs="Arial"/>
                <w:color w:val="000000" w:themeColor="text1"/>
              </w:rPr>
              <w:t>Course Codes</w:t>
            </w:r>
          </w:p>
        </w:tc>
      </w:tr>
      <w:tr w:rsidR="00AC30C5" w14:paraId="7BC01FDB" w14:textId="77777777" w:rsidTr="00DA532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auto"/>
              <w:left w:val="single" w:sz="4" w:space="0" w:color="auto"/>
              <w:bottom w:val="single" w:sz="4" w:space="0" w:color="auto"/>
              <w:right w:val="single" w:sz="4" w:space="0" w:color="auto"/>
            </w:tcBorders>
            <w:shd w:val="clear" w:color="auto" w:fill="auto"/>
          </w:tcPr>
          <w:p w14:paraId="41A15920" w14:textId="77777777" w:rsidR="00AC30C5" w:rsidRDefault="00AC30C5" w:rsidP="00473B83">
            <w:pPr>
              <w:spacing w:before="100" w:beforeAutospacing="1" w:after="0"/>
              <w:ind w:right="142"/>
              <w:rPr>
                <w:rFonts w:cs="Arial"/>
              </w:rPr>
            </w:pPr>
            <w:r w:rsidRPr="5F48C630">
              <w:rPr>
                <w:rFonts w:eastAsia="Arial" w:cs="Arial"/>
              </w:rPr>
              <w:t>Academic College Credit Courses</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65E4FFB5" w14:textId="5A2B5734"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9.07</w:t>
            </w:r>
          </w:p>
          <w:p w14:paraId="1D32AFDA"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(CRS-State Course Code)</w:t>
            </w:r>
          </w:p>
        </w:tc>
        <w:tc>
          <w:tcPr>
            <w:tcW w:w="6085" w:type="dxa"/>
            <w:tcBorders>
              <w:top w:val="single" w:sz="4" w:space="0" w:color="auto"/>
              <w:left w:val="single" w:sz="4" w:space="0" w:color="auto"/>
              <w:bottom w:val="single" w:sz="4" w:space="0" w:color="auto"/>
              <w:right w:val="single" w:sz="4" w:space="0" w:color="auto"/>
            </w:tcBorders>
            <w:shd w:val="clear" w:color="auto" w:fill="auto"/>
          </w:tcPr>
          <w:p w14:paraId="3C9103A8"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9020: College Credit Course – Visual Arts</w:t>
            </w:r>
          </w:p>
          <w:p w14:paraId="2246061F"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9082: College Credit Course – Dance</w:t>
            </w:r>
          </w:p>
          <w:p w14:paraId="73658EAD"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9096: College Credit Course – Theatre</w:t>
            </w:r>
          </w:p>
          <w:p w14:paraId="1A1F84A0"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9120: College Credit Course – English</w:t>
            </w:r>
          </w:p>
          <w:p w14:paraId="462FB8AE"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9154: College Credit Course – World Language</w:t>
            </w:r>
          </w:p>
          <w:p w14:paraId="2FCCBAC9"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9200: College Credit Course – History/Social Science</w:t>
            </w:r>
          </w:p>
          <w:p w14:paraId="5C26871C"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9227: College Credit Course – Other</w:t>
            </w:r>
          </w:p>
          <w:p w14:paraId="4D1A320F"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9273: College Credit Course – Mathematics</w:t>
            </w:r>
          </w:p>
          <w:p w14:paraId="00FF5114"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9303: College Credit Course – Music</w:t>
            </w:r>
          </w:p>
          <w:p w14:paraId="5DD627C2" w14:textId="77777777" w:rsidR="00AC30C5" w:rsidRDefault="00AC30C5" w:rsidP="00473B83">
            <w:pPr>
              <w:spacing w:before="100" w:beforeAutospacing="1" w:after="0"/>
              <w:cnfStyle w:val="000000100000" w:firstRow="0" w:lastRow="0" w:firstColumn="0" w:lastColumn="0" w:oddVBand="0" w:evenVBand="0" w:oddHBand="1" w:evenHBand="0" w:firstRowFirstColumn="0" w:firstRowLastColumn="0" w:lastRowFirstColumn="0" w:lastRowLastColumn="0"/>
              <w:rPr>
                <w:rFonts w:cs="Arial"/>
              </w:rPr>
            </w:pPr>
            <w:r w:rsidRPr="5F48C630">
              <w:rPr>
                <w:rFonts w:eastAsia="Arial" w:cs="Arial"/>
              </w:rPr>
              <w:t>• 9358: College Credit Course – Science</w:t>
            </w:r>
          </w:p>
        </w:tc>
      </w:tr>
      <w:tr w:rsidR="00AC30C5" w14:paraId="2055D9FD"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auto"/>
              <w:left w:val="single" w:sz="4" w:space="0" w:color="auto"/>
              <w:bottom w:val="single" w:sz="4" w:space="0" w:color="auto"/>
              <w:right w:val="single" w:sz="4" w:space="0" w:color="auto"/>
            </w:tcBorders>
            <w:shd w:val="clear" w:color="auto" w:fill="E7E6E6" w:themeFill="background2"/>
          </w:tcPr>
          <w:p w14:paraId="14930CD2" w14:textId="77777777" w:rsidR="00AC30C5" w:rsidRDefault="00AC30C5" w:rsidP="00473B83">
            <w:pPr>
              <w:spacing w:before="100" w:beforeAutospacing="1" w:after="0"/>
              <w:rPr>
                <w:rFonts w:eastAsia="Arial" w:cs="Arial"/>
              </w:rPr>
            </w:pPr>
            <w:r w:rsidRPr="5F48C630">
              <w:rPr>
                <w:rFonts w:eastAsia="Arial" w:cs="Arial"/>
              </w:rPr>
              <w:t>CTE College Credit Courses</w:t>
            </w:r>
          </w:p>
        </w:tc>
        <w:tc>
          <w:tcPr>
            <w:tcW w:w="162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8E29E" w14:textId="77777777" w:rsidR="00AC30C5" w:rsidRDefault="00AC30C5" w:rsidP="00473B83">
            <w:pPr>
              <w:spacing w:before="100" w:beforeAutospacing="1" w:after="0"/>
              <w:cnfStyle w:val="000000000000" w:firstRow="0" w:lastRow="0" w:firstColumn="0" w:lastColumn="0" w:oddVBand="0" w:evenVBand="0" w:oddHBand="0" w:evenHBand="0" w:firstRowFirstColumn="0" w:firstRowLastColumn="0" w:lastRowFirstColumn="0" w:lastRowLastColumn="0"/>
            </w:pPr>
            <w:r w:rsidRPr="5F48C630">
              <w:rPr>
                <w:rFonts w:eastAsia="Arial"/>
              </w:rPr>
              <w:t>9.07</w:t>
            </w:r>
          </w:p>
          <w:p w14:paraId="36FBD871" w14:textId="1C48051C" w:rsidR="00AC30C5" w:rsidRDefault="00AC30C5" w:rsidP="00473B83">
            <w:pPr>
              <w:spacing w:before="100" w:beforeAutospacing="1" w:after="0"/>
              <w:cnfStyle w:val="000000000000" w:firstRow="0" w:lastRow="0" w:firstColumn="0" w:lastColumn="0" w:oddVBand="0" w:evenVBand="0" w:oddHBand="0" w:evenHBand="0" w:firstRowFirstColumn="0" w:firstRowLastColumn="0" w:lastRowFirstColumn="0" w:lastRowLastColumn="0"/>
            </w:pPr>
            <w:r w:rsidRPr="5F48C630">
              <w:rPr>
                <w:rFonts w:eastAsia="Arial"/>
              </w:rPr>
              <w:t>(CRS-State Course</w:t>
            </w:r>
            <w:r>
              <w:rPr>
                <w:rFonts w:eastAsia="Arial"/>
              </w:rPr>
              <w:t xml:space="preserve"> </w:t>
            </w:r>
            <w:r w:rsidRPr="5F48C630">
              <w:rPr>
                <w:rFonts w:eastAsia="Arial"/>
              </w:rPr>
              <w:t>Code)</w:t>
            </w:r>
          </w:p>
        </w:tc>
        <w:tc>
          <w:tcPr>
            <w:tcW w:w="6085" w:type="dxa"/>
            <w:tcBorders>
              <w:top w:val="single" w:sz="4" w:space="0" w:color="auto"/>
              <w:left w:val="single" w:sz="4" w:space="0" w:color="auto"/>
              <w:bottom w:val="single" w:sz="4" w:space="0" w:color="auto"/>
              <w:right w:val="single" w:sz="4" w:space="0" w:color="auto"/>
            </w:tcBorders>
            <w:shd w:val="clear" w:color="auto" w:fill="E7E6E6" w:themeFill="background2"/>
          </w:tcPr>
          <w:p w14:paraId="76AB2FCE" w14:textId="460739FB" w:rsidR="00AC30C5" w:rsidRDefault="00AC30C5" w:rsidP="00473B83">
            <w:pPr>
              <w:spacing w:before="100" w:beforeAutospacing="1" w:after="0"/>
              <w:cnfStyle w:val="000000000000" w:firstRow="0" w:lastRow="0" w:firstColumn="0" w:lastColumn="0" w:oddVBand="0" w:evenVBand="0" w:oddHBand="0" w:evenHBand="0" w:firstRowFirstColumn="0" w:firstRowLastColumn="0" w:lastRowFirstColumn="0" w:lastRowLastColumn="0"/>
              <w:rPr>
                <w:rFonts w:eastAsia="Arial" w:cs="Arial"/>
              </w:rPr>
            </w:pPr>
            <w:r w:rsidRPr="5F48C630">
              <w:rPr>
                <w:rFonts w:eastAsia="Arial" w:cs="Arial"/>
              </w:rPr>
              <w:t>Codes 7000-8999 are used for CTE College Credit Courses</w:t>
            </w:r>
            <w:r w:rsidR="005A2385">
              <w:rPr>
                <w:rFonts w:eastAsia="Arial" w:cs="Arial"/>
              </w:rPr>
              <w:t>.</w:t>
            </w:r>
            <w:r w:rsidRPr="5F48C630">
              <w:rPr>
                <w:rFonts w:eastAsia="Arial" w:cs="Arial"/>
              </w:rPr>
              <w:t xml:space="preserve"> </w:t>
            </w:r>
            <w:r w:rsidR="00E364D9">
              <w:rPr>
                <w:rFonts w:eastAsia="Arial" w:cs="Arial"/>
              </w:rPr>
              <w:t>The</w:t>
            </w:r>
            <w:r w:rsidRPr="5F48C630">
              <w:rPr>
                <w:rFonts w:eastAsia="Arial" w:cs="Arial"/>
              </w:rPr>
              <w:t xml:space="preserve"> Course Section Instructional Level Code [Field #9.19]</w:t>
            </w:r>
            <w:r w:rsidR="00144FFE">
              <w:rPr>
                <w:rFonts w:eastAsia="Arial" w:cs="Arial"/>
              </w:rPr>
              <w:t xml:space="preserve"> of</w:t>
            </w:r>
            <w:r w:rsidRPr="5F48C630">
              <w:rPr>
                <w:rFonts w:eastAsia="Arial" w:cs="Arial"/>
              </w:rPr>
              <w:t xml:space="preserve"> “23-College Credit only” or “24 – Dual Credit” must be selected in conjunction with 7000-8999 codes to be counted.</w:t>
            </w:r>
          </w:p>
        </w:tc>
      </w:tr>
    </w:tbl>
    <w:p w14:paraId="79D76546" w14:textId="16DCD171" w:rsidR="00AC30C5" w:rsidRDefault="00AC30C5" w:rsidP="00AC30C5">
      <w:pPr>
        <w:rPr>
          <w:rFonts w:eastAsia="Arial" w:cs="Arial"/>
        </w:rPr>
      </w:pPr>
      <w:r w:rsidRPr="5F48C630">
        <w:rPr>
          <w:rFonts w:eastAsia="Arial" w:cs="Arial"/>
        </w:rPr>
        <w:lastRenderedPageBreak/>
        <w:t>The</w:t>
      </w:r>
      <w:r w:rsidR="006051AE">
        <w:rPr>
          <w:rFonts w:eastAsia="Arial" w:cs="Arial"/>
        </w:rPr>
        <w:t xml:space="preserve">re is one </w:t>
      </w:r>
      <w:r w:rsidRPr="5F48C630">
        <w:rPr>
          <w:rFonts w:eastAsia="Arial" w:cs="Arial"/>
        </w:rPr>
        <w:t xml:space="preserve">additional requirement for the LEA </w:t>
      </w:r>
      <w:r w:rsidR="006051AE">
        <w:rPr>
          <w:rFonts w:eastAsia="Arial" w:cs="Arial"/>
        </w:rPr>
        <w:t xml:space="preserve">or school </w:t>
      </w:r>
      <w:r w:rsidRPr="5F48C630">
        <w:rPr>
          <w:rFonts w:eastAsia="Arial" w:cs="Arial"/>
        </w:rPr>
        <w:t xml:space="preserve">to receive credit </w:t>
      </w:r>
      <w:r w:rsidR="00CD792A">
        <w:rPr>
          <w:rFonts w:eastAsia="Arial" w:cs="Arial"/>
        </w:rPr>
        <w:t xml:space="preserve">on the CCI </w:t>
      </w:r>
      <w:r w:rsidRPr="5F48C630">
        <w:rPr>
          <w:rFonts w:eastAsia="Arial" w:cs="Arial"/>
        </w:rPr>
        <w:t xml:space="preserve">for preparing a student through </w:t>
      </w:r>
      <w:r w:rsidR="00CD792A">
        <w:rPr>
          <w:rFonts w:eastAsia="Arial" w:cs="Arial"/>
        </w:rPr>
        <w:t xml:space="preserve">the </w:t>
      </w:r>
      <w:r w:rsidRPr="5F48C630">
        <w:rPr>
          <w:rFonts w:eastAsia="Arial" w:cs="Arial"/>
        </w:rPr>
        <w:t>college credit offering</w:t>
      </w:r>
      <w:r w:rsidR="00CD792A">
        <w:rPr>
          <w:rFonts w:eastAsia="Arial" w:cs="Arial"/>
        </w:rPr>
        <w:t xml:space="preserve">: </w:t>
      </w:r>
      <w:r w:rsidRPr="5F48C630">
        <w:rPr>
          <w:rFonts w:eastAsia="Arial" w:cs="Arial"/>
        </w:rPr>
        <w:t xml:space="preserve">the student </w:t>
      </w:r>
      <w:r w:rsidR="00CD792A">
        <w:rPr>
          <w:rFonts w:eastAsia="Arial" w:cs="Arial"/>
        </w:rPr>
        <w:t xml:space="preserve">must </w:t>
      </w:r>
      <w:r w:rsidRPr="5F48C630">
        <w:rPr>
          <w:rFonts w:eastAsia="Arial" w:cs="Arial"/>
        </w:rPr>
        <w:t>receive a grade of C- or better.</w:t>
      </w:r>
    </w:p>
    <w:p w14:paraId="2E31F191" w14:textId="77777777" w:rsidR="00AC30C5" w:rsidRDefault="00AC30C5" w:rsidP="00AC30C5">
      <w:pPr>
        <w:rPr>
          <w:rFonts w:eastAsia="Arial" w:cs="Arial"/>
        </w:rPr>
      </w:pPr>
      <w:r>
        <w:rPr>
          <w:rFonts w:eastAsia="Arial" w:cs="Arial"/>
        </w:rPr>
        <w:t>Currently there are three CCI measures that use college credit courses as criteria for prepared:</w:t>
      </w:r>
    </w:p>
    <w:p w14:paraId="4D0D087D" w14:textId="77777777" w:rsidR="00AC30C5" w:rsidRPr="004842DF" w:rsidRDefault="00AC30C5" w:rsidP="00D11ED0">
      <w:pPr>
        <w:numPr>
          <w:ilvl w:val="0"/>
          <w:numId w:val="8"/>
        </w:numPr>
        <w:rPr>
          <w:rFonts w:eastAsia="Arial" w:cs="Arial"/>
        </w:rPr>
      </w:pPr>
      <w:r w:rsidRPr="004842DF">
        <w:rPr>
          <w:rFonts w:eastAsia="Arial" w:cs="Arial"/>
        </w:rPr>
        <w:t>Complete two semesters, three quarters, or three trimesters of college coursework within high school with a grade of C− or better in academic/Career Technical Education (CTE) subjects where college credits are awarded</w:t>
      </w:r>
    </w:p>
    <w:p w14:paraId="080B81D3" w14:textId="77777777" w:rsidR="00AC30C5" w:rsidRPr="004842DF" w:rsidRDefault="00AC30C5" w:rsidP="00D11ED0">
      <w:pPr>
        <w:numPr>
          <w:ilvl w:val="1"/>
          <w:numId w:val="8"/>
        </w:numPr>
        <w:rPr>
          <w:rFonts w:eastAsia="Arial" w:cs="Arial"/>
        </w:rPr>
      </w:pPr>
      <w:r w:rsidRPr="004842DF">
        <w:rPr>
          <w:rFonts w:eastAsia="Arial" w:cs="Arial"/>
        </w:rPr>
        <w:t>CTE college credit courses must either be in a different subject than the CTE pathway or be completed in a different year from the CTE pathway to count for college credit</w:t>
      </w:r>
    </w:p>
    <w:p w14:paraId="3C802A09" w14:textId="77777777" w:rsidR="00AC30C5" w:rsidRPr="0089273A" w:rsidRDefault="00AC30C5" w:rsidP="00D11ED0">
      <w:pPr>
        <w:numPr>
          <w:ilvl w:val="0"/>
          <w:numId w:val="8"/>
        </w:numPr>
        <w:rPr>
          <w:rFonts w:eastAsia="Arial" w:cs="Arial"/>
        </w:rPr>
      </w:pPr>
      <w:r w:rsidRPr="0089273A">
        <w:rPr>
          <w:rFonts w:eastAsia="Arial" w:cs="Arial"/>
        </w:rPr>
        <w:t>Complete a CTE Pathway and complete one semester, two quarters, or three trimesters of college coursework in academic/CTE subjects where college credits are awarded</w:t>
      </w:r>
    </w:p>
    <w:p w14:paraId="1BD95F75" w14:textId="278F343E" w:rsidR="00AC30C5" w:rsidRDefault="00AC30C5" w:rsidP="00D11ED0">
      <w:pPr>
        <w:numPr>
          <w:ilvl w:val="0"/>
          <w:numId w:val="8"/>
        </w:numPr>
        <w:rPr>
          <w:rFonts w:eastAsia="Arial" w:cs="Arial"/>
        </w:rPr>
      </w:pPr>
      <w:r w:rsidRPr="0089273A">
        <w:rPr>
          <w:rFonts w:eastAsia="Arial" w:cs="Arial"/>
        </w:rPr>
        <w:t xml:space="preserve">Meet </w:t>
      </w:r>
      <w:r w:rsidR="3D5BE1A5" w:rsidRPr="0089273A">
        <w:rPr>
          <w:rFonts w:eastAsia="Arial" w:cs="Arial"/>
        </w:rPr>
        <w:t>A-G</w:t>
      </w:r>
      <w:r w:rsidRPr="0089273A">
        <w:rPr>
          <w:rFonts w:eastAsia="Arial" w:cs="Arial"/>
        </w:rPr>
        <w:t xml:space="preserve"> requirements </w:t>
      </w:r>
      <w:r w:rsidR="00210FF6" w:rsidRPr="0089273A">
        <w:rPr>
          <w:rFonts w:eastAsia="Arial" w:cs="Arial"/>
        </w:rPr>
        <w:t>for admission to University</w:t>
      </w:r>
      <w:r w:rsidR="00210FF6">
        <w:rPr>
          <w:rFonts w:eastAsia="Arial" w:cs="Arial"/>
        </w:rPr>
        <w:t xml:space="preserve"> of California/California State University</w:t>
      </w:r>
      <w:r w:rsidRPr="004842DF">
        <w:rPr>
          <w:rFonts w:eastAsia="Arial" w:cs="Arial"/>
        </w:rPr>
        <w:t xml:space="preserve"> and complete one semester, two quarters, or three trimesters of college coursework in academic/CTE subjects where college credits are awarded</w:t>
      </w:r>
    </w:p>
    <w:p w14:paraId="791BE0CE" w14:textId="77777777" w:rsidR="000E30AE" w:rsidRDefault="008B5A70" w:rsidP="007D5678">
      <w:pPr>
        <w:rPr>
          <w:rFonts w:eastAsia="Arial" w:cs="Arial"/>
          <w:color w:val="000000" w:themeColor="text1"/>
        </w:rPr>
      </w:pPr>
      <w:r>
        <w:rPr>
          <w:rFonts w:eastAsia="Arial" w:cs="Arial"/>
          <w:color w:val="000000" w:themeColor="text1"/>
        </w:rPr>
        <w:t>S</w:t>
      </w:r>
      <w:r w:rsidR="00E47F00">
        <w:rPr>
          <w:rFonts w:eastAsia="Arial" w:cs="Arial"/>
          <w:color w:val="000000" w:themeColor="text1"/>
        </w:rPr>
        <w:t>ince the implementation of the CCI in 2018</w:t>
      </w:r>
      <w:r>
        <w:rPr>
          <w:rFonts w:eastAsia="Arial" w:cs="Arial"/>
          <w:color w:val="000000" w:themeColor="text1"/>
        </w:rPr>
        <w:t xml:space="preserve">, the CDE continues to receive </w:t>
      </w:r>
      <w:r w:rsidR="00031A7D">
        <w:rPr>
          <w:rFonts w:eastAsia="Arial" w:cs="Arial"/>
          <w:color w:val="000000" w:themeColor="text1"/>
        </w:rPr>
        <w:t xml:space="preserve">frequent </w:t>
      </w:r>
      <w:r w:rsidR="00EF0532">
        <w:rPr>
          <w:rFonts w:eastAsia="Arial" w:cs="Arial"/>
          <w:color w:val="000000" w:themeColor="text1"/>
        </w:rPr>
        <w:t>questions</w:t>
      </w:r>
      <w:r w:rsidR="00031A7D">
        <w:rPr>
          <w:rFonts w:eastAsia="Arial" w:cs="Arial"/>
          <w:color w:val="000000" w:themeColor="text1"/>
        </w:rPr>
        <w:t xml:space="preserve"> </w:t>
      </w:r>
      <w:r w:rsidR="000E30AE">
        <w:rPr>
          <w:rFonts w:eastAsia="Arial" w:cs="Arial"/>
          <w:color w:val="000000" w:themeColor="text1"/>
        </w:rPr>
        <w:t>such as:</w:t>
      </w:r>
    </w:p>
    <w:p w14:paraId="1D8EDCF8" w14:textId="77777777" w:rsidR="000E30AE" w:rsidRPr="000E30AE" w:rsidRDefault="000E30AE" w:rsidP="00D11ED0">
      <w:pPr>
        <w:pStyle w:val="ListParagraph"/>
        <w:numPr>
          <w:ilvl w:val="0"/>
          <w:numId w:val="21"/>
        </w:numPr>
        <w:rPr>
          <w:rFonts w:eastAsia="Arial" w:cs="Arial"/>
        </w:rPr>
      </w:pPr>
      <w:r>
        <w:rPr>
          <w:rFonts w:eastAsia="Arial" w:cs="Arial"/>
          <w:color w:val="000000" w:themeColor="text1"/>
        </w:rPr>
        <w:t xml:space="preserve">What are </w:t>
      </w:r>
      <w:r w:rsidR="007D5678" w:rsidRPr="000E30AE">
        <w:rPr>
          <w:rFonts w:eastAsia="Arial" w:cs="Arial"/>
          <w:color w:val="000000" w:themeColor="text1"/>
        </w:rPr>
        <w:t xml:space="preserve">the requirements necessary for LEAs to </w:t>
      </w:r>
      <w:r w:rsidR="008B5A70" w:rsidRPr="000E30AE">
        <w:rPr>
          <w:rFonts w:eastAsia="Arial" w:cs="Arial"/>
          <w:color w:val="000000" w:themeColor="text1"/>
        </w:rPr>
        <w:t>demonstrate</w:t>
      </w:r>
      <w:r w:rsidR="007D5678" w:rsidRPr="000E30AE">
        <w:rPr>
          <w:rFonts w:eastAsia="Arial" w:cs="Arial"/>
          <w:color w:val="000000" w:themeColor="text1"/>
        </w:rPr>
        <w:t xml:space="preserve"> that they have prepared students for college/career, inclusive of how rigorous </w:t>
      </w:r>
      <w:r w:rsidR="003F35EA" w:rsidRPr="000E30AE">
        <w:rPr>
          <w:rFonts w:eastAsia="Arial" w:cs="Arial"/>
          <w:color w:val="000000" w:themeColor="text1"/>
        </w:rPr>
        <w:t>a</w:t>
      </w:r>
      <w:r w:rsidR="007D5678" w:rsidRPr="000E30AE">
        <w:rPr>
          <w:rFonts w:eastAsia="Arial" w:cs="Arial"/>
          <w:color w:val="000000" w:themeColor="text1"/>
        </w:rPr>
        <w:t xml:space="preserve"> course needs to be</w:t>
      </w:r>
      <w:r>
        <w:rPr>
          <w:rFonts w:eastAsia="Arial" w:cs="Arial"/>
          <w:color w:val="000000" w:themeColor="text1"/>
        </w:rPr>
        <w:t>?</w:t>
      </w:r>
    </w:p>
    <w:p w14:paraId="32CD5441" w14:textId="10656C4D" w:rsidR="000E30AE" w:rsidRPr="000E30AE" w:rsidRDefault="000E30AE" w:rsidP="00D11ED0">
      <w:pPr>
        <w:pStyle w:val="ListParagraph"/>
        <w:numPr>
          <w:ilvl w:val="0"/>
          <w:numId w:val="21"/>
        </w:numPr>
        <w:rPr>
          <w:rFonts w:eastAsia="Arial" w:cs="Arial"/>
        </w:rPr>
      </w:pPr>
      <w:r>
        <w:rPr>
          <w:rFonts w:eastAsia="Arial" w:cs="Arial"/>
          <w:color w:val="000000" w:themeColor="text1"/>
        </w:rPr>
        <w:t>H</w:t>
      </w:r>
      <w:r w:rsidR="007D5678" w:rsidRPr="000E30AE">
        <w:rPr>
          <w:rFonts w:eastAsia="Arial" w:cs="Arial"/>
          <w:color w:val="000000" w:themeColor="text1"/>
        </w:rPr>
        <w:t xml:space="preserve">ow many college credits need to be awarded for </w:t>
      </w:r>
      <w:r w:rsidR="003F35EA" w:rsidRPr="000E30AE">
        <w:rPr>
          <w:rFonts w:eastAsia="Arial" w:cs="Arial"/>
          <w:color w:val="000000" w:themeColor="text1"/>
        </w:rPr>
        <w:t>a</w:t>
      </w:r>
      <w:r w:rsidR="007D5678" w:rsidRPr="000E30AE">
        <w:rPr>
          <w:rFonts w:eastAsia="Arial" w:cs="Arial"/>
          <w:color w:val="000000" w:themeColor="text1"/>
        </w:rPr>
        <w:t xml:space="preserve"> course to count, and</w:t>
      </w:r>
      <w:r w:rsidR="00E47F00" w:rsidRPr="000E30AE">
        <w:rPr>
          <w:rFonts w:eastAsia="Arial" w:cs="Arial"/>
          <w:color w:val="000000" w:themeColor="text1"/>
        </w:rPr>
        <w:t xml:space="preserve"> if the course needs to be</w:t>
      </w:r>
      <w:r w:rsidR="003F35EA" w:rsidRPr="000E30AE">
        <w:rPr>
          <w:rFonts w:eastAsia="Arial" w:cs="Arial"/>
          <w:color w:val="000000" w:themeColor="text1"/>
        </w:rPr>
        <w:t xml:space="preserve"> held in a certain location.</w:t>
      </w:r>
    </w:p>
    <w:p w14:paraId="67CFD971" w14:textId="693D52D1" w:rsidR="007D5678" w:rsidRPr="000E30AE" w:rsidRDefault="00572969" w:rsidP="000E30AE">
      <w:pPr>
        <w:rPr>
          <w:rFonts w:eastAsia="Arial" w:cs="Arial"/>
        </w:rPr>
      </w:pPr>
      <w:r w:rsidRPr="000E30AE">
        <w:rPr>
          <w:rFonts w:eastAsia="Arial" w:cs="Arial"/>
          <w:color w:val="000000" w:themeColor="text1"/>
        </w:rPr>
        <w:t xml:space="preserve">California’s student-level data system, CALPADS, </w:t>
      </w:r>
      <w:r w:rsidR="003F35EA" w:rsidRPr="000E30AE">
        <w:rPr>
          <w:rFonts w:eastAsia="Arial" w:cs="Arial"/>
          <w:color w:val="000000" w:themeColor="text1"/>
        </w:rPr>
        <w:t xml:space="preserve">does not </w:t>
      </w:r>
      <w:r w:rsidR="00BB56CE" w:rsidRPr="000E30AE">
        <w:rPr>
          <w:rFonts w:eastAsia="Arial" w:cs="Arial"/>
          <w:color w:val="000000" w:themeColor="text1"/>
        </w:rPr>
        <w:t xml:space="preserve">currently </w:t>
      </w:r>
      <w:r w:rsidR="003F35EA" w:rsidRPr="000E30AE">
        <w:rPr>
          <w:rFonts w:eastAsia="Arial" w:cs="Arial"/>
          <w:color w:val="000000" w:themeColor="text1"/>
        </w:rPr>
        <w:t xml:space="preserve">collect </w:t>
      </w:r>
      <w:r w:rsidR="000E30AE">
        <w:rPr>
          <w:rFonts w:eastAsia="Arial" w:cs="Arial"/>
          <w:color w:val="000000" w:themeColor="text1"/>
        </w:rPr>
        <w:t xml:space="preserve">this level of detailed </w:t>
      </w:r>
      <w:r w:rsidR="003F35EA" w:rsidRPr="000E30AE">
        <w:rPr>
          <w:rFonts w:eastAsia="Arial" w:cs="Arial"/>
          <w:color w:val="000000" w:themeColor="text1"/>
        </w:rPr>
        <w:t>information about the course attributes</w:t>
      </w:r>
      <w:r w:rsidR="00812372" w:rsidRPr="000E30AE">
        <w:rPr>
          <w:rFonts w:eastAsia="Arial" w:cs="Arial"/>
          <w:color w:val="000000" w:themeColor="text1"/>
        </w:rPr>
        <w:t xml:space="preserve">. However, additional guidance </w:t>
      </w:r>
      <w:r w:rsidR="00413D4E" w:rsidRPr="000E30AE">
        <w:rPr>
          <w:rFonts w:eastAsia="Arial" w:cs="Arial"/>
          <w:color w:val="000000" w:themeColor="text1"/>
        </w:rPr>
        <w:t xml:space="preserve">has been </w:t>
      </w:r>
      <w:r w:rsidR="00DB1288">
        <w:rPr>
          <w:rFonts w:eastAsia="Arial" w:cs="Arial"/>
          <w:color w:val="000000" w:themeColor="text1"/>
        </w:rPr>
        <w:t xml:space="preserve">provided to the field through </w:t>
      </w:r>
      <w:r w:rsidR="00812372" w:rsidRPr="000E30AE">
        <w:rPr>
          <w:rFonts w:eastAsia="Arial" w:cs="Arial"/>
          <w:color w:val="000000" w:themeColor="text1"/>
        </w:rPr>
        <w:t xml:space="preserve">the </w:t>
      </w:r>
      <w:r w:rsidR="00812372" w:rsidRPr="00DB1288">
        <w:rPr>
          <w:rFonts w:eastAsia="Arial" w:cs="Arial"/>
          <w:i/>
          <w:iCs/>
          <w:color w:val="000000" w:themeColor="text1"/>
        </w:rPr>
        <w:t xml:space="preserve">CCI </w:t>
      </w:r>
      <w:r w:rsidR="00413D4E" w:rsidRPr="00DB1288">
        <w:rPr>
          <w:rFonts w:eastAsia="Arial" w:cs="Arial"/>
          <w:i/>
          <w:iCs/>
          <w:color w:val="000000" w:themeColor="text1"/>
        </w:rPr>
        <w:t>T</w:t>
      </w:r>
      <w:r w:rsidR="00812372" w:rsidRPr="00DB1288">
        <w:rPr>
          <w:rFonts w:eastAsia="Arial" w:cs="Arial"/>
          <w:i/>
          <w:iCs/>
          <w:color w:val="000000" w:themeColor="text1"/>
        </w:rPr>
        <w:t xml:space="preserve">echnical </w:t>
      </w:r>
      <w:r w:rsidR="00413D4E" w:rsidRPr="00DB1288">
        <w:rPr>
          <w:rFonts w:eastAsia="Arial" w:cs="Arial"/>
          <w:i/>
          <w:iCs/>
          <w:color w:val="000000" w:themeColor="text1"/>
        </w:rPr>
        <w:t>G</w:t>
      </w:r>
      <w:r w:rsidR="00812372" w:rsidRPr="00DB1288">
        <w:rPr>
          <w:rFonts w:eastAsia="Arial" w:cs="Arial"/>
          <w:i/>
          <w:iCs/>
          <w:color w:val="000000" w:themeColor="text1"/>
        </w:rPr>
        <w:t>uide</w:t>
      </w:r>
      <w:r w:rsidR="00812372" w:rsidRPr="000E30AE">
        <w:rPr>
          <w:rFonts w:eastAsia="Arial" w:cs="Arial"/>
          <w:color w:val="000000" w:themeColor="text1"/>
        </w:rPr>
        <w:t xml:space="preserve"> and </w:t>
      </w:r>
      <w:r w:rsidR="00812372" w:rsidRPr="00DB1288">
        <w:rPr>
          <w:rFonts w:eastAsia="Arial" w:cs="Arial"/>
          <w:i/>
          <w:iCs/>
          <w:color w:val="000000" w:themeColor="text1"/>
        </w:rPr>
        <w:t>CALPADS to Dashboard Handbook</w:t>
      </w:r>
      <w:r w:rsidR="00812372" w:rsidRPr="000E30AE">
        <w:rPr>
          <w:rFonts w:eastAsia="Arial" w:cs="Arial"/>
          <w:color w:val="000000" w:themeColor="text1"/>
        </w:rPr>
        <w:t xml:space="preserve"> to emphasize that LEAs should only include courses offered by the LEA and not courses taken by students on their own for educational enrichment.</w:t>
      </w:r>
    </w:p>
    <w:p w14:paraId="3B888041" w14:textId="2BDB7789" w:rsidR="00D02F4A" w:rsidRDefault="001A6ECC" w:rsidP="00AC30C5">
      <w:pPr>
        <w:rPr>
          <w:rFonts w:eastAsia="Arial" w:cs="Arial"/>
        </w:rPr>
      </w:pPr>
      <w:r>
        <w:rPr>
          <w:rFonts w:eastAsia="Arial" w:cs="Arial"/>
        </w:rPr>
        <w:t xml:space="preserve">The </w:t>
      </w:r>
      <w:r w:rsidR="008D0BE3">
        <w:rPr>
          <w:rFonts w:eastAsia="Arial" w:cs="Arial"/>
        </w:rPr>
        <w:t xml:space="preserve">CCI cohort is </w:t>
      </w:r>
      <w:r w:rsidR="00B37C04">
        <w:rPr>
          <w:rFonts w:eastAsia="Arial" w:cs="Arial"/>
        </w:rPr>
        <w:t>based on the students in</w:t>
      </w:r>
      <w:r w:rsidR="00CC5CF2">
        <w:rPr>
          <w:rFonts w:eastAsia="Arial" w:cs="Arial"/>
        </w:rPr>
        <w:t xml:space="preserve"> </w:t>
      </w:r>
      <w:r w:rsidR="003B7C77">
        <w:rPr>
          <w:rFonts w:eastAsia="Arial" w:cs="Arial"/>
        </w:rPr>
        <w:t xml:space="preserve">the combined </w:t>
      </w:r>
      <w:r w:rsidR="00CC5CF2" w:rsidRPr="00CC5CF2">
        <w:rPr>
          <w:rFonts w:eastAsia="Arial" w:cs="Arial"/>
        </w:rPr>
        <w:t>four-</w:t>
      </w:r>
      <w:r w:rsidR="00B37C04">
        <w:rPr>
          <w:rFonts w:eastAsia="Arial" w:cs="Arial"/>
        </w:rPr>
        <w:t>and five-</w:t>
      </w:r>
      <w:r w:rsidR="00CC5CF2" w:rsidRPr="00CC5CF2">
        <w:rPr>
          <w:rFonts w:eastAsia="Arial" w:cs="Arial"/>
        </w:rPr>
        <w:t xml:space="preserve">year </w:t>
      </w:r>
      <w:r w:rsidR="00B37C04">
        <w:rPr>
          <w:rFonts w:eastAsia="Arial" w:cs="Arial"/>
        </w:rPr>
        <w:t>graduation rate</w:t>
      </w:r>
      <w:r w:rsidR="007C0B33">
        <w:rPr>
          <w:rFonts w:eastAsia="Arial" w:cs="Arial"/>
        </w:rPr>
        <w:t xml:space="preserve">. In 2023–24, </w:t>
      </w:r>
      <w:r w:rsidR="003374B7">
        <w:rPr>
          <w:rFonts w:eastAsia="Arial" w:cs="Arial"/>
        </w:rPr>
        <w:t xml:space="preserve">approximately </w:t>
      </w:r>
      <w:r w:rsidR="00D02F4A">
        <w:rPr>
          <w:rFonts w:eastAsia="Arial" w:cs="Arial"/>
        </w:rPr>
        <w:t xml:space="preserve">87,414 of the </w:t>
      </w:r>
      <w:r w:rsidR="00D02F4A" w:rsidRPr="009F47A4">
        <w:rPr>
          <w:rFonts w:eastAsia="Arial" w:cs="Arial"/>
        </w:rPr>
        <w:t xml:space="preserve">507,621 </w:t>
      </w:r>
      <w:r w:rsidR="00D02F4A" w:rsidRPr="6FF67CBA">
        <w:rPr>
          <w:rFonts w:eastAsia="Arial" w:cs="Arial"/>
        </w:rPr>
        <w:t xml:space="preserve">students in the </w:t>
      </w:r>
      <w:r w:rsidR="00B522F2">
        <w:rPr>
          <w:rFonts w:eastAsia="Arial" w:cs="Arial"/>
        </w:rPr>
        <w:t xml:space="preserve">CCI cohort </w:t>
      </w:r>
      <w:r w:rsidR="003374B7">
        <w:rPr>
          <w:rFonts w:eastAsia="Arial" w:cs="Arial"/>
        </w:rPr>
        <w:t xml:space="preserve">completed the College Credit Course </w:t>
      </w:r>
      <w:r w:rsidR="008F026E">
        <w:rPr>
          <w:rFonts w:eastAsia="Arial" w:cs="Arial"/>
        </w:rPr>
        <w:t xml:space="preserve">measure </w:t>
      </w:r>
      <w:r w:rsidR="00D02F4A">
        <w:rPr>
          <w:rFonts w:eastAsia="Arial" w:cs="Arial"/>
        </w:rPr>
        <w:t>with a C- or better.</w:t>
      </w:r>
    </w:p>
    <w:p w14:paraId="6928C283" w14:textId="77777777" w:rsidR="004848C8" w:rsidRDefault="004848C8" w:rsidP="004848C8">
      <w:pPr>
        <w:rPr>
          <w:rFonts w:eastAsia="Arial" w:cs="Arial"/>
        </w:rPr>
      </w:pPr>
      <w:r>
        <w:rPr>
          <w:rFonts w:eastAsia="Arial" w:cs="Arial"/>
        </w:rPr>
        <w:t xml:space="preserve">Table 3 provides the state course codes and titles and the number of course terms (i.e., semester, quarter, trimester, or full year) completed by the 2023-24 CCI cohort based on the current CCI College Credit Course criteria. Students may complete multiple </w:t>
      </w:r>
      <w:r>
        <w:rPr>
          <w:rFonts w:eastAsia="Arial" w:cs="Arial"/>
        </w:rPr>
        <w:lastRenderedPageBreak/>
        <w:t>course terms in the pursuit of completing a college credit course and thus may be counted multiple times in Table 3 for each term completion. For example, Calculus II may be a year-long course, but students will receive a grade at the end of each semester term and be included twice in the “Number of Term Completions” column assuming the student completed each semester term with a C- or better. Students who were graded on a trimester system could potentially be counted three times per course assuming the course was year-long and there were three opportunities for a grade mark.</w:t>
      </w:r>
    </w:p>
    <w:p w14:paraId="2D6DA175" w14:textId="1DF879D3" w:rsidR="00AC30C5" w:rsidRPr="00533E6D" w:rsidRDefault="00AC30C5" w:rsidP="00DA5325">
      <w:pPr>
        <w:pStyle w:val="Heading3"/>
        <w:spacing w:after="120"/>
        <w:rPr>
          <w:sz w:val="24"/>
          <w:szCs w:val="20"/>
        </w:rPr>
      </w:pPr>
      <w:r w:rsidRPr="00533E6D">
        <w:rPr>
          <w:sz w:val="24"/>
          <w:szCs w:val="20"/>
        </w:rPr>
        <w:t xml:space="preserve">Table </w:t>
      </w:r>
      <w:r w:rsidR="002A7AE0" w:rsidRPr="00533E6D">
        <w:rPr>
          <w:sz w:val="24"/>
          <w:szCs w:val="20"/>
        </w:rPr>
        <w:t>3</w:t>
      </w:r>
      <w:r w:rsidRPr="00533E6D">
        <w:rPr>
          <w:sz w:val="24"/>
          <w:szCs w:val="20"/>
        </w:rPr>
        <w:t xml:space="preserve">: </w:t>
      </w:r>
      <w:r w:rsidR="00213E93" w:rsidRPr="00533E6D">
        <w:rPr>
          <w:sz w:val="24"/>
          <w:szCs w:val="20"/>
        </w:rPr>
        <w:t xml:space="preserve">State Course Code and Title </w:t>
      </w:r>
      <w:r w:rsidR="00D9765C" w:rsidRPr="00533E6D">
        <w:rPr>
          <w:sz w:val="24"/>
          <w:szCs w:val="20"/>
        </w:rPr>
        <w:t>and Number of Term</w:t>
      </w:r>
      <w:r w:rsidR="005F1432" w:rsidRPr="00533E6D">
        <w:rPr>
          <w:sz w:val="24"/>
          <w:szCs w:val="20"/>
        </w:rPr>
        <w:t xml:space="preserve"> </w:t>
      </w:r>
      <w:r w:rsidRPr="00533E6D">
        <w:rPr>
          <w:sz w:val="24"/>
          <w:szCs w:val="20"/>
        </w:rPr>
        <w:t>Co</w:t>
      </w:r>
      <w:r w:rsidR="005F1432" w:rsidRPr="00533E6D">
        <w:rPr>
          <w:sz w:val="24"/>
          <w:szCs w:val="20"/>
        </w:rPr>
        <w:t>mpletions</w:t>
      </w:r>
      <w:r w:rsidRPr="00533E6D">
        <w:rPr>
          <w:sz w:val="24"/>
          <w:szCs w:val="20"/>
        </w:rPr>
        <w:t xml:space="preserve"> </w:t>
      </w:r>
      <w:r w:rsidR="006D5E13" w:rsidRPr="00533E6D">
        <w:rPr>
          <w:sz w:val="24"/>
          <w:szCs w:val="20"/>
        </w:rPr>
        <w:t xml:space="preserve">(with a C- or better) </w:t>
      </w:r>
      <w:r w:rsidR="00C26CD7" w:rsidRPr="00533E6D">
        <w:rPr>
          <w:sz w:val="24"/>
          <w:szCs w:val="20"/>
        </w:rPr>
        <w:t>for the</w:t>
      </w:r>
      <w:r w:rsidRPr="00533E6D">
        <w:rPr>
          <w:sz w:val="24"/>
          <w:szCs w:val="20"/>
        </w:rPr>
        <w:t xml:space="preserve"> 2023</w:t>
      </w:r>
      <w:r w:rsidR="007C4DD8" w:rsidRPr="00533E6D">
        <w:rPr>
          <w:sz w:val="24"/>
          <w:szCs w:val="20"/>
        </w:rPr>
        <w:t>–</w:t>
      </w:r>
      <w:r w:rsidRPr="00533E6D">
        <w:rPr>
          <w:sz w:val="24"/>
          <w:szCs w:val="20"/>
        </w:rPr>
        <w:t>24 CCI Cohort</w:t>
      </w:r>
    </w:p>
    <w:tbl>
      <w:tblPr>
        <w:tblStyle w:val="TableGrid"/>
        <w:tblW w:w="9350" w:type="dxa"/>
        <w:tblLook w:val="04A0" w:firstRow="1" w:lastRow="0" w:firstColumn="1" w:lastColumn="0" w:noHBand="0" w:noVBand="1"/>
        <w:tblCaption w:val="Table 9: Count of College Credit Courses Passed by 2023-24 CCI Cohort with a C- or better aggregated by State Course Code"/>
        <w:tblDescription w:val="Table 9: Count of College Credit Courses Passed by 2023-24 CCI Cohort with a C- or better aggregated by State Course Code"/>
      </w:tblPr>
      <w:tblGrid>
        <w:gridCol w:w="4855"/>
        <w:gridCol w:w="4495"/>
      </w:tblGrid>
      <w:tr w:rsidR="00AC30C5" w:rsidRPr="002B1203" w14:paraId="514467F7" w14:textId="77777777" w:rsidTr="00DA5325">
        <w:trPr>
          <w:cantSplit/>
          <w:trHeight w:val="303"/>
          <w:tblHeader/>
        </w:trPr>
        <w:tc>
          <w:tcPr>
            <w:tcW w:w="4855" w:type="dxa"/>
            <w:shd w:val="clear" w:color="auto" w:fill="E7E6E6" w:themeFill="background2"/>
            <w:noWrap/>
          </w:tcPr>
          <w:p w14:paraId="61D7DA8C" w14:textId="77777777" w:rsidR="00AC30C5" w:rsidRPr="008E53B8" w:rsidRDefault="00AC30C5" w:rsidP="0078728D">
            <w:pPr>
              <w:spacing w:before="0" w:after="0"/>
              <w:rPr>
                <w:rFonts w:eastAsia="Arial" w:cs="Arial"/>
                <w:b/>
                <w:bCs/>
              </w:rPr>
            </w:pPr>
            <w:r w:rsidRPr="008E53B8">
              <w:rPr>
                <w:rFonts w:eastAsia="Arial" w:cs="Arial"/>
                <w:b/>
                <w:bCs/>
              </w:rPr>
              <w:t>State Course Code and Title</w:t>
            </w:r>
          </w:p>
        </w:tc>
        <w:tc>
          <w:tcPr>
            <w:tcW w:w="4495" w:type="dxa"/>
            <w:shd w:val="clear" w:color="auto" w:fill="E7E6E6" w:themeFill="background2"/>
            <w:noWrap/>
          </w:tcPr>
          <w:p w14:paraId="30E80CEB" w14:textId="0E4262B5" w:rsidR="00AC30C5" w:rsidRPr="002B1203" w:rsidRDefault="005D31EA" w:rsidP="00B27D52">
            <w:pPr>
              <w:spacing w:before="0" w:after="0"/>
              <w:jc w:val="center"/>
            </w:pPr>
            <w:r>
              <w:rPr>
                <w:rFonts w:eastAsia="Arial" w:cs="Arial"/>
                <w:b/>
                <w:bCs/>
              </w:rPr>
              <w:t xml:space="preserve">Number of </w:t>
            </w:r>
            <w:r w:rsidR="00B27D52">
              <w:rPr>
                <w:rFonts w:eastAsia="Arial" w:cs="Arial"/>
                <w:b/>
                <w:bCs/>
              </w:rPr>
              <w:t xml:space="preserve">Term </w:t>
            </w:r>
            <w:r w:rsidR="00B81413">
              <w:rPr>
                <w:rFonts w:eastAsia="Arial" w:cs="Arial"/>
                <w:b/>
                <w:bCs/>
              </w:rPr>
              <w:t>Completion</w:t>
            </w:r>
            <w:r w:rsidR="00B27D52">
              <w:rPr>
                <w:rFonts w:eastAsia="Arial" w:cs="Arial"/>
                <w:b/>
                <w:bCs/>
              </w:rPr>
              <w:t>s</w:t>
            </w:r>
            <w:r w:rsidR="00B81413">
              <w:rPr>
                <w:rFonts w:eastAsia="Arial" w:cs="Arial"/>
                <w:b/>
                <w:bCs/>
              </w:rPr>
              <w:t xml:space="preserve"> (Semester/Trimester/Quarter/Full Year)</w:t>
            </w:r>
          </w:p>
        </w:tc>
      </w:tr>
      <w:tr w:rsidR="00AC30C5" w:rsidRPr="002B1203" w14:paraId="06799F77" w14:textId="77777777" w:rsidTr="00DA5325">
        <w:trPr>
          <w:cantSplit/>
          <w:trHeight w:val="303"/>
        </w:trPr>
        <w:tc>
          <w:tcPr>
            <w:tcW w:w="4855" w:type="dxa"/>
            <w:noWrap/>
            <w:hideMark/>
          </w:tcPr>
          <w:p w14:paraId="48554B57" w14:textId="77777777" w:rsidR="00AC30C5" w:rsidRPr="008E53B8" w:rsidRDefault="00AC30C5" w:rsidP="0078728D">
            <w:pPr>
              <w:spacing w:before="0" w:after="0"/>
              <w:rPr>
                <w:rFonts w:eastAsia="Arial" w:cs="Arial"/>
              </w:rPr>
            </w:pPr>
            <w:r w:rsidRPr="008E53B8">
              <w:rPr>
                <w:rFonts w:eastAsia="Arial" w:cs="Arial"/>
              </w:rPr>
              <w:t>9020 - College Credit Course - Visual Arts</w:t>
            </w:r>
          </w:p>
        </w:tc>
        <w:tc>
          <w:tcPr>
            <w:tcW w:w="4495" w:type="dxa"/>
            <w:noWrap/>
            <w:hideMark/>
          </w:tcPr>
          <w:p w14:paraId="0B3835EE" w14:textId="77777777" w:rsidR="00AC30C5" w:rsidRPr="002B1203" w:rsidRDefault="00AC30C5" w:rsidP="00B27D52">
            <w:pPr>
              <w:spacing w:before="0" w:after="0"/>
              <w:jc w:val="center"/>
            </w:pPr>
            <w:r w:rsidRPr="002B1203">
              <w:t>8</w:t>
            </w:r>
            <w:r>
              <w:t>,</w:t>
            </w:r>
            <w:r w:rsidRPr="002B1203">
              <w:t>979</w:t>
            </w:r>
          </w:p>
        </w:tc>
      </w:tr>
      <w:tr w:rsidR="00AC30C5" w:rsidRPr="002B1203" w14:paraId="519F07B5" w14:textId="77777777" w:rsidTr="00DA5325">
        <w:trPr>
          <w:cantSplit/>
          <w:trHeight w:val="303"/>
        </w:trPr>
        <w:tc>
          <w:tcPr>
            <w:tcW w:w="4855" w:type="dxa"/>
            <w:shd w:val="clear" w:color="auto" w:fill="E7E6E6" w:themeFill="background2"/>
            <w:noWrap/>
            <w:hideMark/>
          </w:tcPr>
          <w:p w14:paraId="02E74DF5" w14:textId="02CDFF92" w:rsidR="00AC30C5" w:rsidRPr="008E53B8" w:rsidRDefault="00AC30C5" w:rsidP="0078728D">
            <w:pPr>
              <w:spacing w:before="0" w:after="0"/>
              <w:rPr>
                <w:rFonts w:eastAsia="Arial" w:cs="Arial"/>
              </w:rPr>
            </w:pPr>
            <w:r w:rsidRPr="008E53B8">
              <w:rPr>
                <w:rFonts w:eastAsia="Arial" w:cs="Arial"/>
              </w:rPr>
              <w:t xml:space="preserve">9082 - College Credit Course </w:t>
            </w:r>
            <w:r w:rsidR="008A15E2">
              <w:rPr>
                <w:rFonts w:eastAsia="Arial" w:cs="Arial"/>
              </w:rPr>
              <w:t>–</w:t>
            </w:r>
            <w:r w:rsidRPr="008E53B8">
              <w:rPr>
                <w:rFonts w:eastAsia="Arial" w:cs="Arial"/>
              </w:rPr>
              <w:t xml:space="preserve"> Dance</w:t>
            </w:r>
          </w:p>
        </w:tc>
        <w:tc>
          <w:tcPr>
            <w:tcW w:w="4495" w:type="dxa"/>
            <w:shd w:val="clear" w:color="auto" w:fill="E7E6E6" w:themeFill="background2"/>
            <w:noWrap/>
            <w:hideMark/>
          </w:tcPr>
          <w:p w14:paraId="7EA66C8B" w14:textId="77777777" w:rsidR="00AC30C5" w:rsidRPr="002B1203" w:rsidRDefault="00AC30C5" w:rsidP="00B27D52">
            <w:pPr>
              <w:spacing w:before="0" w:after="0"/>
              <w:jc w:val="center"/>
            </w:pPr>
            <w:r w:rsidRPr="002B1203">
              <w:t>343</w:t>
            </w:r>
          </w:p>
        </w:tc>
      </w:tr>
      <w:tr w:rsidR="00AC30C5" w:rsidRPr="002B1203" w14:paraId="0D88CB34" w14:textId="77777777" w:rsidTr="00DA5325">
        <w:trPr>
          <w:cantSplit/>
          <w:trHeight w:val="303"/>
        </w:trPr>
        <w:tc>
          <w:tcPr>
            <w:tcW w:w="4855" w:type="dxa"/>
            <w:noWrap/>
            <w:hideMark/>
          </w:tcPr>
          <w:p w14:paraId="5CF79B38" w14:textId="24E1BB06" w:rsidR="00AC30C5" w:rsidRPr="008E53B8" w:rsidRDefault="00AC30C5" w:rsidP="0078728D">
            <w:pPr>
              <w:spacing w:before="0" w:after="0"/>
              <w:rPr>
                <w:rFonts w:eastAsia="Arial" w:cs="Arial"/>
              </w:rPr>
            </w:pPr>
            <w:r w:rsidRPr="008E53B8">
              <w:rPr>
                <w:rFonts w:eastAsia="Arial" w:cs="Arial"/>
              </w:rPr>
              <w:t xml:space="preserve">9096 - College Credit Course </w:t>
            </w:r>
            <w:r w:rsidR="008A15E2">
              <w:rPr>
                <w:rFonts w:eastAsia="Arial" w:cs="Arial"/>
              </w:rPr>
              <w:t>–</w:t>
            </w:r>
            <w:r w:rsidRPr="008E53B8">
              <w:rPr>
                <w:rFonts w:eastAsia="Arial" w:cs="Arial"/>
              </w:rPr>
              <w:t xml:space="preserve"> Theatre</w:t>
            </w:r>
          </w:p>
        </w:tc>
        <w:tc>
          <w:tcPr>
            <w:tcW w:w="4495" w:type="dxa"/>
            <w:noWrap/>
            <w:hideMark/>
          </w:tcPr>
          <w:p w14:paraId="220AA5D6" w14:textId="77777777" w:rsidR="00AC30C5" w:rsidRPr="002B1203" w:rsidRDefault="00AC30C5" w:rsidP="00B27D52">
            <w:pPr>
              <w:spacing w:before="0" w:after="0"/>
              <w:jc w:val="center"/>
            </w:pPr>
            <w:r w:rsidRPr="002B1203">
              <w:t>993</w:t>
            </w:r>
          </w:p>
        </w:tc>
      </w:tr>
      <w:tr w:rsidR="00AC30C5" w:rsidRPr="002B1203" w14:paraId="53D44378" w14:textId="77777777" w:rsidTr="00DA5325">
        <w:trPr>
          <w:cantSplit/>
          <w:trHeight w:val="303"/>
        </w:trPr>
        <w:tc>
          <w:tcPr>
            <w:tcW w:w="4855" w:type="dxa"/>
            <w:shd w:val="clear" w:color="auto" w:fill="E7E6E6" w:themeFill="background2"/>
            <w:noWrap/>
            <w:hideMark/>
          </w:tcPr>
          <w:p w14:paraId="53E82FCE" w14:textId="16EBF1A0" w:rsidR="00AC30C5" w:rsidRPr="008E53B8" w:rsidRDefault="00AC30C5" w:rsidP="0078728D">
            <w:pPr>
              <w:spacing w:before="0" w:after="0"/>
              <w:rPr>
                <w:rFonts w:eastAsia="Arial" w:cs="Arial"/>
              </w:rPr>
            </w:pPr>
            <w:r w:rsidRPr="008E53B8">
              <w:rPr>
                <w:rFonts w:eastAsia="Arial" w:cs="Arial"/>
              </w:rPr>
              <w:t xml:space="preserve">9120 - College Credit Course </w:t>
            </w:r>
            <w:r w:rsidR="008A15E2">
              <w:rPr>
                <w:rFonts w:eastAsia="Arial" w:cs="Arial"/>
              </w:rPr>
              <w:t>–</w:t>
            </w:r>
            <w:r w:rsidRPr="008E53B8">
              <w:rPr>
                <w:rFonts w:eastAsia="Arial" w:cs="Arial"/>
              </w:rPr>
              <w:t xml:space="preserve"> English</w:t>
            </w:r>
          </w:p>
        </w:tc>
        <w:tc>
          <w:tcPr>
            <w:tcW w:w="4495" w:type="dxa"/>
            <w:shd w:val="clear" w:color="auto" w:fill="E7E6E6" w:themeFill="background2"/>
            <w:noWrap/>
            <w:hideMark/>
          </w:tcPr>
          <w:p w14:paraId="0D7EC83B" w14:textId="77777777" w:rsidR="00AC30C5" w:rsidRPr="002B1203" w:rsidRDefault="00AC30C5" w:rsidP="00B27D52">
            <w:pPr>
              <w:spacing w:before="0" w:after="0"/>
              <w:jc w:val="center"/>
            </w:pPr>
            <w:r w:rsidRPr="002B1203">
              <w:t>34</w:t>
            </w:r>
            <w:r>
              <w:t>,</w:t>
            </w:r>
            <w:r w:rsidRPr="002B1203">
              <w:t>861</w:t>
            </w:r>
          </w:p>
        </w:tc>
      </w:tr>
      <w:tr w:rsidR="00AC30C5" w:rsidRPr="002B1203" w14:paraId="7C047EF5" w14:textId="77777777" w:rsidTr="00DA5325">
        <w:trPr>
          <w:cantSplit/>
          <w:trHeight w:val="303"/>
        </w:trPr>
        <w:tc>
          <w:tcPr>
            <w:tcW w:w="4855" w:type="dxa"/>
            <w:noWrap/>
            <w:hideMark/>
          </w:tcPr>
          <w:p w14:paraId="112D29BD" w14:textId="77777777" w:rsidR="00AC30C5" w:rsidRPr="008E53B8" w:rsidRDefault="00AC30C5" w:rsidP="0078728D">
            <w:pPr>
              <w:spacing w:before="0" w:after="0"/>
              <w:rPr>
                <w:rFonts w:eastAsia="Arial" w:cs="Arial"/>
              </w:rPr>
            </w:pPr>
            <w:r w:rsidRPr="008E53B8">
              <w:rPr>
                <w:rFonts w:eastAsia="Arial" w:cs="Arial"/>
              </w:rPr>
              <w:t>9154 - College Credit Course - World Languages</w:t>
            </w:r>
          </w:p>
        </w:tc>
        <w:tc>
          <w:tcPr>
            <w:tcW w:w="4495" w:type="dxa"/>
            <w:noWrap/>
            <w:hideMark/>
          </w:tcPr>
          <w:p w14:paraId="0CA6F4A8" w14:textId="77777777" w:rsidR="00AC30C5" w:rsidRPr="002B1203" w:rsidRDefault="00AC30C5" w:rsidP="00B27D52">
            <w:pPr>
              <w:spacing w:before="0" w:after="0"/>
              <w:jc w:val="center"/>
            </w:pPr>
            <w:r w:rsidRPr="002B1203">
              <w:t>14</w:t>
            </w:r>
            <w:r>
              <w:t>,</w:t>
            </w:r>
            <w:r w:rsidRPr="002B1203">
              <w:t>089</w:t>
            </w:r>
          </w:p>
        </w:tc>
      </w:tr>
      <w:tr w:rsidR="00AC30C5" w:rsidRPr="002B1203" w14:paraId="24E03323" w14:textId="77777777" w:rsidTr="00DA5325">
        <w:trPr>
          <w:cantSplit/>
          <w:trHeight w:val="303"/>
        </w:trPr>
        <w:tc>
          <w:tcPr>
            <w:tcW w:w="4855" w:type="dxa"/>
            <w:shd w:val="clear" w:color="auto" w:fill="E7E6E6" w:themeFill="background2"/>
            <w:noWrap/>
            <w:hideMark/>
          </w:tcPr>
          <w:p w14:paraId="53878A78" w14:textId="77777777" w:rsidR="00AC30C5" w:rsidRPr="008E53B8" w:rsidRDefault="00AC30C5" w:rsidP="0078728D">
            <w:pPr>
              <w:spacing w:before="0" w:after="0"/>
              <w:rPr>
                <w:rFonts w:eastAsia="Arial" w:cs="Arial"/>
              </w:rPr>
            </w:pPr>
            <w:r w:rsidRPr="008E53B8">
              <w:rPr>
                <w:rFonts w:eastAsia="Arial" w:cs="Arial"/>
              </w:rPr>
              <w:t>9200 - College Credit Course - History/Social Science</w:t>
            </w:r>
          </w:p>
        </w:tc>
        <w:tc>
          <w:tcPr>
            <w:tcW w:w="4495" w:type="dxa"/>
            <w:shd w:val="clear" w:color="auto" w:fill="E7E6E6" w:themeFill="background2"/>
            <w:noWrap/>
            <w:hideMark/>
          </w:tcPr>
          <w:p w14:paraId="11D7F50A" w14:textId="77777777" w:rsidR="00AC30C5" w:rsidRPr="002B1203" w:rsidRDefault="00AC30C5" w:rsidP="00B27D52">
            <w:pPr>
              <w:spacing w:before="0" w:after="0"/>
              <w:jc w:val="center"/>
            </w:pPr>
            <w:r w:rsidRPr="002B1203">
              <w:t>39</w:t>
            </w:r>
            <w:r>
              <w:t>,</w:t>
            </w:r>
            <w:r w:rsidRPr="002B1203">
              <w:t>561</w:t>
            </w:r>
          </w:p>
        </w:tc>
      </w:tr>
      <w:tr w:rsidR="00AC30C5" w:rsidRPr="002B1203" w14:paraId="4F780D83" w14:textId="77777777" w:rsidTr="00DA5325">
        <w:trPr>
          <w:cantSplit/>
          <w:trHeight w:val="303"/>
        </w:trPr>
        <w:tc>
          <w:tcPr>
            <w:tcW w:w="4855" w:type="dxa"/>
            <w:noWrap/>
            <w:hideMark/>
          </w:tcPr>
          <w:p w14:paraId="48168986" w14:textId="6B124EEF" w:rsidR="00AC30C5" w:rsidRPr="008E53B8" w:rsidRDefault="00AC30C5" w:rsidP="0078728D">
            <w:pPr>
              <w:spacing w:before="0" w:after="0"/>
              <w:rPr>
                <w:rFonts w:eastAsia="Arial" w:cs="Arial"/>
              </w:rPr>
            </w:pPr>
            <w:r w:rsidRPr="008E53B8">
              <w:rPr>
                <w:rFonts w:eastAsia="Arial" w:cs="Arial"/>
              </w:rPr>
              <w:t xml:space="preserve">9227 - College Credit Course </w:t>
            </w:r>
            <w:r w:rsidR="008A15E2">
              <w:rPr>
                <w:rFonts w:eastAsia="Arial" w:cs="Arial"/>
              </w:rPr>
              <w:t>–</w:t>
            </w:r>
            <w:r w:rsidRPr="008E53B8">
              <w:rPr>
                <w:rFonts w:eastAsia="Arial" w:cs="Arial"/>
              </w:rPr>
              <w:t xml:space="preserve"> Other</w:t>
            </w:r>
          </w:p>
        </w:tc>
        <w:tc>
          <w:tcPr>
            <w:tcW w:w="4495" w:type="dxa"/>
            <w:noWrap/>
            <w:hideMark/>
          </w:tcPr>
          <w:p w14:paraId="23A6C248" w14:textId="77777777" w:rsidR="00AC30C5" w:rsidRPr="002B1203" w:rsidRDefault="00AC30C5" w:rsidP="00B27D52">
            <w:pPr>
              <w:spacing w:before="0" w:after="0"/>
              <w:jc w:val="center"/>
            </w:pPr>
            <w:r w:rsidRPr="002B1203">
              <w:t>67</w:t>
            </w:r>
            <w:r>
              <w:t>,</w:t>
            </w:r>
            <w:r w:rsidRPr="002B1203">
              <w:t>442</w:t>
            </w:r>
          </w:p>
        </w:tc>
      </w:tr>
      <w:tr w:rsidR="00AC30C5" w:rsidRPr="002B1203" w14:paraId="128D1CFA" w14:textId="77777777" w:rsidTr="00DA5325">
        <w:trPr>
          <w:cantSplit/>
          <w:trHeight w:val="303"/>
        </w:trPr>
        <w:tc>
          <w:tcPr>
            <w:tcW w:w="4855" w:type="dxa"/>
            <w:shd w:val="clear" w:color="auto" w:fill="E7E6E6" w:themeFill="background2"/>
            <w:noWrap/>
            <w:hideMark/>
          </w:tcPr>
          <w:p w14:paraId="4BAB2DC3" w14:textId="7E892E88" w:rsidR="00AC30C5" w:rsidRPr="008E53B8" w:rsidRDefault="00AC30C5" w:rsidP="0078728D">
            <w:pPr>
              <w:spacing w:before="0" w:after="0"/>
              <w:rPr>
                <w:rFonts w:eastAsia="Arial" w:cs="Arial"/>
              </w:rPr>
            </w:pPr>
            <w:r w:rsidRPr="008E53B8">
              <w:rPr>
                <w:rFonts w:eastAsia="Arial" w:cs="Arial"/>
              </w:rPr>
              <w:t xml:space="preserve">9273 - College Credit Course </w:t>
            </w:r>
            <w:r w:rsidR="008A15E2">
              <w:rPr>
                <w:rFonts w:eastAsia="Arial" w:cs="Arial"/>
              </w:rPr>
              <w:t>–</w:t>
            </w:r>
            <w:r w:rsidRPr="008E53B8">
              <w:rPr>
                <w:rFonts w:eastAsia="Arial" w:cs="Arial"/>
              </w:rPr>
              <w:t xml:space="preserve"> Mathematics</w:t>
            </w:r>
          </w:p>
        </w:tc>
        <w:tc>
          <w:tcPr>
            <w:tcW w:w="4495" w:type="dxa"/>
            <w:shd w:val="clear" w:color="auto" w:fill="E7E6E6" w:themeFill="background2"/>
            <w:noWrap/>
            <w:hideMark/>
          </w:tcPr>
          <w:p w14:paraId="01075D26" w14:textId="77777777" w:rsidR="00AC30C5" w:rsidRPr="002B1203" w:rsidRDefault="00AC30C5" w:rsidP="00B27D52">
            <w:pPr>
              <w:spacing w:before="0" w:after="0"/>
              <w:jc w:val="center"/>
            </w:pPr>
            <w:r w:rsidRPr="002B1203">
              <w:t>18</w:t>
            </w:r>
            <w:r>
              <w:t>,</w:t>
            </w:r>
            <w:r w:rsidRPr="002B1203">
              <w:t>316</w:t>
            </w:r>
          </w:p>
        </w:tc>
      </w:tr>
      <w:tr w:rsidR="00AC30C5" w:rsidRPr="002B1203" w14:paraId="0C4C4048" w14:textId="77777777" w:rsidTr="00DA5325">
        <w:trPr>
          <w:cantSplit/>
          <w:trHeight w:val="303"/>
        </w:trPr>
        <w:tc>
          <w:tcPr>
            <w:tcW w:w="4855" w:type="dxa"/>
            <w:noWrap/>
            <w:hideMark/>
          </w:tcPr>
          <w:p w14:paraId="4A9D4FB4" w14:textId="5DF3A661" w:rsidR="00AC30C5" w:rsidRPr="008E53B8" w:rsidRDefault="00AC30C5" w:rsidP="0078728D">
            <w:pPr>
              <w:spacing w:before="0" w:after="0"/>
              <w:rPr>
                <w:rFonts w:eastAsia="Arial" w:cs="Arial"/>
              </w:rPr>
            </w:pPr>
            <w:r w:rsidRPr="008E53B8">
              <w:rPr>
                <w:rFonts w:eastAsia="Arial" w:cs="Arial"/>
              </w:rPr>
              <w:t xml:space="preserve">9303 - College Credit Course </w:t>
            </w:r>
            <w:r w:rsidR="008A15E2">
              <w:rPr>
                <w:rFonts w:eastAsia="Arial" w:cs="Arial"/>
              </w:rPr>
              <w:t>–</w:t>
            </w:r>
            <w:r w:rsidRPr="008E53B8">
              <w:rPr>
                <w:rFonts w:eastAsia="Arial" w:cs="Arial"/>
              </w:rPr>
              <w:t xml:space="preserve"> Music</w:t>
            </w:r>
          </w:p>
        </w:tc>
        <w:tc>
          <w:tcPr>
            <w:tcW w:w="4495" w:type="dxa"/>
            <w:noWrap/>
            <w:hideMark/>
          </w:tcPr>
          <w:p w14:paraId="10078A2B" w14:textId="77777777" w:rsidR="00AC30C5" w:rsidRPr="002B1203" w:rsidRDefault="00AC30C5" w:rsidP="00B27D52">
            <w:pPr>
              <w:spacing w:before="0" w:after="0"/>
              <w:jc w:val="center"/>
            </w:pPr>
            <w:r w:rsidRPr="002B1203">
              <w:t>3</w:t>
            </w:r>
            <w:r>
              <w:t>,</w:t>
            </w:r>
            <w:r w:rsidRPr="002B1203">
              <w:t>108</w:t>
            </w:r>
          </w:p>
        </w:tc>
      </w:tr>
      <w:tr w:rsidR="00AC30C5" w:rsidRPr="002B1203" w14:paraId="44B0A4A3" w14:textId="77777777" w:rsidTr="00DA5325">
        <w:trPr>
          <w:cantSplit/>
          <w:trHeight w:val="303"/>
        </w:trPr>
        <w:tc>
          <w:tcPr>
            <w:tcW w:w="4855" w:type="dxa"/>
            <w:shd w:val="clear" w:color="auto" w:fill="E7E6E6" w:themeFill="background2"/>
            <w:noWrap/>
            <w:hideMark/>
          </w:tcPr>
          <w:p w14:paraId="644AC785" w14:textId="01B369C3" w:rsidR="00AC30C5" w:rsidRPr="008E53B8" w:rsidRDefault="00AC30C5" w:rsidP="0078728D">
            <w:pPr>
              <w:spacing w:before="0" w:after="0"/>
              <w:rPr>
                <w:rFonts w:eastAsia="Arial" w:cs="Arial"/>
              </w:rPr>
            </w:pPr>
            <w:r w:rsidRPr="008E53B8">
              <w:rPr>
                <w:rFonts w:eastAsia="Arial" w:cs="Arial"/>
              </w:rPr>
              <w:t xml:space="preserve">9358 - College Credit Course </w:t>
            </w:r>
            <w:r w:rsidR="004914D8">
              <w:rPr>
                <w:rFonts w:eastAsia="Arial" w:cs="Arial"/>
              </w:rPr>
              <w:t>–</w:t>
            </w:r>
            <w:r w:rsidRPr="008E53B8">
              <w:rPr>
                <w:rFonts w:eastAsia="Arial" w:cs="Arial"/>
              </w:rPr>
              <w:t xml:space="preserve"> Science</w:t>
            </w:r>
          </w:p>
        </w:tc>
        <w:tc>
          <w:tcPr>
            <w:tcW w:w="4495" w:type="dxa"/>
            <w:shd w:val="clear" w:color="auto" w:fill="E7E6E6" w:themeFill="background2"/>
            <w:noWrap/>
            <w:hideMark/>
          </w:tcPr>
          <w:p w14:paraId="23D53074" w14:textId="77777777" w:rsidR="00AC30C5" w:rsidRPr="002B1203" w:rsidRDefault="00AC30C5" w:rsidP="00B27D52">
            <w:pPr>
              <w:spacing w:before="0" w:after="0"/>
              <w:jc w:val="center"/>
            </w:pPr>
            <w:r w:rsidRPr="002B1203">
              <w:t>13</w:t>
            </w:r>
            <w:r>
              <w:t>,</w:t>
            </w:r>
            <w:r w:rsidRPr="002B1203">
              <w:t>134</w:t>
            </w:r>
          </w:p>
        </w:tc>
      </w:tr>
      <w:tr w:rsidR="00AC76C3" w:rsidRPr="002B1203" w14:paraId="248FEA25" w14:textId="77777777" w:rsidTr="00DA5325">
        <w:trPr>
          <w:cantSplit/>
          <w:trHeight w:val="303"/>
        </w:trPr>
        <w:tc>
          <w:tcPr>
            <w:tcW w:w="4855" w:type="dxa"/>
            <w:noWrap/>
          </w:tcPr>
          <w:p w14:paraId="4DA9DCEB" w14:textId="6154598E" w:rsidR="00AC76C3" w:rsidRPr="008E53B8" w:rsidRDefault="00D81952" w:rsidP="0078728D">
            <w:pPr>
              <w:spacing w:before="0" w:after="0"/>
              <w:rPr>
                <w:rFonts w:eastAsia="Arial" w:cs="Arial"/>
              </w:rPr>
            </w:pPr>
            <w:r w:rsidRPr="40A9196B">
              <w:rPr>
                <w:rFonts w:eastAsia="Arial" w:cs="Arial"/>
              </w:rPr>
              <w:t>7</w:t>
            </w:r>
            <w:r w:rsidR="45F96D34" w:rsidRPr="40A9196B">
              <w:rPr>
                <w:rFonts w:eastAsia="Arial" w:cs="Arial"/>
              </w:rPr>
              <w:t>000</w:t>
            </w:r>
            <w:r w:rsidRPr="40A9196B">
              <w:rPr>
                <w:rFonts w:eastAsia="Arial" w:cs="Arial"/>
              </w:rPr>
              <w:t>-</w:t>
            </w:r>
            <w:r w:rsidRPr="3C99521D">
              <w:rPr>
                <w:rFonts w:eastAsia="Arial" w:cs="Arial"/>
              </w:rPr>
              <w:t>8</w:t>
            </w:r>
            <w:r w:rsidR="2B666680" w:rsidRPr="3C99521D">
              <w:rPr>
                <w:rFonts w:eastAsia="Arial" w:cs="Arial"/>
              </w:rPr>
              <w:t>999</w:t>
            </w:r>
            <w:r>
              <w:rPr>
                <w:rFonts w:eastAsia="Arial" w:cs="Arial"/>
              </w:rPr>
              <w:t xml:space="preserve"> (with Code 23/24) - </w:t>
            </w:r>
            <w:r w:rsidR="000E34D8">
              <w:rPr>
                <w:rFonts w:eastAsia="Arial" w:cs="Arial"/>
              </w:rPr>
              <w:t xml:space="preserve">CTE College Credit Courses </w:t>
            </w:r>
          </w:p>
        </w:tc>
        <w:tc>
          <w:tcPr>
            <w:tcW w:w="4495" w:type="dxa"/>
            <w:noWrap/>
          </w:tcPr>
          <w:p w14:paraId="088D01EF" w14:textId="68EADB68" w:rsidR="00AC76C3" w:rsidRPr="002B1203" w:rsidRDefault="001A7E07" w:rsidP="00B27D52">
            <w:pPr>
              <w:spacing w:before="0" w:after="0"/>
              <w:jc w:val="center"/>
            </w:pPr>
            <w:r w:rsidRPr="00DB656B">
              <w:t>64,356</w:t>
            </w:r>
          </w:p>
        </w:tc>
      </w:tr>
    </w:tbl>
    <w:p w14:paraId="2520FFA3" w14:textId="5CD83EEE" w:rsidR="00C6589E" w:rsidRDefault="00C6589E" w:rsidP="00AC30C5">
      <w:pPr>
        <w:rPr>
          <w:rFonts w:eastAsia="Arial" w:cs="Arial"/>
        </w:rPr>
      </w:pPr>
      <w:r>
        <w:rPr>
          <w:rFonts w:eastAsia="Arial" w:cs="Arial"/>
        </w:rPr>
        <w:t xml:space="preserve">The most common course code </w:t>
      </w:r>
      <w:r w:rsidR="00607B11">
        <w:rPr>
          <w:rFonts w:eastAsia="Arial" w:cs="Arial"/>
        </w:rPr>
        <w:t xml:space="preserve">reported by LEAs </w:t>
      </w:r>
      <w:r>
        <w:rPr>
          <w:rFonts w:eastAsia="Arial" w:cs="Arial"/>
        </w:rPr>
        <w:t xml:space="preserve">for </w:t>
      </w:r>
      <w:r w:rsidR="00607B11">
        <w:rPr>
          <w:rFonts w:eastAsia="Arial" w:cs="Arial"/>
        </w:rPr>
        <w:t xml:space="preserve">the </w:t>
      </w:r>
      <w:r w:rsidRPr="006E3294">
        <w:rPr>
          <w:rFonts w:eastAsia="BIZ UDGothic"/>
        </w:rPr>
        <w:t>2023–24</w:t>
      </w:r>
      <w:r>
        <w:rPr>
          <w:rFonts w:eastAsia="BIZ UDGothic"/>
        </w:rPr>
        <w:t xml:space="preserve"> </w:t>
      </w:r>
      <w:r w:rsidR="00607B11">
        <w:rPr>
          <w:rFonts w:eastAsia="BIZ UDGothic"/>
        </w:rPr>
        <w:t xml:space="preserve">school year </w:t>
      </w:r>
      <w:r>
        <w:rPr>
          <w:rFonts w:eastAsia="Arial" w:cs="Arial"/>
        </w:rPr>
        <w:t xml:space="preserve">was </w:t>
      </w:r>
      <w:r w:rsidRPr="5F48C630">
        <w:rPr>
          <w:rFonts w:eastAsia="Arial" w:cs="Arial"/>
        </w:rPr>
        <w:t>9227: College Credit Course – Other</w:t>
      </w:r>
      <w:r w:rsidR="00607B11">
        <w:rPr>
          <w:rFonts w:eastAsia="Arial" w:cs="Arial"/>
        </w:rPr>
        <w:t xml:space="preserve">. Approximately </w:t>
      </w:r>
      <w:r w:rsidR="00680EBD">
        <w:rPr>
          <w:rFonts w:eastAsia="Arial" w:cs="Arial"/>
        </w:rPr>
        <w:t>6</w:t>
      </w:r>
      <w:r>
        <w:rPr>
          <w:rFonts w:eastAsia="Arial" w:cs="Arial"/>
        </w:rPr>
        <w:t>7,</w:t>
      </w:r>
      <w:r w:rsidR="00E64831">
        <w:rPr>
          <w:rFonts w:eastAsia="Arial" w:cs="Arial"/>
        </w:rPr>
        <w:t>442</w:t>
      </w:r>
      <w:r>
        <w:rPr>
          <w:rFonts w:eastAsia="Arial" w:cs="Arial"/>
        </w:rPr>
        <w:t xml:space="preserve"> </w:t>
      </w:r>
      <w:r w:rsidR="00680EBD">
        <w:rPr>
          <w:rFonts w:eastAsia="Arial" w:cs="Arial"/>
        </w:rPr>
        <w:t>term completions representing</w:t>
      </w:r>
      <w:r w:rsidR="00E64831">
        <w:rPr>
          <w:rFonts w:eastAsia="Arial" w:cs="Arial"/>
        </w:rPr>
        <w:t xml:space="preserve"> 40,772 students</w:t>
      </w:r>
      <w:r w:rsidR="00A6231A">
        <w:rPr>
          <w:rFonts w:eastAsia="Arial" w:cs="Arial"/>
        </w:rPr>
        <w:t xml:space="preserve"> in the CCI cohort</w:t>
      </w:r>
      <w:r>
        <w:rPr>
          <w:rFonts w:eastAsia="Arial" w:cs="Arial"/>
        </w:rPr>
        <w:t xml:space="preserve">. This course code represents a wide variety of subjects </w:t>
      </w:r>
      <w:r w:rsidR="00CA28F5">
        <w:rPr>
          <w:rFonts w:eastAsia="Arial" w:cs="Arial"/>
        </w:rPr>
        <w:t>inclusive of</w:t>
      </w:r>
      <w:r>
        <w:rPr>
          <w:rFonts w:eastAsia="Arial" w:cs="Arial"/>
        </w:rPr>
        <w:t xml:space="preserve"> </w:t>
      </w:r>
      <w:r w:rsidRPr="00361211">
        <w:rPr>
          <w:rFonts w:eastAsia="Arial" w:cs="Arial"/>
        </w:rPr>
        <w:t>General Education and Core Subjects</w:t>
      </w:r>
      <w:r>
        <w:rPr>
          <w:rFonts w:eastAsia="Arial" w:cs="Arial"/>
        </w:rPr>
        <w:t xml:space="preserve"> that include English, Mathematics</w:t>
      </w:r>
      <w:r w:rsidR="00CA28F5">
        <w:rPr>
          <w:rFonts w:eastAsia="Arial" w:cs="Arial"/>
        </w:rPr>
        <w:t xml:space="preserve">, </w:t>
      </w:r>
      <w:r>
        <w:rPr>
          <w:rFonts w:eastAsia="Arial" w:cs="Arial"/>
        </w:rPr>
        <w:t xml:space="preserve">Science, </w:t>
      </w:r>
      <w:r w:rsidRPr="00CD459B">
        <w:rPr>
          <w:rFonts w:eastAsia="Arial" w:cs="Arial"/>
        </w:rPr>
        <w:t>Life Skills</w:t>
      </w:r>
      <w:r w:rsidR="00CA28F5">
        <w:rPr>
          <w:rFonts w:eastAsia="Arial" w:cs="Arial"/>
        </w:rPr>
        <w:t>,</w:t>
      </w:r>
      <w:r w:rsidRPr="00CD459B">
        <w:rPr>
          <w:rFonts w:eastAsia="Arial" w:cs="Arial"/>
        </w:rPr>
        <w:t xml:space="preserve"> and Personal Development</w:t>
      </w:r>
      <w:r w:rsidR="00CA28F5">
        <w:rPr>
          <w:rFonts w:eastAsia="Arial" w:cs="Arial"/>
        </w:rPr>
        <w:t>.</w:t>
      </w:r>
      <w:r w:rsidR="007957D7">
        <w:rPr>
          <w:rFonts w:eastAsia="Arial" w:cs="Arial"/>
        </w:rPr>
        <w:t xml:space="preserve"> </w:t>
      </w:r>
      <w:r w:rsidR="007957D7">
        <w:t xml:space="preserve">Of the </w:t>
      </w:r>
      <w:r w:rsidR="00A9338F">
        <w:t>over 7,000</w:t>
      </w:r>
      <w:r w:rsidR="00CD32B6">
        <w:t xml:space="preserve"> course titles </w:t>
      </w:r>
      <w:r w:rsidR="002930C0">
        <w:t>in 2023</w:t>
      </w:r>
      <w:r w:rsidR="006D4925">
        <w:rPr>
          <w:rFonts w:cs="Arial"/>
        </w:rPr>
        <w:t>–</w:t>
      </w:r>
      <w:r w:rsidR="002930C0">
        <w:t>24</w:t>
      </w:r>
      <w:r w:rsidR="00D907EE">
        <w:t>, the most common</w:t>
      </w:r>
      <w:r w:rsidR="00D907EE">
        <w:rPr>
          <w:rFonts w:eastAsia="Arial"/>
        </w:rPr>
        <w:t xml:space="preserve"> courses</w:t>
      </w:r>
      <w:r w:rsidR="00096469">
        <w:rPr>
          <w:rFonts w:eastAsia="Arial"/>
        </w:rPr>
        <w:t xml:space="preserve"> </w:t>
      </w:r>
      <w:r w:rsidR="00096469">
        <w:t xml:space="preserve">included: </w:t>
      </w:r>
      <w:r w:rsidR="00096469" w:rsidRPr="009468C9">
        <w:t>Career and Life Planning</w:t>
      </w:r>
      <w:r w:rsidR="00096469">
        <w:t>, P</w:t>
      </w:r>
      <w:r w:rsidR="00096469" w:rsidRPr="009468C9">
        <w:t>ublic Speaking</w:t>
      </w:r>
      <w:r w:rsidR="00096469">
        <w:t xml:space="preserve">, </w:t>
      </w:r>
      <w:r w:rsidR="00096469" w:rsidRPr="009468C9">
        <w:t>Other</w:t>
      </w:r>
      <w:r w:rsidR="00096469">
        <w:t xml:space="preserve">, </w:t>
      </w:r>
      <w:r w:rsidR="00096469" w:rsidRPr="009468C9">
        <w:t>Elements of Public Speaking</w:t>
      </w:r>
      <w:r w:rsidR="00096469">
        <w:t xml:space="preserve"> and Nutrition.</w:t>
      </w:r>
      <w:r w:rsidR="006C581E">
        <w:t xml:space="preserve"> </w:t>
      </w:r>
      <w:r w:rsidR="006E5CFD">
        <w:rPr>
          <w:rFonts w:eastAsia="Arial" w:cs="Arial"/>
        </w:rPr>
        <w:t>Two percent</w:t>
      </w:r>
      <w:r w:rsidR="006E5CFD" w:rsidRPr="003145F9">
        <w:rPr>
          <w:rFonts w:eastAsia="Arial" w:cs="Arial"/>
        </w:rPr>
        <w:t xml:space="preserve"> of</w:t>
      </w:r>
      <w:r w:rsidR="006D4925">
        <w:rPr>
          <w:rFonts w:eastAsia="Arial" w:cs="Arial"/>
        </w:rPr>
        <w:t xml:space="preserve"> </w:t>
      </w:r>
      <w:r w:rsidR="003775A6">
        <w:rPr>
          <w:rFonts w:eastAsia="Arial" w:cs="Arial"/>
        </w:rPr>
        <w:t xml:space="preserve">the CCI cohort </w:t>
      </w:r>
      <w:r w:rsidR="006E5CFD">
        <w:rPr>
          <w:rFonts w:eastAsia="Arial" w:cs="Arial"/>
        </w:rPr>
        <w:t xml:space="preserve">were shown to be prepared by their </w:t>
      </w:r>
      <w:r w:rsidR="006C581E">
        <w:rPr>
          <w:rFonts w:eastAsia="Arial" w:cs="Arial"/>
        </w:rPr>
        <w:t xml:space="preserve">LEA for college/career </w:t>
      </w:r>
      <w:r w:rsidR="006E5CFD">
        <w:rPr>
          <w:rFonts w:eastAsia="Arial" w:cs="Arial"/>
        </w:rPr>
        <w:t xml:space="preserve">because they took one or more </w:t>
      </w:r>
      <w:r w:rsidR="006E5CFD" w:rsidRPr="00395A87">
        <w:rPr>
          <w:rFonts w:eastAsia="Arial" w:cs="Arial"/>
        </w:rPr>
        <w:t>9227 – College Credit Other course</w:t>
      </w:r>
      <w:r w:rsidR="006E5CFD">
        <w:rPr>
          <w:rFonts w:eastAsia="Arial" w:cs="Arial"/>
        </w:rPr>
        <w:t>(s)</w:t>
      </w:r>
      <w:r w:rsidR="006C581E">
        <w:rPr>
          <w:rFonts w:eastAsia="Arial" w:cs="Arial"/>
        </w:rPr>
        <w:t xml:space="preserve"> during their high school career.</w:t>
      </w:r>
    </w:p>
    <w:p w14:paraId="505594A4" w14:textId="7509E834" w:rsidR="00A65829" w:rsidRDefault="00A65829" w:rsidP="00A65829">
      <w:pPr>
        <w:rPr>
          <w:rFonts w:eastAsia="Arial" w:cs="Arial"/>
        </w:rPr>
      </w:pPr>
      <w:r>
        <w:rPr>
          <w:rFonts w:eastAsia="Arial" w:cs="Arial"/>
        </w:rPr>
        <w:lastRenderedPageBreak/>
        <w:t xml:space="preserve">The CDE analysis and preceding data tables are intended to provide the SBE with </w:t>
      </w:r>
      <w:r w:rsidR="00451AC2">
        <w:rPr>
          <w:rFonts w:eastAsia="Arial" w:cs="Arial"/>
        </w:rPr>
        <w:t>the necessary</w:t>
      </w:r>
      <w:r>
        <w:rPr>
          <w:rFonts w:eastAsia="Arial" w:cs="Arial"/>
        </w:rPr>
        <w:t xml:space="preserve"> information to engage in </w:t>
      </w:r>
      <w:r w:rsidR="00102EA7">
        <w:rPr>
          <w:rFonts w:eastAsia="Arial" w:cs="Arial"/>
        </w:rPr>
        <w:t xml:space="preserve">a </w:t>
      </w:r>
      <w:r>
        <w:rPr>
          <w:rFonts w:eastAsia="Arial" w:cs="Arial"/>
        </w:rPr>
        <w:t xml:space="preserve">discussion </w:t>
      </w:r>
      <w:r w:rsidR="00A422CF">
        <w:rPr>
          <w:rFonts w:eastAsia="Arial" w:cs="Arial"/>
        </w:rPr>
        <w:t xml:space="preserve">about </w:t>
      </w:r>
      <w:r w:rsidR="0031530D">
        <w:rPr>
          <w:rFonts w:eastAsia="Arial" w:cs="Arial"/>
        </w:rPr>
        <w:t xml:space="preserve">refining </w:t>
      </w:r>
      <w:r w:rsidR="00102EA7">
        <w:rPr>
          <w:rFonts w:eastAsia="Arial" w:cs="Arial"/>
        </w:rPr>
        <w:t xml:space="preserve">the </w:t>
      </w:r>
      <w:r w:rsidR="0031530D">
        <w:rPr>
          <w:rFonts w:eastAsia="Arial" w:cs="Arial"/>
        </w:rPr>
        <w:t xml:space="preserve">state courses used </w:t>
      </w:r>
      <w:r w:rsidR="00102EA7">
        <w:rPr>
          <w:rFonts w:eastAsia="Arial" w:cs="Arial"/>
        </w:rPr>
        <w:t>in</w:t>
      </w:r>
      <w:r w:rsidR="0031530D">
        <w:rPr>
          <w:rFonts w:eastAsia="Arial" w:cs="Arial"/>
        </w:rPr>
        <w:t xml:space="preserve"> the College Credit Coursework measure in the CCI</w:t>
      </w:r>
      <w:r>
        <w:rPr>
          <w:rFonts w:eastAsia="Arial" w:cs="Arial"/>
        </w:rPr>
        <w:t>.</w:t>
      </w:r>
    </w:p>
    <w:p w14:paraId="47D36487" w14:textId="44C6119C" w:rsidR="00727113" w:rsidRPr="00C128DA" w:rsidRDefault="00727113" w:rsidP="00DA5325">
      <w:pPr>
        <w:pStyle w:val="Heading2"/>
        <w:spacing w:after="120"/>
        <w:rPr>
          <w:sz w:val="28"/>
          <w:szCs w:val="22"/>
        </w:rPr>
      </w:pPr>
      <w:r w:rsidRPr="00C128DA">
        <w:rPr>
          <w:sz w:val="28"/>
          <w:szCs w:val="22"/>
        </w:rPr>
        <w:t>Advanced Placement</w:t>
      </w:r>
      <w:r w:rsidR="00302146" w:rsidRPr="00C128DA">
        <w:rPr>
          <w:sz w:val="28"/>
          <w:szCs w:val="22"/>
        </w:rPr>
        <w:t>/International Baccalaureate</w:t>
      </w:r>
      <w:r w:rsidR="00BB0DB9" w:rsidRPr="00C128DA">
        <w:rPr>
          <w:sz w:val="28"/>
          <w:szCs w:val="22"/>
        </w:rPr>
        <w:t xml:space="preserve"> E</w:t>
      </w:r>
      <w:r w:rsidR="00681890" w:rsidRPr="00C128DA">
        <w:rPr>
          <w:sz w:val="28"/>
          <w:szCs w:val="22"/>
        </w:rPr>
        <w:t>xamination Scores and Course Taking</w:t>
      </w:r>
    </w:p>
    <w:p w14:paraId="3643FC02" w14:textId="1CEBC5E2" w:rsidR="001826BE" w:rsidRDefault="009563E2" w:rsidP="00727113">
      <w:pPr>
        <w:rPr>
          <w:rFonts w:eastAsia="Arial" w:cs="Arial"/>
        </w:rPr>
      </w:pPr>
      <w:r>
        <w:rPr>
          <w:rFonts w:eastAsia="Arial" w:cs="Arial"/>
        </w:rPr>
        <w:t>T</w:t>
      </w:r>
      <w:r w:rsidR="00727113">
        <w:rPr>
          <w:rFonts w:eastAsia="Arial" w:cs="Arial"/>
        </w:rPr>
        <w:t>here are three assessments included in the CCI</w:t>
      </w:r>
      <w:r w:rsidR="0079268C">
        <w:rPr>
          <w:rFonts w:eastAsia="Arial" w:cs="Arial"/>
        </w:rPr>
        <w:t xml:space="preserve"> </w:t>
      </w:r>
      <w:r w:rsidR="001826BE">
        <w:rPr>
          <w:rFonts w:eastAsia="Arial" w:cs="Arial"/>
        </w:rPr>
        <w:t xml:space="preserve">which </w:t>
      </w:r>
      <w:r w:rsidR="0079268C">
        <w:rPr>
          <w:rFonts w:eastAsia="Arial" w:cs="Arial"/>
        </w:rPr>
        <w:t xml:space="preserve">measure </w:t>
      </w:r>
      <w:r w:rsidR="00CD21B9">
        <w:rPr>
          <w:rFonts w:eastAsia="Arial" w:cs="Arial"/>
        </w:rPr>
        <w:t>academic achievement as a method to show that LEAs have prepared their students for college/career</w:t>
      </w:r>
      <w:r w:rsidR="00727113">
        <w:rPr>
          <w:rFonts w:eastAsia="Arial" w:cs="Arial"/>
        </w:rPr>
        <w:t>:</w:t>
      </w:r>
    </w:p>
    <w:p w14:paraId="3411FE92" w14:textId="24DF0E07" w:rsidR="001826BE" w:rsidRPr="00AF354F" w:rsidRDefault="00727113" w:rsidP="00AF354F">
      <w:pPr>
        <w:pStyle w:val="ListParagraph"/>
        <w:numPr>
          <w:ilvl w:val="0"/>
          <w:numId w:val="29"/>
        </w:numPr>
        <w:rPr>
          <w:rFonts w:eastAsia="Arial" w:cs="Arial"/>
        </w:rPr>
      </w:pPr>
      <w:r w:rsidRPr="00AF354F">
        <w:rPr>
          <w:rFonts w:eastAsia="Arial" w:cs="Arial"/>
        </w:rPr>
        <w:t xml:space="preserve">Smarter Balanced Assessments (ELA/Math) </w:t>
      </w:r>
      <w:r w:rsidR="00352BF0" w:rsidRPr="00AF354F">
        <w:rPr>
          <w:rFonts w:eastAsia="Arial" w:cs="Arial"/>
        </w:rPr>
        <w:t>and</w:t>
      </w:r>
      <w:r w:rsidRPr="00AF354F">
        <w:rPr>
          <w:rFonts w:eastAsia="Arial" w:cs="Arial"/>
        </w:rPr>
        <w:t xml:space="preserve"> California Alternative Assessments (CAA) in ELA and Math</w:t>
      </w:r>
    </w:p>
    <w:p w14:paraId="77F8A1EF" w14:textId="6516F2AE" w:rsidR="001826BE" w:rsidRPr="00AF354F" w:rsidRDefault="00727113" w:rsidP="00AF354F">
      <w:pPr>
        <w:pStyle w:val="ListParagraph"/>
        <w:numPr>
          <w:ilvl w:val="0"/>
          <w:numId w:val="29"/>
        </w:numPr>
        <w:rPr>
          <w:rFonts w:eastAsia="Arial" w:cs="Arial"/>
        </w:rPr>
      </w:pPr>
      <w:r w:rsidRPr="00AF354F">
        <w:rPr>
          <w:rFonts w:eastAsia="Arial" w:cs="Arial"/>
        </w:rPr>
        <w:t>Advanced Placement (AP) Scores</w:t>
      </w:r>
    </w:p>
    <w:p w14:paraId="18D7DD29" w14:textId="647FF2C8" w:rsidR="00BB0DB9" w:rsidRPr="00AF354F" w:rsidRDefault="00727113" w:rsidP="00AF354F">
      <w:pPr>
        <w:pStyle w:val="ListParagraph"/>
        <w:numPr>
          <w:ilvl w:val="0"/>
          <w:numId w:val="29"/>
        </w:numPr>
        <w:rPr>
          <w:rFonts w:eastAsia="Arial" w:cs="Arial"/>
        </w:rPr>
      </w:pPr>
      <w:r w:rsidRPr="00AF354F">
        <w:rPr>
          <w:rFonts w:eastAsia="Arial" w:cs="Arial"/>
        </w:rPr>
        <w:t>International Baccalaureate (IB) Scores</w:t>
      </w:r>
    </w:p>
    <w:p w14:paraId="4EF146AF" w14:textId="198E68DB" w:rsidR="00205887" w:rsidRDefault="00102EA7" w:rsidP="00205887">
      <w:pPr>
        <w:rPr>
          <w:rFonts w:eastAsia="Arial" w:cs="Arial"/>
        </w:rPr>
      </w:pPr>
      <w:r>
        <w:rPr>
          <w:rFonts w:eastAsia="Arial" w:cs="Arial"/>
        </w:rPr>
        <w:t xml:space="preserve">The </w:t>
      </w:r>
      <w:r w:rsidR="00205887">
        <w:rPr>
          <w:rFonts w:eastAsia="Arial" w:cs="Arial"/>
        </w:rPr>
        <w:t xml:space="preserve">CCI currently uses assessment scores from both AP and IB as evidence of an LEA preparing a student for college/career. </w:t>
      </w:r>
      <w:r>
        <w:rPr>
          <w:rFonts w:eastAsia="Arial" w:cs="Arial"/>
        </w:rPr>
        <w:t xml:space="preserve">The </w:t>
      </w:r>
      <w:r w:rsidR="00205887">
        <w:rPr>
          <w:rFonts w:eastAsia="Arial" w:cs="Arial"/>
        </w:rPr>
        <w:t>CDE analyzed the 2023</w:t>
      </w:r>
      <w:r w:rsidR="006D4925">
        <w:rPr>
          <w:rFonts w:cs="Arial"/>
        </w:rPr>
        <w:t>–</w:t>
      </w:r>
      <w:r w:rsidR="00205887">
        <w:rPr>
          <w:rFonts w:eastAsia="Arial" w:cs="Arial"/>
        </w:rPr>
        <w:t xml:space="preserve">24 CCI data to compare the number of students that passed </w:t>
      </w:r>
      <w:r w:rsidR="00AF4BEA">
        <w:rPr>
          <w:rFonts w:eastAsia="Arial" w:cs="Arial"/>
        </w:rPr>
        <w:t xml:space="preserve">at least </w:t>
      </w:r>
      <w:r w:rsidR="00205887">
        <w:rPr>
          <w:rFonts w:eastAsia="Arial" w:cs="Arial"/>
        </w:rPr>
        <w:t xml:space="preserve">two AP exams (with a score of 3 or higher) and the number of students that have passed </w:t>
      </w:r>
      <w:r w:rsidR="00AF4BEA">
        <w:rPr>
          <w:rFonts w:eastAsia="Arial" w:cs="Arial"/>
        </w:rPr>
        <w:t xml:space="preserve">at least </w:t>
      </w:r>
      <w:r w:rsidR="00205887">
        <w:rPr>
          <w:rFonts w:eastAsia="Arial" w:cs="Arial"/>
        </w:rPr>
        <w:t>two AP courses (with a C- or better)</w:t>
      </w:r>
      <w:r w:rsidR="009313C1">
        <w:rPr>
          <w:rFonts w:eastAsia="Arial" w:cs="Arial"/>
        </w:rPr>
        <w:t xml:space="preserve">. Overall, there are significant differences in the number of students who are successful in course taking </w:t>
      </w:r>
      <w:r w:rsidR="00885B7C">
        <w:rPr>
          <w:rFonts w:eastAsia="Arial" w:cs="Arial"/>
        </w:rPr>
        <w:t xml:space="preserve">within these college preparatory courses and those that are successful in the examination. These differences may be in actual patterns of success, or they may relate to </w:t>
      </w:r>
      <w:r w:rsidR="00785FBD">
        <w:rPr>
          <w:rFonts w:eastAsia="Arial" w:cs="Arial"/>
        </w:rPr>
        <w:t xml:space="preserve">student’s ability to </w:t>
      </w:r>
      <w:r w:rsidR="00E10667">
        <w:rPr>
          <w:rFonts w:eastAsia="Arial" w:cs="Arial"/>
        </w:rPr>
        <w:t xml:space="preserve">access </w:t>
      </w:r>
      <w:r w:rsidR="00785FBD">
        <w:rPr>
          <w:rFonts w:eastAsia="Arial" w:cs="Arial"/>
        </w:rPr>
        <w:t xml:space="preserve">these </w:t>
      </w:r>
      <w:r w:rsidR="00E557A3">
        <w:rPr>
          <w:rFonts w:eastAsia="Arial" w:cs="Arial"/>
        </w:rPr>
        <w:t>examinations</w:t>
      </w:r>
      <w:r w:rsidR="00FB0CFA">
        <w:rPr>
          <w:rStyle w:val="CommentReference"/>
          <w:rFonts w:eastAsia="Arial"/>
        </w:rPr>
        <w:t>.</w:t>
      </w:r>
    </w:p>
    <w:p w14:paraId="4582026B" w14:textId="29B444CE" w:rsidR="00781B80" w:rsidRDefault="007F6083" w:rsidP="00205887">
      <w:pPr>
        <w:rPr>
          <w:rFonts w:eastAsia="Arial" w:cs="Arial"/>
        </w:rPr>
      </w:pPr>
      <w:r>
        <w:rPr>
          <w:rFonts w:eastAsia="Arial" w:cs="Arial"/>
        </w:rPr>
        <w:t xml:space="preserve">The </w:t>
      </w:r>
      <w:r w:rsidR="001B2990">
        <w:rPr>
          <w:rFonts w:eastAsia="Arial" w:cs="Arial"/>
        </w:rPr>
        <w:t xml:space="preserve">CDE analysis and following </w:t>
      </w:r>
      <w:r>
        <w:rPr>
          <w:rFonts w:eastAsia="Arial" w:cs="Arial"/>
        </w:rPr>
        <w:t xml:space="preserve">data </w:t>
      </w:r>
      <w:r w:rsidR="001B2990">
        <w:rPr>
          <w:rFonts w:eastAsia="Arial" w:cs="Arial"/>
        </w:rPr>
        <w:t>tables are intended to provide the</w:t>
      </w:r>
      <w:r>
        <w:rPr>
          <w:rFonts w:eastAsia="Arial" w:cs="Arial"/>
        </w:rPr>
        <w:t xml:space="preserve"> SBE </w:t>
      </w:r>
      <w:r w:rsidR="001B2990">
        <w:rPr>
          <w:rFonts w:eastAsia="Arial" w:cs="Arial"/>
        </w:rPr>
        <w:t xml:space="preserve">with the necessary information </w:t>
      </w:r>
      <w:r>
        <w:rPr>
          <w:rFonts w:eastAsia="Arial" w:cs="Arial"/>
        </w:rPr>
        <w:t xml:space="preserve">to engage in discussions around the </w:t>
      </w:r>
      <w:r w:rsidR="00AB4D17">
        <w:rPr>
          <w:rFonts w:eastAsia="Arial" w:cs="Arial"/>
        </w:rPr>
        <w:t xml:space="preserve">possibility of </w:t>
      </w:r>
      <w:r>
        <w:rPr>
          <w:rFonts w:eastAsia="Arial" w:cs="Arial"/>
        </w:rPr>
        <w:t>substituti</w:t>
      </w:r>
      <w:r w:rsidR="00AB4D17">
        <w:rPr>
          <w:rFonts w:eastAsia="Arial" w:cs="Arial"/>
        </w:rPr>
        <w:t>ng</w:t>
      </w:r>
      <w:r>
        <w:rPr>
          <w:rFonts w:eastAsia="Arial" w:cs="Arial"/>
        </w:rPr>
        <w:t xml:space="preserve"> course taking practices in place of </w:t>
      </w:r>
      <w:r w:rsidR="00AB4D17">
        <w:rPr>
          <w:rFonts w:eastAsia="Arial" w:cs="Arial"/>
        </w:rPr>
        <w:t xml:space="preserve">AP/IB </w:t>
      </w:r>
      <w:r>
        <w:rPr>
          <w:rFonts w:eastAsia="Arial" w:cs="Arial"/>
        </w:rPr>
        <w:t>assessment scores in the CCI.</w:t>
      </w:r>
    </w:p>
    <w:p w14:paraId="0EDCFD62" w14:textId="73B22ABF" w:rsidR="00205887" w:rsidRPr="00C128DA" w:rsidRDefault="00727113" w:rsidP="00DA5325">
      <w:pPr>
        <w:pStyle w:val="Heading2"/>
        <w:spacing w:after="120"/>
        <w:rPr>
          <w:sz w:val="28"/>
          <w:szCs w:val="22"/>
        </w:rPr>
      </w:pPr>
      <w:r w:rsidRPr="00C128DA">
        <w:rPr>
          <w:sz w:val="28"/>
          <w:szCs w:val="22"/>
        </w:rPr>
        <w:t>Advanced Placement</w:t>
      </w:r>
    </w:p>
    <w:p w14:paraId="7109C562" w14:textId="6A715F41" w:rsidR="00727113" w:rsidRDefault="00727113" w:rsidP="00727113">
      <w:pPr>
        <w:rPr>
          <w:rFonts w:eastAsia="Arial" w:cs="Arial"/>
        </w:rPr>
      </w:pPr>
      <w:r w:rsidRPr="00AC692F">
        <w:rPr>
          <w:rFonts w:eastAsia="Arial" w:cs="Arial"/>
        </w:rPr>
        <w:t xml:space="preserve">The </w:t>
      </w:r>
      <w:r w:rsidR="00853B54">
        <w:rPr>
          <w:rFonts w:eastAsia="Arial" w:cs="Arial"/>
        </w:rPr>
        <w:t>AP</w:t>
      </w:r>
      <w:r w:rsidRPr="00AC692F">
        <w:rPr>
          <w:rFonts w:eastAsia="Arial" w:cs="Arial"/>
        </w:rPr>
        <w:t xml:space="preserve"> is administered </w:t>
      </w:r>
      <w:r w:rsidR="00AB4D17">
        <w:rPr>
          <w:rFonts w:eastAsia="Arial" w:cs="Arial"/>
        </w:rPr>
        <w:t>by</w:t>
      </w:r>
      <w:r w:rsidRPr="00AC692F">
        <w:rPr>
          <w:rFonts w:eastAsia="Arial" w:cs="Arial"/>
        </w:rPr>
        <w:t xml:space="preserve"> the College Board. The AP Program consists of 40 separate college-level courses and exams</w:t>
      </w:r>
      <w:r>
        <w:rPr>
          <w:rFonts w:eastAsia="Arial" w:cs="Arial"/>
        </w:rPr>
        <w:t>.</w:t>
      </w:r>
      <w:r w:rsidRPr="00172EA0">
        <w:rPr>
          <w:rFonts w:eastAsia="Arial" w:cs="Arial"/>
        </w:rPr>
        <w:t xml:space="preserve"> Successful completion of AP courses</w:t>
      </w:r>
      <w:r>
        <w:rPr>
          <w:rFonts w:eastAsia="Arial" w:cs="Arial"/>
        </w:rPr>
        <w:t xml:space="preserve"> </w:t>
      </w:r>
      <w:r w:rsidRPr="00172EA0">
        <w:rPr>
          <w:rFonts w:eastAsia="Arial" w:cs="Arial"/>
        </w:rPr>
        <w:t>can help students in the very competitive process of university admission</w:t>
      </w:r>
      <w:r>
        <w:rPr>
          <w:rFonts w:eastAsia="Arial" w:cs="Arial"/>
        </w:rPr>
        <w:t xml:space="preserve">, while taking and passing the related AP test results awarding college credit. </w:t>
      </w:r>
      <w:r w:rsidRPr="003D48E5">
        <w:rPr>
          <w:rFonts w:eastAsia="Arial" w:cs="Arial"/>
        </w:rPr>
        <w:t xml:space="preserve">In 2024, there were 1,654 high schools (~65% of </w:t>
      </w:r>
      <w:r w:rsidR="000D31D0">
        <w:rPr>
          <w:rFonts w:eastAsia="Arial" w:cs="Arial"/>
        </w:rPr>
        <w:t xml:space="preserve">public </w:t>
      </w:r>
      <w:r w:rsidRPr="003D48E5">
        <w:rPr>
          <w:rFonts w:eastAsia="Arial" w:cs="Arial"/>
        </w:rPr>
        <w:t>high schools) in the State of California that offered AP coursework.</w:t>
      </w:r>
    </w:p>
    <w:p w14:paraId="073F805B" w14:textId="772F4823" w:rsidR="00C04801" w:rsidRDefault="00727113" w:rsidP="00246543">
      <w:pPr>
        <w:rPr>
          <w:rFonts w:eastAsia="Arial" w:cs="Arial"/>
        </w:rPr>
      </w:pPr>
      <w:r>
        <w:rPr>
          <w:rFonts w:eastAsia="Arial" w:cs="Arial"/>
        </w:rPr>
        <w:t xml:space="preserve">Table </w:t>
      </w:r>
      <w:r w:rsidR="00246543">
        <w:rPr>
          <w:rFonts w:eastAsia="Arial" w:cs="Arial"/>
        </w:rPr>
        <w:t>4</w:t>
      </w:r>
      <w:r w:rsidR="00C04801">
        <w:rPr>
          <w:rFonts w:eastAsia="Arial" w:cs="Arial"/>
        </w:rPr>
        <w:t xml:space="preserve"> displays the total number of students who passed </w:t>
      </w:r>
      <w:r w:rsidR="006146BB">
        <w:rPr>
          <w:rFonts w:eastAsia="Arial" w:cs="Arial"/>
        </w:rPr>
        <w:t xml:space="preserve">at least </w:t>
      </w:r>
      <w:r w:rsidR="00C04801">
        <w:rPr>
          <w:rFonts w:eastAsia="Arial" w:cs="Arial"/>
        </w:rPr>
        <w:t xml:space="preserve">two </w:t>
      </w:r>
      <w:r w:rsidR="00E3007C">
        <w:rPr>
          <w:rFonts w:eastAsia="Arial" w:cs="Arial"/>
        </w:rPr>
        <w:t xml:space="preserve">AP Exams compared to those that passed </w:t>
      </w:r>
      <w:r w:rsidR="006146BB">
        <w:rPr>
          <w:rFonts w:eastAsia="Arial" w:cs="Arial"/>
        </w:rPr>
        <w:t xml:space="preserve">at least </w:t>
      </w:r>
      <w:r w:rsidR="00E3007C">
        <w:rPr>
          <w:rFonts w:eastAsia="Arial" w:cs="Arial"/>
        </w:rPr>
        <w:t>t</w:t>
      </w:r>
      <w:r w:rsidR="0095535E">
        <w:rPr>
          <w:rFonts w:eastAsia="Arial" w:cs="Arial"/>
        </w:rPr>
        <w:t>w</w:t>
      </w:r>
      <w:r w:rsidR="00E3007C">
        <w:rPr>
          <w:rFonts w:eastAsia="Arial" w:cs="Arial"/>
        </w:rPr>
        <w:t>o AP courses.</w:t>
      </w:r>
    </w:p>
    <w:p w14:paraId="1EE622D6" w14:textId="6E3DF2D4" w:rsidR="00727113" w:rsidRPr="00533E6D" w:rsidRDefault="00727113" w:rsidP="00DA5325">
      <w:pPr>
        <w:pStyle w:val="Heading3"/>
        <w:spacing w:after="120"/>
        <w:rPr>
          <w:sz w:val="24"/>
          <w:szCs w:val="20"/>
        </w:rPr>
      </w:pPr>
      <w:r w:rsidRPr="00533E6D">
        <w:rPr>
          <w:sz w:val="24"/>
          <w:szCs w:val="20"/>
        </w:rPr>
        <w:lastRenderedPageBreak/>
        <w:t xml:space="preserve">Table </w:t>
      </w:r>
      <w:r w:rsidR="00246543" w:rsidRPr="00533E6D">
        <w:rPr>
          <w:sz w:val="24"/>
          <w:szCs w:val="20"/>
        </w:rPr>
        <w:t>4</w:t>
      </w:r>
      <w:r w:rsidRPr="00533E6D">
        <w:rPr>
          <w:sz w:val="24"/>
          <w:szCs w:val="20"/>
        </w:rPr>
        <w:t xml:space="preserve">: Number of students </w:t>
      </w:r>
      <w:r w:rsidR="00C04801" w:rsidRPr="00533E6D">
        <w:rPr>
          <w:sz w:val="24"/>
          <w:szCs w:val="20"/>
        </w:rPr>
        <w:t>passing</w:t>
      </w:r>
      <w:r w:rsidRPr="00533E6D">
        <w:rPr>
          <w:sz w:val="24"/>
          <w:szCs w:val="20"/>
        </w:rPr>
        <w:t xml:space="preserve"> </w:t>
      </w:r>
      <w:r w:rsidR="006146BB" w:rsidRPr="00533E6D">
        <w:rPr>
          <w:sz w:val="24"/>
          <w:szCs w:val="20"/>
        </w:rPr>
        <w:t>at least</w:t>
      </w:r>
      <w:r w:rsidRPr="00533E6D">
        <w:rPr>
          <w:sz w:val="24"/>
          <w:szCs w:val="20"/>
        </w:rPr>
        <w:t xml:space="preserve"> two AP classes and passing </w:t>
      </w:r>
      <w:r w:rsidR="006146BB" w:rsidRPr="00533E6D">
        <w:rPr>
          <w:sz w:val="24"/>
          <w:szCs w:val="20"/>
        </w:rPr>
        <w:t xml:space="preserve">at least </w:t>
      </w:r>
      <w:r w:rsidRPr="00533E6D">
        <w:rPr>
          <w:sz w:val="24"/>
          <w:szCs w:val="20"/>
        </w:rPr>
        <w:t>two AP exams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Caption w:val="Table 10: Number of students passing two AP classes and passing two AP exams"/>
        <w:tblDescription w:val="Table 10: Number of students passing two AP classes and passing two AP exams"/>
      </w:tblPr>
      <w:tblGrid>
        <w:gridCol w:w="1700"/>
        <w:gridCol w:w="3545"/>
        <w:gridCol w:w="1982"/>
        <w:gridCol w:w="2124"/>
      </w:tblGrid>
      <w:tr w:rsidR="00727113" w:rsidRPr="00B505D2" w14:paraId="2D865C4B" w14:textId="77777777" w:rsidTr="00DA5325">
        <w:trPr>
          <w:cantSplit/>
          <w:trHeight w:val="588"/>
          <w:tblHeader/>
        </w:trPr>
        <w:tc>
          <w:tcPr>
            <w:tcW w:w="1700" w:type="dxa"/>
            <w:shd w:val="clear" w:color="auto" w:fill="E7E6E6" w:themeFill="background2"/>
            <w:tcMar>
              <w:top w:w="14" w:type="dxa"/>
              <w:left w:w="14" w:type="dxa"/>
              <w:bottom w:w="0" w:type="dxa"/>
              <w:right w:w="14" w:type="dxa"/>
            </w:tcMar>
            <w:vAlign w:val="center"/>
            <w:hideMark/>
          </w:tcPr>
          <w:p w14:paraId="7DD3244F" w14:textId="77777777" w:rsidR="00727113" w:rsidRPr="00B505D2" w:rsidRDefault="00727113" w:rsidP="009624DE">
            <w:pPr>
              <w:spacing w:line="279" w:lineRule="auto"/>
              <w:jc w:val="center"/>
              <w:rPr>
                <w:rFonts w:cs="Arial"/>
                <w:b/>
                <w:bCs/>
              </w:rPr>
            </w:pPr>
            <w:r w:rsidRPr="00B505D2">
              <w:rPr>
                <w:rFonts w:eastAsiaTheme="minorEastAsia" w:cs="Arial"/>
                <w:b/>
                <w:bCs/>
              </w:rPr>
              <w:t>Student Group</w:t>
            </w:r>
          </w:p>
        </w:tc>
        <w:tc>
          <w:tcPr>
            <w:tcW w:w="3545" w:type="dxa"/>
            <w:shd w:val="clear" w:color="auto" w:fill="E7E6E6" w:themeFill="background2"/>
            <w:tcMar>
              <w:top w:w="14" w:type="dxa"/>
              <w:left w:w="14" w:type="dxa"/>
              <w:bottom w:w="0" w:type="dxa"/>
              <w:right w:w="14" w:type="dxa"/>
            </w:tcMar>
            <w:vAlign w:val="center"/>
            <w:hideMark/>
          </w:tcPr>
          <w:p w14:paraId="2824F039" w14:textId="46DD4244" w:rsidR="00727113" w:rsidRPr="00B505D2" w:rsidRDefault="00727113" w:rsidP="009624DE">
            <w:pPr>
              <w:spacing w:line="279" w:lineRule="auto"/>
              <w:jc w:val="center"/>
              <w:rPr>
                <w:rFonts w:cs="Arial"/>
                <w:b/>
                <w:bCs/>
              </w:rPr>
            </w:pPr>
            <w:r w:rsidRPr="00B505D2">
              <w:rPr>
                <w:rFonts w:eastAsiaTheme="minorEastAsia" w:cs="Arial"/>
                <w:b/>
                <w:bCs/>
              </w:rPr>
              <w:t xml:space="preserve">Total Students in CCI </w:t>
            </w:r>
            <w:r w:rsidR="001423ED">
              <w:rPr>
                <w:rFonts w:eastAsiaTheme="minorEastAsia" w:cs="Arial"/>
                <w:b/>
                <w:bCs/>
              </w:rPr>
              <w:t>Cohort</w:t>
            </w:r>
            <w:r w:rsidRPr="00B505D2">
              <w:rPr>
                <w:rFonts w:eastAsiaTheme="minorEastAsia" w:cs="Arial"/>
                <w:b/>
                <w:bCs/>
              </w:rPr>
              <w:t xml:space="preserve"> in 2023</w:t>
            </w:r>
            <w:r w:rsidR="001423ED">
              <w:rPr>
                <w:rFonts w:eastAsiaTheme="minorEastAsia" w:cs="Arial"/>
                <w:b/>
                <w:bCs/>
              </w:rPr>
              <w:t>–</w:t>
            </w:r>
            <w:r w:rsidRPr="00B505D2">
              <w:rPr>
                <w:rFonts w:eastAsiaTheme="minorEastAsia" w:cs="Arial"/>
                <w:b/>
                <w:bCs/>
              </w:rPr>
              <w:t>24</w:t>
            </w:r>
          </w:p>
        </w:tc>
        <w:tc>
          <w:tcPr>
            <w:tcW w:w="1982" w:type="dxa"/>
            <w:shd w:val="clear" w:color="auto" w:fill="E7E6E6" w:themeFill="background2"/>
            <w:tcMar>
              <w:top w:w="14" w:type="dxa"/>
              <w:left w:w="14" w:type="dxa"/>
              <w:bottom w:w="0" w:type="dxa"/>
              <w:right w:w="14" w:type="dxa"/>
            </w:tcMar>
            <w:vAlign w:val="center"/>
            <w:hideMark/>
          </w:tcPr>
          <w:p w14:paraId="2C20888F" w14:textId="565E9EFF" w:rsidR="00727113" w:rsidRPr="00B505D2" w:rsidRDefault="00727113" w:rsidP="009624DE">
            <w:pPr>
              <w:spacing w:line="279" w:lineRule="auto"/>
              <w:jc w:val="center"/>
              <w:rPr>
                <w:rFonts w:cs="Arial"/>
                <w:b/>
                <w:bCs/>
              </w:rPr>
            </w:pPr>
            <w:r w:rsidRPr="00B505D2">
              <w:rPr>
                <w:rFonts w:eastAsiaTheme="minorEastAsia" w:cs="Arial"/>
                <w:b/>
                <w:bCs/>
              </w:rPr>
              <w:t xml:space="preserve">Passed </w:t>
            </w:r>
            <w:r w:rsidR="006146BB">
              <w:rPr>
                <w:rFonts w:eastAsiaTheme="minorEastAsia" w:cs="Arial"/>
                <w:b/>
                <w:bCs/>
              </w:rPr>
              <w:t xml:space="preserve">at Least </w:t>
            </w:r>
            <w:r w:rsidRPr="00B505D2">
              <w:rPr>
                <w:rFonts w:eastAsiaTheme="minorEastAsia" w:cs="Arial"/>
                <w:b/>
                <w:bCs/>
              </w:rPr>
              <w:t>Two AP Exams</w:t>
            </w:r>
          </w:p>
        </w:tc>
        <w:tc>
          <w:tcPr>
            <w:tcW w:w="2124" w:type="dxa"/>
            <w:shd w:val="clear" w:color="auto" w:fill="E7E6E6" w:themeFill="background2"/>
            <w:tcMar>
              <w:top w:w="14" w:type="dxa"/>
              <w:left w:w="14" w:type="dxa"/>
              <w:bottom w:w="0" w:type="dxa"/>
              <w:right w:w="14" w:type="dxa"/>
            </w:tcMar>
            <w:vAlign w:val="center"/>
            <w:hideMark/>
          </w:tcPr>
          <w:p w14:paraId="7723A538" w14:textId="64AA3476" w:rsidR="00727113" w:rsidRPr="00B505D2" w:rsidRDefault="00727113" w:rsidP="009624DE">
            <w:pPr>
              <w:spacing w:line="279" w:lineRule="auto"/>
              <w:jc w:val="center"/>
              <w:rPr>
                <w:rFonts w:cs="Arial"/>
                <w:b/>
                <w:bCs/>
              </w:rPr>
            </w:pPr>
            <w:r w:rsidRPr="00B505D2">
              <w:rPr>
                <w:rFonts w:eastAsiaTheme="minorEastAsia" w:cs="Arial"/>
                <w:b/>
                <w:bCs/>
              </w:rPr>
              <w:t xml:space="preserve">Passed </w:t>
            </w:r>
            <w:r w:rsidR="006146BB">
              <w:rPr>
                <w:rFonts w:eastAsiaTheme="minorEastAsia" w:cs="Arial"/>
                <w:b/>
                <w:bCs/>
              </w:rPr>
              <w:t xml:space="preserve">at Least </w:t>
            </w:r>
            <w:r w:rsidRPr="00B505D2">
              <w:rPr>
                <w:rFonts w:eastAsiaTheme="minorEastAsia" w:cs="Arial"/>
                <w:b/>
                <w:bCs/>
              </w:rPr>
              <w:t>Two AP Courses</w:t>
            </w:r>
          </w:p>
        </w:tc>
      </w:tr>
      <w:tr w:rsidR="00727113" w:rsidRPr="00B505D2" w14:paraId="55485490" w14:textId="77777777" w:rsidTr="00DA5325">
        <w:trPr>
          <w:cantSplit/>
          <w:trHeight w:val="588"/>
        </w:trPr>
        <w:tc>
          <w:tcPr>
            <w:tcW w:w="1700" w:type="dxa"/>
            <w:shd w:val="clear" w:color="auto" w:fill="auto"/>
            <w:tcMar>
              <w:top w:w="14" w:type="dxa"/>
              <w:left w:w="14" w:type="dxa"/>
              <w:bottom w:w="0" w:type="dxa"/>
              <w:right w:w="14" w:type="dxa"/>
            </w:tcMar>
            <w:vAlign w:val="center"/>
            <w:hideMark/>
          </w:tcPr>
          <w:p w14:paraId="168F61F8" w14:textId="77777777" w:rsidR="00727113" w:rsidRPr="00B505D2" w:rsidRDefault="00727113" w:rsidP="0089406B">
            <w:pPr>
              <w:spacing w:line="279" w:lineRule="auto"/>
              <w:jc w:val="center"/>
            </w:pPr>
            <w:r w:rsidRPr="00B505D2">
              <w:rPr>
                <w:rFonts w:eastAsiaTheme="minorEastAsia"/>
                <w:b/>
                <w:bCs/>
              </w:rPr>
              <w:t>All Students</w:t>
            </w:r>
          </w:p>
        </w:tc>
        <w:tc>
          <w:tcPr>
            <w:tcW w:w="3545" w:type="dxa"/>
            <w:shd w:val="clear" w:color="auto" w:fill="auto"/>
            <w:tcMar>
              <w:top w:w="14" w:type="dxa"/>
              <w:left w:w="14" w:type="dxa"/>
              <w:bottom w:w="0" w:type="dxa"/>
              <w:right w:w="14" w:type="dxa"/>
            </w:tcMar>
            <w:vAlign w:val="center"/>
            <w:hideMark/>
          </w:tcPr>
          <w:p w14:paraId="15AE2DD4" w14:textId="77777777" w:rsidR="00727113" w:rsidRPr="00B505D2" w:rsidRDefault="00727113" w:rsidP="0089406B">
            <w:pPr>
              <w:spacing w:line="279" w:lineRule="auto"/>
              <w:jc w:val="center"/>
            </w:pPr>
            <w:r w:rsidRPr="00B505D2">
              <w:rPr>
                <w:rFonts w:eastAsiaTheme="minorEastAsia"/>
              </w:rPr>
              <w:t>507,621</w:t>
            </w:r>
          </w:p>
        </w:tc>
        <w:tc>
          <w:tcPr>
            <w:tcW w:w="1982" w:type="dxa"/>
            <w:shd w:val="clear" w:color="auto" w:fill="auto"/>
            <w:tcMar>
              <w:top w:w="14" w:type="dxa"/>
              <w:left w:w="14" w:type="dxa"/>
              <w:bottom w:w="0" w:type="dxa"/>
              <w:right w:w="14" w:type="dxa"/>
            </w:tcMar>
            <w:vAlign w:val="bottom"/>
            <w:hideMark/>
          </w:tcPr>
          <w:p w14:paraId="5620E379" w14:textId="77777777" w:rsidR="00727113" w:rsidRPr="00B505D2" w:rsidRDefault="00727113" w:rsidP="009624DE">
            <w:pPr>
              <w:spacing w:after="160" w:line="279" w:lineRule="auto"/>
              <w:jc w:val="center"/>
            </w:pPr>
            <w:r w:rsidRPr="00B505D2">
              <w:rPr>
                <w:rFonts w:eastAsiaTheme="minorEastAsia"/>
              </w:rPr>
              <w:t>81,175</w:t>
            </w:r>
          </w:p>
        </w:tc>
        <w:tc>
          <w:tcPr>
            <w:tcW w:w="2124" w:type="dxa"/>
            <w:shd w:val="clear" w:color="auto" w:fill="auto"/>
            <w:tcMar>
              <w:top w:w="14" w:type="dxa"/>
              <w:left w:w="14" w:type="dxa"/>
              <w:bottom w:w="0" w:type="dxa"/>
              <w:right w:w="14" w:type="dxa"/>
            </w:tcMar>
            <w:vAlign w:val="bottom"/>
            <w:hideMark/>
          </w:tcPr>
          <w:p w14:paraId="46C38168" w14:textId="1AABA336" w:rsidR="00727113" w:rsidRPr="00B505D2" w:rsidRDefault="00C727F1" w:rsidP="0089406B">
            <w:pPr>
              <w:spacing w:after="160" w:line="278" w:lineRule="auto"/>
              <w:jc w:val="center"/>
            </w:pPr>
            <w:r>
              <w:rPr>
                <w:rFonts w:eastAsiaTheme="minorEastAsia"/>
              </w:rPr>
              <w:t>129</w:t>
            </w:r>
            <w:r w:rsidR="00727113" w:rsidRPr="00B505D2">
              <w:rPr>
                <w:rFonts w:eastAsiaTheme="minorEastAsia"/>
              </w:rPr>
              <w:t>,</w:t>
            </w:r>
            <w:r w:rsidR="00BC0D8B">
              <w:rPr>
                <w:rFonts w:eastAsiaTheme="minorEastAsia"/>
              </w:rPr>
              <w:t>802</w:t>
            </w:r>
          </w:p>
        </w:tc>
      </w:tr>
    </w:tbl>
    <w:p w14:paraId="40A29533" w14:textId="752BC0B4" w:rsidR="00F137FB" w:rsidRDefault="00F33FB1" w:rsidP="00727113">
      <w:pPr>
        <w:rPr>
          <w:rFonts w:eastAsia="Arial" w:cs="Arial"/>
        </w:rPr>
      </w:pPr>
      <w:r>
        <w:rPr>
          <w:rFonts w:eastAsia="Arial" w:cs="Arial"/>
        </w:rPr>
        <w:t>In</w:t>
      </w:r>
      <w:r w:rsidR="007D142E">
        <w:rPr>
          <w:rFonts w:eastAsia="Arial" w:cs="Arial"/>
        </w:rPr>
        <w:t xml:space="preserve"> the </w:t>
      </w:r>
      <w:r>
        <w:rPr>
          <w:rFonts w:eastAsia="Arial" w:cs="Arial"/>
        </w:rPr>
        <w:t>2023</w:t>
      </w:r>
      <w:r w:rsidR="00246543">
        <w:rPr>
          <w:rFonts w:eastAsia="Arial" w:cs="Arial"/>
        </w:rPr>
        <w:t>–</w:t>
      </w:r>
      <w:r>
        <w:rPr>
          <w:rFonts w:eastAsia="Arial" w:cs="Arial"/>
        </w:rPr>
        <w:t>24</w:t>
      </w:r>
      <w:r w:rsidR="007D142E">
        <w:rPr>
          <w:rFonts w:eastAsia="Arial" w:cs="Arial"/>
        </w:rPr>
        <w:t xml:space="preserve"> </w:t>
      </w:r>
      <w:r w:rsidR="001423ED">
        <w:rPr>
          <w:rFonts w:eastAsia="Arial" w:cs="Arial"/>
        </w:rPr>
        <w:t xml:space="preserve">CCI </w:t>
      </w:r>
      <w:r w:rsidR="007D142E" w:rsidRPr="001423ED">
        <w:rPr>
          <w:rFonts w:eastAsia="Arial" w:cs="Arial"/>
        </w:rPr>
        <w:t>cohort</w:t>
      </w:r>
      <w:r w:rsidR="007D142E">
        <w:rPr>
          <w:rFonts w:eastAsia="Arial" w:cs="Arial"/>
        </w:rPr>
        <w:t>, 81,175 student</w:t>
      </w:r>
      <w:r w:rsidR="0071715A">
        <w:rPr>
          <w:rFonts w:eastAsia="Arial" w:cs="Arial"/>
        </w:rPr>
        <w:t>s</w:t>
      </w:r>
      <w:r w:rsidR="007D142E">
        <w:rPr>
          <w:rFonts w:eastAsia="Arial" w:cs="Arial"/>
        </w:rPr>
        <w:t xml:space="preserve"> passed </w:t>
      </w:r>
      <w:r w:rsidR="006146BB">
        <w:rPr>
          <w:rFonts w:eastAsia="Arial" w:cs="Arial"/>
        </w:rPr>
        <w:t xml:space="preserve">at least </w:t>
      </w:r>
      <w:r w:rsidR="007D142E">
        <w:rPr>
          <w:rFonts w:eastAsia="Arial" w:cs="Arial"/>
        </w:rPr>
        <w:t>two AP exams with a score of 3 or higher and 1</w:t>
      </w:r>
      <w:r w:rsidR="00BC0D8B">
        <w:rPr>
          <w:rFonts w:eastAsia="Arial" w:cs="Arial"/>
        </w:rPr>
        <w:t>29</w:t>
      </w:r>
      <w:r w:rsidR="007D142E">
        <w:rPr>
          <w:rFonts w:eastAsia="Arial" w:cs="Arial"/>
        </w:rPr>
        <w:t>,</w:t>
      </w:r>
      <w:r w:rsidR="00BC0D8B">
        <w:rPr>
          <w:rFonts w:eastAsia="Arial" w:cs="Arial"/>
        </w:rPr>
        <w:t>802</w:t>
      </w:r>
      <w:r w:rsidR="007D142E">
        <w:rPr>
          <w:rFonts w:eastAsia="Arial" w:cs="Arial"/>
        </w:rPr>
        <w:t xml:space="preserve"> student</w:t>
      </w:r>
      <w:r w:rsidR="0071715A">
        <w:rPr>
          <w:rFonts w:eastAsia="Arial" w:cs="Arial"/>
        </w:rPr>
        <w:t>s</w:t>
      </w:r>
      <w:r w:rsidR="007D142E">
        <w:rPr>
          <w:rFonts w:eastAsia="Arial" w:cs="Arial"/>
        </w:rPr>
        <w:t xml:space="preserve"> took </w:t>
      </w:r>
      <w:r w:rsidR="006146BB">
        <w:rPr>
          <w:rFonts w:eastAsia="Arial" w:cs="Arial"/>
        </w:rPr>
        <w:t xml:space="preserve">at least </w:t>
      </w:r>
      <w:r w:rsidR="007D142E">
        <w:rPr>
          <w:rFonts w:eastAsia="Arial" w:cs="Arial"/>
        </w:rPr>
        <w:t>two AP courses and passed with a C- or higher. Th</w:t>
      </w:r>
      <w:r w:rsidR="00246543">
        <w:rPr>
          <w:rFonts w:eastAsia="Arial" w:cs="Arial"/>
        </w:rPr>
        <w:t xml:space="preserve">is </w:t>
      </w:r>
      <w:r w:rsidR="005E72C7">
        <w:rPr>
          <w:rFonts w:eastAsia="Arial" w:cs="Arial"/>
        </w:rPr>
        <w:t>means</w:t>
      </w:r>
      <w:r w:rsidR="00246543">
        <w:rPr>
          <w:rFonts w:eastAsia="Arial" w:cs="Arial"/>
        </w:rPr>
        <w:t xml:space="preserve"> </w:t>
      </w:r>
      <w:r w:rsidR="007D142E">
        <w:rPr>
          <w:rFonts w:eastAsia="Arial" w:cs="Arial"/>
        </w:rPr>
        <w:t>an</w:t>
      </w:r>
      <w:r>
        <w:rPr>
          <w:rFonts w:eastAsia="Arial" w:cs="Arial"/>
        </w:rPr>
        <w:t xml:space="preserve"> additional </w:t>
      </w:r>
      <w:r w:rsidR="00DE7FD3">
        <w:rPr>
          <w:rFonts w:eastAsia="Arial" w:cs="Arial"/>
        </w:rPr>
        <w:t>48</w:t>
      </w:r>
      <w:r w:rsidR="00CA4A6A">
        <w:rPr>
          <w:rFonts w:eastAsia="Arial" w:cs="Arial"/>
        </w:rPr>
        <w:t>,</w:t>
      </w:r>
      <w:r w:rsidR="00DE7FD3">
        <w:rPr>
          <w:rFonts w:eastAsia="Arial" w:cs="Arial"/>
        </w:rPr>
        <w:t>627</w:t>
      </w:r>
      <w:r w:rsidR="00CA4A6A">
        <w:rPr>
          <w:rFonts w:eastAsia="Arial" w:cs="Arial"/>
        </w:rPr>
        <w:t xml:space="preserve"> students passed </w:t>
      </w:r>
      <w:r w:rsidR="00DD09CF">
        <w:rPr>
          <w:rFonts w:eastAsia="Arial" w:cs="Arial"/>
        </w:rPr>
        <w:t xml:space="preserve">at least </w:t>
      </w:r>
      <w:r w:rsidR="00CA4A6A">
        <w:rPr>
          <w:rFonts w:eastAsia="Arial" w:cs="Arial"/>
        </w:rPr>
        <w:t xml:space="preserve">two AP courses but did not pass </w:t>
      </w:r>
      <w:r w:rsidR="00DD09CF">
        <w:rPr>
          <w:rFonts w:eastAsia="Arial" w:cs="Arial"/>
        </w:rPr>
        <w:t xml:space="preserve">at least </w:t>
      </w:r>
      <w:r w:rsidR="00CA4A6A">
        <w:rPr>
          <w:rFonts w:eastAsia="Arial" w:cs="Arial"/>
        </w:rPr>
        <w:t>two AP examinations.</w:t>
      </w:r>
    </w:p>
    <w:p w14:paraId="0344502A" w14:textId="2A8CBDF1" w:rsidR="000C0415" w:rsidRDefault="005E72C7" w:rsidP="00727113">
      <w:pPr>
        <w:rPr>
          <w:rFonts w:eastAsia="Arial" w:cs="Arial"/>
        </w:rPr>
      </w:pPr>
      <w:r>
        <w:rPr>
          <w:rFonts w:eastAsia="Arial" w:cs="Arial"/>
        </w:rPr>
        <w:t xml:space="preserve">Students are not required to be enrolled in an </w:t>
      </w:r>
      <w:r w:rsidR="00261FB4">
        <w:rPr>
          <w:rFonts w:eastAsia="Arial" w:cs="Arial"/>
        </w:rPr>
        <w:t xml:space="preserve">AP course to </w:t>
      </w:r>
      <w:r w:rsidR="00A20EFF">
        <w:rPr>
          <w:rFonts w:eastAsia="Arial" w:cs="Arial"/>
        </w:rPr>
        <w:t xml:space="preserve">take </w:t>
      </w:r>
      <w:r w:rsidR="00261FB4">
        <w:rPr>
          <w:rFonts w:eastAsia="Arial" w:cs="Arial"/>
        </w:rPr>
        <w:t xml:space="preserve">an </w:t>
      </w:r>
      <w:r w:rsidR="00A20EFF">
        <w:rPr>
          <w:rFonts w:eastAsia="Arial" w:cs="Arial"/>
        </w:rPr>
        <w:t>AP exam</w:t>
      </w:r>
      <w:r w:rsidR="00261FB4">
        <w:rPr>
          <w:rFonts w:eastAsia="Arial" w:cs="Arial"/>
        </w:rPr>
        <w:t xml:space="preserve">. </w:t>
      </w:r>
      <w:r w:rsidR="008950A2">
        <w:rPr>
          <w:rFonts w:eastAsia="Arial" w:cs="Arial"/>
        </w:rPr>
        <w:t xml:space="preserve">This </w:t>
      </w:r>
      <w:r w:rsidR="00E52300">
        <w:rPr>
          <w:rFonts w:eastAsia="Arial" w:cs="Arial"/>
        </w:rPr>
        <w:t xml:space="preserve">lack of a course requirement </w:t>
      </w:r>
      <w:r w:rsidR="00E83BA3">
        <w:rPr>
          <w:rFonts w:eastAsia="Arial" w:cs="Arial"/>
        </w:rPr>
        <w:t xml:space="preserve">may </w:t>
      </w:r>
      <w:r w:rsidR="009E3533">
        <w:rPr>
          <w:rFonts w:eastAsia="Arial" w:cs="Arial"/>
        </w:rPr>
        <w:t xml:space="preserve">be one of the </w:t>
      </w:r>
      <w:r w:rsidR="00E83BA3">
        <w:rPr>
          <w:rFonts w:eastAsia="Arial" w:cs="Arial"/>
        </w:rPr>
        <w:t>difference</w:t>
      </w:r>
      <w:r w:rsidR="009E3533">
        <w:rPr>
          <w:rFonts w:eastAsia="Arial" w:cs="Arial"/>
        </w:rPr>
        <w:t>s</w:t>
      </w:r>
      <w:r w:rsidR="00E83BA3">
        <w:rPr>
          <w:rFonts w:eastAsia="Arial" w:cs="Arial"/>
        </w:rPr>
        <w:t xml:space="preserve"> between courses</w:t>
      </w:r>
      <w:r w:rsidR="003F15A0">
        <w:rPr>
          <w:rFonts w:eastAsia="Arial" w:cs="Arial"/>
        </w:rPr>
        <w:t xml:space="preserve"> passed compared to exams passed</w:t>
      </w:r>
      <w:r w:rsidR="00410F7B">
        <w:rPr>
          <w:rFonts w:eastAsia="Arial" w:cs="Arial"/>
        </w:rPr>
        <w:t>. Specifically</w:t>
      </w:r>
      <w:r w:rsidR="00F96445">
        <w:rPr>
          <w:rFonts w:eastAsia="Arial" w:cs="Arial"/>
        </w:rPr>
        <w:t xml:space="preserve"> i</w:t>
      </w:r>
      <w:r w:rsidR="00DB7E7F">
        <w:rPr>
          <w:rFonts w:eastAsia="Arial" w:cs="Arial"/>
        </w:rPr>
        <w:t>n the 2023</w:t>
      </w:r>
      <w:r w:rsidR="00246543">
        <w:rPr>
          <w:rFonts w:eastAsia="Arial" w:cs="Arial"/>
        </w:rPr>
        <w:t>–</w:t>
      </w:r>
      <w:r w:rsidR="00DB7E7F">
        <w:rPr>
          <w:rFonts w:eastAsia="Arial" w:cs="Arial"/>
        </w:rPr>
        <w:t xml:space="preserve">24 </w:t>
      </w:r>
      <w:r w:rsidR="001423ED">
        <w:rPr>
          <w:rFonts w:eastAsia="Arial" w:cs="Arial"/>
        </w:rPr>
        <w:t xml:space="preserve">CCI </w:t>
      </w:r>
      <w:r w:rsidR="00DB7E7F" w:rsidRPr="001423ED">
        <w:rPr>
          <w:rFonts w:eastAsia="Arial" w:cs="Arial"/>
        </w:rPr>
        <w:t>cohort</w:t>
      </w:r>
      <w:r w:rsidR="00410F7B">
        <w:rPr>
          <w:rFonts w:eastAsia="Arial" w:cs="Arial"/>
        </w:rPr>
        <w:t>,</w:t>
      </w:r>
      <w:r w:rsidR="00D911A9">
        <w:rPr>
          <w:rFonts w:eastAsia="Arial" w:cs="Arial"/>
        </w:rPr>
        <w:t xml:space="preserve"> 4,723 students passed </w:t>
      </w:r>
      <w:r w:rsidR="000E4BBE">
        <w:rPr>
          <w:rFonts w:eastAsia="Arial" w:cs="Arial"/>
        </w:rPr>
        <w:t xml:space="preserve">at least </w:t>
      </w:r>
      <w:r w:rsidR="00D911A9">
        <w:rPr>
          <w:rFonts w:eastAsia="Arial" w:cs="Arial"/>
        </w:rPr>
        <w:t xml:space="preserve">two AP exams with a score of 3 or higher, but did not take and pass two AP courses. </w:t>
      </w:r>
      <w:r w:rsidR="007D374A">
        <w:rPr>
          <w:rFonts w:eastAsia="Arial" w:cs="Arial"/>
        </w:rPr>
        <w:t xml:space="preserve">This results in </w:t>
      </w:r>
      <w:r w:rsidR="00AE3282">
        <w:rPr>
          <w:rFonts w:eastAsia="Arial" w:cs="Arial"/>
        </w:rPr>
        <w:t>a total of</w:t>
      </w:r>
      <w:r w:rsidR="00727113" w:rsidRPr="6178E98B">
        <w:rPr>
          <w:rFonts w:eastAsia="Arial" w:cs="Arial"/>
        </w:rPr>
        <w:t xml:space="preserve"> 53,350 students who took and passed with a C- o</w:t>
      </w:r>
      <w:r w:rsidR="001C1964">
        <w:rPr>
          <w:rFonts w:eastAsia="Arial" w:cs="Arial"/>
        </w:rPr>
        <w:t>r</w:t>
      </w:r>
      <w:r w:rsidR="00727113" w:rsidRPr="6178E98B">
        <w:rPr>
          <w:rFonts w:eastAsia="Arial" w:cs="Arial"/>
        </w:rPr>
        <w:t xml:space="preserve"> better </w:t>
      </w:r>
      <w:r w:rsidR="007E7E6C">
        <w:rPr>
          <w:rFonts w:eastAsia="Arial" w:cs="Arial"/>
        </w:rPr>
        <w:t xml:space="preserve">at least </w:t>
      </w:r>
      <w:r w:rsidR="00727113" w:rsidRPr="6178E98B">
        <w:rPr>
          <w:rFonts w:eastAsia="Arial" w:cs="Arial"/>
        </w:rPr>
        <w:t>two AP courses but did not earn a 3 or higher on 2 AP exams</w:t>
      </w:r>
      <w:r w:rsidR="009B09EC">
        <w:rPr>
          <w:rFonts w:eastAsia="Arial" w:cs="Arial"/>
        </w:rPr>
        <w:t>. Of these students</w:t>
      </w:r>
      <w:r w:rsidR="00727113" w:rsidRPr="6178E98B">
        <w:rPr>
          <w:rFonts w:eastAsia="Arial" w:cs="Arial"/>
        </w:rPr>
        <w:t xml:space="preserve"> 42,249 were already prepared through a different CCI measure, while 11,101 were not prepared by their </w:t>
      </w:r>
      <w:r w:rsidR="00037B44">
        <w:rPr>
          <w:rFonts w:eastAsia="Arial" w:cs="Arial"/>
        </w:rPr>
        <w:t>LEA</w:t>
      </w:r>
      <w:r w:rsidR="00727113" w:rsidRPr="6178E98B">
        <w:rPr>
          <w:rFonts w:eastAsia="Arial" w:cs="Arial"/>
        </w:rPr>
        <w:t xml:space="preserve"> through another CCI measure.</w:t>
      </w:r>
    </w:p>
    <w:p w14:paraId="395F4694" w14:textId="745F8676" w:rsidR="00E12B99" w:rsidRDefault="000F39F3" w:rsidP="00727113">
      <w:pPr>
        <w:rPr>
          <w:rFonts w:eastAsia="Arial" w:cs="Arial"/>
        </w:rPr>
      </w:pPr>
      <w:r>
        <w:rPr>
          <w:rFonts w:eastAsia="Arial" w:cs="Arial"/>
        </w:rPr>
        <w:t xml:space="preserve">Thus, shifting </w:t>
      </w:r>
      <w:r w:rsidR="00B51D6C">
        <w:rPr>
          <w:rFonts w:eastAsia="Arial" w:cs="Arial"/>
        </w:rPr>
        <w:t xml:space="preserve">the CCI </w:t>
      </w:r>
      <w:r w:rsidR="00F878AE">
        <w:rPr>
          <w:rFonts w:eastAsia="Arial" w:cs="Arial"/>
        </w:rPr>
        <w:t xml:space="preserve">AP measure from taking and passing </w:t>
      </w:r>
      <w:r w:rsidR="00B12475">
        <w:rPr>
          <w:rFonts w:eastAsia="Arial" w:cs="Arial"/>
        </w:rPr>
        <w:t xml:space="preserve">at least </w:t>
      </w:r>
      <w:r w:rsidR="00F878AE">
        <w:rPr>
          <w:rFonts w:eastAsia="Arial" w:cs="Arial"/>
        </w:rPr>
        <w:t xml:space="preserve">two AP exams to taking and passing </w:t>
      </w:r>
      <w:r w:rsidR="00B12475">
        <w:rPr>
          <w:rFonts w:eastAsia="Arial" w:cs="Arial"/>
        </w:rPr>
        <w:t xml:space="preserve">at least </w:t>
      </w:r>
      <w:r w:rsidR="00F878AE">
        <w:rPr>
          <w:rFonts w:eastAsia="Arial" w:cs="Arial"/>
        </w:rPr>
        <w:t xml:space="preserve">two AP courses would </w:t>
      </w:r>
      <w:r>
        <w:rPr>
          <w:rFonts w:eastAsia="Arial" w:cs="Arial"/>
        </w:rPr>
        <w:t xml:space="preserve">have </w:t>
      </w:r>
      <w:r w:rsidR="00F878AE">
        <w:rPr>
          <w:rFonts w:eastAsia="Arial" w:cs="Arial"/>
        </w:rPr>
        <w:t>result</w:t>
      </w:r>
      <w:r>
        <w:rPr>
          <w:rFonts w:eastAsia="Arial" w:cs="Arial"/>
        </w:rPr>
        <w:t>ed</w:t>
      </w:r>
      <w:r w:rsidR="00F878AE">
        <w:rPr>
          <w:rFonts w:eastAsia="Arial" w:cs="Arial"/>
        </w:rPr>
        <w:t xml:space="preserve"> in 11,101 more students </w:t>
      </w:r>
      <w:r w:rsidR="0055474E">
        <w:rPr>
          <w:rFonts w:eastAsia="Arial" w:cs="Arial"/>
        </w:rPr>
        <w:t>earning</w:t>
      </w:r>
      <w:r w:rsidR="006F1251">
        <w:rPr>
          <w:rFonts w:eastAsia="Arial" w:cs="Arial"/>
        </w:rPr>
        <w:t xml:space="preserve"> prepared on the CCI</w:t>
      </w:r>
      <w:r>
        <w:rPr>
          <w:rFonts w:eastAsia="Arial" w:cs="Arial"/>
        </w:rPr>
        <w:t xml:space="preserve"> on the 2024 Dashboard</w:t>
      </w:r>
      <w:r w:rsidR="006F1251">
        <w:rPr>
          <w:rFonts w:eastAsia="Arial" w:cs="Arial"/>
        </w:rPr>
        <w:t>.</w:t>
      </w:r>
    </w:p>
    <w:p w14:paraId="29346644" w14:textId="47C6CA40" w:rsidR="003B025C" w:rsidRPr="00C128DA" w:rsidRDefault="004C6B8C" w:rsidP="00DA5325">
      <w:pPr>
        <w:pStyle w:val="Heading2"/>
        <w:spacing w:after="120"/>
        <w:rPr>
          <w:sz w:val="28"/>
          <w:szCs w:val="22"/>
        </w:rPr>
      </w:pPr>
      <w:r w:rsidRPr="00C128DA">
        <w:rPr>
          <w:sz w:val="28"/>
          <w:szCs w:val="22"/>
        </w:rPr>
        <w:t>International Baccalaureate</w:t>
      </w:r>
    </w:p>
    <w:p w14:paraId="2D945C7F" w14:textId="7465AA2D" w:rsidR="004C6B8C" w:rsidRDefault="004C6B8C" w:rsidP="00727113">
      <w:pPr>
        <w:rPr>
          <w:rFonts w:eastAsia="Arial" w:cs="Arial"/>
        </w:rPr>
      </w:pPr>
      <w:r w:rsidRPr="004C6B8C">
        <w:rPr>
          <w:rFonts w:eastAsia="Arial" w:cs="Arial"/>
        </w:rPr>
        <w:t xml:space="preserve">The </w:t>
      </w:r>
      <w:r w:rsidR="003B025C">
        <w:rPr>
          <w:rFonts w:eastAsia="Arial" w:cs="Arial"/>
        </w:rPr>
        <w:t xml:space="preserve">IB </w:t>
      </w:r>
      <w:r w:rsidRPr="004C6B8C">
        <w:rPr>
          <w:rFonts w:eastAsia="Arial" w:cs="Arial"/>
        </w:rPr>
        <w:t>curriculum is composed of three core elements that aim to broaden students' educational experience and challenge them to apply their knowledge and skills.</w:t>
      </w:r>
      <w:r>
        <w:rPr>
          <w:rFonts w:eastAsia="Arial" w:cs="Arial"/>
        </w:rPr>
        <w:t xml:space="preserve"> </w:t>
      </w:r>
      <w:r w:rsidRPr="004C6B8C">
        <w:rPr>
          <w:rFonts w:eastAsia="Arial" w:cs="Arial"/>
        </w:rPr>
        <w:t>There is an application process for schools wishing to become an authorized IB school.</w:t>
      </w:r>
      <w:r>
        <w:rPr>
          <w:rFonts w:eastAsia="Arial" w:cs="Arial"/>
        </w:rPr>
        <w:t xml:space="preserve"> </w:t>
      </w:r>
      <w:r w:rsidRPr="004C6B8C">
        <w:rPr>
          <w:rFonts w:eastAsia="Arial" w:cs="Arial"/>
        </w:rPr>
        <w:t>In 2024, there were 100 high schools (~4% of high schools) in the State of California that offered IB coursework.</w:t>
      </w:r>
    </w:p>
    <w:p w14:paraId="5D20DE4A" w14:textId="0169A6FB" w:rsidR="005B25C5" w:rsidRDefault="00EA109E" w:rsidP="00727113">
      <w:pPr>
        <w:rPr>
          <w:rFonts w:eastAsia="Arial" w:cs="Arial"/>
        </w:rPr>
      </w:pPr>
      <w:r>
        <w:rPr>
          <w:rFonts w:eastAsia="Arial" w:cs="Arial"/>
        </w:rPr>
        <w:t xml:space="preserve">Table </w:t>
      </w:r>
      <w:r w:rsidR="002C1A3A">
        <w:rPr>
          <w:rFonts w:eastAsia="Arial" w:cs="Arial"/>
        </w:rPr>
        <w:t>5</w:t>
      </w:r>
      <w:r w:rsidR="005B25C5">
        <w:rPr>
          <w:rFonts w:eastAsia="Arial" w:cs="Arial"/>
        </w:rPr>
        <w:t xml:space="preserve"> displays the total number of students who passed </w:t>
      </w:r>
      <w:r w:rsidR="0085790F">
        <w:rPr>
          <w:rFonts w:eastAsia="Arial" w:cs="Arial"/>
        </w:rPr>
        <w:t xml:space="preserve">at least </w:t>
      </w:r>
      <w:r w:rsidR="005B25C5">
        <w:rPr>
          <w:rFonts w:eastAsia="Arial" w:cs="Arial"/>
        </w:rPr>
        <w:t xml:space="preserve">two </w:t>
      </w:r>
      <w:r w:rsidR="0095535E">
        <w:rPr>
          <w:rFonts w:eastAsia="Arial" w:cs="Arial"/>
        </w:rPr>
        <w:t>IB</w:t>
      </w:r>
      <w:r w:rsidR="005B25C5">
        <w:rPr>
          <w:rFonts w:eastAsia="Arial" w:cs="Arial"/>
        </w:rPr>
        <w:t xml:space="preserve"> Exams compared to those that passed </w:t>
      </w:r>
      <w:r w:rsidR="0085790F">
        <w:rPr>
          <w:rFonts w:eastAsia="Arial" w:cs="Arial"/>
        </w:rPr>
        <w:t xml:space="preserve">at least </w:t>
      </w:r>
      <w:r w:rsidR="005B25C5">
        <w:rPr>
          <w:rFonts w:eastAsia="Arial" w:cs="Arial"/>
        </w:rPr>
        <w:t>t</w:t>
      </w:r>
      <w:r w:rsidR="0095535E">
        <w:rPr>
          <w:rFonts w:eastAsia="Arial" w:cs="Arial"/>
        </w:rPr>
        <w:t>w</w:t>
      </w:r>
      <w:r w:rsidR="005B25C5">
        <w:rPr>
          <w:rFonts w:eastAsia="Arial" w:cs="Arial"/>
        </w:rPr>
        <w:t xml:space="preserve">o </w:t>
      </w:r>
      <w:r w:rsidR="0095535E">
        <w:rPr>
          <w:rFonts w:eastAsia="Arial" w:cs="Arial"/>
        </w:rPr>
        <w:t>IB</w:t>
      </w:r>
      <w:r w:rsidR="005B25C5">
        <w:rPr>
          <w:rFonts w:eastAsia="Arial" w:cs="Arial"/>
        </w:rPr>
        <w:t xml:space="preserve"> courses.</w:t>
      </w:r>
    </w:p>
    <w:p w14:paraId="7ECECF29" w14:textId="26D47704" w:rsidR="00EA109E" w:rsidRPr="00533E6D" w:rsidRDefault="00EA109E" w:rsidP="00DA5325">
      <w:pPr>
        <w:pStyle w:val="Heading3"/>
        <w:spacing w:after="120"/>
        <w:rPr>
          <w:sz w:val="24"/>
          <w:szCs w:val="20"/>
        </w:rPr>
      </w:pPr>
      <w:r w:rsidRPr="00533E6D">
        <w:rPr>
          <w:sz w:val="24"/>
          <w:szCs w:val="20"/>
        </w:rPr>
        <w:lastRenderedPageBreak/>
        <w:t xml:space="preserve">Table </w:t>
      </w:r>
      <w:r w:rsidR="002C1A3A" w:rsidRPr="00533E6D">
        <w:rPr>
          <w:sz w:val="24"/>
          <w:szCs w:val="20"/>
        </w:rPr>
        <w:t>5</w:t>
      </w:r>
      <w:r w:rsidRPr="00533E6D">
        <w:rPr>
          <w:sz w:val="24"/>
          <w:szCs w:val="20"/>
        </w:rPr>
        <w:t xml:space="preserve">: Number of students taking </w:t>
      </w:r>
      <w:r w:rsidR="00E17AB3" w:rsidRPr="00533E6D">
        <w:rPr>
          <w:sz w:val="24"/>
          <w:szCs w:val="20"/>
        </w:rPr>
        <w:t xml:space="preserve">at least </w:t>
      </w:r>
      <w:r w:rsidRPr="00533E6D">
        <w:rPr>
          <w:sz w:val="24"/>
          <w:szCs w:val="20"/>
        </w:rPr>
        <w:t xml:space="preserve">two IB classes and passing </w:t>
      </w:r>
      <w:r w:rsidR="00E17AB3" w:rsidRPr="00533E6D">
        <w:rPr>
          <w:sz w:val="24"/>
          <w:szCs w:val="20"/>
        </w:rPr>
        <w:t xml:space="preserve">at least </w:t>
      </w:r>
      <w:r w:rsidRPr="00533E6D">
        <w:rPr>
          <w:sz w:val="24"/>
          <w:szCs w:val="20"/>
        </w:rPr>
        <w:t>two IB exams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Caption w:val="Table X: Number of students taking two IB classes and passing two IB exams"/>
        <w:tblDescription w:val="Table X: Number of students taking two IB classes and passing two IB exams"/>
      </w:tblPr>
      <w:tblGrid>
        <w:gridCol w:w="1700"/>
        <w:gridCol w:w="3545"/>
        <w:gridCol w:w="1982"/>
        <w:gridCol w:w="2124"/>
      </w:tblGrid>
      <w:tr w:rsidR="00EA109E" w:rsidRPr="00B505D2" w14:paraId="030AC62F" w14:textId="77777777" w:rsidTr="0071715A">
        <w:trPr>
          <w:cantSplit/>
          <w:trHeight w:val="588"/>
          <w:tblHeader/>
        </w:trPr>
        <w:tc>
          <w:tcPr>
            <w:tcW w:w="1700" w:type="dxa"/>
            <w:shd w:val="clear" w:color="auto" w:fill="E7E6E6" w:themeFill="background2"/>
            <w:tcMar>
              <w:top w:w="14" w:type="dxa"/>
              <w:left w:w="14" w:type="dxa"/>
              <w:bottom w:w="0" w:type="dxa"/>
              <w:right w:w="14" w:type="dxa"/>
            </w:tcMar>
            <w:vAlign w:val="center"/>
            <w:hideMark/>
          </w:tcPr>
          <w:p w14:paraId="5EEE4E21" w14:textId="77777777" w:rsidR="00EA109E" w:rsidRPr="00B505D2" w:rsidRDefault="00EA109E">
            <w:pPr>
              <w:spacing w:line="279" w:lineRule="auto"/>
              <w:jc w:val="center"/>
              <w:rPr>
                <w:rFonts w:cs="Arial"/>
                <w:b/>
                <w:bCs/>
              </w:rPr>
            </w:pPr>
            <w:r w:rsidRPr="00B505D2">
              <w:rPr>
                <w:rFonts w:eastAsiaTheme="minorEastAsia" w:cs="Arial"/>
                <w:b/>
                <w:bCs/>
              </w:rPr>
              <w:t>Student Group</w:t>
            </w:r>
          </w:p>
        </w:tc>
        <w:tc>
          <w:tcPr>
            <w:tcW w:w="3545" w:type="dxa"/>
            <w:shd w:val="clear" w:color="auto" w:fill="E7E6E6" w:themeFill="background2"/>
            <w:tcMar>
              <w:top w:w="14" w:type="dxa"/>
              <w:left w:w="14" w:type="dxa"/>
              <w:bottom w:w="0" w:type="dxa"/>
              <w:right w:w="14" w:type="dxa"/>
            </w:tcMar>
            <w:vAlign w:val="center"/>
            <w:hideMark/>
          </w:tcPr>
          <w:p w14:paraId="77383A1A" w14:textId="77777777" w:rsidR="00EA109E" w:rsidRPr="00B505D2" w:rsidRDefault="00EA109E">
            <w:pPr>
              <w:spacing w:line="279" w:lineRule="auto"/>
              <w:jc w:val="center"/>
              <w:rPr>
                <w:rFonts w:cs="Arial"/>
                <w:b/>
                <w:bCs/>
              </w:rPr>
            </w:pPr>
            <w:r w:rsidRPr="00B505D2">
              <w:rPr>
                <w:rFonts w:eastAsiaTheme="minorEastAsia" w:cs="Arial"/>
                <w:b/>
                <w:bCs/>
              </w:rPr>
              <w:t>Total Students in CCI Denominator in 2023-24</w:t>
            </w:r>
          </w:p>
        </w:tc>
        <w:tc>
          <w:tcPr>
            <w:tcW w:w="1982" w:type="dxa"/>
            <w:shd w:val="clear" w:color="auto" w:fill="E7E6E6" w:themeFill="background2"/>
            <w:tcMar>
              <w:top w:w="14" w:type="dxa"/>
              <w:left w:w="14" w:type="dxa"/>
              <w:bottom w:w="0" w:type="dxa"/>
              <w:right w:w="14" w:type="dxa"/>
            </w:tcMar>
            <w:vAlign w:val="center"/>
            <w:hideMark/>
          </w:tcPr>
          <w:p w14:paraId="4319E9C9" w14:textId="73D94491" w:rsidR="00EA109E" w:rsidRPr="00B505D2" w:rsidRDefault="00EA109E">
            <w:pPr>
              <w:spacing w:line="279" w:lineRule="auto"/>
              <w:jc w:val="center"/>
              <w:rPr>
                <w:rFonts w:cs="Arial"/>
                <w:b/>
                <w:bCs/>
              </w:rPr>
            </w:pPr>
            <w:r w:rsidRPr="00B505D2">
              <w:rPr>
                <w:rFonts w:eastAsiaTheme="minorEastAsia" w:cs="Arial"/>
                <w:b/>
                <w:bCs/>
              </w:rPr>
              <w:t xml:space="preserve">Passed </w:t>
            </w:r>
            <w:r w:rsidR="00E17AB3">
              <w:rPr>
                <w:rFonts w:eastAsiaTheme="minorEastAsia" w:cs="Arial"/>
                <w:b/>
                <w:bCs/>
              </w:rPr>
              <w:t xml:space="preserve">at Least </w:t>
            </w:r>
            <w:r w:rsidRPr="00B505D2">
              <w:rPr>
                <w:rFonts w:eastAsiaTheme="minorEastAsia" w:cs="Arial"/>
                <w:b/>
                <w:bCs/>
              </w:rPr>
              <w:t xml:space="preserve">Two </w:t>
            </w:r>
            <w:r>
              <w:rPr>
                <w:rFonts w:eastAsiaTheme="minorEastAsia" w:cs="Arial"/>
                <w:b/>
                <w:bCs/>
              </w:rPr>
              <w:t>IB</w:t>
            </w:r>
            <w:r w:rsidRPr="00B505D2">
              <w:rPr>
                <w:rFonts w:eastAsiaTheme="minorEastAsia" w:cs="Arial"/>
                <w:b/>
                <w:bCs/>
              </w:rPr>
              <w:t xml:space="preserve"> Exams</w:t>
            </w:r>
          </w:p>
        </w:tc>
        <w:tc>
          <w:tcPr>
            <w:tcW w:w="2124" w:type="dxa"/>
            <w:shd w:val="clear" w:color="auto" w:fill="E7E6E6" w:themeFill="background2"/>
            <w:tcMar>
              <w:top w:w="14" w:type="dxa"/>
              <w:left w:w="14" w:type="dxa"/>
              <w:bottom w:w="0" w:type="dxa"/>
              <w:right w:w="14" w:type="dxa"/>
            </w:tcMar>
            <w:vAlign w:val="center"/>
            <w:hideMark/>
          </w:tcPr>
          <w:p w14:paraId="542AA50D" w14:textId="543A0D72" w:rsidR="00EA109E" w:rsidRPr="00B505D2" w:rsidRDefault="00EA109E">
            <w:pPr>
              <w:spacing w:line="279" w:lineRule="auto"/>
              <w:jc w:val="center"/>
              <w:rPr>
                <w:rFonts w:cs="Arial"/>
                <w:b/>
                <w:bCs/>
              </w:rPr>
            </w:pPr>
            <w:r w:rsidRPr="00B505D2">
              <w:rPr>
                <w:rFonts w:eastAsiaTheme="minorEastAsia" w:cs="Arial"/>
                <w:b/>
                <w:bCs/>
              </w:rPr>
              <w:t xml:space="preserve">Passed </w:t>
            </w:r>
            <w:r w:rsidR="00E17AB3">
              <w:rPr>
                <w:rFonts w:eastAsiaTheme="minorEastAsia" w:cs="Arial"/>
                <w:b/>
                <w:bCs/>
              </w:rPr>
              <w:t xml:space="preserve">at Least </w:t>
            </w:r>
            <w:r w:rsidRPr="00B505D2">
              <w:rPr>
                <w:rFonts w:eastAsiaTheme="minorEastAsia" w:cs="Arial"/>
                <w:b/>
                <w:bCs/>
              </w:rPr>
              <w:t xml:space="preserve">Two </w:t>
            </w:r>
            <w:r>
              <w:rPr>
                <w:rFonts w:eastAsiaTheme="minorEastAsia" w:cs="Arial"/>
                <w:b/>
                <w:bCs/>
              </w:rPr>
              <w:t>IB</w:t>
            </w:r>
            <w:r w:rsidRPr="00B505D2">
              <w:rPr>
                <w:rFonts w:eastAsiaTheme="minorEastAsia" w:cs="Arial"/>
                <w:b/>
                <w:bCs/>
              </w:rPr>
              <w:t xml:space="preserve"> Courses</w:t>
            </w:r>
          </w:p>
        </w:tc>
      </w:tr>
      <w:tr w:rsidR="00EA109E" w:rsidRPr="00B505D2" w14:paraId="3DC9FDBC" w14:textId="77777777" w:rsidTr="00031611">
        <w:trPr>
          <w:cantSplit/>
          <w:trHeight w:val="588"/>
        </w:trPr>
        <w:tc>
          <w:tcPr>
            <w:tcW w:w="1700" w:type="dxa"/>
            <w:shd w:val="clear" w:color="auto" w:fill="auto"/>
            <w:tcMar>
              <w:top w:w="14" w:type="dxa"/>
              <w:left w:w="14" w:type="dxa"/>
              <w:bottom w:w="0" w:type="dxa"/>
              <w:right w:w="14" w:type="dxa"/>
            </w:tcMar>
            <w:vAlign w:val="center"/>
            <w:hideMark/>
          </w:tcPr>
          <w:p w14:paraId="4F61A01C" w14:textId="77777777" w:rsidR="00EA109E" w:rsidRPr="00B505D2" w:rsidRDefault="00EA109E">
            <w:pPr>
              <w:spacing w:after="160" w:line="279" w:lineRule="auto"/>
              <w:jc w:val="center"/>
            </w:pPr>
            <w:r w:rsidRPr="00B505D2">
              <w:rPr>
                <w:rFonts w:eastAsiaTheme="minorEastAsia"/>
                <w:b/>
                <w:bCs/>
              </w:rPr>
              <w:t>All Students</w:t>
            </w:r>
          </w:p>
        </w:tc>
        <w:tc>
          <w:tcPr>
            <w:tcW w:w="3545" w:type="dxa"/>
            <w:shd w:val="clear" w:color="auto" w:fill="auto"/>
            <w:tcMar>
              <w:top w:w="14" w:type="dxa"/>
              <w:left w:w="14" w:type="dxa"/>
              <w:bottom w:w="0" w:type="dxa"/>
              <w:right w:w="14" w:type="dxa"/>
            </w:tcMar>
            <w:vAlign w:val="center"/>
            <w:hideMark/>
          </w:tcPr>
          <w:p w14:paraId="6F48445D" w14:textId="77777777" w:rsidR="00EA109E" w:rsidRPr="00B505D2" w:rsidRDefault="00EA109E">
            <w:pPr>
              <w:spacing w:after="160" w:line="279" w:lineRule="auto"/>
              <w:jc w:val="center"/>
            </w:pPr>
            <w:r w:rsidRPr="00B505D2">
              <w:rPr>
                <w:rFonts w:eastAsiaTheme="minorEastAsia"/>
              </w:rPr>
              <w:t>507,621</w:t>
            </w:r>
          </w:p>
        </w:tc>
        <w:tc>
          <w:tcPr>
            <w:tcW w:w="1982" w:type="dxa"/>
            <w:shd w:val="clear" w:color="auto" w:fill="auto"/>
            <w:tcMar>
              <w:top w:w="14" w:type="dxa"/>
              <w:left w:w="14" w:type="dxa"/>
              <w:bottom w:w="0" w:type="dxa"/>
              <w:right w:w="14" w:type="dxa"/>
            </w:tcMar>
            <w:vAlign w:val="bottom"/>
            <w:hideMark/>
          </w:tcPr>
          <w:p w14:paraId="42738DBC" w14:textId="507B85AC" w:rsidR="00EA109E" w:rsidRPr="00B505D2" w:rsidRDefault="00EA109E">
            <w:pPr>
              <w:spacing w:after="160" w:line="279" w:lineRule="auto"/>
              <w:jc w:val="center"/>
            </w:pPr>
            <w:r>
              <w:rPr>
                <w:rFonts w:eastAsiaTheme="minorEastAsia"/>
              </w:rPr>
              <w:t>3</w:t>
            </w:r>
            <w:r w:rsidRPr="00B505D2">
              <w:rPr>
                <w:rFonts w:eastAsiaTheme="minorEastAsia"/>
              </w:rPr>
              <w:t>,</w:t>
            </w:r>
            <w:r>
              <w:rPr>
                <w:rFonts w:eastAsiaTheme="minorEastAsia"/>
              </w:rPr>
              <w:t>610</w:t>
            </w:r>
          </w:p>
        </w:tc>
        <w:tc>
          <w:tcPr>
            <w:tcW w:w="2124" w:type="dxa"/>
            <w:shd w:val="clear" w:color="auto" w:fill="auto"/>
            <w:tcMar>
              <w:top w:w="14" w:type="dxa"/>
              <w:left w:w="14" w:type="dxa"/>
              <w:bottom w:w="0" w:type="dxa"/>
              <w:right w:w="14" w:type="dxa"/>
            </w:tcMar>
            <w:vAlign w:val="bottom"/>
            <w:hideMark/>
          </w:tcPr>
          <w:p w14:paraId="66113924" w14:textId="2876907E" w:rsidR="00EA109E" w:rsidRPr="00B505D2" w:rsidRDefault="000347D3">
            <w:pPr>
              <w:spacing w:after="160" w:line="279" w:lineRule="auto"/>
              <w:jc w:val="center"/>
            </w:pPr>
            <w:r>
              <w:rPr>
                <w:rFonts w:eastAsiaTheme="minorEastAsia"/>
              </w:rPr>
              <w:t>9</w:t>
            </w:r>
            <w:r w:rsidR="00EA109E" w:rsidRPr="00B505D2">
              <w:rPr>
                <w:rFonts w:eastAsiaTheme="minorEastAsia"/>
              </w:rPr>
              <w:t>,</w:t>
            </w:r>
            <w:r>
              <w:rPr>
                <w:rFonts w:eastAsiaTheme="minorEastAsia"/>
              </w:rPr>
              <w:t>503</w:t>
            </w:r>
          </w:p>
        </w:tc>
      </w:tr>
    </w:tbl>
    <w:p w14:paraId="64FF3B66" w14:textId="0FB65AC0" w:rsidR="00166D2A" w:rsidRDefault="006B2AFB" w:rsidP="00100050">
      <w:pPr>
        <w:rPr>
          <w:rFonts w:eastAsia="Arial" w:cs="Arial"/>
        </w:rPr>
      </w:pPr>
      <w:r>
        <w:rPr>
          <w:rFonts w:eastAsia="Arial" w:cs="Arial"/>
        </w:rPr>
        <w:t>Unlike AP exams, students may complete IB courses that are not tied to exams</w:t>
      </w:r>
      <w:r w:rsidR="001F6277">
        <w:rPr>
          <w:rFonts w:eastAsia="Arial" w:cs="Arial"/>
        </w:rPr>
        <w:t xml:space="preserve">. </w:t>
      </w:r>
      <w:r w:rsidR="00CA4A6A">
        <w:rPr>
          <w:rFonts w:eastAsia="Arial" w:cs="Arial"/>
        </w:rPr>
        <w:t>In 2023</w:t>
      </w:r>
      <w:r w:rsidR="008B7372">
        <w:rPr>
          <w:rFonts w:eastAsia="Arial" w:cs="Arial"/>
        </w:rPr>
        <w:t>–</w:t>
      </w:r>
      <w:r w:rsidR="00CA4A6A">
        <w:rPr>
          <w:rFonts w:eastAsia="Arial" w:cs="Arial"/>
        </w:rPr>
        <w:t xml:space="preserve">24, there were an additional </w:t>
      </w:r>
      <w:r w:rsidR="00535FAE">
        <w:rPr>
          <w:rFonts w:eastAsia="Arial" w:cs="Arial"/>
        </w:rPr>
        <w:t>5,893</w:t>
      </w:r>
      <w:r w:rsidR="00CA4A6A">
        <w:rPr>
          <w:rFonts w:eastAsia="Arial" w:cs="Arial"/>
        </w:rPr>
        <w:t xml:space="preserve"> students that passed </w:t>
      </w:r>
      <w:r w:rsidR="00533C6A">
        <w:rPr>
          <w:rFonts w:eastAsia="Arial" w:cs="Arial"/>
        </w:rPr>
        <w:t xml:space="preserve">at least </w:t>
      </w:r>
      <w:r w:rsidR="00CA4A6A">
        <w:rPr>
          <w:rFonts w:eastAsia="Arial" w:cs="Arial"/>
        </w:rPr>
        <w:t xml:space="preserve">two </w:t>
      </w:r>
      <w:r w:rsidR="00535FAE">
        <w:rPr>
          <w:rFonts w:eastAsia="Arial" w:cs="Arial"/>
        </w:rPr>
        <w:t>IB</w:t>
      </w:r>
      <w:r w:rsidR="00CA4A6A">
        <w:rPr>
          <w:rFonts w:eastAsia="Arial" w:cs="Arial"/>
        </w:rPr>
        <w:t xml:space="preserve"> courses but did not pass </w:t>
      </w:r>
      <w:r w:rsidR="00533C6A">
        <w:rPr>
          <w:rFonts w:eastAsia="Arial" w:cs="Arial"/>
        </w:rPr>
        <w:t xml:space="preserve">at least </w:t>
      </w:r>
      <w:r w:rsidR="00CA4A6A">
        <w:rPr>
          <w:rFonts w:eastAsia="Arial" w:cs="Arial"/>
        </w:rPr>
        <w:t xml:space="preserve">two </w:t>
      </w:r>
      <w:r w:rsidR="00535FAE">
        <w:rPr>
          <w:rFonts w:eastAsia="Arial" w:cs="Arial"/>
        </w:rPr>
        <w:t>IB</w:t>
      </w:r>
      <w:r w:rsidR="00CA4A6A">
        <w:rPr>
          <w:rFonts w:eastAsia="Arial" w:cs="Arial"/>
        </w:rPr>
        <w:t xml:space="preserve"> examinations.</w:t>
      </w:r>
    </w:p>
    <w:p w14:paraId="751C9135" w14:textId="61C43138" w:rsidR="00100050" w:rsidRDefault="00100050" w:rsidP="00100050">
      <w:pPr>
        <w:rPr>
          <w:rFonts w:eastAsia="Arial" w:cs="Arial"/>
        </w:rPr>
      </w:pPr>
      <w:r w:rsidRPr="6178E98B">
        <w:rPr>
          <w:rFonts w:eastAsia="Arial" w:cs="Arial"/>
        </w:rPr>
        <w:t xml:space="preserve">Among the </w:t>
      </w:r>
      <w:r w:rsidR="00A96D62">
        <w:rPr>
          <w:rFonts w:eastAsia="Arial" w:cs="Arial"/>
        </w:rPr>
        <w:t xml:space="preserve">5,967 </w:t>
      </w:r>
      <w:r w:rsidRPr="6178E98B">
        <w:rPr>
          <w:rFonts w:eastAsia="Arial" w:cs="Arial"/>
        </w:rPr>
        <w:t>students who took and passed with a C- o</w:t>
      </w:r>
      <w:r w:rsidR="001C1964">
        <w:rPr>
          <w:rFonts w:eastAsia="Arial" w:cs="Arial"/>
        </w:rPr>
        <w:t>r</w:t>
      </w:r>
      <w:r w:rsidRPr="6178E98B">
        <w:rPr>
          <w:rFonts w:eastAsia="Arial" w:cs="Arial"/>
        </w:rPr>
        <w:t xml:space="preserve"> better </w:t>
      </w:r>
      <w:r w:rsidR="00533C6A">
        <w:rPr>
          <w:rFonts w:eastAsia="Arial" w:cs="Arial"/>
        </w:rPr>
        <w:t xml:space="preserve">at least </w:t>
      </w:r>
      <w:r w:rsidRPr="6178E98B">
        <w:rPr>
          <w:rFonts w:eastAsia="Arial" w:cs="Arial"/>
        </w:rPr>
        <w:t xml:space="preserve">two </w:t>
      </w:r>
      <w:r w:rsidR="00B40E94">
        <w:rPr>
          <w:rFonts w:eastAsia="Arial" w:cs="Arial"/>
        </w:rPr>
        <w:t>IB</w:t>
      </w:r>
      <w:r w:rsidRPr="6178E98B">
        <w:rPr>
          <w:rFonts w:eastAsia="Arial" w:cs="Arial"/>
        </w:rPr>
        <w:t xml:space="preserve"> courses but did not earn a </w:t>
      </w:r>
      <w:r w:rsidR="00B40E94">
        <w:rPr>
          <w:rFonts w:eastAsia="Arial" w:cs="Arial"/>
        </w:rPr>
        <w:t>4</w:t>
      </w:r>
      <w:r w:rsidRPr="6178E98B">
        <w:rPr>
          <w:rFonts w:eastAsia="Arial" w:cs="Arial"/>
        </w:rPr>
        <w:t xml:space="preserve"> or higher on </w:t>
      </w:r>
      <w:r w:rsidR="00830D72">
        <w:rPr>
          <w:rFonts w:eastAsia="Arial" w:cs="Arial"/>
        </w:rPr>
        <w:t>at least two</w:t>
      </w:r>
      <w:r w:rsidRPr="6178E98B">
        <w:rPr>
          <w:rFonts w:eastAsia="Arial" w:cs="Arial"/>
        </w:rPr>
        <w:t xml:space="preserve"> </w:t>
      </w:r>
      <w:r w:rsidR="00B40E94">
        <w:rPr>
          <w:rFonts w:eastAsia="Arial" w:cs="Arial"/>
        </w:rPr>
        <w:t>IB</w:t>
      </w:r>
      <w:r w:rsidRPr="6178E98B">
        <w:rPr>
          <w:rFonts w:eastAsia="Arial" w:cs="Arial"/>
        </w:rPr>
        <w:t xml:space="preserve"> exams, </w:t>
      </w:r>
      <w:r w:rsidR="00B7454E">
        <w:rPr>
          <w:rFonts w:eastAsia="Arial" w:cs="Arial"/>
        </w:rPr>
        <w:t>4</w:t>
      </w:r>
      <w:r w:rsidR="00F9376B">
        <w:rPr>
          <w:rFonts w:eastAsia="Arial" w:cs="Arial"/>
        </w:rPr>
        <w:t>,737</w:t>
      </w:r>
      <w:r w:rsidRPr="6178E98B">
        <w:rPr>
          <w:rFonts w:eastAsia="Arial" w:cs="Arial"/>
        </w:rPr>
        <w:t xml:space="preserve"> were already prepared through a different CCI measure, while </w:t>
      </w:r>
      <w:r w:rsidR="00F9376B">
        <w:rPr>
          <w:rFonts w:eastAsia="Arial" w:cs="Arial"/>
        </w:rPr>
        <w:t>1</w:t>
      </w:r>
      <w:r w:rsidRPr="6178E98B">
        <w:rPr>
          <w:rFonts w:eastAsia="Arial" w:cs="Arial"/>
        </w:rPr>
        <w:t>,</w:t>
      </w:r>
      <w:r w:rsidR="00F9376B">
        <w:rPr>
          <w:rFonts w:eastAsia="Arial" w:cs="Arial"/>
        </w:rPr>
        <w:t>230</w:t>
      </w:r>
      <w:r w:rsidRPr="6178E98B">
        <w:rPr>
          <w:rFonts w:eastAsia="Arial" w:cs="Arial"/>
        </w:rPr>
        <w:t xml:space="preserve"> were not prepared by their school or district through another CCI measure.</w:t>
      </w:r>
      <w:r w:rsidR="00DA0DD0">
        <w:rPr>
          <w:rFonts w:eastAsia="Arial" w:cs="Arial"/>
        </w:rPr>
        <w:t xml:space="preserve"> </w:t>
      </w:r>
      <w:r w:rsidR="00642E63">
        <w:rPr>
          <w:rFonts w:cs="Arial"/>
        </w:rPr>
        <w:t>S</w:t>
      </w:r>
      <w:r w:rsidR="00642E63" w:rsidRPr="00702043">
        <w:rPr>
          <w:rFonts w:cs="Arial"/>
        </w:rPr>
        <w:t xml:space="preserve">tudents may only begin </w:t>
      </w:r>
      <w:r w:rsidR="001F6277">
        <w:rPr>
          <w:rFonts w:cs="Arial"/>
        </w:rPr>
        <w:t>taking</w:t>
      </w:r>
      <w:r w:rsidR="00642E63" w:rsidRPr="00702043">
        <w:rPr>
          <w:rFonts w:cs="Arial"/>
        </w:rPr>
        <w:t xml:space="preserve"> IB </w:t>
      </w:r>
      <w:r w:rsidR="00AC1CEB">
        <w:rPr>
          <w:rFonts w:cs="Arial"/>
        </w:rPr>
        <w:t>exams</w:t>
      </w:r>
      <w:r w:rsidR="00642E63" w:rsidRPr="00702043">
        <w:rPr>
          <w:rFonts w:cs="Arial"/>
        </w:rPr>
        <w:t xml:space="preserve"> in grade 11</w:t>
      </w:r>
      <w:r w:rsidR="008A5FAA">
        <w:rPr>
          <w:rFonts w:cs="Arial"/>
        </w:rPr>
        <w:t>.</w:t>
      </w:r>
      <w:r w:rsidR="0055474E">
        <w:rPr>
          <w:rFonts w:cs="Arial"/>
        </w:rPr>
        <w:t xml:space="preserve"> </w:t>
      </w:r>
      <w:r w:rsidR="0055474E">
        <w:rPr>
          <w:rFonts w:eastAsia="Arial" w:cs="Arial"/>
        </w:rPr>
        <w:t xml:space="preserve">Amending the CCI IB measure from taking and passing </w:t>
      </w:r>
      <w:r w:rsidR="005660B3">
        <w:rPr>
          <w:rFonts w:eastAsia="Arial" w:cs="Arial"/>
        </w:rPr>
        <w:t xml:space="preserve">at least </w:t>
      </w:r>
      <w:r w:rsidR="0055474E">
        <w:rPr>
          <w:rFonts w:eastAsia="Arial" w:cs="Arial"/>
        </w:rPr>
        <w:t xml:space="preserve">two IB exams to taking and passing </w:t>
      </w:r>
      <w:r w:rsidR="005660B3">
        <w:rPr>
          <w:rFonts w:eastAsia="Arial" w:cs="Arial"/>
        </w:rPr>
        <w:t xml:space="preserve">at least </w:t>
      </w:r>
      <w:r w:rsidR="0055474E">
        <w:rPr>
          <w:rFonts w:eastAsia="Arial" w:cs="Arial"/>
        </w:rPr>
        <w:t>two IB courses would result in 1,230 more students earning prepared on the CCI.</w:t>
      </w:r>
    </w:p>
    <w:p w14:paraId="1AF2F120" w14:textId="6DDADAD6" w:rsidR="00727113" w:rsidRPr="00C128DA" w:rsidRDefault="00727113" w:rsidP="00DA5325">
      <w:pPr>
        <w:pStyle w:val="Heading2"/>
        <w:spacing w:after="120"/>
        <w:rPr>
          <w:sz w:val="28"/>
          <w:szCs w:val="22"/>
        </w:rPr>
      </w:pPr>
      <w:r w:rsidRPr="00C128DA">
        <w:rPr>
          <w:sz w:val="28"/>
          <w:szCs w:val="22"/>
        </w:rPr>
        <w:t xml:space="preserve">Regional Occupation Centers </w:t>
      </w:r>
      <w:r w:rsidR="002C1A3A" w:rsidRPr="00C128DA">
        <w:rPr>
          <w:sz w:val="28"/>
          <w:szCs w:val="22"/>
        </w:rPr>
        <w:t>and</w:t>
      </w:r>
      <w:r w:rsidRPr="00C128DA">
        <w:rPr>
          <w:sz w:val="28"/>
          <w:szCs w:val="22"/>
        </w:rPr>
        <w:t xml:space="preserve"> Programs from State and Federal Jobs Program Measure</w:t>
      </w:r>
    </w:p>
    <w:p w14:paraId="75192832" w14:textId="77777777" w:rsidR="00727113" w:rsidRDefault="00727113" w:rsidP="00727113">
      <w:pPr>
        <w:rPr>
          <w:rFonts w:eastAsia="Arial" w:cs="Arial"/>
        </w:rPr>
      </w:pPr>
      <w:r w:rsidRPr="6178E98B">
        <w:rPr>
          <w:rFonts w:eastAsia="Arial" w:cs="Arial"/>
        </w:rPr>
        <w:t>In September 2020 the SBE approved the incorporation of State and Federal Jobs Programs into the CCI for DASS schools. Regional Occupational Center/Program (ROC/P) is a state program which provides career/technical education and services to California high school students.</w:t>
      </w:r>
    </w:p>
    <w:p w14:paraId="4D67179D" w14:textId="32578EEF" w:rsidR="00E06BDA" w:rsidRDefault="00727113" w:rsidP="00727113">
      <w:pPr>
        <w:rPr>
          <w:rFonts w:eastAsia="Arial" w:cs="Arial"/>
          <w:color w:val="000000" w:themeColor="text1"/>
        </w:rPr>
      </w:pPr>
      <w:r w:rsidRPr="6178E98B">
        <w:rPr>
          <w:rFonts w:eastAsia="Arial" w:cs="Arial"/>
        </w:rPr>
        <w:t xml:space="preserve">Since the approval of State and Federal Jobs Programs into the CCI, the data collection process for ROC/P has changed. </w:t>
      </w:r>
      <w:r w:rsidRPr="6178E98B">
        <w:rPr>
          <w:rFonts w:eastAsia="Arial" w:cs="Arial"/>
          <w:color w:val="000000" w:themeColor="text1"/>
        </w:rPr>
        <w:t>The CDE learned that there is no longer a reliable means of tracking these data. Therefore, the CDE is requesting that R</w:t>
      </w:r>
      <w:r w:rsidR="00FE211C">
        <w:rPr>
          <w:rFonts w:eastAsia="Arial" w:cs="Arial"/>
          <w:color w:val="000000" w:themeColor="text1"/>
        </w:rPr>
        <w:t>OC</w:t>
      </w:r>
      <w:r w:rsidRPr="6178E98B">
        <w:rPr>
          <w:rFonts w:eastAsia="Arial" w:cs="Arial"/>
          <w:color w:val="000000" w:themeColor="text1"/>
        </w:rPr>
        <w:t xml:space="preserve">/P be </w:t>
      </w:r>
      <w:r w:rsidR="00946FB7">
        <w:rPr>
          <w:rFonts w:eastAsia="Arial" w:cs="Arial"/>
          <w:color w:val="000000" w:themeColor="text1"/>
        </w:rPr>
        <w:t>removed</w:t>
      </w:r>
      <w:r w:rsidRPr="6178E98B">
        <w:rPr>
          <w:rFonts w:eastAsia="Arial" w:cs="Arial"/>
          <w:color w:val="000000" w:themeColor="text1"/>
        </w:rPr>
        <w:t xml:space="preserve"> from the CCI beginning with the 2025 Dashboard.</w:t>
      </w:r>
    </w:p>
    <w:p w14:paraId="6128029E" w14:textId="4AE1A756" w:rsidR="00727113" w:rsidRDefault="00E06BDA" w:rsidP="00727113">
      <w:pPr>
        <w:rPr>
          <w:rFonts w:eastAsia="Arial" w:cs="Arial"/>
          <w:color w:val="000000" w:themeColor="text1"/>
        </w:rPr>
      </w:pPr>
      <w:r>
        <w:rPr>
          <w:rFonts w:eastAsia="Arial" w:cs="Arial"/>
          <w:color w:val="000000" w:themeColor="text1"/>
        </w:rPr>
        <w:t xml:space="preserve">The </w:t>
      </w:r>
      <w:r w:rsidR="00917B85">
        <w:rPr>
          <w:rFonts w:eastAsia="Arial" w:cs="Arial"/>
          <w:color w:val="000000" w:themeColor="text1"/>
        </w:rPr>
        <w:t xml:space="preserve">CDE </w:t>
      </w:r>
      <w:r w:rsidR="00917B85">
        <w:rPr>
          <w:rFonts w:eastAsia="Arial" w:cs="Arial"/>
        </w:rPr>
        <w:t>analyzed the 2023</w:t>
      </w:r>
      <w:r w:rsidR="00946FB7">
        <w:rPr>
          <w:rFonts w:cs="Arial"/>
        </w:rPr>
        <w:t>–</w:t>
      </w:r>
      <w:r w:rsidR="00917B85">
        <w:rPr>
          <w:rFonts w:eastAsia="Arial" w:cs="Arial"/>
        </w:rPr>
        <w:t>24 CCI and identified 308 students</w:t>
      </w:r>
      <w:r w:rsidR="00910810">
        <w:rPr>
          <w:rFonts w:eastAsia="Arial" w:cs="Arial"/>
        </w:rPr>
        <w:t xml:space="preserve"> </w:t>
      </w:r>
      <w:r w:rsidR="00A61F5A">
        <w:rPr>
          <w:rFonts w:eastAsia="Arial" w:cs="Arial"/>
        </w:rPr>
        <w:t xml:space="preserve">who </w:t>
      </w:r>
      <w:r w:rsidR="00910810">
        <w:rPr>
          <w:rFonts w:eastAsia="Arial" w:cs="Arial"/>
        </w:rPr>
        <w:t xml:space="preserve">would be impacted </w:t>
      </w:r>
      <w:r w:rsidR="00CB029F">
        <w:rPr>
          <w:rFonts w:eastAsia="Arial" w:cs="Arial"/>
        </w:rPr>
        <w:t xml:space="preserve">by the removal of ROC/P from the CCI. </w:t>
      </w:r>
      <w:r w:rsidR="002A605F">
        <w:rPr>
          <w:rFonts w:eastAsia="Arial" w:cs="Arial"/>
        </w:rPr>
        <w:t xml:space="preserve">Approximately </w:t>
      </w:r>
      <w:r w:rsidR="00CB029F">
        <w:rPr>
          <w:rFonts w:eastAsia="Arial" w:cs="Arial"/>
        </w:rPr>
        <w:t xml:space="preserve">58 </w:t>
      </w:r>
      <w:r w:rsidR="00B62574">
        <w:rPr>
          <w:rFonts w:eastAsia="Arial" w:cs="Arial"/>
        </w:rPr>
        <w:t xml:space="preserve">students </w:t>
      </w:r>
      <w:r w:rsidR="00CB029F">
        <w:rPr>
          <w:rFonts w:eastAsia="Arial" w:cs="Arial"/>
        </w:rPr>
        <w:t>of the 308 students were prepared through another measure</w:t>
      </w:r>
      <w:r w:rsidR="00AF3A2A">
        <w:rPr>
          <w:rFonts w:eastAsia="Arial" w:cs="Arial"/>
        </w:rPr>
        <w:t xml:space="preserve"> </w:t>
      </w:r>
      <w:r w:rsidR="0036593E">
        <w:rPr>
          <w:rFonts w:eastAsia="Arial" w:cs="Arial"/>
        </w:rPr>
        <w:t xml:space="preserve">so removal </w:t>
      </w:r>
      <w:r w:rsidR="00EB69E3">
        <w:rPr>
          <w:rFonts w:eastAsia="Arial" w:cs="Arial"/>
        </w:rPr>
        <w:t xml:space="preserve">of ROC/P </w:t>
      </w:r>
      <w:r w:rsidR="00235110">
        <w:rPr>
          <w:rFonts w:eastAsia="Arial" w:cs="Arial"/>
        </w:rPr>
        <w:t xml:space="preserve">measure </w:t>
      </w:r>
      <w:r w:rsidR="00EB69E3">
        <w:rPr>
          <w:rFonts w:eastAsia="Arial" w:cs="Arial"/>
        </w:rPr>
        <w:t xml:space="preserve">would </w:t>
      </w:r>
      <w:r w:rsidR="00A61F5A">
        <w:rPr>
          <w:rFonts w:eastAsia="Arial" w:cs="Arial"/>
        </w:rPr>
        <w:t xml:space="preserve">have </w:t>
      </w:r>
      <w:r w:rsidR="00EB69E3">
        <w:rPr>
          <w:rFonts w:eastAsia="Arial" w:cs="Arial"/>
        </w:rPr>
        <w:t>result</w:t>
      </w:r>
      <w:r w:rsidR="00A61F5A">
        <w:rPr>
          <w:rFonts w:eastAsia="Arial" w:cs="Arial"/>
        </w:rPr>
        <w:t>ed</w:t>
      </w:r>
      <w:r w:rsidR="00EB69E3">
        <w:rPr>
          <w:rFonts w:eastAsia="Arial" w:cs="Arial"/>
        </w:rPr>
        <w:t xml:space="preserve"> in </w:t>
      </w:r>
      <w:r w:rsidR="00AF3A2A">
        <w:rPr>
          <w:rFonts w:eastAsia="Arial" w:cs="Arial"/>
        </w:rPr>
        <w:t xml:space="preserve">250 </w:t>
      </w:r>
      <w:r w:rsidR="00EF048E">
        <w:rPr>
          <w:rFonts w:eastAsia="Arial" w:cs="Arial"/>
        </w:rPr>
        <w:t xml:space="preserve">of the </w:t>
      </w:r>
      <w:r w:rsidR="0090448A" w:rsidRPr="00B505D2">
        <w:rPr>
          <w:rFonts w:eastAsiaTheme="minorEastAsia"/>
        </w:rPr>
        <w:t>507,621</w:t>
      </w:r>
      <w:r w:rsidR="0036593E">
        <w:rPr>
          <w:rFonts w:eastAsiaTheme="minorEastAsia"/>
        </w:rPr>
        <w:t xml:space="preserve"> </w:t>
      </w:r>
      <w:r w:rsidR="00B30F49">
        <w:rPr>
          <w:rFonts w:eastAsiaTheme="minorEastAsia"/>
        </w:rPr>
        <w:t>CCI</w:t>
      </w:r>
      <w:r w:rsidR="008F50B7">
        <w:rPr>
          <w:rFonts w:eastAsiaTheme="minorEastAsia"/>
        </w:rPr>
        <w:t xml:space="preserve"> </w:t>
      </w:r>
      <w:r w:rsidR="0036593E">
        <w:rPr>
          <w:rFonts w:eastAsiaTheme="minorEastAsia"/>
        </w:rPr>
        <w:t>cohort</w:t>
      </w:r>
      <w:r w:rsidR="00EB69E3">
        <w:rPr>
          <w:rFonts w:eastAsiaTheme="minorEastAsia"/>
        </w:rPr>
        <w:t xml:space="preserve"> no longer </w:t>
      </w:r>
      <w:r w:rsidR="007356A6">
        <w:rPr>
          <w:rFonts w:eastAsiaTheme="minorEastAsia"/>
        </w:rPr>
        <w:t>earning prepared.</w:t>
      </w:r>
    </w:p>
    <w:p w14:paraId="323A3C2B" w14:textId="1A0E414E" w:rsidR="1B273EDF" w:rsidRPr="00C128DA" w:rsidRDefault="3B29D0FC" w:rsidP="00DA5325">
      <w:pPr>
        <w:pStyle w:val="Heading2"/>
        <w:spacing w:after="120"/>
        <w:rPr>
          <w:sz w:val="24"/>
          <w:szCs w:val="20"/>
        </w:rPr>
      </w:pPr>
      <w:r w:rsidRPr="00C128DA">
        <w:rPr>
          <w:sz w:val="24"/>
          <w:szCs w:val="20"/>
        </w:rPr>
        <w:t>Review of Student Level Data from the State Seal of Civic Engagement</w:t>
      </w:r>
    </w:p>
    <w:p w14:paraId="54573991" w14:textId="652F337F" w:rsidR="003E7D4D" w:rsidRDefault="25C755D2" w:rsidP="00BA74B6">
      <w:pPr>
        <w:rPr>
          <w:rFonts w:eastAsia="Arial" w:cs="Arial"/>
        </w:rPr>
      </w:pPr>
      <w:r w:rsidRPr="266ACE82">
        <w:rPr>
          <w:rFonts w:eastAsia="Arial" w:cs="Arial"/>
        </w:rPr>
        <w:t xml:space="preserve">California began awarding the </w:t>
      </w:r>
      <w:r w:rsidRPr="724061C2">
        <w:rPr>
          <w:rFonts w:eastAsia="Arial" w:cs="Arial"/>
        </w:rPr>
        <w:t xml:space="preserve">State Seal of Civic </w:t>
      </w:r>
      <w:r w:rsidRPr="420609F0">
        <w:rPr>
          <w:rFonts w:eastAsia="Arial" w:cs="Arial"/>
        </w:rPr>
        <w:t xml:space="preserve">Engagement (SSCE) in </w:t>
      </w:r>
      <w:r w:rsidR="6D7EA46D" w:rsidRPr="00FB479D">
        <w:rPr>
          <w:rFonts w:eastAsia="Arial" w:cs="Arial"/>
        </w:rPr>
        <w:t>the 2020</w:t>
      </w:r>
      <w:r w:rsidR="00FB3F4F">
        <w:rPr>
          <w:rFonts w:cs="Arial"/>
        </w:rPr>
        <w:t>–</w:t>
      </w:r>
      <w:r w:rsidR="6D7EA46D" w:rsidRPr="00FB479D">
        <w:rPr>
          <w:rFonts w:eastAsia="Arial" w:cs="Arial"/>
        </w:rPr>
        <w:t>21 school year</w:t>
      </w:r>
      <w:r w:rsidR="00BA74B6">
        <w:rPr>
          <w:rFonts w:eastAsia="Arial" w:cs="Arial"/>
        </w:rPr>
        <w:t xml:space="preserve"> and tracked the number of students receiving a seal based on </w:t>
      </w:r>
      <w:r w:rsidR="00465ADC">
        <w:rPr>
          <w:rFonts w:eastAsia="Arial" w:cs="Arial"/>
        </w:rPr>
        <w:t xml:space="preserve">aggregate </w:t>
      </w:r>
      <w:r w:rsidR="00BA74B6">
        <w:rPr>
          <w:rFonts w:eastAsia="Arial" w:cs="Arial"/>
        </w:rPr>
        <w:t>re</w:t>
      </w:r>
      <w:r w:rsidR="007A7720">
        <w:rPr>
          <w:rFonts w:eastAsia="Arial" w:cs="Arial"/>
        </w:rPr>
        <w:t>quest</w:t>
      </w:r>
      <w:r w:rsidR="00BA74B6">
        <w:rPr>
          <w:rFonts w:eastAsia="Arial" w:cs="Arial"/>
        </w:rPr>
        <w:t>s from LEAs</w:t>
      </w:r>
      <w:r w:rsidR="00AB4E3D">
        <w:rPr>
          <w:rFonts w:eastAsia="Arial" w:cs="Arial"/>
        </w:rPr>
        <w:t>.</w:t>
      </w:r>
      <w:r w:rsidR="007A7720" w:rsidRPr="00FB479D">
        <w:rPr>
          <w:rFonts w:eastAsia="Arial" w:cs="Arial"/>
        </w:rPr>
        <w:t xml:space="preserve"> </w:t>
      </w:r>
      <w:r w:rsidR="009115FB">
        <w:rPr>
          <w:rFonts w:eastAsia="Arial" w:cs="Arial"/>
        </w:rPr>
        <w:t xml:space="preserve">Beginning in </w:t>
      </w:r>
      <w:r w:rsidR="00E85F4E" w:rsidRPr="00E85F4E">
        <w:rPr>
          <w:rFonts w:eastAsia="Arial" w:cs="Arial"/>
        </w:rPr>
        <w:t xml:space="preserve">the 2023–24 </w:t>
      </w:r>
      <w:r w:rsidR="009115FB">
        <w:rPr>
          <w:rFonts w:eastAsia="Arial" w:cs="Arial"/>
        </w:rPr>
        <w:t xml:space="preserve">school year, the </w:t>
      </w:r>
      <w:r w:rsidR="009115FB" w:rsidRPr="55166A6F">
        <w:rPr>
          <w:rFonts w:eastAsia="Arial" w:cs="Arial"/>
        </w:rPr>
        <w:t>CDE created</w:t>
      </w:r>
      <w:r w:rsidR="009115FB" w:rsidRPr="00E85F4E">
        <w:rPr>
          <w:rFonts w:eastAsia="Arial" w:cs="Arial"/>
        </w:rPr>
        <w:t xml:space="preserve"> an ad-hoc </w:t>
      </w:r>
      <w:r w:rsidR="009115FB" w:rsidRPr="00E85F4E">
        <w:rPr>
          <w:rFonts w:eastAsia="Arial" w:cs="Arial"/>
        </w:rPr>
        <w:lastRenderedPageBreak/>
        <w:t xml:space="preserve">data collection for </w:t>
      </w:r>
      <w:r w:rsidR="00E85F4E" w:rsidRPr="00E85F4E">
        <w:rPr>
          <w:rFonts w:eastAsia="Arial" w:cs="Arial"/>
        </w:rPr>
        <w:t xml:space="preserve">LEAs to submit student-level information for </w:t>
      </w:r>
      <w:r w:rsidR="005D66EC">
        <w:rPr>
          <w:rFonts w:eastAsia="Arial" w:cs="Arial"/>
        </w:rPr>
        <w:t>students who</w:t>
      </w:r>
      <w:r w:rsidR="00E85F4E" w:rsidRPr="00E85F4E">
        <w:rPr>
          <w:rFonts w:eastAsia="Arial" w:cs="Arial"/>
        </w:rPr>
        <w:t xml:space="preserve"> earned the SSCE.</w:t>
      </w:r>
      <w:r w:rsidR="005A5F8E">
        <w:rPr>
          <w:rFonts w:eastAsia="Arial" w:cs="Arial"/>
        </w:rPr>
        <w:t xml:space="preserve"> </w:t>
      </w:r>
      <w:r w:rsidR="001F551D">
        <w:rPr>
          <w:rFonts w:eastAsia="Arial" w:cs="Arial"/>
        </w:rPr>
        <w:t xml:space="preserve">This new </w:t>
      </w:r>
      <w:r w:rsidR="005D66EC">
        <w:rPr>
          <w:rFonts w:eastAsia="Arial" w:cs="Arial"/>
        </w:rPr>
        <w:t xml:space="preserve">student-level </w:t>
      </w:r>
      <w:r w:rsidR="001F551D">
        <w:rPr>
          <w:rFonts w:eastAsia="Arial" w:cs="Arial"/>
        </w:rPr>
        <w:t xml:space="preserve">collection allows the </w:t>
      </w:r>
      <w:r w:rsidR="001F551D" w:rsidRPr="684A9145">
        <w:rPr>
          <w:rFonts w:eastAsia="Arial" w:cs="Arial"/>
        </w:rPr>
        <w:t xml:space="preserve">CDE </w:t>
      </w:r>
      <w:r w:rsidR="001F551D">
        <w:rPr>
          <w:rFonts w:eastAsia="Arial" w:cs="Arial"/>
        </w:rPr>
        <w:t xml:space="preserve">to </w:t>
      </w:r>
      <w:r w:rsidR="005D66EC">
        <w:rPr>
          <w:rFonts w:eastAsia="Arial" w:cs="Arial"/>
        </w:rPr>
        <w:t>match this information with demographic</w:t>
      </w:r>
      <w:r w:rsidR="001F551D">
        <w:rPr>
          <w:rFonts w:eastAsia="Arial" w:cs="Arial"/>
        </w:rPr>
        <w:t xml:space="preserve"> </w:t>
      </w:r>
      <w:r w:rsidR="003E7D4D">
        <w:rPr>
          <w:rFonts w:eastAsia="Arial" w:cs="Arial"/>
        </w:rPr>
        <w:t xml:space="preserve">and other student outcome </w:t>
      </w:r>
      <w:r w:rsidR="001F551D">
        <w:rPr>
          <w:rFonts w:eastAsia="Arial" w:cs="Arial"/>
        </w:rPr>
        <w:t xml:space="preserve">data to </w:t>
      </w:r>
      <w:r w:rsidR="00AB1AB1">
        <w:rPr>
          <w:rFonts w:eastAsia="Arial" w:cs="Arial"/>
        </w:rPr>
        <w:t xml:space="preserve">inform </w:t>
      </w:r>
      <w:r w:rsidR="00370405">
        <w:rPr>
          <w:rFonts w:eastAsia="Arial" w:cs="Arial"/>
        </w:rPr>
        <w:t>future action by the SBE related to this measure</w:t>
      </w:r>
      <w:r w:rsidR="00B82BF4">
        <w:rPr>
          <w:rFonts w:eastAsia="Arial" w:cs="Arial"/>
        </w:rPr>
        <w:t>.</w:t>
      </w:r>
    </w:p>
    <w:p w14:paraId="0BCE13A9" w14:textId="5ED783CC" w:rsidR="00301254" w:rsidRDefault="00BA74B6" w:rsidP="68D60E68">
      <w:pPr>
        <w:rPr>
          <w:rFonts w:eastAsia="Arial" w:cs="Arial"/>
        </w:rPr>
      </w:pPr>
      <w:r w:rsidRPr="00FB479D">
        <w:rPr>
          <w:rFonts w:eastAsia="Arial" w:cs="Arial"/>
        </w:rPr>
        <w:t>Since</w:t>
      </w:r>
      <w:r>
        <w:rPr>
          <w:rFonts w:eastAsia="Arial" w:cs="Arial"/>
        </w:rPr>
        <w:t xml:space="preserve"> </w:t>
      </w:r>
      <w:r w:rsidRPr="00FB479D">
        <w:rPr>
          <w:rFonts w:eastAsia="Arial" w:cs="Arial"/>
        </w:rPr>
        <w:t xml:space="preserve">the </w:t>
      </w:r>
      <w:r w:rsidR="003E7D4D">
        <w:rPr>
          <w:rFonts w:eastAsia="Arial" w:cs="Arial"/>
        </w:rPr>
        <w:t xml:space="preserve">first aggregate collection, the </w:t>
      </w:r>
      <w:r w:rsidRPr="00FB479D">
        <w:rPr>
          <w:rFonts w:eastAsia="Arial" w:cs="Arial"/>
        </w:rPr>
        <w:t xml:space="preserve">number of students </w:t>
      </w:r>
      <w:r w:rsidRPr="7DB5DD16">
        <w:rPr>
          <w:rFonts w:eastAsia="Arial" w:cs="Arial"/>
        </w:rPr>
        <w:t>earning the SSCE</w:t>
      </w:r>
      <w:r w:rsidRPr="129F90AA">
        <w:rPr>
          <w:rFonts w:eastAsia="Arial" w:cs="Arial"/>
        </w:rPr>
        <w:t xml:space="preserve"> has increased, with </w:t>
      </w:r>
      <w:r w:rsidRPr="40B043D7">
        <w:rPr>
          <w:rFonts w:eastAsia="Arial" w:cs="Arial"/>
        </w:rPr>
        <w:t xml:space="preserve">5,310 </w:t>
      </w:r>
      <w:r w:rsidRPr="7C96B2F1">
        <w:rPr>
          <w:rFonts w:eastAsia="Arial" w:cs="Arial"/>
        </w:rPr>
        <w:t>students</w:t>
      </w:r>
      <w:r w:rsidRPr="40B043D7">
        <w:rPr>
          <w:rFonts w:eastAsia="Arial" w:cs="Arial"/>
        </w:rPr>
        <w:t xml:space="preserve"> </w:t>
      </w:r>
      <w:r>
        <w:rPr>
          <w:rFonts w:eastAsia="Arial" w:cs="Arial"/>
        </w:rPr>
        <w:t xml:space="preserve">earning seals </w:t>
      </w:r>
      <w:r w:rsidRPr="40B043D7">
        <w:rPr>
          <w:rFonts w:eastAsia="Arial" w:cs="Arial"/>
        </w:rPr>
        <w:t xml:space="preserve">in </w:t>
      </w:r>
      <w:r>
        <w:rPr>
          <w:rFonts w:eastAsia="Arial" w:cs="Arial"/>
        </w:rPr>
        <w:t xml:space="preserve">the </w:t>
      </w:r>
      <w:r w:rsidRPr="40B043D7">
        <w:rPr>
          <w:rFonts w:eastAsia="Arial" w:cs="Arial"/>
        </w:rPr>
        <w:t xml:space="preserve">2020–21 </w:t>
      </w:r>
      <w:r>
        <w:rPr>
          <w:rFonts w:eastAsia="Arial" w:cs="Arial"/>
        </w:rPr>
        <w:t xml:space="preserve">school year, </w:t>
      </w:r>
      <w:r w:rsidRPr="7C96B2F1">
        <w:rPr>
          <w:rFonts w:eastAsia="Arial" w:cs="Arial"/>
        </w:rPr>
        <w:t xml:space="preserve">to </w:t>
      </w:r>
      <w:r w:rsidRPr="0BE4DF6A">
        <w:rPr>
          <w:rFonts w:eastAsia="Arial" w:cs="Arial"/>
        </w:rPr>
        <w:t>15,</w:t>
      </w:r>
      <w:r w:rsidRPr="65B1093F">
        <w:rPr>
          <w:rFonts w:eastAsia="Arial" w:cs="Arial"/>
        </w:rPr>
        <w:t>627</w:t>
      </w:r>
      <w:r w:rsidRPr="106143C2">
        <w:rPr>
          <w:rFonts w:eastAsia="Arial" w:cs="Arial"/>
        </w:rPr>
        <w:t xml:space="preserve"> students</w:t>
      </w:r>
      <w:r>
        <w:rPr>
          <w:rFonts w:eastAsia="Arial" w:cs="Arial"/>
        </w:rPr>
        <w:t xml:space="preserve"> earning seals</w:t>
      </w:r>
      <w:r w:rsidRPr="106143C2">
        <w:rPr>
          <w:rFonts w:eastAsia="Arial" w:cs="Arial"/>
        </w:rPr>
        <w:t xml:space="preserve">, </w:t>
      </w:r>
      <w:r>
        <w:rPr>
          <w:rFonts w:eastAsia="Arial" w:cs="Arial"/>
        </w:rPr>
        <w:t xml:space="preserve">representing </w:t>
      </w:r>
      <w:r w:rsidRPr="106143C2">
        <w:rPr>
          <w:rFonts w:eastAsia="Arial" w:cs="Arial"/>
        </w:rPr>
        <w:t>2.9</w:t>
      </w:r>
      <w:r>
        <w:rPr>
          <w:rFonts w:eastAsia="Arial" w:cs="Arial"/>
        </w:rPr>
        <w:t xml:space="preserve"> percent</w:t>
      </w:r>
      <w:r w:rsidRPr="106143C2">
        <w:rPr>
          <w:rFonts w:eastAsia="Arial" w:cs="Arial"/>
        </w:rPr>
        <w:t xml:space="preserve"> of the 2023</w:t>
      </w:r>
      <w:r>
        <w:rPr>
          <w:rFonts w:cs="Arial"/>
        </w:rPr>
        <w:t>–</w:t>
      </w:r>
      <w:r w:rsidRPr="106143C2">
        <w:rPr>
          <w:rFonts w:eastAsia="Arial" w:cs="Arial"/>
        </w:rPr>
        <w:t xml:space="preserve">24 </w:t>
      </w:r>
      <w:r>
        <w:rPr>
          <w:rFonts w:eastAsia="Arial" w:cs="Arial"/>
        </w:rPr>
        <w:t xml:space="preserve">CCI </w:t>
      </w:r>
      <w:r w:rsidRPr="106143C2">
        <w:rPr>
          <w:rFonts w:eastAsia="Arial" w:cs="Arial"/>
        </w:rPr>
        <w:t>cohort</w:t>
      </w:r>
      <w:r w:rsidR="003E7D4D">
        <w:rPr>
          <w:rFonts w:eastAsia="Arial" w:cs="Arial"/>
        </w:rPr>
        <w:t xml:space="preserve">. </w:t>
      </w:r>
      <w:r w:rsidR="00CA8B87" w:rsidRPr="16A404CA">
        <w:rPr>
          <w:rFonts w:eastAsia="Arial" w:cs="Arial"/>
        </w:rPr>
        <w:t xml:space="preserve">The </w:t>
      </w:r>
      <w:r w:rsidR="00D65FAC">
        <w:rPr>
          <w:rFonts w:eastAsia="Arial" w:cs="Arial"/>
        </w:rPr>
        <w:t>aggregate</w:t>
      </w:r>
      <w:r w:rsidR="00CA8B87" w:rsidRPr="106B9C0D">
        <w:rPr>
          <w:rFonts w:eastAsia="Arial" w:cs="Arial"/>
        </w:rPr>
        <w:t xml:space="preserve"> number of seals</w:t>
      </w:r>
      <w:r w:rsidR="00CA8B87" w:rsidRPr="16A404CA">
        <w:rPr>
          <w:rFonts w:eastAsia="Arial" w:cs="Arial"/>
        </w:rPr>
        <w:t xml:space="preserve"> </w:t>
      </w:r>
      <w:r w:rsidR="00CA8B87" w:rsidRPr="7955F2F5">
        <w:rPr>
          <w:rFonts w:eastAsia="Arial" w:cs="Arial"/>
        </w:rPr>
        <w:t>requested/award</w:t>
      </w:r>
      <w:r w:rsidR="00D65FAC">
        <w:rPr>
          <w:rFonts w:eastAsia="Arial" w:cs="Arial"/>
        </w:rPr>
        <w:t>ed</w:t>
      </w:r>
      <w:r w:rsidR="00CA8B87" w:rsidRPr="7955F2F5">
        <w:rPr>
          <w:rFonts w:eastAsia="Arial" w:cs="Arial"/>
        </w:rPr>
        <w:t xml:space="preserve"> by CDE differs from the number of </w:t>
      </w:r>
      <w:r w:rsidR="00CA8B87" w:rsidRPr="23E2CCAC">
        <w:rPr>
          <w:rFonts w:eastAsia="Arial" w:cs="Arial"/>
        </w:rPr>
        <w:t xml:space="preserve">students that CDE received student-level </w:t>
      </w:r>
      <w:r w:rsidR="00CA8B87" w:rsidRPr="3A8A9A8D">
        <w:rPr>
          <w:rFonts w:eastAsia="Arial" w:cs="Arial"/>
        </w:rPr>
        <w:t xml:space="preserve">information about in our initial ad-hoc collection. For </w:t>
      </w:r>
      <w:r w:rsidR="00C30165">
        <w:rPr>
          <w:rFonts w:eastAsia="Arial" w:cs="Arial"/>
        </w:rPr>
        <w:t xml:space="preserve">the </w:t>
      </w:r>
      <w:r w:rsidR="00CA8B87" w:rsidRPr="3A8A9A8D">
        <w:rPr>
          <w:rFonts w:eastAsia="Arial" w:cs="Arial"/>
        </w:rPr>
        <w:t>2023</w:t>
      </w:r>
      <w:r w:rsidR="00FB3F4F">
        <w:rPr>
          <w:rFonts w:cs="Arial"/>
        </w:rPr>
        <w:t>–</w:t>
      </w:r>
      <w:r w:rsidR="00CA8B87" w:rsidRPr="3A8A9A8D">
        <w:rPr>
          <w:rFonts w:eastAsia="Arial" w:cs="Arial"/>
        </w:rPr>
        <w:t>24</w:t>
      </w:r>
      <w:r w:rsidR="00C30165">
        <w:rPr>
          <w:rFonts w:eastAsia="Arial" w:cs="Arial"/>
        </w:rPr>
        <w:t xml:space="preserve"> school year</w:t>
      </w:r>
      <w:r w:rsidR="00CA8B87" w:rsidRPr="3A8A9A8D">
        <w:rPr>
          <w:rFonts w:eastAsia="Arial" w:cs="Arial"/>
        </w:rPr>
        <w:t>, there</w:t>
      </w:r>
      <w:r w:rsidR="00CA8B87" w:rsidRPr="36B59959">
        <w:rPr>
          <w:rFonts w:eastAsia="Arial" w:cs="Arial"/>
        </w:rPr>
        <w:t xml:space="preserve"> was a difference of </w:t>
      </w:r>
      <w:r w:rsidR="006306E6">
        <w:rPr>
          <w:rFonts w:eastAsia="Arial" w:cs="Arial"/>
        </w:rPr>
        <w:t>1,075</w:t>
      </w:r>
      <w:r w:rsidR="00CA8B87" w:rsidRPr="36B59959">
        <w:rPr>
          <w:rFonts w:eastAsia="Arial" w:cs="Arial"/>
        </w:rPr>
        <w:t xml:space="preserve"> </w:t>
      </w:r>
      <w:r w:rsidR="00CA8B87" w:rsidRPr="16A404CA">
        <w:rPr>
          <w:rFonts w:eastAsia="Arial" w:cs="Arial"/>
        </w:rPr>
        <w:t>fewer students</w:t>
      </w:r>
      <w:r w:rsidR="00CA8B87" w:rsidRPr="36B59959">
        <w:rPr>
          <w:rFonts w:eastAsia="Arial" w:cs="Arial"/>
        </w:rPr>
        <w:t xml:space="preserve"> </w:t>
      </w:r>
      <w:r w:rsidR="00CA8B87" w:rsidRPr="17FA8463">
        <w:rPr>
          <w:rFonts w:eastAsia="Arial" w:cs="Arial"/>
        </w:rPr>
        <w:t xml:space="preserve">in the ad-hoc </w:t>
      </w:r>
      <w:r w:rsidR="0077371E">
        <w:rPr>
          <w:rFonts w:eastAsia="Arial" w:cs="Arial"/>
        </w:rPr>
        <w:t xml:space="preserve">student-level </w:t>
      </w:r>
      <w:r w:rsidR="00CA8B87" w:rsidRPr="17FA8463">
        <w:rPr>
          <w:rFonts w:eastAsia="Arial" w:cs="Arial"/>
        </w:rPr>
        <w:t>collection</w:t>
      </w:r>
      <w:r w:rsidR="2E72794D" w:rsidRPr="1983CCD5">
        <w:rPr>
          <w:rFonts w:eastAsia="Arial" w:cs="Arial"/>
        </w:rPr>
        <w:t xml:space="preserve">, with </w:t>
      </w:r>
      <w:r w:rsidR="0077371E">
        <w:rPr>
          <w:rFonts w:eastAsia="Arial" w:cs="Arial"/>
        </w:rPr>
        <w:t>a total of</w:t>
      </w:r>
      <w:r w:rsidR="2E72794D" w:rsidRPr="1983CCD5">
        <w:rPr>
          <w:rFonts w:eastAsia="Arial" w:cs="Arial"/>
        </w:rPr>
        <w:t xml:space="preserve"> </w:t>
      </w:r>
      <w:r w:rsidR="00876840" w:rsidRPr="0077371E">
        <w:rPr>
          <w:rFonts w:eastAsia="Arial" w:cs="Arial"/>
        </w:rPr>
        <w:t>14,552</w:t>
      </w:r>
      <w:r w:rsidR="0077371E">
        <w:rPr>
          <w:rFonts w:eastAsia="Arial" w:cs="Arial"/>
        </w:rPr>
        <w:t xml:space="preserve"> students</w:t>
      </w:r>
      <w:r w:rsidR="00CA8B87" w:rsidRPr="45738F1D">
        <w:rPr>
          <w:rFonts w:eastAsia="Arial" w:cs="Arial"/>
        </w:rPr>
        <w:t>.</w:t>
      </w:r>
    </w:p>
    <w:p w14:paraId="1CCCC220" w14:textId="7DB6D567" w:rsidR="00E85F4E" w:rsidRDefault="00CA8B87" w:rsidP="00033B02">
      <w:pPr>
        <w:rPr>
          <w:rFonts w:eastAsia="Arial" w:cs="Arial"/>
        </w:rPr>
      </w:pPr>
      <w:r w:rsidRPr="17FA8463">
        <w:rPr>
          <w:rFonts w:eastAsia="Arial" w:cs="Arial"/>
        </w:rPr>
        <w:t xml:space="preserve">The data presented in Tables </w:t>
      </w:r>
      <w:r w:rsidR="00231E05">
        <w:rPr>
          <w:rFonts w:eastAsia="Arial" w:cs="Arial"/>
        </w:rPr>
        <w:t>6</w:t>
      </w:r>
      <w:r w:rsidRPr="17FA8463">
        <w:rPr>
          <w:rFonts w:eastAsia="Arial" w:cs="Arial"/>
        </w:rPr>
        <w:t xml:space="preserve"> and</w:t>
      </w:r>
      <w:r w:rsidR="00231E05">
        <w:rPr>
          <w:rFonts w:eastAsia="Arial" w:cs="Arial"/>
        </w:rPr>
        <w:t xml:space="preserve"> 7</w:t>
      </w:r>
      <w:r w:rsidRPr="34664506">
        <w:rPr>
          <w:rFonts w:eastAsia="Arial" w:cs="Arial"/>
        </w:rPr>
        <w:t xml:space="preserve"> </w:t>
      </w:r>
      <w:r w:rsidR="00301254">
        <w:rPr>
          <w:rFonts w:eastAsia="Arial" w:cs="Arial"/>
        </w:rPr>
        <w:t>provide</w:t>
      </w:r>
      <w:r w:rsidR="00033B02">
        <w:rPr>
          <w:rFonts w:eastAsia="Arial" w:cs="Arial"/>
        </w:rPr>
        <w:t>s</w:t>
      </w:r>
      <w:r w:rsidR="00301254">
        <w:rPr>
          <w:rFonts w:eastAsia="Arial" w:cs="Arial"/>
        </w:rPr>
        <w:t xml:space="preserve"> </w:t>
      </w:r>
      <w:r w:rsidR="27947705" w:rsidRPr="1983CCD5">
        <w:rPr>
          <w:rFonts w:eastAsia="Arial" w:cs="Arial"/>
        </w:rPr>
        <w:t>the</w:t>
      </w:r>
      <w:r w:rsidR="004D447D">
        <w:rPr>
          <w:rFonts w:eastAsia="Arial" w:cs="Arial"/>
        </w:rPr>
        <w:t xml:space="preserve"> number of students who earned </w:t>
      </w:r>
      <w:r w:rsidR="00060A87">
        <w:rPr>
          <w:rFonts w:eastAsia="Arial" w:cs="Arial"/>
        </w:rPr>
        <w:t xml:space="preserve">the SSCE by </w:t>
      </w:r>
      <w:r w:rsidR="00B1348F">
        <w:rPr>
          <w:rFonts w:eastAsia="Arial" w:cs="Arial"/>
        </w:rPr>
        <w:t>race/ethnicity and program type.</w:t>
      </w:r>
    </w:p>
    <w:p w14:paraId="6DA4938D" w14:textId="0E427E88" w:rsidR="00427852" w:rsidRPr="00533E6D" w:rsidRDefault="00781C31" w:rsidP="00DA5325">
      <w:pPr>
        <w:pStyle w:val="Heading3"/>
        <w:spacing w:after="120"/>
        <w:rPr>
          <w:sz w:val="24"/>
          <w:szCs w:val="20"/>
        </w:rPr>
      </w:pPr>
      <w:r w:rsidRPr="00533E6D">
        <w:rPr>
          <w:sz w:val="24"/>
          <w:szCs w:val="20"/>
        </w:rPr>
        <w:t xml:space="preserve">Table </w:t>
      </w:r>
      <w:r w:rsidR="00231E05" w:rsidRPr="00533E6D">
        <w:rPr>
          <w:sz w:val="24"/>
          <w:szCs w:val="20"/>
        </w:rPr>
        <w:t>6</w:t>
      </w:r>
      <w:r w:rsidRPr="00533E6D">
        <w:rPr>
          <w:sz w:val="24"/>
          <w:szCs w:val="20"/>
        </w:rPr>
        <w:t xml:space="preserve">: </w:t>
      </w:r>
      <w:r w:rsidR="6D720675" w:rsidRPr="00533E6D">
        <w:rPr>
          <w:sz w:val="24"/>
          <w:szCs w:val="20"/>
        </w:rPr>
        <w:t>Student</w:t>
      </w:r>
      <w:r w:rsidR="5BC15107" w:rsidRPr="00533E6D">
        <w:rPr>
          <w:sz w:val="24"/>
          <w:szCs w:val="20"/>
        </w:rPr>
        <w:t xml:space="preserve"> Groups</w:t>
      </w:r>
      <w:r w:rsidR="6D720675" w:rsidRPr="00533E6D">
        <w:rPr>
          <w:sz w:val="24"/>
          <w:szCs w:val="20"/>
        </w:rPr>
        <w:t xml:space="preserve"> that Completed the </w:t>
      </w:r>
      <w:r w:rsidR="00800C70" w:rsidRPr="00533E6D">
        <w:rPr>
          <w:sz w:val="24"/>
          <w:szCs w:val="20"/>
        </w:rPr>
        <w:t>State Seal of Civic Engagement by Race/Ethnicity</w:t>
      </w:r>
      <w:r w:rsidR="00DE7EBF" w:rsidRPr="00533E6D">
        <w:rPr>
          <w:sz w:val="24"/>
          <w:szCs w:val="20"/>
        </w:rPr>
        <w:t xml:space="preserve"> in the 2023–24 </w:t>
      </w:r>
      <w:r w:rsidR="0077371E" w:rsidRPr="00533E6D">
        <w:rPr>
          <w:sz w:val="24"/>
          <w:szCs w:val="20"/>
        </w:rPr>
        <w:t xml:space="preserve">CCI </w:t>
      </w:r>
      <w:r w:rsidR="00DE7EBF" w:rsidRPr="00533E6D">
        <w:rPr>
          <w:sz w:val="24"/>
          <w:szCs w:val="20"/>
        </w:rPr>
        <w:t>Cohort</w:t>
      </w:r>
    </w:p>
    <w:tbl>
      <w:tblPr>
        <w:tblStyle w:val="GridTable4-Accent3"/>
        <w:tblW w:w="0" w:type="auto"/>
        <w:tblLayout w:type="fixed"/>
        <w:tblLook w:val="06A0" w:firstRow="1" w:lastRow="0" w:firstColumn="1" w:lastColumn="0" w:noHBand="1" w:noVBand="1"/>
      </w:tblPr>
      <w:tblGrid>
        <w:gridCol w:w="4680"/>
        <w:gridCol w:w="4680"/>
      </w:tblGrid>
      <w:tr w:rsidR="4BDBF4EE" w14:paraId="3DEE0F7D" w14:textId="77777777" w:rsidTr="00DA53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52D08548" w14:textId="77777777" w:rsidR="70AE8370" w:rsidRPr="70AE8370" w:rsidRDefault="70AE8370" w:rsidP="008D40D3">
            <w:pPr>
              <w:spacing w:before="0" w:after="0"/>
              <w:jc w:val="center"/>
              <w:rPr>
                <w:rFonts w:cs="Arial"/>
                <w:color w:val="000000" w:themeColor="text1"/>
              </w:rPr>
            </w:pPr>
            <w:r w:rsidRPr="70AE8370">
              <w:rPr>
                <w:rFonts w:cs="Arial"/>
                <w:color w:val="000000" w:themeColor="text1"/>
              </w:rPr>
              <w:t>Race/Ethnicity</w:t>
            </w:r>
          </w:p>
        </w:tc>
        <w:tc>
          <w:tcPr>
            <w:tcW w:w="4680" w:type="dxa"/>
            <w:shd w:val="clear" w:color="auto" w:fill="E7E6E6" w:themeFill="background2"/>
          </w:tcPr>
          <w:p w14:paraId="6D08887F" w14:textId="73B98394" w:rsidR="70AE8370" w:rsidRDefault="70AE8370" w:rsidP="008D40D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65508EF7">
              <w:rPr>
                <w:rFonts w:cs="Arial"/>
                <w:color w:val="000000" w:themeColor="text1"/>
              </w:rPr>
              <w:t>Total Students</w:t>
            </w:r>
            <w:r w:rsidR="0CE5F094" w:rsidRPr="2ECAACBF">
              <w:rPr>
                <w:rFonts w:cs="Arial"/>
                <w:color w:val="000000" w:themeColor="text1"/>
              </w:rPr>
              <w:t xml:space="preserve"> in Each </w:t>
            </w:r>
            <w:r w:rsidR="0CE5F094" w:rsidRPr="43C379D9">
              <w:rPr>
                <w:rFonts w:cs="Arial"/>
                <w:color w:val="000000" w:themeColor="text1"/>
              </w:rPr>
              <w:t>Student Group</w:t>
            </w:r>
          </w:p>
        </w:tc>
      </w:tr>
      <w:tr w:rsidR="4BDBF4EE" w14:paraId="351CB1AE"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tcPr>
          <w:p w14:paraId="3E741331" w14:textId="77777777" w:rsidR="70AE8370" w:rsidRPr="70AE8370" w:rsidRDefault="70AE8370" w:rsidP="008D40D3">
            <w:pPr>
              <w:spacing w:before="0" w:after="0"/>
              <w:rPr>
                <w:rFonts w:cs="Arial"/>
                <w:color w:val="000000" w:themeColor="text1"/>
              </w:rPr>
            </w:pPr>
            <w:r w:rsidRPr="70AE8370">
              <w:rPr>
                <w:rFonts w:cs="Arial"/>
                <w:color w:val="000000" w:themeColor="text1"/>
              </w:rPr>
              <w:t>American Indian</w:t>
            </w:r>
          </w:p>
        </w:tc>
        <w:tc>
          <w:tcPr>
            <w:tcW w:w="4680" w:type="dxa"/>
          </w:tcPr>
          <w:p w14:paraId="041DD184" w14:textId="77777777" w:rsidR="70AE8370" w:rsidRP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33</w:t>
            </w:r>
          </w:p>
        </w:tc>
      </w:tr>
      <w:tr w:rsidR="4BDBF4EE" w14:paraId="4F97928F"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3CBDA295" w14:textId="77777777" w:rsidR="70AE8370" w:rsidRPr="70AE8370" w:rsidRDefault="70AE8370" w:rsidP="008D40D3">
            <w:pPr>
              <w:spacing w:before="0" w:after="0"/>
              <w:rPr>
                <w:rFonts w:cs="Arial"/>
                <w:color w:val="000000" w:themeColor="text1"/>
              </w:rPr>
            </w:pPr>
            <w:r w:rsidRPr="70AE8370">
              <w:rPr>
                <w:rFonts w:cs="Arial"/>
                <w:color w:val="000000" w:themeColor="text1"/>
              </w:rPr>
              <w:t>Asian</w:t>
            </w:r>
          </w:p>
        </w:tc>
        <w:tc>
          <w:tcPr>
            <w:tcW w:w="4680" w:type="dxa"/>
            <w:shd w:val="clear" w:color="auto" w:fill="E7E6E6" w:themeFill="background2"/>
          </w:tcPr>
          <w:p w14:paraId="1D44CBAE" w14:textId="0D9A9DB2" w:rsidR="70AE8370" w:rsidRP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2,807</w:t>
            </w:r>
          </w:p>
        </w:tc>
      </w:tr>
      <w:tr w:rsidR="4BDBF4EE" w14:paraId="04C3E4FD"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tcPr>
          <w:p w14:paraId="42212F84" w14:textId="77777777" w:rsidR="70AE8370" w:rsidRPr="70AE8370" w:rsidRDefault="70AE8370" w:rsidP="008D40D3">
            <w:pPr>
              <w:spacing w:before="0" w:after="0"/>
              <w:rPr>
                <w:rFonts w:cs="Arial"/>
                <w:color w:val="000000" w:themeColor="text1"/>
              </w:rPr>
            </w:pPr>
            <w:r w:rsidRPr="70AE8370">
              <w:rPr>
                <w:rFonts w:cs="Arial"/>
                <w:color w:val="000000" w:themeColor="text1"/>
              </w:rPr>
              <w:t>African American</w:t>
            </w:r>
          </w:p>
        </w:tc>
        <w:tc>
          <w:tcPr>
            <w:tcW w:w="4680" w:type="dxa"/>
          </w:tcPr>
          <w:p w14:paraId="4B120EF4" w14:textId="77777777" w:rsidR="70AE8370" w:rsidRP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473</w:t>
            </w:r>
          </w:p>
        </w:tc>
      </w:tr>
      <w:tr w:rsidR="70AE8370" w14:paraId="6114F644"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70FFE566" w14:textId="77777777" w:rsidR="70AE8370" w:rsidRDefault="70AE8370" w:rsidP="008D40D3">
            <w:pPr>
              <w:spacing w:before="0" w:after="0"/>
              <w:rPr>
                <w:rFonts w:cs="Arial"/>
                <w:color w:val="000000" w:themeColor="text1"/>
              </w:rPr>
            </w:pPr>
            <w:r w:rsidRPr="70AE8370">
              <w:rPr>
                <w:rFonts w:cs="Arial"/>
                <w:color w:val="000000" w:themeColor="text1"/>
              </w:rPr>
              <w:t>Filipino</w:t>
            </w:r>
          </w:p>
        </w:tc>
        <w:tc>
          <w:tcPr>
            <w:tcW w:w="4680" w:type="dxa"/>
            <w:shd w:val="clear" w:color="auto" w:fill="E7E6E6" w:themeFill="background2"/>
          </w:tcPr>
          <w:p w14:paraId="3FEA05EA" w14:textId="77777777" w:rsid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496</w:t>
            </w:r>
          </w:p>
        </w:tc>
      </w:tr>
      <w:tr w:rsidR="70AE8370" w14:paraId="069BF57F"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tcPr>
          <w:p w14:paraId="1DCC360E" w14:textId="77777777" w:rsidR="70AE8370" w:rsidRDefault="70AE8370" w:rsidP="008D40D3">
            <w:pPr>
              <w:spacing w:before="0" w:after="0"/>
              <w:rPr>
                <w:rFonts w:cs="Arial"/>
                <w:color w:val="000000" w:themeColor="text1"/>
              </w:rPr>
            </w:pPr>
            <w:r w:rsidRPr="70AE8370">
              <w:rPr>
                <w:rFonts w:cs="Arial"/>
                <w:color w:val="000000" w:themeColor="text1"/>
              </w:rPr>
              <w:t>Hispanic</w:t>
            </w:r>
          </w:p>
        </w:tc>
        <w:tc>
          <w:tcPr>
            <w:tcW w:w="4680" w:type="dxa"/>
          </w:tcPr>
          <w:p w14:paraId="1566352C" w14:textId="625C64F9" w:rsid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6,584</w:t>
            </w:r>
          </w:p>
        </w:tc>
      </w:tr>
      <w:tr w:rsidR="70AE8370" w14:paraId="45964A18"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45416245" w14:textId="77777777" w:rsidR="70AE8370" w:rsidRDefault="70AE8370" w:rsidP="008D40D3">
            <w:pPr>
              <w:spacing w:before="0" w:after="0"/>
              <w:rPr>
                <w:rFonts w:cs="Arial"/>
                <w:color w:val="000000" w:themeColor="text1"/>
              </w:rPr>
            </w:pPr>
            <w:r w:rsidRPr="70AE8370">
              <w:rPr>
                <w:rFonts w:cs="Arial"/>
                <w:color w:val="000000" w:themeColor="text1"/>
              </w:rPr>
              <w:t>Pacific Islander</w:t>
            </w:r>
          </w:p>
        </w:tc>
        <w:tc>
          <w:tcPr>
            <w:tcW w:w="4680" w:type="dxa"/>
            <w:shd w:val="clear" w:color="auto" w:fill="E7E6E6" w:themeFill="background2"/>
          </w:tcPr>
          <w:p w14:paraId="168765C6" w14:textId="77777777" w:rsid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48</w:t>
            </w:r>
          </w:p>
        </w:tc>
      </w:tr>
      <w:tr w:rsidR="70AE8370" w14:paraId="7C19AEA3"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tcPr>
          <w:p w14:paraId="5392EE1F" w14:textId="77777777" w:rsidR="70AE8370" w:rsidRDefault="70AE8370" w:rsidP="008D40D3">
            <w:pPr>
              <w:spacing w:before="0" w:after="0"/>
              <w:rPr>
                <w:rFonts w:cs="Arial"/>
                <w:color w:val="000000" w:themeColor="text1"/>
              </w:rPr>
            </w:pPr>
            <w:r w:rsidRPr="70AE8370">
              <w:rPr>
                <w:rFonts w:cs="Arial"/>
                <w:color w:val="000000" w:themeColor="text1"/>
              </w:rPr>
              <w:t>Two or More</w:t>
            </w:r>
          </w:p>
        </w:tc>
        <w:tc>
          <w:tcPr>
            <w:tcW w:w="4680" w:type="dxa"/>
          </w:tcPr>
          <w:p w14:paraId="21FE9E8F" w14:textId="77777777" w:rsid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571</w:t>
            </w:r>
          </w:p>
        </w:tc>
      </w:tr>
      <w:tr w:rsidR="70AE8370" w14:paraId="3255032A" w14:textId="77777777" w:rsidTr="00DA5325">
        <w:trPr>
          <w:cantSplit/>
        </w:trPr>
        <w:tc>
          <w:tcPr>
            <w:cnfStyle w:val="001000000000" w:firstRow="0" w:lastRow="0" w:firstColumn="1" w:lastColumn="0" w:oddVBand="0" w:evenVBand="0" w:oddHBand="0" w:evenHBand="0" w:firstRowFirstColumn="0" w:firstRowLastColumn="0" w:lastRowFirstColumn="0" w:lastRowLastColumn="0"/>
            <w:tcW w:w="4680" w:type="dxa"/>
          </w:tcPr>
          <w:p w14:paraId="481DE95D" w14:textId="77777777" w:rsidR="70AE8370" w:rsidRDefault="70AE8370" w:rsidP="008D40D3">
            <w:pPr>
              <w:spacing w:before="0" w:after="0"/>
              <w:rPr>
                <w:rFonts w:cs="Arial"/>
                <w:color w:val="000000" w:themeColor="text1"/>
              </w:rPr>
            </w:pPr>
            <w:r w:rsidRPr="70AE8370">
              <w:rPr>
                <w:rFonts w:cs="Arial"/>
                <w:color w:val="000000" w:themeColor="text1"/>
              </w:rPr>
              <w:t>White</w:t>
            </w:r>
          </w:p>
        </w:tc>
        <w:tc>
          <w:tcPr>
            <w:tcW w:w="4680" w:type="dxa"/>
          </w:tcPr>
          <w:p w14:paraId="3FCD670B" w14:textId="3F9F6E6F" w:rsidR="70AE8370" w:rsidRDefault="70AE8370" w:rsidP="008D40D3">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0AE8370">
              <w:rPr>
                <w:rFonts w:cs="Arial"/>
                <w:color w:val="000000" w:themeColor="text1"/>
              </w:rPr>
              <w:t>3,493</w:t>
            </w:r>
          </w:p>
        </w:tc>
      </w:tr>
    </w:tbl>
    <w:p w14:paraId="16B1AA43" w14:textId="7EF8FE9F" w:rsidR="00800C70" w:rsidRPr="00533E6D" w:rsidRDefault="00800C70" w:rsidP="00DA5325">
      <w:pPr>
        <w:pStyle w:val="Heading3"/>
        <w:spacing w:before="120" w:after="120"/>
        <w:rPr>
          <w:sz w:val="24"/>
          <w:szCs w:val="20"/>
        </w:rPr>
      </w:pPr>
      <w:r w:rsidRPr="00533E6D">
        <w:rPr>
          <w:sz w:val="24"/>
          <w:szCs w:val="20"/>
        </w:rPr>
        <w:t xml:space="preserve">Table </w:t>
      </w:r>
      <w:r w:rsidR="000B5102" w:rsidRPr="00533E6D">
        <w:rPr>
          <w:sz w:val="24"/>
          <w:szCs w:val="20"/>
        </w:rPr>
        <w:t>7</w:t>
      </w:r>
      <w:r w:rsidRPr="00533E6D">
        <w:rPr>
          <w:sz w:val="24"/>
          <w:szCs w:val="20"/>
        </w:rPr>
        <w:t xml:space="preserve">: </w:t>
      </w:r>
      <w:r w:rsidR="61121EDA" w:rsidRPr="00533E6D">
        <w:rPr>
          <w:sz w:val="24"/>
          <w:szCs w:val="20"/>
        </w:rPr>
        <w:t>Student</w:t>
      </w:r>
      <w:r w:rsidR="38CE8A72" w:rsidRPr="00533E6D">
        <w:rPr>
          <w:sz w:val="24"/>
          <w:szCs w:val="20"/>
        </w:rPr>
        <w:t xml:space="preserve"> Groups</w:t>
      </w:r>
      <w:r w:rsidR="61121EDA" w:rsidRPr="00533E6D">
        <w:rPr>
          <w:sz w:val="24"/>
          <w:szCs w:val="20"/>
        </w:rPr>
        <w:t xml:space="preserve"> that Completed the</w:t>
      </w:r>
      <w:r w:rsidRPr="00533E6D">
        <w:rPr>
          <w:sz w:val="24"/>
          <w:szCs w:val="20"/>
        </w:rPr>
        <w:t xml:space="preserve"> State Seal of Civic Engagement by Program</w:t>
      </w:r>
      <w:r w:rsidR="727CBA06" w:rsidRPr="00533E6D">
        <w:rPr>
          <w:sz w:val="24"/>
          <w:szCs w:val="20"/>
        </w:rPr>
        <w:t xml:space="preserve"> </w:t>
      </w:r>
      <w:r w:rsidR="091890B6" w:rsidRPr="00533E6D">
        <w:rPr>
          <w:sz w:val="24"/>
          <w:szCs w:val="20"/>
        </w:rPr>
        <w:t xml:space="preserve">in the 2023–24 </w:t>
      </w:r>
      <w:r w:rsidR="0077371E" w:rsidRPr="00533E6D">
        <w:rPr>
          <w:sz w:val="24"/>
          <w:szCs w:val="20"/>
        </w:rPr>
        <w:t xml:space="preserve">CCI </w:t>
      </w:r>
      <w:r w:rsidR="091890B6" w:rsidRPr="00533E6D">
        <w:rPr>
          <w:sz w:val="24"/>
          <w:szCs w:val="20"/>
        </w:rPr>
        <w:t>Cohort</w:t>
      </w:r>
    </w:p>
    <w:tbl>
      <w:tblPr>
        <w:tblStyle w:val="GridTable4-Accent3"/>
        <w:tblW w:w="9360" w:type="dxa"/>
        <w:tblLayout w:type="fixed"/>
        <w:tblLook w:val="06A0" w:firstRow="1" w:lastRow="0" w:firstColumn="1" w:lastColumn="0" w:noHBand="1" w:noVBand="1"/>
        <w:tblCaption w:val="Table X: Student Groups that Completed the State Seal of Civic Engagement by Program in the 2023–24 Cohort"/>
        <w:tblDescription w:val="Table X: Student Groups that Completed the State Seal of Civic Engagement by Program in the 2023–24 Cohort"/>
      </w:tblPr>
      <w:tblGrid>
        <w:gridCol w:w="4680"/>
        <w:gridCol w:w="4680"/>
      </w:tblGrid>
      <w:tr w:rsidR="6392D4CA" w14:paraId="4526C265" w14:textId="77777777" w:rsidTr="00DA532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3355AEB4" w14:textId="0FAF803A" w:rsidR="72DF4104" w:rsidRDefault="72DF4104" w:rsidP="000B5102">
            <w:pPr>
              <w:spacing w:before="0" w:after="0"/>
              <w:jc w:val="center"/>
              <w:rPr>
                <w:rFonts w:cs="Arial"/>
                <w:color w:val="000000" w:themeColor="text1"/>
              </w:rPr>
            </w:pPr>
            <w:r w:rsidRPr="1A707F43">
              <w:rPr>
                <w:rFonts w:cs="Arial"/>
                <w:color w:val="000000" w:themeColor="text1"/>
              </w:rPr>
              <w:t>Program Student Group</w:t>
            </w:r>
          </w:p>
        </w:tc>
        <w:tc>
          <w:tcPr>
            <w:tcW w:w="4680" w:type="dxa"/>
            <w:shd w:val="clear" w:color="auto" w:fill="E7E6E6" w:themeFill="background2"/>
          </w:tcPr>
          <w:p w14:paraId="41BC7BD6" w14:textId="7195FE76" w:rsidR="72DF4104" w:rsidRPr="72DF4104" w:rsidRDefault="72DF4104" w:rsidP="000B5102">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Total Students in Each Student Group</w:t>
            </w:r>
          </w:p>
        </w:tc>
      </w:tr>
      <w:tr w:rsidR="6392D4CA" w14:paraId="3C81583C"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B33D55D" w14:textId="77777777" w:rsidR="72DF4104" w:rsidRPr="72DF4104" w:rsidRDefault="72DF4104" w:rsidP="000B5102">
            <w:pPr>
              <w:spacing w:before="0" w:after="0"/>
              <w:rPr>
                <w:rFonts w:cs="Arial"/>
                <w:color w:val="000000" w:themeColor="text1"/>
              </w:rPr>
            </w:pPr>
            <w:r w:rsidRPr="72DF4104">
              <w:rPr>
                <w:rFonts w:cs="Arial"/>
                <w:color w:val="000000" w:themeColor="text1"/>
              </w:rPr>
              <w:t>English Learner</w:t>
            </w:r>
          </w:p>
        </w:tc>
        <w:tc>
          <w:tcPr>
            <w:tcW w:w="4680" w:type="dxa"/>
          </w:tcPr>
          <w:p w14:paraId="6618C212" w14:textId="7FA06517" w:rsidR="72DF4104" w:rsidRP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1,265</w:t>
            </w:r>
          </w:p>
        </w:tc>
      </w:tr>
      <w:tr w:rsidR="6392D4CA" w14:paraId="1E3391CF"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2AEF6C51" w14:textId="77777777" w:rsidR="72DF4104" w:rsidRPr="72DF4104" w:rsidRDefault="72DF4104" w:rsidP="000B5102">
            <w:pPr>
              <w:spacing w:before="0" w:after="0"/>
              <w:rPr>
                <w:rFonts w:cs="Arial"/>
                <w:color w:val="000000" w:themeColor="text1"/>
              </w:rPr>
            </w:pPr>
            <w:r w:rsidRPr="72DF4104">
              <w:rPr>
                <w:rFonts w:cs="Arial"/>
                <w:color w:val="000000" w:themeColor="text1"/>
              </w:rPr>
              <w:t>Foster</w:t>
            </w:r>
          </w:p>
        </w:tc>
        <w:tc>
          <w:tcPr>
            <w:tcW w:w="4680" w:type="dxa"/>
            <w:shd w:val="clear" w:color="auto" w:fill="E7E6E6" w:themeFill="background2"/>
          </w:tcPr>
          <w:p w14:paraId="7BFA3B7F" w14:textId="77777777" w:rsidR="72DF4104" w:rsidRP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54</w:t>
            </w:r>
          </w:p>
        </w:tc>
      </w:tr>
      <w:tr w:rsidR="72DF4104" w14:paraId="6F6CC072"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71C1BCF" w14:textId="77777777" w:rsidR="72DF4104" w:rsidRDefault="72DF4104" w:rsidP="000B5102">
            <w:pPr>
              <w:spacing w:before="0" w:after="0"/>
              <w:rPr>
                <w:rFonts w:cs="Arial"/>
                <w:color w:val="000000" w:themeColor="text1"/>
              </w:rPr>
            </w:pPr>
            <w:r w:rsidRPr="72DF4104">
              <w:rPr>
                <w:rFonts w:cs="Arial"/>
                <w:color w:val="000000" w:themeColor="text1"/>
              </w:rPr>
              <w:t>Homeless</w:t>
            </w:r>
          </w:p>
        </w:tc>
        <w:tc>
          <w:tcPr>
            <w:tcW w:w="4680" w:type="dxa"/>
          </w:tcPr>
          <w:p w14:paraId="441E40D4" w14:textId="77777777" w:rsid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605</w:t>
            </w:r>
          </w:p>
        </w:tc>
      </w:tr>
      <w:tr w:rsidR="72DF4104" w14:paraId="5F5F9803"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2707EB12" w14:textId="77777777" w:rsidR="72DF4104" w:rsidRDefault="72DF4104" w:rsidP="000B5102">
            <w:pPr>
              <w:spacing w:before="0" w:after="0"/>
              <w:rPr>
                <w:rFonts w:cs="Arial"/>
                <w:color w:val="000000" w:themeColor="text1"/>
              </w:rPr>
            </w:pPr>
            <w:r w:rsidRPr="72DF4104">
              <w:rPr>
                <w:rFonts w:cs="Arial"/>
                <w:color w:val="000000" w:themeColor="text1"/>
              </w:rPr>
              <w:t>LTEL</w:t>
            </w:r>
          </w:p>
        </w:tc>
        <w:tc>
          <w:tcPr>
            <w:tcW w:w="4680" w:type="dxa"/>
            <w:shd w:val="clear" w:color="auto" w:fill="E7E6E6" w:themeFill="background2"/>
          </w:tcPr>
          <w:p w14:paraId="5E59A7EF" w14:textId="77777777" w:rsid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876</w:t>
            </w:r>
          </w:p>
        </w:tc>
      </w:tr>
      <w:tr w:rsidR="72DF4104" w14:paraId="08CC141D"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D73BCBF" w14:textId="77777777" w:rsidR="72DF4104" w:rsidRDefault="72DF4104" w:rsidP="000B5102">
            <w:pPr>
              <w:spacing w:before="0" w:after="0"/>
              <w:rPr>
                <w:rFonts w:cs="Arial"/>
                <w:color w:val="000000" w:themeColor="text1"/>
              </w:rPr>
            </w:pPr>
            <w:r w:rsidRPr="72DF4104">
              <w:rPr>
                <w:rFonts w:cs="Arial"/>
                <w:color w:val="000000" w:themeColor="text1"/>
              </w:rPr>
              <w:t>Socioeconomically Disadvantaged</w:t>
            </w:r>
          </w:p>
        </w:tc>
        <w:tc>
          <w:tcPr>
            <w:tcW w:w="4680" w:type="dxa"/>
          </w:tcPr>
          <w:p w14:paraId="744CBAE0" w14:textId="475322BC" w:rsid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8,736</w:t>
            </w:r>
          </w:p>
        </w:tc>
      </w:tr>
      <w:tr w:rsidR="72DF4104" w14:paraId="56E1B940"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6A0B7D36" w14:textId="77777777" w:rsidR="72DF4104" w:rsidRDefault="72DF4104" w:rsidP="000B5102">
            <w:pPr>
              <w:spacing w:before="0" w:after="0"/>
              <w:rPr>
                <w:rFonts w:cs="Arial"/>
                <w:color w:val="000000" w:themeColor="text1"/>
              </w:rPr>
            </w:pPr>
            <w:r w:rsidRPr="72DF4104">
              <w:rPr>
                <w:rFonts w:cs="Arial"/>
                <w:color w:val="000000" w:themeColor="text1"/>
              </w:rPr>
              <w:t>Students with Disabilities</w:t>
            </w:r>
          </w:p>
        </w:tc>
        <w:tc>
          <w:tcPr>
            <w:tcW w:w="4680" w:type="dxa"/>
            <w:shd w:val="clear" w:color="auto" w:fill="E7E6E6" w:themeFill="background2"/>
          </w:tcPr>
          <w:p w14:paraId="152B9BC2" w14:textId="77777777" w:rsidR="72DF4104" w:rsidRDefault="72DF4104" w:rsidP="000B5102">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72DF4104">
              <w:rPr>
                <w:rFonts w:cs="Arial"/>
                <w:color w:val="000000" w:themeColor="text1"/>
              </w:rPr>
              <w:t>691</w:t>
            </w:r>
          </w:p>
        </w:tc>
      </w:tr>
    </w:tbl>
    <w:p w14:paraId="36CD3DED" w14:textId="1137F8F4" w:rsidR="006A4CF5" w:rsidRPr="00A57B53" w:rsidRDefault="006A4CF5" w:rsidP="005A5F8E">
      <w:pPr>
        <w:rPr>
          <w:rFonts w:eastAsia="Arial" w:cs="Arial"/>
          <w:szCs w:val="22"/>
        </w:rPr>
      </w:pPr>
      <w:r>
        <w:rPr>
          <w:rFonts w:eastAsia="Arial" w:cs="Arial"/>
        </w:rPr>
        <w:t xml:space="preserve">After </w:t>
      </w:r>
      <w:r w:rsidR="00127D3F">
        <w:rPr>
          <w:rFonts w:eastAsia="Arial" w:cs="Arial"/>
        </w:rPr>
        <w:t>reviewing</w:t>
      </w:r>
      <w:r>
        <w:rPr>
          <w:rFonts w:eastAsia="Arial" w:cs="Arial"/>
        </w:rPr>
        <w:t xml:space="preserve"> the demographic information of the students who received the SSCE, CDE examined if inclusion of the SSCE would expand the number of students who were prepared by their LEA for college/career through the CCI. </w:t>
      </w:r>
      <w:r w:rsidR="001433AB">
        <w:rPr>
          <w:rFonts w:eastAsia="Arial" w:cs="Arial"/>
        </w:rPr>
        <w:t>Of t</w:t>
      </w:r>
      <w:r w:rsidR="00B661F3">
        <w:rPr>
          <w:rFonts w:eastAsia="Arial" w:cs="Arial"/>
        </w:rPr>
        <w:t xml:space="preserve">he 14,552 students who earned the SSCE in </w:t>
      </w:r>
      <w:r w:rsidR="00B32A9C">
        <w:rPr>
          <w:rFonts w:eastAsia="Arial" w:cs="Arial"/>
        </w:rPr>
        <w:t xml:space="preserve">the </w:t>
      </w:r>
      <w:r w:rsidR="00B661F3" w:rsidRPr="00800C70">
        <w:rPr>
          <w:rFonts w:eastAsia="Arial" w:cs="Arial"/>
          <w:szCs w:val="22"/>
        </w:rPr>
        <w:t>2023–24</w:t>
      </w:r>
      <w:r w:rsidR="00B32A9C">
        <w:rPr>
          <w:rFonts w:eastAsia="Arial" w:cs="Arial"/>
          <w:szCs w:val="22"/>
        </w:rPr>
        <w:t xml:space="preserve"> school year</w:t>
      </w:r>
      <w:r w:rsidR="00B661F3">
        <w:rPr>
          <w:rFonts w:eastAsia="Arial" w:cs="Arial"/>
          <w:szCs w:val="22"/>
        </w:rPr>
        <w:t>,</w:t>
      </w:r>
      <w:r w:rsidR="006B0FBF">
        <w:rPr>
          <w:rFonts w:eastAsia="Arial" w:cs="Arial"/>
          <w:szCs w:val="22"/>
        </w:rPr>
        <w:t xml:space="preserve"> </w:t>
      </w:r>
      <w:r w:rsidR="00C646E6">
        <w:rPr>
          <w:rFonts w:eastAsia="Arial" w:cs="Arial"/>
          <w:szCs w:val="22"/>
        </w:rPr>
        <w:t>77.3</w:t>
      </w:r>
      <w:r w:rsidR="003A30DC">
        <w:rPr>
          <w:rFonts w:eastAsia="Arial" w:cs="Arial"/>
          <w:szCs w:val="22"/>
        </w:rPr>
        <w:t xml:space="preserve"> percent</w:t>
      </w:r>
      <w:r w:rsidR="00C646E6">
        <w:rPr>
          <w:rFonts w:eastAsia="Arial" w:cs="Arial"/>
          <w:szCs w:val="22"/>
        </w:rPr>
        <w:t xml:space="preserve"> </w:t>
      </w:r>
      <w:r w:rsidR="006B0FBF">
        <w:rPr>
          <w:rFonts w:eastAsia="Arial" w:cs="Arial"/>
          <w:szCs w:val="22"/>
        </w:rPr>
        <w:t xml:space="preserve">were already </w:t>
      </w:r>
      <w:r w:rsidR="000E0A21">
        <w:rPr>
          <w:rFonts w:eastAsia="Arial" w:cs="Arial"/>
          <w:szCs w:val="22"/>
        </w:rPr>
        <w:t xml:space="preserve">CCI </w:t>
      </w:r>
      <w:r w:rsidR="007265FF">
        <w:rPr>
          <w:rFonts w:eastAsia="Arial" w:cs="Arial"/>
          <w:szCs w:val="22"/>
        </w:rPr>
        <w:t xml:space="preserve">prepared </w:t>
      </w:r>
      <w:r w:rsidR="000E0A21">
        <w:rPr>
          <w:rFonts w:eastAsia="Arial" w:cs="Arial"/>
          <w:szCs w:val="22"/>
        </w:rPr>
        <w:t xml:space="preserve">by their school or LEA </w:t>
      </w:r>
      <w:r w:rsidR="007265FF">
        <w:rPr>
          <w:rFonts w:eastAsia="Arial" w:cs="Arial"/>
          <w:szCs w:val="22"/>
        </w:rPr>
        <w:t>through another measure in the CCI</w:t>
      </w:r>
      <w:r>
        <w:rPr>
          <w:rFonts w:eastAsia="Arial" w:cs="Arial"/>
          <w:szCs w:val="22"/>
        </w:rPr>
        <w:t>,</w:t>
      </w:r>
      <w:r w:rsidR="007265FF">
        <w:rPr>
          <w:rFonts w:eastAsia="Arial" w:cs="Arial"/>
          <w:szCs w:val="22"/>
        </w:rPr>
        <w:t xml:space="preserve"> </w:t>
      </w:r>
      <w:r w:rsidR="000F7D7D">
        <w:rPr>
          <w:rFonts w:eastAsia="Arial" w:cs="Arial"/>
          <w:szCs w:val="22"/>
        </w:rPr>
        <w:t>13.9</w:t>
      </w:r>
      <w:r w:rsidR="003A30DC">
        <w:rPr>
          <w:rFonts w:eastAsia="Arial" w:cs="Arial"/>
          <w:szCs w:val="22"/>
        </w:rPr>
        <w:t xml:space="preserve"> percent</w:t>
      </w:r>
      <w:r w:rsidR="000F7D7D">
        <w:rPr>
          <w:rFonts w:eastAsia="Arial" w:cs="Arial"/>
          <w:szCs w:val="22"/>
        </w:rPr>
        <w:t xml:space="preserve"> of </w:t>
      </w:r>
      <w:r w:rsidR="00CC67A2">
        <w:rPr>
          <w:rFonts w:eastAsia="Arial" w:cs="Arial"/>
          <w:szCs w:val="22"/>
        </w:rPr>
        <w:t>completers</w:t>
      </w:r>
      <w:r w:rsidR="000F7D7D">
        <w:rPr>
          <w:rFonts w:eastAsia="Arial" w:cs="Arial"/>
          <w:szCs w:val="22"/>
        </w:rPr>
        <w:t xml:space="preserve"> </w:t>
      </w:r>
      <w:r w:rsidR="000F7D7D">
        <w:rPr>
          <w:rFonts w:eastAsia="Arial" w:cs="Arial"/>
          <w:szCs w:val="22"/>
        </w:rPr>
        <w:lastRenderedPageBreak/>
        <w:t>were approaching prepared and 8.</w:t>
      </w:r>
      <w:r w:rsidR="00847E9D">
        <w:rPr>
          <w:rFonts w:eastAsia="Arial" w:cs="Arial"/>
          <w:szCs w:val="22"/>
        </w:rPr>
        <w:t>8 percent</w:t>
      </w:r>
      <w:r w:rsidR="000F7D7D">
        <w:rPr>
          <w:rFonts w:eastAsia="Arial" w:cs="Arial"/>
          <w:szCs w:val="22"/>
        </w:rPr>
        <w:t xml:space="preserve"> were not prepared.</w:t>
      </w:r>
      <w:r w:rsidR="008333C3">
        <w:rPr>
          <w:rFonts w:eastAsia="Arial" w:cs="Arial"/>
          <w:szCs w:val="22"/>
        </w:rPr>
        <w:t xml:space="preserve"> </w:t>
      </w:r>
      <w:r w:rsidR="006646B0">
        <w:rPr>
          <w:rFonts w:eastAsia="Arial" w:cs="Arial"/>
          <w:szCs w:val="22"/>
        </w:rPr>
        <w:t>Therefore</w:t>
      </w:r>
      <w:r w:rsidR="006B5572">
        <w:rPr>
          <w:rFonts w:eastAsia="Arial" w:cs="Arial"/>
          <w:szCs w:val="22"/>
        </w:rPr>
        <w:t xml:space="preserve">, </w:t>
      </w:r>
      <w:r w:rsidR="00D727C3">
        <w:rPr>
          <w:rFonts w:eastAsia="Arial" w:cs="Arial"/>
          <w:szCs w:val="22"/>
        </w:rPr>
        <w:t>3,298</w:t>
      </w:r>
      <w:r w:rsidR="00627076">
        <w:rPr>
          <w:rFonts w:eastAsia="Arial" w:cs="Arial"/>
          <w:szCs w:val="22"/>
        </w:rPr>
        <w:t xml:space="preserve"> students</w:t>
      </w:r>
      <w:r w:rsidR="0032587C">
        <w:rPr>
          <w:rFonts w:eastAsia="Arial" w:cs="Arial"/>
          <w:szCs w:val="22"/>
        </w:rPr>
        <w:t xml:space="preserve"> would potentially benefit from the </w:t>
      </w:r>
      <w:r w:rsidR="00F4159F">
        <w:rPr>
          <w:rFonts w:eastAsia="Arial" w:cs="Arial"/>
          <w:szCs w:val="22"/>
        </w:rPr>
        <w:t>inclusion of the SSCE in the CCI criteria.</w:t>
      </w:r>
    </w:p>
    <w:p w14:paraId="1DF51090" w14:textId="05A72EDD" w:rsidR="00A57B53" w:rsidRPr="00C128DA" w:rsidRDefault="34B627A5" w:rsidP="00DA5325">
      <w:pPr>
        <w:pStyle w:val="Heading2"/>
        <w:spacing w:after="120"/>
        <w:rPr>
          <w:sz w:val="28"/>
          <w:szCs w:val="22"/>
        </w:rPr>
      </w:pPr>
      <w:r w:rsidRPr="00C128DA">
        <w:rPr>
          <w:sz w:val="28"/>
          <w:szCs w:val="22"/>
        </w:rPr>
        <w:t>Review of Career-Based Measures Data</w:t>
      </w:r>
    </w:p>
    <w:p w14:paraId="5D892546" w14:textId="438CBE25" w:rsidR="005B2088" w:rsidRDefault="00BA1203" w:rsidP="00DA5325">
      <w:pPr>
        <w:spacing w:before="0"/>
        <w:rPr>
          <w:rFonts w:eastAsia="Arial"/>
        </w:rPr>
      </w:pPr>
      <w:r>
        <w:rPr>
          <w:rFonts w:eastAsia="Arial"/>
        </w:rPr>
        <w:t>Based on</w:t>
      </w:r>
      <w:r w:rsidR="005B2088" w:rsidRPr="005B2088">
        <w:rPr>
          <w:rFonts w:eastAsia="Arial"/>
        </w:rPr>
        <w:t xml:space="preserve"> feedback from </w:t>
      </w:r>
      <w:r w:rsidR="002F2F60">
        <w:rPr>
          <w:rFonts w:eastAsia="Arial"/>
        </w:rPr>
        <w:t xml:space="preserve">educational </w:t>
      </w:r>
      <w:r w:rsidR="001320C0">
        <w:rPr>
          <w:rFonts w:eastAsia="Arial"/>
        </w:rPr>
        <w:t>partners and</w:t>
      </w:r>
      <w:r w:rsidR="00A57B53" w:rsidRPr="005B2088">
        <w:rPr>
          <w:rFonts w:eastAsia="Arial"/>
        </w:rPr>
        <w:t xml:space="preserve"> </w:t>
      </w:r>
      <w:r w:rsidR="005B2088" w:rsidRPr="005B2088">
        <w:rPr>
          <w:rFonts w:eastAsia="Arial"/>
        </w:rPr>
        <w:t xml:space="preserve">interest groups, </w:t>
      </w:r>
      <w:r w:rsidR="00FD19F4">
        <w:rPr>
          <w:rFonts w:eastAsia="Arial"/>
        </w:rPr>
        <w:t>i</w:t>
      </w:r>
      <w:r w:rsidR="00FD19F4" w:rsidRPr="005B2088">
        <w:rPr>
          <w:rFonts w:eastAsia="Arial"/>
        </w:rPr>
        <w:t xml:space="preserve">n 2019–20 </w:t>
      </w:r>
      <w:r w:rsidR="005B2088" w:rsidRPr="005B2088">
        <w:rPr>
          <w:rFonts w:eastAsia="Arial"/>
        </w:rPr>
        <w:t xml:space="preserve">the CDE </w:t>
      </w:r>
      <w:r w:rsidR="00766E3F">
        <w:rPr>
          <w:rFonts w:eastAsia="Arial"/>
        </w:rPr>
        <w:t>identified</w:t>
      </w:r>
      <w:r w:rsidR="005B2088" w:rsidRPr="005B2088">
        <w:rPr>
          <w:rFonts w:eastAsia="Arial"/>
        </w:rPr>
        <w:t xml:space="preserve"> four new career measures that could potentially be included in the CCI</w:t>
      </w:r>
      <w:r w:rsidR="001E7010">
        <w:rPr>
          <w:rFonts w:eastAsia="Arial"/>
        </w:rPr>
        <w:t>:</w:t>
      </w:r>
    </w:p>
    <w:p w14:paraId="7167DAC6" w14:textId="77777777" w:rsidR="001E7010" w:rsidRPr="001E7010" w:rsidRDefault="001E7010" w:rsidP="006B7087">
      <w:pPr>
        <w:numPr>
          <w:ilvl w:val="0"/>
          <w:numId w:val="12"/>
        </w:numPr>
        <w:spacing w:before="120" w:after="0"/>
        <w:rPr>
          <w:rFonts w:eastAsia="Arial"/>
        </w:rPr>
      </w:pPr>
      <w:r w:rsidRPr="001E7010">
        <w:rPr>
          <w:rFonts w:eastAsia="Arial"/>
        </w:rPr>
        <w:t>Internships</w:t>
      </w:r>
    </w:p>
    <w:p w14:paraId="3840D0CC" w14:textId="77777777" w:rsidR="001E7010" w:rsidRPr="001E7010" w:rsidRDefault="001E7010" w:rsidP="006B7087">
      <w:pPr>
        <w:numPr>
          <w:ilvl w:val="0"/>
          <w:numId w:val="12"/>
        </w:numPr>
        <w:spacing w:before="120" w:after="0"/>
        <w:rPr>
          <w:rFonts w:eastAsia="Arial"/>
        </w:rPr>
      </w:pPr>
      <w:r w:rsidRPr="001E7010">
        <w:rPr>
          <w:rFonts w:eastAsia="Arial"/>
        </w:rPr>
        <w:t>Student-Led Enterprises</w:t>
      </w:r>
    </w:p>
    <w:p w14:paraId="2996E71F" w14:textId="58E05F92" w:rsidR="001E7010" w:rsidRPr="001E7010" w:rsidRDefault="001E7010" w:rsidP="006B7087">
      <w:pPr>
        <w:numPr>
          <w:ilvl w:val="0"/>
          <w:numId w:val="12"/>
        </w:numPr>
        <w:spacing w:before="120" w:after="0"/>
        <w:rPr>
          <w:rFonts w:eastAsia="Arial"/>
        </w:rPr>
      </w:pPr>
      <w:r w:rsidRPr="001E7010">
        <w:rPr>
          <w:rFonts w:eastAsia="Arial"/>
        </w:rPr>
        <w:t>Simulated Work-Based Learning</w:t>
      </w:r>
      <w:r w:rsidR="00D25FEB">
        <w:rPr>
          <w:rFonts w:eastAsia="Arial"/>
        </w:rPr>
        <w:t xml:space="preserve"> (SWBL)</w:t>
      </w:r>
    </w:p>
    <w:p w14:paraId="02862A6D" w14:textId="59F5AC80" w:rsidR="00A57B53" w:rsidRDefault="00A57B53" w:rsidP="006B7087">
      <w:pPr>
        <w:numPr>
          <w:ilvl w:val="0"/>
          <w:numId w:val="12"/>
        </w:numPr>
        <w:spacing w:before="120" w:after="0"/>
        <w:rPr>
          <w:rFonts w:eastAsia="Arial"/>
        </w:rPr>
      </w:pPr>
      <w:r w:rsidRPr="00961133">
        <w:rPr>
          <w:rFonts w:eastAsia="Arial"/>
        </w:rPr>
        <w:t>Armed Services Vocational Aptitude Battery (ASVAB)</w:t>
      </w:r>
    </w:p>
    <w:p w14:paraId="226C485E" w14:textId="1CB48E66" w:rsidR="002A2E1E" w:rsidRDefault="00B33D75" w:rsidP="00C128DA">
      <w:pPr>
        <w:spacing w:after="120"/>
        <w:rPr>
          <w:rFonts w:eastAsia="Arial"/>
        </w:rPr>
      </w:pPr>
      <w:r w:rsidRPr="00B33D75">
        <w:rPr>
          <w:rFonts w:eastAsia="Arial"/>
        </w:rPr>
        <w:t xml:space="preserve">In September 2023, </w:t>
      </w:r>
      <w:r w:rsidR="001320C0">
        <w:rPr>
          <w:rFonts w:eastAsia="Arial"/>
        </w:rPr>
        <w:t xml:space="preserve">after being presented with </w:t>
      </w:r>
      <w:r w:rsidR="002A2E1E">
        <w:rPr>
          <w:rFonts w:eastAsia="Arial"/>
        </w:rPr>
        <w:t xml:space="preserve">summaries of student-level </w:t>
      </w:r>
      <w:r w:rsidR="00AB1187">
        <w:rPr>
          <w:rFonts w:eastAsia="Arial"/>
        </w:rPr>
        <w:t xml:space="preserve">data from the </w:t>
      </w:r>
      <w:r w:rsidR="00071406">
        <w:rPr>
          <w:rFonts w:eastAsia="Arial"/>
        </w:rPr>
        <w:t xml:space="preserve">prior two school years, </w:t>
      </w:r>
      <w:r w:rsidR="001320C0">
        <w:rPr>
          <w:rFonts w:eastAsia="Arial"/>
        </w:rPr>
        <w:t xml:space="preserve">the </w:t>
      </w:r>
      <w:r w:rsidRPr="00B33D75">
        <w:rPr>
          <w:rFonts w:eastAsia="Arial"/>
        </w:rPr>
        <w:t xml:space="preserve">SBE </w:t>
      </w:r>
      <w:r w:rsidR="00FD6DE1">
        <w:rPr>
          <w:rFonts w:eastAsia="Arial"/>
        </w:rPr>
        <w:t xml:space="preserve">directed the </w:t>
      </w:r>
      <w:r w:rsidR="00632216">
        <w:rPr>
          <w:rFonts w:eastAsia="Arial"/>
        </w:rPr>
        <w:t>CDE</w:t>
      </w:r>
      <w:r w:rsidR="00FD6DE1">
        <w:rPr>
          <w:rFonts w:eastAsia="Arial"/>
        </w:rPr>
        <w:t xml:space="preserve"> </w:t>
      </w:r>
      <w:r w:rsidRPr="00A11FA8">
        <w:rPr>
          <w:rFonts w:eastAsia="Arial"/>
        </w:rPr>
        <w:t xml:space="preserve">collect additional data before </w:t>
      </w:r>
      <w:r w:rsidR="00071406" w:rsidRPr="00A11FA8">
        <w:rPr>
          <w:rFonts w:eastAsia="Arial"/>
        </w:rPr>
        <w:t>considering the addition</w:t>
      </w:r>
      <w:r w:rsidR="002A2E1E" w:rsidRPr="00A11FA8">
        <w:rPr>
          <w:rFonts w:eastAsia="Arial"/>
        </w:rPr>
        <w:t xml:space="preserve"> of</w:t>
      </w:r>
      <w:r w:rsidRPr="00A11FA8">
        <w:rPr>
          <w:rFonts w:eastAsia="Arial"/>
        </w:rPr>
        <w:t xml:space="preserve"> new measures to the CCI. </w:t>
      </w:r>
      <w:r w:rsidR="006746A4" w:rsidRPr="00A11FA8">
        <w:rPr>
          <w:rFonts w:eastAsia="Arial"/>
        </w:rPr>
        <w:t xml:space="preserve">Some </w:t>
      </w:r>
      <w:r w:rsidR="00315A3C" w:rsidRPr="00A11FA8">
        <w:rPr>
          <w:rFonts w:eastAsia="Arial"/>
        </w:rPr>
        <w:t xml:space="preserve">of </w:t>
      </w:r>
      <w:r w:rsidR="006746A4" w:rsidRPr="00A11FA8">
        <w:rPr>
          <w:rFonts w:eastAsia="Arial"/>
        </w:rPr>
        <w:t xml:space="preserve">the concerns </w:t>
      </w:r>
      <w:r w:rsidR="00387A63" w:rsidRPr="00A11FA8">
        <w:rPr>
          <w:rFonts w:eastAsia="Arial"/>
        </w:rPr>
        <w:t xml:space="preserve">expressed </w:t>
      </w:r>
      <w:r w:rsidR="006746A4" w:rsidRPr="00A11FA8">
        <w:rPr>
          <w:rFonts w:eastAsia="Arial"/>
        </w:rPr>
        <w:t xml:space="preserve">were that </w:t>
      </w:r>
      <w:r w:rsidR="00F976EE" w:rsidRPr="00A11FA8">
        <w:rPr>
          <w:rFonts w:eastAsia="Arial"/>
        </w:rPr>
        <w:t xml:space="preserve">the </w:t>
      </w:r>
      <w:r w:rsidR="006746A4" w:rsidRPr="00A11FA8">
        <w:rPr>
          <w:rFonts w:eastAsia="Arial"/>
        </w:rPr>
        <w:t>low</w:t>
      </w:r>
      <w:r w:rsidR="00BF4E29" w:rsidRPr="00A11FA8">
        <w:rPr>
          <w:rFonts w:eastAsia="Arial"/>
        </w:rPr>
        <w:t xml:space="preserve"> </w:t>
      </w:r>
      <w:r w:rsidR="00F976EE" w:rsidRPr="00A11FA8">
        <w:rPr>
          <w:rFonts w:eastAsia="Arial"/>
        </w:rPr>
        <w:t xml:space="preserve">participation </w:t>
      </w:r>
      <w:r w:rsidR="006746A4" w:rsidRPr="00A11FA8">
        <w:rPr>
          <w:rFonts w:eastAsia="Arial"/>
        </w:rPr>
        <w:t xml:space="preserve">in these measures </w:t>
      </w:r>
      <w:r w:rsidR="00BF4E29" w:rsidRPr="00A11FA8">
        <w:rPr>
          <w:rFonts w:eastAsia="Arial"/>
        </w:rPr>
        <w:t xml:space="preserve">may be </w:t>
      </w:r>
      <w:r w:rsidR="00F976EE" w:rsidRPr="00A11FA8">
        <w:rPr>
          <w:rFonts w:eastAsia="Arial"/>
        </w:rPr>
        <w:t xml:space="preserve">related to the </w:t>
      </w:r>
      <w:r w:rsidR="00C33674" w:rsidRPr="00A11FA8">
        <w:rPr>
          <w:rFonts w:eastAsia="Arial"/>
        </w:rPr>
        <w:t>C</w:t>
      </w:r>
      <w:r w:rsidR="008238B8" w:rsidRPr="00A11FA8">
        <w:rPr>
          <w:rFonts w:eastAsia="Arial"/>
        </w:rPr>
        <w:t>OVID</w:t>
      </w:r>
      <w:r w:rsidR="006434B1">
        <w:rPr>
          <w:rFonts w:eastAsia="Arial"/>
        </w:rPr>
        <w:t>-19</w:t>
      </w:r>
      <w:r w:rsidR="008238B8">
        <w:rPr>
          <w:rFonts w:eastAsia="Arial"/>
        </w:rPr>
        <w:t xml:space="preserve"> pandemic</w:t>
      </w:r>
      <w:r w:rsidR="00C33674">
        <w:rPr>
          <w:rFonts w:eastAsia="Arial"/>
        </w:rPr>
        <w:t xml:space="preserve">, and that students </w:t>
      </w:r>
      <w:r w:rsidR="006F70F8">
        <w:rPr>
          <w:rFonts w:eastAsia="Arial"/>
        </w:rPr>
        <w:t xml:space="preserve">may have experienced limited access, and therefore </w:t>
      </w:r>
      <w:r w:rsidR="00C33674">
        <w:rPr>
          <w:rFonts w:eastAsia="Arial"/>
        </w:rPr>
        <w:t>overall low participation in external career related opportunities.</w:t>
      </w:r>
    </w:p>
    <w:p w14:paraId="6385FF60" w14:textId="559E608B" w:rsidR="00B33D75" w:rsidRDefault="00C33674" w:rsidP="00C128DA">
      <w:pPr>
        <w:spacing w:after="120"/>
        <w:rPr>
          <w:rFonts w:eastAsia="BIZ UDGothic"/>
        </w:rPr>
      </w:pPr>
      <w:r>
        <w:rPr>
          <w:rFonts w:eastAsia="Arial"/>
        </w:rPr>
        <w:t>However, the summary of data presented below shows that participation rates in the</w:t>
      </w:r>
      <w:r w:rsidR="00667775">
        <w:rPr>
          <w:rFonts w:eastAsia="Arial"/>
        </w:rPr>
        <w:t xml:space="preserve"> career measures</w:t>
      </w:r>
      <w:r w:rsidR="003B0F8E">
        <w:rPr>
          <w:rFonts w:eastAsia="Arial"/>
        </w:rPr>
        <w:t xml:space="preserve"> </w:t>
      </w:r>
      <w:r w:rsidR="004A1088">
        <w:rPr>
          <w:rFonts w:eastAsia="Arial"/>
        </w:rPr>
        <w:t>continue this trend established during the pandemic</w:t>
      </w:r>
      <w:r w:rsidR="00667775">
        <w:rPr>
          <w:rFonts w:eastAsia="Arial"/>
        </w:rPr>
        <w:t xml:space="preserve">. </w:t>
      </w:r>
      <w:r w:rsidR="00EF3C0F">
        <w:rPr>
          <w:rFonts w:eastAsia="Arial"/>
        </w:rPr>
        <w:t>T</w:t>
      </w:r>
      <w:r w:rsidR="00667775">
        <w:rPr>
          <w:rFonts w:eastAsia="Arial"/>
        </w:rPr>
        <w:t>he</w:t>
      </w:r>
      <w:r w:rsidR="008D20EF">
        <w:rPr>
          <w:rFonts w:eastAsia="Arial"/>
        </w:rPr>
        <w:t xml:space="preserve"> number of students completing </w:t>
      </w:r>
      <w:r w:rsidR="006172AC">
        <w:rPr>
          <w:rFonts w:eastAsia="Arial"/>
        </w:rPr>
        <w:t>internships, student-led enterprises, simulated work-based learning and the AS</w:t>
      </w:r>
      <w:r w:rsidR="004A1088">
        <w:rPr>
          <w:rFonts w:eastAsia="Arial"/>
        </w:rPr>
        <w:t>V</w:t>
      </w:r>
      <w:r w:rsidR="006172AC">
        <w:rPr>
          <w:rFonts w:eastAsia="Arial"/>
        </w:rPr>
        <w:t xml:space="preserve">AB has </w:t>
      </w:r>
      <w:r w:rsidR="005D0548">
        <w:rPr>
          <w:rFonts w:eastAsia="Arial"/>
        </w:rPr>
        <w:t>varied</w:t>
      </w:r>
      <w:r w:rsidR="006172AC">
        <w:rPr>
          <w:rFonts w:eastAsia="Arial"/>
        </w:rPr>
        <w:t xml:space="preserve"> </w:t>
      </w:r>
      <w:r w:rsidR="00913ABF">
        <w:rPr>
          <w:rFonts w:eastAsia="Arial"/>
        </w:rPr>
        <w:t xml:space="preserve">from </w:t>
      </w:r>
      <w:r w:rsidR="00D2597C">
        <w:rPr>
          <w:rFonts w:eastAsia="Arial"/>
        </w:rPr>
        <w:t xml:space="preserve">the </w:t>
      </w:r>
      <w:r w:rsidR="00913ABF" w:rsidRPr="006E3294">
        <w:rPr>
          <w:rFonts w:eastAsia="BIZ UDGothic"/>
        </w:rPr>
        <w:t>2020–21</w:t>
      </w:r>
      <w:r w:rsidR="00913ABF">
        <w:rPr>
          <w:rFonts w:eastAsia="BIZ UDGothic"/>
        </w:rPr>
        <w:t xml:space="preserve"> to </w:t>
      </w:r>
      <w:r w:rsidR="00913ABF" w:rsidRPr="006E3294">
        <w:rPr>
          <w:rFonts w:eastAsia="BIZ UDGothic"/>
        </w:rPr>
        <w:t>2023–24</w:t>
      </w:r>
      <w:r w:rsidR="00D2597C">
        <w:rPr>
          <w:rFonts w:eastAsia="BIZ UDGothic"/>
        </w:rPr>
        <w:t xml:space="preserve"> school years</w:t>
      </w:r>
      <w:r w:rsidR="00913ABF">
        <w:rPr>
          <w:rFonts w:eastAsia="BIZ UDGothic"/>
        </w:rPr>
        <w:t xml:space="preserve">, </w:t>
      </w:r>
      <w:r w:rsidR="005D0548">
        <w:rPr>
          <w:rFonts w:eastAsia="BIZ UDGothic"/>
        </w:rPr>
        <w:t>with</w:t>
      </w:r>
      <w:r w:rsidR="00667775">
        <w:rPr>
          <w:rFonts w:eastAsia="BIZ UDGothic"/>
        </w:rPr>
        <w:t xml:space="preserve"> the largest participation during</w:t>
      </w:r>
      <w:r w:rsidR="00913ABF">
        <w:rPr>
          <w:rFonts w:eastAsia="BIZ UDGothic"/>
        </w:rPr>
        <w:t xml:space="preserve"> the </w:t>
      </w:r>
      <w:r w:rsidR="00913ABF" w:rsidRPr="006E3294">
        <w:rPr>
          <w:rFonts w:eastAsia="BIZ UDGothic"/>
        </w:rPr>
        <w:t>2021–22</w:t>
      </w:r>
      <w:r w:rsidR="00913ABF">
        <w:rPr>
          <w:rFonts w:eastAsia="BIZ UDGothic"/>
        </w:rPr>
        <w:t xml:space="preserve"> </w:t>
      </w:r>
      <w:r w:rsidR="00667775">
        <w:rPr>
          <w:rFonts w:eastAsia="BIZ UDGothic"/>
        </w:rPr>
        <w:t>school year</w:t>
      </w:r>
      <w:r w:rsidR="00913ABF">
        <w:rPr>
          <w:rFonts w:eastAsia="BIZ UDGothic"/>
        </w:rPr>
        <w:t>.</w:t>
      </w:r>
    </w:p>
    <w:p w14:paraId="51430001" w14:textId="18C38EA0" w:rsidR="005D0548" w:rsidRPr="00C128DA" w:rsidRDefault="005D0548" w:rsidP="00DA5325">
      <w:pPr>
        <w:pStyle w:val="Heading2"/>
        <w:spacing w:after="120"/>
        <w:rPr>
          <w:sz w:val="28"/>
          <w:szCs w:val="22"/>
        </w:rPr>
      </w:pPr>
      <w:r w:rsidRPr="00C128DA">
        <w:rPr>
          <w:sz w:val="28"/>
          <w:szCs w:val="22"/>
        </w:rPr>
        <w:t>Internships</w:t>
      </w:r>
    </w:p>
    <w:p w14:paraId="3B4FBB87" w14:textId="05181425" w:rsidR="00B84B2E" w:rsidRDefault="004A1088" w:rsidP="00451309">
      <w:pPr>
        <w:tabs>
          <w:tab w:val="num" w:pos="1440"/>
        </w:tabs>
        <w:rPr>
          <w:rFonts w:eastAsia="Arial"/>
        </w:rPr>
      </w:pPr>
      <w:r>
        <w:rPr>
          <w:rFonts w:eastAsia="Arial"/>
        </w:rPr>
        <w:t>A</w:t>
      </w:r>
      <w:r w:rsidR="005E2A55">
        <w:rPr>
          <w:rFonts w:eastAsia="Arial"/>
        </w:rPr>
        <w:t>n</w:t>
      </w:r>
      <w:r w:rsidR="00B84B2E" w:rsidRPr="00B84B2E">
        <w:rPr>
          <w:rFonts w:eastAsia="Arial"/>
        </w:rPr>
        <w:t xml:space="preserve"> internship </w:t>
      </w:r>
      <w:r>
        <w:rPr>
          <w:rFonts w:eastAsia="Arial"/>
        </w:rPr>
        <w:t xml:space="preserve">is defined </w:t>
      </w:r>
      <w:r w:rsidR="005E2A55">
        <w:rPr>
          <w:rFonts w:eastAsia="Arial"/>
        </w:rPr>
        <w:t>as</w:t>
      </w:r>
      <w:r w:rsidR="00B84B2E" w:rsidRPr="00B84B2E">
        <w:rPr>
          <w:rFonts w:eastAsia="Arial"/>
        </w:rPr>
        <w:t xml:space="preserve"> a work-based learning activity which allows students to apply classroom learning in a work-place setting. </w:t>
      </w:r>
      <w:r w:rsidR="005E2A55">
        <w:rPr>
          <w:rFonts w:eastAsia="Arial"/>
        </w:rPr>
        <w:t>The</w:t>
      </w:r>
      <w:r w:rsidR="00771AA6">
        <w:rPr>
          <w:rFonts w:eastAsia="Arial"/>
        </w:rPr>
        <w:t xml:space="preserve"> internship</w:t>
      </w:r>
      <w:r w:rsidR="00451309">
        <w:rPr>
          <w:rFonts w:eastAsia="Arial"/>
        </w:rPr>
        <w:t xml:space="preserve"> m</w:t>
      </w:r>
      <w:r w:rsidR="00B84B2E" w:rsidRPr="00B84B2E">
        <w:rPr>
          <w:rFonts w:eastAsia="Arial"/>
        </w:rPr>
        <w:t xml:space="preserve">ust be tied to a course </w:t>
      </w:r>
      <w:r w:rsidR="002B3E9B">
        <w:rPr>
          <w:rFonts w:eastAsia="Arial"/>
        </w:rPr>
        <w:t xml:space="preserve">in CALPADS </w:t>
      </w:r>
      <w:r w:rsidR="00B84B2E" w:rsidRPr="00B84B2E">
        <w:rPr>
          <w:rFonts w:eastAsia="Arial"/>
        </w:rPr>
        <w:t>with an instructor and employment or community partner who work</w:t>
      </w:r>
      <w:r>
        <w:rPr>
          <w:rFonts w:eastAsia="Arial"/>
        </w:rPr>
        <w:t>s</w:t>
      </w:r>
      <w:r w:rsidR="00B84B2E" w:rsidRPr="00B84B2E">
        <w:rPr>
          <w:rFonts w:eastAsia="Arial"/>
        </w:rPr>
        <w:t xml:space="preserve"> together to ensure student safety and success and monitor student progress</w:t>
      </w:r>
      <w:r w:rsidR="00451309">
        <w:rPr>
          <w:rFonts w:eastAsia="Arial"/>
        </w:rPr>
        <w:t>.</w:t>
      </w:r>
    </w:p>
    <w:p w14:paraId="10556442" w14:textId="686BFE5D" w:rsidR="002B3E9B" w:rsidRDefault="001A182F" w:rsidP="00451309">
      <w:pPr>
        <w:tabs>
          <w:tab w:val="num" w:pos="1440"/>
        </w:tabs>
        <w:rPr>
          <w:rFonts w:eastAsia="Arial"/>
        </w:rPr>
      </w:pPr>
      <w:r>
        <w:rPr>
          <w:rFonts w:eastAsia="Arial"/>
        </w:rPr>
        <w:t xml:space="preserve">Table </w:t>
      </w:r>
      <w:r w:rsidR="00BF4E29">
        <w:rPr>
          <w:rFonts w:eastAsia="Arial"/>
        </w:rPr>
        <w:t>8</w:t>
      </w:r>
      <w:r w:rsidR="002B3E9B">
        <w:rPr>
          <w:rFonts w:eastAsia="Arial"/>
        </w:rPr>
        <w:t xml:space="preserve"> shows the number of </w:t>
      </w:r>
      <w:r w:rsidR="00D2597C">
        <w:rPr>
          <w:rFonts w:eastAsia="Arial"/>
        </w:rPr>
        <w:t xml:space="preserve">all </w:t>
      </w:r>
      <w:r w:rsidR="002B3E9B">
        <w:rPr>
          <w:rFonts w:eastAsia="Arial"/>
        </w:rPr>
        <w:t>students</w:t>
      </w:r>
      <w:r w:rsidR="00D2597C">
        <w:rPr>
          <w:rFonts w:eastAsia="Arial"/>
        </w:rPr>
        <w:t xml:space="preserve"> (these measures are not limited to the CCI cohort)</w:t>
      </w:r>
      <w:r w:rsidR="002B3E9B">
        <w:rPr>
          <w:rFonts w:eastAsia="Arial"/>
        </w:rPr>
        <w:t xml:space="preserve"> that completed an internship </w:t>
      </w:r>
      <w:r w:rsidR="00D2597C">
        <w:rPr>
          <w:rFonts w:eastAsia="Arial"/>
        </w:rPr>
        <w:t>between the</w:t>
      </w:r>
      <w:r w:rsidR="00AE3FAA">
        <w:rPr>
          <w:rFonts w:eastAsia="Arial"/>
        </w:rPr>
        <w:t xml:space="preserve"> 2020</w:t>
      </w:r>
      <w:r w:rsidR="004A1088">
        <w:rPr>
          <w:rFonts w:cs="Arial"/>
        </w:rPr>
        <w:t>–</w:t>
      </w:r>
      <w:r w:rsidR="00AE3FAA">
        <w:rPr>
          <w:rFonts w:eastAsia="Arial"/>
        </w:rPr>
        <w:t>21 to 2023</w:t>
      </w:r>
      <w:r w:rsidR="00D2597C">
        <w:rPr>
          <w:rFonts w:eastAsia="Arial" w:cs="Arial"/>
        </w:rPr>
        <w:t>–</w:t>
      </w:r>
      <w:r w:rsidR="00AE3FAA">
        <w:rPr>
          <w:rFonts w:eastAsia="Arial"/>
        </w:rPr>
        <w:t>24</w:t>
      </w:r>
      <w:r w:rsidR="00D2597C">
        <w:rPr>
          <w:rFonts w:eastAsia="Arial"/>
        </w:rPr>
        <w:t xml:space="preserve"> school years</w:t>
      </w:r>
      <w:r w:rsidR="00AE3FAA">
        <w:rPr>
          <w:rFonts w:eastAsia="Arial"/>
        </w:rPr>
        <w:t xml:space="preserve">. </w:t>
      </w:r>
      <w:r w:rsidR="00B86B8F">
        <w:rPr>
          <w:rFonts w:eastAsia="Arial"/>
        </w:rPr>
        <w:t xml:space="preserve">Students can be enrolled in any grade </w:t>
      </w:r>
      <w:r w:rsidR="00394CB6">
        <w:rPr>
          <w:rFonts w:eastAsia="Arial"/>
        </w:rPr>
        <w:t>in the reporting year.</w:t>
      </w:r>
    </w:p>
    <w:p w14:paraId="7BA5355D" w14:textId="77C05087" w:rsidR="001A182F" w:rsidRPr="00533E6D" w:rsidRDefault="001A182F" w:rsidP="00DA5325">
      <w:pPr>
        <w:pStyle w:val="Heading3"/>
        <w:spacing w:after="120"/>
        <w:rPr>
          <w:sz w:val="24"/>
          <w:szCs w:val="20"/>
        </w:rPr>
      </w:pPr>
      <w:r w:rsidRPr="00533E6D">
        <w:rPr>
          <w:sz w:val="24"/>
          <w:szCs w:val="20"/>
        </w:rPr>
        <w:t xml:space="preserve">Table </w:t>
      </w:r>
      <w:r w:rsidR="00BF4E29" w:rsidRPr="00533E6D">
        <w:rPr>
          <w:sz w:val="24"/>
          <w:szCs w:val="20"/>
        </w:rPr>
        <w:t>8</w:t>
      </w:r>
      <w:r w:rsidRPr="00533E6D">
        <w:rPr>
          <w:sz w:val="24"/>
          <w:szCs w:val="20"/>
        </w:rPr>
        <w:t xml:space="preserve">: </w:t>
      </w:r>
      <w:r w:rsidR="006621E8" w:rsidRPr="00533E6D">
        <w:rPr>
          <w:sz w:val="24"/>
          <w:szCs w:val="20"/>
        </w:rPr>
        <w:t xml:space="preserve">Number of Students Completing Internships </w:t>
      </w:r>
      <w:r w:rsidR="6935E7FA" w:rsidRPr="00533E6D">
        <w:rPr>
          <w:sz w:val="24"/>
          <w:szCs w:val="20"/>
        </w:rPr>
        <w:t>by</w:t>
      </w:r>
      <w:r w:rsidR="006621E8" w:rsidRPr="00533E6D">
        <w:rPr>
          <w:sz w:val="24"/>
          <w:szCs w:val="20"/>
        </w:rPr>
        <w:t xml:space="preserve"> </w:t>
      </w:r>
      <w:r w:rsidR="00AE3FAA" w:rsidRPr="00533E6D">
        <w:rPr>
          <w:sz w:val="24"/>
          <w:szCs w:val="20"/>
        </w:rPr>
        <w:t>School</w:t>
      </w:r>
      <w:r w:rsidR="006621E8" w:rsidRPr="00533E6D">
        <w:rPr>
          <w:sz w:val="24"/>
          <w:szCs w:val="20"/>
        </w:rPr>
        <w:t xml:space="preserve"> Year</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0"/>
        <w:gridCol w:w="4680"/>
      </w:tblGrid>
      <w:tr w:rsidR="001A182F" w:rsidRPr="006E3294" w14:paraId="1C8381B3" w14:textId="77777777" w:rsidTr="00DA532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0486DBBD" w14:textId="2879BBA6" w:rsidR="001A182F" w:rsidRPr="00385A5A" w:rsidRDefault="00BF4E29" w:rsidP="00BF4E29">
            <w:pPr>
              <w:spacing w:before="0" w:after="0"/>
              <w:jc w:val="center"/>
              <w:rPr>
                <w:rFonts w:eastAsia="BIZ UDGothic"/>
                <w:b w:val="0"/>
                <w:color w:val="auto"/>
              </w:rPr>
            </w:pPr>
            <w:r>
              <w:rPr>
                <w:rFonts w:eastAsia="BIZ UDGothic"/>
                <w:color w:val="auto"/>
              </w:rPr>
              <w:t xml:space="preserve">School </w:t>
            </w:r>
            <w:r w:rsidR="001A182F" w:rsidRPr="00385A5A">
              <w:rPr>
                <w:rFonts w:eastAsia="BIZ UDGothic"/>
                <w:color w:val="auto"/>
              </w:rPr>
              <w:t>Year</w:t>
            </w:r>
          </w:p>
        </w:tc>
        <w:tc>
          <w:tcPr>
            <w:tcW w:w="4680" w:type="dxa"/>
            <w:shd w:val="clear" w:color="auto" w:fill="E7E6E6" w:themeFill="background2"/>
          </w:tcPr>
          <w:p w14:paraId="14BF09BD" w14:textId="744014AA" w:rsidR="001A182F" w:rsidRPr="00385A5A" w:rsidRDefault="001A182F" w:rsidP="00BF4E29">
            <w:pPr>
              <w:spacing w:before="0" w:after="0"/>
              <w:jc w:val="center"/>
              <w:cnfStyle w:val="100000000000" w:firstRow="1" w:lastRow="0" w:firstColumn="0" w:lastColumn="0" w:oddVBand="0" w:evenVBand="0" w:oddHBand="0" w:evenHBand="0" w:firstRowFirstColumn="0" w:firstRowLastColumn="0" w:lastRowFirstColumn="0" w:lastRowLastColumn="0"/>
              <w:rPr>
                <w:rFonts w:eastAsia="BIZ UDGothic"/>
                <w:color w:val="auto"/>
              </w:rPr>
            </w:pPr>
            <w:r w:rsidRPr="00385A5A">
              <w:rPr>
                <w:rFonts w:eastAsia="BIZ UDGothic"/>
                <w:color w:val="auto"/>
              </w:rPr>
              <w:t>Internships</w:t>
            </w:r>
          </w:p>
        </w:tc>
      </w:tr>
      <w:tr w:rsidR="001A182F" w:rsidRPr="006E3294" w14:paraId="5A2284E5"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0CC8DAA" w14:textId="77777777" w:rsidR="001A182F" w:rsidRDefault="001A182F" w:rsidP="00BF4E29">
            <w:pPr>
              <w:spacing w:before="0" w:after="0"/>
              <w:jc w:val="center"/>
              <w:rPr>
                <w:rFonts w:eastAsia="BIZ UDGothic"/>
              </w:rPr>
            </w:pPr>
            <w:r w:rsidRPr="006E3294">
              <w:rPr>
                <w:rFonts w:eastAsia="BIZ UDGothic"/>
              </w:rPr>
              <w:t>2020–21</w:t>
            </w:r>
          </w:p>
        </w:tc>
        <w:tc>
          <w:tcPr>
            <w:tcW w:w="4680" w:type="dxa"/>
          </w:tcPr>
          <w:p w14:paraId="46581828" w14:textId="77777777" w:rsidR="001A182F" w:rsidRPr="00060036" w:rsidRDefault="001A182F" w:rsidP="00BF4E29">
            <w:pPr>
              <w:spacing w:before="0" w:after="0"/>
              <w:jc w:val="center"/>
              <w:cnfStyle w:val="000000000000" w:firstRow="0" w:lastRow="0" w:firstColumn="0" w:lastColumn="0" w:oddVBand="0" w:evenVBand="0" w:oddHBand="0" w:evenHBand="0" w:firstRowFirstColumn="0" w:firstRowLastColumn="0" w:lastRowFirstColumn="0" w:lastRowLastColumn="0"/>
              <w:rPr>
                <w:rFonts w:eastAsia="BIZ UDGothic"/>
                <w:bCs/>
              </w:rPr>
            </w:pPr>
            <w:r w:rsidRPr="00060036">
              <w:rPr>
                <w:rFonts w:eastAsia="BIZ UDGothic"/>
                <w:bCs/>
              </w:rPr>
              <w:t>9,187</w:t>
            </w:r>
          </w:p>
        </w:tc>
      </w:tr>
      <w:tr w:rsidR="001A182F" w:rsidRPr="006E3294" w14:paraId="7FF24D3F"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46E6453A" w14:textId="77777777" w:rsidR="001A182F" w:rsidRPr="006E3294" w:rsidRDefault="001A182F" w:rsidP="00BF4E29">
            <w:pPr>
              <w:spacing w:before="0" w:after="0"/>
              <w:jc w:val="center"/>
            </w:pPr>
            <w:r w:rsidRPr="006E3294">
              <w:rPr>
                <w:rFonts w:eastAsia="BIZ UDGothic"/>
              </w:rPr>
              <w:t>2021–22</w:t>
            </w:r>
          </w:p>
        </w:tc>
        <w:tc>
          <w:tcPr>
            <w:tcW w:w="4680" w:type="dxa"/>
            <w:shd w:val="clear" w:color="auto" w:fill="E7E6E6" w:themeFill="background2"/>
          </w:tcPr>
          <w:p w14:paraId="35B10502" w14:textId="77777777" w:rsidR="001A182F" w:rsidRPr="00060036" w:rsidRDefault="001A182F"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18,333</w:t>
            </w:r>
          </w:p>
        </w:tc>
      </w:tr>
      <w:tr w:rsidR="001A182F" w:rsidRPr="006E3294" w14:paraId="49B3D042"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197ADDF9" w14:textId="77777777" w:rsidR="001A182F" w:rsidRPr="006E3294" w:rsidRDefault="001A182F" w:rsidP="00BF4E29">
            <w:pPr>
              <w:spacing w:before="0" w:after="0"/>
              <w:jc w:val="center"/>
            </w:pPr>
            <w:r w:rsidRPr="006E3294">
              <w:rPr>
                <w:rFonts w:eastAsia="BIZ UDGothic"/>
              </w:rPr>
              <w:t>2022–23</w:t>
            </w:r>
          </w:p>
        </w:tc>
        <w:tc>
          <w:tcPr>
            <w:tcW w:w="4680" w:type="dxa"/>
            <w:shd w:val="clear" w:color="auto" w:fill="auto"/>
          </w:tcPr>
          <w:p w14:paraId="600EBD44" w14:textId="77777777" w:rsidR="001A182F" w:rsidRPr="00060036" w:rsidRDefault="001A182F"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12,766</w:t>
            </w:r>
          </w:p>
        </w:tc>
      </w:tr>
      <w:tr w:rsidR="001A182F" w:rsidRPr="006E3294" w14:paraId="29A616E8"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79E6A6D5" w14:textId="77777777" w:rsidR="001A182F" w:rsidRPr="006E3294" w:rsidRDefault="001A182F" w:rsidP="00BF4E29">
            <w:pPr>
              <w:spacing w:before="0" w:after="0"/>
              <w:jc w:val="center"/>
            </w:pPr>
            <w:r w:rsidRPr="006E3294">
              <w:rPr>
                <w:rFonts w:eastAsia="BIZ UDGothic"/>
              </w:rPr>
              <w:t>2023–24</w:t>
            </w:r>
          </w:p>
        </w:tc>
        <w:tc>
          <w:tcPr>
            <w:tcW w:w="4680" w:type="dxa"/>
            <w:shd w:val="clear" w:color="auto" w:fill="E7E6E6" w:themeFill="background2"/>
          </w:tcPr>
          <w:p w14:paraId="6C246851" w14:textId="77777777" w:rsidR="001A182F" w:rsidRPr="00060036" w:rsidRDefault="001A182F"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16,472</w:t>
            </w:r>
          </w:p>
        </w:tc>
      </w:tr>
    </w:tbl>
    <w:p w14:paraId="471CBCD8" w14:textId="074EAC5C" w:rsidR="00394CB6" w:rsidRPr="00C128DA" w:rsidRDefault="00394CB6" w:rsidP="00DA5325">
      <w:pPr>
        <w:pStyle w:val="Heading2"/>
        <w:spacing w:after="120"/>
        <w:rPr>
          <w:sz w:val="28"/>
          <w:szCs w:val="22"/>
        </w:rPr>
      </w:pPr>
      <w:r w:rsidRPr="00C128DA">
        <w:rPr>
          <w:sz w:val="28"/>
          <w:szCs w:val="22"/>
        </w:rPr>
        <w:lastRenderedPageBreak/>
        <w:t>Student-Led Enterprise</w:t>
      </w:r>
    </w:p>
    <w:p w14:paraId="0B7C5024" w14:textId="4DCE25DB" w:rsidR="00A01E65" w:rsidRDefault="00EF5A7E" w:rsidP="008A6B25">
      <w:pPr>
        <w:rPr>
          <w:rFonts w:eastAsia="Arial"/>
        </w:rPr>
      </w:pPr>
      <w:r w:rsidRPr="00EF5A7E">
        <w:rPr>
          <w:rFonts w:eastAsia="Arial"/>
        </w:rPr>
        <w:t>A student-led enterprise</w:t>
      </w:r>
      <w:r w:rsidR="00157057">
        <w:rPr>
          <w:rFonts w:eastAsia="Arial"/>
        </w:rPr>
        <w:t xml:space="preserve"> </w:t>
      </w:r>
      <w:r w:rsidRPr="00EF5A7E">
        <w:rPr>
          <w:rFonts w:eastAsia="Arial"/>
        </w:rPr>
        <w:t>involves the development and operation of a revenue-generating business (regardless of profit or loss), operating outside the classroom.</w:t>
      </w:r>
      <w:r w:rsidR="00157057">
        <w:rPr>
          <w:rFonts w:eastAsia="Arial"/>
        </w:rPr>
        <w:t xml:space="preserve"> </w:t>
      </w:r>
      <w:r w:rsidR="00157057" w:rsidRPr="00EF5A7E">
        <w:rPr>
          <w:rFonts w:eastAsia="Arial"/>
        </w:rPr>
        <w:t>A student-led enterprise</w:t>
      </w:r>
      <w:r w:rsidR="00157057">
        <w:rPr>
          <w:rFonts w:eastAsia="Arial"/>
        </w:rPr>
        <w:t xml:space="preserve"> must be</w:t>
      </w:r>
      <w:r w:rsidRPr="00EF5A7E">
        <w:rPr>
          <w:rFonts w:eastAsia="Arial"/>
        </w:rPr>
        <w:t xml:space="preserve"> operated by the student</w:t>
      </w:r>
      <w:r w:rsidR="00157057">
        <w:rPr>
          <w:rFonts w:eastAsia="Arial"/>
        </w:rPr>
        <w:t>, b</w:t>
      </w:r>
      <w:r w:rsidRPr="00EF5A7E">
        <w:rPr>
          <w:rFonts w:eastAsia="Arial"/>
        </w:rPr>
        <w:t>e ongoing and not a one-day event</w:t>
      </w:r>
      <w:r w:rsidR="00A7784E">
        <w:rPr>
          <w:rFonts w:eastAsia="Arial"/>
        </w:rPr>
        <w:t xml:space="preserve"> and it must be</w:t>
      </w:r>
      <w:r w:rsidRPr="00EF5A7E">
        <w:rPr>
          <w:rFonts w:eastAsia="Arial"/>
        </w:rPr>
        <w:t xml:space="preserve"> tied to a course in which students develop a business and marketing plan.</w:t>
      </w:r>
    </w:p>
    <w:p w14:paraId="71301CA3" w14:textId="6778A19F" w:rsidR="00B85F22" w:rsidRDefault="00A01E65" w:rsidP="008A6B25">
      <w:pPr>
        <w:rPr>
          <w:rFonts w:eastAsia="Arial"/>
        </w:rPr>
      </w:pPr>
      <w:r>
        <w:rPr>
          <w:rFonts w:eastAsia="Arial"/>
        </w:rPr>
        <w:t xml:space="preserve">Table </w:t>
      </w:r>
      <w:r w:rsidR="00BF4E29">
        <w:rPr>
          <w:rFonts w:eastAsia="Arial"/>
        </w:rPr>
        <w:t>9</w:t>
      </w:r>
      <w:r w:rsidR="00B85F22">
        <w:rPr>
          <w:rFonts w:eastAsia="Arial"/>
        </w:rPr>
        <w:t xml:space="preserve"> shows the number of students that completed a student-led enterprise from </w:t>
      </w:r>
      <w:r w:rsidR="00956AAF">
        <w:rPr>
          <w:rFonts w:eastAsia="Arial"/>
        </w:rPr>
        <w:t xml:space="preserve">the </w:t>
      </w:r>
      <w:r w:rsidR="00B85F22">
        <w:rPr>
          <w:rFonts w:eastAsia="Arial"/>
        </w:rPr>
        <w:t>2020</w:t>
      </w:r>
      <w:r w:rsidR="004B15D3">
        <w:rPr>
          <w:rFonts w:cs="Arial"/>
        </w:rPr>
        <w:t>–</w:t>
      </w:r>
      <w:r w:rsidR="00B85F22">
        <w:rPr>
          <w:rFonts w:eastAsia="Arial"/>
        </w:rPr>
        <w:t xml:space="preserve">21 </w:t>
      </w:r>
      <w:r w:rsidR="006074F2">
        <w:rPr>
          <w:rFonts w:eastAsia="Arial"/>
        </w:rPr>
        <w:t>to 2023</w:t>
      </w:r>
      <w:r w:rsidR="004B15D3">
        <w:rPr>
          <w:rFonts w:cs="Arial"/>
        </w:rPr>
        <w:t>–</w:t>
      </w:r>
      <w:r w:rsidR="006074F2">
        <w:rPr>
          <w:rFonts w:eastAsia="Arial"/>
        </w:rPr>
        <w:t>24</w:t>
      </w:r>
      <w:r w:rsidR="00956AAF">
        <w:rPr>
          <w:rFonts w:eastAsia="Arial"/>
        </w:rPr>
        <w:t xml:space="preserve"> school years</w:t>
      </w:r>
      <w:r w:rsidR="006074F2">
        <w:rPr>
          <w:rFonts w:eastAsia="Arial"/>
        </w:rPr>
        <w:t>. Students can be enrolled in any grade in the reporting year.</w:t>
      </w:r>
    </w:p>
    <w:p w14:paraId="299E0D03" w14:textId="3983D009" w:rsidR="00A01E65" w:rsidRPr="00533E6D" w:rsidRDefault="00A01E65" w:rsidP="00DA5325">
      <w:pPr>
        <w:pStyle w:val="Heading3"/>
        <w:spacing w:after="120"/>
        <w:rPr>
          <w:sz w:val="24"/>
          <w:szCs w:val="20"/>
        </w:rPr>
      </w:pPr>
      <w:r w:rsidRPr="00533E6D">
        <w:rPr>
          <w:sz w:val="24"/>
          <w:szCs w:val="20"/>
        </w:rPr>
        <w:t xml:space="preserve">Table </w:t>
      </w:r>
      <w:r w:rsidR="00BF4E29" w:rsidRPr="00533E6D">
        <w:rPr>
          <w:sz w:val="24"/>
          <w:szCs w:val="20"/>
        </w:rPr>
        <w:t>9</w:t>
      </w:r>
      <w:r w:rsidRPr="00533E6D">
        <w:rPr>
          <w:sz w:val="24"/>
          <w:szCs w:val="20"/>
        </w:rPr>
        <w:t xml:space="preserve">: Number of Students Completing Student-Led Enterprises </w:t>
      </w:r>
      <w:r w:rsidR="729DA470" w:rsidRPr="00533E6D">
        <w:rPr>
          <w:sz w:val="24"/>
          <w:szCs w:val="20"/>
        </w:rPr>
        <w:t>by</w:t>
      </w:r>
      <w:r w:rsidRPr="00533E6D">
        <w:rPr>
          <w:sz w:val="24"/>
          <w:szCs w:val="20"/>
        </w:rPr>
        <w:t xml:space="preserve"> </w:t>
      </w:r>
      <w:r w:rsidR="006074F2" w:rsidRPr="00533E6D">
        <w:rPr>
          <w:sz w:val="24"/>
          <w:szCs w:val="20"/>
        </w:rPr>
        <w:t xml:space="preserve">School </w:t>
      </w:r>
      <w:r w:rsidRPr="00533E6D">
        <w:rPr>
          <w:sz w:val="24"/>
          <w:szCs w:val="20"/>
        </w:rPr>
        <w:t>Year</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Table X: Number of Students Completing Student-Led Enterprises by School Year"/>
        <w:tblDescription w:val="Table X: Number of Students Completing Student-Led Enterprises by School Year"/>
      </w:tblPr>
      <w:tblGrid>
        <w:gridCol w:w="4680"/>
        <w:gridCol w:w="4680"/>
      </w:tblGrid>
      <w:tr w:rsidR="00A01E65" w:rsidRPr="006E3294" w14:paraId="2E04FF28" w14:textId="77777777" w:rsidTr="00DA532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36563BA2" w14:textId="563840B9" w:rsidR="00A01E65" w:rsidRPr="00C95CDE" w:rsidRDefault="00BF4E29" w:rsidP="00BF4E29">
            <w:pPr>
              <w:spacing w:before="0" w:after="0"/>
              <w:jc w:val="center"/>
              <w:rPr>
                <w:rFonts w:eastAsia="BIZ UDGothic"/>
                <w:color w:val="auto"/>
              </w:rPr>
            </w:pPr>
            <w:r>
              <w:rPr>
                <w:rFonts w:eastAsia="BIZ UDGothic"/>
                <w:color w:val="auto"/>
              </w:rPr>
              <w:t xml:space="preserve">School </w:t>
            </w:r>
            <w:r w:rsidR="00A01E65" w:rsidRPr="00C95CDE">
              <w:rPr>
                <w:rFonts w:eastAsia="BIZ UDGothic"/>
                <w:color w:val="auto"/>
              </w:rPr>
              <w:t>Year</w:t>
            </w:r>
          </w:p>
        </w:tc>
        <w:tc>
          <w:tcPr>
            <w:tcW w:w="4680" w:type="dxa"/>
            <w:shd w:val="clear" w:color="auto" w:fill="E7E6E6" w:themeFill="background2"/>
          </w:tcPr>
          <w:p w14:paraId="0F9F7849" w14:textId="77777777" w:rsidR="00A01E65" w:rsidRPr="00C95CDE" w:rsidRDefault="00A01E65" w:rsidP="00BF4E29">
            <w:pPr>
              <w:spacing w:before="0" w:after="0"/>
              <w:jc w:val="center"/>
              <w:cnfStyle w:val="100000000000" w:firstRow="1" w:lastRow="0" w:firstColumn="0" w:lastColumn="0" w:oddVBand="0" w:evenVBand="0" w:oddHBand="0" w:evenHBand="0" w:firstRowFirstColumn="0" w:firstRowLastColumn="0" w:lastRowFirstColumn="0" w:lastRowLastColumn="0"/>
              <w:rPr>
                <w:rFonts w:eastAsia="BIZ UDGothic"/>
                <w:color w:val="auto"/>
              </w:rPr>
            </w:pPr>
            <w:r w:rsidRPr="00C95CDE">
              <w:rPr>
                <w:rFonts w:eastAsia="BIZ UDGothic"/>
                <w:color w:val="auto"/>
              </w:rPr>
              <w:t>Student-Led Enterprise</w:t>
            </w:r>
          </w:p>
        </w:tc>
      </w:tr>
      <w:tr w:rsidR="00A01E65" w:rsidRPr="006E3294" w14:paraId="34179E83"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59F7FC5" w14:textId="77777777" w:rsidR="00A01E65" w:rsidRPr="006E3294" w:rsidRDefault="00A01E65" w:rsidP="00BF4E29">
            <w:pPr>
              <w:spacing w:before="0" w:after="0"/>
              <w:jc w:val="center"/>
              <w:rPr>
                <w:rFonts w:eastAsia="BIZ UDGothic"/>
              </w:rPr>
            </w:pPr>
            <w:r w:rsidRPr="006E3294">
              <w:rPr>
                <w:rFonts w:eastAsia="BIZ UDGothic"/>
              </w:rPr>
              <w:t>2020–21</w:t>
            </w:r>
          </w:p>
        </w:tc>
        <w:tc>
          <w:tcPr>
            <w:tcW w:w="4680" w:type="dxa"/>
          </w:tcPr>
          <w:p w14:paraId="61C7EF61" w14:textId="77777777" w:rsidR="00A01E65" w:rsidRPr="00060036" w:rsidRDefault="00A01E65" w:rsidP="00BF4E29">
            <w:pPr>
              <w:spacing w:before="0" w:after="0"/>
              <w:jc w:val="center"/>
              <w:cnfStyle w:val="000000000000" w:firstRow="0" w:lastRow="0" w:firstColumn="0" w:lastColumn="0" w:oddVBand="0" w:evenVBand="0" w:oddHBand="0" w:evenHBand="0" w:firstRowFirstColumn="0" w:firstRowLastColumn="0" w:lastRowFirstColumn="0" w:lastRowLastColumn="0"/>
              <w:rPr>
                <w:rFonts w:eastAsia="BIZ UDGothic"/>
                <w:bCs/>
              </w:rPr>
            </w:pPr>
            <w:r w:rsidRPr="00060036">
              <w:rPr>
                <w:rFonts w:eastAsia="BIZ UDGothic"/>
                <w:bCs/>
              </w:rPr>
              <w:t>5,040</w:t>
            </w:r>
          </w:p>
        </w:tc>
      </w:tr>
      <w:tr w:rsidR="00A01E65" w:rsidRPr="006E3294" w14:paraId="782D4A19"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4F3D6103" w14:textId="77777777" w:rsidR="00A01E65" w:rsidRPr="006E3294" w:rsidRDefault="00A01E65" w:rsidP="00BF4E29">
            <w:pPr>
              <w:spacing w:before="0" w:after="0"/>
              <w:jc w:val="center"/>
            </w:pPr>
            <w:r w:rsidRPr="006E3294">
              <w:rPr>
                <w:rFonts w:eastAsia="BIZ UDGothic"/>
              </w:rPr>
              <w:t>2021–22</w:t>
            </w:r>
          </w:p>
        </w:tc>
        <w:tc>
          <w:tcPr>
            <w:tcW w:w="4680" w:type="dxa"/>
            <w:shd w:val="clear" w:color="auto" w:fill="E7E6E6" w:themeFill="background2"/>
          </w:tcPr>
          <w:p w14:paraId="021286CC" w14:textId="77777777" w:rsidR="00A01E65" w:rsidRPr="00060036" w:rsidRDefault="00A01E65"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6,140</w:t>
            </w:r>
          </w:p>
        </w:tc>
      </w:tr>
      <w:tr w:rsidR="00A01E65" w:rsidRPr="006E3294" w14:paraId="60EC32E6"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2469947" w14:textId="77777777" w:rsidR="00A01E65" w:rsidRPr="006E3294" w:rsidRDefault="00A01E65" w:rsidP="00BF4E29">
            <w:pPr>
              <w:spacing w:before="0" w:after="0"/>
              <w:jc w:val="center"/>
            </w:pPr>
            <w:r w:rsidRPr="006E3294">
              <w:rPr>
                <w:rFonts w:eastAsia="BIZ UDGothic"/>
              </w:rPr>
              <w:t>2022–23</w:t>
            </w:r>
          </w:p>
        </w:tc>
        <w:tc>
          <w:tcPr>
            <w:tcW w:w="4680" w:type="dxa"/>
          </w:tcPr>
          <w:p w14:paraId="179677A2" w14:textId="77777777" w:rsidR="00A01E65" w:rsidRPr="00060036" w:rsidRDefault="00A01E65"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2,888</w:t>
            </w:r>
          </w:p>
        </w:tc>
      </w:tr>
      <w:tr w:rsidR="00A01E65" w:rsidRPr="006E3294" w14:paraId="144573F0"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6A3BFE03" w14:textId="77777777" w:rsidR="00A01E65" w:rsidRPr="006E3294" w:rsidRDefault="00A01E65" w:rsidP="00BF4E29">
            <w:pPr>
              <w:spacing w:before="0" w:after="0"/>
              <w:jc w:val="center"/>
            </w:pPr>
            <w:r w:rsidRPr="006E3294">
              <w:rPr>
                <w:rFonts w:eastAsia="BIZ UDGothic"/>
              </w:rPr>
              <w:t>2023–24</w:t>
            </w:r>
          </w:p>
        </w:tc>
        <w:tc>
          <w:tcPr>
            <w:tcW w:w="4680" w:type="dxa"/>
            <w:shd w:val="clear" w:color="auto" w:fill="E7E6E6" w:themeFill="background2"/>
          </w:tcPr>
          <w:p w14:paraId="74627987" w14:textId="77777777" w:rsidR="00A01E65" w:rsidRPr="00060036" w:rsidRDefault="00A01E65" w:rsidP="00BF4E29">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060036">
              <w:rPr>
                <w:rFonts w:eastAsia="BIZ UDGothic"/>
                <w:bCs/>
              </w:rPr>
              <w:t>4,654</w:t>
            </w:r>
          </w:p>
        </w:tc>
      </w:tr>
    </w:tbl>
    <w:p w14:paraId="1D91CDDF" w14:textId="1BD289EF" w:rsidR="006074F2" w:rsidRPr="00C128DA" w:rsidRDefault="00F939E6" w:rsidP="00DA5325">
      <w:pPr>
        <w:pStyle w:val="Heading2"/>
        <w:spacing w:after="120"/>
        <w:rPr>
          <w:sz w:val="28"/>
          <w:szCs w:val="22"/>
        </w:rPr>
      </w:pPr>
      <w:r w:rsidRPr="00C128DA">
        <w:rPr>
          <w:sz w:val="28"/>
          <w:szCs w:val="22"/>
        </w:rPr>
        <w:t>Simulated Work-Based Learnin</w:t>
      </w:r>
      <w:r w:rsidR="00BF4E29" w:rsidRPr="00C128DA">
        <w:rPr>
          <w:sz w:val="28"/>
          <w:szCs w:val="22"/>
        </w:rPr>
        <w:t>g</w:t>
      </w:r>
    </w:p>
    <w:p w14:paraId="225E1B0A" w14:textId="04F9CD17" w:rsidR="0042107A" w:rsidRDefault="00BF4E29" w:rsidP="008A6B25">
      <w:pPr>
        <w:rPr>
          <w:rFonts w:eastAsia="Arial"/>
        </w:rPr>
      </w:pPr>
      <w:r>
        <w:rPr>
          <w:rFonts w:eastAsia="Arial"/>
        </w:rPr>
        <w:t>Simulated Work-Based Learning (</w:t>
      </w:r>
      <w:r w:rsidR="00F939E6">
        <w:rPr>
          <w:rFonts w:eastAsia="Arial"/>
        </w:rPr>
        <w:t>SWBL</w:t>
      </w:r>
      <w:r>
        <w:rPr>
          <w:rFonts w:eastAsia="Arial"/>
        </w:rPr>
        <w:t>)</w:t>
      </w:r>
      <w:r w:rsidR="00F939E6" w:rsidRPr="00F939E6">
        <w:rPr>
          <w:rFonts w:eastAsia="Arial"/>
        </w:rPr>
        <w:t xml:space="preserve"> </w:t>
      </w:r>
      <w:r w:rsidR="00F939E6">
        <w:rPr>
          <w:rFonts w:eastAsia="Arial"/>
        </w:rPr>
        <w:t>i</w:t>
      </w:r>
      <w:r w:rsidR="009904DC" w:rsidRPr="009904DC">
        <w:rPr>
          <w:rFonts w:eastAsia="Arial"/>
        </w:rPr>
        <w:t>s where students gain career experience while at school through an emulated workplace environment that is aligned to the classroom curriculum.</w:t>
      </w:r>
      <w:r w:rsidR="00F939E6">
        <w:rPr>
          <w:rFonts w:eastAsia="Arial"/>
        </w:rPr>
        <w:t xml:space="preserve"> </w:t>
      </w:r>
      <w:r w:rsidR="00915D48">
        <w:rPr>
          <w:rFonts w:eastAsia="Arial"/>
        </w:rPr>
        <w:t>It</w:t>
      </w:r>
      <w:r w:rsidR="00F939E6">
        <w:rPr>
          <w:rFonts w:eastAsia="Arial"/>
        </w:rPr>
        <w:t xml:space="preserve"> m</w:t>
      </w:r>
      <w:r w:rsidR="009904DC" w:rsidRPr="009904DC">
        <w:rPr>
          <w:rFonts w:eastAsia="Arial"/>
        </w:rPr>
        <w:t xml:space="preserve">ust be tied to </w:t>
      </w:r>
      <w:r w:rsidR="00915D48">
        <w:rPr>
          <w:rFonts w:eastAsia="Arial"/>
        </w:rPr>
        <w:t xml:space="preserve">both </w:t>
      </w:r>
      <w:r w:rsidR="009904DC" w:rsidRPr="009904DC">
        <w:rPr>
          <w:rFonts w:eastAsia="Arial"/>
        </w:rPr>
        <w:t>a course and instructor</w:t>
      </w:r>
      <w:r w:rsidR="00F939E6">
        <w:rPr>
          <w:rFonts w:eastAsia="Arial"/>
        </w:rPr>
        <w:t xml:space="preserve">, </w:t>
      </w:r>
      <w:r w:rsidR="00D25FEB">
        <w:rPr>
          <w:rFonts w:eastAsia="Arial"/>
        </w:rPr>
        <w:t>be</w:t>
      </w:r>
      <w:r w:rsidR="009904DC" w:rsidRPr="009904DC">
        <w:rPr>
          <w:rFonts w:eastAsia="Arial"/>
        </w:rPr>
        <w:t xml:space="preserve"> a workplace experience within a school environment in conjunction with business or industry</w:t>
      </w:r>
      <w:r w:rsidR="00D85E1C">
        <w:rPr>
          <w:rFonts w:eastAsia="Arial"/>
        </w:rPr>
        <w:t xml:space="preserve">, and </w:t>
      </w:r>
      <w:r w:rsidR="00915D48">
        <w:rPr>
          <w:rFonts w:eastAsia="Arial"/>
        </w:rPr>
        <w:t xml:space="preserve">it needs to </w:t>
      </w:r>
      <w:r w:rsidR="00D85E1C">
        <w:rPr>
          <w:rFonts w:eastAsia="Arial"/>
        </w:rPr>
        <w:t>i</w:t>
      </w:r>
      <w:r w:rsidR="009904DC" w:rsidRPr="00F939E6">
        <w:rPr>
          <w:rFonts w:eastAsia="Arial"/>
        </w:rPr>
        <w:t>nvolve work-related and/or technical skill development</w:t>
      </w:r>
      <w:r w:rsidR="00726501">
        <w:rPr>
          <w:rFonts w:eastAsia="Arial"/>
        </w:rPr>
        <w:t>.</w:t>
      </w:r>
    </w:p>
    <w:p w14:paraId="11CE9B93" w14:textId="25FB7D2E" w:rsidR="00915D48" w:rsidRDefault="00AC77C8" w:rsidP="00915D48">
      <w:pPr>
        <w:rPr>
          <w:rFonts w:eastAsia="Arial"/>
        </w:rPr>
      </w:pPr>
      <w:r>
        <w:rPr>
          <w:rFonts w:eastAsia="Arial"/>
        </w:rPr>
        <w:t xml:space="preserve">Table </w:t>
      </w:r>
      <w:r w:rsidR="00BF4E29">
        <w:rPr>
          <w:rFonts w:eastAsia="Arial"/>
        </w:rPr>
        <w:t>10</w:t>
      </w:r>
      <w:r w:rsidR="00915D48">
        <w:rPr>
          <w:rFonts w:eastAsia="Arial"/>
        </w:rPr>
        <w:t xml:space="preserve"> shows the number of students that completed </w:t>
      </w:r>
      <w:r w:rsidR="00EF6E49">
        <w:rPr>
          <w:rFonts w:eastAsia="Arial"/>
        </w:rPr>
        <w:t>simulated work-based</w:t>
      </w:r>
      <w:r w:rsidR="00915D48">
        <w:rPr>
          <w:rFonts w:eastAsia="Arial"/>
        </w:rPr>
        <w:t xml:space="preserve"> from </w:t>
      </w:r>
      <w:r w:rsidR="008D7D11">
        <w:rPr>
          <w:rFonts w:eastAsia="Arial"/>
        </w:rPr>
        <w:t xml:space="preserve">the </w:t>
      </w:r>
      <w:r w:rsidR="00915D48">
        <w:rPr>
          <w:rFonts w:eastAsia="Arial"/>
        </w:rPr>
        <w:t>2020</w:t>
      </w:r>
      <w:r w:rsidR="004B15D3">
        <w:rPr>
          <w:rFonts w:cs="Arial"/>
        </w:rPr>
        <w:t>–</w:t>
      </w:r>
      <w:r w:rsidR="00915D48">
        <w:rPr>
          <w:rFonts w:eastAsia="Arial"/>
        </w:rPr>
        <w:t>21 to 2023</w:t>
      </w:r>
      <w:r w:rsidR="004B15D3">
        <w:rPr>
          <w:rFonts w:cs="Arial"/>
        </w:rPr>
        <w:t>–</w:t>
      </w:r>
      <w:r w:rsidR="00915D48">
        <w:rPr>
          <w:rFonts w:eastAsia="Arial"/>
        </w:rPr>
        <w:t>24</w:t>
      </w:r>
      <w:r w:rsidR="008D7D11">
        <w:rPr>
          <w:rFonts w:eastAsia="Arial"/>
        </w:rPr>
        <w:t xml:space="preserve"> school years</w:t>
      </w:r>
      <w:r w:rsidR="00915D48">
        <w:rPr>
          <w:rFonts w:eastAsia="Arial"/>
        </w:rPr>
        <w:t>. Students can be enrolled in any grade in the reporting year.</w:t>
      </w:r>
    </w:p>
    <w:p w14:paraId="71D68558" w14:textId="4D091154" w:rsidR="00AC77C8" w:rsidRPr="00533E6D" w:rsidRDefault="00AC77C8" w:rsidP="00DA5325">
      <w:pPr>
        <w:pStyle w:val="Heading3"/>
        <w:spacing w:after="120"/>
        <w:rPr>
          <w:sz w:val="24"/>
          <w:szCs w:val="20"/>
        </w:rPr>
      </w:pPr>
      <w:r w:rsidRPr="00533E6D">
        <w:rPr>
          <w:sz w:val="24"/>
          <w:szCs w:val="20"/>
        </w:rPr>
        <w:t xml:space="preserve">Table </w:t>
      </w:r>
      <w:r w:rsidR="00BF4E29" w:rsidRPr="00533E6D">
        <w:rPr>
          <w:sz w:val="24"/>
          <w:szCs w:val="20"/>
        </w:rPr>
        <w:t>10</w:t>
      </w:r>
      <w:r w:rsidRPr="00533E6D">
        <w:rPr>
          <w:sz w:val="24"/>
          <w:szCs w:val="20"/>
        </w:rPr>
        <w:t xml:space="preserve">: Number of Students Completing Simulated Work-Based Learning </w:t>
      </w:r>
      <w:r w:rsidR="7906EB3E" w:rsidRPr="00533E6D">
        <w:rPr>
          <w:sz w:val="24"/>
          <w:szCs w:val="20"/>
        </w:rPr>
        <w:t>by</w:t>
      </w:r>
      <w:r w:rsidRPr="00533E6D">
        <w:rPr>
          <w:sz w:val="24"/>
          <w:szCs w:val="20"/>
        </w:rPr>
        <w:t xml:space="preserve"> Year</w:t>
      </w:r>
    </w:p>
    <w:tbl>
      <w:tblPr>
        <w:tblStyle w:val="GridTable4-Accent3"/>
        <w:tblW w:w="9360" w:type="dxa"/>
        <w:tblLayout w:type="fixed"/>
        <w:tblLook w:val="06A0" w:firstRow="1" w:lastRow="0" w:firstColumn="1" w:lastColumn="0" w:noHBand="1" w:noVBand="1"/>
        <w:tblCaption w:val="Table X: Number of Students Completing Simulated Work-Based Learning by Year"/>
        <w:tblDescription w:val="Table X: Number of Students Completing Simulated Work-Based Learning by Year"/>
      </w:tblPr>
      <w:tblGrid>
        <w:gridCol w:w="4680"/>
        <w:gridCol w:w="4680"/>
      </w:tblGrid>
      <w:tr w:rsidR="1CD85E34" w14:paraId="1CB6761E" w14:textId="77777777" w:rsidTr="00DA5325">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F6896B7" w14:textId="77777777" w:rsidR="1CD85E34" w:rsidRPr="008D057E" w:rsidRDefault="1CD85E34" w:rsidP="00BF4E29">
            <w:pPr>
              <w:spacing w:before="0" w:after="0"/>
              <w:jc w:val="center"/>
              <w:rPr>
                <w:color w:val="auto"/>
              </w:rPr>
            </w:pPr>
            <w:r w:rsidRPr="008D057E">
              <w:rPr>
                <w:rFonts w:eastAsia="BIZ UDGothic"/>
                <w:color w:val="auto"/>
              </w:rPr>
              <w:t>Year</w:t>
            </w:r>
          </w:p>
        </w:tc>
        <w:tc>
          <w:tcPr>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61FE417" w14:textId="631B2E0E" w:rsidR="1CD85E34" w:rsidRPr="008D057E" w:rsidRDefault="001E5F5B" w:rsidP="00BF4E29">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1E5F5B">
              <w:rPr>
                <w:rFonts w:eastAsia="BIZ UDGothic"/>
                <w:color w:val="auto"/>
              </w:rPr>
              <w:t>Simulated Work-Based Learning</w:t>
            </w:r>
          </w:p>
        </w:tc>
      </w:tr>
      <w:tr w:rsidR="1CD85E34" w14:paraId="4560B686"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tcPr>
          <w:p w14:paraId="491150A2" w14:textId="77777777" w:rsidR="1CD85E34" w:rsidRDefault="1CD85E34" w:rsidP="00BF4E29">
            <w:pPr>
              <w:spacing w:before="0" w:after="0"/>
              <w:jc w:val="center"/>
            </w:pPr>
            <w:r w:rsidRPr="1CD85E34">
              <w:rPr>
                <w:rFonts w:eastAsia="BIZ UDGothic"/>
              </w:rPr>
              <w:t>2020–21</w:t>
            </w:r>
          </w:p>
        </w:tc>
        <w:tc>
          <w:tcPr>
            <w:tcW w:w="4680" w:type="dxa"/>
            <w:tcBorders>
              <w:top w:val="single" w:sz="4" w:space="0" w:color="auto"/>
              <w:left w:val="single" w:sz="4" w:space="0" w:color="auto"/>
              <w:bottom w:val="single" w:sz="4" w:space="0" w:color="auto"/>
              <w:right w:val="single" w:sz="4" w:space="0" w:color="auto"/>
            </w:tcBorders>
            <w:vAlign w:val="bottom"/>
          </w:tcPr>
          <w:p w14:paraId="64462B8D" w14:textId="73F253FF" w:rsidR="1CD85E34" w:rsidRPr="00060036" w:rsidRDefault="0045406A" w:rsidP="00BF4E29">
            <w:pPr>
              <w:spacing w:before="0" w:after="0"/>
              <w:jc w:val="center"/>
              <w:cnfStyle w:val="000000000000" w:firstRow="0" w:lastRow="0" w:firstColumn="0" w:lastColumn="0" w:oddVBand="0" w:evenVBand="0" w:oddHBand="0" w:evenHBand="0" w:firstRowFirstColumn="0" w:firstRowLastColumn="0" w:lastRowFirstColumn="0" w:lastRowLastColumn="0"/>
            </w:pPr>
            <w:r w:rsidRPr="00060036">
              <w:rPr>
                <w:rFonts w:cs="Arial"/>
                <w:color w:val="000000"/>
              </w:rPr>
              <w:t>14,023</w:t>
            </w:r>
          </w:p>
        </w:tc>
      </w:tr>
      <w:tr w:rsidR="1CD85E34" w14:paraId="03F18DD5"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068FF5B4" w14:textId="77777777" w:rsidR="1CD85E34" w:rsidRDefault="1CD85E34" w:rsidP="00BF4E29">
            <w:pPr>
              <w:spacing w:before="0" w:after="0"/>
              <w:jc w:val="center"/>
            </w:pPr>
            <w:r w:rsidRPr="1CD85E34">
              <w:rPr>
                <w:rFonts w:eastAsia="BIZ UDGothic"/>
              </w:rPr>
              <w:t>2021–22</w:t>
            </w:r>
          </w:p>
        </w:tc>
        <w:tc>
          <w:tcPr>
            <w:tcW w:w="4680"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83D51FE" w14:textId="7469F205" w:rsidR="1CD85E34" w:rsidRPr="00060036" w:rsidRDefault="0045406A" w:rsidP="00BF4E29">
            <w:pPr>
              <w:spacing w:before="0" w:after="0"/>
              <w:jc w:val="center"/>
              <w:cnfStyle w:val="000000000000" w:firstRow="0" w:lastRow="0" w:firstColumn="0" w:lastColumn="0" w:oddVBand="0" w:evenVBand="0" w:oddHBand="0" w:evenHBand="0" w:firstRowFirstColumn="0" w:firstRowLastColumn="0" w:lastRowFirstColumn="0" w:lastRowLastColumn="0"/>
            </w:pPr>
            <w:r w:rsidRPr="00060036">
              <w:rPr>
                <w:rFonts w:cs="Arial"/>
                <w:color w:val="000000"/>
              </w:rPr>
              <w:t>21,967</w:t>
            </w:r>
          </w:p>
        </w:tc>
      </w:tr>
      <w:tr w:rsidR="1CD85E34" w14:paraId="4C439157"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tcPr>
          <w:p w14:paraId="1029E684" w14:textId="77777777" w:rsidR="1CD85E34" w:rsidRDefault="1CD85E34" w:rsidP="00BF4E29">
            <w:pPr>
              <w:spacing w:before="0" w:after="0"/>
              <w:jc w:val="center"/>
            </w:pPr>
            <w:r w:rsidRPr="1CD85E34">
              <w:rPr>
                <w:rFonts w:eastAsia="BIZ UDGothic"/>
              </w:rPr>
              <w:t>2022–23</w:t>
            </w:r>
          </w:p>
        </w:tc>
        <w:tc>
          <w:tcPr>
            <w:tcW w:w="4680" w:type="dxa"/>
            <w:tcBorders>
              <w:top w:val="single" w:sz="4" w:space="0" w:color="auto"/>
              <w:left w:val="single" w:sz="4" w:space="0" w:color="auto"/>
              <w:bottom w:val="single" w:sz="4" w:space="0" w:color="auto"/>
              <w:right w:val="single" w:sz="4" w:space="0" w:color="auto"/>
            </w:tcBorders>
            <w:vAlign w:val="bottom"/>
          </w:tcPr>
          <w:p w14:paraId="1DBA6627" w14:textId="49E3AFF4" w:rsidR="1CD85E34" w:rsidRPr="00060036" w:rsidRDefault="0045406A" w:rsidP="00BF4E29">
            <w:pPr>
              <w:spacing w:before="0" w:after="0"/>
              <w:jc w:val="center"/>
              <w:cnfStyle w:val="000000000000" w:firstRow="0" w:lastRow="0" w:firstColumn="0" w:lastColumn="0" w:oddVBand="0" w:evenVBand="0" w:oddHBand="0" w:evenHBand="0" w:firstRowFirstColumn="0" w:firstRowLastColumn="0" w:lastRowFirstColumn="0" w:lastRowLastColumn="0"/>
            </w:pPr>
            <w:r w:rsidRPr="00060036">
              <w:rPr>
                <w:rFonts w:cs="Arial"/>
                <w:color w:val="000000"/>
              </w:rPr>
              <w:t>10,632</w:t>
            </w:r>
          </w:p>
        </w:tc>
      </w:tr>
      <w:tr w:rsidR="1CD85E34" w14:paraId="25ADE1EE" w14:textId="77777777" w:rsidTr="00DA5325">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AC83A6E" w14:textId="77777777" w:rsidR="1CD85E34" w:rsidRDefault="1CD85E34" w:rsidP="00BF4E29">
            <w:pPr>
              <w:spacing w:before="0" w:after="0"/>
              <w:jc w:val="center"/>
            </w:pPr>
            <w:r w:rsidRPr="1CD85E34">
              <w:rPr>
                <w:rFonts w:eastAsia="BIZ UDGothic"/>
              </w:rPr>
              <w:t>2023–24</w:t>
            </w:r>
          </w:p>
        </w:tc>
        <w:tc>
          <w:tcPr>
            <w:tcW w:w="4680"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DC68A5E" w14:textId="0AD7228E" w:rsidR="1CD85E34" w:rsidRPr="00060036" w:rsidRDefault="0045406A" w:rsidP="00BF4E29">
            <w:pPr>
              <w:spacing w:before="0" w:after="0"/>
              <w:jc w:val="center"/>
              <w:cnfStyle w:val="000000000000" w:firstRow="0" w:lastRow="0" w:firstColumn="0" w:lastColumn="0" w:oddVBand="0" w:evenVBand="0" w:oddHBand="0" w:evenHBand="0" w:firstRowFirstColumn="0" w:firstRowLastColumn="0" w:lastRowFirstColumn="0" w:lastRowLastColumn="0"/>
            </w:pPr>
            <w:r w:rsidRPr="00060036">
              <w:rPr>
                <w:rFonts w:cs="Arial"/>
                <w:color w:val="000000"/>
              </w:rPr>
              <w:t>19,906</w:t>
            </w:r>
          </w:p>
        </w:tc>
      </w:tr>
    </w:tbl>
    <w:p w14:paraId="532706B6" w14:textId="7305787C" w:rsidR="00961133" w:rsidRPr="00C128DA" w:rsidRDefault="00961133" w:rsidP="00DA5325">
      <w:pPr>
        <w:pStyle w:val="Heading2"/>
        <w:spacing w:after="120"/>
        <w:rPr>
          <w:sz w:val="28"/>
          <w:szCs w:val="22"/>
        </w:rPr>
      </w:pPr>
      <w:r w:rsidRPr="00C128DA">
        <w:rPr>
          <w:sz w:val="28"/>
          <w:szCs w:val="22"/>
        </w:rPr>
        <w:t>Armed Services Vocational Aptitude Battery</w:t>
      </w:r>
    </w:p>
    <w:p w14:paraId="03EEE3A9" w14:textId="0CE82232" w:rsidR="00AC77C8" w:rsidRPr="00561095" w:rsidRDefault="00561095" w:rsidP="00D77436">
      <w:pPr>
        <w:rPr>
          <w:rFonts w:eastAsia="Arial"/>
        </w:rPr>
      </w:pPr>
      <w:r w:rsidRPr="00561095">
        <w:rPr>
          <w:rFonts w:eastAsia="Arial"/>
        </w:rPr>
        <w:t xml:space="preserve">The </w:t>
      </w:r>
      <w:r w:rsidR="00EA34EF" w:rsidRPr="00EA34EF">
        <w:rPr>
          <w:rFonts w:eastAsia="Arial"/>
        </w:rPr>
        <w:t>Armed Services Vocational Aptitude Battery</w:t>
      </w:r>
      <w:r w:rsidR="00EA34EF">
        <w:rPr>
          <w:rFonts w:eastAsia="Arial"/>
        </w:rPr>
        <w:t xml:space="preserve"> (</w:t>
      </w:r>
      <w:r w:rsidRPr="00561095">
        <w:rPr>
          <w:rFonts w:eastAsia="Arial"/>
        </w:rPr>
        <w:t>ASVAB</w:t>
      </w:r>
      <w:r w:rsidR="00EA34EF">
        <w:rPr>
          <w:rFonts w:eastAsia="Arial"/>
        </w:rPr>
        <w:t>)</w:t>
      </w:r>
      <w:r w:rsidRPr="00561095">
        <w:rPr>
          <w:rFonts w:eastAsia="Arial"/>
        </w:rPr>
        <w:t xml:space="preserve"> is a military entrance exam that is given to determine enlistment and job training eligibility. This test is administered </w:t>
      </w:r>
      <w:r w:rsidR="005846EE" w:rsidRPr="00561095">
        <w:rPr>
          <w:rFonts w:eastAsia="Arial"/>
        </w:rPr>
        <w:lastRenderedPageBreak/>
        <w:t>for</w:t>
      </w:r>
      <w:r w:rsidRPr="00561095">
        <w:rPr>
          <w:rFonts w:eastAsia="Arial"/>
        </w:rPr>
        <w:t xml:space="preserve"> students in grades ten through twelve in schools that offer this non-mandatory exam.</w:t>
      </w:r>
      <w:r>
        <w:rPr>
          <w:rFonts w:eastAsia="Arial"/>
        </w:rPr>
        <w:t xml:space="preserve"> </w:t>
      </w:r>
      <w:r w:rsidRPr="00561095">
        <w:rPr>
          <w:rFonts w:eastAsia="Arial"/>
        </w:rPr>
        <w:t xml:space="preserve">While the ASVAB has multiple subtests, only the AFQT score is being collected. This score is based on </w:t>
      </w:r>
      <w:r w:rsidR="00D77436">
        <w:rPr>
          <w:rFonts w:eastAsia="Arial"/>
        </w:rPr>
        <w:t>w</w:t>
      </w:r>
      <w:r w:rsidRPr="00561095">
        <w:rPr>
          <w:rFonts w:eastAsia="Arial"/>
        </w:rPr>
        <w:t xml:space="preserve">ord </w:t>
      </w:r>
      <w:r w:rsidR="00D77436">
        <w:rPr>
          <w:rFonts w:eastAsia="Arial"/>
        </w:rPr>
        <w:t>k</w:t>
      </w:r>
      <w:r w:rsidRPr="00561095">
        <w:rPr>
          <w:rFonts w:eastAsia="Arial"/>
        </w:rPr>
        <w:t>nowledge</w:t>
      </w:r>
      <w:r w:rsidR="00D77436">
        <w:rPr>
          <w:rFonts w:eastAsia="Arial"/>
        </w:rPr>
        <w:t>, p</w:t>
      </w:r>
      <w:r w:rsidRPr="00561095">
        <w:rPr>
          <w:rFonts w:eastAsia="Arial"/>
        </w:rPr>
        <w:t xml:space="preserve">aragraph </w:t>
      </w:r>
      <w:r w:rsidR="00D77436">
        <w:rPr>
          <w:rFonts w:eastAsia="Arial"/>
        </w:rPr>
        <w:t>c</w:t>
      </w:r>
      <w:r w:rsidRPr="00561095">
        <w:rPr>
          <w:rFonts w:eastAsia="Arial"/>
        </w:rPr>
        <w:t>omprehension</w:t>
      </w:r>
      <w:r w:rsidR="00D77436">
        <w:rPr>
          <w:rFonts w:eastAsia="Arial"/>
        </w:rPr>
        <w:t>, a</w:t>
      </w:r>
      <w:r w:rsidRPr="00561095">
        <w:rPr>
          <w:rFonts w:eastAsia="Arial"/>
        </w:rPr>
        <w:t xml:space="preserve">rithmetic </w:t>
      </w:r>
      <w:r w:rsidR="00D77436">
        <w:rPr>
          <w:rFonts w:eastAsia="Arial"/>
        </w:rPr>
        <w:t>r</w:t>
      </w:r>
      <w:r w:rsidRPr="00561095">
        <w:rPr>
          <w:rFonts w:eastAsia="Arial"/>
        </w:rPr>
        <w:t>easoning</w:t>
      </w:r>
      <w:r w:rsidR="00D77436">
        <w:rPr>
          <w:rFonts w:eastAsia="Arial"/>
        </w:rPr>
        <w:t>, and m</w:t>
      </w:r>
      <w:r w:rsidRPr="00561095">
        <w:rPr>
          <w:rFonts w:eastAsia="Arial"/>
        </w:rPr>
        <w:t xml:space="preserve">athematics </w:t>
      </w:r>
      <w:r w:rsidR="00D77436">
        <w:rPr>
          <w:rFonts w:eastAsia="Arial"/>
        </w:rPr>
        <w:t>k</w:t>
      </w:r>
      <w:r w:rsidRPr="00561095">
        <w:rPr>
          <w:rFonts w:eastAsia="Arial"/>
        </w:rPr>
        <w:t>nowledge</w:t>
      </w:r>
      <w:r w:rsidR="00D77436">
        <w:rPr>
          <w:rFonts w:eastAsia="Arial"/>
        </w:rPr>
        <w:t>.</w:t>
      </w:r>
    </w:p>
    <w:p w14:paraId="0206851F" w14:textId="385FB948" w:rsidR="00D77436" w:rsidRPr="00561095" w:rsidRDefault="00E45CEF" w:rsidP="001F1DF0">
      <w:pPr>
        <w:rPr>
          <w:rFonts w:eastAsia="Arial"/>
        </w:rPr>
      </w:pPr>
      <w:r>
        <w:rPr>
          <w:rFonts w:eastAsia="Arial"/>
        </w:rPr>
        <w:t>Table</w:t>
      </w:r>
      <w:r w:rsidR="00EA34EF">
        <w:rPr>
          <w:rFonts w:eastAsia="Arial"/>
        </w:rPr>
        <w:t xml:space="preserve"> 11</w:t>
      </w:r>
      <w:r w:rsidR="00D77436">
        <w:rPr>
          <w:rFonts w:eastAsia="Arial"/>
        </w:rPr>
        <w:t xml:space="preserve"> shows the number of students that </w:t>
      </w:r>
      <w:r w:rsidR="00C437FC">
        <w:rPr>
          <w:rFonts w:eastAsia="Arial"/>
        </w:rPr>
        <w:t>received ASVAB scores</w:t>
      </w:r>
      <w:r w:rsidR="00D77436">
        <w:rPr>
          <w:rFonts w:eastAsia="Arial"/>
        </w:rPr>
        <w:t xml:space="preserve"> from </w:t>
      </w:r>
      <w:r w:rsidR="008D7D11">
        <w:rPr>
          <w:rFonts w:eastAsia="Arial"/>
        </w:rPr>
        <w:t xml:space="preserve">the </w:t>
      </w:r>
      <w:r w:rsidR="00D77436">
        <w:rPr>
          <w:rFonts w:eastAsia="Arial"/>
        </w:rPr>
        <w:t>2020</w:t>
      </w:r>
      <w:r w:rsidR="004B15D3">
        <w:rPr>
          <w:rFonts w:cs="Arial"/>
        </w:rPr>
        <w:t>–</w:t>
      </w:r>
      <w:r w:rsidR="00D77436">
        <w:rPr>
          <w:rFonts w:eastAsia="Arial"/>
        </w:rPr>
        <w:t>21 to 2023</w:t>
      </w:r>
      <w:r w:rsidR="00F67334">
        <w:rPr>
          <w:rFonts w:cs="Arial"/>
        </w:rPr>
        <w:t>–</w:t>
      </w:r>
      <w:r w:rsidR="00D77436">
        <w:rPr>
          <w:rFonts w:eastAsia="Arial"/>
        </w:rPr>
        <w:t>24</w:t>
      </w:r>
      <w:r w:rsidR="008D7D11">
        <w:rPr>
          <w:rFonts w:eastAsia="Arial"/>
        </w:rPr>
        <w:t xml:space="preserve"> school year</w:t>
      </w:r>
      <w:r w:rsidR="009D7DA0">
        <w:rPr>
          <w:rFonts w:eastAsia="Arial"/>
        </w:rPr>
        <w:t>s</w:t>
      </w:r>
      <w:r w:rsidR="00D77436">
        <w:rPr>
          <w:rFonts w:eastAsia="Arial"/>
        </w:rPr>
        <w:t xml:space="preserve">. Students can be enrolled </w:t>
      </w:r>
      <w:r w:rsidR="00C437FC">
        <w:rPr>
          <w:rFonts w:eastAsia="Arial"/>
        </w:rPr>
        <w:t>grades 10 through 12</w:t>
      </w:r>
      <w:r w:rsidR="00D77436">
        <w:rPr>
          <w:rFonts w:eastAsia="Arial"/>
        </w:rPr>
        <w:t xml:space="preserve"> in the reporting year.</w:t>
      </w:r>
    </w:p>
    <w:p w14:paraId="6C87648F" w14:textId="5F81FA0D" w:rsidR="00E45CEF" w:rsidRPr="00533E6D" w:rsidRDefault="00E45CEF" w:rsidP="00DA5325">
      <w:pPr>
        <w:pStyle w:val="Heading3"/>
        <w:spacing w:after="120"/>
        <w:rPr>
          <w:sz w:val="24"/>
          <w:szCs w:val="20"/>
        </w:rPr>
      </w:pPr>
      <w:r w:rsidRPr="00533E6D">
        <w:rPr>
          <w:sz w:val="24"/>
          <w:szCs w:val="20"/>
        </w:rPr>
        <w:t xml:space="preserve">Table </w:t>
      </w:r>
      <w:r w:rsidR="00EA34EF" w:rsidRPr="00533E6D">
        <w:rPr>
          <w:sz w:val="24"/>
          <w:szCs w:val="20"/>
        </w:rPr>
        <w:t>11</w:t>
      </w:r>
      <w:r w:rsidRPr="00533E6D">
        <w:rPr>
          <w:sz w:val="24"/>
          <w:szCs w:val="20"/>
        </w:rPr>
        <w:t xml:space="preserve">: Number of Students Completing </w:t>
      </w:r>
      <w:r w:rsidR="00561095" w:rsidRPr="00533E6D">
        <w:rPr>
          <w:sz w:val="24"/>
          <w:szCs w:val="20"/>
        </w:rPr>
        <w:t>the ASVAB</w:t>
      </w:r>
      <w:r w:rsidRPr="00533E6D">
        <w:rPr>
          <w:sz w:val="24"/>
          <w:szCs w:val="20"/>
        </w:rPr>
        <w:t xml:space="preserve"> </w:t>
      </w:r>
      <w:r w:rsidR="410A0A65" w:rsidRPr="00533E6D">
        <w:rPr>
          <w:sz w:val="24"/>
          <w:szCs w:val="20"/>
        </w:rPr>
        <w:t>b</w:t>
      </w:r>
      <w:r w:rsidRPr="00533E6D">
        <w:rPr>
          <w:sz w:val="24"/>
          <w:szCs w:val="20"/>
        </w:rPr>
        <w:t>y Year</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0"/>
        <w:gridCol w:w="4680"/>
      </w:tblGrid>
      <w:tr w:rsidR="0C26C3EC" w14:paraId="3AE95B8B" w14:textId="77777777" w:rsidTr="00533E6D">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B04214D" w14:textId="4E85B3CA" w:rsidR="0C26C3EC" w:rsidRPr="008D057E" w:rsidRDefault="00B5035E" w:rsidP="00B5035E">
            <w:pPr>
              <w:spacing w:before="0" w:after="0"/>
              <w:jc w:val="center"/>
              <w:rPr>
                <w:rFonts w:eastAsia="BIZ UDGothic"/>
                <w:color w:val="auto"/>
              </w:rPr>
            </w:pPr>
            <w:r>
              <w:rPr>
                <w:rFonts w:eastAsia="BIZ UDGothic"/>
                <w:color w:val="auto"/>
              </w:rPr>
              <w:t xml:space="preserve">School </w:t>
            </w:r>
            <w:r w:rsidR="0C26C3EC" w:rsidRPr="008D057E">
              <w:rPr>
                <w:rFonts w:eastAsia="BIZ UDGothic"/>
                <w:color w:val="auto"/>
              </w:rPr>
              <w:t>Year</w:t>
            </w:r>
          </w:p>
        </w:tc>
        <w:tc>
          <w:tcPr>
            <w:tcW w:w="4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D199945" w14:textId="77777777" w:rsidR="0C26C3EC" w:rsidRPr="008D057E" w:rsidRDefault="0C26C3EC" w:rsidP="00B5035E">
            <w:pPr>
              <w:spacing w:before="0" w:after="0"/>
              <w:jc w:val="center"/>
              <w:cnfStyle w:val="100000000000" w:firstRow="1" w:lastRow="0" w:firstColumn="0" w:lastColumn="0" w:oddVBand="0" w:evenVBand="0" w:oddHBand="0" w:evenHBand="0" w:firstRowFirstColumn="0" w:firstRowLastColumn="0" w:lastRowFirstColumn="0" w:lastRowLastColumn="0"/>
              <w:rPr>
                <w:rFonts w:eastAsia="BIZ UDGothic"/>
                <w:color w:val="auto"/>
              </w:rPr>
            </w:pPr>
            <w:r w:rsidRPr="008D057E">
              <w:rPr>
                <w:rFonts w:eastAsia="BIZ UDGothic"/>
                <w:color w:val="auto"/>
              </w:rPr>
              <w:t>ASVAB</w:t>
            </w:r>
          </w:p>
        </w:tc>
      </w:tr>
      <w:tr w:rsidR="0C26C3EC" w14:paraId="24888689"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tcBorders>
          </w:tcPr>
          <w:p w14:paraId="5D73DA57" w14:textId="2AC97095" w:rsidR="0C26C3EC" w:rsidRDefault="0C26C3EC" w:rsidP="00B5035E">
            <w:pPr>
              <w:spacing w:before="0" w:after="0"/>
              <w:jc w:val="center"/>
              <w:rPr>
                <w:rFonts w:eastAsia="BIZ UDGothic"/>
              </w:rPr>
            </w:pPr>
            <w:r w:rsidRPr="0C26C3EC">
              <w:rPr>
                <w:rFonts w:eastAsia="BIZ UDGothic"/>
              </w:rPr>
              <w:t>2020–21</w:t>
            </w:r>
          </w:p>
        </w:tc>
        <w:tc>
          <w:tcPr>
            <w:tcW w:w="4680" w:type="dxa"/>
            <w:tcBorders>
              <w:top w:val="single" w:sz="4" w:space="0" w:color="auto"/>
            </w:tcBorders>
          </w:tcPr>
          <w:p w14:paraId="4506E115" w14:textId="77777777" w:rsidR="0C26C3EC" w:rsidRDefault="0C26C3EC" w:rsidP="00B5035E">
            <w:pPr>
              <w:spacing w:before="0" w:after="0"/>
              <w:jc w:val="center"/>
              <w:cnfStyle w:val="000000000000" w:firstRow="0" w:lastRow="0" w:firstColumn="0" w:lastColumn="0" w:oddVBand="0" w:evenVBand="0" w:oddHBand="0" w:evenHBand="0" w:firstRowFirstColumn="0" w:firstRowLastColumn="0" w:lastRowFirstColumn="0" w:lastRowLastColumn="0"/>
              <w:rPr>
                <w:rFonts w:eastAsia="BIZ UDGothic"/>
              </w:rPr>
            </w:pPr>
            <w:r w:rsidRPr="0C26C3EC">
              <w:rPr>
                <w:rFonts w:eastAsia="BIZ UDGothic"/>
              </w:rPr>
              <w:t>607</w:t>
            </w:r>
          </w:p>
        </w:tc>
      </w:tr>
      <w:tr w:rsidR="0C26C3EC" w14:paraId="760DF63D"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3B785A37" w14:textId="77777777" w:rsidR="0C26C3EC" w:rsidRDefault="0C26C3EC" w:rsidP="00B5035E">
            <w:pPr>
              <w:spacing w:before="0" w:after="0"/>
              <w:jc w:val="center"/>
            </w:pPr>
            <w:r w:rsidRPr="0C26C3EC">
              <w:rPr>
                <w:rFonts w:eastAsia="BIZ UDGothic"/>
              </w:rPr>
              <w:t>2021–22</w:t>
            </w:r>
          </w:p>
        </w:tc>
        <w:tc>
          <w:tcPr>
            <w:tcW w:w="4680" w:type="dxa"/>
            <w:shd w:val="clear" w:color="auto" w:fill="E7E6E6" w:themeFill="background2"/>
          </w:tcPr>
          <w:p w14:paraId="7A779BE0" w14:textId="77777777" w:rsidR="0C26C3EC" w:rsidRDefault="0C26C3EC" w:rsidP="00B5035E">
            <w:pPr>
              <w:spacing w:before="0" w:after="0"/>
              <w:jc w:val="center"/>
              <w:cnfStyle w:val="000000000000" w:firstRow="0" w:lastRow="0" w:firstColumn="0" w:lastColumn="0" w:oddVBand="0" w:evenVBand="0" w:oddHBand="0" w:evenHBand="0" w:firstRowFirstColumn="0" w:firstRowLastColumn="0" w:lastRowFirstColumn="0" w:lastRowLastColumn="0"/>
            </w:pPr>
            <w:r w:rsidRPr="0C26C3EC">
              <w:rPr>
                <w:rFonts w:eastAsia="BIZ UDGothic"/>
              </w:rPr>
              <w:t>6,071</w:t>
            </w:r>
          </w:p>
        </w:tc>
      </w:tr>
      <w:tr w:rsidR="0C26C3EC" w14:paraId="4B7F5162"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7DAC879" w14:textId="77777777" w:rsidR="0C26C3EC" w:rsidRDefault="0C26C3EC" w:rsidP="00B5035E">
            <w:pPr>
              <w:spacing w:before="0" w:after="0"/>
              <w:jc w:val="center"/>
            </w:pPr>
            <w:r w:rsidRPr="0C26C3EC">
              <w:rPr>
                <w:rFonts w:eastAsia="BIZ UDGothic"/>
              </w:rPr>
              <w:t>2022–23</w:t>
            </w:r>
          </w:p>
        </w:tc>
        <w:tc>
          <w:tcPr>
            <w:tcW w:w="4680" w:type="dxa"/>
          </w:tcPr>
          <w:p w14:paraId="2D131E5A" w14:textId="77777777" w:rsidR="0C26C3EC" w:rsidRPr="008E3197" w:rsidRDefault="0C26C3EC" w:rsidP="00B5035E">
            <w:pPr>
              <w:spacing w:before="0" w:after="0"/>
              <w:jc w:val="center"/>
              <w:cnfStyle w:val="000000000000" w:firstRow="0" w:lastRow="0" w:firstColumn="0" w:lastColumn="0" w:oddVBand="0" w:evenVBand="0" w:oddHBand="0" w:evenHBand="0" w:firstRowFirstColumn="0" w:firstRowLastColumn="0" w:lastRowFirstColumn="0" w:lastRowLastColumn="0"/>
              <w:rPr>
                <w:rFonts w:eastAsia="BIZ UDGothic"/>
              </w:rPr>
            </w:pPr>
            <w:r w:rsidRPr="0C26C3EC">
              <w:rPr>
                <w:rFonts w:eastAsia="BIZ UDGothic"/>
              </w:rPr>
              <w:t>4,173</w:t>
            </w:r>
          </w:p>
        </w:tc>
      </w:tr>
      <w:tr w:rsidR="008E3197" w14:paraId="4613276E"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E7E6E6" w:themeFill="background2"/>
          </w:tcPr>
          <w:p w14:paraId="24A77E16" w14:textId="67D4CF2C" w:rsidR="008E3197" w:rsidRPr="0C26C3EC" w:rsidRDefault="008E3197" w:rsidP="00B5035E">
            <w:pPr>
              <w:spacing w:before="0" w:after="0"/>
              <w:jc w:val="center"/>
              <w:rPr>
                <w:rFonts w:eastAsia="BIZ UDGothic"/>
              </w:rPr>
            </w:pPr>
            <w:r>
              <w:rPr>
                <w:rFonts w:eastAsia="BIZ UDGothic"/>
              </w:rPr>
              <w:t>2023-24</w:t>
            </w:r>
          </w:p>
        </w:tc>
        <w:tc>
          <w:tcPr>
            <w:tcW w:w="4680" w:type="dxa"/>
            <w:shd w:val="clear" w:color="auto" w:fill="E7E6E6" w:themeFill="background2"/>
          </w:tcPr>
          <w:p w14:paraId="489CE53D" w14:textId="0B4582B1" w:rsidR="008E3197" w:rsidRPr="0C26C3EC" w:rsidRDefault="002A2E94" w:rsidP="00B5035E">
            <w:pPr>
              <w:spacing w:before="0" w:after="0"/>
              <w:jc w:val="center"/>
              <w:cnfStyle w:val="000000000000" w:firstRow="0" w:lastRow="0" w:firstColumn="0" w:lastColumn="0" w:oddVBand="0" w:evenVBand="0" w:oddHBand="0" w:evenHBand="0" w:firstRowFirstColumn="0" w:firstRowLastColumn="0" w:lastRowFirstColumn="0" w:lastRowLastColumn="0"/>
              <w:rPr>
                <w:rFonts w:eastAsia="BIZ UDGothic"/>
              </w:rPr>
            </w:pPr>
            <w:r>
              <w:rPr>
                <w:rFonts w:eastAsia="BIZ UDGothic"/>
              </w:rPr>
              <w:t>3,951</w:t>
            </w:r>
          </w:p>
        </w:tc>
      </w:tr>
    </w:tbl>
    <w:p w14:paraId="18AEB178" w14:textId="6DFB7268" w:rsidR="004A4994" w:rsidRPr="004A4994" w:rsidRDefault="004A4994" w:rsidP="00420316">
      <w:pPr>
        <w:rPr>
          <w:rFonts w:eastAsiaTheme="majorEastAsia" w:cstheme="majorBidi"/>
          <w:i/>
          <w:iCs/>
        </w:rPr>
      </w:pPr>
      <w:r>
        <w:rPr>
          <w:rFonts w:eastAsiaTheme="majorEastAsia" w:cstheme="majorBidi"/>
          <w:i/>
          <w:iCs/>
        </w:rPr>
        <w:t xml:space="preserve">Comparison of </w:t>
      </w:r>
      <w:r w:rsidR="00A40A07">
        <w:rPr>
          <w:rFonts w:eastAsiaTheme="majorEastAsia" w:cstheme="majorBidi"/>
          <w:i/>
          <w:iCs/>
        </w:rPr>
        <w:t xml:space="preserve">Career Measure Completion and the </w:t>
      </w:r>
      <w:r w:rsidR="00DF1E1F">
        <w:rPr>
          <w:rFonts w:eastAsiaTheme="majorEastAsia" w:cstheme="majorBidi"/>
          <w:i/>
          <w:iCs/>
        </w:rPr>
        <w:t>CCI</w:t>
      </w:r>
    </w:p>
    <w:p w14:paraId="39663DDF" w14:textId="1F7E50A8" w:rsidR="00E828EE" w:rsidRDefault="003971BF" w:rsidP="00420316">
      <w:pPr>
        <w:rPr>
          <w:rFonts w:eastAsiaTheme="majorEastAsia" w:cstheme="majorBidi"/>
        </w:rPr>
      </w:pPr>
      <w:r>
        <w:rPr>
          <w:rFonts w:eastAsiaTheme="majorEastAsia" w:cstheme="majorBidi"/>
        </w:rPr>
        <w:t xml:space="preserve">CDE analyzed </w:t>
      </w:r>
      <w:r w:rsidR="009D7DA0">
        <w:rPr>
          <w:rFonts w:eastAsiaTheme="majorEastAsia" w:cstheme="majorBidi"/>
        </w:rPr>
        <w:t>the number of</w:t>
      </w:r>
      <w:r>
        <w:rPr>
          <w:rFonts w:eastAsiaTheme="majorEastAsia" w:cstheme="majorBidi"/>
        </w:rPr>
        <w:t xml:space="preserve"> students </w:t>
      </w:r>
      <w:r w:rsidR="00C5462E">
        <w:rPr>
          <w:rFonts w:eastAsiaTheme="majorEastAsia" w:cstheme="majorBidi"/>
        </w:rPr>
        <w:t xml:space="preserve">in the </w:t>
      </w:r>
      <w:r w:rsidR="00F66A97">
        <w:rPr>
          <w:rFonts w:eastAsiaTheme="majorEastAsia" w:cstheme="majorBidi"/>
        </w:rPr>
        <w:t>2023</w:t>
      </w:r>
      <w:r w:rsidR="00F66A97" w:rsidRPr="006E3294">
        <w:rPr>
          <w:rFonts w:eastAsia="BIZ UDGothic"/>
        </w:rPr>
        <w:t>–</w:t>
      </w:r>
      <w:r w:rsidR="00F66A97">
        <w:rPr>
          <w:rFonts w:eastAsiaTheme="majorEastAsia" w:cstheme="majorBidi"/>
        </w:rPr>
        <w:t xml:space="preserve">24 </w:t>
      </w:r>
      <w:r w:rsidR="009D7DA0">
        <w:rPr>
          <w:rFonts w:eastAsiaTheme="majorEastAsia" w:cstheme="majorBidi"/>
        </w:rPr>
        <w:t xml:space="preserve">CCI </w:t>
      </w:r>
      <w:r w:rsidR="00F66A97">
        <w:rPr>
          <w:rFonts w:eastAsiaTheme="majorEastAsia" w:cstheme="majorBidi"/>
        </w:rPr>
        <w:t xml:space="preserve">cohort </w:t>
      </w:r>
      <w:r w:rsidR="009D7DA0">
        <w:rPr>
          <w:rFonts w:eastAsiaTheme="majorEastAsia" w:cstheme="majorBidi"/>
        </w:rPr>
        <w:t xml:space="preserve">who </w:t>
      </w:r>
      <w:r w:rsidR="00F935F4">
        <w:rPr>
          <w:rFonts w:eastAsiaTheme="majorEastAsia" w:cstheme="majorBidi"/>
        </w:rPr>
        <w:t xml:space="preserve">completed </w:t>
      </w:r>
      <w:r w:rsidR="003C1D4C">
        <w:rPr>
          <w:rFonts w:eastAsiaTheme="majorEastAsia" w:cstheme="majorBidi"/>
        </w:rPr>
        <w:t>these career measures</w:t>
      </w:r>
      <w:r>
        <w:rPr>
          <w:rFonts w:eastAsiaTheme="majorEastAsia" w:cstheme="majorBidi"/>
        </w:rPr>
        <w:t xml:space="preserve"> compared with </w:t>
      </w:r>
      <w:r w:rsidR="009E785D">
        <w:rPr>
          <w:rFonts w:eastAsiaTheme="majorEastAsia" w:cstheme="majorBidi"/>
        </w:rPr>
        <w:t xml:space="preserve">how their </w:t>
      </w:r>
      <w:r w:rsidR="00B6504A">
        <w:rPr>
          <w:rFonts w:eastAsiaTheme="majorEastAsia" w:cstheme="majorBidi"/>
        </w:rPr>
        <w:t>LEA prepared them for college/career on approved criteria</w:t>
      </w:r>
      <w:r w:rsidR="00890934">
        <w:rPr>
          <w:rFonts w:eastAsiaTheme="majorEastAsia" w:cstheme="majorBidi"/>
        </w:rPr>
        <w:t xml:space="preserve">. The results </w:t>
      </w:r>
      <w:r>
        <w:rPr>
          <w:rFonts w:eastAsiaTheme="majorEastAsia" w:cstheme="majorBidi"/>
        </w:rPr>
        <w:t xml:space="preserve">are </w:t>
      </w:r>
      <w:r w:rsidR="00890934">
        <w:rPr>
          <w:rFonts w:eastAsiaTheme="majorEastAsia" w:cstheme="majorBidi"/>
        </w:rPr>
        <w:t xml:space="preserve">displayed in Table </w:t>
      </w:r>
      <w:r w:rsidR="00036368">
        <w:rPr>
          <w:rFonts w:eastAsiaTheme="majorEastAsia" w:cstheme="majorBidi"/>
        </w:rPr>
        <w:t>12</w:t>
      </w:r>
      <w:r w:rsidR="00890934">
        <w:rPr>
          <w:rFonts w:eastAsiaTheme="majorEastAsia" w:cstheme="majorBidi"/>
        </w:rPr>
        <w:t>.</w:t>
      </w:r>
    </w:p>
    <w:p w14:paraId="6771A0BA" w14:textId="3C15B342" w:rsidR="00E828EE" w:rsidRPr="003B1B60" w:rsidRDefault="001A259B" w:rsidP="00C128DA">
      <w:pPr>
        <w:pStyle w:val="Heading3"/>
        <w:spacing w:before="0" w:after="120"/>
        <w:rPr>
          <w:sz w:val="24"/>
          <w:szCs w:val="20"/>
        </w:rPr>
      </w:pPr>
      <w:r w:rsidRPr="003B1B60">
        <w:rPr>
          <w:sz w:val="24"/>
          <w:szCs w:val="20"/>
        </w:rPr>
        <w:t xml:space="preserve">Table </w:t>
      </w:r>
      <w:r w:rsidR="00E602B2" w:rsidRPr="003B1B60">
        <w:rPr>
          <w:sz w:val="24"/>
          <w:szCs w:val="20"/>
        </w:rPr>
        <w:t>12</w:t>
      </w:r>
      <w:r w:rsidRPr="003B1B60">
        <w:rPr>
          <w:sz w:val="24"/>
          <w:szCs w:val="20"/>
        </w:rPr>
        <w:t xml:space="preserve">: </w:t>
      </w:r>
      <w:r w:rsidR="4EBD7B19" w:rsidRPr="003B1B60">
        <w:rPr>
          <w:sz w:val="24"/>
          <w:szCs w:val="20"/>
        </w:rPr>
        <w:t xml:space="preserve">Students Who </w:t>
      </w:r>
      <w:r w:rsidRPr="003B1B60">
        <w:rPr>
          <w:sz w:val="24"/>
          <w:szCs w:val="20"/>
        </w:rPr>
        <w:t>Complet</w:t>
      </w:r>
      <w:r w:rsidR="4A164071" w:rsidRPr="003B1B60">
        <w:rPr>
          <w:sz w:val="24"/>
          <w:szCs w:val="20"/>
        </w:rPr>
        <w:t>e</w:t>
      </w:r>
      <w:r w:rsidRPr="003B1B60">
        <w:rPr>
          <w:sz w:val="24"/>
          <w:szCs w:val="20"/>
        </w:rPr>
        <w:t xml:space="preserve"> W</w:t>
      </w:r>
      <w:r w:rsidR="3F86B5C7" w:rsidRPr="003B1B60">
        <w:rPr>
          <w:sz w:val="24"/>
          <w:szCs w:val="20"/>
        </w:rPr>
        <w:t xml:space="preserve">ork </w:t>
      </w:r>
      <w:r w:rsidRPr="003B1B60">
        <w:rPr>
          <w:sz w:val="24"/>
          <w:szCs w:val="20"/>
        </w:rPr>
        <w:t>B</w:t>
      </w:r>
      <w:r w:rsidR="0728B378" w:rsidRPr="003B1B60">
        <w:rPr>
          <w:sz w:val="24"/>
          <w:szCs w:val="20"/>
        </w:rPr>
        <w:t xml:space="preserve">ased </w:t>
      </w:r>
      <w:r w:rsidRPr="003B1B60">
        <w:rPr>
          <w:sz w:val="24"/>
          <w:szCs w:val="20"/>
        </w:rPr>
        <w:t>L</w:t>
      </w:r>
      <w:r w:rsidR="6214AAB5" w:rsidRPr="003B1B60">
        <w:rPr>
          <w:sz w:val="24"/>
          <w:szCs w:val="20"/>
        </w:rPr>
        <w:t xml:space="preserve">earning </w:t>
      </w:r>
      <w:r w:rsidR="00A93569" w:rsidRPr="003B1B60">
        <w:rPr>
          <w:sz w:val="24"/>
          <w:szCs w:val="20"/>
        </w:rPr>
        <w:t xml:space="preserve">and their CCI Level </w:t>
      </w:r>
      <w:r w:rsidR="00F52740" w:rsidRPr="003B1B60">
        <w:rPr>
          <w:sz w:val="24"/>
          <w:szCs w:val="20"/>
        </w:rPr>
        <w:t xml:space="preserve">in the </w:t>
      </w:r>
      <w:r w:rsidR="6214AAB5" w:rsidRPr="003B1B60">
        <w:rPr>
          <w:sz w:val="24"/>
          <w:szCs w:val="20"/>
        </w:rPr>
        <w:t>2023–24 Cohort</w:t>
      </w: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Table X: Students Who Complete Work Based Learning and their CCI Level in the 2023–24 Cohort"/>
        <w:tblDescription w:val="Table X: Students Who Complete Work Based Learning and their CCI Level in the 2023–24 Cohort"/>
      </w:tblPr>
      <w:tblGrid>
        <w:gridCol w:w="1872"/>
        <w:gridCol w:w="1872"/>
        <w:gridCol w:w="1872"/>
        <w:gridCol w:w="1872"/>
        <w:gridCol w:w="1872"/>
      </w:tblGrid>
      <w:tr w:rsidR="00FA5CF6" w:rsidRPr="009A3E23" w14:paraId="6CDEE9C8" w14:textId="77777777" w:rsidTr="00533E6D">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74463C" w14:textId="77777777" w:rsidR="00FA5CF6" w:rsidRPr="00C95CDE" w:rsidRDefault="00FA5CF6" w:rsidP="00E602B2">
            <w:pPr>
              <w:spacing w:before="0" w:after="0"/>
              <w:jc w:val="center"/>
              <w:rPr>
                <w:color w:val="auto"/>
              </w:rPr>
            </w:pPr>
            <w:r w:rsidRPr="00C95CDE">
              <w:rPr>
                <w:rFonts w:eastAsia="BIZ UDGothic"/>
                <w:color w:val="auto"/>
              </w:rPr>
              <w:t>Prepared Type</w:t>
            </w:r>
          </w:p>
        </w:tc>
        <w:tc>
          <w:tcPr>
            <w:tcW w:w="18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2A9C7E" w14:textId="77777777" w:rsidR="00FA5CF6" w:rsidRPr="00C95CDE" w:rsidRDefault="00FA5CF6" w:rsidP="00E602B2">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C95CDE">
              <w:rPr>
                <w:rFonts w:eastAsia="BIZ UDGothic"/>
                <w:color w:val="auto"/>
              </w:rPr>
              <w:t>ASVAB</w:t>
            </w:r>
            <w:r w:rsidRPr="00C95CDE">
              <w:rPr>
                <w:color w:val="auto"/>
              </w:rPr>
              <w:t xml:space="preserve"> </w:t>
            </w:r>
            <w:r w:rsidRPr="00C95CDE">
              <w:rPr>
                <w:rFonts w:eastAsia="BIZ UDGothic"/>
                <w:color w:val="auto"/>
              </w:rPr>
              <w:t>(Scoring &gt;=30)</w:t>
            </w:r>
          </w:p>
        </w:tc>
        <w:tc>
          <w:tcPr>
            <w:tcW w:w="1872" w:type="dxa"/>
            <w:tcBorders>
              <w:top w:val="single" w:sz="4" w:space="0" w:color="auto"/>
              <w:left w:val="single" w:sz="4" w:space="0" w:color="auto"/>
              <w:right w:val="single" w:sz="4" w:space="0" w:color="auto"/>
            </w:tcBorders>
            <w:shd w:val="clear" w:color="auto" w:fill="E7E6E6" w:themeFill="background2"/>
            <w:vAlign w:val="center"/>
          </w:tcPr>
          <w:p w14:paraId="648AC685" w14:textId="77777777" w:rsidR="00FA5CF6" w:rsidRPr="00C95CDE" w:rsidRDefault="00FA5CF6" w:rsidP="00E602B2">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C95CDE">
              <w:rPr>
                <w:rFonts w:eastAsia="BIZ UDGothic"/>
                <w:color w:val="auto"/>
              </w:rPr>
              <w:t>Internships</w:t>
            </w:r>
          </w:p>
        </w:tc>
        <w:tc>
          <w:tcPr>
            <w:tcW w:w="1872" w:type="dxa"/>
            <w:tcBorders>
              <w:top w:val="single" w:sz="4" w:space="0" w:color="auto"/>
              <w:left w:val="single" w:sz="4" w:space="0" w:color="auto"/>
              <w:right w:val="single" w:sz="4" w:space="0" w:color="auto"/>
            </w:tcBorders>
            <w:shd w:val="clear" w:color="auto" w:fill="E7E6E6" w:themeFill="background2"/>
            <w:vAlign w:val="center"/>
          </w:tcPr>
          <w:p w14:paraId="42767D49" w14:textId="77777777" w:rsidR="00FA5CF6" w:rsidRPr="00C95CDE" w:rsidRDefault="00FA5CF6" w:rsidP="00E602B2">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C95CDE">
              <w:rPr>
                <w:rFonts w:eastAsia="BIZ UDGothic"/>
                <w:color w:val="auto"/>
              </w:rPr>
              <w:t>Student-Led Enterprise</w:t>
            </w:r>
          </w:p>
        </w:tc>
        <w:tc>
          <w:tcPr>
            <w:tcW w:w="1872" w:type="dxa"/>
            <w:tcBorders>
              <w:top w:val="single" w:sz="4" w:space="0" w:color="auto"/>
              <w:left w:val="single" w:sz="4" w:space="0" w:color="auto"/>
              <w:right w:val="single" w:sz="4" w:space="0" w:color="auto"/>
            </w:tcBorders>
            <w:shd w:val="clear" w:color="auto" w:fill="E7E6E6" w:themeFill="background2"/>
            <w:vAlign w:val="center"/>
          </w:tcPr>
          <w:p w14:paraId="0BAA24B9" w14:textId="77777777" w:rsidR="00FA5CF6" w:rsidRPr="00C95CDE" w:rsidRDefault="00FA5CF6" w:rsidP="00E602B2">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C95CDE">
              <w:rPr>
                <w:rFonts w:eastAsia="BIZ UDGothic"/>
                <w:color w:val="auto"/>
              </w:rPr>
              <w:t>Simulated WBL</w:t>
            </w:r>
          </w:p>
        </w:tc>
      </w:tr>
      <w:tr w:rsidR="00FA5CF6" w:rsidRPr="009A3E23" w14:paraId="27DDFFF3"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shd w:val="clear" w:color="auto" w:fill="auto"/>
            <w:vAlign w:val="center"/>
          </w:tcPr>
          <w:p w14:paraId="7C165ECC" w14:textId="53417FC8" w:rsidR="00420316" w:rsidRPr="00C95CDE" w:rsidRDefault="00FA5CF6" w:rsidP="00E602B2">
            <w:pPr>
              <w:spacing w:before="0" w:after="0"/>
              <w:jc w:val="center"/>
              <w:rPr>
                <w:rFonts w:eastAsia="BIZ UDGothic"/>
                <w:color w:val="auto"/>
              </w:rPr>
            </w:pPr>
            <w:r w:rsidRPr="00C95CDE">
              <w:rPr>
                <w:rFonts w:eastAsia="BIZ UDGothic"/>
                <w:color w:val="auto"/>
              </w:rPr>
              <w:t>Prepared</w:t>
            </w:r>
          </w:p>
        </w:tc>
        <w:tc>
          <w:tcPr>
            <w:tcW w:w="1872" w:type="dxa"/>
            <w:shd w:val="clear" w:color="auto" w:fill="auto"/>
            <w:vAlign w:val="center"/>
          </w:tcPr>
          <w:p w14:paraId="577694C3"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3,998</w:t>
            </w:r>
          </w:p>
        </w:tc>
        <w:tc>
          <w:tcPr>
            <w:tcW w:w="1872" w:type="dxa"/>
            <w:shd w:val="clear" w:color="auto" w:fill="auto"/>
            <w:vAlign w:val="center"/>
          </w:tcPr>
          <w:p w14:paraId="50C094AC"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12,530</w:t>
            </w:r>
          </w:p>
        </w:tc>
        <w:tc>
          <w:tcPr>
            <w:tcW w:w="1872" w:type="dxa"/>
            <w:shd w:val="clear" w:color="auto" w:fill="auto"/>
            <w:vAlign w:val="center"/>
          </w:tcPr>
          <w:p w14:paraId="6F95232E"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4,348</w:t>
            </w:r>
          </w:p>
        </w:tc>
        <w:tc>
          <w:tcPr>
            <w:tcW w:w="1872" w:type="dxa"/>
            <w:shd w:val="clear" w:color="auto" w:fill="auto"/>
            <w:vAlign w:val="center"/>
          </w:tcPr>
          <w:p w14:paraId="2D4D49DD"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15,159</w:t>
            </w:r>
          </w:p>
        </w:tc>
      </w:tr>
      <w:tr w:rsidR="00FA5CF6" w:rsidRPr="009A3E23" w14:paraId="44F39E3E"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shd w:val="clear" w:color="auto" w:fill="E7E6E6" w:themeFill="background2"/>
            <w:vAlign w:val="center"/>
          </w:tcPr>
          <w:p w14:paraId="5774085C" w14:textId="01A4AC77" w:rsidR="00FA5CF6" w:rsidRPr="00C95CDE" w:rsidRDefault="00FA5CF6" w:rsidP="00E602B2">
            <w:pPr>
              <w:spacing w:before="0" w:after="0"/>
              <w:jc w:val="center"/>
              <w:rPr>
                <w:color w:val="auto"/>
              </w:rPr>
            </w:pPr>
            <w:r w:rsidRPr="00C95CDE">
              <w:rPr>
                <w:rFonts w:eastAsia="BIZ UDGothic"/>
                <w:color w:val="auto"/>
              </w:rPr>
              <w:t>Approaching Prepared</w:t>
            </w:r>
          </w:p>
        </w:tc>
        <w:tc>
          <w:tcPr>
            <w:tcW w:w="1872" w:type="dxa"/>
            <w:shd w:val="clear" w:color="auto" w:fill="E7E6E6" w:themeFill="background2"/>
            <w:vAlign w:val="center"/>
          </w:tcPr>
          <w:p w14:paraId="68FC08F9"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1,098</w:t>
            </w:r>
          </w:p>
        </w:tc>
        <w:tc>
          <w:tcPr>
            <w:tcW w:w="1872" w:type="dxa"/>
            <w:shd w:val="clear" w:color="auto" w:fill="E7E6E6" w:themeFill="background2"/>
            <w:vAlign w:val="center"/>
          </w:tcPr>
          <w:p w14:paraId="70687899"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3,960</w:t>
            </w:r>
          </w:p>
        </w:tc>
        <w:tc>
          <w:tcPr>
            <w:tcW w:w="1872" w:type="dxa"/>
            <w:shd w:val="clear" w:color="auto" w:fill="E7E6E6" w:themeFill="background2"/>
            <w:vAlign w:val="center"/>
          </w:tcPr>
          <w:p w14:paraId="1F7CEB51"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1,694</w:t>
            </w:r>
          </w:p>
        </w:tc>
        <w:tc>
          <w:tcPr>
            <w:tcW w:w="1872" w:type="dxa"/>
            <w:shd w:val="clear" w:color="auto" w:fill="E7E6E6" w:themeFill="background2"/>
            <w:vAlign w:val="center"/>
          </w:tcPr>
          <w:p w14:paraId="4C552463"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6,049</w:t>
            </w:r>
          </w:p>
        </w:tc>
      </w:tr>
      <w:tr w:rsidR="00FA5CF6" w:rsidRPr="009A3E23" w14:paraId="5EF12B26"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shd w:val="clear" w:color="auto" w:fill="auto"/>
            <w:vAlign w:val="center"/>
          </w:tcPr>
          <w:p w14:paraId="2581D403" w14:textId="203D8AF9" w:rsidR="00420316" w:rsidRPr="00C95CDE" w:rsidRDefault="00FA5CF6" w:rsidP="00E602B2">
            <w:pPr>
              <w:spacing w:before="0" w:after="0"/>
              <w:jc w:val="center"/>
              <w:rPr>
                <w:color w:val="auto"/>
              </w:rPr>
            </w:pPr>
            <w:r w:rsidRPr="00C95CDE">
              <w:rPr>
                <w:rFonts w:eastAsia="BIZ UDGothic"/>
                <w:color w:val="auto"/>
              </w:rPr>
              <w:t>Not Prepared</w:t>
            </w:r>
          </w:p>
        </w:tc>
        <w:tc>
          <w:tcPr>
            <w:tcW w:w="1872" w:type="dxa"/>
            <w:shd w:val="clear" w:color="auto" w:fill="auto"/>
            <w:vAlign w:val="center"/>
          </w:tcPr>
          <w:p w14:paraId="31F6CBF7"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815</w:t>
            </w:r>
          </w:p>
        </w:tc>
        <w:tc>
          <w:tcPr>
            <w:tcW w:w="1872" w:type="dxa"/>
            <w:shd w:val="clear" w:color="auto" w:fill="auto"/>
            <w:vAlign w:val="center"/>
          </w:tcPr>
          <w:p w14:paraId="1D86EFF7"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2,926</w:t>
            </w:r>
          </w:p>
        </w:tc>
        <w:tc>
          <w:tcPr>
            <w:tcW w:w="1872" w:type="dxa"/>
            <w:shd w:val="clear" w:color="auto" w:fill="auto"/>
            <w:vAlign w:val="center"/>
          </w:tcPr>
          <w:p w14:paraId="208B374F"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1,281</w:t>
            </w:r>
          </w:p>
        </w:tc>
        <w:tc>
          <w:tcPr>
            <w:tcW w:w="1872" w:type="dxa"/>
            <w:shd w:val="clear" w:color="auto" w:fill="auto"/>
            <w:vAlign w:val="center"/>
          </w:tcPr>
          <w:p w14:paraId="2534A685"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5,630</w:t>
            </w:r>
          </w:p>
        </w:tc>
      </w:tr>
      <w:tr w:rsidR="00FA5CF6" w:rsidRPr="009A3E23" w14:paraId="0503F389" w14:textId="77777777" w:rsidTr="00533E6D">
        <w:trPr>
          <w:cantSplit/>
          <w:trHeight w:val="300"/>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bottom w:val="single" w:sz="4" w:space="0" w:color="auto"/>
            </w:tcBorders>
            <w:shd w:val="clear" w:color="auto" w:fill="E7E6E6" w:themeFill="background2"/>
            <w:vAlign w:val="center"/>
          </w:tcPr>
          <w:p w14:paraId="261FB8CC" w14:textId="535804E5" w:rsidR="00420316" w:rsidRPr="00C95CDE" w:rsidRDefault="00FA5CF6" w:rsidP="00E602B2">
            <w:pPr>
              <w:spacing w:before="0" w:after="0"/>
              <w:jc w:val="center"/>
              <w:rPr>
                <w:color w:val="auto"/>
              </w:rPr>
            </w:pPr>
            <w:r w:rsidRPr="00C95CDE">
              <w:rPr>
                <w:rFonts w:eastAsia="BIZ UDGothic"/>
                <w:color w:val="auto"/>
              </w:rPr>
              <w:t>Total</w:t>
            </w:r>
          </w:p>
        </w:tc>
        <w:tc>
          <w:tcPr>
            <w:tcW w:w="1872" w:type="dxa"/>
            <w:tcBorders>
              <w:bottom w:val="single" w:sz="4" w:space="0" w:color="auto"/>
            </w:tcBorders>
            <w:vAlign w:val="center"/>
          </w:tcPr>
          <w:p w14:paraId="09CB7FD9"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5,911</w:t>
            </w:r>
          </w:p>
        </w:tc>
        <w:tc>
          <w:tcPr>
            <w:tcW w:w="1872" w:type="dxa"/>
            <w:vAlign w:val="center"/>
          </w:tcPr>
          <w:p w14:paraId="48C3C1B9"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19,416</w:t>
            </w:r>
          </w:p>
        </w:tc>
        <w:tc>
          <w:tcPr>
            <w:tcW w:w="1872" w:type="dxa"/>
            <w:vAlign w:val="center"/>
          </w:tcPr>
          <w:p w14:paraId="59F53908"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7,323</w:t>
            </w:r>
          </w:p>
        </w:tc>
        <w:tc>
          <w:tcPr>
            <w:tcW w:w="1872" w:type="dxa"/>
            <w:vAlign w:val="center"/>
          </w:tcPr>
          <w:p w14:paraId="225918AF" w14:textId="77777777" w:rsidR="00FA5CF6" w:rsidRPr="009A3E23" w:rsidRDefault="00FA5CF6" w:rsidP="00E602B2">
            <w:pPr>
              <w:spacing w:before="0" w:after="0"/>
              <w:jc w:val="center"/>
              <w:cnfStyle w:val="000000000000" w:firstRow="0" w:lastRow="0" w:firstColumn="0" w:lastColumn="0" w:oddVBand="0" w:evenVBand="0" w:oddHBand="0" w:evenHBand="0" w:firstRowFirstColumn="0" w:firstRowLastColumn="0" w:lastRowFirstColumn="0" w:lastRowLastColumn="0"/>
            </w:pPr>
            <w:r w:rsidRPr="009A3E23">
              <w:rPr>
                <w:rFonts w:eastAsia="BIZ UDGothic"/>
              </w:rPr>
              <w:t>26,838</w:t>
            </w:r>
          </w:p>
        </w:tc>
      </w:tr>
    </w:tbl>
    <w:p w14:paraId="26DA8D6F" w14:textId="0B500DF1" w:rsidR="001A42A8" w:rsidRDefault="00ED23F8" w:rsidP="001F1DF0">
      <w:pPr>
        <w:rPr>
          <w:rFonts w:eastAsia="Arial"/>
        </w:rPr>
      </w:pPr>
      <w:r>
        <w:rPr>
          <w:rFonts w:eastAsia="Arial"/>
        </w:rPr>
        <w:t xml:space="preserve">Across </w:t>
      </w:r>
      <w:r w:rsidR="009B0313">
        <w:rPr>
          <w:rFonts w:eastAsia="Arial"/>
        </w:rPr>
        <w:t>all</w:t>
      </w:r>
      <w:r>
        <w:rPr>
          <w:rFonts w:eastAsia="Arial"/>
        </w:rPr>
        <w:t xml:space="preserve"> the measures, </w:t>
      </w:r>
      <w:r w:rsidR="00AF347D">
        <w:rPr>
          <w:rFonts w:eastAsia="Arial"/>
        </w:rPr>
        <w:t>a</w:t>
      </w:r>
      <w:r>
        <w:rPr>
          <w:rFonts w:eastAsia="Arial"/>
        </w:rPr>
        <w:t xml:space="preserve"> majority of students </w:t>
      </w:r>
      <w:r w:rsidR="006C2DC8">
        <w:rPr>
          <w:rFonts w:eastAsia="Arial"/>
        </w:rPr>
        <w:t>met the standard of being “Prepared” on the CCI</w:t>
      </w:r>
      <w:r w:rsidR="0010016D">
        <w:rPr>
          <w:rFonts w:eastAsia="Arial"/>
        </w:rPr>
        <w:t xml:space="preserve"> </w:t>
      </w:r>
      <w:r w:rsidR="00FC14AD">
        <w:rPr>
          <w:rFonts w:eastAsia="Arial"/>
        </w:rPr>
        <w:t xml:space="preserve">under the existing criteria. </w:t>
      </w:r>
      <w:r w:rsidR="0090037D">
        <w:rPr>
          <w:rFonts w:eastAsia="Arial"/>
        </w:rPr>
        <w:t>As the overall numbers for participation in these career measures is small as well</w:t>
      </w:r>
      <w:r w:rsidR="00BC4DB4">
        <w:rPr>
          <w:rFonts w:eastAsia="Arial"/>
        </w:rPr>
        <w:t xml:space="preserve">, the inclusion of any </w:t>
      </w:r>
      <w:r w:rsidR="00EF4F4B">
        <w:rPr>
          <w:rFonts w:eastAsia="Arial"/>
        </w:rPr>
        <w:t xml:space="preserve">additional </w:t>
      </w:r>
      <w:r w:rsidR="00BC4DB4">
        <w:rPr>
          <w:rFonts w:eastAsia="Arial"/>
        </w:rPr>
        <w:t>career measures</w:t>
      </w:r>
      <w:r w:rsidR="00EF4F4B">
        <w:rPr>
          <w:rFonts w:eastAsia="Arial"/>
        </w:rPr>
        <w:t xml:space="preserve"> to the CCI would likely </w:t>
      </w:r>
      <w:r w:rsidR="009525D3">
        <w:rPr>
          <w:rFonts w:eastAsia="Arial"/>
        </w:rPr>
        <w:t>affect a</w:t>
      </w:r>
      <w:r w:rsidR="00C951E3">
        <w:rPr>
          <w:rFonts w:eastAsia="Arial"/>
        </w:rPr>
        <w:t xml:space="preserve"> small number of additional students</w:t>
      </w:r>
      <w:r w:rsidR="00BD030C">
        <w:rPr>
          <w:rFonts w:eastAsia="Arial"/>
        </w:rPr>
        <w:t>/schools/LEAs.</w:t>
      </w:r>
    </w:p>
    <w:p w14:paraId="3027ED8F" w14:textId="77777777" w:rsidR="00491D24" w:rsidRDefault="00491D24">
      <w:pPr>
        <w:spacing w:after="160" w:line="259" w:lineRule="auto"/>
        <w:sectPr w:rsidR="00491D24" w:rsidSect="0089621B">
          <w:headerReference w:type="default" r:id="rId140"/>
          <w:headerReference w:type="first" r:id="rId141"/>
          <w:footerReference w:type="first" r:id="rId142"/>
          <w:pgSz w:w="12240" w:h="15840"/>
          <w:pgMar w:top="1440" w:right="1440" w:bottom="1440" w:left="1440" w:header="720" w:footer="720" w:gutter="0"/>
          <w:pgNumType w:start="1"/>
          <w:cols w:space="720"/>
          <w:docGrid w:linePitch="360"/>
        </w:sectPr>
      </w:pPr>
    </w:p>
    <w:p w14:paraId="565F2C30" w14:textId="6FE00DDF" w:rsidR="5F66B1C4" w:rsidRPr="00A92916" w:rsidRDefault="5F66B1C4" w:rsidP="00A92916">
      <w:pPr>
        <w:pStyle w:val="Heading1"/>
        <w:jc w:val="left"/>
        <w:rPr>
          <w:sz w:val="36"/>
          <w:szCs w:val="28"/>
        </w:rPr>
      </w:pPr>
      <w:r w:rsidRPr="00A92916">
        <w:rPr>
          <w:sz w:val="36"/>
          <w:szCs w:val="28"/>
        </w:rPr>
        <w:lastRenderedPageBreak/>
        <w:t xml:space="preserve">Attachment </w:t>
      </w:r>
      <w:r w:rsidR="2FEE2601" w:rsidRPr="00A92916">
        <w:rPr>
          <w:sz w:val="36"/>
          <w:szCs w:val="28"/>
        </w:rPr>
        <w:t>2</w:t>
      </w:r>
    </w:p>
    <w:p w14:paraId="6831C854" w14:textId="7CD58E52" w:rsidR="1B058CF8" w:rsidRPr="003B1B60" w:rsidRDefault="00B00595" w:rsidP="003B1B60">
      <w:pPr>
        <w:pStyle w:val="Heading2"/>
        <w:rPr>
          <w:sz w:val="32"/>
          <w:szCs w:val="24"/>
        </w:rPr>
      </w:pPr>
      <w:r w:rsidRPr="003B1B60">
        <w:rPr>
          <w:sz w:val="32"/>
          <w:szCs w:val="24"/>
        </w:rPr>
        <w:t xml:space="preserve">Analysis of Student Growth Data and Review of Options to Incorporate Growth into </w:t>
      </w:r>
      <w:r w:rsidR="00B1069D" w:rsidRPr="003B1B60">
        <w:rPr>
          <w:sz w:val="32"/>
          <w:szCs w:val="24"/>
        </w:rPr>
        <w:t>LCFF Eligibility Criteria</w:t>
      </w:r>
    </w:p>
    <w:p w14:paraId="30EC3361" w14:textId="7AE5043F" w:rsidR="00A779CC" w:rsidRPr="00491731" w:rsidRDefault="0094495B" w:rsidP="5F48C630">
      <w:pPr>
        <w:rPr>
          <w:rFonts w:eastAsia="Arial" w:cs="Arial"/>
          <w:color w:val="000000" w:themeColor="text1"/>
        </w:rPr>
      </w:pPr>
      <w:r>
        <w:rPr>
          <w:rFonts w:eastAsia="Arial" w:cs="Arial"/>
          <w:color w:val="000000" w:themeColor="text1"/>
        </w:rPr>
        <w:t xml:space="preserve">At their </w:t>
      </w:r>
      <w:r w:rsidR="00E05897" w:rsidRPr="5F48C630">
        <w:rPr>
          <w:rFonts w:eastAsia="Arial" w:cs="Arial"/>
          <w:color w:val="000000" w:themeColor="text1"/>
        </w:rPr>
        <w:t>May 2021</w:t>
      </w:r>
      <w:r w:rsidR="00E05897">
        <w:rPr>
          <w:rFonts w:eastAsia="Arial" w:cs="Arial"/>
          <w:color w:val="000000" w:themeColor="text1"/>
        </w:rPr>
        <w:t xml:space="preserve"> </w:t>
      </w:r>
      <w:r>
        <w:rPr>
          <w:rFonts w:eastAsia="Arial" w:cs="Arial"/>
          <w:color w:val="000000" w:themeColor="text1"/>
        </w:rPr>
        <w:t xml:space="preserve">meeting </w:t>
      </w:r>
      <w:r w:rsidR="00E05897">
        <w:rPr>
          <w:rFonts w:eastAsia="Arial" w:cs="Arial"/>
          <w:color w:val="000000" w:themeColor="text1"/>
        </w:rPr>
        <w:t xml:space="preserve">the </w:t>
      </w:r>
      <w:r w:rsidR="0B792ED2" w:rsidRPr="5F48C630">
        <w:rPr>
          <w:rFonts w:eastAsia="Arial" w:cs="Arial"/>
          <w:color w:val="000000" w:themeColor="text1"/>
        </w:rPr>
        <w:t>S</w:t>
      </w:r>
      <w:r w:rsidR="00E05897">
        <w:rPr>
          <w:rFonts w:eastAsia="Arial" w:cs="Arial"/>
          <w:color w:val="000000" w:themeColor="text1"/>
        </w:rPr>
        <w:t xml:space="preserve">tate </w:t>
      </w:r>
      <w:r w:rsidR="0B792ED2" w:rsidRPr="5F48C630">
        <w:rPr>
          <w:rFonts w:eastAsia="Arial" w:cs="Arial"/>
          <w:color w:val="000000" w:themeColor="text1"/>
        </w:rPr>
        <w:t>B</w:t>
      </w:r>
      <w:r w:rsidR="00E05897">
        <w:rPr>
          <w:rFonts w:eastAsia="Arial" w:cs="Arial"/>
          <w:color w:val="000000" w:themeColor="text1"/>
        </w:rPr>
        <w:t xml:space="preserve">oard of </w:t>
      </w:r>
      <w:r w:rsidR="0B792ED2" w:rsidRPr="5F48C630">
        <w:rPr>
          <w:rFonts w:eastAsia="Arial" w:cs="Arial"/>
          <w:color w:val="000000" w:themeColor="text1"/>
        </w:rPr>
        <w:t>E</w:t>
      </w:r>
      <w:r w:rsidR="00E05897">
        <w:rPr>
          <w:rFonts w:eastAsia="Arial" w:cs="Arial"/>
          <w:color w:val="000000" w:themeColor="text1"/>
        </w:rPr>
        <w:t>ducation</w:t>
      </w:r>
      <w:r w:rsidR="0B792ED2" w:rsidRPr="5F48C630">
        <w:rPr>
          <w:rFonts w:eastAsia="Arial" w:cs="Arial"/>
          <w:color w:val="000000" w:themeColor="text1"/>
        </w:rPr>
        <w:t xml:space="preserve"> </w:t>
      </w:r>
      <w:r w:rsidR="00CE4999">
        <w:rPr>
          <w:rFonts w:eastAsia="Arial" w:cs="Arial"/>
          <w:color w:val="000000" w:themeColor="text1"/>
        </w:rPr>
        <w:t xml:space="preserve">(SBE) </w:t>
      </w:r>
      <w:r w:rsidR="0B792ED2" w:rsidRPr="5F48C630">
        <w:rPr>
          <w:rFonts w:eastAsia="Arial" w:cs="Arial"/>
          <w:color w:val="000000" w:themeColor="text1"/>
        </w:rPr>
        <w:t xml:space="preserve">adopted a methodology for calculating a student-level growth model for students in grades 4 through 8 </w:t>
      </w:r>
      <w:r w:rsidR="76FDD779" w:rsidRPr="5F48C630">
        <w:rPr>
          <w:rFonts w:eastAsia="Arial" w:cs="Arial"/>
          <w:color w:val="000000" w:themeColor="text1"/>
        </w:rPr>
        <w:t xml:space="preserve">in both </w:t>
      </w:r>
      <w:r w:rsidR="59C83C28" w:rsidRPr="5F48C630">
        <w:rPr>
          <w:rFonts w:eastAsia="Arial" w:cs="Arial"/>
          <w:color w:val="000000" w:themeColor="text1"/>
        </w:rPr>
        <w:t>English Language Arts (ELA) and Mathematics (Math)</w:t>
      </w:r>
      <w:r w:rsidR="60756DB8" w:rsidRPr="5F48C630">
        <w:rPr>
          <w:rFonts w:eastAsia="Arial" w:cs="Arial"/>
          <w:color w:val="000000" w:themeColor="text1"/>
        </w:rPr>
        <w:t>.</w:t>
      </w:r>
      <w:r w:rsidR="34F6EE14" w:rsidRPr="5F48C630">
        <w:rPr>
          <w:rFonts w:eastAsia="Arial" w:cs="Arial"/>
          <w:color w:val="000000" w:themeColor="text1"/>
        </w:rPr>
        <w:t xml:space="preserve"> The adopted methodology requires three years of consecutive assessments</w:t>
      </w:r>
      <w:r w:rsidR="3988E422" w:rsidRPr="5F48C630">
        <w:rPr>
          <w:rFonts w:eastAsia="Arial" w:cs="Arial"/>
          <w:color w:val="000000" w:themeColor="text1"/>
        </w:rPr>
        <w:t xml:space="preserve"> to </w:t>
      </w:r>
      <w:r w:rsidR="10776A09" w:rsidRPr="5F48C630">
        <w:rPr>
          <w:rFonts w:eastAsia="Arial" w:cs="Arial"/>
          <w:color w:val="000000" w:themeColor="text1"/>
        </w:rPr>
        <w:t>calculate growth</w:t>
      </w:r>
      <w:r w:rsidR="3988E422" w:rsidRPr="5F48C630">
        <w:rPr>
          <w:rFonts w:eastAsia="Arial" w:cs="Arial"/>
          <w:color w:val="000000" w:themeColor="text1"/>
        </w:rPr>
        <w:t xml:space="preserve"> scores for schools, districts and student groups. </w:t>
      </w:r>
      <w:r w:rsidR="09DFC031" w:rsidRPr="5F48C630">
        <w:rPr>
          <w:rFonts w:eastAsia="Arial" w:cs="Arial"/>
          <w:color w:val="000000" w:themeColor="text1"/>
        </w:rPr>
        <w:t xml:space="preserve">In </w:t>
      </w:r>
      <w:r w:rsidR="6B84F00B" w:rsidRPr="5F48C630">
        <w:rPr>
          <w:rFonts w:eastAsia="Arial" w:cs="Arial"/>
          <w:color w:val="000000" w:themeColor="text1"/>
        </w:rPr>
        <w:t xml:space="preserve">late </w:t>
      </w:r>
      <w:r w:rsidR="09DFC031" w:rsidRPr="5F48C630">
        <w:rPr>
          <w:rFonts w:eastAsia="Arial" w:cs="Arial"/>
          <w:color w:val="000000" w:themeColor="text1"/>
        </w:rPr>
        <w:t xml:space="preserve">January 2025, the first set of growth data based on the </w:t>
      </w:r>
      <w:r w:rsidR="3BCE67C6" w:rsidRPr="5F48C630">
        <w:rPr>
          <w:rFonts w:eastAsia="Calibri" w:cs="Arial"/>
        </w:rPr>
        <w:t>California Assessment of Student Performance and Progress (CAASPP)</w:t>
      </w:r>
      <w:r w:rsidR="09DFC031" w:rsidRPr="5F48C630">
        <w:rPr>
          <w:rFonts w:eastAsia="Arial" w:cs="Arial"/>
          <w:color w:val="000000" w:themeColor="text1"/>
        </w:rPr>
        <w:t xml:space="preserve"> assessment results from the 2021</w:t>
      </w:r>
      <w:r w:rsidR="1C7EB6FE" w:rsidRPr="5F48C630">
        <w:rPr>
          <w:rFonts w:eastAsia="Arial" w:cs="Arial"/>
          <w:color w:val="000000" w:themeColor="text1"/>
        </w:rPr>
        <w:t>–</w:t>
      </w:r>
      <w:r w:rsidR="09DFC031" w:rsidRPr="5F48C630">
        <w:rPr>
          <w:rFonts w:eastAsia="Arial" w:cs="Arial"/>
          <w:color w:val="000000" w:themeColor="text1"/>
        </w:rPr>
        <w:t>22, 2022</w:t>
      </w:r>
      <w:r w:rsidR="1C7EB6FE" w:rsidRPr="5F48C630">
        <w:rPr>
          <w:rFonts w:eastAsia="Arial" w:cs="Arial"/>
          <w:color w:val="000000" w:themeColor="text1"/>
        </w:rPr>
        <w:t>–</w:t>
      </w:r>
      <w:r w:rsidR="09DFC031" w:rsidRPr="5F48C630">
        <w:rPr>
          <w:rFonts w:eastAsia="Arial" w:cs="Arial"/>
          <w:color w:val="000000" w:themeColor="text1"/>
        </w:rPr>
        <w:t>23</w:t>
      </w:r>
      <w:r>
        <w:rPr>
          <w:rFonts w:eastAsia="Arial" w:cs="Arial"/>
          <w:color w:val="000000" w:themeColor="text1"/>
        </w:rPr>
        <w:t>,</w:t>
      </w:r>
      <w:r w:rsidR="09DFC031" w:rsidRPr="5F48C630">
        <w:rPr>
          <w:rFonts w:eastAsia="Arial" w:cs="Arial"/>
          <w:color w:val="000000" w:themeColor="text1"/>
        </w:rPr>
        <w:t xml:space="preserve"> and 2023</w:t>
      </w:r>
      <w:r w:rsidR="1C7EB6FE" w:rsidRPr="5F48C630">
        <w:rPr>
          <w:rFonts w:eastAsia="Arial" w:cs="Arial"/>
          <w:color w:val="000000" w:themeColor="text1"/>
        </w:rPr>
        <w:t>–</w:t>
      </w:r>
      <w:r w:rsidR="09DFC031" w:rsidRPr="5F48C630">
        <w:rPr>
          <w:rFonts w:eastAsia="Arial" w:cs="Arial"/>
          <w:color w:val="000000" w:themeColor="text1"/>
        </w:rPr>
        <w:t>24 school years</w:t>
      </w:r>
      <w:r w:rsidR="00CE4999">
        <w:rPr>
          <w:rFonts w:eastAsia="Arial" w:cs="Arial"/>
          <w:color w:val="000000" w:themeColor="text1"/>
        </w:rPr>
        <w:t xml:space="preserve"> were released on the 2024 California School Dashboard (Dashboard)</w:t>
      </w:r>
      <w:r w:rsidR="09DFC031" w:rsidRPr="5F48C630">
        <w:rPr>
          <w:rFonts w:eastAsia="Arial" w:cs="Arial"/>
          <w:color w:val="000000" w:themeColor="text1"/>
        </w:rPr>
        <w:t>.</w:t>
      </w:r>
    </w:p>
    <w:p w14:paraId="35BAF0B5" w14:textId="5F4381BE" w:rsidR="00665A23" w:rsidRPr="00491731" w:rsidRDefault="00ED0382" w:rsidP="2F23CF6C">
      <w:pPr>
        <w:rPr>
          <w:rFonts w:eastAsia="Arial" w:cs="Arial"/>
          <w:color w:val="000000" w:themeColor="text1"/>
        </w:rPr>
      </w:pPr>
      <w:r>
        <w:rPr>
          <w:rFonts w:cs="Arial"/>
        </w:rPr>
        <w:t>With the availability of</w:t>
      </w:r>
      <w:r w:rsidR="00AE54AA" w:rsidRPr="00491731">
        <w:rPr>
          <w:rFonts w:cs="Arial"/>
        </w:rPr>
        <w:t xml:space="preserve"> growth score data for evaluation at the school, district and student group levels, </w:t>
      </w:r>
      <w:r>
        <w:rPr>
          <w:rFonts w:cs="Arial"/>
        </w:rPr>
        <w:t>the California Department of Education (</w:t>
      </w:r>
      <w:r w:rsidR="00AE54AA" w:rsidRPr="00491731">
        <w:rPr>
          <w:rFonts w:cs="Arial"/>
        </w:rPr>
        <w:t>CDE</w:t>
      </w:r>
      <w:r>
        <w:rPr>
          <w:rFonts w:cs="Arial"/>
        </w:rPr>
        <w:t>)</w:t>
      </w:r>
      <w:r w:rsidR="00AE54AA" w:rsidRPr="00491731">
        <w:rPr>
          <w:rFonts w:cs="Arial"/>
        </w:rPr>
        <w:t xml:space="preserve"> is requesting additional guidance </w:t>
      </w:r>
      <w:r w:rsidR="00E536A7">
        <w:rPr>
          <w:rFonts w:cs="Arial"/>
        </w:rPr>
        <w:t>from t</w:t>
      </w:r>
      <w:r w:rsidR="00AE54AA" w:rsidRPr="00491731">
        <w:rPr>
          <w:rFonts w:cs="Arial"/>
        </w:rPr>
        <w:t xml:space="preserve">he SBE </w:t>
      </w:r>
      <w:r w:rsidR="00E536A7">
        <w:rPr>
          <w:rFonts w:cs="Arial"/>
        </w:rPr>
        <w:t>on the</w:t>
      </w:r>
      <w:r w:rsidR="00AE54AA" w:rsidRPr="00491731">
        <w:rPr>
          <w:rFonts w:cs="Arial"/>
        </w:rPr>
        <w:t xml:space="preserve"> use </w:t>
      </w:r>
      <w:r w:rsidR="00E536A7">
        <w:rPr>
          <w:rFonts w:cs="Arial"/>
        </w:rPr>
        <w:t xml:space="preserve">of </w:t>
      </w:r>
      <w:r w:rsidR="00AE54AA" w:rsidRPr="00491731">
        <w:rPr>
          <w:rFonts w:cs="Arial"/>
        </w:rPr>
        <w:t>the</w:t>
      </w:r>
      <w:r w:rsidR="00E536A7">
        <w:rPr>
          <w:rFonts w:cs="Arial"/>
        </w:rPr>
        <w:t>se</w:t>
      </w:r>
      <w:r w:rsidR="00AE54AA" w:rsidRPr="00491731">
        <w:rPr>
          <w:rFonts w:cs="Arial"/>
        </w:rPr>
        <w:t xml:space="preserve"> data </w:t>
      </w:r>
      <w:r w:rsidR="00ED0A68">
        <w:rPr>
          <w:rFonts w:cs="Arial"/>
        </w:rPr>
        <w:t>i</w:t>
      </w:r>
      <w:r w:rsidR="00E536A7">
        <w:rPr>
          <w:rFonts w:cs="Arial"/>
        </w:rPr>
        <w:t xml:space="preserve">n the </w:t>
      </w:r>
      <w:r w:rsidR="00AE54AA" w:rsidRPr="00491731">
        <w:rPr>
          <w:rFonts w:cs="Arial"/>
        </w:rPr>
        <w:t xml:space="preserve">2025 </w:t>
      </w:r>
      <w:r w:rsidR="00E536A7">
        <w:rPr>
          <w:rFonts w:cs="Arial"/>
        </w:rPr>
        <w:t xml:space="preserve">Dashboard </w:t>
      </w:r>
      <w:r w:rsidR="00AE54AA" w:rsidRPr="00491731">
        <w:rPr>
          <w:rFonts w:cs="Arial"/>
        </w:rPr>
        <w:t>and beyond.</w:t>
      </w:r>
      <w:r w:rsidR="00AE54AA">
        <w:rPr>
          <w:rFonts w:cs="Arial"/>
        </w:rPr>
        <w:t xml:space="preserve"> </w:t>
      </w:r>
      <w:r w:rsidR="001078CB">
        <w:rPr>
          <w:rFonts w:eastAsia="Arial" w:cs="Arial"/>
          <w:color w:val="000000" w:themeColor="text1"/>
        </w:rPr>
        <w:t xml:space="preserve">Table </w:t>
      </w:r>
      <w:r w:rsidR="00ED0A68">
        <w:rPr>
          <w:rFonts w:eastAsia="Arial" w:cs="Arial"/>
          <w:color w:val="000000" w:themeColor="text1"/>
        </w:rPr>
        <w:t>13</w:t>
      </w:r>
      <w:r w:rsidR="001078CB">
        <w:rPr>
          <w:rFonts w:eastAsia="Arial" w:cs="Arial"/>
          <w:color w:val="000000" w:themeColor="text1"/>
        </w:rPr>
        <w:t xml:space="preserve"> shows the</w:t>
      </w:r>
      <w:r w:rsidR="00DC3E1B">
        <w:rPr>
          <w:rFonts w:eastAsia="Arial" w:cs="Arial"/>
          <w:color w:val="000000" w:themeColor="text1"/>
        </w:rPr>
        <w:t xml:space="preserve"> </w:t>
      </w:r>
      <w:r w:rsidR="00DC3E1B" w:rsidRPr="003251C9">
        <w:rPr>
          <w:rFonts w:eastAsia="Arial" w:cs="Arial"/>
          <w:color w:val="000000" w:themeColor="text1"/>
        </w:rPr>
        <w:t>activities related to the student-level growth model in the</w:t>
      </w:r>
      <w:r w:rsidR="001078CB" w:rsidRPr="003251C9">
        <w:rPr>
          <w:rFonts w:eastAsia="Arial" w:cs="Arial"/>
          <w:color w:val="000000" w:themeColor="text1"/>
        </w:rPr>
        <w:t xml:space="preserve"> </w:t>
      </w:r>
      <w:r w:rsidR="00F56A52" w:rsidRPr="003251C9">
        <w:rPr>
          <w:rFonts w:eastAsia="Arial" w:cs="Arial"/>
          <w:color w:val="000000" w:themeColor="text1"/>
        </w:rPr>
        <w:t>2025 Accountability Workplan</w:t>
      </w:r>
      <w:r w:rsidR="00A14563" w:rsidRPr="003251C9">
        <w:rPr>
          <w:rFonts w:eastAsia="Arial" w:cs="Arial"/>
          <w:color w:val="000000" w:themeColor="text1"/>
        </w:rPr>
        <w:t xml:space="preserve"> and the items presented at prior and upcoming SBE and California Practitioners Advisory Group (CPAG) meetings</w:t>
      </w:r>
      <w:r w:rsidR="00DC3E1B" w:rsidRPr="003251C9">
        <w:rPr>
          <w:rFonts w:eastAsia="Arial" w:cs="Arial"/>
          <w:color w:val="000000" w:themeColor="text1"/>
        </w:rPr>
        <w:t>.</w:t>
      </w:r>
    </w:p>
    <w:p w14:paraId="28B3F0D6" w14:textId="0AA58EE5" w:rsidR="05CA64DF" w:rsidRPr="003B1B60" w:rsidRDefault="05CA64DF" w:rsidP="003B1B60">
      <w:pPr>
        <w:pStyle w:val="Heading3"/>
        <w:rPr>
          <w:color w:val="000000" w:themeColor="text1"/>
          <w:sz w:val="24"/>
          <w:szCs w:val="20"/>
        </w:rPr>
      </w:pPr>
      <w:r w:rsidRPr="003B1B60">
        <w:rPr>
          <w:color w:val="000000" w:themeColor="text1"/>
          <w:sz w:val="24"/>
          <w:szCs w:val="20"/>
        </w:rPr>
        <w:t xml:space="preserve">Table </w:t>
      </w:r>
      <w:r w:rsidR="00ED0A68" w:rsidRPr="003B1B60">
        <w:rPr>
          <w:sz w:val="24"/>
          <w:szCs w:val="20"/>
        </w:rPr>
        <w:t>13</w:t>
      </w:r>
      <w:r w:rsidRPr="003B1B60">
        <w:rPr>
          <w:color w:val="000000" w:themeColor="text1"/>
          <w:sz w:val="24"/>
          <w:szCs w:val="20"/>
        </w:rPr>
        <w:t xml:space="preserve">: </w:t>
      </w:r>
      <w:r w:rsidRPr="003B1B60">
        <w:rPr>
          <w:sz w:val="24"/>
          <w:szCs w:val="20"/>
        </w:rPr>
        <w:t xml:space="preserve">Timeline of Ongoing Developmental Activities for </w:t>
      </w:r>
      <w:r w:rsidR="757E7385" w:rsidRPr="003B1B60">
        <w:rPr>
          <w:sz w:val="24"/>
          <w:szCs w:val="20"/>
        </w:rPr>
        <w:t>the</w:t>
      </w:r>
      <w:r w:rsidRPr="003B1B60">
        <w:rPr>
          <w:sz w:val="24"/>
          <w:szCs w:val="20"/>
        </w:rPr>
        <w:t xml:space="preserve"> </w:t>
      </w:r>
      <w:r w:rsidR="3AF027B9" w:rsidRPr="003B1B60">
        <w:rPr>
          <w:color w:val="000000" w:themeColor="text1"/>
          <w:sz w:val="24"/>
          <w:szCs w:val="20"/>
        </w:rPr>
        <w:t>Student-Level</w:t>
      </w:r>
      <w:r w:rsidR="3AF027B9" w:rsidRPr="003B1B60">
        <w:rPr>
          <w:sz w:val="24"/>
          <w:szCs w:val="20"/>
        </w:rPr>
        <w:t xml:space="preserve"> </w:t>
      </w:r>
      <w:r w:rsidR="2A8686AE" w:rsidRPr="003B1B60">
        <w:rPr>
          <w:sz w:val="24"/>
          <w:szCs w:val="20"/>
        </w:rPr>
        <w:t>Growth Model</w:t>
      </w:r>
      <w:r w:rsidRPr="003B1B60">
        <w:rPr>
          <w:sz w:val="24"/>
          <w:szCs w:val="20"/>
        </w:rPr>
        <w:t xml:space="preserve"> in the 2025 Accountability Workplan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X: Timeline of Ongoing Developmental Activities for the Student-Level Growth Model in the 2025 Accountability Workplan"/>
        <w:tblDescription w:val="Table X: Timeline of Ongoing Developmental Activities for the Student-Level Growth Model in the 2025 Accountability Workplan"/>
      </w:tblPr>
      <w:tblGrid>
        <w:gridCol w:w="2195"/>
        <w:gridCol w:w="1771"/>
        <w:gridCol w:w="1695"/>
        <w:gridCol w:w="1645"/>
        <w:gridCol w:w="2038"/>
      </w:tblGrid>
      <w:tr w:rsidR="00A84FF7" w14:paraId="0807201D" w14:textId="77777777" w:rsidTr="003B1B60">
        <w:trPr>
          <w:cantSplit/>
          <w:trHeight w:val="300"/>
          <w:tblHeader/>
        </w:trPr>
        <w:tc>
          <w:tcPr>
            <w:tcW w:w="2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08AA6877" w14:textId="09F3DFF7"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Subject</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009DAACB" w14:textId="4A0C6D1B"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March 2025</w:t>
            </w:r>
          </w:p>
          <w:p w14:paraId="2F5114CD" w14:textId="207826E7"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SBE Meeting</w:t>
            </w:r>
          </w:p>
        </w:tc>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6409E55" w14:textId="6EE25123"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May 2025</w:t>
            </w:r>
          </w:p>
          <w:p w14:paraId="4D57407B" w14:textId="1D46E5BE"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SBE Meeting</w:t>
            </w:r>
          </w:p>
        </w:tc>
        <w:tc>
          <w:tcPr>
            <w:tcW w:w="1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5FC3A25" w14:textId="4C4C949D" w:rsidR="2EEB614B" w:rsidRPr="00DA6017" w:rsidRDefault="2EEB614B" w:rsidP="00DA6017">
            <w:pPr>
              <w:spacing w:before="120" w:after="0"/>
              <w:jc w:val="center"/>
              <w:rPr>
                <w:rFonts w:eastAsia="Arial"/>
                <w:b/>
              </w:rPr>
            </w:pPr>
            <w:r w:rsidRPr="00DA6017">
              <w:rPr>
                <w:rFonts w:eastAsia="Arial"/>
                <w:b/>
              </w:rPr>
              <w:t>June 2025</w:t>
            </w:r>
          </w:p>
          <w:p w14:paraId="0BF791DA" w14:textId="2753B76B" w:rsidR="2EEB614B" w:rsidRDefault="2EEB614B" w:rsidP="00DA6017">
            <w:pPr>
              <w:spacing w:before="0"/>
              <w:jc w:val="center"/>
              <w:rPr>
                <w:rFonts w:eastAsia="Arial" w:cs="Arial"/>
                <w:color w:val="000000" w:themeColor="text1"/>
              </w:rPr>
            </w:pPr>
            <w:r w:rsidRPr="2EEB614B">
              <w:rPr>
                <w:rFonts w:eastAsia="Arial" w:cs="Arial"/>
                <w:b/>
                <w:bCs/>
                <w:color w:val="000000" w:themeColor="text1"/>
              </w:rPr>
              <w:t>CPAG Meeting</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ED9E127" w14:textId="620143A3"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July 2025</w:t>
            </w:r>
          </w:p>
          <w:p w14:paraId="290F9480" w14:textId="697897D5" w:rsidR="2EEB614B" w:rsidRDefault="2EEB614B" w:rsidP="2EEB614B">
            <w:pPr>
              <w:contextualSpacing/>
              <w:jc w:val="center"/>
              <w:rPr>
                <w:rFonts w:eastAsia="Arial" w:cs="Arial"/>
                <w:color w:val="000000" w:themeColor="text1"/>
              </w:rPr>
            </w:pPr>
            <w:r w:rsidRPr="2EEB614B">
              <w:rPr>
                <w:rFonts w:eastAsia="Arial" w:cs="Arial"/>
                <w:b/>
                <w:bCs/>
                <w:color w:val="000000" w:themeColor="text1"/>
              </w:rPr>
              <w:t>SBE Meeting</w:t>
            </w:r>
          </w:p>
        </w:tc>
      </w:tr>
      <w:tr w:rsidR="00A84FF7" w14:paraId="3EEE0D7C" w14:textId="77777777" w:rsidTr="003B1B60">
        <w:trPr>
          <w:cantSplit/>
          <w:trHeight w:val="300"/>
        </w:trPr>
        <w:tc>
          <w:tcPr>
            <w:tcW w:w="2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20FE41" w14:textId="1AC27E68" w:rsidR="7204798E" w:rsidRDefault="7204798E" w:rsidP="4BF02A82">
            <w:pPr>
              <w:contextualSpacing/>
              <w:rPr>
                <w:rFonts w:eastAsia="Arial" w:cs="Arial"/>
                <w:color w:val="000000" w:themeColor="text1"/>
              </w:rPr>
            </w:pPr>
            <w:r w:rsidRPr="4BF02A82">
              <w:rPr>
                <w:rFonts w:eastAsia="Arial" w:cs="Arial"/>
                <w:color w:val="000000" w:themeColor="text1"/>
              </w:rPr>
              <w:t>Incorporation of</w:t>
            </w:r>
          </w:p>
          <w:p w14:paraId="601DF9BD" w14:textId="2857801C" w:rsidR="7204798E" w:rsidRDefault="7204798E" w:rsidP="4BF02A82">
            <w:pPr>
              <w:contextualSpacing/>
            </w:pPr>
            <w:r w:rsidRPr="4BF02A82">
              <w:rPr>
                <w:rFonts w:eastAsia="Arial" w:cs="Arial"/>
                <w:color w:val="000000" w:themeColor="text1"/>
              </w:rPr>
              <w:t>the Student-Level</w:t>
            </w:r>
          </w:p>
          <w:p w14:paraId="129288A1" w14:textId="74FDEF95" w:rsidR="7204798E" w:rsidRDefault="7204798E" w:rsidP="4BF02A82">
            <w:pPr>
              <w:contextualSpacing/>
            </w:pPr>
            <w:r w:rsidRPr="4BF02A82">
              <w:rPr>
                <w:rFonts w:eastAsia="Arial" w:cs="Arial"/>
                <w:color w:val="000000" w:themeColor="text1"/>
              </w:rPr>
              <w:t>Growth Model for</w:t>
            </w:r>
          </w:p>
          <w:p w14:paraId="52A72A8D" w14:textId="556EF6E8" w:rsidR="7204798E" w:rsidRDefault="7204798E" w:rsidP="4BF02A82">
            <w:pPr>
              <w:contextualSpacing/>
            </w:pPr>
            <w:r w:rsidRPr="4BF02A82">
              <w:rPr>
                <w:rFonts w:eastAsia="Arial" w:cs="Arial"/>
                <w:color w:val="000000" w:themeColor="text1"/>
              </w:rPr>
              <w:t>Grades 4 through</w:t>
            </w:r>
          </w:p>
          <w:p w14:paraId="525DBB63" w14:textId="23E57ECA" w:rsidR="7204798E" w:rsidRDefault="7204798E" w:rsidP="4BF02A82">
            <w:pPr>
              <w:contextualSpacing/>
            </w:pPr>
            <w:r w:rsidRPr="4BF02A82">
              <w:rPr>
                <w:rFonts w:eastAsia="Arial" w:cs="Arial"/>
                <w:color w:val="000000" w:themeColor="text1"/>
              </w:rPr>
              <w:t>8 in English</w:t>
            </w:r>
          </w:p>
          <w:p w14:paraId="57F89FCD" w14:textId="66CC5E6C" w:rsidR="7204798E" w:rsidRDefault="7204798E" w:rsidP="4BF02A82">
            <w:pPr>
              <w:contextualSpacing/>
            </w:pPr>
            <w:r w:rsidRPr="4BF02A82">
              <w:rPr>
                <w:rFonts w:eastAsia="Arial" w:cs="Arial"/>
                <w:color w:val="000000" w:themeColor="text1"/>
              </w:rPr>
              <w:t>Language Arts</w:t>
            </w:r>
          </w:p>
          <w:p w14:paraId="7AD22639" w14:textId="6F0D95BF" w:rsidR="7204798E" w:rsidRDefault="7204798E" w:rsidP="4BF02A82">
            <w:pPr>
              <w:contextualSpacing/>
            </w:pPr>
            <w:r w:rsidRPr="4BF02A82">
              <w:rPr>
                <w:rFonts w:eastAsia="Arial" w:cs="Arial"/>
                <w:color w:val="000000" w:themeColor="text1"/>
              </w:rPr>
              <w:t>(ELA) and</w:t>
            </w:r>
          </w:p>
          <w:p w14:paraId="5D11A4BB" w14:textId="760E460C" w:rsidR="7204798E" w:rsidRDefault="7204798E" w:rsidP="4BF02A82">
            <w:pPr>
              <w:contextualSpacing/>
            </w:pPr>
            <w:r w:rsidRPr="4BF02A82">
              <w:rPr>
                <w:rFonts w:eastAsia="Arial" w:cs="Arial"/>
                <w:color w:val="000000" w:themeColor="text1"/>
              </w:rPr>
              <w:t>Mathematics into</w:t>
            </w:r>
          </w:p>
          <w:p w14:paraId="5985422B" w14:textId="726BFC57" w:rsidR="2EEB614B" w:rsidRPr="00B43EE1" w:rsidRDefault="7204798E" w:rsidP="2EEB614B">
            <w:pPr>
              <w:contextualSpacing/>
              <w:rPr>
                <w:rFonts w:eastAsia="Arial"/>
              </w:rPr>
            </w:pPr>
            <w:r w:rsidRPr="4BF02A82">
              <w:rPr>
                <w:rFonts w:eastAsia="Arial" w:cs="Arial"/>
                <w:color w:val="000000" w:themeColor="text1"/>
              </w:rPr>
              <w:t>the Dashboard</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33285A" w14:textId="1668CEA5" w:rsidR="2EEB614B" w:rsidRDefault="7204798E" w:rsidP="4E1868D6">
            <w:pPr>
              <w:contextualSpacing/>
              <w:rPr>
                <w:rFonts w:eastAsia="Arial" w:cs="Arial"/>
                <w:color w:val="000000" w:themeColor="text1"/>
              </w:rPr>
            </w:pPr>
            <w:r w:rsidRPr="1CE308D2">
              <w:rPr>
                <w:rFonts w:eastAsia="Arial" w:cs="Arial"/>
                <w:color w:val="000000" w:themeColor="text1"/>
              </w:rPr>
              <w:t>Review of Growth Measure Data</w:t>
            </w:r>
          </w:p>
        </w:tc>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6DB026" w14:textId="7C00421E" w:rsidR="2EEB614B" w:rsidRDefault="7204798E" w:rsidP="165BBBD8">
            <w:pPr>
              <w:rPr>
                <w:rFonts w:eastAsia="Arial" w:cs="Arial"/>
                <w:color w:val="000000" w:themeColor="text1"/>
              </w:rPr>
            </w:pPr>
            <w:r w:rsidRPr="5885522A">
              <w:rPr>
                <w:rFonts w:eastAsia="Arial" w:cs="Arial"/>
                <w:color w:val="000000" w:themeColor="text1"/>
              </w:rPr>
              <w:t xml:space="preserve">Analysis of Growth </w:t>
            </w:r>
            <w:r w:rsidR="00716D65">
              <w:rPr>
                <w:rFonts w:eastAsia="Arial" w:cs="Arial"/>
                <w:color w:val="000000" w:themeColor="text1"/>
              </w:rPr>
              <w:t xml:space="preserve">Data </w:t>
            </w:r>
            <w:r w:rsidRPr="5885522A">
              <w:rPr>
                <w:rFonts w:eastAsia="Arial" w:cs="Arial"/>
                <w:color w:val="000000" w:themeColor="text1"/>
              </w:rPr>
              <w:t>and Review Options to Incorporate Growth into LCFF Eligibility Criteria</w:t>
            </w:r>
          </w:p>
        </w:tc>
        <w:tc>
          <w:tcPr>
            <w:tcW w:w="1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F72FDB" w14:textId="2B3D4CD4" w:rsidR="2EEB614B" w:rsidRDefault="7204798E" w:rsidP="165BBBD8">
            <w:pPr>
              <w:rPr>
                <w:rFonts w:eastAsia="Arial" w:cs="Arial"/>
                <w:color w:val="000000" w:themeColor="text1"/>
              </w:rPr>
            </w:pPr>
            <w:r w:rsidRPr="025255AE">
              <w:rPr>
                <w:rFonts w:eastAsia="Arial" w:cs="Arial"/>
                <w:color w:val="000000" w:themeColor="text1"/>
              </w:rPr>
              <w:t>Feedback on Incorporation of Growth into the LCFF eligibility criteria</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8DA314" w14:textId="0C89C99A" w:rsidR="00BB273A" w:rsidRDefault="00BB273A" w:rsidP="165BBBD8">
            <w:pPr>
              <w:rPr>
                <w:rFonts w:eastAsia="Arial" w:cs="Arial"/>
                <w:color w:val="000000" w:themeColor="text1"/>
              </w:rPr>
            </w:pPr>
            <w:r>
              <w:rPr>
                <w:rFonts w:eastAsia="Arial" w:cs="Arial"/>
                <w:color w:val="000000" w:themeColor="text1"/>
              </w:rPr>
              <w:t xml:space="preserve">Setting of Performance Standards and </w:t>
            </w:r>
          </w:p>
          <w:p w14:paraId="247CDAD0" w14:textId="0B2FF318" w:rsidR="2EEB614B" w:rsidRDefault="7204798E" w:rsidP="165BBBD8">
            <w:pPr>
              <w:rPr>
                <w:rFonts w:eastAsia="Arial" w:cs="Arial"/>
                <w:color w:val="000000" w:themeColor="text1"/>
              </w:rPr>
            </w:pPr>
            <w:r w:rsidRPr="19D4C3BB">
              <w:rPr>
                <w:rFonts w:eastAsia="Arial" w:cs="Arial"/>
                <w:color w:val="000000" w:themeColor="text1"/>
              </w:rPr>
              <w:t>Determinations on Incorporation of Growth into LCFF eligibility criteria</w:t>
            </w:r>
          </w:p>
        </w:tc>
      </w:tr>
    </w:tbl>
    <w:p w14:paraId="588CD5DA" w14:textId="5C09B928" w:rsidR="00B777F7" w:rsidRPr="003B1B60" w:rsidRDefault="00716D65" w:rsidP="003B1B60">
      <w:pPr>
        <w:pStyle w:val="Heading2"/>
        <w:rPr>
          <w:sz w:val="32"/>
          <w:szCs w:val="24"/>
        </w:rPr>
      </w:pPr>
      <w:r w:rsidRPr="003B1B60">
        <w:rPr>
          <w:sz w:val="32"/>
          <w:szCs w:val="24"/>
        </w:rPr>
        <w:lastRenderedPageBreak/>
        <w:t xml:space="preserve">Analysis of </w:t>
      </w:r>
      <w:r w:rsidR="00896AF6" w:rsidRPr="003B1B60">
        <w:rPr>
          <w:sz w:val="32"/>
          <w:szCs w:val="24"/>
        </w:rPr>
        <w:t>2024 Growth Data and Dashboard Alignment</w:t>
      </w:r>
    </w:p>
    <w:p w14:paraId="3188BE76" w14:textId="58F88520" w:rsidR="00574555" w:rsidRDefault="00A27760" w:rsidP="00EF2BE8">
      <w:pPr>
        <w:spacing w:after="120"/>
      </w:pPr>
      <w:r>
        <w:t>CDE pr</w:t>
      </w:r>
      <w:r w:rsidR="00406D54">
        <w:t xml:space="preserve">ovided </w:t>
      </w:r>
      <w:r>
        <w:t>a</w:t>
      </w:r>
      <w:r w:rsidR="008D2AFD">
        <w:t>n Information</w:t>
      </w:r>
      <w:r>
        <w:t xml:space="preserve"> </w:t>
      </w:r>
      <w:r w:rsidR="00E263BE">
        <w:t>M</w:t>
      </w:r>
      <w:r>
        <w:t xml:space="preserve">emorandum to the SBE </w:t>
      </w:r>
      <w:r w:rsidR="00E263BE">
        <w:t xml:space="preserve">in April 2025 </w:t>
      </w:r>
      <w:r w:rsidR="002C0470">
        <w:t xml:space="preserve">providing a full analysis of the </w:t>
      </w:r>
      <w:r w:rsidR="006D022C">
        <w:t>g</w:t>
      </w:r>
      <w:r w:rsidR="002C0470">
        <w:t xml:space="preserve">rowth </w:t>
      </w:r>
      <w:r w:rsidR="006D022C">
        <w:t>d</w:t>
      </w:r>
      <w:r w:rsidR="002C0470">
        <w:t>ata</w:t>
      </w:r>
      <w:r w:rsidR="006D022C">
        <w:t xml:space="preserve"> from the 2024 Dashboard</w:t>
      </w:r>
      <w:r w:rsidR="00406D54">
        <w:t xml:space="preserve"> </w:t>
      </w:r>
      <w:r w:rsidR="00406D54" w:rsidRPr="003251C9">
        <w:t>(</w:t>
      </w:r>
      <w:hyperlink r:id="rId143">
        <w:r w:rsidR="67B4BE31" w:rsidRPr="003251C9">
          <w:rPr>
            <w:rStyle w:val="Hyperlink"/>
          </w:rPr>
          <w:t>https://www.cde.ca.gov/be/pn/im/documents/apr25memoamard01.docx</w:t>
        </w:r>
      </w:hyperlink>
      <w:r w:rsidR="00406D54" w:rsidRPr="003251C9">
        <w:t>)</w:t>
      </w:r>
      <w:r w:rsidR="006D022C" w:rsidRPr="003251C9">
        <w:t>.</w:t>
      </w:r>
      <w:r w:rsidR="002C0470" w:rsidRPr="003251C9">
        <w:t xml:space="preserve"> </w:t>
      </w:r>
      <w:r w:rsidR="00EF2BE8" w:rsidRPr="003251C9">
        <w:t>The results</w:t>
      </w:r>
      <w:r w:rsidR="00EF2BE8">
        <w:t xml:space="preserve"> were based on Smarter Balanced assessment scores from the </w:t>
      </w:r>
      <w:r w:rsidR="004756D9" w:rsidRPr="5F48C630">
        <w:rPr>
          <w:rFonts w:eastAsia="Arial" w:cs="Arial"/>
          <w:color w:val="000000" w:themeColor="text1"/>
        </w:rPr>
        <w:t>2021–22, 2022–23</w:t>
      </w:r>
      <w:r w:rsidR="004756D9">
        <w:rPr>
          <w:rFonts w:eastAsia="Arial" w:cs="Arial"/>
          <w:color w:val="000000" w:themeColor="text1"/>
        </w:rPr>
        <w:t>,</w:t>
      </w:r>
      <w:r w:rsidR="004756D9" w:rsidRPr="5F48C630">
        <w:rPr>
          <w:rFonts w:eastAsia="Arial" w:cs="Arial"/>
          <w:color w:val="000000" w:themeColor="text1"/>
        </w:rPr>
        <w:t xml:space="preserve"> and 2023–24</w:t>
      </w:r>
      <w:r w:rsidR="00EF2BE8">
        <w:t xml:space="preserve"> school years and students in grades 4 through 8. </w:t>
      </w:r>
      <w:r w:rsidR="00CE4469">
        <w:t xml:space="preserve">The results </w:t>
      </w:r>
      <w:r w:rsidR="0083314E">
        <w:t>represent</w:t>
      </w:r>
      <w:r w:rsidR="00EF1F3E">
        <w:t xml:space="preserve"> </w:t>
      </w:r>
      <w:r w:rsidR="00431A0B">
        <w:t>a subset of the students</w:t>
      </w:r>
      <w:r w:rsidR="00EF2BE8">
        <w:t xml:space="preserve"> tha</w:t>
      </w:r>
      <w:r w:rsidR="00431A0B">
        <w:t>t</w:t>
      </w:r>
      <w:r w:rsidR="00EF2BE8">
        <w:t xml:space="preserve"> are reflected within the Academic Indicators for </w:t>
      </w:r>
      <w:r w:rsidR="004756D9">
        <w:t>ELA</w:t>
      </w:r>
      <w:r w:rsidR="00EF2BE8">
        <w:t xml:space="preserve"> and Math on the Dashboard. In contrast to the student growth data, the Dashboard Academic Indicators include performance from students in grades 3 through 8 and grade 11 and include the performance of students on the California Alternative Assessment (CAA).</w:t>
      </w:r>
    </w:p>
    <w:p w14:paraId="6BEE0322" w14:textId="7C16C119" w:rsidR="00F23B0B" w:rsidRDefault="00F23B0B" w:rsidP="00EF2BE8">
      <w:pPr>
        <w:spacing w:after="120"/>
      </w:pPr>
      <w:r w:rsidRPr="2D3341D8">
        <w:rPr>
          <w:rFonts w:eastAsia="Arial" w:cs="Arial"/>
          <w:color w:val="000000" w:themeColor="text1"/>
        </w:rPr>
        <w:t>Th</w:t>
      </w:r>
      <w:r>
        <w:rPr>
          <w:rFonts w:eastAsia="Arial" w:cs="Arial"/>
          <w:color w:val="000000" w:themeColor="text1"/>
        </w:rPr>
        <w:t>e</w:t>
      </w:r>
      <w:r w:rsidRPr="2D3341D8">
        <w:rPr>
          <w:rFonts w:eastAsia="Arial" w:cs="Arial"/>
          <w:color w:val="000000" w:themeColor="text1"/>
        </w:rPr>
        <w:t xml:space="preserve"> </w:t>
      </w:r>
      <w:r w:rsidR="001A502D">
        <w:rPr>
          <w:rFonts w:eastAsia="Arial" w:cs="Arial"/>
          <w:color w:val="000000" w:themeColor="text1"/>
        </w:rPr>
        <w:t xml:space="preserve">information </w:t>
      </w:r>
      <w:r w:rsidRPr="2D3341D8">
        <w:rPr>
          <w:rFonts w:eastAsia="Arial" w:cs="Arial"/>
          <w:color w:val="000000" w:themeColor="text1"/>
        </w:rPr>
        <w:t xml:space="preserve">memorandum </w:t>
      </w:r>
      <w:r w:rsidR="001A502D">
        <w:rPr>
          <w:rFonts w:eastAsia="Arial" w:cs="Arial"/>
          <w:color w:val="000000" w:themeColor="text1"/>
        </w:rPr>
        <w:t>provid</w:t>
      </w:r>
      <w:r w:rsidRPr="2D3341D8">
        <w:rPr>
          <w:rFonts w:eastAsia="Arial" w:cs="Arial"/>
          <w:color w:val="000000" w:themeColor="text1"/>
        </w:rPr>
        <w:t>ed growth score distributions, growth categories by school type and student demographics, and the relationship between results from the Academic Indicator and student growth categories.</w:t>
      </w:r>
    </w:p>
    <w:p w14:paraId="19B67A71" w14:textId="31386FC3" w:rsidR="00EF2BE8" w:rsidRDefault="00EF2BE8" w:rsidP="00EF2BE8">
      <w:pPr>
        <w:spacing w:after="120"/>
      </w:pPr>
      <w:r>
        <w:t xml:space="preserve">Although the Academic Indicators and student growth </w:t>
      </w:r>
      <w:r w:rsidR="00E058F5">
        <w:t xml:space="preserve">data </w:t>
      </w:r>
      <w:r>
        <w:t xml:space="preserve">assess different populations of students, </w:t>
      </w:r>
      <w:r w:rsidR="00913855">
        <w:t xml:space="preserve">the analysis in the </w:t>
      </w:r>
      <w:r w:rsidR="001C74A1">
        <w:t xml:space="preserve">April </w:t>
      </w:r>
      <w:r w:rsidR="001A502D">
        <w:t xml:space="preserve">2025 SBE </w:t>
      </w:r>
      <w:r w:rsidR="001C74A1">
        <w:t>memorandum</w:t>
      </w:r>
      <w:r>
        <w:rPr>
          <w:rFonts w:eastAsia="Arial" w:cs="Arial"/>
          <w:color w:val="000000" w:themeColor="text1"/>
        </w:rPr>
        <w:t xml:space="preserve"> show</w:t>
      </w:r>
      <w:r w:rsidR="001C74A1">
        <w:rPr>
          <w:rFonts w:eastAsia="Arial" w:cs="Arial"/>
          <w:color w:val="000000" w:themeColor="text1"/>
        </w:rPr>
        <w:t>ed</w:t>
      </w:r>
      <w:r w:rsidR="00666D24">
        <w:rPr>
          <w:rFonts w:eastAsia="Arial" w:cs="Arial"/>
          <w:color w:val="000000" w:themeColor="text1"/>
        </w:rPr>
        <w:t xml:space="preserve"> general</w:t>
      </w:r>
      <w:r>
        <w:rPr>
          <w:rFonts w:eastAsia="Arial" w:cs="Arial"/>
          <w:color w:val="000000" w:themeColor="text1"/>
        </w:rPr>
        <w:t xml:space="preserve"> alignment among student growth categories and status, change, and performance levels on both English language arts</w:t>
      </w:r>
      <w:r w:rsidR="008D2AFD">
        <w:rPr>
          <w:rFonts w:eastAsia="Arial" w:cs="Arial"/>
          <w:color w:val="000000" w:themeColor="text1"/>
        </w:rPr>
        <w:t xml:space="preserve"> and mathematics</w:t>
      </w:r>
      <w:r>
        <w:rPr>
          <w:rFonts w:eastAsia="Arial" w:cs="Arial"/>
          <w:color w:val="000000" w:themeColor="text1"/>
        </w:rPr>
        <w:t>.</w:t>
      </w:r>
    </w:p>
    <w:p w14:paraId="52118416" w14:textId="0DB5A216" w:rsidR="002E5F41" w:rsidRPr="003B1B60" w:rsidRDefault="00373819" w:rsidP="003B1B60">
      <w:pPr>
        <w:pStyle w:val="Heading2"/>
        <w:rPr>
          <w:sz w:val="32"/>
          <w:szCs w:val="24"/>
        </w:rPr>
      </w:pPr>
      <w:r w:rsidRPr="003B1B60">
        <w:rPr>
          <w:sz w:val="32"/>
          <w:szCs w:val="24"/>
        </w:rPr>
        <w:t>Growth on 2025 Dashboard</w:t>
      </w:r>
      <w:r w:rsidR="00115CE5" w:rsidRPr="003B1B60">
        <w:rPr>
          <w:sz w:val="32"/>
          <w:szCs w:val="24"/>
        </w:rPr>
        <w:t xml:space="preserve"> and</w:t>
      </w:r>
      <w:r w:rsidR="00D73331" w:rsidRPr="003B1B60">
        <w:rPr>
          <w:sz w:val="32"/>
          <w:szCs w:val="24"/>
        </w:rPr>
        <w:t xml:space="preserve"> Setting Performance Standards</w:t>
      </w:r>
    </w:p>
    <w:p w14:paraId="6F8B4EE8" w14:textId="1405697C" w:rsidR="00873BC8" w:rsidRPr="003251C9" w:rsidRDefault="00124772" w:rsidP="00786443">
      <w:pPr>
        <w:spacing w:before="0"/>
        <w:rPr>
          <w:rFonts w:cs="Arial"/>
        </w:rPr>
      </w:pPr>
      <w:r>
        <w:rPr>
          <w:rFonts w:cs="Arial"/>
        </w:rPr>
        <w:t xml:space="preserve">CDE’s initial release of growth data was designed to enable the SBE to begin conversations around </w:t>
      </w:r>
      <w:r w:rsidR="000825BE" w:rsidRPr="003251C9">
        <w:rPr>
          <w:rFonts w:cs="Arial"/>
        </w:rPr>
        <w:t xml:space="preserve">the metric, </w:t>
      </w:r>
      <w:r w:rsidR="00A67610" w:rsidRPr="003251C9">
        <w:rPr>
          <w:rFonts w:cs="Arial"/>
        </w:rPr>
        <w:t xml:space="preserve">where it would appear on the Dashboard, </w:t>
      </w:r>
      <w:r w:rsidR="000A4ED5" w:rsidRPr="003251C9">
        <w:rPr>
          <w:rFonts w:cs="Arial"/>
        </w:rPr>
        <w:t>set performance standards</w:t>
      </w:r>
      <w:r w:rsidR="2B9B53D8" w:rsidRPr="003251C9">
        <w:rPr>
          <w:rFonts w:cs="Arial"/>
        </w:rPr>
        <w:t xml:space="preserve"> for growth</w:t>
      </w:r>
      <w:r w:rsidR="000A4ED5" w:rsidRPr="003251C9">
        <w:rPr>
          <w:rFonts w:cs="Arial"/>
        </w:rPr>
        <w:t xml:space="preserve">, and </w:t>
      </w:r>
      <w:r w:rsidR="00FB63D5" w:rsidRPr="003251C9">
        <w:rPr>
          <w:rFonts w:cs="Arial"/>
        </w:rPr>
        <w:t xml:space="preserve">decide if the results would be incorporated into support determinations </w:t>
      </w:r>
      <w:r w:rsidR="00C00870" w:rsidRPr="003251C9">
        <w:rPr>
          <w:rFonts w:cs="Arial"/>
        </w:rPr>
        <w:t>on the Dashboard.</w:t>
      </w:r>
    </w:p>
    <w:p w14:paraId="189A8060" w14:textId="593E0C3F" w:rsidR="00056F50" w:rsidRDefault="00E06957" w:rsidP="00042E36">
      <w:pPr>
        <w:rPr>
          <w:rFonts w:cs="Arial"/>
        </w:rPr>
      </w:pPr>
      <w:r w:rsidRPr="003251C9">
        <w:rPr>
          <w:rFonts w:cs="Arial"/>
        </w:rPr>
        <w:t>In accordance with t</w:t>
      </w:r>
      <w:r w:rsidR="00DF0229" w:rsidRPr="003251C9">
        <w:rPr>
          <w:rFonts w:cs="Arial"/>
        </w:rPr>
        <w:t>he 2025 Accountability</w:t>
      </w:r>
      <w:r w:rsidR="00DF0229">
        <w:rPr>
          <w:rFonts w:cs="Arial"/>
        </w:rPr>
        <w:t xml:space="preserve"> Plan</w:t>
      </w:r>
      <w:r>
        <w:rPr>
          <w:rFonts w:cs="Arial"/>
        </w:rPr>
        <w:t>, the</w:t>
      </w:r>
      <w:r w:rsidR="00153392">
        <w:rPr>
          <w:rFonts w:cs="Arial"/>
        </w:rPr>
        <w:t xml:space="preserve"> </w:t>
      </w:r>
      <w:r w:rsidR="007A7248">
        <w:rPr>
          <w:rFonts w:cs="Arial"/>
        </w:rPr>
        <w:t xml:space="preserve">SBE </w:t>
      </w:r>
      <w:r w:rsidR="00832469">
        <w:rPr>
          <w:rFonts w:cs="Arial"/>
        </w:rPr>
        <w:t xml:space="preserve">will be asked to adopt </w:t>
      </w:r>
      <w:r w:rsidR="009C4CA3">
        <w:rPr>
          <w:rFonts w:cs="Arial"/>
        </w:rPr>
        <w:t>performance standards</w:t>
      </w:r>
      <w:r w:rsidR="00832469">
        <w:rPr>
          <w:rFonts w:cs="Arial"/>
        </w:rPr>
        <w:t xml:space="preserve"> for growth at its July 2025 meeting</w:t>
      </w:r>
      <w:r w:rsidR="007A7248">
        <w:rPr>
          <w:rFonts w:cs="Arial"/>
        </w:rPr>
        <w:t xml:space="preserve">, </w:t>
      </w:r>
      <w:r w:rsidR="002E5F48">
        <w:rPr>
          <w:rFonts w:cs="Arial"/>
        </w:rPr>
        <w:t>based on guidance and feedback provided to the CDE at the</w:t>
      </w:r>
      <w:r w:rsidR="007A7248">
        <w:rPr>
          <w:rFonts w:cs="Arial"/>
        </w:rPr>
        <w:t xml:space="preserve"> March and May </w:t>
      </w:r>
      <w:r w:rsidR="00042E36">
        <w:rPr>
          <w:rFonts w:cs="Arial"/>
        </w:rPr>
        <w:t xml:space="preserve">SBE </w:t>
      </w:r>
      <w:r w:rsidR="007A7248">
        <w:rPr>
          <w:rFonts w:cs="Arial"/>
        </w:rPr>
        <w:t>meetings</w:t>
      </w:r>
      <w:r w:rsidR="008B45CD" w:rsidRPr="00DB1E22">
        <w:rPr>
          <w:rFonts w:cs="Arial"/>
        </w:rPr>
        <w:t>.</w:t>
      </w:r>
      <w:r w:rsidR="009C4CA3">
        <w:rPr>
          <w:rFonts w:cs="Arial"/>
        </w:rPr>
        <w:t xml:space="preserve"> </w:t>
      </w:r>
      <w:r w:rsidR="00427916">
        <w:rPr>
          <w:rFonts w:cs="Arial"/>
        </w:rPr>
        <w:t xml:space="preserve">As the SBE looks to set performance standards for </w:t>
      </w:r>
      <w:r w:rsidR="00534474">
        <w:rPr>
          <w:rFonts w:cs="Arial"/>
        </w:rPr>
        <w:t xml:space="preserve">growth on </w:t>
      </w:r>
      <w:r w:rsidR="00427916">
        <w:rPr>
          <w:rFonts w:cs="Arial"/>
        </w:rPr>
        <w:t xml:space="preserve">the 2025 Dashboard, it has </w:t>
      </w:r>
      <w:r w:rsidR="00056F50">
        <w:rPr>
          <w:rFonts w:cs="Arial"/>
        </w:rPr>
        <w:t>the following decision points to consider:</w:t>
      </w:r>
    </w:p>
    <w:p w14:paraId="5E36A220" w14:textId="76D4E267" w:rsidR="00BF4241" w:rsidRDefault="00322435" w:rsidP="00D11ED0">
      <w:pPr>
        <w:pStyle w:val="ListParagraph"/>
        <w:numPr>
          <w:ilvl w:val="0"/>
          <w:numId w:val="13"/>
        </w:numPr>
        <w:rPr>
          <w:rFonts w:cs="Arial"/>
        </w:rPr>
      </w:pPr>
      <w:r>
        <w:rPr>
          <w:rFonts w:cs="Arial"/>
        </w:rPr>
        <w:t xml:space="preserve">The </w:t>
      </w:r>
      <w:r w:rsidR="009471DC">
        <w:rPr>
          <w:rFonts w:cs="Arial"/>
        </w:rPr>
        <w:t xml:space="preserve">total </w:t>
      </w:r>
      <w:r>
        <w:rPr>
          <w:rFonts w:cs="Arial"/>
        </w:rPr>
        <w:t>number of performance</w:t>
      </w:r>
      <w:r w:rsidR="006D1E47">
        <w:rPr>
          <w:rFonts w:cs="Arial"/>
        </w:rPr>
        <w:t xml:space="preserve"> </w:t>
      </w:r>
      <w:r w:rsidR="00AC42EC">
        <w:rPr>
          <w:rFonts w:cs="Arial"/>
        </w:rPr>
        <w:t>categories</w:t>
      </w:r>
    </w:p>
    <w:p w14:paraId="5C38A260" w14:textId="48C3DF1A" w:rsidR="007E7380" w:rsidRDefault="007E7380" w:rsidP="00D11ED0">
      <w:pPr>
        <w:pStyle w:val="ListParagraph"/>
        <w:numPr>
          <w:ilvl w:val="0"/>
          <w:numId w:val="13"/>
        </w:numPr>
        <w:rPr>
          <w:rFonts w:cs="Arial"/>
        </w:rPr>
      </w:pPr>
      <w:r>
        <w:rPr>
          <w:rFonts w:cs="Arial"/>
        </w:rPr>
        <w:t xml:space="preserve">The </w:t>
      </w:r>
      <w:r w:rsidR="00B55C66">
        <w:rPr>
          <w:rFonts w:cs="Arial"/>
        </w:rPr>
        <w:t>names/labels for the performance categories</w:t>
      </w:r>
    </w:p>
    <w:p w14:paraId="58E7BF0F" w14:textId="0EB10E91" w:rsidR="008775B6" w:rsidRPr="008775B6" w:rsidRDefault="00B55C66" w:rsidP="00D11ED0">
      <w:pPr>
        <w:pStyle w:val="ListParagraph"/>
        <w:numPr>
          <w:ilvl w:val="0"/>
          <w:numId w:val="13"/>
        </w:numPr>
        <w:rPr>
          <w:rFonts w:cs="Arial"/>
        </w:rPr>
      </w:pPr>
      <w:r>
        <w:rPr>
          <w:rFonts w:cs="Arial"/>
        </w:rPr>
        <w:t xml:space="preserve">The </w:t>
      </w:r>
      <w:r w:rsidR="00A137D7">
        <w:rPr>
          <w:rFonts w:cs="Arial"/>
        </w:rPr>
        <w:t>performance standards assigned to each performance category</w:t>
      </w:r>
    </w:p>
    <w:p w14:paraId="4F04410B" w14:textId="00DBEC09" w:rsidR="000D7CE5" w:rsidRDefault="008775B6" w:rsidP="00042E36">
      <w:pPr>
        <w:rPr>
          <w:rFonts w:cs="Arial"/>
        </w:rPr>
      </w:pPr>
      <w:r>
        <w:rPr>
          <w:rFonts w:cs="Arial"/>
        </w:rPr>
        <w:t xml:space="preserve">At the March </w:t>
      </w:r>
      <w:r w:rsidR="00042E36">
        <w:rPr>
          <w:rFonts w:cs="Arial"/>
        </w:rPr>
        <w:t xml:space="preserve">2025 SBE </w:t>
      </w:r>
      <w:r>
        <w:rPr>
          <w:rFonts w:cs="Arial"/>
        </w:rPr>
        <w:t xml:space="preserve">meeting, </w:t>
      </w:r>
      <w:r w:rsidRPr="00DB1E22">
        <w:rPr>
          <w:rFonts w:cs="Arial"/>
        </w:rPr>
        <w:t>California’s assessment contractor</w:t>
      </w:r>
      <w:r>
        <w:rPr>
          <w:rFonts w:cs="Arial"/>
        </w:rPr>
        <w:t xml:space="preserve">, Educational Testing Service (ETS), presented a recap of the methodology for the growth calculation </w:t>
      </w:r>
      <w:r>
        <w:rPr>
          <w:rFonts w:cs="Arial"/>
        </w:rPr>
        <w:lastRenderedPageBreak/>
        <w:t xml:space="preserve">and answered technical questions around their work. </w:t>
      </w:r>
      <w:r w:rsidR="007A2053">
        <w:rPr>
          <w:rFonts w:cs="Arial"/>
        </w:rPr>
        <w:t>T</w:t>
      </w:r>
      <w:r>
        <w:rPr>
          <w:rFonts w:cs="Arial"/>
        </w:rPr>
        <w:t xml:space="preserve">o </w:t>
      </w:r>
      <w:r w:rsidRPr="00DB1E22">
        <w:rPr>
          <w:rFonts w:cs="Arial"/>
        </w:rPr>
        <w:t>provide a simple categorization of student growth performance</w:t>
      </w:r>
      <w:r>
        <w:rPr>
          <w:rFonts w:cs="Arial"/>
        </w:rPr>
        <w:t xml:space="preserve"> to display on the 2024 Dashboard</w:t>
      </w:r>
      <w:r w:rsidRPr="00DB1E22">
        <w:rPr>
          <w:rFonts w:cs="Arial"/>
        </w:rPr>
        <w:t>, ET</w:t>
      </w:r>
      <w:r>
        <w:rPr>
          <w:rFonts w:cs="Arial"/>
        </w:rPr>
        <w:t>S</w:t>
      </w:r>
      <w:r w:rsidRPr="00DB1E22">
        <w:rPr>
          <w:rFonts w:cs="Arial"/>
        </w:rPr>
        <w:t xml:space="preserve"> assisted with the development and field testing of three performance categories: below typical, typical, and above typical. In addition to the overall growth score, schools, districts and student groups received a growth category on the Dashboard to describe their overall growth performance</w:t>
      </w:r>
      <w:r w:rsidR="000D7CE5">
        <w:rPr>
          <w:rFonts w:cs="Arial"/>
        </w:rPr>
        <w:t>.</w:t>
      </w:r>
      <w:r w:rsidR="000618AB">
        <w:rPr>
          <w:rFonts w:cs="Arial"/>
        </w:rPr>
        <w:t xml:space="preserve"> </w:t>
      </w:r>
      <w:r w:rsidR="0017024A">
        <w:rPr>
          <w:rFonts w:cs="Arial"/>
        </w:rPr>
        <w:t xml:space="preserve">The </w:t>
      </w:r>
      <w:r w:rsidR="000508BC">
        <w:rPr>
          <w:rFonts w:cs="Arial"/>
        </w:rPr>
        <w:t>field-tested</w:t>
      </w:r>
      <w:r w:rsidR="0017024A">
        <w:rPr>
          <w:rFonts w:cs="Arial"/>
        </w:rPr>
        <w:t xml:space="preserve"> categories relied on additional statistical information </w:t>
      </w:r>
      <w:r w:rsidR="00C4032F">
        <w:rPr>
          <w:rFonts w:cs="Arial"/>
        </w:rPr>
        <w:t xml:space="preserve">to place schools, districts and student groups in the three categories. </w:t>
      </w:r>
      <w:r w:rsidR="00F54781">
        <w:rPr>
          <w:rFonts w:cs="Arial"/>
        </w:rPr>
        <w:t xml:space="preserve">On the remainder of the Dashboard, </w:t>
      </w:r>
      <w:r w:rsidR="000618AB">
        <w:rPr>
          <w:rFonts w:cs="Arial"/>
        </w:rPr>
        <w:t xml:space="preserve">the SBE has instituted straight cut points to determine status and change performance levels. </w:t>
      </w:r>
      <w:r w:rsidR="00421F77">
        <w:rPr>
          <w:rFonts w:cs="Arial"/>
        </w:rPr>
        <w:t>The</w:t>
      </w:r>
      <w:r w:rsidR="00FF7726">
        <w:rPr>
          <w:rFonts w:cs="Arial"/>
        </w:rPr>
        <w:t xml:space="preserve"> SBE may choose</w:t>
      </w:r>
      <w:r w:rsidR="00421F77" w:rsidRPr="00421F77">
        <w:rPr>
          <w:rFonts w:cs="Arial"/>
        </w:rPr>
        <w:t xml:space="preserve"> </w:t>
      </w:r>
      <w:r w:rsidR="008031F4">
        <w:rPr>
          <w:rFonts w:cs="Arial"/>
        </w:rPr>
        <w:t>to increase</w:t>
      </w:r>
      <w:r w:rsidR="00421F77">
        <w:rPr>
          <w:rFonts w:cs="Arial"/>
        </w:rPr>
        <w:t xml:space="preserve"> the number of performance categories from the three used on the 2024 Dashboard to five total categories </w:t>
      </w:r>
      <w:r w:rsidR="00597FBD">
        <w:rPr>
          <w:rFonts w:cs="Arial"/>
        </w:rPr>
        <w:t>for overall alignment with the remainder of the Dashboard</w:t>
      </w:r>
      <w:r w:rsidR="00421F77">
        <w:rPr>
          <w:rFonts w:cs="Arial"/>
        </w:rPr>
        <w:t xml:space="preserve">. </w:t>
      </w:r>
    </w:p>
    <w:p w14:paraId="3D1A8CAF" w14:textId="6557B822" w:rsidR="00BF23B5" w:rsidRPr="00BF23B5" w:rsidRDefault="0078080F" w:rsidP="00042E36">
      <w:r>
        <w:t xml:space="preserve">Based on the discussion at the May </w:t>
      </w:r>
      <w:r w:rsidR="007A2053">
        <w:t xml:space="preserve">2025 SBE </w:t>
      </w:r>
      <w:r>
        <w:t>meeting</w:t>
      </w:r>
      <w:r w:rsidR="00CB0DE1">
        <w:t xml:space="preserve"> around the number of categories</w:t>
      </w:r>
      <w:r>
        <w:t xml:space="preserve">, CDE will provide options to SBE </w:t>
      </w:r>
      <w:r w:rsidR="00E40D52">
        <w:t xml:space="preserve">at the July </w:t>
      </w:r>
      <w:r w:rsidR="007A2053">
        <w:t xml:space="preserve">2025 SBE </w:t>
      </w:r>
      <w:r w:rsidR="00E40D52">
        <w:t xml:space="preserve">meeting for the performance standard labels as well as suggested cut points/point ranges. </w:t>
      </w:r>
    </w:p>
    <w:p w14:paraId="43573797" w14:textId="17D2A9FE" w:rsidR="00E070FD" w:rsidRPr="003B1B60" w:rsidRDefault="00E070FD" w:rsidP="003B1B60">
      <w:pPr>
        <w:pStyle w:val="Heading2"/>
        <w:rPr>
          <w:sz w:val="32"/>
          <w:szCs w:val="24"/>
        </w:rPr>
      </w:pPr>
      <w:r w:rsidRPr="003B1B60">
        <w:rPr>
          <w:sz w:val="32"/>
          <w:szCs w:val="24"/>
        </w:rPr>
        <w:t xml:space="preserve">Options </w:t>
      </w:r>
      <w:r w:rsidR="00B777F7" w:rsidRPr="003B1B60">
        <w:rPr>
          <w:sz w:val="32"/>
          <w:szCs w:val="24"/>
        </w:rPr>
        <w:t>to Incorporate Growth into LCFF Eligibility Criteria</w:t>
      </w:r>
    </w:p>
    <w:p w14:paraId="4A151689" w14:textId="5288E3BF" w:rsidR="00BA5AA2" w:rsidRDefault="00663C9D" w:rsidP="00D84FE1">
      <w:pPr>
        <w:rPr>
          <w:rFonts w:cs="Arial"/>
        </w:rPr>
      </w:pPr>
      <w:r>
        <w:rPr>
          <w:rFonts w:cs="Arial"/>
        </w:rPr>
        <w:t xml:space="preserve">At the March 2025 meeting, CDE shared information with </w:t>
      </w:r>
      <w:r w:rsidR="001B77EE">
        <w:rPr>
          <w:rFonts w:cs="Arial"/>
        </w:rPr>
        <w:t xml:space="preserve">the </w:t>
      </w:r>
      <w:r>
        <w:rPr>
          <w:rFonts w:cs="Arial"/>
        </w:rPr>
        <w:t>SBE about the</w:t>
      </w:r>
      <w:r w:rsidR="009B33FE">
        <w:rPr>
          <w:rFonts w:cs="Arial"/>
        </w:rPr>
        <w:t xml:space="preserve"> </w:t>
      </w:r>
      <w:r w:rsidR="00124C92">
        <w:rPr>
          <w:rFonts w:cs="Arial"/>
        </w:rPr>
        <w:t xml:space="preserve">possible </w:t>
      </w:r>
      <w:r w:rsidR="009B33FE">
        <w:rPr>
          <w:rFonts w:cs="Arial"/>
        </w:rPr>
        <w:t>options for incorporating growth into the Dashboard</w:t>
      </w:r>
      <w:r w:rsidR="00124C92">
        <w:rPr>
          <w:rFonts w:cs="Arial"/>
        </w:rPr>
        <w:t>:</w:t>
      </w:r>
    </w:p>
    <w:p w14:paraId="55615F9E" w14:textId="77777777" w:rsidR="00A802A7" w:rsidRPr="00491731" w:rsidRDefault="00A802A7" w:rsidP="00D11ED0">
      <w:pPr>
        <w:pStyle w:val="ListParagraph"/>
        <w:numPr>
          <w:ilvl w:val="0"/>
          <w:numId w:val="7"/>
        </w:numPr>
        <w:rPr>
          <w:rFonts w:cs="Arial"/>
        </w:rPr>
      </w:pPr>
      <w:r w:rsidRPr="00491731">
        <w:rPr>
          <w:rFonts w:cs="Arial"/>
        </w:rPr>
        <w:t>Making the ELA and Mathematics Growth Scores into Full Indicators on the Dashboard*</w:t>
      </w:r>
    </w:p>
    <w:p w14:paraId="139E1E65" w14:textId="77777777" w:rsidR="00A802A7" w:rsidRPr="00491731" w:rsidRDefault="00A802A7" w:rsidP="00D11ED0">
      <w:pPr>
        <w:pStyle w:val="ListParagraph"/>
        <w:numPr>
          <w:ilvl w:val="0"/>
          <w:numId w:val="7"/>
        </w:numPr>
        <w:rPr>
          <w:rFonts w:cs="Arial"/>
        </w:rPr>
      </w:pPr>
      <w:r w:rsidRPr="00491731">
        <w:rPr>
          <w:rFonts w:cs="Arial"/>
        </w:rPr>
        <w:t>Modifying the Components of the Existing Academic Indicators for ELA and Math to Include Growth Scores*</w:t>
      </w:r>
    </w:p>
    <w:p w14:paraId="3400D50B" w14:textId="77777777" w:rsidR="00A802A7" w:rsidRPr="00491731" w:rsidRDefault="00A802A7" w:rsidP="00D11ED0">
      <w:pPr>
        <w:pStyle w:val="ListParagraph"/>
        <w:numPr>
          <w:ilvl w:val="0"/>
          <w:numId w:val="7"/>
        </w:numPr>
        <w:rPr>
          <w:rFonts w:cs="Arial"/>
        </w:rPr>
      </w:pPr>
      <w:r w:rsidRPr="00491731">
        <w:rPr>
          <w:rFonts w:cs="Arial"/>
        </w:rPr>
        <w:t>Modifying Differentiated Assistance Criteria to Include the ELA and Math Growth Scores*</w:t>
      </w:r>
    </w:p>
    <w:p w14:paraId="1EF9E45C" w14:textId="77777777" w:rsidR="00A802A7" w:rsidRPr="00491731" w:rsidRDefault="00A802A7" w:rsidP="00D11ED0">
      <w:pPr>
        <w:pStyle w:val="ListParagraph"/>
        <w:numPr>
          <w:ilvl w:val="0"/>
          <w:numId w:val="7"/>
        </w:numPr>
        <w:rPr>
          <w:rFonts w:cs="Arial"/>
        </w:rPr>
      </w:pPr>
      <w:r w:rsidRPr="00491731">
        <w:rPr>
          <w:rFonts w:cs="Arial"/>
        </w:rPr>
        <w:t>Adoption of Performance Standards and Continuing to Publish Growth Score Data as Additional Information on the Dashboard with no Accountability Implications</w:t>
      </w:r>
    </w:p>
    <w:p w14:paraId="4F359351" w14:textId="5E8D404D" w:rsidR="00A802A7" w:rsidRDefault="00A802A7" w:rsidP="00D11ED0">
      <w:pPr>
        <w:pStyle w:val="ListParagraph"/>
        <w:numPr>
          <w:ilvl w:val="0"/>
          <w:numId w:val="7"/>
        </w:numPr>
        <w:rPr>
          <w:rFonts w:cs="Arial"/>
        </w:rPr>
      </w:pPr>
      <w:r w:rsidRPr="00491731">
        <w:rPr>
          <w:rFonts w:cs="Arial"/>
        </w:rPr>
        <w:t>Modifying ESSA Criteria for Comprehensive Support and Improvement (CSI), Additional Targeted Support and Improvement (ATSI), and Targeted Support and Improvement (TSI) to include the ELA and Math Growth Scores</w:t>
      </w:r>
    </w:p>
    <w:p w14:paraId="3ED0670A" w14:textId="70B5B6AD" w:rsidR="00C57941" w:rsidRDefault="00DF5F77" w:rsidP="00C57941">
      <w:pPr>
        <w:rPr>
          <w:rFonts w:cs="Arial"/>
        </w:rPr>
      </w:pPr>
      <w:r>
        <w:rPr>
          <w:rFonts w:cs="Arial"/>
        </w:rPr>
        <w:t xml:space="preserve">The </w:t>
      </w:r>
      <w:r w:rsidR="00C57941">
        <w:rPr>
          <w:rFonts w:cs="Arial"/>
        </w:rPr>
        <w:t xml:space="preserve">SBE has removed the possibility of Option 5 with their statements at the January 2025 meeting about choosing, at this time, not </w:t>
      </w:r>
      <w:r>
        <w:rPr>
          <w:rFonts w:cs="Arial"/>
        </w:rPr>
        <w:t>to</w:t>
      </w:r>
      <w:r w:rsidR="00C57941">
        <w:rPr>
          <w:rFonts w:cs="Arial"/>
        </w:rPr>
        <w:t xml:space="preserve"> modify or open the ESSA state plan.</w:t>
      </w:r>
    </w:p>
    <w:p w14:paraId="58D0C0AD" w14:textId="5FDDFED5" w:rsidR="00AE529B" w:rsidRDefault="00017DDF" w:rsidP="00D84FE1">
      <w:pPr>
        <w:rPr>
          <w:rFonts w:cs="Arial"/>
          <w:noProof/>
        </w:rPr>
      </w:pPr>
      <w:r>
        <w:rPr>
          <w:rFonts w:cs="Arial"/>
        </w:rPr>
        <w:t xml:space="preserve">At the March 2025 SBE meeting, the </w:t>
      </w:r>
      <w:r w:rsidR="00595B74">
        <w:rPr>
          <w:rFonts w:cs="Arial"/>
        </w:rPr>
        <w:t xml:space="preserve">CDE </w:t>
      </w:r>
      <w:r>
        <w:rPr>
          <w:rFonts w:cs="Arial"/>
        </w:rPr>
        <w:t xml:space="preserve">was asked to provide additional </w:t>
      </w:r>
      <w:r w:rsidR="00083A99">
        <w:rPr>
          <w:rFonts w:cs="Arial"/>
        </w:rPr>
        <w:t>information about</w:t>
      </w:r>
      <w:r>
        <w:rPr>
          <w:rFonts w:cs="Arial"/>
        </w:rPr>
        <w:t xml:space="preserve"> </w:t>
      </w:r>
      <w:r w:rsidR="00595B74">
        <w:rPr>
          <w:rFonts w:cs="Arial"/>
        </w:rPr>
        <w:t xml:space="preserve">the </w:t>
      </w:r>
      <w:r>
        <w:rPr>
          <w:rFonts w:cs="Arial"/>
        </w:rPr>
        <w:t xml:space="preserve">timing </w:t>
      </w:r>
      <w:r w:rsidR="00595B74">
        <w:rPr>
          <w:rFonts w:cs="Arial"/>
        </w:rPr>
        <w:t xml:space="preserve">constraints </w:t>
      </w:r>
      <w:r w:rsidR="00083A99">
        <w:rPr>
          <w:rFonts w:cs="Arial"/>
        </w:rPr>
        <w:t xml:space="preserve">to incorporate growth data into the Dashboard by October 15, as required by state law beginning in 2026. </w:t>
      </w:r>
      <w:r w:rsidR="005C64AB">
        <w:rPr>
          <w:rFonts w:cs="Arial"/>
        </w:rPr>
        <w:t xml:space="preserve">Figure 1 </w:t>
      </w:r>
      <w:r w:rsidR="00083A99">
        <w:rPr>
          <w:rFonts w:cs="Arial"/>
        </w:rPr>
        <w:t>provide</w:t>
      </w:r>
      <w:r w:rsidR="005C64AB">
        <w:rPr>
          <w:rFonts w:cs="Arial"/>
        </w:rPr>
        <w:t xml:space="preserve">s </w:t>
      </w:r>
      <w:r w:rsidR="00083A99">
        <w:rPr>
          <w:rFonts w:cs="Arial"/>
        </w:rPr>
        <w:t>a graphical overview of the timing of the key steps to produce California’s growth data</w:t>
      </w:r>
      <w:r w:rsidR="001D112B">
        <w:rPr>
          <w:rFonts w:cs="Arial"/>
        </w:rPr>
        <w:t>.</w:t>
      </w:r>
    </w:p>
    <w:p w14:paraId="45703617" w14:textId="27532873" w:rsidR="00826194" w:rsidRPr="003B1B60" w:rsidRDefault="00826194" w:rsidP="003B1B60">
      <w:pPr>
        <w:pStyle w:val="Heading3"/>
        <w:rPr>
          <w:noProof/>
          <w:sz w:val="28"/>
          <w:szCs w:val="22"/>
        </w:rPr>
      </w:pPr>
      <w:r w:rsidRPr="003B1B60">
        <w:rPr>
          <w:noProof/>
          <w:sz w:val="28"/>
          <w:szCs w:val="22"/>
        </w:rPr>
        <w:lastRenderedPageBreak/>
        <w:t>Figure 1: Timeline of Dependencies for the Academic Indicators</w:t>
      </w:r>
    </w:p>
    <w:p w14:paraId="3D029D7F" w14:textId="03E99042" w:rsidR="00191D01" w:rsidRDefault="671AB0F7" w:rsidP="00D84FE1">
      <w:r>
        <w:rPr>
          <w:noProof/>
        </w:rPr>
        <w:drawing>
          <wp:inline distT="0" distB="0" distL="0" distR="0" wp14:anchorId="350FD320" wp14:editId="09DBBCE4">
            <wp:extent cx="5943600" cy="1676400"/>
            <wp:effectExtent l="0" t="0" r="0" b="0"/>
            <wp:docPr id="654854223" name="Picture 654854223" descr="A Timeline of Dependencies for the academic indicators by months, January through Dec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54223" name="Picture 654854223" descr="A Timeline of Dependencies for the academic indicators by months, January through December. "/>
                    <pic:cNvPicPr/>
                  </pic:nvPicPr>
                  <pic:blipFill>
                    <a:blip r:embed="rId144">
                      <a:extLst>
                        <a:ext uri="{28A0092B-C50C-407E-A947-70E740481C1C}">
                          <a14:useLocalDpi xmlns:a14="http://schemas.microsoft.com/office/drawing/2010/main" val="0"/>
                        </a:ext>
                      </a:extLst>
                    </a:blip>
                    <a:stretch>
                      <a:fillRect/>
                    </a:stretch>
                  </pic:blipFill>
                  <pic:spPr>
                    <a:xfrm>
                      <a:off x="0" y="0"/>
                      <a:ext cx="5943600" cy="1676400"/>
                    </a:xfrm>
                    <a:prstGeom prst="rect">
                      <a:avLst/>
                    </a:prstGeom>
                  </pic:spPr>
                </pic:pic>
              </a:graphicData>
            </a:graphic>
          </wp:inline>
        </w:drawing>
      </w:r>
    </w:p>
    <w:p w14:paraId="1241B94F" w14:textId="2A83F035" w:rsidR="009B5C00" w:rsidRDefault="00F40F27" w:rsidP="009B5C00">
      <w:pPr>
        <w:rPr>
          <w:rFonts w:cs="Arial"/>
        </w:rPr>
      </w:pPr>
      <w:r>
        <w:rPr>
          <w:rFonts w:cs="Arial"/>
        </w:rPr>
        <w:t xml:space="preserve">Due to the variety of LEA instructional calendars </w:t>
      </w:r>
      <w:r w:rsidR="003D40A6">
        <w:rPr>
          <w:rFonts w:cs="Arial"/>
        </w:rPr>
        <w:t xml:space="preserve">used in </w:t>
      </w:r>
      <w:r w:rsidR="00B37946">
        <w:rPr>
          <w:rFonts w:cs="Arial"/>
        </w:rPr>
        <w:t>California</w:t>
      </w:r>
      <w:r w:rsidR="006E1A4B">
        <w:rPr>
          <w:rFonts w:cs="Arial"/>
        </w:rPr>
        <w:t>,</w:t>
      </w:r>
      <w:r w:rsidR="00B37946">
        <w:rPr>
          <w:rFonts w:cs="Arial"/>
        </w:rPr>
        <w:t xml:space="preserve"> </w:t>
      </w:r>
      <w:r w:rsidR="001557A8">
        <w:rPr>
          <w:rFonts w:cs="Arial"/>
        </w:rPr>
        <w:t xml:space="preserve">LEAs </w:t>
      </w:r>
      <w:r w:rsidR="006E1A4B">
        <w:rPr>
          <w:rFonts w:cs="Arial"/>
        </w:rPr>
        <w:t xml:space="preserve">have </w:t>
      </w:r>
      <w:r w:rsidR="00F678EA">
        <w:rPr>
          <w:rFonts w:cs="Arial"/>
        </w:rPr>
        <w:t>some</w:t>
      </w:r>
      <w:r w:rsidR="001557A8">
        <w:rPr>
          <w:rFonts w:cs="Arial"/>
        </w:rPr>
        <w:t xml:space="preserve"> flexibility </w:t>
      </w:r>
      <w:r w:rsidR="00F678EA">
        <w:rPr>
          <w:rFonts w:cs="Arial"/>
        </w:rPr>
        <w:t xml:space="preserve">in </w:t>
      </w:r>
      <w:r w:rsidR="001557A8">
        <w:rPr>
          <w:rFonts w:cs="Arial"/>
        </w:rPr>
        <w:t>set</w:t>
      </w:r>
      <w:r w:rsidR="00F678EA">
        <w:rPr>
          <w:rFonts w:cs="Arial"/>
        </w:rPr>
        <w:t>ting</w:t>
      </w:r>
      <w:r w:rsidR="001557A8">
        <w:rPr>
          <w:rFonts w:cs="Arial"/>
        </w:rPr>
        <w:t xml:space="preserve"> their annual testing window</w:t>
      </w:r>
      <w:r w:rsidR="00EA2083">
        <w:rPr>
          <w:rFonts w:cs="Arial"/>
        </w:rPr>
        <w:t xml:space="preserve">. Specifically, the CAASPP regulations require </w:t>
      </w:r>
      <w:r w:rsidR="00FF5316">
        <w:rPr>
          <w:rFonts w:cs="Arial"/>
        </w:rPr>
        <w:t xml:space="preserve">LEAs open their </w:t>
      </w:r>
      <w:r w:rsidR="001E2217">
        <w:rPr>
          <w:rFonts w:cs="Arial"/>
        </w:rPr>
        <w:t>CAASPP</w:t>
      </w:r>
      <w:r w:rsidR="00530F84">
        <w:rPr>
          <w:rFonts w:cs="Arial"/>
        </w:rPr>
        <w:t xml:space="preserve"> testing</w:t>
      </w:r>
      <w:r w:rsidR="00FF5316">
        <w:rPr>
          <w:rFonts w:cs="Arial"/>
        </w:rPr>
        <w:t xml:space="preserve"> window </w:t>
      </w:r>
      <w:r w:rsidR="001844E9">
        <w:rPr>
          <w:rFonts w:cs="Arial"/>
        </w:rPr>
        <w:t xml:space="preserve">following 66 percent of the school’s or track’s annual instruction days have been completed, which is no earlier than the second Tuesday in </w:t>
      </w:r>
      <w:r w:rsidR="001557A8">
        <w:rPr>
          <w:rFonts w:cs="Arial"/>
        </w:rPr>
        <w:t xml:space="preserve">January </w:t>
      </w:r>
      <w:r w:rsidR="001844E9">
        <w:rPr>
          <w:rFonts w:cs="Arial"/>
        </w:rPr>
        <w:t xml:space="preserve">each year. </w:t>
      </w:r>
      <w:r w:rsidR="00F678EA">
        <w:rPr>
          <w:rFonts w:cs="Arial"/>
        </w:rPr>
        <w:t>In response to the requirement to release state assessment scores by October 15, California recently updated the</w:t>
      </w:r>
      <w:r w:rsidR="00366E1B">
        <w:rPr>
          <w:rFonts w:cs="Arial"/>
        </w:rPr>
        <w:t>se</w:t>
      </w:r>
      <w:r w:rsidR="00F678EA">
        <w:rPr>
          <w:rFonts w:cs="Arial"/>
        </w:rPr>
        <w:t xml:space="preserve"> regulations to shift the close of the </w:t>
      </w:r>
      <w:r w:rsidR="00FF5316">
        <w:rPr>
          <w:rFonts w:cs="Arial"/>
        </w:rPr>
        <w:t xml:space="preserve">statewide </w:t>
      </w:r>
      <w:r w:rsidR="00530F84">
        <w:rPr>
          <w:rFonts w:cs="Arial"/>
        </w:rPr>
        <w:t>testing</w:t>
      </w:r>
      <w:r w:rsidR="00F678EA">
        <w:rPr>
          <w:rFonts w:cs="Arial"/>
        </w:rPr>
        <w:t xml:space="preserve"> window </w:t>
      </w:r>
      <w:r w:rsidR="00411D36">
        <w:rPr>
          <w:rFonts w:cs="Arial"/>
        </w:rPr>
        <w:t xml:space="preserve">by two weeks, </w:t>
      </w:r>
      <w:r w:rsidR="00F678EA">
        <w:rPr>
          <w:rFonts w:cs="Arial"/>
        </w:rPr>
        <w:t xml:space="preserve">from July 15 to </w:t>
      </w:r>
      <w:r w:rsidR="001557A8">
        <w:rPr>
          <w:rFonts w:cs="Arial"/>
        </w:rPr>
        <w:t>June</w:t>
      </w:r>
      <w:r w:rsidR="00B37946">
        <w:rPr>
          <w:rFonts w:cs="Arial"/>
        </w:rPr>
        <w:t xml:space="preserve"> 30.</w:t>
      </w:r>
    </w:p>
    <w:p w14:paraId="4BA9E094" w14:textId="5721C886" w:rsidR="003011C5" w:rsidRDefault="0015558A" w:rsidP="00896AF6">
      <w:pPr>
        <w:rPr>
          <w:rFonts w:cs="Arial"/>
        </w:rPr>
      </w:pPr>
      <w:r>
        <w:rPr>
          <w:rFonts w:cs="Arial"/>
        </w:rPr>
        <w:t>While student score reports are often provided to parents/guardians shortly after a student completes CAASSP testing, the complet</w:t>
      </w:r>
      <w:r w:rsidR="003302F6">
        <w:rPr>
          <w:rFonts w:cs="Arial"/>
        </w:rPr>
        <w:t>e statewide data file requires additional time.</w:t>
      </w:r>
      <w:r>
        <w:rPr>
          <w:rFonts w:cs="Arial"/>
        </w:rPr>
        <w:t xml:space="preserve"> </w:t>
      </w:r>
      <w:r w:rsidR="00CD2B03">
        <w:rPr>
          <w:rFonts w:cs="Arial"/>
        </w:rPr>
        <w:t>Specifically, f</w:t>
      </w:r>
      <w:r w:rsidR="00B37946">
        <w:rPr>
          <w:rFonts w:cs="Arial"/>
        </w:rPr>
        <w:t xml:space="preserve">ollowing the </w:t>
      </w:r>
      <w:r w:rsidR="001E2217">
        <w:rPr>
          <w:rFonts w:cs="Arial"/>
        </w:rPr>
        <w:t>close of the CAASPP testing window</w:t>
      </w:r>
      <w:r w:rsidR="00B37946">
        <w:rPr>
          <w:rFonts w:cs="Arial"/>
        </w:rPr>
        <w:t>, ETS conducts a rigorous review of the results</w:t>
      </w:r>
      <w:r w:rsidR="005063DC">
        <w:rPr>
          <w:rFonts w:cs="Arial"/>
        </w:rPr>
        <w:t xml:space="preserve">. This review includes scoring completion, reconciliation, and validation </w:t>
      </w:r>
      <w:r w:rsidR="00216C51">
        <w:rPr>
          <w:rFonts w:cs="Arial"/>
        </w:rPr>
        <w:t xml:space="preserve">of student assessment results. Upon completion of this data quality process, ETS </w:t>
      </w:r>
      <w:r w:rsidR="00FB21A2">
        <w:rPr>
          <w:rFonts w:cs="Arial"/>
        </w:rPr>
        <w:t>provide</w:t>
      </w:r>
      <w:r w:rsidR="00216C51">
        <w:rPr>
          <w:rFonts w:cs="Arial"/>
        </w:rPr>
        <w:t>s</w:t>
      </w:r>
      <w:r w:rsidR="00FB21A2">
        <w:rPr>
          <w:rFonts w:cs="Arial"/>
        </w:rPr>
        <w:t xml:space="preserve"> </w:t>
      </w:r>
      <w:r w:rsidR="00756D98">
        <w:rPr>
          <w:rFonts w:cs="Arial"/>
        </w:rPr>
        <w:t xml:space="preserve">the </w:t>
      </w:r>
      <w:r w:rsidR="0084047D">
        <w:rPr>
          <w:rFonts w:cs="Arial"/>
        </w:rPr>
        <w:t xml:space="preserve">CDE with a </w:t>
      </w:r>
      <w:r w:rsidR="006F42D4">
        <w:rPr>
          <w:rFonts w:cs="Arial"/>
        </w:rPr>
        <w:t xml:space="preserve">complete </w:t>
      </w:r>
      <w:r w:rsidR="0084047D">
        <w:rPr>
          <w:rFonts w:cs="Arial"/>
        </w:rPr>
        <w:t>student</w:t>
      </w:r>
      <w:r w:rsidR="006F42D4">
        <w:rPr>
          <w:rFonts w:cs="Arial"/>
        </w:rPr>
        <w:t>-</w:t>
      </w:r>
      <w:r w:rsidR="0084047D">
        <w:rPr>
          <w:rFonts w:cs="Arial"/>
        </w:rPr>
        <w:t xml:space="preserve">level </w:t>
      </w:r>
      <w:r w:rsidR="006F42D4">
        <w:rPr>
          <w:rFonts w:cs="Arial"/>
        </w:rPr>
        <w:t xml:space="preserve">CAASPP assessment </w:t>
      </w:r>
      <w:r w:rsidR="0084047D">
        <w:rPr>
          <w:rFonts w:cs="Arial"/>
        </w:rPr>
        <w:t>results</w:t>
      </w:r>
      <w:r w:rsidR="00A155B7">
        <w:rPr>
          <w:rFonts w:cs="Arial"/>
        </w:rPr>
        <w:t xml:space="preserve">. This file is </w:t>
      </w:r>
      <w:r w:rsidR="006F42D4">
        <w:rPr>
          <w:rFonts w:cs="Arial"/>
        </w:rPr>
        <w:t>typically delivered t</w:t>
      </w:r>
      <w:r w:rsidR="00A155B7">
        <w:rPr>
          <w:rFonts w:cs="Arial"/>
        </w:rPr>
        <w:t xml:space="preserve">o </w:t>
      </w:r>
      <w:r w:rsidR="00756D98">
        <w:rPr>
          <w:rFonts w:cs="Arial"/>
        </w:rPr>
        <w:t xml:space="preserve">the </w:t>
      </w:r>
      <w:r w:rsidR="00A155B7">
        <w:rPr>
          <w:rFonts w:cs="Arial"/>
        </w:rPr>
        <w:t xml:space="preserve">CDE </w:t>
      </w:r>
      <w:r w:rsidR="00F313DD">
        <w:rPr>
          <w:rFonts w:cs="Arial"/>
        </w:rPr>
        <w:t>by the end of</w:t>
      </w:r>
      <w:r w:rsidR="001D46A3">
        <w:rPr>
          <w:rFonts w:cs="Arial"/>
        </w:rPr>
        <w:t xml:space="preserve"> August.</w:t>
      </w:r>
    </w:p>
    <w:p w14:paraId="3B62F7F6" w14:textId="1958CDFF" w:rsidR="00F66F1C" w:rsidRPr="003251C9" w:rsidRDefault="003944FB" w:rsidP="008F6790">
      <w:pPr>
        <w:rPr>
          <w:rFonts w:cs="Arial"/>
        </w:rPr>
      </w:pPr>
      <w:r w:rsidRPr="003251C9">
        <w:rPr>
          <w:rFonts w:cs="Arial"/>
        </w:rPr>
        <w:t>In parallel</w:t>
      </w:r>
      <w:r w:rsidR="00E30111" w:rsidRPr="003251C9">
        <w:rPr>
          <w:rFonts w:cs="Arial"/>
        </w:rPr>
        <w:t>,</w:t>
      </w:r>
      <w:r w:rsidR="001D46A3" w:rsidRPr="003251C9">
        <w:rPr>
          <w:rFonts w:cs="Arial"/>
        </w:rPr>
        <w:t xml:space="preserve"> the </w:t>
      </w:r>
      <w:r w:rsidR="00392CFE" w:rsidRPr="003251C9">
        <w:rPr>
          <w:rFonts w:cs="Arial"/>
        </w:rPr>
        <w:t xml:space="preserve">California Longitudinal Pupil Achievement Data System (CALPADS) </w:t>
      </w:r>
      <w:r w:rsidR="001D46A3" w:rsidRPr="003251C9">
        <w:rPr>
          <w:rFonts w:cs="Arial"/>
        </w:rPr>
        <w:t xml:space="preserve">End-of-Year </w:t>
      </w:r>
      <w:r w:rsidR="00D831A1" w:rsidRPr="003251C9">
        <w:rPr>
          <w:rFonts w:cs="Arial"/>
        </w:rPr>
        <w:t xml:space="preserve">deadline </w:t>
      </w:r>
      <w:r w:rsidR="005F2FC7" w:rsidRPr="003251C9">
        <w:rPr>
          <w:rFonts w:cs="Arial"/>
        </w:rPr>
        <w:t xml:space="preserve">for the 2024–25 school year </w:t>
      </w:r>
      <w:r w:rsidR="005937A0" w:rsidRPr="003251C9">
        <w:rPr>
          <w:rFonts w:cs="Arial"/>
        </w:rPr>
        <w:t xml:space="preserve">now </w:t>
      </w:r>
      <w:r w:rsidR="005F2FC7" w:rsidRPr="003251C9">
        <w:rPr>
          <w:rFonts w:cs="Arial"/>
        </w:rPr>
        <w:t>close</w:t>
      </w:r>
      <w:r w:rsidR="005937A0" w:rsidRPr="003251C9">
        <w:rPr>
          <w:rFonts w:cs="Arial"/>
        </w:rPr>
        <w:t>s</w:t>
      </w:r>
      <w:r w:rsidR="005F2FC7" w:rsidRPr="003251C9">
        <w:rPr>
          <w:rFonts w:cs="Arial"/>
        </w:rPr>
        <w:t xml:space="preserve"> on August 8</w:t>
      </w:r>
      <w:r w:rsidR="00C02A07" w:rsidRPr="003251C9">
        <w:rPr>
          <w:rFonts w:cs="Arial"/>
        </w:rPr>
        <w:t>, 2025,</w:t>
      </w:r>
      <w:r w:rsidR="005F2FC7" w:rsidRPr="003251C9">
        <w:rPr>
          <w:rFonts w:cs="Arial"/>
        </w:rPr>
        <w:t xml:space="preserve"> </w:t>
      </w:r>
      <w:r w:rsidR="00F55EE3" w:rsidRPr="003251C9">
        <w:rPr>
          <w:rFonts w:cs="Arial"/>
        </w:rPr>
        <w:t xml:space="preserve">to accommodate the </w:t>
      </w:r>
      <w:r w:rsidR="005F2FC7" w:rsidRPr="003251C9">
        <w:rPr>
          <w:rFonts w:cs="Arial"/>
        </w:rPr>
        <w:t xml:space="preserve">changing </w:t>
      </w:r>
      <w:r w:rsidR="00F55EE3" w:rsidRPr="003251C9">
        <w:rPr>
          <w:rFonts w:cs="Arial"/>
        </w:rPr>
        <w:t>statutory deadline to publish the Dashboard</w:t>
      </w:r>
      <w:r w:rsidR="00F55EE3">
        <w:rPr>
          <w:rFonts w:cs="Arial"/>
        </w:rPr>
        <w:t xml:space="preserve"> by </w:t>
      </w:r>
      <w:r w:rsidR="005F2FC7">
        <w:rPr>
          <w:rFonts w:cs="Arial"/>
        </w:rPr>
        <w:t>November</w:t>
      </w:r>
      <w:r w:rsidR="00F55EE3">
        <w:rPr>
          <w:rFonts w:cs="Arial"/>
        </w:rPr>
        <w:t xml:space="preserve"> 15</w:t>
      </w:r>
      <w:r w:rsidR="00C02A07">
        <w:rPr>
          <w:rFonts w:cs="Arial"/>
        </w:rPr>
        <w:t>,</w:t>
      </w:r>
      <w:r w:rsidR="005F2FC7">
        <w:rPr>
          <w:rFonts w:cs="Arial"/>
        </w:rPr>
        <w:t xml:space="preserve"> 2025, and </w:t>
      </w:r>
      <w:r w:rsidR="00F55EE3">
        <w:rPr>
          <w:rFonts w:cs="Arial"/>
        </w:rPr>
        <w:t xml:space="preserve">October 15 of each year </w:t>
      </w:r>
      <w:r w:rsidR="00C02A07">
        <w:rPr>
          <w:rFonts w:cs="Arial"/>
        </w:rPr>
        <w:t xml:space="preserve">thereafter </w:t>
      </w:r>
      <w:r w:rsidR="00F55EE3">
        <w:rPr>
          <w:rFonts w:cs="Arial"/>
        </w:rPr>
        <w:t>in alignment with assessment results beginning in 2026.</w:t>
      </w:r>
      <w:r w:rsidR="00421E99">
        <w:rPr>
          <w:rFonts w:cs="Arial"/>
        </w:rPr>
        <w:t xml:space="preserve"> </w:t>
      </w:r>
      <w:r w:rsidR="00392CFE">
        <w:rPr>
          <w:rFonts w:cs="Arial"/>
        </w:rPr>
        <w:t>T</w:t>
      </w:r>
      <w:r w:rsidR="001D46A3">
        <w:rPr>
          <w:rFonts w:cs="Arial"/>
        </w:rPr>
        <w:t xml:space="preserve">he Dashboard </w:t>
      </w:r>
      <w:r w:rsidR="00E33430">
        <w:rPr>
          <w:rFonts w:cs="Arial"/>
        </w:rPr>
        <w:t>utilizes</w:t>
      </w:r>
      <w:r w:rsidR="00454B40">
        <w:rPr>
          <w:rFonts w:cs="Arial"/>
        </w:rPr>
        <w:t xml:space="preserve"> demographic information for students</w:t>
      </w:r>
      <w:r w:rsidR="00074DF5">
        <w:rPr>
          <w:rFonts w:cs="Arial"/>
        </w:rPr>
        <w:t xml:space="preserve"> collected in CALPADS</w:t>
      </w:r>
      <w:r w:rsidR="00454B40">
        <w:rPr>
          <w:rFonts w:cs="Arial"/>
        </w:rPr>
        <w:t xml:space="preserve">, as well as the </w:t>
      </w:r>
      <w:r w:rsidR="0022442A">
        <w:rPr>
          <w:rFonts w:cs="Arial"/>
        </w:rPr>
        <w:t xml:space="preserve">student outcome </w:t>
      </w:r>
      <w:r w:rsidR="00454B40">
        <w:rPr>
          <w:rFonts w:cs="Arial"/>
        </w:rPr>
        <w:t xml:space="preserve">data needed to calculate </w:t>
      </w:r>
      <w:r w:rsidR="00481215">
        <w:rPr>
          <w:rFonts w:cs="Arial"/>
        </w:rPr>
        <w:t>most Dashboard</w:t>
      </w:r>
      <w:r w:rsidR="00454B40">
        <w:rPr>
          <w:rFonts w:cs="Arial"/>
        </w:rPr>
        <w:t xml:space="preserve"> indicators. </w:t>
      </w:r>
      <w:r w:rsidR="00321949">
        <w:rPr>
          <w:rFonts w:cs="Arial"/>
        </w:rPr>
        <w:t>Th</w:t>
      </w:r>
      <w:r w:rsidR="008F6790">
        <w:rPr>
          <w:rFonts w:cs="Arial"/>
        </w:rPr>
        <w:t>e</w:t>
      </w:r>
      <w:r w:rsidR="00F91620">
        <w:rPr>
          <w:rFonts w:cs="Arial"/>
        </w:rPr>
        <w:t xml:space="preserve">se </w:t>
      </w:r>
      <w:r w:rsidR="00C713A0">
        <w:rPr>
          <w:rFonts w:cs="Arial"/>
        </w:rPr>
        <w:t>calculation</w:t>
      </w:r>
      <w:r w:rsidR="00F91620">
        <w:rPr>
          <w:rFonts w:cs="Arial"/>
        </w:rPr>
        <w:t>s</w:t>
      </w:r>
      <w:r w:rsidR="001D5314">
        <w:rPr>
          <w:rFonts w:cs="Arial"/>
        </w:rPr>
        <w:t xml:space="preserve"> are made at</w:t>
      </w:r>
      <w:r w:rsidR="00814846">
        <w:rPr>
          <w:rFonts w:cs="Arial"/>
        </w:rPr>
        <w:t xml:space="preserve"> the school, district and state </w:t>
      </w:r>
      <w:r w:rsidR="00814846" w:rsidRPr="003251C9">
        <w:rPr>
          <w:rFonts w:cs="Arial"/>
        </w:rPr>
        <w:t>level.</w:t>
      </w:r>
    </w:p>
    <w:p w14:paraId="31A640BB" w14:textId="08D69069" w:rsidR="2A04CE88" w:rsidRDefault="008F45B2" w:rsidP="00896AF6">
      <w:pPr>
        <w:rPr>
          <w:rFonts w:cs="Arial"/>
        </w:rPr>
      </w:pPr>
      <w:r w:rsidRPr="003251C9">
        <w:rPr>
          <w:rFonts w:cs="Arial"/>
        </w:rPr>
        <w:t>Once both</w:t>
      </w:r>
      <w:r w:rsidR="00D56A77" w:rsidRPr="003251C9">
        <w:rPr>
          <w:rFonts w:cs="Arial"/>
        </w:rPr>
        <w:t xml:space="preserve"> the </w:t>
      </w:r>
      <w:r w:rsidR="00290E47" w:rsidRPr="003251C9">
        <w:rPr>
          <w:rFonts w:cs="Arial"/>
        </w:rPr>
        <w:t>CA</w:t>
      </w:r>
      <w:r w:rsidR="00F43DCB" w:rsidRPr="003251C9">
        <w:rPr>
          <w:rFonts w:cs="Arial"/>
        </w:rPr>
        <w:t>A</w:t>
      </w:r>
      <w:r w:rsidR="00290E47" w:rsidRPr="003251C9">
        <w:rPr>
          <w:rFonts w:cs="Arial"/>
        </w:rPr>
        <w:t xml:space="preserve">SPP statewide assessment file </w:t>
      </w:r>
      <w:r w:rsidR="0033450E" w:rsidRPr="003251C9">
        <w:rPr>
          <w:rFonts w:cs="Arial"/>
        </w:rPr>
        <w:t>and CALPADS demographic</w:t>
      </w:r>
      <w:r w:rsidR="00290E47" w:rsidRPr="003251C9">
        <w:rPr>
          <w:rFonts w:cs="Arial"/>
        </w:rPr>
        <w:t xml:space="preserve"> file</w:t>
      </w:r>
      <w:r w:rsidR="00F4187C" w:rsidRPr="003251C9">
        <w:rPr>
          <w:rFonts w:cs="Arial"/>
        </w:rPr>
        <w:t xml:space="preserve"> </w:t>
      </w:r>
      <w:r w:rsidR="00807ECD" w:rsidRPr="003251C9">
        <w:rPr>
          <w:rFonts w:cs="Arial"/>
        </w:rPr>
        <w:t xml:space="preserve">are available, the CDE </w:t>
      </w:r>
      <w:r w:rsidR="00F97F08" w:rsidRPr="003251C9">
        <w:rPr>
          <w:rFonts w:cs="Arial"/>
        </w:rPr>
        <w:t>calculate</w:t>
      </w:r>
      <w:r w:rsidR="00807ECD" w:rsidRPr="003251C9">
        <w:rPr>
          <w:rFonts w:cs="Arial"/>
        </w:rPr>
        <w:t>s</w:t>
      </w:r>
      <w:r w:rsidR="00F97F08" w:rsidRPr="003251C9">
        <w:rPr>
          <w:rFonts w:cs="Arial"/>
        </w:rPr>
        <w:t xml:space="preserve"> the Academic Indicators which are the basis of the growth model. </w:t>
      </w:r>
      <w:r w:rsidR="000A1F2A" w:rsidRPr="003251C9">
        <w:rPr>
          <w:rFonts w:cs="Arial"/>
        </w:rPr>
        <w:t xml:space="preserve">These </w:t>
      </w:r>
      <w:r w:rsidR="00FF7584" w:rsidRPr="003251C9">
        <w:rPr>
          <w:rFonts w:cs="Arial"/>
        </w:rPr>
        <w:t>calculations are conducted at</w:t>
      </w:r>
      <w:r w:rsidR="00F4187C" w:rsidRPr="003251C9">
        <w:rPr>
          <w:rFonts w:cs="Arial"/>
        </w:rPr>
        <w:t xml:space="preserve"> the </w:t>
      </w:r>
      <w:r w:rsidR="005A667B" w:rsidRPr="003251C9">
        <w:rPr>
          <w:rFonts w:cs="Arial"/>
        </w:rPr>
        <w:t>school, district</w:t>
      </w:r>
      <w:r w:rsidR="00F4187C" w:rsidRPr="003251C9">
        <w:rPr>
          <w:rFonts w:cs="Arial"/>
        </w:rPr>
        <w:t xml:space="preserve">, and </w:t>
      </w:r>
      <w:r w:rsidR="005A667B" w:rsidRPr="003251C9">
        <w:rPr>
          <w:rFonts w:cs="Arial"/>
        </w:rPr>
        <w:t>state</w:t>
      </w:r>
      <w:r w:rsidR="00164EC8" w:rsidRPr="003251C9">
        <w:rPr>
          <w:rFonts w:cs="Arial"/>
        </w:rPr>
        <w:t>-level</w:t>
      </w:r>
      <w:r w:rsidR="00351930" w:rsidRPr="003251C9">
        <w:rPr>
          <w:rFonts w:cs="Arial"/>
        </w:rPr>
        <w:t xml:space="preserve"> between early September</w:t>
      </w:r>
      <w:r w:rsidR="00F4187C" w:rsidRPr="003251C9">
        <w:rPr>
          <w:rFonts w:cs="Arial"/>
        </w:rPr>
        <w:t xml:space="preserve"> and </w:t>
      </w:r>
      <w:r w:rsidR="00351930" w:rsidRPr="003251C9">
        <w:rPr>
          <w:rFonts w:cs="Arial"/>
        </w:rPr>
        <w:t>October 15</w:t>
      </w:r>
      <w:r w:rsidR="005A667B" w:rsidRPr="003251C9">
        <w:rPr>
          <w:rFonts w:cs="Arial"/>
        </w:rPr>
        <w:t>.</w:t>
      </w:r>
      <w:r w:rsidR="006342A9" w:rsidRPr="003251C9">
        <w:rPr>
          <w:rFonts w:cs="Arial"/>
        </w:rPr>
        <w:t xml:space="preserve"> </w:t>
      </w:r>
      <w:r w:rsidR="009F4B5C" w:rsidRPr="003251C9">
        <w:rPr>
          <w:rFonts w:cs="Arial"/>
        </w:rPr>
        <w:t xml:space="preserve">Upon completion of all elements of the Academic Indicators for the Dashboard, CDE </w:t>
      </w:r>
      <w:r w:rsidR="00DE60EE" w:rsidRPr="003251C9">
        <w:rPr>
          <w:rFonts w:cs="Arial"/>
        </w:rPr>
        <w:t>provides ETS with</w:t>
      </w:r>
      <w:r w:rsidR="009F4B5C" w:rsidRPr="003251C9">
        <w:rPr>
          <w:rFonts w:cs="Arial"/>
        </w:rPr>
        <w:t xml:space="preserve"> the</w:t>
      </w:r>
      <w:r w:rsidR="009F4B5C">
        <w:rPr>
          <w:rFonts w:cs="Arial"/>
        </w:rPr>
        <w:t xml:space="preserve"> student-level data </w:t>
      </w:r>
      <w:r w:rsidR="001A3E91">
        <w:rPr>
          <w:rFonts w:cs="Arial"/>
        </w:rPr>
        <w:t xml:space="preserve">file, complete with demographic information, attributed school and district codes, and </w:t>
      </w:r>
      <w:r w:rsidR="00A534F7">
        <w:rPr>
          <w:rFonts w:cs="Arial"/>
        </w:rPr>
        <w:lastRenderedPageBreak/>
        <w:t xml:space="preserve">inclusion </w:t>
      </w:r>
      <w:r w:rsidR="00A534F7" w:rsidRPr="003251C9">
        <w:rPr>
          <w:rFonts w:cs="Arial"/>
        </w:rPr>
        <w:t>determinations</w:t>
      </w:r>
      <w:r w:rsidR="00486E97" w:rsidRPr="003251C9">
        <w:rPr>
          <w:rFonts w:cs="Arial"/>
        </w:rPr>
        <w:t>.</w:t>
      </w:r>
      <w:r w:rsidR="00F06895" w:rsidRPr="003251C9">
        <w:rPr>
          <w:rFonts w:cs="Arial"/>
        </w:rPr>
        <w:t xml:space="preserve"> ETS </w:t>
      </w:r>
      <w:r w:rsidR="00486E97" w:rsidRPr="003251C9">
        <w:rPr>
          <w:rFonts w:cs="Arial"/>
        </w:rPr>
        <w:t>then</w:t>
      </w:r>
      <w:r w:rsidR="00F06895" w:rsidRPr="003251C9">
        <w:rPr>
          <w:rFonts w:cs="Arial"/>
        </w:rPr>
        <w:t xml:space="preserve"> calculate</w:t>
      </w:r>
      <w:r w:rsidR="00486E97" w:rsidRPr="003251C9">
        <w:rPr>
          <w:rFonts w:cs="Arial"/>
        </w:rPr>
        <w:t>s</w:t>
      </w:r>
      <w:r w:rsidR="00F06895" w:rsidRPr="003251C9">
        <w:rPr>
          <w:rFonts w:cs="Arial"/>
        </w:rPr>
        <w:t xml:space="preserve"> the growth data</w:t>
      </w:r>
      <w:r w:rsidR="00F063CC" w:rsidRPr="003251C9">
        <w:rPr>
          <w:rFonts w:cs="Arial"/>
        </w:rPr>
        <w:t xml:space="preserve"> and return</w:t>
      </w:r>
      <w:r w:rsidR="00A13157" w:rsidRPr="003251C9">
        <w:rPr>
          <w:rFonts w:cs="Arial"/>
        </w:rPr>
        <w:t>s</w:t>
      </w:r>
      <w:r w:rsidR="00F063CC">
        <w:rPr>
          <w:rFonts w:cs="Arial"/>
        </w:rPr>
        <w:t xml:space="preserve"> the statewide data file by </w:t>
      </w:r>
      <w:r w:rsidR="00DA62C9">
        <w:rPr>
          <w:rFonts w:cs="Arial"/>
        </w:rPr>
        <w:t>late November</w:t>
      </w:r>
      <w:r w:rsidR="00F06895">
        <w:rPr>
          <w:rFonts w:cs="Arial"/>
        </w:rPr>
        <w:t>.</w:t>
      </w:r>
    </w:p>
    <w:p w14:paraId="3AEFB781" w14:textId="418B323E" w:rsidR="008B3A21" w:rsidRPr="00896AF6" w:rsidRDefault="009B795C" w:rsidP="00896AF6">
      <w:pPr>
        <w:rPr>
          <w:rFonts w:cs="Arial"/>
        </w:rPr>
      </w:pPr>
      <w:r>
        <w:rPr>
          <w:rFonts w:cs="Arial"/>
        </w:rPr>
        <w:t>The</w:t>
      </w:r>
      <w:r w:rsidR="00E8405A">
        <w:rPr>
          <w:rFonts w:cs="Arial"/>
        </w:rPr>
        <w:t xml:space="preserve"> CDE is committed to evaluating additional </w:t>
      </w:r>
      <w:r w:rsidR="008A62C1">
        <w:rPr>
          <w:rFonts w:cs="Arial"/>
        </w:rPr>
        <w:t xml:space="preserve">adjustments to </w:t>
      </w:r>
      <w:r w:rsidR="00E65684">
        <w:rPr>
          <w:rFonts w:cs="Arial"/>
        </w:rPr>
        <w:t>add efficiency</w:t>
      </w:r>
      <w:r w:rsidR="00033B02">
        <w:rPr>
          <w:rFonts w:cs="Arial"/>
        </w:rPr>
        <w:t>, while ensuring data quality,</w:t>
      </w:r>
      <w:r w:rsidR="00E65684">
        <w:rPr>
          <w:rFonts w:cs="Arial"/>
        </w:rPr>
        <w:t xml:space="preserve"> to the </w:t>
      </w:r>
      <w:r w:rsidR="00095B85">
        <w:rPr>
          <w:rFonts w:cs="Arial"/>
        </w:rPr>
        <w:t xml:space="preserve">key events in this timeline. </w:t>
      </w:r>
      <w:r w:rsidR="00BC7B8E">
        <w:rPr>
          <w:rFonts w:cs="Arial"/>
        </w:rPr>
        <w:t xml:space="preserve">However, </w:t>
      </w:r>
      <w:r w:rsidR="00644FD6">
        <w:rPr>
          <w:rFonts w:cs="Arial"/>
        </w:rPr>
        <w:t>due to the complex nature of this processing, the Dashboard cannot</w:t>
      </w:r>
      <w:r w:rsidR="009703FA">
        <w:rPr>
          <w:rFonts w:cs="Arial"/>
        </w:rPr>
        <w:t xml:space="preserve"> </w:t>
      </w:r>
      <w:r w:rsidR="00133CDA">
        <w:rPr>
          <w:rFonts w:cs="Arial"/>
        </w:rPr>
        <w:t>report the</w:t>
      </w:r>
      <w:r w:rsidR="009703FA">
        <w:rPr>
          <w:rFonts w:cs="Arial"/>
        </w:rPr>
        <w:t xml:space="preserve"> growth data within district support determinations, primarily Differentiated Assistance, </w:t>
      </w:r>
      <w:r w:rsidR="007E41BE">
        <w:rPr>
          <w:rFonts w:cs="Arial"/>
        </w:rPr>
        <w:t>by the</w:t>
      </w:r>
      <w:r w:rsidR="00430841">
        <w:rPr>
          <w:rFonts w:cs="Arial"/>
        </w:rPr>
        <w:t xml:space="preserve"> </w:t>
      </w:r>
      <w:r w:rsidR="00133CDA">
        <w:rPr>
          <w:rFonts w:cs="Arial"/>
        </w:rPr>
        <w:t xml:space="preserve">statutorily required </w:t>
      </w:r>
      <w:r w:rsidR="007E41BE">
        <w:rPr>
          <w:rFonts w:cs="Arial"/>
        </w:rPr>
        <w:t>October 15 release date.</w:t>
      </w:r>
    </w:p>
    <w:p w14:paraId="6614E667" w14:textId="77777777" w:rsidR="008403B8" w:rsidRDefault="008403B8" w:rsidP="5F48C630">
      <w:pPr>
        <w:pStyle w:val="Heading2"/>
        <w:sectPr w:rsidR="008403B8" w:rsidSect="0089621B">
          <w:headerReference w:type="default" r:id="rId145"/>
          <w:pgSz w:w="12240" w:h="15840"/>
          <w:pgMar w:top="1440" w:right="1440" w:bottom="1440" w:left="1440" w:header="720" w:footer="720" w:gutter="0"/>
          <w:pgNumType w:start="1"/>
          <w:cols w:space="720"/>
          <w:docGrid w:linePitch="360"/>
        </w:sectPr>
      </w:pPr>
    </w:p>
    <w:p w14:paraId="5292CEB4" w14:textId="68DEE138" w:rsidR="44FE229C" w:rsidRPr="00A92916" w:rsidRDefault="44FE229C" w:rsidP="00A92916">
      <w:pPr>
        <w:pStyle w:val="Heading1"/>
        <w:jc w:val="left"/>
        <w:rPr>
          <w:sz w:val="36"/>
          <w:szCs w:val="28"/>
        </w:rPr>
      </w:pPr>
      <w:r w:rsidRPr="00A92916">
        <w:rPr>
          <w:sz w:val="36"/>
          <w:szCs w:val="28"/>
        </w:rPr>
        <w:lastRenderedPageBreak/>
        <w:t xml:space="preserve">Attachment </w:t>
      </w:r>
      <w:r w:rsidR="424B71EF" w:rsidRPr="00A92916">
        <w:rPr>
          <w:sz w:val="36"/>
          <w:szCs w:val="28"/>
        </w:rPr>
        <w:t>3</w:t>
      </w:r>
    </w:p>
    <w:p w14:paraId="4AE29D34" w14:textId="3DEB98BB" w:rsidR="000367C9" w:rsidRDefault="00F83D5F" w:rsidP="00192AC8">
      <w:pPr>
        <w:pStyle w:val="Heading2"/>
      </w:pPr>
      <w:r w:rsidRPr="00F83D5F">
        <w:t>Differentiated Assistance</w:t>
      </w:r>
      <w:r w:rsidR="000367C9">
        <w:t xml:space="preserve"> Outcomes for Long-Term English Learners</w:t>
      </w:r>
    </w:p>
    <w:p w14:paraId="59564CF6" w14:textId="7EE37158" w:rsidR="00AB0A6C" w:rsidRDefault="00AB0A6C" w:rsidP="00AB0A6C">
      <w:pPr>
        <w:rPr>
          <w:rFonts w:eastAsia="Arial" w:cs="Arial"/>
          <w:color w:val="000000" w:themeColor="text1"/>
        </w:rPr>
      </w:pPr>
      <w:r>
        <w:rPr>
          <w:rFonts w:eastAsia="Arial" w:cs="Arial"/>
          <w:color w:val="000000" w:themeColor="text1"/>
        </w:rPr>
        <w:t>At their January</w:t>
      </w:r>
      <w:r w:rsidRPr="5F48C630">
        <w:rPr>
          <w:rFonts w:eastAsia="Arial" w:cs="Arial"/>
          <w:color w:val="000000" w:themeColor="text1"/>
        </w:rPr>
        <w:t xml:space="preserve"> 202</w:t>
      </w:r>
      <w:r>
        <w:rPr>
          <w:rFonts w:eastAsia="Arial" w:cs="Arial"/>
          <w:color w:val="000000" w:themeColor="text1"/>
        </w:rPr>
        <w:t xml:space="preserve">5 meeting the </w:t>
      </w:r>
      <w:r w:rsidRPr="5F48C630">
        <w:rPr>
          <w:rFonts w:eastAsia="Arial" w:cs="Arial"/>
          <w:color w:val="000000" w:themeColor="text1"/>
        </w:rPr>
        <w:t>S</w:t>
      </w:r>
      <w:r>
        <w:rPr>
          <w:rFonts w:eastAsia="Arial" w:cs="Arial"/>
          <w:color w:val="000000" w:themeColor="text1"/>
        </w:rPr>
        <w:t xml:space="preserve">tate </w:t>
      </w:r>
      <w:r w:rsidRPr="5F48C630">
        <w:rPr>
          <w:rFonts w:eastAsia="Arial" w:cs="Arial"/>
          <w:color w:val="000000" w:themeColor="text1"/>
        </w:rPr>
        <w:t>B</w:t>
      </w:r>
      <w:r>
        <w:rPr>
          <w:rFonts w:eastAsia="Arial" w:cs="Arial"/>
          <w:color w:val="000000" w:themeColor="text1"/>
        </w:rPr>
        <w:t xml:space="preserve">oard of </w:t>
      </w:r>
      <w:r w:rsidRPr="5F48C630">
        <w:rPr>
          <w:rFonts w:eastAsia="Arial" w:cs="Arial"/>
          <w:color w:val="000000" w:themeColor="text1"/>
        </w:rPr>
        <w:t>E</w:t>
      </w:r>
      <w:r>
        <w:rPr>
          <w:rFonts w:eastAsia="Arial" w:cs="Arial"/>
          <w:color w:val="000000" w:themeColor="text1"/>
        </w:rPr>
        <w:t>ducation</w:t>
      </w:r>
      <w:r w:rsidRPr="5F48C630">
        <w:rPr>
          <w:rFonts w:eastAsia="Arial" w:cs="Arial"/>
          <w:color w:val="000000" w:themeColor="text1"/>
        </w:rPr>
        <w:t xml:space="preserve"> </w:t>
      </w:r>
      <w:r>
        <w:rPr>
          <w:rFonts w:eastAsia="Arial" w:cs="Arial"/>
          <w:color w:val="000000" w:themeColor="text1"/>
        </w:rPr>
        <w:t>(SBE) directed the California Department of Education to review the performance of the newest student group on the California School Dashboard (Dashboard), Long-Term English Learners (LTELs).</w:t>
      </w:r>
    </w:p>
    <w:p w14:paraId="5ED35A66" w14:textId="43225DEC" w:rsidR="00AB0A6C" w:rsidRPr="00491731" w:rsidRDefault="00AB0A6C" w:rsidP="00AB0A6C">
      <w:pPr>
        <w:rPr>
          <w:rFonts w:eastAsia="Arial" w:cs="Arial"/>
          <w:color w:val="000000" w:themeColor="text1"/>
        </w:rPr>
      </w:pPr>
      <w:r>
        <w:rPr>
          <w:rFonts w:eastAsia="Arial" w:cs="Arial"/>
          <w:color w:val="000000" w:themeColor="text1"/>
        </w:rPr>
        <w:t xml:space="preserve">Table 14 shows the </w:t>
      </w:r>
      <w:r w:rsidRPr="003251C9">
        <w:rPr>
          <w:rFonts w:eastAsia="Arial" w:cs="Arial"/>
          <w:color w:val="000000" w:themeColor="text1"/>
        </w:rPr>
        <w:t xml:space="preserve">activities related to the </w:t>
      </w:r>
      <w:r w:rsidR="00927EEE" w:rsidRPr="003251C9">
        <w:rPr>
          <w:rFonts w:eastAsia="Arial" w:cs="Arial"/>
          <w:color w:val="000000" w:themeColor="text1"/>
        </w:rPr>
        <w:t>LTEL student group</w:t>
      </w:r>
      <w:r w:rsidRPr="003251C9">
        <w:rPr>
          <w:rFonts w:eastAsia="Arial" w:cs="Arial"/>
          <w:color w:val="000000" w:themeColor="text1"/>
        </w:rPr>
        <w:t xml:space="preserve"> in the 2025 Accountability Workplan</w:t>
      </w:r>
      <w:r w:rsidR="00430841" w:rsidRPr="003251C9">
        <w:rPr>
          <w:rFonts w:eastAsia="Arial" w:cs="Arial"/>
          <w:color w:val="000000" w:themeColor="text1"/>
        </w:rPr>
        <w:t xml:space="preserve"> and the items presented at prior and upcoming SBE and California Practitioners Advisory Group (CPAG) meetings</w:t>
      </w:r>
      <w:r w:rsidRPr="003251C9">
        <w:rPr>
          <w:rFonts w:eastAsia="Arial" w:cs="Arial"/>
          <w:color w:val="000000" w:themeColor="text1"/>
        </w:rPr>
        <w:t>.</w:t>
      </w:r>
    </w:p>
    <w:p w14:paraId="36B9756E" w14:textId="61AC2FE2" w:rsidR="00B76F3A" w:rsidRPr="00192AC8" w:rsidRDefault="00B76F3A" w:rsidP="00192AC8">
      <w:pPr>
        <w:pStyle w:val="Heading3"/>
        <w:rPr>
          <w:color w:val="000000" w:themeColor="text1"/>
          <w:sz w:val="24"/>
          <w:szCs w:val="20"/>
        </w:rPr>
      </w:pPr>
      <w:r w:rsidRPr="00192AC8">
        <w:rPr>
          <w:color w:val="000000" w:themeColor="text1"/>
          <w:sz w:val="24"/>
          <w:szCs w:val="20"/>
        </w:rPr>
        <w:t xml:space="preserve">Table </w:t>
      </w:r>
      <w:r w:rsidR="00AB0A6C" w:rsidRPr="00192AC8">
        <w:rPr>
          <w:color w:val="000000" w:themeColor="text1"/>
          <w:sz w:val="24"/>
          <w:szCs w:val="20"/>
        </w:rPr>
        <w:t>14</w:t>
      </w:r>
      <w:r w:rsidRPr="00192AC8">
        <w:rPr>
          <w:color w:val="000000" w:themeColor="text1"/>
          <w:sz w:val="24"/>
          <w:szCs w:val="20"/>
        </w:rPr>
        <w:t xml:space="preserve">: </w:t>
      </w:r>
      <w:r w:rsidRPr="00192AC8">
        <w:rPr>
          <w:sz w:val="24"/>
          <w:szCs w:val="20"/>
        </w:rPr>
        <w:t>Timeline of Ongoing Developmental Activities for the Long-Term English Learner Results on the Dashboard in the 2025 Accountability Workplan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X: Timeline of Ongoing Developmental Activities for the Long-Term English Learner Results on the Dashboard in the 2025 Accountability Workplan"/>
        <w:tblDescription w:val="Table X: Timeline of Ongoing Developmental Activities for the Long-Term English Learner Results on the Dashboard in the 2025 Accountability Workplan"/>
      </w:tblPr>
      <w:tblGrid>
        <w:gridCol w:w="1639"/>
        <w:gridCol w:w="1225"/>
        <w:gridCol w:w="2041"/>
        <w:gridCol w:w="1907"/>
        <w:gridCol w:w="2532"/>
      </w:tblGrid>
      <w:tr w:rsidR="00B76F3A" w14:paraId="1BB8AE41" w14:textId="77777777" w:rsidTr="001A42A8">
        <w:trPr>
          <w:cantSplit/>
          <w:trHeight w:val="300"/>
          <w:tblHeader/>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03DAC319"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Subject</w:t>
            </w:r>
          </w:p>
        </w:tc>
        <w:tc>
          <w:tcPr>
            <w:tcW w:w="1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7A7B4A27"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March 2025</w:t>
            </w:r>
          </w:p>
          <w:p w14:paraId="66D8C396"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SBE Meeting</w:t>
            </w:r>
          </w:p>
        </w:tc>
        <w:tc>
          <w:tcPr>
            <w:tcW w:w="21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4D4306E"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May 2025</w:t>
            </w:r>
          </w:p>
          <w:p w14:paraId="7B52A4C1"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SBE Meeting</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6380CA1F" w14:textId="2220630F" w:rsidR="00B76F3A" w:rsidRDefault="00B76F3A" w:rsidP="00796FF9">
            <w:pPr>
              <w:jc w:val="center"/>
              <w:rPr>
                <w:rFonts w:eastAsia="Arial" w:cs="Arial"/>
                <w:color w:val="000000" w:themeColor="text1"/>
              </w:rPr>
            </w:pPr>
            <w:r w:rsidRPr="6FF67CBA">
              <w:rPr>
                <w:rFonts w:eastAsia="Arial" w:cs="Arial"/>
                <w:b/>
                <w:bCs/>
                <w:color w:val="000000" w:themeColor="text1"/>
              </w:rPr>
              <w:t>June 2025</w:t>
            </w:r>
            <w:r w:rsidR="00796FF9">
              <w:rPr>
                <w:rFonts w:eastAsia="Arial" w:cs="Arial"/>
                <w:b/>
                <w:bCs/>
                <w:color w:val="000000" w:themeColor="text1"/>
              </w:rPr>
              <w:t xml:space="preserve"> </w:t>
            </w:r>
            <w:r w:rsidRPr="6FF67CBA">
              <w:rPr>
                <w:rFonts w:eastAsia="Arial" w:cs="Arial"/>
                <w:b/>
                <w:bCs/>
                <w:color w:val="000000" w:themeColor="text1"/>
              </w:rPr>
              <w:t>CPAG Meeting</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5ED6F70E"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July 2025</w:t>
            </w:r>
          </w:p>
          <w:p w14:paraId="77D0AE39" w14:textId="77777777" w:rsidR="00B76F3A" w:rsidRDefault="00B76F3A" w:rsidP="0027201B">
            <w:pPr>
              <w:contextualSpacing/>
              <w:jc w:val="center"/>
              <w:rPr>
                <w:rFonts w:eastAsia="Arial" w:cs="Arial"/>
                <w:color w:val="000000" w:themeColor="text1"/>
              </w:rPr>
            </w:pPr>
            <w:r w:rsidRPr="6FF67CBA">
              <w:rPr>
                <w:rFonts w:eastAsia="Arial" w:cs="Arial"/>
                <w:b/>
                <w:bCs/>
                <w:color w:val="000000" w:themeColor="text1"/>
              </w:rPr>
              <w:t>SBE Meeting</w:t>
            </w:r>
          </w:p>
        </w:tc>
      </w:tr>
      <w:tr w:rsidR="00B76F3A" w14:paraId="5AA59BE6" w14:textId="77777777" w:rsidTr="0027201B">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01BCAC" w14:textId="47B173DC" w:rsidR="00B76F3A" w:rsidRDefault="00B76F3A" w:rsidP="0027201B">
            <w:pPr>
              <w:contextualSpacing/>
              <w:rPr>
                <w:rFonts w:eastAsia="Arial" w:cs="Arial"/>
                <w:color w:val="000000" w:themeColor="text1"/>
              </w:rPr>
            </w:pPr>
            <w:r w:rsidRPr="6FF67CBA">
              <w:rPr>
                <w:rFonts w:eastAsia="Arial" w:cs="Arial"/>
                <w:color w:val="000000" w:themeColor="text1"/>
              </w:rPr>
              <w:t>Review of Long-</w:t>
            </w:r>
          </w:p>
          <w:p w14:paraId="38AFC9C8" w14:textId="77777777" w:rsidR="00B76F3A" w:rsidRDefault="00B76F3A" w:rsidP="0027201B">
            <w:pPr>
              <w:contextualSpacing/>
            </w:pPr>
            <w:r w:rsidRPr="6FF67CBA">
              <w:rPr>
                <w:rFonts w:eastAsia="Arial" w:cs="Arial"/>
                <w:color w:val="000000" w:themeColor="text1"/>
              </w:rPr>
              <w:t>Term English</w:t>
            </w:r>
          </w:p>
          <w:p w14:paraId="4ADCD971" w14:textId="77777777" w:rsidR="00B76F3A" w:rsidRDefault="00B76F3A" w:rsidP="0027201B">
            <w:pPr>
              <w:contextualSpacing/>
            </w:pPr>
            <w:r w:rsidRPr="6FF67CBA">
              <w:rPr>
                <w:rFonts w:eastAsia="Arial" w:cs="Arial"/>
                <w:color w:val="000000" w:themeColor="text1"/>
              </w:rPr>
              <w:t>Learner Results</w:t>
            </w:r>
          </w:p>
          <w:p w14:paraId="1E3A43C0" w14:textId="1B4CEA70" w:rsidR="00B76F3A" w:rsidRDefault="00B76F3A" w:rsidP="0042729B">
            <w:pPr>
              <w:contextualSpacing/>
              <w:rPr>
                <w:rFonts w:eastAsia="Arial" w:cs="Arial"/>
                <w:color w:val="000000" w:themeColor="text1"/>
              </w:rPr>
            </w:pPr>
            <w:r w:rsidRPr="6FF67CBA">
              <w:rPr>
                <w:rFonts w:eastAsia="Arial" w:cs="Arial"/>
                <w:color w:val="000000" w:themeColor="text1"/>
              </w:rPr>
              <w:t>on the Dashboard</w:t>
            </w:r>
          </w:p>
        </w:tc>
        <w:tc>
          <w:tcPr>
            <w:tcW w:w="1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45CE5A" w14:textId="77777777" w:rsidR="00B76F3A" w:rsidRDefault="00B76F3A" w:rsidP="0027201B">
            <w:pPr>
              <w:contextualSpacing/>
              <w:rPr>
                <w:rFonts w:eastAsia="Arial" w:cs="Arial"/>
                <w:color w:val="000000" w:themeColor="text1"/>
              </w:rPr>
            </w:pPr>
            <w:r w:rsidRPr="6FF67CBA">
              <w:rPr>
                <w:rFonts w:eastAsia="Arial" w:cs="Arial"/>
                <w:color w:val="000000" w:themeColor="text1"/>
              </w:rPr>
              <w:t>N/A</w:t>
            </w:r>
          </w:p>
        </w:tc>
        <w:tc>
          <w:tcPr>
            <w:tcW w:w="2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0A35F9" w14:textId="77777777" w:rsidR="00B76F3A" w:rsidRDefault="00B76F3A" w:rsidP="0027201B">
            <w:pPr>
              <w:rPr>
                <w:rFonts w:eastAsia="Arial" w:cs="Arial"/>
                <w:color w:val="000000" w:themeColor="text1"/>
              </w:rPr>
            </w:pPr>
            <w:r w:rsidRPr="6FF67CBA">
              <w:rPr>
                <w:rFonts w:eastAsia="Arial" w:cs="Arial"/>
                <w:color w:val="000000" w:themeColor="text1"/>
              </w:rPr>
              <w:t>Analysis of LTEL data on 2024 Dashboard</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C58525" w14:textId="77777777" w:rsidR="00B76F3A" w:rsidRDefault="00B76F3A" w:rsidP="0027201B">
            <w:pPr>
              <w:rPr>
                <w:rFonts w:eastAsia="Arial" w:cs="Arial"/>
                <w:color w:val="000000" w:themeColor="text1"/>
              </w:rPr>
            </w:pPr>
            <w:r w:rsidRPr="6FF67CBA">
              <w:rPr>
                <w:rFonts w:eastAsia="Arial" w:cs="Arial"/>
                <w:color w:val="000000" w:themeColor="text1"/>
              </w:rPr>
              <w:t>Feedback on LTEL data on Dashboard</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91C7AB" w14:textId="77777777" w:rsidR="00B76F3A" w:rsidRDefault="00B76F3A" w:rsidP="0027201B">
            <w:pPr>
              <w:rPr>
                <w:rFonts w:eastAsia="Arial" w:cs="Arial"/>
                <w:color w:val="000000" w:themeColor="text1"/>
              </w:rPr>
            </w:pPr>
            <w:r w:rsidRPr="6FF67CBA">
              <w:rPr>
                <w:rFonts w:eastAsia="Arial" w:cs="Arial"/>
                <w:color w:val="000000" w:themeColor="text1"/>
              </w:rPr>
              <w:t>Approval of LTEL updates/modifications on Dashboard</w:t>
            </w:r>
          </w:p>
        </w:tc>
      </w:tr>
    </w:tbl>
    <w:p w14:paraId="58D79A6A" w14:textId="29AF1F7E" w:rsidR="00B76F3A" w:rsidRPr="00192AC8" w:rsidRDefault="00CD58D2" w:rsidP="00192AC8">
      <w:pPr>
        <w:pStyle w:val="Heading2"/>
        <w:rPr>
          <w:sz w:val="32"/>
          <w:szCs w:val="24"/>
        </w:rPr>
      </w:pPr>
      <w:r w:rsidRPr="00192AC8">
        <w:rPr>
          <w:sz w:val="32"/>
          <w:szCs w:val="24"/>
        </w:rPr>
        <w:t>Analysis of Differentiated Assistance Outcomes for LTELs</w:t>
      </w:r>
    </w:p>
    <w:p w14:paraId="780A8673" w14:textId="768048A2" w:rsidR="00C050A4" w:rsidRDefault="00927EEE" w:rsidP="00F67504">
      <w:r>
        <w:t xml:space="preserve">Based on the 2024 Dashboard results, the </w:t>
      </w:r>
      <w:r w:rsidR="000778BD">
        <w:t>C</w:t>
      </w:r>
      <w:r>
        <w:t xml:space="preserve">alifornia </w:t>
      </w:r>
      <w:r w:rsidR="000778BD">
        <w:t>D</w:t>
      </w:r>
      <w:r>
        <w:t>epartment of Education (CDE)</w:t>
      </w:r>
      <w:r w:rsidR="000778BD">
        <w:t xml:space="preserve"> conducted an initial review of Differentiated Assistance (DA) </w:t>
      </w:r>
      <w:r w:rsidR="003C5E0E">
        <w:t xml:space="preserve">to evaluate the various combinations </w:t>
      </w:r>
      <w:r w:rsidR="009B1134">
        <w:t>of</w:t>
      </w:r>
      <w:r w:rsidR="003C5E0E">
        <w:t xml:space="preserve"> </w:t>
      </w:r>
      <w:r w:rsidR="009B1134">
        <w:t xml:space="preserve">low-performing </w:t>
      </w:r>
      <w:r w:rsidR="003C5E0E">
        <w:t xml:space="preserve">priority areas </w:t>
      </w:r>
      <w:r w:rsidR="00A235C9">
        <w:t xml:space="preserve">that qualified districts </w:t>
      </w:r>
      <w:r w:rsidR="00C050A4">
        <w:t xml:space="preserve">and county offices of education </w:t>
      </w:r>
      <w:r w:rsidR="00A235C9">
        <w:t>based on the outcomes of</w:t>
      </w:r>
      <w:r w:rsidR="009B1134">
        <w:t xml:space="preserve"> the LTEL student group. </w:t>
      </w:r>
      <w:r w:rsidR="00EF102B">
        <w:t>In 2024, the</w:t>
      </w:r>
      <w:r w:rsidR="00F67504">
        <w:t xml:space="preserve"> LTEL student group </w:t>
      </w:r>
      <w:r w:rsidR="00EF102B">
        <w:t>was</w:t>
      </w:r>
      <w:r w:rsidR="00F67504">
        <w:t xml:space="preserve"> </w:t>
      </w:r>
      <w:r w:rsidR="00EF102B">
        <w:t>primarily</w:t>
      </w:r>
      <w:r w:rsidR="00F67504">
        <w:t xml:space="preserve"> eligible for differentiated assistance </w:t>
      </w:r>
      <w:r w:rsidR="00EF102B">
        <w:t>on account of</w:t>
      </w:r>
      <w:r w:rsidR="00F67504">
        <w:t xml:space="preserve"> the LTEL student group me</w:t>
      </w:r>
      <w:r w:rsidR="00EF102B">
        <w:t>e</w:t>
      </w:r>
      <w:r w:rsidR="00F67504">
        <w:t>t</w:t>
      </w:r>
      <w:r w:rsidR="00EF102B">
        <w:t>ing</w:t>
      </w:r>
      <w:r w:rsidR="00F67504">
        <w:t xml:space="preserve"> the criteria in Priority Area 4 and another </w:t>
      </w:r>
      <w:r w:rsidR="001B073D">
        <w:t xml:space="preserve">of the three </w:t>
      </w:r>
      <w:r w:rsidR="00F67504">
        <w:t xml:space="preserve">Priority </w:t>
      </w:r>
      <w:r w:rsidR="00C772D3">
        <w:t>areas</w:t>
      </w:r>
      <w:r w:rsidR="00F67504">
        <w:t>.</w:t>
      </w:r>
    </w:p>
    <w:p w14:paraId="5B46CC22" w14:textId="58F632DF" w:rsidR="00F67504" w:rsidRDefault="00927EEE" w:rsidP="00F67504">
      <w:r>
        <w:t>T</w:t>
      </w:r>
      <w:r w:rsidR="00F67504">
        <w:t xml:space="preserve">able </w:t>
      </w:r>
      <w:r>
        <w:t>15 provides</w:t>
      </w:r>
      <w:r w:rsidR="00F67504">
        <w:t xml:space="preserve"> the Priority Area combination for the LTEL student group for 2025 LCFF assistance determinations.</w:t>
      </w:r>
    </w:p>
    <w:p w14:paraId="3FF6259C" w14:textId="52CD56FC" w:rsidR="00F67504" w:rsidRPr="00192AC8" w:rsidRDefault="00F67504" w:rsidP="00192AC8">
      <w:pPr>
        <w:pStyle w:val="Heading3"/>
        <w:rPr>
          <w:color w:val="000000" w:themeColor="text1"/>
          <w:sz w:val="24"/>
          <w:szCs w:val="20"/>
        </w:rPr>
      </w:pPr>
      <w:r w:rsidRPr="00192AC8">
        <w:rPr>
          <w:color w:val="000000" w:themeColor="text1"/>
          <w:sz w:val="24"/>
          <w:szCs w:val="20"/>
        </w:rPr>
        <w:lastRenderedPageBreak/>
        <w:t xml:space="preserve">Table </w:t>
      </w:r>
      <w:r w:rsidR="00927EEE" w:rsidRPr="00192AC8">
        <w:rPr>
          <w:color w:val="000000" w:themeColor="text1"/>
          <w:sz w:val="24"/>
          <w:szCs w:val="20"/>
        </w:rPr>
        <w:t>15</w:t>
      </w:r>
      <w:r w:rsidRPr="00192AC8">
        <w:rPr>
          <w:color w:val="000000" w:themeColor="text1"/>
          <w:sz w:val="24"/>
          <w:szCs w:val="20"/>
        </w:rPr>
        <w:t xml:space="preserve">: </w:t>
      </w:r>
      <w:r w:rsidR="002051E2" w:rsidRPr="00192AC8">
        <w:rPr>
          <w:color w:val="000000" w:themeColor="text1"/>
          <w:sz w:val="24"/>
          <w:szCs w:val="20"/>
        </w:rPr>
        <w:t xml:space="preserve">Differentiated Assistance Determinations for LEAs based on the </w:t>
      </w:r>
      <w:r w:rsidRPr="00192AC8">
        <w:rPr>
          <w:color w:val="000000" w:themeColor="text1"/>
          <w:sz w:val="24"/>
          <w:szCs w:val="20"/>
        </w:rPr>
        <w:t>LTEL Student Group by Priority Area Combination</w:t>
      </w:r>
      <w:r w:rsidR="00C772D3" w:rsidRPr="00192AC8">
        <w:rPr>
          <w:color w:val="000000" w:themeColor="text1"/>
          <w:sz w:val="24"/>
          <w:szCs w:val="20"/>
        </w:rPr>
        <w:t xml:space="preserve"> on the 2024 Dashboard</w:t>
      </w:r>
    </w:p>
    <w:tbl>
      <w:tblPr>
        <w:tblStyle w:val="TableGrid"/>
        <w:tblW w:w="9350" w:type="dxa"/>
        <w:tblLook w:val="04A0" w:firstRow="1" w:lastRow="0" w:firstColumn="1" w:lastColumn="0" w:noHBand="0" w:noVBand="1"/>
        <w:tblCaption w:val="Table XX: Differentiated Assistance Determinations for LEAs based on the LTEL Student Group by Priority Area Combination on the 2024 Dashboard"/>
        <w:tblDescription w:val="Table XX: Differentiated Assistance Determinations for LEAs based on the LTEL Student Group by Priority Area Combination on the 2024 Dashboard"/>
      </w:tblPr>
      <w:tblGrid>
        <w:gridCol w:w="4675"/>
        <w:gridCol w:w="4675"/>
      </w:tblGrid>
      <w:tr w:rsidR="00171A35" w14:paraId="1CCBB6AE" w14:textId="77777777" w:rsidTr="00192AC8">
        <w:trPr>
          <w:cantSplit/>
          <w:tblHeader/>
        </w:trPr>
        <w:tc>
          <w:tcPr>
            <w:tcW w:w="4675" w:type="dxa"/>
            <w:shd w:val="clear" w:color="auto" w:fill="E7E6E6" w:themeFill="background2"/>
            <w:vAlign w:val="center"/>
          </w:tcPr>
          <w:p w14:paraId="6FE17E71" w14:textId="1D79BD80" w:rsidR="00171A35" w:rsidRDefault="00171A35" w:rsidP="00927EEE">
            <w:pPr>
              <w:spacing w:before="100" w:beforeAutospacing="1" w:after="100" w:afterAutospacing="1"/>
              <w:jc w:val="center"/>
            </w:pPr>
            <w:r w:rsidRPr="004E03B5">
              <w:rPr>
                <w:b/>
                <w:bCs/>
              </w:rPr>
              <w:t>Priority Area Combination</w:t>
            </w:r>
          </w:p>
        </w:tc>
        <w:tc>
          <w:tcPr>
            <w:tcW w:w="4675" w:type="dxa"/>
            <w:shd w:val="clear" w:color="auto" w:fill="E7E6E6" w:themeFill="background2"/>
            <w:vAlign w:val="center"/>
          </w:tcPr>
          <w:p w14:paraId="38BC993B" w14:textId="62679491" w:rsidR="00171A35" w:rsidRDefault="00171A35" w:rsidP="00927EEE">
            <w:pPr>
              <w:spacing w:before="100" w:beforeAutospacing="1" w:after="100" w:afterAutospacing="1"/>
              <w:jc w:val="center"/>
            </w:pPr>
            <w:r w:rsidRPr="004E03B5">
              <w:rPr>
                <w:b/>
                <w:bCs/>
              </w:rPr>
              <w:t>Number of Districts/COEs Meeting the Criteria</w:t>
            </w:r>
          </w:p>
        </w:tc>
      </w:tr>
      <w:tr w:rsidR="00171A35" w14:paraId="4E42A493" w14:textId="77777777" w:rsidTr="00192AC8">
        <w:trPr>
          <w:cantSplit/>
        </w:trPr>
        <w:tc>
          <w:tcPr>
            <w:tcW w:w="4675" w:type="dxa"/>
            <w:vAlign w:val="center"/>
          </w:tcPr>
          <w:p w14:paraId="14431BF7" w14:textId="3ABB59F0" w:rsidR="00171A35" w:rsidRPr="00961470" w:rsidRDefault="00171A35" w:rsidP="00927EEE">
            <w:pPr>
              <w:spacing w:before="100" w:beforeAutospacing="1" w:after="100" w:afterAutospacing="1"/>
              <w:jc w:val="center"/>
              <w:rPr>
                <w:b/>
                <w:bCs/>
              </w:rPr>
            </w:pPr>
            <w:r w:rsidRPr="00961470">
              <w:rPr>
                <w:rFonts w:eastAsiaTheme="minorEastAsia"/>
                <w:b/>
                <w:bCs/>
              </w:rPr>
              <w:t>4, 5, and 6</w:t>
            </w:r>
          </w:p>
        </w:tc>
        <w:tc>
          <w:tcPr>
            <w:tcW w:w="4675" w:type="dxa"/>
            <w:vAlign w:val="center"/>
          </w:tcPr>
          <w:p w14:paraId="6D9496B0" w14:textId="40762F2B" w:rsidR="00171A35" w:rsidRPr="006C596C" w:rsidRDefault="00171A35" w:rsidP="00927EEE">
            <w:pPr>
              <w:spacing w:before="100" w:beforeAutospacing="1" w:after="100" w:afterAutospacing="1"/>
              <w:jc w:val="center"/>
            </w:pPr>
            <w:r w:rsidRPr="006C596C">
              <w:rPr>
                <w:rFonts w:eastAsiaTheme="minorEastAsia"/>
              </w:rPr>
              <w:t>23</w:t>
            </w:r>
          </w:p>
        </w:tc>
      </w:tr>
      <w:tr w:rsidR="00171A35" w14:paraId="242BEB16" w14:textId="77777777" w:rsidTr="00192AC8">
        <w:trPr>
          <w:cantSplit/>
        </w:trPr>
        <w:tc>
          <w:tcPr>
            <w:tcW w:w="4675" w:type="dxa"/>
            <w:shd w:val="clear" w:color="auto" w:fill="E7E6E6" w:themeFill="background2"/>
            <w:vAlign w:val="center"/>
          </w:tcPr>
          <w:p w14:paraId="407DFBE0" w14:textId="10FC5C71" w:rsidR="00171A35" w:rsidRDefault="00171A35" w:rsidP="00927EEE">
            <w:pPr>
              <w:spacing w:before="100" w:beforeAutospacing="1" w:after="100" w:afterAutospacing="1"/>
              <w:jc w:val="center"/>
            </w:pPr>
            <w:r w:rsidRPr="004E03B5">
              <w:rPr>
                <w:rFonts w:eastAsiaTheme="minorEastAsia"/>
                <w:b/>
                <w:bCs/>
              </w:rPr>
              <w:t>4 and 5</w:t>
            </w:r>
          </w:p>
        </w:tc>
        <w:tc>
          <w:tcPr>
            <w:tcW w:w="4675" w:type="dxa"/>
            <w:shd w:val="clear" w:color="auto" w:fill="E7E6E6" w:themeFill="background2"/>
            <w:vAlign w:val="center"/>
          </w:tcPr>
          <w:p w14:paraId="3C3489BB" w14:textId="3C730A08" w:rsidR="00171A35" w:rsidRPr="006C596C" w:rsidRDefault="00171A35" w:rsidP="00927EEE">
            <w:pPr>
              <w:spacing w:before="100" w:beforeAutospacing="1" w:after="100" w:afterAutospacing="1"/>
              <w:jc w:val="center"/>
            </w:pPr>
            <w:r w:rsidRPr="006C596C">
              <w:rPr>
                <w:rFonts w:eastAsiaTheme="minorEastAsia"/>
              </w:rPr>
              <w:t>46</w:t>
            </w:r>
          </w:p>
        </w:tc>
      </w:tr>
      <w:tr w:rsidR="00171A35" w14:paraId="714E64E8" w14:textId="77777777" w:rsidTr="00192AC8">
        <w:trPr>
          <w:cantSplit/>
        </w:trPr>
        <w:tc>
          <w:tcPr>
            <w:tcW w:w="4675" w:type="dxa"/>
            <w:vAlign w:val="center"/>
          </w:tcPr>
          <w:p w14:paraId="09F8C9DC" w14:textId="67821B67" w:rsidR="00171A35" w:rsidRPr="004E03B5" w:rsidRDefault="00171A35" w:rsidP="00927EEE">
            <w:pPr>
              <w:spacing w:before="100" w:beforeAutospacing="1" w:after="100" w:afterAutospacing="1"/>
              <w:jc w:val="center"/>
              <w:rPr>
                <w:rFonts w:eastAsiaTheme="minorEastAsia"/>
              </w:rPr>
            </w:pPr>
            <w:r w:rsidRPr="004E03B5">
              <w:rPr>
                <w:rFonts w:eastAsiaTheme="minorEastAsia"/>
                <w:b/>
                <w:bCs/>
              </w:rPr>
              <w:t>4 and 6</w:t>
            </w:r>
          </w:p>
        </w:tc>
        <w:tc>
          <w:tcPr>
            <w:tcW w:w="4675" w:type="dxa"/>
            <w:vAlign w:val="center"/>
          </w:tcPr>
          <w:p w14:paraId="2864B904" w14:textId="056239D4" w:rsidR="00171A35" w:rsidRPr="006C596C" w:rsidRDefault="00171A35" w:rsidP="00927EEE">
            <w:pPr>
              <w:spacing w:before="100" w:beforeAutospacing="1" w:after="100" w:afterAutospacing="1"/>
              <w:jc w:val="center"/>
              <w:rPr>
                <w:rFonts w:eastAsiaTheme="minorEastAsia"/>
              </w:rPr>
            </w:pPr>
            <w:r w:rsidRPr="006C596C">
              <w:rPr>
                <w:rFonts w:eastAsiaTheme="minorEastAsia"/>
              </w:rPr>
              <w:t>89</w:t>
            </w:r>
          </w:p>
        </w:tc>
      </w:tr>
      <w:tr w:rsidR="00171A35" w14:paraId="465A1933" w14:textId="77777777" w:rsidTr="00192AC8">
        <w:trPr>
          <w:cantSplit/>
        </w:trPr>
        <w:tc>
          <w:tcPr>
            <w:tcW w:w="4675" w:type="dxa"/>
            <w:shd w:val="clear" w:color="auto" w:fill="E7E6E6" w:themeFill="background2"/>
            <w:vAlign w:val="center"/>
          </w:tcPr>
          <w:p w14:paraId="54CDF844" w14:textId="098594B8" w:rsidR="00171A35" w:rsidRPr="004E03B5" w:rsidRDefault="00171A35" w:rsidP="00927EEE">
            <w:pPr>
              <w:spacing w:before="100" w:beforeAutospacing="1" w:after="100" w:afterAutospacing="1"/>
              <w:jc w:val="center"/>
              <w:rPr>
                <w:rFonts w:eastAsiaTheme="minorEastAsia"/>
                <w:b/>
                <w:bCs/>
              </w:rPr>
            </w:pPr>
            <w:r w:rsidRPr="004E03B5">
              <w:rPr>
                <w:rFonts w:eastAsiaTheme="minorEastAsia"/>
                <w:b/>
                <w:bCs/>
              </w:rPr>
              <w:t>4 and 8</w:t>
            </w:r>
          </w:p>
        </w:tc>
        <w:tc>
          <w:tcPr>
            <w:tcW w:w="4675" w:type="dxa"/>
            <w:shd w:val="clear" w:color="auto" w:fill="E7E6E6" w:themeFill="background2"/>
            <w:vAlign w:val="center"/>
          </w:tcPr>
          <w:p w14:paraId="7CBA2BD4" w14:textId="64A70C7E" w:rsidR="00171A35" w:rsidRPr="006C596C" w:rsidRDefault="00171A35" w:rsidP="00927EEE">
            <w:pPr>
              <w:spacing w:before="100" w:beforeAutospacing="1" w:after="100" w:afterAutospacing="1"/>
              <w:jc w:val="center"/>
              <w:rPr>
                <w:rFonts w:eastAsiaTheme="minorEastAsia"/>
              </w:rPr>
            </w:pPr>
            <w:r w:rsidRPr="006C596C">
              <w:rPr>
                <w:rFonts w:eastAsiaTheme="minorEastAsia"/>
              </w:rPr>
              <w:t>24</w:t>
            </w:r>
          </w:p>
        </w:tc>
      </w:tr>
      <w:tr w:rsidR="00171A35" w14:paraId="6F080070" w14:textId="77777777" w:rsidTr="00192AC8">
        <w:trPr>
          <w:cantSplit/>
        </w:trPr>
        <w:tc>
          <w:tcPr>
            <w:tcW w:w="4675" w:type="dxa"/>
            <w:vAlign w:val="center"/>
          </w:tcPr>
          <w:p w14:paraId="61017A7B" w14:textId="2105AD9E" w:rsidR="00171A35" w:rsidRPr="00961470" w:rsidRDefault="00171A35" w:rsidP="00927EEE">
            <w:pPr>
              <w:spacing w:before="100" w:beforeAutospacing="1" w:after="100" w:afterAutospacing="1"/>
              <w:jc w:val="center"/>
              <w:rPr>
                <w:rFonts w:eastAsiaTheme="minorEastAsia"/>
                <w:b/>
                <w:bCs/>
              </w:rPr>
            </w:pPr>
            <w:r w:rsidRPr="00961470">
              <w:rPr>
                <w:rFonts w:eastAsiaTheme="minorEastAsia"/>
                <w:b/>
                <w:bCs/>
              </w:rPr>
              <w:t>4, 5, and 8</w:t>
            </w:r>
          </w:p>
        </w:tc>
        <w:tc>
          <w:tcPr>
            <w:tcW w:w="4675" w:type="dxa"/>
            <w:vAlign w:val="center"/>
          </w:tcPr>
          <w:p w14:paraId="10C4A085" w14:textId="71E253A6" w:rsidR="00171A35" w:rsidRPr="006C596C" w:rsidRDefault="00171A35" w:rsidP="00927EEE">
            <w:pPr>
              <w:spacing w:before="100" w:beforeAutospacing="1" w:after="100" w:afterAutospacing="1"/>
              <w:jc w:val="center"/>
              <w:rPr>
                <w:rFonts w:eastAsiaTheme="minorEastAsia"/>
              </w:rPr>
            </w:pPr>
            <w:r w:rsidRPr="006C596C">
              <w:rPr>
                <w:rFonts w:eastAsiaTheme="minorEastAsia"/>
              </w:rPr>
              <w:t>14</w:t>
            </w:r>
          </w:p>
        </w:tc>
      </w:tr>
      <w:tr w:rsidR="00171A35" w14:paraId="757ACEA6" w14:textId="77777777" w:rsidTr="00192AC8">
        <w:trPr>
          <w:cantSplit/>
        </w:trPr>
        <w:tc>
          <w:tcPr>
            <w:tcW w:w="4675" w:type="dxa"/>
            <w:shd w:val="clear" w:color="auto" w:fill="E7E6E6" w:themeFill="background2"/>
            <w:vAlign w:val="center"/>
          </w:tcPr>
          <w:p w14:paraId="748EA89A" w14:textId="0356A9D9" w:rsidR="00171A35" w:rsidRPr="00961470" w:rsidRDefault="00171A35" w:rsidP="00927EEE">
            <w:pPr>
              <w:spacing w:before="100" w:beforeAutospacing="1" w:after="100" w:afterAutospacing="1"/>
              <w:jc w:val="center"/>
              <w:rPr>
                <w:rFonts w:eastAsiaTheme="minorEastAsia"/>
                <w:b/>
                <w:bCs/>
              </w:rPr>
            </w:pPr>
            <w:r w:rsidRPr="00961470">
              <w:rPr>
                <w:rFonts w:eastAsiaTheme="minorEastAsia"/>
                <w:b/>
                <w:bCs/>
              </w:rPr>
              <w:t>4, 6, and 8</w:t>
            </w:r>
          </w:p>
        </w:tc>
        <w:tc>
          <w:tcPr>
            <w:tcW w:w="4675" w:type="dxa"/>
            <w:shd w:val="clear" w:color="auto" w:fill="E7E6E6" w:themeFill="background2"/>
            <w:vAlign w:val="center"/>
          </w:tcPr>
          <w:p w14:paraId="1FE70B4B" w14:textId="2EBEA0E8" w:rsidR="00171A35" w:rsidRPr="006C596C" w:rsidRDefault="00171A35" w:rsidP="00927EEE">
            <w:pPr>
              <w:spacing w:before="100" w:beforeAutospacing="1" w:after="100" w:afterAutospacing="1"/>
              <w:jc w:val="center"/>
              <w:rPr>
                <w:rFonts w:eastAsiaTheme="minorEastAsia"/>
              </w:rPr>
            </w:pPr>
            <w:r w:rsidRPr="006C596C">
              <w:rPr>
                <w:rFonts w:eastAsiaTheme="minorEastAsia"/>
              </w:rPr>
              <w:t>7</w:t>
            </w:r>
          </w:p>
        </w:tc>
      </w:tr>
      <w:tr w:rsidR="00171A35" w14:paraId="0479F4E0" w14:textId="77777777" w:rsidTr="00192AC8">
        <w:trPr>
          <w:cantSplit/>
        </w:trPr>
        <w:tc>
          <w:tcPr>
            <w:tcW w:w="4675" w:type="dxa"/>
            <w:vAlign w:val="center"/>
          </w:tcPr>
          <w:p w14:paraId="0BE6B2A2" w14:textId="55B3F1C4" w:rsidR="00171A35" w:rsidRPr="00961470" w:rsidRDefault="00171A35" w:rsidP="00927EEE">
            <w:pPr>
              <w:spacing w:before="100" w:beforeAutospacing="1" w:after="100" w:afterAutospacing="1"/>
              <w:jc w:val="center"/>
              <w:rPr>
                <w:rFonts w:eastAsiaTheme="minorEastAsia"/>
                <w:b/>
                <w:bCs/>
              </w:rPr>
            </w:pPr>
            <w:r w:rsidRPr="00961470">
              <w:rPr>
                <w:rFonts w:eastAsiaTheme="minorEastAsia"/>
                <w:b/>
                <w:bCs/>
              </w:rPr>
              <w:t>4, 5, 6, and 8</w:t>
            </w:r>
          </w:p>
        </w:tc>
        <w:tc>
          <w:tcPr>
            <w:tcW w:w="4675" w:type="dxa"/>
            <w:vAlign w:val="center"/>
          </w:tcPr>
          <w:p w14:paraId="2C5F9FC2" w14:textId="734ED579" w:rsidR="00171A35" w:rsidRPr="006C596C" w:rsidRDefault="00171A35" w:rsidP="00927EEE">
            <w:pPr>
              <w:spacing w:before="100" w:beforeAutospacing="1" w:after="100" w:afterAutospacing="1"/>
              <w:jc w:val="center"/>
              <w:rPr>
                <w:rFonts w:eastAsiaTheme="minorEastAsia"/>
              </w:rPr>
            </w:pPr>
            <w:r w:rsidRPr="006C596C">
              <w:rPr>
                <w:rFonts w:eastAsiaTheme="minorEastAsia"/>
              </w:rPr>
              <w:t>6</w:t>
            </w:r>
          </w:p>
        </w:tc>
      </w:tr>
      <w:tr w:rsidR="00961470" w14:paraId="70F01703" w14:textId="77777777" w:rsidTr="00192AC8">
        <w:trPr>
          <w:cantSplit/>
        </w:trPr>
        <w:tc>
          <w:tcPr>
            <w:tcW w:w="4675" w:type="dxa"/>
            <w:shd w:val="clear" w:color="auto" w:fill="E7E6E6" w:themeFill="background2"/>
            <w:vAlign w:val="center"/>
          </w:tcPr>
          <w:p w14:paraId="74BF5521" w14:textId="0E8FA5C7" w:rsidR="00961470" w:rsidRPr="00961470" w:rsidRDefault="00961470" w:rsidP="00927EEE">
            <w:pPr>
              <w:spacing w:before="100" w:beforeAutospacing="1" w:after="100" w:afterAutospacing="1"/>
              <w:jc w:val="center"/>
              <w:rPr>
                <w:rFonts w:eastAsiaTheme="minorEastAsia"/>
                <w:b/>
                <w:bCs/>
              </w:rPr>
            </w:pPr>
            <w:r w:rsidRPr="001A42A8">
              <w:rPr>
                <w:rFonts w:eastAsiaTheme="minorEastAsia"/>
                <w:b/>
              </w:rPr>
              <w:t>5 and 6</w:t>
            </w:r>
          </w:p>
        </w:tc>
        <w:tc>
          <w:tcPr>
            <w:tcW w:w="4675" w:type="dxa"/>
            <w:shd w:val="clear" w:color="auto" w:fill="E7E6E6" w:themeFill="background2"/>
            <w:vAlign w:val="center"/>
          </w:tcPr>
          <w:p w14:paraId="6B31CF71" w14:textId="37D78D79" w:rsidR="00961470" w:rsidRPr="006C596C" w:rsidRDefault="00961470" w:rsidP="00927EEE">
            <w:pPr>
              <w:spacing w:before="100" w:beforeAutospacing="1" w:after="100" w:afterAutospacing="1"/>
              <w:jc w:val="center"/>
              <w:rPr>
                <w:rFonts w:eastAsiaTheme="minorEastAsia"/>
              </w:rPr>
            </w:pPr>
            <w:r w:rsidRPr="006C596C">
              <w:rPr>
                <w:rFonts w:eastAsiaTheme="minorEastAsia"/>
              </w:rPr>
              <w:t>4</w:t>
            </w:r>
          </w:p>
        </w:tc>
      </w:tr>
      <w:tr w:rsidR="00961470" w14:paraId="5DA28EDC" w14:textId="77777777" w:rsidTr="00192AC8">
        <w:trPr>
          <w:cantSplit/>
        </w:trPr>
        <w:tc>
          <w:tcPr>
            <w:tcW w:w="4675" w:type="dxa"/>
            <w:vAlign w:val="center"/>
          </w:tcPr>
          <w:p w14:paraId="60829F1E" w14:textId="4FA578B5" w:rsidR="00961470" w:rsidRPr="001A42A8" w:rsidRDefault="00961470" w:rsidP="00927EEE">
            <w:pPr>
              <w:spacing w:before="100" w:beforeAutospacing="1" w:after="100" w:afterAutospacing="1"/>
              <w:jc w:val="center"/>
              <w:rPr>
                <w:rFonts w:eastAsiaTheme="minorEastAsia"/>
                <w:b/>
              </w:rPr>
            </w:pPr>
            <w:r w:rsidRPr="001A42A8">
              <w:rPr>
                <w:rFonts w:eastAsiaTheme="minorEastAsia"/>
                <w:b/>
              </w:rPr>
              <w:t>5 and 8</w:t>
            </w:r>
          </w:p>
        </w:tc>
        <w:tc>
          <w:tcPr>
            <w:tcW w:w="4675" w:type="dxa"/>
            <w:vAlign w:val="center"/>
          </w:tcPr>
          <w:p w14:paraId="0E1F30DF" w14:textId="1A14A4A1" w:rsidR="00961470" w:rsidRPr="006C596C" w:rsidRDefault="00961470" w:rsidP="00927EEE">
            <w:pPr>
              <w:spacing w:before="100" w:beforeAutospacing="1" w:after="100" w:afterAutospacing="1"/>
              <w:jc w:val="center"/>
              <w:rPr>
                <w:rFonts w:eastAsiaTheme="minorEastAsia"/>
              </w:rPr>
            </w:pPr>
            <w:r w:rsidRPr="006C596C">
              <w:rPr>
                <w:rFonts w:eastAsiaTheme="minorEastAsia"/>
              </w:rPr>
              <w:t>2</w:t>
            </w:r>
          </w:p>
        </w:tc>
      </w:tr>
      <w:tr w:rsidR="00961470" w14:paraId="0018D7F7" w14:textId="77777777" w:rsidTr="00192AC8">
        <w:trPr>
          <w:cantSplit/>
        </w:trPr>
        <w:tc>
          <w:tcPr>
            <w:tcW w:w="4675" w:type="dxa"/>
            <w:shd w:val="clear" w:color="auto" w:fill="E7E6E6" w:themeFill="background2"/>
            <w:vAlign w:val="center"/>
          </w:tcPr>
          <w:p w14:paraId="50526712" w14:textId="5421DF9E" w:rsidR="00961470" w:rsidRPr="001A42A8" w:rsidRDefault="00961470" w:rsidP="00927EEE">
            <w:pPr>
              <w:spacing w:before="100" w:beforeAutospacing="1" w:after="100" w:afterAutospacing="1"/>
              <w:jc w:val="center"/>
              <w:rPr>
                <w:rFonts w:eastAsiaTheme="minorEastAsia"/>
                <w:b/>
              </w:rPr>
            </w:pPr>
            <w:r w:rsidRPr="001A42A8">
              <w:rPr>
                <w:rFonts w:eastAsiaTheme="minorEastAsia"/>
                <w:b/>
              </w:rPr>
              <w:t>6 and 8</w:t>
            </w:r>
          </w:p>
        </w:tc>
        <w:tc>
          <w:tcPr>
            <w:tcW w:w="4675" w:type="dxa"/>
            <w:shd w:val="clear" w:color="auto" w:fill="E7E6E6" w:themeFill="background2"/>
            <w:vAlign w:val="center"/>
          </w:tcPr>
          <w:p w14:paraId="04490386" w14:textId="328C95C7" w:rsidR="00961470" w:rsidRPr="006C596C" w:rsidRDefault="00961470" w:rsidP="00927EEE">
            <w:pPr>
              <w:spacing w:before="100" w:beforeAutospacing="1" w:after="100" w:afterAutospacing="1"/>
              <w:jc w:val="center"/>
              <w:rPr>
                <w:rFonts w:eastAsiaTheme="minorEastAsia"/>
              </w:rPr>
            </w:pPr>
            <w:r w:rsidRPr="006C596C">
              <w:rPr>
                <w:rFonts w:eastAsiaTheme="minorEastAsia"/>
              </w:rPr>
              <w:t>0</w:t>
            </w:r>
          </w:p>
        </w:tc>
      </w:tr>
      <w:tr w:rsidR="00961470" w14:paraId="1B9E3726" w14:textId="77777777" w:rsidTr="00192AC8">
        <w:trPr>
          <w:cantSplit/>
        </w:trPr>
        <w:tc>
          <w:tcPr>
            <w:tcW w:w="4675" w:type="dxa"/>
            <w:vAlign w:val="center"/>
          </w:tcPr>
          <w:p w14:paraId="66756CE1" w14:textId="6C4B3F60" w:rsidR="00961470" w:rsidRPr="001A42A8" w:rsidRDefault="00961470" w:rsidP="00927EEE">
            <w:pPr>
              <w:spacing w:before="100" w:beforeAutospacing="1" w:after="100" w:afterAutospacing="1"/>
              <w:jc w:val="center"/>
              <w:rPr>
                <w:rFonts w:eastAsiaTheme="minorEastAsia"/>
                <w:b/>
              </w:rPr>
            </w:pPr>
            <w:r w:rsidRPr="001A42A8">
              <w:rPr>
                <w:rFonts w:eastAsiaTheme="minorEastAsia"/>
                <w:b/>
              </w:rPr>
              <w:t>5, 6, and 8</w:t>
            </w:r>
          </w:p>
        </w:tc>
        <w:tc>
          <w:tcPr>
            <w:tcW w:w="4675" w:type="dxa"/>
            <w:vAlign w:val="center"/>
          </w:tcPr>
          <w:p w14:paraId="41DECE54" w14:textId="1DCB4987" w:rsidR="00961470" w:rsidRPr="006C596C" w:rsidRDefault="00961470" w:rsidP="00927EEE">
            <w:pPr>
              <w:spacing w:before="100" w:beforeAutospacing="1" w:after="100" w:afterAutospacing="1"/>
              <w:jc w:val="center"/>
              <w:rPr>
                <w:rFonts w:eastAsiaTheme="minorEastAsia"/>
              </w:rPr>
            </w:pPr>
            <w:r w:rsidRPr="006C596C">
              <w:rPr>
                <w:rFonts w:eastAsiaTheme="minorEastAsia"/>
              </w:rPr>
              <w:t>0</w:t>
            </w:r>
          </w:p>
        </w:tc>
      </w:tr>
    </w:tbl>
    <w:p w14:paraId="610B711D" w14:textId="77777777" w:rsidR="004B5D53" w:rsidRPr="009F0164" w:rsidRDefault="004B5D53" w:rsidP="004B5D53">
      <w:pPr>
        <w:rPr>
          <w:rFonts w:eastAsia="Arial"/>
        </w:rPr>
      </w:pPr>
      <w:r w:rsidRPr="009F0164">
        <w:rPr>
          <w:rFonts w:eastAsia="Arial"/>
        </w:rPr>
        <w:t>The LCFF Priority Areas listed in the table above are as follows:</w:t>
      </w:r>
    </w:p>
    <w:p w14:paraId="0EFF61FF" w14:textId="77777777" w:rsidR="004B5D53" w:rsidRPr="009F0164" w:rsidRDefault="004B5D53" w:rsidP="004B5D53">
      <w:pPr>
        <w:pStyle w:val="ListParagraph"/>
        <w:numPr>
          <w:ilvl w:val="0"/>
          <w:numId w:val="27"/>
        </w:numPr>
        <w:rPr>
          <w:rFonts w:eastAsia="Arial"/>
        </w:rPr>
      </w:pPr>
      <w:r w:rsidRPr="009F0164">
        <w:rPr>
          <w:rFonts w:eastAsia="Arial"/>
        </w:rPr>
        <w:t>Priority Area 4 – Pupil Achievement</w:t>
      </w:r>
    </w:p>
    <w:p w14:paraId="765F1BCC" w14:textId="77777777" w:rsidR="004B5D53" w:rsidRPr="009F0164" w:rsidRDefault="004B5D53" w:rsidP="004B5D53">
      <w:pPr>
        <w:pStyle w:val="ListParagraph"/>
        <w:numPr>
          <w:ilvl w:val="0"/>
          <w:numId w:val="27"/>
        </w:numPr>
        <w:rPr>
          <w:rFonts w:eastAsia="Arial"/>
        </w:rPr>
      </w:pPr>
      <w:r w:rsidRPr="009F0164">
        <w:rPr>
          <w:rFonts w:eastAsia="Arial"/>
        </w:rPr>
        <w:t>Priority Area 5 – Pupil Engagement</w:t>
      </w:r>
    </w:p>
    <w:p w14:paraId="39BA48BC" w14:textId="77777777" w:rsidR="004B5D53" w:rsidRPr="009F0164" w:rsidRDefault="004B5D53" w:rsidP="004B5D53">
      <w:pPr>
        <w:pStyle w:val="ListParagraph"/>
        <w:numPr>
          <w:ilvl w:val="0"/>
          <w:numId w:val="27"/>
        </w:numPr>
        <w:rPr>
          <w:rFonts w:eastAsia="Arial"/>
        </w:rPr>
      </w:pPr>
      <w:r w:rsidRPr="009F0164">
        <w:rPr>
          <w:rFonts w:eastAsia="Arial"/>
        </w:rPr>
        <w:t xml:space="preserve">Priority Area 6 – School Climate </w:t>
      </w:r>
    </w:p>
    <w:p w14:paraId="3A85363B" w14:textId="77777777" w:rsidR="004B5D53" w:rsidRPr="009F0164" w:rsidRDefault="004B5D53" w:rsidP="004B5D53">
      <w:pPr>
        <w:pStyle w:val="ListParagraph"/>
        <w:numPr>
          <w:ilvl w:val="0"/>
          <w:numId w:val="27"/>
        </w:numPr>
        <w:rPr>
          <w:rFonts w:eastAsia="Arial"/>
        </w:rPr>
      </w:pPr>
      <w:r w:rsidRPr="009F0164">
        <w:rPr>
          <w:rFonts w:eastAsia="Arial"/>
        </w:rPr>
        <w:t>Priority Area 8 – Outcomes in a Broad Course of Study</w:t>
      </w:r>
    </w:p>
    <w:p w14:paraId="26F9485C" w14:textId="5BDD1F6E" w:rsidR="00904602" w:rsidRPr="00192AC8" w:rsidRDefault="00863222" w:rsidP="00192AC8">
      <w:pPr>
        <w:pStyle w:val="Heading2"/>
      </w:pPr>
      <w:r w:rsidRPr="00192AC8">
        <w:t xml:space="preserve">Suspension </w:t>
      </w:r>
      <w:r w:rsidR="0029143B" w:rsidRPr="00192AC8">
        <w:t xml:space="preserve">Rate Indicator and </w:t>
      </w:r>
      <w:r w:rsidR="00401B4A" w:rsidRPr="00192AC8">
        <w:t>LTELs</w:t>
      </w:r>
    </w:p>
    <w:p w14:paraId="57F03580" w14:textId="7976EB45" w:rsidR="00401B4A" w:rsidRPr="00401B4A" w:rsidRDefault="00401B4A" w:rsidP="00904602">
      <w:pPr>
        <w:rPr>
          <w:rFonts w:eastAsia="Arial"/>
        </w:rPr>
      </w:pPr>
      <w:r>
        <w:rPr>
          <w:rFonts w:eastAsia="Arial"/>
        </w:rPr>
        <w:t xml:space="preserve">In addition to exploring the priority areas, </w:t>
      </w:r>
      <w:r w:rsidR="00F63994">
        <w:rPr>
          <w:rFonts w:eastAsia="Arial"/>
        </w:rPr>
        <w:t xml:space="preserve">the </w:t>
      </w:r>
      <w:r>
        <w:rPr>
          <w:rFonts w:eastAsia="Arial"/>
        </w:rPr>
        <w:t xml:space="preserve">CDE re-evaluated the Dashboard metrics to ensure that LTELs had valid results across </w:t>
      </w:r>
      <w:r w:rsidR="004C5370">
        <w:rPr>
          <w:rFonts w:eastAsia="Arial"/>
        </w:rPr>
        <w:t>all</w:t>
      </w:r>
      <w:r>
        <w:rPr>
          <w:rFonts w:eastAsia="Arial"/>
        </w:rPr>
        <w:t xml:space="preserve"> th</w:t>
      </w:r>
      <w:r w:rsidR="00FF35CF">
        <w:rPr>
          <w:rFonts w:eastAsia="Arial"/>
        </w:rPr>
        <w:t xml:space="preserve">e Indicators. Within this evaluation, CDE </w:t>
      </w:r>
      <w:r w:rsidR="00F00821">
        <w:rPr>
          <w:rFonts w:eastAsia="Arial"/>
        </w:rPr>
        <w:t xml:space="preserve">noted that the age-specific student group may have </w:t>
      </w:r>
      <w:r w:rsidR="00FC5CC7">
        <w:rPr>
          <w:rFonts w:eastAsia="Arial"/>
        </w:rPr>
        <w:t xml:space="preserve">been assigned to the wrong </w:t>
      </w:r>
      <w:r w:rsidR="00E91ED3">
        <w:rPr>
          <w:rFonts w:eastAsia="Arial"/>
        </w:rPr>
        <w:t>five-by-five</w:t>
      </w:r>
      <w:r w:rsidR="00FC5CC7">
        <w:rPr>
          <w:rFonts w:eastAsia="Arial"/>
        </w:rPr>
        <w:t xml:space="preserve"> Suspension chart.</w:t>
      </w:r>
    </w:p>
    <w:p w14:paraId="4661495D" w14:textId="3B237802" w:rsidR="00B05F21" w:rsidRPr="00B05F21" w:rsidRDefault="00B05F21" w:rsidP="00E91ED3">
      <w:pPr>
        <w:rPr>
          <w:rFonts w:eastAsia="Arial"/>
          <w:b/>
        </w:rPr>
      </w:pPr>
      <w:r w:rsidRPr="00B05F21">
        <w:rPr>
          <w:rFonts w:eastAsia="Arial"/>
        </w:rPr>
        <w:t>The Suspension Indicator represents the percentage of students who were suspended for an aggregate total of one full day anytime during the school year.</w:t>
      </w:r>
      <w:r w:rsidR="00FB789B">
        <w:rPr>
          <w:rFonts w:eastAsia="Arial"/>
        </w:rPr>
        <w:t xml:space="preserve"> </w:t>
      </w:r>
      <w:r w:rsidRPr="00B05F21">
        <w:rPr>
          <w:rFonts w:eastAsia="Arial"/>
        </w:rPr>
        <w:t>The desired outcome is reversed, and the goal is to achieve a low suspension rate</w:t>
      </w:r>
      <w:r w:rsidR="00E91ED3">
        <w:rPr>
          <w:rFonts w:eastAsia="Arial"/>
        </w:rPr>
        <w:t xml:space="preserve">. </w:t>
      </w:r>
      <w:r w:rsidRPr="00B05F21">
        <w:rPr>
          <w:rFonts w:eastAsia="Arial"/>
        </w:rPr>
        <w:t xml:space="preserve">This indicator is reported on the Dashboard for any local educational agency (LEA) and school that enroll students in transitional kindergarten through grade twelve with 30 or more students </w:t>
      </w:r>
      <w:r w:rsidR="009B5F63">
        <w:rPr>
          <w:rFonts w:eastAsia="Arial"/>
        </w:rPr>
        <w:t xml:space="preserve">cumulatively enrolled across </w:t>
      </w:r>
      <w:r w:rsidR="00D30365">
        <w:rPr>
          <w:rFonts w:eastAsia="Arial"/>
        </w:rPr>
        <w:t>the current and prior year.</w:t>
      </w:r>
    </w:p>
    <w:p w14:paraId="226519C5" w14:textId="22F2552A" w:rsidR="00290ACE" w:rsidRPr="00B05F21" w:rsidRDefault="00271014" w:rsidP="00290ACE">
      <w:r>
        <w:t xml:space="preserve">In September 2016, the SBE approved the cut scores for Status and Change based on </w:t>
      </w:r>
      <w:r w:rsidR="00C91029">
        <w:t xml:space="preserve">both </w:t>
      </w:r>
      <w:r>
        <w:t>LEA type and by school type</w:t>
      </w:r>
      <w:r w:rsidR="00C91029">
        <w:t>. Therefore, thi</w:t>
      </w:r>
      <w:r>
        <w:t xml:space="preserve">s indicator </w:t>
      </w:r>
      <w:r w:rsidR="003262ED">
        <w:t>has</w:t>
      </w:r>
      <w:r>
        <w:t xml:space="preserve"> different </w:t>
      </w:r>
      <w:r w:rsidR="003262ED">
        <w:t>expectations for performance</w:t>
      </w:r>
      <w:r>
        <w:t xml:space="preserve"> across grade spans as suspension rates vary significantly</w:t>
      </w:r>
      <w:r w:rsidR="00746EC1">
        <w:t>:</w:t>
      </w:r>
    </w:p>
    <w:p w14:paraId="4B708E32" w14:textId="53BD66EB" w:rsidR="00D66251" w:rsidRPr="00D66251" w:rsidRDefault="00D66251" w:rsidP="00D11ED0">
      <w:pPr>
        <w:numPr>
          <w:ilvl w:val="0"/>
          <w:numId w:val="11"/>
        </w:numPr>
      </w:pPr>
      <w:r>
        <w:lastRenderedPageBreak/>
        <w:t>District Five-by-Fives</w:t>
      </w:r>
    </w:p>
    <w:p w14:paraId="2FD4DBFB" w14:textId="24221D57" w:rsidR="00D66251" w:rsidRPr="00D66251" w:rsidRDefault="00D66251" w:rsidP="00D11ED0">
      <w:pPr>
        <w:numPr>
          <w:ilvl w:val="1"/>
          <w:numId w:val="11"/>
        </w:numPr>
      </w:pPr>
      <w:r>
        <w:t>Elementary School Districts</w:t>
      </w:r>
    </w:p>
    <w:p w14:paraId="140800EE" w14:textId="4BCC4F86" w:rsidR="00D66251" w:rsidRPr="00D66251" w:rsidRDefault="00D66251" w:rsidP="00D11ED0">
      <w:pPr>
        <w:numPr>
          <w:ilvl w:val="1"/>
          <w:numId w:val="11"/>
        </w:numPr>
      </w:pPr>
      <w:r>
        <w:t>High School Districts</w:t>
      </w:r>
    </w:p>
    <w:p w14:paraId="12186EA6" w14:textId="78139501" w:rsidR="00D66251" w:rsidRPr="00D66251" w:rsidRDefault="00D66251" w:rsidP="00D11ED0">
      <w:pPr>
        <w:numPr>
          <w:ilvl w:val="1"/>
          <w:numId w:val="11"/>
        </w:numPr>
      </w:pPr>
      <w:r>
        <w:t>K-12 Schools/Unified Districts</w:t>
      </w:r>
    </w:p>
    <w:p w14:paraId="4E599505" w14:textId="22483296" w:rsidR="00D66251" w:rsidRPr="00D66251" w:rsidRDefault="00D66251" w:rsidP="00D11ED0">
      <w:pPr>
        <w:numPr>
          <w:ilvl w:val="0"/>
          <w:numId w:val="11"/>
        </w:numPr>
      </w:pPr>
      <w:r>
        <w:t>School Five-by-Fives</w:t>
      </w:r>
    </w:p>
    <w:p w14:paraId="5DB6BBED" w14:textId="46C97BA2" w:rsidR="00D66251" w:rsidRPr="00D66251" w:rsidRDefault="00D66251" w:rsidP="00D11ED0">
      <w:pPr>
        <w:numPr>
          <w:ilvl w:val="1"/>
          <w:numId w:val="11"/>
        </w:numPr>
      </w:pPr>
      <w:r>
        <w:t>Elementary Schools</w:t>
      </w:r>
    </w:p>
    <w:p w14:paraId="30202AEC" w14:textId="2D224DE4" w:rsidR="00D66251" w:rsidRPr="00D66251" w:rsidRDefault="00D66251" w:rsidP="00D11ED0">
      <w:pPr>
        <w:numPr>
          <w:ilvl w:val="1"/>
          <w:numId w:val="11"/>
        </w:numPr>
      </w:pPr>
      <w:r>
        <w:t>Middle Schools</w:t>
      </w:r>
      <w:r w:rsidR="007F5827">
        <w:t xml:space="preserve"> </w:t>
      </w:r>
      <w:r>
        <w:t>High Schools</w:t>
      </w:r>
    </w:p>
    <w:p w14:paraId="273D09DA" w14:textId="50ADBA1F" w:rsidR="008A6044" w:rsidRDefault="008A6044" w:rsidP="007D4FAF">
      <w:r>
        <w:t xml:space="preserve">Tables </w:t>
      </w:r>
      <w:r w:rsidR="00BC2F17">
        <w:t>16</w:t>
      </w:r>
      <w:r>
        <w:t xml:space="preserve"> and</w:t>
      </w:r>
      <w:r w:rsidRPr="00BC2F17">
        <w:t xml:space="preserve"> </w:t>
      </w:r>
      <w:r w:rsidR="00BC2F17" w:rsidRPr="00BC2F17">
        <w:t>17</w:t>
      </w:r>
      <w:r>
        <w:t xml:space="preserve"> display the currently adopted and utilized Status and Change cut scores.</w:t>
      </w:r>
    </w:p>
    <w:p w14:paraId="74DAFAFB" w14:textId="6433B06E" w:rsidR="007D4FAF" w:rsidRPr="00192AC8" w:rsidRDefault="358AE0DD" w:rsidP="00192AC8">
      <w:pPr>
        <w:pStyle w:val="Heading3"/>
        <w:rPr>
          <w:color w:val="000000" w:themeColor="text1"/>
          <w:sz w:val="24"/>
          <w:szCs w:val="20"/>
        </w:rPr>
      </w:pPr>
      <w:r w:rsidRPr="00192AC8">
        <w:rPr>
          <w:color w:val="000000" w:themeColor="text1"/>
          <w:sz w:val="24"/>
          <w:szCs w:val="20"/>
        </w:rPr>
        <w:t xml:space="preserve">Table </w:t>
      </w:r>
      <w:r w:rsidR="00BC2F17" w:rsidRPr="00192AC8">
        <w:rPr>
          <w:color w:val="000000" w:themeColor="text1"/>
          <w:sz w:val="24"/>
          <w:szCs w:val="20"/>
        </w:rPr>
        <w:t>16</w:t>
      </w:r>
      <w:r w:rsidRPr="00192AC8">
        <w:rPr>
          <w:color w:val="000000" w:themeColor="text1"/>
          <w:sz w:val="24"/>
          <w:szCs w:val="20"/>
        </w:rPr>
        <w:t>: Suspension Status Cut Scores</w:t>
      </w:r>
      <w:r w:rsidR="33BCF7DA" w:rsidRPr="00192AC8">
        <w:rPr>
          <w:color w:val="000000" w:themeColor="text1"/>
          <w:sz w:val="24"/>
          <w:szCs w:val="20"/>
        </w:rPr>
        <w:t xml:space="preserve"> for the Dashboard (</w:t>
      </w:r>
      <w:r w:rsidR="00F926B2" w:rsidRPr="00192AC8">
        <w:rPr>
          <w:color w:val="000000" w:themeColor="text1"/>
          <w:sz w:val="24"/>
          <w:szCs w:val="20"/>
        </w:rPr>
        <w:t xml:space="preserve">Adopted by the SBE </w:t>
      </w:r>
      <w:r w:rsidR="33BCF7DA" w:rsidRPr="00192AC8">
        <w:rPr>
          <w:color w:val="000000" w:themeColor="text1"/>
          <w:sz w:val="24"/>
          <w:szCs w:val="20"/>
        </w:rPr>
        <w:t>in September 2016)</w:t>
      </w:r>
    </w:p>
    <w:tbl>
      <w:tblPr>
        <w:tblStyle w:val="TableTheme"/>
        <w:tblW w:w="9350" w:type="dxa"/>
        <w:jc w:val="center"/>
        <w:tblLayout w:type="fixed"/>
        <w:tblLook w:val="04A0" w:firstRow="1" w:lastRow="0" w:firstColumn="1" w:lastColumn="0" w:noHBand="0" w:noVBand="1"/>
        <w:tblCaption w:val="Table X: Suspension Status Cut Scores for the Dashboard (as Adopted by the SBE in September 2016)"/>
        <w:tblDescription w:val="Table X: Suspension Status Cut Scores for the Dashboard (as Adopted by the SBE in September 2016)"/>
      </w:tblPr>
      <w:tblGrid>
        <w:gridCol w:w="1255"/>
        <w:gridCol w:w="1530"/>
        <w:gridCol w:w="1080"/>
        <w:gridCol w:w="1170"/>
        <w:gridCol w:w="1530"/>
        <w:gridCol w:w="1350"/>
        <w:gridCol w:w="1435"/>
      </w:tblGrid>
      <w:tr w:rsidR="007D7C9B" w:rsidRPr="007D7C9B" w14:paraId="78AB4826" w14:textId="77777777" w:rsidTr="00192AC8">
        <w:trPr>
          <w:cantSplit/>
          <w:trHeight w:val="1232"/>
          <w:tblHeader/>
          <w:jc w:val="center"/>
        </w:trPr>
        <w:tc>
          <w:tcPr>
            <w:tcW w:w="1255" w:type="dxa"/>
            <w:shd w:val="clear" w:color="auto" w:fill="E7E6E6" w:themeFill="background2"/>
            <w:vAlign w:val="center"/>
            <w:hideMark/>
          </w:tcPr>
          <w:p w14:paraId="07198EC5" w14:textId="410D83FB" w:rsidR="007D7C9B" w:rsidRPr="007D7C9B" w:rsidRDefault="007D7C9B" w:rsidP="00BC2F17">
            <w:pPr>
              <w:spacing w:before="120" w:after="100" w:afterAutospacing="1"/>
              <w:jc w:val="center"/>
              <w:rPr>
                <w:b/>
                <w:bCs/>
              </w:rPr>
            </w:pPr>
            <w:r w:rsidRPr="007D7C9B">
              <w:rPr>
                <w:b/>
                <w:bCs/>
              </w:rPr>
              <w:t>Status</w:t>
            </w:r>
            <w:r w:rsidR="001A42A8">
              <w:rPr>
                <w:b/>
                <w:bCs/>
              </w:rPr>
              <w:t xml:space="preserve"> </w:t>
            </w:r>
            <w:r w:rsidRPr="007D7C9B">
              <w:rPr>
                <w:b/>
                <w:bCs/>
              </w:rPr>
              <w:t>Level</w:t>
            </w:r>
          </w:p>
        </w:tc>
        <w:tc>
          <w:tcPr>
            <w:tcW w:w="1530" w:type="dxa"/>
            <w:shd w:val="clear" w:color="auto" w:fill="E7E6E6" w:themeFill="background2"/>
            <w:vAlign w:val="center"/>
            <w:hideMark/>
          </w:tcPr>
          <w:p w14:paraId="7A86DED9" w14:textId="1BA5C038" w:rsidR="007D7C9B" w:rsidRPr="007D7C9B" w:rsidRDefault="007D7C9B" w:rsidP="00BC2F17">
            <w:pPr>
              <w:spacing w:before="120" w:after="100" w:afterAutospacing="1"/>
              <w:jc w:val="center"/>
              <w:rPr>
                <w:b/>
                <w:bCs/>
              </w:rPr>
            </w:pPr>
            <w:r w:rsidRPr="007D7C9B">
              <w:rPr>
                <w:b/>
                <w:bCs/>
              </w:rPr>
              <w:t>Elementary</w:t>
            </w:r>
            <w:r w:rsidR="001A42A8">
              <w:rPr>
                <w:b/>
                <w:bCs/>
              </w:rPr>
              <w:t xml:space="preserve"> </w:t>
            </w:r>
            <w:r w:rsidRPr="007D7C9B">
              <w:rPr>
                <w:b/>
                <w:bCs/>
              </w:rPr>
              <w:t>School</w:t>
            </w:r>
          </w:p>
        </w:tc>
        <w:tc>
          <w:tcPr>
            <w:tcW w:w="1080" w:type="dxa"/>
            <w:shd w:val="clear" w:color="auto" w:fill="E7E6E6" w:themeFill="background2"/>
            <w:vAlign w:val="center"/>
            <w:hideMark/>
          </w:tcPr>
          <w:p w14:paraId="23202F62" w14:textId="6C08760D" w:rsidR="007D7C9B" w:rsidRPr="007D7C9B" w:rsidRDefault="007D7C9B" w:rsidP="00BC2F17">
            <w:pPr>
              <w:spacing w:before="120" w:after="100" w:afterAutospacing="1"/>
              <w:jc w:val="center"/>
              <w:rPr>
                <w:b/>
                <w:bCs/>
              </w:rPr>
            </w:pPr>
            <w:r w:rsidRPr="007D7C9B">
              <w:rPr>
                <w:b/>
                <w:bCs/>
              </w:rPr>
              <w:t>Middle</w:t>
            </w:r>
            <w:r w:rsidR="001A42A8">
              <w:rPr>
                <w:b/>
                <w:bCs/>
              </w:rPr>
              <w:t xml:space="preserve"> </w:t>
            </w:r>
            <w:r w:rsidRPr="007D7C9B">
              <w:rPr>
                <w:b/>
                <w:bCs/>
              </w:rPr>
              <w:t>Schoo</w:t>
            </w:r>
            <w:r w:rsidR="00BC2F17">
              <w:rPr>
                <w:b/>
                <w:bCs/>
              </w:rPr>
              <w:t>l</w:t>
            </w:r>
          </w:p>
        </w:tc>
        <w:tc>
          <w:tcPr>
            <w:tcW w:w="1170" w:type="dxa"/>
            <w:shd w:val="clear" w:color="auto" w:fill="E7E6E6" w:themeFill="background2"/>
            <w:vAlign w:val="center"/>
            <w:hideMark/>
          </w:tcPr>
          <w:p w14:paraId="24C68284" w14:textId="0B936971" w:rsidR="007D7C9B" w:rsidRPr="007D7C9B" w:rsidRDefault="007D7C9B" w:rsidP="00BC2F17">
            <w:pPr>
              <w:spacing w:before="120" w:after="100" w:afterAutospacing="1"/>
              <w:jc w:val="center"/>
              <w:rPr>
                <w:b/>
                <w:bCs/>
              </w:rPr>
            </w:pPr>
            <w:r w:rsidRPr="007D7C9B">
              <w:rPr>
                <w:b/>
                <w:bCs/>
              </w:rPr>
              <w:t>High School</w:t>
            </w:r>
          </w:p>
        </w:tc>
        <w:tc>
          <w:tcPr>
            <w:tcW w:w="1530" w:type="dxa"/>
            <w:shd w:val="clear" w:color="auto" w:fill="E7E6E6" w:themeFill="background2"/>
            <w:vAlign w:val="center"/>
            <w:hideMark/>
          </w:tcPr>
          <w:p w14:paraId="6E89D978" w14:textId="7C774DDF" w:rsidR="007D7C9B" w:rsidRPr="007D7C9B" w:rsidRDefault="007D7C9B" w:rsidP="00BC2F17">
            <w:pPr>
              <w:spacing w:before="120" w:after="100" w:afterAutospacing="1"/>
              <w:jc w:val="center"/>
              <w:rPr>
                <w:b/>
                <w:bCs/>
              </w:rPr>
            </w:pPr>
            <w:r w:rsidRPr="007D7C9B">
              <w:rPr>
                <w:b/>
                <w:bCs/>
              </w:rPr>
              <w:t>Elementary</w:t>
            </w:r>
            <w:r w:rsidR="007A0C13">
              <w:rPr>
                <w:b/>
                <w:bCs/>
              </w:rPr>
              <w:t xml:space="preserve"> </w:t>
            </w:r>
            <w:r w:rsidRPr="007D7C9B">
              <w:rPr>
                <w:b/>
                <w:bCs/>
              </w:rPr>
              <w:t>District</w:t>
            </w:r>
          </w:p>
        </w:tc>
        <w:tc>
          <w:tcPr>
            <w:tcW w:w="1350" w:type="dxa"/>
            <w:shd w:val="clear" w:color="auto" w:fill="E7E6E6" w:themeFill="background2"/>
            <w:vAlign w:val="center"/>
            <w:hideMark/>
          </w:tcPr>
          <w:p w14:paraId="3968B06E" w14:textId="07F36C3C" w:rsidR="007D7C9B" w:rsidRPr="007D7C9B" w:rsidRDefault="007D7C9B" w:rsidP="00BC2F17">
            <w:pPr>
              <w:spacing w:before="120" w:after="100" w:afterAutospacing="1"/>
              <w:jc w:val="center"/>
              <w:rPr>
                <w:b/>
                <w:bCs/>
              </w:rPr>
            </w:pPr>
            <w:r w:rsidRPr="007D7C9B">
              <w:rPr>
                <w:b/>
                <w:bCs/>
              </w:rPr>
              <w:t>High School</w:t>
            </w:r>
            <w:r w:rsidR="00AC6B9C">
              <w:rPr>
                <w:b/>
                <w:bCs/>
              </w:rPr>
              <w:t xml:space="preserve"> </w:t>
            </w:r>
            <w:r w:rsidRPr="007D7C9B">
              <w:rPr>
                <w:b/>
                <w:bCs/>
              </w:rPr>
              <w:t>District</w:t>
            </w:r>
          </w:p>
        </w:tc>
        <w:tc>
          <w:tcPr>
            <w:tcW w:w="1435" w:type="dxa"/>
            <w:shd w:val="clear" w:color="auto" w:fill="E7E6E6" w:themeFill="background2"/>
            <w:vAlign w:val="center"/>
            <w:hideMark/>
          </w:tcPr>
          <w:p w14:paraId="00452BBB" w14:textId="3467D91A" w:rsidR="007D7C9B" w:rsidRPr="007D7C9B" w:rsidRDefault="007D7C9B" w:rsidP="00BC2F17">
            <w:pPr>
              <w:spacing w:before="120" w:after="100" w:afterAutospacing="1"/>
              <w:jc w:val="center"/>
              <w:rPr>
                <w:b/>
                <w:bCs/>
              </w:rPr>
            </w:pPr>
            <w:r w:rsidRPr="007D7C9B">
              <w:rPr>
                <w:b/>
                <w:bCs/>
              </w:rPr>
              <w:t>Unified</w:t>
            </w:r>
            <w:r w:rsidR="007A0C13">
              <w:rPr>
                <w:b/>
                <w:bCs/>
              </w:rPr>
              <w:t xml:space="preserve"> </w:t>
            </w:r>
            <w:r w:rsidRPr="007D7C9B">
              <w:rPr>
                <w:b/>
                <w:bCs/>
              </w:rPr>
              <w:t>District or</w:t>
            </w:r>
            <w:r w:rsidR="007A0C13">
              <w:rPr>
                <w:b/>
                <w:bCs/>
              </w:rPr>
              <w:t xml:space="preserve"> </w:t>
            </w:r>
            <w:r w:rsidRPr="007D7C9B">
              <w:rPr>
                <w:b/>
                <w:bCs/>
              </w:rPr>
              <w:br/>
              <w:t>K-12 School</w:t>
            </w:r>
          </w:p>
        </w:tc>
      </w:tr>
      <w:tr w:rsidR="007D7C9B" w:rsidRPr="007D7C9B" w14:paraId="7BCD0A23" w14:textId="77777777" w:rsidTr="00192AC8">
        <w:trPr>
          <w:cantSplit/>
          <w:trHeight w:val="1020"/>
          <w:jc w:val="center"/>
        </w:trPr>
        <w:tc>
          <w:tcPr>
            <w:tcW w:w="1255" w:type="dxa"/>
            <w:vAlign w:val="center"/>
            <w:hideMark/>
          </w:tcPr>
          <w:p w14:paraId="5DFBC1E1" w14:textId="3E8D1644" w:rsidR="007D7C9B" w:rsidRPr="007D7C9B" w:rsidRDefault="007D7C9B" w:rsidP="00BC2F17">
            <w:pPr>
              <w:spacing w:before="120" w:after="100" w:afterAutospacing="1"/>
              <w:jc w:val="center"/>
              <w:rPr>
                <w:b/>
              </w:rPr>
            </w:pPr>
            <w:r w:rsidRPr="007D7C9B">
              <w:rPr>
                <w:b/>
              </w:rPr>
              <w:t>Very Low</w:t>
            </w:r>
          </w:p>
        </w:tc>
        <w:tc>
          <w:tcPr>
            <w:tcW w:w="1530" w:type="dxa"/>
            <w:vAlign w:val="center"/>
            <w:hideMark/>
          </w:tcPr>
          <w:p w14:paraId="1E49C881" w14:textId="10F0D4EA" w:rsidR="007D7C9B" w:rsidRPr="007D7C9B" w:rsidRDefault="007D7C9B" w:rsidP="00BC2F17">
            <w:pPr>
              <w:spacing w:before="120" w:after="100" w:afterAutospacing="1"/>
              <w:jc w:val="center"/>
            </w:pPr>
            <w:r w:rsidRPr="007D7C9B">
              <w:t>0.5%</w:t>
            </w:r>
            <w:r w:rsidR="00BC2F17">
              <w:t xml:space="preserve"> </w:t>
            </w:r>
            <w:r w:rsidRPr="007D7C9B">
              <w:t>or les</w:t>
            </w:r>
            <w:r w:rsidR="00BC2F17">
              <w:t>s</w:t>
            </w:r>
          </w:p>
        </w:tc>
        <w:tc>
          <w:tcPr>
            <w:tcW w:w="1080" w:type="dxa"/>
            <w:vAlign w:val="center"/>
            <w:hideMark/>
          </w:tcPr>
          <w:p w14:paraId="0F9DC8B2" w14:textId="21D9798F" w:rsidR="007D7C9B" w:rsidRPr="007D7C9B" w:rsidRDefault="007D7C9B" w:rsidP="00BC2F17">
            <w:pPr>
              <w:spacing w:before="120" w:after="100" w:afterAutospacing="1"/>
              <w:jc w:val="center"/>
            </w:pPr>
            <w:r w:rsidRPr="007D7C9B">
              <w:t>0.5%</w:t>
            </w:r>
            <w:r w:rsidR="00BC2F17">
              <w:t xml:space="preserve"> </w:t>
            </w:r>
            <w:r w:rsidRPr="007D7C9B">
              <w:t>or less</w:t>
            </w:r>
          </w:p>
        </w:tc>
        <w:tc>
          <w:tcPr>
            <w:tcW w:w="1170" w:type="dxa"/>
            <w:vAlign w:val="center"/>
            <w:hideMark/>
          </w:tcPr>
          <w:p w14:paraId="3329013F" w14:textId="4BF4A58E" w:rsidR="007D7C9B" w:rsidRPr="007D7C9B" w:rsidRDefault="007D7C9B" w:rsidP="00BC2F17">
            <w:pPr>
              <w:spacing w:before="120" w:after="100" w:afterAutospacing="1"/>
              <w:jc w:val="center"/>
            </w:pPr>
            <w:r w:rsidRPr="007D7C9B">
              <w:t>0.5%</w:t>
            </w:r>
            <w:r w:rsidR="00BC2F17">
              <w:t xml:space="preserve"> </w:t>
            </w:r>
            <w:r w:rsidRPr="007D7C9B">
              <w:t>or less</w:t>
            </w:r>
          </w:p>
        </w:tc>
        <w:tc>
          <w:tcPr>
            <w:tcW w:w="1530" w:type="dxa"/>
            <w:vAlign w:val="center"/>
            <w:hideMark/>
          </w:tcPr>
          <w:p w14:paraId="4721AAA6" w14:textId="5C8E4A12" w:rsidR="007D7C9B" w:rsidRPr="007D7C9B" w:rsidRDefault="007D7C9B" w:rsidP="00BC2F17">
            <w:pPr>
              <w:spacing w:before="120" w:after="100" w:afterAutospacing="1"/>
              <w:jc w:val="center"/>
            </w:pPr>
            <w:r w:rsidRPr="007D7C9B">
              <w:t>0.5%</w:t>
            </w:r>
            <w:r w:rsidR="00BC2F17">
              <w:t xml:space="preserve"> </w:t>
            </w:r>
            <w:r w:rsidRPr="007D7C9B">
              <w:t>or less</w:t>
            </w:r>
          </w:p>
        </w:tc>
        <w:tc>
          <w:tcPr>
            <w:tcW w:w="1350" w:type="dxa"/>
            <w:vAlign w:val="center"/>
            <w:hideMark/>
          </w:tcPr>
          <w:p w14:paraId="719C7732" w14:textId="22CE8190" w:rsidR="007D7C9B" w:rsidRPr="007D7C9B" w:rsidRDefault="007D7C9B" w:rsidP="00BC2F17">
            <w:pPr>
              <w:spacing w:before="120" w:after="100" w:afterAutospacing="1"/>
              <w:jc w:val="center"/>
            </w:pPr>
            <w:r w:rsidRPr="007D7C9B">
              <w:t>1.5%</w:t>
            </w:r>
            <w:r w:rsidR="00BC2F17">
              <w:t xml:space="preserve"> </w:t>
            </w:r>
            <w:r w:rsidRPr="007D7C9B">
              <w:t>or less</w:t>
            </w:r>
          </w:p>
        </w:tc>
        <w:tc>
          <w:tcPr>
            <w:tcW w:w="1435" w:type="dxa"/>
            <w:vAlign w:val="center"/>
            <w:hideMark/>
          </w:tcPr>
          <w:p w14:paraId="1A95B1A7" w14:textId="1B1057F6" w:rsidR="007D7C9B" w:rsidRPr="007D7C9B" w:rsidRDefault="007D7C9B" w:rsidP="00BC2F17">
            <w:pPr>
              <w:spacing w:before="120" w:after="100" w:afterAutospacing="1"/>
              <w:jc w:val="center"/>
            </w:pPr>
            <w:r w:rsidRPr="007D7C9B">
              <w:t>1.0%</w:t>
            </w:r>
            <w:r w:rsidR="00BC2F17">
              <w:t xml:space="preserve"> </w:t>
            </w:r>
            <w:r w:rsidRPr="007D7C9B">
              <w:t>or less</w:t>
            </w:r>
          </w:p>
        </w:tc>
      </w:tr>
      <w:tr w:rsidR="007D7C9B" w:rsidRPr="007D7C9B" w14:paraId="038DE2EB" w14:textId="77777777" w:rsidTr="00192AC8">
        <w:trPr>
          <w:cantSplit/>
          <w:trHeight w:val="728"/>
          <w:jc w:val="center"/>
        </w:trPr>
        <w:tc>
          <w:tcPr>
            <w:tcW w:w="1255" w:type="dxa"/>
            <w:shd w:val="clear" w:color="auto" w:fill="E7E6E6" w:themeFill="background2"/>
            <w:vAlign w:val="center"/>
            <w:hideMark/>
          </w:tcPr>
          <w:p w14:paraId="040AE2F2" w14:textId="459BFFA0" w:rsidR="007D7C9B" w:rsidRPr="007D7C9B" w:rsidRDefault="007D7C9B" w:rsidP="00BC2F17">
            <w:pPr>
              <w:spacing w:before="120" w:after="100" w:afterAutospacing="1"/>
              <w:jc w:val="center"/>
              <w:rPr>
                <w:b/>
              </w:rPr>
            </w:pPr>
            <w:r w:rsidRPr="007D7C9B">
              <w:rPr>
                <w:b/>
              </w:rPr>
              <w:t>Low</w:t>
            </w:r>
          </w:p>
        </w:tc>
        <w:tc>
          <w:tcPr>
            <w:tcW w:w="1530" w:type="dxa"/>
            <w:shd w:val="clear" w:color="auto" w:fill="E7E6E6" w:themeFill="background2"/>
            <w:vAlign w:val="center"/>
            <w:hideMark/>
          </w:tcPr>
          <w:p w14:paraId="30B105B4" w14:textId="0224CB09" w:rsidR="007D7C9B" w:rsidRPr="007D7C9B" w:rsidRDefault="007D7C9B" w:rsidP="00BC2F17">
            <w:pPr>
              <w:spacing w:before="120" w:after="100" w:afterAutospacing="1"/>
              <w:jc w:val="center"/>
            </w:pPr>
            <w:r w:rsidRPr="007D7C9B">
              <w:t>0.6%</w:t>
            </w:r>
            <w:r w:rsidR="00BC2F17">
              <w:t xml:space="preserve"> </w:t>
            </w:r>
            <w:r w:rsidRPr="007D7C9B">
              <w:t>to 1.0%</w:t>
            </w:r>
          </w:p>
        </w:tc>
        <w:tc>
          <w:tcPr>
            <w:tcW w:w="1080" w:type="dxa"/>
            <w:shd w:val="clear" w:color="auto" w:fill="E7E6E6" w:themeFill="background2"/>
            <w:vAlign w:val="center"/>
            <w:hideMark/>
          </w:tcPr>
          <w:p w14:paraId="12348F2E" w14:textId="1E6ACFF7" w:rsidR="007D7C9B" w:rsidRPr="007D7C9B" w:rsidRDefault="007D7C9B" w:rsidP="00BC2F17">
            <w:pPr>
              <w:spacing w:before="120" w:after="100" w:afterAutospacing="1"/>
              <w:jc w:val="center"/>
            </w:pPr>
            <w:r w:rsidRPr="007D7C9B">
              <w:t>0.6%</w:t>
            </w:r>
            <w:r w:rsidR="00BC2F17">
              <w:t xml:space="preserve"> </w:t>
            </w:r>
            <w:r w:rsidRPr="007D7C9B">
              <w:t>to 2.0%</w:t>
            </w:r>
          </w:p>
        </w:tc>
        <w:tc>
          <w:tcPr>
            <w:tcW w:w="1170" w:type="dxa"/>
            <w:shd w:val="clear" w:color="auto" w:fill="E7E6E6" w:themeFill="background2"/>
            <w:vAlign w:val="center"/>
            <w:hideMark/>
          </w:tcPr>
          <w:p w14:paraId="05658173" w14:textId="6968ADAA" w:rsidR="007D7C9B" w:rsidRPr="007D7C9B" w:rsidRDefault="007D7C9B" w:rsidP="00BC2F17">
            <w:pPr>
              <w:spacing w:before="120" w:after="100" w:afterAutospacing="1"/>
              <w:jc w:val="center"/>
            </w:pPr>
            <w:r w:rsidRPr="007D7C9B">
              <w:t>0.6%</w:t>
            </w:r>
            <w:r w:rsidR="00BC2F17">
              <w:t xml:space="preserve"> </w:t>
            </w:r>
            <w:r w:rsidRPr="007D7C9B">
              <w:t>to 1.5%</w:t>
            </w:r>
            <w:r w:rsidR="00BC2F17">
              <w:t xml:space="preserve"> </w:t>
            </w:r>
          </w:p>
        </w:tc>
        <w:tc>
          <w:tcPr>
            <w:tcW w:w="1530" w:type="dxa"/>
            <w:shd w:val="clear" w:color="auto" w:fill="E7E6E6" w:themeFill="background2"/>
            <w:vAlign w:val="center"/>
            <w:hideMark/>
          </w:tcPr>
          <w:p w14:paraId="2223D2ED" w14:textId="5E985D51" w:rsidR="007D7C9B" w:rsidRPr="007D7C9B" w:rsidRDefault="007D7C9B" w:rsidP="00BC2F17">
            <w:pPr>
              <w:spacing w:before="120" w:after="100" w:afterAutospacing="1"/>
              <w:jc w:val="center"/>
            </w:pPr>
            <w:r w:rsidRPr="007D7C9B">
              <w:t>0.6%</w:t>
            </w:r>
            <w:r w:rsidR="00BC2F17">
              <w:t xml:space="preserve"> </w:t>
            </w:r>
            <w:r w:rsidRPr="007D7C9B">
              <w:t>to 1.5%</w:t>
            </w:r>
          </w:p>
        </w:tc>
        <w:tc>
          <w:tcPr>
            <w:tcW w:w="1350" w:type="dxa"/>
            <w:shd w:val="clear" w:color="auto" w:fill="E7E6E6" w:themeFill="background2"/>
            <w:vAlign w:val="center"/>
            <w:hideMark/>
          </w:tcPr>
          <w:p w14:paraId="535F7FC6" w14:textId="084D4614" w:rsidR="007D7C9B" w:rsidRPr="007D7C9B" w:rsidRDefault="007D7C9B" w:rsidP="00BC2F17">
            <w:pPr>
              <w:spacing w:before="120" w:after="100" w:afterAutospacing="1"/>
              <w:jc w:val="center"/>
            </w:pPr>
            <w:r w:rsidRPr="007D7C9B">
              <w:t>1.6%</w:t>
            </w:r>
            <w:r w:rsidR="00BC2F17">
              <w:t xml:space="preserve"> </w:t>
            </w:r>
            <w:r w:rsidRPr="007D7C9B">
              <w:t>to 3.5%</w:t>
            </w:r>
          </w:p>
        </w:tc>
        <w:tc>
          <w:tcPr>
            <w:tcW w:w="1435" w:type="dxa"/>
            <w:shd w:val="clear" w:color="auto" w:fill="E7E6E6" w:themeFill="background2"/>
            <w:vAlign w:val="center"/>
            <w:hideMark/>
          </w:tcPr>
          <w:p w14:paraId="11B5B92E" w14:textId="236D6701" w:rsidR="007D7C9B" w:rsidRPr="007D7C9B" w:rsidRDefault="007D7C9B" w:rsidP="00BC2F17">
            <w:pPr>
              <w:spacing w:before="120" w:after="100" w:afterAutospacing="1"/>
              <w:jc w:val="center"/>
            </w:pPr>
            <w:r w:rsidRPr="007D7C9B">
              <w:t>1.1%</w:t>
            </w:r>
            <w:r w:rsidR="00BC2F17">
              <w:t xml:space="preserve"> </w:t>
            </w:r>
            <w:r w:rsidRPr="007D7C9B">
              <w:t>to 2.5%</w:t>
            </w:r>
          </w:p>
        </w:tc>
      </w:tr>
      <w:tr w:rsidR="007D7C9B" w:rsidRPr="007D7C9B" w14:paraId="56ABE3E3" w14:textId="77777777" w:rsidTr="00192AC8">
        <w:trPr>
          <w:cantSplit/>
          <w:trHeight w:val="818"/>
          <w:jc w:val="center"/>
        </w:trPr>
        <w:tc>
          <w:tcPr>
            <w:tcW w:w="1255" w:type="dxa"/>
            <w:vAlign w:val="center"/>
            <w:hideMark/>
          </w:tcPr>
          <w:p w14:paraId="7547169A" w14:textId="0CAA7D90" w:rsidR="007D7C9B" w:rsidRPr="007D7C9B" w:rsidRDefault="007D7C9B" w:rsidP="00BC2F17">
            <w:pPr>
              <w:spacing w:before="120" w:after="100" w:afterAutospacing="1"/>
              <w:jc w:val="center"/>
              <w:rPr>
                <w:b/>
              </w:rPr>
            </w:pPr>
            <w:r w:rsidRPr="007D7C9B">
              <w:rPr>
                <w:b/>
              </w:rPr>
              <w:t>Medium</w:t>
            </w:r>
          </w:p>
        </w:tc>
        <w:tc>
          <w:tcPr>
            <w:tcW w:w="1530" w:type="dxa"/>
            <w:vAlign w:val="center"/>
            <w:hideMark/>
          </w:tcPr>
          <w:p w14:paraId="433B0BDB" w14:textId="3C685D1E" w:rsidR="007D7C9B" w:rsidRPr="007D7C9B" w:rsidRDefault="007D7C9B" w:rsidP="00BC2F17">
            <w:pPr>
              <w:spacing w:before="120" w:after="100" w:afterAutospacing="1"/>
              <w:jc w:val="center"/>
            </w:pPr>
            <w:r w:rsidRPr="007D7C9B">
              <w:t>1.1%</w:t>
            </w:r>
            <w:r w:rsidR="00BC2F17">
              <w:t xml:space="preserve"> </w:t>
            </w:r>
            <w:r w:rsidRPr="007D7C9B">
              <w:t>to 3.0%</w:t>
            </w:r>
          </w:p>
        </w:tc>
        <w:tc>
          <w:tcPr>
            <w:tcW w:w="1080" w:type="dxa"/>
            <w:vAlign w:val="center"/>
            <w:hideMark/>
          </w:tcPr>
          <w:p w14:paraId="4B42986A" w14:textId="7D53FED6" w:rsidR="007D7C9B" w:rsidRPr="007D7C9B" w:rsidRDefault="007D7C9B" w:rsidP="00BC2F17">
            <w:pPr>
              <w:spacing w:before="120" w:after="100" w:afterAutospacing="1"/>
              <w:jc w:val="center"/>
            </w:pPr>
            <w:r w:rsidRPr="007D7C9B">
              <w:t>2.1%</w:t>
            </w:r>
            <w:r w:rsidR="00BC2F17">
              <w:t xml:space="preserve"> </w:t>
            </w:r>
            <w:r w:rsidRPr="007D7C9B">
              <w:t>to 8.0%</w:t>
            </w:r>
          </w:p>
        </w:tc>
        <w:tc>
          <w:tcPr>
            <w:tcW w:w="1170" w:type="dxa"/>
            <w:vAlign w:val="center"/>
            <w:hideMark/>
          </w:tcPr>
          <w:p w14:paraId="54DDFBC4" w14:textId="4146C12A" w:rsidR="007D7C9B" w:rsidRPr="007D7C9B" w:rsidRDefault="007D7C9B" w:rsidP="00BC2F17">
            <w:pPr>
              <w:spacing w:before="120" w:after="100" w:afterAutospacing="1"/>
              <w:jc w:val="center"/>
            </w:pPr>
            <w:r w:rsidRPr="007D7C9B">
              <w:t>1.6%</w:t>
            </w:r>
            <w:r w:rsidR="00BC2F17">
              <w:t xml:space="preserve"> </w:t>
            </w:r>
            <w:r w:rsidRPr="007D7C9B">
              <w:t>to 6.0%</w:t>
            </w:r>
            <w:r w:rsidR="00BC2F17">
              <w:t xml:space="preserve"> </w:t>
            </w:r>
          </w:p>
        </w:tc>
        <w:tc>
          <w:tcPr>
            <w:tcW w:w="1530" w:type="dxa"/>
            <w:vAlign w:val="center"/>
            <w:hideMark/>
          </w:tcPr>
          <w:p w14:paraId="63105F33" w14:textId="19F8A1CA" w:rsidR="007D7C9B" w:rsidRPr="007D7C9B" w:rsidRDefault="007D7C9B" w:rsidP="00BC2F17">
            <w:pPr>
              <w:spacing w:before="120" w:after="100" w:afterAutospacing="1"/>
              <w:jc w:val="center"/>
            </w:pPr>
            <w:r w:rsidRPr="007D7C9B">
              <w:t>1.6%</w:t>
            </w:r>
            <w:r w:rsidR="00BC2F17">
              <w:t xml:space="preserve"> to</w:t>
            </w:r>
            <w:r w:rsidR="00B24956">
              <w:br/>
            </w:r>
            <w:r w:rsidRPr="007D7C9B">
              <w:t>3.0%</w:t>
            </w:r>
          </w:p>
        </w:tc>
        <w:tc>
          <w:tcPr>
            <w:tcW w:w="1350" w:type="dxa"/>
            <w:vAlign w:val="center"/>
            <w:hideMark/>
          </w:tcPr>
          <w:p w14:paraId="06210EEF" w14:textId="14977FD4" w:rsidR="007D7C9B" w:rsidRPr="007D7C9B" w:rsidRDefault="007D7C9B" w:rsidP="00BC2F17">
            <w:pPr>
              <w:spacing w:before="120" w:after="100" w:afterAutospacing="1"/>
              <w:jc w:val="center"/>
            </w:pPr>
            <w:r w:rsidRPr="007D7C9B">
              <w:t>3.6%</w:t>
            </w:r>
            <w:r w:rsidR="00BC2F17">
              <w:t xml:space="preserve"> </w:t>
            </w:r>
            <w:r w:rsidRPr="007D7C9B">
              <w:t>to 6.0%</w:t>
            </w:r>
          </w:p>
        </w:tc>
        <w:tc>
          <w:tcPr>
            <w:tcW w:w="1435" w:type="dxa"/>
            <w:vAlign w:val="center"/>
            <w:hideMark/>
          </w:tcPr>
          <w:p w14:paraId="3D468D6A" w14:textId="18FC1813" w:rsidR="007D7C9B" w:rsidRPr="007D7C9B" w:rsidRDefault="007D7C9B" w:rsidP="00BC2F17">
            <w:pPr>
              <w:spacing w:before="120" w:after="100" w:afterAutospacing="1"/>
              <w:jc w:val="center"/>
            </w:pPr>
            <w:r w:rsidRPr="007D7C9B">
              <w:t>2.6%</w:t>
            </w:r>
            <w:r w:rsidR="00BC2F17">
              <w:t xml:space="preserve"> </w:t>
            </w:r>
            <w:r w:rsidRPr="007D7C9B">
              <w:t>to 4.5%</w:t>
            </w:r>
          </w:p>
        </w:tc>
      </w:tr>
      <w:tr w:rsidR="007D7C9B" w:rsidRPr="007D7C9B" w14:paraId="6D970280" w14:textId="77777777" w:rsidTr="00192AC8">
        <w:trPr>
          <w:cantSplit/>
          <w:trHeight w:val="1034"/>
          <w:jc w:val="center"/>
        </w:trPr>
        <w:tc>
          <w:tcPr>
            <w:tcW w:w="1255" w:type="dxa"/>
            <w:shd w:val="clear" w:color="auto" w:fill="E7E6E6" w:themeFill="background2"/>
            <w:vAlign w:val="center"/>
            <w:hideMark/>
          </w:tcPr>
          <w:p w14:paraId="1B526724" w14:textId="039FA807" w:rsidR="007D7C9B" w:rsidRPr="007D7C9B" w:rsidRDefault="007D7C9B" w:rsidP="00BC2F17">
            <w:pPr>
              <w:spacing w:before="120" w:after="100" w:afterAutospacing="1"/>
              <w:jc w:val="center"/>
              <w:rPr>
                <w:b/>
              </w:rPr>
            </w:pPr>
            <w:r w:rsidRPr="007D7C9B">
              <w:rPr>
                <w:b/>
              </w:rPr>
              <w:t>High</w:t>
            </w:r>
          </w:p>
        </w:tc>
        <w:tc>
          <w:tcPr>
            <w:tcW w:w="1530" w:type="dxa"/>
            <w:shd w:val="clear" w:color="auto" w:fill="E7E6E6" w:themeFill="background2"/>
            <w:vAlign w:val="center"/>
            <w:hideMark/>
          </w:tcPr>
          <w:p w14:paraId="434B843A" w14:textId="568599E6" w:rsidR="007D7C9B" w:rsidRPr="007D7C9B" w:rsidRDefault="007D7C9B" w:rsidP="00BC2F17">
            <w:pPr>
              <w:spacing w:before="120" w:after="100" w:afterAutospacing="1"/>
              <w:jc w:val="center"/>
            </w:pPr>
            <w:r w:rsidRPr="007D7C9B">
              <w:t>3.1%</w:t>
            </w:r>
            <w:r w:rsidR="00BC2F17">
              <w:t xml:space="preserve"> </w:t>
            </w:r>
            <w:r w:rsidRPr="007D7C9B">
              <w:t>to 6.0%</w:t>
            </w:r>
          </w:p>
        </w:tc>
        <w:tc>
          <w:tcPr>
            <w:tcW w:w="1080" w:type="dxa"/>
            <w:shd w:val="clear" w:color="auto" w:fill="E7E6E6" w:themeFill="background2"/>
            <w:vAlign w:val="center"/>
            <w:hideMark/>
          </w:tcPr>
          <w:p w14:paraId="431C8F18" w14:textId="29341FF0" w:rsidR="007D7C9B" w:rsidRPr="007D7C9B" w:rsidRDefault="007D7C9B" w:rsidP="00BC2F17">
            <w:pPr>
              <w:spacing w:before="120" w:after="100" w:afterAutospacing="1"/>
              <w:jc w:val="center"/>
            </w:pPr>
            <w:r w:rsidRPr="007D7C9B">
              <w:t>8.1%</w:t>
            </w:r>
            <w:r w:rsidR="00BC2F17">
              <w:t xml:space="preserve"> </w:t>
            </w:r>
            <w:r w:rsidRPr="007D7C9B">
              <w:t>to</w:t>
            </w:r>
            <w:r w:rsidR="00BC2F17">
              <w:t xml:space="preserve"> </w:t>
            </w:r>
            <w:r w:rsidRPr="007D7C9B">
              <w:t>12.0%</w:t>
            </w:r>
          </w:p>
        </w:tc>
        <w:tc>
          <w:tcPr>
            <w:tcW w:w="1170" w:type="dxa"/>
            <w:shd w:val="clear" w:color="auto" w:fill="E7E6E6" w:themeFill="background2"/>
            <w:vAlign w:val="center"/>
            <w:hideMark/>
          </w:tcPr>
          <w:p w14:paraId="39AA6662" w14:textId="67393C44" w:rsidR="007D7C9B" w:rsidRPr="007D7C9B" w:rsidRDefault="007D7C9B" w:rsidP="00BC2F17">
            <w:pPr>
              <w:spacing w:before="120" w:after="100" w:afterAutospacing="1"/>
              <w:jc w:val="center"/>
            </w:pPr>
            <w:r w:rsidRPr="007D7C9B">
              <w:t>6.1%</w:t>
            </w:r>
            <w:r w:rsidR="00BC2F17">
              <w:t xml:space="preserve"> </w:t>
            </w:r>
            <w:r w:rsidRPr="007D7C9B">
              <w:t>to 10.0%</w:t>
            </w:r>
          </w:p>
        </w:tc>
        <w:tc>
          <w:tcPr>
            <w:tcW w:w="1530" w:type="dxa"/>
            <w:shd w:val="clear" w:color="auto" w:fill="E7E6E6" w:themeFill="background2"/>
            <w:vAlign w:val="center"/>
            <w:hideMark/>
          </w:tcPr>
          <w:p w14:paraId="59268F32" w14:textId="4B45BAA1" w:rsidR="007D7C9B" w:rsidRPr="007D7C9B" w:rsidRDefault="007D7C9B" w:rsidP="00BC2F17">
            <w:pPr>
              <w:spacing w:before="120" w:after="100" w:afterAutospacing="1"/>
              <w:jc w:val="center"/>
            </w:pPr>
            <w:r w:rsidRPr="007D7C9B">
              <w:t>3.1%</w:t>
            </w:r>
            <w:r w:rsidR="00BC2F17">
              <w:t xml:space="preserve"> </w:t>
            </w:r>
            <w:r w:rsidRPr="007D7C9B">
              <w:t>to 6.0%</w:t>
            </w:r>
          </w:p>
        </w:tc>
        <w:tc>
          <w:tcPr>
            <w:tcW w:w="1350" w:type="dxa"/>
            <w:shd w:val="clear" w:color="auto" w:fill="E7E6E6" w:themeFill="background2"/>
            <w:vAlign w:val="center"/>
            <w:hideMark/>
          </w:tcPr>
          <w:p w14:paraId="375069F3" w14:textId="2DD50382" w:rsidR="007D7C9B" w:rsidRPr="007D7C9B" w:rsidRDefault="007D7C9B" w:rsidP="00BC2F17">
            <w:pPr>
              <w:spacing w:before="120" w:after="100" w:afterAutospacing="1"/>
              <w:jc w:val="center"/>
            </w:pPr>
            <w:r w:rsidRPr="007D7C9B">
              <w:t>6.1%</w:t>
            </w:r>
            <w:r w:rsidR="00BC2F17">
              <w:t xml:space="preserve"> </w:t>
            </w:r>
            <w:r w:rsidRPr="007D7C9B">
              <w:t>to 9.0%</w:t>
            </w:r>
          </w:p>
        </w:tc>
        <w:tc>
          <w:tcPr>
            <w:tcW w:w="1435" w:type="dxa"/>
            <w:shd w:val="clear" w:color="auto" w:fill="E7E6E6" w:themeFill="background2"/>
            <w:vAlign w:val="center"/>
            <w:hideMark/>
          </w:tcPr>
          <w:p w14:paraId="22FD61A0" w14:textId="3EB735E0" w:rsidR="007D7C9B" w:rsidRPr="007D7C9B" w:rsidRDefault="007D7C9B" w:rsidP="00BC2F17">
            <w:pPr>
              <w:spacing w:before="120" w:after="100" w:afterAutospacing="1"/>
              <w:jc w:val="center"/>
            </w:pPr>
            <w:r w:rsidRPr="007D7C9B">
              <w:t>4.6%</w:t>
            </w:r>
            <w:r w:rsidR="00BC2F17">
              <w:t xml:space="preserve"> </w:t>
            </w:r>
            <w:r w:rsidRPr="007D7C9B">
              <w:t>to 8.0%</w:t>
            </w:r>
          </w:p>
        </w:tc>
      </w:tr>
      <w:tr w:rsidR="007D7C9B" w:rsidRPr="007D7C9B" w14:paraId="3C4A38E2" w14:textId="77777777" w:rsidTr="00192AC8">
        <w:trPr>
          <w:cantSplit/>
          <w:trHeight w:val="890"/>
          <w:jc w:val="center"/>
        </w:trPr>
        <w:tc>
          <w:tcPr>
            <w:tcW w:w="1255" w:type="dxa"/>
            <w:vAlign w:val="center"/>
            <w:hideMark/>
          </w:tcPr>
          <w:p w14:paraId="5547DE5C" w14:textId="1EFDB630" w:rsidR="007D7C9B" w:rsidRPr="007D7C9B" w:rsidRDefault="007D7C9B" w:rsidP="00BC2F17">
            <w:pPr>
              <w:spacing w:before="120" w:after="100" w:afterAutospacing="1"/>
              <w:jc w:val="center"/>
              <w:rPr>
                <w:b/>
              </w:rPr>
            </w:pPr>
            <w:r w:rsidRPr="007D7C9B">
              <w:rPr>
                <w:b/>
              </w:rPr>
              <w:t>Very</w:t>
            </w:r>
            <w:r w:rsidR="007A0C13">
              <w:rPr>
                <w:b/>
                <w:bCs/>
              </w:rPr>
              <w:t xml:space="preserve"> </w:t>
            </w:r>
            <w:r w:rsidRPr="007D7C9B">
              <w:rPr>
                <w:b/>
              </w:rPr>
              <w:t>High</w:t>
            </w:r>
          </w:p>
        </w:tc>
        <w:tc>
          <w:tcPr>
            <w:tcW w:w="1530" w:type="dxa"/>
            <w:vAlign w:val="center"/>
            <w:hideMark/>
          </w:tcPr>
          <w:p w14:paraId="412A64FC" w14:textId="06431846" w:rsidR="007D7C9B" w:rsidRPr="007D7C9B" w:rsidRDefault="007D7C9B" w:rsidP="00BC2F17">
            <w:pPr>
              <w:spacing w:before="120" w:after="100" w:afterAutospacing="1"/>
              <w:jc w:val="center"/>
            </w:pPr>
            <w:r w:rsidRPr="007D7C9B">
              <w:t>6.1%</w:t>
            </w:r>
            <w:r w:rsidR="00B24956">
              <w:br/>
            </w:r>
            <w:r w:rsidR="00E15F3A">
              <w:t xml:space="preserve">or </w:t>
            </w:r>
            <w:r w:rsidR="00B24956">
              <w:br/>
            </w:r>
            <w:r w:rsidR="00E15F3A">
              <w:t>greater</w:t>
            </w:r>
          </w:p>
        </w:tc>
        <w:tc>
          <w:tcPr>
            <w:tcW w:w="1080" w:type="dxa"/>
            <w:vAlign w:val="center"/>
            <w:hideMark/>
          </w:tcPr>
          <w:p w14:paraId="1270F12A" w14:textId="78F27F0D" w:rsidR="007D7C9B" w:rsidRPr="007D7C9B" w:rsidRDefault="007D7C9B" w:rsidP="00BC2F17">
            <w:pPr>
              <w:spacing w:before="120" w:after="100" w:afterAutospacing="1"/>
              <w:jc w:val="center"/>
            </w:pPr>
            <w:r w:rsidRPr="007D7C9B">
              <w:t>12.1%</w:t>
            </w:r>
            <w:r w:rsidRPr="007D7C9B">
              <w:br/>
              <w:t>or greate</w:t>
            </w:r>
            <w:r w:rsidR="00BC2F17">
              <w:t>r</w:t>
            </w:r>
          </w:p>
        </w:tc>
        <w:tc>
          <w:tcPr>
            <w:tcW w:w="1170" w:type="dxa"/>
            <w:vAlign w:val="center"/>
            <w:hideMark/>
          </w:tcPr>
          <w:p w14:paraId="11E09507" w14:textId="04B38594" w:rsidR="007D7C9B" w:rsidRPr="007D7C9B" w:rsidRDefault="007D7C9B" w:rsidP="00BC2F17">
            <w:pPr>
              <w:spacing w:before="120" w:after="100" w:afterAutospacing="1"/>
              <w:jc w:val="center"/>
            </w:pPr>
            <w:r w:rsidRPr="007D7C9B">
              <w:t>10.1%</w:t>
            </w:r>
            <w:r w:rsidRPr="007D7C9B">
              <w:br/>
              <w:t>or greater</w:t>
            </w:r>
          </w:p>
        </w:tc>
        <w:tc>
          <w:tcPr>
            <w:tcW w:w="1530" w:type="dxa"/>
            <w:vAlign w:val="center"/>
            <w:hideMark/>
          </w:tcPr>
          <w:p w14:paraId="6FC1ECEE" w14:textId="25503E8D" w:rsidR="007D7C9B" w:rsidRPr="007D7C9B" w:rsidRDefault="007D7C9B" w:rsidP="00BC2F17">
            <w:pPr>
              <w:spacing w:before="120" w:after="100" w:afterAutospacing="1"/>
              <w:jc w:val="center"/>
            </w:pPr>
            <w:r w:rsidRPr="007D7C9B">
              <w:t>6.1%</w:t>
            </w:r>
            <w:r w:rsidR="00B24956">
              <w:br/>
            </w:r>
            <w:r w:rsidRPr="007D7C9B">
              <w:t>or</w:t>
            </w:r>
            <w:r w:rsidR="00B24956">
              <w:br/>
            </w:r>
            <w:r w:rsidRPr="007D7C9B">
              <w:t>greater</w:t>
            </w:r>
          </w:p>
        </w:tc>
        <w:tc>
          <w:tcPr>
            <w:tcW w:w="1350" w:type="dxa"/>
            <w:vAlign w:val="center"/>
            <w:hideMark/>
          </w:tcPr>
          <w:p w14:paraId="7DAB59EC" w14:textId="1A93C0C5" w:rsidR="007D7C9B" w:rsidRPr="007D7C9B" w:rsidRDefault="007D7C9B" w:rsidP="00BC2F17">
            <w:pPr>
              <w:spacing w:before="120" w:after="100" w:afterAutospacing="1"/>
              <w:jc w:val="center"/>
            </w:pPr>
            <w:r w:rsidRPr="007D7C9B">
              <w:t>9.1%</w:t>
            </w:r>
            <w:r w:rsidR="00B24956">
              <w:br/>
            </w:r>
            <w:r w:rsidRPr="007D7C9B">
              <w:t>or</w:t>
            </w:r>
            <w:r w:rsidR="00B24956">
              <w:br/>
            </w:r>
            <w:r w:rsidRPr="007D7C9B">
              <w:t>greater</w:t>
            </w:r>
          </w:p>
        </w:tc>
        <w:tc>
          <w:tcPr>
            <w:tcW w:w="1435" w:type="dxa"/>
            <w:vAlign w:val="center"/>
            <w:hideMark/>
          </w:tcPr>
          <w:p w14:paraId="31A5AF7E" w14:textId="502B7BA0" w:rsidR="007D7C9B" w:rsidRPr="007D7C9B" w:rsidRDefault="007D7C9B" w:rsidP="00BC2F17">
            <w:pPr>
              <w:spacing w:before="120" w:after="100" w:afterAutospacing="1"/>
              <w:jc w:val="center"/>
            </w:pPr>
            <w:r w:rsidRPr="007D7C9B">
              <w:t>8.1%</w:t>
            </w:r>
            <w:r w:rsidR="00B24956">
              <w:br/>
            </w:r>
            <w:r w:rsidRPr="007D7C9B">
              <w:t>or</w:t>
            </w:r>
            <w:r w:rsidR="00B24956">
              <w:br/>
            </w:r>
            <w:r w:rsidRPr="007D7C9B">
              <w:t>greater</w:t>
            </w:r>
          </w:p>
        </w:tc>
      </w:tr>
    </w:tbl>
    <w:p w14:paraId="1D130A57" w14:textId="7C0D0B65" w:rsidR="00E15F3A" w:rsidRPr="00192AC8" w:rsidRDefault="0011637A" w:rsidP="00192AC8">
      <w:pPr>
        <w:pStyle w:val="Heading3"/>
        <w:rPr>
          <w:color w:val="000000" w:themeColor="text1"/>
          <w:sz w:val="24"/>
          <w:szCs w:val="20"/>
        </w:rPr>
      </w:pPr>
      <w:r w:rsidRPr="00192AC8">
        <w:rPr>
          <w:color w:val="000000" w:themeColor="text1"/>
          <w:sz w:val="24"/>
          <w:szCs w:val="20"/>
        </w:rPr>
        <w:lastRenderedPageBreak/>
        <w:t xml:space="preserve">Table </w:t>
      </w:r>
      <w:r w:rsidR="00F926B2" w:rsidRPr="00192AC8">
        <w:rPr>
          <w:color w:val="000000" w:themeColor="text1"/>
          <w:sz w:val="24"/>
          <w:szCs w:val="20"/>
        </w:rPr>
        <w:t>17</w:t>
      </w:r>
      <w:r w:rsidRPr="00192AC8">
        <w:rPr>
          <w:color w:val="000000" w:themeColor="text1"/>
          <w:sz w:val="24"/>
          <w:szCs w:val="20"/>
        </w:rPr>
        <w:t>: Suspension Change Cut Scores</w:t>
      </w:r>
      <w:r w:rsidR="00CC0F61" w:rsidRPr="00192AC8">
        <w:rPr>
          <w:color w:val="000000" w:themeColor="text1"/>
          <w:sz w:val="24"/>
          <w:szCs w:val="20"/>
        </w:rPr>
        <w:t xml:space="preserve"> </w:t>
      </w:r>
      <w:r w:rsidR="00006948" w:rsidRPr="00192AC8">
        <w:rPr>
          <w:color w:val="000000" w:themeColor="text1"/>
          <w:sz w:val="24"/>
          <w:szCs w:val="20"/>
        </w:rPr>
        <w:t>for the Dashboard</w:t>
      </w:r>
      <w:r w:rsidR="00A10EE8" w:rsidRPr="00192AC8">
        <w:rPr>
          <w:color w:val="000000" w:themeColor="text1"/>
          <w:sz w:val="24"/>
          <w:szCs w:val="20"/>
        </w:rPr>
        <w:t xml:space="preserve"> (Adopted by the SBE in September 2016)</w:t>
      </w:r>
    </w:p>
    <w:tbl>
      <w:tblPr>
        <w:tblStyle w:val="TableTheme"/>
        <w:tblW w:w="9350" w:type="dxa"/>
        <w:tblLayout w:type="fixed"/>
        <w:tblLook w:val="04A0" w:firstRow="1" w:lastRow="0" w:firstColumn="1" w:lastColumn="0" w:noHBand="0" w:noVBand="1"/>
      </w:tblPr>
      <w:tblGrid>
        <w:gridCol w:w="1705"/>
        <w:gridCol w:w="1260"/>
        <w:gridCol w:w="1170"/>
        <w:gridCol w:w="1260"/>
        <w:gridCol w:w="1530"/>
        <w:gridCol w:w="1095"/>
        <w:gridCol w:w="1330"/>
      </w:tblGrid>
      <w:tr w:rsidR="000B0919" w:rsidRPr="000B0919" w14:paraId="3DB971AD" w14:textId="77777777" w:rsidTr="00192AC8">
        <w:trPr>
          <w:cantSplit/>
          <w:trHeight w:val="1050"/>
          <w:tblHeader/>
        </w:trPr>
        <w:tc>
          <w:tcPr>
            <w:tcW w:w="1705" w:type="dxa"/>
            <w:shd w:val="clear" w:color="auto" w:fill="E7E6E6" w:themeFill="background2"/>
            <w:hideMark/>
          </w:tcPr>
          <w:p w14:paraId="51BE472C" w14:textId="7BAC2B68" w:rsidR="000B0919" w:rsidRPr="000B0919" w:rsidRDefault="000B0919" w:rsidP="008B23D5">
            <w:pPr>
              <w:pStyle w:val="Heading3"/>
              <w:spacing w:before="0" w:after="0"/>
              <w:jc w:val="center"/>
              <w:rPr>
                <w:sz w:val="24"/>
              </w:rPr>
            </w:pPr>
            <w:r w:rsidRPr="000B0919">
              <w:rPr>
                <w:sz w:val="24"/>
              </w:rPr>
              <w:t>Change</w:t>
            </w:r>
            <w:r w:rsidR="007A0C13">
              <w:rPr>
                <w:sz w:val="24"/>
              </w:rPr>
              <w:t xml:space="preserve"> </w:t>
            </w:r>
            <w:r w:rsidRPr="000B0919">
              <w:rPr>
                <w:sz w:val="24"/>
              </w:rPr>
              <w:t>Level</w:t>
            </w:r>
          </w:p>
        </w:tc>
        <w:tc>
          <w:tcPr>
            <w:tcW w:w="1260" w:type="dxa"/>
            <w:shd w:val="clear" w:color="auto" w:fill="E7E6E6" w:themeFill="background2"/>
            <w:hideMark/>
          </w:tcPr>
          <w:p w14:paraId="0BBD3183" w14:textId="1B7B29EA" w:rsidR="000B0919" w:rsidRPr="000B0919" w:rsidRDefault="000B0919" w:rsidP="008B23D5">
            <w:pPr>
              <w:pStyle w:val="Heading3"/>
              <w:spacing w:before="0" w:after="0"/>
              <w:jc w:val="center"/>
              <w:rPr>
                <w:sz w:val="24"/>
              </w:rPr>
            </w:pPr>
            <w:r w:rsidRPr="000B0919">
              <w:rPr>
                <w:sz w:val="24"/>
              </w:rPr>
              <w:t>Elementary</w:t>
            </w:r>
            <w:r w:rsidR="007A0C13">
              <w:rPr>
                <w:bCs/>
                <w:sz w:val="24"/>
              </w:rPr>
              <w:t xml:space="preserve"> </w:t>
            </w:r>
            <w:r w:rsidRPr="000B0919">
              <w:rPr>
                <w:sz w:val="24"/>
              </w:rPr>
              <w:t>School</w:t>
            </w:r>
          </w:p>
        </w:tc>
        <w:tc>
          <w:tcPr>
            <w:tcW w:w="1170" w:type="dxa"/>
            <w:shd w:val="clear" w:color="auto" w:fill="E7E6E6" w:themeFill="background2"/>
            <w:hideMark/>
          </w:tcPr>
          <w:p w14:paraId="74212FD9" w14:textId="5F03B22C" w:rsidR="000B0919" w:rsidRPr="000B0919" w:rsidRDefault="000B0919" w:rsidP="008B23D5">
            <w:pPr>
              <w:pStyle w:val="Heading3"/>
              <w:spacing w:before="0" w:after="0"/>
              <w:jc w:val="center"/>
              <w:rPr>
                <w:sz w:val="24"/>
              </w:rPr>
            </w:pPr>
            <w:r w:rsidRPr="000B0919">
              <w:rPr>
                <w:sz w:val="24"/>
              </w:rPr>
              <w:t>Middle</w:t>
            </w:r>
            <w:r w:rsidR="007A0C13">
              <w:rPr>
                <w:bCs/>
                <w:sz w:val="24"/>
              </w:rPr>
              <w:t xml:space="preserve"> </w:t>
            </w:r>
            <w:r w:rsidRPr="000B0919">
              <w:rPr>
                <w:sz w:val="24"/>
              </w:rPr>
              <w:t>School</w:t>
            </w:r>
          </w:p>
        </w:tc>
        <w:tc>
          <w:tcPr>
            <w:tcW w:w="1260" w:type="dxa"/>
            <w:shd w:val="clear" w:color="auto" w:fill="E7E6E6" w:themeFill="background2"/>
            <w:hideMark/>
          </w:tcPr>
          <w:p w14:paraId="3835A00D" w14:textId="2BD73CB8" w:rsidR="000B0919" w:rsidRPr="000B0919" w:rsidRDefault="000B0919" w:rsidP="008B23D5">
            <w:pPr>
              <w:pStyle w:val="Heading3"/>
              <w:spacing w:before="0" w:after="0"/>
              <w:jc w:val="center"/>
              <w:rPr>
                <w:sz w:val="24"/>
              </w:rPr>
            </w:pPr>
            <w:r w:rsidRPr="000B0919">
              <w:rPr>
                <w:sz w:val="24"/>
              </w:rPr>
              <w:t>High School</w:t>
            </w:r>
          </w:p>
        </w:tc>
        <w:tc>
          <w:tcPr>
            <w:tcW w:w="1530" w:type="dxa"/>
            <w:shd w:val="clear" w:color="auto" w:fill="E7E6E6" w:themeFill="background2"/>
            <w:hideMark/>
          </w:tcPr>
          <w:p w14:paraId="7C49F540" w14:textId="0D70C28C" w:rsidR="000B0919" w:rsidRPr="000B0919" w:rsidRDefault="000B0919" w:rsidP="008B23D5">
            <w:pPr>
              <w:pStyle w:val="Heading3"/>
              <w:spacing w:before="0" w:after="0"/>
              <w:jc w:val="center"/>
              <w:rPr>
                <w:sz w:val="24"/>
              </w:rPr>
            </w:pPr>
            <w:r w:rsidRPr="000B0919">
              <w:rPr>
                <w:sz w:val="24"/>
              </w:rPr>
              <w:t>Elementary</w:t>
            </w:r>
            <w:r w:rsidR="002A10A5">
              <w:rPr>
                <w:sz w:val="24"/>
              </w:rPr>
              <w:br/>
            </w:r>
            <w:r w:rsidRPr="000B0919">
              <w:rPr>
                <w:sz w:val="24"/>
              </w:rPr>
              <w:t>District</w:t>
            </w:r>
          </w:p>
        </w:tc>
        <w:tc>
          <w:tcPr>
            <w:tcW w:w="1095" w:type="dxa"/>
            <w:shd w:val="clear" w:color="auto" w:fill="E7E6E6" w:themeFill="background2"/>
            <w:hideMark/>
          </w:tcPr>
          <w:p w14:paraId="3C5292FC" w14:textId="0C01EB27" w:rsidR="000B0919" w:rsidRPr="000B0919" w:rsidRDefault="000B0919" w:rsidP="008B23D5">
            <w:pPr>
              <w:pStyle w:val="Heading3"/>
              <w:spacing w:before="0" w:after="0"/>
              <w:jc w:val="center"/>
              <w:rPr>
                <w:sz w:val="24"/>
              </w:rPr>
            </w:pPr>
            <w:r w:rsidRPr="000B0919">
              <w:rPr>
                <w:sz w:val="24"/>
              </w:rPr>
              <w:t>High</w:t>
            </w:r>
            <w:r w:rsidR="002A10A5">
              <w:rPr>
                <w:sz w:val="24"/>
              </w:rPr>
              <w:br/>
            </w:r>
            <w:r w:rsidRPr="000B0919">
              <w:rPr>
                <w:sz w:val="24"/>
              </w:rPr>
              <w:t>School</w:t>
            </w:r>
            <w:r w:rsidR="002A10A5">
              <w:rPr>
                <w:sz w:val="24"/>
              </w:rPr>
              <w:br/>
            </w:r>
            <w:r w:rsidRPr="000B0919">
              <w:rPr>
                <w:sz w:val="24"/>
              </w:rPr>
              <w:t>District</w:t>
            </w:r>
          </w:p>
        </w:tc>
        <w:tc>
          <w:tcPr>
            <w:tcW w:w="1330" w:type="dxa"/>
            <w:shd w:val="clear" w:color="auto" w:fill="E7E6E6" w:themeFill="background2"/>
            <w:hideMark/>
          </w:tcPr>
          <w:p w14:paraId="46DD9567" w14:textId="022F998F" w:rsidR="000B0919" w:rsidRPr="000B0919" w:rsidRDefault="000B0919" w:rsidP="008B23D5">
            <w:pPr>
              <w:pStyle w:val="Heading3"/>
              <w:spacing w:before="0" w:after="0"/>
              <w:jc w:val="center"/>
              <w:rPr>
                <w:sz w:val="24"/>
              </w:rPr>
            </w:pPr>
            <w:r w:rsidRPr="000B0919">
              <w:rPr>
                <w:sz w:val="24"/>
              </w:rPr>
              <w:t>Unified</w:t>
            </w:r>
            <w:r w:rsidR="002A10A5">
              <w:rPr>
                <w:sz w:val="24"/>
              </w:rPr>
              <w:br/>
            </w:r>
            <w:r w:rsidRPr="000B0919">
              <w:rPr>
                <w:sz w:val="24"/>
              </w:rPr>
              <w:t>District or</w:t>
            </w:r>
            <w:r w:rsidR="00900D30">
              <w:rPr>
                <w:sz w:val="24"/>
              </w:rPr>
              <w:t xml:space="preserve"> </w:t>
            </w:r>
            <w:r w:rsidRPr="000B0919">
              <w:rPr>
                <w:sz w:val="24"/>
              </w:rPr>
              <w:t>K-12 School</w:t>
            </w:r>
          </w:p>
        </w:tc>
      </w:tr>
      <w:tr w:rsidR="000B0919" w:rsidRPr="000B0919" w14:paraId="0C2D25EC" w14:textId="77777777" w:rsidTr="00192AC8">
        <w:trPr>
          <w:cantSplit/>
          <w:trHeight w:val="1545"/>
        </w:trPr>
        <w:tc>
          <w:tcPr>
            <w:tcW w:w="1705" w:type="dxa"/>
            <w:hideMark/>
          </w:tcPr>
          <w:p w14:paraId="0E4ACAD9" w14:textId="5DE394DB" w:rsidR="000B0919" w:rsidRPr="001211B8" w:rsidRDefault="000B0919" w:rsidP="008B23D5">
            <w:pPr>
              <w:pStyle w:val="Heading3"/>
              <w:spacing w:before="0" w:after="0"/>
              <w:jc w:val="center"/>
              <w:rPr>
                <w:sz w:val="24"/>
              </w:rPr>
            </w:pPr>
            <w:r w:rsidRPr="001211B8">
              <w:rPr>
                <w:sz w:val="24"/>
              </w:rPr>
              <w:t>Declined</w:t>
            </w:r>
            <w:r w:rsidR="00B56DC8" w:rsidRPr="001211B8">
              <w:rPr>
                <w:sz w:val="24"/>
              </w:rPr>
              <w:br/>
            </w:r>
            <w:r w:rsidRPr="001211B8">
              <w:rPr>
                <w:sz w:val="24"/>
              </w:rPr>
              <w:t>Significantly</w:t>
            </w:r>
          </w:p>
        </w:tc>
        <w:tc>
          <w:tcPr>
            <w:tcW w:w="1260" w:type="dxa"/>
            <w:hideMark/>
          </w:tcPr>
          <w:p w14:paraId="6654A7DE" w14:textId="4894014A" w:rsidR="000B0919" w:rsidRPr="000B0919" w:rsidRDefault="000B0919" w:rsidP="008B23D5">
            <w:pPr>
              <w:pStyle w:val="Heading3"/>
              <w:spacing w:before="0" w:after="0"/>
              <w:jc w:val="center"/>
              <w:rPr>
                <w:b w:val="0"/>
                <w:sz w:val="24"/>
              </w:rPr>
            </w:pPr>
            <w:r w:rsidRPr="000B0919">
              <w:rPr>
                <w:b w:val="0"/>
                <w:sz w:val="24"/>
              </w:rPr>
              <w:t>by 1.0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170" w:type="dxa"/>
            <w:hideMark/>
          </w:tcPr>
          <w:p w14:paraId="58B8E2F6" w14:textId="141B4D1F" w:rsidR="000B0919" w:rsidRPr="000B0919" w:rsidRDefault="000B0919" w:rsidP="008B23D5">
            <w:pPr>
              <w:pStyle w:val="Heading3"/>
              <w:spacing w:before="0" w:after="0"/>
              <w:jc w:val="center"/>
              <w:rPr>
                <w:b w:val="0"/>
                <w:sz w:val="24"/>
              </w:rPr>
            </w:pPr>
            <w:r w:rsidRPr="000B0919">
              <w:rPr>
                <w:b w:val="0"/>
                <w:sz w:val="24"/>
              </w:rPr>
              <w:t>by 3.0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260" w:type="dxa"/>
            <w:hideMark/>
          </w:tcPr>
          <w:p w14:paraId="47E7E61C" w14:textId="67DF343C" w:rsidR="000B0919" w:rsidRPr="000B0919" w:rsidRDefault="000B0919" w:rsidP="008B23D5">
            <w:pPr>
              <w:pStyle w:val="Heading3"/>
              <w:spacing w:before="0" w:after="0"/>
              <w:jc w:val="center"/>
              <w:rPr>
                <w:b w:val="0"/>
                <w:sz w:val="24"/>
              </w:rPr>
            </w:pPr>
            <w:r w:rsidRPr="000B0919">
              <w:rPr>
                <w:b w:val="0"/>
                <w:sz w:val="24"/>
              </w:rPr>
              <w:t>by 2.0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530" w:type="dxa"/>
            <w:hideMark/>
          </w:tcPr>
          <w:p w14:paraId="2673ABD9" w14:textId="7453B278" w:rsidR="000B0919" w:rsidRPr="000B0919" w:rsidRDefault="000B0919" w:rsidP="008B23D5">
            <w:pPr>
              <w:pStyle w:val="Heading3"/>
              <w:spacing w:before="0" w:after="0"/>
              <w:jc w:val="center"/>
              <w:rPr>
                <w:b w:val="0"/>
                <w:sz w:val="24"/>
              </w:rPr>
            </w:pPr>
            <w:r w:rsidRPr="000B0919">
              <w:rPr>
                <w:b w:val="0"/>
                <w:sz w:val="24"/>
              </w:rPr>
              <w:t>by 2.0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095" w:type="dxa"/>
            <w:hideMark/>
          </w:tcPr>
          <w:p w14:paraId="3E9457FC" w14:textId="2709B657" w:rsidR="000B0919" w:rsidRPr="000B0919" w:rsidRDefault="000B0919" w:rsidP="008B23D5">
            <w:pPr>
              <w:pStyle w:val="Heading3"/>
              <w:spacing w:before="0" w:after="0"/>
              <w:jc w:val="center"/>
              <w:rPr>
                <w:b w:val="0"/>
                <w:sz w:val="24"/>
              </w:rPr>
            </w:pPr>
            <w:r w:rsidRPr="000B0919">
              <w:rPr>
                <w:b w:val="0"/>
                <w:sz w:val="24"/>
              </w:rPr>
              <w:t>by 3.0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330" w:type="dxa"/>
            <w:hideMark/>
          </w:tcPr>
          <w:p w14:paraId="5C002235" w14:textId="10FC6E40" w:rsidR="000B0919" w:rsidRPr="000B0919" w:rsidRDefault="000B0919" w:rsidP="008B23D5">
            <w:pPr>
              <w:pStyle w:val="Heading3"/>
              <w:spacing w:before="0" w:after="0"/>
              <w:jc w:val="center"/>
              <w:rPr>
                <w:b w:val="0"/>
                <w:sz w:val="24"/>
              </w:rPr>
            </w:pPr>
            <w:r w:rsidRPr="000B0919">
              <w:rPr>
                <w:b w:val="0"/>
                <w:sz w:val="24"/>
              </w:rPr>
              <w:t>by 2.0</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r>
      <w:tr w:rsidR="000B0919" w:rsidRPr="000B0919" w14:paraId="7557A22F" w14:textId="77777777" w:rsidTr="00192AC8">
        <w:trPr>
          <w:cantSplit/>
          <w:trHeight w:val="1545"/>
        </w:trPr>
        <w:tc>
          <w:tcPr>
            <w:tcW w:w="1705" w:type="dxa"/>
            <w:shd w:val="clear" w:color="auto" w:fill="E7E6E6" w:themeFill="background2"/>
            <w:hideMark/>
          </w:tcPr>
          <w:p w14:paraId="3B1479F8" w14:textId="7ED26F8B" w:rsidR="000B0919" w:rsidRPr="000B0919" w:rsidRDefault="000B0919" w:rsidP="008B23D5">
            <w:pPr>
              <w:pStyle w:val="Heading3"/>
              <w:spacing w:before="0" w:after="0"/>
              <w:jc w:val="center"/>
              <w:rPr>
                <w:sz w:val="24"/>
              </w:rPr>
            </w:pPr>
            <w:r w:rsidRPr="000B0919">
              <w:rPr>
                <w:sz w:val="24"/>
              </w:rPr>
              <w:t>Declined</w:t>
            </w:r>
          </w:p>
        </w:tc>
        <w:tc>
          <w:tcPr>
            <w:tcW w:w="1260" w:type="dxa"/>
            <w:shd w:val="clear" w:color="auto" w:fill="E7E6E6" w:themeFill="background2"/>
            <w:hideMark/>
          </w:tcPr>
          <w:p w14:paraId="1B97F184" w14:textId="686EFF27"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0.9</w:t>
            </w:r>
            <w:r w:rsidR="001211B8">
              <w:rPr>
                <w:b w:val="0"/>
                <w:sz w:val="24"/>
              </w:rPr>
              <w:t xml:space="preserve"> </w:t>
            </w:r>
            <w:proofErr w:type="spellStart"/>
            <w:r w:rsidRPr="000B0919">
              <w:rPr>
                <w:b w:val="0"/>
                <w:sz w:val="24"/>
              </w:rPr>
              <w:t>p.pt</w:t>
            </w:r>
            <w:r w:rsidR="001211B8">
              <w:rPr>
                <w:b w:val="0"/>
                <w:sz w:val="24"/>
              </w:rPr>
              <w:t>s</w:t>
            </w:r>
            <w:proofErr w:type="spellEnd"/>
          </w:p>
        </w:tc>
        <w:tc>
          <w:tcPr>
            <w:tcW w:w="1170" w:type="dxa"/>
            <w:shd w:val="clear" w:color="auto" w:fill="E7E6E6" w:themeFill="background2"/>
            <w:hideMark/>
          </w:tcPr>
          <w:p w14:paraId="2F19274D" w14:textId="5660CE93"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2.9</w:t>
            </w:r>
            <w:r w:rsidR="001211B8">
              <w:rPr>
                <w:b w:val="0"/>
                <w:sz w:val="24"/>
              </w:rPr>
              <w:t xml:space="preserve"> </w:t>
            </w:r>
            <w:proofErr w:type="spellStart"/>
            <w:r w:rsidRPr="000B0919">
              <w:rPr>
                <w:b w:val="0"/>
                <w:sz w:val="24"/>
              </w:rPr>
              <w:t>p.pts</w:t>
            </w:r>
            <w:proofErr w:type="spellEnd"/>
          </w:p>
        </w:tc>
        <w:tc>
          <w:tcPr>
            <w:tcW w:w="1260" w:type="dxa"/>
            <w:shd w:val="clear" w:color="auto" w:fill="E7E6E6" w:themeFill="background2"/>
            <w:hideMark/>
          </w:tcPr>
          <w:p w14:paraId="73058059" w14:textId="6CB0EFCD"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1.9</w:t>
            </w:r>
            <w:r w:rsidR="001211B8">
              <w:rPr>
                <w:b w:val="0"/>
                <w:sz w:val="24"/>
              </w:rPr>
              <w:t xml:space="preserve"> </w:t>
            </w:r>
            <w:proofErr w:type="spellStart"/>
            <w:r w:rsidRPr="000B0919">
              <w:rPr>
                <w:b w:val="0"/>
                <w:sz w:val="24"/>
              </w:rPr>
              <w:t>p.pts</w:t>
            </w:r>
            <w:proofErr w:type="spellEnd"/>
          </w:p>
        </w:tc>
        <w:tc>
          <w:tcPr>
            <w:tcW w:w="1530" w:type="dxa"/>
            <w:shd w:val="clear" w:color="auto" w:fill="E7E6E6" w:themeFill="background2"/>
            <w:hideMark/>
          </w:tcPr>
          <w:p w14:paraId="3519CC32" w14:textId="4902F3B5"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1.9</w:t>
            </w:r>
            <w:r w:rsidR="001211B8">
              <w:rPr>
                <w:b w:val="0"/>
                <w:sz w:val="24"/>
              </w:rPr>
              <w:t xml:space="preserve"> </w:t>
            </w:r>
            <w:proofErr w:type="spellStart"/>
            <w:r w:rsidRPr="000B0919">
              <w:rPr>
                <w:b w:val="0"/>
                <w:sz w:val="24"/>
              </w:rPr>
              <w:t>p.pts</w:t>
            </w:r>
            <w:proofErr w:type="spellEnd"/>
          </w:p>
        </w:tc>
        <w:tc>
          <w:tcPr>
            <w:tcW w:w="1095" w:type="dxa"/>
            <w:shd w:val="clear" w:color="auto" w:fill="E7E6E6" w:themeFill="background2"/>
            <w:hideMark/>
          </w:tcPr>
          <w:p w14:paraId="39BB695D" w14:textId="607B7DA2" w:rsidR="000B0919" w:rsidRPr="000B0919" w:rsidRDefault="000B0919" w:rsidP="008B23D5">
            <w:pPr>
              <w:pStyle w:val="Heading3"/>
              <w:spacing w:before="0" w:after="0"/>
              <w:jc w:val="center"/>
              <w:rPr>
                <w:b w:val="0"/>
                <w:sz w:val="24"/>
              </w:rPr>
            </w:pPr>
            <w:r w:rsidRPr="000B0919">
              <w:rPr>
                <w:b w:val="0"/>
                <w:sz w:val="24"/>
              </w:rPr>
              <w:t>by 0.5</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2.9</w:t>
            </w:r>
            <w:r w:rsidR="001211B8">
              <w:rPr>
                <w:b w:val="0"/>
                <w:sz w:val="24"/>
              </w:rPr>
              <w:t xml:space="preserve"> </w:t>
            </w:r>
            <w:proofErr w:type="spellStart"/>
            <w:r w:rsidRPr="000B0919">
              <w:rPr>
                <w:b w:val="0"/>
                <w:sz w:val="24"/>
              </w:rPr>
              <w:t>p.pts</w:t>
            </w:r>
            <w:proofErr w:type="spellEnd"/>
          </w:p>
        </w:tc>
        <w:tc>
          <w:tcPr>
            <w:tcW w:w="1330" w:type="dxa"/>
            <w:shd w:val="clear" w:color="auto" w:fill="E7E6E6" w:themeFill="background2"/>
            <w:hideMark/>
          </w:tcPr>
          <w:p w14:paraId="65C5EE66" w14:textId="1E60FC67"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95CA6">
              <w:rPr>
                <w:b w:val="0"/>
                <w:sz w:val="24"/>
              </w:rPr>
              <w:br/>
            </w:r>
            <w:r w:rsidRPr="000B0919">
              <w:rPr>
                <w:b w:val="0"/>
                <w:sz w:val="24"/>
              </w:rPr>
              <w:t>to</w:t>
            </w:r>
            <w:r w:rsidR="001211B8">
              <w:rPr>
                <w:b w:val="0"/>
                <w:sz w:val="24"/>
              </w:rPr>
              <w:t xml:space="preserve"> </w:t>
            </w:r>
            <w:r w:rsidRPr="000B0919">
              <w:rPr>
                <w:b w:val="0"/>
                <w:sz w:val="24"/>
              </w:rPr>
              <w:t>1.9</w:t>
            </w:r>
            <w:r w:rsidR="001211B8">
              <w:rPr>
                <w:b w:val="0"/>
                <w:sz w:val="24"/>
              </w:rPr>
              <w:t xml:space="preserve"> </w:t>
            </w:r>
            <w:proofErr w:type="spellStart"/>
            <w:r w:rsidRPr="000B0919">
              <w:rPr>
                <w:b w:val="0"/>
                <w:sz w:val="24"/>
              </w:rPr>
              <w:t>p.pts</w:t>
            </w:r>
            <w:proofErr w:type="spellEnd"/>
          </w:p>
        </w:tc>
      </w:tr>
      <w:tr w:rsidR="000B0919" w:rsidRPr="000B0919" w14:paraId="48EBD38E" w14:textId="77777777" w:rsidTr="00192AC8">
        <w:trPr>
          <w:cantSplit/>
          <w:trHeight w:val="1845"/>
        </w:trPr>
        <w:tc>
          <w:tcPr>
            <w:tcW w:w="1705" w:type="dxa"/>
            <w:hideMark/>
          </w:tcPr>
          <w:p w14:paraId="3DF5CAD4" w14:textId="6A0E2D77" w:rsidR="000B0919" w:rsidRPr="000B0919" w:rsidRDefault="000B0919" w:rsidP="008B23D5">
            <w:pPr>
              <w:pStyle w:val="Heading3"/>
              <w:spacing w:before="0" w:after="0"/>
              <w:jc w:val="center"/>
              <w:rPr>
                <w:sz w:val="24"/>
              </w:rPr>
            </w:pPr>
            <w:r w:rsidRPr="000B0919">
              <w:rPr>
                <w:sz w:val="24"/>
              </w:rPr>
              <w:t>Maintain</w:t>
            </w:r>
          </w:p>
        </w:tc>
        <w:tc>
          <w:tcPr>
            <w:tcW w:w="1260" w:type="dxa"/>
            <w:hideMark/>
          </w:tcPr>
          <w:p w14:paraId="1972F445" w14:textId="4585FE15"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0.2</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c>
          <w:tcPr>
            <w:tcW w:w="1170" w:type="dxa"/>
            <w:hideMark/>
          </w:tcPr>
          <w:p w14:paraId="6A11B8F4" w14:textId="029FD961"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0.2</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c>
          <w:tcPr>
            <w:tcW w:w="1260" w:type="dxa"/>
            <w:hideMark/>
          </w:tcPr>
          <w:p w14:paraId="44F16A31" w14:textId="6E844A6E"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0.2</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c>
          <w:tcPr>
            <w:tcW w:w="1530" w:type="dxa"/>
            <w:hideMark/>
          </w:tcPr>
          <w:p w14:paraId="7C83B5CF" w14:textId="71BFEA94"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0.2</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c>
          <w:tcPr>
            <w:tcW w:w="1095" w:type="dxa"/>
            <w:hideMark/>
          </w:tcPr>
          <w:p w14:paraId="63E2C87F" w14:textId="39F39300"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0.4</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c>
          <w:tcPr>
            <w:tcW w:w="1330" w:type="dxa"/>
            <w:hideMark/>
          </w:tcPr>
          <w:p w14:paraId="0E32AB8C" w14:textId="324E5C08" w:rsidR="000B0919" w:rsidRPr="000B0919" w:rsidRDefault="000B0919" w:rsidP="008B23D5">
            <w:pPr>
              <w:pStyle w:val="Heading3"/>
              <w:spacing w:before="0" w:after="0"/>
              <w:jc w:val="center"/>
              <w:rPr>
                <w:b w:val="0"/>
                <w:sz w:val="24"/>
              </w:rPr>
            </w:pPr>
            <w:r w:rsidRPr="000B0919">
              <w:rPr>
                <w:b w:val="0"/>
                <w:sz w:val="24"/>
              </w:rPr>
              <w:t>declined or</w:t>
            </w:r>
            <w:r w:rsidRPr="000B0919">
              <w:rPr>
                <w:b w:val="0"/>
                <w:sz w:val="24"/>
              </w:rPr>
              <w:br/>
              <w:t>increased by</w:t>
            </w:r>
            <w:r w:rsidR="001211B8">
              <w:rPr>
                <w:b w:val="0"/>
                <w:sz w:val="24"/>
              </w:rPr>
              <w:t xml:space="preserve"> </w:t>
            </w:r>
            <w:r w:rsidRPr="000B0919">
              <w:rPr>
                <w:b w:val="0"/>
                <w:sz w:val="24"/>
              </w:rPr>
              <w:t>0.2</w:t>
            </w:r>
            <w:r w:rsidR="00A95CA6">
              <w:rPr>
                <w:b w:val="0"/>
                <w:sz w:val="24"/>
              </w:rPr>
              <w:br/>
            </w:r>
            <w:proofErr w:type="spellStart"/>
            <w:r w:rsidRPr="000B0919">
              <w:rPr>
                <w:b w:val="0"/>
                <w:sz w:val="24"/>
              </w:rPr>
              <w:t>p.pts</w:t>
            </w:r>
            <w:proofErr w:type="spellEnd"/>
            <w:r w:rsidR="001211B8">
              <w:rPr>
                <w:b w:val="0"/>
                <w:sz w:val="24"/>
              </w:rPr>
              <w:t xml:space="preserve"> </w:t>
            </w:r>
            <w:r w:rsidRPr="000B0919">
              <w:rPr>
                <w:b w:val="0"/>
                <w:sz w:val="24"/>
              </w:rPr>
              <w:t>or</w:t>
            </w:r>
            <w:r w:rsidR="00A95CA6">
              <w:rPr>
                <w:b w:val="0"/>
                <w:sz w:val="24"/>
              </w:rPr>
              <w:br/>
            </w:r>
            <w:r w:rsidRPr="000B0919">
              <w:rPr>
                <w:b w:val="0"/>
                <w:sz w:val="24"/>
              </w:rPr>
              <w:t>fewer</w:t>
            </w:r>
          </w:p>
        </w:tc>
      </w:tr>
      <w:tr w:rsidR="000B0919" w:rsidRPr="000B0919" w14:paraId="729BF8CD" w14:textId="77777777" w:rsidTr="00192AC8">
        <w:trPr>
          <w:cantSplit/>
          <w:trHeight w:val="1260"/>
        </w:trPr>
        <w:tc>
          <w:tcPr>
            <w:tcW w:w="1705" w:type="dxa"/>
            <w:shd w:val="clear" w:color="auto" w:fill="E7E6E6" w:themeFill="background2"/>
            <w:hideMark/>
          </w:tcPr>
          <w:p w14:paraId="1A1FC32F" w14:textId="3CF325BE" w:rsidR="000B0919" w:rsidRPr="000B0919" w:rsidRDefault="000B0919" w:rsidP="008B23D5">
            <w:pPr>
              <w:pStyle w:val="Heading3"/>
              <w:spacing w:before="0" w:after="0"/>
              <w:jc w:val="center"/>
              <w:rPr>
                <w:sz w:val="24"/>
              </w:rPr>
            </w:pPr>
            <w:r w:rsidRPr="000B0919">
              <w:rPr>
                <w:sz w:val="24"/>
              </w:rPr>
              <w:t>Increased</w:t>
            </w:r>
          </w:p>
        </w:tc>
        <w:tc>
          <w:tcPr>
            <w:tcW w:w="1260" w:type="dxa"/>
            <w:shd w:val="clear" w:color="auto" w:fill="E7E6E6" w:themeFill="background2"/>
            <w:hideMark/>
          </w:tcPr>
          <w:p w14:paraId="4F8F9852" w14:textId="7B739FE6" w:rsidR="000B0919" w:rsidRPr="000B0919" w:rsidRDefault="000B0919" w:rsidP="008B23D5">
            <w:pPr>
              <w:pStyle w:val="Heading3"/>
              <w:spacing w:before="0" w:after="0"/>
              <w:jc w:val="center"/>
              <w:rPr>
                <w:b w:val="0"/>
                <w:sz w:val="24"/>
              </w:rPr>
            </w:pPr>
            <w:r w:rsidRPr="000B0919">
              <w:rPr>
                <w:b w:val="0"/>
                <w:sz w:val="24"/>
              </w:rPr>
              <w:t>by 0.3 to</w:t>
            </w:r>
            <w:r w:rsidR="001211B8">
              <w:rPr>
                <w:b w:val="0"/>
                <w:sz w:val="24"/>
              </w:rPr>
              <w:t xml:space="preserve"> </w:t>
            </w:r>
            <w:r w:rsidRPr="000B0919">
              <w:rPr>
                <w:b w:val="0"/>
                <w:sz w:val="24"/>
              </w:rPr>
              <w:t>2.0</w:t>
            </w:r>
            <w:r w:rsidR="00A10EE8">
              <w:rPr>
                <w:b w:val="0"/>
                <w:sz w:val="24"/>
              </w:rPr>
              <w:br/>
            </w:r>
            <w:proofErr w:type="spellStart"/>
            <w:r w:rsidRPr="000B0919">
              <w:rPr>
                <w:b w:val="0"/>
                <w:sz w:val="24"/>
              </w:rPr>
              <w:t>p.pts</w:t>
            </w:r>
            <w:proofErr w:type="spellEnd"/>
          </w:p>
        </w:tc>
        <w:tc>
          <w:tcPr>
            <w:tcW w:w="1170" w:type="dxa"/>
            <w:shd w:val="clear" w:color="auto" w:fill="E7E6E6" w:themeFill="background2"/>
            <w:hideMark/>
          </w:tcPr>
          <w:p w14:paraId="52D36F1C" w14:textId="699AFDB7"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10EE8">
              <w:rPr>
                <w:b w:val="0"/>
                <w:sz w:val="24"/>
              </w:rPr>
              <w:br/>
            </w:r>
            <w:r w:rsidRPr="000B0919">
              <w:rPr>
                <w:b w:val="0"/>
                <w:sz w:val="24"/>
              </w:rPr>
              <w:t>to</w:t>
            </w:r>
            <w:r w:rsidR="001211B8">
              <w:rPr>
                <w:b w:val="0"/>
                <w:sz w:val="24"/>
              </w:rPr>
              <w:t xml:space="preserve"> </w:t>
            </w:r>
            <w:r w:rsidRPr="000B0919">
              <w:rPr>
                <w:b w:val="0"/>
                <w:sz w:val="24"/>
              </w:rPr>
              <w:t>4.0</w:t>
            </w:r>
            <w:r w:rsidR="00A10EE8">
              <w:rPr>
                <w:b w:val="0"/>
                <w:sz w:val="24"/>
              </w:rPr>
              <w:br/>
            </w:r>
            <w:proofErr w:type="spellStart"/>
            <w:r w:rsidRPr="000B0919">
              <w:rPr>
                <w:b w:val="0"/>
                <w:sz w:val="24"/>
              </w:rPr>
              <w:t>p.pts</w:t>
            </w:r>
            <w:proofErr w:type="spellEnd"/>
          </w:p>
        </w:tc>
        <w:tc>
          <w:tcPr>
            <w:tcW w:w="1260" w:type="dxa"/>
            <w:shd w:val="clear" w:color="auto" w:fill="E7E6E6" w:themeFill="background2"/>
            <w:hideMark/>
          </w:tcPr>
          <w:p w14:paraId="145A5F8A" w14:textId="341275F3"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10EE8">
              <w:rPr>
                <w:b w:val="0"/>
                <w:sz w:val="24"/>
              </w:rPr>
              <w:br/>
            </w:r>
            <w:r w:rsidRPr="000B0919">
              <w:rPr>
                <w:b w:val="0"/>
                <w:sz w:val="24"/>
              </w:rPr>
              <w:t>to</w:t>
            </w:r>
            <w:r w:rsidR="001211B8">
              <w:rPr>
                <w:b w:val="0"/>
                <w:sz w:val="24"/>
              </w:rPr>
              <w:t xml:space="preserve"> </w:t>
            </w:r>
            <w:r w:rsidRPr="000B0919">
              <w:rPr>
                <w:b w:val="0"/>
                <w:sz w:val="24"/>
              </w:rPr>
              <w:t>3.0</w:t>
            </w:r>
            <w:r w:rsidR="00A10EE8">
              <w:rPr>
                <w:b w:val="0"/>
                <w:sz w:val="24"/>
              </w:rPr>
              <w:br/>
            </w:r>
            <w:proofErr w:type="spellStart"/>
            <w:r w:rsidRPr="000B0919">
              <w:rPr>
                <w:b w:val="0"/>
                <w:sz w:val="24"/>
              </w:rPr>
              <w:t>p.pts</w:t>
            </w:r>
            <w:proofErr w:type="spellEnd"/>
          </w:p>
        </w:tc>
        <w:tc>
          <w:tcPr>
            <w:tcW w:w="1530" w:type="dxa"/>
            <w:shd w:val="clear" w:color="auto" w:fill="E7E6E6" w:themeFill="background2"/>
            <w:hideMark/>
          </w:tcPr>
          <w:p w14:paraId="6A0FE6DB" w14:textId="6F2B31A4"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10EE8">
              <w:rPr>
                <w:b w:val="0"/>
                <w:sz w:val="24"/>
              </w:rPr>
              <w:br/>
            </w:r>
            <w:r w:rsidRPr="000B0919">
              <w:rPr>
                <w:b w:val="0"/>
                <w:sz w:val="24"/>
              </w:rPr>
              <w:t>to</w:t>
            </w:r>
            <w:r w:rsidR="001211B8">
              <w:rPr>
                <w:b w:val="0"/>
                <w:sz w:val="24"/>
              </w:rPr>
              <w:t xml:space="preserve"> </w:t>
            </w:r>
            <w:r w:rsidRPr="000B0919">
              <w:rPr>
                <w:b w:val="0"/>
                <w:sz w:val="24"/>
              </w:rPr>
              <w:t>2.0</w:t>
            </w:r>
            <w:r w:rsidR="00A10EE8">
              <w:rPr>
                <w:b w:val="0"/>
                <w:sz w:val="24"/>
              </w:rPr>
              <w:br/>
            </w:r>
            <w:proofErr w:type="spellStart"/>
            <w:r w:rsidRPr="000B0919">
              <w:rPr>
                <w:b w:val="0"/>
                <w:sz w:val="24"/>
              </w:rPr>
              <w:t>p.pts</w:t>
            </w:r>
            <w:proofErr w:type="spellEnd"/>
          </w:p>
        </w:tc>
        <w:tc>
          <w:tcPr>
            <w:tcW w:w="1095" w:type="dxa"/>
            <w:shd w:val="clear" w:color="auto" w:fill="E7E6E6" w:themeFill="background2"/>
            <w:hideMark/>
          </w:tcPr>
          <w:p w14:paraId="7F184276" w14:textId="2EB1C3AD" w:rsidR="000B0919" w:rsidRPr="000B0919" w:rsidRDefault="000B0919" w:rsidP="008B23D5">
            <w:pPr>
              <w:pStyle w:val="Heading3"/>
              <w:spacing w:before="0" w:after="0"/>
              <w:jc w:val="center"/>
              <w:rPr>
                <w:b w:val="0"/>
                <w:sz w:val="24"/>
              </w:rPr>
            </w:pPr>
            <w:r w:rsidRPr="000B0919">
              <w:rPr>
                <w:b w:val="0"/>
                <w:sz w:val="24"/>
              </w:rPr>
              <w:t>by 0.5</w:t>
            </w:r>
            <w:r w:rsidR="001211B8">
              <w:rPr>
                <w:b w:val="0"/>
                <w:sz w:val="24"/>
              </w:rPr>
              <w:t xml:space="preserve"> </w:t>
            </w:r>
            <w:proofErr w:type="spellStart"/>
            <w:r w:rsidRPr="000B0919">
              <w:rPr>
                <w:b w:val="0"/>
                <w:sz w:val="24"/>
              </w:rPr>
              <w:t>p.pts</w:t>
            </w:r>
            <w:proofErr w:type="spellEnd"/>
            <w:r w:rsidR="00A10EE8">
              <w:rPr>
                <w:b w:val="0"/>
                <w:sz w:val="24"/>
              </w:rPr>
              <w:br/>
            </w:r>
            <w:r w:rsidRPr="000B0919">
              <w:rPr>
                <w:b w:val="0"/>
                <w:sz w:val="24"/>
              </w:rPr>
              <w:t>to</w:t>
            </w:r>
            <w:r w:rsidR="001211B8">
              <w:rPr>
                <w:b w:val="0"/>
                <w:sz w:val="24"/>
              </w:rPr>
              <w:t xml:space="preserve"> </w:t>
            </w:r>
            <w:r w:rsidRPr="000B0919">
              <w:rPr>
                <w:b w:val="0"/>
                <w:sz w:val="24"/>
              </w:rPr>
              <w:t>3.0</w:t>
            </w:r>
            <w:r w:rsidR="00A10EE8">
              <w:rPr>
                <w:b w:val="0"/>
                <w:sz w:val="24"/>
              </w:rPr>
              <w:br/>
            </w:r>
            <w:proofErr w:type="spellStart"/>
            <w:r w:rsidRPr="000B0919">
              <w:rPr>
                <w:b w:val="0"/>
                <w:sz w:val="24"/>
              </w:rPr>
              <w:t>p.pts</w:t>
            </w:r>
            <w:proofErr w:type="spellEnd"/>
          </w:p>
        </w:tc>
        <w:tc>
          <w:tcPr>
            <w:tcW w:w="1330" w:type="dxa"/>
            <w:shd w:val="clear" w:color="auto" w:fill="E7E6E6" w:themeFill="background2"/>
            <w:hideMark/>
          </w:tcPr>
          <w:p w14:paraId="60BAA014" w14:textId="16A49FB3" w:rsidR="000B0919" w:rsidRPr="000B0919" w:rsidRDefault="000B0919" w:rsidP="008B23D5">
            <w:pPr>
              <w:pStyle w:val="Heading3"/>
              <w:spacing w:before="0" w:after="0"/>
              <w:jc w:val="center"/>
              <w:rPr>
                <w:b w:val="0"/>
                <w:sz w:val="24"/>
              </w:rPr>
            </w:pPr>
            <w:r w:rsidRPr="000B0919">
              <w:rPr>
                <w:b w:val="0"/>
                <w:sz w:val="24"/>
              </w:rPr>
              <w:t>by 0.3</w:t>
            </w:r>
            <w:r w:rsidR="001211B8">
              <w:rPr>
                <w:b w:val="0"/>
                <w:sz w:val="24"/>
              </w:rPr>
              <w:t xml:space="preserve"> </w:t>
            </w:r>
            <w:proofErr w:type="spellStart"/>
            <w:r w:rsidRPr="000B0919">
              <w:rPr>
                <w:b w:val="0"/>
                <w:sz w:val="24"/>
              </w:rPr>
              <w:t>p.pts</w:t>
            </w:r>
            <w:proofErr w:type="spellEnd"/>
            <w:r w:rsidR="00A10EE8">
              <w:rPr>
                <w:b w:val="0"/>
                <w:sz w:val="24"/>
              </w:rPr>
              <w:br/>
            </w:r>
            <w:r w:rsidRPr="000B0919">
              <w:rPr>
                <w:b w:val="0"/>
                <w:sz w:val="24"/>
              </w:rPr>
              <w:t>to</w:t>
            </w:r>
            <w:r w:rsidR="001211B8">
              <w:rPr>
                <w:b w:val="0"/>
                <w:sz w:val="24"/>
              </w:rPr>
              <w:t xml:space="preserve"> </w:t>
            </w:r>
            <w:r w:rsidRPr="000B0919">
              <w:rPr>
                <w:b w:val="0"/>
                <w:sz w:val="24"/>
              </w:rPr>
              <w:t>2.0</w:t>
            </w:r>
            <w:r w:rsidR="00A10EE8">
              <w:rPr>
                <w:b w:val="0"/>
                <w:sz w:val="24"/>
              </w:rPr>
              <w:br/>
            </w:r>
            <w:proofErr w:type="spellStart"/>
            <w:r w:rsidRPr="000B0919">
              <w:rPr>
                <w:b w:val="0"/>
                <w:sz w:val="24"/>
              </w:rPr>
              <w:t>p.pts</w:t>
            </w:r>
            <w:proofErr w:type="spellEnd"/>
          </w:p>
        </w:tc>
      </w:tr>
      <w:tr w:rsidR="000B0919" w:rsidRPr="000B0919" w14:paraId="01FCD99F" w14:textId="77777777" w:rsidTr="00192AC8">
        <w:trPr>
          <w:cantSplit/>
          <w:trHeight w:val="1545"/>
        </w:trPr>
        <w:tc>
          <w:tcPr>
            <w:tcW w:w="1705" w:type="dxa"/>
            <w:hideMark/>
          </w:tcPr>
          <w:p w14:paraId="64A4D2FF" w14:textId="7E1C843E" w:rsidR="000B0919" w:rsidRPr="000B0919" w:rsidRDefault="000B0919" w:rsidP="008B23D5">
            <w:pPr>
              <w:pStyle w:val="Heading3"/>
              <w:spacing w:before="0" w:after="0"/>
              <w:jc w:val="center"/>
              <w:rPr>
                <w:sz w:val="24"/>
              </w:rPr>
            </w:pPr>
            <w:r w:rsidRPr="000B0919">
              <w:rPr>
                <w:sz w:val="24"/>
              </w:rPr>
              <w:t>Increased</w:t>
            </w:r>
            <w:r w:rsidR="00900D30">
              <w:rPr>
                <w:sz w:val="24"/>
              </w:rPr>
              <w:t xml:space="preserve"> </w:t>
            </w:r>
            <w:r w:rsidRPr="000B0919">
              <w:rPr>
                <w:sz w:val="24"/>
              </w:rPr>
              <w:t>Significantly</w:t>
            </w:r>
          </w:p>
        </w:tc>
        <w:tc>
          <w:tcPr>
            <w:tcW w:w="1260" w:type="dxa"/>
            <w:hideMark/>
          </w:tcPr>
          <w:p w14:paraId="223F6AAA" w14:textId="2C524B8E" w:rsidR="000B0919" w:rsidRPr="000B0919" w:rsidRDefault="000B0919" w:rsidP="008B23D5">
            <w:pPr>
              <w:pStyle w:val="Heading3"/>
              <w:spacing w:before="0" w:after="0"/>
              <w:jc w:val="center"/>
              <w:rPr>
                <w:b w:val="0"/>
                <w:sz w:val="24"/>
              </w:rPr>
            </w:pPr>
            <w:r w:rsidRPr="000B0919">
              <w:rPr>
                <w:b w:val="0"/>
                <w:sz w:val="24"/>
              </w:rPr>
              <w:t>by 2.1</w:t>
            </w:r>
            <w:r w:rsidR="00900D30">
              <w:rPr>
                <w:b w:val="0"/>
                <w:sz w:val="24"/>
              </w:rPr>
              <w:t xml:space="preserve"> </w:t>
            </w:r>
            <w:proofErr w:type="spellStart"/>
            <w:r w:rsidRPr="000B0919">
              <w:rPr>
                <w:b w:val="0"/>
                <w:sz w:val="24"/>
              </w:rPr>
              <w:t>p.pts</w:t>
            </w:r>
            <w:proofErr w:type="spellEnd"/>
            <w:r w:rsidR="00900D30">
              <w:rPr>
                <w:b w:val="0"/>
                <w:sz w:val="24"/>
              </w:rPr>
              <w:t xml:space="preserve"> </w:t>
            </w:r>
            <w:r w:rsidRPr="000B0919">
              <w:rPr>
                <w:b w:val="0"/>
                <w:sz w:val="24"/>
              </w:rPr>
              <w:t>or</w:t>
            </w:r>
            <w:r w:rsidR="001211B8">
              <w:rPr>
                <w:b w:val="0"/>
                <w:sz w:val="24"/>
              </w:rPr>
              <w:t xml:space="preserve"> </w:t>
            </w:r>
            <w:r w:rsidRPr="000B0919">
              <w:rPr>
                <w:b w:val="0"/>
                <w:sz w:val="24"/>
              </w:rPr>
              <w:t>more</w:t>
            </w:r>
          </w:p>
        </w:tc>
        <w:tc>
          <w:tcPr>
            <w:tcW w:w="1170" w:type="dxa"/>
            <w:hideMark/>
          </w:tcPr>
          <w:p w14:paraId="75EBB00E" w14:textId="2A5E9F18" w:rsidR="000B0919" w:rsidRPr="000B0919" w:rsidRDefault="000B0919" w:rsidP="008B23D5">
            <w:pPr>
              <w:pStyle w:val="Heading3"/>
              <w:spacing w:before="0" w:after="0"/>
              <w:jc w:val="center"/>
              <w:rPr>
                <w:b w:val="0"/>
                <w:sz w:val="24"/>
              </w:rPr>
            </w:pPr>
            <w:r w:rsidRPr="000B0919">
              <w:rPr>
                <w:b w:val="0"/>
                <w:sz w:val="24"/>
              </w:rPr>
              <w:t>by 4.1</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260" w:type="dxa"/>
            <w:hideMark/>
          </w:tcPr>
          <w:p w14:paraId="6DCE010B" w14:textId="260F684C" w:rsidR="000B0919" w:rsidRPr="000B0919" w:rsidRDefault="000B0919" w:rsidP="008B23D5">
            <w:pPr>
              <w:pStyle w:val="Heading3"/>
              <w:spacing w:before="0" w:after="0"/>
              <w:jc w:val="center"/>
              <w:rPr>
                <w:b w:val="0"/>
                <w:sz w:val="24"/>
              </w:rPr>
            </w:pPr>
            <w:r w:rsidRPr="000B0919">
              <w:rPr>
                <w:b w:val="0"/>
                <w:sz w:val="24"/>
              </w:rPr>
              <w:t>by 3.1</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530" w:type="dxa"/>
            <w:hideMark/>
          </w:tcPr>
          <w:p w14:paraId="130AFBDC" w14:textId="2DDA4A6B" w:rsidR="000B0919" w:rsidRPr="000B0919" w:rsidRDefault="000B0919" w:rsidP="008B23D5">
            <w:pPr>
              <w:pStyle w:val="Heading3"/>
              <w:spacing w:before="0" w:after="0"/>
              <w:jc w:val="center"/>
              <w:rPr>
                <w:b w:val="0"/>
                <w:sz w:val="24"/>
              </w:rPr>
            </w:pPr>
            <w:r w:rsidRPr="000B0919">
              <w:rPr>
                <w:b w:val="0"/>
                <w:sz w:val="24"/>
              </w:rPr>
              <w:t>by 2.1</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095" w:type="dxa"/>
            <w:hideMark/>
          </w:tcPr>
          <w:p w14:paraId="276CD9F3" w14:textId="11B7F719" w:rsidR="000B0919" w:rsidRPr="000B0919" w:rsidRDefault="000B0919" w:rsidP="008B23D5">
            <w:pPr>
              <w:pStyle w:val="Heading3"/>
              <w:spacing w:before="0" w:after="0"/>
              <w:jc w:val="center"/>
              <w:rPr>
                <w:b w:val="0"/>
                <w:sz w:val="24"/>
              </w:rPr>
            </w:pPr>
            <w:r w:rsidRPr="000B0919">
              <w:rPr>
                <w:b w:val="0"/>
                <w:sz w:val="24"/>
              </w:rPr>
              <w:t>by 3.1</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c>
          <w:tcPr>
            <w:tcW w:w="1330" w:type="dxa"/>
            <w:hideMark/>
          </w:tcPr>
          <w:p w14:paraId="15F20D81" w14:textId="0B8D28B3" w:rsidR="000B0919" w:rsidRPr="000B0919" w:rsidRDefault="000B0919" w:rsidP="008B23D5">
            <w:pPr>
              <w:pStyle w:val="Heading3"/>
              <w:spacing w:before="0" w:after="0"/>
              <w:jc w:val="center"/>
              <w:rPr>
                <w:b w:val="0"/>
                <w:sz w:val="24"/>
              </w:rPr>
            </w:pPr>
            <w:r w:rsidRPr="000B0919">
              <w:rPr>
                <w:b w:val="0"/>
                <w:sz w:val="24"/>
              </w:rPr>
              <w:t>by 2.1</w:t>
            </w:r>
            <w:r w:rsidR="001211B8">
              <w:rPr>
                <w:b w:val="0"/>
                <w:sz w:val="24"/>
              </w:rPr>
              <w:t xml:space="preserve"> </w:t>
            </w:r>
            <w:proofErr w:type="spellStart"/>
            <w:r w:rsidRPr="000B0919">
              <w:rPr>
                <w:b w:val="0"/>
                <w:sz w:val="24"/>
              </w:rPr>
              <w:t>p.pts</w:t>
            </w:r>
            <w:proofErr w:type="spellEnd"/>
            <w:r w:rsidR="001211B8">
              <w:rPr>
                <w:b w:val="0"/>
                <w:sz w:val="24"/>
              </w:rPr>
              <w:t xml:space="preserve"> </w:t>
            </w:r>
            <w:r w:rsidRPr="000B0919">
              <w:rPr>
                <w:b w:val="0"/>
                <w:sz w:val="24"/>
              </w:rPr>
              <w:t>or</w:t>
            </w:r>
            <w:r w:rsidR="001211B8">
              <w:rPr>
                <w:b w:val="0"/>
                <w:sz w:val="24"/>
              </w:rPr>
              <w:t xml:space="preserve"> </w:t>
            </w:r>
            <w:r w:rsidRPr="000B0919">
              <w:rPr>
                <w:b w:val="0"/>
                <w:sz w:val="24"/>
              </w:rPr>
              <w:t>more</w:t>
            </w:r>
          </w:p>
        </w:tc>
      </w:tr>
    </w:tbl>
    <w:p w14:paraId="53EC6DAB" w14:textId="76673E0A" w:rsidR="0036634C" w:rsidRDefault="0000762F" w:rsidP="00164468">
      <w:r>
        <w:t>CDE evaluated the grade level composition of the</w:t>
      </w:r>
      <w:r w:rsidR="000244BA" w:rsidRPr="000244BA">
        <w:t xml:space="preserve"> LTEL student group</w:t>
      </w:r>
      <w:r>
        <w:t xml:space="preserve">. While the </w:t>
      </w:r>
      <w:r w:rsidR="00C861A4">
        <w:t xml:space="preserve">LTEL </w:t>
      </w:r>
      <w:r>
        <w:t>definition</w:t>
      </w:r>
      <w:r w:rsidR="001211B8">
        <w:t xml:space="preserve"> </w:t>
      </w:r>
      <w:r w:rsidR="000244BA" w:rsidRPr="000244BA">
        <w:t xml:space="preserve">should </w:t>
      </w:r>
      <w:r w:rsidR="00C861A4">
        <w:t xml:space="preserve">restrict the student group to </w:t>
      </w:r>
      <w:r w:rsidR="000244BA" w:rsidRPr="000244BA">
        <w:t xml:space="preserve">only </w:t>
      </w:r>
      <w:r w:rsidR="1570ED34">
        <w:t>including</w:t>
      </w:r>
      <w:r w:rsidR="000244BA" w:rsidRPr="000244BA">
        <w:t xml:space="preserve"> students in grade 6 through grade 12, we do find </w:t>
      </w:r>
      <w:r w:rsidR="001211B8">
        <w:t xml:space="preserve">a small number of </w:t>
      </w:r>
      <w:r w:rsidR="000244BA" w:rsidRPr="000244BA">
        <w:t>LTELs in lower grades.</w:t>
      </w:r>
      <w:r w:rsidR="000244BA">
        <w:t xml:space="preserve"> </w:t>
      </w:r>
      <w:r w:rsidR="004979FE">
        <w:t xml:space="preserve">Students may appear in the lower grades (grade 4 and 5) due to retention </w:t>
      </w:r>
      <w:r w:rsidR="00A83A5B">
        <w:t>in</w:t>
      </w:r>
      <w:r w:rsidR="004979FE">
        <w:t xml:space="preserve"> a </w:t>
      </w:r>
      <w:r w:rsidR="00A83A5B">
        <w:t xml:space="preserve">prior grade </w:t>
      </w:r>
      <w:r w:rsidR="004979FE">
        <w:t>or a data reporting error</w:t>
      </w:r>
      <w:r w:rsidR="00A83A5B">
        <w:t xml:space="preserve"> by the LEA</w:t>
      </w:r>
      <w:r w:rsidR="004979FE">
        <w:t xml:space="preserve">. </w:t>
      </w:r>
      <w:r w:rsidR="0036634C">
        <w:t>Table</w:t>
      </w:r>
      <w:r w:rsidR="001211B8">
        <w:t xml:space="preserve"> 18</w:t>
      </w:r>
      <w:r w:rsidR="0036634C">
        <w:t xml:space="preserve"> </w:t>
      </w:r>
      <w:r w:rsidR="004979FE">
        <w:t>provides the</w:t>
      </w:r>
      <w:r w:rsidR="0036634C">
        <w:t xml:space="preserve"> </w:t>
      </w:r>
      <w:r w:rsidR="00090AFE">
        <w:t xml:space="preserve">number of LTELs </w:t>
      </w:r>
      <w:r w:rsidR="00CF2125">
        <w:t xml:space="preserve">by grade-level </w:t>
      </w:r>
      <w:r w:rsidR="003C7ED1">
        <w:t>of enrollment.</w:t>
      </w:r>
    </w:p>
    <w:p w14:paraId="5251BDE3" w14:textId="72E03C86" w:rsidR="002F3E2D" w:rsidRPr="00192AC8" w:rsidRDefault="006E2E18" w:rsidP="00192AC8">
      <w:pPr>
        <w:pStyle w:val="Heading3"/>
        <w:rPr>
          <w:color w:val="000000" w:themeColor="text1"/>
          <w:sz w:val="24"/>
          <w:szCs w:val="20"/>
        </w:rPr>
      </w:pPr>
      <w:r w:rsidRPr="00192AC8">
        <w:rPr>
          <w:color w:val="000000" w:themeColor="text1"/>
          <w:sz w:val="24"/>
          <w:szCs w:val="20"/>
        </w:rPr>
        <w:lastRenderedPageBreak/>
        <w:t>Table</w:t>
      </w:r>
      <w:r w:rsidR="001211B8" w:rsidRPr="00192AC8">
        <w:rPr>
          <w:color w:val="000000" w:themeColor="text1"/>
          <w:sz w:val="24"/>
          <w:szCs w:val="20"/>
        </w:rPr>
        <w:t xml:space="preserve"> 18</w:t>
      </w:r>
      <w:r w:rsidRPr="00192AC8">
        <w:rPr>
          <w:color w:val="000000" w:themeColor="text1"/>
          <w:sz w:val="24"/>
          <w:szCs w:val="20"/>
        </w:rPr>
        <w:t xml:space="preserve">: </w:t>
      </w:r>
      <w:r w:rsidR="00987DF6" w:rsidRPr="00192AC8">
        <w:rPr>
          <w:color w:val="000000" w:themeColor="text1"/>
          <w:sz w:val="24"/>
          <w:szCs w:val="20"/>
        </w:rPr>
        <w:t xml:space="preserve">LTEL students count by grade-level </w:t>
      </w:r>
      <w:r w:rsidR="0036634C" w:rsidRPr="00192AC8">
        <w:rPr>
          <w:color w:val="000000" w:themeColor="text1"/>
          <w:sz w:val="24"/>
          <w:szCs w:val="20"/>
        </w:rPr>
        <w:t>in Cumulative Enrollment on the 2024 Dashboard</w:t>
      </w:r>
    </w:p>
    <w:tbl>
      <w:tblPr>
        <w:tblStyle w:val="TableTheme"/>
        <w:tblW w:w="0" w:type="auto"/>
        <w:tblLook w:val="04A0" w:firstRow="1" w:lastRow="0" w:firstColumn="1" w:lastColumn="0" w:noHBand="0" w:noVBand="1"/>
        <w:tblCaption w:val="Table X: LTEL students count by grade-level in Cumulative Enrollment on the 2024 Dashboard"/>
        <w:tblDescription w:val="Table X: LTEL students count by grade-level in Cumulative Enrollment on the 2024 Dashboard"/>
      </w:tblPr>
      <w:tblGrid>
        <w:gridCol w:w="2070"/>
        <w:gridCol w:w="1643"/>
        <w:gridCol w:w="1683"/>
        <w:gridCol w:w="1763"/>
      </w:tblGrid>
      <w:tr w:rsidR="006E2E18" w:rsidRPr="002F3E2D" w14:paraId="42B7BE6E" w14:textId="77777777" w:rsidTr="00192AC8">
        <w:trPr>
          <w:cantSplit/>
          <w:trHeight w:val="310"/>
          <w:tblHeader/>
        </w:trPr>
        <w:tc>
          <w:tcPr>
            <w:tcW w:w="2070" w:type="dxa"/>
            <w:shd w:val="clear" w:color="auto" w:fill="E7E6E6" w:themeFill="background2"/>
            <w:hideMark/>
          </w:tcPr>
          <w:p w14:paraId="24EE94B8" w14:textId="16E1BDF3" w:rsidR="002F3E2D" w:rsidRPr="002F3E2D" w:rsidRDefault="002F3E2D" w:rsidP="00770AF4">
            <w:pPr>
              <w:pStyle w:val="Heading3"/>
              <w:spacing w:before="0" w:after="100" w:afterAutospacing="1"/>
              <w:jc w:val="center"/>
              <w:rPr>
                <w:bCs/>
                <w:sz w:val="24"/>
              </w:rPr>
            </w:pPr>
            <w:r w:rsidRPr="002F3E2D">
              <w:rPr>
                <w:sz w:val="24"/>
              </w:rPr>
              <w:t>Grade</w:t>
            </w:r>
            <w:r w:rsidR="007A0C13">
              <w:rPr>
                <w:bCs/>
                <w:sz w:val="24"/>
              </w:rPr>
              <w:t xml:space="preserve"> </w:t>
            </w:r>
            <w:r w:rsidRPr="002F3E2D">
              <w:rPr>
                <w:sz w:val="24"/>
              </w:rPr>
              <w:t>Level</w:t>
            </w:r>
          </w:p>
        </w:tc>
        <w:tc>
          <w:tcPr>
            <w:tcW w:w="1643" w:type="dxa"/>
            <w:shd w:val="clear" w:color="auto" w:fill="E7E6E6" w:themeFill="background2"/>
            <w:hideMark/>
          </w:tcPr>
          <w:p w14:paraId="6FCC15DB" w14:textId="6A7FDB7D" w:rsidR="002F3E2D" w:rsidRPr="002F3E2D" w:rsidRDefault="00090AFE" w:rsidP="00770AF4">
            <w:pPr>
              <w:pStyle w:val="Heading3"/>
              <w:spacing w:before="0" w:after="100" w:afterAutospacing="1"/>
              <w:jc w:val="center"/>
              <w:rPr>
                <w:bCs/>
                <w:sz w:val="24"/>
              </w:rPr>
            </w:pPr>
            <w:r>
              <w:rPr>
                <w:sz w:val="24"/>
              </w:rPr>
              <w:t xml:space="preserve">Number of </w:t>
            </w:r>
            <w:r w:rsidR="002F3E2D" w:rsidRPr="002F3E2D">
              <w:rPr>
                <w:sz w:val="24"/>
              </w:rPr>
              <w:t>LTEL</w:t>
            </w:r>
            <w:r w:rsidR="007A0C13">
              <w:rPr>
                <w:sz w:val="24"/>
              </w:rPr>
              <w:t xml:space="preserve"> </w:t>
            </w:r>
            <w:r>
              <w:rPr>
                <w:sz w:val="24"/>
              </w:rPr>
              <w:t>Students</w:t>
            </w:r>
          </w:p>
        </w:tc>
        <w:tc>
          <w:tcPr>
            <w:tcW w:w="1683" w:type="dxa"/>
            <w:shd w:val="clear" w:color="auto" w:fill="E7E6E6" w:themeFill="background2"/>
            <w:hideMark/>
          </w:tcPr>
          <w:p w14:paraId="036F698C" w14:textId="461435A2" w:rsidR="002F3E2D" w:rsidRPr="002F3E2D" w:rsidRDefault="00090AFE" w:rsidP="00770AF4">
            <w:pPr>
              <w:pStyle w:val="Heading3"/>
              <w:spacing w:before="0" w:after="100" w:afterAutospacing="1"/>
              <w:jc w:val="center"/>
              <w:rPr>
                <w:bCs/>
                <w:sz w:val="24"/>
              </w:rPr>
            </w:pPr>
            <w:r>
              <w:rPr>
                <w:sz w:val="24"/>
              </w:rPr>
              <w:t xml:space="preserve">Number of </w:t>
            </w:r>
            <w:r w:rsidR="002F3E2D" w:rsidRPr="002F3E2D">
              <w:rPr>
                <w:sz w:val="24"/>
              </w:rPr>
              <w:t>All</w:t>
            </w:r>
            <w:r w:rsidR="007A0C13">
              <w:rPr>
                <w:bCs/>
                <w:sz w:val="24"/>
              </w:rPr>
              <w:t xml:space="preserve"> </w:t>
            </w:r>
            <w:r w:rsidR="002F3E2D" w:rsidRPr="002F3E2D">
              <w:rPr>
                <w:sz w:val="24"/>
              </w:rPr>
              <w:t>Students</w:t>
            </w:r>
          </w:p>
        </w:tc>
        <w:tc>
          <w:tcPr>
            <w:tcW w:w="1763" w:type="dxa"/>
            <w:shd w:val="clear" w:color="auto" w:fill="E7E6E6" w:themeFill="background2"/>
            <w:hideMark/>
          </w:tcPr>
          <w:p w14:paraId="6430E46B" w14:textId="105A5EEC" w:rsidR="002F3E2D" w:rsidRPr="002F3E2D" w:rsidRDefault="002F3E2D" w:rsidP="00770AF4">
            <w:pPr>
              <w:pStyle w:val="Heading3"/>
              <w:spacing w:before="0" w:after="100" w:afterAutospacing="1"/>
              <w:jc w:val="center"/>
              <w:rPr>
                <w:bCs/>
                <w:sz w:val="24"/>
              </w:rPr>
            </w:pPr>
            <w:r w:rsidRPr="002F3E2D">
              <w:rPr>
                <w:sz w:val="24"/>
              </w:rPr>
              <w:t>Percent</w:t>
            </w:r>
            <w:r w:rsidR="007A0C13">
              <w:rPr>
                <w:bCs/>
                <w:sz w:val="24"/>
              </w:rPr>
              <w:t xml:space="preserve"> </w:t>
            </w:r>
            <w:r w:rsidRPr="002F3E2D">
              <w:rPr>
                <w:sz w:val="24"/>
              </w:rPr>
              <w:t>LTEL</w:t>
            </w:r>
          </w:p>
        </w:tc>
      </w:tr>
      <w:tr w:rsidR="006E2E18" w:rsidRPr="002F3E2D" w14:paraId="1276AEDD" w14:textId="77777777" w:rsidTr="00192AC8">
        <w:trPr>
          <w:cantSplit/>
          <w:trHeight w:val="307"/>
        </w:trPr>
        <w:tc>
          <w:tcPr>
            <w:tcW w:w="2070" w:type="dxa"/>
            <w:hideMark/>
          </w:tcPr>
          <w:p w14:paraId="1E114879" w14:textId="6BA6759C" w:rsidR="002F3E2D" w:rsidRPr="003251C9" w:rsidRDefault="002F3E2D" w:rsidP="00770AF4">
            <w:pPr>
              <w:spacing w:before="0" w:after="100" w:afterAutospacing="1"/>
              <w:jc w:val="center"/>
              <w:rPr>
                <w:b/>
                <w:bCs/>
              </w:rPr>
            </w:pPr>
            <w:r w:rsidRPr="003251C9">
              <w:rPr>
                <w:b/>
                <w:bCs/>
              </w:rPr>
              <w:t>4</w:t>
            </w:r>
          </w:p>
        </w:tc>
        <w:tc>
          <w:tcPr>
            <w:tcW w:w="1643" w:type="dxa"/>
            <w:hideMark/>
          </w:tcPr>
          <w:p w14:paraId="1815FA83" w14:textId="7DD6CEC5" w:rsidR="002F3E2D" w:rsidRPr="002F3E2D" w:rsidRDefault="002F3E2D" w:rsidP="00770AF4">
            <w:pPr>
              <w:pStyle w:val="Heading3"/>
              <w:spacing w:before="0" w:after="100" w:afterAutospacing="1"/>
              <w:jc w:val="center"/>
              <w:rPr>
                <w:b w:val="0"/>
                <w:bCs/>
                <w:sz w:val="24"/>
              </w:rPr>
            </w:pPr>
            <w:r w:rsidRPr="002F3E2D">
              <w:rPr>
                <w:b w:val="0"/>
                <w:bCs/>
                <w:sz w:val="24"/>
              </w:rPr>
              <w:t>12</w:t>
            </w:r>
          </w:p>
        </w:tc>
        <w:tc>
          <w:tcPr>
            <w:tcW w:w="1683" w:type="dxa"/>
            <w:hideMark/>
          </w:tcPr>
          <w:p w14:paraId="1E38420B" w14:textId="1AFB233F" w:rsidR="002F3E2D" w:rsidRPr="002F3E2D" w:rsidRDefault="002F3E2D" w:rsidP="00770AF4">
            <w:pPr>
              <w:pStyle w:val="Heading3"/>
              <w:spacing w:before="0" w:after="100" w:afterAutospacing="1"/>
              <w:jc w:val="center"/>
              <w:rPr>
                <w:b w:val="0"/>
                <w:bCs/>
                <w:sz w:val="24"/>
              </w:rPr>
            </w:pPr>
            <w:r w:rsidRPr="002F3E2D">
              <w:rPr>
                <w:b w:val="0"/>
                <w:bCs/>
                <w:sz w:val="24"/>
              </w:rPr>
              <w:t>436,323</w:t>
            </w:r>
          </w:p>
        </w:tc>
        <w:tc>
          <w:tcPr>
            <w:tcW w:w="1763" w:type="dxa"/>
            <w:hideMark/>
          </w:tcPr>
          <w:p w14:paraId="6F4A5A4A" w14:textId="51BB56BB" w:rsidR="002F3E2D" w:rsidRPr="002F3E2D" w:rsidRDefault="002F3E2D" w:rsidP="00770AF4">
            <w:pPr>
              <w:pStyle w:val="Heading3"/>
              <w:spacing w:before="0" w:after="100" w:afterAutospacing="1"/>
              <w:jc w:val="center"/>
              <w:rPr>
                <w:b w:val="0"/>
                <w:bCs/>
                <w:sz w:val="24"/>
              </w:rPr>
            </w:pPr>
            <w:r w:rsidRPr="002F3E2D">
              <w:rPr>
                <w:b w:val="0"/>
                <w:bCs/>
                <w:sz w:val="24"/>
              </w:rPr>
              <w:t>0.0%</w:t>
            </w:r>
          </w:p>
        </w:tc>
      </w:tr>
      <w:tr w:rsidR="006E2E18" w:rsidRPr="002F3E2D" w14:paraId="7EC5A47C" w14:textId="77777777" w:rsidTr="00192AC8">
        <w:trPr>
          <w:cantSplit/>
          <w:trHeight w:val="307"/>
        </w:trPr>
        <w:tc>
          <w:tcPr>
            <w:tcW w:w="2070" w:type="dxa"/>
            <w:shd w:val="clear" w:color="auto" w:fill="E7E6E6" w:themeFill="background2"/>
            <w:hideMark/>
          </w:tcPr>
          <w:p w14:paraId="6E1F1000" w14:textId="6BFAC972" w:rsidR="002F3E2D" w:rsidRPr="003251C9" w:rsidRDefault="002F3E2D" w:rsidP="00770AF4">
            <w:pPr>
              <w:spacing w:before="0" w:after="100" w:afterAutospacing="1"/>
              <w:jc w:val="center"/>
              <w:rPr>
                <w:b/>
                <w:bCs/>
              </w:rPr>
            </w:pPr>
            <w:r w:rsidRPr="003251C9">
              <w:rPr>
                <w:b/>
                <w:bCs/>
              </w:rPr>
              <w:t>5</w:t>
            </w:r>
          </w:p>
        </w:tc>
        <w:tc>
          <w:tcPr>
            <w:tcW w:w="1643" w:type="dxa"/>
            <w:shd w:val="clear" w:color="auto" w:fill="E7E6E6" w:themeFill="background2"/>
            <w:hideMark/>
          </w:tcPr>
          <w:p w14:paraId="38B5C749" w14:textId="29675FE6" w:rsidR="002F3E2D" w:rsidRPr="002F3E2D" w:rsidRDefault="002F3E2D" w:rsidP="00770AF4">
            <w:pPr>
              <w:pStyle w:val="Heading3"/>
              <w:spacing w:before="0" w:after="100" w:afterAutospacing="1"/>
              <w:jc w:val="center"/>
              <w:rPr>
                <w:b w:val="0"/>
                <w:bCs/>
                <w:sz w:val="24"/>
              </w:rPr>
            </w:pPr>
            <w:r w:rsidRPr="002F3E2D">
              <w:rPr>
                <w:b w:val="0"/>
                <w:bCs/>
                <w:sz w:val="24"/>
              </w:rPr>
              <w:t>715</w:t>
            </w:r>
          </w:p>
        </w:tc>
        <w:tc>
          <w:tcPr>
            <w:tcW w:w="1683" w:type="dxa"/>
            <w:shd w:val="clear" w:color="auto" w:fill="E7E6E6" w:themeFill="background2"/>
            <w:hideMark/>
          </w:tcPr>
          <w:p w14:paraId="30AB1BF4" w14:textId="2F83DD29" w:rsidR="002F3E2D" w:rsidRPr="002F3E2D" w:rsidRDefault="002F3E2D" w:rsidP="00770AF4">
            <w:pPr>
              <w:pStyle w:val="Heading3"/>
              <w:spacing w:before="0" w:after="100" w:afterAutospacing="1"/>
              <w:jc w:val="center"/>
              <w:rPr>
                <w:b w:val="0"/>
                <w:bCs/>
                <w:sz w:val="24"/>
              </w:rPr>
            </w:pPr>
            <w:r w:rsidRPr="002F3E2D">
              <w:rPr>
                <w:b w:val="0"/>
                <w:bCs/>
                <w:sz w:val="24"/>
              </w:rPr>
              <w:t>440,113</w:t>
            </w:r>
          </w:p>
        </w:tc>
        <w:tc>
          <w:tcPr>
            <w:tcW w:w="1763" w:type="dxa"/>
            <w:shd w:val="clear" w:color="auto" w:fill="E7E6E6" w:themeFill="background2"/>
            <w:hideMark/>
          </w:tcPr>
          <w:p w14:paraId="2F5C30B7" w14:textId="2703A41B" w:rsidR="002F3E2D" w:rsidRPr="002F3E2D" w:rsidRDefault="002F3E2D" w:rsidP="00770AF4">
            <w:pPr>
              <w:pStyle w:val="Heading3"/>
              <w:spacing w:before="0" w:after="100" w:afterAutospacing="1"/>
              <w:jc w:val="center"/>
              <w:rPr>
                <w:b w:val="0"/>
                <w:bCs/>
                <w:sz w:val="24"/>
              </w:rPr>
            </w:pPr>
            <w:r w:rsidRPr="002F3E2D">
              <w:rPr>
                <w:b w:val="0"/>
                <w:bCs/>
                <w:sz w:val="24"/>
              </w:rPr>
              <w:t>0.2%</w:t>
            </w:r>
          </w:p>
        </w:tc>
      </w:tr>
      <w:tr w:rsidR="006E2E18" w:rsidRPr="002F3E2D" w14:paraId="493D0CF2" w14:textId="77777777" w:rsidTr="00192AC8">
        <w:trPr>
          <w:cantSplit/>
          <w:trHeight w:val="307"/>
        </w:trPr>
        <w:tc>
          <w:tcPr>
            <w:tcW w:w="2070" w:type="dxa"/>
            <w:hideMark/>
          </w:tcPr>
          <w:p w14:paraId="7F44183D" w14:textId="0F0F0A49" w:rsidR="002F3E2D" w:rsidRPr="003251C9" w:rsidRDefault="002F3E2D" w:rsidP="00770AF4">
            <w:pPr>
              <w:spacing w:before="0" w:after="100" w:afterAutospacing="1"/>
              <w:jc w:val="center"/>
              <w:rPr>
                <w:b/>
                <w:bCs/>
              </w:rPr>
            </w:pPr>
            <w:r w:rsidRPr="003251C9">
              <w:rPr>
                <w:b/>
                <w:bCs/>
              </w:rPr>
              <w:t>6</w:t>
            </w:r>
          </w:p>
        </w:tc>
        <w:tc>
          <w:tcPr>
            <w:tcW w:w="1643" w:type="dxa"/>
            <w:hideMark/>
          </w:tcPr>
          <w:p w14:paraId="7262CB47" w14:textId="3E1E3F18" w:rsidR="002F3E2D" w:rsidRPr="002F3E2D" w:rsidRDefault="002F3E2D" w:rsidP="00770AF4">
            <w:pPr>
              <w:pStyle w:val="Heading3"/>
              <w:spacing w:before="0" w:after="100" w:afterAutospacing="1"/>
              <w:jc w:val="center"/>
              <w:rPr>
                <w:b w:val="0"/>
                <w:bCs/>
                <w:sz w:val="24"/>
              </w:rPr>
            </w:pPr>
            <w:r w:rsidRPr="002F3E2D">
              <w:rPr>
                <w:b w:val="0"/>
                <w:bCs/>
                <w:sz w:val="24"/>
              </w:rPr>
              <w:t>17,973</w:t>
            </w:r>
          </w:p>
        </w:tc>
        <w:tc>
          <w:tcPr>
            <w:tcW w:w="1683" w:type="dxa"/>
            <w:hideMark/>
          </w:tcPr>
          <w:p w14:paraId="531D4B04" w14:textId="70C84D5A" w:rsidR="002F3E2D" w:rsidRPr="002F3E2D" w:rsidRDefault="002F3E2D" w:rsidP="00770AF4">
            <w:pPr>
              <w:pStyle w:val="Heading3"/>
              <w:spacing w:before="0" w:after="100" w:afterAutospacing="1"/>
              <w:jc w:val="center"/>
              <w:rPr>
                <w:b w:val="0"/>
                <w:bCs/>
                <w:sz w:val="24"/>
              </w:rPr>
            </w:pPr>
            <w:r w:rsidRPr="002F3E2D">
              <w:rPr>
                <w:b w:val="0"/>
                <w:bCs/>
                <w:sz w:val="24"/>
              </w:rPr>
              <w:t>443,154</w:t>
            </w:r>
          </w:p>
        </w:tc>
        <w:tc>
          <w:tcPr>
            <w:tcW w:w="1763" w:type="dxa"/>
            <w:hideMark/>
          </w:tcPr>
          <w:p w14:paraId="25D3CBC5" w14:textId="481349D1" w:rsidR="002F3E2D" w:rsidRPr="002F3E2D" w:rsidRDefault="002F3E2D" w:rsidP="00770AF4">
            <w:pPr>
              <w:pStyle w:val="Heading3"/>
              <w:spacing w:before="0" w:after="100" w:afterAutospacing="1"/>
              <w:jc w:val="center"/>
              <w:rPr>
                <w:b w:val="0"/>
                <w:bCs/>
                <w:sz w:val="24"/>
              </w:rPr>
            </w:pPr>
            <w:r w:rsidRPr="002F3E2D">
              <w:rPr>
                <w:b w:val="0"/>
                <w:bCs/>
                <w:sz w:val="24"/>
              </w:rPr>
              <w:t>4.1%</w:t>
            </w:r>
          </w:p>
        </w:tc>
      </w:tr>
      <w:tr w:rsidR="006E2E18" w:rsidRPr="002F3E2D" w14:paraId="3AE2963C" w14:textId="77777777" w:rsidTr="00192AC8">
        <w:trPr>
          <w:cantSplit/>
          <w:trHeight w:val="307"/>
        </w:trPr>
        <w:tc>
          <w:tcPr>
            <w:tcW w:w="2070" w:type="dxa"/>
            <w:shd w:val="clear" w:color="auto" w:fill="E7E6E6" w:themeFill="background2"/>
            <w:hideMark/>
          </w:tcPr>
          <w:p w14:paraId="46268B96" w14:textId="4F0A4D56" w:rsidR="002F3E2D" w:rsidRPr="003251C9" w:rsidRDefault="002F3E2D" w:rsidP="00770AF4">
            <w:pPr>
              <w:spacing w:before="0" w:after="100" w:afterAutospacing="1"/>
              <w:jc w:val="center"/>
              <w:rPr>
                <w:b/>
                <w:bCs/>
              </w:rPr>
            </w:pPr>
            <w:r w:rsidRPr="003251C9">
              <w:rPr>
                <w:b/>
                <w:bCs/>
              </w:rPr>
              <w:t>7</w:t>
            </w:r>
          </w:p>
        </w:tc>
        <w:tc>
          <w:tcPr>
            <w:tcW w:w="1643" w:type="dxa"/>
            <w:shd w:val="clear" w:color="auto" w:fill="E7E6E6" w:themeFill="background2"/>
            <w:hideMark/>
          </w:tcPr>
          <w:p w14:paraId="4FC5D401" w14:textId="12A77AC9" w:rsidR="002F3E2D" w:rsidRPr="002F3E2D" w:rsidRDefault="002F3E2D" w:rsidP="00770AF4">
            <w:pPr>
              <w:pStyle w:val="Heading3"/>
              <w:spacing w:before="0" w:after="100" w:afterAutospacing="1"/>
              <w:jc w:val="center"/>
              <w:rPr>
                <w:b w:val="0"/>
                <w:bCs/>
                <w:sz w:val="24"/>
              </w:rPr>
            </w:pPr>
            <w:r w:rsidRPr="002F3E2D">
              <w:rPr>
                <w:b w:val="0"/>
                <w:bCs/>
                <w:sz w:val="24"/>
              </w:rPr>
              <w:t>57,290</w:t>
            </w:r>
          </w:p>
        </w:tc>
        <w:tc>
          <w:tcPr>
            <w:tcW w:w="1683" w:type="dxa"/>
            <w:shd w:val="clear" w:color="auto" w:fill="E7E6E6" w:themeFill="background2"/>
            <w:hideMark/>
          </w:tcPr>
          <w:p w14:paraId="73631462" w14:textId="4F4C5F45" w:rsidR="002F3E2D" w:rsidRPr="002F3E2D" w:rsidRDefault="002F3E2D" w:rsidP="00770AF4">
            <w:pPr>
              <w:pStyle w:val="Heading3"/>
              <w:spacing w:before="0" w:after="100" w:afterAutospacing="1"/>
              <w:jc w:val="center"/>
              <w:rPr>
                <w:b w:val="0"/>
                <w:bCs/>
                <w:sz w:val="24"/>
              </w:rPr>
            </w:pPr>
            <w:r w:rsidRPr="002F3E2D">
              <w:rPr>
                <w:b w:val="0"/>
                <w:bCs/>
                <w:sz w:val="24"/>
              </w:rPr>
              <w:t>450,332</w:t>
            </w:r>
          </w:p>
        </w:tc>
        <w:tc>
          <w:tcPr>
            <w:tcW w:w="1763" w:type="dxa"/>
            <w:shd w:val="clear" w:color="auto" w:fill="E7E6E6" w:themeFill="background2"/>
            <w:hideMark/>
          </w:tcPr>
          <w:p w14:paraId="3B11F4A1" w14:textId="60B9843F" w:rsidR="002F3E2D" w:rsidRPr="002F3E2D" w:rsidRDefault="002F3E2D" w:rsidP="00770AF4">
            <w:pPr>
              <w:pStyle w:val="Heading3"/>
              <w:spacing w:before="0" w:after="100" w:afterAutospacing="1"/>
              <w:jc w:val="center"/>
              <w:rPr>
                <w:b w:val="0"/>
                <w:bCs/>
                <w:sz w:val="24"/>
              </w:rPr>
            </w:pPr>
            <w:r w:rsidRPr="002F3E2D">
              <w:rPr>
                <w:b w:val="0"/>
                <w:bCs/>
                <w:sz w:val="24"/>
              </w:rPr>
              <w:t>12.7%</w:t>
            </w:r>
          </w:p>
        </w:tc>
      </w:tr>
      <w:tr w:rsidR="006E2E18" w:rsidRPr="002F3E2D" w14:paraId="3361FEE0" w14:textId="77777777" w:rsidTr="00192AC8">
        <w:trPr>
          <w:cantSplit/>
          <w:trHeight w:val="307"/>
        </w:trPr>
        <w:tc>
          <w:tcPr>
            <w:tcW w:w="2070" w:type="dxa"/>
            <w:hideMark/>
          </w:tcPr>
          <w:p w14:paraId="21AA5C28" w14:textId="5945CCA2" w:rsidR="002F3E2D" w:rsidRPr="003251C9" w:rsidRDefault="002F3E2D" w:rsidP="00770AF4">
            <w:pPr>
              <w:spacing w:before="0" w:after="100" w:afterAutospacing="1"/>
              <w:jc w:val="center"/>
              <w:rPr>
                <w:b/>
                <w:bCs/>
              </w:rPr>
            </w:pPr>
            <w:r w:rsidRPr="003251C9">
              <w:rPr>
                <w:b/>
                <w:bCs/>
              </w:rPr>
              <w:t>8</w:t>
            </w:r>
          </w:p>
        </w:tc>
        <w:tc>
          <w:tcPr>
            <w:tcW w:w="1643" w:type="dxa"/>
            <w:hideMark/>
          </w:tcPr>
          <w:p w14:paraId="1F9E34A3" w14:textId="46C1C4CB" w:rsidR="002F3E2D" w:rsidRPr="002F3E2D" w:rsidRDefault="002F3E2D" w:rsidP="00770AF4">
            <w:pPr>
              <w:pStyle w:val="Heading3"/>
              <w:spacing w:before="0" w:after="100" w:afterAutospacing="1"/>
              <w:jc w:val="center"/>
              <w:rPr>
                <w:b w:val="0"/>
                <w:bCs/>
                <w:sz w:val="24"/>
              </w:rPr>
            </w:pPr>
            <w:r w:rsidRPr="002F3E2D">
              <w:rPr>
                <w:b w:val="0"/>
                <w:bCs/>
                <w:sz w:val="24"/>
              </w:rPr>
              <w:t>49,647</w:t>
            </w:r>
          </w:p>
        </w:tc>
        <w:tc>
          <w:tcPr>
            <w:tcW w:w="1683" w:type="dxa"/>
            <w:hideMark/>
          </w:tcPr>
          <w:p w14:paraId="13561D58" w14:textId="3FEFB15C" w:rsidR="002F3E2D" w:rsidRPr="002F3E2D" w:rsidRDefault="002F3E2D" w:rsidP="00770AF4">
            <w:pPr>
              <w:pStyle w:val="Heading3"/>
              <w:spacing w:before="0" w:after="100" w:afterAutospacing="1"/>
              <w:jc w:val="center"/>
              <w:rPr>
                <w:b w:val="0"/>
                <w:bCs/>
                <w:sz w:val="24"/>
              </w:rPr>
            </w:pPr>
            <w:r w:rsidRPr="002F3E2D">
              <w:rPr>
                <w:b w:val="0"/>
                <w:bCs/>
                <w:sz w:val="24"/>
              </w:rPr>
              <w:t>452,529</w:t>
            </w:r>
          </w:p>
        </w:tc>
        <w:tc>
          <w:tcPr>
            <w:tcW w:w="1763" w:type="dxa"/>
            <w:hideMark/>
          </w:tcPr>
          <w:p w14:paraId="69B0816C" w14:textId="07DDBD72" w:rsidR="002F3E2D" w:rsidRPr="002F3E2D" w:rsidRDefault="002F3E2D" w:rsidP="00770AF4">
            <w:pPr>
              <w:pStyle w:val="Heading3"/>
              <w:spacing w:before="0" w:after="100" w:afterAutospacing="1"/>
              <w:jc w:val="center"/>
              <w:rPr>
                <w:b w:val="0"/>
                <w:bCs/>
                <w:sz w:val="24"/>
              </w:rPr>
            </w:pPr>
            <w:r w:rsidRPr="002F3E2D">
              <w:rPr>
                <w:b w:val="0"/>
                <w:bCs/>
                <w:sz w:val="24"/>
              </w:rPr>
              <w:t>11.0%</w:t>
            </w:r>
          </w:p>
        </w:tc>
      </w:tr>
      <w:tr w:rsidR="006E2E18" w:rsidRPr="002F3E2D" w14:paraId="24166AA1" w14:textId="77777777" w:rsidTr="00192AC8">
        <w:trPr>
          <w:cantSplit/>
          <w:trHeight w:val="307"/>
        </w:trPr>
        <w:tc>
          <w:tcPr>
            <w:tcW w:w="2070" w:type="dxa"/>
            <w:shd w:val="clear" w:color="auto" w:fill="E7E6E6" w:themeFill="background2"/>
            <w:hideMark/>
          </w:tcPr>
          <w:p w14:paraId="517BADC4" w14:textId="65C84E5F" w:rsidR="002F3E2D" w:rsidRPr="003251C9" w:rsidRDefault="002F3E2D" w:rsidP="00770AF4">
            <w:pPr>
              <w:spacing w:before="0" w:after="100" w:afterAutospacing="1"/>
              <w:jc w:val="center"/>
              <w:rPr>
                <w:b/>
                <w:bCs/>
              </w:rPr>
            </w:pPr>
            <w:r w:rsidRPr="003251C9">
              <w:rPr>
                <w:b/>
                <w:bCs/>
              </w:rPr>
              <w:t>9</w:t>
            </w:r>
          </w:p>
        </w:tc>
        <w:tc>
          <w:tcPr>
            <w:tcW w:w="1643" w:type="dxa"/>
            <w:shd w:val="clear" w:color="auto" w:fill="E7E6E6" w:themeFill="background2"/>
            <w:hideMark/>
          </w:tcPr>
          <w:p w14:paraId="10C6229B" w14:textId="4AE82434" w:rsidR="002F3E2D" w:rsidRPr="002F3E2D" w:rsidRDefault="002F3E2D" w:rsidP="00770AF4">
            <w:pPr>
              <w:pStyle w:val="Heading3"/>
              <w:spacing w:before="0" w:after="100" w:afterAutospacing="1"/>
              <w:jc w:val="center"/>
              <w:rPr>
                <w:b w:val="0"/>
                <w:bCs/>
                <w:sz w:val="24"/>
              </w:rPr>
            </w:pPr>
            <w:r w:rsidRPr="002F3E2D">
              <w:rPr>
                <w:b w:val="0"/>
                <w:bCs/>
                <w:sz w:val="24"/>
              </w:rPr>
              <w:t>47,860</w:t>
            </w:r>
          </w:p>
        </w:tc>
        <w:tc>
          <w:tcPr>
            <w:tcW w:w="1683" w:type="dxa"/>
            <w:shd w:val="clear" w:color="auto" w:fill="E7E6E6" w:themeFill="background2"/>
            <w:hideMark/>
          </w:tcPr>
          <w:p w14:paraId="1C2A4517" w14:textId="6973E159" w:rsidR="002F3E2D" w:rsidRPr="002F3E2D" w:rsidRDefault="002F3E2D" w:rsidP="00770AF4">
            <w:pPr>
              <w:pStyle w:val="Heading3"/>
              <w:spacing w:before="0" w:after="100" w:afterAutospacing="1"/>
              <w:jc w:val="center"/>
              <w:rPr>
                <w:b w:val="0"/>
                <w:bCs/>
                <w:sz w:val="24"/>
              </w:rPr>
            </w:pPr>
            <w:r w:rsidRPr="002F3E2D">
              <w:rPr>
                <w:b w:val="0"/>
                <w:bCs/>
                <w:sz w:val="24"/>
              </w:rPr>
              <w:t>494,157</w:t>
            </w:r>
          </w:p>
        </w:tc>
        <w:tc>
          <w:tcPr>
            <w:tcW w:w="1763" w:type="dxa"/>
            <w:shd w:val="clear" w:color="auto" w:fill="E7E6E6" w:themeFill="background2"/>
            <w:hideMark/>
          </w:tcPr>
          <w:p w14:paraId="1CA94059" w14:textId="10BEEED9" w:rsidR="002F3E2D" w:rsidRPr="002F3E2D" w:rsidRDefault="002F3E2D" w:rsidP="00770AF4">
            <w:pPr>
              <w:pStyle w:val="Heading3"/>
              <w:spacing w:before="0" w:after="100" w:afterAutospacing="1"/>
              <w:jc w:val="center"/>
              <w:rPr>
                <w:b w:val="0"/>
                <w:bCs/>
                <w:sz w:val="24"/>
              </w:rPr>
            </w:pPr>
            <w:r w:rsidRPr="002F3E2D">
              <w:rPr>
                <w:b w:val="0"/>
                <w:bCs/>
                <w:sz w:val="24"/>
              </w:rPr>
              <w:t>9.7%</w:t>
            </w:r>
          </w:p>
        </w:tc>
      </w:tr>
      <w:tr w:rsidR="006E2E18" w:rsidRPr="002F3E2D" w14:paraId="3CDAC6AA" w14:textId="77777777" w:rsidTr="00192AC8">
        <w:trPr>
          <w:cantSplit/>
          <w:trHeight w:val="307"/>
        </w:trPr>
        <w:tc>
          <w:tcPr>
            <w:tcW w:w="2070" w:type="dxa"/>
            <w:hideMark/>
          </w:tcPr>
          <w:p w14:paraId="0B05633B" w14:textId="50738573" w:rsidR="002F3E2D" w:rsidRPr="003251C9" w:rsidRDefault="002F3E2D" w:rsidP="00770AF4">
            <w:pPr>
              <w:spacing w:before="0" w:after="100" w:afterAutospacing="1"/>
              <w:jc w:val="center"/>
              <w:rPr>
                <w:b/>
                <w:bCs/>
              </w:rPr>
            </w:pPr>
            <w:r w:rsidRPr="003251C9">
              <w:rPr>
                <w:b/>
                <w:bCs/>
              </w:rPr>
              <w:t>10</w:t>
            </w:r>
          </w:p>
        </w:tc>
        <w:tc>
          <w:tcPr>
            <w:tcW w:w="1643" w:type="dxa"/>
            <w:hideMark/>
          </w:tcPr>
          <w:p w14:paraId="68BC7F82" w14:textId="3509900D" w:rsidR="002F3E2D" w:rsidRPr="002F3E2D" w:rsidRDefault="002F3E2D" w:rsidP="00770AF4">
            <w:pPr>
              <w:pStyle w:val="Heading3"/>
              <w:spacing w:before="0" w:after="100" w:afterAutospacing="1"/>
              <w:jc w:val="center"/>
              <w:rPr>
                <w:b w:val="0"/>
                <w:bCs/>
                <w:sz w:val="24"/>
              </w:rPr>
            </w:pPr>
            <w:r w:rsidRPr="002F3E2D">
              <w:rPr>
                <w:b w:val="0"/>
                <w:bCs/>
                <w:sz w:val="24"/>
              </w:rPr>
              <w:t>44,486</w:t>
            </w:r>
          </w:p>
        </w:tc>
        <w:tc>
          <w:tcPr>
            <w:tcW w:w="1683" w:type="dxa"/>
            <w:hideMark/>
          </w:tcPr>
          <w:p w14:paraId="22749D75" w14:textId="1D9905C0" w:rsidR="002F3E2D" w:rsidRPr="002F3E2D" w:rsidRDefault="002F3E2D" w:rsidP="00770AF4">
            <w:pPr>
              <w:pStyle w:val="Heading3"/>
              <w:spacing w:before="0" w:after="100" w:afterAutospacing="1"/>
              <w:jc w:val="center"/>
              <w:rPr>
                <w:b w:val="0"/>
                <w:bCs/>
                <w:sz w:val="24"/>
              </w:rPr>
            </w:pPr>
            <w:r w:rsidRPr="002F3E2D">
              <w:rPr>
                <w:b w:val="0"/>
                <w:bCs/>
                <w:sz w:val="24"/>
              </w:rPr>
              <w:t>499,353</w:t>
            </w:r>
          </w:p>
        </w:tc>
        <w:tc>
          <w:tcPr>
            <w:tcW w:w="1763" w:type="dxa"/>
            <w:hideMark/>
          </w:tcPr>
          <w:p w14:paraId="6EC95550" w14:textId="6064A947" w:rsidR="002F3E2D" w:rsidRPr="002F3E2D" w:rsidRDefault="002F3E2D" w:rsidP="00770AF4">
            <w:pPr>
              <w:pStyle w:val="Heading3"/>
              <w:spacing w:before="0" w:after="100" w:afterAutospacing="1"/>
              <w:jc w:val="center"/>
              <w:rPr>
                <w:b w:val="0"/>
                <w:bCs/>
                <w:sz w:val="24"/>
              </w:rPr>
            </w:pPr>
            <w:r w:rsidRPr="002F3E2D">
              <w:rPr>
                <w:b w:val="0"/>
                <w:bCs/>
                <w:sz w:val="24"/>
              </w:rPr>
              <w:t>8.9%</w:t>
            </w:r>
          </w:p>
        </w:tc>
      </w:tr>
      <w:tr w:rsidR="006E2E18" w:rsidRPr="002F3E2D" w14:paraId="2F99566E" w14:textId="77777777" w:rsidTr="00192AC8">
        <w:trPr>
          <w:cantSplit/>
          <w:trHeight w:val="307"/>
        </w:trPr>
        <w:tc>
          <w:tcPr>
            <w:tcW w:w="2070" w:type="dxa"/>
            <w:shd w:val="clear" w:color="auto" w:fill="E7E6E6" w:themeFill="background2"/>
            <w:hideMark/>
          </w:tcPr>
          <w:p w14:paraId="3004311D" w14:textId="7AD37F0A" w:rsidR="002F3E2D" w:rsidRPr="003251C9" w:rsidRDefault="002F3E2D" w:rsidP="00770AF4">
            <w:pPr>
              <w:spacing w:before="0" w:after="100" w:afterAutospacing="1"/>
              <w:jc w:val="center"/>
              <w:rPr>
                <w:b/>
                <w:bCs/>
              </w:rPr>
            </w:pPr>
            <w:r w:rsidRPr="003251C9">
              <w:rPr>
                <w:b/>
                <w:bCs/>
              </w:rPr>
              <w:t>11</w:t>
            </w:r>
          </w:p>
        </w:tc>
        <w:tc>
          <w:tcPr>
            <w:tcW w:w="1643" w:type="dxa"/>
            <w:shd w:val="clear" w:color="auto" w:fill="E7E6E6" w:themeFill="background2"/>
            <w:hideMark/>
          </w:tcPr>
          <w:p w14:paraId="2BDCF8B5" w14:textId="2B2E94A7" w:rsidR="002F3E2D" w:rsidRPr="002F3E2D" w:rsidRDefault="002F3E2D" w:rsidP="00770AF4">
            <w:pPr>
              <w:pStyle w:val="Heading3"/>
              <w:spacing w:before="0" w:after="100" w:afterAutospacing="1"/>
              <w:jc w:val="center"/>
              <w:rPr>
                <w:b w:val="0"/>
                <w:bCs/>
                <w:sz w:val="24"/>
              </w:rPr>
            </w:pPr>
            <w:r w:rsidRPr="002F3E2D">
              <w:rPr>
                <w:b w:val="0"/>
                <w:bCs/>
                <w:sz w:val="24"/>
              </w:rPr>
              <w:t>40,673</w:t>
            </w:r>
          </w:p>
        </w:tc>
        <w:tc>
          <w:tcPr>
            <w:tcW w:w="1683" w:type="dxa"/>
            <w:shd w:val="clear" w:color="auto" w:fill="E7E6E6" w:themeFill="background2"/>
            <w:hideMark/>
          </w:tcPr>
          <w:p w14:paraId="573E030E" w14:textId="127E583E" w:rsidR="002F3E2D" w:rsidRPr="002F3E2D" w:rsidRDefault="002F3E2D" w:rsidP="00770AF4">
            <w:pPr>
              <w:pStyle w:val="Heading3"/>
              <w:spacing w:before="0" w:after="100" w:afterAutospacing="1"/>
              <w:jc w:val="center"/>
              <w:rPr>
                <w:b w:val="0"/>
                <w:bCs/>
                <w:sz w:val="24"/>
              </w:rPr>
            </w:pPr>
            <w:r w:rsidRPr="002F3E2D">
              <w:rPr>
                <w:b w:val="0"/>
                <w:bCs/>
                <w:sz w:val="24"/>
              </w:rPr>
              <w:t>481,823</w:t>
            </w:r>
          </w:p>
        </w:tc>
        <w:tc>
          <w:tcPr>
            <w:tcW w:w="1763" w:type="dxa"/>
            <w:shd w:val="clear" w:color="auto" w:fill="E7E6E6" w:themeFill="background2"/>
            <w:hideMark/>
          </w:tcPr>
          <w:p w14:paraId="01081EFC" w14:textId="291D341B" w:rsidR="002F3E2D" w:rsidRPr="002F3E2D" w:rsidRDefault="002F3E2D" w:rsidP="00770AF4">
            <w:pPr>
              <w:pStyle w:val="Heading3"/>
              <w:spacing w:before="0" w:after="100" w:afterAutospacing="1"/>
              <w:jc w:val="center"/>
              <w:rPr>
                <w:b w:val="0"/>
                <w:bCs/>
                <w:sz w:val="24"/>
              </w:rPr>
            </w:pPr>
            <w:r w:rsidRPr="002F3E2D">
              <w:rPr>
                <w:b w:val="0"/>
                <w:bCs/>
                <w:sz w:val="24"/>
              </w:rPr>
              <w:t>8.4%</w:t>
            </w:r>
          </w:p>
        </w:tc>
      </w:tr>
      <w:tr w:rsidR="006E2E18" w:rsidRPr="002F3E2D" w14:paraId="25D692F5" w14:textId="77777777" w:rsidTr="00192AC8">
        <w:trPr>
          <w:cantSplit/>
          <w:trHeight w:val="307"/>
        </w:trPr>
        <w:tc>
          <w:tcPr>
            <w:tcW w:w="2070" w:type="dxa"/>
            <w:hideMark/>
          </w:tcPr>
          <w:p w14:paraId="28958C3C" w14:textId="13E1CECA" w:rsidR="002F3E2D" w:rsidRPr="003251C9" w:rsidRDefault="002F3E2D" w:rsidP="00770AF4">
            <w:pPr>
              <w:spacing w:before="0" w:after="100" w:afterAutospacing="1"/>
              <w:jc w:val="center"/>
              <w:rPr>
                <w:b/>
                <w:bCs/>
              </w:rPr>
            </w:pPr>
            <w:r w:rsidRPr="003251C9">
              <w:rPr>
                <w:b/>
                <w:bCs/>
              </w:rPr>
              <w:t>1</w:t>
            </w:r>
            <w:r w:rsidR="00770AF4" w:rsidRPr="003251C9">
              <w:rPr>
                <w:b/>
                <w:bCs/>
              </w:rPr>
              <w:t>2</w:t>
            </w:r>
          </w:p>
        </w:tc>
        <w:tc>
          <w:tcPr>
            <w:tcW w:w="1643" w:type="dxa"/>
            <w:hideMark/>
          </w:tcPr>
          <w:p w14:paraId="0C31A9B6" w14:textId="287EFFF8" w:rsidR="002F3E2D" w:rsidRPr="002F3E2D" w:rsidRDefault="002F3E2D" w:rsidP="00770AF4">
            <w:pPr>
              <w:pStyle w:val="Heading3"/>
              <w:spacing w:before="0" w:after="100" w:afterAutospacing="1"/>
              <w:jc w:val="center"/>
              <w:rPr>
                <w:b w:val="0"/>
                <w:bCs/>
                <w:sz w:val="24"/>
              </w:rPr>
            </w:pPr>
            <w:r w:rsidRPr="002F3E2D">
              <w:rPr>
                <w:b w:val="0"/>
                <w:bCs/>
                <w:sz w:val="24"/>
              </w:rPr>
              <w:t>42,294</w:t>
            </w:r>
          </w:p>
        </w:tc>
        <w:tc>
          <w:tcPr>
            <w:tcW w:w="1683" w:type="dxa"/>
            <w:hideMark/>
          </w:tcPr>
          <w:p w14:paraId="68486705" w14:textId="140BEC90" w:rsidR="002F3E2D" w:rsidRPr="002F3E2D" w:rsidRDefault="002F3E2D" w:rsidP="00770AF4">
            <w:pPr>
              <w:pStyle w:val="Heading3"/>
              <w:spacing w:before="0" w:after="100" w:afterAutospacing="1"/>
              <w:jc w:val="center"/>
              <w:rPr>
                <w:b w:val="0"/>
                <w:bCs/>
                <w:sz w:val="24"/>
              </w:rPr>
            </w:pPr>
            <w:r w:rsidRPr="002F3E2D">
              <w:rPr>
                <w:b w:val="0"/>
                <w:bCs/>
                <w:sz w:val="24"/>
              </w:rPr>
              <w:t>514,595</w:t>
            </w:r>
          </w:p>
        </w:tc>
        <w:tc>
          <w:tcPr>
            <w:tcW w:w="1763" w:type="dxa"/>
            <w:hideMark/>
          </w:tcPr>
          <w:p w14:paraId="3CA52058" w14:textId="7442289E" w:rsidR="002F3E2D" w:rsidRPr="002F3E2D" w:rsidRDefault="002F3E2D" w:rsidP="00770AF4">
            <w:pPr>
              <w:pStyle w:val="Heading3"/>
              <w:spacing w:before="0" w:after="100" w:afterAutospacing="1"/>
              <w:jc w:val="center"/>
              <w:rPr>
                <w:b w:val="0"/>
                <w:bCs/>
                <w:sz w:val="24"/>
              </w:rPr>
            </w:pPr>
            <w:r w:rsidRPr="002F3E2D">
              <w:rPr>
                <w:b w:val="0"/>
                <w:bCs/>
                <w:sz w:val="24"/>
              </w:rPr>
              <w:t>8.2%</w:t>
            </w:r>
          </w:p>
        </w:tc>
      </w:tr>
      <w:tr w:rsidR="006E2E18" w:rsidRPr="002F3E2D" w14:paraId="41A7772D" w14:textId="77777777" w:rsidTr="00192AC8">
        <w:trPr>
          <w:cantSplit/>
        </w:trPr>
        <w:tc>
          <w:tcPr>
            <w:tcW w:w="2070" w:type="dxa"/>
            <w:shd w:val="clear" w:color="auto" w:fill="E7E6E6" w:themeFill="background2"/>
            <w:hideMark/>
          </w:tcPr>
          <w:p w14:paraId="33D08351" w14:textId="6210F084" w:rsidR="002F3E2D" w:rsidRPr="003251C9" w:rsidRDefault="002F3E2D" w:rsidP="00770AF4">
            <w:pPr>
              <w:spacing w:before="0" w:after="0"/>
              <w:jc w:val="center"/>
              <w:rPr>
                <w:b/>
                <w:bCs/>
              </w:rPr>
            </w:pPr>
            <w:r w:rsidRPr="003251C9">
              <w:rPr>
                <w:b/>
                <w:bCs/>
              </w:rPr>
              <w:t>Total LTEL</w:t>
            </w:r>
            <w:r w:rsidR="007A0C13" w:rsidRPr="003251C9">
              <w:rPr>
                <w:b/>
                <w:bCs/>
              </w:rPr>
              <w:t xml:space="preserve"> </w:t>
            </w:r>
            <w:r w:rsidRPr="003251C9">
              <w:rPr>
                <w:b/>
                <w:bCs/>
              </w:rPr>
              <w:t>Statewide</w:t>
            </w:r>
          </w:p>
        </w:tc>
        <w:tc>
          <w:tcPr>
            <w:tcW w:w="1643" w:type="dxa"/>
            <w:shd w:val="clear" w:color="auto" w:fill="E7E6E6" w:themeFill="background2"/>
            <w:hideMark/>
          </w:tcPr>
          <w:p w14:paraId="614A8ABF" w14:textId="3EE7F3CF" w:rsidR="002F3E2D" w:rsidRPr="003251C9" w:rsidRDefault="002F3E2D" w:rsidP="00770AF4">
            <w:pPr>
              <w:pStyle w:val="Heading3"/>
              <w:spacing w:before="0" w:after="100" w:afterAutospacing="1"/>
              <w:jc w:val="center"/>
              <w:rPr>
                <w:b w:val="0"/>
                <w:bCs/>
                <w:sz w:val="24"/>
              </w:rPr>
            </w:pPr>
            <w:r w:rsidRPr="003251C9">
              <w:rPr>
                <w:b w:val="0"/>
                <w:bCs/>
                <w:sz w:val="24"/>
              </w:rPr>
              <w:t>300,950</w:t>
            </w:r>
          </w:p>
        </w:tc>
        <w:tc>
          <w:tcPr>
            <w:tcW w:w="1683" w:type="dxa"/>
            <w:shd w:val="clear" w:color="auto" w:fill="E7E6E6" w:themeFill="background2"/>
            <w:hideMark/>
          </w:tcPr>
          <w:p w14:paraId="03B9B6CE" w14:textId="63812FB4" w:rsidR="002F3E2D" w:rsidRPr="003251C9" w:rsidRDefault="002F3E2D" w:rsidP="00770AF4">
            <w:pPr>
              <w:pStyle w:val="Heading3"/>
              <w:spacing w:before="0" w:after="100" w:afterAutospacing="1"/>
              <w:jc w:val="center"/>
              <w:rPr>
                <w:b w:val="0"/>
                <w:bCs/>
                <w:sz w:val="24"/>
              </w:rPr>
            </w:pPr>
            <w:r w:rsidRPr="003251C9">
              <w:rPr>
                <w:b w:val="0"/>
                <w:bCs/>
                <w:sz w:val="24"/>
              </w:rPr>
              <w:t>5,837,690</w:t>
            </w:r>
          </w:p>
        </w:tc>
        <w:tc>
          <w:tcPr>
            <w:tcW w:w="1763" w:type="dxa"/>
            <w:shd w:val="clear" w:color="auto" w:fill="E7E6E6" w:themeFill="background2"/>
            <w:hideMark/>
          </w:tcPr>
          <w:p w14:paraId="06A6A227" w14:textId="6E0FEE9E" w:rsidR="002F3E2D" w:rsidRPr="003251C9" w:rsidRDefault="002F3E2D" w:rsidP="00770AF4">
            <w:pPr>
              <w:pStyle w:val="Heading3"/>
              <w:spacing w:before="0" w:after="100" w:afterAutospacing="1"/>
              <w:jc w:val="center"/>
              <w:rPr>
                <w:b w:val="0"/>
                <w:bCs/>
                <w:sz w:val="24"/>
              </w:rPr>
            </w:pPr>
            <w:r w:rsidRPr="003251C9">
              <w:rPr>
                <w:b w:val="0"/>
                <w:bCs/>
                <w:sz w:val="24"/>
              </w:rPr>
              <w:t>5.2%</w:t>
            </w:r>
          </w:p>
        </w:tc>
      </w:tr>
    </w:tbl>
    <w:p w14:paraId="695C3FC6" w14:textId="2F28C84D" w:rsidR="00E7136F" w:rsidRDefault="00702240" w:rsidP="008B12D2">
      <w:r>
        <w:t xml:space="preserve">CDE then </w:t>
      </w:r>
      <w:r w:rsidR="006C3F88">
        <w:t xml:space="preserve">looked at how many LTELs </w:t>
      </w:r>
      <w:r w:rsidR="00DF77E1">
        <w:t xml:space="preserve">in </w:t>
      </w:r>
      <w:r w:rsidR="00224929">
        <w:t>g</w:t>
      </w:r>
      <w:r w:rsidR="00DF77E1">
        <w:t xml:space="preserve">rades 9 through 12 </w:t>
      </w:r>
      <w:r w:rsidR="006C3F88">
        <w:t xml:space="preserve">were enrolled in </w:t>
      </w:r>
      <w:r w:rsidR="00DB2AFD">
        <w:t>various grades compared to the school type and district type that the</w:t>
      </w:r>
      <w:r w:rsidR="00DF77E1">
        <w:t xml:space="preserve">ir schools/districts were held accountable </w:t>
      </w:r>
      <w:r w:rsidR="002B1D92">
        <w:t>for on the 2024 Dashboard. Table</w:t>
      </w:r>
      <w:r w:rsidR="004979FE">
        <w:t xml:space="preserve"> 19</w:t>
      </w:r>
      <w:r w:rsidR="002B1D92">
        <w:t xml:space="preserve"> shows the counts by school type and Table</w:t>
      </w:r>
      <w:r w:rsidR="004979FE">
        <w:t xml:space="preserve"> 20</w:t>
      </w:r>
      <w:r w:rsidR="002B1D92">
        <w:t xml:space="preserve"> shows the counts by district type.</w:t>
      </w:r>
    </w:p>
    <w:p w14:paraId="107CCE5F" w14:textId="63F3AF7E" w:rsidR="00207DA4" w:rsidRPr="00192AC8" w:rsidRDefault="00207DA4" w:rsidP="00192AC8">
      <w:pPr>
        <w:pStyle w:val="Heading3"/>
        <w:rPr>
          <w:color w:val="000000" w:themeColor="text1"/>
          <w:sz w:val="24"/>
          <w:szCs w:val="20"/>
        </w:rPr>
      </w:pPr>
      <w:r w:rsidRPr="00192AC8">
        <w:rPr>
          <w:color w:val="000000" w:themeColor="text1"/>
          <w:sz w:val="24"/>
          <w:szCs w:val="20"/>
        </w:rPr>
        <w:t>Table</w:t>
      </w:r>
      <w:r w:rsidR="004979FE" w:rsidRPr="00192AC8">
        <w:rPr>
          <w:color w:val="000000" w:themeColor="text1"/>
          <w:sz w:val="24"/>
          <w:szCs w:val="20"/>
        </w:rPr>
        <w:t xml:space="preserve"> </w:t>
      </w:r>
      <w:r w:rsidR="00B55580" w:rsidRPr="00192AC8">
        <w:rPr>
          <w:color w:val="000000" w:themeColor="text1"/>
          <w:sz w:val="24"/>
          <w:szCs w:val="20"/>
        </w:rPr>
        <w:t>19</w:t>
      </w:r>
      <w:r w:rsidRPr="00192AC8">
        <w:rPr>
          <w:color w:val="000000" w:themeColor="text1"/>
          <w:sz w:val="24"/>
          <w:szCs w:val="20"/>
        </w:rPr>
        <w:t>: LTEL Counts for Suspension on the 2024 Dashboard for School Types by Grade Enrolled</w:t>
      </w:r>
    </w:p>
    <w:tbl>
      <w:tblPr>
        <w:tblStyle w:val="GridTable4-Accent3"/>
        <w:tblW w:w="9350" w:type="dxa"/>
        <w:tblLook w:val="04A0" w:firstRow="1" w:lastRow="0" w:firstColumn="1" w:lastColumn="0" w:noHBand="0" w:noVBand="1"/>
      </w:tblPr>
      <w:tblGrid>
        <w:gridCol w:w="1537"/>
        <w:gridCol w:w="922"/>
        <w:gridCol w:w="958"/>
        <w:gridCol w:w="958"/>
        <w:gridCol w:w="958"/>
        <w:gridCol w:w="951"/>
        <w:gridCol w:w="951"/>
        <w:gridCol w:w="951"/>
        <w:gridCol w:w="1164"/>
      </w:tblGrid>
      <w:tr w:rsidR="00E9799A" w:rsidRPr="008B12D2" w14:paraId="544944B1" w14:textId="77777777" w:rsidTr="00192AC8">
        <w:trPr>
          <w:cnfStyle w:val="100000000000" w:firstRow="1" w:lastRow="0" w:firstColumn="0" w:lastColumn="0" w:oddVBand="0" w:evenVBand="0" w:oddHBand="0" w:evenHBand="0" w:firstRowFirstColumn="0" w:firstRowLastColumn="0" w:lastRowFirstColumn="0" w:lastRowLastColumn="0"/>
          <w:cantSplit/>
          <w:trHeight w:val="877"/>
          <w:tblHeader/>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0F44F2" w14:textId="1FA6D63E" w:rsidR="00E9799A" w:rsidRPr="00B55580" w:rsidRDefault="00E9799A" w:rsidP="00B55580">
            <w:pPr>
              <w:spacing w:before="0" w:after="0"/>
              <w:jc w:val="center"/>
              <w:rPr>
                <w:color w:val="auto"/>
              </w:rPr>
            </w:pPr>
            <w:r w:rsidRPr="00B55580">
              <w:rPr>
                <w:color w:val="auto"/>
              </w:rPr>
              <w:t>District Type</w:t>
            </w:r>
          </w:p>
        </w:tc>
        <w:tc>
          <w:tcPr>
            <w:tcW w:w="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D4EA55" w14:textId="5E75D061"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B55580">
              <w:rPr>
                <w:color w:val="auto"/>
              </w:rPr>
              <w:t>Grade 6</w:t>
            </w:r>
          </w:p>
        </w:tc>
        <w:tc>
          <w:tcPr>
            <w:tcW w:w="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2E805E" w14:textId="68C7FA7E"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B55580">
              <w:rPr>
                <w:color w:val="auto"/>
              </w:rPr>
              <w:t>Grade 7</w:t>
            </w:r>
          </w:p>
        </w:tc>
        <w:tc>
          <w:tcPr>
            <w:tcW w:w="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FF668D" w14:textId="5AE1AB22"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B55580">
              <w:rPr>
                <w:color w:val="auto"/>
              </w:rPr>
              <w:t>Grade 8</w:t>
            </w:r>
          </w:p>
        </w:tc>
        <w:tc>
          <w:tcPr>
            <w:tcW w:w="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0DDEE0" w14:textId="1E6F1EC1"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rsidRPr="00B55580">
              <w:rPr>
                <w:color w:val="auto"/>
              </w:rPr>
              <w:t>Grade 9</w:t>
            </w:r>
          </w:p>
        </w:tc>
        <w:tc>
          <w:tcPr>
            <w:tcW w:w="910" w:type="dxa"/>
            <w:tcBorders>
              <w:top w:val="single" w:sz="4" w:space="0" w:color="auto"/>
              <w:left w:val="single" w:sz="4" w:space="0" w:color="auto"/>
              <w:bottom w:val="single" w:sz="4" w:space="0" w:color="auto"/>
              <w:right w:val="single" w:sz="4" w:space="0" w:color="auto"/>
            </w:tcBorders>
            <w:shd w:val="clear" w:color="auto" w:fill="E7E6E6" w:themeFill="background2"/>
          </w:tcPr>
          <w:p w14:paraId="472C254B" w14:textId="77777777"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B55580">
              <w:rPr>
                <w:b w:val="0"/>
                <w:bCs w:val="0"/>
                <w:color w:val="auto"/>
              </w:rPr>
              <w:t>Grade 10</w:t>
            </w:r>
          </w:p>
        </w:tc>
        <w:tc>
          <w:tcPr>
            <w:tcW w:w="910" w:type="dxa"/>
            <w:tcBorders>
              <w:top w:val="single" w:sz="4" w:space="0" w:color="auto"/>
              <w:left w:val="single" w:sz="4" w:space="0" w:color="auto"/>
              <w:bottom w:val="single" w:sz="4" w:space="0" w:color="auto"/>
              <w:right w:val="single" w:sz="4" w:space="0" w:color="auto"/>
            </w:tcBorders>
            <w:shd w:val="clear" w:color="auto" w:fill="E7E6E6" w:themeFill="background2"/>
          </w:tcPr>
          <w:p w14:paraId="039F9A12" w14:textId="77777777"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B55580">
              <w:rPr>
                <w:b w:val="0"/>
                <w:bCs w:val="0"/>
                <w:color w:val="auto"/>
              </w:rPr>
              <w:t>Grade 11</w:t>
            </w:r>
          </w:p>
        </w:tc>
        <w:tc>
          <w:tcPr>
            <w:tcW w:w="910" w:type="dxa"/>
            <w:tcBorders>
              <w:top w:val="single" w:sz="4" w:space="0" w:color="auto"/>
              <w:left w:val="single" w:sz="4" w:space="0" w:color="auto"/>
              <w:bottom w:val="single" w:sz="4" w:space="0" w:color="auto"/>
              <w:right w:val="single" w:sz="4" w:space="0" w:color="auto"/>
            </w:tcBorders>
            <w:shd w:val="clear" w:color="auto" w:fill="E7E6E6" w:themeFill="background2"/>
          </w:tcPr>
          <w:p w14:paraId="1CE666A1" w14:textId="77777777"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B55580">
              <w:rPr>
                <w:b w:val="0"/>
                <w:bCs w:val="0"/>
                <w:color w:val="auto"/>
              </w:rPr>
              <w:t>Grade 12</w:t>
            </w:r>
          </w:p>
        </w:tc>
        <w:tc>
          <w:tcPr>
            <w:tcW w:w="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DFBE9E8" w14:textId="77777777" w:rsidR="00E9799A" w:rsidRPr="00B55580" w:rsidRDefault="00E9799A" w:rsidP="00B55580">
            <w:pPr>
              <w:spacing w:before="0" w:after="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B55580">
              <w:rPr>
                <w:b w:val="0"/>
                <w:bCs w:val="0"/>
                <w:color w:val="auto"/>
              </w:rPr>
              <w:t>Total of LTELS Students Across Grades</w:t>
            </w:r>
          </w:p>
        </w:tc>
      </w:tr>
      <w:tr w:rsidR="00E9799A" w:rsidRPr="008B12D2" w14:paraId="34048CAE" w14:textId="77777777" w:rsidTr="00192AC8">
        <w:trPr>
          <w:cnfStyle w:val="000000100000" w:firstRow="0" w:lastRow="0" w:firstColumn="0" w:lastColumn="0" w:oddVBand="0" w:evenVBand="0" w:oddHBand="1" w:evenHBand="0" w:firstRowFirstColumn="0" w:firstRowLastColumn="0" w:lastRowFirstColumn="0" w:lastRowLastColumn="0"/>
          <w:cantSplit/>
          <w:trHeight w:val="87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tcBorders>
            <w:shd w:val="clear" w:color="auto" w:fill="auto"/>
            <w:hideMark/>
          </w:tcPr>
          <w:p w14:paraId="19DD2B38" w14:textId="01FB1A64" w:rsidR="00E9799A" w:rsidRPr="008B12D2" w:rsidRDefault="00E9799A" w:rsidP="00B55580">
            <w:pPr>
              <w:spacing w:before="0" w:after="0"/>
              <w:jc w:val="center"/>
            </w:pPr>
            <w:r w:rsidRPr="008B12D2">
              <w:t xml:space="preserve">Elementary </w:t>
            </w:r>
            <w:r>
              <w:t>School</w:t>
            </w:r>
          </w:p>
        </w:tc>
        <w:tc>
          <w:tcPr>
            <w:tcW w:w="998" w:type="dxa"/>
            <w:tcBorders>
              <w:top w:val="single" w:sz="4" w:space="0" w:color="auto"/>
            </w:tcBorders>
            <w:shd w:val="clear" w:color="auto" w:fill="auto"/>
          </w:tcPr>
          <w:p w14:paraId="54CFD2EB" w14:textId="23EDF381" w:rsidR="00E9799A" w:rsidRPr="008B12D2" w:rsidRDefault="1E570F22" w:rsidP="00760D4C">
            <w:pPr>
              <w:spacing w:before="0" w:after="0"/>
              <w:jc w:val="center"/>
              <w:cnfStyle w:val="000000100000" w:firstRow="0" w:lastRow="0" w:firstColumn="0" w:lastColumn="0" w:oddVBand="0" w:evenVBand="0" w:oddHBand="1" w:evenHBand="0" w:firstRowFirstColumn="0" w:firstRowLastColumn="0" w:lastRowFirstColumn="0" w:lastRowLastColumn="0"/>
            </w:pPr>
            <w:r>
              <w:t>9,225</w:t>
            </w:r>
          </w:p>
        </w:tc>
        <w:tc>
          <w:tcPr>
            <w:tcW w:w="999" w:type="dxa"/>
            <w:tcBorders>
              <w:top w:val="single" w:sz="4" w:space="0" w:color="auto"/>
            </w:tcBorders>
            <w:shd w:val="clear" w:color="auto" w:fill="auto"/>
          </w:tcPr>
          <w:p w14:paraId="43DB5777" w14:textId="5CDDADD1" w:rsidR="00E9799A" w:rsidRPr="008B12D2" w:rsidRDefault="1E570F22" w:rsidP="00B55580">
            <w:pPr>
              <w:spacing w:before="0" w:after="0"/>
              <w:jc w:val="center"/>
              <w:cnfStyle w:val="000000100000" w:firstRow="0" w:lastRow="0" w:firstColumn="0" w:lastColumn="0" w:oddVBand="0" w:evenVBand="0" w:oddHBand="1" w:evenHBand="0" w:firstRowFirstColumn="0" w:firstRowLastColumn="0" w:lastRowFirstColumn="0" w:lastRowLastColumn="0"/>
            </w:pPr>
            <w:r>
              <w:t>8,529</w:t>
            </w:r>
          </w:p>
        </w:tc>
        <w:tc>
          <w:tcPr>
            <w:tcW w:w="999" w:type="dxa"/>
            <w:tcBorders>
              <w:top w:val="single" w:sz="4" w:space="0" w:color="auto"/>
            </w:tcBorders>
            <w:shd w:val="clear" w:color="auto" w:fill="auto"/>
          </w:tcPr>
          <w:p w14:paraId="50B73EC1" w14:textId="04BA02DF" w:rsidR="00E9799A" w:rsidRPr="008B12D2" w:rsidRDefault="1E570F22" w:rsidP="00B55580">
            <w:pPr>
              <w:spacing w:before="0" w:after="0"/>
              <w:jc w:val="center"/>
              <w:cnfStyle w:val="000000100000" w:firstRow="0" w:lastRow="0" w:firstColumn="0" w:lastColumn="0" w:oddVBand="0" w:evenVBand="0" w:oddHBand="1" w:evenHBand="0" w:firstRowFirstColumn="0" w:firstRowLastColumn="0" w:lastRowFirstColumn="0" w:lastRowLastColumn="0"/>
            </w:pPr>
            <w:r>
              <w:t>6,867</w:t>
            </w:r>
          </w:p>
        </w:tc>
        <w:tc>
          <w:tcPr>
            <w:tcW w:w="999" w:type="dxa"/>
            <w:tcBorders>
              <w:top w:val="single" w:sz="4" w:space="0" w:color="auto"/>
            </w:tcBorders>
            <w:shd w:val="clear" w:color="auto" w:fill="auto"/>
          </w:tcPr>
          <w:p w14:paraId="20EF59BE" w14:textId="43A2A3DB" w:rsidR="00E9799A" w:rsidRPr="008B12D2" w:rsidRDefault="1E570F22" w:rsidP="00B55580">
            <w:pPr>
              <w:spacing w:before="0" w:after="0"/>
              <w:jc w:val="center"/>
              <w:cnfStyle w:val="000000100000" w:firstRow="0" w:lastRow="0" w:firstColumn="0" w:lastColumn="0" w:oddVBand="0" w:evenVBand="0" w:oddHBand="1" w:evenHBand="0" w:firstRowFirstColumn="0" w:firstRowLastColumn="0" w:lastRowFirstColumn="0" w:lastRowLastColumn="0"/>
            </w:pPr>
            <w:r>
              <w:t>0</w:t>
            </w:r>
          </w:p>
        </w:tc>
        <w:tc>
          <w:tcPr>
            <w:tcW w:w="910" w:type="dxa"/>
            <w:tcBorders>
              <w:top w:val="single" w:sz="4" w:space="0" w:color="auto"/>
            </w:tcBorders>
            <w:shd w:val="clear" w:color="auto" w:fill="auto"/>
          </w:tcPr>
          <w:p w14:paraId="19528985" w14:textId="64E02C4D" w:rsidR="00E9799A" w:rsidRPr="008B12D2" w:rsidRDefault="6653DDB7" w:rsidP="00B55580">
            <w:pPr>
              <w:spacing w:before="0" w:after="0"/>
              <w:jc w:val="center"/>
              <w:cnfStyle w:val="000000100000" w:firstRow="0" w:lastRow="0" w:firstColumn="0" w:lastColumn="0" w:oddVBand="0" w:evenVBand="0" w:oddHBand="1" w:evenHBand="0" w:firstRowFirstColumn="0" w:firstRowLastColumn="0" w:lastRowFirstColumn="0" w:lastRowLastColumn="0"/>
            </w:pPr>
            <w:r>
              <w:t>11,892</w:t>
            </w:r>
          </w:p>
        </w:tc>
        <w:tc>
          <w:tcPr>
            <w:tcW w:w="910" w:type="dxa"/>
            <w:tcBorders>
              <w:top w:val="single" w:sz="4" w:space="0" w:color="auto"/>
            </w:tcBorders>
            <w:shd w:val="clear" w:color="auto" w:fill="auto"/>
          </w:tcPr>
          <w:p w14:paraId="0E726F56" w14:textId="5AC406ED" w:rsidR="00E9799A" w:rsidRPr="008B12D2" w:rsidRDefault="6653DDB7" w:rsidP="00B55580">
            <w:pPr>
              <w:spacing w:before="0" w:after="0"/>
              <w:jc w:val="center"/>
              <w:cnfStyle w:val="000000100000" w:firstRow="0" w:lastRow="0" w:firstColumn="0" w:lastColumn="0" w:oddVBand="0" w:evenVBand="0" w:oddHBand="1" w:evenHBand="0" w:firstRowFirstColumn="0" w:firstRowLastColumn="0" w:lastRowFirstColumn="0" w:lastRowLastColumn="0"/>
            </w:pPr>
            <w:r>
              <w:t>10,968</w:t>
            </w:r>
          </w:p>
        </w:tc>
        <w:tc>
          <w:tcPr>
            <w:tcW w:w="910" w:type="dxa"/>
            <w:tcBorders>
              <w:top w:val="single" w:sz="4" w:space="0" w:color="auto"/>
            </w:tcBorders>
            <w:shd w:val="clear" w:color="auto" w:fill="auto"/>
          </w:tcPr>
          <w:p w14:paraId="5725FCAC" w14:textId="727E27BE" w:rsidR="00E9799A" w:rsidRPr="008B12D2" w:rsidRDefault="6653DDB7" w:rsidP="00B55580">
            <w:pPr>
              <w:spacing w:before="0" w:after="0"/>
              <w:jc w:val="center"/>
              <w:cnfStyle w:val="000000100000" w:firstRow="0" w:lastRow="0" w:firstColumn="0" w:lastColumn="0" w:oddVBand="0" w:evenVBand="0" w:oddHBand="1" w:evenHBand="0" w:firstRowFirstColumn="0" w:firstRowLastColumn="0" w:lastRowFirstColumn="0" w:lastRowLastColumn="0"/>
            </w:pPr>
            <w:r>
              <w:t>11,698</w:t>
            </w:r>
          </w:p>
        </w:tc>
        <w:tc>
          <w:tcPr>
            <w:tcW w:w="923" w:type="dxa"/>
            <w:tcBorders>
              <w:top w:val="single" w:sz="4" w:space="0" w:color="auto"/>
            </w:tcBorders>
            <w:shd w:val="clear" w:color="auto" w:fill="auto"/>
          </w:tcPr>
          <w:p w14:paraId="675B48CB" w14:textId="610E083A" w:rsidR="00E9799A" w:rsidRPr="008B12D2" w:rsidRDefault="6653DDB7" w:rsidP="00B55580">
            <w:pPr>
              <w:spacing w:before="0" w:after="0"/>
              <w:jc w:val="center"/>
              <w:cnfStyle w:val="000000100000" w:firstRow="0" w:lastRow="0" w:firstColumn="0" w:lastColumn="0" w:oddVBand="0" w:evenVBand="0" w:oddHBand="1" w:evenHBand="0" w:firstRowFirstColumn="0" w:firstRowLastColumn="0" w:lastRowFirstColumn="0" w:lastRowLastColumn="0"/>
            </w:pPr>
            <w:r>
              <w:t>59,179</w:t>
            </w:r>
          </w:p>
        </w:tc>
      </w:tr>
      <w:tr w:rsidR="00E9799A" w:rsidRPr="008B12D2" w14:paraId="30AC0F10" w14:textId="77777777" w:rsidTr="00192AC8">
        <w:trPr>
          <w:cantSplit/>
          <w:trHeight w:val="877"/>
        </w:trPr>
        <w:tc>
          <w:tcPr>
            <w:cnfStyle w:val="001000000000" w:firstRow="0" w:lastRow="0" w:firstColumn="1" w:lastColumn="0" w:oddVBand="0" w:evenVBand="0" w:oddHBand="0" w:evenHBand="0" w:firstRowFirstColumn="0" w:firstRowLastColumn="0" w:lastRowFirstColumn="0" w:lastRowLastColumn="0"/>
            <w:tcW w:w="1702" w:type="dxa"/>
            <w:shd w:val="clear" w:color="auto" w:fill="E7E6E6" w:themeFill="background2"/>
            <w:hideMark/>
          </w:tcPr>
          <w:p w14:paraId="2D95CF7F" w14:textId="7EEE7130" w:rsidR="00E9799A" w:rsidRPr="008B12D2" w:rsidRDefault="00E9799A" w:rsidP="00B55580">
            <w:pPr>
              <w:spacing w:before="0" w:after="0"/>
              <w:jc w:val="center"/>
            </w:pPr>
            <w:r>
              <w:t>Middle School</w:t>
            </w:r>
          </w:p>
        </w:tc>
        <w:tc>
          <w:tcPr>
            <w:tcW w:w="998" w:type="dxa"/>
            <w:shd w:val="clear" w:color="auto" w:fill="E7E6E6" w:themeFill="background2"/>
          </w:tcPr>
          <w:p w14:paraId="6745FE45" w14:textId="089E4548" w:rsidR="00E9799A" w:rsidRPr="008B12D2" w:rsidRDefault="453926F7" w:rsidP="00760D4C">
            <w:pPr>
              <w:spacing w:before="0" w:after="0"/>
              <w:jc w:val="center"/>
              <w:cnfStyle w:val="000000000000" w:firstRow="0" w:lastRow="0" w:firstColumn="0" w:lastColumn="0" w:oddVBand="0" w:evenVBand="0" w:oddHBand="0" w:evenHBand="0" w:firstRowFirstColumn="0" w:firstRowLastColumn="0" w:lastRowFirstColumn="0" w:lastRowLastColumn="0"/>
            </w:pPr>
            <w:r>
              <w:t>7,735</w:t>
            </w:r>
          </w:p>
        </w:tc>
        <w:tc>
          <w:tcPr>
            <w:tcW w:w="999" w:type="dxa"/>
            <w:shd w:val="clear" w:color="auto" w:fill="E7E6E6" w:themeFill="background2"/>
          </w:tcPr>
          <w:p w14:paraId="033893AF" w14:textId="0FE92D98" w:rsidR="00E9799A" w:rsidRPr="008B12D2" w:rsidRDefault="453926F7" w:rsidP="00B55580">
            <w:pPr>
              <w:spacing w:before="0" w:after="0"/>
              <w:jc w:val="center"/>
              <w:cnfStyle w:val="000000000000" w:firstRow="0" w:lastRow="0" w:firstColumn="0" w:lastColumn="0" w:oddVBand="0" w:evenVBand="0" w:oddHBand="0" w:evenHBand="0" w:firstRowFirstColumn="0" w:firstRowLastColumn="0" w:lastRowFirstColumn="0" w:lastRowLastColumn="0"/>
            </w:pPr>
            <w:r>
              <w:t>44,338</w:t>
            </w:r>
          </w:p>
        </w:tc>
        <w:tc>
          <w:tcPr>
            <w:tcW w:w="999" w:type="dxa"/>
            <w:shd w:val="clear" w:color="auto" w:fill="E7E6E6" w:themeFill="background2"/>
          </w:tcPr>
          <w:p w14:paraId="2C86424B" w14:textId="0D405CFD" w:rsidR="00E9799A" w:rsidRPr="008B12D2" w:rsidRDefault="453926F7" w:rsidP="00B55580">
            <w:pPr>
              <w:spacing w:before="0" w:after="0"/>
              <w:jc w:val="center"/>
              <w:cnfStyle w:val="000000000000" w:firstRow="0" w:lastRow="0" w:firstColumn="0" w:lastColumn="0" w:oddVBand="0" w:evenVBand="0" w:oddHBand="0" w:evenHBand="0" w:firstRowFirstColumn="0" w:firstRowLastColumn="0" w:lastRowFirstColumn="0" w:lastRowLastColumn="0"/>
            </w:pPr>
            <w:r>
              <w:t>38,167</w:t>
            </w:r>
          </w:p>
        </w:tc>
        <w:tc>
          <w:tcPr>
            <w:tcW w:w="999" w:type="dxa"/>
            <w:shd w:val="clear" w:color="auto" w:fill="E7E6E6" w:themeFill="background2"/>
          </w:tcPr>
          <w:p w14:paraId="35AA070C" w14:textId="5C855111" w:rsidR="00E9799A" w:rsidRPr="008B12D2" w:rsidRDefault="453926F7" w:rsidP="00B55580">
            <w:pPr>
              <w:spacing w:before="0" w:after="0"/>
              <w:jc w:val="center"/>
              <w:cnfStyle w:val="000000000000" w:firstRow="0" w:lastRow="0" w:firstColumn="0" w:lastColumn="0" w:oddVBand="0" w:evenVBand="0" w:oddHBand="0" w:evenHBand="0" w:firstRowFirstColumn="0" w:firstRowLastColumn="0" w:lastRowFirstColumn="0" w:lastRowLastColumn="0"/>
            </w:pPr>
            <w:r>
              <w:t>134</w:t>
            </w:r>
          </w:p>
        </w:tc>
        <w:tc>
          <w:tcPr>
            <w:tcW w:w="910" w:type="dxa"/>
            <w:shd w:val="clear" w:color="auto" w:fill="E7E6E6" w:themeFill="background2"/>
          </w:tcPr>
          <w:p w14:paraId="56DD32FF" w14:textId="7A96D5A4" w:rsidR="00E9799A" w:rsidRPr="008B12D2" w:rsidRDefault="38D1852E" w:rsidP="00B55580">
            <w:pPr>
              <w:spacing w:before="0" w:after="0"/>
              <w:jc w:val="center"/>
              <w:cnfStyle w:val="000000000000" w:firstRow="0" w:lastRow="0" w:firstColumn="0" w:lastColumn="0" w:oddVBand="0" w:evenVBand="0" w:oddHBand="0" w:evenHBand="0" w:firstRowFirstColumn="0" w:firstRowLastColumn="0" w:lastRowFirstColumn="0" w:lastRowLastColumn="0"/>
            </w:pPr>
            <w:r>
              <w:t>0</w:t>
            </w:r>
          </w:p>
        </w:tc>
        <w:tc>
          <w:tcPr>
            <w:tcW w:w="910" w:type="dxa"/>
            <w:shd w:val="clear" w:color="auto" w:fill="E7E6E6" w:themeFill="background2"/>
          </w:tcPr>
          <w:p w14:paraId="7EFA4018" w14:textId="2D83A2CA" w:rsidR="00E9799A" w:rsidRPr="008B12D2" w:rsidRDefault="38D1852E" w:rsidP="00B55580">
            <w:pPr>
              <w:spacing w:before="0" w:after="0"/>
              <w:jc w:val="center"/>
              <w:cnfStyle w:val="000000000000" w:firstRow="0" w:lastRow="0" w:firstColumn="0" w:lastColumn="0" w:oddVBand="0" w:evenVBand="0" w:oddHBand="0" w:evenHBand="0" w:firstRowFirstColumn="0" w:firstRowLastColumn="0" w:lastRowFirstColumn="0" w:lastRowLastColumn="0"/>
            </w:pPr>
            <w:r>
              <w:t>0</w:t>
            </w:r>
          </w:p>
        </w:tc>
        <w:tc>
          <w:tcPr>
            <w:tcW w:w="910" w:type="dxa"/>
            <w:shd w:val="clear" w:color="auto" w:fill="E7E6E6" w:themeFill="background2"/>
          </w:tcPr>
          <w:p w14:paraId="6179C24A" w14:textId="7A64F2EA" w:rsidR="00E9799A" w:rsidRPr="008B12D2" w:rsidRDefault="38D1852E" w:rsidP="00B55580">
            <w:pPr>
              <w:spacing w:before="0" w:after="0"/>
              <w:jc w:val="center"/>
              <w:cnfStyle w:val="000000000000" w:firstRow="0" w:lastRow="0" w:firstColumn="0" w:lastColumn="0" w:oddVBand="0" w:evenVBand="0" w:oddHBand="0" w:evenHBand="0" w:firstRowFirstColumn="0" w:firstRowLastColumn="0" w:lastRowFirstColumn="0" w:lastRowLastColumn="0"/>
            </w:pPr>
            <w:r>
              <w:t>0</w:t>
            </w:r>
          </w:p>
        </w:tc>
        <w:tc>
          <w:tcPr>
            <w:tcW w:w="923" w:type="dxa"/>
            <w:shd w:val="clear" w:color="auto" w:fill="E7E6E6" w:themeFill="background2"/>
          </w:tcPr>
          <w:p w14:paraId="171F8E8A" w14:textId="6EE0496B" w:rsidR="00E9799A" w:rsidRPr="008B12D2" w:rsidRDefault="38D1852E" w:rsidP="00B55580">
            <w:pPr>
              <w:spacing w:before="0" w:after="0"/>
              <w:jc w:val="center"/>
              <w:cnfStyle w:val="000000000000" w:firstRow="0" w:lastRow="0" w:firstColumn="0" w:lastColumn="0" w:oddVBand="0" w:evenVBand="0" w:oddHBand="0" w:evenHBand="0" w:firstRowFirstColumn="0" w:firstRowLastColumn="0" w:lastRowFirstColumn="0" w:lastRowLastColumn="0"/>
            </w:pPr>
            <w:r>
              <w:t>90,374</w:t>
            </w:r>
          </w:p>
        </w:tc>
      </w:tr>
      <w:tr w:rsidR="00E9799A" w:rsidRPr="008B12D2" w14:paraId="059CC0BF" w14:textId="77777777" w:rsidTr="00192AC8">
        <w:trPr>
          <w:cnfStyle w:val="000000100000" w:firstRow="0" w:lastRow="0" w:firstColumn="0" w:lastColumn="0" w:oddVBand="0" w:evenVBand="0" w:oddHBand="1" w:evenHBand="0" w:firstRowFirstColumn="0" w:firstRowLastColumn="0" w:lastRowFirstColumn="0" w:lastRowLastColumn="0"/>
          <w:cantSplit/>
          <w:trHeight w:val="87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14:paraId="53CAA4DD" w14:textId="32F06BED" w:rsidR="00E9799A" w:rsidRPr="008B12D2" w:rsidRDefault="00E9799A" w:rsidP="00B55580">
            <w:pPr>
              <w:spacing w:before="0" w:after="0"/>
              <w:jc w:val="center"/>
            </w:pPr>
            <w:r>
              <w:t>High School</w:t>
            </w:r>
          </w:p>
        </w:tc>
        <w:tc>
          <w:tcPr>
            <w:tcW w:w="998" w:type="dxa"/>
            <w:shd w:val="clear" w:color="auto" w:fill="auto"/>
          </w:tcPr>
          <w:p w14:paraId="20239A23" w14:textId="0167B0ED" w:rsidR="00E9799A" w:rsidRPr="008B12D2" w:rsidRDefault="12B0C580" w:rsidP="00760D4C">
            <w:pPr>
              <w:spacing w:before="0" w:after="0"/>
              <w:jc w:val="center"/>
              <w:cnfStyle w:val="000000100000" w:firstRow="0" w:lastRow="0" w:firstColumn="0" w:lastColumn="0" w:oddVBand="0" w:evenVBand="0" w:oddHBand="1" w:evenHBand="0" w:firstRowFirstColumn="0" w:firstRowLastColumn="0" w:lastRowFirstColumn="0" w:lastRowLastColumn="0"/>
            </w:pPr>
            <w:r>
              <w:t>41</w:t>
            </w:r>
          </w:p>
        </w:tc>
        <w:tc>
          <w:tcPr>
            <w:tcW w:w="999" w:type="dxa"/>
            <w:shd w:val="clear" w:color="auto" w:fill="auto"/>
          </w:tcPr>
          <w:p w14:paraId="10DD011E" w14:textId="101ED632" w:rsidR="00E9799A" w:rsidRPr="008B12D2" w:rsidRDefault="12B0C580" w:rsidP="00B55580">
            <w:pPr>
              <w:spacing w:before="0" w:after="0"/>
              <w:jc w:val="center"/>
              <w:cnfStyle w:val="000000100000" w:firstRow="0" w:lastRow="0" w:firstColumn="0" w:lastColumn="0" w:oddVBand="0" w:evenVBand="0" w:oddHBand="1" w:evenHBand="0" w:firstRowFirstColumn="0" w:firstRowLastColumn="0" w:lastRowFirstColumn="0" w:lastRowLastColumn="0"/>
            </w:pPr>
            <w:r>
              <w:t>1,123</w:t>
            </w:r>
          </w:p>
        </w:tc>
        <w:tc>
          <w:tcPr>
            <w:tcW w:w="999" w:type="dxa"/>
            <w:shd w:val="clear" w:color="auto" w:fill="auto"/>
          </w:tcPr>
          <w:p w14:paraId="09808B8E" w14:textId="4D283225" w:rsidR="00E9799A" w:rsidRPr="008B12D2" w:rsidRDefault="12B0C580" w:rsidP="00B55580">
            <w:pPr>
              <w:spacing w:before="0" w:after="0"/>
              <w:jc w:val="center"/>
              <w:cnfStyle w:val="000000100000" w:firstRow="0" w:lastRow="0" w:firstColumn="0" w:lastColumn="0" w:oddVBand="0" w:evenVBand="0" w:oddHBand="1" w:evenHBand="0" w:firstRowFirstColumn="0" w:firstRowLastColumn="0" w:lastRowFirstColumn="0" w:lastRowLastColumn="0"/>
            </w:pPr>
            <w:r>
              <w:t>1,332</w:t>
            </w:r>
          </w:p>
        </w:tc>
        <w:tc>
          <w:tcPr>
            <w:tcW w:w="999" w:type="dxa"/>
            <w:shd w:val="clear" w:color="auto" w:fill="auto"/>
          </w:tcPr>
          <w:p w14:paraId="23768E25" w14:textId="4AFC27A6" w:rsidR="00E9799A" w:rsidRPr="008B12D2" w:rsidRDefault="12B0C580" w:rsidP="00B55580">
            <w:pPr>
              <w:spacing w:before="0" w:after="0"/>
              <w:jc w:val="center"/>
              <w:cnfStyle w:val="000000100000" w:firstRow="0" w:lastRow="0" w:firstColumn="0" w:lastColumn="0" w:oddVBand="0" w:evenVBand="0" w:oddHBand="1" w:evenHBand="0" w:firstRowFirstColumn="0" w:firstRowLastColumn="0" w:lastRowFirstColumn="0" w:lastRowLastColumn="0"/>
            </w:pPr>
            <w:r>
              <w:t>43,727</w:t>
            </w:r>
          </w:p>
        </w:tc>
        <w:tc>
          <w:tcPr>
            <w:tcW w:w="910" w:type="dxa"/>
            <w:shd w:val="clear" w:color="auto" w:fill="auto"/>
          </w:tcPr>
          <w:p w14:paraId="1637E6D4" w14:textId="4EAA677B" w:rsidR="00E9799A" w:rsidRPr="008B12D2" w:rsidRDefault="24214E7D" w:rsidP="00B55580">
            <w:pPr>
              <w:spacing w:before="0" w:after="0"/>
              <w:jc w:val="center"/>
              <w:cnfStyle w:val="000000100000" w:firstRow="0" w:lastRow="0" w:firstColumn="0" w:lastColumn="0" w:oddVBand="0" w:evenVBand="0" w:oddHBand="1" w:evenHBand="0" w:firstRowFirstColumn="0" w:firstRowLastColumn="0" w:lastRowFirstColumn="0" w:lastRowLastColumn="0"/>
            </w:pPr>
            <w:r>
              <w:t>133</w:t>
            </w:r>
          </w:p>
        </w:tc>
        <w:tc>
          <w:tcPr>
            <w:tcW w:w="910" w:type="dxa"/>
            <w:shd w:val="clear" w:color="auto" w:fill="auto"/>
          </w:tcPr>
          <w:p w14:paraId="799F0E22" w14:textId="3DDAD54A" w:rsidR="00E9799A" w:rsidRPr="008B12D2" w:rsidRDefault="24214E7D" w:rsidP="00B55580">
            <w:pPr>
              <w:spacing w:before="0" w:after="0"/>
              <w:jc w:val="center"/>
              <w:cnfStyle w:val="000000100000" w:firstRow="0" w:lastRow="0" w:firstColumn="0" w:lastColumn="0" w:oddVBand="0" w:evenVBand="0" w:oddHBand="1" w:evenHBand="0" w:firstRowFirstColumn="0" w:firstRowLastColumn="0" w:lastRowFirstColumn="0" w:lastRowLastColumn="0"/>
            </w:pPr>
            <w:r>
              <w:t>78</w:t>
            </w:r>
          </w:p>
        </w:tc>
        <w:tc>
          <w:tcPr>
            <w:tcW w:w="910" w:type="dxa"/>
            <w:shd w:val="clear" w:color="auto" w:fill="auto"/>
          </w:tcPr>
          <w:p w14:paraId="65EE1441" w14:textId="62957638" w:rsidR="00E9799A" w:rsidRPr="008B12D2" w:rsidRDefault="24214E7D" w:rsidP="00B55580">
            <w:pPr>
              <w:spacing w:before="0" w:after="0"/>
              <w:jc w:val="center"/>
              <w:cnfStyle w:val="000000100000" w:firstRow="0" w:lastRow="0" w:firstColumn="0" w:lastColumn="0" w:oddVBand="0" w:evenVBand="0" w:oddHBand="1" w:evenHBand="0" w:firstRowFirstColumn="0" w:firstRowLastColumn="0" w:lastRowFirstColumn="0" w:lastRowLastColumn="0"/>
            </w:pPr>
            <w:r>
              <w:t>57</w:t>
            </w:r>
          </w:p>
        </w:tc>
        <w:tc>
          <w:tcPr>
            <w:tcW w:w="923" w:type="dxa"/>
            <w:shd w:val="clear" w:color="auto" w:fill="auto"/>
          </w:tcPr>
          <w:p w14:paraId="798BDCA6" w14:textId="140E4511" w:rsidR="00E9799A" w:rsidRPr="008B12D2" w:rsidRDefault="24214E7D" w:rsidP="00B55580">
            <w:pPr>
              <w:spacing w:before="0" w:after="0"/>
              <w:jc w:val="center"/>
              <w:cnfStyle w:val="000000100000" w:firstRow="0" w:lastRow="0" w:firstColumn="0" w:lastColumn="0" w:oddVBand="0" w:evenVBand="0" w:oddHBand="1" w:evenHBand="0" w:firstRowFirstColumn="0" w:firstRowLastColumn="0" w:lastRowFirstColumn="0" w:lastRowLastColumn="0"/>
            </w:pPr>
            <w:r>
              <w:t>46,492</w:t>
            </w:r>
          </w:p>
        </w:tc>
      </w:tr>
    </w:tbl>
    <w:p w14:paraId="36ADAFFF" w14:textId="06EB3DAA" w:rsidR="008B12D2" w:rsidRPr="00192AC8" w:rsidRDefault="00E15686" w:rsidP="00192AC8">
      <w:pPr>
        <w:pStyle w:val="Heading3"/>
        <w:rPr>
          <w:color w:val="000000" w:themeColor="text1"/>
          <w:sz w:val="24"/>
          <w:szCs w:val="20"/>
        </w:rPr>
      </w:pPr>
      <w:r w:rsidRPr="00192AC8">
        <w:rPr>
          <w:color w:val="000000" w:themeColor="text1"/>
          <w:sz w:val="24"/>
          <w:szCs w:val="20"/>
        </w:rPr>
        <w:lastRenderedPageBreak/>
        <w:t>Table</w:t>
      </w:r>
      <w:r w:rsidR="00760D4C" w:rsidRPr="00192AC8">
        <w:rPr>
          <w:color w:val="000000" w:themeColor="text1"/>
          <w:sz w:val="24"/>
          <w:szCs w:val="20"/>
        </w:rPr>
        <w:t xml:space="preserve"> 20</w:t>
      </w:r>
      <w:r w:rsidRPr="00192AC8">
        <w:rPr>
          <w:color w:val="000000" w:themeColor="text1"/>
          <w:sz w:val="24"/>
          <w:szCs w:val="20"/>
        </w:rPr>
        <w:t>: LTEL Counts f</w:t>
      </w:r>
      <w:r w:rsidR="00207DA4" w:rsidRPr="00192AC8">
        <w:rPr>
          <w:color w:val="000000" w:themeColor="text1"/>
          <w:sz w:val="24"/>
          <w:szCs w:val="20"/>
        </w:rPr>
        <w:t xml:space="preserve">or Suspension on the 2024 Dashboard for District Types by Grade Enrolled </w:t>
      </w:r>
      <w:r w:rsidRPr="00192AC8">
        <w:rPr>
          <w:color w:val="000000" w:themeColor="text1"/>
          <w:sz w:val="24"/>
          <w:szCs w:val="20"/>
        </w:rPr>
        <w:t>District Types</w:t>
      </w:r>
    </w:p>
    <w:tbl>
      <w:tblPr>
        <w:tblStyle w:val="GridTable4-Accent3"/>
        <w:tblW w:w="9350" w:type="dxa"/>
        <w:tblLook w:val="04A0" w:firstRow="1" w:lastRow="0" w:firstColumn="1" w:lastColumn="0" w:noHBand="0" w:noVBand="1"/>
      </w:tblPr>
      <w:tblGrid>
        <w:gridCol w:w="1517"/>
        <w:gridCol w:w="953"/>
        <w:gridCol w:w="954"/>
        <w:gridCol w:w="953"/>
        <w:gridCol w:w="955"/>
        <w:gridCol w:w="951"/>
        <w:gridCol w:w="951"/>
        <w:gridCol w:w="951"/>
        <w:gridCol w:w="1165"/>
      </w:tblGrid>
      <w:tr w:rsidR="001B6D18" w:rsidRPr="008B12D2" w14:paraId="586FF3A8" w14:textId="23CE74F2" w:rsidTr="00192AC8">
        <w:trPr>
          <w:cnfStyle w:val="100000000000" w:firstRow="1" w:lastRow="0" w:firstColumn="0" w:lastColumn="0" w:oddVBand="0" w:evenVBand="0" w:oddHBand="0" w:evenHBand="0" w:firstRowFirstColumn="0" w:firstRowLastColumn="0" w:lastRowFirstColumn="0" w:lastRowLastColumn="0"/>
          <w:cantSplit/>
          <w:trHeight w:val="877"/>
          <w:tblHeader/>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459EE8" w14:textId="5F1E0F9B" w:rsidR="008B12D2" w:rsidRPr="00D0767E" w:rsidRDefault="008B12D2" w:rsidP="00760D4C">
            <w:pPr>
              <w:spacing w:before="0" w:after="0"/>
              <w:jc w:val="center"/>
              <w:rPr>
                <w:color w:val="3B3838" w:themeColor="background2" w:themeShade="40"/>
              </w:rPr>
            </w:pPr>
            <w:r w:rsidRPr="00D0767E">
              <w:rPr>
                <w:color w:val="3B3838" w:themeColor="background2" w:themeShade="40"/>
              </w:rPr>
              <w:t>District Type</w:t>
            </w:r>
          </w:p>
        </w:tc>
        <w:tc>
          <w:tcPr>
            <w:tcW w:w="9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EDF8E1" w14:textId="1F499AEE" w:rsidR="008B12D2" w:rsidRPr="00D0767E" w:rsidRDefault="008B12D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color w:val="3B3838" w:themeColor="background2" w:themeShade="40"/>
              </w:rPr>
              <w:t>Grade 6</w:t>
            </w:r>
          </w:p>
        </w:tc>
        <w:tc>
          <w:tcPr>
            <w:tcW w:w="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71BE55" w14:textId="65C96C55" w:rsidR="008B12D2" w:rsidRPr="00D0767E" w:rsidRDefault="008B12D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color w:val="3B3838" w:themeColor="background2" w:themeShade="40"/>
              </w:rPr>
              <w:t>Grade 7</w:t>
            </w:r>
          </w:p>
        </w:tc>
        <w:tc>
          <w:tcPr>
            <w:tcW w:w="9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9FA09E" w14:textId="7B4DEAD7" w:rsidR="008B12D2" w:rsidRPr="00D0767E" w:rsidRDefault="008B12D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color w:val="3B3838" w:themeColor="background2" w:themeShade="40"/>
              </w:rPr>
              <w:t>Grade 8</w:t>
            </w:r>
          </w:p>
        </w:tc>
        <w:tc>
          <w:tcPr>
            <w:tcW w:w="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189CB" w14:textId="773744DF" w:rsidR="008B12D2" w:rsidRPr="00D0767E" w:rsidRDefault="008B12D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color w:val="3B3838" w:themeColor="background2" w:themeShade="40"/>
              </w:rPr>
              <w:t>Grade 9</w:t>
            </w:r>
          </w:p>
        </w:tc>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tcPr>
          <w:p w14:paraId="7E5F3A23" w14:textId="616BD524" w:rsidR="00D66012" w:rsidRPr="00D0767E" w:rsidRDefault="00D6601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b w:val="0"/>
                <w:bCs w:val="0"/>
                <w:color w:val="3B3838" w:themeColor="background2" w:themeShade="40"/>
              </w:rPr>
              <w:t>Grade 10</w:t>
            </w:r>
          </w:p>
        </w:tc>
        <w:tc>
          <w:tcPr>
            <w:tcW w:w="896" w:type="dxa"/>
            <w:tcBorders>
              <w:top w:val="single" w:sz="4" w:space="0" w:color="auto"/>
              <w:left w:val="single" w:sz="4" w:space="0" w:color="auto"/>
              <w:bottom w:val="single" w:sz="4" w:space="0" w:color="auto"/>
              <w:right w:val="single" w:sz="4" w:space="0" w:color="auto"/>
            </w:tcBorders>
            <w:shd w:val="clear" w:color="auto" w:fill="E7E6E6" w:themeFill="background2"/>
          </w:tcPr>
          <w:p w14:paraId="16330DFF" w14:textId="7DA57E38" w:rsidR="00D66012" w:rsidRPr="00D0767E" w:rsidRDefault="00D6601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b w:val="0"/>
                <w:bCs w:val="0"/>
                <w:color w:val="3B3838" w:themeColor="background2" w:themeShade="40"/>
              </w:rPr>
              <w:t>Grade 11</w:t>
            </w:r>
          </w:p>
        </w:tc>
        <w:tc>
          <w:tcPr>
            <w:tcW w:w="885" w:type="dxa"/>
            <w:tcBorders>
              <w:top w:val="single" w:sz="4" w:space="0" w:color="auto"/>
              <w:left w:val="single" w:sz="4" w:space="0" w:color="auto"/>
              <w:bottom w:val="single" w:sz="4" w:space="0" w:color="auto"/>
              <w:right w:val="single" w:sz="4" w:space="0" w:color="auto"/>
            </w:tcBorders>
            <w:shd w:val="clear" w:color="auto" w:fill="E7E6E6" w:themeFill="background2"/>
          </w:tcPr>
          <w:p w14:paraId="35ECD937" w14:textId="0C786104" w:rsidR="00D66012" w:rsidRPr="00D0767E" w:rsidRDefault="00D6601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b w:val="0"/>
                <w:bCs w:val="0"/>
                <w:color w:val="3B3838" w:themeColor="background2" w:themeShade="40"/>
              </w:rPr>
              <w:t>Grade 12</w:t>
            </w:r>
          </w:p>
        </w:tc>
        <w:tc>
          <w:tcPr>
            <w:tcW w:w="1175" w:type="dxa"/>
            <w:tcBorders>
              <w:top w:val="single" w:sz="4" w:space="0" w:color="auto"/>
              <w:left w:val="single" w:sz="4" w:space="0" w:color="auto"/>
              <w:bottom w:val="single" w:sz="4" w:space="0" w:color="auto"/>
              <w:right w:val="single" w:sz="4" w:space="0" w:color="auto"/>
            </w:tcBorders>
            <w:shd w:val="clear" w:color="auto" w:fill="E7E6E6" w:themeFill="background2"/>
          </w:tcPr>
          <w:p w14:paraId="303977F8" w14:textId="0BA02C86" w:rsidR="00D66012" w:rsidRPr="00D0767E" w:rsidRDefault="00D66012" w:rsidP="00760D4C">
            <w:pPr>
              <w:spacing w:before="0" w:after="0"/>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rsidRPr="00D0767E">
              <w:rPr>
                <w:b w:val="0"/>
                <w:bCs w:val="0"/>
                <w:color w:val="3B3838" w:themeColor="background2" w:themeShade="40"/>
              </w:rPr>
              <w:t>Total</w:t>
            </w:r>
            <w:r w:rsidR="00E9799A" w:rsidRPr="00D0767E">
              <w:rPr>
                <w:b w:val="0"/>
                <w:bCs w:val="0"/>
                <w:color w:val="3B3838" w:themeColor="background2" w:themeShade="40"/>
              </w:rPr>
              <w:t xml:space="preserve"> of LTELS Students Across Grades</w:t>
            </w:r>
          </w:p>
        </w:tc>
      </w:tr>
      <w:tr w:rsidR="001B6D18" w:rsidRPr="008B12D2" w14:paraId="42360DD8" w14:textId="4BAFAAAE" w:rsidTr="00192AC8">
        <w:trPr>
          <w:cnfStyle w:val="000000100000" w:firstRow="0" w:lastRow="0" w:firstColumn="0" w:lastColumn="0" w:oddVBand="0" w:evenVBand="0" w:oddHBand="1" w:evenHBand="0" w:firstRowFirstColumn="0" w:firstRowLastColumn="0" w:lastRowFirstColumn="0" w:lastRowLastColumn="0"/>
          <w:cantSplit/>
          <w:trHeight w:val="877"/>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tcBorders>
            <w:shd w:val="clear" w:color="auto" w:fill="auto"/>
            <w:hideMark/>
          </w:tcPr>
          <w:p w14:paraId="59E355BD" w14:textId="1E5A0823" w:rsidR="008B12D2" w:rsidRPr="008B12D2" w:rsidRDefault="008B12D2" w:rsidP="00760D4C">
            <w:pPr>
              <w:spacing w:before="0" w:after="0"/>
              <w:jc w:val="center"/>
            </w:pPr>
            <w:r w:rsidRPr="008B12D2">
              <w:t>Elementary District</w:t>
            </w:r>
          </w:p>
        </w:tc>
        <w:tc>
          <w:tcPr>
            <w:tcW w:w="975" w:type="dxa"/>
            <w:tcBorders>
              <w:top w:val="single" w:sz="4" w:space="0" w:color="auto"/>
            </w:tcBorders>
            <w:shd w:val="clear" w:color="auto" w:fill="auto"/>
            <w:hideMark/>
          </w:tcPr>
          <w:p w14:paraId="015D081C" w14:textId="7EF6FA8E"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5,623</w:t>
            </w:r>
          </w:p>
        </w:tc>
        <w:tc>
          <w:tcPr>
            <w:tcW w:w="985" w:type="dxa"/>
            <w:tcBorders>
              <w:top w:val="single" w:sz="4" w:space="0" w:color="auto"/>
            </w:tcBorders>
            <w:shd w:val="clear" w:color="auto" w:fill="auto"/>
            <w:hideMark/>
          </w:tcPr>
          <w:p w14:paraId="690CC27B" w14:textId="63F7239A"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15,738</w:t>
            </w:r>
          </w:p>
        </w:tc>
        <w:tc>
          <w:tcPr>
            <w:tcW w:w="974" w:type="dxa"/>
            <w:tcBorders>
              <w:top w:val="single" w:sz="4" w:space="0" w:color="auto"/>
            </w:tcBorders>
            <w:shd w:val="clear" w:color="auto" w:fill="auto"/>
            <w:hideMark/>
          </w:tcPr>
          <w:p w14:paraId="298DDE40" w14:textId="1B1DBB44"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13,677</w:t>
            </w:r>
          </w:p>
        </w:tc>
        <w:tc>
          <w:tcPr>
            <w:tcW w:w="998" w:type="dxa"/>
            <w:tcBorders>
              <w:top w:val="single" w:sz="4" w:space="0" w:color="auto"/>
            </w:tcBorders>
            <w:shd w:val="clear" w:color="auto" w:fill="auto"/>
            <w:hideMark/>
          </w:tcPr>
          <w:p w14:paraId="4293FBF7" w14:textId="5EA5DDE4"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1,401</w:t>
            </w:r>
          </w:p>
        </w:tc>
        <w:tc>
          <w:tcPr>
            <w:tcW w:w="872" w:type="dxa"/>
            <w:tcBorders>
              <w:top w:val="single" w:sz="4" w:space="0" w:color="auto"/>
            </w:tcBorders>
            <w:shd w:val="clear" w:color="auto" w:fill="auto"/>
          </w:tcPr>
          <w:p w14:paraId="4D73D8FC" w14:textId="1B2BCA05" w:rsidR="00D66012" w:rsidRPr="008B12D2" w:rsidRDefault="5AE16939" w:rsidP="00760D4C">
            <w:pPr>
              <w:spacing w:before="0" w:after="0"/>
              <w:jc w:val="center"/>
              <w:cnfStyle w:val="000000100000" w:firstRow="0" w:lastRow="0" w:firstColumn="0" w:lastColumn="0" w:oddVBand="0" w:evenVBand="0" w:oddHBand="1" w:evenHBand="0" w:firstRowFirstColumn="0" w:firstRowLastColumn="0" w:lastRowFirstColumn="0" w:lastRowLastColumn="0"/>
            </w:pPr>
            <w:r>
              <w:t>1,154</w:t>
            </w:r>
          </w:p>
        </w:tc>
        <w:tc>
          <w:tcPr>
            <w:tcW w:w="896" w:type="dxa"/>
            <w:tcBorders>
              <w:top w:val="single" w:sz="4" w:space="0" w:color="auto"/>
            </w:tcBorders>
            <w:shd w:val="clear" w:color="auto" w:fill="auto"/>
          </w:tcPr>
          <w:p w14:paraId="408BA1D7" w14:textId="3263FD19" w:rsidR="00D66012" w:rsidRPr="008B12D2" w:rsidRDefault="5AE16939" w:rsidP="00760D4C">
            <w:pPr>
              <w:spacing w:before="0" w:after="0"/>
              <w:jc w:val="center"/>
              <w:cnfStyle w:val="000000100000" w:firstRow="0" w:lastRow="0" w:firstColumn="0" w:lastColumn="0" w:oddVBand="0" w:evenVBand="0" w:oddHBand="1" w:evenHBand="0" w:firstRowFirstColumn="0" w:firstRowLastColumn="0" w:lastRowFirstColumn="0" w:lastRowLastColumn="0"/>
            </w:pPr>
            <w:r>
              <w:t>947</w:t>
            </w:r>
          </w:p>
        </w:tc>
        <w:tc>
          <w:tcPr>
            <w:tcW w:w="885" w:type="dxa"/>
            <w:tcBorders>
              <w:top w:val="single" w:sz="4" w:space="0" w:color="auto"/>
            </w:tcBorders>
            <w:shd w:val="clear" w:color="auto" w:fill="auto"/>
          </w:tcPr>
          <w:p w14:paraId="2AD2D9E6" w14:textId="7B193278" w:rsidR="00D66012" w:rsidRPr="008B12D2" w:rsidRDefault="5AE16939" w:rsidP="00760D4C">
            <w:pPr>
              <w:spacing w:before="0" w:after="0"/>
              <w:jc w:val="center"/>
              <w:cnfStyle w:val="000000100000" w:firstRow="0" w:lastRow="0" w:firstColumn="0" w:lastColumn="0" w:oddVBand="0" w:evenVBand="0" w:oddHBand="1" w:evenHBand="0" w:firstRowFirstColumn="0" w:firstRowLastColumn="0" w:lastRowFirstColumn="0" w:lastRowLastColumn="0"/>
            </w:pPr>
            <w:r>
              <w:t>579</w:t>
            </w:r>
          </w:p>
        </w:tc>
        <w:tc>
          <w:tcPr>
            <w:tcW w:w="1175" w:type="dxa"/>
            <w:tcBorders>
              <w:top w:val="single" w:sz="4" w:space="0" w:color="auto"/>
            </w:tcBorders>
            <w:shd w:val="clear" w:color="auto" w:fill="auto"/>
          </w:tcPr>
          <w:p w14:paraId="0D33D443" w14:textId="76AB2460" w:rsidR="00D66012" w:rsidRPr="008B12D2" w:rsidRDefault="5AE16939" w:rsidP="00760D4C">
            <w:pPr>
              <w:spacing w:before="0" w:after="0"/>
              <w:jc w:val="center"/>
              <w:cnfStyle w:val="000000100000" w:firstRow="0" w:lastRow="0" w:firstColumn="0" w:lastColumn="0" w:oddVBand="0" w:evenVBand="0" w:oddHBand="1" w:evenHBand="0" w:firstRowFirstColumn="0" w:firstRowLastColumn="0" w:lastRowFirstColumn="0" w:lastRowLastColumn="0"/>
            </w:pPr>
            <w:r>
              <w:t>39,119</w:t>
            </w:r>
          </w:p>
        </w:tc>
      </w:tr>
      <w:tr w:rsidR="003D4251" w:rsidRPr="008B12D2" w14:paraId="198BA522" w14:textId="3BC57255" w:rsidTr="00192AC8">
        <w:trPr>
          <w:cantSplit/>
          <w:trHeight w:val="877"/>
        </w:trPr>
        <w:tc>
          <w:tcPr>
            <w:cnfStyle w:val="001000000000" w:firstRow="0" w:lastRow="0" w:firstColumn="1" w:lastColumn="0" w:oddVBand="0" w:evenVBand="0" w:oddHBand="0" w:evenHBand="0" w:firstRowFirstColumn="0" w:firstRowLastColumn="0" w:lastRowFirstColumn="0" w:lastRowLastColumn="0"/>
            <w:tcW w:w="1590" w:type="dxa"/>
            <w:shd w:val="clear" w:color="auto" w:fill="E7E6E6" w:themeFill="background2"/>
            <w:hideMark/>
          </w:tcPr>
          <w:p w14:paraId="2EBDEC84" w14:textId="1C3E6AE4" w:rsidR="008B12D2" w:rsidRPr="008B12D2" w:rsidRDefault="008B12D2" w:rsidP="00760D4C">
            <w:pPr>
              <w:spacing w:before="0" w:after="0"/>
              <w:jc w:val="center"/>
            </w:pPr>
            <w:r w:rsidRPr="008B12D2">
              <w:t>High School District</w:t>
            </w:r>
          </w:p>
        </w:tc>
        <w:tc>
          <w:tcPr>
            <w:tcW w:w="975" w:type="dxa"/>
            <w:shd w:val="clear" w:color="auto" w:fill="E7E6E6" w:themeFill="background2"/>
            <w:hideMark/>
          </w:tcPr>
          <w:p w14:paraId="47273DA6" w14:textId="2197785C" w:rsidR="008B12D2" w:rsidRPr="008B12D2" w:rsidRDefault="274C91E0" w:rsidP="00760D4C">
            <w:pPr>
              <w:spacing w:before="0" w:after="0"/>
              <w:jc w:val="center"/>
              <w:cnfStyle w:val="000000000000" w:firstRow="0" w:lastRow="0" w:firstColumn="0" w:lastColumn="0" w:oddVBand="0" w:evenVBand="0" w:oddHBand="0" w:evenHBand="0" w:firstRowFirstColumn="0" w:firstRowLastColumn="0" w:lastRowFirstColumn="0" w:lastRowLastColumn="0"/>
            </w:pPr>
            <w:r>
              <w:t>54</w:t>
            </w:r>
          </w:p>
        </w:tc>
        <w:tc>
          <w:tcPr>
            <w:tcW w:w="985" w:type="dxa"/>
            <w:shd w:val="clear" w:color="auto" w:fill="E7E6E6" w:themeFill="background2"/>
            <w:hideMark/>
          </w:tcPr>
          <w:p w14:paraId="4774DDE6" w14:textId="4AF1187E" w:rsidR="008B12D2" w:rsidRPr="008B12D2" w:rsidRDefault="274C91E0" w:rsidP="00760D4C">
            <w:pPr>
              <w:spacing w:before="0" w:after="0"/>
              <w:jc w:val="center"/>
              <w:cnfStyle w:val="000000000000" w:firstRow="0" w:lastRow="0" w:firstColumn="0" w:lastColumn="0" w:oddVBand="0" w:evenVBand="0" w:oddHBand="0" w:evenHBand="0" w:firstRowFirstColumn="0" w:firstRowLastColumn="0" w:lastRowFirstColumn="0" w:lastRowLastColumn="0"/>
            </w:pPr>
            <w:r>
              <w:t>3,464</w:t>
            </w:r>
          </w:p>
        </w:tc>
        <w:tc>
          <w:tcPr>
            <w:tcW w:w="974" w:type="dxa"/>
            <w:shd w:val="clear" w:color="auto" w:fill="E7E6E6" w:themeFill="background2"/>
            <w:hideMark/>
          </w:tcPr>
          <w:p w14:paraId="69719D2A" w14:textId="1E458705" w:rsidR="008B12D2" w:rsidRPr="008B12D2" w:rsidRDefault="274C91E0" w:rsidP="00760D4C">
            <w:pPr>
              <w:spacing w:before="0" w:after="0"/>
              <w:jc w:val="center"/>
              <w:cnfStyle w:val="000000000000" w:firstRow="0" w:lastRow="0" w:firstColumn="0" w:lastColumn="0" w:oddVBand="0" w:evenVBand="0" w:oddHBand="0" w:evenHBand="0" w:firstRowFirstColumn="0" w:firstRowLastColumn="0" w:lastRowFirstColumn="0" w:lastRowLastColumn="0"/>
            </w:pPr>
            <w:r>
              <w:t>2,906</w:t>
            </w:r>
          </w:p>
        </w:tc>
        <w:tc>
          <w:tcPr>
            <w:tcW w:w="998" w:type="dxa"/>
            <w:shd w:val="clear" w:color="auto" w:fill="E7E6E6" w:themeFill="background2"/>
            <w:hideMark/>
          </w:tcPr>
          <w:p w14:paraId="46A74194" w14:textId="6C599E36" w:rsidR="008B12D2" w:rsidRPr="008B12D2" w:rsidRDefault="274C91E0" w:rsidP="00760D4C">
            <w:pPr>
              <w:spacing w:before="0" w:after="0"/>
              <w:jc w:val="center"/>
              <w:cnfStyle w:val="000000000000" w:firstRow="0" w:lastRow="0" w:firstColumn="0" w:lastColumn="0" w:oddVBand="0" w:evenVBand="0" w:oddHBand="0" w:evenHBand="0" w:firstRowFirstColumn="0" w:firstRowLastColumn="0" w:lastRowFirstColumn="0" w:lastRowLastColumn="0"/>
            </w:pPr>
            <w:r>
              <w:t>13,989</w:t>
            </w:r>
          </w:p>
        </w:tc>
        <w:tc>
          <w:tcPr>
            <w:tcW w:w="872" w:type="dxa"/>
            <w:shd w:val="clear" w:color="auto" w:fill="E7E6E6" w:themeFill="background2"/>
          </w:tcPr>
          <w:p w14:paraId="0B4DA4FD" w14:textId="25632F44" w:rsidR="00D66012" w:rsidRPr="008B12D2" w:rsidRDefault="79B9496B" w:rsidP="00760D4C">
            <w:pPr>
              <w:spacing w:before="0" w:after="0"/>
              <w:jc w:val="center"/>
              <w:cnfStyle w:val="000000000000" w:firstRow="0" w:lastRow="0" w:firstColumn="0" w:lastColumn="0" w:oddVBand="0" w:evenVBand="0" w:oddHBand="0" w:evenHBand="0" w:firstRowFirstColumn="0" w:firstRowLastColumn="0" w:lastRowFirstColumn="0" w:lastRowLastColumn="0"/>
            </w:pPr>
            <w:r>
              <w:t>12,026</w:t>
            </w:r>
          </w:p>
        </w:tc>
        <w:tc>
          <w:tcPr>
            <w:tcW w:w="896" w:type="dxa"/>
            <w:shd w:val="clear" w:color="auto" w:fill="E7E6E6" w:themeFill="background2"/>
          </w:tcPr>
          <w:p w14:paraId="50B197F3" w14:textId="214C3DE5" w:rsidR="00D66012" w:rsidRPr="008B12D2" w:rsidRDefault="79B9496B" w:rsidP="00760D4C">
            <w:pPr>
              <w:spacing w:before="0" w:after="0"/>
              <w:jc w:val="center"/>
              <w:cnfStyle w:val="000000000000" w:firstRow="0" w:lastRow="0" w:firstColumn="0" w:lastColumn="0" w:oddVBand="0" w:evenVBand="0" w:oddHBand="0" w:evenHBand="0" w:firstRowFirstColumn="0" w:firstRowLastColumn="0" w:lastRowFirstColumn="0" w:lastRowLastColumn="0"/>
            </w:pPr>
            <w:r>
              <w:t>11,046</w:t>
            </w:r>
          </w:p>
        </w:tc>
        <w:tc>
          <w:tcPr>
            <w:tcW w:w="885" w:type="dxa"/>
            <w:shd w:val="clear" w:color="auto" w:fill="E7E6E6" w:themeFill="background2"/>
          </w:tcPr>
          <w:p w14:paraId="585AB140" w14:textId="2BC8D517" w:rsidR="00D66012" w:rsidRPr="008B12D2" w:rsidRDefault="79B9496B" w:rsidP="00760D4C">
            <w:pPr>
              <w:spacing w:before="0" w:after="0"/>
              <w:jc w:val="center"/>
              <w:cnfStyle w:val="000000000000" w:firstRow="0" w:lastRow="0" w:firstColumn="0" w:lastColumn="0" w:oddVBand="0" w:evenVBand="0" w:oddHBand="0" w:evenHBand="0" w:firstRowFirstColumn="0" w:firstRowLastColumn="0" w:lastRowFirstColumn="0" w:lastRowLastColumn="0"/>
            </w:pPr>
            <w:r>
              <w:t>11,755</w:t>
            </w:r>
          </w:p>
        </w:tc>
        <w:tc>
          <w:tcPr>
            <w:tcW w:w="1175" w:type="dxa"/>
            <w:shd w:val="clear" w:color="auto" w:fill="E7E6E6" w:themeFill="background2"/>
          </w:tcPr>
          <w:p w14:paraId="6CF38B13" w14:textId="03F2B11B" w:rsidR="00D66012" w:rsidRPr="008B12D2" w:rsidRDefault="79B9496B" w:rsidP="00760D4C">
            <w:pPr>
              <w:spacing w:before="0" w:after="0"/>
              <w:jc w:val="center"/>
              <w:cnfStyle w:val="000000000000" w:firstRow="0" w:lastRow="0" w:firstColumn="0" w:lastColumn="0" w:oddVBand="0" w:evenVBand="0" w:oddHBand="0" w:evenHBand="0" w:firstRowFirstColumn="0" w:firstRowLastColumn="0" w:lastRowFirstColumn="0" w:lastRowLastColumn="0"/>
            </w:pPr>
            <w:r>
              <w:t>55,240</w:t>
            </w:r>
          </w:p>
        </w:tc>
      </w:tr>
      <w:tr w:rsidR="001B6D18" w:rsidRPr="008B12D2" w14:paraId="06520C35" w14:textId="2CAC7F3B" w:rsidTr="00192AC8">
        <w:trPr>
          <w:cnfStyle w:val="000000100000" w:firstRow="0" w:lastRow="0" w:firstColumn="0" w:lastColumn="0" w:oddVBand="0" w:evenVBand="0" w:oddHBand="1" w:evenHBand="0" w:firstRowFirstColumn="0" w:firstRowLastColumn="0" w:lastRowFirstColumn="0" w:lastRowLastColumn="0"/>
          <w:cantSplit/>
          <w:trHeight w:val="877"/>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hideMark/>
          </w:tcPr>
          <w:p w14:paraId="1D4ABF14" w14:textId="6F19248D" w:rsidR="008B12D2" w:rsidRPr="008B12D2" w:rsidRDefault="008B12D2" w:rsidP="00760D4C">
            <w:pPr>
              <w:spacing w:before="0" w:after="0"/>
              <w:jc w:val="center"/>
            </w:pPr>
            <w:r w:rsidRPr="008B12D2">
              <w:t>Unified/K-12 District</w:t>
            </w:r>
          </w:p>
        </w:tc>
        <w:tc>
          <w:tcPr>
            <w:tcW w:w="975" w:type="dxa"/>
            <w:shd w:val="clear" w:color="auto" w:fill="auto"/>
            <w:hideMark/>
          </w:tcPr>
          <w:p w14:paraId="57911ECE" w14:textId="718B97EA"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12,295</w:t>
            </w:r>
          </w:p>
        </w:tc>
        <w:tc>
          <w:tcPr>
            <w:tcW w:w="985" w:type="dxa"/>
            <w:shd w:val="clear" w:color="auto" w:fill="auto"/>
            <w:hideMark/>
          </w:tcPr>
          <w:p w14:paraId="7557BC0B" w14:textId="268C5AFE"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38,088</w:t>
            </w:r>
          </w:p>
        </w:tc>
        <w:tc>
          <w:tcPr>
            <w:tcW w:w="974" w:type="dxa"/>
            <w:shd w:val="clear" w:color="auto" w:fill="auto"/>
            <w:hideMark/>
          </w:tcPr>
          <w:p w14:paraId="41D5F1D3" w14:textId="037B26CE"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33,064</w:t>
            </w:r>
          </w:p>
        </w:tc>
        <w:tc>
          <w:tcPr>
            <w:tcW w:w="998" w:type="dxa"/>
            <w:shd w:val="clear" w:color="auto" w:fill="auto"/>
            <w:hideMark/>
          </w:tcPr>
          <w:p w14:paraId="47AB00FF" w14:textId="486FC8E7" w:rsidR="008B12D2" w:rsidRPr="008B12D2" w:rsidRDefault="008B12D2" w:rsidP="00760D4C">
            <w:pPr>
              <w:spacing w:before="0" w:after="0"/>
              <w:jc w:val="center"/>
              <w:cnfStyle w:val="000000100000" w:firstRow="0" w:lastRow="0" w:firstColumn="0" w:lastColumn="0" w:oddVBand="0" w:evenVBand="0" w:oddHBand="1" w:evenHBand="0" w:firstRowFirstColumn="0" w:firstRowLastColumn="0" w:lastRowFirstColumn="0" w:lastRowLastColumn="0"/>
            </w:pPr>
            <w:r w:rsidRPr="008B12D2">
              <w:t>32,470</w:t>
            </w:r>
          </w:p>
        </w:tc>
        <w:tc>
          <w:tcPr>
            <w:tcW w:w="872" w:type="dxa"/>
            <w:shd w:val="clear" w:color="auto" w:fill="auto"/>
          </w:tcPr>
          <w:p w14:paraId="27169045" w14:textId="06E1E918" w:rsidR="00D66012" w:rsidRPr="008B12D2" w:rsidRDefault="780D6B99" w:rsidP="00760D4C">
            <w:pPr>
              <w:spacing w:before="0" w:after="0"/>
              <w:jc w:val="center"/>
              <w:cnfStyle w:val="000000100000" w:firstRow="0" w:lastRow="0" w:firstColumn="0" w:lastColumn="0" w:oddVBand="0" w:evenVBand="0" w:oddHBand="1" w:evenHBand="0" w:firstRowFirstColumn="0" w:firstRowLastColumn="0" w:lastRowFirstColumn="0" w:lastRowLastColumn="0"/>
            </w:pPr>
            <w:r>
              <w:t>31,306</w:t>
            </w:r>
          </w:p>
        </w:tc>
        <w:tc>
          <w:tcPr>
            <w:tcW w:w="896" w:type="dxa"/>
            <w:shd w:val="clear" w:color="auto" w:fill="auto"/>
          </w:tcPr>
          <w:p w14:paraId="7151FCB7" w14:textId="255CCC24" w:rsidR="00D66012" w:rsidRPr="008B12D2" w:rsidRDefault="780D6B99" w:rsidP="00760D4C">
            <w:pPr>
              <w:spacing w:before="0" w:after="0"/>
              <w:jc w:val="center"/>
              <w:cnfStyle w:val="000000100000" w:firstRow="0" w:lastRow="0" w:firstColumn="0" w:lastColumn="0" w:oddVBand="0" w:evenVBand="0" w:oddHBand="1" w:evenHBand="0" w:firstRowFirstColumn="0" w:firstRowLastColumn="0" w:lastRowFirstColumn="0" w:lastRowLastColumn="0"/>
            </w:pPr>
            <w:r>
              <w:t>28,680</w:t>
            </w:r>
          </w:p>
        </w:tc>
        <w:tc>
          <w:tcPr>
            <w:tcW w:w="885" w:type="dxa"/>
            <w:shd w:val="clear" w:color="auto" w:fill="auto"/>
          </w:tcPr>
          <w:p w14:paraId="4A463FE9" w14:textId="05D9115F" w:rsidR="00D66012" w:rsidRPr="008B12D2" w:rsidRDefault="780D6B99" w:rsidP="00760D4C">
            <w:pPr>
              <w:spacing w:before="0" w:after="0"/>
              <w:jc w:val="center"/>
              <w:cnfStyle w:val="000000100000" w:firstRow="0" w:lastRow="0" w:firstColumn="0" w:lastColumn="0" w:oddVBand="0" w:evenVBand="0" w:oddHBand="1" w:evenHBand="0" w:firstRowFirstColumn="0" w:firstRowLastColumn="0" w:lastRowFirstColumn="0" w:lastRowLastColumn="0"/>
            </w:pPr>
            <w:r>
              <w:t>29,960</w:t>
            </w:r>
          </w:p>
        </w:tc>
        <w:tc>
          <w:tcPr>
            <w:tcW w:w="1175" w:type="dxa"/>
            <w:shd w:val="clear" w:color="auto" w:fill="auto"/>
          </w:tcPr>
          <w:p w14:paraId="633F5BDF" w14:textId="56F2B4F9" w:rsidR="00D66012" w:rsidRPr="008B12D2" w:rsidRDefault="780D6B99" w:rsidP="00760D4C">
            <w:pPr>
              <w:spacing w:before="0" w:after="0"/>
              <w:jc w:val="center"/>
              <w:cnfStyle w:val="000000100000" w:firstRow="0" w:lastRow="0" w:firstColumn="0" w:lastColumn="0" w:oddVBand="0" w:evenVBand="0" w:oddHBand="1" w:evenHBand="0" w:firstRowFirstColumn="0" w:firstRowLastColumn="0" w:lastRowFirstColumn="0" w:lastRowLastColumn="0"/>
            </w:pPr>
            <w:r>
              <w:t>205,850</w:t>
            </w:r>
          </w:p>
        </w:tc>
      </w:tr>
    </w:tbl>
    <w:p w14:paraId="6437300B" w14:textId="1F04B78D" w:rsidR="00342ECD" w:rsidRDefault="4BCD0FC8" w:rsidP="2E9289B1">
      <w:pPr>
        <w:rPr>
          <w:rFonts w:eastAsiaTheme="majorEastAsia"/>
        </w:rPr>
      </w:pPr>
      <w:r w:rsidRPr="2E9289B1">
        <w:rPr>
          <w:rFonts w:eastAsiaTheme="majorEastAsia"/>
        </w:rPr>
        <w:t xml:space="preserve">Overall, </w:t>
      </w:r>
      <w:r w:rsidR="42A012ED" w:rsidRPr="2E9289B1">
        <w:rPr>
          <w:rFonts w:eastAsiaTheme="majorEastAsia"/>
        </w:rPr>
        <w:t xml:space="preserve">LTELs in </w:t>
      </w:r>
      <w:r w:rsidR="00760D4C">
        <w:rPr>
          <w:rFonts w:eastAsiaTheme="majorEastAsia"/>
        </w:rPr>
        <w:t>g</w:t>
      </w:r>
      <w:r w:rsidR="42A012ED" w:rsidRPr="2E9289B1">
        <w:rPr>
          <w:rFonts w:eastAsiaTheme="majorEastAsia"/>
        </w:rPr>
        <w:t>rades 6</w:t>
      </w:r>
      <w:r w:rsidR="00760D4C">
        <w:rPr>
          <w:rFonts w:eastAsiaTheme="majorEastAsia"/>
        </w:rPr>
        <w:t xml:space="preserve"> through </w:t>
      </w:r>
      <w:r w:rsidR="42A012ED" w:rsidRPr="2E9289B1">
        <w:rPr>
          <w:rFonts w:eastAsiaTheme="majorEastAsia"/>
        </w:rPr>
        <w:t xml:space="preserve">8 are </w:t>
      </w:r>
      <w:r w:rsidR="00224929">
        <w:rPr>
          <w:rFonts w:eastAsiaTheme="majorEastAsia"/>
        </w:rPr>
        <w:t>primarily enrolled</w:t>
      </w:r>
      <w:r w:rsidR="42A012ED" w:rsidRPr="2E9289B1">
        <w:rPr>
          <w:rFonts w:eastAsiaTheme="majorEastAsia"/>
        </w:rPr>
        <w:t xml:space="preserve"> in </w:t>
      </w:r>
      <w:r w:rsidR="00760D4C">
        <w:rPr>
          <w:rFonts w:eastAsiaTheme="majorEastAsia"/>
        </w:rPr>
        <w:t>e</w:t>
      </w:r>
      <w:r w:rsidR="42A012ED" w:rsidRPr="2E9289B1">
        <w:rPr>
          <w:rFonts w:eastAsiaTheme="majorEastAsia"/>
        </w:rPr>
        <w:t xml:space="preserve">lementary </w:t>
      </w:r>
      <w:r w:rsidR="00760D4C">
        <w:rPr>
          <w:rFonts w:eastAsiaTheme="majorEastAsia"/>
        </w:rPr>
        <w:t>s</w:t>
      </w:r>
      <w:r w:rsidR="42A012ED" w:rsidRPr="2E9289B1">
        <w:rPr>
          <w:rFonts w:eastAsiaTheme="majorEastAsia"/>
        </w:rPr>
        <w:t xml:space="preserve">chools or </w:t>
      </w:r>
      <w:r w:rsidR="00760D4C">
        <w:rPr>
          <w:rFonts w:eastAsiaTheme="majorEastAsia"/>
        </w:rPr>
        <w:t>d</w:t>
      </w:r>
      <w:r w:rsidR="42A012ED" w:rsidRPr="2E9289B1">
        <w:rPr>
          <w:rFonts w:eastAsiaTheme="majorEastAsia"/>
        </w:rPr>
        <w:t>istricts</w:t>
      </w:r>
      <w:r w:rsidR="35C8559A" w:rsidRPr="2E9289B1">
        <w:rPr>
          <w:rFonts w:eastAsiaTheme="majorEastAsia"/>
        </w:rPr>
        <w:t xml:space="preserve">. </w:t>
      </w:r>
      <w:r w:rsidR="048E7073" w:rsidRPr="0AE87CAA">
        <w:rPr>
          <w:rFonts w:eastAsiaTheme="majorEastAsia"/>
        </w:rPr>
        <w:t>Data shows that a</w:t>
      </w:r>
      <w:r w:rsidR="42A012ED" w:rsidRPr="0AE87CAA">
        <w:rPr>
          <w:rFonts w:eastAsiaTheme="majorEastAsia"/>
        </w:rPr>
        <w:t>t</w:t>
      </w:r>
      <w:r w:rsidR="42A012ED" w:rsidRPr="2E9289B1">
        <w:rPr>
          <w:rFonts w:eastAsiaTheme="majorEastAsia"/>
        </w:rPr>
        <w:t xml:space="preserve"> the district level, LTELs in grades 6</w:t>
      </w:r>
      <w:r w:rsidR="00760D4C">
        <w:rPr>
          <w:rFonts w:eastAsiaTheme="majorEastAsia"/>
        </w:rPr>
        <w:t xml:space="preserve"> through </w:t>
      </w:r>
      <w:r w:rsidR="42A012ED" w:rsidRPr="2E9289B1">
        <w:rPr>
          <w:rFonts w:eastAsiaTheme="majorEastAsia"/>
        </w:rPr>
        <w:t xml:space="preserve">8 are </w:t>
      </w:r>
      <w:r w:rsidR="00A55352">
        <w:rPr>
          <w:rFonts w:eastAsiaTheme="majorEastAsia"/>
        </w:rPr>
        <w:t>typically enrolled</w:t>
      </w:r>
      <w:r w:rsidR="42A012ED" w:rsidRPr="2E9289B1">
        <w:rPr>
          <w:rFonts w:eastAsiaTheme="majorEastAsia"/>
        </w:rPr>
        <w:t xml:space="preserve"> in </w:t>
      </w:r>
      <w:r w:rsidR="00760D4C">
        <w:rPr>
          <w:rFonts w:eastAsiaTheme="majorEastAsia"/>
        </w:rPr>
        <w:t>e</w:t>
      </w:r>
      <w:r w:rsidR="42A012ED" w:rsidRPr="2E9289B1">
        <w:rPr>
          <w:rFonts w:eastAsiaTheme="majorEastAsia"/>
        </w:rPr>
        <w:t xml:space="preserve">lementary and </w:t>
      </w:r>
      <w:r w:rsidR="00760D4C">
        <w:rPr>
          <w:rFonts w:eastAsiaTheme="majorEastAsia"/>
        </w:rPr>
        <w:t>u</w:t>
      </w:r>
      <w:r w:rsidR="42A012ED" w:rsidRPr="2E9289B1">
        <w:rPr>
          <w:rFonts w:eastAsiaTheme="majorEastAsia"/>
        </w:rPr>
        <w:t xml:space="preserve">nified </w:t>
      </w:r>
      <w:r w:rsidR="00760D4C">
        <w:rPr>
          <w:rFonts w:eastAsiaTheme="majorEastAsia"/>
        </w:rPr>
        <w:t>s</w:t>
      </w:r>
      <w:r w:rsidR="42A012ED" w:rsidRPr="2E9289B1">
        <w:rPr>
          <w:rFonts w:eastAsiaTheme="majorEastAsia"/>
        </w:rPr>
        <w:t xml:space="preserve">chool </w:t>
      </w:r>
      <w:r w:rsidR="6213C10F" w:rsidRPr="3027D9F4">
        <w:rPr>
          <w:rFonts w:eastAsiaTheme="majorEastAsia"/>
        </w:rPr>
        <w:t>districts</w:t>
      </w:r>
      <w:r w:rsidR="42A012ED" w:rsidRPr="3027D9F4">
        <w:rPr>
          <w:rFonts w:eastAsiaTheme="majorEastAsia"/>
        </w:rPr>
        <w:t>.</w:t>
      </w:r>
      <w:r w:rsidR="42A012ED" w:rsidRPr="2E9289B1">
        <w:rPr>
          <w:rFonts w:eastAsiaTheme="majorEastAsia"/>
        </w:rPr>
        <w:t xml:space="preserve"> </w:t>
      </w:r>
      <w:r w:rsidR="64073033" w:rsidRPr="2E9289B1">
        <w:rPr>
          <w:rFonts w:eastAsiaTheme="majorEastAsia"/>
        </w:rPr>
        <w:t>Across district types</w:t>
      </w:r>
      <w:r w:rsidR="7DFCF621" w:rsidRPr="0AE87CAA">
        <w:rPr>
          <w:rFonts w:eastAsiaTheme="majorEastAsia"/>
        </w:rPr>
        <w:t>,</w:t>
      </w:r>
      <w:r w:rsidR="64073033" w:rsidRPr="2E9289B1">
        <w:rPr>
          <w:rFonts w:eastAsiaTheme="majorEastAsia"/>
        </w:rPr>
        <w:t xml:space="preserve"> 31.3 percent of LTELs in grade 6 are enrolled at an </w:t>
      </w:r>
      <w:r w:rsidR="00C25C58">
        <w:rPr>
          <w:rFonts w:eastAsiaTheme="majorEastAsia"/>
        </w:rPr>
        <w:t>e</w:t>
      </w:r>
      <w:r w:rsidR="64073033" w:rsidRPr="2E9289B1">
        <w:rPr>
          <w:rFonts w:eastAsiaTheme="majorEastAsia"/>
        </w:rPr>
        <w:t xml:space="preserve">lementary </w:t>
      </w:r>
      <w:r w:rsidR="00C25C58">
        <w:rPr>
          <w:rFonts w:eastAsiaTheme="majorEastAsia"/>
        </w:rPr>
        <w:t>d</w:t>
      </w:r>
      <w:r w:rsidR="64073033" w:rsidRPr="2E9289B1">
        <w:rPr>
          <w:rFonts w:eastAsiaTheme="majorEastAsia"/>
        </w:rPr>
        <w:t xml:space="preserve">istrict, and 68.4 percent of LTELs in grade 6 are at a </w:t>
      </w:r>
      <w:r w:rsidR="00C25C58">
        <w:rPr>
          <w:rFonts w:eastAsiaTheme="majorEastAsia"/>
        </w:rPr>
        <w:t>u</w:t>
      </w:r>
      <w:r w:rsidR="64073033" w:rsidRPr="2E9289B1">
        <w:rPr>
          <w:rFonts w:eastAsiaTheme="majorEastAsia"/>
        </w:rPr>
        <w:t xml:space="preserve">nified </w:t>
      </w:r>
      <w:r w:rsidR="00C25C58">
        <w:rPr>
          <w:rFonts w:eastAsiaTheme="majorEastAsia"/>
        </w:rPr>
        <w:t>s</w:t>
      </w:r>
      <w:r w:rsidR="64073033" w:rsidRPr="2E9289B1">
        <w:rPr>
          <w:rFonts w:eastAsiaTheme="majorEastAsia"/>
        </w:rPr>
        <w:t xml:space="preserve">chool </w:t>
      </w:r>
      <w:r w:rsidR="00C25C58">
        <w:rPr>
          <w:rFonts w:eastAsiaTheme="majorEastAsia"/>
        </w:rPr>
        <w:t>d</w:t>
      </w:r>
      <w:r w:rsidR="64073033" w:rsidRPr="2E9289B1">
        <w:rPr>
          <w:rFonts w:eastAsiaTheme="majorEastAsia"/>
        </w:rPr>
        <w:t xml:space="preserve">istrict. </w:t>
      </w:r>
      <w:r w:rsidR="4FC2F20D" w:rsidRPr="2E9289B1">
        <w:rPr>
          <w:rFonts w:eastAsiaTheme="majorEastAsia"/>
        </w:rPr>
        <w:t xml:space="preserve">Additionally, </w:t>
      </w:r>
      <w:r w:rsidR="1D74FD63" w:rsidRPr="0AE87CAA">
        <w:rPr>
          <w:rFonts w:eastAsiaTheme="majorEastAsia"/>
        </w:rPr>
        <w:t xml:space="preserve">an analysis of the performance levels (or color) shifts revealed that </w:t>
      </w:r>
      <w:r w:rsidR="4FC2F20D" w:rsidRPr="2E9289B1">
        <w:rPr>
          <w:rFonts w:eastAsiaTheme="majorEastAsia"/>
        </w:rPr>
        <w:t xml:space="preserve">12 </w:t>
      </w:r>
      <w:r w:rsidR="00C25C58">
        <w:rPr>
          <w:rFonts w:eastAsiaTheme="majorEastAsia"/>
        </w:rPr>
        <w:t>e</w:t>
      </w:r>
      <w:r w:rsidR="4FC2F20D" w:rsidRPr="2E9289B1">
        <w:rPr>
          <w:rFonts w:eastAsiaTheme="majorEastAsia"/>
        </w:rPr>
        <w:t xml:space="preserve">lementary </w:t>
      </w:r>
      <w:r w:rsidR="00C25C58">
        <w:rPr>
          <w:rFonts w:eastAsiaTheme="majorEastAsia"/>
        </w:rPr>
        <w:t>d</w:t>
      </w:r>
      <w:r w:rsidR="4FC2F20D" w:rsidRPr="2E9289B1">
        <w:rPr>
          <w:rFonts w:eastAsiaTheme="majorEastAsia"/>
        </w:rPr>
        <w:t xml:space="preserve">istricts have exited the Red and 13 the Orange. </w:t>
      </w:r>
      <w:r w:rsidR="00C25C58">
        <w:rPr>
          <w:rFonts w:eastAsiaTheme="majorEastAsia"/>
        </w:rPr>
        <w:t xml:space="preserve">An additional </w:t>
      </w:r>
      <w:r w:rsidR="4FC2F20D" w:rsidRPr="2E9289B1">
        <w:rPr>
          <w:rFonts w:eastAsiaTheme="majorEastAsia"/>
        </w:rPr>
        <w:t xml:space="preserve">2 more </w:t>
      </w:r>
      <w:r w:rsidR="00C25C58">
        <w:rPr>
          <w:rFonts w:eastAsiaTheme="majorEastAsia"/>
        </w:rPr>
        <w:t>e</w:t>
      </w:r>
      <w:r w:rsidR="4FC2F20D" w:rsidRPr="2E9289B1">
        <w:rPr>
          <w:rFonts w:eastAsiaTheme="majorEastAsia"/>
        </w:rPr>
        <w:t xml:space="preserve">lementary </w:t>
      </w:r>
      <w:r w:rsidR="00C25C58">
        <w:rPr>
          <w:rFonts w:eastAsiaTheme="majorEastAsia"/>
        </w:rPr>
        <w:t>d</w:t>
      </w:r>
      <w:r w:rsidR="4FC2F20D" w:rsidRPr="2E9289B1">
        <w:rPr>
          <w:rFonts w:eastAsiaTheme="majorEastAsia"/>
        </w:rPr>
        <w:t>istricts received a Yellow, 19 more Green, and 4 more received a Blue.</w:t>
      </w:r>
    </w:p>
    <w:p w14:paraId="521B2437" w14:textId="76A793EA" w:rsidR="00342ECD" w:rsidRDefault="32F0A863" w:rsidP="2E9289B1">
      <w:pPr>
        <w:rPr>
          <w:rFonts w:eastAsiaTheme="majorEastAsia"/>
        </w:rPr>
      </w:pPr>
      <w:r w:rsidRPr="2E9289B1">
        <w:rPr>
          <w:rFonts w:eastAsiaTheme="majorEastAsia"/>
        </w:rPr>
        <w:t xml:space="preserve">Across school types, the data </w:t>
      </w:r>
      <w:r w:rsidRPr="0AE87CAA">
        <w:rPr>
          <w:rFonts w:eastAsiaTheme="majorEastAsia"/>
        </w:rPr>
        <w:t>show</w:t>
      </w:r>
      <w:r w:rsidR="63753A77" w:rsidRPr="0AE87CAA">
        <w:rPr>
          <w:rFonts w:eastAsiaTheme="majorEastAsia"/>
        </w:rPr>
        <w:t>s</w:t>
      </w:r>
      <w:r w:rsidRPr="2E9289B1">
        <w:rPr>
          <w:rFonts w:eastAsiaTheme="majorEastAsia"/>
        </w:rPr>
        <w:t xml:space="preserve"> that over half of all LTELs in grade 6 attend an elementary or K-12 school with 51.3 percent at elementary schools and 5.4 percent at K-12 schools</w:t>
      </w:r>
      <w:r w:rsidR="1B153D9E" w:rsidRPr="2E9289B1">
        <w:rPr>
          <w:rFonts w:eastAsiaTheme="majorEastAsia"/>
        </w:rPr>
        <w:t xml:space="preserve">. </w:t>
      </w:r>
      <w:r w:rsidR="475ADEC2" w:rsidRPr="2E9289B1">
        <w:rPr>
          <w:rFonts w:eastAsiaTheme="majorEastAsia"/>
        </w:rPr>
        <w:t xml:space="preserve">Additionally, </w:t>
      </w:r>
      <w:r w:rsidR="261B17E4" w:rsidRPr="0AE87CAA">
        <w:rPr>
          <w:rFonts w:eastAsiaTheme="majorEastAsia"/>
        </w:rPr>
        <w:t xml:space="preserve">performance levels </w:t>
      </w:r>
      <w:r w:rsidR="7E453C55" w:rsidRPr="0AE87CAA">
        <w:rPr>
          <w:rFonts w:eastAsiaTheme="majorEastAsia"/>
        </w:rPr>
        <w:t xml:space="preserve">(or colors) </w:t>
      </w:r>
      <w:r w:rsidR="261B17E4" w:rsidRPr="0AE87CAA">
        <w:rPr>
          <w:rFonts w:eastAsiaTheme="majorEastAsia"/>
        </w:rPr>
        <w:t>shift with</w:t>
      </w:r>
      <w:r w:rsidR="475ADEC2" w:rsidRPr="0AE87CAA">
        <w:rPr>
          <w:rFonts w:eastAsiaTheme="majorEastAsia"/>
        </w:rPr>
        <w:t xml:space="preserve"> </w:t>
      </w:r>
      <w:r w:rsidR="2FCD8B03" w:rsidRPr="2E9289B1">
        <w:rPr>
          <w:rFonts w:eastAsiaTheme="majorEastAsia"/>
        </w:rPr>
        <w:t xml:space="preserve">32 Elementary Schools </w:t>
      </w:r>
      <w:r w:rsidR="32460438" w:rsidRPr="0AE87CAA">
        <w:rPr>
          <w:rFonts w:eastAsiaTheme="majorEastAsia"/>
        </w:rPr>
        <w:t>that</w:t>
      </w:r>
      <w:r w:rsidR="2FCD8B03" w:rsidRPr="0AE87CAA">
        <w:rPr>
          <w:rFonts w:eastAsiaTheme="majorEastAsia"/>
        </w:rPr>
        <w:t xml:space="preserve"> </w:t>
      </w:r>
      <w:r w:rsidR="2FCD8B03" w:rsidRPr="2E9289B1">
        <w:rPr>
          <w:rFonts w:eastAsiaTheme="majorEastAsia"/>
        </w:rPr>
        <w:t xml:space="preserve">have exited the Red, and 9 exited Yellow. 7 more schools received Orange, 34 </w:t>
      </w:r>
      <w:r w:rsidR="00E212BE">
        <w:rPr>
          <w:rFonts w:eastAsiaTheme="majorEastAsia"/>
        </w:rPr>
        <w:t>e</w:t>
      </w:r>
      <w:r w:rsidR="2FCD8B03" w:rsidRPr="2E9289B1">
        <w:rPr>
          <w:rFonts w:eastAsiaTheme="majorEastAsia"/>
        </w:rPr>
        <w:t xml:space="preserve">lementary </w:t>
      </w:r>
      <w:r w:rsidR="00E212BE">
        <w:rPr>
          <w:rFonts w:eastAsiaTheme="majorEastAsia"/>
        </w:rPr>
        <w:t>s</w:t>
      </w:r>
      <w:r w:rsidR="2FCD8B03" w:rsidRPr="2E9289B1">
        <w:rPr>
          <w:rFonts w:eastAsiaTheme="majorEastAsia"/>
        </w:rPr>
        <w:t>chools received a Green, and 0 Blue.</w:t>
      </w:r>
    </w:p>
    <w:p w14:paraId="2E70BB7A" w14:textId="43D2CCD7" w:rsidR="00C23CA5" w:rsidRDefault="42A012ED" w:rsidP="2E9289B1">
      <w:pPr>
        <w:rPr>
          <w:rFonts w:eastAsiaTheme="majorEastAsia"/>
        </w:rPr>
        <w:sectPr w:rsidR="00C23CA5" w:rsidSect="0089621B">
          <w:headerReference w:type="default" r:id="rId146"/>
          <w:pgSz w:w="12240" w:h="15840"/>
          <w:pgMar w:top="1440" w:right="1440" w:bottom="1440" w:left="1440" w:header="720" w:footer="720" w:gutter="0"/>
          <w:pgNumType w:start="1"/>
          <w:cols w:space="720"/>
          <w:docGrid w:linePitch="360"/>
        </w:sectPr>
      </w:pPr>
      <w:r w:rsidRPr="2E9289B1">
        <w:rPr>
          <w:rFonts w:eastAsiaTheme="majorEastAsia"/>
        </w:rPr>
        <w:t xml:space="preserve">Since LTELs are predominantly </w:t>
      </w:r>
      <w:r w:rsidR="00931106">
        <w:rPr>
          <w:rFonts w:eastAsiaTheme="majorEastAsia"/>
        </w:rPr>
        <w:t>enrolled</w:t>
      </w:r>
      <w:r w:rsidRPr="2E9289B1">
        <w:rPr>
          <w:rFonts w:eastAsiaTheme="majorEastAsia"/>
        </w:rPr>
        <w:t xml:space="preserve"> in grade 6 and above, the CDE analyzed the effect of applying middle school and high school five-by-fives to the LTEL student group to more accurately reflect this population.</w:t>
      </w:r>
      <w:r w:rsidR="33677461" w:rsidRPr="2E9289B1">
        <w:rPr>
          <w:rFonts w:eastAsiaTheme="majorEastAsia"/>
        </w:rPr>
        <w:t xml:space="preserve"> </w:t>
      </w:r>
      <w:r w:rsidR="00EE19B7" w:rsidRPr="2E9289B1">
        <w:rPr>
          <w:rFonts w:eastAsiaTheme="majorEastAsia"/>
        </w:rPr>
        <w:t xml:space="preserve">In presenting the data to </w:t>
      </w:r>
      <w:r w:rsidR="00EE19B7">
        <w:rPr>
          <w:rFonts w:eastAsiaTheme="majorEastAsia"/>
        </w:rPr>
        <w:t>the CDE</w:t>
      </w:r>
      <w:r w:rsidR="00EE19B7" w:rsidRPr="2E9289B1">
        <w:rPr>
          <w:rFonts w:eastAsiaTheme="majorEastAsia"/>
        </w:rPr>
        <w:t xml:space="preserve"> Technical Design Group (TDG</w:t>
      </w:r>
      <w:r w:rsidR="00EE19B7" w:rsidRPr="0AE87CAA">
        <w:rPr>
          <w:rFonts w:eastAsiaTheme="majorEastAsia"/>
        </w:rPr>
        <w:t>)</w:t>
      </w:r>
      <w:r w:rsidR="00EE19B7">
        <w:rPr>
          <w:rFonts w:eastAsiaTheme="majorEastAsia"/>
        </w:rPr>
        <w:t xml:space="preserve">, the </w:t>
      </w:r>
      <w:r w:rsidR="00CA1344">
        <w:rPr>
          <w:rFonts w:eastAsiaTheme="majorEastAsia"/>
        </w:rPr>
        <w:t xml:space="preserve">TDG found the </w:t>
      </w:r>
      <w:r w:rsidR="00EE19B7">
        <w:rPr>
          <w:rFonts w:eastAsiaTheme="majorEastAsia"/>
        </w:rPr>
        <w:t xml:space="preserve">analysis to </w:t>
      </w:r>
      <w:r w:rsidR="00CA1344">
        <w:rPr>
          <w:rFonts w:eastAsiaTheme="majorEastAsia"/>
        </w:rPr>
        <w:t>be</w:t>
      </w:r>
      <w:r w:rsidR="00EE19B7">
        <w:rPr>
          <w:rFonts w:eastAsiaTheme="majorEastAsia"/>
        </w:rPr>
        <w:t xml:space="preserve"> inconclusive</w:t>
      </w:r>
      <w:r w:rsidR="00CA1344">
        <w:rPr>
          <w:rFonts w:eastAsiaTheme="majorEastAsia"/>
        </w:rPr>
        <w:t xml:space="preserve"> and requested an additional review of</w:t>
      </w:r>
      <w:r w:rsidR="00EE19B7">
        <w:rPr>
          <w:rFonts w:eastAsiaTheme="majorEastAsia"/>
        </w:rPr>
        <w:t xml:space="preserve"> these data. The CDE will </w:t>
      </w:r>
      <w:r w:rsidR="00EE19B7" w:rsidRPr="0AE87CAA">
        <w:rPr>
          <w:rFonts w:eastAsiaTheme="majorEastAsia"/>
        </w:rPr>
        <w:t xml:space="preserve">continue to explore LTEL outcomes for the </w:t>
      </w:r>
      <w:r w:rsidR="00CA1344">
        <w:rPr>
          <w:rFonts w:eastAsiaTheme="majorEastAsia"/>
        </w:rPr>
        <w:t>S</w:t>
      </w:r>
      <w:r w:rsidR="318F2564" w:rsidRPr="0AE87CAA">
        <w:rPr>
          <w:rFonts w:eastAsiaTheme="majorEastAsia"/>
        </w:rPr>
        <w:t xml:space="preserve">uspension </w:t>
      </w:r>
      <w:r w:rsidR="00CA1344">
        <w:rPr>
          <w:rFonts w:eastAsiaTheme="majorEastAsia"/>
        </w:rPr>
        <w:t>I</w:t>
      </w:r>
      <w:r w:rsidR="318F2564" w:rsidRPr="0AE87CAA">
        <w:rPr>
          <w:rFonts w:eastAsiaTheme="majorEastAsia"/>
        </w:rPr>
        <w:t>ndicator</w:t>
      </w:r>
      <w:r w:rsidR="00EE19B7" w:rsidRPr="0AE87CAA">
        <w:rPr>
          <w:rFonts w:eastAsiaTheme="majorEastAsia"/>
        </w:rPr>
        <w:t xml:space="preserve"> and </w:t>
      </w:r>
      <w:r w:rsidR="00EE19B7">
        <w:rPr>
          <w:rFonts w:eastAsiaTheme="majorEastAsia"/>
        </w:rPr>
        <w:t>share what we learn from this analysis at</w:t>
      </w:r>
      <w:r w:rsidR="00EE19B7" w:rsidRPr="0AE87CAA">
        <w:rPr>
          <w:rFonts w:eastAsiaTheme="majorEastAsia"/>
        </w:rPr>
        <w:t xml:space="preserve"> the July </w:t>
      </w:r>
      <w:r w:rsidR="00EE19B7">
        <w:rPr>
          <w:rFonts w:eastAsiaTheme="majorEastAsia"/>
        </w:rPr>
        <w:t xml:space="preserve">2025 </w:t>
      </w:r>
      <w:r w:rsidR="00EE19B7" w:rsidRPr="0AE87CAA">
        <w:rPr>
          <w:rFonts w:eastAsiaTheme="majorEastAsia"/>
        </w:rPr>
        <w:t>SBE meeting</w:t>
      </w:r>
      <w:r w:rsidR="00EE19B7" w:rsidRPr="2E9289B1">
        <w:rPr>
          <w:rFonts w:eastAsiaTheme="majorEastAsia"/>
        </w:rPr>
        <w:t>.</w:t>
      </w:r>
    </w:p>
    <w:p w14:paraId="1E4808D9" w14:textId="267DFE49" w:rsidR="5712BDA2" w:rsidRPr="00A92916" w:rsidRDefault="5712BDA2" w:rsidP="00A92916">
      <w:pPr>
        <w:pStyle w:val="Heading1"/>
        <w:jc w:val="left"/>
        <w:rPr>
          <w:sz w:val="36"/>
          <w:szCs w:val="28"/>
        </w:rPr>
      </w:pPr>
      <w:r w:rsidRPr="00A92916">
        <w:rPr>
          <w:sz w:val="36"/>
          <w:szCs w:val="28"/>
        </w:rPr>
        <w:lastRenderedPageBreak/>
        <w:t>Attachment 4</w:t>
      </w:r>
    </w:p>
    <w:p w14:paraId="4051420F" w14:textId="6609DF7A" w:rsidR="5712BDA2" w:rsidRPr="002E096B" w:rsidRDefault="5712BDA2" w:rsidP="002E096B">
      <w:pPr>
        <w:pStyle w:val="Heading2"/>
      </w:pPr>
      <w:r w:rsidRPr="002E096B">
        <w:t>Review Options to Incorporate Science Indicator into LCFF Eligibility Criteria</w:t>
      </w:r>
    </w:p>
    <w:p w14:paraId="2EC7F094" w14:textId="556ADBEA" w:rsidR="6FF67CBA" w:rsidRDefault="005D0EC4" w:rsidP="6FF67CBA">
      <w:r>
        <w:t xml:space="preserve">Table </w:t>
      </w:r>
      <w:r w:rsidR="00E5222B">
        <w:t>21</w:t>
      </w:r>
      <w:r>
        <w:t xml:space="preserve"> shows the activities that </w:t>
      </w:r>
      <w:r w:rsidR="00AE63D9">
        <w:t>C</w:t>
      </w:r>
      <w:r w:rsidR="00E5222B">
        <w:t xml:space="preserve">alifornia </w:t>
      </w:r>
      <w:r w:rsidR="00AE63D9" w:rsidRPr="004177CF">
        <w:t>D</w:t>
      </w:r>
      <w:r w:rsidR="00E5222B" w:rsidRPr="004177CF">
        <w:t>epartment of Education (CDE)</w:t>
      </w:r>
      <w:r w:rsidR="00AE63D9" w:rsidRPr="004177CF">
        <w:t xml:space="preserve"> committed to bringing to the S</w:t>
      </w:r>
      <w:r w:rsidR="00E5222B" w:rsidRPr="004177CF">
        <w:t xml:space="preserve">tate </w:t>
      </w:r>
      <w:r w:rsidR="00AE63D9" w:rsidRPr="004177CF">
        <w:t>B</w:t>
      </w:r>
      <w:r w:rsidR="00E5222B" w:rsidRPr="004177CF">
        <w:t xml:space="preserve">oard of Education (SBE) </w:t>
      </w:r>
      <w:r w:rsidR="001B60AA" w:rsidRPr="004177CF">
        <w:rPr>
          <w:rFonts w:eastAsia="Arial" w:cs="Arial"/>
          <w:color w:val="000000" w:themeColor="text1"/>
        </w:rPr>
        <w:t>and California Practitioners Advisory Group (CPAG)</w:t>
      </w:r>
      <w:r w:rsidR="001B60AA" w:rsidRPr="004177CF">
        <w:t xml:space="preserve"> </w:t>
      </w:r>
      <w:r w:rsidR="00E5222B" w:rsidRPr="004177CF">
        <w:t>to</w:t>
      </w:r>
      <w:r w:rsidR="00AE63D9" w:rsidRPr="004177CF">
        <w:t xml:space="preserve"> incorporat</w:t>
      </w:r>
      <w:r w:rsidR="00E5222B" w:rsidRPr="004177CF">
        <w:t>e</w:t>
      </w:r>
      <w:r w:rsidR="00AE63D9" w:rsidRPr="004177CF">
        <w:t xml:space="preserve"> the Science Indicator into the L</w:t>
      </w:r>
      <w:r w:rsidR="00E5222B" w:rsidRPr="004177CF">
        <w:t xml:space="preserve">ocal </w:t>
      </w:r>
      <w:r w:rsidR="00AE63D9" w:rsidRPr="004177CF">
        <w:t>C</w:t>
      </w:r>
      <w:r w:rsidR="00E5222B" w:rsidRPr="004177CF">
        <w:t xml:space="preserve">ontrol </w:t>
      </w:r>
      <w:r w:rsidR="00AE63D9" w:rsidRPr="004177CF">
        <w:t>F</w:t>
      </w:r>
      <w:r w:rsidR="00E5222B" w:rsidRPr="004177CF">
        <w:t xml:space="preserve">unding </w:t>
      </w:r>
      <w:r w:rsidR="00AE63D9" w:rsidRPr="004177CF">
        <w:t>F</w:t>
      </w:r>
      <w:r w:rsidR="00E5222B" w:rsidRPr="004177CF">
        <w:t>ormula (LCFF)</w:t>
      </w:r>
      <w:r w:rsidR="00AE63D9" w:rsidRPr="004177CF">
        <w:t xml:space="preserve"> Eligibility Criteria. </w:t>
      </w:r>
      <w:r w:rsidR="00417DF4" w:rsidRPr="004177CF">
        <w:t xml:space="preserve">At the March 2025 meeting, </w:t>
      </w:r>
      <w:r w:rsidR="00993083" w:rsidRPr="004177CF">
        <w:t xml:space="preserve">the </w:t>
      </w:r>
      <w:r w:rsidR="00417DF4" w:rsidRPr="004177CF">
        <w:t>SBE adopted</w:t>
      </w:r>
      <w:r w:rsidR="00417DF4">
        <w:t xml:space="preserve"> the status and change cut scores for the Science Indicator and </w:t>
      </w:r>
      <w:r w:rsidR="00382713">
        <w:t>the color scheme for the five-by-five grid.</w:t>
      </w:r>
    </w:p>
    <w:p w14:paraId="660B503E" w14:textId="2D344669" w:rsidR="34AEB59F" w:rsidRPr="002E096B" w:rsidRDefault="34AEB59F" w:rsidP="002E096B">
      <w:pPr>
        <w:pStyle w:val="Heading3"/>
        <w:rPr>
          <w:color w:val="000000" w:themeColor="text1"/>
          <w:sz w:val="24"/>
          <w:szCs w:val="20"/>
        </w:rPr>
      </w:pPr>
      <w:r w:rsidRPr="002E096B">
        <w:rPr>
          <w:color w:val="000000" w:themeColor="text1"/>
          <w:sz w:val="24"/>
          <w:szCs w:val="20"/>
        </w:rPr>
        <w:t xml:space="preserve">Table </w:t>
      </w:r>
      <w:r w:rsidR="00E5222B" w:rsidRPr="002E096B">
        <w:rPr>
          <w:color w:val="000000" w:themeColor="text1"/>
          <w:sz w:val="24"/>
          <w:szCs w:val="20"/>
        </w:rPr>
        <w:t>21</w:t>
      </w:r>
      <w:r w:rsidRPr="002E096B">
        <w:rPr>
          <w:color w:val="000000" w:themeColor="text1"/>
          <w:sz w:val="24"/>
          <w:szCs w:val="20"/>
        </w:rPr>
        <w:t xml:space="preserve">: </w:t>
      </w:r>
      <w:r w:rsidRPr="002E096B">
        <w:rPr>
          <w:sz w:val="24"/>
          <w:szCs w:val="20"/>
        </w:rPr>
        <w:t xml:space="preserve">Timeline of Ongoing Developmental Activities for the </w:t>
      </w:r>
      <w:r w:rsidR="49F0C719" w:rsidRPr="002E096B">
        <w:rPr>
          <w:sz w:val="24"/>
          <w:szCs w:val="20"/>
        </w:rPr>
        <w:t>Science Assessment results</w:t>
      </w:r>
      <w:r w:rsidRPr="002E096B">
        <w:rPr>
          <w:sz w:val="24"/>
          <w:szCs w:val="20"/>
        </w:rPr>
        <w:t xml:space="preserve"> in the 2025 Accountability Workplan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X: Timeline of Ongoing Developmental Activities for the Science Assessment results in the 2025 Accountability Workplan"/>
        <w:tblDescription w:val="Table X: Timeline of Ongoing Developmental Activities for the Science Assessment results in the 2025 Accountability Workplan"/>
      </w:tblPr>
      <w:tblGrid>
        <w:gridCol w:w="1946"/>
        <w:gridCol w:w="1742"/>
        <w:gridCol w:w="1765"/>
        <w:gridCol w:w="1926"/>
        <w:gridCol w:w="1965"/>
      </w:tblGrid>
      <w:tr w:rsidR="6FF67CBA" w14:paraId="44D6511D" w14:textId="77777777" w:rsidTr="00192AC8">
        <w:trPr>
          <w:cantSplit/>
          <w:trHeight w:val="300"/>
          <w:tblHeader/>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72EB58DA" w14:textId="09F3DFF7"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Subject</w:t>
            </w:r>
          </w:p>
        </w:tc>
        <w:tc>
          <w:tcPr>
            <w:tcW w:w="1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45171CC0" w14:textId="4A0C6D1B"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March 2025</w:t>
            </w:r>
          </w:p>
          <w:p w14:paraId="4DD8F282" w14:textId="207826E7"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SBE Meeting</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1DF7644" w14:textId="6EE25123"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May 2025</w:t>
            </w:r>
          </w:p>
          <w:p w14:paraId="3CC5AA55" w14:textId="1D46E5BE"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SBE Meeting</w:t>
            </w:r>
          </w:p>
        </w:tc>
        <w:tc>
          <w:tcPr>
            <w:tcW w:w="1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79F01BE" w14:textId="426168B8" w:rsidR="6FF67CBA" w:rsidRDefault="6FF67CBA" w:rsidP="6FF67CBA">
            <w:pPr>
              <w:jc w:val="center"/>
              <w:rPr>
                <w:rFonts w:eastAsia="Arial" w:cs="Arial"/>
                <w:color w:val="000000" w:themeColor="text1"/>
              </w:rPr>
            </w:pPr>
            <w:r w:rsidRPr="6FF67CBA">
              <w:rPr>
                <w:rFonts w:eastAsia="Arial" w:cs="Arial"/>
                <w:b/>
                <w:bCs/>
                <w:color w:val="000000" w:themeColor="text1"/>
              </w:rPr>
              <w:t>June 2025</w:t>
            </w:r>
            <w:r w:rsidR="00D24517">
              <w:rPr>
                <w:rFonts w:eastAsia="Arial" w:cs="Arial"/>
                <w:b/>
                <w:bCs/>
                <w:color w:val="000000" w:themeColor="text1"/>
              </w:rPr>
              <w:t xml:space="preserve"> </w:t>
            </w:r>
            <w:r w:rsidRPr="6FF67CBA">
              <w:rPr>
                <w:rFonts w:eastAsia="Arial" w:cs="Arial"/>
                <w:b/>
                <w:bCs/>
                <w:color w:val="000000" w:themeColor="text1"/>
              </w:rPr>
              <w:t>CPAG Meeting</w:t>
            </w:r>
          </w:p>
        </w:tc>
        <w:tc>
          <w:tcPr>
            <w:tcW w:w="1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48F628F1" w14:textId="620143A3"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July 2025</w:t>
            </w:r>
          </w:p>
          <w:p w14:paraId="6C86877B" w14:textId="697897D5" w:rsidR="6FF67CBA" w:rsidRDefault="6FF67CBA" w:rsidP="6FF67CBA">
            <w:pPr>
              <w:contextualSpacing/>
              <w:jc w:val="center"/>
              <w:rPr>
                <w:rFonts w:eastAsia="Arial" w:cs="Arial"/>
                <w:color w:val="000000" w:themeColor="text1"/>
              </w:rPr>
            </w:pPr>
            <w:r w:rsidRPr="6FF67CBA">
              <w:rPr>
                <w:rFonts w:eastAsia="Arial" w:cs="Arial"/>
                <w:b/>
                <w:bCs/>
                <w:color w:val="000000" w:themeColor="text1"/>
              </w:rPr>
              <w:t>SBE Meeting</w:t>
            </w:r>
          </w:p>
        </w:tc>
      </w:tr>
      <w:tr w:rsidR="6FF67CBA" w14:paraId="5D5E3A7D" w14:textId="77777777" w:rsidTr="00192AC8">
        <w:trPr>
          <w:cantSplit/>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C82C8" w14:textId="0CAFE57E" w:rsidR="3933E93B" w:rsidRDefault="3933E93B" w:rsidP="6FF67CBA">
            <w:pPr>
              <w:contextualSpacing/>
              <w:rPr>
                <w:rFonts w:eastAsia="Arial" w:cs="Arial"/>
                <w:color w:val="000000" w:themeColor="text1"/>
              </w:rPr>
            </w:pPr>
            <w:r w:rsidRPr="6FF67CBA">
              <w:rPr>
                <w:rFonts w:eastAsia="Arial" w:cs="Arial"/>
                <w:color w:val="000000" w:themeColor="text1"/>
              </w:rPr>
              <w:t>Incorporation of</w:t>
            </w:r>
          </w:p>
          <w:p w14:paraId="738C3DE8" w14:textId="4D2CA862" w:rsidR="3933E93B" w:rsidRDefault="3933E93B" w:rsidP="6FF67CBA">
            <w:pPr>
              <w:contextualSpacing/>
            </w:pPr>
            <w:r w:rsidRPr="6FF67CBA">
              <w:rPr>
                <w:rFonts w:eastAsia="Arial" w:cs="Arial"/>
                <w:color w:val="000000" w:themeColor="text1"/>
              </w:rPr>
              <w:t>the Science</w:t>
            </w:r>
          </w:p>
          <w:p w14:paraId="2A97526B" w14:textId="22152AFF" w:rsidR="3933E93B" w:rsidRDefault="3933E93B" w:rsidP="6FF67CBA">
            <w:pPr>
              <w:contextualSpacing/>
            </w:pPr>
            <w:r w:rsidRPr="6FF67CBA">
              <w:rPr>
                <w:rFonts w:eastAsia="Arial" w:cs="Arial"/>
                <w:color w:val="000000" w:themeColor="text1"/>
              </w:rPr>
              <w:t>Assessment</w:t>
            </w:r>
          </w:p>
          <w:p w14:paraId="653E60F9" w14:textId="28258B44" w:rsidR="3933E93B" w:rsidRDefault="3933E93B" w:rsidP="6FF67CBA">
            <w:pPr>
              <w:contextualSpacing/>
            </w:pPr>
            <w:r w:rsidRPr="6FF67CBA">
              <w:rPr>
                <w:rFonts w:eastAsia="Arial" w:cs="Arial"/>
                <w:color w:val="000000" w:themeColor="text1"/>
              </w:rPr>
              <w:t>results into the</w:t>
            </w:r>
          </w:p>
          <w:p w14:paraId="4A824713" w14:textId="6815E49E" w:rsidR="6FF67CBA" w:rsidRPr="00787C55" w:rsidRDefault="3933E93B" w:rsidP="6FF67CBA">
            <w:pPr>
              <w:contextualSpacing/>
              <w:rPr>
                <w:rFonts w:eastAsia="Arial"/>
              </w:rPr>
            </w:pPr>
            <w:r w:rsidRPr="6FF67CBA">
              <w:rPr>
                <w:rFonts w:eastAsia="Arial" w:cs="Arial"/>
                <w:color w:val="000000" w:themeColor="text1"/>
              </w:rPr>
              <w:t>Dashboard</w:t>
            </w:r>
          </w:p>
        </w:tc>
        <w:tc>
          <w:tcPr>
            <w:tcW w:w="17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D3E0ED" w14:textId="768630B7" w:rsidR="3933E93B" w:rsidRDefault="3933E93B" w:rsidP="6FF67CBA">
            <w:pPr>
              <w:contextualSpacing/>
              <w:rPr>
                <w:rFonts w:eastAsia="Arial" w:cs="Arial"/>
                <w:color w:val="000000" w:themeColor="text1"/>
              </w:rPr>
            </w:pPr>
            <w:r w:rsidRPr="6FF67CBA">
              <w:rPr>
                <w:rFonts w:eastAsia="Arial" w:cs="Arial"/>
                <w:color w:val="000000" w:themeColor="text1"/>
              </w:rPr>
              <w:t>Adoption of Science Cut Scores for Status and Change and Color Scheme for five-by-five Grids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31208B" w14:textId="38FDA824" w:rsidR="3933E93B" w:rsidRDefault="3933E93B" w:rsidP="6FF67CBA">
            <w:pPr>
              <w:rPr>
                <w:rFonts w:eastAsia="Arial" w:cs="Arial"/>
                <w:color w:val="000000" w:themeColor="text1"/>
              </w:rPr>
            </w:pPr>
            <w:r w:rsidRPr="6FF67CBA">
              <w:rPr>
                <w:rFonts w:eastAsia="Arial" w:cs="Arial"/>
                <w:color w:val="000000" w:themeColor="text1"/>
              </w:rPr>
              <w:t>Review Options to Incorporate Science Indicator into LCFF eligibility criteria</w:t>
            </w:r>
          </w:p>
        </w:tc>
        <w:tc>
          <w:tcPr>
            <w:tcW w:w="1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E2F712" w14:textId="552B7CE3" w:rsidR="3933E93B" w:rsidRDefault="3933E93B" w:rsidP="6FF67CBA">
            <w:pPr>
              <w:rPr>
                <w:rFonts w:eastAsia="Arial" w:cs="Arial"/>
                <w:color w:val="000000" w:themeColor="text1"/>
              </w:rPr>
            </w:pPr>
            <w:r w:rsidRPr="6FF67CBA">
              <w:rPr>
                <w:rFonts w:eastAsia="Arial" w:cs="Arial"/>
                <w:color w:val="000000" w:themeColor="text1"/>
              </w:rPr>
              <w:t>Review Options to Incorporate Science Indicator into LCFF eligibility criteria</w:t>
            </w:r>
          </w:p>
        </w:tc>
        <w:tc>
          <w:tcPr>
            <w:tcW w:w="19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07D7B" w14:textId="14F97E75" w:rsidR="3933E93B" w:rsidRDefault="3933E93B" w:rsidP="6FF67CBA">
            <w:pPr>
              <w:rPr>
                <w:rFonts w:eastAsia="Arial" w:cs="Arial"/>
                <w:color w:val="000000" w:themeColor="text1"/>
              </w:rPr>
            </w:pPr>
            <w:r w:rsidRPr="6FF67CBA">
              <w:rPr>
                <w:rFonts w:eastAsia="Arial" w:cs="Arial"/>
                <w:color w:val="000000" w:themeColor="text1"/>
              </w:rPr>
              <w:t>Determinations on Incorporation of Science Indicator into LCFF eligibility criteria</w:t>
            </w:r>
          </w:p>
        </w:tc>
      </w:tr>
    </w:tbl>
    <w:p w14:paraId="4AD7AAD4" w14:textId="77777777" w:rsidR="00A26BD7" w:rsidRDefault="003842E4">
      <w:r>
        <w:rPr>
          <w:i/>
          <w:iCs/>
        </w:rPr>
        <w:t xml:space="preserve">Options for </w:t>
      </w:r>
      <w:r w:rsidR="00A26BD7">
        <w:rPr>
          <w:i/>
          <w:iCs/>
        </w:rPr>
        <w:t xml:space="preserve">the </w:t>
      </w:r>
      <w:r>
        <w:rPr>
          <w:i/>
          <w:iCs/>
        </w:rPr>
        <w:t>Inclusion of Science in</w:t>
      </w:r>
      <w:r w:rsidR="00A26BD7">
        <w:rPr>
          <w:i/>
          <w:iCs/>
        </w:rPr>
        <w:t>to the LCFF Eligibility Criteria</w:t>
      </w:r>
    </w:p>
    <w:p w14:paraId="29A18814" w14:textId="128DD8AF" w:rsidR="00E534BF" w:rsidRDefault="00A26BD7">
      <w:r>
        <w:t>The Science Indicator</w:t>
      </w:r>
      <w:r w:rsidR="005E444A">
        <w:t xml:space="preserve"> was adopted by the SBE in July 2024 as an</w:t>
      </w:r>
      <w:r w:rsidR="005F28DF">
        <w:t xml:space="preserve"> information measure on the 2024</w:t>
      </w:r>
      <w:r w:rsidR="005E444A">
        <w:t xml:space="preserve"> </w:t>
      </w:r>
      <w:r w:rsidR="005F28DF">
        <w:t xml:space="preserve">California School </w:t>
      </w:r>
      <w:r w:rsidR="005E444A">
        <w:t>Dashboard</w:t>
      </w:r>
      <w:r w:rsidR="005F28DF">
        <w:t xml:space="preserve"> (Dashboard). In March 2025, the SBE adopted cut scores for status, change, and a five-by-five color grid. The next step is for the SBE to consider whether the indicator will become a part of the LCFF eligibility criteria for differentiated assistance. The first step is for the SBE to consider which </w:t>
      </w:r>
      <w:r w:rsidR="006E2D14">
        <w:t>of</w:t>
      </w:r>
      <w:r w:rsidR="00E534BF">
        <w:t xml:space="preserve"> the eight priority areas </w:t>
      </w:r>
      <w:r w:rsidR="006E2D14">
        <w:t>the Science Indicator should be placed.</w:t>
      </w:r>
    </w:p>
    <w:p w14:paraId="2A21F9B2" w14:textId="75889ACA" w:rsidR="00D13838" w:rsidRDefault="00E534BF">
      <w:r>
        <w:t xml:space="preserve">The current composition of the Indicators and </w:t>
      </w:r>
      <w:r w:rsidR="00D13838">
        <w:t xml:space="preserve">Priority Areas is </w:t>
      </w:r>
      <w:r w:rsidR="00D2211A">
        <w:t>presented</w:t>
      </w:r>
      <w:r w:rsidR="00D13838">
        <w:t xml:space="preserve"> in Table </w:t>
      </w:r>
      <w:r w:rsidR="00A61A25">
        <w:t>22</w:t>
      </w:r>
      <w:r w:rsidR="00D13838">
        <w:t>.</w:t>
      </w:r>
    </w:p>
    <w:p w14:paraId="2C541218" w14:textId="0162C9AF" w:rsidR="00133C2B" w:rsidRPr="002E096B" w:rsidRDefault="00D13838" w:rsidP="002E096B">
      <w:pPr>
        <w:pStyle w:val="Heading3"/>
        <w:rPr>
          <w:color w:val="000000" w:themeColor="text1"/>
          <w:sz w:val="24"/>
          <w:szCs w:val="20"/>
        </w:rPr>
      </w:pPr>
      <w:r w:rsidRPr="002E096B">
        <w:rPr>
          <w:color w:val="000000" w:themeColor="text1"/>
          <w:sz w:val="24"/>
          <w:szCs w:val="20"/>
        </w:rPr>
        <w:lastRenderedPageBreak/>
        <w:t xml:space="preserve">Table </w:t>
      </w:r>
      <w:r w:rsidR="00A61A25" w:rsidRPr="002E096B">
        <w:rPr>
          <w:color w:val="000000" w:themeColor="text1"/>
          <w:sz w:val="24"/>
          <w:szCs w:val="20"/>
        </w:rPr>
        <w:t>22</w:t>
      </w:r>
      <w:r w:rsidRPr="002E096B">
        <w:rPr>
          <w:color w:val="000000" w:themeColor="text1"/>
          <w:sz w:val="24"/>
          <w:szCs w:val="20"/>
        </w:rPr>
        <w:t xml:space="preserve">: </w:t>
      </w:r>
      <w:r w:rsidR="000C6966" w:rsidRPr="002E096B">
        <w:rPr>
          <w:color w:val="000000" w:themeColor="text1"/>
          <w:sz w:val="24"/>
          <w:szCs w:val="20"/>
        </w:rPr>
        <w:t xml:space="preserve">Local Control Funding Formula Priority Areas for Districts and County Offices of Education </w:t>
      </w:r>
    </w:p>
    <w:tbl>
      <w:tblPr>
        <w:tblStyle w:val="TableGrid"/>
        <w:tblW w:w="4930" w:type="pct"/>
        <w:tblLook w:val="04A0" w:firstRow="1" w:lastRow="0" w:firstColumn="1" w:lastColumn="0" w:noHBand="0" w:noVBand="1"/>
        <w:tblDescription w:val="Table 2: Local Control Funding Formula Priority Areas for Districts and County Offices of Education"/>
      </w:tblPr>
      <w:tblGrid>
        <w:gridCol w:w="4613"/>
        <w:gridCol w:w="4606"/>
      </w:tblGrid>
      <w:tr w:rsidR="002353AE" w:rsidRPr="00324EFC" w14:paraId="31948FF4" w14:textId="77777777" w:rsidTr="00BC6DA4">
        <w:trPr>
          <w:cantSplit/>
          <w:trHeight w:val="272"/>
          <w:tblHeader/>
        </w:trPr>
        <w:tc>
          <w:tcPr>
            <w:tcW w:w="2502" w:type="pct"/>
            <w:shd w:val="clear" w:color="auto" w:fill="D9D9D9" w:themeFill="background1" w:themeFillShade="D9"/>
            <w:vAlign w:val="center"/>
          </w:tcPr>
          <w:p w14:paraId="44AD6188" w14:textId="77777777" w:rsidR="002353AE" w:rsidRPr="00324EFC" w:rsidRDefault="002353AE" w:rsidP="00DB76A0">
            <w:pPr>
              <w:spacing w:before="0" w:after="0"/>
              <w:ind w:right="531"/>
              <w:rPr>
                <w:rFonts w:eastAsia="Arial" w:cs="Arial"/>
                <w:b/>
              </w:rPr>
            </w:pPr>
            <w:r w:rsidRPr="00324EFC">
              <w:rPr>
                <w:rFonts w:eastAsia="Arial" w:cs="Arial"/>
                <w:b/>
              </w:rPr>
              <w:t>LCFF State Priority Areas 1–5</w:t>
            </w:r>
          </w:p>
        </w:tc>
        <w:tc>
          <w:tcPr>
            <w:tcW w:w="2498" w:type="pct"/>
            <w:shd w:val="clear" w:color="auto" w:fill="D9D9D9" w:themeFill="background1" w:themeFillShade="D9"/>
            <w:vAlign w:val="center"/>
          </w:tcPr>
          <w:p w14:paraId="4A837E64" w14:textId="77777777" w:rsidR="002353AE" w:rsidRPr="00324EFC" w:rsidRDefault="002353AE" w:rsidP="00DB76A0">
            <w:pPr>
              <w:spacing w:before="0" w:after="0"/>
              <w:ind w:right="531"/>
              <w:rPr>
                <w:rFonts w:eastAsia="Arial" w:cs="Arial"/>
                <w:b/>
                <w:sz w:val="20"/>
              </w:rPr>
            </w:pPr>
            <w:r w:rsidRPr="00324EFC">
              <w:rPr>
                <w:rFonts w:eastAsia="Arial" w:cs="Arial"/>
                <w:b/>
              </w:rPr>
              <w:t>LCFF State Priority Areas 6–10</w:t>
            </w:r>
          </w:p>
        </w:tc>
      </w:tr>
      <w:tr w:rsidR="002353AE" w:rsidRPr="00324EFC" w14:paraId="4A59DF45" w14:textId="77777777" w:rsidTr="00BC6DA4">
        <w:trPr>
          <w:cantSplit/>
          <w:trHeight w:val="1493"/>
        </w:trPr>
        <w:tc>
          <w:tcPr>
            <w:tcW w:w="2502" w:type="pct"/>
          </w:tcPr>
          <w:p w14:paraId="2B636460" w14:textId="77777777" w:rsidR="002353AE" w:rsidRPr="00324EFC" w:rsidRDefault="002353AE" w:rsidP="00DB76A0">
            <w:pPr>
              <w:spacing w:before="0" w:after="0"/>
              <w:ind w:right="-14"/>
              <w:rPr>
                <w:rFonts w:eastAsia="Arial" w:cs="Arial"/>
              </w:rPr>
            </w:pPr>
            <w:r w:rsidRPr="00324EFC">
              <w:rPr>
                <w:rFonts w:eastAsia="Arial" w:cs="Arial"/>
                <w:b/>
                <w:bCs/>
                <w:i/>
                <w:spacing w:val="-1"/>
              </w:rPr>
              <w:t>B</w:t>
            </w:r>
            <w:r w:rsidRPr="00324EFC">
              <w:rPr>
                <w:rFonts w:eastAsia="Arial" w:cs="Arial"/>
                <w:b/>
                <w:bCs/>
                <w:i/>
              </w:rPr>
              <w:t>a</w:t>
            </w:r>
            <w:r w:rsidRPr="00324EFC">
              <w:rPr>
                <w:rFonts w:eastAsia="Arial" w:cs="Arial"/>
                <w:b/>
                <w:bCs/>
                <w:i/>
                <w:spacing w:val="-1"/>
              </w:rPr>
              <w:t>s</w:t>
            </w:r>
            <w:r w:rsidRPr="00324EFC">
              <w:rPr>
                <w:rFonts w:eastAsia="Arial" w:cs="Arial"/>
                <w:b/>
                <w:bCs/>
                <w:i/>
                <w:spacing w:val="1"/>
              </w:rPr>
              <w:t>i</w:t>
            </w:r>
            <w:r w:rsidRPr="00324EFC">
              <w:rPr>
                <w:rFonts w:eastAsia="Arial" w:cs="Arial"/>
                <w:b/>
                <w:bCs/>
                <w:i/>
              </w:rPr>
              <w:t xml:space="preserve">cs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p>
          <w:p w14:paraId="1F0E7D76" w14:textId="77777777" w:rsidR="002353AE" w:rsidRPr="00324EFC" w:rsidRDefault="002353AE" w:rsidP="002353AE">
            <w:pPr>
              <w:pStyle w:val="ListParagraph"/>
              <w:widowControl w:val="0"/>
              <w:numPr>
                <w:ilvl w:val="0"/>
                <w:numId w:val="25"/>
              </w:numPr>
              <w:tabs>
                <w:tab w:val="left" w:pos="1600"/>
              </w:tabs>
              <w:spacing w:before="0" w:after="0"/>
              <w:ind w:left="432" w:right="-20" w:hanging="270"/>
              <w:rPr>
                <w:rFonts w:eastAsia="Arial" w:cs="Arial"/>
                <w:b/>
              </w:rPr>
            </w:pPr>
            <w:r w:rsidRPr="00324EFC">
              <w:rPr>
                <w:rFonts w:eastAsia="Arial" w:cs="Arial"/>
                <w:i/>
                <w:spacing w:val="-1"/>
              </w:rPr>
              <w:t>Not Met for Two or More Years</w:t>
            </w:r>
            <w:r w:rsidRPr="00324EFC">
              <w:rPr>
                <w:rFonts w:eastAsia="Arial" w:cs="Arial"/>
                <w:i/>
                <w:spacing w:val="4"/>
              </w:rPr>
              <w:t xml:space="preserve"> </w:t>
            </w:r>
            <w:r w:rsidRPr="00324EFC">
              <w:rPr>
                <w:rFonts w:eastAsia="Arial" w:cs="Arial"/>
              </w:rPr>
              <w:t>on</w:t>
            </w:r>
            <w:r w:rsidRPr="00324EFC">
              <w:rPr>
                <w:rFonts w:eastAsia="Arial" w:cs="Arial"/>
                <w:spacing w:val="-2"/>
              </w:rPr>
              <w:t xml:space="preserve"> </w:t>
            </w:r>
            <w:r w:rsidRPr="00324EFC">
              <w:rPr>
                <w:rFonts w:eastAsia="Arial" w:cs="Arial"/>
              </w:rPr>
              <w:t>L</w:t>
            </w:r>
            <w:r w:rsidRPr="00324EFC">
              <w:rPr>
                <w:rFonts w:eastAsia="Arial" w:cs="Arial"/>
                <w:spacing w:val="-1"/>
              </w:rPr>
              <w:t>o</w:t>
            </w:r>
            <w:r w:rsidRPr="00324EFC">
              <w:rPr>
                <w:rFonts w:eastAsia="Arial" w:cs="Arial"/>
              </w:rPr>
              <w:t xml:space="preserve">cal </w:t>
            </w:r>
            <w:r w:rsidRPr="00324EFC">
              <w:rPr>
                <w:rFonts w:eastAsia="Arial" w:cs="Arial"/>
                <w:spacing w:val="-1"/>
              </w:rPr>
              <w:t>P</w:t>
            </w:r>
            <w:r w:rsidRPr="00324EFC">
              <w:rPr>
                <w:rFonts w:eastAsia="Arial" w:cs="Arial"/>
              </w:rPr>
              <w:t>e</w:t>
            </w:r>
            <w:r w:rsidRPr="00324EFC">
              <w:rPr>
                <w:rFonts w:eastAsia="Arial" w:cs="Arial"/>
                <w:spacing w:val="-2"/>
              </w:rPr>
              <w:t>r</w:t>
            </w:r>
            <w:r w:rsidRPr="00324EFC">
              <w:rPr>
                <w:rFonts w:eastAsia="Arial" w:cs="Arial"/>
                <w:spacing w:val="1"/>
              </w:rPr>
              <w:t>f</w:t>
            </w:r>
            <w:r w:rsidRPr="00324EFC">
              <w:rPr>
                <w:rFonts w:eastAsia="Arial" w:cs="Arial"/>
              </w:rPr>
              <w:t>o</w:t>
            </w:r>
            <w:r w:rsidRPr="00324EFC">
              <w:rPr>
                <w:rFonts w:eastAsia="Arial" w:cs="Arial"/>
                <w:spacing w:val="-2"/>
              </w:rPr>
              <w:t>r</w:t>
            </w:r>
            <w:r w:rsidRPr="00324EFC">
              <w:rPr>
                <w:rFonts w:eastAsia="Arial" w:cs="Arial"/>
                <w:spacing w:val="1"/>
              </w:rPr>
              <w:t>m</w:t>
            </w:r>
            <w:r w:rsidRPr="00324EFC">
              <w:rPr>
                <w:rFonts w:eastAsia="Arial" w:cs="Arial"/>
                <w:spacing w:val="-3"/>
              </w:rPr>
              <w:t>a</w:t>
            </w:r>
            <w:r w:rsidRPr="00324EFC">
              <w:rPr>
                <w:rFonts w:eastAsia="Arial" w:cs="Arial"/>
              </w:rPr>
              <w:t xml:space="preserve">nce </w:t>
            </w:r>
            <w:r w:rsidRPr="00324EFC">
              <w:rPr>
                <w:rFonts w:eastAsia="Arial" w:cs="Arial"/>
                <w:spacing w:val="1"/>
              </w:rPr>
              <w:t>I</w:t>
            </w:r>
            <w:r w:rsidRPr="00324EFC">
              <w:rPr>
                <w:rFonts w:eastAsia="Arial" w:cs="Arial"/>
              </w:rPr>
              <w:t>n</w:t>
            </w:r>
            <w:r w:rsidRPr="00324EFC">
              <w:rPr>
                <w:rFonts w:eastAsia="Arial" w:cs="Arial"/>
                <w:spacing w:val="-1"/>
              </w:rPr>
              <w:t>di</w:t>
            </w:r>
            <w:r w:rsidRPr="00324EFC">
              <w:rPr>
                <w:rFonts w:eastAsia="Arial" w:cs="Arial"/>
              </w:rPr>
              <w:t>c</w:t>
            </w:r>
            <w:r w:rsidRPr="00324EFC">
              <w:rPr>
                <w:rFonts w:eastAsia="Arial" w:cs="Arial"/>
                <w:spacing w:val="-3"/>
              </w:rPr>
              <w:t>a</w:t>
            </w:r>
            <w:r w:rsidRPr="00324EFC">
              <w:rPr>
                <w:rFonts w:eastAsia="Arial" w:cs="Arial"/>
                <w:spacing w:val="1"/>
              </w:rPr>
              <w:t>t</w:t>
            </w:r>
            <w:r w:rsidRPr="00324EFC">
              <w:rPr>
                <w:rFonts w:eastAsia="Arial" w:cs="Arial"/>
              </w:rPr>
              <w:t>or</w:t>
            </w:r>
          </w:p>
        </w:tc>
        <w:tc>
          <w:tcPr>
            <w:tcW w:w="2498" w:type="pct"/>
          </w:tcPr>
          <w:p w14:paraId="09EFCF65" w14:textId="77777777" w:rsidR="002353AE" w:rsidRPr="00324EFC" w:rsidRDefault="002353AE" w:rsidP="00DB76A0">
            <w:pPr>
              <w:spacing w:before="0" w:after="0"/>
              <w:ind w:right="-14"/>
              <w:rPr>
                <w:rFonts w:eastAsia="Arial" w:cs="Arial"/>
              </w:rPr>
            </w:pPr>
            <w:r w:rsidRPr="00324EFC">
              <w:rPr>
                <w:rFonts w:eastAsia="Arial" w:cs="Arial"/>
                <w:b/>
                <w:bCs/>
                <w:i/>
                <w:spacing w:val="-1"/>
              </w:rPr>
              <w:t>S</w:t>
            </w:r>
            <w:r w:rsidRPr="00324EFC">
              <w:rPr>
                <w:rFonts w:eastAsia="Arial" w:cs="Arial"/>
                <w:b/>
                <w:bCs/>
                <w:i/>
              </w:rPr>
              <w:t>c</w:t>
            </w:r>
            <w:r w:rsidRPr="00324EFC">
              <w:rPr>
                <w:rFonts w:eastAsia="Arial" w:cs="Arial"/>
                <w:b/>
                <w:bCs/>
                <w:i/>
                <w:spacing w:val="-1"/>
              </w:rPr>
              <w:t>h</w:t>
            </w:r>
            <w:r w:rsidRPr="00324EFC">
              <w:rPr>
                <w:rFonts w:eastAsia="Arial" w:cs="Arial"/>
                <w:b/>
                <w:bCs/>
                <w:i/>
              </w:rPr>
              <w:t>o</w:t>
            </w:r>
            <w:r w:rsidRPr="00324EFC">
              <w:rPr>
                <w:rFonts w:eastAsia="Arial" w:cs="Arial"/>
                <w:b/>
                <w:bCs/>
                <w:i/>
                <w:spacing w:val="-1"/>
              </w:rPr>
              <w:t>o</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Cl</w:t>
            </w:r>
            <w:r w:rsidRPr="00324EFC">
              <w:rPr>
                <w:rFonts w:eastAsia="Arial" w:cs="Arial"/>
                <w:b/>
                <w:bCs/>
                <w:i/>
                <w:spacing w:val="1"/>
              </w:rPr>
              <w:t>i</w:t>
            </w:r>
            <w:r w:rsidRPr="00324EFC">
              <w:rPr>
                <w:rFonts w:eastAsia="Arial" w:cs="Arial"/>
                <w:b/>
                <w:bCs/>
                <w:i/>
              </w:rPr>
              <w:t>m</w:t>
            </w:r>
            <w:r w:rsidRPr="00324EFC">
              <w:rPr>
                <w:rFonts w:eastAsia="Arial" w:cs="Arial"/>
                <w:b/>
                <w:bCs/>
                <w:i/>
                <w:spacing w:val="-2"/>
              </w:rPr>
              <w:t>a</w:t>
            </w:r>
            <w:r w:rsidRPr="00324EFC">
              <w:rPr>
                <w:rFonts w:eastAsia="Arial" w:cs="Arial"/>
                <w:b/>
                <w:bCs/>
                <w:i/>
                <w:spacing w:val="1"/>
              </w:rPr>
              <w:t>t</w:t>
            </w:r>
            <w:r w:rsidRPr="00324EFC">
              <w:rPr>
                <w:rFonts w:eastAsia="Arial" w:cs="Arial"/>
                <w:b/>
                <w:bCs/>
                <w:i/>
              </w:rPr>
              <w:t>e</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2"/>
              </w:rPr>
              <w:t>t</w:t>
            </w:r>
            <w:r w:rsidRPr="00324EFC">
              <w:rPr>
                <w:rFonts w:eastAsia="Arial" w:cs="Arial"/>
                <w:b/>
                <w:bCs/>
                <w:i/>
              </w:rPr>
              <w:t>y 6)</w:t>
            </w:r>
          </w:p>
          <w:p w14:paraId="4FF3F9A8" w14:textId="77777777" w:rsidR="002353AE" w:rsidRPr="00324EFC" w:rsidRDefault="002353AE" w:rsidP="002353AE">
            <w:pPr>
              <w:pStyle w:val="ListParagraph"/>
              <w:widowControl w:val="0"/>
              <w:numPr>
                <w:ilvl w:val="0"/>
                <w:numId w:val="25"/>
              </w:numPr>
              <w:tabs>
                <w:tab w:val="left" w:pos="1600"/>
              </w:tabs>
              <w:spacing w:before="0" w:after="0"/>
              <w:ind w:left="432" w:right="-20" w:hanging="270"/>
              <w:rPr>
                <w:rFonts w:eastAsia="Arial" w:cs="Arial"/>
              </w:rPr>
            </w:pPr>
            <w:r w:rsidRPr="00324EFC">
              <w:rPr>
                <w:rFonts w:eastAsia="Arial" w:cs="Arial"/>
                <w:i/>
                <w:spacing w:val="-1"/>
                <w:position w:val="-1"/>
              </w:rPr>
              <w:t>R</w:t>
            </w:r>
            <w:r w:rsidRPr="00324EFC">
              <w:rPr>
                <w:rFonts w:eastAsia="Arial" w:cs="Arial"/>
                <w:i/>
                <w:position w:val="-1"/>
              </w:rPr>
              <w:t xml:space="preserve">ed </w:t>
            </w:r>
            <w:r w:rsidRPr="00324EFC">
              <w:rPr>
                <w:rFonts w:eastAsia="Arial" w:cs="Arial"/>
                <w:position w:val="-1"/>
              </w:rPr>
              <w:t xml:space="preserve">on </w:t>
            </w:r>
            <w:r w:rsidRPr="00324EFC">
              <w:rPr>
                <w:rFonts w:eastAsia="Arial" w:cs="Arial"/>
                <w:spacing w:val="-1"/>
                <w:position w:val="-1"/>
              </w:rPr>
              <w:t>S</w:t>
            </w:r>
            <w:r w:rsidRPr="00324EFC">
              <w:rPr>
                <w:rFonts w:eastAsia="Arial" w:cs="Arial"/>
                <w:position w:val="-1"/>
              </w:rPr>
              <w:t>us</w:t>
            </w:r>
            <w:r w:rsidRPr="00324EFC">
              <w:rPr>
                <w:rFonts w:eastAsia="Arial" w:cs="Arial"/>
                <w:spacing w:val="-1"/>
                <w:position w:val="-1"/>
              </w:rPr>
              <w:t>p</w:t>
            </w:r>
            <w:r w:rsidRPr="00324EFC">
              <w:rPr>
                <w:rFonts w:eastAsia="Arial" w:cs="Arial"/>
                <w:position w:val="-1"/>
              </w:rPr>
              <w:t>e</w:t>
            </w:r>
            <w:r w:rsidRPr="00324EFC">
              <w:rPr>
                <w:rFonts w:eastAsia="Arial" w:cs="Arial"/>
                <w:spacing w:val="-1"/>
                <w:position w:val="-1"/>
              </w:rPr>
              <w:t>n</w:t>
            </w:r>
            <w:r w:rsidRPr="00324EFC">
              <w:rPr>
                <w:rFonts w:eastAsia="Arial" w:cs="Arial"/>
                <w:position w:val="-1"/>
              </w:rPr>
              <w:t>s</w:t>
            </w:r>
            <w:r w:rsidRPr="00324EFC">
              <w:rPr>
                <w:rFonts w:eastAsia="Arial" w:cs="Arial"/>
                <w:spacing w:val="-1"/>
                <w:position w:val="-1"/>
              </w:rPr>
              <w:t>i</w:t>
            </w:r>
            <w:r w:rsidRPr="00324EFC">
              <w:rPr>
                <w:rFonts w:eastAsia="Arial" w:cs="Arial"/>
                <w:position w:val="-1"/>
              </w:rPr>
              <w:t xml:space="preserve">on </w:t>
            </w:r>
            <w:r w:rsidRPr="00324EFC">
              <w:rPr>
                <w:rFonts w:eastAsia="Arial" w:cs="Arial"/>
                <w:spacing w:val="-1"/>
                <w:position w:val="-1"/>
              </w:rPr>
              <w:t>R</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e</w:t>
            </w:r>
            <w:r w:rsidRPr="00324EFC">
              <w:rPr>
                <w:rFonts w:eastAsia="Arial" w:cs="Arial"/>
                <w:spacing w:val="-2"/>
                <w:position w:val="-1"/>
              </w:rPr>
              <w:t xml:space="preserv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cat</w:t>
            </w:r>
            <w:r w:rsidRPr="00324EFC">
              <w:rPr>
                <w:rFonts w:eastAsia="Arial" w:cs="Arial"/>
                <w:spacing w:val="-2"/>
                <w:position w:val="-1"/>
              </w:rPr>
              <w:t>o</w:t>
            </w:r>
            <w:r w:rsidRPr="00324EFC">
              <w:rPr>
                <w:rFonts w:eastAsia="Arial" w:cs="Arial"/>
                <w:spacing w:val="2"/>
                <w:position w:val="-1"/>
              </w:rPr>
              <w:t>r</w:t>
            </w:r>
            <w:r w:rsidRPr="00324EFC">
              <w:rPr>
                <w:rFonts w:eastAsia="Arial" w:cs="Arial"/>
                <w:position w:val="-1"/>
              </w:rPr>
              <w:t xml:space="preserve">, </w:t>
            </w:r>
            <w:r w:rsidRPr="00324EFC">
              <w:rPr>
                <w:rFonts w:eastAsia="Arial" w:cs="Arial"/>
                <w:b/>
                <w:spacing w:val="-1"/>
                <w:position w:val="-1"/>
              </w:rPr>
              <w:t>or</w:t>
            </w:r>
          </w:p>
          <w:p w14:paraId="5DBD8310" w14:textId="77777777" w:rsidR="002353AE" w:rsidRPr="00324EFC" w:rsidRDefault="002353AE" w:rsidP="002353AE">
            <w:pPr>
              <w:pStyle w:val="ListParagraph"/>
              <w:widowControl w:val="0"/>
              <w:numPr>
                <w:ilvl w:val="0"/>
                <w:numId w:val="25"/>
              </w:numPr>
              <w:tabs>
                <w:tab w:val="left" w:pos="1600"/>
              </w:tabs>
              <w:spacing w:before="0" w:after="0"/>
              <w:ind w:left="432" w:right="-20" w:hanging="270"/>
              <w:rPr>
                <w:rFonts w:eastAsia="Arial" w:cs="Arial"/>
              </w:rPr>
            </w:pPr>
            <w:r w:rsidRPr="00324EFC">
              <w:rPr>
                <w:rFonts w:eastAsia="Arial" w:cs="Arial"/>
                <w:i/>
                <w:spacing w:val="-1"/>
              </w:rPr>
              <w:t>Not Met for Two or More Years</w:t>
            </w:r>
            <w:r w:rsidRPr="00324EFC">
              <w:rPr>
                <w:rFonts w:eastAsia="Arial" w:cs="Arial"/>
                <w:i/>
                <w:spacing w:val="4"/>
                <w:position w:val="-1"/>
              </w:rPr>
              <w:t xml:space="preserve"> </w:t>
            </w:r>
            <w:r w:rsidRPr="00324EFC">
              <w:rPr>
                <w:rFonts w:eastAsia="Arial" w:cs="Arial"/>
                <w:position w:val="-1"/>
              </w:rPr>
              <w:t>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r>
      <w:tr w:rsidR="002353AE" w:rsidRPr="00324EFC" w14:paraId="7E9F3FB8" w14:textId="77777777" w:rsidTr="00BE7287">
        <w:trPr>
          <w:cantSplit/>
          <w:trHeight w:val="1403"/>
        </w:trPr>
        <w:tc>
          <w:tcPr>
            <w:tcW w:w="2502" w:type="pct"/>
            <w:shd w:val="clear" w:color="auto" w:fill="E7E6E6" w:themeFill="background2"/>
          </w:tcPr>
          <w:p w14:paraId="74D72777" w14:textId="77777777" w:rsidR="002353AE" w:rsidRPr="00324EFC" w:rsidRDefault="002353AE" w:rsidP="00DB76A0">
            <w:pPr>
              <w:spacing w:before="0" w:after="0"/>
              <w:ind w:right="-14"/>
              <w:rPr>
                <w:rFonts w:eastAsia="Arial" w:cs="Arial"/>
              </w:rPr>
            </w:pPr>
            <w:r w:rsidRPr="00324EFC">
              <w:rPr>
                <w:rFonts w:eastAsia="Arial" w:cs="Arial"/>
                <w:b/>
                <w:bCs/>
                <w:i/>
                <w:spacing w:val="1"/>
              </w:rPr>
              <w:t>I</w:t>
            </w:r>
            <w:r w:rsidRPr="00324EFC">
              <w:rPr>
                <w:rFonts w:eastAsia="Arial" w:cs="Arial"/>
                <w:b/>
                <w:bCs/>
                <w:i/>
              </w:rPr>
              <w:t>m</w:t>
            </w:r>
            <w:r w:rsidRPr="00324EFC">
              <w:rPr>
                <w:rFonts w:eastAsia="Arial" w:cs="Arial"/>
                <w:b/>
                <w:bCs/>
                <w:i/>
                <w:spacing w:val="-2"/>
              </w:rPr>
              <w:t>p</w:t>
            </w:r>
            <w:r w:rsidRPr="00324EFC">
              <w:rPr>
                <w:rFonts w:eastAsia="Arial" w:cs="Arial"/>
                <w:b/>
                <w:bCs/>
                <w:i/>
                <w:spacing w:val="1"/>
              </w:rPr>
              <w:t>l</w:t>
            </w:r>
            <w:r w:rsidRPr="00324EFC">
              <w:rPr>
                <w:rFonts w:eastAsia="Arial" w:cs="Arial"/>
                <w:b/>
                <w:bCs/>
                <w:i/>
              </w:rPr>
              <w:t>eme</w:t>
            </w:r>
            <w:r w:rsidRPr="00324EFC">
              <w:rPr>
                <w:rFonts w:eastAsia="Arial" w:cs="Arial"/>
                <w:b/>
                <w:bCs/>
                <w:i/>
                <w:spacing w:val="-3"/>
              </w:rPr>
              <w:t>n</w:t>
            </w:r>
            <w:r w:rsidRPr="00324EFC">
              <w:rPr>
                <w:rFonts w:eastAsia="Arial" w:cs="Arial"/>
                <w:b/>
                <w:bCs/>
                <w:i/>
                <w:spacing w:val="1"/>
              </w:rPr>
              <w:t>t</w:t>
            </w:r>
            <w:r w:rsidRPr="00324EFC">
              <w:rPr>
                <w:rFonts w:eastAsia="Arial" w:cs="Arial"/>
                <w:b/>
                <w:bCs/>
                <w:i/>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spacing w:val="-3"/>
              </w:rPr>
              <w:t>a</w:t>
            </w:r>
            <w:r w:rsidRPr="00324EFC">
              <w:rPr>
                <w:rFonts w:eastAsia="Arial" w:cs="Arial"/>
                <w:b/>
                <w:bCs/>
                <w:i/>
                <w:spacing w:val="-2"/>
              </w:rPr>
              <w:t>t</w:t>
            </w:r>
            <w:r w:rsidRPr="00324EFC">
              <w:rPr>
                <w:rFonts w:eastAsia="Arial" w:cs="Arial"/>
                <w:b/>
                <w:bCs/>
                <w:i/>
              </w:rPr>
              <w:t>e A</w:t>
            </w:r>
            <w:r w:rsidRPr="00324EFC">
              <w:rPr>
                <w:rFonts w:eastAsia="Arial" w:cs="Arial"/>
                <w:b/>
                <w:bCs/>
                <w:i/>
                <w:spacing w:val="-1"/>
              </w:rPr>
              <w:t>c</w:t>
            </w:r>
            <w:r w:rsidRPr="00324EFC">
              <w:rPr>
                <w:rFonts w:eastAsia="Arial" w:cs="Arial"/>
                <w:b/>
                <w:bCs/>
                <w:i/>
              </w:rPr>
              <w:t>a</w:t>
            </w:r>
            <w:r w:rsidRPr="00324EFC">
              <w:rPr>
                <w:rFonts w:eastAsia="Arial" w:cs="Arial"/>
                <w:b/>
                <w:bCs/>
                <w:i/>
                <w:spacing w:val="-1"/>
              </w:rPr>
              <w:t>d</w:t>
            </w:r>
            <w:r w:rsidRPr="00324EFC">
              <w:rPr>
                <w:rFonts w:eastAsia="Arial" w:cs="Arial"/>
                <w:b/>
                <w:bCs/>
                <w:i/>
              </w:rPr>
              <w:t>em</w:t>
            </w:r>
            <w:r w:rsidRPr="00324EFC">
              <w:rPr>
                <w:rFonts w:eastAsia="Arial" w:cs="Arial"/>
                <w:b/>
                <w:bCs/>
                <w:i/>
                <w:spacing w:val="1"/>
              </w:rPr>
              <w:t>i</w:t>
            </w:r>
            <w:r w:rsidRPr="00324EFC">
              <w:rPr>
                <w:rFonts w:eastAsia="Arial" w:cs="Arial"/>
                <w:b/>
                <w:bCs/>
                <w:i/>
              </w:rPr>
              <w:t>c</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rPr>
              <w:t>a</w:t>
            </w:r>
            <w:r w:rsidRPr="00324EFC">
              <w:rPr>
                <w:rFonts w:eastAsia="Arial" w:cs="Arial"/>
                <w:b/>
                <w:bCs/>
                <w:i/>
                <w:spacing w:val="-1"/>
              </w:rPr>
              <w:t>n</w:t>
            </w:r>
            <w:r w:rsidRPr="00324EFC">
              <w:rPr>
                <w:rFonts w:eastAsia="Arial" w:cs="Arial"/>
                <w:b/>
                <w:bCs/>
                <w:i/>
              </w:rPr>
              <w:t>d</w:t>
            </w:r>
            <w:r w:rsidRPr="00324EFC">
              <w:rPr>
                <w:rFonts w:eastAsia="Arial" w:cs="Arial"/>
                <w:b/>
                <w:bCs/>
                <w:i/>
                <w:spacing w:val="-3"/>
              </w:rPr>
              <w:t>a</w:t>
            </w:r>
            <w:r w:rsidRPr="00324EFC">
              <w:rPr>
                <w:rFonts w:eastAsia="Arial" w:cs="Arial"/>
                <w:b/>
                <w:bCs/>
                <w:i/>
              </w:rPr>
              <w:t>rds</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y 2)</w:t>
            </w:r>
          </w:p>
          <w:p w14:paraId="7D11F26B"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b/>
              </w:rPr>
            </w:pPr>
            <w:r w:rsidRPr="00324EFC">
              <w:rPr>
                <w:rFonts w:eastAsia="Arial" w:cs="Arial"/>
                <w:i/>
                <w:spacing w:val="-1"/>
              </w:rPr>
              <w:t>Not Met for Two or More Years</w:t>
            </w:r>
            <w:r w:rsidRPr="00324EFC">
              <w:rPr>
                <w:rFonts w:eastAsia="Arial" w:cs="Arial"/>
                <w:i/>
                <w:spacing w:val="4"/>
                <w:position w:val="-1"/>
              </w:rPr>
              <w:t xml:space="preserve"> </w:t>
            </w:r>
            <w:r w:rsidRPr="00324EFC">
              <w:rPr>
                <w:rFonts w:eastAsia="Arial" w:cs="Arial"/>
                <w:position w:val="-1"/>
              </w:rPr>
              <w:t>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c>
          <w:tcPr>
            <w:tcW w:w="2498" w:type="pct"/>
            <w:shd w:val="clear" w:color="auto" w:fill="E7E6E6" w:themeFill="background2"/>
          </w:tcPr>
          <w:p w14:paraId="348DEC2E" w14:textId="77777777" w:rsidR="002353AE" w:rsidRPr="00324EFC" w:rsidRDefault="002353AE" w:rsidP="00DB76A0">
            <w:pPr>
              <w:spacing w:before="0" w:after="0"/>
              <w:ind w:right="-14"/>
              <w:rPr>
                <w:rFonts w:eastAsia="Arial" w:cs="Arial"/>
                <w:b/>
                <w:bCs/>
                <w:i/>
                <w:spacing w:val="-1"/>
              </w:rPr>
            </w:pPr>
            <w:r w:rsidRPr="00324EFC">
              <w:rPr>
                <w:rFonts w:eastAsia="Arial" w:cs="Arial"/>
                <w:b/>
                <w:bCs/>
                <w:i/>
                <w:spacing w:val="-1"/>
              </w:rPr>
              <w:t>Access to a Broad Course of Study (Priority 7)</w:t>
            </w:r>
          </w:p>
          <w:p w14:paraId="43AA7D8C"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spacing w:val="-1"/>
              </w:rPr>
            </w:pPr>
            <w:r w:rsidRPr="00324EFC">
              <w:rPr>
                <w:rFonts w:eastAsia="Arial" w:cs="Arial"/>
                <w:i/>
                <w:spacing w:val="-1"/>
              </w:rPr>
              <w:t xml:space="preserve">Not Met for Two or More Years </w:t>
            </w:r>
            <w:r w:rsidRPr="00324EFC">
              <w:rPr>
                <w:rFonts w:eastAsia="Arial" w:cs="Arial"/>
                <w:spacing w:val="-1"/>
              </w:rPr>
              <w:t>on Local Performance Indicator</w:t>
            </w:r>
          </w:p>
        </w:tc>
      </w:tr>
      <w:tr w:rsidR="002353AE" w:rsidRPr="00324EFC" w14:paraId="10D6E666" w14:textId="77777777" w:rsidTr="00BC6DA4">
        <w:trPr>
          <w:cantSplit/>
          <w:trHeight w:val="1229"/>
        </w:trPr>
        <w:tc>
          <w:tcPr>
            <w:tcW w:w="2502" w:type="pct"/>
          </w:tcPr>
          <w:p w14:paraId="3E5C6A35" w14:textId="77777777" w:rsidR="002353AE" w:rsidRPr="00324EFC" w:rsidRDefault="002353AE" w:rsidP="00DB76A0">
            <w:pPr>
              <w:spacing w:before="0" w:after="0"/>
              <w:ind w:right="-14"/>
              <w:rPr>
                <w:rFonts w:eastAsia="Arial" w:cs="Arial"/>
              </w:rPr>
            </w:pPr>
            <w:r w:rsidRPr="00324EFC">
              <w:rPr>
                <w:rFonts w:eastAsia="Arial" w:cs="Arial"/>
                <w:b/>
                <w:bCs/>
                <w:i/>
                <w:spacing w:val="-1"/>
              </w:rPr>
              <w:t>P</w:t>
            </w:r>
            <w:r w:rsidRPr="00324EFC">
              <w:rPr>
                <w:rFonts w:eastAsia="Arial" w:cs="Arial"/>
                <w:b/>
                <w:bCs/>
                <w:i/>
              </w:rPr>
              <w:t>are</w:t>
            </w:r>
            <w:r w:rsidRPr="00324EFC">
              <w:rPr>
                <w:rFonts w:eastAsia="Arial" w:cs="Arial"/>
                <w:b/>
                <w:bCs/>
                <w:i/>
                <w:spacing w:val="-1"/>
              </w:rPr>
              <w:t>n</w:t>
            </w:r>
            <w:r w:rsidRPr="00324EFC">
              <w:rPr>
                <w:rFonts w:eastAsia="Arial" w:cs="Arial"/>
                <w:b/>
                <w:bCs/>
                <w:i/>
              </w:rPr>
              <w:t>t</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w:t>
            </w:r>
            <w:r w:rsidRPr="00324EFC">
              <w:rPr>
                <w:rFonts w:eastAsia="Arial" w:cs="Arial"/>
                <w:b/>
                <w:bCs/>
                <w:i/>
                <w:spacing w:val="1"/>
              </w:rPr>
              <w:t>t</w:t>
            </w:r>
            <w:r w:rsidRPr="00324EFC">
              <w:rPr>
                <w:rFonts w:eastAsia="Arial" w:cs="Arial"/>
                <w:b/>
                <w:bCs/>
                <w:i/>
              </w:rPr>
              <w:t>y 3)</w:t>
            </w:r>
          </w:p>
          <w:p w14:paraId="7A635089"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b/>
              </w:rPr>
            </w:pPr>
            <w:r w:rsidRPr="00324EFC">
              <w:rPr>
                <w:rFonts w:eastAsia="Arial" w:cs="Arial"/>
                <w:i/>
                <w:spacing w:val="-1"/>
              </w:rPr>
              <w:t>Not Met for Two or More Years</w:t>
            </w:r>
            <w:r w:rsidRPr="00324EFC">
              <w:rPr>
                <w:rFonts w:eastAsia="Arial" w:cs="Arial"/>
                <w:i/>
                <w:spacing w:val="4"/>
              </w:rPr>
              <w:t xml:space="preserve"> </w:t>
            </w:r>
            <w:r w:rsidRPr="00324EFC">
              <w:rPr>
                <w:rFonts w:eastAsia="Arial" w:cs="Arial"/>
              </w:rPr>
              <w:t>on</w:t>
            </w:r>
            <w:r w:rsidRPr="00324EFC">
              <w:rPr>
                <w:rFonts w:eastAsia="Arial" w:cs="Arial"/>
                <w:spacing w:val="-2"/>
              </w:rPr>
              <w:t xml:space="preserve"> </w:t>
            </w:r>
            <w:r w:rsidRPr="00324EFC">
              <w:rPr>
                <w:rFonts w:eastAsia="Arial" w:cs="Arial"/>
              </w:rPr>
              <w:t>L</w:t>
            </w:r>
            <w:r w:rsidRPr="00324EFC">
              <w:rPr>
                <w:rFonts w:eastAsia="Arial" w:cs="Arial"/>
                <w:spacing w:val="-1"/>
              </w:rPr>
              <w:t>o</w:t>
            </w:r>
            <w:r w:rsidRPr="00324EFC">
              <w:rPr>
                <w:rFonts w:eastAsia="Arial" w:cs="Arial"/>
              </w:rPr>
              <w:t xml:space="preserve">cal </w:t>
            </w:r>
            <w:r w:rsidRPr="00324EFC">
              <w:rPr>
                <w:rFonts w:eastAsia="Arial" w:cs="Arial"/>
                <w:spacing w:val="-1"/>
              </w:rPr>
              <w:t>P</w:t>
            </w:r>
            <w:r w:rsidRPr="00324EFC">
              <w:rPr>
                <w:rFonts w:eastAsia="Arial" w:cs="Arial"/>
              </w:rPr>
              <w:t>e</w:t>
            </w:r>
            <w:r w:rsidRPr="00324EFC">
              <w:rPr>
                <w:rFonts w:eastAsia="Arial" w:cs="Arial"/>
                <w:spacing w:val="-2"/>
              </w:rPr>
              <w:t>r</w:t>
            </w:r>
            <w:r w:rsidRPr="00324EFC">
              <w:rPr>
                <w:rFonts w:eastAsia="Arial" w:cs="Arial"/>
                <w:spacing w:val="1"/>
              </w:rPr>
              <w:t>f</w:t>
            </w:r>
            <w:r w:rsidRPr="00324EFC">
              <w:rPr>
                <w:rFonts w:eastAsia="Arial" w:cs="Arial"/>
              </w:rPr>
              <w:t>o</w:t>
            </w:r>
            <w:r w:rsidRPr="00324EFC">
              <w:rPr>
                <w:rFonts w:eastAsia="Arial" w:cs="Arial"/>
                <w:spacing w:val="-2"/>
              </w:rPr>
              <w:t>r</w:t>
            </w:r>
            <w:r w:rsidRPr="00324EFC">
              <w:rPr>
                <w:rFonts w:eastAsia="Arial" w:cs="Arial"/>
                <w:spacing w:val="1"/>
              </w:rPr>
              <w:t>m</w:t>
            </w:r>
            <w:r w:rsidRPr="00324EFC">
              <w:rPr>
                <w:rFonts w:eastAsia="Arial" w:cs="Arial"/>
                <w:spacing w:val="-3"/>
              </w:rPr>
              <w:t>a</w:t>
            </w:r>
            <w:r w:rsidRPr="00324EFC">
              <w:rPr>
                <w:rFonts w:eastAsia="Arial" w:cs="Arial"/>
              </w:rPr>
              <w:t xml:space="preserve">nce </w:t>
            </w:r>
            <w:r w:rsidRPr="00324EFC">
              <w:rPr>
                <w:rFonts w:eastAsia="Arial" w:cs="Arial"/>
                <w:spacing w:val="1"/>
              </w:rPr>
              <w:t>I</w:t>
            </w:r>
            <w:r w:rsidRPr="00324EFC">
              <w:rPr>
                <w:rFonts w:eastAsia="Arial" w:cs="Arial"/>
              </w:rPr>
              <w:t>n</w:t>
            </w:r>
            <w:r w:rsidRPr="00324EFC">
              <w:rPr>
                <w:rFonts w:eastAsia="Arial" w:cs="Arial"/>
                <w:spacing w:val="-1"/>
              </w:rPr>
              <w:t>di</w:t>
            </w:r>
            <w:r w:rsidRPr="00324EFC">
              <w:rPr>
                <w:rFonts w:eastAsia="Arial" w:cs="Arial"/>
              </w:rPr>
              <w:t>c</w:t>
            </w:r>
            <w:r w:rsidRPr="00324EFC">
              <w:rPr>
                <w:rFonts w:eastAsia="Arial" w:cs="Arial"/>
                <w:spacing w:val="-3"/>
              </w:rPr>
              <w:t>a</w:t>
            </w:r>
            <w:r w:rsidRPr="00324EFC">
              <w:rPr>
                <w:rFonts w:eastAsia="Arial" w:cs="Arial"/>
                <w:spacing w:val="1"/>
              </w:rPr>
              <w:t>t</w:t>
            </w:r>
            <w:r w:rsidRPr="00324EFC">
              <w:rPr>
                <w:rFonts w:eastAsia="Arial" w:cs="Arial"/>
              </w:rPr>
              <w:t>or</w:t>
            </w:r>
          </w:p>
        </w:tc>
        <w:tc>
          <w:tcPr>
            <w:tcW w:w="2498" w:type="pct"/>
          </w:tcPr>
          <w:p w14:paraId="4F159D71" w14:textId="77777777" w:rsidR="002353AE" w:rsidRPr="00324EFC" w:rsidRDefault="002353AE" w:rsidP="00DB76A0">
            <w:pPr>
              <w:spacing w:before="0" w:after="0"/>
              <w:ind w:right="-14"/>
              <w:rPr>
                <w:rFonts w:eastAsia="Arial" w:cs="Arial"/>
                <w:b/>
                <w:bCs/>
                <w:i/>
                <w:spacing w:val="-1"/>
              </w:rPr>
            </w:pPr>
            <w:r w:rsidRPr="00324EFC">
              <w:rPr>
                <w:rFonts w:eastAsia="Arial" w:cs="Arial"/>
                <w:b/>
                <w:bCs/>
                <w:i/>
                <w:spacing w:val="-1"/>
              </w:rPr>
              <w:t>Outcomes in a Broad Course of Study (Priority 8)</w:t>
            </w:r>
          </w:p>
          <w:p w14:paraId="0B45D3B1"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b/>
              </w:rPr>
            </w:pPr>
            <w:r>
              <w:rPr>
                <w:rFonts w:eastAsia="Arial" w:cs="Arial"/>
                <w:i/>
                <w:spacing w:val="-1"/>
              </w:rPr>
              <w:t>Red</w:t>
            </w:r>
            <w:r w:rsidRPr="00324EFC">
              <w:rPr>
                <w:rFonts w:eastAsia="Arial" w:cs="Arial"/>
                <w:i/>
                <w:spacing w:val="-1"/>
              </w:rPr>
              <w:t xml:space="preserve"> </w:t>
            </w:r>
            <w:r w:rsidRPr="00324EFC">
              <w:rPr>
                <w:rFonts w:eastAsia="Arial" w:cs="Arial"/>
                <w:spacing w:val="-1"/>
              </w:rPr>
              <w:t>on College/Career Indicator (CCI)</w:t>
            </w:r>
          </w:p>
        </w:tc>
      </w:tr>
      <w:tr w:rsidR="002353AE" w:rsidRPr="00324EFC" w14:paraId="4B05AFF6" w14:textId="77777777" w:rsidTr="00BE7287">
        <w:trPr>
          <w:cantSplit/>
          <w:trHeight w:val="3154"/>
        </w:trPr>
        <w:tc>
          <w:tcPr>
            <w:tcW w:w="2502" w:type="pct"/>
            <w:shd w:val="clear" w:color="auto" w:fill="E7E6E6" w:themeFill="background2"/>
          </w:tcPr>
          <w:p w14:paraId="1F519A45" w14:textId="77777777" w:rsidR="002353AE" w:rsidRPr="00324EFC" w:rsidRDefault="002353AE" w:rsidP="00DB76A0">
            <w:pPr>
              <w:spacing w:before="0" w:after="0"/>
              <w:ind w:right="-14"/>
              <w:rPr>
                <w:rFonts w:eastAsia="Arial" w:cs="Arial"/>
              </w:rPr>
            </w:pPr>
            <w:r w:rsidRPr="00324EFC">
              <w:rPr>
                <w:rFonts w:eastAsia="Arial" w:cs="Arial"/>
                <w:b/>
                <w:bCs/>
                <w:i/>
                <w:spacing w:val="-1"/>
              </w:rPr>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A</w:t>
            </w:r>
            <w:r w:rsidRPr="00324EFC">
              <w:rPr>
                <w:rFonts w:eastAsia="Arial" w:cs="Arial"/>
                <w:b/>
                <w:bCs/>
                <w:i/>
              </w:rPr>
              <w:t>c</w:t>
            </w:r>
            <w:r w:rsidRPr="00324EFC">
              <w:rPr>
                <w:rFonts w:eastAsia="Arial" w:cs="Arial"/>
                <w:b/>
                <w:bCs/>
                <w:i/>
                <w:spacing w:val="-3"/>
              </w:rPr>
              <w:t>h</w:t>
            </w:r>
            <w:r w:rsidRPr="00324EFC">
              <w:rPr>
                <w:rFonts w:eastAsia="Arial" w:cs="Arial"/>
                <w:b/>
                <w:bCs/>
                <w:i/>
                <w:spacing w:val="1"/>
              </w:rPr>
              <w:t>i</w:t>
            </w:r>
            <w:r w:rsidRPr="00324EFC">
              <w:rPr>
                <w:rFonts w:eastAsia="Arial" w:cs="Arial"/>
                <w:b/>
                <w:bCs/>
                <w:i/>
              </w:rPr>
              <w:t>e</w:t>
            </w:r>
            <w:r w:rsidRPr="00324EFC">
              <w:rPr>
                <w:rFonts w:eastAsia="Arial" w:cs="Arial"/>
                <w:b/>
                <w:bCs/>
                <w:i/>
                <w:spacing w:val="-1"/>
              </w:rPr>
              <w:t>v</w:t>
            </w:r>
            <w:r w:rsidRPr="00324EFC">
              <w:rPr>
                <w:rFonts w:eastAsia="Arial" w:cs="Arial"/>
                <w:b/>
                <w:bCs/>
                <w:i/>
              </w:rPr>
              <w:t>eme</w:t>
            </w:r>
            <w:r w:rsidRPr="00324EFC">
              <w:rPr>
                <w:rFonts w:eastAsia="Arial" w:cs="Arial"/>
                <w:b/>
                <w:bCs/>
                <w:i/>
                <w:spacing w:val="-3"/>
              </w:rPr>
              <w:t>n</w:t>
            </w:r>
            <w:r w:rsidRPr="00324EFC">
              <w:rPr>
                <w:rFonts w:eastAsia="Arial" w:cs="Arial"/>
                <w:b/>
                <w:bCs/>
                <w:i/>
              </w:rPr>
              <w:t xml:space="preserve">t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4)</w:t>
            </w:r>
          </w:p>
          <w:p w14:paraId="1897F9EC"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rPr>
            </w:pPr>
            <w:r w:rsidRPr="00324EFC">
              <w:rPr>
                <w:rFonts w:eastAsia="Arial" w:cs="Arial"/>
                <w:i/>
                <w:spacing w:val="-1"/>
              </w:rPr>
              <w:t>R</w:t>
            </w:r>
            <w:r w:rsidRPr="00324EFC">
              <w:rPr>
                <w:rFonts w:eastAsia="Arial" w:cs="Arial"/>
                <w:i/>
              </w:rPr>
              <w:t xml:space="preserve">ed </w:t>
            </w:r>
            <w:r w:rsidRPr="00324EFC">
              <w:rPr>
                <w:rFonts w:eastAsia="Arial" w:cs="Arial"/>
              </w:rPr>
              <w:t>on b</w:t>
            </w:r>
            <w:r w:rsidRPr="00324EFC">
              <w:rPr>
                <w:rFonts w:eastAsia="Arial" w:cs="Arial"/>
                <w:spacing w:val="-1"/>
              </w:rPr>
              <w:t>o</w:t>
            </w:r>
            <w:r w:rsidRPr="00324EFC">
              <w:rPr>
                <w:rFonts w:eastAsia="Arial" w:cs="Arial"/>
                <w:spacing w:val="1"/>
              </w:rPr>
              <w:t>t</w:t>
            </w:r>
            <w:r w:rsidRPr="00324EFC">
              <w:rPr>
                <w:rFonts w:eastAsia="Arial" w:cs="Arial"/>
              </w:rPr>
              <w:t>h</w:t>
            </w:r>
            <w:r w:rsidRPr="00324EFC">
              <w:rPr>
                <w:rFonts w:eastAsia="Arial" w:cs="Arial"/>
                <w:spacing w:val="-2"/>
              </w:rPr>
              <w:t xml:space="preserve"> </w:t>
            </w:r>
            <w:r w:rsidRPr="00324EFC">
              <w:rPr>
                <w:rFonts w:eastAsia="Arial" w:cs="Arial"/>
                <w:spacing w:val="-1"/>
              </w:rPr>
              <w:t>E</w:t>
            </w:r>
            <w:r w:rsidRPr="00324EFC">
              <w:rPr>
                <w:rFonts w:eastAsia="Arial" w:cs="Arial"/>
                <w:spacing w:val="-3"/>
              </w:rPr>
              <w:t>n</w:t>
            </w:r>
            <w:r w:rsidRPr="00324EFC">
              <w:rPr>
                <w:rFonts w:eastAsia="Arial" w:cs="Arial"/>
                <w:spacing w:val="2"/>
              </w:rPr>
              <w:t>g</w:t>
            </w:r>
            <w:r w:rsidRPr="00324EFC">
              <w:rPr>
                <w:rFonts w:eastAsia="Arial" w:cs="Arial"/>
                <w:spacing w:val="-1"/>
              </w:rPr>
              <w:t>li</w:t>
            </w:r>
            <w:r w:rsidRPr="00324EFC">
              <w:rPr>
                <w:rFonts w:eastAsia="Arial" w:cs="Arial"/>
              </w:rPr>
              <w:t>sh l</w:t>
            </w:r>
            <w:r w:rsidRPr="00324EFC">
              <w:rPr>
                <w:rFonts w:eastAsia="Arial" w:cs="Arial"/>
                <w:spacing w:val="-1"/>
              </w:rPr>
              <w:t>a</w:t>
            </w:r>
            <w:r w:rsidRPr="00324EFC">
              <w:rPr>
                <w:rFonts w:eastAsia="Arial" w:cs="Arial"/>
                <w:spacing w:val="-3"/>
              </w:rPr>
              <w:t>n</w:t>
            </w:r>
            <w:r w:rsidRPr="00324EFC">
              <w:rPr>
                <w:rFonts w:eastAsia="Arial" w:cs="Arial"/>
                <w:spacing w:val="2"/>
              </w:rPr>
              <w:t>g</w:t>
            </w:r>
            <w:r w:rsidRPr="00324EFC">
              <w:rPr>
                <w:rFonts w:eastAsia="Arial" w:cs="Arial"/>
              </w:rPr>
              <w:t>u</w:t>
            </w:r>
            <w:r w:rsidRPr="00324EFC">
              <w:rPr>
                <w:rFonts w:eastAsia="Arial" w:cs="Arial"/>
                <w:spacing w:val="-3"/>
              </w:rPr>
              <w:t>a</w:t>
            </w:r>
            <w:r w:rsidRPr="00324EFC">
              <w:rPr>
                <w:rFonts w:eastAsia="Arial" w:cs="Arial"/>
                <w:spacing w:val="2"/>
              </w:rPr>
              <w:t>g</w:t>
            </w:r>
            <w:r w:rsidRPr="00324EFC">
              <w:rPr>
                <w:rFonts w:eastAsia="Arial" w:cs="Arial"/>
              </w:rPr>
              <w:t>e</w:t>
            </w:r>
            <w:r w:rsidRPr="00324EFC">
              <w:rPr>
                <w:rFonts w:eastAsia="Arial" w:cs="Arial"/>
                <w:spacing w:val="-2"/>
              </w:rPr>
              <w:t xml:space="preserve"> </w:t>
            </w:r>
            <w:r w:rsidRPr="00324EFC">
              <w:rPr>
                <w:rFonts w:eastAsia="Arial" w:cs="Arial"/>
              </w:rPr>
              <w:t>a</w:t>
            </w:r>
            <w:r w:rsidRPr="00324EFC">
              <w:rPr>
                <w:rFonts w:eastAsia="Arial" w:cs="Arial"/>
                <w:spacing w:val="-2"/>
              </w:rPr>
              <w:t>r</w:t>
            </w:r>
            <w:r w:rsidRPr="00324EFC">
              <w:rPr>
                <w:rFonts w:eastAsia="Arial" w:cs="Arial"/>
                <w:spacing w:val="1"/>
              </w:rPr>
              <w:t>t</w:t>
            </w:r>
            <w:r w:rsidRPr="00324EFC">
              <w:rPr>
                <w:rFonts w:eastAsia="Arial" w:cs="Arial"/>
              </w:rPr>
              <w:t>s (ELA)</w:t>
            </w:r>
            <w:r w:rsidRPr="00324EFC">
              <w:rPr>
                <w:rFonts w:eastAsia="Arial" w:cs="Arial"/>
                <w:spacing w:val="1"/>
              </w:rPr>
              <w:t xml:space="preserve"> </w:t>
            </w:r>
            <w:r w:rsidRPr="00324EFC">
              <w:rPr>
                <w:rFonts w:eastAsia="Arial" w:cs="Arial"/>
              </w:rPr>
              <w:t>a</w:t>
            </w:r>
            <w:r w:rsidRPr="00324EFC">
              <w:rPr>
                <w:rFonts w:eastAsia="Arial" w:cs="Arial"/>
                <w:spacing w:val="-1"/>
              </w:rPr>
              <w:t>n</w:t>
            </w:r>
            <w:r w:rsidRPr="00324EFC">
              <w:rPr>
                <w:rFonts w:eastAsia="Arial" w:cs="Arial"/>
              </w:rPr>
              <w:t>d</w:t>
            </w:r>
            <w:r w:rsidRPr="00324EFC">
              <w:rPr>
                <w:rFonts w:eastAsia="Arial" w:cs="Arial"/>
                <w:spacing w:val="-4"/>
              </w:rPr>
              <w:t xml:space="preserve"> </w:t>
            </w:r>
            <w:r w:rsidRPr="00324EFC">
              <w:rPr>
                <w:rFonts w:eastAsia="Arial" w:cs="Arial"/>
                <w:spacing w:val="4"/>
              </w:rPr>
              <w:t>m</w:t>
            </w:r>
            <w:r w:rsidRPr="00324EFC">
              <w:rPr>
                <w:rFonts w:eastAsia="Arial" w:cs="Arial"/>
              </w:rPr>
              <w:t>ath</w:t>
            </w:r>
            <w:r w:rsidRPr="00324EFC">
              <w:rPr>
                <w:rFonts w:eastAsia="Arial" w:cs="Arial"/>
                <w:spacing w:val="-1"/>
              </w:rPr>
              <w:t xml:space="preserve"> </w:t>
            </w:r>
            <w:r w:rsidRPr="00324EFC">
              <w:rPr>
                <w:rFonts w:eastAsia="Arial" w:cs="Arial"/>
                <w:spacing w:val="1"/>
              </w:rPr>
              <w:t>t</w:t>
            </w:r>
            <w:r w:rsidRPr="00324EFC">
              <w:rPr>
                <w:rFonts w:eastAsia="Arial" w:cs="Arial"/>
              </w:rPr>
              <w:t>e</w:t>
            </w:r>
            <w:r w:rsidRPr="00324EFC">
              <w:rPr>
                <w:rFonts w:eastAsia="Arial" w:cs="Arial"/>
                <w:spacing w:val="-3"/>
              </w:rPr>
              <w:t>s</w:t>
            </w:r>
            <w:r w:rsidRPr="00324EFC">
              <w:rPr>
                <w:rFonts w:eastAsia="Arial" w:cs="Arial"/>
                <w:spacing w:val="-1"/>
              </w:rPr>
              <w:t>t</w:t>
            </w:r>
            <w:r w:rsidRPr="00324EFC">
              <w:rPr>
                <w:rFonts w:eastAsia="Arial" w:cs="Arial"/>
              </w:rPr>
              <w:t>s,</w:t>
            </w:r>
            <w:r w:rsidRPr="00324EFC">
              <w:rPr>
                <w:rFonts w:eastAsia="Arial" w:cs="Arial"/>
                <w:spacing w:val="2"/>
              </w:rPr>
              <w:t xml:space="preserve"> </w:t>
            </w:r>
            <w:r w:rsidRPr="00324EFC">
              <w:rPr>
                <w:rFonts w:eastAsia="Arial" w:cs="Arial"/>
                <w:b/>
                <w:spacing w:val="-3"/>
              </w:rPr>
              <w:t>or</w:t>
            </w:r>
          </w:p>
          <w:p w14:paraId="195B96B2"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rPr>
            </w:pPr>
            <w:r w:rsidRPr="00324EFC">
              <w:rPr>
                <w:rFonts w:eastAsia="Arial" w:cs="Arial"/>
                <w:i/>
                <w:spacing w:val="-1"/>
              </w:rPr>
              <w:t>R</w:t>
            </w:r>
            <w:r w:rsidRPr="00324EFC">
              <w:rPr>
                <w:rFonts w:eastAsia="Arial" w:cs="Arial"/>
                <w:i/>
              </w:rPr>
              <w:t xml:space="preserve">ed </w:t>
            </w:r>
            <w:r w:rsidRPr="00324EFC">
              <w:rPr>
                <w:rFonts w:eastAsia="Arial" w:cs="Arial"/>
              </w:rPr>
              <w:t xml:space="preserve">on </w:t>
            </w:r>
            <w:r w:rsidRPr="00324EFC">
              <w:rPr>
                <w:rFonts w:eastAsia="Arial" w:cs="Arial"/>
                <w:spacing w:val="-1"/>
              </w:rPr>
              <w:t>E</w:t>
            </w:r>
            <w:r w:rsidRPr="00324EFC">
              <w:rPr>
                <w:rFonts w:eastAsia="Arial" w:cs="Arial"/>
                <w:spacing w:val="-3"/>
              </w:rPr>
              <w:t>n</w:t>
            </w:r>
            <w:r w:rsidRPr="00324EFC">
              <w:rPr>
                <w:rFonts w:eastAsia="Arial" w:cs="Arial"/>
                <w:spacing w:val="2"/>
              </w:rPr>
              <w:t>g</w:t>
            </w:r>
            <w:r w:rsidRPr="00324EFC">
              <w:rPr>
                <w:rFonts w:eastAsia="Arial" w:cs="Arial"/>
                <w:spacing w:val="-1"/>
              </w:rPr>
              <w:t>li</w:t>
            </w:r>
            <w:r w:rsidRPr="00324EFC">
              <w:rPr>
                <w:rFonts w:eastAsia="Arial" w:cs="Arial"/>
              </w:rPr>
              <w:t>sh l</w:t>
            </w:r>
            <w:r w:rsidRPr="00324EFC">
              <w:rPr>
                <w:rFonts w:eastAsia="Arial" w:cs="Arial"/>
                <w:spacing w:val="-1"/>
              </w:rPr>
              <w:t>a</w:t>
            </w:r>
            <w:r w:rsidRPr="00324EFC">
              <w:rPr>
                <w:rFonts w:eastAsia="Arial" w:cs="Arial"/>
              </w:rPr>
              <w:t>n</w:t>
            </w:r>
            <w:r w:rsidRPr="00324EFC">
              <w:rPr>
                <w:rFonts w:eastAsia="Arial" w:cs="Arial"/>
                <w:spacing w:val="2"/>
              </w:rPr>
              <w:t>g</w:t>
            </w:r>
            <w:r w:rsidRPr="00324EFC">
              <w:rPr>
                <w:rFonts w:eastAsia="Arial" w:cs="Arial"/>
              </w:rPr>
              <w:t>u</w:t>
            </w:r>
            <w:r w:rsidRPr="00324EFC">
              <w:rPr>
                <w:rFonts w:eastAsia="Arial" w:cs="Arial"/>
                <w:spacing w:val="-3"/>
              </w:rPr>
              <w:t>ag</w:t>
            </w:r>
            <w:r w:rsidRPr="00324EFC">
              <w:rPr>
                <w:rFonts w:eastAsia="Arial" w:cs="Arial"/>
              </w:rPr>
              <w:t>e a</w:t>
            </w:r>
            <w:r w:rsidRPr="00324EFC">
              <w:rPr>
                <w:rFonts w:eastAsia="Arial" w:cs="Arial"/>
                <w:spacing w:val="-1"/>
              </w:rPr>
              <w:t>r</w:t>
            </w:r>
            <w:r w:rsidRPr="00324EFC">
              <w:rPr>
                <w:rFonts w:eastAsia="Arial" w:cs="Arial"/>
                <w:spacing w:val="1"/>
              </w:rPr>
              <w:t>t</w:t>
            </w:r>
            <w:r w:rsidRPr="00324EFC">
              <w:rPr>
                <w:rFonts w:eastAsia="Arial" w:cs="Arial"/>
              </w:rPr>
              <w:t>s</w:t>
            </w:r>
            <w:r w:rsidRPr="00324EFC">
              <w:rPr>
                <w:rFonts w:eastAsia="Arial" w:cs="Arial"/>
                <w:spacing w:val="1"/>
              </w:rPr>
              <w:t xml:space="preserve"> </w:t>
            </w:r>
            <w:r w:rsidRPr="00324EFC">
              <w:rPr>
                <w:rFonts w:eastAsia="Arial" w:cs="Arial"/>
                <w:spacing w:val="-3"/>
              </w:rPr>
              <w:t>o</w:t>
            </w:r>
            <w:r w:rsidRPr="00324EFC">
              <w:rPr>
                <w:rFonts w:eastAsia="Arial" w:cs="Arial"/>
              </w:rPr>
              <w:t xml:space="preserve">r </w:t>
            </w:r>
            <w:r w:rsidRPr="00324EFC">
              <w:rPr>
                <w:rFonts w:eastAsia="Arial" w:cs="Arial"/>
                <w:spacing w:val="3"/>
              </w:rPr>
              <w:t>m</w:t>
            </w:r>
            <w:r w:rsidRPr="00324EFC">
              <w:rPr>
                <w:rFonts w:eastAsia="Arial" w:cs="Arial"/>
              </w:rPr>
              <w:t>ath</w:t>
            </w:r>
            <w:r w:rsidRPr="00324EFC">
              <w:rPr>
                <w:rFonts w:eastAsia="Arial" w:cs="Arial"/>
                <w:spacing w:val="-3"/>
              </w:rPr>
              <w:t xml:space="preserve"> </w:t>
            </w:r>
            <w:r w:rsidRPr="00324EFC">
              <w:rPr>
                <w:rFonts w:eastAsia="Arial" w:cs="Arial"/>
                <w:spacing w:val="1"/>
              </w:rPr>
              <w:t>t</w:t>
            </w:r>
            <w:r w:rsidRPr="00324EFC">
              <w:rPr>
                <w:rFonts w:eastAsia="Arial" w:cs="Arial"/>
              </w:rPr>
              <w:t xml:space="preserve">est </w:t>
            </w:r>
            <w:r w:rsidRPr="00324EFC">
              <w:rPr>
                <w:rFonts w:eastAsia="Arial" w:cs="Arial"/>
                <w:b/>
              </w:rPr>
              <w:t>and</w:t>
            </w:r>
            <w:r w:rsidRPr="00324EFC">
              <w:rPr>
                <w:rFonts w:eastAsia="Arial" w:cs="Arial"/>
                <w:b/>
                <w:spacing w:val="-2"/>
              </w:rPr>
              <w:t xml:space="preserve"> </w:t>
            </w:r>
            <w:r w:rsidRPr="00324EFC">
              <w:rPr>
                <w:rFonts w:eastAsia="Arial" w:cs="Arial"/>
                <w:i/>
                <w:spacing w:val="1"/>
              </w:rPr>
              <w:t>Or</w:t>
            </w:r>
            <w:r w:rsidRPr="00324EFC">
              <w:rPr>
                <w:rFonts w:eastAsia="Arial" w:cs="Arial"/>
                <w:i/>
              </w:rPr>
              <w:t>a</w:t>
            </w:r>
            <w:r w:rsidRPr="00324EFC">
              <w:rPr>
                <w:rFonts w:eastAsia="Arial" w:cs="Arial"/>
                <w:i/>
                <w:spacing w:val="-1"/>
              </w:rPr>
              <w:t>n</w:t>
            </w:r>
            <w:r w:rsidRPr="00324EFC">
              <w:rPr>
                <w:rFonts w:eastAsia="Arial" w:cs="Arial"/>
                <w:i/>
              </w:rPr>
              <w:t>ge</w:t>
            </w:r>
            <w:r w:rsidRPr="00324EFC">
              <w:rPr>
                <w:rFonts w:eastAsia="Arial" w:cs="Arial"/>
                <w:i/>
                <w:spacing w:val="-2"/>
              </w:rPr>
              <w:t xml:space="preserve"> </w:t>
            </w:r>
            <w:r w:rsidRPr="00324EFC">
              <w:rPr>
                <w:rFonts w:eastAsia="Arial" w:cs="Arial"/>
              </w:rPr>
              <w:t>on</w:t>
            </w:r>
            <w:r w:rsidRPr="00324EFC">
              <w:rPr>
                <w:rFonts w:eastAsia="Arial" w:cs="Arial"/>
                <w:spacing w:val="-2"/>
              </w:rPr>
              <w:t xml:space="preserve"> </w:t>
            </w:r>
            <w:r w:rsidRPr="00324EFC">
              <w:rPr>
                <w:rFonts w:eastAsia="Arial" w:cs="Arial"/>
                <w:spacing w:val="1"/>
              </w:rPr>
              <w:t>t</w:t>
            </w:r>
            <w:r w:rsidRPr="00324EFC">
              <w:rPr>
                <w:rFonts w:eastAsia="Arial" w:cs="Arial"/>
              </w:rPr>
              <w:t xml:space="preserve">he </w:t>
            </w:r>
            <w:r w:rsidRPr="00324EFC">
              <w:rPr>
                <w:rFonts w:eastAsia="Arial" w:cs="Arial"/>
                <w:spacing w:val="-3"/>
              </w:rPr>
              <w:t>o</w:t>
            </w:r>
            <w:r w:rsidRPr="00324EFC">
              <w:rPr>
                <w:rFonts w:eastAsia="Arial" w:cs="Arial"/>
                <w:spacing w:val="1"/>
              </w:rPr>
              <w:t>t</w:t>
            </w:r>
            <w:r w:rsidRPr="00324EFC">
              <w:rPr>
                <w:rFonts w:eastAsia="Arial" w:cs="Arial"/>
              </w:rPr>
              <w:t>h</w:t>
            </w:r>
            <w:r w:rsidRPr="00324EFC">
              <w:rPr>
                <w:rFonts w:eastAsia="Arial" w:cs="Arial"/>
                <w:spacing w:val="-1"/>
              </w:rPr>
              <w:t>e</w:t>
            </w:r>
            <w:r w:rsidRPr="00324EFC">
              <w:rPr>
                <w:rFonts w:eastAsia="Arial" w:cs="Arial"/>
              </w:rPr>
              <w:t>r</w:t>
            </w:r>
            <w:r w:rsidRPr="00324EFC">
              <w:rPr>
                <w:rFonts w:eastAsia="Arial" w:cs="Arial"/>
                <w:spacing w:val="-3"/>
              </w:rPr>
              <w:t xml:space="preserve"> </w:t>
            </w:r>
            <w:r w:rsidRPr="00324EFC">
              <w:rPr>
                <w:rFonts w:eastAsia="Arial" w:cs="Arial"/>
                <w:spacing w:val="1"/>
              </w:rPr>
              <w:t>t</w:t>
            </w:r>
            <w:r w:rsidRPr="00324EFC">
              <w:rPr>
                <w:rFonts w:eastAsia="Arial" w:cs="Arial"/>
              </w:rPr>
              <w:t>es</w:t>
            </w:r>
            <w:r w:rsidRPr="00324EFC">
              <w:rPr>
                <w:rFonts w:eastAsia="Arial" w:cs="Arial"/>
                <w:spacing w:val="-1"/>
              </w:rPr>
              <w:t>t</w:t>
            </w:r>
          </w:p>
          <w:p w14:paraId="69B0FAD6"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b/>
              </w:rPr>
            </w:pPr>
            <w:r w:rsidRPr="00324EFC">
              <w:rPr>
                <w:rFonts w:eastAsia="Arial" w:cs="Arial"/>
                <w:spacing w:val="-1"/>
                <w:position w:val="-1"/>
              </w:rPr>
              <w:t xml:space="preserve">Red on English Learner Progress Indicator (ELPI) (English Learner </w:t>
            </w:r>
            <w:r>
              <w:rPr>
                <w:rFonts w:eastAsia="Arial" w:cs="Arial"/>
                <w:spacing w:val="-1"/>
                <w:position w:val="-1"/>
              </w:rPr>
              <w:t xml:space="preserve">and LTEL Student </w:t>
            </w:r>
            <w:r w:rsidRPr="00324EFC">
              <w:rPr>
                <w:rFonts w:eastAsia="Arial" w:cs="Arial"/>
                <w:spacing w:val="-1"/>
                <w:position w:val="-1"/>
              </w:rPr>
              <w:t>Group</w:t>
            </w:r>
            <w:r>
              <w:rPr>
                <w:rFonts w:eastAsia="Arial" w:cs="Arial"/>
                <w:spacing w:val="-1"/>
                <w:position w:val="-1"/>
              </w:rPr>
              <w:t>s</w:t>
            </w:r>
            <w:r w:rsidRPr="00324EFC">
              <w:rPr>
                <w:rFonts w:eastAsia="Arial" w:cs="Arial"/>
                <w:spacing w:val="-1"/>
                <w:position w:val="-1"/>
              </w:rPr>
              <w:t xml:space="preserve"> Only)</w:t>
            </w:r>
          </w:p>
        </w:tc>
        <w:tc>
          <w:tcPr>
            <w:tcW w:w="2498" w:type="pct"/>
            <w:shd w:val="clear" w:color="auto" w:fill="E7E6E6" w:themeFill="background2"/>
          </w:tcPr>
          <w:p w14:paraId="4593CB38" w14:textId="77777777" w:rsidR="002353AE" w:rsidRPr="00324EFC" w:rsidRDefault="002353AE" w:rsidP="00DB76A0">
            <w:pPr>
              <w:spacing w:before="0" w:after="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E</w:t>
            </w:r>
            <w:r w:rsidRPr="00324EFC">
              <w:rPr>
                <w:rFonts w:eastAsia="Arial" w:cs="Arial"/>
                <w:b/>
                <w:bCs/>
                <w:i/>
              </w:rPr>
              <w:t>x</w:t>
            </w:r>
            <w:r w:rsidRPr="00324EFC">
              <w:rPr>
                <w:rFonts w:eastAsia="Arial" w:cs="Arial"/>
                <w:b/>
                <w:bCs/>
                <w:i/>
                <w:spacing w:val="-1"/>
              </w:rPr>
              <w:t>p</w:t>
            </w:r>
            <w:r w:rsidRPr="00324EFC">
              <w:rPr>
                <w:rFonts w:eastAsia="Arial" w:cs="Arial"/>
                <w:b/>
                <w:bCs/>
                <w:i/>
              </w:rPr>
              <w:t>e</w:t>
            </w:r>
            <w:r w:rsidRPr="00324EFC">
              <w:rPr>
                <w:rFonts w:eastAsia="Arial" w:cs="Arial"/>
                <w:b/>
                <w:bCs/>
                <w:i/>
                <w:spacing w:val="-2"/>
              </w:rPr>
              <w:t>l</w:t>
            </w:r>
            <w:r w:rsidRPr="00324EFC">
              <w:rPr>
                <w:rFonts w:eastAsia="Arial" w:cs="Arial"/>
                <w:b/>
                <w:bCs/>
                <w:i/>
                <w:spacing w:val="1"/>
              </w:rPr>
              <w:t>l</w:t>
            </w:r>
            <w:r w:rsidRPr="00324EFC">
              <w:rPr>
                <w:rFonts w:eastAsia="Arial" w:cs="Arial"/>
                <w:b/>
                <w:bCs/>
                <w:i/>
              </w:rPr>
              <w:t xml:space="preserve">ed </w:t>
            </w:r>
            <w:r w:rsidRPr="00324EFC">
              <w:rPr>
                <w:rFonts w:eastAsia="Arial" w:cs="Arial"/>
                <w:b/>
                <w:bCs/>
                <w:i/>
                <w:spacing w:val="-1"/>
              </w:rPr>
              <w:t>P</w:t>
            </w:r>
            <w:r w:rsidRPr="00324EFC">
              <w:rPr>
                <w:rFonts w:eastAsia="Arial" w:cs="Arial"/>
                <w:b/>
                <w:bCs/>
                <w:i/>
              </w:rPr>
              <w:t>u</w:t>
            </w:r>
            <w:r w:rsidRPr="00324EFC">
              <w:rPr>
                <w:rFonts w:eastAsia="Arial" w:cs="Arial"/>
                <w:b/>
                <w:bCs/>
                <w:i/>
                <w:spacing w:val="-3"/>
              </w:rPr>
              <w:t>p</w:t>
            </w:r>
            <w:r w:rsidRPr="00324EFC">
              <w:rPr>
                <w:rFonts w:eastAsia="Arial" w:cs="Arial"/>
                <w:b/>
                <w:bCs/>
                <w:i/>
                <w:spacing w:val="1"/>
              </w:rPr>
              <w:t>il</w:t>
            </w:r>
            <w:r w:rsidRPr="00324EFC">
              <w:rPr>
                <w:rFonts w:eastAsia="Arial" w:cs="Arial"/>
                <w:b/>
                <w:bCs/>
                <w:i/>
              </w:rPr>
              <w:t>s</w:t>
            </w:r>
            <w:r w:rsidRPr="00324EFC">
              <w:rPr>
                <w:rFonts w:eastAsia="Arial" w:cs="Arial"/>
                <w:b/>
                <w:bCs/>
                <w:i/>
                <w:spacing w:val="-1"/>
              </w:rPr>
              <w:t xml:space="preserve"> </w:t>
            </w:r>
            <w:r w:rsidRPr="00324EFC">
              <w:rPr>
                <w:rFonts w:eastAsia="Arial" w:cs="Arial"/>
                <w:b/>
                <w:bCs/>
                <w:i/>
              </w:rPr>
              <w:t>–</w:t>
            </w:r>
            <w:r w:rsidRPr="00324EFC">
              <w:rPr>
                <w:rFonts w:eastAsia="Arial" w:cs="Arial"/>
                <w:b/>
                <w:bCs/>
                <w:i/>
                <w:spacing w:val="1"/>
              </w:rPr>
              <w:t xml:space="preserve"> </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spacing w:val="-3"/>
              </w:rPr>
              <w:t>n</w:t>
            </w:r>
            <w:r w:rsidRPr="00324EFC">
              <w:rPr>
                <w:rFonts w:eastAsia="Arial" w:cs="Arial"/>
                <w:b/>
                <w:bCs/>
                <w:i/>
                <w:spacing w:val="1"/>
              </w:rPr>
              <w:t>l</w:t>
            </w:r>
            <w:r w:rsidRPr="00324EFC">
              <w:rPr>
                <w:rFonts w:eastAsia="Arial" w:cs="Arial"/>
                <w:b/>
                <w:bCs/>
                <w:i/>
              </w:rPr>
              <w:t>y</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 xml:space="preserve">y </w:t>
            </w:r>
            <w:r w:rsidRPr="00324EFC">
              <w:rPr>
                <w:rFonts w:eastAsia="Arial" w:cs="Arial"/>
                <w:b/>
                <w:bCs/>
                <w:i/>
                <w:spacing w:val="-2"/>
              </w:rPr>
              <w:t>9</w:t>
            </w:r>
            <w:r w:rsidRPr="00324EFC">
              <w:rPr>
                <w:rFonts w:eastAsia="Arial" w:cs="Arial"/>
                <w:b/>
                <w:bCs/>
                <w:i/>
              </w:rPr>
              <w:t>)</w:t>
            </w:r>
          </w:p>
          <w:p w14:paraId="51E7F743"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b/>
              </w:rPr>
            </w:pPr>
            <w:r w:rsidRPr="00324EFC">
              <w:rPr>
                <w:rFonts w:eastAsia="Arial" w:cs="Arial"/>
                <w:i/>
                <w:spacing w:val="-1"/>
              </w:rPr>
              <w:t>Not Met for Two or More Years</w:t>
            </w:r>
            <w:r w:rsidRPr="00324EFC">
              <w:rPr>
                <w:rFonts w:eastAsia="Arial" w:cs="Arial"/>
                <w:position w:val="-1"/>
              </w:rPr>
              <w:t xml:space="preserve"> 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r>
      <w:tr w:rsidR="002353AE" w:rsidRPr="00324EFC" w14:paraId="1DC5F636" w14:textId="77777777" w:rsidTr="00BC6DA4">
        <w:trPr>
          <w:cantSplit/>
          <w:trHeight w:val="51"/>
        </w:trPr>
        <w:tc>
          <w:tcPr>
            <w:tcW w:w="2502" w:type="pct"/>
          </w:tcPr>
          <w:p w14:paraId="343C5C6A" w14:textId="77777777" w:rsidR="002353AE" w:rsidRPr="00324EFC" w:rsidRDefault="002353AE" w:rsidP="00DB76A0">
            <w:pPr>
              <w:spacing w:before="0" w:after="0"/>
              <w:ind w:right="-14"/>
              <w:rPr>
                <w:rFonts w:eastAsia="Arial" w:cs="Arial"/>
              </w:rPr>
            </w:pPr>
            <w:r w:rsidRPr="00324EFC">
              <w:rPr>
                <w:rFonts w:eastAsia="Arial" w:cs="Arial"/>
                <w:b/>
                <w:bCs/>
                <w:i/>
                <w:spacing w:val="-1"/>
              </w:rPr>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5)</w:t>
            </w:r>
          </w:p>
          <w:p w14:paraId="0AB22581"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rPr>
            </w:pPr>
            <w:r w:rsidRPr="00324EFC">
              <w:rPr>
                <w:rFonts w:eastAsia="Arial" w:cs="Arial"/>
                <w:i/>
                <w:spacing w:val="-1"/>
                <w:position w:val="-1"/>
              </w:rPr>
              <w:t>R</w:t>
            </w:r>
            <w:r w:rsidRPr="00324EFC">
              <w:rPr>
                <w:rFonts w:eastAsia="Arial" w:cs="Arial"/>
                <w:i/>
                <w:position w:val="-1"/>
              </w:rPr>
              <w:t xml:space="preserve">ed </w:t>
            </w:r>
            <w:r w:rsidRPr="00324EFC">
              <w:rPr>
                <w:rFonts w:eastAsia="Arial" w:cs="Arial"/>
                <w:position w:val="-1"/>
              </w:rPr>
              <w:t>on</w:t>
            </w:r>
            <w:r w:rsidRPr="00324EFC">
              <w:rPr>
                <w:rFonts w:eastAsia="Arial" w:cs="Arial"/>
                <w:spacing w:val="-2"/>
                <w:position w:val="-1"/>
              </w:rPr>
              <w:t xml:space="preserve"> </w:t>
            </w:r>
            <w:r w:rsidRPr="00324EFC">
              <w:rPr>
                <w:rFonts w:eastAsia="Arial" w:cs="Arial"/>
                <w:spacing w:val="1"/>
                <w:position w:val="-1"/>
              </w:rPr>
              <w:t>Gr</w:t>
            </w:r>
            <w:r w:rsidRPr="00324EFC">
              <w:rPr>
                <w:rFonts w:eastAsia="Arial" w:cs="Arial"/>
                <w:position w:val="-1"/>
              </w:rPr>
              <w:t>a</w:t>
            </w:r>
            <w:r w:rsidRPr="00324EFC">
              <w:rPr>
                <w:rFonts w:eastAsia="Arial" w:cs="Arial"/>
                <w:spacing w:val="-1"/>
                <w:position w:val="-1"/>
              </w:rPr>
              <w:t>d</w:t>
            </w:r>
            <w:r w:rsidRPr="00324EFC">
              <w:rPr>
                <w:rFonts w:eastAsia="Arial" w:cs="Arial"/>
                <w:position w:val="-1"/>
              </w:rPr>
              <w:t>u</w:t>
            </w:r>
            <w:r w:rsidRPr="00324EFC">
              <w:rPr>
                <w:rFonts w:eastAsia="Arial" w:cs="Arial"/>
                <w:spacing w:val="-3"/>
                <w:position w:val="-1"/>
              </w:rPr>
              <w:t>a</w:t>
            </w:r>
            <w:r w:rsidRPr="00324EFC">
              <w:rPr>
                <w:rFonts w:eastAsia="Arial" w:cs="Arial"/>
                <w:spacing w:val="1"/>
                <w:position w:val="-1"/>
              </w:rPr>
              <w:t>t</w:t>
            </w:r>
            <w:r w:rsidRPr="00324EFC">
              <w:rPr>
                <w:rFonts w:eastAsia="Arial" w:cs="Arial"/>
                <w:spacing w:val="-1"/>
                <w:position w:val="-1"/>
              </w:rPr>
              <w:t>i</w:t>
            </w:r>
            <w:r w:rsidRPr="00324EFC">
              <w:rPr>
                <w:rFonts w:eastAsia="Arial" w:cs="Arial"/>
                <w:position w:val="-1"/>
              </w:rPr>
              <w:t xml:space="preserve">on </w:t>
            </w:r>
            <w:r w:rsidRPr="00324EFC">
              <w:rPr>
                <w:rFonts w:eastAsia="Arial" w:cs="Arial"/>
                <w:spacing w:val="-1"/>
                <w:position w:val="-1"/>
              </w:rPr>
              <w:t>R</w:t>
            </w:r>
            <w:r w:rsidRPr="00324EFC">
              <w:rPr>
                <w:rFonts w:eastAsia="Arial" w:cs="Arial"/>
                <w:position w:val="-1"/>
              </w:rPr>
              <w:t>ate</w:t>
            </w:r>
            <w:r w:rsidRPr="00324EFC">
              <w:rPr>
                <w:rFonts w:eastAsia="Arial" w:cs="Arial"/>
                <w:spacing w:val="-3"/>
                <w:position w:val="-1"/>
              </w:rPr>
              <w:t xml:space="preserv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cato</w:t>
            </w:r>
            <w:r w:rsidRPr="00324EFC">
              <w:rPr>
                <w:rFonts w:eastAsia="Arial" w:cs="Arial"/>
                <w:spacing w:val="-1"/>
                <w:position w:val="-1"/>
              </w:rPr>
              <w:t>r</w:t>
            </w:r>
            <w:r w:rsidRPr="00324EFC">
              <w:rPr>
                <w:rFonts w:eastAsia="Arial" w:cs="Arial"/>
                <w:position w:val="-1"/>
              </w:rPr>
              <w:t>,</w:t>
            </w:r>
            <w:r w:rsidRPr="00324EFC">
              <w:rPr>
                <w:rFonts w:eastAsia="Arial" w:cs="Arial"/>
                <w:spacing w:val="4"/>
                <w:position w:val="-1"/>
              </w:rPr>
              <w:t xml:space="preserve"> </w:t>
            </w:r>
            <w:r w:rsidRPr="00324EFC">
              <w:rPr>
                <w:rFonts w:eastAsia="Arial" w:cs="Arial"/>
                <w:b/>
                <w:spacing w:val="-3"/>
                <w:position w:val="-1"/>
              </w:rPr>
              <w:t>or</w:t>
            </w:r>
          </w:p>
          <w:p w14:paraId="6F5574EA" w14:textId="77777777" w:rsidR="002353AE" w:rsidRPr="00324EFC" w:rsidRDefault="002353AE" w:rsidP="00DB76A0">
            <w:pPr>
              <w:pStyle w:val="ListParagraph"/>
              <w:widowControl w:val="0"/>
              <w:numPr>
                <w:ilvl w:val="0"/>
                <w:numId w:val="25"/>
              </w:numPr>
              <w:tabs>
                <w:tab w:val="left" w:pos="1600"/>
              </w:tabs>
              <w:spacing w:before="0" w:after="0"/>
              <w:ind w:left="432" w:right="-14" w:hanging="270"/>
              <w:rPr>
                <w:rFonts w:eastAsia="Arial" w:cs="Arial"/>
              </w:rPr>
            </w:pPr>
            <w:r w:rsidRPr="00324EFC">
              <w:rPr>
                <w:rFonts w:eastAsia="Arial" w:cs="Arial"/>
                <w:i/>
                <w:spacing w:val="-1"/>
                <w:position w:val="-1"/>
              </w:rPr>
              <w:t>R</w:t>
            </w:r>
            <w:r w:rsidRPr="00324EFC">
              <w:rPr>
                <w:rFonts w:eastAsia="Arial" w:cs="Arial"/>
                <w:i/>
                <w:position w:val="-1"/>
              </w:rPr>
              <w:t xml:space="preserve">ed </w:t>
            </w:r>
            <w:r w:rsidRPr="00324EFC">
              <w:rPr>
                <w:rFonts w:eastAsia="Arial" w:cs="Arial"/>
                <w:position w:val="-1"/>
              </w:rPr>
              <w:t xml:space="preserve">on </w:t>
            </w:r>
            <w:r w:rsidRPr="00324EFC">
              <w:rPr>
                <w:rFonts w:eastAsia="Arial" w:cs="Arial"/>
                <w:spacing w:val="-1"/>
                <w:position w:val="-1"/>
              </w:rPr>
              <w:t>C</w:t>
            </w:r>
            <w:r w:rsidRPr="00324EFC">
              <w:rPr>
                <w:rFonts w:eastAsia="Arial" w:cs="Arial"/>
                <w:position w:val="-1"/>
              </w:rPr>
              <w:t>hron</w:t>
            </w:r>
            <w:r w:rsidRPr="00324EFC">
              <w:rPr>
                <w:rFonts w:eastAsia="Arial" w:cs="Arial"/>
                <w:spacing w:val="-1"/>
                <w:position w:val="-1"/>
              </w:rPr>
              <w:t>i</w:t>
            </w:r>
            <w:r w:rsidRPr="00324EFC">
              <w:rPr>
                <w:rFonts w:eastAsia="Arial" w:cs="Arial"/>
                <w:position w:val="-1"/>
              </w:rPr>
              <w:t>c</w:t>
            </w:r>
            <w:r w:rsidRPr="00324EFC">
              <w:rPr>
                <w:rFonts w:eastAsia="Arial" w:cs="Arial"/>
                <w:spacing w:val="-1"/>
                <w:position w:val="-1"/>
              </w:rPr>
              <w:t xml:space="preserve"> A</w:t>
            </w:r>
            <w:r w:rsidRPr="00324EFC">
              <w:rPr>
                <w:rFonts w:eastAsia="Arial" w:cs="Arial"/>
                <w:position w:val="-1"/>
              </w:rPr>
              <w:t>bs</w:t>
            </w:r>
            <w:r w:rsidRPr="00324EFC">
              <w:rPr>
                <w:rFonts w:eastAsia="Arial" w:cs="Arial"/>
                <w:spacing w:val="-1"/>
                <w:position w:val="-1"/>
              </w:rPr>
              <w:t>e</w:t>
            </w:r>
            <w:r w:rsidRPr="00324EFC">
              <w:rPr>
                <w:rFonts w:eastAsia="Arial" w:cs="Arial"/>
                <w:position w:val="-1"/>
              </w:rPr>
              <w:t>nce</w:t>
            </w:r>
            <w:r w:rsidRPr="00324EFC">
              <w:rPr>
                <w:rFonts w:eastAsia="Arial" w:cs="Arial"/>
                <w:spacing w:val="-2"/>
                <w:position w:val="-1"/>
              </w:rPr>
              <w:t xml:space="preserv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cat</w:t>
            </w:r>
            <w:r w:rsidRPr="00324EFC">
              <w:rPr>
                <w:rFonts w:eastAsia="Arial" w:cs="Arial"/>
                <w:spacing w:val="-2"/>
                <w:position w:val="-1"/>
              </w:rPr>
              <w:t>o</w:t>
            </w:r>
            <w:r w:rsidRPr="00324EFC">
              <w:rPr>
                <w:rFonts w:eastAsia="Arial" w:cs="Arial"/>
                <w:position w:val="-1"/>
              </w:rPr>
              <w:t>r</w:t>
            </w:r>
          </w:p>
        </w:tc>
        <w:tc>
          <w:tcPr>
            <w:tcW w:w="2498" w:type="pct"/>
          </w:tcPr>
          <w:p w14:paraId="3C7337E8" w14:textId="77777777" w:rsidR="002353AE" w:rsidRPr="00324EFC" w:rsidRDefault="002353AE" w:rsidP="00DB76A0">
            <w:pPr>
              <w:spacing w:before="0" w:after="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w:t>
            </w:r>
            <w:r w:rsidRPr="00324EFC">
              <w:rPr>
                <w:rFonts w:eastAsia="Arial" w:cs="Arial"/>
                <w:b/>
                <w:bCs/>
                <w:i/>
              </w:rPr>
              <w:t>F</w:t>
            </w:r>
            <w:r w:rsidRPr="00324EFC">
              <w:rPr>
                <w:rFonts w:eastAsia="Arial" w:cs="Arial"/>
                <w:b/>
                <w:bCs/>
                <w:i/>
                <w:spacing w:val="-1"/>
              </w:rPr>
              <w:t>o</w:t>
            </w:r>
            <w:r w:rsidRPr="00324EFC">
              <w:rPr>
                <w:rFonts w:eastAsia="Arial" w:cs="Arial"/>
                <w:b/>
                <w:bCs/>
                <w:i/>
              </w:rPr>
              <w:t>st</w:t>
            </w:r>
            <w:r w:rsidRPr="00324EFC">
              <w:rPr>
                <w:rFonts w:eastAsia="Arial" w:cs="Arial"/>
                <w:b/>
                <w:bCs/>
                <w:i/>
                <w:spacing w:val="-2"/>
              </w:rPr>
              <w:t>e</w:t>
            </w:r>
            <w:r w:rsidRPr="00324EFC">
              <w:rPr>
                <w:rFonts w:eastAsia="Arial" w:cs="Arial"/>
                <w:b/>
                <w:bCs/>
                <w:i/>
              </w:rPr>
              <w:t>r</w:t>
            </w:r>
            <w:r w:rsidRPr="00324EFC">
              <w:rPr>
                <w:rFonts w:eastAsia="Arial" w:cs="Arial"/>
                <w:b/>
                <w:bCs/>
                <w:i/>
                <w:spacing w:val="2"/>
              </w:rPr>
              <w:t xml:space="preserve"> </w:t>
            </w:r>
            <w:r w:rsidRPr="00324EFC">
              <w:rPr>
                <w:rFonts w:eastAsia="Arial" w:cs="Arial"/>
                <w:b/>
                <w:bCs/>
                <w:i/>
                <w:spacing w:val="-1"/>
              </w:rPr>
              <w:t>Y</w:t>
            </w:r>
            <w:r w:rsidRPr="00324EFC">
              <w:rPr>
                <w:rFonts w:eastAsia="Arial" w:cs="Arial"/>
                <w:b/>
                <w:bCs/>
                <w:i/>
              </w:rPr>
              <w:t>o</w:t>
            </w:r>
            <w:r w:rsidRPr="00324EFC">
              <w:rPr>
                <w:rFonts w:eastAsia="Arial" w:cs="Arial"/>
                <w:b/>
                <w:bCs/>
                <w:i/>
                <w:spacing w:val="-3"/>
              </w:rPr>
              <w:t>u</w:t>
            </w:r>
            <w:r w:rsidRPr="00324EFC">
              <w:rPr>
                <w:rFonts w:eastAsia="Arial" w:cs="Arial"/>
                <w:b/>
                <w:bCs/>
                <w:i/>
                <w:spacing w:val="1"/>
              </w:rPr>
              <w:t>t</w:t>
            </w:r>
            <w:r w:rsidRPr="00324EFC">
              <w:rPr>
                <w:rFonts w:eastAsia="Arial" w:cs="Arial"/>
                <w:b/>
                <w:bCs/>
                <w:i/>
              </w:rPr>
              <w:t>h</w:t>
            </w:r>
            <w:r w:rsidRPr="00324EFC">
              <w:rPr>
                <w:rFonts w:eastAsia="Arial" w:cs="Arial"/>
                <w:b/>
                <w:bCs/>
                <w:i/>
                <w:spacing w:val="3"/>
              </w:rPr>
              <w:t>—</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rPr>
              <w:t>nly</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r w:rsidRPr="00324EFC">
              <w:rPr>
                <w:rFonts w:eastAsia="Arial" w:cs="Arial"/>
                <w:b/>
                <w:bCs/>
                <w:i/>
                <w:spacing w:val="-1"/>
              </w:rPr>
              <w:t>0</w:t>
            </w:r>
            <w:r w:rsidRPr="00324EFC">
              <w:rPr>
                <w:rFonts w:eastAsia="Arial" w:cs="Arial"/>
                <w:b/>
                <w:bCs/>
                <w:i/>
              </w:rPr>
              <w:t>)</w:t>
            </w:r>
          </w:p>
          <w:p w14:paraId="2B34A5B6" w14:textId="77777777" w:rsidR="002353AE" w:rsidRPr="00324EFC" w:rsidRDefault="002353AE" w:rsidP="00DB76A0">
            <w:pPr>
              <w:spacing w:before="0" w:after="0"/>
              <w:ind w:right="-14"/>
              <w:rPr>
                <w:rFonts w:eastAsia="Arial" w:cs="Arial"/>
                <w:b/>
                <w:bCs/>
                <w:i/>
                <w:spacing w:val="-1"/>
              </w:rPr>
            </w:pPr>
            <w:r w:rsidRPr="00324EFC">
              <w:rPr>
                <w:rFonts w:eastAsia="Arial" w:cs="Arial"/>
                <w:i/>
                <w:spacing w:val="-1"/>
              </w:rPr>
              <w:t>Not Met for Two or More Years</w:t>
            </w:r>
            <w:r w:rsidRPr="00324EFC">
              <w:rPr>
                <w:rFonts w:eastAsia="Arial" w:cs="Arial"/>
                <w:i/>
                <w:spacing w:val="3"/>
                <w:position w:val="-1"/>
              </w:rPr>
              <w:t xml:space="preserve"> </w:t>
            </w:r>
            <w:r w:rsidRPr="00324EFC">
              <w:rPr>
                <w:rFonts w:eastAsia="Arial" w:cs="Arial"/>
                <w:position w:val="-1"/>
              </w:rPr>
              <w:t>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r>
    </w:tbl>
    <w:p w14:paraId="7C82E4E2" w14:textId="0B44C672" w:rsidR="001D27D5" w:rsidRDefault="00EB50A7" w:rsidP="00635BE9">
      <w:r>
        <w:t xml:space="preserve">The </w:t>
      </w:r>
      <w:r w:rsidR="00D91F82">
        <w:t xml:space="preserve">following are </w:t>
      </w:r>
      <w:r>
        <w:t xml:space="preserve">options </w:t>
      </w:r>
      <w:r w:rsidR="00D91F82">
        <w:t xml:space="preserve">for the SBE to consider </w:t>
      </w:r>
      <w:r w:rsidR="00635BE9">
        <w:t xml:space="preserve">regarding the Science Indicator and </w:t>
      </w:r>
      <w:r w:rsidR="00D91F82">
        <w:t xml:space="preserve">inclusion in the </w:t>
      </w:r>
      <w:r w:rsidR="00635BE9">
        <w:t>LCFF Eligibility Criteria:</w:t>
      </w:r>
    </w:p>
    <w:p w14:paraId="387AAAA5" w14:textId="4D4BA261" w:rsidR="001D27D5" w:rsidRDefault="001D27D5" w:rsidP="00D11ED0">
      <w:pPr>
        <w:pStyle w:val="ListParagraph"/>
        <w:numPr>
          <w:ilvl w:val="0"/>
          <w:numId w:val="14"/>
        </w:numPr>
        <w:rPr>
          <w:rFonts w:cs="Arial"/>
        </w:rPr>
      </w:pPr>
      <w:r>
        <w:rPr>
          <w:rFonts w:cs="Arial"/>
        </w:rPr>
        <w:t xml:space="preserve">Option 1: Add the Science Indicator as a State Indicator for </w:t>
      </w:r>
      <w:r w:rsidR="005578A2">
        <w:rPr>
          <w:rFonts w:cs="Arial"/>
        </w:rPr>
        <w:t>one of the eight Priority Areas (1-8)</w:t>
      </w:r>
    </w:p>
    <w:p w14:paraId="5D3213F9" w14:textId="333B3B0B" w:rsidR="005578A2" w:rsidRPr="00491731" w:rsidRDefault="005578A2" w:rsidP="00D11ED0">
      <w:pPr>
        <w:pStyle w:val="ListParagraph"/>
        <w:numPr>
          <w:ilvl w:val="0"/>
          <w:numId w:val="14"/>
        </w:numPr>
        <w:rPr>
          <w:rFonts w:cs="Arial"/>
        </w:rPr>
      </w:pPr>
      <w:r>
        <w:rPr>
          <w:rFonts w:cs="Arial"/>
        </w:rPr>
        <w:t>Option 2: Add the Science Indicator as a Local Indicator for one of the eight Priority Areas (1-8)</w:t>
      </w:r>
    </w:p>
    <w:p w14:paraId="54F14B70" w14:textId="283321C7" w:rsidR="001D27D5" w:rsidRDefault="005578A2" w:rsidP="00D11ED0">
      <w:pPr>
        <w:pStyle w:val="ListParagraph"/>
        <w:numPr>
          <w:ilvl w:val="0"/>
          <w:numId w:val="14"/>
        </w:numPr>
        <w:rPr>
          <w:rFonts w:cs="Arial"/>
        </w:rPr>
      </w:pPr>
      <w:r>
        <w:rPr>
          <w:rFonts w:cs="Arial"/>
        </w:rPr>
        <w:lastRenderedPageBreak/>
        <w:t xml:space="preserve">Option 3: </w:t>
      </w:r>
      <w:r w:rsidR="00C36C46">
        <w:rPr>
          <w:rFonts w:cs="Arial"/>
        </w:rPr>
        <w:t>Status Quo: The Science Indicator does not impact LCFF Eligibility Determinations</w:t>
      </w:r>
    </w:p>
    <w:p w14:paraId="3D15351A" w14:textId="19602C67" w:rsidR="00C36C46" w:rsidRPr="00C36C46" w:rsidRDefault="00FB5C72" w:rsidP="00C36C46">
      <w:pPr>
        <w:rPr>
          <w:rFonts w:cs="Arial"/>
        </w:rPr>
      </w:pPr>
      <w:r>
        <w:rPr>
          <w:rFonts w:cs="Arial"/>
        </w:rPr>
        <w:t xml:space="preserve">Based upon the discussion at the May 2025 SBE Meeting, </w:t>
      </w:r>
      <w:r w:rsidR="00CB73A0">
        <w:rPr>
          <w:rFonts w:cs="Arial"/>
        </w:rPr>
        <w:t>CDE will prepare simulations on the impacts of Options 1 and 2 to overall LCFF Eligibility determinations and present them to the SBE for the July 2025 Meeting.</w:t>
      </w:r>
    </w:p>
    <w:p w14:paraId="151BBF1A" w14:textId="77777777" w:rsidR="00E11D0F" w:rsidRDefault="00E11D0F">
      <w:pPr>
        <w:sectPr w:rsidR="00E11D0F" w:rsidSect="0089621B">
          <w:headerReference w:type="default" r:id="rId147"/>
          <w:pgSz w:w="12240" w:h="15840"/>
          <w:pgMar w:top="1440" w:right="1440" w:bottom="1440" w:left="1440" w:header="720" w:footer="720" w:gutter="0"/>
          <w:pgNumType w:start="1"/>
          <w:cols w:space="720"/>
          <w:docGrid w:linePitch="360"/>
        </w:sectPr>
      </w:pPr>
    </w:p>
    <w:p w14:paraId="7783BCDD" w14:textId="51E6BC78" w:rsidR="6A85DBA8" w:rsidRPr="00A92916" w:rsidRDefault="6A85DBA8" w:rsidP="00A92916">
      <w:pPr>
        <w:pStyle w:val="Heading1"/>
        <w:jc w:val="left"/>
        <w:rPr>
          <w:sz w:val="36"/>
          <w:szCs w:val="28"/>
        </w:rPr>
      </w:pPr>
      <w:r w:rsidRPr="00A92916">
        <w:rPr>
          <w:sz w:val="36"/>
          <w:szCs w:val="28"/>
        </w:rPr>
        <w:lastRenderedPageBreak/>
        <w:t xml:space="preserve">Attachment </w:t>
      </w:r>
      <w:r w:rsidR="080AC289" w:rsidRPr="00A92916">
        <w:rPr>
          <w:sz w:val="36"/>
          <w:szCs w:val="28"/>
        </w:rPr>
        <w:t>5</w:t>
      </w:r>
    </w:p>
    <w:p w14:paraId="7DEDC499" w14:textId="4EF31C8B" w:rsidR="77BB77E8" w:rsidRDefault="77BB77E8" w:rsidP="002E096B">
      <w:pPr>
        <w:pStyle w:val="Heading2"/>
        <w:rPr>
          <w:rFonts w:eastAsia="Arial"/>
        </w:rPr>
      </w:pPr>
      <w:r w:rsidRPr="3AADD13D">
        <w:t>Review of DASS Application/Renewal Criteria</w:t>
      </w:r>
    </w:p>
    <w:p w14:paraId="062A99EC" w14:textId="41119998" w:rsidR="004C4074" w:rsidRDefault="1741BAB0" w:rsidP="3AADD13D">
      <w:pPr>
        <w:rPr>
          <w:rFonts w:eastAsia="Arial" w:cs="Arial"/>
          <w:color w:val="000000" w:themeColor="text1"/>
        </w:rPr>
      </w:pPr>
      <w:r w:rsidRPr="3AADD13D">
        <w:rPr>
          <w:rFonts w:eastAsia="Arial" w:cs="Arial"/>
          <w:color w:val="000000" w:themeColor="text1"/>
        </w:rPr>
        <w:t xml:space="preserve">California </w:t>
      </w:r>
      <w:r w:rsidRPr="00CF07FD">
        <w:rPr>
          <w:rFonts w:eastAsia="Arial" w:cs="Arial"/>
          <w:i/>
          <w:iCs/>
          <w:color w:val="000000" w:themeColor="text1"/>
        </w:rPr>
        <w:t>Education Code</w:t>
      </w:r>
      <w:r w:rsidRPr="3AADD13D">
        <w:rPr>
          <w:rFonts w:eastAsia="Arial" w:cs="Arial"/>
          <w:color w:val="000000" w:themeColor="text1"/>
        </w:rPr>
        <w:t xml:space="preserve"> (</w:t>
      </w:r>
      <w:r w:rsidRPr="00CF07FD">
        <w:rPr>
          <w:rFonts w:eastAsia="Arial" w:cs="Arial"/>
          <w:i/>
          <w:iCs/>
          <w:color w:val="000000" w:themeColor="text1"/>
        </w:rPr>
        <w:t>EC</w:t>
      </w:r>
      <w:r w:rsidRPr="3AADD13D">
        <w:rPr>
          <w:rFonts w:eastAsia="Arial" w:cs="Arial"/>
          <w:color w:val="000000" w:themeColor="text1"/>
        </w:rPr>
        <w:t xml:space="preserve">) Section 52052(g) requires the Superintendent of Public Instruction, with approval of the </w:t>
      </w:r>
      <w:r w:rsidR="0092460B">
        <w:rPr>
          <w:rFonts w:eastAsia="Arial" w:cs="Arial"/>
          <w:color w:val="000000" w:themeColor="text1"/>
        </w:rPr>
        <w:t>State Board of Education (</w:t>
      </w:r>
      <w:r w:rsidRPr="3AADD13D">
        <w:rPr>
          <w:rFonts w:eastAsia="Arial" w:cs="Arial"/>
          <w:color w:val="000000" w:themeColor="text1"/>
        </w:rPr>
        <w:t>SBE</w:t>
      </w:r>
      <w:r w:rsidR="0092460B">
        <w:rPr>
          <w:rFonts w:eastAsia="Arial" w:cs="Arial"/>
          <w:color w:val="000000" w:themeColor="text1"/>
        </w:rPr>
        <w:t>)</w:t>
      </w:r>
      <w:r w:rsidRPr="3AADD13D">
        <w:rPr>
          <w:rFonts w:eastAsia="Arial" w:cs="Arial"/>
          <w:color w:val="000000" w:themeColor="text1"/>
        </w:rPr>
        <w:t xml:space="preserve">, to develop an alternative accountability system for schools that serve a large percentage of high-risk students. </w:t>
      </w:r>
      <w:r w:rsidR="00356C4F">
        <w:rPr>
          <w:rFonts w:eastAsia="Arial" w:cs="Arial"/>
          <w:color w:val="000000" w:themeColor="text1"/>
        </w:rPr>
        <w:t>This system is commonly referred to as the Dashboard Alternative School Status (DASS).</w:t>
      </w:r>
    </w:p>
    <w:p w14:paraId="6280942B" w14:textId="76A66F57" w:rsidR="1741BAB0" w:rsidRDefault="00CF07FD" w:rsidP="3AADD13D">
      <w:pPr>
        <w:rPr>
          <w:rFonts w:eastAsia="Arial" w:cs="Arial"/>
          <w:color w:val="000000" w:themeColor="text1"/>
        </w:rPr>
      </w:pPr>
      <w:r w:rsidRPr="2D3341D8">
        <w:rPr>
          <w:rFonts w:eastAsia="Arial" w:cs="Arial"/>
          <w:i/>
          <w:iCs/>
          <w:color w:val="000000" w:themeColor="text1"/>
        </w:rPr>
        <w:t>EC</w:t>
      </w:r>
      <w:r w:rsidRPr="2D3341D8">
        <w:rPr>
          <w:rFonts w:eastAsia="Arial" w:cs="Arial"/>
          <w:color w:val="000000" w:themeColor="text1"/>
        </w:rPr>
        <w:t xml:space="preserve"> Section 52052 </w:t>
      </w:r>
      <w:r w:rsidR="1741BAB0" w:rsidRPr="2D3341D8">
        <w:rPr>
          <w:rFonts w:eastAsia="Arial" w:cs="Arial"/>
          <w:color w:val="000000" w:themeColor="text1"/>
        </w:rPr>
        <w:t>also identifies specific types of schools as</w:t>
      </w:r>
      <w:r w:rsidR="5F7FEF0B" w:rsidRPr="2D3341D8">
        <w:rPr>
          <w:rFonts w:eastAsia="Arial" w:cs="Arial"/>
          <w:color w:val="000000" w:themeColor="text1"/>
        </w:rPr>
        <w:t xml:space="preserve"> an</w:t>
      </w:r>
      <w:r w:rsidR="1741BAB0" w:rsidRPr="2D3341D8">
        <w:rPr>
          <w:rFonts w:eastAsia="Arial" w:cs="Arial"/>
          <w:color w:val="000000" w:themeColor="text1"/>
        </w:rPr>
        <w:t xml:space="preserve"> alternative (e.g., juvenile court, county community day, etc.) that would automatically be eligible to participate in alternative school accountability.</w:t>
      </w:r>
      <w:r w:rsidR="004C4074">
        <w:rPr>
          <w:rFonts w:eastAsia="Arial" w:cs="Arial"/>
          <w:color w:val="000000" w:themeColor="text1"/>
        </w:rPr>
        <w:t xml:space="preserve"> Table </w:t>
      </w:r>
      <w:r w:rsidR="0092460B">
        <w:rPr>
          <w:rFonts w:eastAsia="Arial" w:cs="Arial"/>
          <w:color w:val="000000" w:themeColor="text1"/>
        </w:rPr>
        <w:t>23</w:t>
      </w:r>
      <w:r w:rsidR="004C4074">
        <w:rPr>
          <w:rFonts w:eastAsia="Arial" w:cs="Arial"/>
          <w:color w:val="000000" w:themeColor="text1"/>
        </w:rPr>
        <w:t xml:space="preserve"> </w:t>
      </w:r>
      <w:r w:rsidR="0092460B">
        <w:rPr>
          <w:rFonts w:eastAsia="Arial" w:cs="Arial"/>
          <w:color w:val="000000" w:themeColor="text1"/>
        </w:rPr>
        <w:t xml:space="preserve">provides </w:t>
      </w:r>
      <w:r w:rsidR="004C4074">
        <w:rPr>
          <w:rFonts w:eastAsia="Arial" w:cs="Arial"/>
          <w:color w:val="000000" w:themeColor="text1"/>
        </w:rPr>
        <w:t xml:space="preserve">the 2025 Accountability Workplan </w:t>
      </w:r>
      <w:r w:rsidR="004C4074" w:rsidRPr="004177CF">
        <w:rPr>
          <w:rFonts w:eastAsia="Arial" w:cs="Arial"/>
          <w:color w:val="000000" w:themeColor="text1"/>
        </w:rPr>
        <w:t xml:space="preserve">activities </w:t>
      </w:r>
      <w:r w:rsidR="004D0008" w:rsidRPr="004177CF">
        <w:rPr>
          <w:rFonts w:eastAsia="Arial" w:cs="Arial"/>
          <w:color w:val="000000" w:themeColor="text1"/>
        </w:rPr>
        <w:t xml:space="preserve">and the items presented at upcoming SBE and California Practitioners Advisory Group (CPAG) meetings </w:t>
      </w:r>
      <w:r w:rsidR="004C4074" w:rsidRPr="004177CF">
        <w:rPr>
          <w:rFonts w:eastAsia="Arial" w:cs="Arial"/>
          <w:color w:val="000000" w:themeColor="text1"/>
        </w:rPr>
        <w:t xml:space="preserve">that </w:t>
      </w:r>
      <w:r w:rsidR="0092460B" w:rsidRPr="004177CF">
        <w:rPr>
          <w:rFonts w:eastAsia="Arial" w:cs="Arial"/>
          <w:color w:val="000000" w:themeColor="text1"/>
        </w:rPr>
        <w:t>California</w:t>
      </w:r>
      <w:r w:rsidR="0092460B">
        <w:rPr>
          <w:rFonts w:eastAsia="Arial" w:cs="Arial"/>
          <w:color w:val="000000" w:themeColor="text1"/>
        </w:rPr>
        <w:t xml:space="preserve"> Department of Education (</w:t>
      </w:r>
      <w:r w:rsidR="004C4074">
        <w:rPr>
          <w:rFonts w:eastAsia="Arial" w:cs="Arial"/>
          <w:color w:val="000000" w:themeColor="text1"/>
        </w:rPr>
        <w:t>CDE</w:t>
      </w:r>
      <w:r w:rsidR="0092460B">
        <w:rPr>
          <w:rFonts w:eastAsia="Arial" w:cs="Arial"/>
          <w:color w:val="000000" w:themeColor="text1"/>
        </w:rPr>
        <w:t>)</w:t>
      </w:r>
      <w:r w:rsidR="004C4074">
        <w:rPr>
          <w:rFonts w:eastAsia="Arial" w:cs="Arial"/>
          <w:color w:val="000000" w:themeColor="text1"/>
        </w:rPr>
        <w:t xml:space="preserve"> </w:t>
      </w:r>
      <w:r w:rsidR="004D0008">
        <w:rPr>
          <w:rFonts w:eastAsia="Arial" w:cs="Arial"/>
          <w:color w:val="000000" w:themeColor="text1"/>
        </w:rPr>
        <w:t>related to</w:t>
      </w:r>
      <w:r w:rsidR="004C4074">
        <w:rPr>
          <w:rFonts w:eastAsia="Arial" w:cs="Arial"/>
          <w:color w:val="000000" w:themeColor="text1"/>
        </w:rPr>
        <w:t xml:space="preserve"> the Application-Based DASS application/renewal process.</w:t>
      </w:r>
      <w:r w:rsidR="001B60AA">
        <w:rPr>
          <w:rFonts w:eastAsia="Arial" w:cs="Arial"/>
          <w:color w:val="000000" w:themeColor="text1"/>
        </w:rPr>
        <w:t xml:space="preserve"> </w:t>
      </w:r>
    </w:p>
    <w:p w14:paraId="2F38093E" w14:textId="19CE8A54" w:rsidR="19B80ED1" w:rsidRPr="002E096B" w:rsidRDefault="19B80ED1" w:rsidP="002E096B">
      <w:pPr>
        <w:pStyle w:val="Heading3"/>
        <w:rPr>
          <w:color w:val="000000" w:themeColor="text1"/>
          <w:sz w:val="24"/>
          <w:szCs w:val="20"/>
        </w:rPr>
      </w:pPr>
      <w:r w:rsidRPr="002E096B">
        <w:rPr>
          <w:color w:val="000000" w:themeColor="text1"/>
          <w:sz w:val="24"/>
          <w:szCs w:val="20"/>
        </w:rPr>
        <w:t>Table</w:t>
      </w:r>
      <w:r w:rsidR="0092460B" w:rsidRPr="002E096B">
        <w:rPr>
          <w:color w:val="000000" w:themeColor="text1"/>
          <w:sz w:val="24"/>
          <w:szCs w:val="20"/>
        </w:rPr>
        <w:t xml:space="preserve"> 23</w:t>
      </w:r>
      <w:r w:rsidRPr="002E096B">
        <w:rPr>
          <w:sz w:val="24"/>
          <w:szCs w:val="20"/>
        </w:rPr>
        <w:t>:</w:t>
      </w:r>
      <w:r w:rsidR="0092460B" w:rsidRPr="002E096B">
        <w:rPr>
          <w:sz w:val="24"/>
          <w:szCs w:val="20"/>
        </w:rPr>
        <w:t xml:space="preserve"> </w:t>
      </w:r>
      <w:r w:rsidRPr="002E096B">
        <w:rPr>
          <w:sz w:val="24"/>
          <w:szCs w:val="20"/>
        </w:rPr>
        <w:t xml:space="preserve">Timeline of Ongoing Developmental Activities for the </w:t>
      </w:r>
      <w:r w:rsidR="65D294A3" w:rsidRPr="002E096B">
        <w:rPr>
          <w:sz w:val="24"/>
          <w:szCs w:val="20"/>
        </w:rPr>
        <w:t>Dashboard Alternative School Status (DASS) Application/ Renewal Criteria</w:t>
      </w:r>
      <w:r w:rsidRPr="002E096B">
        <w:rPr>
          <w:sz w:val="24"/>
          <w:szCs w:val="20"/>
        </w:rPr>
        <w:t xml:space="preserve"> in the 2025 Accountability Workplan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X: Timeline of Ongoing Developmental Activities for the Dashboard Alternative School Status (DASS) Application/ Renewal Criteria in the 2025 Accountability Workplan"/>
        <w:tblDescription w:val="Table X: Timeline of Ongoing Developmental Activities for the Dashboard Alternative School Status (DASS) Application/ Renewal Criteria in the 2025 Accountability Workplan"/>
      </w:tblPr>
      <w:tblGrid>
        <w:gridCol w:w="2128"/>
        <w:gridCol w:w="1437"/>
        <w:gridCol w:w="1789"/>
        <w:gridCol w:w="2020"/>
        <w:gridCol w:w="1970"/>
      </w:tblGrid>
      <w:tr w:rsidR="0D17D8B3" w14:paraId="1F8B02F5" w14:textId="77777777" w:rsidTr="002E096B">
        <w:trPr>
          <w:cantSplit/>
          <w:trHeight w:val="300"/>
          <w:tblHeader/>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6119A498" w14:textId="09F3DFF7"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Subject</w:t>
            </w:r>
          </w:p>
        </w:tc>
        <w:tc>
          <w:tcPr>
            <w:tcW w:w="14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09B4FD2" w14:textId="4A0C6D1B"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March 2025</w:t>
            </w:r>
          </w:p>
          <w:p w14:paraId="6A6572C3" w14:textId="207826E7"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SBE Meeting</w:t>
            </w:r>
          </w:p>
        </w:tc>
        <w:tc>
          <w:tcPr>
            <w:tcW w:w="1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1F84CDFF" w14:textId="6EE25123"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May 2025</w:t>
            </w:r>
          </w:p>
          <w:p w14:paraId="27B8CC78" w14:textId="1D46E5BE"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SBE Meeting</w:t>
            </w:r>
          </w:p>
        </w:tc>
        <w:tc>
          <w:tcPr>
            <w:tcW w:w="20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7664AC4" w14:textId="4C4C949D" w:rsidR="0D17D8B3" w:rsidRDefault="0D17D8B3" w:rsidP="00751443">
            <w:pPr>
              <w:spacing w:after="0"/>
              <w:jc w:val="center"/>
              <w:rPr>
                <w:rFonts w:eastAsia="Arial" w:cs="Arial"/>
                <w:color w:val="000000" w:themeColor="text1"/>
              </w:rPr>
            </w:pPr>
            <w:r w:rsidRPr="0D17D8B3">
              <w:rPr>
                <w:rFonts w:eastAsia="Arial" w:cs="Arial"/>
                <w:b/>
                <w:bCs/>
                <w:color w:val="000000" w:themeColor="text1"/>
              </w:rPr>
              <w:t>June 2025</w:t>
            </w:r>
          </w:p>
          <w:p w14:paraId="71C7E2DF" w14:textId="2753B76B" w:rsidR="0D17D8B3" w:rsidRDefault="0D17D8B3" w:rsidP="00751443">
            <w:pPr>
              <w:spacing w:before="0"/>
              <w:jc w:val="center"/>
              <w:rPr>
                <w:rFonts w:eastAsia="Arial" w:cs="Arial"/>
                <w:color w:val="000000" w:themeColor="text1"/>
              </w:rPr>
            </w:pPr>
            <w:r w:rsidRPr="0D17D8B3">
              <w:rPr>
                <w:rFonts w:eastAsia="Arial" w:cs="Arial"/>
                <w:b/>
                <w:bCs/>
                <w:color w:val="000000" w:themeColor="text1"/>
              </w:rPr>
              <w:t>CPAG Meeting</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4ED8DC68" w14:textId="620143A3"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July 2025</w:t>
            </w:r>
          </w:p>
          <w:p w14:paraId="230F5CA2" w14:textId="697897D5" w:rsidR="0D17D8B3" w:rsidRDefault="0D17D8B3" w:rsidP="0D17D8B3">
            <w:pPr>
              <w:contextualSpacing/>
              <w:jc w:val="center"/>
              <w:rPr>
                <w:rFonts w:eastAsia="Arial" w:cs="Arial"/>
                <w:color w:val="000000" w:themeColor="text1"/>
              </w:rPr>
            </w:pPr>
            <w:r w:rsidRPr="0D17D8B3">
              <w:rPr>
                <w:rFonts w:eastAsia="Arial" w:cs="Arial"/>
                <w:b/>
                <w:bCs/>
                <w:color w:val="000000" w:themeColor="text1"/>
              </w:rPr>
              <w:t>SBE Meeting</w:t>
            </w:r>
          </w:p>
        </w:tc>
      </w:tr>
      <w:tr w:rsidR="0D17D8B3" w14:paraId="6C50F3CD" w14:textId="77777777" w:rsidTr="002E096B">
        <w:trPr>
          <w:cantSplit/>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F8DE3C" w14:textId="0C06A2D9" w:rsidR="6B612BC5" w:rsidRDefault="6B612BC5" w:rsidP="6FF67CBA">
            <w:pPr>
              <w:contextualSpacing/>
              <w:rPr>
                <w:rFonts w:eastAsia="Arial" w:cs="Arial"/>
                <w:color w:val="000000" w:themeColor="text1"/>
              </w:rPr>
            </w:pPr>
            <w:r w:rsidRPr="6FF67CBA">
              <w:rPr>
                <w:rFonts w:eastAsia="Arial" w:cs="Arial"/>
                <w:color w:val="000000" w:themeColor="text1"/>
              </w:rPr>
              <w:t>Review of</w:t>
            </w:r>
          </w:p>
          <w:p w14:paraId="662AB4CA" w14:textId="5D6A046F" w:rsidR="6B612BC5" w:rsidRDefault="6B612BC5" w:rsidP="6FF67CBA">
            <w:pPr>
              <w:contextualSpacing/>
            </w:pPr>
            <w:r w:rsidRPr="6FF67CBA">
              <w:rPr>
                <w:rFonts w:eastAsia="Arial" w:cs="Arial"/>
                <w:color w:val="000000" w:themeColor="text1"/>
              </w:rPr>
              <w:t>Dashboard</w:t>
            </w:r>
          </w:p>
          <w:p w14:paraId="3B2881AB" w14:textId="784F5B28" w:rsidR="6B612BC5" w:rsidRDefault="6B612BC5" w:rsidP="6FF67CBA">
            <w:pPr>
              <w:contextualSpacing/>
            </w:pPr>
            <w:r w:rsidRPr="6FF67CBA">
              <w:rPr>
                <w:rFonts w:eastAsia="Arial" w:cs="Arial"/>
                <w:color w:val="000000" w:themeColor="text1"/>
              </w:rPr>
              <w:t>Alternative School</w:t>
            </w:r>
          </w:p>
          <w:p w14:paraId="53632022" w14:textId="08EB63D5" w:rsidR="6B612BC5" w:rsidRDefault="6B612BC5" w:rsidP="6FF67CBA">
            <w:pPr>
              <w:contextualSpacing/>
            </w:pPr>
            <w:r w:rsidRPr="6FF67CBA">
              <w:rPr>
                <w:rFonts w:eastAsia="Arial" w:cs="Arial"/>
                <w:color w:val="000000" w:themeColor="text1"/>
              </w:rPr>
              <w:t>Status (DASS)</w:t>
            </w:r>
          </w:p>
          <w:p w14:paraId="2DE2EC2B" w14:textId="0E501119" w:rsidR="6B612BC5" w:rsidRDefault="6B612BC5" w:rsidP="6FF67CBA">
            <w:pPr>
              <w:contextualSpacing/>
              <w:rPr>
                <w:rFonts w:eastAsia="Arial" w:cs="Arial"/>
                <w:color w:val="000000" w:themeColor="text1"/>
              </w:rPr>
            </w:pPr>
            <w:r w:rsidRPr="6FF67CBA">
              <w:rPr>
                <w:rFonts w:eastAsia="Arial" w:cs="Arial"/>
                <w:color w:val="000000" w:themeColor="text1"/>
              </w:rPr>
              <w:t>Application/</w:t>
            </w:r>
            <w:r w:rsidR="60B37C1A" w:rsidRPr="6FF67CBA">
              <w:rPr>
                <w:rFonts w:eastAsia="Arial" w:cs="Arial"/>
                <w:color w:val="000000" w:themeColor="text1"/>
              </w:rPr>
              <w:t xml:space="preserve"> </w:t>
            </w:r>
            <w:r w:rsidRPr="6FF67CBA">
              <w:rPr>
                <w:rFonts w:eastAsia="Arial" w:cs="Arial"/>
                <w:color w:val="000000" w:themeColor="text1"/>
              </w:rPr>
              <w:t>Rene</w:t>
            </w:r>
            <w:r w:rsidR="13107326" w:rsidRPr="6FF67CBA">
              <w:rPr>
                <w:rFonts w:eastAsia="Arial" w:cs="Arial"/>
                <w:color w:val="000000" w:themeColor="text1"/>
              </w:rPr>
              <w:t>wal</w:t>
            </w:r>
          </w:p>
          <w:p w14:paraId="49EF04E0" w14:textId="5A20292F" w:rsidR="0D17D8B3" w:rsidRPr="00FD77C3" w:rsidRDefault="6B612BC5" w:rsidP="0D17D8B3">
            <w:pPr>
              <w:contextualSpacing/>
              <w:rPr>
                <w:rFonts w:eastAsia="Arial"/>
              </w:rPr>
            </w:pPr>
            <w:r w:rsidRPr="6FF67CBA">
              <w:rPr>
                <w:rFonts w:eastAsia="Arial" w:cs="Arial"/>
                <w:color w:val="000000" w:themeColor="text1"/>
              </w:rPr>
              <w:t>Criteria</w:t>
            </w:r>
          </w:p>
        </w:tc>
        <w:tc>
          <w:tcPr>
            <w:tcW w:w="14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E4A4FA" w14:textId="3C848C50" w:rsidR="0D17D8B3" w:rsidRDefault="6B612BC5" w:rsidP="0D17D8B3">
            <w:pPr>
              <w:contextualSpacing/>
              <w:rPr>
                <w:rFonts w:eastAsia="Arial" w:cs="Arial"/>
                <w:color w:val="000000" w:themeColor="text1"/>
              </w:rPr>
            </w:pPr>
            <w:r w:rsidRPr="6FF67CBA">
              <w:rPr>
                <w:rFonts w:eastAsia="Arial" w:cs="Arial"/>
                <w:color w:val="000000" w:themeColor="text1"/>
              </w:rPr>
              <w:t>N/A</w:t>
            </w:r>
          </w:p>
        </w:tc>
        <w:tc>
          <w:tcPr>
            <w:tcW w:w="17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4DFDB1" w14:textId="76026777" w:rsidR="0D17D8B3" w:rsidRDefault="6B612BC5" w:rsidP="00BE7287">
            <w:pPr>
              <w:spacing w:before="0"/>
              <w:rPr>
                <w:rFonts w:eastAsia="Arial" w:cs="Arial"/>
                <w:color w:val="000000" w:themeColor="text1"/>
              </w:rPr>
            </w:pPr>
            <w:r w:rsidRPr="6FF67CBA">
              <w:rPr>
                <w:rFonts w:eastAsia="Arial" w:cs="Arial"/>
                <w:color w:val="000000" w:themeColor="text1"/>
              </w:rPr>
              <w:t>Review of DASS Application/</w:t>
            </w:r>
            <w:r w:rsidR="039D4ADF" w:rsidRPr="6FF67CBA">
              <w:rPr>
                <w:rFonts w:eastAsia="Arial" w:cs="Arial"/>
                <w:color w:val="000000" w:themeColor="text1"/>
              </w:rPr>
              <w:t xml:space="preserve"> </w:t>
            </w:r>
            <w:r w:rsidRPr="6FF67CBA">
              <w:rPr>
                <w:rFonts w:eastAsia="Arial" w:cs="Arial"/>
                <w:color w:val="000000" w:themeColor="text1"/>
              </w:rPr>
              <w:t>Renewal Criteria</w:t>
            </w:r>
          </w:p>
        </w:tc>
        <w:tc>
          <w:tcPr>
            <w:tcW w:w="2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902628" w14:textId="10C0BA9A" w:rsidR="0D17D8B3" w:rsidRDefault="6B612BC5" w:rsidP="00BE7287">
            <w:pPr>
              <w:spacing w:before="0"/>
              <w:rPr>
                <w:rFonts w:eastAsia="Arial" w:cs="Arial"/>
                <w:color w:val="000000" w:themeColor="text1"/>
              </w:rPr>
            </w:pPr>
            <w:r w:rsidRPr="6FF67CBA">
              <w:rPr>
                <w:rFonts w:eastAsia="Arial" w:cs="Arial"/>
                <w:color w:val="000000" w:themeColor="text1"/>
              </w:rPr>
              <w:t>Feedback on DASS Application/</w:t>
            </w:r>
            <w:r w:rsidR="4E0F5062" w:rsidRPr="6FF67CBA">
              <w:rPr>
                <w:rFonts w:eastAsia="Arial" w:cs="Arial"/>
                <w:color w:val="000000" w:themeColor="text1"/>
              </w:rPr>
              <w:t xml:space="preserve"> </w:t>
            </w:r>
            <w:r w:rsidRPr="6FF67CBA">
              <w:rPr>
                <w:rFonts w:eastAsia="Arial" w:cs="Arial"/>
                <w:color w:val="000000" w:themeColor="text1"/>
              </w:rPr>
              <w:t>Renewal Criteria</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2A2F38" w14:textId="60206DE6" w:rsidR="0D17D8B3" w:rsidRDefault="6B612BC5" w:rsidP="00BE7287">
            <w:pPr>
              <w:spacing w:before="0"/>
              <w:rPr>
                <w:rFonts w:eastAsia="Arial" w:cs="Arial"/>
                <w:color w:val="000000" w:themeColor="text1"/>
              </w:rPr>
            </w:pPr>
            <w:r w:rsidRPr="6FF67CBA">
              <w:rPr>
                <w:rFonts w:eastAsia="Arial" w:cs="Arial"/>
                <w:color w:val="000000" w:themeColor="text1"/>
              </w:rPr>
              <w:t>Approval of DASS Application/</w:t>
            </w:r>
            <w:r w:rsidR="28228188" w:rsidRPr="6FF67CBA">
              <w:rPr>
                <w:rFonts w:eastAsia="Arial" w:cs="Arial"/>
                <w:color w:val="000000" w:themeColor="text1"/>
              </w:rPr>
              <w:t xml:space="preserve"> </w:t>
            </w:r>
            <w:r w:rsidRPr="6FF67CBA">
              <w:rPr>
                <w:rFonts w:eastAsia="Arial" w:cs="Arial"/>
                <w:color w:val="000000" w:themeColor="text1"/>
              </w:rPr>
              <w:t>Renewal Criteria</w:t>
            </w:r>
          </w:p>
        </w:tc>
      </w:tr>
    </w:tbl>
    <w:p w14:paraId="289A18B7" w14:textId="46789E39" w:rsidR="00AC7D74" w:rsidRDefault="00595608" w:rsidP="3AADD13D">
      <w:pPr>
        <w:rPr>
          <w:rFonts w:eastAsia="Arial" w:cs="Arial"/>
          <w:i/>
          <w:iCs/>
          <w:color w:val="000000" w:themeColor="text1"/>
        </w:rPr>
      </w:pPr>
      <w:r>
        <w:rPr>
          <w:rFonts w:eastAsia="Arial" w:cs="Arial"/>
          <w:i/>
          <w:iCs/>
          <w:color w:val="000000" w:themeColor="text1"/>
        </w:rPr>
        <w:t xml:space="preserve">Background on DASS: </w:t>
      </w:r>
      <w:r w:rsidR="00B878EE">
        <w:rPr>
          <w:rFonts w:eastAsia="Arial" w:cs="Arial"/>
          <w:i/>
          <w:iCs/>
          <w:color w:val="000000" w:themeColor="text1"/>
        </w:rPr>
        <w:t>Alternative Schools Defined in Education Code and Application-Based DASS</w:t>
      </w:r>
    </w:p>
    <w:p w14:paraId="231CB979" w14:textId="2680C1D4" w:rsidR="00435EC3" w:rsidRPr="00435EC3" w:rsidRDefault="00435EC3" w:rsidP="00435EC3">
      <w:pPr>
        <w:rPr>
          <w:rFonts w:eastAsia="Arial" w:cs="Arial"/>
          <w:color w:val="000000" w:themeColor="text1"/>
        </w:rPr>
      </w:pPr>
      <w:r w:rsidRPr="00435EC3">
        <w:rPr>
          <w:rFonts w:eastAsia="Arial" w:cs="Arial"/>
          <w:color w:val="000000" w:themeColor="text1"/>
        </w:rPr>
        <w:t>The DASS program is limited to schools that meet certain eligibility requirements established by the SBE. Schools are identified as "alternative" through one of two methods:</w:t>
      </w:r>
    </w:p>
    <w:p w14:paraId="20040FFB" w14:textId="77777777" w:rsidR="00435EC3" w:rsidRPr="00BD7405" w:rsidRDefault="00435EC3" w:rsidP="00D11ED0">
      <w:pPr>
        <w:pStyle w:val="ListParagraph"/>
        <w:numPr>
          <w:ilvl w:val="0"/>
          <w:numId w:val="16"/>
        </w:numPr>
        <w:rPr>
          <w:rFonts w:eastAsia="Arial" w:cs="Arial"/>
          <w:color w:val="000000" w:themeColor="text1"/>
        </w:rPr>
      </w:pPr>
      <w:r w:rsidRPr="00BD7405">
        <w:rPr>
          <w:rFonts w:eastAsia="Arial" w:cs="Arial"/>
          <w:color w:val="000000" w:themeColor="text1"/>
        </w:rPr>
        <w:t>Alternative Schools Defined in Education Code</w:t>
      </w:r>
    </w:p>
    <w:p w14:paraId="7A601CA5" w14:textId="6CBC5F38" w:rsidR="00866A12" w:rsidRPr="00BD7405" w:rsidRDefault="00866A12" w:rsidP="00D11ED0">
      <w:pPr>
        <w:pStyle w:val="ListParagraph"/>
        <w:numPr>
          <w:ilvl w:val="0"/>
          <w:numId w:val="16"/>
        </w:numPr>
        <w:rPr>
          <w:rFonts w:eastAsia="Arial" w:cs="Arial"/>
          <w:color w:val="000000" w:themeColor="text1"/>
        </w:rPr>
      </w:pPr>
      <w:r w:rsidRPr="00BD7405">
        <w:rPr>
          <w:rFonts w:eastAsia="Arial" w:cs="Arial"/>
          <w:color w:val="000000" w:themeColor="text1"/>
        </w:rPr>
        <w:t xml:space="preserve">Application-Based Dashboard Alternative School Status </w:t>
      </w:r>
    </w:p>
    <w:p w14:paraId="56E5CC6D" w14:textId="69343E95" w:rsidR="00435EC3" w:rsidRPr="00435EC3" w:rsidRDefault="00435EC3" w:rsidP="00435EC3">
      <w:pPr>
        <w:rPr>
          <w:rFonts w:eastAsia="Arial" w:cs="Arial"/>
          <w:color w:val="000000" w:themeColor="text1"/>
        </w:rPr>
      </w:pPr>
      <w:r w:rsidRPr="00FD77C3">
        <w:rPr>
          <w:rFonts w:eastAsia="Arial" w:cs="Arial"/>
          <w:i/>
          <w:iCs/>
          <w:color w:val="000000" w:themeColor="text1"/>
        </w:rPr>
        <w:lastRenderedPageBreak/>
        <w:t>EC</w:t>
      </w:r>
      <w:r w:rsidR="00FD77C3">
        <w:rPr>
          <w:rFonts w:eastAsia="Arial" w:cs="Arial"/>
          <w:i/>
          <w:iCs/>
          <w:color w:val="000000" w:themeColor="text1"/>
        </w:rPr>
        <w:t xml:space="preserve"> </w:t>
      </w:r>
      <w:r w:rsidRPr="00435EC3">
        <w:rPr>
          <w:rFonts w:eastAsia="Arial" w:cs="Arial"/>
          <w:color w:val="000000" w:themeColor="text1"/>
        </w:rPr>
        <w:t xml:space="preserve">Section 52052(d) </w:t>
      </w:r>
      <w:r w:rsidR="001130D7">
        <w:rPr>
          <w:rFonts w:eastAsia="Arial" w:cs="Arial"/>
          <w:color w:val="000000" w:themeColor="text1"/>
        </w:rPr>
        <w:t xml:space="preserve">defines the following school types </w:t>
      </w:r>
      <w:r w:rsidRPr="00435EC3">
        <w:rPr>
          <w:rFonts w:eastAsia="Arial" w:cs="Arial"/>
          <w:color w:val="000000" w:themeColor="text1"/>
        </w:rPr>
        <w:t>automatically as DASS schools:</w:t>
      </w:r>
    </w:p>
    <w:p w14:paraId="48E04CEF"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Continuation</w:t>
      </w:r>
    </w:p>
    <w:p w14:paraId="5FF456C5"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County or District Community Day</w:t>
      </w:r>
    </w:p>
    <w:p w14:paraId="3BB1BDA0"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Opportunity</w:t>
      </w:r>
    </w:p>
    <w:p w14:paraId="2CC478D8"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County Community</w:t>
      </w:r>
    </w:p>
    <w:p w14:paraId="085CC885"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Juvenile Court</w:t>
      </w:r>
    </w:p>
    <w:p w14:paraId="6A8545D2"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California Education Authority, Division of Juvenile Justice</w:t>
      </w:r>
    </w:p>
    <w:p w14:paraId="15D46946" w14:textId="77777777" w:rsidR="00435EC3" w:rsidRPr="00435EC3" w:rsidRDefault="00435EC3" w:rsidP="00D11ED0">
      <w:pPr>
        <w:numPr>
          <w:ilvl w:val="0"/>
          <w:numId w:val="15"/>
        </w:numPr>
        <w:rPr>
          <w:rFonts w:eastAsia="Arial" w:cs="Arial"/>
          <w:color w:val="000000" w:themeColor="text1"/>
        </w:rPr>
      </w:pPr>
      <w:r w:rsidRPr="00435EC3">
        <w:rPr>
          <w:rFonts w:eastAsia="Arial" w:cs="Arial"/>
          <w:color w:val="000000" w:themeColor="text1"/>
        </w:rPr>
        <w:t>County-Run Special Education Schools</w:t>
      </w:r>
    </w:p>
    <w:p w14:paraId="209CCDAC" w14:textId="018AAF4E" w:rsidR="007F59E0" w:rsidRDefault="00435EC3" w:rsidP="3AADD13D">
      <w:pPr>
        <w:rPr>
          <w:rFonts w:eastAsia="Arial" w:cs="Arial"/>
          <w:color w:val="000000" w:themeColor="text1"/>
        </w:rPr>
      </w:pPr>
      <w:r w:rsidRPr="00435EC3">
        <w:rPr>
          <w:rFonts w:eastAsia="Arial" w:cs="Arial"/>
          <w:color w:val="000000" w:themeColor="text1"/>
        </w:rPr>
        <w:t>Additionally, any district-operated special education schools that have at least 70 percent of the students enrolled in grades three through eight and grade eleven participating in the California Alternate Assessments (CAA) in the prior year will also be automatically placed into DASS.</w:t>
      </w:r>
    </w:p>
    <w:p w14:paraId="6CC5AEF9" w14:textId="59CAD745" w:rsidR="7B2143FA" w:rsidRDefault="7B2143FA" w:rsidP="3AADD13D">
      <w:pPr>
        <w:rPr>
          <w:rFonts w:eastAsia="Arial" w:cs="Arial"/>
          <w:color w:val="000000" w:themeColor="text1"/>
        </w:rPr>
      </w:pPr>
      <w:r w:rsidRPr="3AADD13D">
        <w:rPr>
          <w:rFonts w:eastAsia="Arial" w:cs="Arial"/>
          <w:color w:val="000000" w:themeColor="text1"/>
        </w:rPr>
        <w:t xml:space="preserve">In July 2017, the SBE adopted the following criteria for </w:t>
      </w:r>
      <w:r w:rsidR="001951D1">
        <w:rPr>
          <w:rFonts w:eastAsia="Arial" w:cs="Arial"/>
          <w:color w:val="000000" w:themeColor="text1"/>
        </w:rPr>
        <w:t>an application-based DASS status for charter and alternative schools of choice</w:t>
      </w:r>
      <w:r w:rsidRPr="3AADD13D">
        <w:rPr>
          <w:rFonts w:eastAsia="Arial" w:cs="Arial"/>
          <w:color w:val="000000" w:themeColor="text1"/>
        </w:rPr>
        <w:t xml:space="preserve">: </w:t>
      </w:r>
    </w:p>
    <w:p w14:paraId="4060998C" w14:textId="2206CE01"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Expelled (</w:t>
      </w:r>
      <w:r w:rsidRPr="00D90A8E">
        <w:rPr>
          <w:rFonts w:eastAsia="Arial" w:cs="Arial"/>
          <w:i/>
          <w:iCs/>
          <w:color w:val="000000" w:themeColor="text1"/>
        </w:rPr>
        <w:t>EC</w:t>
      </w:r>
      <w:r w:rsidR="00FD77C3">
        <w:rPr>
          <w:rFonts w:eastAsia="Arial" w:cs="Arial"/>
          <w:color w:val="000000" w:themeColor="text1"/>
        </w:rPr>
        <w:t xml:space="preserve"> </w:t>
      </w:r>
      <w:r w:rsidRPr="00D90A8E">
        <w:rPr>
          <w:rFonts w:eastAsia="Arial" w:cs="Arial"/>
          <w:color w:val="000000" w:themeColor="text1"/>
        </w:rPr>
        <w:t>Section 48925[b]) including situations in which enforcement of the expulsion order was suspended (</w:t>
      </w:r>
      <w:r w:rsidRPr="00D90A8E">
        <w:rPr>
          <w:rFonts w:eastAsia="Arial" w:cs="Arial"/>
          <w:i/>
          <w:iCs/>
          <w:color w:val="000000" w:themeColor="text1"/>
        </w:rPr>
        <w:t>EC</w:t>
      </w:r>
      <w:r w:rsidRPr="00D90A8E">
        <w:rPr>
          <w:rFonts w:eastAsia="Arial" w:cs="Arial"/>
          <w:color w:val="000000" w:themeColor="text1"/>
        </w:rPr>
        <w:t> Section 48917)</w:t>
      </w:r>
    </w:p>
    <w:p w14:paraId="54EF650D" w14:textId="4767522C"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Suspended (</w:t>
      </w:r>
      <w:r w:rsidRPr="00D90A8E">
        <w:rPr>
          <w:rFonts w:eastAsia="Arial" w:cs="Arial"/>
          <w:i/>
          <w:iCs/>
          <w:color w:val="000000" w:themeColor="text1"/>
        </w:rPr>
        <w:t>EC</w:t>
      </w:r>
      <w:r w:rsidR="00FD77C3">
        <w:rPr>
          <w:rFonts w:eastAsia="Arial" w:cs="Arial"/>
          <w:i/>
          <w:iCs/>
          <w:color w:val="000000" w:themeColor="text1"/>
        </w:rPr>
        <w:t xml:space="preserve"> </w:t>
      </w:r>
      <w:r w:rsidRPr="00D90A8E">
        <w:rPr>
          <w:rFonts w:eastAsia="Arial" w:cs="Arial"/>
          <w:color w:val="000000" w:themeColor="text1"/>
        </w:rPr>
        <w:t>Section 48925[d]) more than 10 days in a school year</w:t>
      </w:r>
    </w:p>
    <w:p w14:paraId="7F0491B7" w14:textId="7A78886F"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Wards of the Court (</w:t>
      </w:r>
      <w:r w:rsidRPr="00D90A8E">
        <w:rPr>
          <w:rFonts w:eastAsia="Arial" w:cs="Arial"/>
          <w:i/>
          <w:iCs/>
          <w:color w:val="000000" w:themeColor="text1"/>
        </w:rPr>
        <w:t>Welfare and Institution Code [WIC]</w:t>
      </w:r>
      <w:r w:rsidR="00E91AD0">
        <w:rPr>
          <w:rFonts w:eastAsia="Arial" w:cs="Arial"/>
          <w:color w:val="000000" w:themeColor="text1"/>
        </w:rPr>
        <w:t xml:space="preserve"> </w:t>
      </w:r>
      <w:r w:rsidRPr="00D90A8E">
        <w:rPr>
          <w:rFonts w:eastAsia="Arial" w:cs="Arial"/>
          <w:color w:val="000000" w:themeColor="text1"/>
        </w:rPr>
        <w:t>Section 601 or 602) or dependents of the court (WIC Section 300 or 654)</w:t>
      </w:r>
    </w:p>
    <w:p w14:paraId="6D570C31"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Pregnant and/or Parenting Youth</w:t>
      </w:r>
    </w:p>
    <w:p w14:paraId="3F7BB79A" w14:textId="10291161"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Recovered Dropouts – State Board of Education (SBE) defines recovered dropouts based on</w:t>
      </w:r>
      <w:r w:rsidR="00FD77C3">
        <w:rPr>
          <w:rFonts w:eastAsia="Arial" w:cs="Arial"/>
          <w:color w:val="000000" w:themeColor="text1"/>
        </w:rPr>
        <w:t xml:space="preserve"> </w:t>
      </w:r>
      <w:r w:rsidRPr="00D90A8E">
        <w:rPr>
          <w:rFonts w:eastAsia="Arial" w:cs="Arial"/>
          <w:i/>
          <w:iCs/>
          <w:color w:val="000000" w:themeColor="text1"/>
        </w:rPr>
        <w:t>EC</w:t>
      </w:r>
      <w:r w:rsidR="00FD77C3">
        <w:rPr>
          <w:rFonts w:eastAsia="Arial" w:cs="Arial"/>
          <w:color w:val="000000" w:themeColor="text1"/>
        </w:rPr>
        <w:t xml:space="preserve"> </w:t>
      </w:r>
      <w:r w:rsidRPr="00D90A8E">
        <w:rPr>
          <w:rFonts w:eastAsia="Arial" w:cs="Arial"/>
          <w:color w:val="000000" w:themeColor="text1"/>
        </w:rPr>
        <w:t>Section 52052.3(b) as students who: (1) are designated as dropouts pursuant to the exit and withdraw codes in the California Longitudinal Pupil Achievement Data System (CALPADS), or (2) left school and were not enrolled in a school for a period of 180 days</w:t>
      </w:r>
    </w:p>
    <w:p w14:paraId="083F55E8" w14:textId="57F557A4"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Habitually Truant (</w:t>
      </w:r>
      <w:r w:rsidRPr="00D90A8E">
        <w:rPr>
          <w:rFonts w:eastAsia="Arial" w:cs="Arial"/>
          <w:i/>
          <w:iCs/>
          <w:color w:val="000000" w:themeColor="text1"/>
        </w:rPr>
        <w:t>EC</w:t>
      </w:r>
      <w:r w:rsidR="00FD77C3">
        <w:rPr>
          <w:rFonts w:eastAsia="Arial" w:cs="Arial"/>
          <w:color w:val="000000" w:themeColor="text1"/>
        </w:rPr>
        <w:t xml:space="preserve"> </w:t>
      </w:r>
      <w:r w:rsidRPr="00D90A8E">
        <w:rPr>
          <w:rFonts w:eastAsia="Arial" w:cs="Arial"/>
          <w:color w:val="000000" w:themeColor="text1"/>
        </w:rPr>
        <w:t>Section 48262) or Habitually Insubordinate and Disorderly whose attendance at the school is directed by a school attendance review board or probation officer (</w:t>
      </w:r>
      <w:r w:rsidRPr="00D90A8E">
        <w:rPr>
          <w:rFonts w:eastAsia="Arial" w:cs="Arial"/>
          <w:i/>
          <w:iCs/>
          <w:color w:val="000000" w:themeColor="text1"/>
        </w:rPr>
        <w:t>EC</w:t>
      </w:r>
      <w:r w:rsidR="00FD77C3">
        <w:rPr>
          <w:rFonts w:eastAsia="Arial" w:cs="Arial"/>
          <w:color w:val="000000" w:themeColor="text1"/>
        </w:rPr>
        <w:t xml:space="preserve"> </w:t>
      </w:r>
      <w:r w:rsidRPr="00D90A8E">
        <w:rPr>
          <w:rFonts w:eastAsia="Arial" w:cs="Arial"/>
          <w:color w:val="000000" w:themeColor="text1"/>
        </w:rPr>
        <w:t>Section 48263)</w:t>
      </w:r>
    </w:p>
    <w:p w14:paraId="00CF5949"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Retained more than once in kindergarten through grade eight</w:t>
      </w:r>
    </w:p>
    <w:p w14:paraId="2DA0FB3F"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lastRenderedPageBreak/>
        <w:t>Students who are credit deficient (i.e., students who are one semester or more behind in the credits required to graduate on-time, per grade level, from the enrolling school’s credit requirements)</w:t>
      </w:r>
    </w:p>
    <w:p w14:paraId="13D35C6F"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Students with a gap in enrollment (i.e., students who have not been in any school during the 45 days prior to enrollment in the current school, where the 45 days does not include non-instructional days such as summer break, holiday break, off-track, and other days when a school is closed)</w:t>
      </w:r>
    </w:p>
    <w:p w14:paraId="2E8DC450"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Students with high level transiency (i.e., students who have been enrolled in more than two schools during the past academic year or have changed secondary schools more than two times since entering high school)</w:t>
      </w:r>
    </w:p>
    <w:p w14:paraId="0FB0F2D1" w14:textId="1EB74E71"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Foster Youth (</w:t>
      </w:r>
      <w:r w:rsidRPr="00D90A8E">
        <w:rPr>
          <w:rFonts w:eastAsia="Arial" w:cs="Arial"/>
          <w:i/>
          <w:iCs/>
          <w:color w:val="000000" w:themeColor="text1"/>
        </w:rPr>
        <w:t>EC</w:t>
      </w:r>
      <w:r w:rsidR="00FD77C3">
        <w:rPr>
          <w:rFonts w:eastAsia="Arial" w:cs="Arial"/>
          <w:color w:val="000000" w:themeColor="text1"/>
        </w:rPr>
        <w:t xml:space="preserve"> </w:t>
      </w:r>
      <w:r w:rsidRPr="00D90A8E">
        <w:rPr>
          <w:rFonts w:eastAsia="Arial" w:cs="Arial"/>
          <w:color w:val="000000" w:themeColor="text1"/>
        </w:rPr>
        <w:t>Section 42238.01[b])</w:t>
      </w:r>
    </w:p>
    <w:p w14:paraId="125FEB2C" w14:textId="77777777" w:rsidR="00D90A8E" w:rsidRPr="00D90A8E" w:rsidRDefault="00D90A8E" w:rsidP="00D11ED0">
      <w:pPr>
        <w:numPr>
          <w:ilvl w:val="0"/>
          <w:numId w:val="19"/>
        </w:numPr>
        <w:rPr>
          <w:rFonts w:eastAsia="Arial" w:cs="Arial"/>
          <w:color w:val="000000" w:themeColor="text1"/>
        </w:rPr>
      </w:pPr>
      <w:r w:rsidRPr="00D90A8E">
        <w:rPr>
          <w:rFonts w:eastAsia="Arial" w:cs="Arial"/>
          <w:color w:val="000000" w:themeColor="text1"/>
        </w:rPr>
        <w:t>Homeless Youth</w:t>
      </w:r>
    </w:p>
    <w:p w14:paraId="3F77D927" w14:textId="28B406F3" w:rsidR="64CB4780" w:rsidRDefault="64CB4780" w:rsidP="3AADD13D">
      <w:r w:rsidRPr="3AADD13D">
        <w:rPr>
          <w:rFonts w:eastAsia="Arial" w:cs="Arial"/>
          <w:color w:val="000000" w:themeColor="text1"/>
        </w:rPr>
        <w:t xml:space="preserve">The SBE-adopted DASS criteria required that the </w:t>
      </w:r>
      <w:r w:rsidR="00103D30">
        <w:rPr>
          <w:rFonts w:eastAsia="Arial" w:cs="Arial"/>
          <w:color w:val="000000" w:themeColor="text1"/>
        </w:rPr>
        <w:t>charter/</w:t>
      </w:r>
      <w:r w:rsidRPr="3AADD13D">
        <w:rPr>
          <w:rFonts w:eastAsia="Arial" w:cs="Arial"/>
          <w:color w:val="000000" w:themeColor="text1"/>
        </w:rPr>
        <w:t xml:space="preserve">alternative school </w:t>
      </w:r>
      <w:r w:rsidR="00103D30">
        <w:rPr>
          <w:rFonts w:eastAsia="Arial" w:cs="Arial"/>
          <w:color w:val="000000" w:themeColor="text1"/>
        </w:rPr>
        <w:t>of choice</w:t>
      </w:r>
      <w:r w:rsidRPr="3AADD13D">
        <w:rPr>
          <w:rFonts w:eastAsia="Arial" w:cs="Arial"/>
          <w:color w:val="000000" w:themeColor="text1"/>
        </w:rPr>
        <w:t xml:space="preserve"> application include a process to verify over time that schools continue to serve a large percentage (i.e., 70 percent) of high-risk students, as defined in the SBE eligibility criteria. The SBE also adopted a requirement that DASS schools (not explicitly defined as alternative in </w:t>
      </w:r>
      <w:r w:rsidRPr="0020631E">
        <w:rPr>
          <w:rFonts w:eastAsia="Arial" w:cs="Arial"/>
          <w:i/>
          <w:iCs/>
          <w:color w:val="000000" w:themeColor="text1"/>
        </w:rPr>
        <w:t>EC</w:t>
      </w:r>
      <w:r w:rsidRPr="3AADD13D">
        <w:rPr>
          <w:rFonts w:eastAsia="Arial" w:cs="Arial"/>
          <w:color w:val="000000" w:themeColor="text1"/>
        </w:rPr>
        <w:t>) be required to re-certify every three years for alternative school status.</w:t>
      </w:r>
    </w:p>
    <w:p w14:paraId="5F749791" w14:textId="027B822B" w:rsidR="006F1AA4" w:rsidRDefault="006F1AA4" w:rsidP="3AADD13D">
      <w:pPr>
        <w:rPr>
          <w:rFonts w:eastAsia="Arial" w:cs="Arial"/>
          <w:i/>
          <w:iCs/>
        </w:rPr>
      </w:pPr>
      <w:r>
        <w:rPr>
          <w:rFonts w:eastAsia="Arial" w:cs="Arial"/>
          <w:i/>
          <w:iCs/>
        </w:rPr>
        <w:t>Review of the Current Application-Based DASS (for Charter/Alternative Schools of Choice)</w:t>
      </w:r>
      <w:r w:rsidR="00654129">
        <w:rPr>
          <w:rFonts w:eastAsia="Arial" w:cs="Arial"/>
          <w:i/>
          <w:iCs/>
        </w:rPr>
        <w:t xml:space="preserve"> Process</w:t>
      </w:r>
    </w:p>
    <w:p w14:paraId="69C3240C" w14:textId="58FA52A3" w:rsidR="00EA6D19" w:rsidRDefault="009147AF" w:rsidP="00EA6D19">
      <w:pPr>
        <w:rPr>
          <w:rFonts w:eastAsia="Arial" w:cs="Arial"/>
          <w:bCs/>
        </w:rPr>
      </w:pPr>
      <w:r>
        <w:rPr>
          <w:rFonts w:eastAsia="Arial" w:cs="Arial"/>
          <w:bCs/>
        </w:rPr>
        <w:t>From 2017 through 202</w:t>
      </w:r>
      <w:r w:rsidR="00562CC5">
        <w:rPr>
          <w:rFonts w:eastAsia="Arial" w:cs="Arial"/>
          <w:bCs/>
        </w:rPr>
        <w:t>3</w:t>
      </w:r>
      <w:r>
        <w:rPr>
          <w:rFonts w:eastAsia="Arial" w:cs="Arial"/>
          <w:bCs/>
        </w:rPr>
        <w:t>, charter/alternative schools of choice wishing to apply for DASS went through the following application steps:</w:t>
      </w:r>
    </w:p>
    <w:p w14:paraId="51E668ED" w14:textId="77777777" w:rsidR="00D61C57" w:rsidRDefault="00EA6D19" w:rsidP="00D11ED0">
      <w:pPr>
        <w:pStyle w:val="ListParagraph"/>
        <w:numPr>
          <w:ilvl w:val="0"/>
          <w:numId w:val="17"/>
        </w:numPr>
        <w:rPr>
          <w:rFonts w:eastAsia="Arial" w:cs="Arial"/>
        </w:rPr>
      </w:pPr>
      <w:r w:rsidRPr="00D61C57">
        <w:rPr>
          <w:rFonts w:eastAsia="Arial" w:cs="Arial"/>
        </w:rPr>
        <w:t>Charter School or Alternative School of Choice applies to CDE for DASS</w:t>
      </w:r>
    </w:p>
    <w:p w14:paraId="3B674943" w14:textId="0CDD4001" w:rsidR="00D61C57" w:rsidRDefault="00D61C57" w:rsidP="00D11ED0">
      <w:pPr>
        <w:pStyle w:val="ListParagraph"/>
        <w:numPr>
          <w:ilvl w:val="1"/>
          <w:numId w:val="17"/>
        </w:numPr>
        <w:rPr>
          <w:rFonts w:eastAsia="Arial" w:cs="Arial"/>
        </w:rPr>
      </w:pPr>
      <w:r w:rsidRPr="00D61C57">
        <w:rPr>
          <w:rFonts w:eastAsia="Arial" w:cs="Arial"/>
        </w:rPr>
        <w:t>Submit</w:t>
      </w:r>
      <w:r>
        <w:rPr>
          <w:rFonts w:eastAsia="Arial" w:cs="Arial"/>
        </w:rPr>
        <w:t>ted</w:t>
      </w:r>
      <w:r w:rsidR="00EA6D19" w:rsidRPr="00D61C57">
        <w:rPr>
          <w:rFonts w:eastAsia="Arial" w:cs="Arial"/>
        </w:rPr>
        <w:t xml:space="preserve"> a survey </w:t>
      </w:r>
      <w:r w:rsidR="0009610E">
        <w:rPr>
          <w:rFonts w:eastAsia="Arial" w:cs="Arial"/>
        </w:rPr>
        <w:t xml:space="preserve">to CDE </w:t>
      </w:r>
      <w:r w:rsidR="00EA6D19" w:rsidRPr="00D61C57">
        <w:rPr>
          <w:rFonts w:eastAsia="Arial" w:cs="Arial"/>
        </w:rPr>
        <w:t xml:space="preserve">sharing the unduplicated percentage of students </w:t>
      </w:r>
      <w:r w:rsidR="00562CC5">
        <w:rPr>
          <w:rFonts w:eastAsia="Arial" w:cs="Arial"/>
        </w:rPr>
        <w:t xml:space="preserve">(on the date of application) </w:t>
      </w:r>
      <w:r w:rsidR="00EA6D19" w:rsidRPr="00D61C57">
        <w:rPr>
          <w:rFonts w:eastAsia="Arial" w:cs="Arial"/>
        </w:rPr>
        <w:t>that meet high-risk status</w:t>
      </w:r>
      <w:r w:rsidR="00131568">
        <w:rPr>
          <w:rFonts w:eastAsia="Arial" w:cs="Arial"/>
        </w:rPr>
        <w:t xml:space="preserve"> upon first enrollment</w:t>
      </w:r>
    </w:p>
    <w:p w14:paraId="7560FBC1" w14:textId="77777777" w:rsidR="000A0E37" w:rsidRDefault="0009610E" w:rsidP="00D11ED0">
      <w:pPr>
        <w:pStyle w:val="ListParagraph"/>
        <w:numPr>
          <w:ilvl w:val="1"/>
          <w:numId w:val="17"/>
        </w:numPr>
        <w:rPr>
          <w:rFonts w:eastAsia="Arial" w:cs="Arial"/>
        </w:rPr>
      </w:pPr>
      <w:r>
        <w:rPr>
          <w:rFonts w:eastAsia="Arial" w:cs="Arial"/>
        </w:rPr>
        <w:t xml:space="preserve">Presented the survey application at a board hearing and </w:t>
      </w:r>
      <w:r w:rsidR="00562CC5">
        <w:rPr>
          <w:rFonts w:eastAsia="Arial" w:cs="Arial"/>
        </w:rPr>
        <w:t>shared the documentation/minutes with CDE</w:t>
      </w:r>
    </w:p>
    <w:p w14:paraId="745DB85C" w14:textId="68DCB036" w:rsidR="00EA6D19" w:rsidRPr="000A0E37" w:rsidRDefault="00562CC5" w:rsidP="00D11ED0">
      <w:pPr>
        <w:pStyle w:val="ListParagraph"/>
        <w:numPr>
          <w:ilvl w:val="0"/>
          <w:numId w:val="17"/>
        </w:numPr>
        <w:rPr>
          <w:rFonts w:eastAsia="Arial" w:cs="Arial"/>
        </w:rPr>
      </w:pPr>
      <w:r w:rsidRPr="000A0E37">
        <w:rPr>
          <w:rFonts w:eastAsia="Arial" w:cs="Arial"/>
        </w:rPr>
        <w:t>Schools that submitted the information above in a timely manner were a</w:t>
      </w:r>
      <w:r w:rsidR="00EA6D19" w:rsidRPr="000A0E37">
        <w:rPr>
          <w:rFonts w:eastAsia="Arial" w:cs="Arial"/>
        </w:rPr>
        <w:t>dded to the DASS list for 3 years</w:t>
      </w:r>
      <w:r w:rsidRPr="000A0E37">
        <w:rPr>
          <w:rFonts w:eastAsia="Arial" w:cs="Arial"/>
        </w:rPr>
        <w:t xml:space="preserve">, and required to maintain documentation that </w:t>
      </w:r>
      <w:r w:rsidR="00EA6D19" w:rsidRPr="000A0E37">
        <w:rPr>
          <w:rFonts w:eastAsia="Arial" w:cs="Arial"/>
        </w:rPr>
        <w:t>they continue to meet these criteria every year they are on the list</w:t>
      </w:r>
      <w:r w:rsidRPr="000A0E37">
        <w:rPr>
          <w:rFonts w:eastAsia="Arial" w:cs="Arial"/>
        </w:rPr>
        <w:t>.</w:t>
      </w:r>
    </w:p>
    <w:p w14:paraId="65A1B458" w14:textId="2DB43B39" w:rsidR="00654129" w:rsidRDefault="00562CC5" w:rsidP="3AADD13D">
      <w:pPr>
        <w:rPr>
          <w:rFonts w:eastAsia="Arial" w:cs="Arial"/>
        </w:rPr>
      </w:pPr>
      <w:r>
        <w:rPr>
          <w:rFonts w:eastAsia="Arial" w:cs="Arial"/>
        </w:rPr>
        <w:t xml:space="preserve">This process </w:t>
      </w:r>
      <w:r w:rsidR="00400ACC">
        <w:rPr>
          <w:rFonts w:eastAsia="Arial" w:cs="Arial"/>
        </w:rPr>
        <w:t xml:space="preserve">did not allow CDE </w:t>
      </w:r>
      <w:r w:rsidR="00AC4D77">
        <w:rPr>
          <w:rFonts w:eastAsia="Arial" w:cs="Arial"/>
        </w:rPr>
        <w:t xml:space="preserve">an opportunity </w:t>
      </w:r>
      <w:r w:rsidR="00400ACC">
        <w:rPr>
          <w:rFonts w:eastAsia="Arial" w:cs="Arial"/>
        </w:rPr>
        <w:t>to verify the data submitted by charter schools/alternative schools of choice on their applications</w:t>
      </w:r>
      <w:r w:rsidR="00AC4D77">
        <w:rPr>
          <w:rFonts w:eastAsia="Arial" w:cs="Arial"/>
        </w:rPr>
        <w:t xml:space="preserve">. Therefore, in 2024, CDE modified the survey requirements to include </w:t>
      </w:r>
      <w:r w:rsidR="009C5352">
        <w:rPr>
          <w:rFonts w:eastAsia="Arial" w:cs="Arial"/>
        </w:rPr>
        <w:t xml:space="preserve">all cumulatively enrolled students at the </w:t>
      </w:r>
      <w:r w:rsidR="009C5352">
        <w:rPr>
          <w:rFonts w:eastAsia="Arial" w:cs="Arial"/>
        </w:rPr>
        <w:lastRenderedPageBreak/>
        <w:t>time of application</w:t>
      </w:r>
      <w:r w:rsidR="009E2C24">
        <w:rPr>
          <w:rFonts w:eastAsia="Arial" w:cs="Arial"/>
        </w:rPr>
        <w:t>, allowing easier validation checks of schools and the data they were submitting.</w:t>
      </w:r>
      <w:r w:rsidR="002349FC">
        <w:rPr>
          <w:rFonts w:eastAsia="Arial" w:cs="Arial"/>
        </w:rPr>
        <w:t xml:space="preserve"> </w:t>
      </w:r>
      <w:r w:rsidR="00DB2708">
        <w:rPr>
          <w:rFonts w:eastAsia="Arial" w:cs="Arial"/>
        </w:rPr>
        <w:t xml:space="preserve">While the ability to check the data became </w:t>
      </w:r>
      <w:r w:rsidR="004A64F5">
        <w:rPr>
          <w:rFonts w:eastAsia="Arial" w:cs="Arial"/>
        </w:rPr>
        <w:t>possible</w:t>
      </w:r>
      <w:r w:rsidR="00DB2708">
        <w:rPr>
          <w:rFonts w:eastAsia="Arial" w:cs="Arial"/>
        </w:rPr>
        <w:t>, the process was lengthy and cumbersome</w:t>
      </w:r>
      <w:r w:rsidR="004A64F5">
        <w:rPr>
          <w:rFonts w:eastAsia="Arial" w:cs="Arial"/>
        </w:rPr>
        <w:t xml:space="preserve"> for CDE staff to conduct validity checks.</w:t>
      </w:r>
    </w:p>
    <w:p w14:paraId="119B494E" w14:textId="51FC011B" w:rsidR="00841041" w:rsidRDefault="00D60CD0" w:rsidP="3AADD13D">
      <w:pPr>
        <w:rPr>
          <w:rFonts w:eastAsia="Arial" w:cs="Arial"/>
          <w:color w:val="000000" w:themeColor="text1"/>
        </w:rPr>
      </w:pPr>
      <w:r>
        <w:rPr>
          <w:rFonts w:eastAsia="Arial" w:cs="Arial"/>
        </w:rPr>
        <w:t xml:space="preserve">In 2025, CDE set out to </w:t>
      </w:r>
      <w:r w:rsidR="000D2634">
        <w:rPr>
          <w:rFonts w:eastAsia="Arial" w:cs="Arial"/>
        </w:rPr>
        <w:t xml:space="preserve">meet the requirement set by SBE to </w:t>
      </w:r>
      <w:r w:rsidR="000D2634" w:rsidRPr="3AADD13D">
        <w:rPr>
          <w:rFonts w:eastAsia="Arial" w:cs="Arial"/>
          <w:color w:val="000000" w:themeColor="text1"/>
        </w:rPr>
        <w:t>verify over time that schools continue to serve a large percentage (i.e., 70 percent) of high-risk students</w:t>
      </w:r>
      <w:r w:rsidR="00841041">
        <w:rPr>
          <w:rFonts w:eastAsia="Arial" w:cs="Arial"/>
          <w:color w:val="000000" w:themeColor="text1"/>
        </w:rPr>
        <w:t xml:space="preserve"> through a redesign of the application process. The application was modified and published in April 2025:</w:t>
      </w:r>
    </w:p>
    <w:p w14:paraId="52746CED" w14:textId="77777777" w:rsidR="00841041" w:rsidRDefault="00841041" w:rsidP="00D11ED0">
      <w:pPr>
        <w:pStyle w:val="ListParagraph"/>
        <w:numPr>
          <w:ilvl w:val="0"/>
          <w:numId w:val="18"/>
        </w:numPr>
        <w:rPr>
          <w:rFonts w:eastAsia="Arial" w:cs="Arial"/>
        </w:rPr>
      </w:pPr>
      <w:r w:rsidRPr="00D61C57">
        <w:rPr>
          <w:rFonts w:eastAsia="Arial" w:cs="Arial"/>
        </w:rPr>
        <w:t>Charter School or Alternative School of Choice applies to CDE for DASS</w:t>
      </w:r>
    </w:p>
    <w:p w14:paraId="578397B0" w14:textId="64CA9086" w:rsidR="00841041" w:rsidRDefault="00841041" w:rsidP="00D11ED0">
      <w:pPr>
        <w:pStyle w:val="ListParagraph"/>
        <w:numPr>
          <w:ilvl w:val="1"/>
          <w:numId w:val="18"/>
        </w:numPr>
        <w:rPr>
          <w:rFonts w:eastAsia="Arial" w:cs="Arial"/>
        </w:rPr>
      </w:pPr>
      <w:r w:rsidRPr="00D61C57">
        <w:rPr>
          <w:rFonts w:eastAsia="Arial" w:cs="Arial"/>
        </w:rPr>
        <w:t xml:space="preserve">Submit </w:t>
      </w:r>
      <w:r w:rsidR="009255CC">
        <w:rPr>
          <w:rFonts w:eastAsia="Arial" w:cs="Arial"/>
        </w:rPr>
        <w:t xml:space="preserve">the intent to apply for DASS </w:t>
      </w:r>
      <w:r>
        <w:rPr>
          <w:rFonts w:eastAsia="Arial" w:cs="Arial"/>
        </w:rPr>
        <w:t>to CDE</w:t>
      </w:r>
      <w:r w:rsidR="009255CC">
        <w:rPr>
          <w:rFonts w:eastAsia="Arial" w:cs="Arial"/>
        </w:rPr>
        <w:t xml:space="preserve">, with the assumption </w:t>
      </w:r>
      <w:r w:rsidRPr="00D61C57">
        <w:rPr>
          <w:rFonts w:eastAsia="Arial" w:cs="Arial"/>
        </w:rPr>
        <w:t>that</w:t>
      </w:r>
      <w:r w:rsidR="009255CC">
        <w:rPr>
          <w:rFonts w:eastAsia="Arial" w:cs="Arial"/>
        </w:rPr>
        <w:t xml:space="preserve"> </w:t>
      </w:r>
      <w:r w:rsidR="0068571A">
        <w:rPr>
          <w:rFonts w:eastAsia="Arial" w:cs="Arial"/>
        </w:rPr>
        <w:t>70 percent</w:t>
      </w:r>
      <w:r w:rsidR="00131568">
        <w:rPr>
          <w:rFonts w:eastAsia="Arial" w:cs="Arial"/>
        </w:rPr>
        <w:t xml:space="preserve"> of their </w:t>
      </w:r>
      <w:r w:rsidR="009255CC">
        <w:rPr>
          <w:rFonts w:eastAsia="Arial" w:cs="Arial"/>
        </w:rPr>
        <w:t>students</w:t>
      </w:r>
      <w:r w:rsidRPr="00D61C57">
        <w:rPr>
          <w:rFonts w:eastAsia="Arial" w:cs="Arial"/>
        </w:rPr>
        <w:t xml:space="preserve"> meet high-risk status</w:t>
      </w:r>
      <w:r w:rsidR="00131568">
        <w:rPr>
          <w:rFonts w:eastAsia="Arial" w:cs="Arial"/>
        </w:rPr>
        <w:t xml:space="preserve"> upon first enrollment</w:t>
      </w:r>
    </w:p>
    <w:p w14:paraId="6E5F21BD" w14:textId="60C8E6AE" w:rsidR="00841041" w:rsidRDefault="00841041" w:rsidP="00D11ED0">
      <w:pPr>
        <w:pStyle w:val="ListParagraph"/>
        <w:numPr>
          <w:ilvl w:val="1"/>
          <w:numId w:val="18"/>
        </w:numPr>
        <w:rPr>
          <w:rFonts w:eastAsia="Arial" w:cs="Arial"/>
        </w:rPr>
      </w:pPr>
      <w:r>
        <w:rPr>
          <w:rFonts w:eastAsia="Arial" w:cs="Arial"/>
        </w:rPr>
        <w:t xml:space="preserve">Presented the </w:t>
      </w:r>
      <w:r w:rsidR="00131568">
        <w:rPr>
          <w:rFonts w:eastAsia="Arial" w:cs="Arial"/>
        </w:rPr>
        <w:t xml:space="preserve">intent to apply </w:t>
      </w:r>
      <w:r>
        <w:rPr>
          <w:rFonts w:eastAsia="Arial" w:cs="Arial"/>
        </w:rPr>
        <w:t>at a board hearing and share the documentation/minutes with CDE</w:t>
      </w:r>
    </w:p>
    <w:p w14:paraId="1F648F03" w14:textId="419BA9F8" w:rsidR="00841041" w:rsidRDefault="00111916" w:rsidP="00D11ED0">
      <w:pPr>
        <w:pStyle w:val="ListParagraph"/>
        <w:numPr>
          <w:ilvl w:val="1"/>
          <w:numId w:val="18"/>
        </w:numPr>
        <w:rPr>
          <w:rFonts w:eastAsia="Arial" w:cs="Arial"/>
        </w:rPr>
      </w:pPr>
      <w:r>
        <w:rPr>
          <w:rFonts w:eastAsia="Arial" w:cs="Arial"/>
        </w:rPr>
        <w:t>Charters schools will also inform their authorizer of the intent to apply and share the communication with CDE</w:t>
      </w:r>
    </w:p>
    <w:p w14:paraId="70069C45" w14:textId="7D49D1FF" w:rsidR="00111916" w:rsidRDefault="00111916" w:rsidP="00D11ED0">
      <w:pPr>
        <w:pStyle w:val="ListParagraph"/>
        <w:numPr>
          <w:ilvl w:val="0"/>
          <w:numId w:val="18"/>
        </w:numPr>
        <w:rPr>
          <w:rFonts w:eastAsia="Arial" w:cs="Arial"/>
        </w:rPr>
      </w:pPr>
      <w:r>
        <w:rPr>
          <w:rFonts w:eastAsia="Arial" w:cs="Arial"/>
        </w:rPr>
        <w:t xml:space="preserve">CDE </w:t>
      </w:r>
      <w:r w:rsidR="000A0E37">
        <w:rPr>
          <w:rFonts w:eastAsia="Arial" w:cs="Arial"/>
        </w:rPr>
        <w:t xml:space="preserve">evaluates the cumulative enrollment of the </w:t>
      </w:r>
      <w:r w:rsidR="000F4540">
        <w:rPr>
          <w:rFonts w:eastAsia="Arial" w:cs="Arial"/>
        </w:rPr>
        <w:t xml:space="preserve">school in the prior school year and confirms that they served over </w:t>
      </w:r>
      <w:r w:rsidR="0068571A">
        <w:rPr>
          <w:rFonts w:eastAsia="Arial" w:cs="Arial"/>
        </w:rPr>
        <w:t>70 percent</w:t>
      </w:r>
      <w:r w:rsidR="000F4540">
        <w:rPr>
          <w:rFonts w:eastAsia="Arial" w:cs="Arial"/>
        </w:rPr>
        <w:t xml:space="preserve"> high-risk students upon first enrollment</w:t>
      </w:r>
    </w:p>
    <w:p w14:paraId="0B89F883" w14:textId="7650C77B" w:rsidR="009E2C24" w:rsidRPr="007E6C79" w:rsidRDefault="00EF3F89" w:rsidP="00D11ED0">
      <w:pPr>
        <w:pStyle w:val="ListParagraph"/>
        <w:numPr>
          <w:ilvl w:val="0"/>
          <w:numId w:val="18"/>
        </w:numPr>
        <w:rPr>
          <w:rFonts w:eastAsia="Arial" w:cs="Arial"/>
        </w:rPr>
      </w:pPr>
      <w:r>
        <w:rPr>
          <w:rFonts w:eastAsia="Arial" w:cs="Arial"/>
        </w:rPr>
        <w:t>CDE informs the school of their approved DASS status</w:t>
      </w:r>
      <w:r w:rsidR="009A457B">
        <w:rPr>
          <w:rFonts w:eastAsia="Arial" w:cs="Arial"/>
        </w:rPr>
        <w:t xml:space="preserve">, provides a three-year DASS classification, and </w:t>
      </w:r>
      <w:r>
        <w:rPr>
          <w:rFonts w:eastAsia="Arial" w:cs="Arial"/>
        </w:rPr>
        <w:t xml:space="preserve">will annually evaluate the school </w:t>
      </w:r>
      <w:r w:rsidR="009A457B">
        <w:rPr>
          <w:rFonts w:eastAsia="Arial" w:cs="Arial"/>
        </w:rPr>
        <w:t xml:space="preserve">to see if it continues to meet the same </w:t>
      </w:r>
      <w:r w:rsidR="003C7365">
        <w:rPr>
          <w:rFonts w:eastAsia="Arial" w:cs="Arial"/>
        </w:rPr>
        <w:t>minimum threshold of high-risk students</w:t>
      </w:r>
    </w:p>
    <w:p w14:paraId="4E9A244A" w14:textId="73592219" w:rsidR="00654129" w:rsidRPr="002E096B" w:rsidRDefault="00654129" w:rsidP="002E096B">
      <w:pPr>
        <w:pStyle w:val="Heading2"/>
        <w:rPr>
          <w:sz w:val="32"/>
          <w:szCs w:val="24"/>
        </w:rPr>
      </w:pPr>
      <w:r w:rsidRPr="002E096B">
        <w:rPr>
          <w:sz w:val="32"/>
          <w:szCs w:val="24"/>
        </w:rPr>
        <w:t>Review of Application-Based DASS (for Charter/Alternative Schools of Choice) Criteria</w:t>
      </w:r>
    </w:p>
    <w:p w14:paraId="56D8FC98" w14:textId="7FF9D438" w:rsidR="001B3D9B" w:rsidRDefault="002E3AC2" w:rsidP="00FE0EAD">
      <w:pPr>
        <w:tabs>
          <w:tab w:val="num" w:pos="720"/>
        </w:tabs>
        <w:rPr>
          <w:rFonts w:eastAsia="Arial" w:cs="Arial"/>
        </w:rPr>
      </w:pPr>
      <w:r>
        <w:rPr>
          <w:rFonts w:eastAsia="Arial" w:cs="Arial"/>
        </w:rPr>
        <w:t>T</w:t>
      </w:r>
      <w:r w:rsidR="0013102E">
        <w:rPr>
          <w:rFonts w:eastAsia="Arial" w:cs="Arial"/>
        </w:rPr>
        <w:t>o</w:t>
      </w:r>
      <w:r w:rsidR="06A43CCF" w:rsidRPr="5F48C630">
        <w:rPr>
          <w:rFonts w:eastAsia="Arial" w:cs="Arial"/>
        </w:rPr>
        <w:t xml:space="preserve"> </w:t>
      </w:r>
      <w:r>
        <w:rPr>
          <w:rFonts w:eastAsia="Arial" w:cs="Arial"/>
        </w:rPr>
        <w:t>ensure that s</w:t>
      </w:r>
      <w:r w:rsidR="06A43CCF" w:rsidRPr="5F48C630">
        <w:rPr>
          <w:rFonts w:eastAsia="Arial" w:cs="Arial"/>
        </w:rPr>
        <w:t xml:space="preserve">chools </w:t>
      </w:r>
      <w:r>
        <w:rPr>
          <w:rFonts w:eastAsia="Arial" w:cs="Arial"/>
        </w:rPr>
        <w:t xml:space="preserve">applying for DASS </w:t>
      </w:r>
      <w:r w:rsidR="06A43CCF" w:rsidRPr="5F48C630">
        <w:rPr>
          <w:rFonts w:eastAsia="Arial" w:cs="Arial"/>
        </w:rPr>
        <w:t xml:space="preserve">are serving high-risk students, the CDE </w:t>
      </w:r>
      <w:r w:rsidR="00D52A77">
        <w:rPr>
          <w:rFonts w:eastAsia="Arial" w:cs="Arial"/>
        </w:rPr>
        <w:t xml:space="preserve">will conduct an analysis of all students, upon enrollment, to </w:t>
      </w:r>
      <w:r w:rsidR="00746670">
        <w:rPr>
          <w:rFonts w:eastAsia="Arial" w:cs="Arial"/>
        </w:rPr>
        <w:t xml:space="preserve">validate that the school </w:t>
      </w:r>
      <w:r w:rsidR="00D52A77">
        <w:rPr>
          <w:rFonts w:eastAsia="Arial" w:cs="Arial"/>
        </w:rPr>
        <w:t>meet</w:t>
      </w:r>
      <w:r w:rsidR="00746670">
        <w:rPr>
          <w:rFonts w:eastAsia="Arial" w:cs="Arial"/>
        </w:rPr>
        <w:t>s</w:t>
      </w:r>
      <w:r w:rsidR="00D52A77">
        <w:rPr>
          <w:rFonts w:eastAsia="Arial" w:cs="Arial"/>
        </w:rPr>
        <w:t xml:space="preserve"> the SBE-adopted </w:t>
      </w:r>
      <w:r w:rsidR="06A43CCF" w:rsidRPr="5F48C630">
        <w:rPr>
          <w:rFonts w:eastAsia="Arial" w:cs="Arial"/>
        </w:rPr>
        <w:t>high-risk criteria</w:t>
      </w:r>
      <w:r w:rsidR="00D52A77">
        <w:rPr>
          <w:rFonts w:eastAsia="Arial" w:cs="Arial"/>
        </w:rPr>
        <w:t xml:space="preserve">. </w:t>
      </w:r>
      <w:r w:rsidR="00093C19">
        <w:rPr>
          <w:rFonts w:eastAsia="Arial" w:cs="Arial"/>
        </w:rPr>
        <w:t xml:space="preserve">This analysis will be based on data submitted by </w:t>
      </w:r>
      <w:r w:rsidR="00452525">
        <w:rPr>
          <w:rFonts w:eastAsia="Arial" w:cs="Arial"/>
        </w:rPr>
        <w:t>LEA</w:t>
      </w:r>
      <w:r w:rsidR="00093C19">
        <w:rPr>
          <w:rFonts w:eastAsia="Arial" w:cs="Arial"/>
        </w:rPr>
        <w:t>s</w:t>
      </w:r>
      <w:r w:rsidR="00452525">
        <w:rPr>
          <w:rFonts w:eastAsia="Arial" w:cs="Arial"/>
        </w:rPr>
        <w:t xml:space="preserve"> </w:t>
      </w:r>
      <w:r w:rsidR="00093C19">
        <w:rPr>
          <w:rFonts w:eastAsia="Arial" w:cs="Arial"/>
        </w:rPr>
        <w:t>t</w:t>
      </w:r>
      <w:r w:rsidR="00452525">
        <w:rPr>
          <w:rFonts w:eastAsia="Arial" w:cs="Arial"/>
        </w:rPr>
        <w:t>o C</w:t>
      </w:r>
      <w:r w:rsidR="00746670">
        <w:rPr>
          <w:rFonts w:eastAsia="Arial" w:cs="Arial"/>
        </w:rPr>
        <w:t>ALPADS.</w:t>
      </w:r>
    </w:p>
    <w:p w14:paraId="57177A88" w14:textId="7328D17E" w:rsidR="007D372E" w:rsidRDefault="0001047E" w:rsidP="00D2211A">
      <w:pPr>
        <w:tabs>
          <w:tab w:val="num" w:pos="720"/>
        </w:tabs>
        <w:spacing w:after="960"/>
        <w:rPr>
          <w:rFonts w:eastAsia="Arial" w:cs="Arial"/>
        </w:rPr>
      </w:pPr>
      <w:r>
        <w:rPr>
          <w:rFonts w:eastAsia="Arial" w:cs="Arial"/>
          <w:color w:val="000000" w:themeColor="text1"/>
        </w:rPr>
        <w:t xml:space="preserve">Table </w:t>
      </w:r>
      <w:r w:rsidR="009D0E37">
        <w:rPr>
          <w:rFonts w:eastAsia="Arial" w:cs="Arial"/>
          <w:color w:val="000000" w:themeColor="text1"/>
        </w:rPr>
        <w:t>24</w:t>
      </w:r>
      <w:r>
        <w:rPr>
          <w:rFonts w:eastAsia="Arial" w:cs="Arial"/>
          <w:color w:val="000000" w:themeColor="text1"/>
        </w:rPr>
        <w:t xml:space="preserve"> </w:t>
      </w:r>
      <w:r w:rsidR="00E65D00">
        <w:rPr>
          <w:rFonts w:eastAsia="Arial" w:cs="Arial"/>
          <w:color w:val="000000" w:themeColor="text1"/>
        </w:rPr>
        <w:t xml:space="preserve">shows the SBE adopted criteria </w:t>
      </w:r>
      <w:r w:rsidR="00004AFB">
        <w:rPr>
          <w:rFonts w:eastAsia="Arial" w:cs="Arial"/>
          <w:color w:val="000000" w:themeColor="text1"/>
        </w:rPr>
        <w:t xml:space="preserve">for inclusion in DASS </w:t>
      </w:r>
      <w:r w:rsidR="00E65D00">
        <w:rPr>
          <w:rFonts w:eastAsia="Arial" w:cs="Arial"/>
          <w:color w:val="000000" w:themeColor="text1"/>
        </w:rPr>
        <w:t>that CDE can readily validate and verify</w:t>
      </w:r>
      <w:r w:rsidR="00E406DB">
        <w:rPr>
          <w:rFonts w:eastAsia="Arial" w:cs="Arial"/>
          <w:color w:val="000000" w:themeColor="text1"/>
        </w:rPr>
        <w:t xml:space="preserve"> using data submitted by LEAs to CALPADS</w:t>
      </w:r>
      <w:r w:rsidR="00F86C6F">
        <w:rPr>
          <w:rFonts w:eastAsia="Arial" w:cs="Arial"/>
          <w:color w:val="000000" w:themeColor="text1"/>
        </w:rPr>
        <w:t xml:space="preserve">, as well as the criteria that </w:t>
      </w:r>
      <w:r w:rsidR="00E406DB">
        <w:rPr>
          <w:rFonts w:eastAsia="Arial" w:cs="Arial"/>
          <w:color w:val="000000" w:themeColor="text1"/>
        </w:rPr>
        <w:t>are not collected by</w:t>
      </w:r>
      <w:r w:rsidR="007D372E">
        <w:rPr>
          <w:rFonts w:eastAsia="Arial" w:cs="Arial"/>
          <w:color w:val="000000" w:themeColor="text1"/>
        </w:rPr>
        <w:t xml:space="preserve"> the </w:t>
      </w:r>
      <w:r w:rsidR="006E0457">
        <w:rPr>
          <w:rFonts w:eastAsia="Arial" w:cs="Arial"/>
          <w:color w:val="000000" w:themeColor="text1"/>
        </w:rPr>
        <w:t>CDE</w:t>
      </w:r>
      <w:r w:rsidR="009F0AC8">
        <w:rPr>
          <w:rFonts w:eastAsia="Arial" w:cs="Arial"/>
          <w:color w:val="000000" w:themeColor="text1"/>
        </w:rPr>
        <w:t>.</w:t>
      </w:r>
    </w:p>
    <w:p w14:paraId="4AD882AB" w14:textId="58697670" w:rsidR="0001047E" w:rsidRPr="002E096B" w:rsidRDefault="0001047E" w:rsidP="002E096B">
      <w:pPr>
        <w:pStyle w:val="Heading3"/>
        <w:rPr>
          <w:sz w:val="24"/>
          <w:szCs w:val="20"/>
        </w:rPr>
      </w:pPr>
      <w:r w:rsidRPr="002E096B">
        <w:rPr>
          <w:sz w:val="24"/>
          <w:szCs w:val="20"/>
        </w:rPr>
        <w:lastRenderedPageBreak/>
        <w:t xml:space="preserve">Table </w:t>
      </w:r>
      <w:r w:rsidR="00C90E7D" w:rsidRPr="002E096B">
        <w:rPr>
          <w:sz w:val="24"/>
          <w:szCs w:val="20"/>
        </w:rPr>
        <w:t>24</w:t>
      </w:r>
      <w:r w:rsidRPr="002E096B">
        <w:rPr>
          <w:sz w:val="24"/>
          <w:szCs w:val="20"/>
        </w:rPr>
        <w:t>:</w:t>
      </w:r>
      <w:r w:rsidR="00FA5C91" w:rsidRPr="002E096B">
        <w:rPr>
          <w:sz w:val="24"/>
          <w:szCs w:val="20"/>
        </w:rPr>
        <w:t xml:space="preserve"> </w:t>
      </w:r>
      <w:r w:rsidR="00BF5C7E" w:rsidRPr="002E096B">
        <w:rPr>
          <w:sz w:val="24"/>
          <w:szCs w:val="20"/>
        </w:rPr>
        <w:t xml:space="preserve">DASS </w:t>
      </w:r>
      <w:r w:rsidR="00FB6698" w:rsidRPr="002E096B">
        <w:rPr>
          <w:sz w:val="24"/>
          <w:szCs w:val="20"/>
        </w:rPr>
        <w:t xml:space="preserve">Data Elements </w:t>
      </w:r>
      <w:r w:rsidR="00BF5C7E" w:rsidRPr="002E096B">
        <w:rPr>
          <w:sz w:val="24"/>
          <w:szCs w:val="20"/>
        </w:rPr>
        <w:t>Collected in CALPADS</w:t>
      </w:r>
    </w:p>
    <w:tbl>
      <w:tblPr>
        <w:tblStyle w:val="ListTable4-Accent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5"/>
        <w:gridCol w:w="4680"/>
      </w:tblGrid>
      <w:tr w:rsidR="000B0C00" w14:paraId="4639BA47" w14:textId="77777777" w:rsidTr="002E096B">
        <w:trPr>
          <w:cnfStyle w:val="100000000000" w:firstRow="1" w:lastRow="0" w:firstColumn="0" w:lastColumn="0" w:oddVBand="0" w:evenVBand="0" w:oddHBand="0" w:evenHBand="0" w:firstRowFirstColumn="0" w:firstRowLastColumn="0" w:lastRowFirstColumn="0" w:lastRowLastColumn="0"/>
          <w:cantSplit/>
          <w:tblHeader/>
        </w:trPr>
        <w:tc>
          <w:tcPr>
            <w:tcW w:w="4675"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5CD14DF" w14:textId="5245BB0B" w:rsidR="000B0C00" w:rsidRPr="00462CBD" w:rsidRDefault="00E13256" w:rsidP="007D372E">
            <w:pPr>
              <w:tabs>
                <w:tab w:val="num" w:pos="720"/>
              </w:tabs>
              <w:spacing w:before="0" w:after="0"/>
              <w:jc w:val="center"/>
              <w:rPr>
                <w:rFonts w:eastAsia="Arial" w:cs="Arial"/>
                <w:color w:val="auto"/>
              </w:rPr>
            </w:pPr>
            <w:r>
              <w:rPr>
                <w:rFonts w:eastAsia="Arial" w:cs="Arial"/>
                <w:color w:val="auto"/>
              </w:rPr>
              <w:t>Data Element</w:t>
            </w:r>
            <w:r w:rsidR="00E553C4">
              <w:rPr>
                <w:rFonts w:eastAsia="Arial" w:cs="Arial"/>
                <w:color w:val="auto"/>
              </w:rPr>
              <w:t xml:space="preserve"> Collected in CALPADS</w:t>
            </w:r>
          </w:p>
        </w:tc>
        <w:tc>
          <w:tcPr>
            <w:tcW w:w="468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97345DF" w14:textId="24704DEA" w:rsidR="000B0C00" w:rsidRPr="00462CBD" w:rsidRDefault="00E553C4" w:rsidP="007D372E">
            <w:pPr>
              <w:spacing w:before="0" w:after="0"/>
              <w:jc w:val="center"/>
              <w:rPr>
                <w:rFonts w:eastAsia="Arial" w:cs="Arial"/>
              </w:rPr>
            </w:pPr>
            <w:r>
              <w:rPr>
                <w:rFonts w:eastAsia="Arial" w:cs="Arial"/>
                <w:color w:val="auto"/>
              </w:rPr>
              <w:t xml:space="preserve">Data Element Not </w:t>
            </w:r>
            <w:r w:rsidR="00BF5C7E">
              <w:rPr>
                <w:rFonts w:eastAsia="Arial" w:cs="Arial"/>
                <w:color w:val="auto"/>
              </w:rPr>
              <w:t>Collected in CALPADS</w:t>
            </w:r>
          </w:p>
        </w:tc>
      </w:tr>
      <w:tr w:rsidR="000B0C00" w14:paraId="0564B52C" w14:textId="77777777" w:rsidTr="002E096B">
        <w:trPr>
          <w:cnfStyle w:val="000000100000" w:firstRow="0" w:lastRow="0" w:firstColumn="0" w:lastColumn="0" w:oddVBand="0" w:evenVBand="0" w:oddHBand="1" w:evenHBand="0" w:firstRowFirstColumn="0" w:firstRowLastColumn="0" w:lastRowFirstColumn="0" w:lastRowLastColumn="0"/>
          <w:cantSplit/>
        </w:trPr>
        <w:tc>
          <w:tcPr>
            <w:tcW w:w="4675" w:type="dxa"/>
            <w:tcBorders>
              <w:top w:val="single" w:sz="4" w:space="0" w:color="auto"/>
            </w:tcBorders>
          </w:tcPr>
          <w:p w14:paraId="2FAC1D45" w14:textId="65CD073C" w:rsidR="000B0C00" w:rsidRDefault="000B0C00" w:rsidP="007D372E">
            <w:pPr>
              <w:tabs>
                <w:tab w:val="num" w:pos="720"/>
              </w:tabs>
              <w:spacing w:before="0" w:after="0"/>
              <w:rPr>
                <w:rFonts w:eastAsia="Arial" w:cs="Arial"/>
              </w:rPr>
            </w:pPr>
            <w:r w:rsidRPr="00173BB1">
              <w:rPr>
                <w:rFonts w:eastAsia="Arial" w:cs="Arial"/>
              </w:rPr>
              <w:t>Expelled</w:t>
            </w:r>
            <w:r>
              <w:rPr>
                <w:rFonts w:eastAsia="Arial" w:cs="Arial"/>
              </w:rPr>
              <w:t xml:space="preserve"> students</w:t>
            </w:r>
          </w:p>
        </w:tc>
        <w:tc>
          <w:tcPr>
            <w:tcW w:w="4680" w:type="dxa"/>
            <w:tcBorders>
              <w:top w:val="single" w:sz="4" w:space="0" w:color="auto"/>
            </w:tcBorders>
          </w:tcPr>
          <w:p w14:paraId="791E5390" w14:textId="2F1A36C6" w:rsidR="000B0C00" w:rsidRPr="00173BB1" w:rsidRDefault="000B0C00" w:rsidP="007D372E">
            <w:pPr>
              <w:tabs>
                <w:tab w:val="num" w:pos="720"/>
              </w:tabs>
              <w:spacing w:before="0" w:after="0"/>
              <w:rPr>
                <w:rFonts w:eastAsia="Arial" w:cs="Arial"/>
              </w:rPr>
            </w:pPr>
            <w:r w:rsidRPr="00173BB1">
              <w:rPr>
                <w:rFonts w:eastAsia="Arial" w:cs="Arial"/>
              </w:rPr>
              <w:t>Wards of the Court</w:t>
            </w:r>
          </w:p>
        </w:tc>
      </w:tr>
      <w:tr w:rsidR="000B0C00" w14:paraId="043760D9" w14:textId="77777777" w:rsidTr="002E096B">
        <w:trPr>
          <w:cantSplit/>
        </w:trPr>
        <w:tc>
          <w:tcPr>
            <w:tcW w:w="4675" w:type="dxa"/>
          </w:tcPr>
          <w:p w14:paraId="03871EBF" w14:textId="06E0324E" w:rsidR="000B0C00" w:rsidRDefault="000B0C00" w:rsidP="007D372E">
            <w:pPr>
              <w:tabs>
                <w:tab w:val="num" w:pos="720"/>
              </w:tabs>
              <w:spacing w:before="0" w:after="0"/>
              <w:rPr>
                <w:rFonts w:eastAsia="Arial" w:cs="Arial"/>
              </w:rPr>
            </w:pPr>
            <w:r>
              <w:rPr>
                <w:rFonts w:eastAsia="Arial" w:cs="Arial"/>
              </w:rPr>
              <w:t>Students s</w:t>
            </w:r>
            <w:r w:rsidRPr="00173BB1">
              <w:rPr>
                <w:rFonts w:eastAsia="Arial" w:cs="Arial"/>
              </w:rPr>
              <w:t>uspended more than 10 days in a school year</w:t>
            </w:r>
          </w:p>
        </w:tc>
        <w:tc>
          <w:tcPr>
            <w:tcW w:w="4680" w:type="dxa"/>
          </w:tcPr>
          <w:p w14:paraId="2BD64B76" w14:textId="1BB413F6" w:rsidR="000B0C00" w:rsidRDefault="000B0C00" w:rsidP="007D372E">
            <w:pPr>
              <w:tabs>
                <w:tab w:val="num" w:pos="720"/>
              </w:tabs>
              <w:spacing w:before="0" w:after="0"/>
              <w:rPr>
                <w:rFonts w:eastAsia="Arial" w:cs="Arial"/>
              </w:rPr>
            </w:pPr>
            <w:r>
              <w:rPr>
                <w:rFonts w:eastAsia="Arial" w:cs="Arial"/>
              </w:rPr>
              <w:t>Students who are credit deficient</w:t>
            </w:r>
          </w:p>
        </w:tc>
      </w:tr>
      <w:tr w:rsidR="000B0C00" w14:paraId="2C7B554F" w14:textId="64BCED19" w:rsidTr="002E096B">
        <w:trPr>
          <w:cnfStyle w:val="000000100000" w:firstRow="0" w:lastRow="0" w:firstColumn="0" w:lastColumn="0" w:oddVBand="0" w:evenVBand="0" w:oddHBand="1" w:evenHBand="0" w:firstRowFirstColumn="0" w:firstRowLastColumn="0" w:lastRowFirstColumn="0" w:lastRowLastColumn="0"/>
          <w:cantSplit/>
        </w:trPr>
        <w:tc>
          <w:tcPr>
            <w:tcW w:w="4675" w:type="dxa"/>
          </w:tcPr>
          <w:p w14:paraId="5B8B1B74" w14:textId="5820B733" w:rsidR="000B0C00" w:rsidRDefault="000B0C00" w:rsidP="007D372E">
            <w:pPr>
              <w:tabs>
                <w:tab w:val="num" w:pos="720"/>
              </w:tabs>
              <w:spacing w:before="0" w:after="0"/>
              <w:rPr>
                <w:rFonts w:eastAsia="Arial" w:cs="Arial"/>
              </w:rPr>
            </w:pPr>
            <w:r>
              <w:rPr>
                <w:rFonts w:eastAsia="Arial" w:cs="Arial"/>
              </w:rPr>
              <w:t>P</w:t>
            </w:r>
            <w:r w:rsidRPr="003D75DE">
              <w:rPr>
                <w:rFonts w:eastAsia="Arial" w:cs="Arial"/>
              </w:rPr>
              <w:t xml:space="preserve">regnant and/or </w:t>
            </w:r>
            <w:r>
              <w:rPr>
                <w:rFonts w:eastAsia="Arial" w:cs="Arial"/>
              </w:rPr>
              <w:t>p</w:t>
            </w:r>
            <w:r w:rsidRPr="003D75DE">
              <w:rPr>
                <w:rFonts w:eastAsia="Arial" w:cs="Arial"/>
              </w:rPr>
              <w:t xml:space="preserve">arenting </w:t>
            </w:r>
            <w:r>
              <w:rPr>
                <w:rFonts w:eastAsia="Arial" w:cs="Arial"/>
              </w:rPr>
              <w:t>y</w:t>
            </w:r>
            <w:r w:rsidRPr="003D75DE">
              <w:rPr>
                <w:rFonts w:eastAsia="Arial" w:cs="Arial"/>
              </w:rPr>
              <w:t>outh</w:t>
            </w:r>
          </w:p>
        </w:tc>
        <w:tc>
          <w:tcPr>
            <w:tcW w:w="4680" w:type="dxa"/>
          </w:tcPr>
          <w:p w14:paraId="3EE0CADF" w14:textId="7FED2104"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3BE6EC82" w14:textId="1B5968BC" w:rsidTr="002E096B">
        <w:trPr>
          <w:cantSplit/>
        </w:trPr>
        <w:tc>
          <w:tcPr>
            <w:tcW w:w="4675" w:type="dxa"/>
          </w:tcPr>
          <w:p w14:paraId="128495AA" w14:textId="6171CF77" w:rsidR="000B0C00" w:rsidRDefault="000B0C00" w:rsidP="007D372E">
            <w:pPr>
              <w:tabs>
                <w:tab w:val="num" w:pos="720"/>
              </w:tabs>
              <w:spacing w:before="0" w:after="0"/>
              <w:rPr>
                <w:rFonts w:eastAsia="Arial" w:cs="Arial"/>
              </w:rPr>
            </w:pPr>
            <w:r>
              <w:rPr>
                <w:rFonts w:eastAsia="Arial" w:cs="Arial"/>
              </w:rPr>
              <w:t>Recovered dropouts</w:t>
            </w:r>
          </w:p>
        </w:tc>
        <w:tc>
          <w:tcPr>
            <w:tcW w:w="4680" w:type="dxa"/>
          </w:tcPr>
          <w:p w14:paraId="5013AA3F" w14:textId="4718984E"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539EAFE6" w14:textId="3EAA8929" w:rsidTr="002E096B">
        <w:trPr>
          <w:cnfStyle w:val="000000100000" w:firstRow="0" w:lastRow="0" w:firstColumn="0" w:lastColumn="0" w:oddVBand="0" w:evenVBand="0" w:oddHBand="1" w:evenHBand="0" w:firstRowFirstColumn="0" w:firstRowLastColumn="0" w:lastRowFirstColumn="0" w:lastRowLastColumn="0"/>
          <w:cantSplit/>
        </w:trPr>
        <w:tc>
          <w:tcPr>
            <w:tcW w:w="4675" w:type="dxa"/>
          </w:tcPr>
          <w:p w14:paraId="250C1AE2" w14:textId="56C72F5A" w:rsidR="000B0C00" w:rsidRDefault="000B0C00" w:rsidP="007D372E">
            <w:pPr>
              <w:tabs>
                <w:tab w:val="num" w:pos="720"/>
              </w:tabs>
              <w:spacing w:before="0" w:after="0"/>
              <w:rPr>
                <w:rFonts w:eastAsia="Arial" w:cs="Arial"/>
              </w:rPr>
            </w:pPr>
            <w:r>
              <w:rPr>
                <w:rFonts w:eastAsia="Arial" w:cs="Arial"/>
              </w:rPr>
              <w:t>Habitually truant or habitually insubordinate and disorderly students</w:t>
            </w:r>
          </w:p>
        </w:tc>
        <w:tc>
          <w:tcPr>
            <w:tcW w:w="4680" w:type="dxa"/>
          </w:tcPr>
          <w:p w14:paraId="2F5CB499" w14:textId="1597B9F0"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067D0537" w14:textId="45A4A550" w:rsidTr="002E096B">
        <w:trPr>
          <w:cantSplit/>
        </w:trPr>
        <w:tc>
          <w:tcPr>
            <w:tcW w:w="4675" w:type="dxa"/>
          </w:tcPr>
          <w:p w14:paraId="26926F6F" w14:textId="68122A61" w:rsidR="000B0C00" w:rsidRDefault="000B0C00" w:rsidP="007D372E">
            <w:pPr>
              <w:tabs>
                <w:tab w:val="num" w:pos="720"/>
              </w:tabs>
              <w:spacing w:before="0" w:after="0"/>
              <w:rPr>
                <w:rFonts w:eastAsia="Arial" w:cs="Arial"/>
              </w:rPr>
            </w:pPr>
            <w:r>
              <w:rPr>
                <w:rFonts w:eastAsia="Arial" w:cs="Arial"/>
              </w:rPr>
              <w:t>Students r</w:t>
            </w:r>
            <w:r w:rsidRPr="0046184F">
              <w:rPr>
                <w:rFonts w:eastAsia="Arial" w:cs="Arial"/>
              </w:rPr>
              <w:t>etained more than once in kindergarten through grade eight</w:t>
            </w:r>
          </w:p>
        </w:tc>
        <w:tc>
          <w:tcPr>
            <w:tcW w:w="4680" w:type="dxa"/>
          </w:tcPr>
          <w:p w14:paraId="5866CEA5" w14:textId="78C4D83E"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30D5B9F6" w14:textId="1C94CD70" w:rsidTr="002E096B">
        <w:trPr>
          <w:cnfStyle w:val="000000100000" w:firstRow="0" w:lastRow="0" w:firstColumn="0" w:lastColumn="0" w:oddVBand="0" w:evenVBand="0" w:oddHBand="1" w:evenHBand="0" w:firstRowFirstColumn="0" w:firstRowLastColumn="0" w:lastRowFirstColumn="0" w:lastRowLastColumn="0"/>
          <w:cantSplit/>
        </w:trPr>
        <w:tc>
          <w:tcPr>
            <w:tcW w:w="4675" w:type="dxa"/>
          </w:tcPr>
          <w:p w14:paraId="053DCBE7" w14:textId="4EFD61D1" w:rsidR="000B0C00" w:rsidRDefault="000B0C00" w:rsidP="007D372E">
            <w:pPr>
              <w:tabs>
                <w:tab w:val="num" w:pos="720"/>
              </w:tabs>
              <w:spacing w:before="0" w:after="0"/>
              <w:rPr>
                <w:rFonts w:eastAsia="Arial" w:cs="Arial"/>
              </w:rPr>
            </w:pPr>
            <w:r>
              <w:rPr>
                <w:rFonts w:eastAsia="Arial" w:cs="Arial"/>
              </w:rPr>
              <w:t>Students with a gap in enrollment</w:t>
            </w:r>
          </w:p>
        </w:tc>
        <w:tc>
          <w:tcPr>
            <w:tcW w:w="4680" w:type="dxa"/>
          </w:tcPr>
          <w:p w14:paraId="139A0A5F" w14:textId="32A8BB3C"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1531D589" w14:textId="2EB27ECE" w:rsidTr="002E096B">
        <w:trPr>
          <w:cantSplit/>
        </w:trPr>
        <w:tc>
          <w:tcPr>
            <w:tcW w:w="4675" w:type="dxa"/>
          </w:tcPr>
          <w:p w14:paraId="124BE970" w14:textId="430CCF9D" w:rsidR="000B0C00" w:rsidRDefault="000B0C00" w:rsidP="007D372E">
            <w:pPr>
              <w:tabs>
                <w:tab w:val="num" w:pos="720"/>
              </w:tabs>
              <w:spacing w:before="0" w:after="0"/>
              <w:rPr>
                <w:rFonts w:eastAsia="Arial" w:cs="Arial"/>
              </w:rPr>
            </w:pPr>
            <w:r>
              <w:rPr>
                <w:rFonts w:eastAsia="Arial" w:cs="Arial"/>
              </w:rPr>
              <w:t>Students with high level transiency</w:t>
            </w:r>
          </w:p>
        </w:tc>
        <w:tc>
          <w:tcPr>
            <w:tcW w:w="4680" w:type="dxa"/>
          </w:tcPr>
          <w:p w14:paraId="10B7716A" w14:textId="0E23B841"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195AE289" w14:textId="418D6917" w:rsidTr="002E096B">
        <w:trPr>
          <w:cnfStyle w:val="000000100000" w:firstRow="0" w:lastRow="0" w:firstColumn="0" w:lastColumn="0" w:oddVBand="0" w:evenVBand="0" w:oddHBand="1" w:evenHBand="0" w:firstRowFirstColumn="0" w:firstRowLastColumn="0" w:lastRowFirstColumn="0" w:lastRowLastColumn="0"/>
          <w:cantSplit/>
        </w:trPr>
        <w:tc>
          <w:tcPr>
            <w:tcW w:w="4675" w:type="dxa"/>
          </w:tcPr>
          <w:p w14:paraId="33D9A922" w14:textId="79ABDD43" w:rsidR="000B0C00" w:rsidRDefault="000B0C00" w:rsidP="007D372E">
            <w:pPr>
              <w:tabs>
                <w:tab w:val="num" w:pos="720"/>
              </w:tabs>
              <w:spacing w:before="0" w:after="0"/>
              <w:rPr>
                <w:rFonts w:eastAsia="Arial" w:cs="Arial"/>
              </w:rPr>
            </w:pPr>
            <w:r>
              <w:rPr>
                <w:rFonts w:eastAsia="Arial" w:cs="Arial"/>
              </w:rPr>
              <w:t>Foster youth</w:t>
            </w:r>
          </w:p>
        </w:tc>
        <w:tc>
          <w:tcPr>
            <w:tcW w:w="4680" w:type="dxa"/>
          </w:tcPr>
          <w:p w14:paraId="69056C9F" w14:textId="0B6045B9"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r w:rsidR="000B0C00" w14:paraId="42AB5710" w14:textId="7EBE6534" w:rsidTr="002E096B">
        <w:trPr>
          <w:cantSplit/>
        </w:trPr>
        <w:tc>
          <w:tcPr>
            <w:tcW w:w="4675" w:type="dxa"/>
          </w:tcPr>
          <w:p w14:paraId="7B827003" w14:textId="2727BA82" w:rsidR="000B0C00" w:rsidRDefault="000B0C00" w:rsidP="007D372E">
            <w:pPr>
              <w:tabs>
                <w:tab w:val="num" w:pos="720"/>
              </w:tabs>
              <w:spacing w:before="0" w:after="0"/>
              <w:rPr>
                <w:rFonts w:eastAsia="Arial" w:cs="Arial"/>
              </w:rPr>
            </w:pPr>
            <w:r>
              <w:rPr>
                <w:rFonts w:eastAsia="Arial" w:cs="Arial"/>
              </w:rPr>
              <w:t>Homeless youth</w:t>
            </w:r>
          </w:p>
        </w:tc>
        <w:tc>
          <w:tcPr>
            <w:tcW w:w="4680" w:type="dxa"/>
          </w:tcPr>
          <w:p w14:paraId="693D8515" w14:textId="075F6EDA" w:rsidR="000B0C00" w:rsidRDefault="000B0C00" w:rsidP="007D372E">
            <w:pPr>
              <w:tabs>
                <w:tab w:val="num" w:pos="720"/>
              </w:tabs>
              <w:spacing w:before="0" w:after="0"/>
              <w:rPr>
                <w:rFonts w:eastAsia="Arial" w:cs="Arial"/>
              </w:rPr>
            </w:pPr>
            <w:r>
              <w:rPr>
                <w:rFonts w:eastAsia="Arial" w:cs="Arial"/>
              </w:rPr>
              <w:t>N</w:t>
            </w:r>
            <w:r w:rsidR="00387CD0">
              <w:rPr>
                <w:rFonts w:eastAsia="Arial" w:cs="Arial"/>
              </w:rPr>
              <w:t>/</w:t>
            </w:r>
            <w:r>
              <w:rPr>
                <w:rFonts w:eastAsia="Arial" w:cs="Arial"/>
              </w:rPr>
              <w:t>A</w:t>
            </w:r>
          </w:p>
        </w:tc>
      </w:tr>
    </w:tbl>
    <w:p w14:paraId="412F4347" w14:textId="665D9302" w:rsidR="00CB0F00" w:rsidRDefault="00E82E8D" w:rsidP="00FE0EAD">
      <w:pPr>
        <w:tabs>
          <w:tab w:val="num" w:pos="720"/>
        </w:tabs>
        <w:rPr>
          <w:rFonts w:eastAsia="Arial" w:cs="Arial"/>
        </w:rPr>
        <w:sectPr w:rsidR="00CB0F00" w:rsidSect="0089621B">
          <w:headerReference w:type="default" r:id="rId148"/>
          <w:pgSz w:w="12240" w:h="15840"/>
          <w:pgMar w:top="1440" w:right="1440" w:bottom="1440" w:left="1440" w:header="720" w:footer="720" w:gutter="0"/>
          <w:pgNumType w:start="1"/>
          <w:cols w:space="720"/>
          <w:docGrid w:linePitch="360"/>
        </w:sectPr>
      </w:pPr>
      <w:r>
        <w:rPr>
          <w:rFonts w:eastAsia="Arial" w:cs="Arial"/>
        </w:rPr>
        <w:t>The CDE</w:t>
      </w:r>
      <w:r w:rsidR="005D53E6">
        <w:rPr>
          <w:rFonts w:eastAsia="Arial" w:cs="Arial"/>
        </w:rPr>
        <w:t xml:space="preserve"> is seeking SBE guidance on </w:t>
      </w:r>
      <w:r w:rsidR="00441714">
        <w:rPr>
          <w:rFonts w:eastAsia="Arial" w:cs="Arial"/>
        </w:rPr>
        <w:t>modifi</w:t>
      </w:r>
      <w:r w:rsidR="00355677">
        <w:rPr>
          <w:rFonts w:eastAsia="Arial" w:cs="Arial"/>
        </w:rPr>
        <w:t>cations to the</w:t>
      </w:r>
      <w:r w:rsidR="00441714">
        <w:rPr>
          <w:rFonts w:eastAsia="Arial" w:cs="Arial"/>
        </w:rPr>
        <w:t xml:space="preserve"> DASS criteria for consideration at the July 2025 SBE meeting</w:t>
      </w:r>
      <w:r w:rsidR="00303FB1">
        <w:rPr>
          <w:rFonts w:eastAsia="Arial" w:cs="Arial"/>
        </w:rPr>
        <w:t>.</w:t>
      </w:r>
    </w:p>
    <w:p w14:paraId="5475AD7C" w14:textId="7AB2A3C6" w:rsidR="0781A43E" w:rsidRPr="00A92916" w:rsidRDefault="0781A43E" w:rsidP="00A92916">
      <w:pPr>
        <w:pStyle w:val="Heading1"/>
        <w:jc w:val="left"/>
        <w:rPr>
          <w:sz w:val="36"/>
          <w:szCs w:val="28"/>
        </w:rPr>
      </w:pPr>
      <w:r w:rsidRPr="00A92916">
        <w:rPr>
          <w:sz w:val="36"/>
          <w:szCs w:val="28"/>
        </w:rPr>
        <w:lastRenderedPageBreak/>
        <w:t>Attachment 6</w:t>
      </w:r>
    </w:p>
    <w:p w14:paraId="7674E8D9" w14:textId="1BD841E3" w:rsidR="0781A43E" w:rsidRPr="00441714" w:rsidRDefault="0781A43E" w:rsidP="00A92916">
      <w:pPr>
        <w:pStyle w:val="Heading2"/>
      </w:pPr>
      <w:r w:rsidRPr="00441714">
        <w:t>Review of Priority 1 Teacher Assignment Data</w:t>
      </w:r>
    </w:p>
    <w:p w14:paraId="1CAFB44E" w14:textId="1D06CAB5" w:rsidR="0002630F" w:rsidRPr="0073084C" w:rsidRDefault="0002630F" w:rsidP="0002630F">
      <w:pPr>
        <w:rPr>
          <w:rFonts w:eastAsia="Arial" w:cs="Arial"/>
          <w:color w:val="000000" w:themeColor="text1"/>
        </w:rPr>
      </w:pPr>
      <w:r>
        <w:t>The 2025 Accountability Workplan provides</w:t>
      </w:r>
      <w:r>
        <w:rPr>
          <w:rFonts w:eastAsia="Arial"/>
        </w:rPr>
        <w:t xml:space="preserve"> </w:t>
      </w:r>
      <w:r w:rsidRPr="0C26C3EC">
        <w:rPr>
          <w:rFonts w:eastAsia="Arial" w:cs="Arial"/>
          <w:color w:val="000000" w:themeColor="text1"/>
        </w:rPr>
        <w:t xml:space="preserve">the </w:t>
      </w:r>
      <w:r>
        <w:rPr>
          <w:rFonts w:eastAsia="Arial" w:cs="Arial"/>
          <w:color w:val="000000" w:themeColor="text1"/>
        </w:rPr>
        <w:t>State Board of Education (</w:t>
      </w:r>
      <w:r w:rsidRPr="0C26C3EC">
        <w:rPr>
          <w:rFonts w:eastAsia="Arial" w:cs="Arial"/>
          <w:color w:val="000000" w:themeColor="text1"/>
        </w:rPr>
        <w:t>SBE</w:t>
      </w:r>
      <w:r>
        <w:rPr>
          <w:rFonts w:eastAsia="Arial" w:cs="Arial"/>
          <w:color w:val="000000" w:themeColor="text1"/>
        </w:rPr>
        <w:t>)</w:t>
      </w:r>
      <w:r w:rsidRPr="0C26C3EC">
        <w:rPr>
          <w:rFonts w:eastAsia="Arial" w:cs="Arial"/>
          <w:color w:val="000000" w:themeColor="text1"/>
        </w:rPr>
        <w:t xml:space="preserve"> </w:t>
      </w:r>
      <w:r>
        <w:rPr>
          <w:rFonts w:eastAsia="Arial" w:cs="Arial"/>
          <w:color w:val="000000" w:themeColor="text1"/>
        </w:rPr>
        <w:t xml:space="preserve">an opportunity to </w:t>
      </w:r>
      <w:r w:rsidR="006E5DA4">
        <w:rPr>
          <w:rFonts w:eastAsia="Arial" w:cs="Arial"/>
          <w:color w:val="000000" w:themeColor="text1"/>
        </w:rPr>
        <w:t>further refine prior work on adding teacher assignment data to the California School</w:t>
      </w:r>
      <w:r w:rsidR="006E5DA4" w:rsidRPr="0C26C3EC">
        <w:rPr>
          <w:rFonts w:eastAsia="Arial" w:cs="Arial"/>
          <w:color w:val="000000" w:themeColor="text1"/>
        </w:rPr>
        <w:t xml:space="preserve"> Dashboard</w:t>
      </w:r>
      <w:r w:rsidR="006E5DA4">
        <w:rPr>
          <w:rFonts w:eastAsia="Arial" w:cs="Arial"/>
          <w:color w:val="000000" w:themeColor="text1"/>
        </w:rPr>
        <w:t xml:space="preserve"> (Dashboard) at </w:t>
      </w:r>
      <w:r w:rsidR="006E5DA4" w:rsidRPr="004177CF">
        <w:rPr>
          <w:rFonts w:eastAsia="Arial" w:cs="Arial"/>
          <w:color w:val="000000" w:themeColor="text1"/>
        </w:rPr>
        <w:t xml:space="preserve">the school level. </w:t>
      </w:r>
      <w:r w:rsidRPr="004177CF">
        <w:rPr>
          <w:rFonts w:eastAsia="Arial" w:cs="Arial"/>
          <w:color w:val="000000" w:themeColor="text1"/>
        </w:rPr>
        <w:t xml:space="preserve">Table </w:t>
      </w:r>
      <w:r w:rsidR="00C318B6" w:rsidRPr="004177CF">
        <w:rPr>
          <w:rFonts w:eastAsia="Arial" w:cs="Arial"/>
          <w:color w:val="000000" w:themeColor="text1"/>
        </w:rPr>
        <w:t>2</w:t>
      </w:r>
      <w:r w:rsidR="003633FC" w:rsidRPr="004177CF">
        <w:rPr>
          <w:rFonts w:eastAsia="Arial" w:cs="Arial"/>
          <w:color w:val="000000" w:themeColor="text1"/>
        </w:rPr>
        <w:t>5</w:t>
      </w:r>
      <w:r w:rsidRPr="004177CF">
        <w:rPr>
          <w:rFonts w:eastAsia="Arial" w:cs="Arial"/>
          <w:color w:val="000000" w:themeColor="text1"/>
        </w:rPr>
        <w:t xml:space="preserve"> provides the details of CDE’s work in 2025 to fulfill this objective</w:t>
      </w:r>
      <w:r w:rsidR="00BD7405" w:rsidRPr="004177CF">
        <w:rPr>
          <w:rFonts w:eastAsia="Arial" w:cs="Arial"/>
          <w:color w:val="000000" w:themeColor="text1"/>
        </w:rPr>
        <w:t xml:space="preserve"> and the items that will be presented at upcoming SBE and California Practitioners Advisory Group (CPAG) meetings</w:t>
      </w:r>
      <w:r w:rsidRPr="004177CF">
        <w:rPr>
          <w:rFonts w:eastAsia="Arial" w:cs="Arial"/>
          <w:color w:val="000000" w:themeColor="text1"/>
        </w:rPr>
        <w:t>.</w:t>
      </w:r>
    </w:p>
    <w:p w14:paraId="24CE1B32" w14:textId="11DF5BAA" w:rsidR="49B2CE2F" w:rsidRPr="00A92916" w:rsidRDefault="49B2CE2F" w:rsidP="00A92916">
      <w:pPr>
        <w:pStyle w:val="Heading3"/>
        <w:rPr>
          <w:sz w:val="24"/>
          <w:szCs w:val="20"/>
        </w:rPr>
      </w:pPr>
      <w:r w:rsidRPr="00A92916">
        <w:rPr>
          <w:sz w:val="24"/>
          <w:szCs w:val="20"/>
        </w:rPr>
        <w:t xml:space="preserve">Table </w:t>
      </w:r>
      <w:r w:rsidR="00441714" w:rsidRPr="00A92916">
        <w:rPr>
          <w:sz w:val="24"/>
          <w:szCs w:val="20"/>
        </w:rPr>
        <w:t>2</w:t>
      </w:r>
      <w:r w:rsidR="003633FC" w:rsidRPr="00A92916">
        <w:rPr>
          <w:sz w:val="24"/>
          <w:szCs w:val="20"/>
        </w:rPr>
        <w:t>5</w:t>
      </w:r>
      <w:r w:rsidRPr="00A92916">
        <w:rPr>
          <w:sz w:val="24"/>
          <w:szCs w:val="20"/>
        </w:rPr>
        <w:t>: Timeline of Ongoing Developmental Activities of the Priority 1: Teacher Assignment Data in the 2025 Accountability Workplan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X: Timeline of Ongoing Developmental Activities for the Dashboard Alternative School Status (DASS) Application/ Renewal Criteria in the 2025 Accountability Workplan"/>
        <w:tblDescription w:val="Table X: Timeline of Ongoing Developmental Activities for the Dashboard Alternative School Status (DASS) Application/ Renewal Criteria in the 2025 Accountability Workplan"/>
      </w:tblPr>
      <w:tblGrid>
        <w:gridCol w:w="2128"/>
        <w:gridCol w:w="1437"/>
        <w:gridCol w:w="1789"/>
        <w:gridCol w:w="2020"/>
        <w:gridCol w:w="1970"/>
      </w:tblGrid>
      <w:tr w:rsidR="47202284" w14:paraId="51156454" w14:textId="77777777" w:rsidTr="00A92916">
        <w:trPr>
          <w:cantSplit/>
          <w:trHeight w:val="300"/>
          <w:tblHeader/>
        </w:trPr>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06AC2710" w14:textId="09F3DFF7"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Subject</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AAB5F4D" w14:textId="4A0C6D1B"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March 2025</w:t>
            </w:r>
          </w:p>
          <w:p w14:paraId="177C9AF7" w14:textId="207826E7"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SBE Meeting</w:t>
            </w:r>
          </w:p>
        </w:tc>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1A225C62" w14:textId="6EE25123"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May 2025</w:t>
            </w:r>
          </w:p>
          <w:p w14:paraId="390FE4B6" w14:textId="1D46E5BE"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SBE Meeting</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392D5956" w14:textId="4C4C949D" w:rsidR="47202284" w:rsidRDefault="47202284" w:rsidP="47202284">
            <w:pPr>
              <w:jc w:val="center"/>
              <w:rPr>
                <w:rFonts w:eastAsia="Arial" w:cs="Arial"/>
                <w:color w:val="000000" w:themeColor="text1"/>
              </w:rPr>
            </w:pPr>
            <w:r w:rsidRPr="47202284">
              <w:rPr>
                <w:rFonts w:eastAsia="Arial" w:cs="Arial"/>
                <w:b/>
                <w:bCs/>
                <w:color w:val="000000" w:themeColor="text1"/>
              </w:rPr>
              <w:t>June 2025</w:t>
            </w:r>
          </w:p>
          <w:p w14:paraId="425F1B92" w14:textId="2753B76B" w:rsidR="47202284" w:rsidRDefault="47202284" w:rsidP="47202284">
            <w:pPr>
              <w:jc w:val="center"/>
              <w:rPr>
                <w:rFonts w:eastAsia="Arial" w:cs="Arial"/>
                <w:color w:val="000000" w:themeColor="text1"/>
              </w:rPr>
            </w:pPr>
            <w:r w:rsidRPr="47202284">
              <w:rPr>
                <w:rFonts w:eastAsia="Arial" w:cs="Arial"/>
                <w:b/>
                <w:bCs/>
                <w:color w:val="000000" w:themeColor="text1"/>
              </w:rPr>
              <w:t>CPAG Meeting</w:t>
            </w:r>
          </w:p>
        </w:tc>
        <w:tc>
          <w:tcPr>
            <w:tcW w:w="1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75BE700A" w14:textId="620143A3"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July 2025</w:t>
            </w:r>
          </w:p>
          <w:p w14:paraId="2C319F38" w14:textId="697897D5" w:rsidR="47202284" w:rsidRDefault="47202284" w:rsidP="47202284">
            <w:pPr>
              <w:contextualSpacing/>
              <w:jc w:val="center"/>
              <w:rPr>
                <w:rFonts w:eastAsia="Arial" w:cs="Arial"/>
                <w:color w:val="000000" w:themeColor="text1"/>
              </w:rPr>
            </w:pPr>
            <w:r w:rsidRPr="47202284">
              <w:rPr>
                <w:rFonts w:eastAsia="Arial" w:cs="Arial"/>
                <w:b/>
                <w:bCs/>
                <w:color w:val="000000" w:themeColor="text1"/>
              </w:rPr>
              <w:t>SBE Meeting</w:t>
            </w:r>
          </w:p>
        </w:tc>
      </w:tr>
      <w:tr w:rsidR="47202284" w14:paraId="35732C7D" w14:textId="77777777" w:rsidTr="00A92916">
        <w:trPr>
          <w:cantSplit/>
          <w:trHeight w:val="1485"/>
        </w:trPr>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0FF3E3" w14:textId="384A7BE8" w:rsidR="47202284" w:rsidRDefault="19EA26D4" w:rsidP="00BE7287">
            <w:pPr>
              <w:spacing w:before="0" w:after="0"/>
              <w:rPr>
                <w:rFonts w:eastAsia="Arial" w:cs="Arial"/>
                <w:color w:val="000000" w:themeColor="text1"/>
              </w:rPr>
            </w:pPr>
            <w:r w:rsidRPr="18AE4C8D">
              <w:rPr>
                <w:rFonts w:eastAsia="Arial" w:cs="Arial"/>
                <w:color w:val="000000" w:themeColor="text1"/>
              </w:rPr>
              <w:t>Review of Priority 1: Teacher Assignment Data</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2973C7" w14:textId="3C848C50" w:rsidR="47202284" w:rsidRDefault="47202284" w:rsidP="47202284">
            <w:pPr>
              <w:contextualSpacing/>
              <w:rPr>
                <w:rFonts w:eastAsia="Arial" w:cs="Arial"/>
                <w:color w:val="000000" w:themeColor="text1"/>
              </w:rPr>
            </w:pPr>
            <w:r w:rsidRPr="47202284">
              <w:rPr>
                <w:rFonts w:eastAsia="Arial" w:cs="Arial"/>
                <w:color w:val="000000" w:themeColor="text1"/>
              </w:rPr>
              <w:t>N/A</w:t>
            </w:r>
          </w:p>
        </w:tc>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C65F2" w14:textId="2AFE6D02" w:rsidR="47202284" w:rsidRDefault="2C8EA260" w:rsidP="00E64EA4">
            <w:pPr>
              <w:spacing w:before="0"/>
              <w:rPr>
                <w:rFonts w:eastAsia="Arial" w:cs="Arial"/>
                <w:color w:val="000000" w:themeColor="text1"/>
              </w:rPr>
            </w:pPr>
            <w:r w:rsidRPr="749DD843">
              <w:rPr>
                <w:rFonts w:eastAsia="Arial" w:cs="Arial"/>
                <w:color w:val="000000" w:themeColor="text1"/>
              </w:rPr>
              <w:t>N/</w:t>
            </w:r>
            <w:r w:rsidRPr="5E16C05E">
              <w:rPr>
                <w:rFonts w:eastAsia="Arial" w:cs="Arial"/>
                <w:color w:val="000000" w:themeColor="text1"/>
              </w:rPr>
              <w:t>A</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2D492F" w14:textId="1573D49B" w:rsidR="47202284" w:rsidRPr="00695667" w:rsidRDefault="2C8EA260" w:rsidP="00695667">
            <w:pPr>
              <w:widowControl w:val="0"/>
              <w:spacing w:before="0"/>
              <w:rPr>
                <w:rFonts w:eastAsia="Arial" w:cs="Arial"/>
              </w:rPr>
            </w:pPr>
            <w:r w:rsidRPr="5F107867">
              <w:rPr>
                <w:rFonts w:eastAsia="Arial" w:cs="Arial"/>
                <w:color w:val="000000" w:themeColor="text1"/>
              </w:rPr>
              <w:t>Feedback on Adoption of Priority 1 Modifications</w:t>
            </w:r>
          </w:p>
        </w:tc>
        <w:tc>
          <w:tcPr>
            <w:tcW w:w="1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A7290A" w14:textId="19A242C2" w:rsidR="47202284" w:rsidRDefault="2C8EA260" w:rsidP="00E64EA4">
            <w:pPr>
              <w:widowControl w:val="0"/>
              <w:spacing w:before="0"/>
              <w:rPr>
                <w:rFonts w:eastAsia="Arial" w:cs="Arial"/>
              </w:rPr>
            </w:pPr>
            <w:r w:rsidRPr="346CA6C7">
              <w:rPr>
                <w:rFonts w:eastAsia="Arial" w:cs="Arial"/>
                <w:color w:val="000000" w:themeColor="text1"/>
              </w:rPr>
              <w:t>Adoption of Priority 1 Modifications</w:t>
            </w:r>
          </w:p>
        </w:tc>
      </w:tr>
    </w:tbl>
    <w:p w14:paraId="67233B79" w14:textId="70721AC0" w:rsidR="00B77BFD" w:rsidRDefault="00B77BFD" w:rsidP="00B77BFD">
      <w:pPr>
        <w:tabs>
          <w:tab w:val="num" w:pos="1440"/>
        </w:tabs>
        <w:rPr>
          <w:rFonts w:eastAsia="Arial" w:cs="Arial"/>
        </w:rPr>
      </w:pPr>
      <w:r>
        <w:rPr>
          <w:rFonts w:eastAsia="Arial" w:cs="Arial"/>
        </w:rPr>
        <w:t>The 2022, 2023, and 2024 Dashboard</w:t>
      </w:r>
      <w:r w:rsidR="00A76CF0">
        <w:rPr>
          <w:rFonts w:eastAsia="Arial" w:cs="Arial"/>
        </w:rPr>
        <w:t>s all</w:t>
      </w:r>
      <w:r>
        <w:rPr>
          <w:rFonts w:eastAsia="Arial" w:cs="Arial"/>
        </w:rPr>
        <w:t xml:space="preserve"> include information about teacher assignments in compliance with </w:t>
      </w:r>
      <w:r w:rsidRPr="00B77BFD">
        <w:rPr>
          <w:rFonts w:eastAsia="Arial" w:cs="Arial"/>
        </w:rPr>
        <w:t xml:space="preserve">California </w:t>
      </w:r>
      <w:r w:rsidRPr="00B77BFD">
        <w:rPr>
          <w:rFonts w:eastAsia="Arial" w:cs="Arial"/>
          <w:i/>
          <w:iCs/>
        </w:rPr>
        <w:t xml:space="preserve">Education Code </w:t>
      </w:r>
      <w:r w:rsidRPr="00B77BFD">
        <w:rPr>
          <w:rFonts w:eastAsia="Arial" w:cs="Arial"/>
        </w:rPr>
        <w:t>Section 52064.5(e)(2)</w:t>
      </w:r>
      <w:r>
        <w:rPr>
          <w:rFonts w:eastAsia="Arial" w:cs="Arial"/>
        </w:rPr>
        <w:t xml:space="preserve"> which requires that </w:t>
      </w:r>
      <w:r w:rsidRPr="00B77BFD">
        <w:rPr>
          <w:rFonts w:eastAsia="Arial" w:cs="Arial"/>
        </w:rPr>
        <w:t>“the standards for local indicators for which the department collects or otherwise has access to relevant and reliable school-level data for all schools statewide shall, to the extent practicable, be based on objective criteria, which may include, but are not necessarily limited to, the extent of any disparities across school sites within a school district or county office of education or performance relative to statewide data.”</w:t>
      </w:r>
    </w:p>
    <w:p w14:paraId="3D50F11D" w14:textId="0E758123" w:rsidR="006B6275" w:rsidRDefault="001B3C74" w:rsidP="006B6275">
      <w:pPr>
        <w:rPr>
          <w:rFonts w:eastAsia="Arial" w:cs="Arial"/>
        </w:rPr>
      </w:pPr>
      <w:r>
        <w:rPr>
          <w:rFonts w:eastAsia="Arial" w:cs="Arial"/>
        </w:rPr>
        <w:t xml:space="preserve">In this next phase of implementing </w:t>
      </w:r>
      <w:r w:rsidRPr="001B3C74">
        <w:rPr>
          <w:rFonts w:eastAsia="Arial" w:cs="Arial"/>
          <w:i/>
          <w:iCs/>
        </w:rPr>
        <w:t>EC</w:t>
      </w:r>
      <w:r>
        <w:rPr>
          <w:rFonts w:eastAsia="Arial" w:cs="Arial"/>
        </w:rPr>
        <w:t xml:space="preserve"> Section </w:t>
      </w:r>
      <w:r w:rsidR="00B77BFD" w:rsidRPr="00B77BFD">
        <w:rPr>
          <w:rFonts w:eastAsia="Arial" w:cs="Arial"/>
        </w:rPr>
        <w:t>52064.5(e)(2)</w:t>
      </w:r>
      <w:r>
        <w:rPr>
          <w:rFonts w:eastAsia="Arial" w:cs="Arial"/>
        </w:rPr>
        <w:t xml:space="preserve"> the California Department of Education </w:t>
      </w:r>
      <w:r w:rsidR="00736CC1">
        <w:rPr>
          <w:rFonts w:eastAsia="Arial" w:cs="Arial"/>
        </w:rPr>
        <w:t xml:space="preserve">(CDE) </w:t>
      </w:r>
      <w:r>
        <w:rPr>
          <w:rFonts w:eastAsia="Arial" w:cs="Arial"/>
        </w:rPr>
        <w:t>is working with education</w:t>
      </w:r>
      <w:r w:rsidR="004A1652">
        <w:rPr>
          <w:rFonts w:eastAsia="Arial" w:cs="Arial"/>
        </w:rPr>
        <w:t>al</w:t>
      </w:r>
      <w:r>
        <w:rPr>
          <w:rFonts w:eastAsia="Arial" w:cs="Arial"/>
        </w:rPr>
        <w:t xml:space="preserve"> partners to obtain feedback on</w:t>
      </w:r>
      <w:r w:rsidR="006B6275">
        <w:rPr>
          <w:rFonts w:eastAsia="Arial" w:cs="Arial"/>
        </w:rPr>
        <w:t xml:space="preserve"> the following:</w:t>
      </w:r>
    </w:p>
    <w:p w14:paraId="310C29C9" w14:textId="159E71C5" w:rsidR="00C530C5" w:rsidRPr="006B6275" w:rsidRDefault="00C530C5" w:rsidP="006B6275">
      <w:pPr>
        <w:pStyle w:val="ListParagraph"/>
        <w:numPr>
          <w:ilvl w:val="0"/>
          <w:numId w:val="24"/>
        </w:numPr>
        <w:rPr>
          <w:rFonts w:eastAsia="Arial" w:cs="Arial"/>
        </w:rPr>
      </w:pPr>
      <w:r w:rsidRPr="006B6275">
        <w:rPr>
          <w:rFonts w:eastAsia="Arial" w:cs="Arial"/>
        </w:rPr>
        <w:t>Add</w:t>
      </w:r>
      <w:r w:rsidR="006B6275">
        <w:rPr>
          <w:rFonts w:eastAsia="Arial" w:cs="Arial"/>
        </w:rPr>
        <w:t>ing</w:t>
      </w:r>
      <w:r w:rsidRPr="006B6275">
        <w:rPr>
          <w:rFonts w:eastAsia="Arial" w:cs="Arial"/>
        </w:rPr>
        <w:t xml:space="preserve"> “Teachers” information tile on district and school homepage (separate from Priority 1 tile)</w:t>
      </w:r>
      <w:r w:rsidR="004177CF">
        <w:rPr>
          <w:rFonts w:eastAsia="Arial" w:cs="Arial"/>
        </w:rPr>
        <w:t>.</w:t>
      </w:r>
    </w:p>
    <w:p w14:paraId="3EB94FDF" w14:textId="0B336D74" w:rsidR="00FC53E0" w:rsidRDefault="00C530C5" w:rsidP="00BF5246">
      <w:pPr>
        <w:numPr>
          <w:ilvl w:val="0"/>
          <w:numId w:val="23"/>
        </w:numPr>
        <w:tabs>
          <w:tab w:val="num" w:pos="1440"/>
        </w:tabs>
        <w:rPr>
          <w:rFonts w:eastAsia="Arial" w:cs="Arial"/>
        </w:rPr>
      </w:pPr>
      <w:r w:rsidRPr="00C530C5">
        <w:rPr>
          <w:rFonts w:eastAsia="Arial" w:cs="Arial"/>
        </w:rPr>
        <w:t>Add</w:t>
      </w:r>
      <w:r w:rsidR="006B6275">
        <w:rPr>
          <w:rFonts w:eastAsia="Arial" w:cs="Arial"/>
        </w:rPr>
        <w:t>ing</w:t>
      </w:r>
      <w:r w:rsidRPr="00C530C5">
        <w:rPr>
          <w:rFonts w:eastAsia="Arial" w:cs="Arial"/>
        </w:rPr>
        <w:t xml:space="preserve"> on “View More Details” link (2</w:t>
      </w:r>
      <w:r w:rsidRPr="00C530C5">
        <w:rPr>
          <w:rFonts w:eastAsia="Arial" w:cs="Arial"/>
          <w:vertAlign w:val="superscript"/>
        </w:rPr>
        <w:t>nd</w:t>
      </w:r>
      <w:r w:rsidRPr="00C530C5">
        <w:rPr>
          <w:rFonts w:eastAsia="Arial" w:cs="Arial"/>
        </w:rPr>
        <w:t xml:space="preserve"> page of Dashboard) a new table that provides Intra-District Comparison of Schools</w:t>
      </w:r>
      <w:r w:rsidR="2EF8B404" w:rsidRPr="792B2527">
        <w:rPr>
          <w:rFonts w:eastAsia="Arial" w:cs="Arial"/>
        </w:rPr>
        <w:t>, as appropriate.</w:t>
      </w:r>
      <w:r w:rsidRPr="00C530C5">
        <w:rPr>
          <w:rFonts w:eastAsia="Arial" w:cs="Arial"/>
        </w:rPr>
        <w:t xml:space="preserve"> </w:t>
      </w:r>
    </w:p>
    <w:p w14:paraId="0C00E2DE" w14:textId="15F34589" w:rsidR="001B3C74" w:rsidRDefault="00736CC1" w:rsidP="00BD7405">
      <w:pPr>
        <w:rPr>
          <w:rFonts w:eastAsia="Arial" w:cs="Arial"/>
        </w:rPr>
      </w:pPr>
      <w:r>
        <w:rPr>
          <w:rFonts w:eastAsia="Arial" w:cs="Arial"/>
        </w:rPr>
        <w:t xml:space="preserve">The CDE will continue to engage with the field </w:t>
      </w:r>
      <w:r w:rsidR="00A76CF0">
        <w:rPr>
          <w:rFonts w:eastAsia="Arial" w:cs="Arial"/>
        </w:rPr>
        <w:t>and bring this feedback to the SBE for potential action at their July 2025 meeting.</w:t>
      </w:r>
    </w:p>
    <w:p w14:paraId="6E44F294" w14:textId="77777777" w:rsidR="001B3C74" w:rsidRDefault="001B3C74" w:rsidP="001B3C74">
      <w:pPr>
        <w:tabs>
          <w:tab w:val="num" w:pos="1440"/>
        </w:tabs>
        <w:rPr>
          <w:rFonts w:eastAsia="Arial" w:cs="Arial"/>
        </w:rPr>
        <w:sectPr w:rsidR="001B3C74" w:rsidSect="0089621B">
          <w:headerReference w:type="default" r:id="rId149"/>
          <w:pgSz w:w="12240" w:h="15840"/>
          <w:pgMar w:top="1440" w:right="1440" w:bottom="1440" w:left="1440" w:header="720" w:footer="720" w:gutter="0"/>
          <w:pgNumType w:start="1"/>
          <w:cols w:space="720"/>
          <w:docGrid w:linePitch="360"/>
        </w:sectPr>
      </w:pPr>
    </w:p>
    <w:p w14:paraId="1EF60EA4" w14:textId="5D275551" w:rsidR="00512F6B" w:rsidRPr="00A92916" w:rsidRDefault="327B777F" w:rsidP="00A92916">
      <w:pPr>
        <w:pStyle w:val="Heading1"/>
        <w:jc w:val="left"/>
        <w:rPr>
          <w:sz w:val="36"/>
          <w:szCs w:val="28"/>
        </w:rPr>
      </w:pPr>
      <w:r w:rsidRPr="00A92916">
        <w:rPr>
          <w:sz w:val="36"/>
          <w:szCs w:val="28"/>
        </w:rPr>
        <w:lastRenderedPageBreak/>
        <w:t xml:space="preserve">Attachment </w:t>
      </w:r>
      <w:r w:rsidR="3882B40E" w:rsidRPr="00A92916">
        <w:rPr>
          <w:sz w:val="36"/>
          <w:szCs w:val="28"/>
        </w:rPr>
        <w:t>7</w:t>
      </w:r>
    </w:p>
    <w:p w14:paraId="1B18A5DF" w14:textId="24BD780A" w:rsidR="6DD91C24" w:rsidRDefault="6DD91C24" w:rsidP="00A92916">
      <w:pPr>
        <w:pStyle w:val="Heading2"/>
      </w:pPr>
      <w:r w:rsidRPr="5F48C630">
        <w:t>California School Dashboard Educational Outreach Activities</w:t>
      </w:r>
    </w:p>
    <w:p w14:paraId="720B0FF1" w14:textId="314683B3" w:rsidR="6DD91C24" w:rsidRDefault="6DD91C24" w:rsidP="00A92916">
      <w:pPr>
        <w:pStyle w:val="Heading3"/>
        <w:rPr>
          <w:rFonts w:eastAsia="Arial" w:cs="Arial"/>
          <w:bCs/>
          <w:i/>
          <w:iCs/>
          <w:color w:val="000000" w:themeColor="text1"/>
          <w:sz w:val="28"/>
          <w:szCs w:val="28"/>
        </w:rPr>
      </w:pPr>
      <w:r w:rsidRPr="5F48C630">
        <w:t xml:space="preserve">Table </w:t>
      </w:r>
      <w:r w:rsidR="00372C0F">
        <w:t>1</w:t>
      </w:r>
      <w:r w:rsidRPr="5F48C630">
        <w:t>: California Department of Education Policy Work Group Meetings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1: California Department of Education Policy Work Group Meetings"/>
        <w:tblDescription w:val="Table 1: California Department of Education Policy Work Group Meetings"/>
      </w:tblPr>
      <w:tblGrid>
        <w:gridCol w:w="1395"/>
        <w:gridCol w:w="4710"/>
        <w:gridCol w:w="6570"/>
      </w:tblGrid>
      <w:tr w:rsidR="5F48C630" w14:paraId="295BD2CC" w14:textId="77777777" w:rsidTr="00A92916">
        <w:trPr>
          <w:cantSplit/>
          <w:trHeight w:val="300"/>
          <w:tblHeader/>
        </w:trPr>
        <w:tc>
          <w:tcPr>
            <w:tcW w:w="1395"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4829B809" w14:textId="45E1B3C5" w:rsidR="5F48C630" w:rsidRDefault="5F48C630" w:rsidP="00BD7405">
            <w:pPr>
              <w:spacing w:before="100" w:beforeAutospacing="1" w:after="100" w:afterAutospacing="1"/>
              <w:jc w:val="center"/>
              <w:rPr>
                <w:rFonts w:eastAsia="Arial" w:cs="Arial"/>
              </w:rPr>
            </w:pPr>
            <w:r w:rsidRPr="5F48C630">
              <w:rPr>
                <w:rFonts w:eastAsia="Arial" w:cs="Arial"/>
                <w:b/>
                <w:bCs/>
              </w:rPr>
              <w:t>Date</w:t>
            </w:r>
          </w:p>
        </w:tc>
        <w:tc>
          <w:tcPr>
            <w:tcW w:w="471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30A1CD05" w14:textId="71554969" w:rsidR="5F48C630" w:rsidRDefault="5F48C630" w:rsidP="00BD7405">
            <w:pPr>
              <w:spacing w:before="100" w:beforeAutospacing="1" w:after="100" w:afterAutospacing="1"/>
              <w:jc w:val="center"/>
              <w:rPr>
                <w:rFonts w:eastAsia="Arial" w:cs="Arial"/>
              </w:rPr>
            </w:pPr>
            <w:r w:rsidRPr="5F48C630">
              <w:rPr>
                <w:rFonts w:eastAsia="Arial" w:cs="Arial"/>
                <w:b/>
                <w:bCs/>
              </w:rPr>
              <w:t>Title</w:t>
            </w:r>
          </w:p>
        </w:tc>
        <w:tc>
          <w:tcPr>
            <w:tcW w:w="657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06BBE3A2" w14:textId="47D28732" w:rsidR="5F48C630" w:rsidRDefault="5F48C630" w:rsidP="00BD7405">
            <w:pPr>
              <w:spacing w:before="100" w:beforeAutospacing="1" w:after="100" w:afterAutospacing="1"/>
              <w:jc w:val="center"/>
              <w:rPr>
                <w:rFonts w:eastAsia="Arial" w:cs="Arial"/>
              </w:rPr>
            </w:pPr>
            <w:r w:rsidRPr="5F48C630">
              <w:rPr>
                <w:rFonts w:eastAsia="Arial" w:cs="Arial"/>
                <w:b/>
                <w:bCs/>
              </w:rPr>
              <w:t>Topics</w:t>
            </w:r>
          </w:p>
        </w:tc>
      </w:tr>
      <w:tr w:rsidR="5F48C630" w14:paraId="782E9B47"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14F8ED" w14:textId="3B71E81C" w:rsidR="56185A24" w:rsidRPr="00FF256F" w:rsidRDefault="56185A24" w:rsidP="00BD7405">
            <w:pPr>
              <w:spacing w:before="100" w:beforeAutospacing="1" w:after="100" w:afterAutospacing="1"/>
              <w:jc w:val="right"/>
              <w:rPr>
                <w:rFonts w:asciiTheme="minorBidi" w:hAnsiTheme="minorBidi" w:cstheme="minorBidi"/>
              </w:rPr>
            </w:pPr>
            <w:r w:rsidRPr="00FF256F">
              <w:rPr>
                <w:rFonts w:asciiTheme="minorBidi" w:eastAsia="Arial" w:hAnsiTheme="minorBidi" w:cstheme="minorBidi"/>
                <w:color w:val="000000" w:themeColor="text1"/>
              </w:rPr>
              <w:t>2/19/2025</w:t>
            </w:r>
          </w:p>
        </w:tc>
        <w:tc>
          <w:tcPr>
            <w:tcW w:w="471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ACE342" w14:textId="38650DC0" w:rsidR="56185A24" w:rsidRPr="004177CF" w:rsidRDefault="56185A24" w:rsidP="00BD7405">
            <w:pPr>
              <w:spacing w:before="100" w:beforeAutospacing="1" w:after="100" w:afterAutospacing="1"/>
              <w:jc w:val="center"/>
              <w:rPr>
                <w:rFonts w:asciiTheme="minorBidi" w:hAnsiTheme="minorBidi" w:cstheme="minorBidi"/>
              </w:rPr>
            </w:pPr>
            <w:r w:rsidRPr="004177CF">
              <w:rPr>
                <w:rFonts w:asciiTheme="minorBidi" w:eastAsia="Arial" w:hAnsiTheme="minorBidi" w:cstheme="minorBidi"/>
                <w:color w:val="000000" w:themeColor="text1"/>
              </w:rPr>
              <w:t>Technical Design Group (TDG)</w:t>
            </w:r>
          </w:p>
        </w:tc>
        <w:tc>
          <w:tcPr>
            <w:tcW w:w="6570" w:type="dxa"/>
            <w:tcBorders>
              <w:top w:val="single" w:sz="6" w:space="0" w:color="auto"/>
              <w:left w:val="single" w:sz="6" w:space="0" w:color="auto"/>
              <w:bottom w:val="single" w:sz="6" w:space="0" w:color="auto"/>
              <w:right w:val="single" w:sz="6" w:space="0" w:color="auto"/>
            </w:tcBorders>
            <w:tcMar>
              <w:left w:w="90" w:type="dxa"/>
              <w:right w:w="90" w:type="dxa"/>
            </w:tcMar>
          </w:tcPr>
          <w:p w14:paraId="513DA7D7" w14:textId="2F9EB36C" w:rsidR="5F48C630" w:rsidRPr="00FF256F" w:rsidRDefault="5F48C630"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2024 Dashboard Release, 2025 Accountability Workplan</w:t>
            </w:r>
          </w:p>
        </w:tc>
      </w:tr>
      <w:tr w:rsidR="6FE4BC72" w14:paraId="64197DAC" w14:textId="77777777" w:rsidTr="00A92916">
        <w:trPr>
          <w:cantSplit/>
          <w:trHeight w:val="408"/>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7E466A" w14:textId="72C64F02" w:rsidR="13A7CC6B" w:rsidRPr="00FF256F" w:rsidRDefault="13A7CC6B"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3/19/25</w:t>
            </w:r>
          </w:p>
        </w:tc>
        <w:tc>
          <w:tcPr>
            <w:tcW w:w="471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BF55BD" w14:textId="5A7EF08B" w:rsidR="6FE4BC72" w:rsidRPr="004177CF" w:rsidRDefault="13A7CC6B" w:rsidP="00BD7405">
            <w:pPr>
              <w:spacing w:before="100" w:beforeAutospacing="1" w:after="100" w:afterAutospacing="1"/>
              <w:jc w:val="center"/>
              <w:rPr>
                <w:rFonts w:asciiTheme="minorBidi" w:eastAsia="Arial" w:hAnsiTheme="minorBidi" w:cstheme="minorBidi"/>
                <w:color w:val="000000" w:themeColor="text1"/>
              </w:rPr>
            </w:pPr>
            <w:r w:rsidRPr="004177CF">
              <w:rPr>
                <w:rFonts w:asciiTheme="minorBidi" w:eastAsia="Arial" w:hAnsiTheme="minorBidi" w:cstheme="minorBidi"/>
                <w:color w:val="000000" w:themeColor="text1"/>
              </w:rPr>
              <w:t>TDG</w:t>
            </w:r>
          </w:p>
        </w:tc>
        <w:tc>
          <w:tcPr>
            <w:tcW w:w="6570" w:type="dxa"/>
            <w:tcBorders>
              <w:top w:val="single" w:sz="6" w:space="0" w:color="auto"/>
              <w:left w:val="single" w:sz="6" w:space="0" w:color="auto"/>
              <w:bottom w:val="single" w:sz="6" w:space="0" w:color="auto"/>
              <w:right w:val="single" w:sz="6" w:space="0" w:color="auto"/>
            </w:tcBorders>
            <w:tcMar>
              <w:left w:w="90" w:type="dxa"/>
              <w:right w:w="90" w:type="dxa"/>
            </w:tcMar>
          </w:tcPr>
          <w:p w14:paraId="6CB8BBD3" w14:textId="5CDE1C6E" w:rsidR="6FE4BC72" w:rsidRPr="00FF256F" w:rsidRDefault="13A7CC6B" w:rsidP="00BD7405">
            <w:pPr>
              <w:spacing w:before="100" w:beforeAutospacing="1" w:after="100" w:afterAutospacing="1"/>
              <w:jc w:val="center"/>
              <w:rPr>
                <w:rFonts w:asciiTheme="minorBidi" w:eastAsia="Arial" w:hAnsiTheme="minorBidi" w:cstheme="minorBidi"/>
              </w:rPr>
            </w:pPr>
            <w:r w:rsidRPr="00FF256F">
              <w:rPr>
                <w:rFonts w:asciiTheme="minorBidi" w:eastAsia="Arial" w:hAnsiTheme="minorBidi" w:cstheme="minorBidi"/>
              </w:rPr>
              <w:t>CCI Data, Growth Category Data, and DASS Criteria</w:t>
            </w:r>
          </w:p>
        </w:tc>
      </w:tr>
      <w:tr w:rsidR="5F48C630" w14:paraId="2E9B5300" w14:textId="77777777" w:rsidTr="00A92916">
        <w:trPr>
          <w:cantSplit/>
          <w:trHeight w:val="408"/>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A57C4A" w14:textId="3BF40E8B" w:rsidR="5F48C630" w:rsidRPr="00FF256F" w:rsidRDefault="50FF27F4"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4/14/25</w:t>
            </w:r>
          </w:p>
        </w:tc>
        <w:tc>
          <w:tcPr>
            <w:tcW w:w="471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8FFD0D" w14:textId="4C299930" w:rsidR="5F48C630" w:rsidRPr="004177CF" w:rsidRDefault="50FF27F4" w:rsidP="00BD7405">
            <w:pPr>
              <w:spacing w:before="100" w:beforeAutospacing="1" w:after="100" w:afterAutospacing="1"/>
              <w:jc w:val="center"/>
              <w:rPr>
                <w:rFonts w:asciiTheme="minorBidi" w:eastAsia="Arial" w:hAnsiTheme="minorBidi" w:cstheme="minorBidi"/>
                <w:color w:val="000000" w:themeColor="text1"/>
              </w:rPr>
            </w:pPr>
            <w:r w:rsidRPr="004177CF">
              <w:rPr>
                <w:rFonts w:asciiTheme="minorBidi" w:eastAsia="Arial" w:hAnsiTheme="minorBidi" w:cstheme="minorBidi"/>
                <w:color w:val="000000" w:themeColor="text1"/>
              </w:rPr>
              <w:t>TDG</w:t>
            </w:r>
          </w:p>
        </w:tc>
        <w:tc>
          <w:tcPr>
            <w:tcW w:w="6570" w:type="dxa"/>
            <w:tcBorders>
              <w:top w:val="single" w:sz="6" w:space="0" w:color="auto"/>
              <w:left w:val="single" w:sz="6" w:space="0" w:color="auto"/>
              <w:bottom w:val="single" w:sz="6" w:space="0" w:color="auto"/>
              <w:right w:val="single" w:sz="6" w:space="0" w:color="auto"/>
            </w:tcBorders>
            <w:tcMar>
              <w:left w:w="90" w:type="dxa"/>
              <w:right w:w="90" w:type="dxa"/>
            </w:tcMar>
          </w:tcPr>
          <w:p w14:paraId="7F562D95" w14:textId="13CC8682" w:rsidR="5F48C630" w:rsidRPr="00FF256F" w:rsidRDefault="50FF27F4" w:rsidP="00BD7405">
            <w:pPr>
              <w:spacing w:before="100" w:beforeAutospacing="1" w:after="100" w:afterAutospacing="1"/>
              <w:jc w:val="center"/>
              <w:rPr>
                <w:rFonts w:asciiTheme="minorBidi" w:eastAsia="Arial" w:hAnsiTheme="minorBidi" w:cstheme="minorBidi"/>
              </w:rPr>
            </w:pPr>
            <w:r w:rsidRPr="00FF256F">
              <w:rPr>
                <w:rFonts w:asciiTheme="minorBidi" w:eastAsia="Arial" w:hAnsiTheme="minorBidi" w:cstheme="minorBidi"/>
              </w:rPr>
              <w:t>LTEL Data Review and Impact of Science on DA/ESSA</w:t>
            </w:r>
          </w:p>
        </w:tc>
      </w:tr>
    </w:tbl>
    <w:p w14:paraId="0C498203" w14:textId="24BAE4A0" w:rsidR="7981F8F1" w:rsidRPr="00A92916" w:rsidRDefault="7981F8F1" w:rsidP="00A92916">
      <w:pPr>
        <w:pStyle w:val="Heading3"/>
      </w:pPr>
      <w:r w:rsidRPr="00A92916">
        <w:t>Table 2: Presentations at In-person Meetings/Conferences</w:t>
      </w:r>
    </w:p>
    <w:tbl>
      <w:tblPr>
        <w:tblStyle w:val="TableGrid"/>
        <w:tblW w:w="127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2: Presentations at In-person Meetings/Conferences"/>
        <w:tblDescription w:val="Table 2: Presentations at In-person Meetings/Conferences"/>
      </w:tblPr>
      <w:tblGrid>
        <w:gridCol w:w="1372"/>
        <w:gridCol w:w="3278"/>
        <w:gridCol w:w="1620"/>
        <w:gridCol w:w="6510"/>
      </w:tblGrid>
      <w:tr w:rsidR="5F48C630" w14:paraId="3DFC8B46" w14:textId="77777777" w:rsidTr="00A92916">
        <w:trPr>
          <w:cantSplit/>
          <w:trHeight w:val="300"/>
          <w:tblHeader/>
        </w:trPr>
        <w:tc>
          <w:tcPr>
            <w:tcW w:w="1372"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27016AEE" w14:textId="3C69E825" w:rsidR="5F48C630" w:rsidRDefault="5F48C630" w:rsidP="00BD7405">
            <w:pPr>
              <w:spacing w:before="100" w:beforeAutospacing="1" w:after="100" w:afterAutospacing="1"/>
              <w:jc w:val="center"/>
              <w:rPr>
                <w:rFonts w:eastAsia="Arial" w:cs="Arial"/>
              </w:rPr>
            </w:pPr>
            <w:r w:rsidRPr="5F48C630">
              <w:rPr>
                <w:rFonts w:eastAsia="Arial" w:cs="Arial"/>
                <w:b/>
                <w:bCs/>
              </w:rPr>
              <w:t>Date</w:t>
            </w:r>
          </w:p>
        </w:tc>
        <w:tc>
          <w:tcPr>
            <w:tcW w:w="3278"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079F5A08" w14:textId="1674B883" w:rsidR="5F48C630" w:rsidRDefault="5F48C630" w:rsidP="00BD7405">
            <w:pPr>
              <w:spacing w:before="100" w:beforeAutospacing="1" w:after="100" w:afterAutospacing="1"/>
              <w:jc w:val="center"/>
              <w:rPr>
                <w:rFonts w:eastAsia="Arial" w:cs="Arial"/>
              </w:rPr>
            </w:pPr>
            <w:r w:rsidRPr="5F48C630">
              <w:rPr>
                <w:rFonts w:eastAsia="Arial" w:cs="Arial"/>
                <w:b/>
                <w:bCs/>
              </w:rPr>
              <w:t>Title</w:t>
            </w:r>
          </w:p>
        </w:tc>
        <w:tc>
          <w:tcPr>
            <w:tcW w:w="162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2D121910" w14:textId="4431943A" w:rsidR="5F48C630" w:rsidRDefault="5F48C630" w:rsidP="00BD7405">
            <w:pPr>
              <w:spacing w:before="100" w:beforeAutospacing="1" w:after="100" w:afterAutospacing="1"/>
              <w:jc w:val="center"/>
              <w:rPr>
                <w:rFonts w:eastAsia="Arial" w:cs="Arial"/>
              </w:rPr>
            </w:pPr>
            <w:r w:rsidRPr="5F48C630">
              <w:rPr>
                <w:rFonts w:eastAsia="Arial" w:cs="Arial"/>
                <w:b/>
                <w:bCs/>
              </w:rPr>
              <w:t>Estimated Number of Attendees</w:t>
            </w:r>
          </w:p>
        </w:tc>
        <w:tc>
          <w:tcPr>
            <w:tcW w:w="651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5165FC1D" w14:textId="12E868C3" w:rsidR="5F48C630" w:rsidRDefault="5F48C630" w:rsidP="00BD7405">
            <w:pPr>
              <w:spacing w:before="100" w:beforeAutospacing="1" w:after="100" w:afterAutospacing="1"/>
              <w:jc w:val="center"/>
              <w:rPr>
                <w:rFonts w:eastAsia="Arial" w:cs="Arial"/>
              </w:rPr>
            </w:pPr>
            <w:r w:rsidRPr="5F48C630">
              <w:rPr>
                <w:rFonts w:eastAsia="Arial" w:cs="Arial"/>
                <w:b/>
                <w:bCs/>
              </w:rPr>
              <w:t>Topics</w:t>
            </w:r>
          </w:p>
        </w:tc>
      </w:tr>
      <w:tr w:rsidR="5F48C630" w14:paraId="651FC5F8" w14:textId="77777777" w:rsidTr="00A92916">
        <w:trPr>
          <w:cantSplit/>
          <w:trHeight w:val="300"/>
        </w:trPr>
        <w:tc>
          <w:tcPr>
            <w:tcW w:w="13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5D84E6" w14:textId="39A30E0D" w:rsidR="56185A24" w:rsidRPr="00FF256F" w:rsidRDefault="56185A24" w:rsidP="00BD7405">
            <w:pPr>
              <w:spacing w:before="100" w:beforeAutospacing="1" w:after="100" w:afterAutospacing="1"/>
              <w:jc w:val="right"/>
              <w:rPr>
                <w:rFonts w:asciiTheme="minorBidi" w:hAnsiTheme="minorBidi" w:cstheme="minorBidi"/>
              </w:rPr>
            </w:pPr>
            <w:r w:rsidRPr="00FF256F">
              <w:rPr>
                <w:rFonts w:asciiTheme="minorBidi" w:eastAsia="Arial" w:hAnsiTheme="minorBidi" w:cstheme="minorBidi"/>
                <w:color w:val="000000" w:themeColor="text1"/>
              </w:rPr>
              <w:t>3/12/2025</w:t>
            </w:r>
          </w:p>
        </w:tc>
        <w:tc>
          <w:tcPr>
            <w:tcW w:w="32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2327CD" w14:textId="27EE17B0" w:rsidR="56185A24" w:rsidRPr="00BD7405" w:rsidRDefault="56185A24" w:rsidP="00BD7405">
            <w:pPr>
              <w:spacing w:before="100" w:beforeAutospacing="1" w:after="100" w:afterAutospacing="1"/>
              <w:jc w:val="center"/>
              <w:rPr>
                <w:rFonts w:asciiTheme="minorBidi" w:hAnsiTheme="minorBidi" w:cstheme="minorBidi"/>
              </w:rPr>
            </w:pPr>
            <w:r w:rsidRPr="00BD7405">
              <w:rPr>
                <w:rFonts w:asciiTheme="minorBidi" w:eastAsia="Arial" w:hAnsiTheme="minorBidi" w:cstheme="minorBidi"/>
                <w:color w:val="000000" w:themeColor="text1"/>
              </w:rPr>
              <w:t>All Titles Conference</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E61149" w14:textId="21606A6B" w:rsidR="5F48C630" w:rsidRPr="00FF256F" w:rsidRDefault="315E4CE8"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45</w:t>
            </w:r>
          </w:p>
        </w:tc>
        <w:tc>
          <w:tcPr>
            <w:tcW w:w="6510" w:type="dxa"/>
            <w:tcBorders>
              <w:top w:val="single" w:sz="6" w:space="0" w:color="auto"/>
              <w:left w:val="single" w:sz="6" w:space="0" w:color="auto"/>
              <w:bottom w:val="single" w:sz="6" w:space="0" w:color="auto"/>
              <w:right w:val="single" w:sz="6" w:space="0" w:color="auto"/>
            </w:tcBorders>
            <w:tcMar>
              <w:left w:w="90" w:type="dxa"/>
              <w:right w:w="90" w:type="dxa"/>
            </w:tcMar>
          </w:tcPr>
          <w:p w14:paraId="0A5585D6" w14:textId="4FBF157E" w:rsidR="5F48C630" w:rsidRPr="00FF256F" w:rsidRDefault="315E4CE8"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Dashboard 101</w:t>
            </w:r>
          </w:p>
        </w:tc>
      </w:tr>
      <w:tr w:rsidR="56185A24" w14:paraId="5E76F04C" w14:textId="77777777" w:rsidTr="00A92916">
        <w:trPr>
          <w:cantSplit/>
          <w:trHeight w:val="300"/>
        </w:trPr>
        <w:tc>
          <w:tcPr>
            <w:tcW w:w="13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7D1739" w14:textId="668E0409" w:rsidR="56185A24" w:rsidRPr="00FF256F" w:rsidRDefault="56185A24" w:rsidP="00BD7405">
            <w:pPr>
              <w:spacing w:before="100" w:beforeAutospacing="1" w:after="100" w:afterAutospacing="1"/>
              <w:jc w:val="right"/>
              <w:rPr>
                <w:rFonts w:asciiTheme="minorBidi" w:eastAsia="Arial" w:hAnsiTheme="minorBidi" w:cstheme="minorBidi"/>
                <w:color w:val="000000" w:themeColor="text1"/>
              </w:rPr>
            </w:pPr>
            <w:r w:rsidRPr="00FF256F">
              <w:rPr>
                <w:rFonts w:asciiTheme="minorBidi" w:eastAsiaTheme="minorEastAsia" w:hAnsiTheme="minorBidi" w:cstheme="minorBidi"/>
                <w:color w:val="000000" w:themeColor="text1"/>
              </w:rPr>
              <w:t>2/26/2025</w:t>
            </w:r>
          </w:p>
        </w:tc>
        <w:tc>
          <w:tcPr>
            <w:tcW w:w="32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004566" w14:textId="2BFD2594" w:rsidR="56185A24" w:rsidRPr="00BD7405" w:rsidRDefault="56185A24" w:rsidP="00BD7405">
            <w:pPr>
              <w:spacing w:before="100" w:beforeAutospacing="1" w:after="100" w:afterAutospacing="1"/>
              <w:jc w:val="center"/>
              <w:rPr>
                <w:rFonts w:asciiTheme="minorBidi" w:hAnsiTheme="minorBidi" w:cstheme="minorBidi"/>
              </w:rPr>
            </w:pPr>
            <w:r w:rsidRPr="00BD7405">
              <w:rPr>
                <w:rFonts w:asciiTheme="minorBidi" w:eastAsia="Arial" w:hAnsiTheme="minorBidi" w:cstheme="minorBidi"/>
                <w:color w:val="000000" w:themeColor="text1"/>
              </w:rPr>
              <w:t>B</w:t>
            </w:r>
            <w:r w:rsidR="002A5051" w:rsidRPr="00BD7405">
              <w:rPr>
                <w:rFonts w:asciiTheme="minorBidi" w:eastAsia="Arial" w:hAnsiTheme="minorBidi" w:cstheme="minorBidi"/>
                <w:color w:val="000000" w:themeColor="text1"/>
              </w:rPr>
              <w:t xml:space="preserve">ilingual </w:t>
            </w:r>
            <w:r w:rsidRPr="00BD7405">
              <w:rPr>
                <w:rFonts w:asciiTheme="minorBidi" w:eastAsia="Arial" w:hAnsiTheme="minorBidi" w:cstheme="minorBidi"/>
                <w:color w:val="000000" w:themeColor="text1"/>
              </w:rPr>
              <w:t>C</w:t>
            </w:r>
            <w:r w:rsidR="002A5051" w:rsidRPr="00BD7405">
              <w:rPr>
                <w:rFonts w:asciiTheme="minorBidi" w:eastAsia="Arial" w:hAnsiTheme="minorBidi" w:cstheme="minorBidi"/>
                <w:color w:val="000000" w:themeColor="text1"/>
              </w:rPr>
              <w:t xml:space="preserve">oordinators </w:t>
            </w:r>
            <w:r w:rsidRPr="00BD7405">
              <w:rPr>
                <w:rFonts w:asciiTheme="minorBidi" w:eastAsia="Arial" w:hAnsiTheme="minorBidi" w:cstheme="minorBidi"/>
                <w:color w:val="000000" w:themeColor="text1"/>
              </w:rPr>
              <w:t>N</w:t>
            </w:r>
            <w:r w:rsidR="002A5051" w:rsidRPr="00BD7405">
              <w:rPr>
                <w:rFonts w:asciiTheme="minorBidi" w:eastAsia="Arial" w:hAnsiTheme="minorBidi" w:cstheme="minorBidi"/>
                <w:color w:val="000000" w:themeColor="text1"/>
              </w:rPr>
              <w:t>etwork</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1F69AF" w14:textId="7288F17C" w:rsidR="633819D1" w:rsidRPr="00FF256F" w:rsidRDefault="633819D1"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100</w:t>
            </w:r>
          </w:p>
        </w:tc>
        <w:tc>
          <w:tcPr>
            <w:tcW w:w="6510" w:type="dxa"/>
            <w:tcBorders>
              <w:top w:val="single" w:sz="6" w:space="0" w:color="auto"/>
              <w:left w:val="single" w:sz="6" w:space="0" w:color="auto"/>
              <w:bottom w:val="single" w:sz="6" w:space="0" w:color="auto"/>
              <w:right w:val="single" w:sz="6" w:space="0" w:color="auto"/>
            </w:tcBorders>
            <w:tcMar>
              <w:left w:w="90" w:type="dxa"/>
              <w:right w:w="90" w:type="dxa"/>
            </w:tcMar>
          </w:tcPr>
          <w:p w14:paraId="528489A2" w14:textId="1A3C5E1E" w:rsidR="56185A24" w:rsidRPr="00FF256F" w:rsidRDefault="56185A24" w:rsidP="00BD7405">
            <w:pPr>
              <w:spacing w:before="100" w:beforeAutospacing="1" w:after="100" w:afterAutospacing="1"/>
              <w:rPr>
                <w:rFonts w:asciiTheme="minorBidi" w:eastAsia="Arial" w:hAnsiTheme="minorBidi" w:cstheme="minorBidi"/>
                <w:color w:val="000000" w:themeColor="text1"/>
              </w:rPr>
            </w:pPr>
            <w:r w:rsidRPr="00FF256F">
              <w:rPr>
                <w:rFonts w:asciiTheme="minorBidi" w:eastAsiaTheme="minorEastAsia" w:hAnsiTheme="minorBidi" w:cstheme="minorBidi"/>
                <w:color w:val="000000" w:themeColor="text1"/>
              </w:rPr>
              <w:t xml:space="preserve">2024 Support Determinations: LCFF and ESSA </w:t>
            </w:r>
            <w:r w:rsidR="74BF0A7F" w:rsidRPr="00FF256F">
              <w:rPr>
                <w:rFonts w:asciiTheme="minorBidi" w:eastAsiaTheme="minorEastAsia" w:hAnsiTheme="minorBidi" w:cstheme="minorBidi"/>
                <w:color w:val="000000" w:themeColor="text1"/>
              </w:rPr>
              <w:t>Assistance</w:t>
            </w:r>
            <w:r w:rsidRPr="00FF256F">
              <w:rPr>
                <w:rFonts w:asciiTheme="minorBidi" w:eastAsiaTheme="minorEastAsia" w:hAnsiTheme="minorBidi" w:cstheme="minorBidi"/>
                <w:color w:val="000000" w:themeColor="text1"/>
              </w:rPr>
              <w:t xml:space="preserve"> Determinations, and the 2025 accountability Workplan</w:t>
            </w:r>
          </w:p>
        </w:tc>
      </w:tr>
      <w:tr w:rsidR="56185A24" w14:paraId="529F7CB5" w14:textId="77777777" w:rsidTr="00A92916">
        <w:trPr>
          <w:cantSplit/>
          <w:trHeight w:val="300"/>
        </w:trPr>
        <w:tc>
          <w:tcPr>
            <w:tcW w:w="13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69FDA3" w14:textId="42A0FDE2" w:rsidR="56185A24" w:rsidRPr="004177CF" w:rsidRDefault="00BD7405" w:rsidP="00BD7405">
            <w:pPr>
              <w:spacing w:before="100" w:beforeAutospacing="1" w:after="100" w:afterAutospacing="1"/>
              <w:jc w:val="center"/>
              <w:rPr>
                <w:rFonts w:asciiTheme="minorBidi" w:hAnsiTheme="minorBidi" w:cstheme="minorBidi"/>
              </w:rPr>
            </w:pPr>
            <w:r w:rsidRPr="004177CF">
              <w:rPr>
                <w:rFonts w:asciiTheme="minorBidi" w:eastAsia="Arial" w:hAnsiTheme="minorBidi" w:cstheme="minorBidi"/>
                <w:color w:val="000000" w:themeColor="text1"/>
              </w:rPr>
              <w:t>3/2</w:t>
            </w:r>
            <w:r w:rsidR="56185A24" w:rsidRPr="004177CF">
              <w:rPr>
                <w:rFonts w:asciiTheme="minorBidi" w:eastAsia="Arial" w:hAnsiTheme="minorBidi" w:cstheme="minorBidi"/>
                <w:color w:val="000000" w:themeColor="text1"/>
              </w:rPr>
              <w:t>1-29</w:t>
            </w:r>
            <w:r w:rsidRPr="004177CF">
              <w:rPr>
                <w:rFonts w:asciiTheme="minorBidi" w:eastAsia="Arial" w:hAnsiTheme="minorBidi" w:cstheme="minorBidi"/>
                <w:color w:val="000000" w:themeColor="text1"/>
              </w:rPr>
              <w:t>/2025</w:t>
            </w:r>
          </w:p>
        </w:tc>
        <w:tc>
          <w:tcPr>
            <w:tcW w:w="32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D63904" w14:textId="6E5C1766" w:rsidR="56185A24" w:rsidRPr="004177CF" w:rsidRDefault="56185A24" w:rsidP="00BD7405">
            <w:pPr>
              <w:spacing w:before="100" w:beforeAutospacing="1" w:after="100" w:afterAutospacing="1"/>
              <w:jc w:val="center"/>
              <w:rPr>
                <w:rFonts w:asciiTheme="minorBidi" w:hAnsiTheme="minorBidi" w:cstheme="minorBidi"/>
              </w:rPr>
            </w:pPr>
            <w:r w:rsidRPr="004177CF">
              <w:rPr>
                <w:rFonts w:asciiTheme="minorBidi" w:eastAsia="Arial" w:hAnsiTheme="minorBidi" w:cstheme="minorBidi"/>
                <w:color w:val="000000" w:themeColor="text1"/>
              </w:rPr>
              <w:t>California Association for Bilingual Education (CABE)</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43C8BF" w14:textId="1FE0C3B0" w:rsidR="56185A24" w:rsidRPr="00FF256F" w:rsidRDefault="57403C34" w:rsidP="00BD7405">
            <w:pPr>
              <w:spacing w:before="100" w:beforeAutospacing="1" w:after="100" w:afterAutospacing="1"/>
              <w:jc w:val="center"/>
              <w:rPr>
                <w:rFonts w:asciiTheme="minorBidi" w:eastAsia="Arial" w:hAnsiTheme="minorBidi" w:cstheme="minorBidi"/>
                <w:color w:val="000000" w:themeColor="text1"/>
              </w:rPr>
            </w:pPr>
            <w:r w:rsidRPr="33C64F4E">
              <w:rPr>
                <w:rFonts w:asciiTheme="minorBidi" w:eastAsia="Arial" w:hAnsiTheme="minorBidi" w:cstheme="minorBidi"/>
                <w:color w:val="000000" w:themeColor="text1"/>
              </w:rPr>
              <w:t>90</w:t>
            </w:r>
          </w:p>
        </w:tc>
        <w:tc>
          <w:tcPr>
            <w:tcW w:w="6510" w:type="dxa"/>
            <w:tcBorders>
              <w:top w:val="single" w:sz="6" w:space="0" w:color="auto"/>
              <w:left w:val="single" w:sz="6" w:space="0" w:color="auto"/>
              <w:bottom w:val="single" w:sz="6" w:space="0" w:color="auto"/>
              <w:right w:val="single" w:sz="6" w:space="0" w:color="auto"/>
            </w:tcBorders>
            <w:tcMar>
              <w:left w:w="90" w:type="dxa"/>
              <w:right w:w="90" w:type="dxa"/>
            </w:tcMar>
          </w:tcPr>
          <w:p w14:paraId="6C3C28E2" w14:textId="3DE9B066" w:rsidR="56185A24" w:rsidRPr="00FF256F" w:rsidRDefault="56185A24" w:rsidP="00BD7405">
            <w:pPr>
              <w:spacing w:before="100" w:beforeAutospacing="1" w:after="100" w:afterAutospacing="1"/>
              <w:jc w:val="center"/>
              <w:rPr>
                <w:rFonts w:asciiTheme="minorBidi" w:eastAsia="Arial" w:hAnsiTheme="minorBidi" w:cstheme="minorBidi"/>
                <w:color w:val="000000" w:themeColor="text1"/>
              </w:rPr>
            </w:pPr>
            <w:r w:rsidRPr="00FF256F">
              <w:rPr>
                <w:rFonts w:asciiTheme="minorBidi" w:eastAsia="Arial" w:hAnsiTheme="minorBidi" w:cstheme="minorBidi"/>
                <w:color w:val="000000" w:themeColor="text1"/>
              </w:rPr>
              <w:t>English Learner Students and the 202</w:t>
            </w:r>
            <w:r w:rsidR="76AEAE27" w:rsidRPr="00FF256F">
              <w:rPr>
                <w:rFonts w:asciiTheme="minorBidi" w:eastAsia="Arial" w:hAnsiTheme="minorBidi" w:cstheme="minorBidi"/>
                <w:color w:val="000000" w:themeColor="text1"/>
              </w:rPr>
              <w:t>4</w:t>
            </w:r>
            <w:r w:rsidRPr="00FF256F">
              <w:rPr>
                <w:rFonts w:asciiTheme="minorBidi" w:eastAsia="Arial" w:hAnsiTheme="minorBidi" w:cstheme="minorBidi"/>
                <w:color w:val="000000" w:themeColor="text1"/>
              </w:rPr>
              <w:t xml:space="preserve"> Da</w:t>
            </w:r>
            <w:r w:rsidR="00E8629F" w:rsidRPr="00FF256F">
              <w:rPr>
                <w:rFonts w:asciiTheme="minorBidi" w:eastAsia="Arial" w:hAnsiTheme="minorBidi" w:cstheme="minorBidi"/>
                <w:color w:val="000000" w:themeColor="text1"/>
              </w:rPr>
              <w:t>s</w:t>
            </w:r>
            <w:r w:rsidRPr="00FF256F">
              <w:rPr>
                <w:rFonts w:asciiTheme="minorBidi" w:eastAsia="Arial" w:hAnsiTheme="minorBidi" w:cstheme="minorBidi"/>
                <w:color w:val="000000" w:themeColor="text1"/>
              </w:rPr>
              <w:t>hboard</w:t>
            </w:r>
          </w:p>
        </w:tc>
      </w:tr>
      <w:tr w:rsidR="008464C4" w14:paraId="0250EF26" w14:textId="77777777" w:rsidTr="00A92916">
        <w:trPr>
          <w:cantSplit/>
          <w:trHeight w:val="300"/>
        </w:trPr>
        <w:tc>
          <w:tcPr>
            <w:tcW w:w="13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98D33C" w14:textId="332EE66F" w:rsidR="008464C4" w:rsidRPr="004177CF" w:rsidRDefault="008464C4" w:rsidP="00BD7405">
            <w:pPr>
              <w:spacing w:before="100" w:beforeAutospacing="1" w:after="100" w:afterAutospacing="1"/>
              <w:jc w:val="center"/>
              <w:rPr>
                <w:rFonts w:asciiTheme="minorBidi" w:eastAsia="Arial" w:hAnsiTheme="minorBidi" w:cstheme="minorBidi"/>
                <w:color w:val="000000" w:themeColor="text1"/>
              </w:rPr>
            </w:pPr>
            <w:r w:rsidRPr="004177CF">
              <w:rPr>
                <w:rFonts w:cs="Arial"/>
                <w:color w:val="000000"/>
              </w:rPr>
              <w:t>3/25/2025</w:t>
            </w:r>
          </w:p>
        </w:tc>
        <w:tc>
          <w:tcPr>
            <w:tcW w:w="32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EC914A" w14:textId="294B04EC" w:rsidR="008464C4" w:rsidRPr="004177CF" w:rsidRDefault="008464C4" w:rsidP="00BD7405">
            <w:pPr>
              <w:spacing w:before="100" w:beforeAutospacing="1" w:after="100" w:afterAutospacing="1"/>
              <w:jc w:val="center"/>
              <w:rPr>
                <w:rFonts w:asciiTheme="minorBidi" w:eastAsia="Arial" w:hAnsiTheme="minorBidi" w:cstheme="minorBidi"/>
                <w:color w:val="000000" w:themeColor="text1"/>
              </w:rPr>
            </w:pPr>
            <w:r w:rsidRPr="004177CF">
              <w:rPr>
                <w:rFonts w:cs="Arial"/>
                <w:color w:val="000000"/>
              </w:rPr>
              <w:t>Association of California School Administrators - Council of Middle Grades Educational Leaders</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A60F21" w14:textId="101F126A" w:rsidR="1F713DD7" w:rsidRPr="1F713DD7" w:rsidRDefault="1F713DD7" w:rsidP="00BD7405">
            <w:pPr>
              <w:spacing w:before="100" w:beforeAutospacing="1" w:after="100" w:afterAutospacing="1"/>
              <w:jc w:val="center"/>
              <w:rPr>
                <w:rFonts w:eastAsia="Arial" w:cs="Arial"/>
                <w:color w:val="000000" w:themeColor="text1"/>
              </w:rPr>
            </w:pPr>
            <w:r w:rsidRPr="1F713DD7">
              <w:rPr>
                <w:rFonts w:eastAsia="Arial" w:cs="Arial"/>
                <w:color w:val="000000" w:themeColor="text1"/>
              </w:rPr>
              <w:t>8</w:t>
            </w:r>
          </w:p>
        </w:tc>
        <w:tc>
          <w:tcPr>
            <w:tcW w:w="6510" w:type="dxa"/>
            <w:tcBorders>
              <w:top w:val="single" w:sz="6" w:space="0" w:color="auto"/>
              <w:left w:val="single" w:sz="6" w:space="0" w:color="auto"/>
              <w:bottom w:val="single" w:sz="6" w:space="0" w:color="auto"/>
              <w:right w:val="single" w:sz="6" w:space="0" w:color="auto"/>
            </w:tcBorders>
            <w:tcMar>
              <w:left w:w="90" w:type="dxa"/>
              <w:right w:w="90" w:type="dxa"/>
            </w:tcMar>
          </w:tcPr>
          <w:p w14:paraId="3440F564" w14:textId="0B861AED" w:rsidR="1F713DD7" w:rsidRPr="1F713DD7" w:rsidRDefault="1F713DD7" w:rsidP="00BD7405">
            <w:pPr>
              <w:spacing w:before="100" w:beforeAutospacing="1" w:after="100" w:afterAutospacing="1"/>
              <w:jc w:val="center"/>
              <w:rPr>
                <w:rFonts w:eastAsia="Arial" w:cs="Arial"/>
                <w:color w:val="000000" w:themeColor="text1"/>
              </w:rPr>
            </w:pPr>
            <w:r w:rsidRPr="1F713DD7">
              <w:rPr>
                <w:rFonts w:eastAsia="Arial" w:cs="Arial"/>
                <w:color w:val="000000" w:themeColor="text1"/>
              </w:rPr>
              <w:t>Accountability Updates</w:t>
            </w:r>
          </w:p>
        </w:tc>
      </w:tr>
      <w:tr w:rsidR="008464C4" w14:paraId="03CC7FA7" w14:textId="77777777" w:rsidTr="00A92916">
        <w:trPr>
          <w:cantSplit/>
          <w:trHeight w:val="300"/>
        </w:trPr>
        <w:tc>
          <w:tcPr>
            <w:tcW w:w="13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729B12" w14:textId="3E0887FC" w:rsidR="008464C4" w:rsidRPr="00FF256F" w:rsidRDefault="008464C4" w:rsidP="00BD7405">
            <w:pPr>
              <w:spacing w:before="100" w:beforeAutospacing="1" w:after="100" w:afterAutospacing="1"/>
              <w:jc w:val="center"/>
              <w:rPr>
                <w:rFonts w:asciiTheme="minorBidi" w:eastAsia="Arial" w:hAnsiTheme="minorBidi" w:cstheme="minorBidi"/>
                <w:color w:val="000000" w:themeColor="text1"/>
              </w:rPr>
            </w:pPr>
            <w:r>
              <w:rPr>
                <w:rFonts w:cs="Arial"/>
                <w:color w:val="000000"/>
              </w:rPr>
              <w:lastRenderedPageBreak/>
              <w:t>3/27/2025</w:t>
            </w:r>
          </w:p>
        </w:tc>
        <w:tc>
          <w:tcPr>
            <w:tcW w:w="32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B40005" w14:textId="50E9FFE4" w:rsidR="008464C4" w:rsidRPr="00BD7405" w:rsidRDefault="008464C4" w:rsidP="00BD7405">
            <w:pPr>
              <w:spacing w:before="100" w:beforeAutospacing="1" w:after="100" w:afterAutospacing="1"/>
              <w:jc w:val="center"/>
              <w:rPr>
                <w:rFonts w:asciiTheme="minorBidi" w:eastAsia="Arial" w:hAnsiTheme="minorBidi" w:cstheme="minorBidi"/>
                <w:color w:val="000000" w:themeColor="text1"/>
              </w:rPr>
            </w:pPr>
            <w:r w:rsidRPr="00BD7405">
              <w:rPr>
                <w:rFonts w:cs="Arial"/>
                <w:color w:val="000000"/>
              </w:rPr>
              <w:t>Association of California School Administrators - Council of Secondary Educational Leaders</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9352BF" w14:textId="0B4648F8" w:rsidR="1F713DD7" w:rsidRPr="1F713DD7" w:rsidRDefault="1F713DD7" w:rsidP="00BD7405">
            <w:pPr>
              <w:spacing w:before="100" w:beforeAutospacing="1" w:after="100" w:afterAutospacing="1"/>
              <w:jc w:val="center"/>
              <w:rPr>
                <w:rFonts w:eastAsia="Arial" w:cs="Arial"/>
                <w:color w:val="000000" w:themeColor="text1"/>
              </w:rPr>
            </w:pPr>
            <w:r w:rsidRPr="1F713DD7">
              <w:rPr>
                <w:rFonts w:eastAsia="Arial" w:cs="Arial"/>
                <w:color w:val="000000" w:themeColor="text1"/>
              </w:rPr>
              <w:t>12</w:t>
            </w:r>
          </w:p>
        </w:tc>
        <w:tc>
          <w:tcPr>
            <w:tcW w:w="6510" w:type="dxa"/>
            <w:tcBorders>
              <w:top w:val="single" w:sz="6" w:space="0" w:color="auto"/>
              <w:left w:val="single" w:sz="6" w:space="0" w:color="auto"/>
              <w:bottom w:val="single" w:sz="6" w:space="0" w:color="auto"/>
              <w:right w:val="single" w:sz="6" w:space="0" w:color="auto"/>
            </w:tcBorders>
            <w:tcMar>
              <w:left w:w="90" w:type="dxa"/>
              <w:right w:w="90" w:type="dxa"/>
            </w:tcMar>
          </w:tcPr>
          <w:p w14:paraId="4A771BBA" w14:textId="14AD0F8C" w:rsidR="1F713DD7" w:rsidRPr="1F713DD7" w:rsidRDefault="1F713DD7" w:rsidP="00BD7405">
            <w:pPr>
              <w:spacing w:before="100" w:beforeAutospacing="1" w:after="100" w:afterAutospacing="1"/>
              <w:jc w:val="center"/>
              <w:rPr>
                <w:rFonts w:eastAsia="Arial" w:cs="Arial"/>
                <w:color w:val="000000" w:themeColor="text1"/>
              </w:rPr>
            </w:pPr>
            <w:r w:rsidRPr="1F713DD7">
              <w:rPr>
                <w:rFonts w:eastAsia="Arial" w:cs="Arial"/>
                <w:color w:val="000000" w:themeColor="text1"/>
              </w:rPr>
              <w:t>Accountability Updates</w:t>
            </w:r>
          </w:p>
        </w:tc>
      </w:tr>
    </w:tbl>
    <w:p w14:paraId="6A205CE5" w14:textId="74C9AF93" w:rsidR="7981F8F1" w:rsidRPr="00A92916" w:rsidRDefault="7981F8F1" w:rsidP="00A92916">
      <w:pPr>
        <w:pStyle w:val="Heading3"/>
      </w:pPr>
      <w:r w:rsidRPr="00A92916">
        <w:t>Table 3: Presentations/Virtual Meetings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3: Presentations/Virtual Meetings"/>
        <w:tblDescription w:val="Table 3: Presentations/Virtual Meetings"/>
      </w:tblPr>
      <w:tblGrid>
        <w:gridCol w:w="1395"/>
        <w:gridCol w:w="3270"/>
        <w:gridCol w:w="1620"/>
        <w:gridCol w:w="6600"/>
      </w:tblGrid>
      <w:tr w:rsidR="5F48C630" w14:paraId="6BE91613" w14:textId="77777777" w:rsidTr="00A92916">
        <w:trPr>
          <w:cantSplit/>
          <w:trHeight w:val="300"/>
          <w:tblHeader/>
        </w:trPr>
        <w:tc>
          <w:tcPr>
            <w:tcW w:w="1395"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2D79EF22" w14:textId="465D94EC" w:rsidR="5F48C630" w:rsidRDefault="5F48C630" w:rsidP="00BD7405">
            <w:pPr>
              <w:spacing w:before="100" w:beforeAutospacing="1" w:after="100" w:afterAutospacing="1"/>
              <w:jc w:val="center"/>
              <w:rPr>
                <w:rFonts w:eastAsia="Arial" w:cs="Arial"/>
              </w:rPr>
            </w:pPr>
            <w:r w:rsidRPr="5F48C630">
              <w:rPr>
                <w:rFonts w:eastAsia="Arial" w:cs="Arial"/>
                <w:b/>
                <w:bCs/>
              </w:rPr>
              <w:t>Date</w:t>
            </w:r>
          </w:p>
        </w:tc>
        <w:tc>
          <w:tcPr>
            <w:tcW w:w="327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40AB7C2B" w14:textId="5E7AAECA" w:rsidR="5F48C630" w:rsidRDefault="5F48C630" w:rsidP="00BD7405">
            <w:pPr>
              <w:spacing w:before="100" w:beforeAutospacing="1" w:after="100" w:afterAutospacing="1"/>
              <w:jc w:val="center"/>
              <w:rPr>
                <w:rFonts w:eastAsia="Arial" w:cs="Arial"/>
              </w:rPr>
            </w:pPr>
            <w:r w:rsidRPr="5F48C630">
              <w:rPr>
                <w:rFonts w:eastAsia="Arial" w:cs="Arial"/>
                <w:b/>
                <w:bCs/>
              </w:rPr>
              <w:t>Title</w:t>
            </w:r>
          </w:p>
        </w:tc>
        <w:tc>
          <w:tcPr>
            <w:tcW w:w="162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219182F3" w14:textId="6EF42225" w:rsidR="5F48C630" w:rsidRDefault="5F48C630" w:rsidP="00BD7405">
            <w:pPr>
              <w:spacing w:before="100" w:beforeAutospacing="1" w:after="100" w:afterAutospacing="1"/>
              <w:jc w:val="center"/>
              <w:rPr>
                <w:rFonts w:eastAsia="Arial" w:cs="Arial"/>
              </w:rPr>
            </w:pPr>
            <w:r w:rsidRPr="5F48C630">
              <w:rPr>
                <w:rFonts w:eastAsia="Arial" w:cs="Arial"/>
                <w:b/>
                <w:bCs/>
              </w:rPr>
              <w:t>Estimated Number of Attendees</w:t>
            </w:r>
          </w:p>
        </w:tc>
        <w:tc>
          <w:tcPr>
            <w:tcW w:w="660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90" w:type="dxa"/>
              <w:right w:w="90" w:type="dxa"/>
            </w:tcMar>
            <w:vAlign w:val="center"/>
          </w:tcPr>
          <w:p w14:paraId="15DE4990" w14:textId="55544AD8" w:rsidR="5F48C630" w:rsidRDefault="5F48C630" w:rsidP="00BD7405">
            <w:pPr>
              <w:spacing w:before="100" w:beforeAutospacing="1" w:after="100" w:afterAutospacing="1"/>
              <w:jc w:val="center"/>
              <w:rPr>
                <w:rFonts w:eastAsia="Arial" w:cs="Arial"/>
              </w:rPr>
            </w:pPr>
            <w:r w:rsidRPr="5F48C630">
              <w:rPr>
                <w:rFonts w:eastAsia="Arial" w:cs="Arial"/>
                <w:b/>
                <w:bCs/>
              </w:rPr>
              <w:t>Topics</w:t>
            </w:r>
          </w:p>
        </w:tc>
      </w:tr>
      <w:tr w:rsidR="5F48C630" w14:paraId="259274C6"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5F767E" w14:textId="4A67C023" w:rsidR="56185A24" w:rsidRDefault="56185A24" w:rsidP="00BD7405">
            <w:pPr>
              <w:spacing w:before="100" w:beforeAutospacing="1" w:after="100" w:afterAutospacing="1"/>
              <w:jc w:val="right"/>
            </w:pPr>
            <w:r w:rsidRPr="56185A24">
              <w:rPr>
                <w:rFonts w:eastAsia="Arial" w:cs="Arial"/>
                <w:color w:val="000000" w:themeColor="text1"/>
              </w:rPr>
              <w:t>2/4/2025</w:t>
            </w:r>
          </w:p>
        </w:tc>
        <w:tc>
          <w:tcPr>
            <w:tcW w:w="32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8A9CDD" w14:textId="076E0AE6" w:rsidR="56185A24" w:rsidRPr="00BD7405" w:rsidRDefault="56185A24" w:rsidP="00BD7405">
            <w:pPr>
              <w:spacing w:before="100" w:beforeAutospacing="1" w:after="100" w:afterAutospacing="1"/>
              <w:jc w:val="center"/>
            </w:pPr>
            <w:r w:rsidRPr="00BD7405">
              <w:rPr>
                <w:rFonts w:eastAsia="Arial" w:cs="Arial"/>
                <w:color w:val="000000" w:themeColor="text1"/>
              </w:rPr>
              <w:t>Growth Data Webinar for the Public</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3F564A" w14:textId="7E36328C" w:rsidR="5F48C630" w:rsidRDefault="2A110D92" w:rsidP="00BD7405">
            <w:pPr>
              <w:spacing w:before="100" w:beforeAutospacing="1" w:after="100" w:afterAutospacing="1"/>
              <w:jc w:val="center"/>
              <w:rPr>
                <w:rFonts w:eastAsia="Arial" w:cs="Arial"/>
                <w:color w:val="000000" w:themeColor="text1"/>
              </w:rPr>
            </w:pPr>
            <w:r w:rsidRPr="38E51A01">
              <w:rPr>
                <w:rFonts w:eastAsia="Arial" w:cs="Arial"/>
                <w:color w:val="000000" w:themeColor="text1"/>
              </w:rPr>
              <w:t>303</w:t>
            </w:r>
          </w:p>
        </w:tc>
        <w:tc>
          <w:tcPr>
            <w:tcW w:w="6600" w:type="dxa"/>
            <w:tcBorders>
              <w:top w:val="single" w:sz="6" w:space="0" w:color="auto"/>
              <w:left w:val="single" w:sz="6" w:space="0" w:color="auto"/>
              <w:bottom w:val="single" w:sz="6" w:space="0" w:color="auto"/>
              <w:right w:val="single" w:sz="6" w:space="0" w:color="auto"/>
            </w:tcBorders>
            <w:tcMar>
              <w:left w:w="90" w:type="dxa"/>
              <w:right w:w="90" w:type="dxa"/>
            </w:tcMar>
          </w:tcPr>
          <w:p w14:paraId="6A6C4DBF" w14:textId="17452036" w:rsidR="56185A24" w:rsidRDefault="56185A24" w:rsidP="00BD7405">
            <w:pPr>
              <w:spacing w:before="100" w:beforeAutospacing="1" w:after="100" w:afterAutospacing="1"/>
              <w:jc w:val="center"/>
            </w:pPr>
            <w:r w:rsidRPr="56185A24">
              <w:rPr>
                <w:rFonts w:eastAsia="Arial" w:cs="Arial"/>
                <w:color w:val="000000" w:themeColor="text1"/>
              </w:rPr>
              <w:t>Supporting the Release of Growth Data</w:t>
            </w:r>
          </w:p>
        </w:tc>
      </w:tr>
      <w:tr w:rsidR="002A5051" w14:paraId="192F9EA5"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06E3CA" w14:textId="0EFF73F4" w:rsidR="002A5051" w:rsidRPr="56185A24" w:rsidRDefault="002A5051" w:rsidP="00BD7405">
            <w:pPr>
              <w:spacing w:before="100" w:beforeAutospacing="1" w:after="100" w:afterAutospacing="1"/>
              <w:jc w:val="right"/>
              <w:rPr>
                <w:rFonts w:eastAsia="Arial" w:cs="Arial"/>
                <w:color w:val="000000" w:themeColor="text1"/>
              </w:rPr>
            </w:pPr>
            <w:r w:rsidRPr="5F48C630">
              <w:rPr>
                <w:rFonts w:eastAsia="Arial" w:cs="Arial"/>
                <w:color w:val="000000" w:themeColor="text1"/>
              </w:rPr>
              <w:t>2/14/2025</w:t>
            </w:r>
          </w:p>
        </w:tc>
        <w:tc>
          <w:tcPr>
            <w:tcW w:w="32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5DA07D" w14:textId="790FFEE7" w:rsidR="002A5051" w:rsidRPr="00BD7405" w:rsidRDefault="002A5051" w:rsidP="00BD7405">
            <w:pPr>
              <w:spacing w:before="100" w:beforeAutospacing="1" w:after="100" w:afterAutospacing="1"/>
              <w:jc w:val="center"/>
              <w:rPr>
                <w:rFonts w:eastAsia="Arial" w:cs="Arial"/>
                <w:color w:val="000000" w:themeColor="text1"/>
              </w:rPr>
            </w:pPr>
            <w:r w:rsidRPr="00BD7405">
              <w:rPr>
                <w:rFonts w:eastAsia="Arial" w:cs="Arial"/>
                <w:color w:val="000000" w:themeColor="text1"/>
              </w:rPr>
              <w:t>State and Federal Program Directors</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E2A8A9" w14:textId="75B2DBA7" w:rsidR="002A5051" w:rsidRPr="56185A24" w:rsidRDefault="002A5051" w:rsidP="00BD7405">
            <w:pPr>
              <w:spacing w:before="100" w:beforeAutospacing="1" w:after="100" w:afterAutospacing="1"/>
              <w:jc w:val="center"/>
              <w:rPr>
                <w:rFonts w:eastAsia="Arial" w:cs="Arial"/>
                <w:color w:val="000000" w:themeColor="text1"/>
              </w:rPr>
            </w:pPr>
            <w:r w:rsidRPr="5F48C630">
              <w:rPr>
                <w:rFonts w:eastAsia="Arial" w:cs="Arial"/>
                <w:color w:val="000000" w:themeColor="text1"/>
              </w:rPr>
              <w:t>275</w:t>
            </w:r>
          </w:p>
        </w:tc>
        <w:tc>
          <w:tcPr>
            <w:tcW w:w="6600" w:type="dxa"/>
            <w:tcBorders>
              <w:top w:val="single" w:sz="6" w:space="0" w:color="auto"/>
              <w:left w:val="single" w:sz="6" w:space="0" w:color="auto"/>
              <w:bottom w:val="single" w:sz="6" w:space="0" w:color="auto"/>
              <w:right w:val="single" w:sz="6" w:space="0" w:color="auto"/>
            </w:tcBorders>
            <w:tcMar>
              <w:left w:w="90" w:type="dxa"/>
              <w:right w:w="90" w:type="dxa"/>
            </w:tcMar>
          </w:tcPr>
          <w:p w14:paraId="2B6D3FA6" w14:textId="69A179B2" w:rsidR="002A5051" w:rsidRPr="56185A24" w:rsidRDefault="002A5051" w:rsidP="00BD7405">
            <w:pPr>
              <w:spacing w:before="100" w:beforeAutospacing="1" w:after="100" w:afterAutospacing="1"/>
              <w:jc w:val="center"/>
              <w:rPr>
                <w:rFonts w:eastAsia="Arial" w:cs="Arial"/>
                <w:color w:val="000000" w:themeColor="text1"/>
              </w:rPr>
            </w:pPr>
            <w:r w:rsidRPr="5F48C630">
              <w:rPr>
                <w:rFonts w:eastAsia="Arial" w:cs="Arial"/>
                <w:color w:val="000000" w:themeColor="text1"/>
              </w:rPr>
              <w:t>Williams Act</w:t>
            </w:r>
          </w:p>
        </w:tc>
      </w:tr>
      <w:tr w:rsidR="5F48C630" w14:paraId="5832D02C"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1E51A8" w14:textId="024B8A74" w:rsidR="56185A24" w:rsidRDefault="56185A24" w:rsidP="00BD7405">
            <w:pPr>
              <w:spacing w:before="100" w:beforeAutospacing="1" w:after="100" w:afterAutospacing="1"/>
              <w:jc w:val="right"/>
            </w:pPr>
            <w:r w:rsidRPr="56185A24">
              <w:rPr>
                <w:rFonts w:eastAsia="Arial" w:cs="Arial"/>
                <w:color w:val="000000" w:themeColor="text1"/>
              </w:rPr>
              <w:t>2/27/2025</w:t>
            </w:r>
          </w:p>
        </w:tc>
        <w:tc>
          <w:tcPr>
            <w:tcW w:w="32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19E81A" w14:textId="0ADAFFC4" w:rsidR="56185A24" w:rsidRPr="00BD7405" w:rsidRDefault="56185A24" w:rsidP="00BD7405">
            <w:pPr>
              <w:spacing w:before="100" w:beforeAutospacing="1" w:after="100" w:afterAutospacing="1"/>
              <w:jc w:val="center"/>
            </w:pPr>
            <w:r w:rsidRPr="00BD7405">
              <w:rPr>
                <w:rFonts w:eastAsia="Arial" w:cs="Arial"/>
                <w:color w:val="000000" w:themeColor="text1"/>
              </w:rPr>
              <w:t>CISC Science Subgroup</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45C5F7" w14:textId="5BD59E9F" w:rsidR="5F48C630" w:rsidRDefault="30342BFD" w:rsidP="00BD7405">
            <w:pPr>
              <w:spacing w:before="100" w:beforeAutospacing="1" w:after="100" w:afterAutospacing="1"/>
              <w:jc w:val="center"/>
              <w:rPr>
                <w:rFonts w:eastAsia="Arial" w:cs="Arial"/>
                <w:color w:val="000000" w:themeColor="text1"/>
              </w:rPr>
            </w:pPr>
            <w:r w:rsidRPr="56185A24">
              <w:rPr>
                <w:rFonts w:eastAsia="Arial" w:cs="Arial"/>
                <w:color w:val="000000" w:themeColor="text1"/>
              </w:rPr>
              <w:t>20</w:t>
            </w:r>
          </w:p>
        </w:tc>
        <w:tc>
          <w:tcPr>
            <w:tcW w:w="6600" w:type="dxa"/>
            <w:tcBorders>
              <w:top w:val="single" w:sz="6" w:space="0" w:color="auto"/>
              <w:left w:val="single" w:sz="6" w:space="0" w:color="auto"/>
              <w:bottom w:val="single" w:sz="6" w:space="0" w:color="auto"/>
              <w:right w:val="single" w:sz="6" w:space="0" w:color="auto"/>
            </w:tcBorders>
            <w:tcMar>
              <w:left w:w="90" w:type="dxa"/>
              <w:right w:w="90" w:type="dxa"/>
            </w:tcMar>
          </w:tcPr>
          <w:p w14:paraId="53BE4D48" w14:textId="17F23709" w:rsidR="56185A24" w:rsidRDefault="56185A24" w:rsidP="00BD7405">
            <w:pPr>
              <w:spacing w:before="100" w:beforeAutospacing="1" w:after="100" w:afterAutospacing="1"/>
              <w:jc w:val="center"/>
            </w:pPr>
            <w:r w:rsidRPr="56185A24">
              <w:rPr>
                <w:rFonts w:eastAsia="Arial" w:cs="Arial"/>
                <w:color w:val="000000" w:themeColor="text1"/>
              </w:rPr>
              <w:t>Science Points for Status and Change and Adoption of the five-by-five grid</w:t>
            </w:r>
          </w:p>
        </w:tc>
      </w:tr>
      <w:tr w:rsidR="5F48C630" w14:paraId="2F192455"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D79488" w14:textId="19FCD994" w:rsidR="56185A24" w:rsidRDefault="56185A24" w:rsidP="00BD7405">
            <w:pPr>
              <w:spacing w:before="100" w:beforeAutospacing="1" w:after="100" w:afterAutospacing="1"/>
              <w:jc w:val="right"/>
            </w:pPr>
            <w:r w:rsidRPr="56185A24">
              <w:rPr>
                <w:rFonts w:eastAsia="Arial" w:cs="Arial"/>
                <w:color w:val="000000" w:themeColor="text1"/>
              </w:rPr>
              <w:t>3/6/2025</w:t>
            </w:r>
          </w:p>
        </w:tc>
        <w:tc>
          <w:tcPr>
            <w:tcW w:w="32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F51E39" w14:textId="11297230" w:rsidR="56185A24" w:rsidRPr="00BD7405" w:rsidRDefault="56185A24" w:rsidP="00BD7405">
            <w:pPr>
              <w:spacing w:before="100" w:beforeAutospacing="1" w:after="100" w:afterAutospacing="1"/>
              <w:jc w:val="center"/>
            </w:pPr>
            <w:r w:rsidRPr="00BD7405">
              <w:rPr>
                <w:rFonts w:eastAsia="Arial" w:cs="Arial"/>
                <w:color w:val="000000" w:themeColor="text1"/>
              </w:rPr>
              <w:t>Curricular &amp; Improvement Support (CISC)</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A6F1A4" w14:textId="59414D37" w:rsidR="5F48C630" w:rsidRDefault="48C330FE" w:rsidP="00BD7405">
            <w:pPr>
              <w:spacing w:before="100" w:beforeAutospacing="1" w:after="100" w:afterAutospacing="1"/>
              <w:jc w:val="center"/>
              <w:rPr>
                <w:rFonts w:eastAsia="Arial" w:cs="Arial"/>
                <w:color w:val="000000" w:themeColor="text1"/>
              </w:rPr>
            </w:pPr>
            <w:r w:rsidRPr="56185A24">
              <w:rPr>
                <w:rFonts w:eastAsia="Arial" w:cs="Arial"/>
                <w:color w:val="000000" w:themeColor="text1"/>
              </w:rPr>
              <w:t>55</w:t>
            </w:r>
          </w:p>
        </w:tc>
        <w:tc>
          <w:tcPr>
            <w:tcW w:w="6600" w:type="dxa"/>
            <w:tcBorders>
              <w:top w:val="single" w:sz="6" w:space="0" w:color="auto"/>
              <w:left w:val="single" w:sz="6" w:space="0" w:color="auto"/>
              <w:bottom w:val="single" w:sz="6" w:space="0" w:color="auto"/>
              <w:right w:val="single" w:sz="6" w:space="0" w:color="auto"/>
            </w:tcBorders>
            <w:tcMar>
              <w:left w:w="90" w:type="dxa"/>
              <w:right w:w="90" w:type="dxa"/>
            </w:tcMar>
          </w:tcPr>
          <w:p w14:paraId="60A3406A" w14:textId="10C1D264" w:rsidR="56185A24" w:rsidRDefault="56185A24" w:rsidP="00BD7405">
            <w:pPr>
              <w:spacing w:before="100" w:beforeAutospacing="1" w:after="100" w:afterAutospacing="1"/>
              <w:jc w:val="center"/>
            </w:pPr>
            <w:r w:rsidRPr="56185A24">
              <w:rPr>
                <w:rFonts w:eastAsia="Arial" w:cs="Arial"/>
                <w:color w:val="000000" w:themeColor="text1"/>
              </w:rPr>
              <w:t>Science Points for Status and Change and Adoption of the five-by-five grid</w:t>
            </w:r>
          </w:p>
        </w:tc>
      </w:tr>
      <w:tr w:rsidR="5F48C630" w14:paraId="63783689" w14:textId="77777777" w:rsidTr="00A92916">
        <w:trPr>
          <w:cantSplit/>
          <w:trHeight w:val="300"/>
        </w:trPr>
        <w:tc>
          <w:tcPr>
            <w:tcW w:w="1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3D6A87" w14:textId="4201F44E" w:rsidR="56185A24" w:rsidRDefault="56185A24" w:rsidP="00BD7405">
            <w:pPr>
              <w:spacing w:before="100" w:beforeAutospacing="1" w:after="100" w:afterAutospacing="1"/>
              <w:jc w:val="right"/>
            </w:pPr>
            <w:r w:rsidRPr="56185A24">
              <w:rPr>
                <w:rFonts w:eastAsia="Arial" w:cs="Arial"/>
                <w:color w:val="000000" w:themeColor="text1"/>
              </w:rPr>
              <w:t>3/12/2025</w:t>
            </w:r>
          </w:p>
        </w:tc>
        <w:tc>
          <w:tcPr>
            <w:tcW w:w="32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C75EEC" w14:textId="1D19C6C4" w:rsidR="56185A24" w:rsidRPr="00BD7405" w:rsidRDefault="56185A24" w:rsidP="00BD7405">
            <w:pPr>
              <w:spacing w:before="100" w:beforeAutospacing="1" w:after="100" w:afterAutospacing="1"/>
              <w:jc w:val="center"/>
            </w:pPr>
            <w:r w:rsidRPr="00BD7405">
              <w:rPr>
                <w:rFonts w:eastAsia="Arial" w:cs="Arial"/>
                <w:color w:val="000000" w:themeColor="text1"/>
              </w:rPr>
              <w:t>Regional Assessment Network</w:t>
            </w:r>
          </w:p>
        </w:tc>
        <w:tc>
          <w:tcPr>
            <w:tcW w:w="16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C70851" w14:textId="215B7177" w:rsidR="5F48C630" w:rsidRDefault="002A5051" w:rsidP="00BD7405">
            <w:pPr>
              <w:spacing w:before="100" w:beforeAutospacing="1" w:after="100" w:afterAutospacing="1"/>
              <w:jc w:val="center"/>
              <w:rPr>
                <w:rFonts w:eastAsia="Arial" w:cs="Arial"/>
                <w:color w:val="000000" w:themeColor="text1"/>
              </w:rPr>
            </w:pPr>
            <w:r>
              <w:rPr>
                <w:rFonts w:eastAsia="Arial" w:cs="Arial"/>
                <w:color w:val="000000" w:themeColor="text1"/>
              </w:rPr>
              <w:t>25</w:t>
            </w:r>
          </w:p>
        </w:tc>
        <w:tc>
          <w:tcPr>
            <w:tcW w:w="6600" w:type="dxa"/>
            <w:tcBorders>
              <w:top w:val="single" w:sz="6" w:space="0" w:color="auto"/>
              <w:left w:val="single" w:sz="6" w:space="0" w:color="auto"/>
              <w:bottom w:val="single" w:sz="6" w:space="0" w:color="auto"/>
              <w:right w:val="single" w:sz="6" w:space="0" w:color="auto"/>
            </w:tcBorders>
            <w:tcMar>
              <w:left w:w="90" w:type="dxa"/>
              <w:right w:w="90" w:type="dxa"/>
            </w:tcMar>
          </w:tcPr>
          <w:p w14:paraId="55AFFC83" w14:textId="3EABB320" w:rsidR="5F48C630" w:rsidRDefault="002A5051" w:rsidP="00BD7405">
            <w:pPr>
              <w:spacing w:before="100" w:beforeAutospacing="1" w:after="100" w:afterAutospacing="1"/>
              <w:jc w:val="center"/>
              <w:rPr>
                <w:rFonts w:eastAsia="Arial" w:cs="Arial"/>
                <w:color w:val="000000" w:themeColor="text1"/>
              </w:rPr>
            </w:pPr>
            <w:r>
              <w:rPr>
                <w:rFonts w:eastAsia="Arial" w:cs="Arial"/>
                <w:color w:val="000000" w:themeColor="text1"/>
              </w:rPr>
              <w:t>Updates on 2025 Accountability Workplan</w:t>
            </w:r>
          </w:p>
        </w:tc>
      </w:tr>
    </w:tbl>
    <w:p w14:paraId="2527DA93" w14:textId="5347F43B" w:rsidR="5F48C630" w:rsidRDefault="5F48C630" w:rsidP="002A5051"/>
    <w:sectPr w:rsidR="5F48C630" w:rsidSect="008A6B25">
      <w:headerReference w:type="default" r:id="rId150"/>
      <w:type w:val="continuous"/>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7537" w14:textId="77777777" w:rsidR="005748E7" w:rsidRDefault="005748E7" w:rsidP="000E09DC">
      <w:r>
        <w:separator/>
      </w:r>
    </w:p>
  </w:endnote>
  <w:endnote w:type="continuationSeparator" w:id="0">
    <w:p w14:paraId="429699D0" w14:textId="77777777" w:rsidR="005748E7" w:rsidRDefault="005748E7" w:rsidP="000E09DC">
      <w:r>
        <w:continuationSeparator/>
      </w:r>
    </w:p>
  </w:endnote>
  <w:endnote w:type="continuationNotice" w:id="1">
    <w:p w14:paraId="2250047A" w14:textId="77777777" w:rsidR="005748E7" w:rsidRDefault="00574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3"/>
      <w:tblW w:w="0" w:type="auto"/>
      <w:tblLayout w:type="fixed"/>
      <w:tblLook w:val="06A0" w:firstRow="1" w:lastRow="0" w:firstColumn="1" w:lastColumn="0" w:noHBand="1" w:noVBand="1"/>
    </w:tblPr>
    <w:tblGrid>
      <w:gridCol w:w="1500"/>
      <w:gridCol w:w="1480"/>
      <w:gridCol w:w="1500"/>
    </w:tblGrid>
    <w:tr w:rsidR="002C6F40" w14:paraId="752F4A2F" w14:textId="77777777" w:rsidTr="005F1FB6">
      <w:trPr>
        <w:cnfStyle w:val="100000000000" w:firstRow="1" w:lastRow="0" w:firstColumn="0" w:lastColumn="0" w:oddVBand="0" w:evenVBand="0" w:oddHBand="0" w:evenHBand="0" w:firstRowFirstColumn="0" w:firstRowLastColumn="0" w:lastRowFirstColumn="0" w:lastRowLastColumn="0"/>
        <w:trHeight w:val="300"/>
      </w:trPr>
      <w:tc>
        <w:tcPr>
          <w:tcW w:w="1440" w:type="dxa"/>
        </w:tcPr>
        <w:p w14:paraId="2F4556BC" w14:textId="40D96435" w:rsidR="002C6F40" w:rsidRDefault="002C6F40" w:rsidP="00B12CB1">
          <w:pPr>
            <w:pStyle w:val="Header"/>
            <w:ind w:left="-115"/>
          </w:pPr>
        </w:p>
      </w:tc>
      <w:tc>
        <w:tcPr>
          <w:tcW w:w="1440" w:type="dxa"/>
        </w:tcPr>
        <w:p w14:paraId="70AE4395" w14:textId="247DE95C" w:rsidR="002C6F40" w:rsidRDefault="002C6F40" w:rsidP="00B12CB1">
          <w:pPr>
            <w:pStyle w:val="Header"/>
            <w:jc w:val="center"/>
          </w:pPr>
        </w:p>
      </w:tc>
      <w:tc>
        <w:tcPr>
          <w:tcW w:w="1440" w:type="dxa"/>
        </w:tcPr>
        <w:p w14:paraId="2B87C402" w14:textId="68A50A98" w:rsidR="002C6F40" w:rsidRDefault="002C6F40" w:rsidP="00B12CB1">
          <w:pPr>
            <w:pStyle w:val="Header"/>
            <w:ind w:right="-115"/>
            <w:jc w:val="right"/>
          </w:pPr>
        </w:p>
      </w:tc>
    </w:tr>
  </w:tbl>
  <w:p w14:paraId="76588371" w14:textId="111C1283" w:rsidR="002C6F40" w:rsidRDefault="002C6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3120"/>
      <w:gridCol w:w="3120"/>
      <w:gridCol w:w="3120"/>
    </w:tblGrid>
    <w:tr w:rsidR="002C6F40" w14:paraId="7710852B" w14:textId="77777777" w:rsidTr="008F6E2A">
      <w:trPr>
        <w:trHeight w:val="300"/>
      </w:trPr>
      <w:tc>
        <w:tcPr>
          <w:tcW w:w="3120" w:type="dxa"/>
        </w:tcPr>
        <w:p w14:paraId="1D52F7F3" w14:textId="5729D07B" w:rsidR="002C6F40" w:rsidRDefault="002C6F40" w:rsidP="00B12CB1">
          <w:pPr>
            <w:pStyle w:val="Header"/>
            <w:ind w:left="-115"/>
          </w:pPr>
        </w:p>
      </w:tc>
      <w:tc>
        <w:tcPr>
          <w:tcW w:w="3120" w:type="dxa"/>
        </w:tcPr>
        <w:p w14:paraId="166F5B11" w14:textId="65765A74" w:rsidR="002C6F40" w:rsidRDefault="002C6F40" w:rsidP="00B12CB1">
          <w:pPr>
            <w:pStyle w:val="Header"/>
            <w:jc w:val="center"/>
          </w:pPr>
        </w:p>
      </w:tc>
      <w:tc>
        <w:tcPr>
          <w:tcW w:w="3120" w:type="dxa"/>
        </w:tcPr>
        <w:p w14:paraId="0BA86362" w14:textId="55426102" w:rsidR="002C6F40" w:rsidRDefault="002C6F40" w:rsidP="00B12CB1">
          <w:pPr>
            <w:pStyle w:val="Header"/>
            <w:ind w:right="-115"/>
            <w:jc w:val="right"/>
          </w:pPr>
        </w:p>
      </w:tc>
    </w:tr>
  </w:tbl>
  <w:p w14:paraId="034D3936" w14:textId="10119CC0" w:rsidR="002C6F40" w:rsidRDefault="002C6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3120"/>
      <w:gridCol w:w="3120"/>
      <w:gridCol w:w="3120"/>
    </w:tblGrid>
    <w:tr w:rsidR="002C6F40" w14:paraId="717ABBC2" w14:textId="77777777" w:rsidTr="008F6E2A">
      <w:trPr>
        <w:trHeight w:val="300"/>
      </w:trPr>
      <w:tc>
        <w:tcPr>
          <w:tcW w:w="3120" w:type="dxa"/>
        </w:tcPr>
        <w:p w14:paraId="39023AA5" w14:textId="281096C1" w:rsidR="002C6F40" w:rsidRDefault="002C6F40" w:rsidP="00B12CB1">
          <w:pPr>
            <w:pStyle w:val="Header"/>
            <w:ind w:left="-115"/>
          </w:pPr>
        </w:p>
      </w:tc>
      <w:tc>
        <w:tcPr>
          <w:tcW w:w="3120" w:type="dxa"/>
        </w:tcPr>
        <w:p w14:paraId="4CEDD1D8" w14:textId="548DF421" w:rsidR="002C6F40" w:rsidRDefault="002C6F40" w:rsidP="00B12CB1">
          <w:pPr>
            <w:pStyle w:val="Header"/>
            <w:jc w:val="center"/>
          </w:pPr>
        </w:p>
      </w:tc>
      <w:tc>
        <w:tcPr>
          <w:tcW w:w="3120" w:type="dxa"/>
        </w:tcPr>
        <w:p w14:paraId="565CEDE0" w14:textId="3E13AA35" w:rsidR="002C6F40" w:rsidRDefault="002C6F40" w:rsidP="00B12CB1">
          <w:pPr>
            <w:pStyle w:val="Header"/>
            <w:ind w:right="-115"/>
            <w:jc w:val="right"/>
          </w:pPr>
        </w:p>
      </w:tc>
    </w:tr>
  </w:tbl>
  <w:p w14:paraId="1D84281A" w14:textId="7681D588" w:rsidR="002C6F40" w:rsidRDefault="002C6F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8D2" w14:textId="77777777" w:rsidR="002C6F40" w:rsidRDefault="002C6F40" w:rsidP="000A32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3120"/>
      <w:gridCol w:w="3120"/>
      <w:gridCol w:w="3120"/>
    </w:tblGrid>
    <w:tr w:rsidR="002C6F40" w14:paraId="5A8C6D7B" w14:textId="77777777" w:rsidTr="008F6E2A">
      <w:trPr>
        <w:trHeight w:val="300"/>
      </w:trPr>
      <w:tc>
        <w:tcPr>
          <w:tcW w:w="3120" w:type="dxa"/>
        </w:tcPr>
        <w:p w14:paraId="3D2AA816" w14:textId="3C813CB6" w:rsidR="002C6F40" w:rsidRDefault="002C6F40" w:rsidP="00B12CB1">
          <w:pPr>
            <w:pStyle w:val="Header"/>
            <w:ind w:left="-115"/>
          </w:pPr>
        </w:p>
      </w:tc>
      <w:tc>
        <w:tcPr>
          <w:tcW w:w="3120" w:type="dxa"/>
        </w:tcPr>
        <w:p w14:paraId="6C9412FF" w14:textId="55444A2C" w:rsidR="002C6F40" w:rsidRDefault="002C6F40" w:rsidP="00B12CB1">
          <w:pPr>
            <w:pStyle w:val="Header"/>
            <w:jc w:val="center"/>
          </w:pPr>
        </w:p>
      </w:tc>
      <w:tc>
        <w:tcPr>
          <w:tcW w:w="3120" w:type="dxa"/>
        </w:tcPr>
        <w:p w14:paraId="45552807" w14:textId="1E440991" w:rsidR="002C6F40" w:rsidRDefault="002C6F40" w:rsidP="00B12CB1">
          <w:pPr>
            <w:pStyle w:val="Header"/>
            <w:ind w:right="-115"/>
            <w:jc w:val="right"/>
          </w:pPr>
        </w:p>
      </w:tc>
    </w:tr>
  </w:tbl>
  <w:p w14:paraId="1E41797A" w14:textId="488439D5" w:rsidR="002C6F40" w:rsidRDefault="002C6F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4800"/>
      <w:gridCol w:w="4800"/>
      <w:gridCol w:w="4800"/>
    </w:tblGrid>
    <w:tr w:rsidR="002C6F40" w14:paraId="0C9D0911" w14:textId="77777777" w:rsidTr="00120B16">
      <w:trPr>
        <w:trHeight w:val="300"/>
      </w:trPr>
      <w:tc>
        <w:tcPr>
          <w:tcW w:w="4800" w:type="dxa"/>
        </w:tcPr>
        <w:p w14:paraId="0A640299" w14:textId="438D4D8B" w:rsidR="002C6F40" w:rsidRDefault="002C6F40" w:rsidP="00B12CB1">
          <w:pPr>
            <w:pStyle w:val="Header"/>
            <w:ind w:left="-115"/>
          </w:pPr>
        </w:p>
      </w:tc>
      <w:tc>
        <w:tcPr>
          <w:tcW w:w="4800" w:type="dxa"/>
        </w:tcPr>
        <w:p w14:paraId="692A507E" w14:textId="1AC9C5CD" w:rsidR="002C6F40" w:rsidRDefault="002C6F40" w:rsidP="00B12CB1">
          <w:pPr>
            <w:pStyle w:val="Header"/>
            <w:jc w:val="center"/>
          </w:pPr>
        </w:p>
      </w:tc>
      <w:tc>
        <w:tcPr>
          <w:tcW w:w="4800" w:type="dxa"/>
        </w:tcPr>
        <w:p w14:paraId="750B8CB5" w14:textId="3EE0BEFE" w:rsidR="002C6F40" w:rsidRDefault="002C6F40" w:rsidP="00B12CB1">
          <w:pPr>
            <w:pStyle w:val="Header"/>
            <w:ind w:right="-115"/>
            <w:jc w:val="right"/>
          </w:pPr>
        </w:p>
      </w:tc>
    </w:tr>
  </w:tbl>
  <w:p w14:paraId="0756A841" w14:textId="62ADBC10" w:rsidR="002C6F40" w:rsidRDefault="002C6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6467" w14:textId="77777777" w:rsidR="005748E7" w:rsidRDefault="005748E7" w:rsidP="000E09DC">
      <w:r>
        <w:separator/>
      </w:r>
    </w:p>
  </w:footnote>
  <w:footnote w:type="continuationSeparator" w:id="0">
    <w:p w14:paraId="28D9BE98" w14:textId="77777777" w:rsidR="005748E7" w:rsidRDefault="005748E7" w:rsidP="000E09DC">
      <w:r>
        <w:continuationSeparator/>
      </w:r>
    </w:p>
  </w:footnote>
  <w:footnote w:type="continuationNotice" w:id="1">
    <w:p w14:paraId="54627BCE" w14:textId="77777777" w:rsidR="005748E7" w:rsidRDefault="00574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8CD" w14:textId="77777777" w:rsidR="002C6F40" w:rsidRPr="000E09DC" w:rsidRDefault="002C6F40"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423228CE" w14:textId="77777777" w:rsidR="002C6F40" w:rsidRDefault="002C6F40"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423228CF" w14:textId="77777777" w:rsidR="002C6F40" w:rsidRPr="00527B0E" w:rsidRDefault="002C6F40" w:rsidP="000E09DC">
    <w:pPr>
      <w:pStyle w:val="Header"/>
      <w:jc w:val="right"/>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862F" w14:textId="77777777" w:rsidR="00CB0F00" w:rsidRPr="0094206D" w:rsidRDefault="00CB0F00"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5B1BA7AB" w14:textId="7C7F8C4C" w:rsidR="00CB0F00" w:rsidRPr="0094206D" w:rsidRDefault="00CB0F00" w:rsidP="00787C55">
    <w:pPr>
      <w:spacing w:before="0" w:after="0"/>
      <w:jc w:val="right"/>
      <w:rPr>
        <w:rFonts w:cs="Arial"/>
      </w:rPr>
    </w:pPr>
    <w:r>
      <w:rPr>
        <w:rFonts w:cs="Arial"/>
      </w:rPr>
      <w:t>Attachment 5</w:t>
    </w:r>
  </w:p>
  <w:p w14:paraId="4EFC28DB" w14:textId="2F5FCE98" w:rsidR="00CB0F00" w:rsidRPr="0094206D" w:rsidRDefault="00CB0F00" w:rsidP="00E5222B">
    <w:pPr>
      <w:pStyle w:val="Header"/>
      <w:spacing w:before="0" w:after="480"/>
      <w:jc w:val="right"/>
      <w:rPr>
        <w:rFonts w:cs="Arial"/>
      </w:rPr>
    </w:pPr>
    <w:r w:rsidRPr="008A6B25">
      <w:rPr>
        <w:rFonts w:cs="Arial"/>
      </w:rPr>
      <w:t xml:space="preserve">Page </w:t>
    </w:r>
    <w:r w:rsidRPr="00A55526">
      <w:rPr>
        <w:rFonts w:cs="Arial"/>
      </w:rPr>
      <w:fldChar w:fldCharType="begin"/>
    </w:r>
    <w:r w:rsidRPr="008A6B25">
      <w:rPr>
        <w:rFonts w:cs="Arial"/>
        <w:b/>
        <w:bCs/>
      </w:rPr>
      <w:instrText xml:space="preserve"> PAGE  \* Arabic  \* MERGEFORMAT </w:instrText>
    </w:r>
    <w:r w:rsidRPr="00A55526">
      <w:rPr>
        <w:rFonts w:cs="Arial"/>
      </w:rPr>
      <w:fldChar w:fldCharType="separate"/>
    </w:r>
    <w:r w:rsidRPr="00A55526">
      <w:rPr>
        <w:rFonts w:cs="Arial"/>
      </w:rPr>
      <w:t>1</w:t>
    </w:r>
    <w:r w:rsidRPr="00A55526">
      <w:rPr>
        <w:rFonts w:cs="Arial"/>
      </w:rPr>
      <w:fldChar w:fldCharType="end"/>
    </w:r>
    <w:r w:rsidRPr="00A55526">
      <w:rPr>
        <w:rFonts w:cs="Arial"/>
      </w:rPr>
      <w:t xml:space="preserve"> of </w:t>
    </w:r>
    <w:r w:rsidR="00033B02">
      <w:rPr>
        <w:rFonts w:cs="Arial"/>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1C96" w14:textId="77777777" w:rsidR="00AD2B77" w:rsidRPr="0094206D" w:rsidRDefault="00AD2B77"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2BC962BC" w14:textId="48AE652B" w:rsidR="00AD2B77" w:rsidRPr="0094206D" w:rsidRDefault="00AD2B77" w:rsidP="00787C55">
    <w:pPr>
      <w:spacing w:before="0" w:after="0"/>
      <w:jc w:val="right"/>
      <w:rPr>
        <w:rFonts w:cs="Arial"/>
      </w:rPr>
    </w:pPr>
    <w:r>
      <w:rPr>
        <w:rFonts w:cs="Arial"/>
      </w:rPr>
      <w:t>Attachment 6</w:t>
    </w:r>
  </w:p>
  <w:p w14:paraId="67DDA1A2" w14:textId="7A22F3A6" w:rsidR="00AD2B77" w:rsidRPr="0094206D" w:rsidRDefault="00AD2B77" w:rsidP="00E5222B">
    <w:pPr>
      <w:pStyle w:val="Header"/>
      <w:spacing w:before="0" w:after="480"/>
      <w:jc w:val="right"/>
      <w:rPr>
        <w:rFonts w:cs="Arial"/>
      </w:rPr>
    </w:pPr>
    <w:r w:rsidRPr="008A6B25">
      <w:rPr>
        <w:rFonts w:cs="Arial"/>
      </w:rPr>
      <w:t xml:space="preserve">Page </w:t>
    </w:r>
    <w:r w:rsidRPr="00A55526">
      <w:rPr>
        <w:rFonts w:cs="Arial"/>
      </w:rPr>
      <w:fldChar w:fldCharType="begin"/>
    </w:r>
    <w:r w:rsidRPr="008A6B25">
      <w:rPr>
        <w:rFonts w:cs="Arial"/>
        <w:b/>
        <w:bCs/>
      </w:rPr>
      <w:instrText xml:space="preserve"> PAGE  \* Arabic  \* MERGEFORMAT </w:instrText>
    </w:r>
    <w:r w:rsidRPr="00A55526">
      <w:rPr>
        <w:rFonts w:cs="Arial"/>
      </w:rPr>
      <w:fldChar w:fldCharType="separate"/>
    </w:r>
    <w:r w:rsidRPr="00A55526">
      <w:rPr>
        <w:rFonts w:cs="Arial"/>
      </w:rPr>
      <w:t>1</w:t>
    </w:r>
    <w:r w:rsidRPr="00A55526">
      <w:rPr>
        <w:rFonts w:cs="Arial"/>
      </w:rPr>
      <w:fldChar w:fldCharType="end"/>
    </w:r>
    <w:r w:rsidRPr="00A55526">
      <w:rPr>
        <w:rFonts w:cs="Arial"/>
      </w:rPr>
      <w:t xml:space="preserve"> of </w:t>
    </w:r>
    <w:r>
      <w:rPr>
        <w:rFonts w:cs="Arial"/>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702E" w14:textId="77777777" w:rsidR="00655671" w:rsidRPr="0094206D" w:rsidRDefault="00655671"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29D37D51" w14:textId="77777777" w:rsidR="00655671" w:rsidRPr="0094206D" w:rsidRDefault="00655671" w:rsidP="00787C55">
    <w:pPr>
      <w:spacing w:before="0" w:after="0"/>
      <w:jc w:val="right"/>
      <w:rPr>
        <w:rFonts w:cs="Arial"/>
      </w:rPr>
    </w:pPr>
    <w:r>
      <w:rPr>
        <w:rFonts w:cs="Arial"/>
      </w:rPr>
      <w:t>Attachment 7</w:t>
    </w:r>
  </w:p>
  <w:p w14:paraId="66FD35F2" w14:textId="2B1FBD02" w:rsidR="00655671" w:rsidRPr="0094206D" w:rsidRDefault="008B23D5" w:rsidP="00E5222B">
    <w:pPr>
      <w:pStyle w:val="Header"/>
      <w:spacing w:before="0" w:after="480"/>
      <w:jc w:val="right"/>
      <w:rPr>
        <w:rFonts w:cs="Arial"/>
      </w:rPr>
    </w:pPr>
    <w:r w:rsidRPr="008B23D5">
      <w:rPr>
        <w:rFonts w:cs="Arial"/>
      </w:rPr>
      <w:t xml:space="preserve">Page </w:t>
    </w:r>
    <w:r w:rsidRPr="008B23D5">
      <w:rPr>
        <w:rFonts w:cs="Arial"/>
      </w:rPr>
      <w:fldChar w:fldCharType="begin"/>
    </w:r>
    <w:r w:rsidRPr="008B23D5">
      <w:rPr>
        <w:rFonts w:cs="Arial"/>
      </w:rPr>
      <w:instrText xml:space="preserve"> PAGE  \* Arabic  \* MERGEFORMAT </w:instrText>
    </w:r>
    <w:r w:rsidRPr="008B23D5">
      <w:rPr>
        <w:rFonts w:cs="Arial"/>
      </w:rPr>
      <w:fldChar w:fldCharType="separate"/>
    </w:r>
    <w:r w:rsidRPr="008B23D5">
      <w:rPr>
        <w:rFonts w:cs="Arial"/>
        <w:noProof/>
      </w:rPr>
      <w:t>1</w:t>
    </w:r>
    <w:r w:rsidRPr="008B23D5">
      <w:rPr>
        <w:rFonts w:cs="Arial"/>
      </w:rPr>
      <w:fldChar w:fldCharType="end"/>
    </w:r>
    <w:r w:rsidRPr="008B23D5">
      <w:rPr>
        <w:rFonts w:cs="Arial"/>
      </w:rPr>
      <w:t xml:space="preserve"> of </w:t>
    </w:r>
    <w:r w:rsidR="00BD7405">
      <w:rPr>
        <w:rFonts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3120"/>
      <w:gridCol w:w="3120"/>
      <w:gridCol w:w="3120"/>
    </w:tblGrid>
    <w:tr w:rsidR="002C6F40" w14:paraId="7394D6DB" w14:textId="77777777" w:rsidTr="008F6E2A">
      <w:trPr>
        <w:trHeight w:val="300"/>
      </w:trPr>
      <w:tc>
        <w:tcPr>
          <w:tcW w:w="3120" w:type="dxa"/>
        </w:tcPr>
        <w:p w14:paraId="7E57F985" w14:textId="2AAA564F" w:rsidR="002C6F40" w:rsidRDefault="002C6F40" w:rsidP="00B12CB1">
          <w:pPr>
            <w:pStyle w:val="Header"/>
            <w:ind w:left="-115"/>
          </w:pPr>
        </w:p>
      </w:tc>
      <w:tc>
        <w:tcPr>
          <w:tcW w:w="3120" w:type="dxa"/>
        </w:tcPr>
        <w:p w14:paraId="05FA46E9" w14:textId="3CB1F4C5" w:rsidR="002C6F40" w:rsidRDefault="002C6F40" w:rsidP="00B12CB1">
          <w:pPr>
            <w:pStyle w:val="Header"/>
            <w:jc w:val="center"/>
          </w:pPr>
        </w:p>
      </w:tc>
      <w:tc>
        <w:tcPr>
          <w:tcW w:w="3120" w:type="dxa"/>
        </w:tcPr>
        <w:p w14:paraId="31B411F2" w14:textId="44A60D02" w:rsidR="002C6F40" w:rsidRDefault="002C6F40" w:rsidP="00B12CB1">
          <w:pPr>
            <w:pStyle w:val="Header"/>
            <w:ind w:right="-115"/>
            <w:jc w:val="right"/>
          </w:pPr>
        </w:p>
      </w:tc>
    </w:tr>
  </w:tbl>
  <w:p w14:paraId="514BD85C" w14:textId="0A2E26C7" w:rsidR="002C6F40" w:rsidRDefault="002C6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8D0" w14:textId="5B9F058F" w:rsidR="002C6F40" w:rsidRPr="00BC7FB7" w:rsidRDefault="6B49241F" w:rsidP="00CE41C3">
    <w:pPr>
      <w:spacing w:before="0" w:after="0"/>
      <w:jc w:val="right"/>
    </w:pPr>
    <w:r>
      <w:t>itb-amard-may25item</w:t>
    </w:r>
    <w:r w:rsidR="005A47DA">
      <w:t>01</w:t>
    </w:r>
  </w:p>
  <w:p w14:paraId="32C27CDD" w14:textId="60B683E0" w:rsidR="002C6F40" w:rsidRPr="00943728" w:rsidRDefault="002C6F40" w:rsidP="005A47DA">
    <w:pPr>
      <w:spacing w:before="0" w:after="480"/>
      <w:jc w:val="right"/>
      <w:rPr>
        <w:rFonts w:cs="Arial"/>
      </w:rPr>
    </w:pPr>
    <w:r w:rsidRPr="00943728">
      <w:rPr>
        <w:rFonts w:cs="Arial"/>
      </w:rPr>
      <w:t xml:space="preserve">Page </w:t>
    </w:r>
    <w:r w:rsidRPr="00943728">
      <w:rPr>
        <w:rFonts w:cs="Arial"/>
        <w:bCs/>
      </w:rPr>
      <w:fldChar w:fldCharType="begin"/>
    </w:r>
    <w:r w:rsidRPr="00943728">
      <w:rPr>
        <w:rFonts w:cs="Arial"/>
        <w:bCs/>
      </w:rPr>
      <w:instrText xml:space="preserve"> PAGE  \* Arabic  \* MERGEFORMAT </w:instrText>
    </w:r>
    <w:r w:rsidRPr="00943728">
      <w:rPr>
        <w:rFonts w:cs="Arial"/>
        <w:bCs/>
      </w:rPr>
      <w:fldChar w:fldCharType="separate"/>
    </w:r>
    <w:r w:rsidRPr="00943728">
      <w:rPr>
        <w:rFonts w:cs="Arial"/>
        <w:bCs/>
        <w:noProof/>
      </w:rPr>
      <w:t>1</w:t>
    </w:r>
    <w:r w:rsidRPr="00943728">
      <w:rPr>
        <w:rFonts w:cs="Arial"/>
        <w:bCs/>
      </w:rPr>
      <w:fldChar w:fldCharType="end"/>
    </w:r>
    <w:r w:rsidRPr="00943728">
      <w:rPr>
        <w:rFonts w:cs="Arial"/>
      </w:rPr>
      <w:t xml:space="preserve"> of </w:t>
    </w:r>
    <w:r w:rsidRPr="00CE41C3">
      <w:t>1</w:t>
    </w:r>
    <w:r w:rsidR="00787C55">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3120"/>
      <w:gridCol w:w="3120"/>
      <w:gridCol w:w="3120"/>
    </w:tblGrid>
    <w:tr w:rsidR="002C6F40" w14:paraId="7D74219C" w14:textId="77777777" w:rsidTr="008F6E2A">
      <w:trPr>
        <w:trHeight w:val="300"/>
      </w:trPr>
      <w:tc>
        <w:tcPr>
          <w:tcW w:w="3120" w:type="dxa"/>
        </w:tcPr>
        <w:p w14:paraId="2D3DA32B" w14:textId="196A0B93" w:rsidR="002C6F40" w:rsidRDefault="002C6F40" w:rsidP="00B12CB1">
          <w:pPr>
            <w:pStyle w:val="Header"/>
            <w:ind w:left="-115"/>
          </w:pPr>
        </w:p>
      </w:tc>
      <w:tc>
        <w:tcPr>
          <w:tcW w:w="3120" w:type="dxa"/>
        </w:tcPr>
        <w:p w14:paraId="6D5FA5F6" w14:textId="48504055" w:rsidR="002C6F40" w:rsidRDefault="002C6F40" w:rsidP="00B12CB1">
          <w:pPr>
            <w:pStyle w:val="Header"/>
            <w:jc w:val="center"/>
          </w:pPr>
        </w:p>
      </w:tc>
      <w:tc>
        <w:tcPr>
          <w:tcW w:w="3120" w:type="dxa"/>
        </w:tcPr>
        <w:p w14:paraId="14ECC7ED" w14:textId="546F53D4" w:rsidR="002C6F40" w:rsidRDefault="002C6F40" w:rsidP="00B12CB1">
          <w:pPr>
            <w:pStyle w:val="Header"/>
            <w:ind w:right="-115"/>
            <w:jc w:val="right"/>
          </w:pPr>
        </w:p>
      </w:tc>
    </w:tr>
  </w:tbl>
  <w:p w14:paraId="5FF5547F" w14:textId="0B7513C1" w:rsidR="002C6F40" w:rsidRDefault="002C6F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E6C1" w14:textId="77777777" w:rsidR="002C6F40" w:rsidRPr="0094206D" w:rsidRDefault="5F48C630"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175452D5" w14:textId="77777777" w:rsidR="002C6F40" w:rsidRPr="0094206D" w:rsidRDefault="002C6F40" w:rsidP="00787C55">
    <w:pPr>
      <w:spacing w:before="0" w:after="0"/>
      <w:jc w:val="right"/>
      <w:rPr>
        <w:rFonts w:cs="Arial"/>
      </w:rPr>
    </w:pPr>
    <w:r>
      <w:rPr>
        <w:rFonts w:cs="Arial"/>
      </w:rPr>
      <w:t xml:space="preserve">Attachment </w:t>
    </w:r>
    <w:r w:rsidR="00491D24">
      <w:rPr>
        <w:rFonts w:cs="Arial"/>
      </w:rPr>
      <w:t>1</w:t>
    </w:r>
  </w:p>
  <w:p w14:paraId="18FA6B41" w14:textId="0C7A6B11" w:rsidR="002C6F40" w:rsidRPr="00A55526" w:rsidRDefault="008A6B25" w:rsidP="00A01BAA">
    <w:pPr>
      <w:pStyle w:val="Header"/>
      <w:spacing w:before="0" w:after="480"/>
      <w:jc w:val="right"/>
      <w:rPr>
        <w:rFonts w:cs="Arial"/>
      </w:rPr>
    </w:pPr>
    <w:r w:rsidRPr="00A55526">
      <w:rPr>
        <w:rFonts w:cs="Arial"/>
      </w:rPr>
      <w:t xml:space="preserve">Page </w:t>
    </w:r>
    <w:r w:rsidRPr="00A55526">
      <w:rPr>
        <w:rFonts w:cs="Arial"/>
      </w:rPr>
      <w:fldChar w:fldCharType="begin"/>
    </w:r>
    <w:r w:rsidRPr="00A55526">
      <w:rPr>
        <w:rFonts w:cs="Arial"/>
      </w:rPr>
      <w:instrText xml:space="preserve"> PAGE  \* Arabic  \* MERGEFORMAT </w:instrText>
    </w:r>
    <w:r w:rsidRPr="00A55526">
      <w:rPr>
        <w:rFonts w:cs="Arial"/>
      </w:rPr>
      <w:fldChar w:fldCharType="separate"/>
    </w:r>
    <w:r w:rsidRPr="00A55526">
      <w:rPr>
        <w:rFonts w:cs="Arial"/>
        <w:noProof/>
      </w:rPr>
      <w:t>1</w:t>
    </w:r>
    <w:r w:rsidRPr="00A55526">
      <w:rPr>
        <w:rFonts w:cs="Arial"/>
      </w:rPr>
      <w:fldChar w:fldCharType="end"/>
    </w:r>
    <w:r w:rsidRPr="00A55526">
      <w:rPr>
        <w:rFonts w:cs="Arial"/>
      </w:rPr>
      <w:t xml:space="preserve"> of </w:t>
    </w:r>
    <w:r w:rsidR="00787C55">
      <w:rPr>
        <w:rFonts w:cs="Arial"/>
      </w:rPr>
      <w:t>1</w:t>
    </w:r>
    <w:r w:rsidR="009D7DA0">
      <w:rPr>
        <w:rFonts w:cs="Arial"/>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heme"/>
      <w:tblW w:w="0" w:type="auto"/>
      <w:tblLayout w:type="fixed"/>
      <w:tblLook w:val="06A0" w:firstRow="1" w:lastRow="0" w:firstColumn="1" w:lastColumn="0" w:noHBand="1" w:noVBand="1"/>
    </w:tblPr>
    <w:tblGrid>
      <w:gridCol w:w="4800"/>
      <w:gridCol w:w="4800"/>
      <w:gridCol w:w="4800"/>
    </w:tblGrid>
    <w:tr w:rsidR="002C6F40" w14:paraId="0E0C4282" w14:textId="77777777" w:rsidTr="008F6E2A">
      <w:trPr>
        <w:trHeight w:val="300"/>
      </w:trPr>
      <w:tc>
        <w:tcPr>
          <w:tcW w:w="4800" w:type="dxa"/>
        </w:tcPr>
        <w:p w14:paraId="7E27D414" w14:textId="31254A82" w:rsidR="002C6F40" w:rsidRDefault="002C6F40" w:rsidP="32BA3F26">
          <w:pPr>
            <w:pStyle w:val="Header"/>
            <w:ind w:left="-115"/>
          </w:pPr>
        </w:p>
      </w:tc>
      <w:tc>
        <w:tcPr>
          <w:tcW w:w="4800" w:type="dxa"/>
        </w:tcPr>
        <w:p w14:paraId="2F321490" w14:textId="1F5417CD" w:rsidR="002C6F40" w:rsidRDefault="002C6F40" w:rsidP="00B12CB1">
          <w:pPr>
            <w:pStyle w:val="Header"/>
            <w:jc w:val="center"/>
          </w:pPr>
        </w:p>
      </w:tc>
      <w:tc>
        <w:tcPr>
          <w:tcW w:w="4800" w:type="dxa"/>
        </w:tcPr>
        <w:p w14:paraId="675ABA55" w14:textId="3AE71320" w:rsidR="002C6F40" w:rsidRDefault="002C6F40" w:rsidP="00B12CB1">
          <w:pPr>
            <w:pStyle w:val="Header"/>
            <w:ind w:right="-115"/>
            <w:jc w:val="right"/>
          </w:pPr>
        </w:p>
      </w:tc>
    </w:tr>
  </w:tbl>
  <w:p w14:paraId="4E6161B5" w14:textId="4E149B5D" w:rsidR="002C6F40" w:rsidRDefault="002C6F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806A" w14:textId="77777777" w:rsidR="002C6F40" w:rsidRPr="0094206D" w:rsidRDefault="5F48C630"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7C441EBF" w14:textId="77777777" w:rsidR="002C6F40" w:rsidRPr="0094206D" w:rsidRDefault="002C6F40" w:rsidP="00787C55">
    <w:pPr>
      <w:spacing w:before="0" w:after="0"/>
      <w:jc w:val="right"/>
      <w:rPr>
        <w:rFonts w:cs="Arial"/>
      </w:rPr>
    </w:pPr>
    <w:r>
      <w:rPr>
        <w:rFonts w:cs="Arial"/>
      </w:rPr>
      <w:t xml:space="preserve">Attachment </w:t>
    </w:r>
    <w:r w:rsidR="009D7DA0">
      <w:rPr>
        <w:rFonts w:cs="Arial"/>
      </w:rPr>
      <w:t>2</w:t>
    </w:r>
  </w:p>
  <w:p w14:paraId="5C5C8716" w14:textId="77777777" w:rsidR="002C6F40" w:rsidRPr="0094206D" w:rsidRDefault="008A6B25" w:rsidP="004D5DD9">
    <w:pPr>
      <w:pStyle w:val="Header"/>
      <w:spacing w:before="0" w:after="480"/>
      <w:jc w:val="right"/>
      <w:rPr>
        <w:rFonts w:cs="Arial"/>
      </w:rPr>
    </w:pPr>
    <w:r w:rsidRPr="008A6B25">
      <w:rPr>
        <w:rFonts w:cs="Arial"/>
      </w:rPr>
      <w:t xml:space="preserve">Page </w:t>
    </w:r>
    <w:r w:rsidRPr="00A55526">
      <w:rPr>
        <w:rFonts w:cs="Arial"/>
      </w:rPr>
      <w:fldChar w:fldCharType="begin"/>
    </w:r>
    <w:r w:rsidRPr="008A6B25">
      <w:rPr>
        <w:rFonts w:cs="Arial"/>
        <w:b/>
        <w:bCs/>
      </w:rPr>
      <w:instrText xml:space="preserve"> PAGE  \* Arabic  \* MERGEFORMAT </w:instrText>
    </w:r>
    <w:r w:rsidRPr="00A55526">
      <w:rPr>
        <w:rFonts w:cs="Arial"/>
      </w:rPr>
      <w:fldChar w:fldCharType="separate"/>
    </w:r>
    <w:r w:rsidRPr="00A55526">
      <w:rPr>
        <w:rFonts w:cs="Arial"/>
      </w:rPr>
      <w:t>1</w:t>
    </w:r>
    <w:r w:rsidRPr="00A55526">
      <w:rPr>
        <w:rFonts w:cs="Arial"/>
      </w:rPr>
      <w:fldChar w:fldCharType="end"/>
    </w:r>
    <w:r w:rsidR="00491D24" w:rsidRPr="00A55526">
      <w:rPr>
        <w:rFonts w:cs="Arial"/>
      </w:rPr>
      <w:t xml:space="preserve"> of </w:t>
    </w:r>
    <w:r w:rsidR="001A42A8">
      <w:rPr>
        <w:rFonts w:cs="Arial"/>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EADD" w14:textId="77777777" w:rsidR="00CB326E" w:rsidRPr="0094206D" w:rsidRDefault="00CB326E"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35601B3E" w14:textId="24DF01BE" w:rsidR="00CB326E" w:rsidRPr="0094206D" w:rsidRDefault="00CB326E" w:rsidP="00787C55">
    <w:pPr>
      <w:spacing w:before="0" w:after="0"/>
      <w:jc w:val="right"/>
      <w:rPr>
        <w:rFonts w:cs="Arial"/>
      </w:rPr>
    </w:pPr>
    <w:r>
      <w:rPr>
        <w:rFonts w:cs="Arial"/>
      </w:rPr>
      <w:t>Attachment 3</w:t>
    </w:r>
  </w:p>
  <w:p w14:paraId="4301F636" w14:textId="23D54CE5" w:rsidR="00CB326E" w:rsidRPr="0094206D" w:rsidRDefault="00CB326E" w:rsidP="00CB326E">
    <w:pPr>
      <w:pStyle w:val="Header"/>
      <w:spacing w:before="0" w:after="480"/>
      <w:jc w:val="right"/>
      <w:rPr>
        <w:rFonts w:cs="Arial"/>
      </w:rPr>
    </w:pPr>
    <w:r w:rsidRPr="008A6B25">
      <w:rPr>
        <w:rFonts w:cs="Arial"/>
      </w:rPr>
      <w:t xml:space="preserve">Page </w:t>
    </w:r>
    <w:r w:rsidRPr="00A55526">
      <w:rPr>
        <w:rFonts w:cs="Arial"/>
      </w:rPr>
      <w:fldChar w:fldCharType="begin"/>
    </w:r>
    <w:r w:rsidRPr="008A6B25">
      <w:rPr>
        <w:rFonts w:cs="Arial"/>
        <w:b/>
        <w:bCs/>
      </w:rPr>
      <w:instrText xml:space="preserve"> PAGE  \* Arabic  \* MERGEFORMAT </w:instrText>
    </w:r>
    <w:r w:rsidRPr="00A55526">
      <w:rPr>
        <w:rFonts w:cs="Arial"/>
      </w:rPr>
      <w:fldChar w:fldCharType="separate"/>
    </w:r>
    <w:r w:rsidRPr="00A55526">
      <w:rPr>
        <w:rFonts w:cs="Arial"/>
      </w:rPr>
      <w:t>1</w:t>
    </w:r>
    <w:r w:rsidRPr="00A55526">
      <w:rPr>
        <w:rFonts w:cs="Arial"/>
      </w:rPr>
      <w:fldChar w:fldCharType="end"/>
    </w:r>
    <w:r w:rsidRPr="00A55526">
      <w:rPr>
        <w:rFonts w:cs="Arial"/>
      </w:rPr>
      <w:t xml:space="preserve"> of </w:t>
    </w:r>
    <w:r w:rsidR="00C23CA5">
      <w:rPr>
        <w:rFonts w:cs="Arial"/>
      </w:rPr>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8207" w14:textId="77777777" w:rsidR="00E5222B" w:rsidRPr="0094206D" w:rsidRDefault="00E5222B" w:rsidP="00787C55">
    <w:pPr>
      <w:spacing w:before="0" w:after="0"/>
      <w:jc w:val="right"/>
      <w:rPr>
        <w:rFonts w:cs="Arial"/>
        <w:color w:val="000000"/>
      </w:rPr>
    </w:pPr>
    <w:r w:rsidRPr="5F48C630">
      <w:rPr>
        <w:rFonts w:cs="Arial"/>
        <w:color w:val="000000" w:themeColor="text1"/>
      </w:rPr>
      <w:t>itb-amard-may25ite</w:t>
    </w:r>
    <w:r w:rsidRPr="5F48C630">
      <w:rPr>
        <w:rFonts w:cs="Arial"/>
      </w:rPr>
      <w:t>m01</w:t>
    </w:r>
  </w:p>
  <w:p w14:paraId="79CD2AA5" w14:textId="051B392B" w:rsidR="00E5222B" w:rsidRPr="0094206D" w:rsidRDefault="00E5222B" w:rsidP="00787C55">
    <w:pPr>
      <w:spacing w:before="0" w:after="0"/>
      <w:jc w:val="right"/>
      <w:rPr>
        <w:rFonts w:cs="Arial"/>
      </w:rPr>
    </w:pPr>
    <w:r>
      <w:rPr>
        <w:rFonts w:cs="Arial"/>
      </w:rPr>
      <w:t>Attachment 4</w:t>
    </w:r>
  </w:p>
  <w:p w14:paraId="4EE9EF8E" w14:textId="18C2CB5F" w:rsidR="00E5222B" w:rsidRPr="0094206D" w:rsidRDefault="00E5222B" w:rsidP="00E5222B">
    <w:pPr>
      <w:pStyle w:val="Header"/>
      <w:spacing w:before="0" w:after="480"/>
      <w:jc w:val="right"/>
      <w:rPr>
        <w:rFonts w:cs="Arial"/>
      </w:rPr>
    </w:pPr>
    <w:r w:rsidRPr="008A6B25">
      <w:rPr>
        <w:rFonts w:cs="Arial"/>
      </w:rPr>
      <w:t xml:space="preserve">Page </w:t>
    </w:r>
    <w:r w:rsidRPr="00A55526">
      <w:rPr>
        <w:rFonts w:cs="Arial"/>
      </w:rPr>
      <w:fldChar w:fldCharType="begin"/>
    </w:r>
    <w:r w:rsidRPr="008A6B25">
      <w:rPr>
        <w:rFonts w:cs="Arial"/>
        <w:b/>
        <w:bCs/>
      </w:rPr>
      <w:instrText xml:space="preserve"> PAGE  \* Arabic  \* MERGEFORMAT </w:instrText>
    </w:r>
    <w:r w:rsidRPr="00A55526">
      <w:rPr>
        <w:rFonts w:cs="Arial"/>
      </w:rPr>
      <w:fldChar w:fldCharType="separate"/>
    </w:r>
    <w:r w:rsidRPr="00A55526">
      <w:rPr>
        <w:rFonts w:cs="Arial"/>
      </w:rPr>
      <w:t>1</w:t>
    </w:r>
    <w:r w:rsidRPr="00A55526">
      <w:rPr>
        <w:rFonts w:cs="Arial"/>
      </w:rPr>
      <w:fldChar w:fldCharType="end"/>
    </w:r>
    <w:r w:rsidRPr="00A55526">
      <w:rPr>
        <w:rFonts w:cs="Arial"/>
      </w:rPr>
      <w:t xml:space="preserve"> of </w:t>
    </w:r>
    <w:r w:rsidR="00D2211A">
      <w:rPr>
        <w:rFonts w:cs="Arial"/>
      </w:rPr>
      <w:t>3</w:t>
    </w:r>
  </w:p>
</w:hdr>
</file>

<file path=word/intelligence2.xml><?xml version="1.0" encoding="utf-8"?>
<int2:intelligence xmlns:int2="http://schemas.microsoft.com/office/intelligence/2020/intelligence" xmlns:oel="http://schemas.microsoft.com/office/2019/extlst">
  <int2:observations>
    <int2:textHash int2:hashCode="TegdO70xWd5JWH" int2:id="PQHn8ASH">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779"/>
    <w:multiLevelType w:val="hybridMultilevel"/>
    <w:tmpl w:val="2F764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1E6DE1"/>
    <w:multiLevelType w:val="hybridMultilevel"/>
    <w:tmpl w:val="20F833C6"/>
    <w:lvl w:ilvl="0" w:tplc="9EF2369E">
      <w:start w:val="1"/>
      <w:numFmt w:val="bullet"/>
      <w:lvlText w:val="•"/>
      <w:lvlJc w:val="left"/>
      <w:pPr>
        <w:tabs>
          <w:tab w:val="num" w:pos="720"/>
        </w:tabs>
        <w:ind w:left="720" w:hanging="360"/>
      </w:pPr>
      <w:rPr>
        <w:rFonts w:ascii="Arial" w:hAnsi="Arial" w:hint="default"/>
      </w:rPr>
    </w:lvl>
    <w:lvl w:ilvl="1" w:tplc="CA1289B8">
      <w:numFmt w:val="bullet"/>
      <w:lvlText w:val="◦"/>
      <w:lvlJc w:val="left"/>
      <w:pPr>
        <w:tabs>
          <w:tab w:val="num" w:pos="1440"/>
        </w:tabs>
        <w:ind w:left="1440" w:hanging="360"/>
      </w:pPr>
      <w:rPr>
        <w:rFonts w:ascii="Arial" w:hAnsi="Arial" w:hint="default"/>
      </w:rPr>
    </w:lvl>
    <w:lvl w:ilvl="2" w:tplc="B802B936" w:tentative="1">
      <w:start w:val="1"/>
      <w:numFmt w:val="bullet"/>
      <w:lvlText w:val="•"/>
      <w:lvlJc w:val="left"/>
      <w:pPr>
        <w:tabs>
          <w:tab w:val="num" w:pos="2160"/>
        </w:tabs>
        <w:ind w:left="2160" w:hanging="360"/>
      </w:pPr>
      <w:rPr>
        <w:rFonts w:ascii="Arial" w:hAnsi="Arial" w:hint="default"/>
      </w:rPr>
    </w:lvl>
    <w:lvl w:ilvl="3" w:tplc="FDE8372C" w:tentative="1">
      <w:start w:val="1"/>
      <w:numFmt w:val="bullet"/>
      <w:lvlText w:val="•"/>
      <w:lvlJc w:val="left"/>
      <w:pPr>
        <w:tabs>
          <w:tab w:val="num" w:pos="2880"/>
        </w:tabs>
        <w:ind w:left="2880" w:hanging="360"/>
      </w:pPr>
      <w:rPr>
        <w:rFonts w:ascii="Arial" w:hAnsi="Arial" w:hint="default"/>
      </w:rPr>
    </w:lvl>
    <w:lvl w:ilvl="4" w:tplc="0AF82ECA" w:tentative="1">
      <w:start w:val="1"/>
      <w:numFmt w:val="bullet"/>
      <w:lvlText w:val="•"/>
      <w:lvlJc w:val="left"/>
      <w:pPr>
        <w:tabs>
          <w:tab w:val="num" w:pos="3600"/>
        </w:tabs>
        <w:ind w:left="3600" w:hanging="360"/>
      </w:pPr>
      <w:rPr>
        <w:rFonts w:ascii="Arial" w:hAnsi="Arial" w:hint="default"/>
      </w:rPr>
    </w:lvl>
    <w:lvl w:ilvl="5" w:tplc="5B007108" w:tentative="1">
      <w:start w:val="1"/>
      <w:numFmt w:val="bullet"/>
      <w:lvlText w:val="•"/>
      <w:lvlJc w:val="left"/>
      <w:pPr>
        <w:tabs>
          <w:tab w:val="num" w:pos="4320"/>
        </w:tabs>
        <w:ind w:left="4320" w:hanging="360"/>
      </w:pPr>
      <w:rPr>
        <w:rFonts w:ascii="Arial" w:hAnsi="Arial" w:hint="default"/>
      </w:rPr>
    </w:lvl>
    <w:lvl w:ilvl="6" w:tplc="AA98FB66" w:tentative="1">
      <w:start w:val="1"/>
      <w:numFmt w:val="bullet"/>
      <w:lvlText w:val="•"/>
      <w:lvlJc w:val="left"/>
      <w:pPr>
        <w:tabs>
          <w:tab w:val="num" w:pos="5040"/>
        </w:tabs>
        <w:ind w:left="5040" w:hanging="360"/>
      </w:pPr>
      <w:rPr>
        <w:rFonts w:ascii="Arial" w:hAnsi="Arial" w:hint="default"/>
      </w:rPr>
    </w:lvl>
    <w:lvl w:ilvl="7" w:tplc="14B6FBCE" w:tentative="1">
      <w:start w:val="1"/>
      <w:numFmt w:val="bullet"/>
      <w:lvlText w:val="•"/>
      <w:lvlJc w:val="left"/>
      <w:pPr>
        <w:tabs>
          <w:tab w:val="num" w:pos="5760"/>
        </w:tabs>
        <w:ind w:left="5760" w:hanging="360"/>
      </w:pPr>
      <w:rPr>
        <w:rFonts w:ascii="Arial" w:hAnsi="Arial" w:hint="default"/>
      </w:rPr>
    </w:lvl>
    <w:lvl w:ilvl="8" w:tplc="C12435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C5FF3"/>
    <w:multiLevelType w:val="hybridMultilevel"/>
    <w:tmpl w:val="7E2A9F1A"/>
    <w:lvl w:ilvl="0" w:tplc="16A41060">
      <w:start w:val="1"/>
      <w:numFmt w:val="bullet"/>
      <w:lvlText w:val=""/>
      <w:lvlJc w:val="left"/>
      <w:pPr>
        <w:ind w:left="360" w:hanging="360"/>
      </w:pPr>
      <w:rPr>
        <w:rFonts w:ascii="Symbol" w:hAnsi="Symbol" w:hint="default"/>
      </w:rPr>
    </w:lvl>
    <w:lvl w:ilvl="1" w:tplc="78CA5646">
      <w:start w:val="1"/>
      <w:numFmt w:val="bullet"/>
      <w:lvlText w:val="o"/>
      <w:lvlJc w:val="left"/>
      <w:pPr>
        <w:ind w:left="1440" w:hanging="360"/>
      </w:pPr>
      <w:rPr>
        <w:rFonts w:ascii="Courier New" w:hAnsi="Courier New" w:hint="default"/>
      </w:rPr>
    </w:lvl>
    <w:lvl w:ilvl="2" w:tplc="56DC962C">
      <w:start w:val="1"/>
      <w:numFmt w:val="bullet"/>
      <w:lvlText w:val=""/>
      <w:lvlJc w:val="left"/>
      <w:pPr>
        <w:ind w:left="2160" w:hanging="360"/>
      </w:pPr>
      <w:rPr>
        <w:rFonts w:ascii="Wingdings" w:hAnsi="Wingdings" w:hint="default"/>
      </w:rPr>
    </w:lvl>
    <w:lvl w:ilvl="3" w:tplc="8FA06456">
      <w:start w:val="1"/>
      <w:numFmt w:val="bullet"/>
      <w:lvlText w:val=""/>
      <w:lvlJc w:val="left"/>
      <w:pPr>
        <w:ind w:left="2880" w:hanging="360"/>
      </w:pPr>
      <w:rPr>
        <w:rFonts w:ascii="Symbol" w:hAnsi="Symbol" w:hint="default"/>
      </w:rPr>
    </w:lvl>
    <w:lvl w:ilvl="4" w:tplc="BD66A432">
      <w:start w:val="1"/>
      <w:numFmt w:val="bullet"/>
      <w:lvlText w:val="o"/>
      <w:lvlJc w:val="left"/>
      <w:pPr>
        <w:ind w:left="3600" w:hanging="360"/>
      </w:pPr>
      <w:rPr>
        <w:rFonts w:ascii="Courier New" w:hAnsi="Courier New" w:hint="default"/>
      </w:rPr>
    </w:lvl>
    <w:lvl w:ilvl="5" w:tplc="B5761B40">
      <w:start w:val="1"/>
      <w:numFmt w:val="bullet"/>
      <w:lvlText w:val=""/>
      <w:lvlJc w:val="left"/>
      <w:pPr>
        <w:ind w:left="4320" w:hanging="360"/>
      </w:pPr>
      <w:rPr>
        <w:rFonts w:ascii="Wingdings" w:hAnsi="Wingdings" w:hint="default"/>
      </w:rPr>
    </w:lvl>
    <w:lvl w:ilvl="6" w:tplc="B832E03E">
      <w:start w:val="1"/>
      <w:numFmt w:val="bullet"/>
      <w:lvlText w:val=""/>
      <w:lvlJc w:val="left"/>
      <w:pPr>
        <w:ind w:left="5040" w:hanging="360"/>
      </w:pPr>
      <w:rPr>
        <w:rFonts w:ascii="Symbol" w:hAnsi="Symbol" w:hint="default"/>
      </w:rPr>
    </w:lvl>
    <w:lvl w:ilvl="7" w:tplc="5F50DF88">
      <w:start w:val="1"/>
      <w:numFmt w:val="bullet"/>
      <w:lvlText w:val="o"/>
      <w:lvlJc w:val="left"/>
      <w:pPr>
        <w:ind w:left="5760" w:hanging="360"/>
      </w:pPr>
      <w:rPr>
        <w:rFonts w:ascii="Courier New" w:hAnsi="Courier New" w:hint="default"/>
      </w:rPr>
    </w:lvl>
    <w:lvl w:ilvl="8" w:tplc="EC6A5146">
      <w:start w:val="1"/>
      <w:numFmt w:val="bullet"/>
      <w:lvlText w:val=""/>
      <w:lvlJc w:val="left"/>
      <w:pPr>
        <w:ind w:left="6480" w:hanging="360"/>
      </w:pPr>
      <w:rPr>
        <w:rFonts w:ascii="Wingdings" w:hAnsi="Wingdings" w:hint="default"/>
      </w:rPr>
    </w:lvl>
  </w:abstractNum>
  <w:abstractNum w:abstractNumId="3" w15:restartNumberingAfterBreak="0">
    <w:nsid w:val="116B7695"/>
    <w:multiLevelType w:val="multilevel"/>
    <w:tmpl w:val="103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02FFA"/>
    <w:multiLevelType w:val="hybridMultilevel"/>
    <w:tmpl w:val="FFFFFFFF"/>
    <w:lvl w:ilvl="0" w:tplc="2E9A44CE">
      <w:start w:val="1"/>
      <w:numFmt w:val="bullet"/>
      <w:lvlText w:val=""/>
      <w:lvlJc w:val="left"/>
      <w:pPr>
        <w:ind w:left="720" w:hanging="360"/>
      </w:pPr>
      <w:rPr>
        <w:rFonts w:ascii="Symbol" w:hAnsi="Symbol" w:hint="default"/>
      </w:rPr>
    </w:lvl>
    <w:lvl w:ilvl="1" w:tplc="F4D41CFC">
      <w:start w:val="1"/>
      <w:numFmt w:val="bullet"/>
      <w:lvlText w:val="o"/>
      <w:lvlJc w:val="left"/>
      <w:pPr>
        <w:ind w:left="1440" w:hanging="360"/>
      </w:pPr>
      <w:rPr>
        <w:rFonts w:ascii="Courier New" w:hAnsi="Courier New" w:hint="default"/>
      </w:rPr>
    </w:lvl>
    <w:lvl w:ilvl="2" w:tplc="39F4C076">
      <w:start w:val="1"/>
      <w:numFmt w:val="bullet"/>
      <w:lvlText w:val=""/>
      <w:lvlJc w:val="left"/>
      <w:pPr>
        <w:ind w:left="2160" w:hanging="360"/>
      </w:pPr>
      <w:rPr>
        <w:rFonts w:ascii="Wingdings" w:hAnsi="Wingdings" w:hint="default"/>
      </w:rPr>
    </w:lvl>
    <w:lvl w:ilvl="3" w:tplc="EE3C1BD0">
      <w:start w:val="1"/>
      <w:numFmt w:val="bullet"/>
      <w:lvlText w:val=""/>
      <w:lvlJc w:val="left"/>
      <w:pPr>
        <w:ind w:left="2880" w:hanging="360"/>
      </w:pPr>
      <w:rPr>
        <w:rFonts w:ascii="Symbol" w:hAnsi="Symbol" w:hint="default"/>
      </w:rPr>
    </w:lvl>
    <w:lvl w:ilvl="4" w:tplc="3D6A7860">
      <w:start w:val="1"/>
      <w:numFmt w:val="bullet"/>
      <w:lvlText w:val="o"/>
      <w:lvlJc w:val="left"/>
      <w:pPr>
        <w:ind w:left="3600" w:hanging="360"/>
      </w:pPr>
      <w:rPr>
        <w:rFonts w:ascii="Courier New" w:hAnsi="Courier New" w:hint="default"/>
      </w:rPr>
    </w:lvl>
    <w:lvl w:ilvl="5" w:tplc="5BAA0F70">
      <w:start w:val="1"/>
      <w:numFmt w:val="bullet"/>
      <w:lvlText w:val=""/>
      <w:lvlJc w:val="left"/>
      <w:pPr>
        <w:ind w:left="4320" w:hanging="360"/>
      </w:pPr>
      <w:rPr>
        <w:rFonts w:ascii="Wingdings" w:hAnsi="Wingdings" w:hint="default"/>
      </w:rPr>
    </w:lvl>
    <w:lvl w:ilvl="6" w:tplc="A8647B2A">
      <w:start w:val="1"/>
      <w:numFmt w:val="bullet"/>
      <w:lvlText w:val=""/>
      <w:lvlJc w:val="left"/>
      <w:pPr>
        <w:ind w:left="5040" w:hanging="360"/>
      </w:pPr>
      <w:rPr>
        <w:rFonts w:ascii="Symbol" w:hAnsi="Symbol" w:hint="default"/>
      </w:rPr>
    </w:lvl>
    <w:lvl w:ilvl="7" w:tplc="642A202C">
      <w:start w:val="1"/>
      <w:numFmt w:val="bullet"/>
      <w:lvlText w:val="o"/>
      <w:lvlJc w:val="left"/>
      <w:pPr>
        <w:ind w:left="5760" w:hanging="360"/>
      </w:pPr>
      <w:rPr>
        <w:rFonts w:ascii="Courier New" w:hAnsi="Courier New" w:hint="default"/>
      </w:rPr>
    </w:lvl>
    <w:lvl w:ilvl="8" w:tplc="C2D87DCE">
      <w:start w:val="1"/>
      <w:numFmt w:val="bullet"/>
      <w:lvlText w:val=""/>
      <w:lvlJc w:val="left"/>
      <w:pPr>
        <w:ind w:left="6480" w:hanging="360"/>
      </w:pPr>
      <w:rPr>
        <w:rFonts w:ascii="Wingdings" w:hAnsi="Wingdings" w:hint="default"/>
      </w:rPr>
    </w:lvl>
  </w:abstractNum>
  <w:abstractNum w:abstractNumId="5" w15:restartNumberingAfterBreak="0">
    <w:nsid w:val="13054A7C"/>
    <w:multiLevelType w:val="hybridMultilevel"/>
    <w:tmpl w:val="635E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D304A"/>
    <w:multiLevelType w:val="hybridMultilevel"/>
    <w:tmpl w:val="75E694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77F26"/>
    <w:multiLevelType w:val="hybridMultilevel"/>
    <w:tmpl w:val="DFA2CA9C"/>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146B7"/>
    <w:multiLevelType w:val="hybridMultilevel"/>
    <w:tmpl w:val="FFFFFFFF"/>
    <w:lvl w:ilvl="0" w:tplc="C180D3F6">
      <w:start w:val="1"/>
      <w:numFmt w:val="bullet"/>
      <w:lvlText w:val=""/>
      <w:lvlJc w:val="left"/>
      <w:pPr>
        <w:ind w:left="720" w:hanging="360"/>
      </w:pPr>
      <w:rPr>
        <w:rFonts w:ascii="Symbol" w:hAnsi="Symbol" w:hint="default"/>
      </w:rPr>
    </w:lvl>
    <w:lvl w:ilvl="1" w:tplc="0624ED12">
      <w:start w:val="1"/>
      <w:numFmt w:val="bullet"/>
      <w:lvlText w:val="o"/>
      <w:lvlJc w:val="left"/>
      <w:pPr>
        <w:ind w:left="1440" w:hanging="360"/>
      </w:pPr>
      <w:rPr>
        <w:rFonts w:ascii="Courier New" w:hAnsi="Courier New" w:hint="default"/>
      </w:rPr>
    </w:lvl>
    <w:lvl w:ilvl="2" w:tplc="7018B11E">
      <w:start w:val="1"/>
      <w:numFmt w:val="bullet"/>
      <w:lvlText w:val=""/>
      <w:lvlJc w:val="left"/>
      <w:pPr>
        <w:ind w:left="2160" w:hanging="360"/>
      </w:pPr>
      <w:rPr>
        <w:rFonts w:ascii="Wingdings" w:hAnsi="Wingdings" w:hint="default"/>
      </w:rPr>
    </w:lvl>
    <w:lvl w:ilvl="3" w:tplc="4144624C">
      <w:start w:val="1"/>
      <w:numFmt w:val="bullet"/>
      <w:lvlText w:val=""/>
      <w:lvlJc w:val="left"/>
      <w:pPr>
        <w:ind w:left="2880" w:hanging="360"/>
      </w:pPr>
      <w:rPr>
        <w:rFonts w:ascii="Symbol" w:hAnsi="Symbol" w:hint="default"/>
      </w:rPr>
    </w:lvl>
    <w:lvl w:ilvl="4" w:tplc="809667D6">
      <w:start w:val="1"/>
      <w:numFmt w:val="bullet"/>
      <w:lvlText w:val="o"/>
      <w:lvlJc w:val="left"/>
      <w:pPr>
        <w:ind w:left="3600" w:hanging="360"/>
      </w:pPr>
      <w:rPr>
        <w:rFonts w:ascii="Courier New" w:hAnsi="Courier New" w:hint="default"/>
      </w:rPr>
    </w:lvl>
    <w:lvl w:ilvl="5" w:tplc="FBCEDA30">
      <w:start w:val="1"/>
      <w:numFmt w:val="bullet"/>
      <w:lvlText w:val=""/>
      <w:lvlJc w:val="left"/>
      <w:pPr>
        <w:ind w:left="4320" w:hanging="360"/>
      </w:pPr>
      <w:rPr>
        <w:rFonts w:ascii="Wingdings" w:hAnsi="Wingdings" w:hint="default"/>
      </w:rPr>
    </w:lvl>
    <w:lvl w:ilvl="6" w:tplc="FC5022D6">
      <w:start w:val="1"/>
      <w:numFmt w:val="bullet"/>
      <w:lvlText w:val=""/>
      <w:lvlJc w:val="left"/>
      <w:pPr>
        <w:ind w:left="5040" w:hanging="360"/>
      </w:pPr>
      <w:rPr>
        <w:rFonts w:ascii="Symbol" w:hAnsi="Symbol" w:hint="default"/>
      </w:rPr>
    </w:lvl>
    <w:lvl w:ilvl="7" w:tplc="BDA0252A">
      <w:start w:val="1"/>
      <w:numFmt w:val="bullet"/>
      <w:lvlText w:val="o"/>
      <w:lvlJc w:val="left"/>
      <w:pPr>
        <w:ind w:left="5760" w:hanging="360"/>
      </w:pPr>
      <w:rPr>
        <w:rFonts w:ascii="Courier New" w:hAnsi="Courier New" w:hint="default"/>
      </w:rPr>
    </w:lvl>
    <w:lvl w:ilvl="8" w:tplc="403EEBAE">
      <w:start w:val="1"/>
      <w:numFmt w:val="bullet"/>
      <w:lvlText w:val=""/>
      <w:lvlJc w:val="left"/>
      <w:pPr>
        <w:ind w:left="6480" w:hanging="360"/>
      </w:pPr>
      <w:rPr>
        <w:rFonts w:ascii="Wingdings" w:hAnsi="Wingdings" w:hint="default"/>
      </w:rPr>
    </w:lvl>
  </w:abstractNum>
  <w:abstractNum w:abstractNumId="10" w15:restartNumberingAfterBreak="0">
    <w:nsid w:val="29F0CB6E"/>
    <w:multiLevelType w:val="hybridMultilevel"/>
    <w:tmpl w:val="FFFFFFFF"/>
    <w:lvl w:ilvl="0" w:tplc="75D6196E">
      <w:start w:val="1"/>
      <w:numFmt w:val="bullet"/>
      <w:lvlText w:val=""/>
      <w:lvlJc w:val="left"/>
      <w:pPr>
        <w:ind w:left="720" w:hanging="360"/>
      </w:pPr>
      <w:rPr>
        <w:rFonts w:ascii="Symbol" w:hAnsi="Symbol" w:hint="default"/>
      </w:rPr>
    </w:lvl>
    <w:lvl w:ilvl="1" w:tplc="E250DBB4">
      <w:start w:val="1"/>
      <w:numFmt w:val="bullet"/>
      <w:lvlText w:val="o"/>
      <w:lvlJc w:val="left"/>
      <w:pPr>
        <w:ind w:left="1440" w:hanging="360"/>
      </w:pPr>
      <w:rPr>
        <w:rFonts w:ascii="Courier New" w:hAnsi="Courier New" w:hint="default"/>
      </w:rPr>
    </w:lvl>
    <w:lvl w:ilvl="2" w:tplc="1F208A22">
      <w:start w:val="1"/>
      <w:numFmt w:val="bullet"/>
      <w:lvlText w:val=""/>
      <w:lvlJc w:val="left"/>
      <w:pPr>
        <w:ind w:left="2160" w:hanging="360"/>
      </w:pPr>
      <w:rPr>
        <w:rFonts w:ascii="Wingdings" w:hAnsi="Wingdings" w:hint="default"/>
      </w:rPr>
    </w:lvl>
    <w:lvl w:ilvl="3" w:tplc="BA88990C">
      <w:start w:val="1"/>
      <w:numFmt w:val="bullet"/>
      <w:lvlText w:val=""/>
      <w:lvlJc w:val="left"/>
      <w:pPr>
        <w:ind w:left="2880" w:hanging="360"/>
      </w:pPr>
      <w:rPr>
        <w:rFonts w:ascii="Symbol" w:hAnsi="Symbol" w:hint="default"/>
      </w:rPr>
    </w:lvl>
    <w:lvl w:ilvl="4" w:tplc="EB2815A8">
      <w:start w:val="1"/>
      <w:numFmt w:val="bullet"/>
      <w:lvlText w:val="o"/>
      <w:lvlJc w:val="left"/>
      <w:pPr>
        <w:ind w:left="3600" w:hanging="360"/>
      </w:pPr>
      <w:rPr>
        <w:rFonts w:ascii="Courier New" w:hAnsi="Courier New" w:hint="default"/>
      </w:rPr>
    </w:lvl>
    <w:lvl w:ilvl="5" w:tplc="3BC2D418">
      <w:start w:val="1"/>
      <w:numFmt w:val="bullet"/>
      <w:lvlText w:val=""/>
      <w:lvlJc w:val="left"/>
      <w:pPr>
        <w:ind w:left="4320" w:hanging="360"/>
      </w:pPr>
      <w:rPr>
        <w:rFonts w:ascii="Wingdings" w:hAnsi="Wingdings" w:hint="default"/>
      </w:rPr>
    </w:lvl>
    <w:lvl w:ilvl="6" w:tplc="29DE915C">
      <w:start w:val="1"/>
      <w:numFmt w:val="bullet"/>
      <w:lvlText w:val=""/>
      <w:lvlJc w:val="left"/>
      <w:pPr>
        <w:ind w:left="5040" w:hanging="360"/>
      </w:pPr>
      <w:rPr>
        <w:rFonts w:ascii="Symbol" w:hAnsi="Symbol" w:hint="default"/>
      </w:rPr>
    </w:lvl>
    <w:lvl w:ilvl="7" w:tplc="1C4CF7D0">
      <w:start w:val="1"/>
      <w:numFmt w:val="bullet"/>
      <w:lvlText w:val="o"/>
      <w:lvlJc w:val="left"/>
      <w:pPr>
        <w:ind w:left="5760" w:hanging="360"/>
      </w:pPr>
      <w:rPr>
        <w:rFonts w:ascii="Courier New" w:hAnsi="Courier New" w:hint="default"/>
      </w:rPr>
    </w:lvl>
    <w:lvl w:ilvl="8" w:tplc="89A85FFC">
      <w:start w:val="1"/>
      <w:numFmt w:val="bullet"/>
      <w:lvlText w:val=""/>
      <w:lvlJc w:val="left"/>
      <w:pPr>
        <w:ind w:left="6480" w:hanging="360"/>
      </w:pPr>
      <w:rPr>
        <w:rFonts w:ascii="Wingdings" w:hAnsi="Wingdings" w:hint="default"/>
      </w:rPr>
    </w:lvl>
  </w:abstractNum>
  <w:abstractNum w:abstractNumId="11" w15:restartNumberingAfterBreak="0">
    <w:nsid w:val="34FC5782"/>
    <w:multiLevelType w:val="hybridMultilevel"/>
    <w:tmpl w:val="0108F896"/>
    <w:lvl w:ilvl="0" w:tplc="5D6C6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AC5830"/>
    <w:multiLevelType w:val="hybridMultilevel"/>
    <w:tmpl w:val="B5F611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6013B"/>
    <w:multiLevelType w:val="hybridMultilevel"/>
    <w:tmpl w:val="B5F61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28A27"/>
    <w:multiLevelType w:val="hybridMultilevel"/>
    <w:tmpl w:val="110EA620"/>
    <w:lvl w:ilvl="0" w:tplc="93DAA364">
      <w:start w:val="1"/>
      <w:numFmt w:val="bullet"/>
      <w:lvlText w:val=""/>
      <w:lvlJc w:val="left"/>
      <w:pPr>
        <w:ind w:left="360" w:hanging="360"/>
      </w:pPr>
      <w:rPr>
        <w:rFonts w:ascii="Symbol" w:hAnsi="Symbol" w:hint="default"/>
      </w:rPr>
    </w:lvl>
    <w:lvl w:ilvl="1" w:tplc="A3B028DC">
      <w:start w:val="1"/>
      <w:numFmt w:val="bullet"/>
      <w:lvlText w:val="o"/>
      <w:lvlJc w:val="left"/>
      <w:pPr>
        <w:ind w:left="1440" w:hanging="360"/>
      </w:pPr>
      <w:rPr>
        <w:rFonts w:ascii="Courier New" w:hAnsi="Courier New" w:hint="default"/>
      </w:rPr>
    </w:lvl>
    <w:lvl w:ilvl="2" w:tplc="D6A4D4DC">
      <w:start w:val="1"/>
      <w:numFmt w:val="bullet"/>
      <w:lvlText w:val=""/>
      <w:lvlJc w:val="left"/>
      <w:pPr>
        <w:ind w:left="2160" w:hanging="360"/>
      </w:pPr>
      <w:rPr>
        <w:rFonts w:ascii="Wingdings" w:hAnsi="Wingdings" w:hint="default"/>
      </w:rPr>
    </w:lvl>
    <w:lvl w:ilvl="3" w:tplc="8FB46762">
      <w:start w:val="1"/>
      <w:numFmt w:val="bullet"/>
      <w:lvlText w:val=""/>
      <w:lvlJc w:val="left"/>
      <w:pPr>
        <w:ind w:left="2880" w:hanging="360"/>
      </w:pPr>
      <w:rPr>
        <w:rFonts w:ascii="Symbol" w:hAnsi="Symbol" w:hint="default"/>
      </w:rPr>
    </w:lvl>
    <w:lvl w:ilvl="4" w:tplc="82D0FE26">
      <w:start w:val="1"/>
      <w:numFmt w:val="bullet"/>
      <w:lvlText w:val="o"/>
      <w:lvlJc w:val="left"/>
      <w:pPr>
        <w:ind w:left="3600" w:hanging="360"/>
      </w:pPr>
      <w:rPr>
        <w:rFonts w:ascii="Courier New" w:hAnsi="Courier New" w:hint="default"/>
      </w:rPr>
    </w:lvl>
    <w:lvl w:ilvl="5" w:tplc="A9ACC5D2">
      <w:start w:val="1"/>
      <w:numFmt w:val="bullet"/>
      <w:lvlText w:val=""/>
      <w:lvlJc w:val="left"/>
      <w:pPr>
        <w:ind w:left="4320" w:hanging="360"/>
      </w:pPr>
      <w:rPr>
        <w:rFonts w:ascii="Wingdings" w:hAnsi="Wingdings" w:hint="default"/>
      </w:rPr>
    </w:lvl>
    <w:lvl w:ilvl="6" w:tplc="BD3C3DB6">
      <w:start w:val="1"/>
      <w:numFmt w:val="bullet"/>
      <w:lvlText w:val=""/>
      <w:lvlJc w:val="left"/>
      <w:pPr>
        <w:ind w:left="5040" w:hanging="360"/>
      </w:pPr>
      <w:rPr>
        <w:rFonts w:ascii="Symbol" w:hAnsi="Symbol" w:hint="default"/>
      </w:rPr>
    </w:lvl>
    <w:lvl w:ilvl="7" w:tplc="DD049146">
      <w:start w:val="1"/>
      <w:numFmt w:val="bullet"/>
      <w:lvlText w:val="o"/>
      <w:lvlJc w:val="left"/>
      <w:pPr>
        <w:ind w:left="5760" w:hanging="360"/>
      </w:pPr>
      <w:rPr>
        <w:rFonts w:ascii="Courier New" w:hAnsi="Courier New" w:hint="default"/>
      </w:rPr>
    </w:lvl>
    <w:lvl w:ilvl="8" w:tplc="BDA26DFE">
      <w:start w:val="1"/>
      <w:numFmt w:val="bullet"/>
      <w:lvlText w:val=""/>
      <w:lvlJc w:val="left"/>
      <w:pPr>
        <w:ind w:left="6480" w:hanging="360"/>
      </w:pPr>
      <w:rPr>
        <w:rFonts w:ascii="Wingdings" w:hAnsi="Wingdings" w:hint="default"/>
      </w:rPr>
    </w:lvl>
  </w:abstractNum>
  <w:abstractNum w:abstractNumId="15" w15:restartNumberingAfterBreak="0">
    <w:nsid w:val="4F7A6D94"/>
    <w:multiLevelType w:val="hybridMultilevel"/>
    <w:tmpl w:val="2BD2817A"/>
    <w:lvl w:ilvl="0" w:tplc="BB448F08">
      <w:start w:val="1"/>
      <w:numFmt w:val="bullet"/>
      <w:lvlText w:val=""/>
      <w:lvlJc w:val="left"/>
      <w:pPr>
        <w:ind w:left="720" w:hanging="360"/>
      </w:pPr>
      <w:rPr>
        <w:rFonts w:ascii="Symbol" w:hAnsi="Symbol" w:hint="default"/>
      </w:rPr>
    </w:lvl>
    <w:lvl w:ilvl="1" w:tplc="A41C61EE">
      <w:start w:val="1"/>
      <w:numFmt w:val="bullet"/>
      <w:lvlText w:val="o"/>
      <w:lvlJc w:val="left"/>
      <w:pPr>
        <w:ind w:left="1440" w:hanging="360"/>
      </w:pPr>
      <w:rPr>
        <w:rFonts w:ascii="Courier New" w:hAnsi="Courier New" w:hint="default"/>
      </w:rPr>
    </w:lvl>
    <w:lvl w:ilvl="2" w:tplc="6986CFE6">
      <w:start w:val="1"/>
      <w:numFmt w:val="bullet"/>
      <w:lvlText w:val=""/>
      <w:lvlJc w:val="left"/>
      <w:pPr>
        <w:ind w:left="2160" w:hanging="360"/>
      </w:pPr>
      <w:rPr>
        <w:rFonts w:ascii="Wingdings" w:hAnsi="Wingdings" w:hint="default"/>
      </w:rPr>
    </w:lvl>
    <w:lvl w:ilvl="3" w:tplc="3E7EB74E">
      <w:start w:val="1"/>
      <w:numFmt w:val="bullet"/>
      <w:lvlText w:val=""/>
      <w:lvlJc w:val="left"/>
      <w:pPr>
        <w:ind w:left="2880" w:hanging="360"/>
      </w:pPr>
      <w:rPr>
        <w:rFonts w:ascii="Symbol" w:hAnsi="Symbol" w:hint="default"/>
      </w:rPr>
    </w:lvl>
    <w:lvl w:ilvl="4" w:tplc="D36EC70C">
      <w:start w:val="1"/>
      <w:numFmt w:val="bullet"/>
      <w:lvlText w:val="o"/>
      <w:lvlJc w:val="left"/>
      <w:pPr>
        <w:ind w:left="3600" w:hanging="360"/>
      </w:pPr>
      <w:rPr>
        <w:rFonts w:ascii="Courier New" w:hAnsi="Courier New" w:hint="default"/>
      </w:rPr>
    </w:lvl>
    <w:lvl w:ilvl="5" w:tplc="AE94EF7A">
      <w:start w:val="1"/>
      <w:numFmt w:val="bullet"/>
      <w:lvlText w:val=""/>
      <w:lvlJc w:val="left"/>
      <w:pPr>
        <w:ind w:left="4320" w:hanging="360"/>
      </w:pPr>
      <w:rPr>
        <w:rFonts w:ascii="Wingdings" w:hAnsi="Wingdings" w:hint="default"/>
      </w:rPr>
    </w:lvl>
    <w:lvl w:ilvl="6" w:tplc="D4ECF3BC">
      <w:start w:val="1"/>
      <w:numFmt w:val="bullet"/>
      <w:lvlText w:val=""/>
      <w:lvlJc w:val="left"/>
      <w:pPr>
        <w:ind w:left="5040" w:hanging="360"/>
      </w:pPr>
      <w:rPr>
        <w:rFonts w:ascii="Symbol" w:hAnsi="Symbol" w:hint="default"/>
      </w:rPr>
    </w:lvl>
    <w:lvl w:ilvl="7" w:tplc="06D67FAA">
      <w:start w:val="1"/>
      <w:numFmt w:val="bullet"/>
      <w:lvlText w:val="o"/>
      <w:lvlJc w:val="left"/>
      <w:pPr>
        <w:ind w:left="5760" w:hanging="360"/>
      </w:pPr>
      <w:rPr>
        <w:rFonts w:ascii="Courier New" w:hAnsi="Courier New" w:hint="default"/>
      </w:rPr>
    </w:lvl>
    <w:lvl w:ilvl="8" w:tplc="01EC3BDC">
      <w:start w:val="1"/>
      <w:numFmt w:val="bullet"/>
      <w:lvlText w:val=""/>
      <w:lvlJc w:val="left"/>
      <w:pPr>
        <w:ind w:left="6480" w:hanging="360"/>
      </w:pPr>
      <w:rPr>
        <w:rFonts w:ascii="Wingdings" w:hAnsi="Wingdings" w:hint="default"/>
      </w:rPr>
    </w:lvl>
  </w:abstractNum>
  <w:abstractNum w:abstractNumId="16" w15:restartNumberingAfterBreak="0">
    <w:nsid w:val="4FD61BB3"/>
    <w:multiLevelType w:val="hybridMultilevel"/>
    <w:tmpl w:val="C04C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43AD"/>
    <w:multiLevelType w:val="hybridMultilevel"/>
    <w:tmpl w:val="18D4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E06BB"/>
    <w:multiLevelType w:val="hybridMultilevel"/>
    <w:tmpl w:val="D90C4436"/>
    <w:lvl w:ilvl="0" w:tplc="36A49CD8">
      <w:start w:val="1"/>
      <w:numFmt w:val="bullet"/>
      <w:lvlText w:val="•"/>
      <w:lvlJc w:val="left"/>
      <w:pPr>
        <w:tabs>
          <w:tab w:val="num" w:pos="720"/>
        </w:tabs>
        <w:ind w:left="720" w:hanging="360"/>
      </w:pPr>
      <w:rPr>
        <w:rFonts w:ascii="Arial" w:hAnsi="Arial" w:hint="default"/>
      </w:rPr>
    </w:lvl>
    <w:lvl w:ilvl="1" w:tplc="B5866882">
      <w:numFmt w:val="bullet"/>
      <w:lvlText w:val="•"/>
      <w:lvlJc w:val="left"/>
      <w:pPr>
        <w:tabs>
          <w:tab w:val="num" w:pos="1440"/>
        </w:tabs>
        <w:ind w:left="1440" w:hanging="360"/>
      </w:pPr>
      <w:rPr>
        <w:rFonts w:ascii="Arial" w:hAnsi="Arial" w:hint="default"/>
      </w:rPr>
    </w:lvl>
    <w:lvl w:ilvl="2" w:tplc="CFC8BE2A" w:tentative="1">
      <w:start w:val="1"/>
      <w:numFmt w:val="bullet"/>
      <w:lvlText w:val="•"/>
      <w:lvlJc w:val="left"/>
      <w:pPr>
        <w:tabs>
          <w:tab w:val="num" w:pos="2160"/>
        </w:tabs>
        <w:ind w:left="2160" w:hanging="360"/>
      </w:pPr>
      <w:rPr>
        <w:rFonts w:ascii="Arial" w:hAnsi="Arial" w:hint="default"/>
      </w:rPr>
    </w:lvl>
    <w:lvl w:ilvl="3" w:tplc="E11A56DA" w:tentative="1">
      <w:start w:val="1"/>
      <w:numFmt w:val="bullet"/>
      <w:lvlText w:val="•"/>
      <w:lvlJc w:val="left"/>
      <w:pPr>
        <w:tabs>
          <w:tab w:val="num" w:pos="2880"/>
        </w:tabs>
        <w:ind w:left="2880" w:hanging="360"/>
      </w:pPr>
      <w:rPr>
        <w:rFonts w:ascii="Arial" w:hAnsi="Arial" w:hint="default"/>
      </w:rPr>
    </w:lvl>
    <w:lvl w:ilvl="4" w:tplc="46AED8BA" w:tentative="1">
      <w:start w:val="1"/>
      <w:numFmt w:val="bullet"/>
      <w:lvlText w:val="•"/>
      <w:lvlJc w:val="left"/>
      <w:pPr>
        <w:tabs>
          <w:tab w:val="num" w:pos="3600"/>
        </w:tabs>
        <w:ind w:left="3600" w:hanging="360"/>
      </w:pPr>
      <w:rPr>
        <w:rFonts w:ascii="Arial" w:hAnsi="Arial" w:hint="default"/>
      </w:rPr>
    </w:lvl>
    <w:lvl w:ilvl="5" w:tplc="E37EECDE" w:tentative="1">
      <w:start w:val="1"/>
      <w:numFmt w:val="bullet"/>
      <w:lvlText w:val="•"/>
      <w:lvlJc w:val="left"/>
      <w:pPr>
        <w:tabs>
          <w:tab w:val="num" w:pos="4320"/>
        </w:tabs>
        <w:ind w:left="4320" w:hanging="360"/>
      </w:pPr>
      <w:rPr>
        <w:rFonts w:ascii="Arial" w:hAnsi="Arial" w:hint="default"/>
      </w:rPr>
    </w:lvl>
    <w:lvl w:ilvl="6" w:tplc="920C74C4" w:tentative="1">
      <w:start w:val="1"/>
      <w:numFmt w:val="bullet"/>
      <w:lvlText w:val="•"/>
      <w:lvlJc w:val="left"/>
      <w:pPr>
        <w:tabs>
          <w:tab w:val="num" w:pos="5040"/>
        </w:tabs>
        <w:ind w:left="5040" w:hanging="360"/>
      </w:pPr>
      <w:rPr>
        <w:rFonts w:ascii="Arial" w:hAnsi="Arial" w:hint="default"/>
      </w:rPr>
    </w:lvl>
    <w:lvl w:ilvl="7" w:tplc="08BEAF16" w:tentative="1">
      <w:start w:val="1"/>
      <w:numFmt w:val="bullet"/>
      <w:lvlText w:val="•"/>
      <w:lvlJc w:val="left"/>
      <w:pPr>
        <w:tabs>
          <w:tab w:val="num" w:pos="5760"/>
        </w:tabs>
        <w:ind w:left="5760" w:hanging="360"/>
      </w:pPr>
      <w:rPr>
        <w:rFonts w:ascii="Arial" w:hAnsi="Arial" w:hint="default"/>
      </w:rPr>
    </w:lvl>
    <w:lvl w:ilvl="8" w:tplc="63FC4D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DB327F"/>
    <w:multiLevelType w:val="multilevel"/>
    <w:tmpl w:val="DDA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E1BCD"/>
    <w:multiLevelType w:val="hybridMultilevel"/>
    <w:tmpl w:val="33F0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C1AE2"/>
    <w:multiLevelType w:val="multilevel"/>
    <w:tmpl w:val="10F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91D99"/>
    <w:multiLevelType w:val="hybridMultilevel"/>
    <w:tmpl w:val="36FCD140"/>
    <w:lvl w:ilvl="0" w:tplc="12F23C20">
      <w:start w:val="1"/>
      <w:numFmt w:val="bullet"/>
      <w:lvlText w:val="•"/>
      <w:lvlJc w:val="left"/>
      <w:pPr>
        <w:tabs>
          <w:tab w:val="num" w:pos="720"/>
        </w:tabs>
        <w:ind w:left="720" w:hanging="360"/>
      </w:pPr>
      <w:rPr>
        <w:rFonts w:ascii="Arial" w:hAnsi="Arial" w:hint="default"/>
      </w:rPr>
    </w:lvl>
    <w:lvl w:ilvl="1" w:tplc="F8F8D1B2">
      <w:numFmt w:val="bullet"/>
      <w:lvlText w:val="◦"/>
      <w:lvlJc w:val="left"/>
      <w:pPr>
        <w:tabs>
          <w:tab w:val="num" w:pos="1440"/>
        </w:tabs>
        <w:ind w:left="1440" w:hanging="360"/>
      </w:pPr>
      <w:rPr>
        <w:rFonts w:ascii="Arial" w:hAnsi="Arial" w:hint="default"/>
      </w:rPr>
    </w:lvl>
    <w:lvl w:ilvl="2" w:tplc="19D4289E" w:tentative="1">
      <w:start w:val="1"/>
      <w:numFmt w:val="bullet"/>
      <w:lvlText w:val="•"/>
      <w:lvlJc w:val="left"/>
      <w:pPr>
        <w:tabs>
          <w:tab w:val="num" w:pos="2160"/>
        </w:tabs>
        <w:ind w:left="2160" w:hanging="360"/>
      </w:pPr>
      <w:rPr>
        <w:rFonts w:ascii="Arial" w:hAnsi="Arial" w:hint="default"/>
      </w:rPr>
    </w:lvl>
    <w:lvl w:ilvl="3" w:tplc="C1E2838A" w:tentative="1">
      <w:start w:val="1"/>
      <w:numFmt w:val="bullet"/>
      <w:lvlText w:val="•"/>
      <w:lvlJc w:val="left"/>
      <w:pPr>
        <w:tabs>
          <w:tab w:val="num" w:pos="2880"/>
        </w:tabs>
        <w:ind w:left="2880" w:hanging="360"/>
      </w:pPr>
      <w:rPr>
        <w:rFonts w:ascii="Arial" w:hAnsi="Arial" w:hint="default"/>
      </w:rPr>
    </w:lvl>
    <w:lvl w:ilvl="4" w:tplc="AF6E9588" w:tentative="1">
      <w:start w:val="1"/>
      <w:numFmt w:val="bullet"/>
      <w:lvlText w:val="•"/>
      <w:lvlJc w:val="left"/>
      <w:pPr>
        <w:tabs>
          <w:tab w:val="num" w:pos="3600"/>
        </w:tabs>
        <w:ind w:left="3600" w:hanging="360"/>
      </w:pPr>
      <w:rPr>
        <w:rFonts w:ascii="Arial" w:hAnsi="Arial" w:hint="default"/>
      </w:rPr>
    </w:lvl>
    <w:lvl w:ilvl="5" w:tplc="260C1EDC" w:tentative="1">
      <w:start w:val="1"/>
      <w:numFmt w:val="bullet"/>
      <w:lvlText w:val="•"/>
      <w:lvlJc w:val="left"/>
      <w:pPr>
        <w:tabs>
          <w:tab w:val="num" w:pos="4320"/>
        </w:tabs>
        <w:ind w:left="4320" w:hanging="360"/>
      </w:pPr>
      <w:rPr>
        <w:rFonts w:ascii="Arial" w:hAnsi="Arial" w:hint="default"/>
      </w:rPr>
    </w:lvl>
    <w:lvl w:ilvl="6" w:tplc="34285DD4" w:tentative="1">
      <w:start w:val="1"/>
      <w:numFmt w:val="bullet"/>
      <w:lvlText w:val="•"/>
      <w:lvlJc w:val="left"/>
      <w:pPr>
        <w:tabs>
          <w:tab w:val="num" w:pos="5040"/>
        </w:tabs>
        <w:ind w:left="5040" w:hanging="360"/>
      </w:pPr>
      <w:rPr>
        <w:rFonts w:ascii="Arial" w:hAnsi="Arial" w:hint="default"/>
      </w:rPr>
    </w:lvl>
    <w:lvl w:ilvl="7" w:tplc="ED58FF2A" w:tentative="1">
      <w:start w:val="1"/>
      <w:numFmt w:val="bullet"/>
      <w:lvlText w:val="•"/>
      <w:lvlJc w:val="left"/>
      <w:pPr>
        <w:tabs>
          <w:tab w:val="num" w:pos="5760"/>
        </w:tabs>
        <w:ind w:left="5760" w:hanging="360"/>
      </w:pPr>
      <w:rPr>
        <w:rFonts w:ascii="Arial" w:hAnsi="Arial" w:hint="default"/>
      </w:rPr>
    </w:lvl>
    <w:lvl w:ilvl="8" w:tplc="B66CBF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1F39D6"/>
    <w:multiLevelType w:val="multilevel"/>
    <w:tmpl w:val="0164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F97369"/>
    <w:multiLevelType w:val="hybridMultilevel"/>
    <w:tmpl w:val="FFFFFFFF"/>
    <w:lvl w:ilvl="0" w:tplc="2AAC874A">
      <w:start w:val="1"/>
      <w:numFmt w:val="bullet"/>
      <w:lvlText w:val=""/>
      <w:lvlJc w:val="left"/>
      <w:pPr>
        <w:ind w:left="720" w:hanging="360"/>
      </w:pPr>
      <w:rPr>
        <w:rFonts w:ascii="Symbol" w:hAnsi="Symbol" w:hint="default"/>
      </w:rPr>
    </w:lvl>
    <w:lvl w:ilvl="1" w:tplc="BA9468BC">
      <w:start w:val="1"/>
      <w:numFmt w:val="bullet"/>
      <w:lvlText w:val="o"/>
      <w:lvlJc w:val="left"/>
      <w:pPr>
        <w:ind w:left="1440" w:hanging="360"/>
      </w:pPr>
      <w:rPr>
        <w:rFonts w:ascii="Courier New" w:hAnsi="Courier New" w:hint="default"/>
      </w:rPr>
    </w:lvl>
    <w:lvl w:ilvl="2" w:tplc="6B10BC0A">
      <w:start w:val="1"/>
      <w:numFmt w:val="bullet"/>
      <w:lvlText w:val=""/>
      <w:lvlJc w:val="left"/>
      <w:pPr>
        <w:ind w:left="2160" w:hanging="360"/>
      </w:pPr>
      <w:rPr>
        <w:rFonts w:ascii="Wingdings" w:hAnsi="Wingdings" w:hint="default"/>
      </w:rPr>
    </w:lvl>
    <w:lvl w:ilvl="3" w:tplc="84E02FC2">
      <w:start w:val="1"/>
      <w:numFmt w:val="bullet"/>
      <w:lvlText w:val=""/>
      <w:lvlJc w:val="left"/>
      <w:pPr>
        <w:ind w:left="2880" w:hanging="360"/>
      </w:pPr>
      <w:rPr>
        <w:rFonts w:ascii="Symbol" w:hAnsi="Symbol" w:hint="default"/>
      </w:rPr>
    </w:lvl>
    <w:lvl w:ilvl="4" w:tplc="9A1226CC">
      <w:start w:val="1"/>
      <w:numFmt w:val="bullet"/>
      <w:lvlText w:val="o"/>
      <w:lvlJc w:val="left"/>
      <w:pPr>
        <w:ind w:left="3600" w:hanging="360"/>
      </w:pPr>
      <w:rPr>
        <w:rFonts w:ascii="Courier New" w:hAnsi="Courier New" w:hint="default"/>
      </w:rPr>
    </w:lvl>
    <w:lvl w:ilvl="5" w:tplc="D2AA6CF8">
      <w:start w:val="1"/>
      <w:numFmt w:val="bullet"/>
      <w:lvlText w:val=""/>
      <w:lvlJc w:val="left"/>
      <w:pPr>
        <w:ind w:left="4320" w:hanging="360"/>
      </w:pPr>
      <w:rPr>
        <w:rFonts w:ascii="Wingdings" w:hAnsi="Wingdings" w:hint="default"/>
      </w:rPr>
    </w:lvl>
    <w:lvl w:ilvl="6" w:tplc="F4261778">
      <w:start w:val="1"/>
      <w:numFmt w:val="bullet"/>
      <w:lvlText w:val=""/>
      <w:lvlJc w:val="left"/>
      <w:pPr>
        <w:ind w:left="5040" w:hanging="360"/>
      </w:pPr>
      <w:rPr>
        <w:rFonts w:ascii="Symbol" w:hAnsi="Symbol" w:hint="default"/>
      </w:rPr>
    </w:lvl>
    <w:lvl w:ilvl="7" w:tplc="CD5CFD16">
      <w:start w:val="1"/>
      <w:numFmt w:val="bullet"/>
      <w:lvlText w:val="o"/>
      <w:lvlJc w:val="left"/>
      <w:pPr>
        <w:ind w:left="5760" w:hanging="360"/>
      </w:pPr>
      <w:rPr>
        <w:rFonts w:ascii="Courier New" w:hAnsi="Courier New" w:hint="default"/>
      </w:rPr>
    </w:lvl>
    <w:lvl w:ilvl="8" w:tplc="F684DB9E">
      <w:start w:val="1"/>
      <w:numFmt w:val="bullet"/>
      <w:lvlText w:val=""/>
      <w:lvlJc w:val="left"/>
      <w:pPr>
        <w:ind w:left="6480" w:hanging="360"/>
      </w:pPr>
      <w:rPr>
        <w:rFonts w:ascii="Wingdings" w:hAnsi="Wingdings" w:hint="default"/>
      </w:rPr>
    </w:lvl>
  </w:abstractNum>
  <w:abstractNum w:abstractNumId="25" w15:restartNumberingAfterBreak="0">
    <w:nsid w:val="712F7999"/>
    <w:multiLevelType w:val="hybridMultilevel"/>
    <w:tmpl w:val="71D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C578E"/>
    <w:multiLevelType w:val="hybridMultilevel"/>
    <w:tmpl w:val="4CE8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42A3F"/>
    <w:multiLevelType w:val="hybridMultilevel"/>
    <w:tmpl w:val="384E50A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9090D99"/>
    <w:multiLevelType w:val="hybridMultilevel"/>
    <w:tmpl w:val="B922F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385">
    <w:abstractNumId w:val="15"/>
  </w:num>
  <w:num w:numId="2" w16cid:durableId="1048333188">
    <w:abstractNumId w:val="8"/>
  </w:num>
  <w:num w:numId="3" w16cid:durableId="1957524455">
    <w:abstractNumId w:val="9"/>
  </w:num>
  <w:num w:numId="4" w16cid:durableId="866599970">
    <w:abstractNumId w:val="10"/>
  </w:num>
  <w:num w:numId="5" w16cid:durableId="768742121">
    <w:abstractNumId w:val="4"/>
  </w:num>
  <w:num w:numId="6" w16cid:durableId="1750541197">
    <w:abstractNumId w:val="24"/>
  </w:num>
  <w:num w:numId="7" w16cid:durableId="1266502544">
    <w:abstractNumId w:val="20"/>
  </w:num>
  <w:num w:numId="8" w16cid:durableId="2103332580">
    <w:abstractNumId w:val="18"/>
  </w:num>
  <w:num w:numId="9" w16cid:durableId="282004674">
    <w:abstractNumId w:val="2"/>
  </w:num>
  <w:num w:numId="10" w16cid:durableId="1248688864">
    <w:abstractNumId w:val="14"/>
  </w:num>
  <w:num w:numId="11" w16cid:durableId="1294556896">
    <w:abstractNumId w:val="23"/>
  </w:num>
  <w:num w:numId="12" w16cid:durableId="706873737">
    <w:abstractNumId w:val="7"/>
  </w:num>
  <w:num w:numId="13" w16cid:durableId="337852018">
    <w:abstractNumId w:val="25"/>
  </w:num>
  <w:num w:numId="14" w16cid:durableId="1288051621">
    <w:abstractNumId w:val="6"/>
  </w:num>
  <w:num w:numId="15" w16cid:durableId="1837528384">
    <w:abstractNumId w:val="21"/>
  </w:num>
  <w:num w:numId="16" w16cid:durableId="1445540056">
    <w:abstractNumId w:val="28"/>
  </w:num>
  <w:num w:numId="17" w16cid:durableId="2052262810">
    <w:abstractNumId w:val="13"/>
  </w:num>
  <w:num w:numId="18" w16cid:durableId="1688098267">
    <w:abstractNumId w:val="12"/>
  </w:num>
  <w:num w:numId="19" w16cid:durableId="1614944763">
    <w:abstractNumId w:val="3"/>
  </w:num>
  <w:num w:numId="20" w16cid:durableId="924804406">
    <w:abstractNumId w:val="19"/>
  </w:num>
  <w:num w:numId="21" w16cid:durableId="2035955288">
    <w:abstractNumId w:val="5"/>
  </w:num>
  <w:num w:numId="22" w16cid:durableId="738866076">
    <w:abstractNumId w:val="1"/>
  </w:num>
  <w:num w:numId="23" w16cid:durableId="1931546676">
    <w:abstractNumId w:val="22"/>
  </w:num>
  <w:num w:numId="24" w16cid:durableId="1686320069">
    <w:abstractNumId w:val="17"/>
  </w:num>
  <w:num w:numId="25" w16cid:durableId="1297416383">
    <w:abstractNumId w:val="27"/>
  </w:num>
  <w:num w:numId="26" w16cid:durableId="1766461872">
    <w:abstractNumId w:val="16"/>
  </w:num>
  <w:num w:numId="27" w16cid:durableId="2038388534">
    <w:abstractNumId w:val="26"/>
  </w:num>
  <w:num w:numId="28" w16cid:durableId="1301154502">
    <w:abstractNumId w:val="0"/>
  </w:num>
  <w:num w:numId="29" w16cid:durableId="17145311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460"/>
    <w:rsid w:val="00000D18"/>
    <w:rsid w:val="00001380"/>
    <w:rsid w:val="00001C48"/>
    <w:rsid w:val="00001C7E"/>
    <w:rsid w:val="00001CEF"/>
    <w:rsid w:val="00001E18"/>
    <w:rsid w:val="000021BB"/>
    <w:rsid w:val="000021E9"/>
    <w:rsid w:val="0000234D"/>
    <w:rsid w:val="0000272A"/>
    <w:rsid w:val="000029CC"/>
    <w:rsid w:val="00002A50"/>
    <w:rsid w:val="00002B47"/>
    <w:rsid w:val="0000321E"/>
    <w:rsid w:val="0000334D"/>
    <w:rsid w:val="000040D5"/>
    <w:rsid w:val="0000416D"/>
    <w:rsid w:val="00004588"/>
    <w:rsid w:val="0000473D"/>
    <w:rsid w:val="000047D2"/>
    <w:rsid w:val="00004908"/>
    <w:rsid w:val="00004AFB"/>
    <w:rsid w:val="00004B9D"/>
    <w:rsid w:val="00004E4F"/>
    <w:rsid w:val="00004E7E"/>
    <w:rsid w:val="0000566C"/>
    <w:rsid w:val="0000571E"/>
    <w:rsid w:val="00005768"/>
    <w:rsid w:val="00005D16"/>
    <w:rsid w:val="00005F0C"/>
    <w:rsid w:val="00006948"/>
    <w:rsid w:val="0000728F"/>
    <w:rsid w:val="0000762F"/>
    <w:rsid w:val="000077DC"/>
    <w:rsid w:val="000077ED"/>
    <w:rsid w:val="000078CB"/>
    <w:rsid w:val="00007B74"/>
    <w:rsid w:val="00007BFD"/>
    <w:rsid w:val="00007D87"/>
    <w:rsid w:val="00007E27"/>
    <w:rsid w:val="00010061"/>
    <w:rsid w:val="0001016F"/>
    <w:rsid w:val="00010369"/>
    <w:rsid w:val="0001041C"/>
    <w:rsid w:val="0001047E"/>
    <w:rsid w:val="000108F3"/>
    <w:rsid w:val="00010B6A"/>
    <w:rsid w:val="00010D86"/>
    <w:rsid w:val="00010ED8"/>
    <w:rsid w:val="00011391"/>
    <w:rsid w:val="00011811"/>
    <w:rsid w:val="00011866"/>
    <w:rsid w:val="00011CD5"/>
    <w:rsid w:val="0001248B"/>
    <w:rsid w:val="000127C4"/>
    <w:rsid w:val="00012B40"/>
    <w:rsid w:val="00012B93"/>
    <w:rsid w:val="00012F2E"/>
    <w:rsid w:val="00013345"/>
    <w:rsid w:val="0001336A"/>
    <w:rsid w:val="0001384A"/>
    <w:rsid w:val="00013872"/>
    <w:rsid w:val="0001395D"/>
    <w:rsid w:val="00013A2B"/>
    <w:rsid w:val="000141C9"/>
    <w:rsid w:val="0001446A"/>
    <w:rsid w:val="00014AEA"/>
    <w:rsid w:val="00014B84"/>
    <w:rsid w:val="00014D00"/>
    <w:rsid w:val="00014F2B"/>
    <w:rsid w:val="00014F72"/>
    <w:rsid w:val="00014FC4"/>
    <w:rsid w:val="000150D5"/>
    <w:rsid w:val="00015204"/>
    <w:rsid w:val="00015DFA"/>
    <w:rsid w:val="00015F76"/>
    <w:rsid w:val="00015FE9"/>
    <w:rsid w:val="00016293"/>
    <w:rsid w:val="00016467"/>
    <w:rsid w:val="00016715"/>
    <w:rsid w:val="00016759"/>
    <w:rsid w:val="00016A00"/>
    <w:rsid w:val="00016B69"/>
    <w:rsid w:val="000170DE"/>
    <w:rsid w:val="0001752C"/>
    <w:rsid w:val="00017945"/>
    <w:rsid w:val="00017BDD"/>
    <w:rsid w:val="00017BFF"/>
    <w:rsid w:val="00017C8A"/>
    <w:rsid w:val="00017DDF"/>
    <w:rsid w:val="0001ECD9"/>
    <w:rsid w:val="00020840"/>
    <w:rsid w:val="00020915"/>
    <w:rsid w:val="00020ABD"/>
    <w:rsid w:val="00020CDB"/>
    <w:rsid w:val="00020E35"/>
    <w:rsid w:val="00020FAC"/>
    <w:rsid w:val="0002118B"/>
    <w:rsid w:val="00021A19"/>
    <w:rsid w:val="00021B4A"/>
    <w:rsid w:val="00021EE3"/>
    <w:rsid w:val="00022399"/>
    <w:rsid w:val="00022EEE"/>
    <w:rsid w:val="00022F84"/>
    <w:rsid w:val="00023073"/>
    <w:rsid w:val="0002335A"/>
    <w:rsid w:val="00023F39"/>
    <w:rsid w:val="000244BA"/>
    <w:rsid w:val="000245D2"/>
    <w:rsid w:val="000247E7"/>
    <w:rsid w:val="000248C2"/>
    <w:rsid w:val="00024DBC"/>
    <w:rsid w:val="00024E7E"/>
    <w:rsid w:val="00024F55"/>
    <w:rsid w:val="000256E8"/>
    <w:rsid w:val="00026063"/>
    <w:rsid w:val="00026090"/>
    <w:rsid w:val="0002630A"/>
    <w:rsid w:val="0002630F"/>
    <w:rsid w:val="00026482"/>
    <w:rsid w:val="00026D0E"/>
    <w:rsid w:val="0002760F"/>
    <w:rsid w:val="00027B23"/>
    <w:rsid w:val="00027C7A"/>
    <w:rsid w:val="00030289"/>
    <w:rsid w:val="00030431"/>
    <w:rsid w:val="00030B55"/>
    <w:rsid w:val="00030CA9"/>
    <w:rsid w:val="00030F41"/>
    <w:rsid w:val="00031028"/>
    <w:rsid w:val="00031044"/>
    <w:rsid w:val="00031045"/>
    <w:rsid w:val="000310A3"/>
    <w:rsid w:val="00031193"/>
    <w:rsid w:val="000311E9"/>
    <w:rsid w:val="000313EB"/>
    <w:rsid w:val="00031497"/>
    <w:rsid w:val="00031604"/>
    <w:rsid w:val="00031611"/>
    <w:rsid w:val="00031995"/>
    <w:rsid w:val="00031A14"/>
    <w:rsid w:val="00031A7D"/>
    <w:rsid w:val="00031BC6"/>
    <w:rsid w:val="0003211B"/>
    <w:rsid w:val="000322A8"/>
    <w:rsid w:val="00032360"/>
    <w:rsid w:val="0003238F"/>
    <w:rsid w:val="000324AD"/>
    <w:rsid w:val="00032A86"/>
    <w:rsid w:val="00033334"/>
    <w:rsid w:val="00033547"/>
    <w:rsid w:val="00033796"/>
    <w:rsid w:val="00033B02"/>
    <w:rsid w:val="00033EE1"/>
    <w:rsid w:val="0003410E"/>
    <w:rsid w:val="000341CF"/>
    <w:rsid w:val="000346A9"/>
    <w:rsid w:val="0003474D"/>
    <w:rsid w:val="000347D3"/>
    <w:rsid w:val="000348A5"/>
    <w:rsid w:val="00034B65"/>
    <w:rsid w:val="00035034"/>
    <w:rsid w:val="00035051"/>
    <w:rsid w:val="00035278"/>
    <w:rsid w:val="00035FA4"/>
    <w:rsid w:val="00036368"/>
    <w:rsid w:val="000367C9"/>
    <w:rsid w:val="00036883"/>
    <w:rsid w:val="00036B6F"/>
    <w:rsid w:val="00037061"/>
    <w:rsid w:val="0003718B"/>
    <w:rsid w:val="0003751D"/>
    <w:rsid w:val="000375DA"/>
    <w:rsid w:val="00037768"/>
    <w:rsid w:val="000378BD"/>
    <w:rsid w:val="00037B25"/>
    <w:rsid w:val="00037B44"/>
    <w:rsid w:val="00040011"/>
    <w:rsid w:val="000405CE"/>
    <w:rsid w:val="0004066F"/>
    <w:rsid w:val="00040737"/>
    <w:rsid w:val="000408DA"/>
    <w:rsid w:val="000418AF"/>
    <w:rsid w:val="00041ABB"/>
    <w:rsid w:val="00042235"/>
    <w:rsid w:val="00042314"/>
    <w:rsid w:val="0004237B"/>
    <w:rsid w:val="000425D3"/>
    <w:rsid w:val="000426AA"/>
    <w:rsid w:val="000429A3"/>
    <w:rsid w:val="00042E36"/>
    <w:rsid w:val="00042F9C"/>
    <w:rsid w:val="00043708"/>
    <w:rsid w:val="000437EE"/>
    <w:rsid w:val="00044040"/>
    <w:rsid w:val="000444D7"/>
    <w:rsid w:val="00044BEC"/>
    <w:rsid w:val="000453F5"/>
    <w:rsid w:val="0004562B"/>
    <w:rsid w:val="00045F3A"/>
    <w:rsid w:val="000460DC"/>
    <w:rsid w:val="000461F0"/>
    <w:rsid w:val="000462BA"/>
    <w:rsid w:val="0004657E"/>
    <w:rsid w:val="000468D3"/>
    <w:rsid w:val="00047217"/>
    <w:rsid w:val="00047BB3"/>
    <w:rsid w:val="000500BB"/>
    <w:rsid w:val="000502B8"/>
    <w:rsid w:val="000504A3"/>
    <w:rsid w:val="000508BC"/>
    <w:rsid w:val="00050CD0"/>
    <w:rsid w:val="00051A4B"/>
    <w:rsid w:val="000522B6"/>
    <w:rsid w:val="0005233A"/>
    <w:rsid w:val="0005256A"/>
    <w:rsid w:val="00052A28"/>
    <w:rsid w:val="00052AC1"/>
    <w:rsid w:val="00052E84"/>
    <w:rsid w:val="000530D9"/>
    <w:rsid w:val="0005329E"/>
    <w:rsid w:val="00053DC8"/>
    <w:rsid w:val="000546C4"/>
    <w:rsid w:val="00054B27"/>
    <w:rsid w:val="00054CF4"/>
    <w:rsid w:val="00054D21"/>
    <w:rsid w:val="00054D7B"/>
    <w:rsid w:val="00054F49"/>
    <w:rsid w:val="00055458"/>
    <w:rsid w:val="000557A3"/>
    <w:rsid w:val="00055A24"/>
    <w:rsid w:val="00055CB6"/>
    <w:rsid w:val="00056418"/>
    <w:rsid w:val="000564F5"/>
    <w:rsid w:val="000566BB"/>
    <w:rsid w:val="00056961"/>
    <w:rsid w:val="00056F50"/>
    <w:rsid w:val="0005713C"/>
    <w:rsid w:val="00057319"/>
    <w:rsid w:val="000575C6"/>
    <w:rsid w:val="00057600"/>
    <w:rsid w:val="00057700"/>
    <w:rsid w:val="000578C9"/>
    <w:rsid w:val="00057AC0"/>
    <w:rsid w:val="00057DDC"/>
    <w:rsid w:val="00060036"/>
    <w:rsid w:val="00060673"/>
    <w:rsid w:val="00060A87"/>
    <w:rsid w:val="00060C16"/>
    <w:rsid w:val="000615EE"/>
    <w:rsid w:val="000618AB"/>
    <w:rsid w:val="0006196C"/>
    <w:rsid w:val="00061A7D"/>
    <w:rsid w:val="00062239"/>
    <w:rsid w:val="0006225F"/>
    <w:rsid w:val="000622A9"/>
    <w:rsid w:val="0006276E"/>
    <w:rsid w:val="0006282E"/>
    <w:rsid w:val="00063265"/>
    <w:rsid w:val="00063509"/>
    <w:rsid w:val="00063695"/>
    <w:rsid w:val="000636C5"/>
    <w:rsid w:val="00063C6B"/>
    <w:rsid w:val="0006444B"/>
    <w:rsid w:val="000647FA"/>
    <w:rsid w:val="00064E5C"/>
    <w:rsid w:val="00065308"/>
    <w:rsid w:val="00065995"/>
    <w:rsid w:val="00065B6C"/>
    <w:rsid w:val="00065E53"/>
    <w:rsid w:val="000660DB"/>
    <w:rsid w:val="00066E56"/>
    <w:rsid w:val="00066F67"/>
    <w:rsid w:val="000671FA"/>
    <w:rsid w:val="000672E7"/>
    <w:rsid w:val="00067B0D"/>
    <w:rsid w:val="00067F95"/>
    <w:rsid w:val="00067FCE"/>
    <w:rsid w:val="00068D26"/>
    <w:rsid w:val="000701CF"/>
    <w:rsid w:val="000704D0"/>
    <w:rsid w:val="0007060C"/>
    <w:rsid w:val="00070C93"/>
    <w:rsid w:val="00070CD4"/>
    <w:rsid w:val="000711F2"/>
    <w:rsid w:val="00071406"/>
    <w:rsid w:val="00071D7D"/>
    <w:rsid w:val="00072680"/>
    <w:rsid w:val="00072A5F"/>
    <w:rsid w:val="00073810"/>
    <w:rsid w:val="00073983"/>
    <w:rsid w:val="00073D89"/>
    <w:rsid w:val="00073E64"/>
    <w:rsid w:val="00073FC8"/>
    <w:rsid w:val="0007460C"/>
    <w:rsid w:val="00074DF5"/>
    <w:rsid w:val="00075659"/>
    <w:rsid w:val="000757B8"/>
    <w:rsid w:val="00075B73"/>
    <w:rsid w:val="00075E14"/>
    <w:rsid w:val="00075EFE"/>
    <w:rsid w:val="00075F6C"/>
    <w:rsid w:val="0007670D"/>
    <w:rsid w:val="000769BC"/>
    <w:rsid w:val="00077017"/>
    <w:rsid w:val="000774DA"/>
    <w:rsid w:val="000778BD"/>
    <w:rsid w:val="000779B2"/>
    <w:rsid w:val="00077C1F"/>
    <w:rsid w:val="0008006A"/>
    <w:rsid w:val="000805C1"/>
    <w:rsid w:val="0008061A"/>
    <w:rsid w:val="00080EF6"/>
    <w:rsid w:val="00081150"/>
    <w:rsid w:val="0008151E"/>
    <w:rsid w:val="000818F5"/>
    <w:rsid w:val="00081A9B"/>
    <w:rsid w:val="0008257F"/>
    <w:rsid w:val="000825BE"/>
    <w:rsid w:val="00082796"/>
    <w:rsid w:val="00082A44"/>
    <w:rsid w:val="00082B84"/>
    <w:rsid w:val="00082E28"/>
    <w:rsid w:val="000830E4"/>
    <w:rsid w:val="00083233"/>
    <w:rsid w:val="0008357E"/>
    <w:rsid w:val="00083737"/>
    <w:rsid w:val="00083A99"/>
    <w:rsid w:val="00083BD3"/>
    <w:rsid w:val="00083C1E"/>
    <w:rsid w:val="00083C54"/>
    <w:rsid w:val="00083CB6"/>
    <w:rsid w:val="00084062"/>
    <w:rsid w:val="00084206"/>
    <w:rsid w:val="0008432A"/>
    <w:rsid w:val="0008467F"/>
    <w:rsid w:val="00084873"/>
    <w:rsid w:val="000848D8"/>
    <w:rsid w:val="00084AF2"/>
    <w:rsid w:val="00084CF9"/>
    <w:rsid w:val="00085337"/>
    <w:rsid w:val="000853ED"/>
    <w:rsid w:val="00085707"/>
    <w:rsid w:val="00085EF9"/>
    <w:rsid w:val="0008606C"/>
    <w:rsid w:val="00086154"/>
    <w:rsid w:val="00086317"/>
    <w:rsid w:val="00086C19"/>
    <w:rsid w:val="00086CB8"/>
    <w:rsid w:val="00086D1D"/>
    <w:rsid w:val="00086FB3"/>
    <w:rsid w:val="0008746A"/>
    <w:rsid w:val="00087A1D"/>
    <w:rsid w:val="00087A96"/>
    <w:rsid w:val="00087BA6"/>
    <w:rsid w:val="000901D2"/>
    <w:rsid w:val="00090609"/>
    <w:rsid w:val="000907B4"/>
    <w:rsid w:val="00090AFE"/>
    <w:rsid w:val="00090CA1"/>
    <w:rsid w:val="000912EC"/>
    <w:rsid w:val="00091A65"/>
    <w:rsid w:val="00091A73"/>
    <w:rsid w:val="0009246E"/>
    <w:rsid w:val="000927A9"/>
    <w:rsid w:val="0009296F"/>
    <w:rsid w:val="00092E10"/>
    <w:rsid w:val="00092F28"/>
    <w:rsid w:val="00093145"/>
    <w:rsid w:val="0009331E"/>
    <w:rsid w:val="000937A2"/>
    <w:rsid w:val="00093882"/>
    <w:rsid w:val="00093ABE"/>
    <w:rsid w:val="00093C19"/>
    <w:rsid w:val="00094620"/>
    <w:rsid w:val="00094748"/>
    <w:rsid w:val="00094E96"/>
    <w:rsid w:val="00094F33"/>
    <w:rsid w:val="00094FF0"/>
    <w:rsid w:val="00095150"/>
    <w:rsid w:val="00095325"/>
    <w:rsid w:val="00095B85"/>
    <w:rsid w:val="00095CFD"/>
    <w:rsid w:val="00095DF5"/>
    <w:rsid w:val="0009610E"/>
    <w:rsid w:val="00096469"/>
    <w:rsid w:val="00096607"/>
    <w:rsid w:val="00096701"/>
    <w:rsid w:val="00096DF3"/>
    <w:rsid w:val="0009729A"/>
    <w:rsid w:val="00097DB9"/>
    <w:rsid w:val="000A000B"/>
    <w:rsid w:val="000A0348"/>
    <w:rsid w:val="000A03B2"/>
    <w:rsid w:val="000A0748"/>
    <w:rsid w:val="000A0DD9"/>
    <w:rsid w:val="000A0E37"/>
    <w:rsid w:val="000A13DB"/>
    <w:rsid w:val="000A1C8B"/>
    <w:rsid w:val="000A1F2A"/>
    <w:rsid w:val="000A25B3"/>
    <w:rsid w:val="000A2670"/>
    <w:rsid w:val="000A2799"/>
    <w:rsid w:val="000A2889"/>
    <w:rsid w:val="000A293C"/>
    <w:rsid w:val="000A2B09"/>
    <w:rsid w:val="000A2CFB"/>
    <w:rsid w:val="000A2F88"/>
    <w:rsid w:val="000A324A"/>
    <w:rsid w:val="000A3811"/>
    <w:rsid w:val="000A3A03"/>
    <w:rsid w:val="000A3A44"/>
    <w:rsid w:val="000A49C7"/>
    <w:rsid w:val="000A4E0D"/>
    <w:rsid w:val="000A4E51"/>
    <w:rsid w:val="000A4EB8"/>
    <w:rsid w:val="000A4ED5"/>
    <w:rsid w:val="000A56AD"/>
    <w:rsid w:val="000A689A"/>
    <w:rsid w:val="000A694E"/>
    <w:rsid w:val="000A6999"/>
    <w:rsid w:val="000A6B82"/>
    <w:rsid w:val="000A6C31"/>
    <w:rsid w:val="000A7065"/>
    <w:rsid w:val="000A7CC0"/>
    <w:rsid w:val="000B01C7"/>
    <w:rsid w:val="000B0919"/>
    <w:rsid w:val="000B0C00"/>
    <w:rsid w:val="000B0E69"/>
    <w:rsid w:val="000B1395"/>
    <w:rsid w:val="000B19C2"/>
    <w:rsid w:val="000B231B"/>
    <w:rsid w:val="000B2338"/>
    <w:rsid w:val="000B280E"/>
    <w:rsid w:val="000B28DA"/>
    <w:rsid w:val="000B2D42"/>
    <w:rsid w:val="000B2D6E"/>
    <w:rsid w:val="000B2D76"/>
    <w:rsid w:val="000B369E"/>
    <w:rsid w:val="000B3A4E"/>
    <w:rsid w:val="000B3AAF"/>
    <w:rsid w:val="000B419E"/>
    <w:rsid w:val="000B47C7"/>
    <w:rsid w:val="000B4DE7"/>
    <w:rsid w:val="000B5102"/>
    <w:rsid w:val="000B5707"/>
    <w:rsid w:val="000B5A1B"/>
    <w:rsid w:val="000B5A58"/>
    <w:rsid w:val="000B5C90"/>
    <w:rsid w:val="000B5C9D"/>
    <w:rsid w:val="000B5E5A"/>
    <w:rsid w:val="000B65C4"/>
    <w:rsid w:val="000B69AE"/>
    <w:rsid w:val="000B7007"/>
    <w:rsid w:val="000B725F"/>
    <w:rsid w:val="000B749F"/>
    <w:rsid w:val="000B7962"/>
    <w:rsid w:val="000B7A1E"/>
    <w:rsid w:val="000B7B49"/>
    <w:rsid w:val="000C039C"/>
    <w:rsid w:val="000C03F1"/>
    <w:rsid w:val="000C0415"/>
    <w:rsid w:val="000C0420"/>
    <w:rsid w:val="000C0504"/>
    <w:rsid w:val="000C067E"/>
    <w:rsid w:val="000C0726"/>
    <w:rsid w:val="000C0B2F"/>
    <w:rsid w:val="000C160F"/>
    <w:rsid w:val="000C1856"/>
    <w:rsid w:val="000C21F9"/>
    <w:rsid w:val="000C3A4C"/>
    <w:rsid w:val="000C3AFE"/>
    <w:rsid w:val="000C3BA6"/>
    <w:rsid w:val="000C3DBF"/>
    <w:rsid w:val="000C46C7"/>
    <w:rsid w:val="000C4704"/>
    <w:rsid w:val="000C483B"/>
    <w:rsid w:val="000C4A7A"/>
    <w:rsid w:val="000C4A7E"/>
    <w:rsid w:val="000C4AA9"/>
    <w:rsid w:val="000C4BF9"/>
    <w:rsid w:val="000C4C21"/>
    <w:rsid w:val="000C517A"/>
    <w:rsid w:val="000C5619"/>
    <w:rsid w:val="000C5CEB"/>
    <w:rsid w:val="000C619D"/>
    <w:rsid w:val="000C6638"/>
    <w:rsid w:val="000C677D"/>
    <w:rsid w:val="000C67C2"/>
    <w:rsid w:val="000C6966"/>
    <w:rsid w:val="000C6EFF"/>
    <w:rsid w:val="000C7449"/>
    <w:rsid w:val="000C7A4A"/>
    <w:rsid w:val="000D03E2"/>
    <w:rsid w:val="000D0E24"/>
    <w:rsid w:val="000D0ECB"/>
    <w:rsid w:val="000D0F40"/>
    <w:rsid w:val="000D1092"/>
    <w:rsid w:val="000D1322"/>
    <w:rsid w:val="000D13C0"/>
    <w:rsid w:val="000D1517"/>
    <w:rsid w:val="000D17AF"/>
    <w:rsid w:val="000D1901"/>
    <w:rsid w:val="000D1AA5"/>
    <w:rsid w:val="000D1D63"/>
    <w:rsid w:val="000D2147"/>
    <w:rsid w:val="000D236D"/>
    <w:rsid w:val="000D2634"/>
    <w:rsid w:val="000D2738"/>
    <w:rsid w:val="000D28FF"/>
    <w:rsid w:val="000D2A1D"/>
    <w:rsid w:val="000D2C5B"/>
    <w:rsid w:val="000D2CA0"/>
    <w:rsid w:val="000D2FF9"/>
    <w:rsid w:val="000D30A7"/>
    <w:rsid w:val="000D31D0"/>
    <w:rsid w:val="000D3282"/>
    <w:rsid w:val="000D34DE"/>
    <w:rsid w:val="000D37C1"/>
    <w:rsid w:val="000D4280"/>
    <w:rsid w:val="000D477B"/>
    <w:rsid w:val="000D497F"/>
    <w:rsid w:val="000D4C1C"/>
    <w:rsid w:val="000D57DC"/>
    <w:rsid w:val="000D5A71"/>
    <w:rsid w:val="000D5E1E"/>
    <w:rsid w:val="000D60A6"/>
    <w:rsid w:val="000D64C5"/>
    <w:rsid w:val="000D653C"/>
    <w:rsid w:val="000D66D5"/>
    <w:rsid w:val="000D6F70"/>
    <w:rsid w:val="000D7276"/>
    <w:rsid w:val="000D77EB"/>
    <w:rsid w:val="000D789B"/>
    <w:rsid w:val="000D79C5"/>
    <w:rsid w:val="000D7ABD"/>
    <w:rsid w:val="000D7CE5"/>
    <w:rsid w:val="000D7CFC"/>
    <w:rsid w:val="000D7DA2"/>
    <w:rsid w:val="000D7F73"/>
    <w:rsid w:val="000E04EC"/>
    <w:rsid w:val="000E07F2"/>
    <w:rsid w:val="000E09DC"/>
    <w:rsid w:val="000E0A21"/>
    <w:rsid w:val="000E0CF0"/>
    <w:rsid w:val="000E0E9F"/>
    <w:rsid w:val="000E127F"/>
    <w:rsid w:val="000E1281"/>
    <w:rsid w:val="000E12D0"/>
    <w:rsid w:val="000E1692"/>
    <w:rsid w:val="000E182A"/>
    <w:rsid w:val="000E19A0"/>
    <w:rsid w:val="000E19C7"/>
    <w:rsid w:val="000E2159"/>
    <w:rsid w:val="000E2361"/>
    <w:rsid w:val="000E2465"/>
    <w:rsid w:val="000E24A7"/>
    <w:rsid w:val="000E2668"/>
    <w:rsid w:val="000E2D91"/>
    <w:rsid w:val="000E30AE"/>
    <w:rsid w:val="000E34D8"/>
    <w:rsid w:val="000E35BD"/>
    <w:rsid w:val="000E3A29"/>
    <w:rsid w:val="000E3F5F"/>
    <w:rsid w:val="000E40BC"/>
    <w:rsid w:val="000E4460"/>
    <w:rsid w:val="000E48C0"/>
    <w:rsid w:val="000E4B7C"/>
    <w:rsid w:val="000E4BBE"/>
    <w:rsid w:val="000E4DA3"/>
    <w:rsid w:val="000E51D3"/>
    <w:rsid w:val="000E5257"/>
    <w:rsid w:val="000E5308"/>
    <w:rsid w:val="000E53B7"/>
    <w:rsid w:val="000E5497"/>
    <w:rsid w:val="000E5898"/>
    <w:rsid w:val="000E5AA1"/>
    <w:rsid w:val="000E5D6B"/>
    <w:rsid w:val="000E5E95"/>
    <w:rsid w:val="000E60DB"/>
    <w:rsid w:val="000E635C"/>
    <w:rsid w:val="000E6D66"/>
    <w:rsid w:val="000E6DBF"/>
    <w:rsid w:val="000E6EAC"/>
    <w:rsid w:val="000E6F35"/>
    <w:rsid w:val="000E71AD"/>
    <w:rsid w:val="000E7238"/>
    <w:rsid w:val="000E7C86"/>
    <w:rsid w:val="000F04FD"/>
    <w:rsid w:val="000F0606"/>
    <w:rsid w:val="000F0B28"/>
    <w:rsid w:val="000F0EC3"/>
    <w:rsid w:val="000F0F68"/>
    <w:rsid w:val="000F1386"/>
    <w:rsid w:val="000F14B1"/>
    <w:rsid w:val="000F1B74"/>
    <w:rsid w:val="000F2005"/>
    <w:rsid w:val="000F2BBA"/>
    <w:rsid w:val="000F39F3"/>
    <w:rsid w:val="000F4017"/>
    <w:rsid w:val="000F4540"/>
    <w:rsid w:val="000F4614"/>
    <w:rsid w:val="000F4625"/>
    <w:rsid w:val="000F4741"/>
    <w:rsid w:val="000F491D"/>
    <w:rsid w:val="000F4955"/>
    <w:rsid w:val="000F4A71"/>
    <w:rsid w:val="000F5035"/>
    <w:rsid w:val="000F528A"/>
    <w:rsid w:val="000F53ED"/>
    <w:rsid w:val="000F5828"/>
    <w:rsid w:val="000F5B69"/>
    <w:rsid w:val="000F5C98"/>
    <w:rsid w:val="000F5FA9"/>
    <w:rsid w:val="000F6500"/>
    <w:rsid w:val="000F69F5"/>
    <w:rsid w:val="000F6A99"/>
    <w:rsid w:val="000F6E81"/>
    <w:rsid w:val="000F7B1B"/>
    <w:rsid w:val="000F7B1E"/>
    <w:rsid w:val="000F7CE5"/>
    <w:rsid w:val="000F7D7D"/>
    <w:rsid w:val="00100050"/>
    <w:rsid w:val="0010016D"/>
    <w:rsid w:val="00100364"/>
    <w:rsid w:val="00100A25"/>
    <w:rsid w:val="00100BCD"/>
    <w:rsid w:val="00100C26"/>
    <w:rsid w:val="001010EB"/>
    <w:rsid w:val="00101411"/>
    <w:rsid w:val="00101694"/>
    <w:rsid w:val="00101698"/>
    <w:rsid w:val="00101E9D"/>
    <w:rsid w:val="00101F96"/>
    <w:rsid w:val="00101FF1"/>
    <w:rsid w:val="00102021"/>
    <w:rsid w:val="0010213C"/>
    <w:rsid w:val="001022CA"/>
    <w:rsid w:val="00102395"/>
    <w:rsid w:val="0010269A"/>
    <w:rsid w:val="0010290A"/>
    <w:rsid w:val="00102EA7"/>
    <w:rsid w:val="00102EC0"/>
    <w:rsid w:val="00103D30"/>
    <w:rsid w:val="0010457A"/>
    <w:rsid w:val="001048F3"/>
    <w:rsid w:val="00104C06"/>
    <w:rsid w:val="0010523F"/>
    <w:rsid w:val="00105378"/>
    <w:rsid w:val="0010575A"/>
    <w:rsid w:val="00105E82"/>
    <w:rsid w:val="001060D7"/>
    <w:rsid w:val="00106157"/>
    <w:rsid w:val="001061C1"/>
    <w:rsid w:val="00106474"/>
    <w:rsid w:val="0010697C"/>
    <w:rsid w:val="00106EC3"/>
    <w:rsid w:val="001070D1"/>
    <w:rsid w:val="0010763D"/>
    <w:rsid w:val="00107785"/>
    <w:rsid w:val="00107802"/>
    <w:rsid w:val="001078CB"/>
    <w:rsid w:val="00107EA2"/>
    <w:rsid w:val="00110004"/>
    <w:rsid w:val="00110104"/>
    <w:rsid w:val="0011043B"/>
    <w:rsid w:val="001104D5"/>
    <w:rsid w:val="0011068E"/>
    <w:rsid w:val="0011072B"/>
    <w:rsid w:val="00110E76"/>
    <w:rsid w:val="00111673"/>
    <w:rsid w:val="00111916"/>
    <w:rsid w:val="00112129"/>
    <w:rsid w:val="001124D6"/>
    <w:rsid w:val="001127B3"/>
    <w:rsid w:val="00112CA5"/>
    <w:rsid w:val="00112DB7"/>
    <w:rsid w:val="00112F68"/>
    <w:rsid w:val="001130D7"/>
    <w:rsid w:val="00113281"/>
    <w:rsid w:val="0011332C"/>
    <w:rsid w:val="0011333D"/>
    <w:rsid w:val="00113538"/>
    <w:rsid w:val="00113697"/>
    <w:rsid w:val="0011404D"/>
    <w:rsid w:val="00114163"/>
    <w:rsid w:val="001143FD"/>
    <w:rsid w:val="00114481"/>
    <w:rsid w:val="00114B6F"/>
    <w:rsid w:val="001159CE"/>
    <w:rsid w:val="00115A43"/>
    <w:rsid w:val="00115CE5"/>
    <w:rsid w:val="00115E93"/>
    <w:rsid w:val="001161D5"/>
    <w:rsid w:val="0011626F"/>
    <w:rsid w:val="0011637A"/>
    <w:rsid w:val="0011787D"/>
    <w:rsid w:val="00117B86"/>
    <w:rsid w:val="001206A9"/>
    <w:rsid w:val="00120B16"/>
    <w:rsid w:val="00120FF9"/>
    <w:rsid w:val="001211B8"/>
    <w:rsid w:val="00121204"/>
    <w:rsid w:val="001213F2"/>
    <w:rsid w:val="00121427"/>
    <w:rsid w:val="001218F6"/>
    <w:rsid w:val="001219EC"/>
    <w:rsid w:val="00121CEE"/>
    <w:rsid w:val="001220C5"/>
    <w:rsid w:val="001223B8"/>
    <w:rsid w:val="00122563"/>
    <w:rsid w:val="001225E1"/>
    <w:rsid w:val="001228D4"/>
    <w:rsid w:val="00122DDD"/>
    <w:rsid w:val="001230A8"/>
    <w:rsid w:val="001233E8"/>
    <w:rsid w:val="001234B9"/>
    <w:rsid w:val="00123666"/>
    <w:rsid w:val="001241FA"/>
    <w:rsid w:val="0012442C"/>
    <w:rsid w:val="00124772"/>
    <w:rsid w:val="001249FB"/>
    <w:rsid w:val="00124C92"/>
    <w:rsid w:val="00124FEA"/>
    <w:rsid w:val="0012500C"/>
    <w:rsid w:val="00125199"/>
    <w:rsid w:val="001253C3"/>
    <w:rsid w:val="001259B4"/>
    <w:rsid w:val="00125A81"/>
    <w:rsid w:val="00126013"/>
    <w:rsid w:val="0012617C"/>
    <w:rsid w:val="001266E2"/>
    <w:rsid w:val="0012677F"/>
    <w:rsid w:val="00126EB5"/>
    <w:rsid w:val="00126EB9"/>
    <w:rsid w:val="001276BC"/>
    <w:rsid w:val="001278E7"/>
    <w:rsid w:val="001279A4"/>
    <w:rsid w:val="001279D9"/>
    <w:rsid w:val="00127C36"/>
    <w:rsid w:val="00127D3F"/>
    <w:rsid w:val="00130059"/>
    <w:rsid w:val="0013063E"/>
    <w:rsid w:val="00130A46"/>
    <w:rsid w:val="0013102E"/>
    <w:rsid w:val="00131030"/>
    <w:rsid w:val="0013127E"/>
    <w:rsid w:val="00131342"/>
    <w:rsid w:val="00131400"/>
    <w:rsid w:val="00131568"/>
    <w:rsid w:val="00131D6E"/>
    <w:rsid w:val="00131E58"/>
    <w:rsid w:val="001320C0"/>
    <w:rsid w:val="001321E9"/>
    <w:rsid w:val="00132201"/>
    <w:rsid w:val="001324C0"/>
    <w:rsid w:val="00132946"/>
    <w:rsid w:val="001336A8"/>
    <w:rsid w:val="001336CD"/>
    <w:rsid w:val="0013388F"/>
    <w:rsid w:val="00133BC1"/>
    <w:rsid w:val="00133C2B"/>
    <w:rsid w:val="00133CDA"/>
    <w:rsid w:val="00134BCD"/>
    <w:rsid w:val="0013592F"/>
    <w:rsid w:val="001360CB"/>
    <w:rsid w:val="0013633E"/>
    <w:rsid w:val="00136947"/>
    <w:rsid w:val="00136C69"/>
    <w:rsid w:val="00136CE0"/>
    <w:rsid w:val="00136F3F"/>
    <w:rsid w:val="00137123"/>
    <w:rsid w:val="00137252"/>
    <w:rsid w:val="00137561"/>
    <w:rsid w:val="0013780D"/>
    <w:rsid w:val="001379EF"/>
    <w:rsid w:val="00137AAE"/>
    <w:rsid w:val="00140336"/>
    <w:rsid w:val="00140856"/>
    <w:rsid w:val="0014090E"/>
    <w:rsid w:val="00140964"/>
    <w:rsid w:val="001409D9"/>
    <w:rsid w:val="00140A90"/>
    <w:rsid w:val="00140F81"/>
    <w:rsid w:val="0014100E"/>
    <w:rsid w:val="00141372"/>
    <w:rsid w:val="00141845"/>
    <w:rsid w:val="001418BC"/>
    <w:rsid w:val="00141E22"/>
    <w:rsid w:val="001421F3"/>
    <w:rsid w:val="001423ED"/>
    <w:rsid w:val="00142689"/>
    <w:rsid w:val="001427D9"/>
    <w:rsid w:val="00142988"/>
    <w:rsid w:val="00142CE3"/>
    <w:rsid w:val="00142EF2"/>
    <w:rsid w:val="001430D2"/>
    <w:rsid w:val="00143309"/>
    <w:rsid w:val="001433AB"/>
    <w:rsid w:val="001435C0"/>
    <w:rsid w:val="00143682"/>
    <w:rsid w:val="00143773"/>
    <w:rsid w:val="00143890"/>
    <w:rsid w:val="00143C5D"/>
    <w:rsid w:val="00143EA4"/>
    <w:rsid w:val="00143EBC"/>
    <w:rsid w:val="00144229"/>
    <w:rsid w:val="0014436C"/>
    <w:rsid w:val="00144670"/>
    <w:rsid w:val="00144887"/>
    <w:rsid w:val="00144FFE"/>
    <w:rsid w:val="0014516A"/>
    <w:rsid w:val="00145AAB"/>
    <w:rsid w:val="00145AD2"/>
    <w:rsid w:val="00145AE4"/>
    <w:rsid w:val="00145ECC"/>
    <w:rsid w:val="001460EF"/>
    <w:rsid w:val="0014619F"/>
    <w:rsid w:val="00146233"/>
    <w:rsid w:val="0014633C"/>
    <w:rsid w:val="00146444"/>
    <w:rsid w:val="001466BB"/>
    <w:rsid w:val="0014682C"/>
    <w:rsid w:val="00146CB7"/>
    <w:rsid w:val="00146DE0"/>
    <w:rsid w:val="00147368"/>
    <w:rsid w:val="00147484"/>
    <w:rsid w:val="0014784C"/>
    <w:rsid w:val="00147A51"/>
    <w:rsid w:val="00147C1A"/>
    <w:rsid w:val="0014E4D4"/>
    <w:rsid w:val="0015021B"/>
    <w:rsid w:val="0015027C"/>
    <w:rsid w:val="00150F5E"/>
    <w:rsid w:val="001510DB"/>
    <w:rsid w:val="00151383"/>
    <w:rsid w:val="0015184B"/>
    <w:rsid w:val="00151B5B"/>
    <w:rsid w:val="00151D97"/>
    <w:rsid w:val="00151DB3"/>
    <w:rsid w:val="00151DB9"/>
    <w:rsid w:val="00151E58"/>
    <w:rsid w:val="00151FAC"/>
    <w:rsid w:val="0015255E"/>
    <w:rsid w:val="00153202"/>
    <w:rsid w:val="0015324F"/>
    <w:rsid w:val="00153269"/>
    <w:rsid w:val="00153392"/>
    <w:rsid w:val="00153452"/>
    <w:rsid w:val="00153742"/>
    <w:rsid w:val="00153B9A"/>
    <w:rsid w:val="00154183"/>
    <w:rsid w:val="00154399"/>
    <w:rsid w:val="001543C4"/>
    <w:rsid w:val="00154419"/>
    <w:rsid w:val="001547AF"/>
    <w:rsid w:val="00154FFF"/>
    <w:rsid w:val="0015529A"/>
    <w:rsid w:val="0015558A"/>
    <w:rsid w:val="001557A8"/>
    <w:rsid w:val="00155938"/>
    <w:rsid w:val="0015628F"/>
    <w:rsid w:val="00156508"/>
    <w:rsid w:val="001565E2"/>
    <w:rsid w:val="00156D32"/>
    <w:rsid w:val="00157057"/>
    <w:rsid w:val="001572F5"/>
    <w:rsid w:val="001574CB"/>
    <w:rsid w:val="001576FC"/>
    <w:rsid w:val="00157B8D"/>
    <w:rsid w:val="00160458"/>
    <w:rsid w:val="00160665"/>
    <w:rsid w:val="00160778"/>
    <w:rsid w:val="0016096A"/>
    <w:rsid w:val="00160B90"/>
    <w:rsid w:val="00160BB8"/>
    <w:rsid w:val="00160F78"/>
    <w:rsid w:val="001610F8"/>
    <w:rsid w:val="00161290"/>
    <w:rsid w:val="00161311"/>
    <w:rsid w:val="0016149E"/>
    <w:rsid w:val="001616D3"/>
    <w:rsid w:val="00161B0A"/>
    <w:rsid w:val="00161DF3"/>
    <w:rsid w:val="00162121"/>
    <w:rsid w:val="0016220E"/>
    <w:rsid w:val="001627D8"/>
    <w:rsid w:val="001628A7"/>
    <w:rsid w:val="0016309F"/>
    <w:rsid w:val="001631A0"/>
    <w:rsid w:val="00163947"/>
    <w:rsid w:val="00163B75"/>
    <w:rsid w:val="00163BCB"/>
    <w:rsid w:val="001641F0"/>
    <w:rsid w:val="00164468"/>
    <w:rsid w:val="0016468E"/>
    <w:rsid w:val="00164966"/>
    <w:rsid w:val="001649D9"/>
    <w:rsid w:val="00164D95"/>
    <w:rsid w:val="00164DE0"/>
    <w:rsid w:val="00164EC8"/>
    <w:rsid w:val="0016506E"/>
    <w:rsid w:val="001650A2"/>
    <w:rsid w:val="00165195"/>
    <w:rsid w:val="0016564D"/>
    <w:rsid w:val="0016572F"/>
    <w:rsid w:val="00165A51"/>
    <w:rsid w:val="00165D7B"/>
    <w:rsid w:val="00165DD1"/>
    <w:rsid w:val="00166351"/>
    <w:rsid w:val="00166D2A"/>
    <w:rsid w:val="00166FCB"/>
    <w:rsid w:val="001675E9"/>
    <w:rsid w:val="00167DA0"/>
    <w:rsid w:val="00167E8A"/>
    <w:rsid w:val="00170109"/>
    <w:rsid w:val="0017024A"/>
    <w:rsid w:val="0017029A"/>
    <w:rsid w:val="00170325"/>
    <w:rsid w:val="00170475"/>
    <w:rsid w:val="001704B3"/>
    <w:rsid w:val="0017069E"/>
    <w:rsid w:val="001708E9"/>
    <w:rsid w:val="001715B1"/>
    <w:rsid w:val="00171714"/>
    <w:rsid w:val="00171A35"/>
    <w:rsid w:val="00171E43"/>
    <w:rsid w:val="00171E57"/>
    <w:rsid w:val="001720CA"/>
    <w:rsid w:val="001722AE"/>
    <w:rsid w:val="00172B66"/>
    <w:rsid w:val="00172EA0"/>
    <w:rsid w:val="00173187"/>
    <w:rsid w:val="0017354A"/>
    <w:rsid w:val="00173715"/>
    <w:rsid w:val="00173BB1"/>
    <w:rsid w:val="001741B5"/>
    <w:rsid w:val="001743F1"/>
    <w:rsid w:val="00174752"/>
    <w:rsid w:val="0017488E"/>
    <w:rsid w:val="00174D42"/>
    <w:rsid w:val="00174E8B"/>
    <w:rsid w:val="00175106"/>
    <w:rsid w:val="00175269"/>
    <w:rsid w:val="001752B9"/>
    <w:rsid w:val="001756B0"/>
    <w:rsid w:val="00175853"/>
    <w:rsid w:val="0017593B"/>
    <w:rsid w:val="0017601E"/>
    <w:rsid w:val="001769B9"/>
    <w:rsid w:val="00176A36"/>
    <w:rsid w:val="00176CB6"/>
    <w:rsid w:val="001774F4"/>
    <w:rsid w:val="00177DB8"/>
    <w:rsid w:val="00180173"/>
    <w:rsid w:val="00180253"/>
    <w:rsid w:val="001807CD"/>
    <w:rsid w:val="00180A3F"/>
    <w:rsid w:val="00180C34"/>
    <w:rsid w:val="00180D08"/>
    <w:rsid w:val="00181005"/>
    <w:rsid w:val="00181123"/>
    <w:rsid w:val="0018131D"/>
    <w:rsid w:val="00181429"/>
    <w:rsid w:val="0018148D"/>
    <w:rsid w:val="00181554"/>
    <w:rsid w:val="00181EFA"/>
    <w:rsid w:val="0018226F"/>
    <w:rsid w:val="0018262F"/>
    <w:rsid w:val="0018268A"/>
    <w:rsid w:val="001826BE"/>
    <w:rsid w:val="0018295C"/>
    <w:rsid w:val="00182A0B"/>
    <w:rsid w:val="00182DD1"/>
    <w:rsid w:val="00183371"/>
    <w:rsid w:val="001839E1"/>
    <w:rsid w:val="00183BF9"/>
    <w:rsid w:val="00184169"/>
    <w:rsid w:val="001841EB"/>
    <w:rsid w:val="001844E9"/>
    <w:rsid w:val="00184536"/>
    <w:rsid w:val="0018493C"/>
    <w:rsid w:val="001849A8"/>
    <w:rsid w:val="00184FB4"/>
    <w:rsid w:val="0018575C"/>
    <w:rsid w:val="001857D8"/>
    <w:rsid w:val="00185C27"/>
    <w:rsid w:val="001862F1"/>
    <w:rsid w:val="0018630A"/>
    <w:rsid w:val="001865DD"/>
    <w:rsid w:val="00186A1D"/>
    <w:rsid w:val="00186A20"/>
    <w:rsid w:val="0018756C"/>
    <w:rsid w:val="001876A0"/>
    <w:rsid w:val="00187727"/>
    <w:rsid w:val="00187775"/>
    <w:rsid w:val="001879FB"/>
    <w:rsid w:val="00187B35"/>
    <w:rsid w:val="00187D08"/>
    <w:rsid w:val="00187E41"/>
    <w:rsid w:val="001904B8"/>
    <w:rsid w:val="00190721"/>
    <w:rsid w:val="00190799"/>
    <w:rsid w:val="001914A5"/>
    <w:rsid w:val="001914FF"/>
    <w:rsid w:val="0019183B"/>
    <w:rsid w:val="00191A6E"/>
    <w:rsid w:val="00191B25"/>
    <w:rsid w:val="00191D01"/>
    <w:rsid w:val="001924F9"/>
    <w:rsid w:val="00192AC8"/>
    <w:rsid w:val="00192E94"/>
    <w:rsid w:val="00192F44"/>
    <w:rsid w:val="00192FD8"/>
    <w:rsid w:val="001931B1"/>
    <w:rsid w:val="0019360D"/>
    <w:rsid w:val="00193750"/>
    <w:rsid w:val="0019382F"/>
    <w:rsid w:val="00193E52"/>
    <w:rsid w:val="00193F13"/>
    <w:rsid w:val="00193F85"/>
    <w:rsid w:val="00193FA2"/>
    <w:rsid w:val="00194259"/>
    <w:rsid w:val="00194399"/>
    <w:rsid w:val="0019486B"/>
    <w:rsid w:val="001949BB"/>
    <w:rsid w:val="00194C40"/>
    <w:rsid w:val="00194DD4"/>
    <w:rsid w:val="001951D1"/>
    <w:rsid w:val="00195BEE"/>
    <w:rsid w:val="00196058"/>
    <w:rsid w:val="00196443"/>
    <w:rsid w:val="00196474"/>
    <w:rsid w:val="0019652A"/>
    <w:rsid w:val="001965D7"/>
    <w:rsid w:val="00196671"/>
    <w:rsid w:val="00196FBE"/>
    <w:rsid w:val="00197069"/>
    <w:rsid w:val="00197280"/>
    <w:rsid w:val="00197BEA"/>
    <w:rsid w:val="00197D25"/>
    <w:rsid w:val="00198794"/>
    <w:rsid w:val="001A0907"/>
    <w:rsid w:val="001A0A63"/>
    <w:rsid w:val="001A0CA5"/>
    <w:rsid w:val="001A0E09"/>
    <w:rsid w:val="001A1161"/>
    <w:rsid w:val="001A13AA"/>
    <w:rsid w:val="001A1606"/>
    <w:rsid w:val="001A16C4"/>
    <w:rsid w:val="001A182F"/>
    <w:rsid w:val="001A1D43"/>
    <w:rsid w:val="001A1EA9"/>
    <w:rsid w:val="001A2242"/>
    <w:rsid w:val="001A23DE"/>
    <w:rsid w:val="001A2491"/>
    <w:rsid w:val="001A24D0"/>
    <w:rsid w:val="001A259B"/>
    <w:rsid w:val="001A29F7"/>
    <w:rsid w:val="001A2A55"/>
    <w:rsid w:val="001A2D0E"/>
    <w:rsid w:val="001A33A8"/>
    <w:rsid w:val="001A3692"/>
    <w:rsid w:val="001A3DAC"/>
    <w:rsid w:val="001A3E91"/>
    <w:rsid w:val="001A42A8"/>
    <w:rsid w:val="001A49A2"/>
    <w:rsid w:val="001A4AA0"/>
    <w:rsid w:val="001A502D"/>
    <w:rsid w:val="001A52DF"/>
    <w:rsid w:val="001A530E"/>
    <w:rsid w:val="001A55FD"/>
    <w:rsid w:val="001A5999"/>
    <w:rsid w:val="001A5C02"/>
    <w:rsid w:val="001A65B1"/>
    <w:rsid w:val="001A6769"/>
    <w:rsid w:val="001A69C8"/>
    <w:rsid w:val="001A6EA8"/>
    <w:rsid w:val="001A6ECC"/>
    <w:rsid w:val="001A78AF"/>
    <w:rsid w:val="001A7C2C"/>
    <w:rsid w:val="001A7E07"/>
    <w:rsid w:val="001B0517"/>
    <w:rsid w:val="001B062D"/>
    <w:rsid w:val="001B073D"/>
    <w:rsid w:val="001B082C"/>
    <w:rsid w:val="001B0EE1"/>
    <w:rsid w:val="001B0F36"/>
    <w:rsid w:val="001B151F"/>
    <w:rsid w:val="001B15E0"/>
    <w:rsid w:val="001B160B"/>
    <w:rsid w:val="001B166F"/>
    <w:rsid w:val="001B169B"/>
    <w:rsid w:val="001B1ADB"/>
    <w:rsid w:val="001B1B3B"/>
    <w:rsid w:val="001B1EAC"/>
    <w:rsid w:val="001B20A2"/>
    <w:rsid w:val="001B2990"/>
    <w:rsid w:val="001B2BBD"/>
    <w:rsid w:val="001B2DC4"/>
    <w:rsid w:val="001B32A8"/>
    <w:rsid w:val="001B3909"/>
    <w:rsid w:val="001B3958"/>
    <w:rsid w:val="001B3A5E"/>
    <w:rsid w:val="001B3C74"/>
    <w:rsid w:val="001B3D9B"/>
    <w:rsid w:val="001B3F58"/>
    <w:rsid w:val="001B402E"/>
    <w:rsid w:val="001B4330"/>
    <w:rsid w:val="001B4344"/>
    <w:rsid w:val="001B4396"/>
    <w:rsid w:val="001B463D"/>
    <w:rsid w:val="001B46A5"/>
    <w:rsid w:val="001B4CE7"/>
    <w:rsid w:val="001B4D51"/>
    <w:rsid w:val="001B56C1"/>
    <w:rsid w:val="001B5F37"/>
    <w:rsid w:val="001B60AA"/>
    <w:rsid w:val="001B695E"/>
    <w:rsid w:val="001B6D18"/>
    <w:rsid w:val="001B7407"/>
    <w:rsid w:val="001B773D"/>
    <w:rsid w:val="001B77EE"/>
    <w:rsid w:val="001B79D0"/>
    <w:rsid w:val="001B7B4B"/>
    <w:rsid w:val="001B7FCB"/>
    <w:rsid w:val="001C00B1"/>
    <w:rsid w:val="001C01BB"/>
    <w:rsid w:val="001C01DD"/>
    <w:rsid w:val="001C0283"/>
    <w:rsid w:val="001C031A"/>
    <w:rsid w:val="001C12A3"/>
    <w:rsid w:val="001C1356"/>
    <w:rsid w:val="001C1650"/>
    <w:rsid w:val="001C191D"/>
    <w:rsid w:val="001C1964"/>
    <w:rsid w:val="001C1E4B"/>
    <w:rsid w:val="001C223D"/>
    <w:rsid w:val="001C22AB"/>
    <w:rsid w:val="001C2341"/>
    <w:rsid w:val="001C290B"/>
    <w:rsid w:val="001C29A8"/>
    <w:rsid w:val="001C2C36"/>
    <w:rsid w:val="001C2D80"/>
    <w:rsid w:val="001C2F8E"/>
    <w:rsid w:val="001C3504"/>
    <w:rsid w:val="001C356D"/>
    <w:rsid w:val="001C38AC"/>
    <w:rsid w:val="001C3BA6"/>
    <w:rsid w:val="001C3CD0"/>
    <w:rsid w:val="001C3E8E"/>
    <w:rsid w:val="001C48BB"/>
    <w:rsid w:val="001C49F0"/>
    <w:rsid w:val="001C4CA3"/>
    <w:rsid w:val="001C5111"/>
    <w:rsid w:val="001C517C"/>
    <w:rsid w:val="001C52A7"/>
    <w:rsid w:val="001C5C23"/>
    <w:rsid w:val="001C5CF2"/>
    <w:rsid w:val="001C63EE"/>
    <w:rsid w:val="001C740A"/>
    <w:rsid w:val="001C74A1"/>
    <w:rsid w:val="001C7684"/>
    <w:rsid w:val="001C7B1E"/>
    <w:rsid w:val="001C7B75"/>
    <w:rsid w:val="001C7D6C"/>
    <w:rsid w:val="001D0258"/>
    <w:rsid w:val="001D0783"/>
    <w:rsid w:val="001D07C7"/>
    <w:rsid w:val="001D0BEA"/>
    <w:rsid w:val="001D0C77"/>
    <w:rsid w:val="001D0EB3"/>
    <w:rsid w:val="001D0F1E"/>
    <w:rsid w:val="001D112B"/>
    <w:rsid w:val="001D18D7"/>
    <w:rsid w:val="001D1B24"/>
    <w:rsid w:val="001D1BA9"/>
    <w:rsid w:val="001D1BD2"/>
    <w:rsid w:val="001D1E60"/>
    <w:rsid w:val="001D21F8"/>
    <w:rsid w:val="001D2644"/>
    <w:rsid w:val="001D2772"/>
    <w:rsid w:val="001D27D5"/>
    <w:rsid w:val="001D2957"/>
    <w:rsid w:val="001D2A92"/>
    <w:rsid w:val="001D311B"/>
    <w:rsid w:val="001D3B0C"/>
    <w:rsid w:val="001D3C28"/>
    <w:rsid w:val="001D41E6"/>
    <w:rsid w:val="001D423F"/>
    <w:rsid w:val="001D46A3"/>
    <w:rsid w:val="001D47E2"/>
    <w:rsid w:val="001D4A94"/>
    <w:rsid w:val="001D4B09"/>
    <w:rsid w:val="001D4C74"/>
    <w:rsid w:val="001D4D62"/>
    <w:rsid w:val="001D4E1C"/>
    <w:rsid w:val="001D5314"/>
    <w:rsid w:val="001D53E0"/>
    <w:rsid w:val="001D5D70"/>
    <w:rsid w:val="001D669E"/>
    <w:rsid w:val="001D6BA7"/>
    <w:rsid w:val="001D6E69"/>
    <w:rsid w:val="001D6F00"/>
    <w:rsid w:val="001D7F46"/>
    <w:rsid w:val="001E03FE"/>
    <w:rsid w:val="001E0403"/>
    <w:rsid w:val="001E0B1D"/>
    <w:rsid w:val="001E0FBF"/>
    <w:rsid w:val="001E0FF0"/>
    <w:rsid w:val="001E1020"/>
    <w:rsid w:val="001E1925"/>
    <w:rsid w:val="001E1929"/>
    <w:rsid w:val="001E1D53"/>
    <w:rsid w:val="001E1E52"/>
    <w:rsid w:val="001E1F59"/>
    <w:rsid w:val="001E1F7E"/>
    <w:rsid w:val="001E205A"/>
    <w:rsid w:val="001E2217"/>
    <w:rsid w:val="001E25B2"/>
    <w:rsid w:val="001E265F"/>
    <w:rsid w:val="001E2C3D"/>
    <w:rsid w:val="001E2FCC"/>
    <w:rsid w:val="001E301F"/>
    <w:rsid w:val="001E312E"/>
    <w:rsid w:val="001E3353"/>
    <w:rsid w:val="001E3721"/>
    <w:rsid w:val="001E3F63"/>
    <w:rsid w:val="001E42B7"/>
    <w:rsid w:val="001E4943"/>
    <w:rsid w:val="001E4D7F"/>
    <w:rsid w:val="001E52C7"/>
    <w:rsid w:val="001E55FA"/>
    <w:rsid w:val="001E5ABA"/>
    <w:rsid w:val="001E5F5B"/>
    <w:rsid w:val="001E60DC"/>
    <w:rsid w:val="001E668D"/>
    <w:rsid w:val="001E66BF"/>
    <w:rsid w:val="001E6839"/>
    <w:rsid w:val="001E68E2"/>
    <w:rsid w:val="001E6A91"/>
    <w:rsid w:val="001E6C10"/>
    <w:rsid w:val="001E7010"/>
    <w:rsid w:val="001E73A2"/>
    <w:rsid w:val="001E75BD"/>
    <w:rsid w:val="001E784C"/>
    <w:rsid w:val="001E7A83"/>
    <w:rsid w:val="001E7B33"/>
    <w:rsid w:val="001F08C9"/>
    <w:rsid w:val="001F0AB9"/>
    <w:rsid w:val="001F0C03"/>
    <w:rsid w:val="001F0C4C"/>
    <w:rsid w:val="001F1498"/>
    <w:rsid w:val="001F1703"/>
    <w:rsid w:val="001F1821"/>
    <w:rsid w:val="001F1CCE"/>
    <w:rsid w:val="001F1DF0"/>
    <w:rsid w:val="001F1F4C"/>
    <w:rsid w:val="001F217C"/>
    <w:rsid w:val="001F229B"/>
    <w:rsid w:val="001F2379"/>
    <w:rsid w:val="001F25E1"/>
    <w:rsid w:val="001F2837"/>
    <w:rsid w:val="001F2D6B"/>
    <w:rsid w:val="001F2FFE"/>
    <w:rsid w:val="001F314A"/>
    <w:rsid w:val="001F31EB"/>
    <w:rsid w:val="001F3586"/>
    <w:rsid w:val="001F389F"/>
    <w:rsid w:val="001F3B8A"/>
    <w:rsid w:val="001F3D59"/>
    <w:rsid w:val="001F44E4"/>
    <w:rsid w:val="001F4A5E"/>
    <w:rsid w:val="001F4A62"/>
    <w:rsid w:val="001F4B98"/>
    <w:rsid w:val="001F4DA9"/>
    <w:rsid w:val="001F4DDC"/>
    <w:rsid w:val="001F4EB6"/>
    <w:rsid w:val="001F4F81"/>
    <w:rsid w:val="001F5054"/>
    <w:rsid w:val="001F54D4"/>
    <w:rsid w:val="001F551D"/>
    <w:rsid w:val="001F55EC"/>
    <w:rsid w:val="001F58E2"/>
    <w:rsid w:val="001F5B09"/>
    <w:rsid w:val="001F5DDC"/>
    <w:rsid w:val="001F5F13"/>
    <w:rsid w:val="001F6277"/>
    <w:rsid w:val="001F63EC"/>
    <w:rsid w:val="001F6654"/>
    <w:rsid w:val="001F6791"/>
    <w:rsid w:val="001F68DE"/>
    <w:rsid w:val="001F72B9"/>
    <w:rsid w:val="001F72BE"/>
    <w:rsid w:val="001F73BC"/>
    <w:rsid w:val="001F7412"/>
    <w:rsid w:val="001F7AA0"/>
    <w:rsid w:val="001F7BB0"/>
    <w:rsid w:val="001F7D24"/>
    <w:rsid w:val="00200316"/>
    <w:rsid w:val="00200C18"/>
    <w:rsid w:val="002010B9"/>
    <w:rsid w:val="00201AE5"/>
    <w:rsid w:val="00201B9B"/>
    <w:rsid w:val="00201C99"/>
    <w:rsid w:val="00202150"/>
    <w:rsid w:val="00202655"/>
    <w:rsid w:val="00202F0F"/>
    <w:rsid w:val="00203045"/>
    <w:rsid w:val="002034E6"/>
    <w:rsid w:val="00203593"/>
    <w:rsid w:val="002036F6"/>
    <w:rsid w:val="00203B7F"/>
    <w:rsid w:val="00203E65"/>
    <w:rsid w:val="00204141"/>
    <w:rsid w:val="00204A24"/>
    <w:rsid w:val="00204AC8"/>
    <w:rsid w:val="00204B0C"/>
    <w:rsid w:val="00204C47"/>
    <w:rsid w:val="002051E2"/>
    <w:rsid w:val="002053DE"/>
    <w:rsid w:val="00205887"/>
    <w:rsid w:val="00205D46"/>
    <w:rsid w:val="00205D8D"/>
    <w:rsid w:val="00205DD1"/>
    <w:rsid w:val="00205FD3"/>
    <w:rsid w:val="0020631E"/>
    <w:rsid w:val="002063BA"/>
    <w:rsid w:val="002069CC"/>
    <w:rsid w:val="00206F4E"/>
    <w:rsid w:val="00207534"/>
    <w:rsid w:val="00207969"/>
    <w:rsid w:val="00207DA4"/>
    <w:rsid w:val="00207F67"/>
    <w:rsid w:val="00210064"/>
    <w:rsid w:val="002101E5"/>
    <w:rsid w:val="002103A3"/>
    <w:rsid w:val="00210FF6"/>
    <w:rsid w:val="0021158E"/>
    <w:rsid w:val="0021197E"/>
    <w:rsid w:val="00211ABD"/>
    <w:rsid w:val="00212127"/>
    <w:rsid w:val="0021217C"/>
    <w:rsid w:val="00212217"/>
    <w:rsid w:val="00212377"/>
    <w:rsid w:val="00212842"/>
    <w:rsid w:val="002129CD"/>
    <w:rsid w:val="002129EB"/>
    <w:rsid w:val="00212AE6"/>
    <w:rsid w:val="00212B8C"/>
    <w:rsid w:val="00212DE8"/>
    <w:rsid w:val="00212F7E"/>
    <w:rsid w:val="00213267"/>
    <w:rsid w:val="00213376"/>
    <w:rsid w:val="0021341C"/>
    <w:rsid w:val="00213574"/>
    <w:rsid w:val="002138C2"/>
    <w:rsid w:val="00213ABB"/>
    <w:rsid w:val="00213B4C"/>
    <w:rsid w:val="00213E93"/>
    <w:rsid w:val="00213F5C"/>
    <w:rsid w:val="0021416D"/>
    <w:rsid w:val="0021425E"/>
    <w:rsid w:val="00214356"/>
    <w:rsid w:val="0021463F"/>
    <w:rsid w:val="0021487A"/>
    <w:rsid w:val="00214D5B"/>
    <w:rsid w:val="00214E5D"/>
    <w:rsid w:val="00214EEA"/>
    <w:rsid w:val="0021560D"/>
    <w:rsid w:val="002156E1"/>
    <w:rsid w:val="002156F7"/>
    <w:rsid w:val="00215F03"/>
    <w:rsid w:val="00216283"/>
    <w:rsid w:val="002163A2"/>
    <w:rsid w:val="0021672A"/>
    <w:rsid w:val="00216C23"/>
    <w:rsid w:val="00216C51"/>
    <w:rsid w:val="00217395"/>
    <w:rsid w:val="00217401"/>
    <w:rsid w:val="002174F8"/>
    <w:rsid w:val="00217D67"/>
    <w:rsid w:val="00217FDC"/>
    <w:rsid w:val="00220BA2"/>
    <w:rsid w:val="00220C1E"/>
    <w:rsid w:val="00220C88"/>
    <w:rsid w:val="002210DD"/>
    <w:rsid w:val="002214E0"/>
    <w:rsid w:val="00221B81"/>
    <w:rsid w:val="00221F7E"/>
    <w:rsid w:val="00222255"/>
    <w:rsid w:val="002225EB"/>
    <w:rsid w:val="00222AD3"/>
    <w:rsid w:val="00222AF9"/>
    <w:rsid w:val="00222C06"/>
    <w:rsid w:val="00222C73"/>
    <w:rsid w:val="00223112"/>
    <w:rsid w:val="002232D9"/>
    <w:rsid w:val="00223817"/>
    <w:rsid w:val="00223E07"/>
    <w:rsid w:val="00223E7E"/>
    <w:rsid w:val="00224204"/>
    <w:rsid w:val="00224297"/>
    <w:rsid w:val="0022442A"/>
    <w:rsid w:val="00224476"/>
    <w:rsid w:val="002246E1"/>
    <w:rsid w:val="002246F0"/>
    <w:rsid w:val="00224929"/>
    <w:rsid w:val="002249F7"/>
    <w:rsid w:val="00224B93"/>
    <w:rsid w:val="00224CD7"/>
    <w:rsid w:val="00225024"/>
    <w:rsid w:val="00225287"/>
    <w:rsid w:val="002255EB"/>
    <w:rsid w:val="00225C57"/>
    <w:rsid w:val="00225F52"/>
    <w:rsid w:val="00226214"/>
    <w:rsid w:val="00226633"/>
    <w:rsid w:val="002267A9"/>
    <w:rsid w:val="002267FE"/>
    <w:rsid w:val="00226F32"/>
    <w:rsid w:val="00226FEF"/>
    <w:rsid w:val="00227199"/>
    <w:rsid w:val="002273E7"/>
    <w:rsid w:val="002300BC"/>
    <w:rsid w:val="002303DD"/>
    <w:rsid w:val="002305E6"/>
    <w:rsid w:val="002306AA"/>
    <w:rsid w:val="002307C3"/>
    <w:rsid w:val="00230B5A"/>
    <w:rsid w:val="00230C43"/>
    <w:rsid w:val="00230F09"/>
    <w:rsid w:val="0023106A"/>
    <w:rsid w:val="00231130"/>
    <w:rsid w:val="00231330"/>
    <w:rsid w:val="00231339"/>
    <w:rsid w:val="00231A50"/>
    <w:rsid w:val="00231C14"/>
    <w:rsid w:val="00231E05"/>
    <w:rsid w:val="00231F23"/>
    <w:rsid w:val="00232075"/>
    <w:rsid w:val="0023238C"/>
    <w:rsid w:val="00232960"/>
    <w:rsid w:val="00232A60"/>
    <w:rsid w:val="00232E3A"/>
    <w:rsid w:val="00233439"/>
    <w:rsid w:val="00233BC2"/>
    <w:rsid w:val="002341B8"/>
    <w:rsid w:val="0023439D"/>
    <w:rsid w:val="00234816"/>
    <w:rsid w:val="002349FC"/>
    <w:rsid w:val="00234B62"/>
    <w:rsid w:val="00234E68"/>
    <w:rsid w:val="00235110"/>
    <w:rsid w:val="00235174"/>
    <w:rsid w:val="002353AE"/>
    <w:rsid w:val="002355E0"/>
    <w:rsid w:val="00235C86"/>
    <w:rsid w:val="002364AC"/>
    <w:rsid w:val="0023650C"/>
    <w:rsid w:val="002366A9"/>
    <w:rsid w:val="00236CD0"/>
    <w:rsid w:val="00236F42"/>
    <w:rsid w:val="00237A37"/>
    <w:rsid w:val="00237D29"/>
    <w:rsid w:val="00237D79"/>
    <w:rsid w:val="00237FE1"/>
    <w:rsid w:val="00240046"/>
    <w:rsid w:val="002407CC"/>
    <w:rsid w:val="00240B26"/>
    <w:rsid w:val="00241241"/>
    <w:rsid w:val="00241376"/>
    <w:rsid w:val="002424DE"/>
    <w:rsid w:val="002428C2"/>
    <w:rsid w:val="00242CB0"/>
    <w:rsid w:val="00242DB1"/>
    <w:rsid w:val="002432FE"/>
    <w:rsid w:val="00243339"/>
    <w:rsid w:val="002433FF"/>
    <w:rsid w:val="00243841"/>
    <w:rsid w:val="002439B4"/>
    <w:rsid w:val="00243E16"/>
    <w:rsid w:val="0024407D"/>
    <w:rsid w:val="002442BA"/>
    <w:rsid w:val="00244332"/>
    <w:rsid w:val="00244474"/>
    <w:rsid w:val="0024474F"/>
    <w:rsid w:val="00244892"/>
    <w:rsid w:val="00244A77"/>
    <w:rsid w:val="00244FAC"/>
    <w:rsid w:val="00245395"/>
    <w:rsid w:val="00245C0D"/>
    <w:rsid w:val="00245E86"/>
    <w:rsid w:val="00245FE2"/>
    <w:rsid w:val="002460BC"/>
    <w:rsid w:val="002460E9"/>
    <w:rsid w:val="002461C7"/>
    <w:rsid w:val="0024621A"/>
    <w:rsid w:val="00246404"/>
    <w:rsid w:val="00246543"/>
    <w:rsid w:val="002466F8"/>
    <w:rsid w:val="00246B1A"/>
    <w:rsid w:val="00246B3E"/>
    <w:rsid w:val="00246EB8"/>
    <w:rsid w:val="00246FB1"/>
    <w:rsid w:val="00247654"/>
    <w:rsid w:val="00247744"/>
    <w:rsid w:val="0024780F"/>
    <w:rsid w:val="00247EF9"/>
    <w:rsid w:val="00250688"/>
    <w:rsid w:val="00250976"/>
    <w:rsid w:val="00250A02"/>
    <w:rsid w:val="00250B2B"/>
    <w:rsid w:val="00250DC6"/>
    <w:rsid w:val="00251041"/>
    <w:rsid w:val="00251407"/>
    <w:rsid w:val="0025177A"/>
    <w:rsid w:val="00251B49"/>
    <w:rsid w:val="00251C7B"/>
    <w:rsid w:val="00251D0D"/>
    <w:rsid w:val="00251EEB"/>
    <w:rsid w:val="00251F6F"/>
    <w:rsid w:val="00252856"/>
    <w:rsid w:val="00252F4A"/>
    <w:rsid w:val="00253188"/>
    <w:rsid w:val="002532F5"/>
    <w:rsid w:val="002533DC"/>
    <w:rsid w:val="0025370C"/>
    <w:rsid w:val="00253957"/>
    <w:rsid w:val="00253A49"/>
    <w:rsid w:val="00253AB1"/>
    <w:rsid w:val="00253E2E"/>
    <w:rsid w:val="002541BD"/>
    <w:rsid w:val="0025423E"/>
    <w:rsid w:val="00254269"/>
    <w:rsid w:val="002542F6"/>
    <w:rsid w:val="00254A07"/>
    <w:rsid w:val="00255299"/>
    <w:rsid w:val="002552AE"/>
    <w:rsid w:val="002556D4"/>
    <w:rsid w:val="0025649D"/>
    <w:rsid w:val="002569E6"/>
    <w:rsid w:val="00256A71"/>
    <w:rsid w:val="00257718"/>
    <w:rsid w:val="002602F3"/>
    <w:rsid w:val="002605E9"/>
    <w:rsid w:val="002614EA"/>
    <w:rsid w:val="00261508"/>
    <w:rsid w:val="0026150B"/>
    <w:rsid w:val="00261A9A"/>
    <w:rsid w:val="00261FB4"/>
    <w:rsid w:val="002628D6"/>
    <w:rsid w:val="00262BBD"/>
    <w:rsid w:val="00262BED"/>
    <w:rsid w:val="00262DC2"/>
    <w:rsid w:val="00262E30"/>
    <w:rsid w:val="00262E4F"/>
    <w:rsid w:val="00263899"/>
    <w:rsid w:val="00263BE2"/>
    <w:rsid w:val="00264A04"/>
    <w:rsid w:val="00264C6E"/>
    <w:rsid w:val="00264D99"/>
    <w:rsid w:val="002650C0"/>
    <w:rsid w:val="00265189"/>
    <w:rsid w:val="0026539A"/>
    <w:rsid w:val="00265A21"/>
    <w:rsid w:val="00265D72"/>
    <w:rsid w:val="00265F3E"/>
    <w:rsid w:val="00266038"/>
    <w:rsid w:val="0026639F"/>
    <w:rsid w:val="00266DC7"/>
    <w:rsid w:val="00266F2F"/>
    <w:rsid w:val="002670DD"/>
    <w:rsid w:val="0026722A"/>
    <w:rsid w:val="0026736C"/>
    <w:rsid w:val="00267520"/>
    <w:rsid w:val="00267879"/>
    <w:rsid w:val="00267E30"/>
    <w:rsid w:val="002698FA"/>
    <w:rsid w:val="00270952"/>
    <w:rsid w:val="00270DD8"/>
    <w:rsid w:val="00271014"/>
    <w:rsid w:val="00271245"/>
    <w:rsid w:val="0027129E"/>
    <w:rsid w:val="002714AF"/>
    <w:rsid w:val="0027201B"/>
    <w:rsid w:val="002722C3"/>
    <w:rsid w:val="0027268E"/>
    <w:rsid w:val="00272A38"/>
    <w:rsid w:val="0027312D"/>
    <w:rsid w:val="00273D12"/>
    <w:rsid w:val="00274051"/>
    <w:rsid w:val="002743C1"/>
    <w:rsid w:val="00274878"/>
    <w:rsid w:val="00275423"/>
    <w:rsid w:val="00275B94"/>
    <w:rsid w:val="00275CAB"/>
    <w:rsid w:val="00275CB0"/>
    <w:rsid w:val="00276B81"/>
    <w:rsid w:val="00276BB1"/>
    <w:rsid w:val="00280082"/>
    <w:rsid w:val="0028011A"/>
    <w:rsid w:val="0028013D"/>
    <w:rsid w:val="0028092B"/>
    <w:rsid w:val="00280A5E"/>
    <w:rsid w:val="00280A99"/>
    <w:rsid w:val="00280AC6"/>
    <w:rsid w:val="00280C7C"/>
    <w:rsid w:val="00280C97"/>
    <w:rsid w:val="0028106A"/>
    <w:rsid w:val="00281F12"/>
    <w:rsid w:val="00281F35"/>
    <w:rsid w:val="0028235F"/>
    <w:rsid w:val="00282747"/>
    <w:rsid w:val="00283541"/>
    <w:rsid w:val="00283C8D"/>
    <w:rsid w:val="00284DAE"/>
    <w:rsid w:val="00285761"/>
    <w:rsid w:val="00285C1D"/>
    <w:rsid w:val="00285F9D"/>
    <w:rsid w:val="00286614"/>
    <w:rsid w:val="00286750"/>
    <w:rsid w:val="00286AA6"/>
    <w:rsid w:val="00286D0C"/>
    <w:rsid w:val="00287571"/>
    <w:rsid w:val="0028784E"/>
    <w:rsid w:val="00287923"/>
    <w:rsid w:val="00287A39"/>
    <w:rsid w:val="00287AEA"/>
    <w:rsid w:val="00287D20"/>
    <w:rsid w:val="00287FA4"/>
    <w:rsid w:val="00290410"/>
    <w:rsid w:val="00290630"/>
    <w:rsid w:val="00290930"/>
    <w:rsid w:val="00290ACE"/>
    <w:rsid w:val="00290E47"/>
    <w:rsid w:val="00290EC3"/>
    <w:rsid w:val="00290F5C"/>
    <w:rsid w:val="002911EF"/>
    <w:rsid w:val="00291346"/>
    <w:rsid w:val="0029143B"/>
    <w:rsid w:val="00292661"/>
    <w:rsid w:val="002926BD"/>
    <w:rsid w:val="0029290E"/>
    <w:rsid w:val="00292D29"/>
    <w:rsid w:val="002930C0"/>
    <w:rsid w:val="0029324B"/>
    <w:rsid w:val="0029355A"/>
    <w:rsid w:val="0029357C"/>
    <w:rsid w:val="00294427"/>
    <w:rsid w:val="00294B00"/>
    <w:rsid w:val="002954B6"/>
    <w:rsid w:val="002959C9"/>
    <w:rsid w:val="00295B09"/>
    <w:rsid w:val="00295DA0"/>
    <w:rsid w:val="00295F32"/>
    <w:rsid w:val="002961A3"/>
    <w:rsid w:val="002967F7"/>
    <w:rsid w:val="00296D16"/>
    <w:rsid w:val="00296F03"/>
    <w:rsid w:val="00297118"/>
    <w:rsid w:val="00297426"/>
    <w:rsid w:val="002974EF"/>
    <w:rsid w:val="00297C50"/>
    <w:rsid w:val="00297FB9"/>
    <w:rsid w:val="00297FD1"/>
    <w:rsid w:val="002A0191"/>
    <w:rsid w:val="002A053E"/>
    <w:rsid w:val="002A06E1"/>
    <w:rsid w:val="002A0849"/>
    <w:rsid w:val="002A0898"/>
    <w:rsid w:val="002A0952"/>
    <w:rsid w:val="002A10A5"/>
    <w:rsid w:val="002A1566"/>
    <w:rsid w:val="002A1804"/>
    <w:rsid w:val="002A1923"/>
    <w:rsid w:val="002A1F8E"/>
    <w:rsid w:val="002A273F"/>
    <w:rsid w:val="002A2ACC"/>
    <w:rsid w:val="002A2E1E"/>
    <w:rsid w:val="002A2E83"/>
    <w:rsid w:val="002A2E94"/>
    <w:rsid w:val="002A2F21"/>
    <w:rsid w:val="002A2FC3"/>
    <w:rsid w:val="002A334E"/>
    <w:rsid w:val="002A363B"/>
    <w:rsid w:val="002A3D9C"/>
    <w:rsid w:val="002A4329"/>
    <w:rsid w:val="002A4378"/>
    <w:rsid w:val="002A4381"/>
    <w:rsid w:val="002A44C0"/>
    <w:rsid w:val="002A459E"/>
    <w:rsid w:val="002A4990"/>
    <w:rsid w:val="002A5051"/>
    <w:rsid w:val="002A594C"/>
    <w:rsid w:val="002A605F"/>
    <w:rsid w:val="002A60EB"/>
    <w:rsid w:val="002A63F4"/>
    <w:rsid w:val="002A66E6"/>
    <w:rsid w:val="002A6A86"/>
    <w:rsid w:val="002A6DCC"/>
    <w:rsid w:val="002A74F1"/>
    <w:rsid w:val="002A768E"/>
    <w:rsid w:val="002A7AE0"/>
    <w:rsid w:val="002A7CF0"/>
    <w:rsid w:val="002A7D82"/>
    <w:rsid w:val="002A7DB2"/>
    <w:rsid w:val="002A7F26"/>
    <w:rsid w:val="002B00C5"/>
    <w:rsid w:val="002B00E2"/>
    <w:rsid w:val="002B00FB"/>
    <w:rsid w:val="002B03BB"/>
    <w:rsid w:val="002B0782"/>
    <w:rsid w:val="002B0C43"/>
    <w:rsid w:val="002B1359"/>
    <w:rsid w:val="002B13B8"/>
    <w:rsid w:val="002B1D92"/>
    <w:rsid w:val="002B1F7E"/>
    <w:rsid w:val="002B2F1A"/>
    <w:rsid w:val="002B3E9B"/>
    <w:rsid w:val="002B4842"/>
    <w:rsid w:val="002B4B14"/>
    <w:rsid w:val="002B5127"/>
    <w:rsid w:val="002B549C"/>
    <w:rsid w:val="002B5670"/>
    <w:rsid w:val="002B5A14"/>
    <w:rsid w:val="002B5D98"/>
    <w:rsid w:val="002B5DE1"/>
    <w:rsid w:val="002B5FED"/>
    <w:rsid w:val="002B619D"/>
    <w:rsid w:val="002B665A"/>
    <w:rsid w:val="002B6E42"/>
    <w:rsid w:val="002B7D5D"/>
    <w:rsid w:val="002B7E8C"/>
    <w:rsid w:val="002C039F"/>
    <w:rsid w:val="002C03DD"/>
    <w:rsid w:val="002C0470"/>
    <w:rsid w:val="002C06A7"/>
    <w:rsid w:val="002C10BE"/>
    <w:rsid w:val="002C12BE"/>
    <w:rsid w:val="002C19AB"/>
    <w:rsid w:val="002C1A3A"/>
    <w:rsid w:val="002C1C6F"/>
    <w:rsid w:val="002C208A"/>
    <w:rsid w:val="002C22FC"/>
    <w:rsid w:val="002C267A"/>
    <w:rsid w:val="002C2C9D"/>
    <w:rsid w:val="002C3196"/>
    <w:rsid w:val="002C31A0"/>
    <w:rsid w:val="002C31CF"/>
    <w:rsid w:val="002C3656"/>
    <w:rsid w:val="002C37F2"/>
    <w:rsid w:val="002C385F"/>
    <w:rsid w:val="002C3D8F"/>
    <w:rsid w:val="002C3D9C"/>
    <w:rsid w:val="002C3F02"/>
    <w:rsid w:val="002C4014"/>
    <w:rsid w:val="002C42D3"/>
    <w:rsid w:val="002C4729"/>
    <w:rsid w:val="002C4914"/>
    <w:rsid w:val="002C49F2"/>
    <w:rsid w:val="002C5139"/>
    <w:rsid w:val="002C5487"/>
    <w:rsid w:val="002C5C27"/>
    <w:rsid w:val="002C61C8"/>
    <w:rsid w:val="002C6F40"/>
    <w:rsid w:val="002C708D"/>
    <w:rsid w:val="002C7472"/>
    <w:rsid w:val="002C747F"/>
    <w:rsid w:val="002C75DF"/>
    <w:rsid w:val="002C75FF"/>
    <w:rsid w:val="002C776A"/>
    <w:rsid w:val="002C7E5C"/>
    <w:rsid w:val="002C7F75"/>
    <w:rsid w:val="002D03B3"/>
    <w:rsid w:val="002D078E"/>
    <w:rsid w:val="002D07FE"/>
    <w:rsid w:val="002D0DA3"/>
    <w:rsid w:val="002D0E96"/>
    <w:rsid w:val="002D0EFF"/>
    <w:rsid w:val="002D15FE"/>
    <w:rsid w:val="002D1A82"/>
    <w:rsid w:val="002D2313"/>
    <w:rsid w:val="002D267B"/>
    <w:rsid w:val="002D26F6"/>
    <w:rsid w:val="002D28DD"/>
    <w:rsid w:val="002D33B9"/>
    <w:rsid w:val="002D364C"/>
    <w:rsid w:val="002D3896"/>
    <w:rsid w:val="002D3975"/>
    <w:rsid w:val="002D4551"/>
    <w:rsid w:val="002D4EF3"/>
    <w:rsid w:val="002D513F"/>
    <w:rsid w:val="002D547A"/>
    <w:rsid w:val="002D54CB"/>
    <w:rsid w:val="002D580A"/>
    <w:rsid w:val="002D5BBC"/>
    <w:rsid w:val="002D6269"/>
    <w:rsid w:val="002D6A18"/>
    <w:rsid w:val="002D7088"/>
    <w:rsid w:val="002D70E3"/>
    <w:rsid w:val="002D750C"/>
    <w:rsid w:val="002D75DB"/>
    <w:rsid w:val="002D7A5A"/>
    <w:rsid w:val="002D7FDB"/>
    <w:rsid w:val="002D8366"/>
    <w:rsid w:val="002E0146"/>
    <w:rsid w:val="002E05C1"/>
    <w:rsid w:val="002E096B"/>
    <w:rsid w:val="002E0EEF"/>
    <w:rsid w:val="002E11D0"/>
    <w:rsid w:val="002E1763"/>
    <w:rsid w:val="002E1A6D"/>
    <w:rsid w:val="002E1FE7"/>
    <w:rsid w:val="002E2261"/>
    <w:rsid w:val="002E260F"/>
    <w:rsid w:val="002E2BFF"/>
    <w:rsid w:val="002E2F6E"/>
    <w:rsid w:val="002E339B"/>
    <w:rsid w:val="002E355C"/>
    <w:rsid w:val="002E3AC2"/>
    <w:rsid w:val="002E45CC"/>
    <w:rsid w:val="002E45FA"/>
    <w:rsid w:val="002E49ED"/>
    <w:rsid w:val="002E4C36"/>
    <w:rsid w:val="002E4C8E"/>
    <w:rsid w:val="002E4CB5"/>
    <w:rsid w:val="002E4F90"/>
    <w:rsid w:val="002E5530"/>
    <w:rsid w:val="002E5AA6"/>
    <w:rsid w:val="002E5B1A"/>
    <w:rsid w:val="002E5BCB"/>
    <w:rsid w:val="002E5EAB"/>
    <w:rsid w:val="002E5F41"/>
    <w:rsid w:val="002E5F48"/>
    <w:rsid w:val="002E60A6"/>
    <w:rsid w:val="002E6B05"/>
    <w:rsid w:val="002E6FCA"/>
    <w:rsid w:val="002E740D"/>
    <w:rsid w:val="002E76BC"/>
    <w:rsid w:val="002E76D5"/>
    <w:rsid w:val="002E7B74"/>
    <w:rsid w:val="002F0728"/>
    <w:rsid w:val="002F0837"/>
    <w:rsid w:val="002F1055"/>
    <w:rsid w:val="002F111B"/>
    <w:rsid w:val="002F123E"/>
    <w:rsid w:val="002F14AD"/>
    <w:rsid w:val="002F1E3A"/>
    <w:rsid w:val="002F1FE7"/>
    <w:rsid w:val="002F2209"/>
    <w:rsid w:val="002F22F1"/>
    <w:rsid w:val="002F2469"/>
    <w:rsid w:val="002F249A"/>
    <w:rsid w:val="002F260C"/>
    <w:rsid w:val="002F279B"/>
    <w:rsid w:val="002F27D0"/>
    <w:rsid w:val="002F2B2F"/>
    <w:rsid w:val="002F2BEF"/>
    <w:rsid w:val="002F2F0A"/>
    <w:rsid w:val="002F2F60"/>
    <w:rsid w:val="002F3585"/>
    <w:rsid w:val="002F3AFE"/>
    <w:rsid w:val="002F3DDD"/>
    <w:rsid w:val="002F3E2D"/>
    <w:rsid w:val="002F3F7D"/>
    <w:rsid w:val="002F41C7"/>
    <w:rsid w:val="002F45C1"/>
    <w:rsid w:val="002F4B9C"/>
    <w:rsid w:val="002F4DCD"/>
    <w:rsid w:val="002F4EBC"/>
    <w:rsid w:val="002F4FAB"/>
    <w:rsid w:val="002F563B"/>
    <w:rsid w:val="002F56C4"/>
    <w:rsid w:val="002F592C"/>
    <w:rsid w:val="002F5C03"/>
    <w:rsid w:val="002F644A"/>
    <w:rsid w:val="002F6B97"/>
    <w:rsid w:val="002F6C31"/>
    <w:rsid w:val="002F75E7"/>
    <w:rsid w:val="002F7990"/>
    <w:rsid w:val="002F7C97"/>
    <w:rsid w:val="002F7D11"/>
    <w:rsid w:val="002F7E55"/>
    <w:rsid w:val="002FB409"/>
    <w:rsid w:val="003003F2"/>
    <w:rsid w:val="00300989"/>
    <w:rsid w:val="003009D5"/>
    <w:rsid w:val="00300C03"/>
    <w:rsid w:val="00300CDF"/>
    <w:rsid w:val="00300DFC"/>
    <w:rsid w:val="003011C5"/>
    <w:rsid w:val="00301254"/>
    <w:rsid w:val="003012E1"/>
    <w:rsid w:val="0030139F"/>
    <w:rsid w:val="00302146"/>
    <w:rsid w:val="003021B2"/>
    <w:rsid w:val="0030261A"/>
    <w:rsid w:val="00302B09"/>
    <w:rsid w:val="00302DA3"/>
    <w:rsid w:val="003031F7"/>
    <w:rsid w:val="003036A2"/>
    <w:rsid w:val="003036CF"/>
    <w:rsid w:val="00303A25"/>
    <w:rsid w:val="00303FB1"/>
    <w:rsid w:val="00304520"/>
    <w:rsid w:val="003046AB"/>
    <w:rsid w:val="00304870"/>
    <w:rsid w:val="003048F9"/>
    <w:rsid w:val="00304B65"/>
    <w:rsid w:val="00304DF0"/>
    <w:rsid w:val="00304E94"/>
    <w:rsid w:val="003055F0"/>
    <w:rsid w:val="00305663"/>
    <w:rsid w:val="00305B60"/>
    <w:rsid w:val="00306369"/>
    <w:rsid w:val="00306670"/>
    <w:rsid w:val="003067CD"/>
    <w:rsid w:val="003068AA"/>
    <w:rsid w:val="00306F24"/>
    <w:rsid w:val="00307992"/>
    <w:rsid w:val="00307BD6"/>
    <w:rsid w:val="00307F3B"/>
    <w:rsid w:val="003100FC"/>
    <w:rsid w:val="003108F4"/>
    <w:rsid w:val="003115D5"/>
    <w:rsid w:val="0031235A"/>
    <w:rsid w:val="0031248A"/>
    <w:rsid w:val="0031267B"/>
    <w:rsid w:val="0031283B"/>
    <w:rsid w:val="00312EB6"/>
    <w:rsid w:val="0031300E"/>
    <w:rsid w:val="00313456"/>
    <w:rsid w:val="003136DC"/>
    <w:rsid w:val="00313767"/>
    <w:rsid w:val="00313B28"/>
    <w:rsid w:val="00313B3A"/>
    <w:rsid w:val="00313EAF"/>
    <w:rsid w:val="003145A3"/>
    <w:rsid w:val="003145F9"/>
    <w:rsid w:val="00314636"/>
    <w:rsid w:val="00314A19"/>
    <w:rsid w:val="00314AEE"/>
    <w:rsid w:val="00314BF7"/>
    <w:rsid w:val="00314CB6"/>
    <w:rsid w:val="00314CED"/>
    <w:rsid w:val="00314D6C"/>
    <w:rsid w:val="00314DAB"/>
    <w:rsid w:val="00314E75"/>
    <w:rsid w:val="00314EC6"/>
    <w:rsid w:val="00315131"/>
    <w:rsid w:val="0031530D"/>
    <w:rsid w:val="00315492"/>
    <w:rsid w:val="003155EE"/>
    <w:rsid w:val="00315A3C"/>
    <w:rsid w:val="00315FCE"/>
    <w:rsid w:val="00316088"/>
    <w:rsid w:val="003165DE"/>
    <w:rsid w:val="0031661C"/>
    <w:rsid w:val="0031667B"/>
    <w:rsid w:val="00316C7D"/>
    <w:rsid w:val="00317030"/>
    <w:rsid w:val="00317551"/>
    <w:rsid w:val="00317A27"/>
    <w:rsid w:val="00317C28"/>
    <w:rsid w:val="00317CFB"/>
    <w:rsid w:val="00317DFE"/>
    <w:rsid w:val="00317EB0"/>
    <w:rsid w:val="003203D4"/>
    <w:rsid w:val="003204A6"/>
    <w:rsid w:val="003205EF"/>
    <w:rsid w:val="00320AF8"/>
    <w:rsid w:val="00320D75"/>
    <w:rsid w:val="00320E52"/>
    <w:rsid w:val="00320E7E"/>
    <w:rsid w:val="00321056"/>
    <w:rsid w:val="0032111A"/>
    <w:rsid w:val="00321292"/>
    <w:rsid w:val="00321333"/>
    <w:rsid w:val="00321949"/>
    <w:rsid w:val="00322435"/>
    <w:rsid w:val="00322958"/>
    <w:rsid w:val="00322D0F"/>
    <w:rsid w:val="00323467"/>
    <w:rsid w:val="00323A32"/>
    <w:rsid w:val="00323D7A"/>
    <w:rsid w:val="0032415D"/>
    <w:rsid w:val="00324365"/>
    <w:rsid w:val="003244D9"/>
    <w:rsid w:val="003244FE"/>
    <w:rsid w:val="00325151"/>
    <w:rsid w:val="003251C9"/>
    <w:rsid w:val="0032530F"/>
    <w:rsid w:val="003256BF"/>
    <w:rsid w:val="003256D0"/>
    <w:rsid w:val="00325793"/>
    <w:rsid w:val="0032587C"/>
    <w:rsid w:val="00326136"/>
    <w:rsid w:val="003262ED"/>
    <w:rsid w:val="003269CC"/>
    <w:rsid w:val="00326AB6"/>
    <w:rsid w:val="00326D0C"/>
    <w:rsid w:val="00326D24"/>
    <w:rsid w:val="00326EBC"/>
    <w:rsid w:val="00326F47"/>
    <w:rsid w:val="00327684"/>
    <w:rsid w:val="00327966"/>
    <w:rsid w:val="00327C7C"/>
    <w:rsid w:val="00327D9F"/>
    <w:rsid w:val="0032CDE1"/>
    <w:rsid w:val="00330247"/>
    <w:rsid w:val="003302F6"/>
    <w:rsid w:val="00330C91"/>
    <w:rsid w:val="00330E63"/>
    <w:rsid w:val="0033100C"/>
    <w:rsid w:val="003315CC"/>
    <w:rsid w:val="0033161F"/>
    <w:rsid w:val="00331640"/>
    <w:rsid w:val="00331C7E"/>
    <w:rsid w:val="003329A8"/>
    <w:rsid w:val="00332D85"/>
    <w:rsid w:val="00332ED3"/>
    <w:rsid w:val="00332EE7"/>
    <w:rsid w:val="00332FD2"/>
    <w:rsid w:val="00332FE1"/>
    <w:rsid w:val="003331C2"/>
    <w:rsid w:val="003333A9"/>
    <w:rsid w:val="003333BC"/>
    <w:rsid w:val="003344C4"/>
    <w:rsid w:val="0033450E"/>
    <w:rsid w:val="003346ED"/>
    <w:rsid w:val="0033480F"/>
    <w:rsid w:val="00334A63"/>
    <w:rsid w:val="00334D09"/>
    <w:rsid w:val="00335A09"/>
    <w:rsid w:val="00335AB8"/>
    <w:rsid w:val="00335C72"/>
    <w:rsid w:val="003360A4"/>
    <w:rsid w:val="003362A3"/>
    <w:rsid w:val="00336866"/>
    <w:rsid w:val="003374B7"/>
    <w:rsid w:val="003374DB"/>
    <w:rsid w:val="00337895"/>
    <w:rsid w:val="00337FA3"/>
    <w:rsid w:val="0033AAB5"/>
    <w:rsid w:val="003400CB"/>
    <w:rsid w:val="003401A3"/>
    <w:rsid w:val="00340580"/>
    <w:rsid w:val="0034074E"/>
    <w:rsid w:val="00340A95"/>
    <w:rsid w:val="00340AD2"/>
    <w:rsid w:val="00340B51"/>
    <w:rsid w:val="00340C04"/>
    <w:rsid w:val="003416B3"/>
    <w:rsid w:val="0034173A"/>
    <w:rsid w:val="0034204C"/>
    <w:rsid w:val="00342455"/>
    <w:rsid w:val="0034258A"/>
    <w:rsid w:val="00342697"/>
    <w:rsid w:val="003428CE"/>
    <w:rsid w:val="00342A5C"/>
    <w:rsid w:val="00342ECD"/>
    <w:rsid w:val="0034366C"/>
    <w:rsid w:val="0034372C"/>
    <w:rsid w:val="003437C7"/>
    <w:rsid w:val="00343C67"/>
    <w:rsid w:val="003441CC"/>
    <w:rsid w:val="00344C3E"/>
    <w:rsid w:val="00344E3C"/>
    <w:rsid w:val="003450F3"/>
    <w:rsid w:val="00345220"/>
    <w:rsid w:val="003452EC"/>
    <w:rsid w:val="003453DF"/>
    <w:rsid w:val="00345665"/>
    <w:rsid w:val="00345824"/>
    <w:rsid w:val="003466F1"/>
    <w:rsid w:val="00346FF8"/>
    <w:rsid w:val="0034711D"/>
    <w:rsid w:val="00347651"/>
    <w:rsid w:val="00347E6D"/>
    <w:rsid w:val="00350152"/>
    <w:rsid w:val="00350184"/>
    <w:rsid w:val="00350189"/>
    <w:rsid w:val="00350399"/>
    <w:rsid w:val="003505F1"/>
    <w:rsid w:val="00350A43"/>
    <w:rsid w:val="00350BF3"/>
    <w:rsid w:val="0035106A"/>
    <w:rsid w:val="003512BE"/>
    <w:rsid w:val="003515EB"/>
    <w:rsid w:val="003517DD"/>
    <w:rsid w:val="003518CE"/>
    <w:rsid w:val="00351930"/>
    <w:rsid w:val="00351C00"/>
    <w:rsid w:val="00351FC8"/>
    <w:rsid w:val="003524CA"/>
    <w:rsid w:val="003526B4"/>
    <w:rsid w:val="0035290A"/>
    <w:rsid w:val="00352BF0"/>
    <w:rsid w:val="0035322E"/>
    <w:rsid w:val="00353931"/>
    <w:rsid w:val="00354517"/>
    <w:rsid w:val="003545F0"/>
    <w:rsid w:val="00354A9A"/>
    <w:rsid w:val="00355323"/>
    <w:rsid w:val="0035554D"/>
    <w:rsid w:val="00355677"/>
    <w:rsid w:val="00355908"/>
    <w:rsid w:val="00355AEE"/>
    <w:rsid w:val="0035626A"/>
    <w:rsid w:val="0035627B"/>
    <w:rsid w:val="003564B4"/>
    <w:rsid w:val="00356A27"/>
    <w:rsid w:val="00356C4F"/>
    <w:rsid w:val="00357267"/>
    <w:rsid w:val="00357283"/>
    <w:rsid w:val="003572C9"/>
    <w:rsid w:val="003577EC"/>
    <w:rsid w:val="00357D12"/>
    <w:rsid w:val="0036062D"/>
    <w:rsid w:val="003607AD"/>
    <w:rsid w:val="00360A35"/>
    <w:rsid w:val="00360B02"/>
    <w:rsid w:val="00361211"/>
    <w:rsid w:val="0036162B"/>
    <w:rsid w:val="00361666"/>
    <w:rsid w:val="0036178C"/>
    <w:rsid w:val="00361D2F"/>
    <w:rsid w:val="00361FE2"/>
    <w:rsid w:val="003623A5"/>
    <w:rsid w:val="003624E9"/>
    <w:rsid w:val="003628D9"/>
    <w:rsid w:val="00362A3D"/>
    <w:rsid w:val="00362D98"/>
    <w:rsid w:val="003633FC"/>
    <w:rsid w:val="00363520"/>
    <w:rsid w:val="00363675"/>
    <w:rsid w:val="00363824"/>
    <w:rsid w:val="00363838"/>
    <w:rsid w:val="003644BB"/>
    <w:rsid w:val="0036458B"/>
    <w:rsid w:val="003650B2"/>
    <w:rsid w:val="003654DC"/>
    <w:rsid w:val="0036593E"/>
    <w:rsid w:val="00365B3E"/>
    <w:rsid w:val="0036634C"/>
    <w:rsid w:val="003664A6"/>
    <w:rsid w:val="003667D9"/>
    <w:rsid w:val="00366A3C"/>
    <w:rsid w:val="00366E1B"/>
    <w:rsid w:val="00366F10"/>
    <w:rsid w:val="00367008"/>
    <w:rsid w:val="00367383"/>
    <w:rsid w:val="00367B23"/>
    <w:rsid w:val="00370405"/>
    <w:rsid w:val="003705FC"/>
    <w:rsid w:val="0037067D"/>
    <w:rsid w:val="0037097E"/>
    <w:rsid w:val="00370B7F"/>
    <w:rsid w:val="00371563"/>
    <w:rsid w:val="00371A60"/>
    <w:rsid w:val="00371F05"/>
    <w:rsid w:val="0037208C"/>
    <w:rsid w:val="00372137"/>
    <w:rsid w:val="003722FB"/>
    <w:rsid w:val="0037264D"/>
    <w:rsid w:val="00372A45"/>
    <w:rsid w:val="00372C0F"/>
    <w:rsid w:val="0037314B"/>
    <w:rsid w:val="0037314D"/>
    <w:rsid w:val="003731DD"/>
    <w:rsid w:val="003732B8"/>
    <w:rsid w:val="00373440"/>
    <w:rsid w:val="00373819"/>
    <w:rsid w:val="00373842"/>
    <w:rsid w:val="00373EEF"/>
    <w:rsid w:val="003743DE"/>
    <w:rsid w:val="003745DD"/>
    <w:rsid w:val="00374712"/>
    <w:rsid w:val="00374996"/>
    <w:rsid w:val="00374B0E"/>
    <w:rsid w:val="00374C7B"/>
    <w:rsid w:val="003760CD"/>
    <w:rsid w:val="00377090"/>
    <w:rsid w:val="003775A6"/>
    <w:rsid w:val="00377EE1"/>
    <w:rsid w:val="003802A7"/>
    <w:rsid w:val="003803EB"/>
    <w:rsid w:val="003805B7"/>
    <w:rsid w:val="0038075C"/>
    <w:rsid w:val="00380F5A"/>
    <w:rsid w:val="0038190A"/>
    <w:rsid w:val="00381D8A"/>
    <w:rsid w:val="0038213D"/>
    <w:rsid w:val="00382713"/>
    <w:rsid w:val="0038290F"/>
    <w:rsid w:val="00383085"/>
    <w:rsid w:val="003830A2"/>
    <w:rsid w:val="0038330C"/>
    <w:rsid w:val="00383C28"/>
    <w:rsid w:val="003842E4"/>
    <w:rsid w:val="00384668"/>
    <w:rsid w:val="00384ACF"/>
    <w:rsid w:val="00384DF2"/>
    <w:rsid w:val="00384F5E"/>
    <w:rsid w:val="00385484"/>
    <w:rsid w:val="003857E4"/>
    <w:rsid w:val="0038596B"/>
    <w:rsid w:val="003859B9"/>
    <w:rsid w:val="00385A5A"/>
    <w:rsid w:val="00386752"/>
    <w:rsid w:val="0038678A"/>
    <w:rsid w:val="0038678D"/>
    <w:rsid w:val="003869FA"/>
    <w:rsid w:val="00386BCA"/>
    <w:rsid w:val="00386CC7"/>
    <w:rsid w:val="0038748A"/>
    <w:rsid w:val="00387844"/>
    <w:rsid w:val="00387A63"/>
    <w:rsid w:val="00387CD0"/>
    <w:rsid w:val="00387FF6"/>
    <w:rsid w:val="0039023B"/>
    <w:rsid w:val="0039047F"/>
    <w:rsid w:val="0039087B"/>
    <w:rsid w:val="00390D06"/>
    <w:rsid w:val="00390E50"/>
    <w:rsid w:val="0039125D"/>
    <w:rsid w:val="003912BF"/>
    <w:rsid w:val="003912E5"/>
    <w:rsid w:val="00391465"/>
    <w:rsid w:val="00391538"/>
    <w:rsid w:val="00391965"/>
    <w:rsid w:val="003919F9"/>
    <w:rsid w:val="00391A6B"/>
    <w:rsid w:val="00391B64"/>
    <w:rsid w:val="00391D7E"/>
    <w:rsid w:val="00391E2F"/>
    <w:rsid w:val="00391E8C"/>
    <w:rsid w:val="00391F8B"/>
    <w:rsid w:val="0039235A"/>
    <w:rsid w:val="003928EC"/>
    <w:rsid w:val="0039291A"/>
    <w:rsid w:val="00392C68"/>
    <w:rsid w:val="00392CFE"/>
    <w:rsid w:val="00392F29"/>
    <w:rsid w:val="00392FB5"/>
    <w:rsid w:val="003931A8"/>
    <w:rsid w:val="003932F0"/>
    <w:rsid w:val="0039357F"/>
    <w:rsid w:val="0039383C"/>
    <w:rsid w:val="00393A6C"/>
    <w:rsid w:val="00394049"/>
    <w:rsid w:val="00394326"/>
    <w:rsid w:val="003944FB"/>
    <w:rsid w:val="0039457A"/>
    <w:rsid w:val="00394592"/>
    <w:rsid w:val="003948DD"/>
    <w:rsid w:val="003949C9"/>
    <w:rsid w:val="00394B2C"/>
    <w:rsid w:val="00394CB6"/>
    <w:rsid w:val="003953F5"/>
    <w:rsid w:val="00395A87"/>
    <w:rsid w:val="00395E94"/>
    <w:rsid w:val="003961EF"/>
    <w:rsid w:val="003962DC"/>
    <w:rsid w:val="0039646D"/>
    <w:rsid w:val="003967BE"/>
    <w:rsid w:val="00396A4B"/>
    <w:rsid w:val="00396C4E"/>
    <w:rsid w:val="00396E2D"/>
    <w:rsid w:val="00396F50"/>
    <w:rsid w:val="003970B1"/>
    <w:rsid w:val="003971BF"/>
    <w:rsid w:val="003978DE"/>
    <w:rsid w:val="00397CEC"/>
    <w:rsid w:val="003A063E"/>
    <w:rsid w:val="003A0C34"/>
    <w:rsid w:val="003A134E"/>
    <w:rsid w:val="003A1355"/>
    <w:rsid w:val="003A15F5"/>
    <w:rsid w:val="003A1AC0"/>
    <w:rsid w:val="003A1C18"/>
    <w:rsid w:val="003A2CAE"/>
    <w:rsid w:val="003A30DC"/>
    <w:rsid w:val="003A373D"/>
    <w:rsid w:val="003A3858"/>
    <w:rsid w:val="003A3D4A"/>
    <w:rsid w:val="003A3EB6"/>
    <w:rsid w:val="003A3F92"/>
    <w:rsid w:val="003A4B73"/>
    <w:rsid w:val="003A4DE6"/>
    <w:rsid w:val="003A4EAD"/>
    <w:rsid w:val="003A4F2E"/>
    <w:rsid w:val="003A53CC"/>
    <w:rsid w:val="003A6335"/>
    <w:rsid w:val="003A6B2D"/>
    <w:rsid w:val="003A722D"/>
    <w:rsid w:val="003A7263"/>
    <w:rsid w:val="003A753D"/>
    <w:rsid w:val="003A7596"/>
    <w:rsid w:val="003A7819"/>
    <w:rsid w:val="003B025C"/>
    <w:rsid w:val="003B0590"/>
    <w:rsid w:val="003B06A4"/>
    <w:rsid w:val="003B0875"/>
    <w:rsid w:val="003B0AA7"/>
    <w:rsid w:val="003B0C75"/>
    <w:rsid w:val="003B0DC1"/>
    <w:rsid w:val="003B0F8E"/>
    <w:rsid w:val="003B10EF"/>
    <w:rsid w:val="003B13F5"/>
    <w:rsid w:val="003B1508"/>
    <w:rsid w:val="003B163E"/>
    <w:rsid w:val="003B1753"/>
    <w:rsid w:val="003B1B60"/>
    <w:rsid w:val="003B2DC5"/>
    <w:rsid w:val="003B2F09"/>
    <w:rsid w:val="003B3C59"/>
    <w:rsid w:val="003B3CD7"/>
    <w:rsid w:val="003B471E"/>
    <w:rsid w:val="003B4EA2"/>
    <w:rsid w:val="003B4EAD"/>
    <w:rsid w:val="003B5AC8"/>
    <w:rsid w:val="003B5DDA"/>
    <w:rsid w:val="003B606D"/>
    <w:rsid w:val="003B6358"/>
    <w:rsid w:val="003B6E4F"/>
    <w:rsid w:val="003B7147"/>
    <w:rsid w:val="003B73AF"/>
    <w:rsid w:val="003B73CF"/>
    <w:rsid w:val="003B76EA"/>
    <w:rsid w:val="003B77C3"/>
    <w:rsid w:val="003B7BBC"/>
    <w:rsid w:val="003B7C77"/>
    <w:rsid w:val="003C032A"/>
    <w:rsid w:val="003C0498"/>
    <w:rsid w:val="003C0654"/>
    <w:rsid w:val="003C0A12"/>
    <w:rsid w:val="003C0AC7"/>
    <w:rsid w:val="003C0DB2"/>
    <w:rsid w:val="003C0E7A"/>
    <w:rsid w:val="003C0F00"/>
    <w:rsid w:val="003C14CF"/>
    <w:rsid w:val="003C1B1D"/>
    <w:rsid w:val="003C1C5E"/>
    <w:rsid w:val="003C1D4C"/>
    <w:rsid w:val="003C22D4"/>
    <w:rsid w:val="003C2338"/>
    <w:rsid w:val="003C2B3B"/>
    <w:rsid w:val="003C2F46"/>
    <w:rsid w:val="003C2FD9"/>
    <w:rsid w:val="003C3070"/>
    <w:rsid w:val="003C3356"/>
    <w:rsid w:val="003C3559"/>
    <w:rsid w:val="003C3686"/>
    <w:rsid w:val="003C36ED"/>
    <w:rsid w:val="003C3751"/>
    <w:rsid w:val="003C41F2"/>
    <w:rsid w:val="003C441B"/>
    <w:rsid w:val="003C45F8"/>
    <w:rsid w:val="003C549D"/>
    <w:rsid w:val="003C565F"/>
    <w:rsid w:val="003C5DE1"/>
    <w:rsid w:val="003C5E0E"/>
    <w:rsid w:val="003C658F"/>
    <w:rsid w:val="003C67FC"/>
    <w:rsid w:val="003C6DAC"/>
    <w:rsid w:val="003C7365"/>
    <w:rsid w:val="003C7C4B"/>
    <w:rsid w:val="003C7C4F"/>
    <w:rsid w:val="003C7E73"/>
    <w:rsid w:val="003C7ED1"/>
    <w:rsid w:val="003D085E"/>
    <w:rsid w:val="003D0AB1"/>
    <w:rsid w:val="003D0EE7"/>
    <w:rsid w:val="003D19C9"/>
    <w:rsid w:val="003D1A67"/>
    <w:rsid w:val="003D1B0D"/>
    <w:rsid w:val="003D1B10"/>
    <w:rsid w:val="003D1E4C"/>
    <w:rsid w:val="003D1ECD"/>
    <w:rsid w:val="003D1F69"/>
    <w:rsid w:val="003D21E1"/>
    <w:rsid w:val="003D2360"/>
    <w:rsid w:val="003D288C"/>
    <w:rsid w:val="003D28D1"/>
    <w:rsid w:val="003D2981"/>
    <w:rsid w:val="003D2B9A"/>
    <w:rsid w:val="003D2E13"/>
    <w:rsid w:val="003D317C"/>
    <w:rsid w:val="003D3465"/>
    <w:rsid w:val="003D3514"/>
    <w:rsid w:val="003D3644"/>
    <w:rsid w:val="003D37FD"/>
    <w:rsid w:val="003D39AA"/>
    <w:rsid w:val="003D3C63"/>
    <w:rsid w:val="003D3D99"/>
    <w:rsid w:val="003D40A6"/>
    <w:rsid w:val="003D4251"/>
    <w:rsid w:val="003D48E5"/>
    <w:rsid w:val="003D4B54"/>
    <w:rsid w:val="003D4E29"/>
    <w:rsid w:val="003D5256"/>
    <w:rsid w:val="003D52D6"/>
    <w:rsid w:val="003D5659"/>
    <w:rsid w:val="003D56FE"/>
    <w:rsid w:val="003D6024"/>
    <w:rsid w:val="003D658A"/>
    <w:rsid w:val="003D6622"/>
    <w:rsid w:val="003D669E"/>
    <w:rsid w:val="003D6D60"/>
    <w:rsid w:val="003D7249"/>
    <w:rsid w:val="003D7409"/>
    <w:rsid w:val="003D75D5"/>
    <w:rsid w:val="003D75DE"/>
    <w:rsid w:val="003D77AC"/>
    <w:rsid w:val="003D7F56"/>
    <w:rsid w:val="003E008F"/>
    <w:rsid w:val="003E0129"/>
    <w:rsid w:val="003E01BA"/>
    <w:rsid w:val="003E02E4"/>
    <w:rsid w:val="003E05E0"/>
    <w:rsid w:val="003E071E"/>
    <w:rsid w:val="003E0953"/>
    <w:rsid w:val="003E0DEC"/>
    <w:rsid w:val="003E106D"/>
    <w:rsid w:val="003E12F0"/>
    <w:rsid w:val="003E13B7"/>
    <w:rsid w:val="003E1488"/>
    <w:rsid w:val="003E1C4A"/>
    <w:rsid w:val="003E1E8D"/>
    <w:rsid w:val="003E212D"/>
    <w:rsid w:val="003E2136"/>
    <w:rsid w:val="003E23DE"/>
    <w:rsid w:val="003E27B5"/>
    <w:rsid w:val="003E297D"/>
    <w:rsid w:val="003E2C61"/>
    <w:rsid w:val="003E3001"/>
    <w:rsid w:val="003E3879"/>
    <w:rsid w:val="003E3A44"/>
    <w:rsid w:val="003E3AC7"/>
    <w:rsid w:val="003E3D60"/>
    <w:rsid w:val="003E4342"/>
    <w:rsid w:val="003E437B"/>
    <w:rsid w:val="003E450E"/>
    <w:rsid w:val="003E4C31"/>
    <w:rsid w:val="003E4DF7"/>
    <w:rsid w:val="003E4FDD"/>
    <w:rsid w:val="003E5026"/>
    <w:rsid w:val="003E53D8"/>
    <w:rsid w:val="003E5A81"/>
    <w:rsid w:val="003E5BDB"/>
    <w:rsid w:val="003E5C5A"/>
    <w:rsid w:val="003E5C89"/>
    <w:rsid w:val="003E5DF9"/>
    <w:rsid w:val="003E5EAA"/>
    <w:rsid w:val="003E6288"/>
    <w:rsid w:val="003E62AE"/>
    <w:rsid w:val="003E6481"/>
    <w:rsid w:val="003E67C9"/>
    <w:rsid w:val="003E68CD"/>
    <w:rsid w:val="003E6952"/>
    <w:rsid w:val="003E6A88"/>
    <w:rsid w:val="003E727B"/>
    <w:rsid w:val="003E75DF"/>
    <w:rsid w:val="003E7D4D"/>
    <w:rsid w:val="003F04B3"/>
    <w:rsid w:val="003F065F"/>
    <w:rsid w:val="003F121D"/>
    <w:rsid w:val="003F12D3"/>
    <w:rsid w:val="003F1502"/>
    <w:rsid w:val="003F15A0"/>
    <w:rsid w:val="003F15BB"/>
    <w:rsid w:val="003F1743"/>
    <w:rsid w:val="003F1832"/>
    <w:rsid w:val="003F225A"/>
    <w:rsid w:val="003F23CD"/>
    <w:rsid w:val="003F2632"/>
    <w:rsid w:val="003F28AC"/>
    <w:rsid w:val="003F295D"/>
    <w:rsid w:val="003F2EA1"/>
    <w:rsid w:val="003F3179"/>
    <w:rsid w:val="003F32CD"/>
    <w:rsid w:val="003F35EA"/>
    <w:rsid w:val="003F395B"/>
    <w:rsid w:val="003F3CDA"/>
    <w:rsid w:val="003F4859"/>
    <w:rsid w:val="003F4AE1"/>
    <w:rsid w:val="003F4F0D"/>
    <w:rsid w:val="003F5126"/>
    <w:rsid w:val="003F514B"/>
    <w:rsid w:val="003F577D"/>
    <w:rsid w:val="003F5839"/>
    <w:rsid w:val="003F5CB5"/>
    <w:rsid w:val="003F5ED8"/>
    <w:rsid w:val="003F6B42"/>
    <w:rsid w:val="003F713D"/>
    <w:rsid w:val="003F7165"/>
    <w:rsid w:val="003F770D"/>
    <w:rsid w:val="003F777C"/>
    <w:rsid w:val="003F7F11"/>
    <w:rsid w:val="0040027A"/>
    <w:rsid w:val="004003EB"/>
    <w:rsid w:val="00400ACC"/>
    <w:rsid w:val="00400C3F"/>
    <w:rsid w:val="00400E2A"/>
    <w:rsid w:val="00400F3A"/>
    <w:rsid w:val="00401153"/>
    <w:rsid w:val="0040155A"/>
    <w:rsid w:val="004016FC"/>
    <w:rsid w:val="00401871"/>
    <w:rsid w:val="00401B4A"/>
    <w:rsid w:val="00401B51"/>
    <w:rsid w:val="00401E9D"/>
    <w:rsid w:val="004020CE"/>
    <w:rsid w:val="004021D5"/>
    <w:rsid w:val="00402523"/>
    <w:rsid w:val="00402A7D"/>
    <w:rsid w:val="004040E6"/>
    <w:rsid w:val="0040418A"/>
    <w:rsid w:val="00404802"/>
    <w:rsid w:val="00404E6A"/>
    <w:rsid w:val="0040546C"/>
    <w:rsid w:val="00405AC8"/>
    <w:rsid w:val="00405B65"/>
    <w:rsid w:val="00405E92"/>
    <w:rsid w:val="004068C3"/>
    <w:rsid w:val="00406D54"/>
    <w:rsid w:val="00406D6E"/>
    <w:rsid w:val="00406F50"/>
    <w:rsid w:val="0040703E"/>
    <w:rsid w:val="00407883"/>
    <w:rsid w:val="00407C72"/>
    <w:rsid w:val="00407CA1"/>
    <w:rsid w:val="00407D4C"/>
    <w:rsid w:val="00407E9B"/>
    <w:rsid w:val="00407F07"/>
    <w:rsid w:val="0041042F"/>
    <w:rsid w:val="00410753"/>
    <w:rsid w:val="00410BA8"/>
    <w:rsid w:val="00410F7B"/>
    <w:rsid w:val="0041106B"/>
    <w:rsid w:val="0041112F"/>
    <w:rsid w:val="0041118B"/>
    <w:rsid w:val="004115AD"/>
    <w:rsid w:val="00411D36"/>
    <w:rsid w:val="004124D7"/>
    <w:rsid w:val="00412831"/>
    <w:rsid w:val="0041291B"/>
    <w:rsid w:val="00412C6E"/>
    <w:rsid w:val="00412F2E"/>
    <w:rsid w:val="00413535"/>
    <w:rsid w:val="00413D4E"/>
    <w:rsid w:val="00413FB5"/>
    <w:rsid w:val="00414236"/>
    <w:rsid w:val="00414263"/>
    <w:rsid w:val="004144AC"/>
    <w:rsid w:val="00414C9B"/>
    <w:rsid w:val="0041526E"/>
    <w:rsid w:val="00415650"/>
    <w:rsid w:val="00415671"/>
    <w:rsid w:val="00415755"/>
    <w:rsid w:val="00415CE2"/>
    <w:rsid w:val="004160B4"/>
    <w:rsid w:val="0041627D"/>
    <w:rsid w:val="004164A0"/>
    <w:rsid w:val="0041656A"/>
    <w:rsid w:val="0041664B"/>
    <w:rsid w:val="00416A88"/>
    <w:rsid w:val="00417230"/>
    <w:rsid w:val="004174AE"/>
    <w:rsid w:val="004174DD"/>
    <w:rsid w:val="004177CF"/>
    <w:rsid w:val="00417DF4"/>
    <w:rsid w:val="00417E35"/>
    <w:rsid w:val="00420316"/>
    <w:rsid w:val="0042031A"/>
    <w:rsid w:val="004203BC"/>
    <w:rsid w:val="00420875"/>
    <w:rsid w:val="00420A4A"/>
    <w:rsid w:val="00420CF4"/>
    <w:rsid w:val="00420E4F"/>
    <w:rsid w:val="00420F71"/>
    <w:rsid w:val="00420FF1"/>
    <w:rsid w:val="0042107A"/>
    <w:rsid w:val="0042150F"/>
    <w:rsid w:val="004215CA"/>
    <w:rsid w:val="004218A6"/>
    <w:rsid w:val="004219AE"/>
    <w:rsid w:val="00421E92"/>
    <w:rsid w:val="00421E99"/>
    <w:rsid w:val="00421F67"/>
    <w:rsid w:val="00421F77"/>
    <w:rsid w:val="00422428"/>
    <w:rsid w:val="0042266C"/>
    <w:rsid w:val="004226E1"/>
    <w:rsid w:val="00422AAF"/>
    <w:rsid w:val="0042312F"/>
    <w:rsid w:val="004234B0"/>
    <w:rsid w:val="00423F34"/>
    <w:rsid w:val="00424251"/>
    <w:rsid w:val="0042478A"/>
    <w:rsid w:val="004248EA"/>
    <w:rsid w:val="00424932"/>
    <w:rsid w:val="00424B5B"/>
    <w:rsid w:val="00424F45"/>
    <w:rsid w:val="00425817"/>
    <w:rsid w:val="00425842"/>
    <w:rsid w:val="00425B06"/>
    <w:rsid w:val="00426089"/>
    <w:rsid w:val="0042656F"/>
    <w:rsid w:val="00426788"/>
    <w:rsid w:val="00426933"/>
    <w:rsid w:val="00426CC8"/>
    <w:rsid w:val="00426E9E"/>
    <w:rsid w:val="0042729B"/>
    <w:rsid w:val="00427318"/>
    <w:rsid w:val="00427442"/>
    <w:rsid w:val="0042744C"/>
    <w:rsid w:val="0042756A"/>
    <w:rsid w:val="004276F6"/>
    <w:rsid w:val="00427852"/>
    <w:rsid w:val="00427916"/>
    <w:rsid w:val="00427C99"/>
    <w:rsid w:val="00427FD2"/>
    <w:rsid w:val="00430006"/>
    <w:rsid w:val="004304C2"/>
    <w:rsid w:val="00430841"/>
    <w:rsid w:val="00431205"/>
    <w:rsid w:val="004312B4"/>
    <w:rsid w:val="004315D8"/>
    <w:rsid w:val="004316BF"/>
    <w:rsid w:val="00431A0B"/>
    <w:rsid w:val="00431C3B"/>
    <w:rsid w:val="00431F0E"/>
    <w:rsid w:val="0043202F"/>
    <w:rsid w:val="004326DD"/>
    <w:rsid w:val="0043300D"/>
    <w:rsid w:val="0043337A"/>
    <w:rsid w:val="004338E2"/>
    <w:rsid w:val="004338E8"/>
    <w:rsid w:val="00433A12"/>
    <w:rsid w:val="00434229"/>
    <w:rsid w:val="0043473E"/>
    <w:rsid w:val="00434A14"/>
    <w:rsid w:val="00434F04"/>
    <w:rsid w:val="0043507F"/>
    <w:rsid w:val="0043521A"/>
    <w:rsid w:val="004352FF"/>
    <w:rsid w:val="004353E8"/>
    <w:rsid w:val="004356F4"/>
    <w:rsid w:val="004357CC"/>
    <w:rsid w:val="00435C27"/>
    <w:rsid w:val="00435D69"/>
    <w:rsid w:val="00435EC3"/>
    <w:rsid w:val="00436217"/>
    <w:rsid w:val="004364B9"/>
    <w:rsid w:val="0043651C"/>
    <w:rsid w:val="004368AE"/>
    <w:rsid w:val="004368B0"/>
    <w:rsid w:val="004368DC"/>
    <w:rsid w:val="00436B5A"/>
    <w:rsid w:val="00437278"/>
    <w:rsid w:val="0043734C"/>
    <w:rsid w:val="00437FEA"/>
    <w:rsid w:val="0044003B"/>
    <w:rsid w:val="00440374"/>
    <w:rsid w:val="00440B04"/>
    <w:rsid w:val="00440B61"/>
    <w:rsid w:val="00440BDB"/>
    <w:rsid w:val="00440E35"/>
    <w:rsid w:val="00441714"/>
    <w:rsid w:val="004418A8"/>
    <w:rsid w:val="0044190F"/>
    <w:rsid w:val="00441B43"/>
    <w:rsid w:val="00441D16"/>
    <w:rsid w:val="00441E51"/>
    <w:rsid w:val="00441FBF"/>
    <w:rsid w:val="00442167"/>
    <w:rsid w:val="004423BB"/>
    <w:rsid w:val="00443317"/>
    <w:rsid w:val="0044369B"/>
    <w:rsid w:val="00443A0A"/>
    <w:rsid w:val="0044423A"/>
    <w:rsid w:val="00444240"/>
    <w:rsid w:val="00444340"/>
    <w:rsid w:val="0044469D"/>
    <w:rsid w:val="0044511B"/>
    <w:rsid w:val="00445536"/>
    <w:rsid w:val="0044578B"/>
    <w:rsid w:val="004457A4"/>
    <w:rsid w:val="00445825"/>
    <w:rsid w:val="00445855"/>
    <w:rsid w:val="00445ADD"/>
    <w:rsid w:val="00445BDF"/>
    <w:rsid w:val="00446657"/>
    <w:rsid w:val="0044670C"/>
    <w:rsid w:val="00446B3B"/>
    <w:rsid w:val="00446E21"/>
    <w:rsid w:val="00446FA9"/>
    <w:rsid w:val="00447338"/>
    <w:rsid w:val="004475F3"/>
    <w:rsid w:val="00447A6A"/>
    <w:rsid w:val="00447AB9"/>
    <w:rsid w:val="004504EF"/>
    <w:rsid w:val="00450887"/>
    <w:rsid w:val="004509BC"/>
    <w:rsid w:val="00451309"/>
    <w:rsid w:val="00451574"/>
    <w:rsid w:val="0045189D"/>
    <w:rsid w:val="00451967"/>
    <w:rsid w:val="0045199C"/>
    <w:rsid w:val="00451AC2"/>
    <w:rsid w:val="00451B1D"/>
    <w:rsid w:val="0045214C"/>
    <w:rsid w:val="00452525"/>
    <w:rsid w:val="00452684"/>
    <w:rsid w:val="00452842"/>
    <w:rsid w:val="0045294C"/>
    <w:rsid w:val="00452F68"/>
    <w:rsid w:val="00453251"/>
    <w:rsid w:val="004532B0"/>
    <w:rsid w:val="0045376D"/>
    <w:rsid w:val="004537E4"/>
    <w:rsid w:val="0045390D"/>
    <w:rsid w:val="00453913"/>
    <w:rsid w:val="0045406A"/>
    <w:rsid w:val="00454181"/>
    <w:rsid w:val="004541B3"/>
    <w:rsid w:val="004544CC"/>
    <w:rsid w:val="00454B40"/>
    <w:rsid w:val="004551E2"/>
    <w:rsid w:val="004559EB"/>
    <w:rsid w:val="00455A78"/>
    <w:rsid w:val="00455BF5"/>
    <w:rsid w:val="00455E50"/>
    <w:rsid w:val="00456484"/>
    <w:rsid w:val="00456A1F"/>
    <w:rsid w:val="00456D7E"/>
    <w:rsid w:val="00456E20"/>
    <w:rsid w:val="00457B6E"/>
    <w:rsid w:val="00457D3B"/>
    <w:rsid w:val="00460040"/>
    <w:rsid w:val="004600CC"/>
    <w:rsid w:val="00460346"/>
    <w:rsid w:val="00460958"/>
    <w:rsid w:val="00460B32"/>
    <w:rsid w:val="00460C20"/>
    <w:rsid w:val="00460ED1"/>
    <w:rsid w:val="00461056"/>
    <w:rsid w:val="004611BC"/>
    <w:rsid w:val="0046184F"/>
    <w:rsid w:val="00461957"/>
    <w:rsid w:val="00461BF6"/>
    <w:rsid w:val="00461F3C"/>
    <w:rsid w:val="00462115"/>
    <w:rsid w:val="00462C19"/>
    <w:rsid w:val="00462CBD"/>
    <w:rsid w:val="00462D39"/>
    <w:rsid w:val="00462E88"/>
    <w:rsid w:val="00462F58"/>
    <w:rsid w:val="004631E8"/>
    <w:rsid w:val="00463527"/>
    <w:rsid w:val="0046356E"/>
    <w:rsid w:val="0046368C"/>
    <w:rsid w:val="00463743"/>
    <w:rsid w:val="00463ACD"/>
    <w:rsid w:val="00463B14"/>
    <w:rsid w:val="00463C3D"/>
    <w:rsid w:val="00463D5B"/>
    <w:rsid w:val="004641BE"/>
    <w:rsid w:val="0046454E"/>
    <w:rsid w:val="00465015"/>
    <w:rsid w:val="0046501B"/>
    <w:rsid w:val="0046517C"/>
    <w:rsid w:val="004651B4"/>
    <w:rsid w:val="0046545F"/>
    <w:rsid w:val="00465762"/>
    <w:rsid w:val="00465ADC"/>
    <w:rsid w:val="00465E4D"/>
    <w:rsid w:val="004661BE"/>
    <w:rsid w:val="004663EB"/>
    <w:rsid w:val="004666C0"/>
    <w:rsid w:val="00466BD7"/>
    <w:rsid w:val="00466EA4"/>
    <w:rsid w:val="0046711A"/>
    <w:rsid w:val="00467409"/>
    <w:rsid w:val="004676BD"/>
    <w:rsid w:val="00467D95"/>
    <w:rsid w:val="00467E59"/>
    <w:rsid w:val="00470BDD"/>
    <w:rsid w:val="00470DBB"/>
    <w:rsid w:val="00470DFC"/>
    <w:rsid w:val="004710CD"/>
    <w:rsid w:val="00471109"/>
    <w:rsid w:val="004716EA"/>
    <w:rsid w:val="00471814"/>
    <w:rsid w:val="00471A1B"/>
    <w:rsid w:val="00471B8A"/>
    <w:rsid w:val="00471D9A"/>
    <w:rsid w:val="004722C0"/>
    <w:rsid w:val="004724C6"/>
    <w:rsid w:val="00472503"/>
    <w:rsid w:val="004729EB"/>
    <w:rsid w:val="00472CCB"/>
    <w:rsid w:val="00473798"/>
    <w:rsid w:val="00473922"/>
    <w:rsid w:val="00473B83"/>
    <w:rsid w:val="00473BAA"/>
    <w:rsid w:val="00473F56"/>
    <w:rsid w:val="004743A0"/>
    <w:rsid w:val="00474CDC"/>
    <w:rsid w:val="0047534A"/>
    <w:rsid w:val="004756D9"/>
    <w:rsid w:val="0047598E"/>
    <w:rsid w:val="00475B24"/>
    <w:rsid w:val="00475B27"/>
    <w:rsid w:val="00475C2E"/>
    <w:rsid w:val="00475D09"/>
    <w:rsid w:val="004766BA"/>
    <w:rsid w:val="00476794"/>
    <w:rsid w:val="004767A8"/>
    <w:rsid w:val="004768E6"/>
    <w:rsid w:val="0047696B"/>
    <w:rsid w:val="00476A29"/>
    <w:rsid w:val="00476DBE"/>
    <w:rsid w:val="00476FAF"/>
    <w:rsid w:val="00477878"/>
    <w:rsid w:val="004801DD"/>
    <w:rsid w:val="00480272"/>
    <w:rsid w:val="00480335"/>
    <w:rsid w:val="004804DC"/>
    <w:rsid w:val="0048075C"/>
    <w:rsid w:val="004811DC"/>
    <w:rsid w:val="00481215"/>
    <w:rsid w:val="004812C9"/>
    <w:rsid w:val="0048148B"/>
    <w:rsid w:val="00481ACE"/>
    <w:rsid w:val="00481B4C"/>
    <w:rsid w:val="004829B0"/>
    <w:rsid w:val="00482DEE"/>
    <w:rsid w:val="0048316D"/>
    <w:rsid w:val="00483587"/>
    <w:rsid w:val="00483929"/>
    <w:rsid w:val="00483996"/>
    <w:rsid w:val="00483BB9"/>
    <w:rsid w:val="00483FB9"/>
    <w:rsid w:val="004842DF"/>
    <w:rsid w:val="00484493"/>
    <w:rsid w:val="004844C2"/>
    <w:rsid w:val="004844E3"/>
    <w:rsid w:val="004847A7"/>
    <w:rsid w:val="004848C8"/>
    <w:rsid w:val="00484B8E"/>
    <w:rsid w:val="00485262"/>
    <w:rsid w:val="0048554A"/>
    <w:rsid w:val="00485953"/>
    <w:rsid w:val="00485A2F"/>
    <w:rsid w:val="00485B69"/>
    <w:rsid w:val="00485F50"/>
    <w:rsid w:val="0048620B"/>
    <w:rsid w:val="00486834"/>
    <w:rsid w:val="0048688A"/>
    <w:rsid w:val="00486924"/>
    <w:rsid w:val="004869CB"/>
    <w:rsid w:val="00486B61"/>
    <w:rsid w:val="00486E97"/>
    <w:rsid w:val="0048732A"/>
    <w:rsid w:val="00487384"/>
    <w:rsid w:val="00487DAA"/>
    <w:rsid w:val="00487FA6"/>
    <w:rsid w:val="00490109"/>
    <w:rsid w:val="004909AD"/>
    <w:rsid w:val="00490BFF"/>
    <w:rsid w:val="00490D44"/>
    <w:rsid w:val="00490F04"/>
    <w:rsid w:val="004910D0"/>
    <w:rsid w:val="004910F5"/>
    <w:rsid w:val="004914D8"/>
    <w:rsid w:val="004916BD"/>
    <w:rsid w:val="00491731"/>
    <w:rsid w:val="00491747"/>
    <w:rsid w:val="00491D24"/>
    <w:rsid w:val="00492226"/>
    <w:rsid w:val="004923FF"/>
    <w:rsid w:val="00492DE5"/>
    <w:rsid w:val="00492F62"/>
    <w:rsid w:val="00493328"/>
    <w:rsid w:val="004934BC"/>
    <w:rsid w:val="00493B25"/>
    <w:rsid w:val="00493D71"/>
    <w:rsid w:val="00493EA1"/>
    <w:rsid w:val="004941A9"/>
    <w:rsid w:val="0049431E"/>
    <w:rsid w:val="0049472E"/>
    <w:rsid w:val="00494E14"/>
    <w:rsid w:val="00494EBE"/>
    <w:rsid w:val="00494EEF"/>
    <w:rsid w:val="00495556"/>
    <w:rsid w:val="00495C37"/>
    <w:rsid w:val="00495E00"/>
    <w:rsid w:val="004966CF"/>
    <w:rsid w:val="00496C7E"/>
    <w:rsid w:val="00497151"/>
    <w:rsid w:val="004972A7"/>
    <w:rsid w:val="00497678"/>
    <w:rsid w:val="004976D9"/>
    <w:rsid w:val="004979FE"/>
    <w:rsid w:val="00497E39"/>
    <w:rsid w:val="004A01A8"/>
    <w:rsid w:val="004A033B"/>
    <w:rsid w:val="004A0358"/>
    <w:rsid w:val="004A04DA"/>
    <w:rsid w:val="004A04FE"/>
    <w:rsid w:val="004A07E8"/>
    <w:rsid w:val="004A0A1A"/>
    <w:rsid w:val="004A0B47"/>
    <w:rsid w:val="004A0CE8"/>
    <w:rsid w:val="004A0F53"/>
    <w:rsid w:val="004A1088"/>
    <w:rsid w:val="004A12C0"/>
    <w:rsid w:val="004A1652"/>
    <w:rsid w:val="004A1827"/>
    <w:rsid w:val="004A1CE5"/>
    <w:rsid w:val="004A1DD5"/>
    <w:rsid w:val="004A2983"/>
    <w:rsid w:val="004A2A46"/>
    <w:rsid w:val="004A2ACC"/>
    <w:rsid w:val="004A2DC5"/>
    <w:rsid w:val="004A2DF6"/>
    <w:rsid w:val="004A30D6"/>
    <w:rsid w:val="004A40CF"/>
    <w:rsid w:val="004A4219"/>
    <w:rsid w:val="004A42F7"/>
    <w:rsid w:val="004A437B"/>
    <w:rsid w:val="004A43AF"/>
    <w:rsid w:val="004A460F"/>
    <w:rsid w:val="004A4982"/>
    <w:rsid w:val="004A4994"/>
    <w:rsid w:val="004A4A84"/>
    <w:rsid w:val="004A4B49"/>
    <w:rsid w:val="004A4E00"/>
    <w:rsid w:val="004A4FD0"/>
    <w:rsid w:val="004A4FD4"/>
    <w:rsid w:val="004A505B"/>
    <w:rsid w:val="004A5414"/>
    <w:rsid w:val="004A6375"/>
    <w:rsid w:val="004A6497"/>
    <w:rsid w:val="004A64F5"/>
    <w:rsid w:val="004A666C"/>
    <w:rsid w:val="004A67A6"/>
    <w:rsid w:val="004A6887"/>
    <w:rsid w:val="004A68BF"/>
    <w:rsid w:val="004A6D66"/>
    <w:rsid w:val="004A700C"/>
    <w:rsid w:val="004A703B"/>
    <w:rsid w:val="004A7E57"/>
    <w:rsid w:val="004A7FA0"/>
    <w:rsid w:val="004B0004"/>
    <w:rsid w:val="004B0A9B"/>
    <w:rsid w:val="004B0EF3"/>
    <w:rsid w:val="004B0F07"/>
    <w:rsid w:val="004B15D3"/>
    <w:rsid w:val="004B2116"/>
    <w:rsid w:val="004B2377"/>
    <w:rsid w:val="004B2C6F"/>
    <w:rsid w:val="004B307D"/>
    <w:rsid w:val="004B30B5"/>
    <w:rsid w:val="004B3236"/>
    <w:rsid w:val="004B34DB"/>
    <w:rsid w:val="004B34EF"/>
    <w:rsid w:val="004B376A"/>
    <w:rsid w:val="004B395C"/>
    <w:rsid w:val="004B398C"/>
    <w:rsid w:val="004B3E15"/>
    <w:rsid w:val="004B3E6B"/>
    <w:rsid w:val="004B48D6"/>
    <w:rsid w:val="004B4A6B"/>
    <w:rsid w:val="004B4B21"/>
    <w:rsid w:val="004B4EE1"/>
    <w:rsid w:val="004B5448"/>
    <w:rsid w:val="004B5493"/>
    <w:rsid w:val="004B572A"/>
    <w:rsid w:val="004B5D53"/>
    <w:rsid w:val="004B5D7E"/>
    <w:rsid w:val="004B5E16"/>
    <w:rsid w:val="004B66DE"/>
    <w:rsid w:val="004B6BBA"/>
    <w:rsid w:val="004B6DFB"/>
    <w:rsid w:val="004B6E5A"/>
    <w:rsid w:val="004B705D"/>
    <w:rsid w:val="004B7CF0"/>
    <w:rsid w:val="004B7D46"/>
    <w:rsid w:val="004B7D5D"/>
    <w:rsid w:val="004B7FDA"/>
    <w:rsid w:val="004B924A"/>
    <w:rsid w:val="004C01FD"/>
    <w:rsid w:val="004C03EC"/>
    <w:rsid w:val="004C08C8"/>
    <w:rsid w:val="004C0920"/>
    <w:rsid w:val="004C0B43"/>
    <w:rsid w:val="004C0F3B"/>
    <w:rsid w:val="004C14AF"/>
    <w:rsid w:val="004C153D"/>
    <w:rsid w:val="004C17B4"/>
    <w:rsid w:val="004C1944"/>
    <w:rsid w:val="004C2112"/>
    <w:rsid w:val="004C2257"/>
    <w:rsid w:val="004C23AD"/>
    <w:rsid w:val="004C2545"/>
    <w:rsid w:val="004C296B"/>
    <w:rsid w:val="004C2A26"/>
    <w:rsid w:val="004C2A65"/>
    <w:rsid w:val="004C2A93"/>
    <w:rsid w:val="004C303C"/>
    <w:rsid w:val="004C3A22"/>
    <w:rsid w:val="004C4074"/>
    <w:rsid w:val="004C44E6"/>
    <w:rsid w:val="004C5370"/>
    <w:rsid w:val="004C5AC9"/>
    <w:rsid w:val="004C5D63"/>
    <w:rsid w:val="004C5DD4"/>
    <w:rsid w:val="004C64A6"/>
    <w:rsid w:val="004C65DF"/>
    <w:rsid w:val="004C65E8"/>
    <w:rsid w:val="004C67A1"/>
    <w:rsid w:val="004C6B8C"/>
    <w:rsid w:val="004C6CE3"/>
    <w:rsid w:val="004C75BB"/>
    <w:rsid w:val="004C7688"/>
    <w:rsid w:val="004C7ACD"/>
    <w:rsid w:val="004C7C61"/>
    <w:rsid w:val="004C7C6E"/>
    <w:rsid w:val="004C7E7C"/>
    <w:rsid w:val="004D0000"/>
    <w:rsid w:val="004D0008"/>
    <w:rsid w:val="004D0087"/>
    <w:rsid w:val="004D048A"/>
    <w:rsid w:val="004D0973"/>
    <w:rsid w:val="004D0A2C"/>
    <w:rsid w:val="004D0B43"/>
    <w:rsid w:val="004D0CF3"/>
    <w:rsid w:val="004D147C"/>
    <w:rsid w:val="004D1775"/>
    <w:rsid w:val="004D1810"/>
    <w:rsid w:val="004D1A9E"/>
    <w:rsid w:val="004D1C2B"/>
    <w:rsid w:val="004D2203"/>
    <w:rsid w:val="004D25A7"/>
    <w:rsid w:val="004D30A7"/>
    <w:rsid w:val="004D3201"/>
    <w:rsid w:val="004D341E"/>
    <w:rsid w:val="004D39B1"/>
    <w:rsid w:val="004D3A87"/>
    <w:rsid w:val="004D3AAA"/>
    <w:rsid w:val="004D413C"/>
    <w:rsid w:val="004D43DA"/>
    <w:rsid w:val="004D447D"/>
    <w:rsid w:val="004D5015"/>
    <w:rsid w:val="004D5248"/>
    <w:rsid w:val="004D56CC"/>
    <w:rsid w:val="004D5AE8"/>
    <w:rsid w:val="004D5DD9"/>
    <w:rsid w:val="004D5E94"/>
    <w:rsid w:val="004D6145"/>
    <w:rsid w:val="004D652B"/>
    <w:rsid w:val="004D6653"/>
    <w:rsid w:val="004D6D5B"/>
    <w:rsid w:val="004D6DA4"/>
    <w:rsid w:val="004D76D6"/>
    <w:rsid w:val="004D7DFB"/>
    <w:rsid w:val="004D7EFA"/>
    <w:rsid w:val="004E0065"/>
    <w:rsid w:val="004E029B"/>
    <w:rsid w:val="004E0309"/>
    <w:rsid w:val="004E0587"/>
    <w:rsid w:val="004E08A7"/>
    <w:rsid w:val="004E091F"/>
    <w:rsid w:val="004E0E14"/>
    <w:rsid w:val="004E0ED9"/>
    <w:rsid w:val="004E17F5"/>
    <w:rsid w:val="004E1912"/>
    <w:rsid w:val="004E1E1F"/>
    <w:rsid w:val="004E2498"/>
    <w:rsid w:val="004E2BC3"/>
    <w:rsid w:val="004E2E23"/>
    <w:rsid w:val="004E33E0"/>
    <w:rsid w:val="004E3511"/>
    <w:rsid w:val="004E37F8"/>
    <w:rsid w:val="004E3801"/>
    <w:rsid w:val="004E3ADD"/>
    <w:rsid w:val="004E3F69"/>
    <w:rsid w:val="004E414B"/>
    <w:rsid w:val="004E41D3"/>
    <w:rsid w:val="004E425D"/>
    <w:rsid w:val="004E451E"/>
    <w:rsid w:val="004E4E64"/>
    <w:rsid w:val="004E4EB5"/>
    <w:rsid w:val="004E55D6"/>
    <w:rsid w:val="004E5CF3"/>
    <w:rsid w:val="004E5F59"/>
    <w:rsid w:val="004E61CB"/>
    <w:rsid w:val="004E6B05"/>
    <w:rsid w:val="004E6C67"/>
    <w:rsid w:val="004E6E78"/>
    <w:rsid w:val="004E6FAF"/>
    <w:rsid w:val="004E79F2"/>
    <w:rsid w:val="004F0129"/>
    <w:rsid w:val="004F03E9"/>
    <w:rsid w:val="004F09A1"/>
    <w:rsid w:val="004F0CC3"/>
    <w:rsid w:val="004F10A1"/>
    <w:rsid w:val="004F111F"/>
    <w:rsid w:val="004F1224"/>
    <w:rsid w:val="004F1617"/>
    <w:rsid w:val="004F17FC"/>
    <w:rsid w:val="004F1A2B"/>
    <w:rsid w:val="004F1B43"/>
    <w:rsid w:val="004F1E92"/>
    <w:rsid w:val="004F29EB"/>
    <w:rsid w:val="004F2ACA"/>
    <w:rsid w:val="004F2C31"/>
    <w:rsid w:val="004F2FD8"/>
    <w:rsid w:val="004F319E"/>
    <w:rsid w:val="004F3275"/>
    <w:rsid w:val="004F3547"/>
    <w:rsid w:val="004F3726"/>
    <w:rsid w:val="004F3AF3"/>
    <w:rsid w:val="004F3F12"/>
    <w:rsid w:val="004F480C"/>
    <w:rsid w:val="004F49C5"/>
    <w:rsid w:val="004F4AF9"/>
    <w:rsid w:val="004F51DF"/>
    <w:rsid w:val="004F53F3"/>
    <w:rsid w:val="004F54B2"/>
    <w:rsid w:val="004F5513"/>
    <w:rsid w:val="004F5FD3"/>
    <w:rsid w:val="004F66D1"/>
    <w:rsid w:val="004F6C57"/>
    <w:rsid w:val="004F6DB9"/>
    <w:rsid w:val="004F6DF2"/>
    <w:rsid w:val="004F7207"/>
    <w:rsid w:val="004F74FC"/>
    <w:rsid w:val="004F767C"/>
    <w:rsid w:val="004F7809"/>
    <w:rsid w:val="004F7836"/>
    <w:rsid w:val="004F7BC5"/>
    <w:rsid w:val="00500157"/>
    <w:rsid w:val="00500B40"/>
    <w:rsid w:val="00500C8C"/>
    <w:rsid w:val="005010D8"/>
    <w:rsid w:val="00501183"/>
    <w:rsid w:val="00501281"/>
    <w:rsid w:val="00501393"/>
    <w:rsid w:val="00501781"/>
    <w:rsid w:val="005017C7"/>
    <w:rsid w:val="0050206E"/>
    <w:rsid w:val="00502360"/>
    <w:rsid w:val="005023A4"/>
    <w:rsid w:val="00502590"/>
    <w:rsid w:val="00502665"/>
    <w:rsid w:val="005029D7"/>
    <w:rsid w:val="00502A30"/>
    <w:rsid w:val="00503227"/>
    <w:rsid w:val="00503658"/>
    <w:rsid w:val="005036F4"/>
    <w:rsid w:val="00503797"/>
    <w:rsid w:val="00503F36"/>
    <w:rsid w:val="0050402A"/>
    <w:rsid w:val="00504065"/>
    <w:rsid w:val="0050440C"/>
    <w:rsid w:val="00504925"/>
    <w:rsid w:val="00505176"/>
    <w:rsid w:val="00505460"/>
    <w:rsid w:val="00505FDF"/>
    <w:rsid w:val="0050613F"/>
    <w:rsid w:val="00506237"/>
    <w:rsid w:val="005063DC"/>
    <w:rsid w:val="005064B0"/>
    <w:rsid w:val="00506660"/>
    <w:rsid w:val="00506801"/>
    <w:rsid w:val="00506DDE"/>
    <w:rsid w:val="00507582"/>
    <w:rsid w:val="00507C0C"/>
    <w:rsid w:val="00507C1E"/>
    <w:rsid w:val="00507FD7"/>
    <w:rsid w:val="005100DB"/>
    <w:rsid w:val="005109AF"/>
    <w:rsid w:val="00510D33"/>
    <w:rsid w:val="00510DE7"/>
    <w:rsid w:val="00510DFC"/>
    <w:rsid w:val="00510E9C"/>
    <w:rsid w:val="005110C9"/>
    <w:rsid w:val="005111E6"/>
    <w:rsid w:val="0051124C"/>
    <w:rsid w:val="005112B4"/>
    <w:rsid w:val="00511346"/>
    <w:rsid w:val="00511499"/>
    <w:rsid w:val="005115D9"/>
    <w:rsid w:val="005117B4"/>
    <w:rsid w:val="00511EFB"/>
    <w:rsid w:val="00512293"/>
    <w:rsid w:val="0051258B"/>
    <w:rsid w:val="00512649"/>
    <w:rsid w:val="00512F6B"/>
    <w:rsid w:val="00512FF0"/>
    <w:rsid w:val="00513401"/>
    <w:rsid w:val="00513583"/>
    <w:rsid w:val="005139B7"/>
    <w:rsid w:val="00513C5E"/>
    <w:rsid w:val="00513FB7"/>
    <w:rsid w:val="005144A5"/>
    <w:rsid w:val="005147BA"/>
    <w:rsid w:val="00514BDB"/>
    <w:rsid w:val="00515368"/>
    <w:rsid w:val="005157AE"/>
    <w:rsid w:val="00516721"/>
    <w:rsid w:val="00516953"/>
    <w:rsid w:val="00517159"/>
    <w:rsid w:val="00517276"/>
    <w:rsid w:val="00517389"/>
    <w:rsid w:val="00517595"/>
    <w:rsid w:val="00517C00"/>
    <w:rsid w:val="00520DB5"/>
    <w:rsid w:val="00520E0E"/>
    <w:rsid w:val="00521269"/>
    <w:rsid w:val="0052169B"/>
    <w:rsid w:val="00521818"/>
    <w:rsid w:val="00521894"/>
    <w:rsid w:val="00521DE3"/>
    <w:rsid w:val="005226FA"/>
    <w:rsid w:val="0052286F"/>
    <w:rsid w:val="00522B2F"/>
    <w:rsid w:val="00523173"/>
    <w:rsid w:val="005231F5"/>
    <w:rsid w:val="00523277"/>
    <w:rsid w:val="00523517"/>
    <w:rsid w:val="00523F44"/>
    <w:rsid w:val="00523FDD"/>
    <w:rsid w:val="005240A9"/>
    <w:rsid w:val="005242AC"/>
    <w:rsid w:val="005243F7"/>
    <w:rsid w:val="00524A13"/>
    <w:rsid w:val="00524E1E"/>
    <w:rsid w:val="00525637"/>
    <w:rsid w:val="0052563E"/>
    <w:rsid w:val="0052586F"/>
    <w:rsid w:val="00525F5E"/>
    <w:rsid w:val="005265F5"/>
    <w:rsid w:val="00526855"/>
    <w:rsid w:val="00526B4A"/>
    <w:rsid w:val="00526D64"/>
    <w:rsid w:val="00526DBA"/>
    <w:rsid w:val="0052747D"/>
    <w:rsid w:val="00527491"/>
    <w:rsid w:val="005275D9"/>
    <w:rsid w:val="005276EE"/>
    <w:rsid w:val="00527790"/>
    <w:rsid w:val="00527B0E"/>
    <w:rsid w:val="00527DF4"/>
    <w:rsid w:val="00527E6F"/>
    <w:rsid w:val="00530243"/>
    <w:rsid w:val="00530453"/>
    <w:rsid w:val="0053078A"/>
    <w:rsid w:val="00530F84"/>
    <w:rsid w:val="005318F0"/>
    <w:rsid w:val="00531964"/>
    <w:rsid w:val="00531D55"/>
    <w:rsid w:val="00531E02"/>
    <w:rsid w:val="00531EC9"/>
    <w:rsid w:val="00531F7B"/>
    <w:rsid w:val="0053235E"/>
    <w:rsid w:val="00532362"/>
    <w:rsid w:val="005323FA"/>
    <w:rsid w:val="00532466"/>
    <w:rsid w:val="005331F7"/>
    <w:rsid w:val="0053347D"/>
    <w:rsid w:val="0053383D"/>
    <w:rsid w:val="00533C6A"/>
    <w:rsid w:val="00533CEB"/>
    <w:rsid w:val="00533E6D"/>
    <w:rsid w:val="005343E1"/>
    <w:rsid w:val="00534474"/>
    <w:rsid w:val="005345DB"/>
    <w:rsid w:val="00534923"/>
    <w:rsid w:val="00534C01"/>
    <w:rsid w:val="00534C47"/>
    <w:rsid w:val="00535C96"/>
    <w:rsid w:val="00535FAE"/>
    <w:rsid w:val="00536CCD"/>
    <w:rsid w:val="00536D84"/>
    <w:rsid w:val="005378EE"/>
    <w:rsid w:val="00537AF3"/>
    <w:rsid w:val="00537FDD"/>
    <w:rsid w:val="00540111"/>
    <w:rsid w:val="00540153"/>
    <w:rsid w:val="005403D7"/>
    <w:rsid w:val="00540444"/>
    <w:rsid w:val="0054079C"/>
    <w:rsid w:val="00540A00"/>
    <w:rsid w:val="00540B48"/>
    <w:rsid w:val="00540BCE"/>
    <w:rsid w:val="00540D5F"/>
    <w:rsid w:val="00541322"/>
    <w:rsid w:val="00541588"/>
    <w:rsid w:val="005417DA"/>
    <w:rsid w:val="00541C82"/>
    <w:rsid w:val="00541F65"/>
    <w:rsid w:val="005420FA"/>
    <w:rsid w:val="005421A4"/>
    <w:rsid w:val="005424D4"/>
    <w:rsid w:val="005426AF"/>
    <w:rsid w:val="005430AF"/>
    <w:rsid w:val="005435AA"/>
    <w:rsid w:val="00543C70"/>
    <w:rsid w:val="00543D51"/>
    <w:rsid w:val="00544408"/>
    <w:rsid w:val="005448C3"/>
    <w:rsid w:val="00544C28"/>
    <w:rsid w:val="00544E47"/>
    <w:rsid w:val="00545064"/>
    <w:rsid w:val="00545105"/>
    <w:rsid w:val="0054512B"/>
    <w:rsid w:val="005455DC"/>
    <w:rsid w:val="005455E0"/>
    <w:rsid w:val="005455FB"/>
    <w:rsid w:val="00545972"/>
    <w:rsid w:val="00545AF7"/>
    <w:rsid w:val="00545CBB"/>
    <w:rsid w:val="00546439"/>
    <w:rsid w:val="0054644D"/>
    <w:rsid w:val="0054655E"/>
    <w:rsid w:val="005468E9"/>
    <w:rsid w:val="0054712A"/>
    <w:rsid w:val="005473E3"/>
    <w:rsid w:val="005475D9"/>
    <w:rsid w:val="00547909"/>
    <w:rsid w:val="00547A11"/>
    <w:rsid w:val="00547CDB"/>
    <w:rsid w:val="00550160"/>
    <w:rsid w:val="0055017C"/>
    <w:rsid w:val="005501CD"/>
    <w:rsid w:val="005501FD"/>
    <w:rsid w:val="005502FB"/>
    <w:rsid w:val="0055035E"/>
    <w:rsid w:val="00550923"/>
    <w:rsid w:val="005509CC"/>
    <w:rsid w:val="00550D71"/>
    <w:rsid w:val="0055103D"/>
    <w:rsid w:val="005513DD"/>
    <w:rsid w:val="0055179D"/>
    <w:rsid w:val="00551C94"/>
    <w:rsid w:val="00551DBB"/>
    <w:rsid w:val="00551F3D"/>
    <w:rsid w:val="005522CF"/>
    <w:rsid w:val="00552355"/>
    <w:rsid w:val="00552707"/>
    <w:rsid w:val="005528F3"/>
    <w:rsid w:val="0055301D"/>
    <w:rsid w:val="005532AB"/>
    <w:rsid w:val="005533AD"/>
    <w:rsid w:val="00553528"/>
    <w:rsid w:val="0055359C"/>
    <w:rsid w:val="00553E86"/>
    <w:rsid w:val="00554315"/>
    <w:rsid w:val="005543AD"/>
    <w:rsid w:val="0055474E"/>
    <w:rsid w:val="005553CF"/>
    <w:rsid w:val="00555489"/>
    <w:rsid w:val="00555562"/>
    <w:rsid w:val="0055589E"/>
    <w:rsid w:val="00555C84"/>
    <w:rsid w:val="005561DB"/>
    <w:rsid w:val="0055665E"/>
    <w:rsid w:val="00556745"/>
    <w:rsid w:val="0055725B"/>
    <w:rsid w:val="005572FF"/>
    <w:rsid w:val="00557584"/>
    <w:rsid w:val="005578A2"/>
    <w:rsid w:val="005578DC"/>
    <w:rsid w:val="00557C87"/>
    <w:rsid w:val="00557D6C"/>
    <w:rsid w:val="005588A8"/>
    <w:rsid w:val="005603B0"/>
    <w:rsid w:val="0056053B"/>
    <w:rsid w:val="00560558"/>
    <w:rsid w:val="005605EA"/>
    <w:rsid w:val="00560A33"/>
    <w:rsid w:val="00560AD1"/>
    <w:rsid w:val="00560CAC"/>
    <w:rsid w:val="00560DB3"/>
    <w:rsid w:val="00560E8A"/>
    <w:rsid w:val="00561095"/>
    <w:rsid w:val="00561576"/>
    <w:rsid w:val="0056160D"/>
    <w:rsid w:val="00561A58"/>
    <w:rsid w:val="00561F78"/>
    <w:rsid w:val="0056255F"/>
    <w:rsid w:val="005625FD"/>
    <w:rsid w:val="00562676"/>
    <w:rsid w:val="00562701"/>
    <w:rsid w:val="00562AE7"/>
    <w:rsid w:val="00562CC5"/>
    <w:rsid w:val="005631EC"/>
    <w:rsid w:val="00563775"/>
    <w:rsid w:val="005637F0"/>
    <w:rsid w:val="00563BA6"/>
    <w:rsid w:val="00563FF7"/>
    <w:rsid w:val="0056420D"/>
    <w:rsid w:val="00564275"/>
    <w:rsid w:val="00564952"/>
    <w:rsid w:val="00564D15"/>
    <w:rsid w:val="00564DBB"/>
    <w:rsid w:val="005654E8"/>
    <w:rsid w:val="00565632"/>
    <w:rsid w:val="005660B3"/>
    <w:rsid w:val="005661E5"/>
    <w:rsid w:val="00566778"/>
    <w:rsid w:val="00566A57"/>
    <w:rsid w:val="00566BEE"/>
    <w:rsid w:val="00566E95"/>
    <w:rsid w:val="00566FA2"/>
    <w:rsid w:val="00567389"/>
    <w:rsid w:val="00567562"/>
    <w:rsid w:val="00567CA5"/>
    <w:rsid w:val="00567D81"/>
    <w:rsid w:val="00567EC9"/>
    <w:rsid w:val="00570E72"/>
    <w:rsid w:val="0057159A"/>
    <w:rsid w:val="00571C31"/>
    <w:rsid w:val="00571F6A"/>
    <w:rsid w:val="005723D3"/>
    <w:rsid w:val="00572449"/>
    <w:rsid w:val="0057244B"/>
    <w:rsid w:val="00572969"/>
    <w:rsid w:val="00572A1D"/>
    <w:rsid w:val="00572C0E"/>
    <w:rsid w:val="00572E78"/>
    <w:rsid w:val="0057360C"/>
    <w:rsid w:val="005737F7"/>
    <w:rsid w:val="00573D0C"/>
    <w:rsid w:val="00573F01"/>
    <w:rsid w:val="005741AE"/>
    <w:rsid w:val="0057430D"/>
    <w:rsid w:val="00574555"/>
    <w:rsid w:val="0057456A"/>
    <w:rsid w:val="005746AA"/>
    <w:rsid w:val="00574815"/>
    <w:rsid w:val="0057484D"/>
    <w:rsid w:val="005748E7"/>
    <w:rsid w:val="0057495F"/>
    <w:rsid w:val="005749D0"/>
    <w:rsid w:val="0057503B"/>
    <w:rsid w:val="005750A3"/>
    <w:rsid w:val="0057514D"/>
    <w:rsid w:val="00575437"/>
    <w:rsid w:val="00575918"/>
    <w:rsid w:val="005764E5"/>
    <w:rsid w:val="00576773"/>
    <w:rsid w:val="00576D16"/>
    <w:rsid w:val="00576F8B"/>
    <w:rsid w:val="00577687"/>
    <w:rsid w:val="00577ECF"/>
    <w:rsid w:val="00580054"/>
    <w:rsid w:val="005800B4"/>
    <w:rsid w:val="0058037B"/>
    <w:rsid w:val="005806AB"/>
    <w:rsid w:val="005808CD"/>
    <w:rsid w:val="00580987"/>
    <w:rsid w:val="00580A27"/>
    <w:rsid w:val="00580BA4"/>
    <w:rsid w:val="00580BB0"/>
    <w:rsid w:val="00580DD4"/>
    <w:rsid w:val="00580E14"/>
    <w:rsid w:val="0058106A"/>
    <w:rsid w:val="00581E6B"/>
    <w:rsid w:val="00581FEE"/>
    <w:rsid w:val="00582041"/>
    <w:rsid w:val="0058229B"/>
    <w:rsid w:val="0058273A"/>
    <w:rsid w:val="00582F02"/>
    <w:rsid w:val="005834C8"/>
    <w:rsid w:val="005837B9"/>
    <w:rsid w:val="00583992"/>
    <w:rsid w:val="00583A7C"/>
    <w:rsid w:val="00583F7C"/>
    <w:rsid w:val="005841E9"/>
    <w:rsid w:val="005846EE"/>
    <w:rsid w:val="005847A6"/>
    <w:rsid w:val="00584888"/>
    <w:rsid w:val="00584D28"/>
    <w:rsid w:val="00584F34"/>
    <w:rsid w:val="005850EB"/>
    <w:rsid w:val="005861F5"/>
    <w:rsid w:val="005864F7"/>
    <w:rsid w:val="00586580"/>
    <w:rsid w:val="005865E5"/>
    <w:rsid w:val="0058664A"/>
    <w:rsid w:val="00586685"/>
    <w:rsid w:val="005867EF"/>
    <w:rsid w:val="00586A50"/>
    <w:rsid w:val="00586AE9"/>
    <w:rsid w:val="00586B0A"/>
    <w:rsid w:val="005872AE"/>
    <w:rsid w:val="0058770B"/>
    <w:rsid w:val="00587781"/>
    <w:rsid w:val="00587828"/>
    <w:rsid w:val="00590081"/>
    <w:rsid w:val="005903AB"/>
    <w:rsid w:val="0059072A"/>
    <w:rsid w:val="0059077E"/>
    <w:rsid w:val="00590B0A"/>
    <w:rsid w:val="00591631"/>
    <w:rsid w:val="005916CF"/>
    <w:rsid w:val="00591774"/>
    <w:rsid w:val="005917EF"/>
    <w:rsid w:val="005919FD"/>
    <w:rsid w:val="005921DD"/>
    <w:rsid w:val="005928C6"/>
    <w:rsid w:val="00592AC6"/>
    <w:rsid w:val="00592FAB"/>
    <w:rsid w:val="0059304C"/>
    <w:rsid w:val="00593145"/>
    <w:rsid w:val="00593207"/>
    <w:rsid w:val="00593489"/>
    <w:rsid w:val="005937A0"/>
    <w:rsid w:val="00593815"/>
    <w:rsid w:val="005939F1"/>
    <w:rsid w:val="00593C3D"/>
    <w:rsid w:val="0059467D"/>
    <w:rsid w:val="005948F3"/>
    <w:rsid w:val="00594A62"/>
    <w:rsid w:val="00594D65"/>
    <w:rsid w:val="00594F19"/>
    <w:rsid w:val="00594F6B"/>
    <w:rsid w:val="005951E1"/>
    <w:rsid w:val="0059528D"/>
    <w:rsid w:val="005952CA"/>
    <w:rsid w:val="00595302"/>
    <w:rsid w:val="0059555D"/>
    <w:rsid w:val="00595608"/>
    <w:rsid w:val="00595AEA"/>
    <w:rsid w:val="00595B74"/>
    <w:rsid w:val="00596442"/>
    <w:rsid w:val="00596785"/>
    <w:rsid w:val="0059695F"/>
    <w:rsid w:val="005969E3"/>
    <w:rsid w:val="00596B51"/>
    <w:rsid w:val="00596C9A"/>
    <w:rsid w:val="00596D46"/>
    <w:rsid w:val="00596D7D"/>
    <w:rsid w:val="00596FD8"/>
    <w:rsid w:val="00597367"/>
    <w:rsid w:val="005977EC"/>
    <w:rsid w:val="00597840"/>
    <w:rsid w:val="005978D6"/>
    <w:rsid w:val="00597B69"/>
    <w:rsid w:val="00597D02"/>
    <w:rsid w:val="00597FBD"/>
    <w:rsid w:val="005A089A"/>
    <w:rsid w:val="005A099E"/>
    <w:rsid w:val="005A0B39"/>
    <w:rsid w:val="005A0E30"/>
    <w:rsid w:val="005A1027"/>
    <w:rsid w:val="005A137E"/>
    <w:rsid w:val="005A14E9"/>
    <w:rsid w:val="005A15ED"/>
    <w:rsid w:val="005A18A5"/>
    <w:rsid w:val="005A1936"/>
    <w:rsid w:val="005A1E34"/>
    <w:rsid w:val="005A2270"/>
    <w:rsid w:val="005A2385"/>
    <w:rsid w:val="005A276F"/>
    <w:rsid w:val="005A2CBB"/>
    <w:rsid w:val="005A2D4D"/>
    <w:rsid w:val="005A3806"/>
    <w:rsid w:val="005A3D0D"/>
    <w:rsid w:val="005A3FC2"/>
    <w:rsid w:val="005A3FF5"/>
    <w:rsid w:val="005A439A"/>
    <w:rsid w:val="005A47DA"/>
    <w:rsid w:val="005A48E4"/>
    <w:rsid w:val="005A4C18"/>
    <w:rsid w:val="005A56B1"/>
    <w:rsid w:val="005A58EC"/>
    <w:rsid w:val="005A5EBD"/>
    <w:rsid w:val="005A5F8E"/>
    <w:rsid w:val="005A6058"/>
    <w:rsid w:val="005A64CF"/>
    <w:rsid w:val="005A6631"/>
    <w:rsid w:val="005A667B"/>
    <w:rsid w:val="005A66F6"/>
    <w:rsid w:val="005A6A7F"/>
    <w:rsid w:val="005A70EB"/>
    <w:rsid w:val="005A792E"/>
    <w:rsid w:val="005B02A8"/>
    <w:rsid w:val="005B0B18"/>
    <w:rsid w:val="005B0C9C"/>
    <w:rsid w:val="005B0D78"/>
    <w:rsid w:val="005B0D97"/>
    <w:rsid w:val="005B0FDC"/>
    <w:rsid w:val="005B0FF5"/>
    <w:rsid w:val="005B123A"/>
    <w:rsid w:val="005B17A4"/>
    <w:rsid w:val="005B1D56"/>
    <w:rsid w:val="005B1DA8"/>
    <w:rsid w:val="005B1FFC"/>
    <w:rsid w:val="005B2088"/>
    <w:rsid w:val="005B220A"/>
    <w:rsid w:val="005B25C5"/>
    <w:rsid w:val="005B290A"/>
    <w:rsid w:val="005B2C85"/>
    <w:rsid w:val="005B3570"/>
    <w:rsid w:val="005B3734"/>
    <w:rsid w:val="005B3A70"/>
    <w:rsid w:val="005B3D5A"/>
    <w:rsid w:val="005B3E0E"/>
    <w:rsid w:val="005B3EAB"/>
    <w:rsid w:val="005B47B9"/>
    <w:rsid w:val="005B5A35"/>
    <w:rsid w:val="005B607F"/>
    <w:rsid w:val="005B60EC"/>
    <w:rsid w:val="005B61F0"/>
    <w:rsid w:val="005B622E"/>
    <w:rsid w:val="005B69BC"/>
    <w:rsid w:val="005B6CEB"/>
    <w:rsid w:val="005B6CF4"/>
    <w:rsid w:val="005B7429"/>
    <w:rsid w:val="005B7860"/>
    <w:rsid w:val="005B7B5A"/>
    <w:rsid w:val="005B7BA5"/>
    <w:rsid w:val="005C0037"/>
    <w:rsid w:val="005C0576"/>
    <w:rsid w:val="005C0896"/>
    <w:rsid w:val="005C0A29"/>
    <w:rsid w:val="005C0A98"/>
    <w:rsid w:val="005C1687"/>
    <w:rsid w:val="005C199D"/>
    <w:rsid w:val="005C2022"/>
    <w:rsid w:val="005C26AA"/>
    <w:rsid w:val="005C2A4B"/>
    <w:rsid w:val="005C2DC2"/>
    <w:rsid w:val="005C33F1"/>
    <w:rsid w:val="005C395E"/>
    <w:rsid w:val="005C39F0"/>
    <w:rsid w:val="005C42D5"/>
    <w:rsid w:val="005C4661"/>
    <w:rsid w:val="005C47D3"/>
    <w:rsid w:val="005C48F1"/>
    <w:rsid w:val="005C4C50"/>
    <w:rsid w:val="005C503A"/>
    <w:rsid w:val="005C5751"/>
    <w:rsid w:val="005C57AB"/>
    <w:rsid w:val="005C629D"/>
    <w:rsid w:val="005C64AB"/>
    <w:rsid w:val="005C64E8"/>
    <w:rsid w:val="005C6B6E"/>
    <w:rsid w:val="005C7A21"/>
    <w:rsid w:val="005C7C18"/>
    <w:rsid w:val="005C7C8F"/>
    <w:rsid w:val="005C7E57"/>
    <w:rsid w:val="005D037B"/>
    <w:rsid w:val="005D0548"/>
    <w:rsid w:val="005D062D"/>
    <w:rsid w:val="005D0A2C"/>
    <w:rsid w:val="005D0EC4"/>
    <w:rsid w:val="005D13F6"/>
    <w:rsid w:val="005D26A0"/>
    <w:rsid w:val="005D27BF"/>
    <w:rsid w:val="005D286F"/>
    <w:rsid w:val="005D29DD"/>
    <w:rsid w:val="005D2C31"/>
    <w:rsid w:val="005D2E9B"/>
    <w:rsid w:val="005D31EA"/>
    <w:rsid w:val="005D31EE"/>
    <w:rsid w:val="005D3BB4"/>
    <w:rsid w:val="005D3BE0"/>
    <w:rsid w:val="005D4733"/>
    <w:rsid w:val="005D4918"/>
    <w:rsid w:val="005D4ED6"/>
    <w:rsid w:val="005D516D"/>
    <w:rsid w:val="005D53E5"/>
    <w:rsid w:val="005D53E6"/>
    <w:rsid w:val="005D5C31"/>
    <w:rsid w:val="005D5D8F"/>
    <w:rsid w:val="005D66EC"/>
    <w:rsid w:val="005D691D"/>
    <w:rsid w:val="005D6BFC"/>
    <w:rsid w:val="005D71B7"/>
    <w:rsid w:val="005D7368"/>
    <w:rsid w:val="005D747A"/>
    <w:rsid w:val="005D7ED6"/>
    <w:rsid w:val="005E002A"/>
    <w:rsid w:val="005E0150"/>
    <w:rsid w:val="005E04D7"/>
    <w:rsid w:val="005E079D"/>
    <w:rsid w:val="005E0BC5"/>
    <w:rsid w:val="005E119F"/>
    <w:rsid w:val="005E1A95"/>
    <w:rsid w:val="005E2293"/>
    <w:rsid w:val="005E23D0"/>
    <w:rsid w:val="005E276A"/>
    <w:rsid w:val="005E29B0"/>
    <w:rsid w:val="005E2A55"/>
    <w:rsid w:val="005E2DCC"/>
    <w:rsid w:val="005E3162"/>
    <w:rsid w:val="005E32E3"/>
    <w:rsid w:val="005E3609"/>
    <w:rsid w:val="005E3837"/>
    <w:rsid w:val="005E3859"/>
    <w:rsid w:val="005E3BBA"/>
    <w:rsid w:val="005E3D99"/>
    <w:rsid w:val="005E413A"/>
    <w:rsid w:val="005E4242"/>
    <w:rsid w:val="005E444A"/>
    <w:rsid w:val="005E46C4"/>
    <w:rsid w:val="005E4D35"/>
    <w:rsid w:val="005E4E62"/>
    <w:rsid w:val="005E4FB2"/>
    <w:rsid w:val="005E52A5"/>
    <w:rsid w:val="005E54C5"/>
    <w:rsid w:val="005E5C6F"/>
    <w:rsid w:val="005E602D"/>
    <w:rsid w:val="005E6266"/>
    <w:rsid w:val="005E6677"/>
    <w:rsid w:val="005E66BD"/>
    <w:rsid w:val="005E6D8F"/>
    <w:rsid w:val="005E6E5F"/>
    <w:rsid w:val="005E6F1D"/>
    <w:rsid w:val="005E72C7"/>
    <w:rsid w:val="005E7C89"/>
    <w:rsid w:val="005E7F47"/>
    <w:rsid w:val="005F0A46"/>
    <w:rsid w:val="005F1432"/>
    <w:rsid w:val="005F1514"/>
    <w:rsid w:val="005F1943"/>
    <w:rsid w:val="005F1BB4"/>
    <w:rsid w:val="005F1FB6"/>
    <w:rsid w:val="005F2022"/>
    <w:rsid w:val="005F2083"/>
    <w:rsid w:val="005F20E5"/>
    <w:rsid w:val="005F21FF"/>
    <w:rsid w:val="005F24B0"/>
    <w:rsid w:val="005F28A2"/>
    <w:rsid w:val="005F28DF"/>
    <w:rsid w:val="005F2D81"/>
    <w:rsid w:val="005F2DC9"/>
    <w:rsid w:val="005F2FC7"/>
    <w:rsid w:val="005F3191"/>
    <w:rsid w:val="005F3FE8"/>
    <w:rsid w:val="005F4849"/>
    <w:rsid w:val="005F5501"/>
    <w:rsid w:val="005F5666"/>
    <w:rsid w:val="005F5759"/>
    <w:rsid w:val="005F58B7"/>
    <w:rsid w:val="005F58E9"/>
    <w:rsid w:val="005F5B11"/>
    <w:rsid w:val="005F5E25"/>
    <w:rsid w:val="005F6312"/>
    <w:rsid w:val="005F6707"/>
    <w:rsid w:val="005F681F"/>
    <w:rsid w:val="005F7004"/>
    <w:rsid w:val="005F7037"/>
    <w:rsid w:val="005F73AE"/>
    <w:rsid w:val="005F74AC"/>
    <w:rsid w:val="005F7688"/>
    <w:rsid w:val="005F784C"/>
    <w:rsid w:val="005F7ECE"/>
    <w:rsid w:val="005F7F0E"/>
    <w:rsid w:val="0060112B"/>
    <w:rsid w:val="00601552"/>
    <w:rsid w:val="0060156F"/>
    <w:rsid w:val="00601734"/>
    <w:rsid w:val="006017B5"/>
    <w:rsid w:val="00601854"/>
    <w:rsid w:val="0060197E"/>
    <w:rsid w:val="00601AE3"/>
    <w:rsid w:val="00601D89"/>
    <w:rsid w:val="0060200A"/>
    <w:rsid w:val="006022D7"/>
    <w:rsid w:val="00602338"/>
    <w:rsid w:val="0060325F"/>
    <w:rsid w:val="0060326E"/>
    <w:rsid w:val="006032A5"/>
    <w:rsid w:val="00603B51"/>
    <w:rsid w:val="00603BC4"/>
    <w:rsid w:val="00603DD4"/>
    <w:rsid w:val="00604067"/>
    <w:rsid w:val="00604320"/>
    <w:rsid w:val="00604426"/>
    <w:rsid w:val="0060450E"/>
    <w:rsid w:val="00604593"/>
    <w:rsid w:val="00604755"/>
    <w:rsid w:val="006049A5"/>
    <w:rsid w:val="00604BEA"/>
    <w:rsid w:val="00604E81"/>
    <w:rsid w:val="0060500D"/>
    <w:rsid w:val="006051AE"/>
    <w:rsid w:val="006057C2"/>
    <w:rsid w:val="006058EF"/>
    <w:rsid w:val="00605906"/>
    <w:rsid w:val="00605BE8"/>
    <w:rsid w:val="00606043"/>
    <w:rsid w:val="006060F0"/>
    <w:rsid w:val="00606238"/>
    <w:rsid w:val="006063A8"/>
    <w:rsid w:val="00606707"/>
    <w:rsid w:val="006067F6"/>
    <w:rsid w:val="006069F6"/>
    <w:rsid w:val="00606A2C"/>
    <w:rsid w:val="00607048"/>
    <w:rsid w:val="00607318"/>
    <w:rsid w:val="006074F2"/>
    <w:rsid w:val="00607602"/>
    <w:rsid w:val="00607626"/>
    <w:rsid w:val="00607B11"/>
    <w:rsid w:val="00607B13"/>
    <w:rsid w:val="00607F0F"/>
    <w:rsid w:val="00610284"/>
    <w:rsid w:val="006103D9"/>
    <w:rsid w:val="0061061A"/>
    <w:rsid w:val="0061070E"/>
    <w:rsid w:val="00610981"/>
    <w:rsid w:val="00610A30"/>
    <w:rsid w:val="00610BAC"/>
    <w:rsid w:val="00610C57"/>
    <w:rsid w:val="00610E29"/>
    <w:rsid w:val="00611234"/>
    <w:rsid w:val="0061196A"/>
    <w:rsid w:val="0061196D"/>
    <w:rsid w:val="00611C7D"/>
    <w:rsid w:val="00611F02"/>
    <w:rsid w:val="006120A3"/>
    <w:rsid w:val="006122A8"/>
    <w:rsid w:val="006122AC"/>
    <w:rsid w:val="0061235F"/>
    <w:rsid w:val="00612ADB"/>
    <w:rsid w:val="00612CD3"/>
    <w:rsid w:val="0061318E"/>
    <w:rsid w:val="006135EA"/>
    <w:rsid w:val="00613926"/>
    <w:rsid w:val="006139EE"/>
    <w:rsid w:val="00613E22"/>
    <w:rsid w:val="0061459C"/>
    <w:rsid w:val="00614662"/>
    <w:rsid w:val="006146BB"/>
    <w:rsid w:val="006149E4"/>
    <w:rsid w:val="00614C33"/>
    <w:rsid w:val="00614CD5"/>
    <w:rsid w:val="00615E4E"/>
    <w:rsid w:val="006165ED"/>
    <w:rsid w:val="00616940"/>
    <w:rsid w:val="00616DDA"/>
    <w:rsid w:val="00616E52"/>
    <w:rsid w:val="00616E7C"/>
    <w:rsid w:val="006171BC"/>
    <w:rsid w:val="006172AC"/>
    <w:rsid w:val="00617366"/>
    <w:rsid w:val="006175AF"/>
    <w:rsid w:val="00617822"/>
    <w:rsid w:val="006178F7"/>
    <w:rsid w:val="00617AE0"/>
    <w:rsid w:val="00617B70"/>
    <w:rsid w:val="00617E1B"/>
    <w:rsid w:val="006201E0"/>
    <w:rsid w:val="00620297"/>
    <w:rsid w:val="00620C1F"/>
    <w:rsid w:val="00621060"/>
    <w:rsid w:val="006213D5"/>
    <w:rsid w:val="006217AA"/>
    <w:rsid w:val="00621B67"/>
    <w:rsid w:val="006220AA"/>
    <w:rsid w:val="0062240D"/>
    <w:rsid w:val="0062290B"/>
    <w:rsid w:val="00622993"/>
    <w:rsid w:val="00622F48"/>
    <w:rsid w:val="0062372C"/>
    <w:rsid w:val="00623A1B"/>
    <w:rsid w:val="00623ABB"/>
    <w:rsid w:val="00623C2C"/>
    <w:rsid w:val="00624498"/>
    <w:rsid w:val="00624626"/>
    <w:rsid w:val="00624C2F"/>
    <w:rsid w:val="00624F89"/>
    <w:rsid w:val="006250FD"/>
    <w:rsid w:val="00625509"/>
    <w:rsid w:val="006256AA"/>
    <w:rsid w:val="0062635B"/>
    <w:rsid w:val="00626543"/>
    <w:rsid w:val="0062687B"/>
    <w:rsid w:val="00626AA9"/>
    <w:rsid w:val="00626C7B"/>
    <w:rsid w:val="00626D52"/>
    <w:rsid w:val="00627076"/>
    <w:rsid w:val="0062745E"/>
    <w:rsid w:val="00627AF9"/>
    <w:rsid w:val="00627D32"/>
    <w:rsid w:val="00627E2B"/>
    <w:rsid w:val="00630026"/>
    <w:rsid w:val="00630294"/>
    <w:rsid w:val="006306D9"/>
    <w:rsid w:val="006306E6"/>
    <w:rsid w:val="00630B39"/>
    <w:rsid w:val="00631617"/>
    <w:rsid w:val="00631864"/>
    <w:rsid w:val="00631FBF"/>
    <w:rsid w:val="006320D2"/>
    <w:rsid w:val="00632216"/>
    <w:rsid w:val="00632BEB"/>
    <w:rsid w:val="00633198"/>
    <w:rsid w:val="006340C7"/>
    <w:rsid w:val="00634200"/>
    <w:rsid w:val="006342A9"/>
    <w:rsid w:val="00634354"/>
    <w:rsid w:val="0063498F"/>
    <w:rsid w:val="00634A23"/>
    <w:rsid w:val="00635337"/>
    <w:rsid w:val="00635344"/>
    <w:rsid w:val="00635591"/>
    <w:rsid w:val="00635BE9"/>
    <w:rsid w:val="006360FB"/>
    <w:rsid w:val="00636102"/>
    <w:rsid w:val="0063611E"/>
    <w:rsid w:val="006362C5"/>
    <w:rsid w:val="00636457"/>
    <w:rsid w:val="00636835"/>
    <w:rsid w:val="006369AF"/>
    <w:rsid w:val="006369E0"/>
    <w:rsid w:val="0063713D"/>
    <w:rsid w:val="00637375"/>
    <w:rsid w:val="00637410"/>
    <w:rsid w:val="00637574"/>
    <w:rsid w:val="006375DC"/>
    <w:rsid w:val="00637901"/>
    <w:rsid w:val="00637CCB"/>
    <w:rsid w:val="006402A6"/>
    <w:rsid w:val="00640E12"/>
    <w:rsid w:val="00641184"/>
    <w:rsid w:val="00641474"/>
    <w:rsid w:val="00641ACB"/>
    <w:rsid w:val="00641BA2"/>
    <w:rsid w:val="00641D67"/>
    <w:rsid w:val="00641E1C"/>
    <w:rsid w:val="0064205D"/>
    <w:rsid w:val="00642858"/>
    <w:rsid w:val="00642BC5"/>
    <w:rsid w:val="00642E63"/>
    <w:rsid w:val="00642EAA"/>
    <w:rsid w:val="00643165"/>
    <w:rsid w:val="0064316D"/>
    <w:rsid w:val="006434B1"/>
    <w:rsid w:val="00643757"/>
    <w:rsid w:val="00643AA6"/>
    <w:rsid w:val="00643AE6"/>
    <w:rsid w:val="00643C54"/>
    <w:rsid w:val="0064446A"/>
    <w:rsid w:val="00644E89"/>
    <w:rsid w:val="00644FD6"/>
    <w:rsid w:val="006453A5"/>
    <w:rsid w:val="006455C0"/>
    <w:rsid w:val="0064562F"/>
    <w:rsid w:val="00645BDD"/>
    <w:rsid w:val="00645C95"/>
    <w:rsid w:val="00645FC9"/>
    <w:rsid w:val="0064626E"/>
    <w:rsid w:val="006465AB"/>
    <w:rsid w:val="006465C7"/>
    <w:rsid w:val="00646D57"/>
    <w:rsid w:val="00646FD2"/>
    <w:rsid w:val="00647AFB"/>
    <w:rsid w:val="00647DC6"/>
    <w:rsid w:val="00650632"/>
    <w:rsid w:val="00650D09"/>
    <w:rsid w:val="006513BE"/>
    <w:rsid w:val="006514E3"/>
    <w:rsid w:val="006517BB"/>
    <w:rsid w:val="00651864"/>
    <w:rsid w:val="00651A1A"/>
    <w:rsid w:val="00651B6F"/>
    <w:rsid w:val="0065230B"/>
    <w:rsid w:val="00652588"/>
    <w:rsid w:val="00652603"/>
    <w:rsid w:val="00652898"/>
    <w:rsid w:val="0065297C"/>
    <w:rsid w:val="00652BA8"/>
    <w:rsid w:val="00653216"/>
    <w:rsid w:val="0065388C"/>
    <w:rsid w:val="00653C46"/>
    <w:rsid w:val="00653CBD"/>
    <w:rsid w:val="00653DCB"/>
    <w:rsid w:val="00653DF5"/>
    <w:rsid w:val="00653E76"/>
    <w:rsid w:val="00654031"/>
    <w:rsid w:val="00654076"/>
    <w:rsid w:val="00654129"/>
    <w:rsid w:val="00654AD7"/>
    <w:rsid w:val="00654AE0"/>
    <w:rsid w:val="00654E2C"/>
    <w:rsid w:val="006552D2"/>
    <w:rsid w:val="00655641"/>
    <w:rsid w:val="00655671"/>
    <w:rsid w:val="006556C8"/>
    <w:rsid w:val="00655B46"/>
    <w:rsid w:val="00655B5F"/>
    <w:rsid w:val="00656515"/>
    <w:rsid w:val="0065720A"/>
    <w:rsid w:val="00657249"/>
    <w:rsid w:val="006572D9"/>
    <w:rsid w:val="00657914"/>
    <w:rsid w:val="00657949"/>
    <w:rsid w:val="00657BBC"/>
    <w:rsid w:val="00660D56"/>
    <w:rsid w:val="00660DF9"/>
    <w:rsid w:val="00660FA7"/>
    <w:rsid w:val="00660FBB"/>
    <w:rsid w:val="006618C7"/>
    <w:rsid w:val="00661AD9"/>
    <w:rsid w:val="0066219C"/>
    <w:rsid w:val="006621A9"/>
    <w:rsid w:val="006621E8"/>
    <w:rsid w:val="00662330"/>
    <w:rsid w:val="006624A5"/>
    <w:rsid w:val="00662AC9"/>
    <w:rsid w:val="00663333"/>
    <w:rsid w:val="0066385E"/>
    <w:rsid w:val="0066387F"/>
    <w:rsid w:val="00663A59"/>
    <w:rsid w:val="00663C9D"/>
    <w:rsid w:val="006643BC"/>
    <w:rsid w:val="006646B0"/>
    <w:rsid w:val="0066487B"/>
    <w:rsid w:val="00664D09"/>
    <w:rsid w:val="0066501C"/>
    <w:rsid w:val="006653FE"/>
    <w:rsid w:val="00665480"/>
    <w:rsid w:val="0066559F"/>
    <w:rsid w:val="0066589D"/>
    <w:rsid w:val="00665A23"/>
    <w:rsid w:val="00665B06"/>
    <w:rsid w:val="00665F1E"/>
    <w:rsid w:val="006663A0"/>
    <w:rsid w:val="00666583"/>
    <w:rsid w:val="00666B0F"/>
    <w:rsid w:val="00666D24"/>
    <w:rsid w:val="0066716D"/>
    <w:rsid w:val="0066735B"/>
    <w:rsid w:val="0066739E"/>
    <w:rsid w:val="006674E4"/>
    <w:rsid w:val="00667548"/>
    <w:rsid w:val="006676B8"/>
    <w:rsid w:val="00667775"/>
    <w:rsid w:val="00667CC0"/>
    <w:rsid w:val="00667FD7"/>
    <w:rsid w:val="00670D23"/>
    <w:rsid w:val="00670EA4"/>
    <w:rsid w:val="006712D2"/>
    <w:rsid w:val="0067148F"/>
    <w:rsid w:val="00671692"/>
    <w:rsid w:val="00671711"/>
    <w:rsid w:val="00671ACF"/>
    <w:rsid w:val="00671B96"/>
    <w:rsid w:val="006726A7"/>
    <w:rsid w:val="006727D6"/>
    <w:rsid w:val="00672932"/>
    <w:rsid w:val="00672BB0"/>
    <w:rsid w:val="00672BFF"/>
    <w:rsid w:val="00672EE7"/>
    <w:rsid w:val="00672F14"/>
    <w:rsid w:val="0067303C"/>
    <w:rsid w:val="00673401"/>
    <w:rsid w:val="006734BD"/>
    <w:rsid w:val="0067408B"/>
    <w:rsid w:val="00674187"/>
    <w:rsid w:val="00674377"/>
    <w:rsid w:val="006746A4"/>
    <w:rsid w:val="006748C1"/>
    <w:rsid w:val="00674C30"/>
    <w:rsid w:val="00674CC9"/>
    <w:rsid w:val="0067577D"/>
    <w:rsid w:val="00675A55"/>
    <w:rsid w:val="00675C48"/>
    <w:rsid w:val="00675DCB"/>
    <w:rsid w:val="00675E8A"/>
    <w:rsid w:val="00675F4D"/>
    <w:rsid w:val="00676006"/>
    <w:rsid w:val="006762F3"/>
    <w:rsid w:val="00676AB2"/>
    <w:rsid w:val="00676B8C"/>
    <w:rsid w:val="00676F17"/>
    <w:rsid w:val="00676F9B"/>
    <w:rsid w:val="006771D8"/>
    <w:rsid w:val="006774A4"/>
    <w:rsid w:val="00677631"/>
    <w:rsid w:val="0067797B"/>
    <w:rsid w:val="00677ABE"/>
    <w:rsid w:val="00677DFC"/>
    <w:rsid w:val="00677E76"/>
    <w:rsid w:val="0068002D"/>
    <w:rsid w:val="00680282"/>
    <w:rsid w:val="006806B9"/>
    <w:rsid w:val="00680B51"/>
    <w:rsid w:val="00680C37"/>
    <w:rsid w:val="00680EBD"/>
    <w:rsid w:val="00681176"/>
    <w:rsid w:val="006813CA"/>
    <w:rsid w:val="00681602"/>
    <w:rsid w:val="00681890"/>
    <w:rsid w:val="00681E66"/>
    <w:rsid w:val="006823B1"/>
    <w:rsid w:val="006823E1"/>
    <w:rsid w:val="00682420"/>
    <w:rsid w:val="00682E4B"/>
    <w:rsid w:val="00682EF9"/>
    <w:rsid w:val="00682F38"/>
    <w:rsid w:val="00683F14"/>
    <w:rsid w:val="00683FF0"/>
    <w:rsid w:val="006840D9"/>
    <w:rsid w:val="0068473C"/>
    <w:rsid w:val="0068484F"/>
    <w:rsid w:val="00684D9E"/>
    <w:rsid w:val="00684DA1"/>
    <w:rsid w:val="00684EEC"/>
    <w:rsid w:val="00685135"/>
    <w:rsid w:val="00685267"/>
    <w:rsid w:val="0068571A"/>
    <w:rsid w:val="006857F4"/>
    <w:rsid w:val="006859B6"/>
    <w:rsid w:val="00686A17"/>
    <w:rsid w:val="00686B14"/>
    <w:rsid w:val="006873A0"/>
    <w:rsid w:val="00687564"/>
    <w:rsid w:val="00687EF5"/>
    <w:rsid w:val="006900AA"/>
    <w:rsid w:val="00690796"/>
    <w:rsid w:val="00690958"/>
    <w:rsid w:val="00690998"/>
    <w:rsid w:val="00691327"/>
    <w:rsid w:val="00691846"/>
    <w:rsid w:val="00691945"/>
    <w:rsid w:val="00691BA7"/>
    <w:rsid w:val="00691F26"/>
    <w:rsid w:val="00692300"/>
    <w:rsid w:val="006924AA"/>
    <w:rsid w:val="00692529"/>
    <w:rsid w:val="0069259E"/>
    <w:rsid w:val="00692A08"/>
    <w:rsid w:val="00692E6C"/>
    <w:rsid w:val="00693033"/>
    <w:rsid w:val="00693063"/>
    <w:rsid w:val="00693176"/>
    <w:rsid w:val="0069322E"/>
    <w:rsid w:val="00693720"/>
    <w:rsid w:val="0069387E"/>
    <w:rsid w:val="00693951"/>
    <w:rsid w:val="00693C21"/>
    <w:rsid w:val="00694170"/>
    <w:rsid w:val="0069437B"/>
    <w:rsid w:val="00694EA2"/>
    <w:rsid w:val="00694EBE"/>
    <w:rsid w:val="006950B1"/>
    <w:rsid w:val="006953E3"/>
    <w:rsid w:val="00695667"/>
    <w:rsid w:val="006957AD"/>
    <w:rsid w:val="00695949"/>
    <w:rsid w:val="00695EFE"/>
    <w:rsid w:val="00695F6D"/>
    <w:rsid w:val="00695FB4"/>
    <w:rsid w:val="00696831"/>
    <w:rsid w:val="00696D1D"/>
    <w:rsid w:val="006972E3"/>
    <w:rsid w:val="0069731C"/>
    <w:rsid w:val="00697435"/>
    <w:rsid w:val="006974DD"/>
    <w:rsid w:val="00697755"/>
    <w:rsid w:val="006A0449"/>
    <w:rsid w:val="006A0AC7"/>
    <w:rsid w:val="006A0B94"/>
    <w:rsid w:val="006A1580"/>
    <w:rsid w:val="006A1859"/>
    <w:rsid w:val="006A18A6"/>
    <w:rsid w:val="006A1A14"/>
    <w:rsid w:val="006A1AF9"/>
    <w:rsid w:val="006A1FE8"/>
    <w:rsid w:val="006A2074"/>
    <w:rsid w:val="006A21BF"/>
    <w:rsid w:val="006A283E"/>
    <w:rsid w:val="006A3107"/>
    <w:rsid w:val="006A31EA"/>
    <w:rsid w:val="006A3553"/>
    <w:rsid w:val="006A3870"/>
    <w:rsid w:val="006A3B11"/>
    <w:rsid w:val="006A3DB4"/>
    <w:rsid w:val="006A3FDF"/>
    <w:rsid w:val="006A4422"/>
    <w:rsid w:val="006A4A20"/>
    <w:rsid w:val="006A4C53"/>
    <w:rsid w:val="006A4CF5"/>
    <w:rsid w:val="006A4E84"/>
    <w:rsid w:val="006A4F0A"/>
    <w:rsid w:val="006A54F8"/>
    <w:rsid w:val="006A5977"/>
    <w:rsid w:val="006A5A91"/>
    <w:rsid w:val="006A63AC"/>
    <w:rsid w:val="006A6485"/>
    <w:rsid w:val="006A64EB"/>
    <w:rsid w:val="006A6713"/>
    <w:rsid w:val="006A7436"/>
    <w:rsid w:val="006A74D5"/>
    <w:rsid w:val="006A7AB3"/>
    <w:rsid w:val="006A7C07"/>
    <w:rsid w:val="006A7CA3"/>
    <w:rsid w:val="006AA75F"/>
    <w:rsid w:val="006B0FBF"/>
    <w:rsid w:val="006B109B"/>
    <w:rsid w:val="006B133D"/>
    <w:rsid w:val="006B1A52"/>
    <w:rsid w:val="006B1C21"/>
    <w:rsid w:val="006B1C80"/>
    <w:rsid w:val="006B2016"/>
    <w:rsid w:val="006B2111"/>
    <w:rsid w:val="006B227E"/>
    <w:rsid w:val="006B2562"/>
    <w:rsid w:val="006B259B"/>
    <w:rsid w:val="006B2AFB"/>
    <w:rsid w:val="006B2ED8"/>
    <w:rsid w:val="006B3713"/>
    <w:rsid w:val="006B38AD"/>
    <w:rsid w:val="006B3D94"/>
    <w:rsid w:val="006B3F63"/>
    <w:rsid w:val="006B3F83"/>
    <w:rsid w:val="006B4A66"/>
    <w:rsid w:val="006B4B10"/>
    <w:rsid w:val="006B4D1C"/>
    <w:rsid w:val="006B5572"/>
    <w:rsid w:val="006B56BD"/>
    <w:rsid w:val="006B588F"/>
    <w:rsid w:val="006B5A19"/>
    <w:rsid w:val="006B5F0D"/>
    <w:rsid w:val="006B6275"/>
    <w:rsid w:val="006B63FF"/>
    <w:rsid w:val="006B67C1"/>
    <w:rsid w:val="006B6E50"/>
    <w:rsid w:val="006B6FFF"/>
    <w:rsid w:val="006B7087"/>
    <w:rsid w:val="006B719D"/>
    <w:rsid w:val="006B7475"/>
    <w:rsid w:val="006B75AD"/>
    <w:rsid w:val="006B7722"/>
    <w:rsid w:val="006B78FD"/>
    <w:rsid w:val="006B7CB5"/>
    <w:rsid w:val="006C0009"/>
    <w:rsid w:val="006C0117"/>
    <w:rsid w:val="006C0A41"/>
    <w:rsid w:val="006C1018"/>
    <w:rsid w:val="006C120C"/>
    <w:rsid w:val="006C233C"/>
    <w:rsid w:val="006C2AAD"/>
    <w:rsid w:val="006C2DC8"/>
    <w:rsid w:val="006C2E76"/>
    <w:rsid w:val="006C3170"/>
    <w:rsid w:val="006C3242"/>
    <w:rsid w:val="006C3257"/>
    <w:rsid w:val="006C379C"/>
    <w:rsid w:val="006C3ADD"/>
    <w:rsid w:val="006C3B76"/>
    <w:rsid w:val="006C3F88"/>
    <w:rsid w:val="006C43FD"/>
    <w:rsid w:val="006C4521"/>
    <w:rsid w:val="006C4758"/>
    <w:rsid w:val="006C480F"/>
    <w:rsid w:val="006C4DC2"/>
    <w:rsid w:val="006C4F89"/>
    <w:rsid w:val="006C5076"/>
    <w:rsid w:val="006C509F"/>
    <w:rsid w:val="006C54AB"/>
    <w:rsid w:val="006C57A2"/>
    <w:rsid w:val="006C581E"/>
    <w:rsid w:val="006C596C"/>
    <w:rsid w:val="006C5BAB"/>
    <w:rsid w:val="006C5E26"/>
    <w:rsid w:val="006C66A5"/>
    <w:rsid w:val="006C68AC"/>
    <w:rsid w:val="006C7068"/>
    <w:rsid w:val="006C73C9"/>
    <w:rsid w:val="006C744F"/>
    <w:rsid w:val="006D0223"/>
    <w:rsid w:val="006D022C"/>
    <w:rsid w:val="006D0927"/>
    <w:rsid w:val="006D0F7F"/>
    <w:rsid w:val="006D10BE"/>
    <w:rsid w:val="006D1138"/>
    <w:rsid w:val="006D1200"/>
    <w:rsid w:val="006D1681"/>
    <w:rsid w:val="006D1E47"/>
    <w:rsid w:val="006D2E50"/>
    <w:rsid w:val="006D2F7F"/>
    <w:rsid w:val="006D3458"/>
    <w:rsid w:val="006D3644"/>
    <w:rsid w:val="006D3812"/>
    <w:rsid w:val="006D3952"/>
    <w:rsid w:val="006D39A3"/>
    <w:rsid w:val="006D3BFF"/>
    <w:rsid w:val="006D3F56"/>
    <w:rsid w:val="006D465A"/>
    <w:rsid w:val="006D4925"/>
    <w:rsid w:val="006D4A68"/>
    <w:rsid w:val="006D4A7E"/>
    <w:rsid w:val="006D4B3A"/>
    <w:rsid w:val="006D5092"/>
    <w:rsid w:val="006D509E"/>
    <w:rsid w:val="006D535B"/>
    <w:rsid w:val="006D5366"/>
    <w:rsid w:val="006D5760"/>
    <w:rsid w:val="006D5AB8"/>
    <w:rsid w:val="006D5E13"/>
    <w:rsid w:val="006D5F44"/>
    <w:rsid w:val="006D665B"/>
    <w:rsid w:val="006D67A6"/>
    <w:rsid w:val="006D698B"/>
    <w:rsid w:val="006D698C"/>
    <w:rsid w:val="006D6C67"/>
    <w:rsid w:val="006D703B"/>
    <w:rsid w:val="006D7B38"/>
    <w:rsid w:val="006E0457"/>
    <w:rsid w:val="006E0614"/>
    <w:rsid w:val="006E063A"/>
    <w:rsid w:val="006E06C6"/>
    <w:rsid w:val="006E06F6"/>
    <w:rsid w:val="006E0A40"/>
    <w:rsid w:val="006E1370"/>
    <w:rsid w:val="006E152D"/>
    <w:rsid w:val="006E1A4B"/>
    <w:rsid w:val="006E1B3A"/>
    <w:rsid w:val="006E1C01"/>
    <w:rsid w:val="006E1D90"/>
    <w:rsid w:val="006E1F9C"/>
    <w:rsid w:val="006E2448"/>
    <w:rsid w:val="006E25C9"/>
    <w:rsid w:val="006E25F5"/>
    <w:rsid w:val="006E2A21"/>
    <w:rsid w:val="006E2AD2"/>
    <w:rsid w:val="006E2B64"/>
    <w:rsid w:val="006E2BAA"/>
    <w:rsid w:val="006E2BB8"/>
    <w:rsid w:val="006E2D14"/>
    <w:rsid w:val="006E2E18"/>
    <w:rsid w:val="006E2F8E"/>
    <w:rsid w:val="006E301F"/>
    <w:rsid w:val="006E3895"/>
    <w:rsid w:val="006E3A55"/>
    <w:rsid w:val="006E3BBA"/>
    <w:rsid w:val="006E3FCA"/>
    <w:rsid w:val="006E4064"/>
    <w:rsid w:val="006E459F"/>
    <w:rsid w:val="006E4741"/>
    <w:rsid w:val="006E47D6"/>
    <w:rsid w:val="006E5249"/>
    <w:rsid w:val="006E5559"/>
    <w:rsid w:val="006E5904"/>
    <w:rsid w:val="006E5934"/>
    <w:rsid w:val="006E5AC7"/>
    <w:rsid w:val="006E5BD5"/>
    <w:rsid w:val="006E5C60"/>
    <w:rsid w:val="006E5C84"/>
    <w:rsid w:val="006E5CFD"/>
    <w:rsid w:val="006E5DA4"/>
    <w:rsid w:val="006E5F9F"/>
    <w:rsid w:val="006E6C56"/>
    <w:rsid w:val="006E7188"/>
    <w:rsid w:val="006E733A"/>
    <w:rsid w:val="006E7422"/>
    <w:rsid w:val="006E7607"/>
    <w:rsid w:val="006E7A85"/>
    <w:rsid w:val="006E7EC2"/>
    <w:rsid w:val="006F02CB"/>
    <w:rsid w:val="006F03D5"/>
    <w:rsid w:val="006F077E"/>
    <w:rsid w:val="006F0BF2"/>
    <w:rsid w:val="006F1251"/>
    <w:rsid w:val="006F130C"/>
    <w:rsid w:val="006F1349"/>
    <w:rsid w:val="006F17EF"/>
    <w:rsid w:val="006F1866"/>
    <w:rsid w:val="006F1A85"/>
    <w:rsid w:val="006F1AA4"/>
    <w:rsid w:val="006F1D58"/>
    <w:rsid w:val="006F2074"/>
    <w:rsid w:val="006F234F"/>
    <w:rsid w:val="006F25CE"/>
    <w:rsid w:val="006F2AE7"/>
    <w:rsid w:val="006F2F3C"/>
    <w:rsid w:val="006F300D"/>
    <w:rsid w:val="006F3F7F"/>
    <w:rsid w:val="006F42D4"/>
    <w:rsid w:val="006F483F"/>
    <w:rsid w:val="006F488D"/>
    <w:rsid w:val="006F48BF"/>
    <w:rsid w:val="006F4C40"/>
    <w:rsid w:val="006F4D11"/>
    <w:rsid w:val="006F507A"/>
    <w:rsid w:val="006F5180"/>
    <w:rsid w:val="006F551C"/>
    <w:rsid w:val="006F5546"/>
    <w:rsid w:val="006F5775"/>
    <w:rsid w:val="006F582A"/>
    <w:rsid w:val="006F59F8"/>
    <w:rsid w:val="006F5B61"/>
    <w:rsid w:val="006F5E35"/>
    <w:rsid w:val="006F5EC8"/>
    <w:rsid w:val="006F632A"/>
    <w:rsid w:val="006F64E3"/>
    <w:rsid w:val="006F6656"/>
    <w:rsid w:val="006F6770"/>
    <w:rsid w:val="006F6ABD"/>
    <w:rsid w:val="006F6C2D"/>
    <w:rsid w:val="006F6F31"/>
    <w:rsid w:val="006F70F8"/>
    <w:rsid w:val="006F711F"/>
    <w:rsid w:val="006F7155"/>
    <w:rsid w:val="006F7642"/>
    <w:rsid w:val="006F7B40"/>
    <w:rsid w:val="007002AF"/>
    <w:rsid w:val="007004D0"/>
    <w:rsid w:val="007006FF"/>
    <w:rsid w:val="007007D1"/>
    <w:rsid w:val="00700CF2"/>
    <w:rsid w:val="00700D2C"/>
    <w:rsid w:val="00700EC5"/>
    <w:rsid w:val="00701024"/>
    <w:rsid w:val="00701117"/>
    <w:rsid w:val="007013ED"/>
    <w:rsid w:val="00701B60"/>
    <w:rsid w:val="00702117"/>
    <w:rsid w:val="00702232"/>
    <w:rsid w:val="00702240"/>
    <w:rsid w:val="00702511"/>
    <w:rsid w:val="0070281B"/>
    <w:rsid w:val="0070281C"/>
    <w:rsid w:val="00702D0D"/>
    <w:rsid w:val="00702D70"/>
    <w:rsid w:val="00702F89"/>
    <w:rsid w:val="00702F92"/>
    <w:rsid w:val="0070368E"/>
    <w:rsid w:val="00703B40"/>
    <w:rsid w:val="00703BB4"/>
    <w:rsid w:val="00703D1D"/>
    <w:rsid w:val="00703FF5"/>
    <w:rsid w:val="00704472"/>
    <w:rsid w:val="00704695"/>
    <w:rsid w:val="00704A18"/>
    <w:rsid w:val="00704E51"/>
    <w:rsid w:val="007055DD"/>
    <w:rsid w:val="00705A98"/>
    <w:rsid w:val="00705B0E"/>
    <w:rsid w:val="00705D8C"/>
    <w:rsid w:val="00705FAA"/>
    <w:rsid w:val="00706BC9"/>
    <w:rsid w:val="00706E26"/>
    <w:rsid w:val="00707262"/>
    <w:rsid w:val="00707376"/>
    <w:rsid w:val="00707CF3"/>
    <w:rsid w:val="007101F1"/>
    <w:rsid w:val="007106EF"/>
    <w:rsid w:val="00710887"/>
    <w:rsid w:val="0071094D"/>
    <w:rsid w:val="0071098C"/>
    <w:rsid w:val="00710A58"/>
    <w:rsid w:val="00710BB3"/>
    <w:rsid w:val="00710E06"/>
    <w:rsid w:val="0071113E"/>
    <w:rsid w:val="007111C3"/>
    <w:rsid w:val="007112F3"/>
    <w:rsid w:val="007113B3"/>
    <w:rsid w:val="00711463"/>
    <w:rsid w:val="00711EB7"/>
    <w:rsid w:val="0071251C"/>
    <w:rsid w:val="007128D0"/>
    <w:rsid w:val="00712908"/>
    <w:rsid w:val="007129D8"/>
    <w:rsid w:val="00712FB7"/>
    <w:rsid w:val="00713289"/>
    <w:rsid w:val="00713A4E"/>
    <w:rsid w:val="00714698"/>
    <w:rsid w:val="007147E7"/>
    <w:rsid w:val="00714862"/>
    <w:rsid w:val="00714AA0"/>
    <w:rsid w:val="00714E81"/>
    <w:rsid w:val="00715100"/>
    <w:rsid w:val="007156C2"/>
    <w:rsid w:val="0071587A"/>
    <w:rsid w:val="00715D68"/>
    <w:rsid w:val="00715E3F"/>
    <w:rsid w:val="00715FB3"/>
    <w:rsid w:val="007163FE"/>
    <w:rsid w:val="00716556"/>
    <w:rsid w:val="007168DD"/>
    <w:rsid w:val="00716D65"/>
    <w:rsid w:val="00716DEA"/>
    <w:rsid w:val="007170F3"/>
    <w:rsid w:val="0071715A"/>
    <w:rsid w:val="00717B97"/>
    <w:rsid w:val="00717E48"/>
    <w:rsid w:val="00717F16"/>
    <w:rsid w:val="0072060C"/>
    <w:rsid w:val="00720E4D"/>
    <w:rsid w:val="00721936"/>
    <w:rsid w:val="00722450"/>
    <w:rsid w:val="00722552"/>
    <w:rsid w:val="007226B5"/>
    <w:rsid w:val="00722B2F"/>
    <w:rsid w:val="00723137"/>
    <w:rsid w:val="00723259"/>
    <w:rsid w:val="0072357E"/>
    <w:rsid w:val="007236B7"/>
    <w:rsid w:val="00723771"/>
    <w:rsid w:val="00723A09"/>
    <w:rsid w:val="00723DC6"/>
    <w:rsid w:val="00724122"/>
    <w:rsid w:val="00724871"/>
    <w:rsid w:val="00724BF1"/>
    <w:rsid w:val="0072516F"/>
    <w:rsid w:val="007259FA"/>
    <w:rsid w:val="00725ADD"/>
    <w:rsid w:val="00725DEA"/>
    <w:rsid w:val="00726501"/>
    <w:rsid w:val="007265FF"/>
    <w:rsid w:val="00726883"/>
    <w:rsid w:val="00726BCE"/>
    <w:rsid w:val="00726EDA"/>
    <w:rsid w:val="00727113"/>
    <w:rsid w:val="0072750B"/>
    <w:rsid w:val="0072783E"/>
    <w:rsid w:val="007278B8"/>
    <w:rsid w:val="0072790C"/>
    <w:rsid w:val="007279C9"/>
    <w:rsid w:val="00727C46"/>
    <w:rsid w:val="00727CE3"/>
    <w:rsid w:val="00727D56"/>
    <w:rsid w:val="00727D98"/>
    <w:rsid w:val="00728DE6"/>
    <w:rsid w:val="00730051"/>
    <w:rsid w:val="0073008E"/>
    <w:rsid w:val="007304BB"/>
    <w:rsid w:val="0073058A"/>
    <w:rsid w:val="007306C0"/>
    <w:rsid w:val="0073084C"/>
    <w:rsid w:val="00731018"/>
    <w:rsid w:val="007313A3"/>
    <w:rsid w:val="007318F9"/>
    <w:rsid w:val="0073196A"/>
    <w:rsid w:val="00731B7F"/>
    <w:rsid w:val="00733D78"/>
    <w:rsid w:val="00733DE8"/>
    <w:rsid w:val="00734F93"/>
    <w:rsid w:val="00735024"/>
    <w:rsid w:val="00735492"/>
    <w:rsid w:val="007356A6"/>
    <w:rsid w:val="00735751"/>
    <w:rsid w:val="00735D09"/>
    <w:rsid w:val="007363EA"/>
    <w:rsid w:val="00736646"/>
    <w:rsid w:val="007366E2"/>
    <w:rsid w:val="00736761"/>
    <w:rsid w:val="00736CB6"/>
    <w:rsid w:val="00736CC1"/>
    <w:rsid w:val="007370D1"/>
    <w:rsid w:val="00737756"/>
    <w:rsid w:val="0073799D"/>
    <w:rsid w:val="00740A88"/>
    <w:rsid w:val="00740D0A"/>
    <w:rsid w:val="00740D95"/>
    <w:rsid w:val="00741183"/>
    <w:rsid w:val="007412E5"/>
    <w:rsid w:val="0074151B"/>
    <w:rsid w:val="00742128"/>
    <w:rsid w:val="00742143"/>
    <w:rsid w:val="00742162"/>
    <w:rsid w:val="007424C0"/>
    <w:rsid w:val="0074259E"/>
    <w:rsid w:val="0074289F"/>
    <w:rsid w:val="007428AF"/>
    <w:rsid w:val="007428B8"/>
    <w:rsid w:val="00742A82"/>
    <w:rsid w:val="00742B53"/>
    <w:rsid w:val="00742C7D"/>
    <w:rsid w:val="00742CD0"/>
    <w:rsid w:val="007431B8"/>
    <w:rsid w:val="007433A5"/>
    <w:rsid w:val="00743499"/>
    <w:rsid w:val="007438CE"/>
    <w:rsid w:val="007438D1"/>
    <w:rsid w:val="0074398D"/>
    <w:rsid w:val="00743A00"/>
    <w:rsid w:val="00743B4D"/>
    <w:rsid w:val="00743E2C"/>
    <w:rsid w:val="00743F8D"/>
    <w:rsid w:val="007442F1"/>
    <w:rsid w:val="0074450A"/>
    <w:rsid w:val="007447BD"/>
    <w:rsid w:val="0074481C"/>
    <w:rsid w:val="00744BE1"/>
    <w:rsid w:val="00744EE6"/>
    <w:rsid w:val="00745435"/>
    <w:rsid w:val="0074570E"/>
    <w:rsid w:val="00745922"/>
    <w:rsid w:val="00745CC4"/>
    <w:rsid w:val="0074608F"/>
    <w:rsid w:val="0074610F"/>
    <w:rsid w:val="00746164"/>
    <w:rsid w:val="0074647B"/>
    <w:rsid w:val="00746670"/>
    <w:rsid w:val="00746EC1"/>
    <w:rsid w:val="00746F01"/>
    <w:rsid w:val="00746F2B"/>
    <w:rsid w:val="0074718D"/>
    <w:rsid w:val="0074730D"/>
    <w:rsid w:val="00747AA3"/>
    <w:rsid w:val="00750047"/>
    <w:rsid w:val="0075055D"/>
    <w:rsid w:val="0075058B"/>
    <w:rsid w:val="00750595"/>
    <w:rsid w:val="00750A1A"/>
    <w:rsid w:val="00750A62"/>
    <w:rsid w:val="00750B7E"/>
    <w:rsid w:val="007511D4"/>
    <w:rsid w:val="00751443"/>
    <w:rsid w:val="00751587"/>
    <w:rsid w:val="00751CC8"/>
    <w:rsid w:val="00752328"/>
    <w:rsid w:val="007524E2"/>
    <w:rsid w:val="00752632"/>
    <w:rsid w:val="00752A1D"/>
    <w:rsid w:val="00752F5C"/>
    <w:rsid w:val="00753471"/>
    <w:rsid w:val="0075368E"/>
    <w:rsid w:val="00753887"/>
    <w:rsid w:val="00753D72"/>
    <w:rsid w:val="0075405E"/>
    <w:rsid w:val="007541F4"/>
    <w:rsid w:val="00754245"/>
    <w:rsid w:val="00754317"/>
    <w:rsid w:val="0075431D"/>
    <w:rsid w:val="00754B12"/>
    <w:rsid w:val="00754DE8"/>
    <w:rsid w:val="0075506C"/>
    <w:rsid w:val="00755381"/>
    <w:rsid w:val="0075549D"/>
    <w:rsid w:val="007554B4"/>
    <w:rsid w:val="0075579A"/>
    <w:rsid w:val="007557DD"/>
    <w:rsid w:val="00756364"/>
    <w:rsid w:val="007566E1"/>
    <w:rsid w:val="007567D2"/>
    <w:rsid w:val="00756D98"/>
    <w:rsid w:val="007573EC"/>
    <w:rsid w:val="00757526"/>
    <w:rsid w:val="007579C5"/>
    <w:rsid w:val="007579D3"/>
    <w:rsid w:val="00757BC6"/>
    <w:rsid w:val="00757F95"/>
    <w:rsid w:val="00760227"/>
    <w:rsid w:val="007603E4"/>
    <w:rsid w:val="00760D4C"/>
    <w:rsid w:val="00760ED3"/>
    <w:rsid w:val="00761C0C"/>
    <w:rsid w:val="00761D86"/>
    <w:rsid w:val="00762006"/>
    <w:rsid w:val="0076206E"/>
    <w:rsid w:val="00762A65"/>
    <w:rsid w:val="00762A67"/>
    <w:rsid w:val="00762C71"/>
    <w:rsid w:val="00762E92"/>
    <w:rsid w:val="0076343C"/>
    <w:rsid w:val="007634C2"/>
    <w:rsid w:val="007636F1"/>
    <w:rsid w:val="00763A2A"/>
    <w:rsid w:val="00764303"/>
    <w:rsid w:val="00764AC2"/>
    <w:rsid w:val="00764EE0"/>
    <w:rsid w:val="00765541"/>
    <w:rsid w:val="00765651"/>
    <w:rsid w:val="00765C03"/>
    <w:rsid w:val="007661FB"/>
    <w:rsid w:val="0076689E"/>
    <w:rsid w:val="00766B9E"/>
    <w:rsid w:val="00766E3F"/>
    <w:rsid w:val="007670E0"/>
    <w:rsid w:val="00767892"/>
    <w:rsid w:val="007678EB"/>
    <w:rsid w:val="00767C81"/>
    <w:rsid w:val="00770442"/>
    <w:rsid w:val="0077049F"/>
    <w:rsid w:val="0077059B"/>
    <w:rsid w:val="0077060A"/>
    <w:rsid w:val="00770AF4"/>
    <w:rsid w:val="007713F7"/>
    <w:rsid w:val="0077177F"/>
    <w:rsid w:val="00771AA6"/>
    <w:rsid w:val="00771D84"/>
    <w:rsid w:val="00771E70"/>
    <w:rsid w:val="00771F99"/>
    <w:rsid w:val="0077265A"/>
    <w:rsid w:val="007731C7"/>
    <w:rsid w:val="007734A5"/>
    <w:rsid w:val="0077371E"/>
    <w:rsid w:val="00773AD7"/>
    <w:rsid w:val="007740E5"/>
    <w:rsid w:val="00774323"/>
    <w:rsid w:val="007744E7"/>
    <w:rsid w:val="0077575C"/>
    <w:rsid w:val="007759F1"/>
    <w:rsid w:val="00776050"/>
    <w:rsid w:val="00776181"/>
    <w:rsid w:val="007763B6"/>
    <w:rsid w:val="0077648A"/>
    <w:rsid w:val="0077682C"/>
    <w:rsid w:val="007769B7"/>
    <w:rsid w:val="00776B27"/>
    <w:rsid w:val="007773E8"/>
    <w:rsid w:val="007773F1"/>
    <w:rsid w:val="0077770F"/>
    <w:rsid w:val="00777A84"/>
    <w:rsid w:val="00777CE4"/>
    <w:rsid w:val="00777D56"/>
    <w:rsid w:val="00780208"/>
    <w:rsid w:val="00780718"/>
    <w:rsid w:val="0078080F"/>
    <w:rsid w:val="007808BC"/>
    <w:rsid w:val="00780BB6"/>
    <w:rsid w:val="007812E4"/>
    <w:rsid w:val="0078151F"/>
    <w:rsid w:val="0078188B"/>
    <w:rsid w:val="00781B80"/>
    <w:rsid w:val="00781C31"/>
    <w:rsid w:val="00781EB1"/>
    <w:rsid w:val="007821D1"/>
    <w:rsid w:val="00782A75"/>
    <w:rsid w:val="00782C28"/>
    <w:rsid w:val="007831B4"/>
    <w:rsid w:val="007832F1"/>
    <w:rsid w:val="00783389"/>
    <w:rsid w:val="00783402"/>
    <w:rsid w:val="0078344D"/>
    <w:rsid w:val="007834C9"/>
    <w:rsid w:val="00783B82"/>
    <w:rsid w:val="00783EAC"/>
    <w:rsid w:val="00783F0A"/>
    <w:rsid w:val="00784904"/>
    <w:rsid w:val="00784EF1"/>
    <w:rsid w:val="007850E5"/>
    <w:rsid w:val="0078510B"/>
    <w:rsid w:val="00785145"/>
    <w:rsid w:val="00785178"/>
    <w:rsid w:val="00785249"/>
    <w:rsid w:val="0078544F"/>
    <w:rsid w:val="00785492"/>
    <w:rsid w:val="007855F8"/>
    <w:rsid w:val="007857D7"/>
    <w:rsid w:val="00785CDE"/>
    <w:rsid w:val="00785FBD"/>
    <w:rsid w:val="0078626B"/>
    <w:rsid w:val="0078627C"/>
    <w:rsid w:val="00786301"/>
    <w:rsid w:val="00786443"/>
    <w:rsid w:val="00786A5B"/>
    <w:rsid w:val="00786DC1"/>
    <w:rsid w:val="00786FAA"/>
    <w:rsid w:val="0078701B"/>
    <w:rsid w:val="007870ED"/>
    <w:rsid w:val="0078722C"/>
    <w:rsid w:val="0078728D"/>
    <w:rsid w:val="0078790D"/>
    <w:rsid w:val="007879A7"/>
    <w:rsid w:val="00787C55"/>
    <w:rsid w:val="00787DC3"/>
    <w:rsid w:val="007904CC"/>
    <w:rsid w:val="007904ED"/>
    <w:rsid w:val="00790C6C"/>
    <w:rsid w:val="00791E9C"/>
    <w:rsid w:val="00791F51"/>
    <w:rsid w:val="0079205C"/>
    <w:rsid w:val="00792280"/>
    <w:rsid w:val="0079268C"/>
    <w:rsid w:val="00792B36"/>
    <w:rsid w:val="00792CBD"/>
    <w:rsid w:val="00793177"/>
    <w:rsid w:val="0079319C"/>
    <w:rsid w:val="007936FC"/>
    <w:rsid w:val="007937FF"/>
    <w:rsid w:val="00793EF9"/>
    <w:rsid w:val="00794027"/>
    <w:rsid w:val="0079438C"/>
    <w:rsid w:val="0079440F"/>
    <w:rsid w:val="007947C8"/>
    <w:rsid w:val="007949AC"/>
    <w:rsid w:val="00794A35"/>
    <w:rsid w:val="00794A3F"/>
    <w:rsid w:val="00794CD9"/>
    <w:rsid w:val="007955B0"/>
    <w:rsid w:val="007957D7"/>
    <w:rsid w:val="00795892"/>
    <w:rsid w:val="007959BB"/>
    <w:rsid w:val="00795C53"/>
    <w:rsid w:val="00796DAC"/>
    <w:rsid w:val="00796E45"/>
    <w:rsid w:val="00796FA7"/>
    <w:rsid w:val="00796FF9"/>
    <w:rsid w:val="007974B8"/>
    <w:rsid w:val="007977B7"/>
    <w:rsid w:val="00797A4B"/>
    <w:rsid w:val="007A0901"/>
    <w:rsid w:val="007A0B58"/>
    <w:rsid w:val="007A0C13"/>
    <w:rsid w:val="007A0F2C"/>
    <w:rsid w:val="007A14BC"/>
    <w:rsid w:val="007A16DA"/>
    <w:rsid w:val="007A1AF5"/>
    <w:rsid w:val="007A2053"/>
    <w:rsid w:val="007A23B1"/>
    <w:rsid w:val="007A2525"/>
    <w:rsid w:val="007A2599"/>
    <w:rsid w:val="007A2DE8"/>
    <w:rsid w:val="007A4959"/>
    <w:rsid w:val="007A4CC7"/>
    <w:rsid w:val="007A4EBA"/>
    <w:rsid w:val="007A5713"/>
    <w:rsid w:val="007A5779"/>
    <w:rsid w:val="007A59F6"/>
    <w:rsid w:val="007A6040"/>
    <w:rsid w:val="007A61C5"/>
    <w:rsid w:val="007A6E41"/>
    <w:rsid w:val="007A6F89"/>
    <w:rsid w:val="007A6F8E"/>
    <w:rsid w:val="007A7248"/>
    <w:rsid w:val="007A73B0"/>
    <w:rsid w:val="007A7720"/>
    <w:rsid w:val="007A77AC"/>
    <w:rsid w:val="007A7DA8"/>
    <w:rsid w:val="007B0154"/>
    <w:rsid w:val="007B111A"/>
    <w:rsid w:val="007B1425"/>
    <w:rsid w:val="007B16CF"/>
    <w:rsid w:val="007B17DC"/>
    <w:rsid w:val="007B1B47"/>
    <w:rsid w:val="007B20BD"/>
    <w:rsid w:val="007B244A"/>
    <w:rsid w:val="007B2511"/>
    <w:rsid w:val="007B2917"/>
    <w:rsid w:val="007B2BEF"/>
    <w:rsid w:val="007B2BFF"/>
    <w:rsid w:val="007B2D30"/>
    <w:rsid w:val="007B2DB5"/>
    <w:rsid w:val="007B302E"/>
    <w:rsid w:val="007B33FA"/>
    <w:rsid w:val="007B384A"/>
    <w:rsid w:val="007B40F9"/>
    <w:rsid w:val="007B43EE"/>
    <w:rsid w:val="007B45C4"/>
    <w:rsid w:val="007B5710"/>
    <w:rsid w:val="007B5B82"/>
    <w:rsid w:val="007B5C52"/>
    <w:rsid w:val="007B5F0D"/>
    <w:rsid w:val="007B610F"/>
    <w:rsid w:val="007B6756"/>
    <w:rsid w:val="007B6901"/>
    <w:rsid w:val="007B6A7F"/>
    <w:rsid w:val="007B6EDE"/>
    <w:rsid w:val="007B7078"/>
    <w:rsid w:val="007B748D"/>
    <w:rsid w:val="007B769A"/>
    <w:rsid w:val="007B7B5B"/>
    <w:rsid w:val="007C007A"/>
    <w:rsid w:val="007C060B"/>
    <w:rsid w:val="007C0778"/>
    <w:rsid w:val="007C0B33"/>
    <w:rsid w:val="007C0CCF"/>
    <w:rsid w:val="007C10E0"/>
    <w:rsid w:val="007C13F5"/>
    <w:rsid w:val="007C1445"/>
    <w:rsid w:val="007C1C27"/>
    <w:rsid w:val="007C2062"/>
    <w:rsid w:val="007C2077"/>
    <w:rsid w:val="007C207E"/>
    <w:rsid w:val="007C20E4"/>
    <w:rsid w:val="007C22AE"/>
    <w:rsid w:val="007C23E8"/>
    <w:rsid w:val="007C29D2"/>
    <w:rsid w:val="007C2BA0"/>
    <w:rsid w:val="007C2C5E"/>
    <w:rsid w:val="007C2D80"/>
    <w:rsid w:val="007C2F31"/>
    <w:rsid w:val="007C3AD4"/>
    <w:rsid w:val="007C3CA8"/>
    <w:rsid w:val="007C43C2"/>
    <w:rsid w:val="007C446E"/>
    <w:rsid w:val="007C4805"/>
    <w:rsid w:val="007C49DE"/>
    <w:rsid w:val="007C4DD8"/>
    <w:rsid w:val="007C4E24"/>
    <w:rsid w:val="007C53E8"/>
    <w:rsid w:val="007C5697"/>
    <w:rsid w:val="007C5FB8"/>
    <w:rsid w:val="007C61D8"/>
    <w:rsid w:val="007C6890"/>
    <w:rsid w:val="007C6D48"/>
    <w:rsid w:val="007C6FF1"/>
    <w:rsid w:val="007C6FFB"/>
    <w:rsid w:val="007C7308"/>
    <w:rsid w:val="007C73A8"/>
    <w:rsid w:val="007C74EC"/>
    <w:rsid w:val="007C78EA"/>
    <w:rsid w:val="007C7E77"/>
    <w:rsid w:val="007D08B3"/>
    <w:rsid w:val="007D0EEC"/>
    <w:rsid w:val="007D0F76"/>
    <w:rsid w:val="007D142E"/>
    <w:rsid w:val="007D199B"/>
    <w:rsid w:val="007D1B7C"/>
    <w:rsid w:val="007D1C0B"/>
    <w:rsid w:val="007D24B4"/>
    <w:rsid w:val="007D25A6"/>
    <w:rsid w:val="007D26FF"/>
    <w:rsid w:val="007D2E7F"/>
    <w:rsid w:val="007D372E"/>
    <w:rsid w:val="007D3736"/>
    <w:rsid w:val="007D374A"/>
    <w:rsid w:val="007D405D"/>
    <w:rsid w:val="007D4103"/>
    <w:rsid w:val="007D4408"/>
    <w:rsid w:val="007D46E9"/>
    <w:rsid w:val="007D46FE"/>
    <w:rsid w:val="007D4A30"/>
    <w:rsid w:val="007D4EF5"/>
    <w:rsid w:val="007D4F94"/>
    <w:rsid w:val="007D4FAF"/>
    <w:rsid w:val="007D55EE"/>
    <w:rsid w:val="007D5678"/>
    <w:rsid w:val="007D5FD2"/>
    <w:rsid w:val="007D6038"/>
    <w:rsid w:val="007D6598"/>
    <w:rsid w:val="007D6A8F"/>
    <w:rsid w:val="007D6D4A"/>
    <w:rsid w:val="007D6FFA"/>
    <w:rsid w:val="007D70B5"/>
    <w:rsid w:val="007D7C9B"/>
    <w:rsid w:val="007E028A"/>
    <w:rsid w:val="007E02FC"/>
    <w:rsid w:val="007E077C"/>
    <w:rsid w:val="007E0E9D"/>
    <w:rsid w:val="007E1094"/>
    <w:rsid w:val="007E10EB"/>
    <w:rsid w:val="007E1191"/>
    <w:rsid w:val="007E1197"/>
    <w:rsid w:val="007E1486"/>
    <w:rsid w:val="007E1584"/>
    <w:rsid w:val="007E1A71"/>
    <w:rsid w:val="007E1C6E"/>
    <w:rsid w:val="007E2E53"/>
    <w:rsid w:val="007E2F9E"/>
    <w:rsid w:val="007E307A"/>
    <w:rsid w:val="007E31AC"/>
    <w:rsid w:val="007E3201"/>
    <w:rsid w:val="007E32F6"/>
    <w:rsid w:val="007E3BAE"/>
    <w:rsid w:val="007E3CD8"/>
    <w:rsid w:val="007E41BE"/>
    <w:rsid w:val="007E4B08"/>
    <w:rsid w:val="007E4BD6"/>
    <w:rsid w:val="007E4C5F"/>
    <w:rsid w:val="007E4EF8"/>
    <w:rsid w:val="007E556F"/>
    <w:rsid w:val="007E59DB"/>
    <w:rsid w:val="007E5ACB"/>
    <w:rsid w:val="007E6346"/>
    <w:rsid w:val="007E63BF"/>
    <w:rsid w:val="007E6418"/>
    <w:rsid w:val="007E68AE"/>
    <w:rsid w:val="007E68E5"/>
    <w:rsid w:val="007E6C79"/>
    <w:rsid w:val="007E7380"/>
    <w:rsid w:val="007E755C"/>
    <w:rsid w:val="007E7A76"/>
    <w:rsid w:val="007E7E6C"/>
    <w:rsid w:val="007E7FF7"/>
    <w:rsid w:val="007F0235"/>
    <w:rsid w:val="007F0DB2"/>
    <w:rsid w:val="007F111E"/>
    <w:rsid w:val="007F1364"/>
    <w:rsid w:val="007F1DE5"/>
    <w:rsid w:val="007F2083"/>
    <w:rsid w:val="007F21C0"/>
    <w:rsid w:val="007F2643"/>
    <w:rsid w:val="007F2B20"/>
    <w:rsid w:val="007F2B45"/>
    <w:rsid w:val="007F2D93"/>
    <w:rsid w:val="007F2D9A"/>
    <w:rsid w:val="007F318E"/>
    <w:rsid w:val="007F3310"/>
    <w:rsid w:val="007F345F"/>
    <w:rsid w:val="007F3A4D"/>
    <w:rsid w:val="007F3C4D"/>
    <w:rsid w:val="007F3D74"/>
    <w:rsid w:val="007F3E0C"/>
    <w:rsid w:val="007F3EAC"/>
    <w:rsid w:val="007F42FA"/>
    <w:rsid w:val="007F51B1"/>
    <w:rsid w:val="007F5523"/>
    <w:rsid w:val="007F5827"/>
    <w:rsid w:val="007F5834"/>
    <w:rsid w:val="007F5958"/>
    <w:rsid w:val="007F59E0"/>
    <w:rsid w:val="007F5B22"/>
    <w:rsid w:val="007F5D11"/>
    <w:rsid w:val="007F5F4B"/>
    <w:rsid w:val="007F6083"/>
    <w:rsid w:val="007F622D"/>
    <w:rsid w:val="007F658F"/>
    <w:rsid w:val="007F666E"/>
    <w:rsid w:val="007F6965"/>
    <w:rsid w:val="007F69DE"/>
    <w:rsid w:val="007F6BA3"/>
    <w:rsid w:val="007F6C52"/>
    <w:rsid w:val="007F6CED"/>
    <w:rsid w:val="007F6E69"/>
    <w:rsid w:val="007F7C28"/>
    <w:rsid w:val="007F7C3E"/>
    <w:rsid w:val="007F7E6C"/>
    <w:rsid w:val="008003E8"/>
    <w:rsid w:val="00800466"/>
    <w:rsid w:val="00800709"/>
    <w:rsid w:val="008007BF"/>
    <w:rsid w:val="00800BF8"/>
    <w:rsid w:val="00800C70"/>
    <w:rsid w:val="00800FC4"/>
    <w:rsid w:val="00801030"/>
    <w:rsid w:val="0080110B"/>
    <w:rsid w:val="0080170B"/>
    <w:rsid w:val="00801B21"/>
    <w:rsid w:val="00801D94"/>
    <w:rsid w:val="008025A5"/>
    <w:rsid w:val="00802722"/>
    <w:rsid w:val="00802B0A"/>
    <w:rsid w:val="008030C7"/>
    <w:rsid w:val="008031F4"/>
    <w:rsid w:val="008032D3"/>
    <w:rsid w:val="00803521"/>
    <w:rsid w:val="00803BF1"/>
    <w:rsid w:val="00803C8A"/>
    <w:rsid w:val="00803DAB"/>
    <w:rsid w:val="00803DF9"/>
    <w:rsid w:val="0080444F"/>
    <w:rsid w:val="00804D96"/>
    <w:rsid w:val="00804E42"/>
    <w:rsid w:val="008052DB"/>
    <w:rsid w:val="00805A63"/>
    <w:rsid w:val="00805C91"/>
    <w:rsid w:val="0080625D"/>
    <w:rsid w:val="0080663E"/>
    <w:rsid w:val="00806C07"/>
    <w:rsid w:val="00806DBB"/>
    <w:rsid w:val="00806E2F"/>
    <w:rsid w:val="00806F75"/>
    <w:rsid w:val="008070FB"/>
    <w:rsid w:val="00807303"/>
    <w:rsid w:val="008078E7"/>
    <w:rsid w:val="00807CC5"/>
    <w:rsid w:val="00807ECD"/>
    <w:rsid w:val="008101C9"/>
    <w:rsid w:val="008104A9"/>
    <w:rsid w:val="008107A6"/>
    <w:rsid w:val="00810C5D"/>
    <w:rsid w:val="00810EA6"/>
    <w:rsid w:val="00810FB2"/>
    <w:rsid w:val="008111B5"/>
    <w:rsid w:val="00811640"/>
    <w:rsid w:val="008118F5"/>
    <w:rsid w:val="00811A56"/>
    <w:rsid w:val="00811D5E"/>
    <w:rsid w:val="00811F21"/>
    <w:rsid w:val="00812372"/>
    <w:rsid w:val="008123EE"/>
    <w:rsid w:val="00812400"/>
    <w:rsid w:val="00812644"/>
    <w:rsid w:val="00812A54"/>
    <w:rsid w:val="00812C5A"/>
    <w:rsid w:val="00812DE4"/>
    <w:rsid w:val="00813013"/>
    <w:rsid w:val="0081308D"/>
    <w:rsid w:val="008135E5"/>
    <w:rsid w:val="008136F2"/>
    <w:rsid w:val="00813737"/>
    <w:rsid w:val="0081393D"/>
    <w:rsid w:val="00813D1F"/>
    <w:rsid w:val="00813D81"/>
    <w:rsid w:val="008142B2"/>
    <w:rsid w:val="008145E1"/>
    <w:rsid w:val="00814846"/>
    <w:rsid w:val="00814BC0"/>
    <w:rsid w:val="00815573"/>
    <w:rsid w:val="0081586D"/>
    <w:rsid w:val="008158D8"/>
    <w:rsid w:val="00815A48"/>
    <w:rsid w:val="00815C17"/>
    <w:rsid w:val="00816175"/>
    <w:rsid w:val="00816294"/>
    <w:rsid w:val="008166F3"/>
    <w:rsid w:val="00816B14"/>
    <w:rsid w:val="00816BB1"/>
    <w:rsid w:val="00817350"/>
    <w:rsid w:val="00817E4F"/>
    <w:rsid w:val="008201E0"/>
    <w:rsid w:val="008204A3"/>
    <w:rsid w:val="00820691"/>
    <w:rsid w:val="008207EE"/>
    <w:rsid w:val="00820B71"/>
    <w:rsid w:val="00820FE1"/>
    <w:rsid w:val="0082103C"/>
    <w:rsid w:val="00821342"/>
    <w:rsid w:val="00821683"/>
    <w:rsid w:val="00821EC9"/>
    <w:rsid w:val="0082218E"/>
    <w:rsid w:val="008222B9"/>
    <w:rsid w:val="0082246E"/>
    <w:rsid w:val="00822657"/>
    <w:rsid w:val="00823408"/>
    <w:rsid w:val="008238B8"/>
    <w:rsid w:val="0082390B"/>
    <w:rsid w:val="00823E28"/>
    <w:rsid w:val="0082460A"/>
    <w:rsid w:val="008246FF"/>
    <w:rsid w:val="008249F6"/>
    <w:rsid w:val="00824C83"/>
    <w:rsid w:val="00825676"/>
    <w:rsid w:val="0082584D"/>
    <w:rsid w:val="00825C01"/>
    <w:rsid w:val="00825C49"/>
    <w:rsid w:val="00825C6C"/>
    <w:rsid w:val="00826000"/>
    <w:rsid w:val="008260D1"/>
    <w:rsid w:val="00826194"/>
    <w:rsid w:val="008265EE"/>
    <w:rsid w:val="008267FA"/>
    <w:rsid w:val="00826E41"/>
    <w:rsid w:val="008270D3"/>
    <w:rsid w:val="00827539"/>
    <w:rsid w:val="008277D6"/>
    <w:rsid w:val="0082786E"/>
    <w:rsid w:val="008279B1"/>
    <w:rsid w:val="00827DB1"/>
    <w:rsid w:val="0083010A"/>
    <w:rsid w:val="0083050E"/>
    <w:rsid w:val="008306EF"/>
    <w:rsid w:val="00830D72"/>
    <w:rsid w:val="00830E22"/>
    <w:rsid w:val="00830E60"/>
    <w:rsid w:val="00830EF5"/>
    <w:rsid w:val="008312F5"/>
    <w:rsid w:val="008312FB"/>
    <w:rsid w:val="0083151C"/>
    <w:rsid w:val="0083176A"/>
    <w:rsid w:val="00831D62"/>
    <w:rsid w:val="00831ED9"/>
    <w:rsid w:val="00831EE1"/>
    <w:rsid w:val="008321FA"/>
    <w:rsid w:val="00832269"/>
    <w:rsid w:val="008323B9"/>
    <w:rsid w:val="008323E3"/>
    <w:rsid w:val="00832459"/>
    <w:rsid w:val="00832469"/>
    <w:rsid w:val="008326CB"/>
    <w:rsid w:val="008327CD"/>
    <w:rsid w:val="00832845"/>
    <w:rsid w:val="00832BAC"/>
    <w:rsid w:val="00833026"/>
    <w:rsid w:val="0083314E"/>
    <w:rsid w:val="008333C3"/>
    <w:rsid w:val="00833657"/>
    <w:rsid w:val="00833725"/>
    <w:rsid w:val="008339FD"/>
    <w:rsid w:val="00833B56"/>
    <w:rsid w:val="008340AB"/>
    <w:rsid w:val="008342CC"/>
    <w:rsid w:val="00834506"/>
    <w:rsid w:val="00834741"/>
    <w:rsid w:val="00834A1F"/>
    <w:rsid w:val="00834F07"/>
    <w:rsid w:val="00835295"/>
    <w:rsid w:val="0083540C"/>
    <w:rsid w:val="0083549D"/>
    <w:rsid w:val="008356E6"/>
    <w:rsid w:val="008357E3"/>
    <w:rsid w:val="00835A15"/>
    <w:rsid w:val="0083688A"/>
    <w:rsid w:val="00836A78"/>
    <w:rsid w:val="00836BBA"/>
    <w:rsid w:val="0083772F"/>
    <w:rsid w:val="00837985"/>
    <w:rsid w:val="008403B8"/>
    <w:rsid w:val="0084047D"/>
    <w:rsid w:val="008405BA"/>
    <w:rsid w:val="00841041"/>
    <w:rsid w:val="0084153F"/>
    <w:rsid w:val="008417F1"/>
    <w:rsid w:val="008418E5"/>
    <w:rsid w:val="00841B87"/>
    <w:rsid w:val="008421E8"/>
    <w:rsid w:val="0084221B"/>
    <w:rsid w:val="00842248"/>
    <w:rsid w:val="008423BC"/>
    <w:rsid w:val="00842CE6"/>
    <w:rsid w:val="00842D9A"/>
    <w:rsid w:val="008433CC"/>
    <w:rsid w:val="00843472"/>
    <w:rsid w:val="008438E0"/>
    <w:rsid w:val="00843AED"/>
    <w:rsid w:val="00843CF9"/>
    <w:rsid w:val="008441FE"/>
    <w:rsid w:val="0084426C"/>
    <w:rsid w:val="0084426D"/>
    <w:rsid w:val="00844671"/>
    <w:rsid w:val="00844B00"/>
    <w:rsid w:val="00844F81"/>
    <w:rsid w:val="00845958"/>
    <w:rsid w:val="0084598C"/>
    <w:rsid w:val="008459DF"/>
    <w:rsid w:val="008461D0"/>
    <w:rsid w:val="0084640D"/>
    <w:rsid w:val="008464C4"/>
    <w:rsid w:val="008465FC"/>
    <w:rsid w:val="008471F9"/>
    <w:rsid w:val="008473A5"/>
    <w:rsid w:val="00847A28"/>
    <w:rsid w:val="00847D70"/>
    <w:rsid w:val="00847E6E"/>
    <w:rsid w:val="00847E9D"/>
    <w:rsid w:val="00847F75"/>
    <w:rsid w:val="00850439"/>
    <w:rsid w:val="0085044D"/>
    <w:rsid w:val="00850747"/>
    <w:rsid w:val="008511A6"/>
    <w:rsid w:val="008515E2"/>
    <w:rsid w:val="00851610"/>
    <w:rsid w:val="00851704"/>
    <w:rsid w:val="00851839"/>
    <w:rsid w:val="00851936"/>
    <w:rsid w:val="00851B3F"/>
    <w:rsid w:val="00851B83"/>
    <w:rsid w:val="00851F15"/>
    <w:rsid w:val="00851FE0"/>
    <w:rsid w:val="008522A3"/>
    <w:rsid w:val="008525A3"/>
    <w:rsid w:val="00852CF3"/>
    <w:rsid w:val="00853716"/>
    <w:rsid w:val="0085388F"/>
    <w:rsid w:val="00853A66"/>
    <w:rsid w:val="00853B54"/>
    <w:rsid w:val="00853C3A"/>
    <w:rsid w:val="00854386"/>
    <w:rsid w:val="008545BF"/>
    <w:rsid w:val="0085464A"/>
    <w:rsid w:val="00854CC4"/>
    <w:rsid w:val="00854DCC"/>
    <w:rsid w:val="00855119"/>
    <w:rsid w:val="0085535B"/>
    <w:rsid w:val="0085572C"/>
    <w:rsid w:val="00855A43"/>
    <w:rsid w:val="00856117"/>
    <w:rsid w:val="0085667B"/>
    <w:rsid w:val="00856A3F"/>
    <w:rsid w:val="00856B10"/>
    <w:rsid w:val="00856CD0"/>
    <w:rsid w:val="00856F59"/>
    <w:rsid w:val="00857128"/>
    <w:rsid w:val="00857312"/>
    <w:rsid w:val="0085742A"/>
    <w:rsid w:val="00857780"/>
    <w:rsid w:val="0085790F"/>
    <w:rsid w:val="00857A08"/>
    <w:rsid w:val="00857A3F"/>
    <w:rsid w:val="00857EEE"/>
    <w:rsid w:val="00860157"/>
    <w:rsid w:val="00860D67"/>
    <w:rsid w:val="00861562"/>
    <w:rsid w:val="008615E7"/>
    <w:rsid w:val="008617F8"/>
    <w:rsid w:val="008618DD"/>
    <w:rsid w:val="0086218B"/>
    <w:rsid w:val="008622DE"/>
    <w:rsid w:val="008624D9"/>
    <w:rsid w:val="00862AED"/>
    <w:rsid w:val="00862B3B"/>
    <w:rsid w:val="00862BD2"/>
    <w:rsid w:val="00862C80"/>
    <w:rsid w:val="00862F7B"/>
    <w:rsid w:val="00863222"/>
    <w:rsid w:val="00863387"/>
    <w:rsid w:val="00863576"/>
    <w:rsid w:val="008635DD"/>
    <w:rsid w:val="00863FC8"/>
    <w:rsid w:val="008642B5"/>
    <w:rsid w:val="00864783"/>
    <w:rsid w:val="008648F5"/>
    <w:rsid w:val="00865235"/>
    <w:rsid w:val="008653E9"/>
    <w:rsid w:val="008658A5"/>
    <w:rsid w:val="00865A5A"/>
    <w:rsid w:val="008660D9"/>
    <w:rsid w:val="008660EF"/>
    <w:rsid w:val="00866309"/>
    <w:rsid w:val="008665F0"/>
    <w:rsid w:val="00866A12"/>
    <w:rsid w:val="00866A70"/>
    <w:rsid w:val="00866C54"/>
    <w:rsid w:val="00866F7C"/>
    <w:rsid w:val="008674F2"/>
    <w:rsid w:val="00867500"/>
    <w:rsid w:val="00867BDB"/>
    <w:rsid w:val="008700C0"/>
    <w:rsid w:val="008707C7"/>
    <w:rsid w:val="00870A47"/>
    <w:rsid w:val="008711A9"/>
    <w:rsid w:val="008711CB"/>
    <w:rsid w:val="00871920"/>
    <w:rsid w:val="00871F1A"/>
    <w:rsid w:val="00872211"/>
    <w:rsid w:val="00872276"/>
    <w:rsid w:val="00872386"/>
    <w:rsid w:val="008723C4"/>
    <w:rsid w:val="0087275B"/>
    <w:rsid w:val="008727BA"/>
    <w:rsid w:val="008727FD"/>
    <w:rsid w:val="00872B44"/>
    <w:rsid w:val="00872CBC"/>
    <w:rsid w:val="00872FC1"/>
    <w:rsid w:val="00873A70"/>
    <w:rsid w:val="00873BC8"/>
    <w:rsid w:val="00873C10"/>
    <w:rsid w:val="00874306"/>
    <w:rsid w:val="00874A6A"/>
    <w:rsid w:val="00874CE9"/>
    <w:rsid w:val="00875363"/>
    <w:rsid w:val="00875A02"/>
    <w:rsid w:val="00875AB3"/>
    <w:rsid w:val="00875AE5"/>
    <w:rsid w:val="008767C8"/>
    <w:rsid w:val="008767DE"/>
    <w:rsid w:val="00876840"/>
    <w:rsid w:val="00876FE9"/>
    <w:rsid w:val="00877574"/>
    <w:rsid w:val="008775B6"/>
    <w:rsid w:val="00877B5B"/>
    <w:rsid w:val="00877D62"/>
    <w:rsid w:val="00877F09"/>
    <w:rsid w:val="00880098"/>
    <w:rsid w:val="008803BF"/>
    <w:rsid w:val="00880D6D"/>
    <w:rsid w:val="00880F65"/>
    <w:rsid w:val="0088176A"/>
    <w:rsid w:val="008817EE"/>
    <w:rsid w:val="00881E97"/>
    <w:rsid w:val="00881F04"/>
    <w:rsid w:val="00881F13"/>
    <w:rsid w:val="00881FFE"/>
    <w:rsid w:val="0088200B"/>
    <w:rsid w:val="008821C9"/>
    <w:rsid w:val="008825EC"/>
    <w:rsid w:val="00882A74"/>
    <w:rsid w:val="00882C81"/>
    <w:rsid w:val="00882E59"/>
    <w:rsid w:val="0088309B"/>
    <w:rsid w:val="0088315D"/>
    <w:rsid w:val="008831E7"/>
    <w:rsid w:val="00883211"/>
    <w:rsid w:val="008832D5"/>
    <w:rsid w:val="0088374D"/>
    <w:rsid w:val="00883A26"/>
    <w:rsid w:val="00883E0E"/>
    <w:rsid w:val="00883EEE"/>
    <w:rsid w:val="00884715"/>
    <w:rsid w:val="008851CA"/>
    <w:rsid w:val="00885B7C"/>
    <w:rsid w:val="00886714"/>
    <w:rsid w:val="00886716"/>
    <w:rsid w:val="008867D1"/>
    <w:rsid w:val="008868F2"/>
    <w:rsid w:val="008868FD"/>
    <w:rsid w:val="00886B98"/>
    <w:rsid w:val="00886E3E"/>
    <w:rsid w:val="008877F7"/>
    <w:rsid w:val="0088785B"/>
    <w:rsid w:val="00887917"/>
    <w:rsid w:val="00887990"/>
    <w:rsid w:val="00887C42"/>
    <w:rsid w:val="00887C7D"/>
    <w:rsid w:val="00887C81"/>
    <w:rsid w:val="00887CBF"/>
    <w:rsid w:val="008900E2"/>
    <w:rsid w:val="008902A2"/>
    <w:rsid w:val="008902DB"/>
    <w:rsid w:val="0089032C"/>
    <w:rsid w:val="008906FB"/>
    <w:rsid w:val="00890934"/>
    <w:rsid w:val="008909A7"/>
    <w:rsid w:val="008909EE"/>
    <w:rsid w:val="00890A8A"/>
    <w:rsid w:val="00890AA8"/>
    <w:rsid w:val="00890B1B"/>
    <w:rsid w:val="0089133C"/>
    <w:rsid w:val="0089190C"/>
    <w:rsid w:val="00891C90"/>
    <w:rsid w:val="00891E64"/>
    <w:rsid w:val="008925CB"/>
    <w:rsid w:val="0089273A"/>
    <w:rsid w:val="00892A1D"/>
    <w:rsid w:val="00892B11"/>
    <w:rsid w:val="00892CC7"/>
    <w:rsid w:val="008932A2"/>
    <w:rsid w:val="008932A8"/>
    <w:rsid w:val="00893DA6"/>
    <w:rsid w:val="00893E3F"/>
    <w:rsid w:val="00893F2A"/>
    <w:rsid w:val="0089406B"/>
    <w:rsid w:val="00894662"/>
    <w:rsid w:val="008946F4"/>
    <w:rsid w:val="0089484D"/>
    <w:rsid w:val="00894EE9"/>
    <w:rsid w:val="00894FCB"/>
    <w:rsid w:val="008950A2"/>
    <w:rsid w:val="0089525E"/>
    <w:rsid w:val="00895395"/>
    <w:rsid w:val="0089554B"/>
    <w:rsid w:val="00895A51"/>
    <w:rsid w:val="0089621B"/>
    <w:rsid w:val="00896874"/>
    <w:rsid w:val="00896A60"/>
    <w:rsid w:val="00896AF6"/>
    <w:rsid w:val="00896BE5"/>
    <w:rsid w:val="008970E8"/>
    <w:rsid w:val="008976D8"/>
    <w:rsid w:val="008976F2"/>
    <w:rsid w:val="00897FC4"/>
    <w:rsid w:val="008A0055"/>
    <w:rsid w:val="008A0072"/>
    <w:rsid w:val="008A038C"/>
    <w:rsid w:val="008A03D7"/>
    <w:rsid w:val="008A0A45"/>
    <w:rsid w:val="008A0A46"/>
    <w:rsid w:val="008A15E2"/>
    <w:rsid w:val="008A1642"/>
    <w:rsid w:val="008A1CFA"/>
    <w:rsid w:val="008A2203"/>
    <w:rsid w:val="008A2641"/>
    <w:rsid w:val="008A26BE"/>
    <w:rsid w:val="008A27E2"/>
    <w:rsid w:val="008A2A3D"/>
    <w:rsid w:val="008A2DDD"/>
    <w:rsid w:val="008A3020"/>
    <w:rsid w:val="008A3221"/>
    <w:rsid w:val="008A3E02"/>
    <w:rsid w:val="008A3E08"/>
    <w:rsid w:val="008A3F3D"/>
    <w:rsid w:val="008A4348"/>
    <w:rsid w:val="008A45FC"/>
    <w:rsid w:val="008A47D1"/>
    <w:rsid w:val="008A48CA"/>
    <w:rsid w:val="008A4CEC"/>
    <w:rsid w:val="008A4E9D"/>
    <w:rsid w:val="008A5322"/>
    <w:rsid w:val="008A534E"/>
    <w:rsid w:val="008A553C"/>
    <w:rsid w:val="008A5FAA"/>
    <w:rsid w:val="008A6044"/>
    <w:rsid w:val="008A6272"/>
    <w:rsid w:val="008A6280"/>
    <w:rsid w:val="008A62C1"/>
    <w:rsid w:val="008A6325"/>
    <w:rsid w:val="008A6414"/>
    <w:rsid w:val="008A6715"/>
    <w:rsid w:val="008A6B25"/>
    <w:rsid w:val="008A6CA5"/>
    <w:rsid w:val="008A7075"/>
    <w:rsid w:val="008A740C"/>
    <w:rsid w:val="008A750F"/>
    <w:rsid w:val="008A769F"/>
    <w:rsid w:val="008A78C2"/>
    <w:rsid w:val="008A799C"/>
    <w:rsid w:val="008A79F4"/>
    <w:rsid w:val="008A7B7E"/>
    <w:rsid w:val="008A7F96"/>
    <w:rsid w:val="008B04EA"/>
    <w:rsid w:val="008B0EA0"/>
    <w:rsid w:val="008B1057"/>
    <w:rsid w:val="008B12CA"/>
    <w:rsid w:val="008B12D2"/>
    <w:rsid w:val="008B14EC"/>
    <w:rsid w:val="008B16A0"/>
    <w:rsid w:val="008B1B1E"/>
    <w:rsid w:val="008B2352"/>
    <w:rsid w:val="008B23D5"/>
    <w:rsid w:val="008B2596"/>
    <w:rsid w:val="008B26AE"/>
    <w:rsid w:val="008B26D6"/>
    <w:rsid w:val="008B27EE"/>
    <w:rsid w:val="008B281D"/>
    <w:rsid w:val="008B287A"/>
    <w:rsid w:val="008B2880"/>
    <w:rsid w:val="008B2CE0"/>
    <w:rsid w:val="008B354E"/>
    <w:rsid w:val="008B36D8"/>
    <w:rsid w:val="008B3836"/>
    <w:rsid w:val="008B3A21"/>
    <w:rsid w:val="008B45CD"/>
    <w:rsid w:val="008B4A6F"/>
    <w:rsid w:val="008B4B3C"/>
    <w:rsid w:val="008B4EF7"/>
    <w:rsid w:val="008B4F81"/>
    <w:rsid w:val="008B53F5"/>
    <w:rsid w:val="008B5651"/>
    <w:rsid w:val="008B5A70"/>
    <w:rsid w:val="008B5BAE"/>
    <w:rsid w:val="008B626C"/>
    <w:rsid w:val="008B6371"/>
    <w:rsid w:val="008B6540"/>
    <w:rsid w:val="008B67D7"/>
    <w:rsid w:val="008B69A7"/>
    <w:rsid w:val="008B6D1A"/>
    <w:rsid w:val="008B6DDF"/>
    <w:rsid w:val="008B6FDE"/>
    <w:rsid w:val="008B728C"/>
    <w:rsid w:val="008B7372"/>
    <w:rsid w:val="008B77EC"/>
    <w:rsid w:val="008B7B88"/>
    <w:rsid w:val="008B7DEB"/>
    <w:rsid w:val="008C0038"/>
    <w:rsid w:val="008C13F9"/>
    <w:rsid w:val="008C1E5C"/>
    <w:rsid w:val="008C1E67"/>
    <w:rsid w:val="008C1F86"/>
    <w:rsid w:val="008C219F"/>
    <w:rsid w:val="008C2242"/>
    <w:rsid w:val="008C2946"/>
    <w:rsid w:val="008C29D1"/>
    <w:rsid w:val="008C2DFC"/>
    <w:rsid w:val="008C33DC"/>
    <w:rsid w:val="008C3C34"/>
    <w:rsid w:val="008C3C54"/>
    <w:rsid w:val="008C4066"/>
    <w:rsid w:val="008C4381"/>
    <w:rsid w:val="008C4382"/>
    <w:rsid w:val="008C43A1"/>
    <w:rsid w:val="008C4AD0"/>
    <w:rsid w:val="008C4F81"/>
    <w:rsid w:val="008C54E1"/>
    <w:rsid w:val="008C564F"/>
    <w:rsid w:val="008C5733"/>
    <w:rsid w:val="008C5D29"/>
    <w:rsid w:val="008C6387"/>
    <w:rsid w:val="008C653D"/>
    <w:rsid w:val="008C6945"/>
    <w:rsid w:val="008C736E"/>
    <w:rsid w:val="008C777F"/>
    <w:rsid w:val="008C7BC6"/>
    <w:rsid w:val="008C7C6A"/>
    <w:rsid w:val="008D057E"/>
    <w:rsid w:val="008D07D7"/>
    <w:rsid w:val="008D0839"/>
    <w:rsid w:val="008D0BE3"/>
    <w:rsid w:val="008D0D9E"/>
    <w:rsid w:val="008D0F2E"/>
    <w:rsid w:val="008D12D7"/>
    <w:rsid w:val="008D1421"/>
    <w:rsid w:val="008D1645"/>
    <w:rsid w:val="008D20EF"/>
    <w:rsid w:val="008D21AE"/>
    <w:rsid w:val="008D2392"/>
    <w:rsid w:val="008D255B"/>
    <w:rsid w:val="008D263D"/>
    <w:rsid w:val="008D28DA"/>
    <w:rsid w:val="008D29DB"/>
    <w:rsid w:val="008D2AFD"/>
    <w:rsid w:val="008D2C0D"/>
    <w:rsid w:val="008D2D0E"/>
    <w:rsid w:val="008D3536"/>
    <w:rsid w:val="008D375F"/>
    <w:rsid w:val="008D40D3"/>
    <w:rsid w:val="008D467F"/>
    <w:rsid w:val="008D47BE"/>
    <w:rsid w:val="008D4929"/>
    <w:rsid w:val="008D4B65"/>
    <w:rsid w:val="008D4CAC"/>
    <w:rsid w:val="008D4E14"/>
    <w:rsid w:val="008D508C"/>
    <w:rsid w:val="008D5821"/>
    <w:rsid w:val="008D5C0B"/>
    <w:rsid w:val="008D5CD5"/>
    <w:rsid w:val="008D60E4"/>
    <w:rsid w:val="008D6273"/>
    <w:rsid w:val="008D63B7"/>
    <w:rsid w:val="008D64BE"/>
    <w:rsid w:val="008D662B"/>
    <w:rsid w:val="008D6729"/>
    <w:rsid w:val="008D6742"/>
    <w:rsid w:val="008D6A5B"/>
    <w:rsid w:val="008D6F92"/>
    <w:rsid w:val="008D71B1"/>
    <w:rsid w:val="008D7205"/>
    <w:rsid w:val="008D7695"/>
    <w:rsid w:val="008D7820"/>
    <w:rsid w:val="008D785E"/>
    <w:rsid w:val="008D7BBD"/>
    <w:rsid w:val="008D7CB9"/>
    <w:rsid w:val="008D7D11"/>
    <w:rsid w:val="008D7F67"/>
    <w:rsid w:val="008D7FD8"/>
    <w:rsid w:val="008E05F7"/>
    <w:rsid w:val="008E09DD"/>
    <w:rsid w:val="008E17CF"/>
    <w:rsid w:val="008E1A5A"/>
    <w:rsid w:val="008E1D8D"/>
    <w:rsid w:val="008E2287"/>
    <w:rsid w:val="008E24DC"/>
    <w:rsid w:val="008E2657"/>
    <w:rsid w:val="008E2A48"/>
    <w:rsid w:val="008E2D88"/>
    <w:rsid w:val="008E2EA5"/>
    <w:rsid w:val="008E3197"/>
    <w:rsid w:val="008E34DC"/>
    <w:rsid w:val="008E3629"/>
    <w:rsid w:val="008E36A3"/>
    <w:rsid w:val="008E3897"/>
    <w:rsid w:val="008E3B2C"/>
    <w:rsid w:val="008E41CC"/>
    <w:rsid w:val="008E42F3"/>
    <w:rsid w:val="008E44A1"/>
    <w:rsid w:val="008E46D5"/>
    <w:rsid w:val="008E46DC"/>
    <w:rsid w:val="008E4AF8"/>
    <w:rsid w:val="008E4BA9"/>
    <w:rsid w:val="008E4F26"/>
    <w:rsid w:val="008E5220"/>
    <w:rsid w:val="008E53B8"/>
    <w:rsid w:val="008E5565"/>
    <w:rsid w:val="008E55BD"/>
    <w:rsid w:val="008E5BB3"/>
    <w:rsid w:val="008E6212"/>
    <w:rsid w:val="008E6521"/>
    <w:rsid w:val="008E65FA"/>
    <w:rsid w:val="008E67BA"/>
    <w:rsid w:val="008E6A0D"/>
    <w:rsid w:val="008E7234"/>
    <w:rsid w:val="008E75EC"/>
    <w:rsid w:val="008E76FE"/>
    <w:rsid w:val="008E77CE"/>
    <w:rsid w:val="008E77E6"/>
    <w:rsid w:val="008E7850"/>
    <w:rsid w:val="008F026E"/>
    <w:rsid w:val="008F0490"/>
    <w:rsid w:val="008F0A54"/>
    <w:rsid w:val="008F10ED"/>
    <w:rsid w:val="008F1113"/>
    <w:rsid w:val="008F11B9"/>
    <w:rsid w:val="008F13F7"/>
    <w:rsid w:val="008F16AB"/>
    <w:rsid w:val="008F238D"/>
    <w:rsid w:val="008F2533"/>
    <w:rsid w:val="008F2544"/>
    <w:rsid w:val="008F306A"/>
    <w:rsid w:val="008F3200"/>
    <w:rsid w:val="008F3934"/>
    <w:rsid w:val="008F45B2"/>
    <w:rsid w:val="008F4617"/>
    <w:rsid w:val="008F476C"/>
    <w:rsid w:val="008F4873"/>
    <w:rsid w:val="008F50B7"/>
    <w:rsid w:val="008F541C"/>
    <w:rsid w:val="008F5652"/>
    <w:rsid w:val="008F59F6"/>
    <w:rsid w:val="008F610F"/>
    <w:rsid w:val="008F6790"/>
    <w:rsid w:val="008F6A8E"/>
    <w:rsid w:val="008F6E2A"/>
    <w:rsid w:val="008F7718"/>
    <w:rsid w:val="008F7BA3"/>
    <w:rsid w:val="008F7F11"/>
    <w:rsid w:val="008F7F63"/>
    <w:rsid w:val="009001A3"/>
    <w:rsid w:val="0090024D"/>
    <w:rsid w:val="0090037D"/>
    <w:rsid w:val="0090053F"/>
    <w:rsid w:val="00900AB1"/>
    <w:rsid w:val="00900BAF"/>
    <w:rsid w:val="00900D30"/>
    <w:rsid w:val="0090115C"/>
    <w:rsid w:val="009014FF"/>
    <w:rsid w:val="00901BBB"/>
    <w:rsid w:val="00901D96"/>
    <w:rsid w:val="00901FFB"/>
    <w:rsid w:val="0090255A"/>
    <w:rsid w:val="009027F6"/>
    <w:rsid w:val="009029D6"/>
    <w:rsid w:val="009032BA"/>
    <w:rsid w:val="0090331E"/>
    <w:rsid w:val="009037E8"/>
    <w:rsid w:val="0090387C"/>
    <w:rsid w:val="00903B29"/>
    <w:rsid w:val="00903EBF"/>
    <w:rsid w:val="009043F8"/>
    <w:rsid w:val="0090448A"/>
    <w:rsid w:val="009045F6"/>
    <w:rsid w:val="00904602"/>
    <w:rsid w:val="00904FCE"/>
    <w:rsid w:val="009052F8"/>
    <w:rsid w:val="0090574E"/>
    <w:rsid w:val="00905E4D"/>
    <w:rsid w:val="009066D0"/>
    <w:rsid w:val="00906875"/>
    <w:rsid w:val="009069C7"/>
    <w:rsid w:val="00906DB9"/>
    <w:rsid w:val="009070A7"/>
    <w:rsid w:val="009071C1"/>
    <w:rsid w:val="00907669"/>
    <w:rsid w:val="00907B64"/>
    <w:rsid w:val="00907E01"/>
    <w:rsid w:val="00907E56"/>
    <w:rsid w:val="00910018"/>
    <w:rsid w:val="0091027D"/>
    <w:rsid w:val="0091035C"/>
    <w:rsid w:val="009103F1"/>
    <w:rsid w:val="009105A4"/>
    <w:rsid w:val="00910741"/>
    <w:rsid w:val="0091074B"/>
    <w:rsid w:val="00910810"/>
    <w:rsid w:val="0091117B"/>
    <w:rsid w:val="009115FB"/>
    <w:rsid w:val="00911736"/>
    <w:rsid w:val="00911980"/>
    <w:rsid w:val="00911A46"/>
    <w:rsid w:val="00911D20"/>
    <w:rsid w:val="00912A80"/>
    <w:rsid w:val="00912F7A"/>
    <w:rsid w:val="009130E3"/>
    <w:rsid w:val="0091379F"/>
    <w:rsid w:val="00913855"/>
    <w:rsid w:val="009138C6"/>
    <w:rsid w:val="00913ABF"/>
    <w:rsid w:val="00913F9F"/>
    <w:rsid w:val="00913FB2"/>
    <w:rsid w:val="009140E9"/>
    <w:rsid w:val="00914273"/>
    <w:rsid w:val="009147AF"/>
    <w:rsid w:val="0091499A"/>
    <w:rsid w:val="00914DE8"/>
    <w:rsid w:val="009150FA"/>
    <w:rsid w:val="009154E2"/>
    <w:rsid w:val="00915661"/>
    <w:rsid w:val="009157D5"/>
    <w:rsid w:val="00915873"/>
    <w:rsid w:val="00915C49"/>
    <w:rsid w:val="00915C4B"/>
    <w:rsid w:val="00915D48"/>
    <w:rsid w:val="0091656A"/>
    <w:rsid w:val="009166C2"/>
    <w:rsid w:val="00916A55"/>
    <w:rsid w:val="00916ABE"/>
    <w:rsid w:val="00916E5C"/>
    <w:rsid w:val="00916F03"/>
    <w:rsid w:val="0091708D"/>
    <w:rsid w:val="00917286"/>
    <w:rsid w:val="009173F2"/>
    <w:rsid w:val="00917479"/>
    <w:rsid w:val="00917526"/>
    <w:rsid w:val="00917684"/>
    <w:rsid w:val="00917788"/>
    <w:rsid w:val="00917B85"/>
    <w:rsid w:val="00917CE9"/>
    <w:rsid w:val="00917D9D"/>
    <w:rsid w:val="009202D1"/>
    <w:rsid w:val="00920509"/>
    <w:rsid w:val="00920603"/>
    <w:rsid w:val="00920CB8"/>
    <w:rsid w:val="00920F1D"/>
    <w:rsid w:val="00921073"/>
    <w:rsid w:val="009212B6"/>
    <w:rsid w:val="009215EA"/>
    <w:rsid w:val="00921806"/>
    <w:rsid w:val="009219B0"/>
    <w:rsid w:val="00921AA6"/>
    <w:rsid w:val="00921F24"/>
    <w:rsid w:val="00921F86"/>
    <w:rsid w:val="00922243"/>
    <w:rsid w:val="009222AE"/>
    <w:rsid w:val="009229F8"/>
    <w:rsid w:val="00922BFF"/>
    <w:rsid w:val="00923A09"/>
    <w:rsid w:val="00923A91"/>
    <w:rsid w:val="0092421A"/>
    <w:rsid w:val="00924349"/>
    <w:rsid w:val="0092460B"/>
    <w:rsid w:val="00924785"/>
    <w:rsid w:val="00924C86"/>
    <w:rsid w:val="00924CA8"/>
    <w:rsid w:val="009255CC"/>
    <w:rsid w:val="0092580A"/>
    <w:rsid w:val="00925BA9"/>
    <w:rsid w:val="00925DDB"/>
    <w:rsid w:val="00925F47"/>
    <w:rsid w:val="00926811"/>
    <w:rsid w:val="00926B49"/>
    <w:rsid w:val="009270A8"/>
    <w:rsid w:val="009271B7"/>
    <w:rsid w:val="00927261"/>
    <w:rsid w:val="0092787A"/>
    <w:rsid w:val="00927A51"/>
    <w:rsid w:val="00927EEE"/>
    <w:rsid w:val="00930461"/>
    <w:rsid w:val="009309ED"/>
    <w:rsid w:val="00930A91"/>
    <w:rsid w:val="00930BEB"/>
    <w:rsid w:val="00930CA6"/>
    <w:rsid w:val="00931106"/>
    <w:rsid w:val="009313C1"/>
    <w:rsid w:val="00931462"/>
    <w:rsid w:val="00931582"/>
    <w:rsid w:val="009317A9"/>
    <w:rsid w:val="0093189A"/>
    <w:rsid w:val="00931CEC"/>
    <w:rsid w:val="00931D79"/>
    <w:rsid w:val="00931EC6"/>
    <w:rsid w:val="00932668"/>
    <w:rsid w:val="00932776"/>
    <w:rsid w:val="00932AD0"/>
    <w:rsid w:val="00932BBA"/>
    <w:rsid w:val="00932DC8"/>
    <w:rsid w:val="0093379B"/>
    <w:rsid w:val="009338B9"/>
    <w:rsid w:val="00933F26"/>
    <w:rsid w:val="00933FB5"/>
    <w:rsid w:val="0093407B"/>
    <w:rsid w:val="00934674"/>
    <w:rsid w:val="00934C20"/>
    <w:rsid w:val="00934D7A"/>
    <w:rsid w:val="00934E28"/>
    <w:rsid w:val="0093512B"/>
    <w:rsid w:val="00935533"/>
    <w:rsid w:val="00935973"/>
    <w:rsid w:val="00935ACA"/>
    <w:rsid w:val="00935E67"/>
    <w:rsid w:val="00935F1E"/>
    <w:rsid w:val="009363F0"/>
    <w:rsid w:val="009366AC"/>
    <w:rsid w:val="00936CC2"/>
    <w:rsid w:val="00936F07"/>
    <w:rsid w:val="0093728D"/>
    <w:rsid w:val="009372BE"/>
    <w:rsid w:val="009377F0"/>
    <w:rsid w:val="00937F4B"/>
    <w:rsid w:val="00940179"/>
    <w:rsid w:val="00940517"/>
    <w:rsid w:val="0094061C"/>
    <w:rsid w:val="00940A10"/>
    <w:rsid w:val="00940CF8"/>
    <w:rsid w:val="00940E8E"/>
    <w:rsid w:val="009416C7"/>
    <w:rsid w:val="00941810"/>
    <w:rsid w:val="00941963"/>
    <w:rsid w:val="009430D0"/>
    <w:rsid w:val="00943118"/>
    <w:rsid w:val="00943605"/>
    <w:rsid w:val="00943728"/>
    <w:rsid w:val="009437AB"/>
    <w:rsid w:val="009439DA"/>
    <w:rsid w:val="00943DC5"/>
    <w:rsid w:val="0094406F"/>
    <w:rsid w:val="0094485E"/>
    <w:rsid w:val="0094495B"/>
    <w:rsid w:val="00944A13"/>
    <w:rsid w:val="00944F91"/>
    <w:rsid w:val="009454E8"/>
    <w:rsid w:val="009456EC"/>
    <w:rsid w:val="0094585E"/>
    <w:rsid w:val="00945E11"/>
    <w:rsid w:val="00946565"/>
    <w:rsid w:val="009468C9"/>
    <w:rsid w:val="0094697B"/>
    <w:rsid w:val="00946FB7"/>
    <w:rsid w:val="00946FE6"/>
    <w:rsid w:val="009471DC"/>
    <w:rsid w:val="009471F1"/>
    <w:rsid w:val="00947815"/>
    <w:rsid w:val="00947E9F"/>
    <w:rsid w:val="009500A7"/>
    <w:rsid w:val="009504A0"/>
    <w:rsid w:val="00950AD5"/>
    <w:rsid w:val="00950E3E"/>
    <w:rsid w:val="009517CE"/>
    <w:rsid w:val="00952108"/>
    <w:rsid w:val="0095243B"/>
    <w:rsid w:val="0095249F"/>
    <w:rsid w:val="009525D3"/>
    <w:rsid w:val="009526A8"/>
    <w:rsid w:val="00952ACF"/>
    <w:rsid w:val="009531BE"/>
    <w:rsid w:val="009531D2"/>
    <w:rsid w:val="00953277"/>
    <w:rsid w:val="009533E1"/>
    <w:rsid w:val="00953C5A"/>
    <w:rsid w:val="00954180"/>
    <w:rsid w:val="00954381"/>
    <w:rsid w:val="00954A22"/>
    <w:rsid w:val="00954E3F"/>
    <w:rsid w:val="00955257"/>
    <w:rsid w:val="0095535E"/>
    <w:rsid w:val="00955448"/>
    <w:rsid w:val="009554AE"/>
    <w:rsid w:val="009558D2"/>
    <w:rsid w:val="009561EC"/>
    <w:rsid w:val="009562AF"/>
    <w:rsid w:val="009563E2"/>
    <w:rsid w:val="00956AAF"/>
    <w:rsid w:val="00956BD8"/>
    <w:rsid w:val="00956DA8"/>
    <w:rsid w:val="00956F3F"/>
    <w:rsid w:val="00956F75"/>
    <w:rsid w:val="0095722A"/>
    <w:rsid w:val="00957B1A"/>
    <w:rsid w:val="00957BBF"/>
    <w:rsid w:val="00957BE5"/>
    <w:rsid w:val="00957D58"/>
    <w:rsid w:val="00957F50"/>
    <w:rsid w:val="009602A9"/>
    <w:rsid w:val="009604A2"/>
    <w:rsid w:val="0096073D"/>
    <w:rsid w:val="00960894"/>
    <w:rsid w:val="0096098F"/>
    <w:rsid w:val="00960A2D"/>
    <w:rsid w:val="00960B99"/>
    <w:rsid w:val="00960C25"/>
    <w:rsid w:val="00960C82"/>
    <w:rsid w:val="00961133"/>
    <w:rsid w:val="00961470"/>
    <w:rsid w:val="00961C72"/>
    <w:rsid w:val="00961D11"/>
    <w:rsid w:val="00961FD5"/>
    <w:rsid w:val="009621E0"/>
    <w:rsid w:val="009624DE"/>
    <w:rsid w:val="009625C6"/>
    <w:rsid w:val="00962D64"/>
    <w:rsid w:val="0096338E"/>
    <w:rsid w:val="00963994"/>
    <w:rsid w:val="00963E43"/>
    <w:rsid w:val="00963EA7"/>
    <w:rsid w:val="00963FA7"/>
    <w:rsid w:val="0096426A"/>
    <w:rsid w:val="009644FA"/>
    <w:rsid w:val="00964ABB"/>
    <w:rsid w:val="00964EA7"/>
    <w:rsid w:val="00965170"/>
    <w:rsid w:val="0096524C"/>
    <w:rsid w:val="009655C6"/>
    <w:rsid w:val="0096573D"/>
    <w:rsid w:val="009657B0"/>
    <w:rsid w:val="00965EE7"/>
    <w:rsid w:val="009660F2"/>
    <w:rsid w:val="0096648D"/>
    <w:rsid w:val="009667D3"/>
    <w:rsid w:val="00966A36"/>
    <w:rsid w:val="00966B5B"/>
    <w:rsid w:val="00966E53"/>
    <w:rsid w:val="00967150"/>
    <w:rsid w:val="00967166"/>
    <w:rsid w:val="0096746F"/>
    <w:rsid w:val="00967701"/>
    <w:rsid w:val="00967747"/>
    <w:rsid w:val="00967854"/>
    <w:rsid w:val="00967922"/>
    <w:rsid w:val="00967B2D"/>
    <w:rsid w:val="00967BBE"/>
    <w:rsid w:val="00967E23"/>
    <w:rsid w:val="009701CC"/>
    <w:rsid w:val="009703FA"/>
    <w:rsid w:val="00970518"/>
    <w:rsid w:val="009706CB"/>
    <w:rsid w:val="0097076B"/>
    <w:rsid w:val="00970994"/>
    <w:rsid w:val="00970A2B"/>
    <w:rsid w:val="009718D3"/>
    <w:rsid w:val="00971B71"/>
    <w:rsid w:val="00972003"/>
    <w:rsid w:val="0097270F"/>
    <w:rsid w:val="00972C14"/>
    <w:rsid w:val="0097315C"/>
    <w:rsid w:val="00973417"/>
    <w:rsid w:val="00973CD9"/>
    <w:rsid w:val="00973DA5"/>
    <w:rsid w:val="00974106"/>
    <w:rsid w:val="00974171"/>
    <w:rsid w:val="0097423E"/>
    <w:rsid w:val="00974548"/>
    <w:rsid w:val="00974550"/>
    <w:rsid w:val="0097458D"/>
    <w:rsid w:val="00974672"/>
    <w:rsid w:val="009750B1"/>
    <w:rsid w:val="00975220"/>
    <w:rsid w:val="00975E7C"/>
    <w:rsid w:val="009760A2"/>
    <w:rsid w:val="009765AE"/>
    <w:rsid w:val="009766F7"/>
    <w:rsid w:val="00976B61"/>
    <w:rsid w:val="00976CC7"/>
    <w:rsid w:val="00976E6B"/>
    <w:rsid w:val="0097726C"/>
    <w:rsid w:val="00977743"/>
    <w:rsid w:val="009778D4"/>
    <w:rsid w:val="00977B31"/>
    <w:rsid w:val="00977C99"/>
    <w:rsid w:val="00977F9E"/>
    <w:rsid w:val="0098008D"/>
    <w:rsid w:val="009801B1"/>
    <w:rsid w:val="009801D3"/>
    <w:rsid w:val="0098070A"/>
    <w:rsid w:val="0098116D"/>
    <w:rsid w:val="0098119A"/>
    <w:rsid w:val="00981410"/>
    <w:rsid w:val="009814E4"/>
    <w:rsid w:val="0098171A"/>
    <w:rsid w:val="00981C8A"/>
    <w:rsid w:val="00981D35"/>
    <w:rsid w:val="00981ECE"/>
    <w:rsid w:val="0098207B"/>
    <w:rsid w:val="00982A7B"/>
    <w:rsid w:val="00982B85"/>
    <w:rsid w:val="00982C61"/>
    <w:rsid w:val="00982F98"/>
    <w:rsid w:val="00983911"/>
    <w:rsid w:val="0098396F"/>
    <w:rsid w:val="009839BC"/>
    <w:rsid w:val="009839F8"/>
    <w:rsid w:val="0098418C"/>
    <w:rsid w:val="009844CF"/>
    <w:rsid w:val="009846A7"/>
    <w:rsid w:val="00984763"/>
    <w:rsid w:val="00984A4E"/>
    <w:rsid w:val="00984E32"/>
    <w:rsid w:val="0098507A"/>
    <w:rsid w:val="00985895"/>
    <w:rsid w:val="00985A8F"/>
    <w:rsid w:val="00985CB7"/>
    <w:rsid w:val="00986098"/>
    <w:rsid w:val="00986347"/>
    <w:rsid w:val="00986571"/>
    <w:rsid w:val="00986867"/>
    <w:rsid w:val="00986B0B"/>
    <w:rsid w:val="0098707A"/>
    <w:rsid w:val="00987170"/>
    <w:rsid w:val="00987187"/>
    <w:rsid w:val="0098749F"/>
    <w:rsid w:val="009874F7"/>
    <w:rsid w:val="00987570"/>
    <w:rsid w:val="00987BE6"/>
    <w:rsid w:val="00987BF8"/>
    <w:rsid w:val="00987DF6"/>
    <w:rsid w:val="00987E1A"/>
    <w:rsid w:val="00987F07"/>
    <w:rsid w:val="0098E8C3"/>
    <w:rsid w:val="0099039E"/>
    <w:rsid w:val="009904DC"/>
    <w:rsid w:val="0099090E"/>
    <w:rsid w:val="009909D4"/>
    <w:rsid w:val="00990BF4"/>
    <w:rsid w:val="00990C64"/>
    <w:rsid w:val="00990D6D"/>
    <w:rsid w:val="009914D9"/>
    <w:rsid w:val="00991783"/>
    <w:rsid w:val="00991E26"/>
    <w:rsid w:val="009921DD"/>
    <w:rsid w:val="0099261C"/>
    <w:rsid w:val="00992628"/>
    <w:rsid w:val="00992F12"/>
    <w:rsid w:val="00993083"/>
    <w:rsid w:val="00993630"/>
    <w:rsid w:val="00994110"/>
    <w:rsid w:val="009947CF"/>
    <w:rsid w:val="00994C0A"/>
    <w:rsid w:val="0099540C"/>
    <w:rsid w:val="00995A10"/>
    <w:rsid w:val="00995AA7"/>
    <w:rsid w:val="00995BBC"/>
    <w:rsid w:val="00996116"/>
    <w:rsid w:val="0099643B"/>
    <w:rsid w:val="0099667A"/>
    <w:rsid w:val="00996711"/>
    <w:rsid w:val="0099689F"/>
    <w:rsid w:val="00996934"/>
    <w:rsid w:val="00996996"/>
    <w:rsid w:val="009969D7"/>
    <w:rsid w:val="00996AFF"/>
    <w:rsid w:val="00996D52"/>
    <w:rsid w:val="00996E8F"/>
    <w:rsid w:val="0099717E"/>
    <w:rsid w:val="0099747C"/>
    <w:rsid w:val="00997743"/>
    <w:rsid w:val="00997E37"/>
    <w:rsid w:val="009A0612"/>
    <w:rsid w:val="009A06A1"/>
    <w:rsid w:val="009A06CE"/>
    <w:rsid w:val="009A0A18"/>
    <w:rsid w:val="009A0D93"/>
    <w:rsid w:val="009A0E2A"/>
    <w:rsid w:val="009A140D"/>
    <w:rsid w:val="009A16EA"/>
    <w:rsid w:val="009A1BD8"/>
    <w:rsid w:val="009A1FBB"/>
    <w:rsid w:val="009A2626"/>
    <w:rsid w:val="009A266F"/>
    <w:rsid w:val="009A2A4C"/>
    <w:rsid w:val="009A2CFF"/>
    <w:rsid w:val="009A2D0A"/>
    <w:rsid w:val="009A2D40"/>
    <w:rsid w:val="009A2DA1"/>
    <w:rsid w:val="009A4103"/>
    <w:rsid w:val="009A4217"/>
    <w:rsid w:val="009A457B"/>
    <w:rsid w:val="009A47CB"/>
    <w:rsid w:val="009A5205"/>
    <w:rsid w:val="009A55DC"/>
    <w:rsid w:val="009A5BB5"/>
    <w:rsid w:val="009A7014"/>
    <w:rsid w:val="009A767E"/>
    <w:rsid w:val="009A78FF"/>
    <w:rsid w:val="009A7904"/>
    <w:rsid w:val="009A79FF"/>
    <w:rsid w:val="009A7F64"/>
    <w:rsid w:val="009B0313"/>
    <w:rsid w:val="009B04E1"/>
    <w:rsid w:val="009B0781"/>
    <w:rsid w:val="009B096C"/>
    <w:rsid w:val="009B09EC"/>
    <w:rsid w:val="009B0BDC"/>
    <w:rsid w:val="009B1134"/>
    <w:rsid w:val="009B1951"/>
    <w:rsid w:val="009B1C35"/>
    <w:rsid w:val="009B1CA8"/>
    <w:rsid w:val="009B27EA"/>
    <w:rsid w:val="009B3126"/>
    <w:rsid w:val="009B33FE"/>
    <w:rsid w:val="009B373C"/>
    <w:rsid w:val="009B38F8"/>
    <w:rsid w:val="009B39C5"/>
    <w:rsid w:val="009B3B11"/>
    <w:rsid w:val="009B426B"/>
    <w:rsid w:val="009B42EE"/>
    <w:rsid w:val="009B491B"/>
    <w:rsid w:val="009B4C84"/>
    <w:rsid w:val="009B5103"/>
    <w:rsid w:val="009B5253"/>
    <w:rsid w:val="009B5285"/>
    <w:rsid w:val="009B5502"/>
    <w:rsid w:val="009B5828"/>
    <w:rsid w:val="009B5C00"/>
    <w:rsid w:val="009B5D67"/>
    <w:rsid w:val="009B5E94"/>
    <w:rsid w:val="009B5F63"/>
    <w:rsid w:val="009B60A5"/>
    <w:rsid w:val="009B663B"/>
    <w:rsid w:val="009B6845"/>
    <w:rsid w:val="009B68A7"/>
    <w:rsid w:val="009B696D"/>
    <w:rsid w:val="009B6A10"/>
    <w:rsid w:val="009B6CED"/>
    <w:rsid w:val="009B72B6"/>
    <w:rsid w:val="009B733E"/>
    <w:rsid w:val="009B7597"/>
    <w:rsid w:val="009B795C"/>
    <w:rsid w:val="009B7B53"/>
    <w:rsid w:val="009B7D94"/>
    <w:rsid w:val="009B8885"/>
    <w:rsid w:val="009C096A"/>
    <w:rsid w:val="009C0A1C"/>
    <w:rsid w:val="009C119D"/>
    <w:rsid w:val="009C11BF"/>
    <w:rsid w:val="009C1472"/>
    <w:rsid w:val="009C1736"/>
    <w:rsid w:val="009C1965"/>
    <w:rsid w:val="009C1F27"/>
    <w:rsid w:val="009C201A"/>
    <w:rsid w:val="009C228E"/>
    <w:rsid w:val="009C2BAA"/>
    <w:rsid w:val="009C305F"/>
    <w:rsid w:val="009C31EE"/>
    <w:rsid w:val="009C33B7"/>
    <w:rsid w:val="009C365E"/>
    <w:rsid w:val="009C36E0"/>
    <w:rsid w:val="009C392F"/>
    <w:rsid w:val="009C3BE4"/>
    <w:rsid w:val="009C4A1C"/>
    <w:rsid w:val="009C4B28"/>
    <w:rsid w:val="009C4CA3"/>
    <w:rsid w:val="009C4FB8"/>
    <w:rsid w:val="009C5067"/>
    <w:rsid w:val="009C5352"/>
    <w:rsid w:val="009C5D61"/>
    <w:rsid w:val="009C5DB8"/>
    <w:rsid w:val="009C60F1"/>
    <w:rsid w:val="009C689F"/>
    <w:rsid w:val="009C6C01"/>
    <w:rsid w:val="009C6CD9"/>
    <w:rsid w:val="009C6D56"/>
    <w:rsid w:val="009C72B3"/>
    <w:rsid w:val="009C7651"/>
    <w:rsid w:val="009C7863"/>
    <w:rsid w:val="009C7904"/>
    <w:rsid w:val="009C7D51"/>
    <w:rsid w:val="009D00E4"/>
    <w:rsid w:val="009D0164"/>
    <w:rsid w:val="009D042F"/>
    <w:rsid w:val="009D054C"/>
    <w:rsid w:val="009D0DF2"/>
    <w:rsid w:val="009D0E37"/>
    <w:rsid w:val="009D112D"/>
    <w:rsid w:val="009D14C7"/>
    <w:rsid w:val="009D1666"/>
    <w:rsid w:val="009D2035"/>
    <w:rsid w:val="009D2047"/>
    <w:rsid w:val="009D223B"/>
    <w:rsid w:val="009D23C2"/>
    <w:rsid w:val="009D2620"/>
    <w:rsid w:val="009D2743"/>
    <w:rsid w:val="009D2744"/>
    <w:rsid w:val="009D2995"/>
    <w:rsid w:val="009D299A"/>
    <w:rsid w:val="009D2B5A"/>
    <w:rsid w:val="009D34D3"/>
    <w:rsid w:val="009D34F2"/>
    <w:rsid w:val="009D3568"/>
    <w:rsid w:val="009D38CC"/>
    <w:rsid w:val="009D39F5"/>
    <w:rsid w:val="009D3ACC"/>
    <w:rsid w:val="009D3B82"/>
    <w:rsid w:val="009D407E"/>
    <w:rsid w:val="009D4200"/>
    <w:rsid w:val="009D42DC"/>
    <w:rsid w:val="009D46D9"/>
    <w:rsid w:val="009D4AE7"/>
    <w:rsid w:val="009D4EF4"/>
    <w:rsid w:val="009D5028"/>
    <w:rsid w:val="009D5A81"/>
    <w:rsid w:val="009D6349"/>
    <w:rsid w:val="009D68EC"/>
    <w:rsid w:val="009D68F4"/>
    <w:rsid w:val="009D6EE5"/>
    <w:rsid w:val="009D6F47"/>
    <w:rsid w:val="009D7313"/>
    <w:rsid w:val="009D7335"/>
    <w:rsid w:val="009D73BC"/>
    <w:rsid w:val="009D7447"/>
    <w:rsid w:val="009D75F4"/>
    <w:rsid w:val="009D78C2"/>
    <w:rsid w:val="009D7A5A"/>
    <w:rsid w:val="009D7DA0"/>
    <w:rsid w:val="009D7F40"/>
    <w:rsid w:val="009E015F"/>
    <w:rsid w:val="009E0512"/>
    <w:rsid w:val="009E0539"/>
    <w:rsid w:val="009E077E"/>
    <w:rsid w:val="009E0A2C"/>
    <w:rsid w:val="009E0E15"/>
    <w:rsid w:val="009E11A3"/>
    <w:rsid w:val="009E13A0"/>
    <w:rsid w:val="009E170E"/>
    <w:rsid w:val="009E1944"/>
    <w:rsid w:val="009E1DC8"/>
    <w:rsid w:val="009E1EC0"/>
    <w:rsid w:val="009E20AA"/>
    <w:rsid w:val="009E2C24"/>
    <w:rsid w:val="009E3533"/>
    <w:rsid w:val="009E3A45"/>
    <w:rsid w:val="009E3CEB"/>
    <w:rsid w:val="009E3D5D"/>
    <w:rsid w:val="009E3DFD"/>
    <w:rsid w:val="009E3E5A"/>
    <w:rsid w:val="009E3F32"/>
    <w:rsid w:val="009E3FE8"/>
    <w:rsid w:val="009E404D"/>
    <w:rsid w:val="009E434C"/>
    <w:rsid w:val="009E48B0"/>
    <w:rsid w:val="009E4B94"/>
    <w:rsid w:val="009E4EBF"/>
    <w:rsid w:val="009E56BD"/>
    <w:rsid w:val="009E5736"/>
    <w:rsid w:val="009E6400"/>
    <w:rsid w:val="009E66E1"/>
    <w:rsid w:val="009E674E"/>
    <w:rsid w:val="009E6D4E"/>
    <w:rsid w:val="009E71F6"/>
    <w:rsid w:val="009E73A2"/>
    <w:rsid w:val="009E7642"/>
    <w:rsid w:val="009E7774"/>
    <w:rsid w:val="009E785D"/>
    <w:rsid w:val="009F014D"/>
    <w:rsid w:val="009F02AB"/>
    <w:rsid w:val="009F0583"/>
    <w:rsid w:val="009F05CE"/>
    <w:rsid w:val="009F0985"/>
    <w:rsid w:val="009F0AC8"/>
    <w:rsid w:val="009F116E"/>
    <w:rsid w:val="009F1350"/>
    <w:rsid w:val="009F19E8"/>
    <w:rsid w:val="009F1F9E"/>
    <w:rsid w:val="009F2008"/>
    <w:rsid w:val="009F267E"/>
    <w:rsid w:val="009F2911"/>
    <w:rsid w:val="009F2E54"/>
    <w:rsid w:val="009F2E78"/>
    <w:rsid w:val="009F3138"/>
    <w:rsid w:val="009F35AD"/>
    <w:rsid w:val="009F3A0C"/>
    <w:rsid w:val="009F3CD1"/>
    <w:rsid w:val="009F3DD1"/>
    <w:rsid w:val="009F4311"/>
    <w:rsid w:val="009F47A4"/>
    <w:rsid w:val="009F4B5C"/>
    <w:rsid w:val="009F4D47"/>
    <w:rsid w:val="009F501C"/>
    <w:rsid w:val="009F522D"/>
    <w:rsid w:val="009F53D8"/>
    <w:rsid w:val="009F55CB"/>
    <w:rsid w:val="009F5AA1"/>
    <w:rsid w:val="009F5AB5"/>
    <w:rsid w:val="009F61A8"/>
    <w:rsid w:val="009F62FA"/>
    <w:rsid w:val="009F67AB"/>
    <w:rsid w:val="009F6883"/>
    <w:rsid w:val="009F6907"/>
    <w:rsid w:val="009F6AE8"/>
    <w:rsid w:val="009F6B70"/>
    <w:rsid w:val="009F6C15"/>
    <w:rsid w:val="009F6D48"/>
    <w:rsid w:val="009F6E3A"/>
    <w:rsid w:val="009F7030"/>
    <w:rsid w:val="009F7547"/>
    <w:rsid w:val="009F7703"/>
    <w:rsid w:val="009F794F"/>
    <w:rsid w:val="009F7E58"/>
    <w:rsid w:val="00A005EB"/>
    <w:rsid w:val="00A007E5"/>
    <w:rsid w:val="00A008DF"/>
    <w:rsid w:val="00A00CD1"/>
    <w:rsid w:val="00A00DD3"/>
    <w:rsid w:val="00A00E38"/>
    <w:rsid w:val="00A011CE"/>
    <w:rsid w:val="00A0127F"/>
    <w:rsid w:val="00A01697"/>
    <w:rsid w:val="00A01744"/>
    <w:rsid w:val="00A01BAA"/>
    <w:rsid w:val="00A01BD0"/>
    <w:rsid w:val="00A01E59"/>
    <w:rsid w:val="00A01E65"/>
    <w:rsid w:val="00A01EEE"/>
    <w:rsid w:val="00A028D7"/>
    <w:rsid w:val="00A029A3"/>
    <w:rsid w:val="00A02A20"/>
    <w:rsid w:val="00A02ABA"/>
    <w:rsid w:val="00A02CC3"/>
    <w:rsid w:val="00A03262"/>
    <w:rsid w:val="00A03348"/>
    <w:rsid w:val="00A03621"/>
    <w:rsid w:val="00A037A6"/>
    <w:rsid w:val="00A037DB"/>
    <w:rsid w:val="00A037E0"/>
    <w:rsid w:val="00A037E3"/>
    <w:rsid w:val="00A03883"/>
    <w:rsid w:val="00A043EA"/>
    <w:rsid w:val="00A047B6"/>
    <w:rsid w:val="00A04B97"/>
    <w:rsid w:val="00A04C73"/>
    <w:rsid w:val="00A04CDB"/>
    <w:rsid w:val="00A04EBB"/>
    <w:rsid w:val="00A052FB"/>
    <w:rsid w:val="00A059DA"/>
    <w:rsid w:val="00A05AE4"/>
    <w:rsid w:val="00A05EBA"/>
    <w:rsid w:val="00A05F61"/>
    <w:rsid w:val="00A06297"/>
    <w:rsid w:val="00A062D4"/>
    <w:rsid w:val="00A06908"/>
    <w:rsid w:val="00A06933"/>
    <w:rsid w:val="00A06EF8"/>
    <w:rsid w:val="00A0715D"/>
    <w:rsid w:val="00A0725A"/>
    <w:rsid w:val="00A0740B"/>
    <w:rsid w:val="00A079AD"/>
    <w:rsid w:val="00A07F42"/>
    <w:rsid w:val="00A100CB"/>
    <w:rsid w:val="00A10CE6"/>
    <w:rsid w:val="00A10EE8"/>
    <w:rsid w:val="00A110E3"/>
    <w:rsid w:val="00A112F3"/>
    <w:rsid w:val="00A11BAB"/>
    <w:rsid w:val="00A11FA8"/>
    <w:rsid w:val="00A125BF"/>
    <w:rsid w:val="00A12914"/>
    <w:rsid w:val="00A12A7F"/>
    <w:rsid w:val="00A12AC3"/>
    <w:rsid w:val="00A13157"/>
    <w:rsid w:val="00A137D7"/>
    <w:rsid w:val="00A13A79"/>
    <w:rsid w:val="00A13A81"/>
    <w:rsid w:val="00A13AE5"/>
    <w:rsid w:val="00A13BED"/>
    <w:rsid w:val="00A13CBE"/>
    <w:rsid w:val="00A13DFF"/>
    <w:rsid w:val="00A13E3D"/>
    <w:rsid w:val="00A14563"/>
    <w:rsid w:val="00A14654"/>
    <w:rsid w:val="00A146E5"/>
    <w:rsid w:val="00A1524C"/>
    <w:rsid w:val="00A152D8"/>
    <w:rsid w:val="00A155B7"/>
    <w:rsid w:val="00A158F2"/>
    <w:rsid w:val="00A15917"/>
    <w:rsid w:val="00A15AE2"/>
    <w:rsid w:val="00A15B88"/>
    <w:rsid w:val="00A1608E"/>
    <w:rsid w:val="00A16315"/>
    <w:rsid w:val="00A16520"/>
    <w:rsid w:val="00A16624"/>
    <w:rsid w:val="00A16821"/>
    <w:rsid w:val="00A16A01"/>
    <w:rsid w:val="00A16A78"/>
    <w:rsid w:val="00A16C18"/>
    <w:rsid w:val="00A20371"/>
    <w:rsid w:val="00A208C6"/>
    <w:rsid w:val="00A208E5"/>
    <w:rsid w:val="00A20D41"/>
    <w:rsid w:val="00A20D63"/>
    <w:rsid w:val="00A20D9B"/>
    <w:rsid w:val="00A20EFF"/>
    <w:rsid w:val="00A2110C"/>
    <w:rsid w:val="00A21130"/>
    <w:rsid w:val="00A21236"/>
    <w:rsid w:val="00A213D1"/>
    <w:rsid w:val="00A214FE"/>
    <w:rsid w:val="00A217A1"/>
    <w:rsid w:val="00A2195C"/>
    <w:rsid w:val="00A21AB1"/>
    <w:rsid w:val="00A21B98"/>
    <w:rsid w:val="00A21EE9"/>
    <w:rsid w:val="00A2234D"/>
    <w:rsid w:val="00A22481"/>
    <w:rsid w:val="00A22520"/>
    <w:rsid w:val="00A2273B"/>
    <w:rsid w:val="00A22A53"/>
    <w:rsid w:val="00A23105"/>
    <w:rsid w:val="00A235C9"/>
    <w:rsid w:val="00A236A6"/>
    <w:rsid w:val="00A23766"/>
    <w:rsid w:val="00A23802"/>
    <w:rsid w:val="00A23A14"/>
    <w:rsid w:val="00A23EE2"/>
    <w:rsid w:val="00A24AF4"/>
    <w:rsid w:val="00A24D6A"/>
    <w:rsid w:val="00A24E54"/>
    <w:rsid w:val="00A24E58"/>
    <w:rsid w:val="00A25549"/>
    <w:rsid w:val="00A2648C"/>
    <w:rsid w:val="00A264FC"/>
    <w:rsid w:val="00A26618"/>
    <w:rsid w:val="00A268E8"/>
    <w:rsid w:val="00A26909"/>
    <w:rsid w:val="00A26BD7"/>
    <w:rsid w:val="00A27279"/>
    <w:rsid w:val="00A27340"/>
    <w:rsid w:val="00A274C1"/>
    <w:rsid w:val="00A27521"/>
    <w:rsid w:val="00A276A9"/>
    <w:rsid w:val="00A27760"/>
    <w:rsid w:val="00A27840"/>
    <w:rsid w:val="00A27A2D"/>
    <w:rsid w:val="00A27AA0"/>
    <w:rsid w:val="00A27F53"/>
    <w:rsid w:val="00A30991"/>
    <w:rsid w:val="00A30B3C"/>
    <w:rsid w:val="00A30DF3"/>
    <w:rsid w:val="00A3118D"/>
    <w:rsid w:val="00A31BD7"/>
    <w:rsid w:val="00A31C78"/>
    <w:rsid w:val="00A31EC4"/>
    <w:rsid w:val="00A31ED6"/>
    <w:rsid w:val="00A320D0"/>
    <w:rsid w:val="00A321B2"/>
    <w:rsid w:val="00A322D1"/>
    <w:rsid w:val="00A32365"/>
    <w:rsid w:val="00A323C3"/>
    <w:rsid w:val="00A325BB"/>
    <w:rsid w:val="00A32F9B"/>
    <w:rsid w:val="00A33684"/>
    <w:rsid w:val="00A3388A"/>
    <w:rsid w:val="00A33AC3"/>
    <w:rsid w:val="00A344A5"/>
    <w:rsid w:val="00A35090"/>
    <w:rsid w:val="00A3539A"/>
    <w:rsid w:val="00A35818"/>
    <w:rsid w:val="00A35876"/>
    <w:rsid w:val="00A35A97"/>
    <w:rsid w:val="00A35DDA"/>
    <w:rsid w:val="00A3649C"/>
    <w:rsid w:val="00A3702A"/>
    <w:rsid w:val="00A3753E"/>
    <w:rsid w:val="00A375DE"/>
    <w:rsid w:val="00A377A6"/>
    <w:rsid w:val="00A379C9"/>
    <w:rsid w:val="00A37DFB"/>
    <w:rsid w:val="00A400B1"/>
    <w:rsid w:val="00A40329"/>
    <w:rsid w:val="00A40484"/>
    <w:rsid w:val="00A404AD"/>
    <w:rsid w:val="00A40A07"/>
    <w:rsid w:val="00A40A0F"/>
    <w:rsid w:val="00A40D9B"/>
    <w:rsid w:val="00A40DF5"/>
    <w:rsid w:val="00A40E81"/>
    <w:rsid w:val="00A40F73"/>
    <w:rsid w:val="00A4151B"/>
    <w:rsid w:val="00A41648"/>
    <w:rsid w:val="00A41A08"/>
    <w:rsid w:val="00A41AF7"/>
    <w:rsid w:val="00A41B3D"/>
    <w:rsid w:val="00A422CF"/>
    <w:rsid w:val="00A424A0"/>
    <w:rsid w:val="00A4267F"/>
    <w:rsid w:val="00A42A26"/>
    <w:rsid w:val="00A42A90"/>
    <w:rsid w:val="00A4327A"/>
    <w:rsid w:val="00A435A5"/>
    <w:rsid w:val="00A435C1"/>
    <w:rsid w:val="00A4386C"/>
    <w:rsid w:val="00A43C6D"/>
    <w:rsid w:val="00A43DEC"/>
    <w:rsid w:val="00A43ED7"/>
    <w:rsid w:val="00A443BE"/>
    <w:rsid w:val="00A444AE"/>
    <w:rsid w:val="00A44925"/>
    <w:rsid w:val="00A44A0D"/>
    <w:rsid w:val="00A44B06"/>
    <w:rsid w:val="00A44B6A"/>
    <w:rsid w:val="00A44FAA"/>
    <w:rsid w:val="00A4511B"/>
    <w:rsid w:val="00A456C4"/>
    <w:rsid w:val="00A45959"/>
    <w:rsid w:val="00A45D6A"/>
    <w:rsid w:val="00A45ECA"/>
    <w:rsid w:val="00A4659F"/>
    <w:rsid w:val="00A46680"/>
    <w:rsid w:val="00A46685"/>
    <w:rsid w:val="00A466A9"/>
    <w:rsid w:val="00A47120"/>
    <w:rsid w:val="00A4725F"/>
    <w:rsid w:val="00A47501"/>
    <w:rsid w:val="00A479B8"/>
    <w:rsid w:val="00A47B73"/>
    <w:rsid w:val="00A47FD4"/>
    <w:rsid w:val="00A505CB"/>
    <w:rsid w:val="00A5074C"/>
    <w:rsid w:val="00A50901"/>
    <w:rsid w:val="00A50AAE"/>
    <w:rsid w:val="00A50E32"/>
    <w:rsid w:val="00A51B91"/>
    <w:rsid w:val="00A51BB0"/>
    <w:rsid w:val="00A52107"/>
    <w:rsid w:val="00A52405"/>
    <w:rsid w:val="00A52704"/>
    <w:rsid w:val="00A52CA6"/>
    <w:rsid w:val="00A52D88"/>
    <w:rsid w:val="00A534F7"/>
    <w:rsid w:val="00A535DE"/>
    <w:rsid w:val="00A5378A"/>
    <w:rsid w:val="00A53BED"/>
    <w:rsid w:val="00A53C03"/>
    <w:rsid w:val="00A53D23"/>
    <w:rsid w:val="00A53E58"/>
    <w:rsid w:val="00A54109"/>
    <w:rsid w:val="00A543C1"/>
    <w:rsid w:val="00A543E7"/>
    <w:rsid w:val="00A548F2"/>
    <w:rsid w:val="00A54909"/>
    <w:rsid w:val="00A54A46"/>
    <w:rsid w:val="00A54ACF"/>
    <w:rsid w:val="00A54B76"/>
    <w:rsid w:val="00A54BC2"/>
    <w:rsid w:val="00A54D02"/>
    <w:rsid w:val="00A54E4D"/>
    <w:rsid w:val="00A54F8F"/>
    <w:rsid w:val="00A55318"/>
    <w:rsid w:val="00A55352"/>
    <w:rsid w:val="00A55526"/>
    <w:rsid w:val="00A55646"/>
    <w:rsid w:val="00A559EE"/>
    <w:rsid w:val="00A55E1D"/>
    <w:rsid w:val="00A56255"/>
    <w:rsid w:val="00A562D4"/>
    <w:rsid w:val="00A5691E"/>
    <w:rsid w:val="00A56998"/>
    <w:rsid w:val="00A56DF6"/>
    <w:rsid w:val="00A5798F"/>
    <w:rsid w:val="00A57B53"/>
    <w:rsid w:val="00A57C54"/>
    <w:rsid w:val="00A57E2C"/>
    <w:rsid w:val="00A60106"/>
    <w:rsid w:val="00A605F7"/>
    <w:rsid w:val="00A6070E"/>
    <w:rsid w:val="00A608E5"/>
    <w:rsid w:val="00A60B21"/>
    <w:rsid w:val="00A610E2"/>
    <w:rsid w:val="00A6115C"/>
    <w:rsid w:val="00A615EB"/>
    <w:rsid w:val="00A61672"/>
    <w:rsid w:val="00A61A25"/>
    <w:rsid w:val="00A61F5A"/>
    <w:rsid w:val="00A622EC"/>
    <w:rsid w:val="00A6231A"/>
    <w:rsid w:val="00A632D9"/>
    <w:rsid w:val="00A6342F"/>
    <w:rsid w:val="00A636CE"/>
    <w:rsid w:val="00A6389E"/>
    <w:rsid w:val="00A63BBF"/>
    <w:rsid w:val="00A64186"/>
    <w:rsid w:val="00A64496"/>
    <w:rsid w:val="00A64523"/>
    <w:rsid w:val="00A645A6"/>
    <w:rsid w:val="00A647E8"/>
    <w:rsid w:val="00A64DAD"/>
    <w:rsid w:val="00A64F42"/>
    <w:rsid w:val="00A65829"/>
    <w:rsid w:val="00A6593A"/>
    <w:rsid w:val="00A6599C"/>
    <w:rsid w:val="00A663FF"/>
    <w:rsid w:val="00A66C22"/>
    <w:rsid w:val="00A66C3D"/>
    <w:rsid w:val="00A67610"/>
    <w:rsid w:val="00A67770"/>
    <w:rsid w:val="00A678D8"/>
    <w:rsid w:val="00A67F29"/>
    <w:rsid w:val="00A6AA8A"/>
    <w:rsid w:val="00A70D2F"/>
    <w:rsid w:val="00A710C8"/>
    <w:rsid w:val="00A71246"/>
    <w:rsid w:val="00A717D3"/>
    <w:rsid w:val="00A71C85"/>
    <w:rsid w:val="00A71DC5"/>
    <w:rsid w:val="00A72083"/>
    <w:rsid w:val="00A72123"/>
    <w:rsid w:val="00A725BF"/>
    <w:rsid w:val="00A72798"/>
    <w:rsid w:val="00A727E1"/>
    <w:rsid w:val="00A72D1E"/>
    <w:rsid w:val="00A72EF0"/>
    <w:rsid w:val="00A731E2"/>
    <w:rsid w:val="00A7353D"/>
    <w:rsid w:val="00A737BE"/>
    <w:rsid w:val="00A737DE"/>
    <w:rsid w:val="00A73B72"/>
    <w:rsid w:val="00A752B6"/>
    <w:rsid w:val="00A7574F"/>
    <w:rsid w:val="00A758FA"/>
    <w:rsid w:val="00A75910"/>
    <w:rsid w:val="00A75E44"/>
    <w:rsid w:val="00A766C4"/>
    <w:rsid w:val="00A76CF0"/>
    <w:rsid w:val="00A76FE1"/>
    <w:rsid w:val="00A7784E"/>
    <w:rsid w:val="00A779CC"/>
    <w:rsid w:val="00A77C4C"/>
    <w:rsid w:val="00A77CFC"/>
    <w:rsid w:val="00A8017B"/>
    <w:rsid w:val="00A80285"/>
    <w:rsid w:val="00A802A7"/>
    <w:rsid w:val="00A80D95"/>
    <w:rsid w:val="00A81BC3"/>
    <w:rsid w:val="00A81C6A"/>
    <w:rsid w:val="00A81D03"/>
    <w:rsid w:val="00A82092"/>
    <w:rsid w:val="00A82790"/>
    <w:rsid w:val="00A82803"/>
    <w:rsid w:val="00A8282F"/>
    <w:rsid w:val="00A82A98"/>
    <w:rsid w:val="00A82B04"/>
    <w:rsid w:val="00A82FEC"/>
    <w:rsid w:val="00A83486"/>
    <w:rsid w:val="00A83A5B"/>
    <w:rsid w:val="00A83BB8"/>
    <w:rsid w:val="00A84086"/>
    <w:rsid w:val="00A84163"/>
    <w:rsid w:val="00A843F6"/>
    <w:rsid w:val="00A8464A"/>
    <w:rsid w:val="00A84BF3"/>
    <w:rsid w:val="00A84EAF"/>
    <w:rsid w:val="00A84EDB"/>
    <w:rsid w:val="00A84F61"/>
    <w:rsid w:val="00A84FF7"/>
    <w:rsid w:val="00A8530C"/>
    <w:rsid w:val="00A860D4"/>
    <w:rsid w:val="00A86692"/>
    <w:rsid w:val="00A866A2"/>
    <w:rsid w:val="00A86AFF"/>
    <w:rsid w:val="00A86C3A"/>
    <w:rsid w:val="00A86D8E"/>
    <w:rsid w:val="00A87022"/>
    <w:rsid w:val="00A87612"/>
    <w:rsid w:val="00A876F6"/>
    <w:rsid w:val="00A9006F"/>
    <w:rsid w:val="00A900C5"/>
    <w:rsid w:val="00A9029C"/>
    <w:rsid w:val="00A905AC"/>
    <w:rsid w:val="00A9093A"/>
    <w:rsid w:val="00A909CD"/>
    <w:rsid w:val="00A90F49"/>
    <w:rsid w:val="00A90FC1"/>
    <w:rsid w:val="00A91262"/>
    <w:rsid w:val="00A920E4"/>
    <w:rsid w:val="00A92140"/>
    <w:rsid w:val="00A925DD"/>
    <w:rsid w:val="00A927E9"/>
    <w:rsid w:val="00A92916"/>
    <w:rsid w:val="00A92D47"/>
    <w:rsid w:val="00A92F95"/>
    <w:rsid w:val="00A9304F"/>
    <w:rsid w:val="00A930E7"/>
    <w:rsid w:val="00A9310C"/>
    <w:rsid w:val="00A93181"/>
    <w:rsid w:val="00A9338F"/>
    <w:rsid w:val="00A93569"/>
    <w:rsid w:val="00A93F1D"/>
    <w:rsid w:val="00A93F51"/>
    <w:rsid w:val="00A94053"/>
    <w:rsid w:val="00A9423D"/>
    <w:rsid w:val="00A94EAB"/>
    <w:rsid w:val="00A94F60"/>
    <w:rsid w:val="00A95316"/>
    <w:rsid w:val="00A953C6"/>
    <w:rsid w:val="00A95541"/>
    <w:rsid w:val="00A95902"/>
    <w:rsid w:val="00A95B29"/>
    <w:rsid w:val="00A95CA6"/>
    <w:rsid w:val="00A9636A"/>
    <w:rsid w:val="00A968D7"/>
    <w:rsid w:val="00A96D5D"/>
    <w:rsid w:val="00A96D62"/>
    <w:rsid w:val="00A97C4E"/>
    <w:rsid w:val="00A97D37"/>
    <w:rsid w:val="00A97DC0"/>
    <w:rsid w:val="00A97F2B"/>
    <w:rsid w:val="00AA004C"/>
    <w:rsid w:val="00AA02FD"/>
    <w:rsid w:val="00AA0532"/>
    <w:rsid w:val="00AA09EA"/>
    <w:rsid w:val="00AA0A29"/>
    <w:rsid w:val="00AA0AD0"/>
    <w:rsid w:val="00AA19FC"/>
    <w:rsid w:val="00AA1B1E"/>
    <w:rsid w:val="00AA1CEB"/>
    <w:rsid w:val="00AA2071"/>
    <w:rsid w:val="00AA223A"/>
    <w:rsid w:val="00AA2470"/>
    <w:rsid w:val="00AA2B0E"/>
    <w:rsid w:val="00AA2B47"/>
    <w:rsid w:val="00AA315F"/>
    <w:rsid w:val="00AA351C"/>
    <w:rsid w:val="00AA3581"/>
    <w:rsid w:val="00AA42CD"/>
    <w:rsid w:val="00AA445D"/>
    <w:rsid w:val="00AA5128"/>
    <w:rsid w:val="00AA521B"/>
    <w:rsid w:val="00AA5362"/>
    <w:rsid w:val="00AA54CC"/>
    <w:rsid w:val="00AA6533"/>
    <w:rsid w:val="00AA6756"/>
    <w:rsid w:val="00AA6AC8"/>
    <w:rsid w:val="00AA6E87"/>
    <w:rsid w:val="00AA7C4B"/>
    <w:rsid w:val="00AB015F"/>
    <w:rsid w:val="00AB0240"/>
    <w:rsid w:val="00AB0569"/>
    <w:rsid w:val="00AB070A"/>
    <w:rsid w:val="00AB08CD"/>
    <w:rsid w:val="00AB0A6C"/>
    <w:rsid w:val="00AB0F4A"/>
    <w:rsid w:val="00AB0FB4"/>
    <w:rsid w:val="00AB1187"/>
    <w:rsid w:val="00AB1209"/>
    <w:rsid w:val="00AB12B8"/>
    <w:rsid w:val="00AB13D1"/>
    <w:rsid w:val="00AB1448"/>
    <w:rsid w:val="00AB1AB1"/>
    <w:rsid w:val="00AB1C10"/>
    <w:rsid w:val="00AB201C"/>
    <w:rsid w:val="00AB263B"/>
    <w:rsid w:val="00AB2741"/>
    <w:rsid w:val="00AB2994"/>
    <w:rsid w:val="00AB2D0D"/>
    <w:rsid w:val="00AB2ED4"/>
    <w:rsid w:val="00AB31A0"/>
    <w:rsid w:val="00AB33F9"/>
    <w:rsid w:val="00AB3563"/>
    <w:rsid w:val="00AB399B"/>
    <w:rsid w:val="00AB3A22"/>
    <w:rsid w:val="00AB431E"/>
    <w:rsid w:val="00AB43B6"/>
    <w:rsid w:val="00AB44E6"/>
    <w:rsid w:val="00AB4D17"/>
    <w:rsid w:val="00AB4E3D"/>
    <w:rsid w:val="00AB5373"/>
    <w:rsid w:val="00AB57D0"/>
    <w:rsid w:val="00AB5821"/>
    <w:rsid w:val="00AB59D5"/>
    <w:rsid w:val="00AB5BBB"/>
    <w:rsid w:val="00AB5E20"/>
    <w:rsid w:val="00AB6324"/>
    <w:rsid w:val="00AB63B6"/>
    <w:rsid w:val="00AB664E"/>
    <w:rsid w:val="00AB681B"/>
    <w:rsid w:val="00AB6AF9"/>
    <w:rsid w:val="00AB6C82"/>
    <w:rsid w:val="00AB6E4C"/>
    <w:rsid w:val="00AB7626"/>
    <w:rsid w:val="00AB795C"/>
    <w:rsid w:val="00AB7AA0"/>
    <w:rsid w:val="00AB7C8B"/>
    <w:rsid w:val="00AB7F6D"/>
    <w:rsid w:val="00AB7F8E"/>
    <w:rsid w:val="00AC0513"/>
    <w:rsid w:val="00AC05E0"/>
    <w:rsid w:val="00AC0641"/>
    <w:rsid w:val="00AC0A50"/>
    <w:rsid w:val="00AC0ABD"/>
    <w:rsid w:val="00AC0C48"/>
    <w:rsid w:val="00AC0D42"/>
    <w:rsid w:val="00AC0ED9"/>
    <w:rsid w:val="00AC121E"/>
    <w:rsid w:val="00AC12E0"/>
    <w:rsid w:val="00AC15CB"/>
    <w:rsid w:val="00AC16C3"/>
    <w:rsid w:val="00AC194A"/>
    <w:rsid w:val="00AC1CA3"/>
    <w:rsid w:val="00AC1CEB"/>
    <w:rsid w:val="00AC30C5"/>
    <w:rsid w:val="00AC3883"/>
    <w:rsid w:val="00AC389D"/>
    <w:rsid w:val="00AC3BE6"/>
    <w:rsid w:val="00AC3FA4"/>
    <w:rsid w:val="00AC4032"/>
    <w:rsid w:val="00AC41F5"/>
    <w:rsid w:val="00AC42EC"/>
    <w:rsid w:val="00AC448F"/>
    <w:rsid w:val="00AC457C"/>
    <w:rsid w:val="00AC4D77"/>
    <w:rsid w:val="00AC5342"/>
    <w:rsid w:val="00AC5505"/>
    <w:rsid w:val="00AC5D56"/>
    <w:rsid w:val="00AC6295"/>
    <w:rsid w:val="00AC635C"/>
    <w:rsid w:val="00AC643F"/>
    <w:rsid w:val="00AC66F1"/>
    <w:rsid w:val="00AC692F"/>
    <w:rsid w:val="00AC6B9C"/>
    <w:rsid w:val="00AC6BA3"/>
    <w:rsid w:val="00AC7009"/>
    <w:rsid w:val="00AC72F1"/>
    <w:rsid w:val="00AC7397"/>
    <w:rsid w:val="00AC7601"/>
    <w:rsid w:val="00AC76C3"/>
    <w:rsid w:val="00AC7783"/>
    <w:rsid w:val="00AC77C8"/>
    <w:rsid w:val="00AC7D74"/>
    <w:rsid w:val="00AC7E14"/>
    <w:rsid w:val="00AC9717"/>
    <w:rsid w:val="00AD01D5"/>
    <w:rsid w:val="00AD044B"/>
    <w:rsid w:val="00AD0657"/>
    <w:rsid w:val="00AD0EB8"/>
    <w:rsid w:val="00AD11B8"/>
    <w:rsid w:val="00AD1216"/>
    <w:rsid w:val="00AD135C"/>
    <w:rsid w:val="00AD181F"/>
    <w:rsid w:val="00AD188E"/>
    <w:rsid w:val="00AD1A68"/>
    <w:rsid w:val="00AD1DA6"/>
    <w:rsid w:val="00AD1E44"/>
    <w:rsid w:val="00AD1F87"/>
    <w:rsid w:val="00AD2178"/>
    <w:rsid w:val="00AD26A1"/>
    <w:rsid w:val="00AD2B77"/>
    <w:rsid w:val="00AD2B7F"/>
    <w:rsid w:val="00AD2C4B"/>
    <w:rsid w:val="00AD2FCE"/>
    <w:rsid w:val="00AD3590"/>
    <w:rsid w:val="00AD38B0"/>
    <w:rsid w:val="00AD3B40"/>
    <w:rsid w:val="00AD3C9F"/>
    <w:rsid w:val="00AD3F64"/>
    <w:rsid w:val="00AD3F78"/>
    <w:rsid w:val="00AD424E"/>
    <w:rsid w:val="00AD447A"/>
    <w:rsid w:val="00AD44F2"/>
    <w:rsid w:val="00AD49BA"/>
    <w:rsid w:val="00AD4A50"/>
    <w:rsid w:val="00AD4AA2"/>
    <w:rsid w:val="00AD5024"/>
    <w:rsid w:val="00AD5417"/>
    <w:rsid w:val="00AD5645"/>
    <w:rsid w:val="00AD5B91"/>
    <w:rsid w:val="00AD5CE9"/>
    <w:rsid w:val="00AD5ED5"/>
    <w:rsid w:val="00AD605C"/>
    <w:rsid w:val="00AD624F"/>
    <w:rsid w:val="00AD656B"/>
    <w:rsid w:val="00AD6669"/>
    <w:rsid w:val="00AD6BCD"/>
    <w:rsid w:val="00AD6CFB"/>
    <w:rsid w:val="00AD7525"/>
    <w:rsid w:val="00AD7F95"/>
    <w:rsid w:val="00AE0405"/>
    <w:rsid w:val="00AE055A"/>
    <w:rsid w:val="00AE0575"/>
    <w:rsid w:val="00AE0AF5"/>
    <w:rsid w:val="00AE0E33"/>
    <w:rsid w:val="00AE143B"/>
    <w:rsid w:val="00AE156F"/>
    <w:rsid w:val="00AE1BD2"/>
    <w:rsid w:val="00AE20E7"/>
    <w:rsid w:val="00AE2268"/>
    <w:rsid w:val="00AE233F"/>
    <w:rsid w:val="00AE24B9"/>
    <w:rsid w:val="00AE29C6"/>
    <w:rsid w:val="00AE2BFB"/>
    <w:rsid w:val="00AE2C59"/>
    <w:rsid w:val="00AE2CCA"/>
    <w:rsid w:val="00AE2E0E"/>
    <w:rsid w:val="00AE2F00"/>
    <w:rsid w:val="00AE3086"/>
    <w:rsid w:val="00AE3089"/>
    <w:rsid w:val="00AE3214"/>
    <w:rsid w:val="00AE3282"/>
    <w:rsid w:val="00AE3491"/>
    <w:rsid w:val="00AE37FA"/>
    <w:rsid w:val="00AE3E8C"/>
    <w:rsid w:val="00AE3FAA"/>
    <w:rsid w:val="00AE4535"/>
    <w:rsid w:val="00AE48ED"/>
    <w:rsid w:val="00AE4BC3"/>
    <w:rsid w:val="00AE4D27"/>
    <w:rsid w:val="00AE4F1A"/>
    <w:rsid w:val="00AE5000"/>
    <w:rsid w:val="00AE529B"/>
    <w:rsid w:val="00AE5436"/>
    <w:rsid w:val="00AE54AA"/>
    <w:rsid w:val="00AE63D9"/>
    <w:rsid w:val="00AE645B"/>
    <w:rsid w:val="00AE6B5D"/>
    <w:rsid w:val="00AE6BFD"/>
    <w:rsid w:val="00AE6FBC"/>
    <w:rsid w:val="00AE7428"/>
    <w:rsid w:val="00AE761B"/>
    <w:rsid w:val="00AE7C40"/>
    <w:rsid w:val="00AE7D2E"/>
    <w:rsid w:val="00AF086E"/>
    <w:rsid w:val="00AF08C2"/>
    <w:rsid w:val="00AF0B48"/>
    <w:rsid w:val="00AF0C8B"/>
    <w:rsid w:val="00AF11A7"/>
    <w:rsid w:val="00AF1298"/>
    <w:rsid w:val="00AF1359"/>
    <w:rsid w:val="00AF1369"/>
    <w:rsid w:val="00AF1484"/>
    <w:rsid w:val="00AF1864"/>
    <w:rsid w:val="00AF1D83"/>
    <w:rsid w:val="00AF23B1"/>
    <w:rsid w:val="00AF26B3"/>
    <w:rsid w:val="00AF2AFC"/>
    <w:rsid w:val="00AF2C70"/>
    <w:rsid w:val="00AF2E86"/>
    <w:rsid w:val="00AF2E9B"/>
    <w:rsid w:val="00AF31E0"/>
    <w:rsid w:val="00AF347D"/>
    <w:rsid w:val="00AF354F"/>
    <w:rsid w:val="00AF386D"/>
    <w:rsid w:val="00AF3A2A"/>
    <w:rsid w:val="00AF3ADC"/>
    <w:rsid w:val="00AF3C24"/>
    <w:rsid w:val="00AF3D0A"/>
    <w:rsid w:val="00AF413E"/>
    <w:rsid w:val="00AF4200"/>
    <w:rsid w:val="00AF4234"/>
    <w:rsid w:val="00AF4480"/>
    <w:rsid w:val="00AF4643"/>
    <w:rsid w:val="00AF4BEA"/>
    <w:rsid w:val="00AF4CDD"/>
    <w:rsid w:val="00AF4D98"/>
    <w:rsid w:val="00AF5D8A"/>
    <w:rsid w:val="00AF602A"/>
    <w:rsid w:val="00AF60D0"/>
    <w:rsid w:val="00AF665B"/>
    <w:rsid w:val="00AF6A04"/>
    <w:rsid w:val="00AF706C"/>
    <w:rsid w:val="00AF70E2"/>
    <w:rsid w:val="00AF71DB"/>
    <w:rsid w:val="00AF7F6A"/>
    <w:rsid w:val="00AF7FDD"/>
    <w:rsid w:val="00B000A5"/>
    <w:rsid w:val="00B0010D"/>
    <w:rsid w:val="00B00542"/>
    <w:rsid w:val="00B00595"/>
    <w:rsid w:val="00B00DA9"/>
    <w:rsid w:val="00B01293"/>
    <w:rsid w:val="00B013AF"/>
    <w:rsid w:val="00B01A58"/>
    <w:rsid w:val="00B01F1E"/>
    <w:rsid w:val="00B02185"/>
    <w:rsid w:val="00B0226B"/>
    <w:rsid w:val="00B02530"/>
    <w:rsid w:val="00B02A57"/>
    <w:rsid w:val="00B02BC4"/>
    <w:rsid w:val="00B02C31"/>
    <w:rsid w:val="00B03124"/>
    <w:rsid w:val="00B033A9"/>
    <w:rsid w:val="00B035F4"/>
    <w:rsid w:val="00B037AE"/>
    <w:rsid w:val="00B03A10"/>
    <w:rsid w:val="00B03E65"/>
    <w:rsid w:val="00B04554"/>
    <w:rsid w:val="00B045A3"/>
    <w:rsid w:val="00B04907"/>
    <w:rsid w:val="00B04B85"/>
    <w:rsid w:val="00B04E03"/>
    <w:rsid w:val="00B05CAB"/>
    <w:rsid w:val="00B05CC7"/>
    <w:rsid w:val="00B05EB4"/>
    <w:rsid w:val="00B05F21"/>
    <w:rsid w:val="00B065EB"/>
    <w:rsid w:val="00B0661B"/>
    <w:rsid w:val="00B0682F"/>
    <w:rsid w:val="00B068A5"/>
    <w:rsid w:val="00B06979"/>
    <w:rsid w:val="00B06B40"/>
    <w:rsid w:val="00B06C5D"/>
    <w:rsid w:val="00B06C5E"/>
    <w:rsid w:val="00B06DFE"/>
    <w:rsid w:val="00B07CE6"/>
    <w:rsid w:val="00B07E87"/>
    <w:rsid w:val="00B100C0"/>
    <w:rsid w:val="00B1069D"/>
    <w:rsid w:val="00B108A5"/>
    <w:rsid w:val="00B108A7"/>
    <w:rsid w:val="00B108E1"/>
    <w:rsid w:val="00B109ED"/>
    <w:rsid w:val="00B11106"/>
    <w:rsid w:val="00B1137E"/>
    <w:rsid w:val="00B11557"/>
    <w:rsid w:val="00B11E11"/>
    <w:rsid w:val="00B11E40"/>
    <w:rsid w:val="00B12206"/>
    <w:rsid w:val="00B12475"/>
    <w:rsid w:val="00B128FD"/>
    <w:rsid w:val="00B12CB1"/>
    <w:rsid w:val="00B12CC1"/>
    <w:rsid w:val="00B12D3E"/>
    <w:rsid w:val="00B12F1F"/>
    <w:rsid w:val="00B12F49"/>
    <w:rsid w:val="00B13355"/>
    <w:rsid w:val="00B1348F"/>
    <w:rsid w:val="00B13503"/>
    <w:rsid w:val="00B13681"/>
    <w:rsid w:val="00B13DEC"/>
    <w:rsid w:val="00B14179"/>
    <w:rsid w:val="00B143D0"/>
    <w:rsid w:val="00B14EB4"/>
    <w:rsid w:val="00B153ED"/>
    <w:rsid w:val="00B15572"/>
    <w:rsid w:val="00B1575E"/>
    <w:rsid w:val="00B1590E"/>
    <w:rsid w:val="00B164C4"/>
    <w:rsid w:val="00B16DE6"/>
    <w:rsid w:val="00B176C6"/>
    <w:rsid w:val="00B1A2F2"/>
    <w:rsid w:val="00B200B0"/>
    <w:rsid w:val="00B203D1"/>
    <w:rsid w:val="00B20705"/>
    <w:rsid w:val="00B20BAA"/>
    <w:rsid w:val="00B20C7B"/>
    <w:rsid w:val="00B20E11"/>
    <w:rsid w:val="00B213AB"/>
    <w:rsid w:val="00B21437"/>
    <w:rsid w:val="00B21909"/>
    <w:rsid w:val="00B21DB3"/>
    <w:rsid w:val="00B21FA0"/>
    <w:rsid w:val="00B2254A"/>
    <w:rsid w:val="00B226F6"/>
    <w:rsid w:val="00B22743"/>
    <w:rsid w:val="00B22BC0"/>
    <w:rsid w:val="00B22F2C"/>
    <w:rsid w:val="00B2318C"/>
    <w:rsid w:val="00B233B6"/>
    <w:rsid w:val="00B233F5"/>
    <w:rsid w:val="00B2353D"/>
    <w:rsid w:val="00B235EC"/>
    <w:rsid w:val="00B23ABC"/>
    <w:rsid w:val="00B23AF4"/>
    <w:rsid w:val="00B23BC0"/>
    <w:rsid w:val="00B24260"/>
    <w:rsid w:val="00B24268"/>
    <w:rsid w:val="00B24403"/>
    <w:rsid w:val="00B24414"/>
    <w:rsid w:val="00B244F2"/>
    <w:rsid w:val="00B246D0"/>
    <w:rsid w:val="00B24856"/>
    <w:rsid w:val="00B24956"/>
    <w:rsid w:val="00B249DB"/>
    <w:rsid w:val="00B24E2A"/>
    <w:rsid w:val="00B25656"/>
    <w:rsid w:val="00B256F7"/>
    <w:rsid w:val="00B25786"/>
    <w:rsid w:val="00B270CC"/>
    <w:rsid w:val="00B27129"/>
    <w:rsid w:val="00B2738C"/>
    <w:rsid w:val="00B276CD"/>
    <w:rsid w:val="00B2782A"/>
    <w:rsid w:val="00B27BCC"/>
    <w:rsid w:val="00B27D52"/>
    <w:rsid w:val="00B27E2A"/>
    <w:rsid w:val="00B3028A"/>
    <w:rsid w:val="00B30F49"/>
    <w:rsid w:val="00B317E4"/>
    <w:rsid w:val="00B31B8C"/>
    <w:rsid w:val="00B31FA3"/>
    <w:rsid w:val="00B3206D"/>
    <w:rsid w:val="00B32227"/>
    <w:rsid w:val="00B32693"/>
    <w:rsid w:val="00B32732"/>
    <w:rsid w:val="00B32845"/>
    <w:rsid w:val="00B32A9C"/>
    <w:rsid w:val="00B33191"/>
    <w:rsid w:val="00B33346"/>
    <w:rsid w:val="00B33372"/>
    <w:rsid w:val="00B33C43"/>
    <w:rsid w:val="00B33D73"/>
    <w:rsid w:val="00B33D75"/>
    <w:rsid w:val="00B33DA4"/>
    <w:rsid w:val="00B34523"/>
    <w:rsid w:val="00B3546F"/>
    <w:rsid w:val="00B357D4"/>
    <w:rsid w:val="00B35B08"/>
    <w:rsid w:val="00B35C15"/>
    <w:rsid w:val="00B35F20"/>
    <w:rsid w:val="00B362C3"/>
    <w:rsid w:val="00B36397"/>
    <w:rsid w:val="00B3691D"/>
    <w:rsid w:val="00B3699A"/>
    <w:rsid w:val="00B369E0"/>
    <w:rsid w:val="00B373B4"/>
    <w:rsid w:val="00B373F9"/>
    <w:rsid w:val="00B37946"/>
    <w:rsid w:val="00B379B1"/>
    <w:rsid w:val="00B37B82"/>
    <w:rsid w:val="00B37C04"/>
    <w:rsid w:val="00B37F38"/>
    <w:rsid w:val="00B401E9"/>
    <w:rsid w:val="00B40315"/>
    <w:rsid w:val="00B405FC"/>
    <w:rsid w:val="00B40B00"/>
    <w:rsid w:val="00B40E94"/>
    <w:rsid w:val="00B4115A"/>
    <w:rsid w:val="00B4115C"/>
    <w:rsid w:val="00B4147F"/>
    <w:rsid w:val="00B414C4"/>
    <w:rsid w:val="00B41BDD"/>
    <w:rsid w:val="00B4246E"/>
    <w:rsid w:val="00B4320E"/>
    <w:rsid w:val="00B43624"/>
    <w:rsid w:val="00B4379C"/>
    <w:rsid w:val="00B43EE1"/>
    <w:rsid w:val="00B43F7F"/>
    <w:rsid w:val="00B444C2"/>
    <w:rsid w:val="00B4475C"/>
    <w:rsid w:val="00B44EC2"/>
    <w:rsid w:val="00B44F0A"/>
    <w:rsid w:val="00B450B4"/>
    <w:rsid w:val="00B450D8"/>
    <w:rsid w:val="00B45A4F"/>
    <w:rsid w:val="00B45B49"/>
    <w:rsid w:val="00B45D18"/>
    <w:rsid w:val="00B46229"/>
    <w:rsid w:val="00B46355"/>
    <w:rsid w:val="00B473D1"/>
    <w:rsid w:val="00B4760A"/>
    <w:rsid w:val="00B47F9F"/>
    <w:rsid w:val="00B47FE7"/>
    <w:rsid w:val="00B5035E"/>
    <w:rsid w:val="00B506F4"/>
    <w:rsid w:val="00B51279"/>
    <w:rsid w:val="00B5139E"/>
    <w:rsid w:val="00B51654"/>
    <w:rsid w:val="00B5170F"/>
    <w:rsid w:val="00B518C1"/>
    <w:rsid w:val="00B518D1"/>
    <w:rsid w:val="00B51C68"/>
    <w:rsid w:val="00B51D6C"/>
    <w:rsid w:val="00B51E47"/>
    <w:rsid w:val="00B522F2"/>
    <w:rsid w:val="00B525A2"/>
    <w:rsid w:val="00B5265E"/>
    <w:rsid w:val="00B52E9A"/>
    <w:rsid w:val="00B52F7C"/>
    <w:rsid w:val="00B5332B"/>
    <w:rsid w:val="00B53497"/>
    <w:rsid w:val="00B53797"/>
    <w:rsid w:val="00B53AD7"/>
    <w:rsid w:val="00B53B87"/>
    <w:rsid w:val="00B53D96"/>
    <w:rsid w:val="00B53F8F"/>
    <w:rsid w:val="00B542C7"/>
    <w:rsid w:val="00B544C6"/>
    <w:rsid w:val="00B54818"/>
    <w:rsid w:val="00B54BDF"/>
    <w:rsid w:val="00B5525B"/>
    <w:rsid w:val="00B55350"/>
    <w:rsid w:val="00B55353"/>
    <w:rsid w:val="00B554B7"/>
    <w:rsid w:val="00B55580"/>
    <w:rsid w:val="00B556F3"/>
    <w:rsid w:val="00B55B67"/>
    <w:rsid w:val="00B55C66"/>
    <w:rsid w:val="00B5610F"/>
    <w:rsid w:val="00B5631F"/>
    <w:rsid w:val="00B565FC"/>
    <w:rsid w:val="00B56835"/>
    <w:rsid w:val="00B56DC8"/>
    <w:rsid w:val="00B572EA"/>
    <w:rsid w:val="00B57950"/>
    <w:rsid w:val="00B6012B"/>
    <w:rsid w:val="00B60804"/>
    <w:rsid w:val="00B60AA9"/>
    <w:rsid w:val="00B6132E"/>
    <w:rsid w:val="00B6192D"/>
    <w:rsid w:val="00B61B68"/>
    <w:rsid w:val="00B6227C"/>
    <w:rsid w:val="00B623EC"/>
    <w:rsid w:val="00B62547"/>
    <w:rsid w:val="00B62574"/>
    <w:rsid w:val="00B62632"/>
    <w:rsid w:val="00B62AF8"/>
    <w:rsid w:val="00B62EFF"/>
    <w:rsid w:val="00B6306B"/>
    <w:rsid w:val="00B63912"/>
    <w:rsid w:val="00B63A4C"/>
    <w:rsid w:val="00B63B67"/>
    <w:rsid w:val="00B63E28"/>
    <w:rsid w:val="00B64343"/>
    <w:rsid w:val="00B64633"/>
    <w:rsid w:val="00B64644"/>
    <w:rsid w:val="00B648AD"/>
    <w:rsid w:val="00B64A37"/>
    <w:rsid w:val="00B64A58"/>
    <w:rsid w:val="00B64A99"/>
    <w:rsid w:val="00B64F4B"/>
    <w:rsid w:val="00B6504A"/>
    <w:rsid w:val="00B65071"/>
    <w:rsid w:val="00B650BE"/>
    <w:rsid w:val="00B655BA"/>
    <w:rsid w:val="00B657CB"/>
    <w:rsid w:val="00B6581E"/>
    <w:rsid w:val="00B658B8"/>
    <w:rsid w:val="00B65AD4"/>
    <w:rsid w:val="00B65B68"/>
    <w:rsid w:val="00B65C26"/>
    <w:rsid w:val="00B65CBC"/>
    <w:rsid w:val="00B65FF9"/>
    <w:rsid w:val="00B661F3"/>
    <w:rsid w:val="00B663F4"/>
    <w:rsid w:val="00B6658D"/>
    <w:rsid w:val="00B665EE"/>
    <w:rsid w:val="00B67431"/>
    <w:rsid w:val="00B67C9A"/>
    <w:rsid w:val="00B67DA6"/>
    <w:rsid w:val="00B701BE"/>
    <w:rsid w:val="00B703AF"/>
    <w:rsid w:val="00B70E37"/>
    <w:rsid w:val="00B70F53"/>
    <w:rsid w:val="00B716D0"/>
    <w:rsid w:val="00B71C9F"/>
    <w:rsid w:val="00B7216F"/>
    <w:rsid w:val="00B723BE"/>
    <w:rsid w:val="00B72568"/>
    <w:rsid w:val="00B7288A"/>
    <w:rsid w:val="00B72DF1"/>
    <w:rsid w:val="00B73105"/>
    <w:rsid w:val="00B73445"/>
    <w:rsid w:val="00B7358F"/>
    <w:rsid w:val="00B73E1E"/>
    <w:rsid w:val="00B73EDF"/>
    <w:rsid w:val="00B741BB"/>
    <w:rsid w:val="00B7423F"/>
    <w:rsid w:val="00B7454E"/>
    <w:rsid w:val="00B748CB"/>
    <w:rsid w:val="00B74DC7"/>
    <w:rsid w:val="00B74E34"/>
    <w:rsid w:val="00B75AB0"/>
    <w:rsid w:val="00B76201"/>
    <w:rsid w:val="00B768B2"/>
    <w:rsid w:val="00B76AC1"/>
    <w:rsid w:val="00B76F3A"/>
    <w:rsid w:val="00B7754E"/>
    <w:rsid w:val="00B7778C"/>
    <w:rsid w:val="00B777F7"/>
    <w:rsid w:val="00B77BFD"/>
    <w:rsid w:val="00B801C8"/>
    <w:rsid w:val="00B80474"/>
    <w:rsid w:val="00B809BE"/>
    <w:rsid w:val="00B80C1F"/>
    <w:rsid w:val="00B80F45"/>
    <w:rsid w:val="00B81108"/>
    <w:rsid w:val="00B81413"/>
    <w:rsid w:val="00B816CD"/>
    <w:rsid w:val="00B81844"/>
    <w:rsid w:val="00B8197C"/>
    <w:rsid w:val="00B81E88"/>
    <w:rsid w:val="00B81F6D"/>
    <w:rsid w:val="00B82673"/>
    <w:rsid w:val="00B82705"/>
    <w:rsid w:val="00B827FA"/>
    <w:rsid w:val="00B82816"/>
    <w:rsid w:val="00B82840"/>
    <w:rsid w:val="00B82901"/>
    <w:rsid w:val="00B82BF4"/>
    <w:rsid w:val="00B82F84"/>
    <w:rsid w:val="00B832DF"/>
    <w:rsid w:val="00B834F4"/>
    <w:rsid w:val="00B83766"/>
    <w:rsid w:val="00B83873"/>
    <w:rsid w:val="00B839E6"/>
    <w:rsid w:val="00B83B7B"/>
    <w:rsid w:val="00B83C3E"/>
    <w:rsid w:val="00B83F7D"/>
    <w:rsid w:val="00B84595"/>
    <w:rsid w:val="00B84723"/>
    <w:rsid w:val="00B84746"/>
    <w:rsid w:val="00B84B2E"/>
    <w:rsid w:val="00B84CE3"/>
    <w:rsid w:val="00B84CE4"/>
    <w:rsid w:val="00B84D33"/>
    <w:rsid w:val="00B85084"/>
    <w:rsid w:val="00B8533D"/>
    <w:rsid w:val="00B853E0"/>
    <w:rsid w:val="00B85825"/>
    <w:rsid w:val="00B858B5"/>
    <w:rsid w:val="00B85A53"/>
    <w:rsid w:val="00B85AC1"/>
    <w:rsid w:val="00B85E09"/>
    <w:rsid w:val="00B85F22"/>
    <w:rsid w:val="00B86038"/>
    <w:rsid w:val="00B86286"/>
    <w:rsid w:val="00B8637D"/>
    <w:rsid w:val="00B86796"/>
    <w:rsid w:val="00B869FC"/>
    <w:rsid w:val="00B86B8F"/>
    <w:rsid w:val="00B87181"/>
    <w:rsid w:val="00B87792"/>
    <w:rsid w:val="00B878EE"/>
    <w:rsid w:val="00B87A35"/>
    <w:rsid w:val="00B87AED"/>
    <w:rsid w:val="00B9008D"/>
    <w:rsid w:val="00B90642"/>
    <w:rsid w:val="00B906E2"/>
    <w:rsid w:val="00B90738"/>
    <w:rsid w:val="00B9075D"/>
    <w:rsid w:val="00B9079F"/>
    <w:rsid w:val="00B909FF"/>
    <w:rsid w:val="00B90B45"/>
    <w:rsid w:val="00B90EC7"/>
    <w:rsid w:val="00B917BA"/>
    <w:rsid w:val="00B91AC5"/>
    <w:rsid w:val="00B91BA5"/>
    <w:rsid w:val="00B92022"/>
    <w:rsid w:val="00B9247A"/>
    <w:rsid w:val="00B9285B"/>
    <w:rsid w:val="00B9293D"/>
    <w:rsid w:val="00B92AC2"/>
    <w:rsid w:val="00B92E74"/>
    <w:rsid w:val="00B932B1"/>
    <w:rsid w:val="00B936B0"/>
    <w:rsid w:val="00B93844"/>
    <w:rsid w:val="00B93B99"/>
    <w:rsid w:val="00B93CCA"/>
    <w:rsid w:val="00B9417B"/>
    <w:rsid w:val="00B946D0"/>
    <w:rsid w:val="00B94DDD"/>
    <w:rsid w:val="00B95818"/>
    <w:rsid w:val="00B959B0"/>
    <w:rsid w:val="00B95D13"/>
    <w:rsid w:val="00B961F5"/>
    <w:rsid w:val="00B9655B"/>
    <w:rsid w:val="00B966C7"/>
    <w:rsid w:val="00B96C6E"/>
    <w:rsid w:val="00B96ED7"/>
    <w:rsid w:val="00B9700D"/>
    <w:rsid w:val="00B973FA"/>
    <w:rsid w:val="00B97458"/>
    <w:rsid w:val="00B9778E"/>
    <w:rsid w:val="00B9785E"/>
    <w:rsid w:val="00B97968"/>
    <w:rsid w:val="00B979E9"/>
    <w:rsid w:val="00B97C08"/>
    <w:rsid w:val="00B97DB8"/>
    <w:rsid w:val="00B9D9ED"/>
    <w:rsid w:val="00BA0198"/>
    <w:rsid w:val="00BA02AF"/>
    <w:rsid w:val="00BA035D"/>
    <w:rsid w:val="00BA09A5"/>
    <w:rsid w:val="00BA0C3C"/>
    <w:rsid w:val="00BA0DA2"/>
    <w:rsid w:val="00BA0EEC"/>
    <w:rsid w:val="00BA109E"/>
    <w:rsid w:val="00BA1203"/>
    <w:rsid w:val="00BA1D88"/>
    <w:rsid w:val="00BA223A"/>
    <w:rsid w:val="00BA24A1"/>
    <w:rsid w:val="00BA2690"/>
    <w:rsid w:val="00BA335D"/>
    <w:rsid w:val="00BA3364"/>
    <w:rsid w:val="00BA35C8"/>
    <w:rsid w:val="00BA39C8"/>
    <w:rsid w:val="00BA3CCC"/>
    <w:rsid w:val="00BA3E23"/>
    <w:rsid w:val="00BA3F98"/>
    <w:rsid w:val="00BA4493"/>
    <w:rsid w:val="00BA48E1"/>
    <w:rsid w:val="00BA4BD0"/>
    <w:rsid w:val="00BA4BF8"/>
    <w:rsid w:val="00BA4EBD"/>
    <w:rsid w:val="00BA4F1A"/>
    <w:rsid w:val="00BA54C0"/>
    <w:rsid w:val="00BA5514"/>
    <w:rsid w:val="00BA5AA2"/>
    <w:rsid w:val="00BA5D5A"/>
    <w:rsid w:val="00BA5E09"/>
    <w:rsid w:val="00BA5EA6"/>
    <w:rsid w:val="00BA621A"/>
    <w:rsid w:val="00BA629D"/>
    <w:rsid w:val="00BA6845"/>
    <w:rsid w:val="00BA6B22"/>
    <w:rsid w:val="00BA6CC6"/>
    <w:rsid w:val="00BA6CED"/>
    <w:rsid w:val="00BA74B6"/>
    <w:rsid w:val="00BA75E3"/>
    <w:rsid w:val="00BA78A5"/>
    <w:rsid w:val="00BA7D78"/>
    <w:rsid w:val="00BB0048"/>
    <w:rsid w:val="00BB0214"/>
    <w:rsid w:val="00BB0996"/>
    <w:rsid w:val="00BB0C8C"/>
    <w:rsid w:val="00BB0DB9"/>
    <w:rsid w:val="00BB2117"/>
    <w:rsid w:val="00BB273A"/>
    <w:rsid w:val="00BB2A05"/>
    <w:rsid w:val="00BB3107"/>
    <w:rsid w:val="00BB3A6D"/>
    <w:rsid w:val="00BB3EE4"/>
    <w:rsid w:val="00BB43A2"/>
    <w:rsid w:val="00BB444C"/>
    <w:rsid w:val="00BB4F49"/>
    <w:rsid w:val="00BB4FE1"/>
    <w:rsid w:val="00BB5262"/>
    <w:rsid w:val="00BB53B9"/>
    <w:rsid w:val="00BB5473"/>
    <w:rsid w:val="00BB5589"/>
    <w:rsid w:val="00BB5599"/>
    <w:rsid w:val="00BB56CE"/>
    <w:rsid w:val="00BB573D"/>
    <w:rsid w:val="00BB5CC5"/>
    <w:rsid w:val="00BB6224"/>
    <w:rsid w:val="00BB62B7"/>
    <w:rsid w:val="00BB67EA"/>
    <w:rsid w:val="00BB684D"/>
    <w:rsid w:val="00BB72A6"/>
    <w:rsid w:val="00BB75E3"/>
    <w:rsid w:val="00BB7B12"/>
    <w:rsid w:val="00BC004D"/>
    <w:rsid w:val="00BC010E"/>
    <w:rsid w:val="00BC0112"/>
    <w:rsid w:val="00BC0884"/>
    <w:rsid w:val="00BC0D8B"/>
    <w:rsid w:val="00BC102C"/>
    <w:rsid w:val="00BC1095"/>
    <w:rsid w:val="00BC187C"/>
    <w:rsid w:val="00BC1C0E"/>
    <w:rsid w:val="00BC1CA8"/>
    <w:rsid w:val="00BC1CB3"/>
    <w:rsid w:val="00BC1F52"/>
    <w:rsid w:val="00BC20E1"/>
    <w:rsid w:val="00BC2174"/>
    <w:rsid w:val="00BC2369"/>
    <w:rsid w:val="00BC2984"/>
    <w:rsid w:val="00BC2B40"/>
    <w:rsid w:val="00BC2F17"/>
    <w:rsid w:val="00BC2FBE"/>
    <w:rsid w:val="00BC308B"/>
    <w:rsid w:val="00BC3116"/>
    <w:rsid w:val="00BC3714"/>
    <w:rsid w:val="00BC3ADA"/>
    <w:rsid w:val="00BC3B22"/>
    <w:rsid w:val="00BC3D9A"/>
    <w:rsid w:val="00BC3DC0"/>
    <w:rsid w:val="00BC3E75"/>
    <w:rsid w:val="00BC41F2"/>
    <w:rsid w:val="00BC4370"/>
    <w:rsid w:val="00BC454D"/>
    <w:rsid w:val="00BC482A"/>
    <w:rsid w:val="00BC4872"/>
    <w:rsid w:val="00BC4DB4"/>
    <w:rsid w:val="00BC520D"/>
    <w:rsid w:val="00BC5262"/>
    <w:rsid w:val="00BC5504"/>
    <w:rsid w:val="00BC5516"/>
    <w:rsid w:val="00BC5783"/>
    <w:rsid w:val="00BC622B"/>
    <w:rsid w:val="00BC6A06"/>
    <w:rsid w:val="00BC6D51"/>
    <w:rsid w:val="00BC6D9C"/>
    <w:rsid w:val="00BC6DA4"/>
    <w:rsid w:val="00BC739F"/>
    <w:rsid w:val="00BC7B8E"/>
    <w:rsid w:val="00BC7D01"/>
    <w:rsid w:val="00BC7D13"/>
    <w:rsid w:val="00BC7FB7"/>
    <w:rsid w:val="00BD030C"/>
    <w:rsid w:val="00BD035D"/>
    <w:rsid w:val="00BD0396"/>
    <w:rsid w:val="00BD03A1"/>
    <w:rsid w:val="00BD0671"/>
    <w:rsid w:val="00BD07CE"/>
    <w:rsid w:val="00BD0ACF"/>
    <w:rsid w:val="00BD0D1F"/>
    <w:rsid w:val="00BD0E2B"/>
    <w:rsid w:val="00BD124D"/>
    <w:rsid w:val="00BD1407"/>
    <w:rsid w:val="00BD1BCD"/>
    <w:rsid w:val="00BD1D43"/>
    <w:rsid w:val="00BD27D7"/>
    <w:rsid w:val="00BD2A05"/>
    <w:rsid w:val="00BD2E89"/>
    <w:rsid w:val="00BD3182"/>
    <w:rsid w:val="00BD36C6"/>
    <w:rsid w:val="00BD37D5"/>
    <w:rsid w:val="00BD383B"/>
    <w:rsid w:val="00BD384B"/>
    <w:rsid w:val="00BD3890"/>
    <w:rsid w:val="00BD3CF8"/>
    <w:rsid w:val="00BD3DD2"/>
    <w:rsid w:val="00BD3E59"/>
    <w:rsid w:val="00BD4052"/>
    <w:rsid w:val="00BD4532"/>
    <w:rsid w:val="00BD4775"/>
    <w:rsid w:val="00BD4939"/>
    <w:rsid w:val="00BD4C58"/>
    <w:rsid w:val="00BD4FB7"/>
    <w:rsid w:val="00BD50F9"/>
    <w:rsid w:val="00BD5791"/>
    <w:rsid w:val="00BD5AF5"/>
    <w:rsid w:val="00BD5CD9"/>
    <w:rsid w:val="00BD5DA8"/>
    <w:rsid w:val="00BD6D77"/>
    <w:rsid w:val="00BD72E9"/>
    <w:rsid w:val="00BD733C"/>
    <w:rsid w:val="00BD7405"/>
    <w:rsid w:val="00BD7B58"/>
    <w:rsid w:val="00BD7C6A"/>
    <w:rsid w:val="00BD7D39"/>
    <w:rsid w:val="00BE0033"/>
    <w:rsid w:val="00BE0579"/>
    <w:rsid w:val="00BE07CF"/>
    <w:rsid w:val="00BE0F54"/>
    <w:rsid w:val="00BE0FD0"/>
    <w:rsid w:val="00BE14F2"/>
    <w:rsid w:val="00BE173B"/>
    <w:rsid w:val="00BE1A41"/>
    <w:rsid w:val="00BE1B87"/>
    <w:rsid w:val="00BE1E84"/>
    <w:rsid w:val="00BE1EBE"/>
    <w:rsid w:val="00BE2156"/>
    <w:rsid w:val="00BE21A9"/>
    <w:rsid w:val="00BE29EF"/>
    <w:rsid w:val="00BE2A7B"/>
    <w:rsid w:val="00BE2CFF"/>
    <w:rsid w:val="00BE325F"/>
    <w:rsid w:val="00BE3745"/>
    <w:rsid w:val="00BE398A"/>
    <w:rsid w:val="00BE3F86"/>
    <w:rsid w:val="00BE42F0"/>
    <w:rsid w:val="00BE4511"/>
    <w:rsid w:val="00BE4779"/>
    <w:rsid w:val="00BE4DEE"/>
    <w:rsid w:val="00BE53B4"/>
    <w:rsid w:val="00BE5634"/>
    <w:rsid w:val="00BE5714"/>
    <w:rsid w:val="00BE577B"/>
    <w:rsid w:val="00BE60EA"/>
    <w:rsid w:val="00BE65D3"/>
    <w:rsid w:val="00BE6691"/>
    <w:rsid w:val="00BE7287"/>
    <w:rsid w:val="00BE7468"/>
    <w:rsid w:val="00BE75D0"/>
    <w:rsid w:val="00BF042C"/>
    <w:rsid w:val="00BF06E3"/>
    <w:rsid w:val="00BF09B5"/>
    <w:rsid w:val="00BF0BE1"/>
    <w:rsid w:val="00BF0BE4"/>
    <w:rsid w:val="00BF0E2D"/>
    <w:rsid w:val="00BF1182"/>
    <w:rsid w:val="00BF138C"/>
    <w:rsid w:val="00BF156F"/>
    <w:rsid w:val="00BF2390"/>
    <w:rsid w:val="00BF23B5"/>
    <w:rsid w:val="00BF293C"/>
    <w:rsid w:val="00BF2A60"/>
    <w:rsid w:val="00BF2B79"/>
    <w:rsid w:val="00BF305C"/>
    <w:rsid w:val="00BF337D"/>
    <w:rsid w:val="00BF3C54"/>
    <w:rsid w:val="00BF3CB8"/>
    <w:rsid w:val="00BF3EDE"/>
    <w:rsid w:val="00BF408C"/>
    <w:rsid w:val="00BF41C5"/>
    <w:rsid w:val="00BF4241"/>
    <w:rsid w:val="00BF474C"/>
    <w:rsid w:val="00BF4BEB"/>
    <w:rsid w:val="00BF4E29"/>
    <w:rsid w:val="00BF505F"/>
    <w:rsid w:val="00BF5246"/>
    <w:rsid w:val="00BF52ED"/>
    <w:rsid w:val="00BF55DB"/>
    <w:rsid w:val="00BF585A"/>
    <w:rsid w:val="00BF5C7E"/>
    <w:rsid w:val="00BF5CAF"/>
    <w:rsid w:val="00BF5DA6"/>
    <w:rsid w:val="00BF5F31"/>
    <w:rsid w:val="00BF678E"/>
    <w:rsid w:val="00BF697A"/>
    <w:rsid w:val="00BF6DFB"/>
    <w:rsid w:val="00BF704D"/>
    <w:rsid w:val="00BF7385"/>
    <w:rsid w:val="00BF7925"/>
    <w:rsid w:val="00BF7CDE"/>
    <w:rsid w:val="00C003E4"/>
    <w:rsid w:val="00C00870"/>
    <w:rsid w:val="00C00FB8"/>
    <w:rsid w:val="00C0130D"/>
    <w:rsid w:val="00C014B1"/>
    <w:rsid w:val="00C01546"/>
    <w:rsid w:val="00C01645"/>
    <w:rsid w:val="00C01825"/>
    <w:rsid w:val="00C01918"/>
    <w:rsid w:val="00C020FB"/>
    <w:rsid w:val="00C0216F"/>
    <w:rsid w:val="00C0221B"/>
    <w:rsid w:val="00C02634"/>
    <w:rsid w:val="00C0268E"/>
    <w:rsid w:val="00C02901"/>
    <w:rsid w:val="00C029BE"/>
    <w:rsid w:val="00C02A07"/>
    <w:rsid w:val="00C02A16"/>
    <w:rsid w:val="00C0360F"/>
    <w:rsid w:val="00C036A0"/>
    <w:rsid w:val="00C0397E"/>
    <w:rsid w:val="00C0424B"/>
    <w:rsid w:val="00C042EF"/>
    <w:rsid w:val="00C04643"/>
    <w:rsid w:val="00C046B9"/>
    <w:rsid w:val="00C04801"/>
    <w:rsid w:val="00C04D70"/>
    <w:rsid w:val="00C04E8C"/>
    <w:rsid w:val="00C050A4"/>
    <w:rsid w:val="00C05117"/>
    <w:rsid w:val="00C051DE"/>
    <w:rsid w:val="00C0561E"/>
    <w:rsid w:val="00C05804"/>
    <w:rsid w:val="00C05C6A"/>
    <w:rsid w:val="00C06217"/>
    <w:rsid w:val="00C063DF"/>
    <w:rsid w:val="00C06E82"/>
    <w:rsid w:val="00C0769A"/>
    <w:rsid w:val="00C10051"/>
    <w:rsid w:val="00C1021A"/>
    <w:rsid w:val="00C106FA"/>
    <w:rsid w:val="00C10921"/>
    <w:rsid w:val="00C109C1"/>
    <w:rsid w:val="00C10D06"/>
    <w:rsid w:val="00C1162B"/>
    <w:rsid w:val="00C11745"/>
    <w:rsid w:val="00C124AB"/>
    <w:rsid w:val="00C12874"/>
    <w:rsid w:val="00C128DA"/>
    <w:rsid w:val="00C12C6A"/>
    <w:rsid w:val="00C12D78"/>
    <w:rsid w:val="00C1368D"/>
    <w:rsid w:val="00C14560"/>
    <w:rsid w:val="00C14CF2"/>
    <w:rsid w:val="00C14FF5"/>
    <w:rsid w:val="00C15111"/>
    <w:rsid w:val="00C153F8"/>
    <w:rsid w:val="00C15699"/>
    <w:rsid w:val="00C15837"/>
    <w:rsid w:val="00C158FC"/>
    <w:rsid w:val="00C15CA8"/>
    <w:rsid w:val="00C15F5A"/>
    <w:rsid w:val="00C16545"/>
    <w:rsid w:val="00C16B64"/>
    <w:rsid w:val="00C16D30"/>
    <w:rsid w:val="00C17514"/>
    <w:rsid w:val="00C17805"/>
    <w:rsid w:val="00C17835"/>
    <w:rsid w:val="00C17D91"/>
    <w:rsid w:val="00C17F48"/>
    <w:rsid w:val="00C1A720"/>
    <w:rsid w:val="00C2014D"/>
    <w:rsid w:val="00C2027D"/>
    <w:rsid w:val="00C202DA"/>
    <w:rsid w:val="00C20498"/>
    <w:rsid w:val="00C20E97"/>
    <w:rsid w:val="00C20EA3"/>
    <w:rsid w:val="00C210CD"/>
    <w:rsid w:val="00C21AA1"/>
    <w:rsid w:val="00C21B79"/>
    <w:rsid w:val="00C21E1F"/>
    <w:rsid w:val="00C21ED9"/>
    <w:rsid w:val="00C2218B"/>
    <w:rsid w:val="00C222CE"/>
    <w:rsid w:val="00C22558"/>
    <w:rsid w:val="00C228EC"/>
    <w:rsid w:val="00C22CDB"/>
    <w:rsid w:val="00C230F8"/>
    <w:rsid w:val="00C232D7"/>
    <w:rsid w:val="00C234E4"/>
    <w:rsid w:val="00C23B7C"/>
    <w:rsid w:val="00C23BEE"/>
    <w:rsid w:val="00C23CA5"/>
    <w:rsid w:val="00C241F1"/>
    <w:rsid w:val="00C2446C"/>
    <w:rsid w:val="00C2452C"/>
    <w:rsid w:val="00C24B20"/>
    <w:rsid w:val="00C250C2"/>
    <w:rsid w:val="00C25302"/>
    <w:rsid w:val="00C2551A"/>
    <w:rsid w:val="00C2557D"/>
    <w:rsid w:val="00C25649"/>
    <w:rsid w:val="00C2579C"/>
    <w:rsid w:val="00C25C58"/>
    <w:rsid w:val="00C25C81"/>
    <w:rsid w:val="00C25CAB"/>
    <w:rsid w:val="00C25FEB"/>
    <w:rsid w:val="00C263EB"/>
    <w:rsid w:val="00C26B97"/>
    <w:rsid w:val="00C26CD7"/>
    <w:rsid w:val="00C26D55"/>
    <w:rsid w:val="00C26DCE"/>
    <w:rsid w:val="00C2701C"/>
    <w:rsid w:val="00C275C8"/>
    <w:rsid w:val="00C275D4"/>
    <w:rsid w:val="00C276F0"/>
    <w:rsid w:val="00C277B5"/>
    <w:rsid w:val="00C27D57"/>
    <w:rsid w:val="00C27DB0"/>
    <w:rsid w:val="00C30165"/>
    <w:rsid w:val="00C30418"/>
    <w:rsid w:val="00C304A5"/>
    <w:rsid w:val="00C3067F"/>
    <w:rsid w:val="00C30BE8"/>
    <w:rsid w:val="00C30C3B"/>
    <w:rsid w:val="00C312E5"/>
    <w:rsid w:val="00C31557"/>
    <w:rsid w:val="00C318B6"/>
    <w:rsid w:val="00C31910"/>
    <w:rsid w:val="00C31E30"/>
    <w:rsid w:val="00C31FB7"/>
    <w:rsid w:val="00C32909"/>
    <w:rsid w:val="00C32923"/>
    <w:rsid w:val="00C32AA1"/>
    <w:rsid w:val="00C32EC0"/>
    <w:rsid w:val="00C3311D"/>
    <w:rsid w:val="00C334E7"/>
    <w:rsid w:val="00C33560"/>
    <w:rsid w:val="00C33674"/>
    <w:rsid w:val="00C3370B"/>
    <w:rsid w:val="00C33B0B"/>
    <w:rsid w:val="00C34504"/>
    <w:rsid w:val="00C3477E"/>
    <w:rsid w:val="00C34AC6"/>
    <w:rsid w:val="00C352AA"/>
    <w:rsid w:val="00C354DF"/>
    <w:rsid w:val="00C355B8"/>
    <w:rsid w:val="00C35816"/>
    <w:rsid w:val="00C358EB"/>
    <w:rsid w:val="00C359E0"/>
    <w:rsid w:val="00C35D8D"/>
    <w:rsid w:val="00C35EFE"/>
    <w:rsid w:val="00C3615C"/>
    <w:rsid w:val="00C36796"/>
    <w:rsid w:val="00C36C46"/>
    <w:rsid w:val="00C36D07"/>
    <w:rsid w:val="00C36E57"/>
    <w:rsid w:val="00C36F15"/>
    <w:rsid w:val="00C37B41"/>
    <w:rsid w:val="00C4032F"/>
    <w:rsid w:val="00C40466"/>
    <w:rsid w:val="00C40614"/>
    <w:rsid w:val="00C40910"/>
    <w:rsid w:val="00C40C63"/>
    <w:rsid w:val="00C40E36"/>
    <w:rsid w:val="00C40EA8"/>
    <w:rsid w:val="00C413A5"/>
    <w:rsid w:val="00C4152D"/>
    <w:rsid w:val="00C41801"/>
    <w:rsid w:val="00C41A2E"/>
    <w:rsid w:val="00C41BC8"/>
    <w:rsid w:val="00C41C26"/>
    <w:rsid w:val="00C428BF"/>
    <w:rsid w:val="00C42D09"/>
    <w:rsid w:val="00C42FB2"/>
    <w:rsid w:val="00C4346E"/>
    <w:rsid w:val="00C4358F"/>
    <w:rsid w:val="00C4364D"/>
    <w:rsid w:val="00C4375E"/>
    <w:rsid w:val="00C437FC"/>
    <w:rsid w:val="00C439DA"/>
    <w:rsid w:val="00C44075"/>
    <w:rsid w:val="00C443DF"/>
    <w:rsid w:val="00C44583"/>
    <w:rsid w:val="00C445AD"/>
    <w:rsid w:val="00C44865"/>
    <w:rsid w:val="00C44BA5"/>
    <w:rsid w:val="00C44DA9"/>
    <w:rsid w:val="00C44EA0"/>
    <w:rsid w:val="00C453A6"/>
    <w:rsid w:val="00C45660"/>
    <w:rsid w:val="00C45B4A"/>
    <w:rsid w:val="00C45E37"/>
    <w:rsid w:val="00C45EA0"/>
    <w:rsid w:val="00C46033"/>
    <w:rsid w:val="00C4617E"/>
    <w:rsid w:val="00C461F9"/>
    <w:rsid w:val="00C4644A"/>
    <w:rsid w:val="00C4657F"/>
    <w:rsid w:val="00C467C1"/>
    <w:rsid w:val="00C467CC"/>
    <w:rsid w:val="00C46922"/>
    <w:rsid w:val="00C469B8"/>
    <w:rsid w:val="00C46A7E"/>
    <w:rsid w:val="00C470D0"/>
    <w:rsid w:val="00C47238"/>
    <w:rsid w:val="00C4779E"/>
    <w:rsid w:val="00C4789E"/>
    <w:rsid w:val="00C478E9"/>
    <w:rsid w:val="00C50411"/>
    <w:rsid w:val="00C50546"/>
    <w:rsid w:val="00C506C9"/>
    <w:rsid w:val="00C5078E"/>
    <w:rsid w:val="00C507B9"/>
    <w:rsid w:val="00C50905"/>
    <w:rsid w:val="00C50973"/>
    <w:rsid w:val="00C50A24"/>
    <w:rsid w:val="00C50F1C"/>
    <w:rsid w:val="00C511FA"/>
    <w:rsid w:val="00C51417"/>
    <w:rsid w:val="00C51558"/>
    <w:rsid w:val="00C515AD"/>
    <w:rsid w:val="00C519FF"/>
    <w:rsid w:val="00C51E1F"/>
    <w:rsid w:val="00C52315"/>
    <w:rsid w:val="00C52555"/>
    <w:rsid w:val="00C528D6"/>
    <w:rsid w:val="00C52906"/>
    <w:rsid w:val="00C52AF5"/>
    <w:rsid w:val="00C52C85"/>
    <w:rsid w:val="00C530C5"/>
    <w:rsid w:val="00C5327A"/>
    <w:rsid w:val="00C53C8D"/>
    <w:rsid w:val="00C53CA4"/>
    <w:rsid w:val="00C53E7E"/>
    <w:rsid w:val="00C542FA"/>
    <w:rsid w:val="00C5462E"/>
    <w:rsid w:val="00C54ADD"/>
    <w:rsid w:val="00C54CB5"/>
    <w:rsid w:val="00C54DA7"/>
    <w:rsid w:val="00C54FA3"/>
    <w:rsid w:val="00C5508D"/>
    <w:rsid w:val="00C550F2"/>
    <w:rsid w:val="00C55436"/>
    <w:rsid w:val="00C5546B"/>
    <w:rsid w:val="00C5550A"/>
    <w:rsid w:val="00C55B16"/>
    <w:rsid w:val="00C55DA7"/>
    <w:rsid w:val="00C56899"/>
    <w:rsid w:val="00C568D8"/>
    <w:rsid w:val="00C5699C"/>
    <w:rsid w:val="00C57151"/>
    <w:rsid w:val="00C57156"/>
    <w:rsid w:val="00C5788A"/>
    <w:rsid w:val="00C57941"/>
    <w:rsid w:val="00C57C96"/>
    <w:rsid w:val="00C57CD1"/>
    <w:rsid w:val="00C600C3"/>
    <w:rsid w:val="00C60270"/>
    <w:rsid w:val="00C6057E"/>
    <w:rsid w:val="00C6085A"/>
    <w:rsid w:val="00C6270B"/>
    <w:rsid w:val="00C6290E"/>
    <w:rsid w:val="00C62F09"/>
    <w:rsid w:val="00C632E2"/>
    <w:rsid w:val="00C6348F"/>
    <w:rsid w:val="00C63A7A"/>
    <w:rsid w:val="00C64007"/>
    <w:rsid w:val="00C64616"/>
    <w:rsid w:val="00C646A3"/>
    <w:rsid w:val="00C646E6"/>
    <w:rsid w:val="00C64912"/>
    <w:rsid w:val="00C64E6D"/>
    <w:rsid w:val="00C64FDE"/>
    <w:rsid w:val="00C6518A"/>
    <w:rsid w:val="00C653F1"/>
    <w:rsid w:val="00C654BA"/>
    <w:rsid w:val="00C65788"/>
    <w:rsid w:val="00C65835"/>
    <w:rsid w:val="00C6589E"/>
    <w:rsid w:val="00C65E3E"/>
    <w:rsid w:val="00C65EED"/>
    <w:rsid w:val="00C6642C"/>
    <w:rsid w:val="00C66BF6"/>
    <w:rsid w:val="00C66C37"/>
    <w:rsid w:val="00C6722E"/>
    <w:rsid w:val="00C672F0"/>
    <w:rsid w:val="00C6756A"/>
    <w:rsid w:val="00C6794D"/>
    <w:rsid w:val="00C67AC2"/>
    <w:rsid w:val="00C67BB1"/>
    <w:rsid w:val="00C67CAC"/>
    <w:rsid w:val="00C6F676"/>
    <w:rsid w:val="00C7038F"/>
    <w:rsid w:val="00C7045B"/>
    <w:rsid w:val="00C70567"/>
    <w:rsid w:val="00C70762"/>
    <w:rsid w:val="00C70D5B"/>
    <w:rsid w:val="00C71380"/>
    <w:rsid w:val="00C713A0"/>
    <w:rsid w:val="00C71663"/>
    <w:rsid w:val="00C7181A"/>
    <w:rsid w:val="00C71F80"/>
    <w:rsid w:val="00C71F95"/>
    <w:rsid w:val="00C7210A"/>
    <w:rsid w:val="00C7228F"/>
    <w:rsid w:val="00C723AC"/>
    <w:rsid w:val="00C723C0"/>
    <w:rsid w:val="00C726A0"/>
    <w:rsid w:val="00C727F1"/>
    <w:rsid w:val="00C72BF0"/>
    <w:rsid w:val="00C73179"/>
    <w:rsid w:val="00C73246"/>
    <w:rsid w:val="00C732F4"/>
    <w:rsid w:val="00C73CFA"/>
    <w:rsid w:val="00C73E05"/>
    <w:rsid w:val="00C7407F"/>
    <w:rsid w:val="00C742AA"/>
    <w:rsid w:val="00C742B0"/>
    <w:rsid w:val="00C74330"/>
    <w:rsid w:val="00C74392"/>
    <w:rsid w:val="00C7452B"/>
    <w:rsid w:val="00C748CA"/>
    <w:rsid w:val="00C74953"/>
    <w:rsid w:val="00C74BE6"/>
    <w:rsid w:val="00C74C75"/>
    <w:rsid w:val="00C752E4"/>
    <w:rsid w:val="00C75371"/>
    <w:rsid w:val="00C7542A"/>
    <w:rsid w:val="00C75D3E"/>
    <w:rsid w:val="00C75E75"/>
    <w:rsid w:val="00C75EB4"/>
    <w:rsid w:val="00C75F3E"/>
    <w:rsid w:val="00C762F4"/>
    <w:rsid w:val="00C76526"/>
    <w:rsid w:val="00C767B5"/>
    <w:rsid w:val="00C76A44"/>
    <w:rsid w:val="00C76AA8"/>
    <w:rsid w:val="00C76F34"/>
    <w:rsid w:val="00C772B8"/>
    <w:rsid w:val="00C772D3"/>
    <w:rsid w:val="00C773EE"/>
    <w:rsid w:val="00C77F43"/>
    <w:rsid w:val="00C80743"/>
    <w:rsid w:val="00C80968"/>
    <w:rsid w:val="00C80998"/>
    <w:rsid w:val="00C80BF9"/>
    <w:rsid w:val="00C81504"/>
    <w:rsid w:val="00C818FE"/>
    <w:rsid w:val="00C81F20"/>
    <w:rsid w:val="00C8230C"/>
    <w:rsid w:val="00C82483"/>
    <w:rsid w:val="00C82898"/>
    <w:rsid w:val="00C82A13"/>
    <w:rsid w:val="00C82B57"/>
    <w:rsid w:val="00C82CBA"/>
    <w:rsid w:val="00C82D8F"/>
    <w:rsid w:val="00C82E8B"/>
    <w:rsid w:val="00C82EAD"/>
    <w:rsid w:val="00C8340E"/>
    <w:rsid w:val="00C83801"/>
    <w:rsid w:val="00C83A92"/>
    <w:rsid w:val="00C83BA4"/>
    <w:rsid w:val="00C83F21"/>
    <w:rsid w:val="00C843B3"/>
    <w:rsid w:val="00C843FC"/>
    <w:rsid w:val="00C84905"/>
    <w:rsid w:val="00C852C0"/>
    <w:rsid w:val="00C85DF1"/>
    <w:rsid w:val="00C85EE2"/>
    <w:rsid w:val="00C85FB2"/>
    <w:rsid w:val="00C8604C"/>
    <w:rsid w:val="00C8607A"/>
    <w:rsid w:val="00C861A4"/>
    <w:rsid w:val="00C8663B"/>
    <w:rsid w:val="00C8690B"/>
    <w:rsid w:val="00C86CD0"/>
    <w:rsid w:val="00C86D7D"/>
    <w:rsid w:val="00C86E7E"/>
    <w:rsid w:val="00C86F29"/>
    <w:rsid w:val="00C8774D"/>
    <w:rsid w:val="00C87979"/>
    <w:rsid w:val="00C879AA"/>
    <w:rsid w:val="00C90E7D"/>
    <w:rsid w:val="00C91029"/>
    <w:rsid w:val="00C91C08"/>
    <w:rsid w:val="00C91D91"/>
    <w:rsid w:val="00C92005"/>
    <w:rsid w:val="00C92030"/>
    <w:rsid w:val="00C92496"/>
    <w:rsid w:val="00C924D4"/>
    <w:rsid w:val="00C929A1"/>
    <w:rsid w:val="00C92C99"/>
    <w:rsid w:val="00C92E12"/>
    <w:rsid w:val="00C92EB1"/>
    <w:rsid w:val="00C92FBC"/>
    <w:rsid w:val="00C9327C"/>
    <w:rsid w:val="00C9329D"/>
    <w:rsid w:val="00C93BD1"/>
    <w:rsid w:val="00C93F12"/>
    <w:rsid w:val="00C9404A"/>
    <w:rsid w:val="00C9408E"/>
    <w:rsid w:val="00C94093"/>
    <w:rsid w:val="00C9445B"/>
    <w:rsid w:val="00C94D0A"/>
    <w:rsid w:val="00C94D76"/>
    <w:rsid w:val="00C950DF"/>
    <w:rsid w:val="00C95141"/>
    <w:rsid w:val="00C951E3"/>
    <w:rsid w:val="00C95CDE"/>
    <w:rsid w:val="00C9608A"/>
    <w:rsid w:val="00C9636E"/>
    <w:rsid w:val="00C96613"/>
    <w:rsid w:val="00C96B08"/>
    <w:rsid w:val="00C974C5"/>
    <w:rsid w:val="00C974C8"/>
    <w:rsid w:val="00C97855"/>
    <w:rsid w:val="00C978B0"/>
    <w:rsid w:val="00C9793E"/>
    <w:rsid w:val="00C97E0E"/>
    <w:rsid w:val="00CA015D"/>
    <w:rsid w:val="00CA04A8"/>
    <w:rsid w:val="00CA0675"/>
    <w:rsid w:val="00CA08D2"/>
    <w:rsid w:val="00CA08E8"/>
    <w:rsid w:val="00CA0BCE"/>
    <w:rsid w:val="00CA0F7D"/>
    <w:rsid w:val="00CA1344"/>
    <w:rsid w:val="00CA15E3"/>
    <w:rsid w:val="00CA1661"/>
    <w:rsid w:val="00CA191E"/>
    <w:rsid w:val="00CA194C"/>
    <w:rsid w:val="00CA1B07"/>
    <w:rsid w:val="00CA1EB5"/>
    <w:rsid w:val="00CA2133"/>
    <w:rsid w:val="00CA238C"/>
    <w:rsid w:val="00CA28F5"/>
    <w:rsid w:val="00CA2CA8"/>
    <w:rsid w:val="00CA3162"/>
    <w:rsid w:val="00CA31FF"/>
    <w:rsid w:val="00CA3F6F"/>
    <w:rsid w:val="00CA49BD"/>
    <w:rsid w:val="00CA4A6A"/>
    <w:rsid w:val="00CA4D45"/>
    <w:rsid w:val="00CA51B2"/>
    <w:rsid w:val="00CA5201"/>
    <w:rsid w:val="00CA52E6"/>
    <w:rsid w:val="00CA555A"/>
    <w:rsid w:val="00CA57D1"/>
    <w:rsid w:val="00CA57DA"/>
    <w:rsid w:val="00CA5B5F"/>
    <w:rsid w:val="00CA6021"/>
    <w:rsid w:val="00CA665E"/>
    <w:rsid w:val="00CA6E2B"/>
    <w:rsid w:val="00CA7123"/>
    <w:rsid w:val="00CA74E8"/>
    <w:rsid w:val="00CA79A9"/>
    <w:rsid w:val="00CA7C7F"/>
    <w:rsid w:val="00CA7E2F"/>
    <w:rsid w:val="00CA8B87"/>
    <w:rsid w:val="00CB029F"/>
    <w:rsid w:val="00CB0918"/>
    <w:rsid w:val="00CB0998"/>
    <w:rsid w:val="00CB0DE1"/>
    <w:rsid w:val="00CB0F00"/>
    <w:rsid w:val="00CB141D"/>
    <w:rsid w:val="00CB198A"/>
    <w:rsid w:val="00CB1AA5"/>
    <w:rsid w:val="00CB208B"/>
    <w:rsid w:val="00CB20B2"/>
    <w:rsid w:val="00CB20C1"/>
    <w:rsid w:val="00CB250C"/>
    <w:rsid w:val="00CB278F"/>
    <w:rsid w:val="00CB281D"/>
    <w:rsid w:val="00CB2AF2"/>
    <w:rsid w:val="00CB2BC5"/>
    <w:rsid w:val="00CB2C46"/>
    <w:rsid w:val="00CB2F6B"/>
    <w:rsid w:val="00CB316E"/>
    <w:rsid w:val="00CB31BC"/>
    <w:rsid w:val="00CB326E"/>
    <w:rsid w:val="00CB419C"/>
    <w:rsid w:val="00CB4635"/>
    <w:rsid w:val="00CB4706"/>
    <w:rsid w:val="00CB4776"/>
    <w:rsid w:val="00CB4801"/>
    <w:rsid w:val="00CB4A7A"/>
    <w:rsid w:val="00CB4B13"/>
    <w:rsid w:val="00CB4C99"/>
    <w:rsid w:val="00CB57DA"/>
    <w:rsid w:val="00CB5DFE"/>
    <w:rsid w:val="00CB6274"/>
    <w:rsid w:val="00CB64E9"/>
    <w:rsid w:val="00CB6783"/>
    <w:rsid w:val="00CB6984"/>
    <w:rsid w:val="00CB6A37"/>
    <w:rsid w:val="00CB6A63"/>
    <w:rsid w:val="00CB6B6F"/>
    <w:rsid w:val="00CB73A0"/>
    <w:rsid w:val="00CB7A5B"/>
    <w:rsid w:val="00CB7EAF"/>
    <w:rsid w:val="00CC033B"/>
    <w:rsid w:val="00CC0350"/>
    <w:rsid w:val="00CC0A42"/>
    <w:rsid w:val="00CC0CA2"/>
    <w:rsid w:val="00CC0E13"/>
    <w:rsid w:val="00CC0E74"/>
    <w:rsid w:val="00CC0F61"/>
    <w:rsid w:val="00CC1B6D"/>
    <w:rsid w:val="00CC1C56"/>
    <w:rsid w:val="00CC1E3B"/>
    <w:rsid w:val="00CC1EDB"/>
    <w:rsid w:val="00CC2284"/>
    <w:rsid w:val="00CC2492"/>
    <w:rsid w:val="00CC2657"/>
    <w:rsid w:val="00CC383C"/>
    <w:rsid w:val="00CC38FA"/>
    <w:rsid w:val="00CC3D22"/>
    <w:rsid w:val="00CC4671"/>
    <w:rsid w:val="00CC49DC"/>
    <w:rsid w:val="00CC4DA2"/>
    <w:rsid w:val="00CC5254"/>
    <w:rsid w:val="00CC52B4"/>
    <w:rsid w:val="00CC535B"/>
    <w:rsid w:val="00CC5C15"/>
    <w:rsid w:val="00CC5C91"/>
    <w:rsid w:val="00CC5CF2"/>
    <w:rsid w:val="00CC5EA5"/>
    <w:rsid w:val="00CC5F4F"/>
    <w:rsid w:val="00CC6417"/>
    <w:rsid w:val="00CC66B0"/>
    <w:rsid w:val="00CC67A2"/>
    <w:rsid w:val="00CC67E4"/>
    <w:rsid w:val="00CC6879"/>
    <w:rsid w:val="00CC69EE"/>
    <w:rsid w:val="00CC6F1F"/>
    <w:rsid w:val="00CC6F2F"/>
    <w:rsid w:val="00CC6FCA"/>
    <w:rsid w:val="00CC7141"/>
    <w:rsid w:val="00CD0093"/>
    <w:rsid w:val="00CD045F"/>
    <w:rsid w:val="00CD0938"/>
    <w:rsid w:val="00CD0944"/>
    <w:rsid w:val="00CD0A29"/>
    <w:rsid w:val="00CD14B7"/>
    <w:rsid w:val="00CD172B"/>
    <w:rsid w:val="00CD1A38"/>
    <w:rsid w:val="00CD1B1D"/>
    <w:rsid w:val="00CD21B9"/>
    <w:rsid w:val="00CD23A7"/>
    <w:rsid w:val="00CD2721"/>
    <w:rsid w:val="00CD2B03"/>
    <w:rsid w:val="00CD2FE4"/>
    <w:rsid w:val="00CD3289"/>
    <w:rsid w:val="00CD3290"/>
    <w:rsid w:val="00CD32B6"/>
    <w:rsid w:val="00CD333F"/>
    <w:rsid w:val="00CD370A"/>
    <w:rsid w:val="00CD381F"/>
    <w:rsid w:val="00CD3978"/>
    <w:rsid w:val="00CD3E65"/>
    <w:rsid w:val="00CD4244"/>
    <w:rsid w:val="00CD459B"/>
    <w:rsid w:val="00CD4B77"/>
    <w:rsid w:val="00CD4E23"/>
    <w:rsid w:val="00CD50B9"/>
    <w:rsid w:val="00CD5107"/>
    <w:rsid w:val="00CD5141"/>
    <w:rsid w:val="00CD5589"/>
    <w:rsid w:val="00CD58D2"/>
    <w:rsid w:val="00CD5AE3"/>
    <w:rsid w:val="00CD5AFB"/>
    <w:rsid w:val="00CD6839"/>
    <w:rsid w:val="00CD6862"/>
    <w:rsid w:val="00CD6A03"/>
    <w:rsid w:val="00CD6A48"/>
    <w:rsid w:val="00CD6FD5"/>
    <w:rsid w:val="00CD7078"/>
    <w:rsid w:val="00CD792A"/>
    <w:rsid w:val="00CD7B4E"/>
    <w:rsid w:val="00CE0938"/>
    <w:rsid w:val="00CE0EBA"/>
    <w:rsid w:val="00CE15A6"/>
    <w:rsid w:val="00CE1717"/>
    <w:rsid w:val="00CE1B22"/>
    <w:rsid w:val="00CE1C84"/>
    <w:rsid w:val="00CE1E92"/>
    <w:rsid w:val="00CE2148"/>
    <w:rsid w:val="00CE2A8F"/>
    <w:rsid w:val="00CE2C13"/>
    <w:rsid w:val="00CE2C6D"/>
    <w:rsid w:val="00CE3214"/>
    <w:rsid w:val="00CE387F"/>
    <w:rsid w:val="00CE3967"/>
    <w:rsid w:val="00CE3AA0"/>
    <w:rsid w:val="00CE3D93"/>
    <w:rsid w:val="00CE4013"/>
    <w:rsid w:val="00CE41C3"/>
    <w:rsid w:val="00CE41F6"/>
    <w:rsid w:val="00CE4469"/>
    <w:rsid w:val="00CE452D"/>
    <w:rsid w:val="00CE45BD"/>
    <w:rsid w:val="00CE47EE"/>
    <w:rsid w:val="00CE4999"/>
    <w:rsid w:val="00CE4E06"/>
    <w:rsid w:val="00CE589C"/>
    <w:rsid w:val="00CE594F"/>
    <w:rsid w:val="00CE5992"/>
    <w:rsid w:val="00CE5A7B"/>
    <w:rsid w:val="00CE5AD6"/>
    <w:rsid w:val="00CE5D2D"/>
    <w:rsid w:val="00CE5FA0"/>
    <w:rsid w:val="00CE65EF"/>
    <w:rsid w:val="00CE6B61"/>
    <w:rsid w:val="00CE6F43"/>
    <w:rsid w:val="00CE747A"/>
    <w:rsid w:val="00CE7662"/>
    <w:rsid w:val="00CE7CA0"/>
    <w:rsid w:val="00CE7D36"/>
    <w:rsid w:val="00CF0133"/>
    <w:rsid w:val="00CF03FE"/>
    <w:rsid w:val="00CF0400"/>
    <w:rsid w:val="00CF0717"/>
    <w:rsid w:val="00CF07FD"/>
    <w:rsid w:val="00CF0E27"/>
    <w:rsid w:val="00CF113A"/>
    <w:rsid w:val="00CF11A3"/>
    <w:rsid w:val="00CF169A"/>
    <w:rsid w:val="00CF1A3A"/>
    <w:rsid w:val="00CF2125"/>
    <w:rsid w:val="00CF25CF"/>
    <w:rsid w:val="00CF25D7"/>
    <w:rsid w:val="00CF2B3D"/>
    <w:rsid w:val="00CF2E69"/>
    <w:rsid w:val="00CF3BC6"/>
    <w:rsid w:val="00CF3C95"/>
    <w:rsid w:val="00CF3D44"/>
    <w:rsid w:val="00CF3DE3"/>
    <w:rsid w:val="00CF401F"/>
    <w:rsid w:val="00CF422D"/>
    <w:rsid w:val="00CF4410"/>
    <w:rsid w:val="00CF4FBC"/>
    <w:rsid w:val="00CF50EF"/>
    <w:rsid w:val="00CF5580"/>
    <w:rsid w:val="00CF55D0"/>
    <w:rsid w:val="00CF5A7D"/>
    <w:rsid w:val="00CF5E14"/>
    <w:rsid w:val="00CF6260"/>
    <w:rsid w:val="00CF6A88"/>
    <w:rsid w:val="00CF6BDF"/>
    <w:rsid w:val="00CF6EB4"/>
    <w:rsid w:val="00CF6EF5"/>
    <w:rsid w:val="00CF7806"/>
    <w:rsid w:val="00CF7CF6"/>
    <w:rsid w:val="00CF7F5A"/>
    <w:rsid w:val="00CF7FBE"/>
    <w:rsid w:val="00D00038"/>
    <w:rsid w:val="00D0012B"/>
    <w:rsid w:val="00D00227"/>
    <w:rsid w:val="00D0039E"/>
    <w:rsid w:val="00D00562"/>
    <w:rsid w:val="00D00BCA"/>
    <w:rsid w:val="00D00EC8"/>
    <w:rsid w:val="00D01578"/>
    <w:rsid w:val="00D015EC"/>
    <w:rsid w:val="00D0169A"/>
    <w:rsid w:val="00D017AE"/>
    <w:rsid w:val="00D01887"/>
    <w:rsid w:val="00D01A2E"/>
    <w:rsid w:val="00D01DF7"/>
    <w:rsid w:val="00D020F0"/>
    <w:rsid w:val="00D02386"/>
    <w:rsid w:val="00D0278C"/>
    <w:rsid w:val="00D02947"/>
    <w:rsid w:val="00D02E03"/>
    <w:rsid w:val="00D02F4A"/>
    <w:rsid w:val="00D03381"/>
    <w:rsid w:val="00D036E3"/>
    <w:rsid w:val="00D0415F"/>
    <w:rsid w:val="00D04166"/>
    <w:rsid w:val="00D0472A"/>
    <w:rsid w:val="00D0475D"/>
    <w:rsid w:val="00D049DE"/>
    <w:rsid w:val="00D04E6A"/>
    <w:rsid w:val="00D04F59"/>
    <w:rsid w:val="00D055DE"/>
    <w:rsid w:val="00D05773"/>
    <w:rsid w:val="00D05939"/>
    <w:rsid w:val="00D05A84"/>
    <w:rsid w:val="00D05B01"/>
    <w:rsid w:val="00D05B19"/>
    <w:rsid w:val="00D05D6B"/>
    <w:rsid w:val="00D061D8"/>
    <w:rsid w:val="00D063B3"/>
    <w:rsid w:val="00D0672E"/>
    <w:rsid w:val="00D06D0E"/>
    <w:rsid w:val="00D06D8F"/>
    <w:rsid w:val="00D073A0"/>
    <w:rsid w:val="00D0767E"/>
    <w:rsid w:val="00D07923"/>
    <w:rsid w:val="00D079CB"/>
    <w:rsid w:val="00D07FA8"/>
    <w:rsid w:val="00D10292"/>
    <w:rsid w:val="00D10572"/>
    <w:rsid w:val="00D10956"/>
    <w:rsid w:val="00D1096A"/>
    <w:rsid w:val="00D10B30"/>
    <w:rsid w:val="00D10FA4"/>
    <w:rsid w:val="00D11296"/>
    <w:rsid w:val="00D117CD"/>
    <w:rsid w:val="00D11D03"/>
    <w:rsid w:val="00D11ED0"/>
    <w:rsid w:val="00D12436"/>
    <w:rsid w:val="00D131A9"/>
    <w:rsid w:val="00D1354C"/>
    <w:rsid w:val="00D13838"/>
    <w:rsid w:val="00D13AD8"/>
    <w:rsid w:val="00D13BDE"/>
    <w:rsid w:val="00D13FD9"/>
    <w:rsid w:val="00D140B7"/>
    <w:rsid w:val="00D14F17"/>
    <w:rsid w:val="00D15591"/>
    <w:rsid w:val="00D158E5"/>
    <w:rsid w:val="00D15B80"/>
    <w:rsid w:val="00D15B95"/>
    <w:rsid w:val="00D15BA4"/>
    <w:rsid w:val="00D165CA"/>
    <w:rsid w:val="00D16685"/>
    <w:rsid w:val="00D1688E"/>
    <w:rsid w:val="00D17274"/>
    <w:rsid w:val="00D17653"/>
    <w:rsid w:val="00D178EA"/>
    <w:rsid w:val="00D17B72"/>
    <w:rsid w:val="00D17C3A"/>
    <w:rsid w:val="00D17D8A"/>
    <w:rsid w:val="00D17F93"/>
    <w:rsid w:val="00D204F7"/>
    <w:rsid w:val="00D2087C"/>
    <w:rsid w:val="00D20BFB"/>
    <w:rsid w:val="00D20D0C"/>
    <w:rsid w:val="00D20D56"/>
    <w:rsid w:val="00D20E60"/>
    <w:rsid w:val="00D20EDD"/>
    <w:rsid w:val="00D21048"/>
    <w:rsid w:val="00D217B5"/>
    <w:rsid w:val="00D2194C"/>
    <w:rsid w:val="00D21AF6"/>
    <w:rsid w:val="00D2211A"/>
    <w:rsid w:val="00D22384"/>
    <w:rsid w:val="00D229CE"/>
    <w:rsid w:val="00D22D8A"/>
    <w:rsid w:val="00D22FC2"/>
    <w:rsid w:val="00D23651"/>
    <w:rsid w:val="00D23D70"/>
    <w:rsid w:val="00D23EB5"/>
    <w:rsid w:val="00D24517"/>
    <w:rsid w:val="00D248FC"/>
    <w:rsid w:val="00D25391"/>
    <w:rsid w:val="00D2579C"/>
    <w:rsid w:val="00D2597C"/>
    <w:rsid w:val="00D25C63"/>
    <w:rsid w:val="00D25DDD"/>
    <w:rsid w:val="00D25FEB"/>
    <w:rsid w:val="00D260B7"/>
    <w:rsid w:val="00D2671B"/>
    <w:rsid w:val="00D26BB5"/>
    <w:rsid w:val="00D27956"/>
    <w:rsid w:val="00D27A36"/>
    <w:rsid w:val="00D30365"/>
    <w:rsid w:val="00D30415"/>
    <w:rsid w:val="00D304B6"/>
    <w:rsid w:val="00D30539"/>
    <w:rsid w:val="00D30628"/>
    <w:rsid w:val="00D307F3"/>
    <w:rsid w:val="00D30A1D"/>
    <w:rsid w:val="00D30AA8"/>
    <w:rsid w:val="00D30AA9"/>
    <w:rsid w:val="00D30BC5"/>
    <w:rsid w:val="00D311DB"/>
    <w:rsid w:val="00D315FF"/>
    <w:rsid w:val="00D31D36"/>
    <w:rsid w:val="00D31E6A"/>
    <w:rsid w:val="00D32215"/>
    <w:rsid w:val="00D32CA3"/>
    <w:rsid w:val="00D32D29"/>
    <w:rsid w:val="00D33161"/>
    <w:rsid w:val="00D337BD"/>
    <w:rsid w:val="00D33BD2"/>
    <w:rsid w:val="00D34390"/>
    <w:rsid w:val="00D3457D"/>
    <w:rsid w:val="00D34958"/>
    <w:rsid w:val="00D34E0D"/>
    <w:rsid w:val="00D35084"/>
    <w:rsid w:val="00D355A1"/>
    <w:rsid w:val="00D35798"/>
    <w:rsid w:val="00D3599E"/>
    <w:rsid w:val="00D35AA1"/>
    <w:rsid w:val="00D35E01"/>
    <w:rsid w:val="00D35EE7"/>
    <w:rsid w:val="00D36385"/>
    <w:rsid w:val="00D3683B"/>
    <w:rsid w:val="00D36B4F"/>
    <w:rsid w:val="00D36B5A"/>
    <w:rsid w:val="00D373C6"/>
    <w:rsid w:val="00D37AC4"/>
    <w:rsid w:val="00D37F8F"/>
    <w:rsid w:val="00D4018D"/>
    <w:rsid w:val="00D40A75"/>
    <w:rsid w:val="00D40FCA"/>
    <w:rsid w:val="00D415DC"/>
    <w:rsid w:val="00D4203B"/>
    <w:rsid w:val="00D42726"/>
    <w:rsid w:val="00D4295E"/>
    <w:rsid w:val="00D42B58"/>
    <w:rsid w:val="00D42C76"/>
    <w:rsid w:val="00D4339C"/>
    <w:rsid w:val="00D4389F"/>
    <w:rsid w:val="00D43B00"/>
    <w:rsid w:val="00D43F57"/>
    <w:rsid w:val="00D441E0"/>
    <w:rsid w:val="00D441F2"/>
    <w:rsid w:val="00D448E9"/>
    <w:rsid w:val="00D44B5A"/>
    <w:rsid w:val="00D44D10"/>
    <w:rsid w:val="00D45363"/>
    <w:rsid w:val="00D458A0"/>
    <w:rsid w:val="00D45D08"/>
    <w:rsid w:val="00D4619D"/>
    <w:rsid w:val="00D465D9"/>
    <w:rsid w:val="00D46795"/>
    <w:rsid w:val="00D46802"/>
    <w:rsid w:val="00D46AE7"/>
    <w:rsid w:val="00D47142"/>
    <w:rsid w:val="00D473A6"/>
    <w:rsid w:val="00D478F1"/>
    <w:rsid w:val="00D47C6C"/>
    <w:rsid w:val="00D47D5A"/>
    <w:rsid w:val="00D47DAB"/>
    <w:rsid w:val="00D501AA"/>
    <w:rsid w:val="00D5029C"/>
    <w:rsid w:val="00D5034D"/>
    <w:rsid w:val="00D5053C"/>
    <w:rsid w:val="00D50640"/>
    <w:rsid w:val="00D509F9"/>
    <w:rsid w:val="00D50DAA"/>
    <w:rsid w:val="00D510B5"/>
    <w:rsid w:val="00D510F5"/>
    <w:rsid w:val="00D5115F"/>
    <w:rsid w:val="00D512CF"/>
    <w:rsid w:val="00D518B0"/>
    <w:rsid w:val="00D51A0E"/>
    <w:rsid w:val="00D51D9F"/>
    <w:rsid w:val="00D526DC"/>
    <w:rsid w:val="00D52949"/>
    <w:rsid w:val="00D52A77"/>
    <w:rsid w:val="00D52C87"/>
    <w:rsid w:val="00D52FEB"/>
    <w:rsid w:val="00D533D6"/>
    <w:rsid w:val="00D533E6"/>
    <w:rsid w:val="00D53AA0"/>
    <w:rsid w:val="00D53C0E"/>
    <w:rsid w:val="00D53F8D"/>
    <w:rsid w:val="00D53FCB"/>
    <w:rsid w:val="00D54BBC"/>
    <w:rsid w:val="00D54F0B"/>
    <w:rsid w:val="00D55255"/>
    <w:rsid w:val="00D55843"/>
    <w:rsid w:val="00D55881"/>
    <w:rsid w:val="00D5588B"/>
    <w:rsid w:val="00D55A07"/>
    <w:rsid w:val="00D55A83"/>
    <w:rsid w:val="00D55AB8"/>
    <w:rsid w:val="00D55E37"/>
    <w:rsid w:val="00D5628C"/>
    <w:rsid w:val="00D568E6"/>
    <w:rsid w:val="00D56A77"/>
    <w:rsid w:val="00D56BDF"/>
    <w:rsid w:val="00D57055"/>
    <w:rsid w:val="00D57C1A"/>
    <w:rsid w:val="00D57F3F"/>
    <w:rsid w:val="00D6086B"/>
    <w:rsid w:val="00D608E1"/>
    <w:rsid w:val="00D60926"/>
    <w:rsid w:val="00D60CD0"/>
    <w:rsid w:val="00D60CDA"/>
    <w:rsid w:val="00D60EC4"/>
    <w:rsid w:val="00D6109E"/>
    <w:rsid w:val="00D61321"/>
    <w:rsid w:val="00D61507"/>
    <w:rsid w:val="00D615EE"/>
    <w:rsid w:val="00D61627"/>
    <w:rsid w:val="00D617E7"/>
    <w:rsid w:val="00D61C57"/>
    <w:rsid w:val="00D620AB"/>
    <w:rsid w:val="00D63065"/>
    <w:rsid w:val="00D636E5"/>
    <w:rsid w:val="00D63830"/>
    <w:rsid w:val="00D63D2C"/>
    <w:rsid w:val="00D64224"/>
    <w:rsid w:val="00D64F9F"/>
    <w:rsid w:val="00D64FB3"/>
    <w:rsid w:val="00D65090"/>
    <w:rsid w:val="00D652EC"/>
    <w:rsid w:val="00D65745"/>
    <w:rsid w:val="00D65E8D"/>
    <w:rsid w:val="00D65FAC"/>
    <w:rsid w:val="00D65FC1"/>
    <w:rsid w:val="00D66012"/>
    <w:rsid w:val="00D661A9"/>
    <w:rsid w:val="00D66251"/>
    <w:rsid w:val="00D6643E"/>
    <w:rsid w:val="00D66800"/>
    <w:rsid w:val="00D66B17"/>
    <w:rsid w:val="00D66B8C"/>
    <w:rsid w:val="00D66E9B"/>
    <w:rsid w:val="00D6703A"/>
    <w:rsid w:val="00D674B6"/>
    <w:rsid w:val="00D6757B"/>
    <w:rsid w:val="00D677C8"/>
    <w:rsid w:val="00D6789D"/>
    <w:rsid w:val="00D67CE2"/>
    <w:rsid w:val="00D67D9E"/>
    <w:rsid w:val="00D67EB9"/>
    <w:rsid w:val="00D702E9"/>
    <w:rsid w:val="00D70B24"/>
    <w:rsid w:val="00D70CEC"/>
    <w:rsid w:val="00D71143"/>
    <w:rsid w:val="00D714EE"/>
    <w:rsid w:val="00D715EE"/>
    <w:rsid w:val="00D71713"/>
    <w:rsid w:val="00D726F8"/>
    <w:rsid w:val="00D72710"/>
    <w:rsid w:val="00D727C3"/>
    <w:rsid w:val="00D72B6F"/>
    <w:rsid w:val="00D72C3E"/>
    <w:rsid w:val="00D72FC4"/>
    <w:rsid w:val="00D7300C"/>
    <w:rsid w:val="00D73022"/>
    <w:rsid w:val="00D73331"/>
    <w:rsid w:val="00D73465"/>
    <w:rsid w:val="00D73621"/>
    <w:rsid w:val="00D73705"/>
    <w:rsid w:val="00D73920"/>
    <w:rsid w:val="00D73E14"/>
    <w:rsid w:val="00D7420C"/>
    <w:rsid w:val="00D743EC"/>
    <w:rsid w:val="00D747B5"/>
    <w:rsid w:val="00D74831"/>
    <w:rsid w:val="00D7497A"/>
    <w:rsid w:val="00D74CBA"/>
    <w:rsid w:val="00D74D04"/>
    <w:rsid w:val="00D74DC0"/>
    <w:rsid w:val="00D74DF1"/>
    <w:rsid w:val="00D74E97"/>
    <w:rsid w:val="00D75120"/>
    <w:rsid w:val="00D7540C"/>
    <w:rsid w:val="00D75E38"/>
    <w:rsid w:val="00D76491"/>
    <w:rsid w:val="00D7665A"/>
    <w:rsid w:val="00D768D1"/>
    <w:rsid w:val="00D76B44"/>
    <w:rsid w:val="00D76B70"/>
    <w:rsid w:val="00D7731F"/>
    <w:rsid w:val="00D77436"/>
    <w:rsid w:val="00D776E2"/>
    <w:rsid w:val="00D77A32"/>
    <w:rsid w:val="00D77BE9"/>
    <w:rsid w:val="00D8022E"/>
    <w:rsid w:val="00D809B2"/>
    <w:rsid w:val="00D80A30"/>
    <w:rsid w:val="00D80C13"/>
    <w:rsid w:val="00D81267"/>
    <w:rsid w:val="00D81952"/>
    <w:rsid w:val="00D81EED"/>
    <w:rsid w:val="00D828F8"/>
    <w:rsid w:val="00D82CC1"/>
    <w:rsid w:val="00D82E69"/>
    <w:rsid w:val="00D82F3F"/>
    <w:rsid w:val="00D831A1"/>
    <w:rsid w:val="00D832A6"/>
    <w:rsid w:val="00D834AB"/>
    <w:rsid w:val="00D83567"/>
    <w:rsid w:val="00D843F3"/>
    <w:rsid w:val="00D84547"/>
    <w:rsid w:val="00D846E6"/>
    <w:rsid w:val="00D847AF"/>
    <w:rsid w:val="00D847C2"/>
    <w:rsid w:val="00D84B07"/>
    <w:rsid w:val="00D84EC1"/>
    <w:rsid w:val="00D84FE1"/>
    <w:rsid w:val="00D853AD"/>
    <w:rsid w:val="00D85684"/>
    <w:rsid w:val="00D85858"/>
    <w:rsid w:val="00D85ABC"/>
    <w:rsid w:val="00D85C94"/>
    <w:rsid w:val="00D85E1C"/>
    <w:rsid w:val="00D85FDD"/>
    <w:rsid w:val="00D8600D"/>
    <w:rsid w:val="00D8667C"/>
    <w:rsid w:val="00D86916"/>
    <w:rsid w:val="00D86A13"/>
    <w:rsid w:val="00D86AB9"/>
    <w:rsid w:val="00D86C75"/>
    <w:rsid w:val="00D86CFF"/>
    <w:rsid w:val="00D86F62"/>
    <w:rsid w:val="00D87614"/>
    <w:rsid w:val="00D87633"/>
    <w:rsid w:val="00D8764F"/>
    <w:rsid w:val="00D877DE"/>
    <w:rsid w:val="00D87874"/>
    <w:rsid w:val="00D8797A"/>
    <w:rsid w:val="00D900CC"/>
    <w:rsid w:val="00D900EF"/>
    <w:rsid w:val="00D907EE"/>
    <w:rsid w:val="00D908F6"/>
    <w:rsid w:val="00D90981"/>
    <w:rsid w:val="00D90A35"/>
    <w:rsid w:val="00D90A8E"/>
    <w:rsid w:val="00D90C99"/>
    <w:rsid w:val="00D911A9"/>
    <w:rsid w:val="00D91339"/>
    <w:rsid w:val="00D913F2"/>
    <w:rsid w:val="00D91AD4"/>
    <w:rsid w:val="00D91F82"/>
    <w:rsid w:val="00D92374"/>
    <w:rsid w:val="00D928B7"/>
    <w:rsid w:val="00D92CCA"/>
    <w:rsid w:val="00D93486"/>
    <w:rsid w:val="00D937EA"/>
    <w:rsid w:val="00D93D72"/>
    <w:rsid w:val="00D942FF"/>
    <w:rsid w:val="00D94877"/>
    <w:rsid w:val="00D94989"/>
    <w:rsid w:val="00D94A3D"/>
    <w:rsid w:val="00D94DCA"/>
    <w:rsid w:val="00D94F56"/>
    <w:rsid w:val="00D94F63"/>
    <w:rsid w:val="00D9529C"/>
    <w:rsid w:val="00D9534E"/>
    <w:rsid w:val="00D9534F"/>
    <w:rsid w:val="00D95B49"/>
    <w:rsid w:val="00D95C62"/>
    <w:rsid w:val="00D95DDA"/>
    <w:rsid w:val="00D964EB"/>
    <w:rsid w:val="00D9658D"/>
    <w:rsid w:val="00D96730"/>
    <w:rsid w:val="00D97529"/>
    <w:rsid w:val="00D9765C"/>
    <w:rsid w:val="00D97BCC"/>
    <w:rsid w:val="00D97DCC"/>
    <w:rsid w:val="00D97EC8"/>
    <w:rsid w:val="00DA0803"/>
    <w:rsid w:val="00DA0DBE"/>
    <w:rsid w:val="00DA0DD0"/>
    <w:rsid w:val="00DA0E9F"/>
    <w:rsid w:val="00DA2210"/>
    <w:rsid w:val="00DA2334"/>
    <w:rsid w:val="00DA258E"/>
    <w:rsid w:val="00DA2FDF"/>
    <w:rsid w:val="00DA331B"/>
    <w:rsid w:val="00DA3C44"/>
    <w:rsid w:val="00DA3EAB"/>
    <w:rsid w:val="00DA4137"/>
    <w:rsid w:val="00DA46EC"/>
    <w:rsid w:val="00DA477F"/>
    <w:rsid w:val="00DA4AC9"/>
    <w:rsid w:val="00DA4E1B"/>
    <w:rsid w:val="00DA52F7"/>
    <w:rsid w:val="00DA5325"/>
    <w:rsid w:val="00DA5714"/>
    <w:rsid w:val="00DA5797"/>
    <w:rsid w:val="00DA589A"/>
    <w:rsid w:val="00DA5AAE"/>
    <w:rsid w:val="00DA5E5B"/>
    <w:rsid w:val="00DA5F03"/>
    <w:rsid w:val="00DA6017"/>
    <w:rsid w:val="00DA6023"/>
    <w:rsid w:val="00DA6191"/>
    <w:rsid w:val="00DA62C9"/>
    <w:rsid w:val="00DA64B2"/>
    <w:rsid w:val="00DA6881"/>
    <w:rsid w:val="00DA6C56"/>
    <w:rsid w:val="00DA7237"/>
    <w:rsid w:val="00DA783F"/>
    <w:rsid w:val="00DA790A"/>
    <w:rsid w:val="00DA7D74"/>
    <w:rsid w:val="00DB0136"/>
    <w:rsid w:val="00DB01AD"/>
    <w:rsid w:val="00DB0361"/>
    <w:rsid w:val="00DB0497"/>
    <w:rsid w:val="00DB0688"/>
    <w:rsid w:val="00DB06AE"/>
    <w:rsid w:val="00DB0725"/>
    <w:rsid w:val="00DB0790"/>
    <w:rsid w:val="00DB08DB"/>
    <w:rsid w:val="00DB1288"/>
    <w:rsid w:val="00DB15C2"/>
    <w:rsid w:val="00DB18E3"/>
    <w:rsid w:val="00DB1E22"/>
    <w:rsid w:val="00DB1E6D"/>
    <w:rsid w:val="00DB22C2"/>
    <w:rsid w:val="00DB2708"/>
    <w:rsid w:val="00DB2AFD"/>
    <w:rsid w:val="00DB2D6B"/>
    <w:rsid w:val="00DB3172"/>
    <w:rsid w:val="00DB33A3"/>
    <w:rsid w:val="00DB369F"/>
    <w:rsid w:val="00DB39A1"/>
    <w:rsid w:val="00DB3AF4"/>
    <w:rsid w:val="00DB41E3"/>
    <w:rsid w:val="00DB445B"/>
    <w:rsid w:val="00DB4C03"/>
    <w:rsid w:val="00DB4D2D"/>
    <w:rsid w:val="00DB4FC0"/>
    <w:rsid w:val="00DB6415"/>
    <w:rsid w:val="00DB656B"/>
    <w:rsid w:val="00DB6CAF"/>
    <w:rsid w:val="00DB6D98"/>
    <w:rsid w:val="00DB71F6"/>
    <w:rsid w:val="00DB72FD"/>
    <w:rsid w:val="00DB730A"/>
    <w:rsid w:val="00DB7394"/>
    <w:rsid w:val="00DB761D"/>
    <w:rsid w:val="00DB7673"/>
    <w:rsid w:val="00DB7693"/>
    <w:rsid w:val="00DB76A0"/>
    <w:rsid w:val="00DB78B9"/>
    <w:rsid w:val="00DB7A75"/>
    <w:rsid w:val="00DB7E7F"/>
    <w:rsid w:val="00DC0082"/>
    <w:rsid w:val="00DC0827"/>
    <w:rsid w:val="00DC0907"/>
    <w:rsid w:val="00DC0926"/>
    <w:rsid w:val="00DC09B8"/>
    <w:rsid w:val="00DC0D60"/>
    <w:rsid w:val="00DC0E66"/>
    <w:rsid w:val="00DC10BA"/>
    <w:rsid w:val="00DC1302"/>
    <w:rsid w:val="00DC1970"/>
    <w:rsid w:val="00DC1D05"/>
    <w:rsid w:val="00DC2022"/>
    <w:rsid w:val="00DC255B"/>
    <w:rsid w:val="00DC2676"/>
    <w:rsid w:val="00DC2E27"/>
    <w:rsid w:val="00DC354E"/>
    <w:rsid w:val="00DC378C"/>
    <w:rsid w:val="00DC3A26"/>
    <w:rsid w:val="00DC3B1B"/>
    <w:rsid w:val="00DC3E1B"/>
    <w:rsid w:val="00DC4451"/>
    <w:rsid w:val="00DC4496"/>
    <w:rsid w:val="00DC48E5"/>
    <w:rsid w:val="00DC4A66"/>
    <w:rsid w:val="00DC4B3E"/>
    <w:rsid w:val="00DC51B8"/>
    <w:rsid w:val="00DC5501"/>
    <w:rsid w:val="00DC574A"/>
    <w:rsid w:val="00DC594B"/>
    <w:rsid w:val="00DC5AB0"/>
    <w:rsid w:val="00DC5AB9"/>
    <w:rsid w:val="00DC5FF6"/>
    <w:rsid w:val="00DC603B"/>
    <w:rsid w:val="00DC660E"/>
    <w:rsid w:val="00DC69C7"/>
    <w:rsid w:val="00DC6CAD"/>
    <w:rsid w:val="00DC6D62"/>
    <w:rsid w:val="00DC6E37"/>
    <w:rsid w:val="00DC7BE7"/>
    <w:rsid w:val="00DC7E44"/>
    <w:rsid w:val="00DD01E2"/>
    <w:rsid w:val="00DD0266"/>
    <w:rsid w:val="00DD0578"/>
    <w:rsid w:val="00DD0635"/>
    <w:rsid w:val="00DD08AF"/>
    <w:rsid w:val="00DD09CF"/>
    <w:rsid w:val="00DD12DC"/>
    <w:rsid w:val="00DD1699"/>
    <w:rsid w:val="00DD1EDA"/>
    <w:rsid w:val="00DD218B"/>
    <w:rsid w:val="00DD227F"/>
    <w:rsid w:val="00DD23FF"/>
    <w:rsid w:val="00DD2485"/>
    <w:rsid w:val="00DD2FA0"/>
    <w:rsid w:val="00DD2FEA"/>
    <w:rsid w:val="00DD3032"/>
    <w:rsid w:val="00DD30A5"/>
    <w:rsid w:val="00DD3122"/>
    <w:rsid w:val="00DD3309"/>
    <w:rsid w:val="00DD338C"/>
    <w:rsid w:val="00DD3440"/>
    <w:rsid w:val="00DD34A5"/>
    <w:rsid w:val="00DD3788"/>
    <w:rsid w:val="00DD4067"/>
    <w:rsid w:val="00DD4079"/>
    <w:rsid w:val="00DD41CA"/>
    <w:rsid w:val="00DD42C5"/>
    <w:rsid w:val="00DD42D3"/>
    <w:rsid w:val="00DD432B"/>
    <w:rsid w:val="00DD46A9"/>
    <w:rsid w:val="00DD47ED"/>
    <w:rsid w:val="00DD488F"/>
    <w:rsid w:val="00DD4931"/>
    <w:rsid w:val="00DD49E3"/>
    <w:rsid w:val="00DD4E32"/>
    <w:rsid w:val="00DD4E69"/>
    <w:rsid w:val="00DD4F4D"/>
    <w:rsid w:val="00DD50F9"/>
    <w:rsid w:val="00DD5142"/>
    <w:rsid w:val="00DD5583"/>
    <w:rsid w:val="00DD55DA"/>
    <w:rsid w:val="00DD5D72"/>
    <w:rsid w:val="00DD5E86"/>
    <w:rsid w:val="00DD65E1"/>
    <w:rsid w:val="00DD70CA"/>
    <w:rsid w:val="00DD70CC"/>
    <w:rsid w:val="00DD75DF"/>
    <w:rsid w:val="00DD78FF"/>
    <w:rsid w:val="00DE0007"/>
    <w:rsid w:val="00DE022D"/>
    <w:rsid w:val="00DE029E"/>
    <w:rsid w:val="00DE070A"/>
    <w:rsid w:val="00DE0DB9"/>
    <w:rsid w:val="00DE0F62"/>
    <w:rsid w:val="00DE1172"/>
    <w:rsid w:val="00DE1938"/>
    <w:rsid w:val="00DE1E34"/>
    <w:rsid w:val="00DE1F2F"/>
    <w:rsid w:val="00DE205F"/>
    <w:rsid w:val="00DE2650"/>
    <w:rsid w:val="00DE29BD"/>
    <w:rsid w:val="00DE2AA7"/>
    <w:rsid w:val="00DE2BC6"/>
    <w:rsid w:val="00DE2FA3"/>
    <w:rsid w:val="00DE3096"/>
    <w:rsid w:val="00DE31B0"/>
    <w:rsid w:val="00DE3B57"/>
    <w:rsid w:val="00DE3DC2"/>
    <w:rsid w:val="00DE3E03"/>
    <w:rsid w:val="00DE3ED6"/>
    <w:rsid w:val="00DE40FC"/>
    <w:rsid w:val="00DE41CE"/>
    <w:rsid w:val="00DE42C6"/>
    <w:rsid w:val="00DE4421"/>
    <w:rsid w:val="00DE443E"/>
    <w:rsid w:val="00DE4680"/>
    <w:rsid w:val="00DE468E"/>
    <w:rsid w:val="00DE49B8"/>
    <w:rsid w:val="00DE4A0C"/>
    <w:rsid w:val="00DE4E56"/>
    <w:rsid w:val="00DE53D3"/>
    <w:rsid w:val="00DE5435"/>
    <w:rsid w:val="00DE565F"/>
    <w:rsid w:val="00DE591B"/>
    <w:rsid w:val="00DE5E9F"/>
    <w:rsid w:val="00DE5FD3"/>
    <w:rsid w:val="00DE60EE"/>
    <w:rsid w:val="00DE6344"/>
    <w:rsid w:val="00DE665B"/>
    <w:rsid w:val="00DE6B5E"/>
    <w:rsid w:val="00DE75D0"/>
    <w:rsid w:val="00DE7899"/>
    <w:rsid w:val="00DE7D29"/>
    <w:rsid w:val="00DE7EBF"/>
    <w:rsid w:val="00DE7FD3"/>
    <w:rsid w:val="00DF0097"/>
    <w:rsid w:val="00DF00A7"/>
    <w:rsid w:val="00DF0229"/>
    <w:rsid w:val="00DF0A09"/>
    <w:rsid w:val="00DF0AC4"/>
    <w:rsid w:val="00DF0CC2"/>
    <w:rsid w:val="00DF0FBA"/>
    <w:rsid w:val="00DF1839"/>
    <w:rsid w:val="00DF1A65"/>
    <w:rsid w:val="00DF1C12"/>
    <w:rsid w:val="00DF1E1F"/>
    <w:rsid w:val="00DF212B"/>
    <w:rsid w:val="00DF259D"/>
    <w:rsid w:val="00DF2658"/>
    <w:rsid w:val="00DF2A7D"/>
    <w:rsid w:val="00DF2CFC"/>
    <w:rsid w:val="00DF2DF2"/>
    <w:rsid w:val="00DF2EC3"/>
    <w:rsid w:val="00DF2ECC"/>
    <w:rsid w:val="00DF300B"/>
    <w:rsid w:val="00DF307A"/>
    <w:rsid w:val="00DF30DA"/>
    <w:rsid w:val="00DF3204"/>
    <w:rsid w:val="00DF381D"/>
    <w:rsid w:val="00DF3FAC"/>
    <w:rsid w:val="00DF4877"/>
    <w:rsid w:val="00DF4A75"/>
    <w:rsid w:val="00DF4B9D"/>
    <w:rsid w:val="00DF520A"/>
    <w:rsid w:val="00DF5445"/>
    <w:rsid w:val="00DF5698"/>
    <w:rsid w:val="00DF5E8C"/>
    <w:rsid w:val="00DF5F77"/>
    <w:rsid w:val="00DF6198"/>
    <w:rsid w:val="00DF68E3"/>
    <w:rsid w:val="00DF6AEE"/>
    <w:rsid w:val="00DF6B21"/>
    <w:rsid w:val="00DF7311"/>
    <w:rsid w:val="00DF77E1"/>
    <w:rsid w:val="00DF7DE9"/>
    <w:rsid w:val="00DF7E36"/>
    <w:rsid w:val="00DFD88E"/>
    <w:rsid w:val="00E004BF"/>
    <w:rsid w:val="00E00DF8"/>
    <w:rsid w:val="00E01794"/>
    <w:rsid w:val="00E01F96"/>
    <w:rsid w:val="00E01FAD"/>
    <w:rsid w:val="00E02050"/>
    <w:rsid w:val="00E0294F"/>
    <w:rsid w:val="00E02D68"/>
    <w:rsid w:val="00E02E5F"/>
    <w:rsid w:val="00E02FF7"/>
    <w:rsid w:val="00E03966"/>
    <w:rsid w:val="00E03A18"/>
    <w:rsid w:val="00E03B4A"/>
    <w:rsid w:val="00E041A3"/>
    <w:rsid w:val="00E041DB"/>
    <w:rsid w:val="00E04393"/>
    <w:rsid w:val="00E046E1"/>
    <w:rsid w:val="00E04C9E"/>
    <w:rsid w:val="00E04D37"/>
    <w:rsid w:val="00E04D5D"/>
    <w:rsid w:val="00E0540C"/>
    <w:rsid w:val="00E055D5"/>
    <w:rsid w:val="00E05614"/>
    <w:rsid w:val="00E0562B"/>
    <w:rsid w:val="00E05897"/>
    <w:rsid w:val="00E058F5"/>
    <w:rsid w:val="00E0595B"/>
    <w:rsid w:val="00E063B0"/>
    <w:rsid w:val="00E06957"/>
    <w:rsid w:val="00E06BDA"/>
    <w:rsid w:val="00E06BDF"/>
    <w:rsid w:val="00E070FD"/>
    <w:rsid w:val="00E07352"/>
    <w:rsid w:val="00E07AA7"/>
    <w:rsid w:val="00E07D35"/>
    <w:rsid w:val="00E10058"/>
    <w:rsid w:val="00E10103"/>
    <w:rsid w:val="00E10602"/>
    <w:rsid w:val="00E10667"/>
    <w:rsid w:val="00E10D2B"/>
    <w:rsid w:val="00E11144"/>
    <w:rsid w:val="00E11D0F"/>
    <w:rsid w:val="00E12B99"/>
    <w:rsid w:val="00E12C3B"/>
    <w:rsid w:val="00E12DEE"/>
    <w:rsid w:val="00E13256"/>
    <w:rsid w:val="00E13436"/>
    <w:rsid w:val="00E138D2"/>
    <w:rsid w:val="00E13F3B"/>
    <w:rsid w:val="00E13F8E"/>
    <w:rsid w:val="00E14214"/>
    <w:rsid w:val="00E14532"/>
    <w:rsid w:val="00E145C1"/>
    <w:rsid w:val="00E1464B"/>
    <w:rsid w:val="00E146EF"/>
    <w:rsid w:val="00E14727"/>
    <w:rsid w:val="00E14747"/>
    <w:rsid w:val="00E1484C"/>
    <w:rsid w:val="00E15190"/>
    <w:rsid w:val="00E153C7"/>
    <w:rsid w:val="00E1557B"/>
    <w:rsid w:val="00E15686"/>
    <w:rsid w:val="00E157F9"/>
    <w:rsid w:val="00E15AA8"/>
    <w:rsid w:val="00E15BC8"/>
    <w:rsid w:val="00E15DCB"/>
    <w:rsid w:val="00E15F27"/>
    <w:rsid w:val="00E15F3A"/>
    <w:rsid w:val="00E16005"/>
    <w:rsid w:val="00E1641B"/>
    <w:rsid w:val="00E16983"/>
    <w:rsid w:val="00E1730F"/>
    <w:rsid w:val="00E17655"/>
    <w:rsid w:val="00E17AB3"/>
    <w:rsid w:val="00E17C71"/>
    <w:rsid w:val="00E17DC8"/>
    <w:rsid w:val="00E17E4F"/>
    <w:rsid w:val="00E17EFE"/>
    <w:rsid w:val="00E17F93"/>
    <w:rsid w:val="00E17FA0"/>
    <w:rsid w:val="00E1840A"/>
    <w:rsid w:val="00E20534"/>
    <w:rsid w:val="00E20726"/>
    <w:rsid w:val="00E20830"/>
    <w:rsid w:val="00E2087F"/>
    <w:rsid w:val="00E21274"/>
    <w:rsid w:val="00E212BE"/>
    <w:rsid w:val="00E21313"/>
    <w:rsid w:val="00E213BE"/>
    <w:rsid w:val="00E2163E"/>
    <w:rsid w:val="00E21933"/>
    <w:rsid w:val="00E21CF9"/>
    <w:rsid w:val="00E22148"/>
    <w:rsid w:val="00E227B4"/>
    <w:rsid w:val="00E22861"/>
    <w:rsid w:val="00E22AB5"/>
    <w:rsid w:val="00E22B49"/>
    <w:rsid w:val="00E22B53"/>
    <w:rsid w:val="00E23745"/>
    <w:rsid w:val="00E23B91"/>
    <w:rsid w:val="00E23D91"/>
    <w:rsid w:val="00E240A9"/>
    <w:rsid w:val="00E2412B"/>
    <w:rsid w:val="00E241C3"/>
    <w:rsid w:val="00E24516"/>
    <w:rsid w:val="00E249EC"/>
    <w:rsid w:val="00E24E38"/>
    <w:rsid w:val="00E24FE0"/>
    <w:rsid w:val="00E255DF"/>
    <w:rsid w:val="00E25D47"/>
    <w:rsid w:val="00E25DFE"/>
    <w:rsid w:val="00E263BE"/>
    <w:rsid w:val="00E26BCD"/>
    <w:rsid w:val="00E26DE5"/>
    <w:rsid w:val="00E26DF5"/>
    <w:rsid w:val="00E26F71"/>
    <w:rsid w:val="00E27249"/>
    <w:rsid w:val="00E27442"/>
    <w:rsid w:val="00E274EE"/>
    <w:rsid w:val="00E2762C"/>
    <w:rsid w:val="00E27EE6"/>
    <w:rsid w:val="00E3007C"/>
    <w:rsid w:val="00E300A8"/>
    <w:rsid w:val="00E30111"/>
    <w:rsid w:val="00E30452"/>
    <w:rsid w:val="00E30739"/>
    <w:rsid w:val="00E30B8C"/>
    <w:rsid w:val="00E30D5D"/>
    <w:rsid w:val="00E30F78"/>
    <w:rsid w:val="00E31088"/>
    <w:rsid w:val="00E3123F"/>
    <w:rsid w:val="00E313A2"/>
    <w:rsid w:val="00E31849"/>
    <w:rsid w:val="00E32090"/>
    <w:rsid w:val="00E322C8"/>
    <w:rsid w:val="00E3288E"/>
    <w:rsid w:val="00E32D2C"/>
    <w:rsid w:val="00E32F24"/>
    <w:rsid w:val="00E33430"/>
    <w:rsid w:val="00E33558"/>
    <w:rsid w:val="00E33683"/>
    <w:rsid w:val="00E33722"/>
    <w:rsid w:val="00E337AF"/>
    <w:rsid w:val="00E33A13"/>
    <w:rsid w:val="00E33C44"/>
    <w:rsid w:val="00E34767"/>
    <w:rsid w:val="00E351FD"/>
    <w:rsid w:val="00E35B44"/>
    <w:rsid w:val="00E35CEE"/>
    <w:rsid w:val="00E35E2F"/>
    <w:rsid w:val="00E36178"/>
    <w:rsid w:val="00E364D9"/>
    <w:rsid w:val="00E3692C"/>
    <w:rsid w:val="00E36981"/>
    <w:rsid w:val="00E36982"/>
    <w:rsid w:val="00E36A73"/>
    <w:rsid w:val="00E36E81"/>
    <w:rsid w:val="00E36EED"/>
    <w:rsid w:val="00E370A5"/>
    <w:rsid w:val="00E3720C"/>
    <w:rsid w:val="00E3723D"/>
    <w:rsid w:val="00E373EE"/>
    <w:rsid w:val="00E3756E"/>
    <w:rsid w:val="00E3757C"/>
    <w:rsid w:val="00E378C5"/>
    <w:rsid w:val="00E379E7"/>
    <w:rsid w:val="00E37A88"/>
    <w:rsid w:val="00E37C4E"/>
    <w:rsid w:val="00E37D2E"/>
    <w:rsid w:val="00E37DF2"/>
    <w:rsid w:val="00E4001B"/>
    <w:rsid w:val="00E4002D"/>
    <w:rsid w:val="00E4014D"/>
    <w:rsid w:val="00E406DB"/>
    <w:rsid w:val="00E408BA"/>
    <w:rsid w:val="00E40A75"/>
    <w:rsid w:val="00E40B55"/>
    <w:rsid w:val="00E40D52"/>
    <w:rsid w:val="00E41055"/>
    <w:rsid w:val="00E412EA"/>
    <w:rsid w:val="00E415D5"/>
    <w:rsid w:val="00E41766"/>
    <w:rsid w:val="00E41F3A"/>
    <w:rsid w:val="00E41FD4"/>
    <w:rsid w:val="00E4258F"/>
    <w:rsid w:val="00E42B58"/>
    <w:rsid w:val="00E42DBD"/>
    <w:rsid w:val="00E43485"/>
    <w:rsid w:val="00E434DE"/>
    <w:rsid w:val="00E4358F"/>
    <w:rsid w:val="00E437F4"/>
    <w:rsid w:val="00E43967"/>
    <w:rsid w:val="00E44846"/>
    <w:rsid w:val="00E44E3F"/>
    <w:rsid w:val="00E44FBF"/>
    <w:rsid w:val="00E454A6"/>
    <w:rsid w:val="00E458BE"/>
    <w:rsid w:val="00E45CEF"/>
    <w:rsid w:val="00E466F9"/>
    <w:rsid w:val="00E46852"/>
    <w:rsid w:val="00E46CCF"/>
    <w:rsid w:val="00E46D68"/>
    <w:rsid w:val="00E47232"/>
    <w:rsid w:val="00E4775E"/>
    <w:rsid w:val="00E477F1"/>
    <w:rsid w:val="00E47C93"/>
    <w:rsid w:val="00E47F00"/>
    <w:rsid w:val="00E47F5C"/>
    <w:rsid w:val="00E50072"/>
    <w:rsid w:val="00E50648"/>
    <w:rsid w:val="00E50FA3"/>
    <w:rsid w:val="00E520FB"/>
    <w:rsid w:val="00E5222B"/>
    <w:rsid w:val="00E52300"/>
    <w:rsid w:val="00E525B4"/>
    <w:rsid w:val="00E52F0B"/>
    <w:rsid w:val="00E53190"/>
    <w:rsid w:val="00E532A4"/>
    <w:rsid w:val="00E53330"/>
    <w:rsid w:val="00E534BF"/>
    <w:rsid w:val="00E536A7"/>
    <w:rsid w:val="00E536E2"/>
    <w:rsid w:val="00E5396E"/>
    <w:rsid w:val="00E53CD4"/>
    <w:rsid w:val="00E54598"/>
    <w:rsid w:val="00E546ED"/>
    <w:rsid w:val="00E55375"/>
    <w:rsid w:val="00E553C4"/>
    <w:rsid w:val="00E55688"/>
    <w:rsid w:val="00E557A3"/>
    <w:rsid w:val="00E55825"/>
    <w:rsid w:val="00E57708"/>
    <w:rsid w:val="00E57751"/>
    <w:rsid w:val="00E577EA"/>
    <w:rsid w:val="00E57B51"/>
    <w:rsid w:val="00E57D0B"/>
    <w:rsid w:val="00E57DE0"/>
    <w:rsid w:val="00E57E63"/>
    <w:rsid w:val="00E602B2"/>
    <w:rsid w:val="00E60432"/>
    <w:rsid w:val="00E60447"/>
    <w:rsid w:val="00E60957"/>
    <w:rsid w:val="00E60A16"/>
    <w:rsid w:val="00E60A66"/>
    <w:rsid w:val="00E60F27"/>
    <w:rsid w:val="00E6163A"/>
    <w:rsid w:val="00E61A43"/>
    <w:rsid w:val="00E61C78"/>
    <w:rsid w:val="00E62EA7"/>
    <w:rsid w:val="00E6333B"/>
    <w:rsid w:val="00E63878"/>
    <w:rsid w:val="00E63E26"/>
    <w:rsid w:val="00E64029"/>
    <w:rsid w:val="00E64210"/>
    <w:rsid w:val="00E64357"/>
    <w:rsid w:val="00E643B6"/>
    <w:rsid w:val="00E64831"/>
    <w:rsid w:val="00E64B9C"/>
    <w:rsid w:val="00E64EA4"/>
    <w:rsid w:val="00E64F49"/>
    <w:rsid w:val="00E65168"/>
    <w:rsid w:val="00E65684"/>
    <w:rsid w:val="00E65D00"/>
    <w:rsid w:val="00E661E8"/>
    <w:rsid w:val="00E6790B"/>
    <w:rsid w:val="00E679A3"/>
    <w:rsid w:val="00E67A5B"/>
    <w:rsid w:val="00E67A98"/>
    <w:rsid w:val="00E67D48"/>
    <w:rsid w:val="00E7024D"/>
    <w:rsid w:val="00E70499"/>
    <w:rsid w:val="00E70836"/>
    <w:rsid w:val="00E70CB4"/>
    <w:rsid w:val="00E71044"/>
    <w:rsid w:val="00E7120E"/>
    <w:rsid w:val="00E7136F"/>
    <w:rsid w:val="00E714FB"/>
    <w:rsid w:val="00E71685"/>
    <w:rsid w:val="00E71B1D"/>
    <w:rsid w:val="00E71C20"/>
    <w:rsid w:val="00E7276E"/>
    <w:rsid w:val="00E73932"/>
    <w:rsid w:val="00E74096"/>
    <w:rsid w:val="00E74288"/>
    <w:rsid w:val="00E74618"/>
    <w:rsid w:val="00E74A2B"/>
    <w:rsid w:val="00E74D23"/>
    <w:rsid w:val="00E7500F"/>
    <w:rsid w:val="00E751FB"/>
    <w:rsid w:val="00E75275"/>
    <w:rsid w:val="00E7557B"/>
    <w:rsid w:val="00E7592C"/>
    <w:rsid w:val="00E764B5"/>
    <w:rsid w:val="00E76FEC"/>
    <w:rsid w:val="00E773AF"/>
    <w:rsid w:val="00E7796B"/>
    <w:rsid w:val="00E77BDC"/>
    <w:rsid w:val="00E77C44"/>
    <w:rsid w:val="00E802CE"/>
    <w:rsid w:val="00E80973"/>
    <w:rsid w:val="00E81054"/>
    <w:rsid w:val="00E8130F"/>
    <w:rsid w:val="00E813B3"/>
    <w:rsid w:val="00E81540"/>
    <w:rsid w:val="00E8160E"/>
    <w:rsid w:val="00E819A4"/>
    <w:rsid w:val="00E81F19"/>
    <w:rsid w:val="00E821A2"/>
    <w:rsid w:val="00E8259E"/>
    <w:rsid w:val="00E82637"/>
    <w:rsid w:val="00E8288B"/>
    <w:rsid w:val="00E828EE"/>
    <w:rsid w:val="00E82A17"/>
    <w:rsid w:val="00E82DA5"/>
    <w:rsid w:val="00E82DF3"/>
    <w:rsid w:val="00E82E8D"/>
    <w:rsid w:val="00E82FC5"/>
    <w:rsid w:val="00E836C8"/>
    <w:rsid w:val="00E83ADB"/>
    <w:rsid w:val="00E83BA3"/>
    <w:rsid w:val="00E83CD9"/>
    <w:rsid w:val="00E8405A"/>
    <w:rsid w:val="00E840A8"/>
    <w:rsid w:val="00E840D4"/>
    <w:rsid w:val="00E84FBF"/>
    <w:rsid w:val="00E853B0"/>
    <w:rsid w:val="00E85C61"/>
    <w:rsid w:val="00E85F4E"/>
    <w:rsid w:val="00E8629F"/>
    <w:rsid w:val="00E863F3"/>
    <w:rsid w:val="00E868CA"/>
    <w:rsid w:val="00E86940"/>
    <w:rsid w:val="00E86973"/>
    <w:rsid w:val="00E86E10"/>
    <w:rsid w:val="00E871FA"/>
    <w:rsid w:val="00E8729E"/>
    <w:rsid w:val="00E87555"/>
    <w:rsid w:val="00E87C2D"/>
    <w:rsid w:val="00E87EBB"/>
    <w:rsid w:val="00E90039"/>
    <w:rsid w:val="00E902BB"/>
    <w:rsid w:val="00E907CD"/>
    <w:rsid w:val="00E9118F"/>
    <w:rsid w:val="00E91299"/>
    <w:rsid w:val="00E91AD0"/>
    <w:rsid w:val="00E91DF0"/>
    <w:rsid w:val="00E91ED3"/>
    <w:rsid w:val="00E9258F"/>
    <w:rsid w:val="00E925A6"/>
    <w:rsid w:val="00E932EA"/>
    <w:rsid w:val="00E93489"/>
    <w:rsid w:val="00E93616"/>
    <w:rsid w:val="00E93D85"/>
    <w:rsid w:val="00E93E64"/>
    <w:rsid w:val="00E93FEE"/>
    <w:rsid w:val="00E941D9"/>
    <w:rsid w:val="00E944AB"/>
    <w:rsid w:val="00E94854"/>
    <w:rsid w:val="00E9515D"/>
    <w:rsid w:val="00E95163"/>
    <w:rsid w:val="00E9527A"/>
    <w:rsid w:val="00E95322"/>
    <w:rsid w:val="00E95742"/>
    <w:rsid w:val="00E95768"/>
    <w:rsid w:val="00E9586E"/>
    <w:rsid w:val="00E95ABC"/>
    <w:rsid w:val="00E9602F"/>
    <w:rsid w:val="00E960A3"/>
    <w:rsid w:val="00E96137"/>
    <w:rsid w:val="00E9619B"/>
    <w:rsid w:val="00E967BC"/>
    <w:rsid w:val="00E9684F"/>
    <w:rsid w:val="00E96A4B"/>
    <w:rsid w:val="00E96CB2"/>
    <w:rsid w:val="00E96CEC"/>
    <w:rsid w:val="00E96FB5"/>
    <w:rsid w:val="00E97511"/>
    <w:rsid w:val="00E978B2"/>
    <w:rsid w:val="00E9799A"/>
    <w:rsid w:val="00E97EDC"/>
    <w:rsid w:val="00EA013B"/>
    <w:rsid w:val="00EA049A"/>
    <w:rsid w:val="00EA07B9"/>
    <w:rsid w:val="00EA0912"/>
    <w:rsid w:val="00EA109E"/>
    <w:rsid w:val="00EA10E1"/>
    <w:rsid w:val="00EA12CA"/>
    <w:rsid w:val="00EA1598"/>
    <w:rsid w:val="00EA1A39"/>
    <w:rsid w:val="00EA1F26"/>
    <w:rsid w:val="00EA2029"/>
    <w:rsid w:val="00EA2083"/>
    <w:rsid w:val="00EA2388"/>
    <w:rsid w:val="00EA23D4"/>
    <w:rsid w:val="00EA2B04"/>
    <w:rsid w:val="00EA2E3D"/>
    <w:rsid w:val="00EA3006"/>
    <w:rsid w:val="00EA3022"/>
    <w:rsid w:val="00EA34EF"/>
    <w:rsid w:val="00EA351C"/>
    <w:rsid w:val="00EA3A72"/>
    <w:rsid w:val="00EA3A97"/>
    <w:rsid w:val="00EA3DDB"/>
    <w:rsid w:val="00EA3F8B"/>
    <w:rsid w:val="00EA417F"/>
    <w:rsid w:val="00EA4406"/>
    <w:rsid w:val="00EA478D"/>
    <w:rsid w:val="00EA4886"/>
    <w:rsid w:val="00EA48B4"/>
    <w:rsid w:val="00EA4CB3"/>
    <w:rsid w:val="00EA56E4"/>
    <w:rsid w:val="00EA5CC6"/>
    <w:rsid w:val="00EA5D1E"/>
    <w:rsid w:val="00EA5D50"/>
    <w:rsid w:val="00EA5D8D"/>
    <w:rsid w:val="00EA66A7"/>
    <w:rsid w:val="00EA6792"/>
    <w:rsid w:val="00EA691B"/>
    <w:rsid w:val="00EA6BE4"/>
    <w:rsid w:val="00EA6D19"/>
    <w:rsid w:val="00EA742F"/>
    <w:rsid w:val="00EA7595"/>
    <w:rsid w:val="00EA7AD5"/>
    <w:rsid w:val="00EA7B35"/>
    <w:rsid w:val="00EA7BD1"/>
    <w:rsid w:val="00EA7D44"/>
    <w:rsid w:val="00EA7D4F"/>
    <w:rsid w:val="00EA7D82"/>
    <w:rsid w:val="00EA7F20"/>
    <w:rsid w:val="00EB01DF"/>
    <w:rsid w:val="00EB049E"/>
    <w:rsid w:val="00EB073E"/>
    <w:rsid w:val="00EB0769"/>
    <w:rsid w:val="00EB0884"/>
    <w:rsid w:val="00EB0D7B"/>
    <w:rsid w:val="00EB0F03"/>
    <w:rsid w:val="00EB1677"/>
    <w:rsid w:val="00EB16F7"/>
    <w:rsid w:val="00EB19A7"/>
    <w:rsid w:val="00EB19F9"/>
    <w:rsid w:val="00EB1FE6"/>
    <w:rsid w:val="00EB21E8"/>
    <w:rsid w:val="00EB22A0"/>
    <w:rsid w:val="00EB23F9"/>
    <w:rsid w:val="00EB27C6"/>
    <w:rsid w:val="00EB28C7"/>
    <w:rsid w:val="00EB36A4"/>
    <w:rsid w:val="00EB3795"/>
    <w:rsid w:val="00EB37B9"/>
    <w:rsid w:val="00EB394E"/>
    <w:rsid w:val="00EB39BC"/>
    <w:rsid w:val="00EB3D6F"/>
    <w:rsid w:val="00EB45A5"/>
    <w:rsid w:val="00EB4A90"/>
    <w:rsid w:val="00EB4AE5"/>
    <w:rsid w:val="00EB4B9F"/>
    <w:rsid w:val="00EB50A7"/>
    <w:rsid w:val="00EB5177"/>
    <w:rsid w:val="00EB5572"/>
    <w:rsid w:val="00EB56A6"/>
    <w:rsid w:val="00EB5DF8"/>
    <w:rsid w:val="00EB69E3"/>
    <w:rsid w:val="00EB6EB0"/>
    <w:rsid w:val="00EB6FF0"/>
    <w:rsid w:val="00EB729D"/>
    <w:rsid w:val="00EB72A3"/>
    <w:rsid w:val="00EB7848"/>
    <w:rsid w:val="00EB786A"/>
    <w:rsid w:val="00EB78ED"/>
    <w:rsid w:val="00EB7997"/>
    <w:rsid w:val="00EB79CB"/>
    <w:rsid w:val="00EB7BC1"/>
    <w:rsid w:val="00EB7CB1"/>
    <w:rsid w:val="00EB7E10"/>
    <w:rsid w:val="00EC0392"/>
    <w:rsid w:val="00EC0B91"/>
    <w:rsid w:val="00EC0FC5"/>
    <w:rsid w:val="00EC155E"/>
    <w:rsid w:val="00EC1F02"/>
    <w:rsid w:val="00EC2557"/>
    <w:rsid w:val="00EC2701"/>
    <w:rsid w:val="00EC275A"/>
    <w:rsid w:val="00EC2E28"/>
    <w:rsid w:val="00EC3168"/>
    <w:rsid w:val="00EC3917"/>
    <w:rsid w:val="00EC3CE1"/>
    <w:rsid w:val="00EC3CE6"/>
    <w:rsid w:val="00EC3CE7"/>
    <w:rsid w:val="00EC43E0"/>
    <w:rsid w:val="00EC481D"/>
    <w:rsid w:val="00EC4FDC"/>
    <w:rsid w:val="00EC504C"/>
    <w:rsid w:val="00EC516B"/>
    <w:rsid w:val="00EC54D9"/>
    <w:rsid w:val="00EC5B6E"/>
    <w:rsid w:val="00EC5D92"/>
    <w:rsid w:val="00EC5E9D"/>
    <w:rsid w:val="00EC6894"/>
    <w:rsid w:val="00EC69F3"/>
    <w:rsid w:val="00EC6B2A"/>
    <w:rsid w:val="00EC6B6A"/>
    <w:rsid w:val="00EC72ED"/>
    <w:rsid w:val="00EC73FB"/>
    <w:rsid w:val="00EC752D"/>
    <w:rsid w:val="00EC7592"/>
    <w:rsid w:val="00EC7A4A"/>
    <w:rsid w:val="00EC7A7B"/>
    <w:rsid w:val="00EC7E0C"/>
    <w:rsid w:val="00ED0183"/>
    <w:rsid w:val="00ED0382"/>
    <w:rsid w:val="00ED05F9"/>
    <w:rsid w:val="00ED086D"/>
    <w:rsid w:val="00ED0A68"/>
    <w:rsid w:val="00ED0E75"/>
    <w:rsid w:val="00ED0F19"/>
    <w:rsid w:val="00ED1C4B"/>
    <w:rsid w:val="00ED1CC6"/>
    <w:rsid w:val="00ED1F61"/>
    <w:rsid w:val="00ED1F67"/>
    <w:rsid w:val="00ED23F8"/>
    <w:rsid w:val="00ED27BE"/>
    <w:rsid w:val="00ED2C0F"/>
    <w:rsid w:val="00ED32FF"/>
    <w:rsid w:val="00ED3FC6"/>
    <w:rsid w:val="00ED4150"/>
    <w:rsid w:val="00ED4470"/>
    <w:rsid w:val="00ED4F97"/>
    <w:rsid w:val="00ED4FD4"/>
    <w:rsid w:val="00ED55E4"/>
    <w:rsid w:val="00ED5711"/>
    <w:rsid w:val="00ED6091"/>
    <w:rsid w:val="00ED60F6"/>
    <w:rsid w:val="00ED657C"/>
    <w:rsid w:val="00ED664E"/>
    <w:rsid w:val="00ED6658"/>
    <w:rsid w:val="00ED6835"/>
    <w:rsid w:val="00ED688F"/>
    <w:rsid w:val="00ED6A3A"/>
    <w:rsid w:val="00ED759C"/>
    <w:rsid w:val="00ED779C"/>
    <w:rsid w:val="00ED781C"/>
    <w:rsid w:val="00ED783D"/>
    <w:rsid w:val="00EE02D5"/>
    <w:rsid w:val="00EE06DA"/>
    <w:rsid w:val="00EE079A"/>
    <w:rsid w:val="00EE0A8C"/>
    <w:rsid w:val="00EE0E8F"/>
    <w:rsid w:val="00EE1034"/>
    <w:rsid w:val="00EE1323"/>
    <w:rsid w:val="00EE1636"/>
    <w:rsid w:val="00EE19B7"/>
    <w:rsid w:val="00EE202E"/>
    <w:rsid w:val="00EE29FE"/>
    <w:rsid w:val="00EE3139"/>
    <w:rsid w:val="00EE374F"/>
    <w:rsid w:val="00EE3CE1"/>
    <w:rsid w:val="00EE3D5C"/>
    <w:rsid w:val="00EE3FD6"/>
    <w:rsid w:val="00EE42D6"/>
    <w:rsid w:val="00EE492F"/>
    <w:rsid w:val="00EE49C8"/>
    <w:rsid w:val="00EE4C37"/>
    <w:rsid w:val="00EE4D54"/>
    <w:rsid w:val="00EE5118"/>
    <w:rsid w:val="00EE53D3"/>
    <w:rsid w:val="00EE54C7"/>
    <w:rsid w:val="00EE56E7"/>
    <w:rsid w:val="00EE5C0F"/>
    <w:rsid w:val="00EE60E5"/>
    <w:rsid w:val="00EE63E0"/>
    <w:rsid w:val="00EE6654"/>
    <w:rsid w:val="00EE6962"/>
    <w:rsid w:val="00EE696D"/>
    <w:rsid w:val="00EE6A1F"/>
    <w:rsid w:val="00EE6D73"/>
    <w:rsid w:val="00EE6DD9"/>
    <w:rsid w:val="00EE7046"/>
    <w:rsid w:val="00EE7959"/>
    <w:rsid w:val="00EF048E"/>
    <w:rsid w:val="00EF0532"/>
    <w:rsid w:val="00EF05C8"/>
    <w:rsid w:val="00EF0DE2"/>
    <w:rsid w:val="00EF102B"/>
    <w:rsid w:val="00EF132E"/>
    <w:rsid w:val="00EF19DE"/>
    <w:rsid w:val="00EF1A91"/>
    <w:rsid w:val="00EF1F3E"/>
    <w:rsid w:val="00EF1F79"/>
    <w:rsid w:val="00EF233E"/>
    <w:rsid w:val="00EF2520"/>
    <w:rsid w:val="00EF2815"/>
    <w:rsid w:val="00EF28BA"/>
    <w:rsid w:val="00EF2B33"/>
    <w:rsid w:val="00EF2BE8"/>
    <w:rsid w:val="00EF3029"/>
    <w:rsid w:val="00EF3543"/>
    <w:rsid w:val="00EF37F5"/>
    <w:rsid w:val="00EF3C0F"/>
    <w:rsid w:val="00EF3F89"/>
    <w:rsid w:val="00EF4075"/>
    <w:rsid w:val="00EF4219"/>
    <w:rsid w:val="00EF43FC"/>
    <w:rsid w:val="00EF44A0"/>
    <w:rsid w:val="00EF45DB"/>
    <w:rsid w:val="00EF45EC"/>
    <w:rsid w:val="00EF4BB3"/>
    <w:rsid w:val="00EF4CC9"/>
    <w:rsid w:val="00EF4F4B"/>
    <w:rsid w:val="00EF538F"/>
    <w:rsid w:val="00EF559B"/>
    <w:rsid w:val="00EF5A7E"/>
    <w:rsid w:val="00EF645D"/>
    <w:rsid w:val="00EF664C"/>
    <w:rsid w:val="00EF66BD"/>
    <w:rsid w:val="00EF6E49"/>
    <w:rsid w:val="00EF76AB"/>
    <w:rsid w:val="00EF77DF"/>
    <w:rsid w:val="00EF7AF7"/>
    <w:rsid w:val="00EF7B41"/>
    <w:rsid w:val="00EF7EE6"/>
    <w:rsid w:val="00F0010D"/>
    <w:rsid w:val="00F00821"/>
    <w:rsid w:val="00F0083E"/>
    <w:rsid w:val="00F00E8B"/>
    <w:rsid w:val="00F01551"/>
    <w:rsid w:val="00F018D9"/>
    <w:rsid w:val="00F019A0"/>
    <w:rsid w:val="00F01E3E"/>
    <w:rsid w:val="00F01E59"/>
    <w:rsid w:val="00F020CA"/>
    <w:rsid w:val="00F021B9"/>
    <w:rsid w:val="00F02310"/>
    <w:rsid w:val="00F02665"/>
    <w:rsid w:val="00F026FB"/>
    <w:rsid w:val="00F029A1"/>
    <w:rsid w:val="00F02B59"/>
    <w:rsid w:val="00F032B3"/>
    <w:rsid w:val="00F037E7"/>
    <w:rsid w:val="00F03813"/>
    <w:rsid w:val="00F03D36"/>
    <w:rsid w:val="00F03DD6"/>
    <w:rsid w:val="00F040A3"/>
    <w:rsid w:val="00F043A7"/>
    <w:rsid w:val="00F0464C"/>
    <w:rsid w:val="00F047D1"/>
    <w:rsid w:val="00F04F1C"/>
    <w:rsid w:val="00F05211"/>
    <w:rsid w:val="00F05455"/>
    <w:rsid w:val="00F0552B"/>
    <w:rsid w:val="00F05564"/>
    <w:rsid w:val="00F0556C"/>
    <w:rsid w:val="00F058C5"/>
    <w:rsid w:val="00F05CDE"/>
    <w:rsid w:val="00F05EB6"/>
    <w:rsid w:val="00F06058"/>
    <w:rsid w:val="00F063CC"/>
    <w:rsid w:val="00F06895"/>
    <w:rsid w:val="00F06902"/>
    <w:rsid w:val="00F06FD7"/>
    <w:rsid w:val="00F0742A"/>
    <w:rsid w:val="00F0792B"/>
    <w:rsid w:val="00F07A6E"/>
    <w:rsid w:val="00F100D2"/>
    <w:rsid w:val="00F10DBC"/>
    <w:rsid w:val="00F111CC"/>
    <w:rsid w:val="00F1125E"/>
    <w:rsid w:val="00F11435"/>
    <w:rsid w:val="00F11C89"/>
    <w:rsid w:val="00F11C8A"/>
    <w:rsid w:val="00F11FF2"/>
    <w:rsid w:val="00F12436"/>
    <w:rsid w:val="00F12528"/>
    <w:rsid w:val="00F12602"/>
    <w:rsid w:val="00F1274F"/>
    <w:rsid w:val="00F129CF"/>
    <w:rsid w:val="00F12BF9"/>
    <w:rsid w:val="00F12CD7"/>
    <w:rsid w:val="00F12D24"/>
    <w:rsid w:val="00F133AB"/>
    <w:rsid w:val="00F137FB"/>
    <w:rsid w:val="00F13BC6"/>
    <w:rsid w:val="00F13CB6"/>
    <w:rsid w:val="00F1437D"/>
    <w:rsid w:val="00F1445B"/>
    <w:rsid w:val="00F14797"/>
    <w:rsid w:val="00F14A3D"/>
    <w:rsid w:val="00F14BE4"/>
    <w:rsid w:val="00F14CF9"/>
    <w:rsid w:val="00F1508B"/>
    <w:rsid w:val="00F1538C"/>
    <w:rsid w:val="00F1589F"/>
    <w:rsid w:val="00F158CC"/>
    <w:rsid w:val="00F15BC2"/>
    <w:rsid w:val="00F15D2E"/>
    <w:rsid w:val="00F15F24"/>
    <w:rsid w:val="00F16037"/>
    <w:rsid w:val="00F163A4"/>
    <w:rsid w:val="00F1670F"/>
    <w:rsid w:val="00F16780"/>
    <w:rsid w:val="00F16A1F"/>
    <w:rsid w:val="00F16A67"/>
    <w:rsid w:val="00F16BEA"/>
    <w:rsid w:val="00F170A8"/>
    <w:rsid w:val="00F17292"/>
    <w:rsid w:val="00F173F7"/>
    <w:rsid w:val="00F17640"/>
    <w:rsid w:val="00F1768C"/>
    <w:rsid w:val="00F17753"/>
    <w:rsid w:val="00F1794B"/>
    <w:rsid w:val="00F17CAD"/>
    <w:rsid w:val="00F17F43"/>
    <w:rsid w:val="00F202E4"/>
    <w:rsid w:val="00F20935"/>
    <w:rsid w:val="00F20947"/>
    <w:rsid w:val="00F20C69"/>
    <w:rsid w:val="00F20F0E"/>
    <w:rsid w:val="00F20FDB"/>
    <w:rsid w:val="00F2129E"/>
    <w:rsid w:val="00F21DB0"/>
    <w:rsid w:val="00F21EEC"/>
    <w:rsid w:val="00F224A0"/>
    <w:rsid w:val="00F2287E"/>
    <w:rsid w:val="00F22B23"/>
    <w:rsid w:val="00F22DB1"/>
    <w:rsid w:val="00F2345E"/>
    <w:rsid w:val="00F236D7"/>
    <w:rsid w:val="00F23B0B"/>
    <w:rsid w:val="00F23CD0"/>
    <w:rsid w:val="00F243E3"/>
    <w:rsid w:val="00F24450"/>
    <w:rsid w:val="00F2465B"/>
    <w:rsid w:val="00F2479E"/>
    <w:rsid w:val="00F24B4E"/>
    <w:rsid w:val="00F24B68"/>
    <w:rsid w:val="00F251AA"/>
    <w:rsid w:val="00F25561"/>
    <w:rsid w:val="00F25694"/>
    <w:rsid w:val="00F25867"/>
    <w:rsid w:val="00F25A88"/>
    <w:rsid w:val="00F25C0F"/>
    <w:rsid w:val="00F26227"/>
    <w:rsid w:val="00F26672"/>
    <w:rsid w:val="00F26B2F"/>
    <w:rsid w:val="00F26C02"/>
    <w:rsid w:val="00F2759F"/>
    <w:rsid w:val="00F275B0"/>
    <w:rsid w:val="00F275F5"/>
    <w:rsid w:val="00F27A2D"/>
    <w:rsid w:val="00F27CBF"/>
    <w:rsid w:val="00F27DA0"/>
    <w:rsid w:val="00F3049D"/>
    <w:rsid w:val="00F30606"/>
    <w:rsid w:val="00F30939"/>
    <w:rsid w:val="00F30ACC"/>
    <w:rsid w:val="00F30DA3"/>
    <w:rsid w:val="00F30E5D"/>
    <w:rsid w:val="00F3137F"/>
    <w:rsid w:val="00F313DD"/>
    <w:rsid w:val="00F317B6"/>
    <w:rsid w:val="00F31B03"/>
    <w:rsid w:val="00F31CBC"/>
    <w:rsid w:val="00F31D23"/>
    <w:rsid w:val="00F31E0C"/>
    <w:rsid w:val="00F3210C"/>
    <w:rsid w:val="00F3212B"/>
    <w:rsid w:val="00F32153"/>
    <w:rsid w:val="00F33109"/>
    <w:rsid w:val="00F33BE4"/>
    <w:rsid w:val="00F33F69"/>
    <w:rsid w:val="00F33FB1"/>
    <w:rsid w:val="00F34470"/>
    <w:rsid w:val="00F344A5"/>
    <w:rsid w:val="00F3479F"/>
    <w:rsid w:val="00F34AD9"/>
    <w:rsid w:val="00F34AE2"/>
    <w:rsid w:val="00F34D60"/>
    <w:rsid w:val="00F34DDB"/>
    <w:rsid w:val="00F34F0B"/>
    <w:rsid w:val="00F350FF"/>
    <w:rsid w:val="00F3568A"/>
    <w:rsid w:val="00F359CD"/>
    <w:rsid w:val="00F35B2B"/>
    <w:rsid w:val="00F35C08"/>
    <w:rsid w:val="00F36413"/>
    <w:rsid w:val="00F36FFE"/>
    <w:rsid w:val="00F37736"/>
    <w:rsid w:val="00F40426"/>
    <w:rsid w:val="00F404C5"/>
    <w:rsid w:val="00F40510"/>
    <w:rsid w:val="00F40A6D"/>
    <w:rsid w:val="00F40A73"/>
    <w:rsid w:val="00F40A98"/>
    <w:rsid w:val="00F40F27"/>
    <w:rsid w:val="00F4140F"/>
    <w:rsid w:val="00F414E8"/>
    <w:rsid w:val="00F41500"/>
    <w:rsid w:val="00F4159F"/>
    <w:rsid w:val="00F4181E"/>
    <w:rsid w:val="00F4187C"/>
    <w:rsid w:val="00F42346"/>
    <w:rsid w:val="00F425A2"/>
    <w:rsid w:val="00F4274D"/>
    <w:rsid w:val="00F429EE"/>
    <w:rsid w:val="00F42A2D"/>
    <w:rsid w:val="00F42E2B"/>
    <w:rsid w:val="00F4342B"/>
    <w:rsid w:val="00F43726"/>
    <w:rsid w:val="00F43C5C"/>
    <w:rsid w:val="00F43DCB"/>
    <w:rsid w:val="00F44127"/>
    <w:rsid w:val="00F44473"/>
    <w:rsid w:val="00F447F7"/>
    <w:rsid w:val="00F44975"/>
    <w:rsid w:val="00F45177"/>
    <w:rsid w:val="00F456B1"/>
    <w:rsid w:val="00F45789"/>
    <w:rsid w:val="00F45B72"/>
    <w:rsid w:val="00F45C06"/>
    <w:rsid w:val="00F4608A"/>
    <w:rsid w:val="00F460BF"/>
    <w:rsid w:val="00F466AB"/>
    <w:rsid w:val="00F46785"/>
    <w:rsid w:val="00F46F25"/>
    <w:rsid w:val="00F46F88"/>
    <w:rsid w:val="00F47050"/>
    <w:rsid w:val="00F47226"/>
    <w:rsid w:val="00F47227"/>
    <w:rsid w:val="00F472CA"/>
    <w:rsid w:val="00F47341"/>
    <w:rsid w:val="00F476CB"/>
    <w:rsid w:val="00F476EC"/>
    <w:rsid w:val="00F476F8"/>
    <w:rsid w:val="00F47A25"/>
    <w:rsid w:val="00F47B98"/>
    <w:rsid w:val="00F47BBC"/>
    <w:rsid w:val="00F502EE"/>
    <w:rsid w:val="00F50494"/>
    <w:rsid w:val="00F50C05"/>
    <w:rsid w:val="00F511DD"/>
    <w:rsid w:val="00F51217"/>
    <w:rsid w:val="00F51262"/>
    <w:rsid w:val="00F512D9"/>
    <w:rsid w:val="00F5149C"/>
    <w:rsid w:val="00F514AA"/>
    <w:rsid w:val="00F515BE"/>
    <w:rsid w:val="00F516AF"/>
    <w:rsid w:val="00F518FB"/>
    <w:rsid w:val="00F51C4B"/>
    <w:rsid w:val="00F51CD6"/>
    <w:rsid w:val="00F52091"/>
    <w:rsid w:val="00F52131"/>
    <w:rsid w:val="00F524A6"/>
    <w:rsid w:val="00F5252D"/>
    <w:rsid w:val="00F52740"/>
    <w:rsid w:val="00F528C1"/>
    <w:rsid w:val="00F534CB"/>
    <w:rsid w:val="00F53514"/>
    <w:rsid w:val="00F53B99"/>
    <w:rsid w:val="00F53BE3"/>
    <w:rsid w:val="00F5456F"/>
    <w:rsid w:val="00F54781"/>
    <w:rsid w:val="00F54886"/>
    <w:rsid w:val="00F549FD"/>
    <w:rsid w:val="00F54E04"/>
    <w:rsid w:val="00F54E4C"/>
    <w:rsid w:val="00F54E98"/>
    <w:rsid w:val="00F55294"/>
    <w:rsid w:val="00F55611"/>
    <w:rsid w:val="00F5577B"/>
    <w:rsid w:val="00F55EE3"/>
    <w:rsid w:val="00F565DE"/>
    <w:rsid w:val="00F56871"/>
    <w:rsid w:val="00F56A52"/>
    <w:rsid w:val="00F56C02"/>
    <w:rsid w:val="00F57396"/>
    <w:rsid w:val="00F5739D"/>
    <w:rsid w:val="00F57558"/>
    <w:rsid w:val="00F57862"/>
    <w:rsid w:val="00F57B11"/>
    <w:rsid w:val="00F57DFE"/>
    <w:rsid w:val="00F60468"/>
    <w:rsid w:val="00F60842"/>
    <w:rsid w:val="00F610E7"/>
    <w:rsid w:val="00F61239"/>
    <w:rsid w:val="00F61309"/>
    <w:rsid w:val="00F61FE8"/>
    <w:rsid w:val="00F62B13"/>
    <w:rsid w:val="00F633D2"/>
    <w:rsid w:val="00F633EF"/>
    <w:rsid w:val="00F63994"/>
    <w:rsid w:val="00F64595"/>
    <w:rsid w:val="00F6478A"/>
    <w:rsid w:val="00F6492B"/>
    <w:rsid w:val="00F64964"/>
    <w:rsid w:val="00F64A30"/>
    <w:rsid w:val="00F64A8C"/>
    <w:rsid w:val="00F64E0D"/>
    <w:rsid w:val="00F65125"/>
    <w:rsid w:val="00F6543B"/>
    <w:rsid w:val="00F6577E"/>
    <w:rsid w:val="00F65BE9"/>
    <w:rsid w:val="00F65C8A"/>
    <w:rsid w:val="00F65FAB"/>
    <w:rsid w:val="00F66213"/>
    <w:rsid w:val="00F665C1"/>
    <w:rsid w:val="00F66607"/>
    <w:rsid w:val="00F66A97"/>
    <w:rsid w:val="00F66F1C"/>
    <w:rsid w:val="00F66F6B"/>
    <w:rsid w:val="00F67334"/>
    <w:rsid w:val="00F67504"/>
    <w:rsid w:val="00F6775B"/>
    <w:rsid w:val="00F678EA"/>
    <w:rsid w:val="00F67AA7"/>
    <w:rsid w:val="00F67CEC"/>
    <w:rsid w:val="00F67FED"/>
    <w:rsid w:val="00F70589"/>
    <w:rsid w:val="00F70697"/>
    <w:rsid w:val="00F70C13"/>
    <w:rsid w:val="00F70E4A"/>
    <w:rsid w:val="00F70E9B"/>
    <w:rsid w:val="00F7142A"/>
    <w:rsid w:val="00F71BB4"/>
    <w:rsid w:val="00F71DEA"/>
    <w:rsid w:val="00F72402"/>
    <w:rsid w:val="00F72856"/>
    <w:rsid w:val="00F72B62"/>
    <w:rsid w:val="00F731D9"/>
    <w:rsid w:val="00F731EA"/>
    <w:rsid w:val="00F7376E"/>
    <w:rsid w:val="00F738A1"/>
    <w:rsid w:val="00F73D51"/>
    <w:rsid w:val="00F743E7"/>
    <w:rsid w:val="00F74AD5"/>
    <w:rsid w:val="00F74B3F"/>
    <w:rsid w:val="00F74CC7"/>
    <w:rsid w:val="00F74DCB"/>
    <w:rsid w:val="00F75467"/>
    <w:rsid w:val="00F758A1"/>
    <w:rsid w:val="00F76149"/>
    <w:rsid w:val="00F762E2"/>
    <w:rsid w:val="00F763F0"/>
    <w:rsid w:val="00F76519"/>
    <w:rsid w:val="00F7690E"/>
    <w:rsid w:val="00F76B9E"/>
    <w:rsid w:val="00F76C33"/>
    <w:rsid w:val="00F771F6"/>
    <w:rsid w:val="00F77588"/>
    <w:rsid w:val="00F77E34"/>
    <w:rsid w:val="00F77E7E"/>
    <w:rsid w:val="00F77FE6"/>
    <w:rsid w:val="00F80007"/>
    <w:rsid w:val="00F80051"/>
    <w:rsid w:val="00F8046D"/>
    <w:rsid w:val="00F81347"/>
    <w:rsid w:val="00F8160F"/>
    <w:rsid w:val="00F8162A"/>
    <w:rsid w:val="00F824B8"/>
    <w:rsid w:val="00F82B7A"/>
    <w:rsid w:val="00F8324A"/>
    <w:rsid w:val="00F834D9"/>
    <w:rsid w:val="00F837F3"/>
    <w:rsid w:val="00F83A81"/>
    <w:rsid w:val="00F83D5F"/>
    <w:rsid w:val="00F842C8"/>
    <w:rsid w:val="00F846CA"/>
    <w:rsid w:val="00F847BE"/>
    <w:rsid w:val="00F849D3"/>
    <w:rsid w:val="00F85235"/>
    <w:rsid w:val="00F852C6"/>
    <w:rsid w:val="00F853E8"/>
    <w:rsid w:val="00F854DD"/>
    <w:rsid w:val="00F85AF9"/>
    <w:rsid w:val="00F85CB3"/>
    <w:rsid w:val="00F85E99"/>
    <w:rsid w:val="00F86123"/>
    <w:rsid w:val="00F862AF"/>
    <w:rsid w:val="00F86B1F"/>
    <w:rsid w:val="00F86C6F"/>
    <w:rsid w:val="00F86DAF"/>
    <w:rsid w:val="00F877EC"/>
    <w:rsid w:val="00F878AE"/>
    <w:rsid w:val="00F87917"/>
    <w:rsid w:val="00F87B6B"/>
    <w:rsid w:val="00F87D64"/>
    <w:rsid w:val="00F87F7D"/>
    <w:rsid w:val="00F90099"/>
    <w:rsid w:val="00F9026E"/>
    <w:rsid w:val="00F90577"/>
    <w:rsid w:val="00F90E2A"/>
    <w:rsid w:val="00F90E94"/>
    <w:rsid w:val="00F911D2"/>
    <w:rsid w:val="00F91604"/>
    <w:rsid w:val="00F91620"/>
    <w:rsid w:val="00F919D3"/>
    <w:rsid w:val="00F91FE7"/>
    <w:rsid w:val="00F926B2"/>
    <w:rsid w:val="00F9275F"/>
    <w:rsid w:val="00F929A1"/>
    <w:rsid w:val="00F92ABF"/>
    <w:rsid w:val="00F92D91"/>
    <w:rsid w:val="00F92E1B"/>
    <w:rsid w:val="00F93198"/>
    <w:rsid w:val="00F935E9"/>
    <w:rsid w:val="00F935F4"/>
    <w:rsid w:val="00F9376B"/>
    <w:rsid w:val="00F939E6"/>
    <w:rsid w:val="00F93EFC"/>
    <w:rsid w:val="00F93FA4"/>
    <w:rsid w:val="00F93FFE"/>
    <w:rsid w:val="00F94358"/>
    <w:rsid w:val="00F94361"/>
    <w:rsid w:val="00F943F4"/>
    <w:rsid w:val="00F946FF"/>
    <w:rsid w:val="00F9479A"/>
    <w:rsid w:val="00F956FC"/>
    <w:rsid w:val="00F95816"/>
    <w:rsid w:val="00F95A65"/>
    <w:rsid w:val="00F96278"/>
    <w:rsid w:val="00F96445"/>
    <w:rsid w:val="00F96578"/>
    <w:rsid w:val="00F96BB8"/>
    <w:rsid w:val="00F96C95"/>
    <w:rsid w:val="00F96C97"/>
    <w:rsid w:val="00F970AE"/>
    <w:rsid w:val="00F9720C"/>
    <w:rsid w:val="00F974DC"/>
    <w:rsid w:val="00F976EE"/>
    <w:rsid w:val="00F9784D"/>
    <w:rsid w:val="00F9794B"/>
    <w:rsid w:val="00F97AB3"/>
    <w:rsid w:val="00F97B47"/>
    <w:rsid w:val="00F97BE3"/>
    <w:rsid w:val="00F97F08"/>
    <w:rsid w:val="00F97F87"/>
    <w:rsid w:val="00FA0105"/>
    <w:rsid w:val="00FA0119"/>
    <w:rsid w:val="00FA0FEB"/>
    <w:rsid w:val="00FA12D7"/>
    <w:rsid w:val="00FA1312"/>
    <w:rsid w:val="00FA133D"/>
    <w:rsid w:val="00FA13C3"/>
    <w:rsid w:val="00FA14A3"/>
    <w:rsid w:val="00FA1640"/>
    <w:rsid w:val="00FA16D2"/>
    <w:rsid w:val="00FA1B5C"/>
    <w:rsid w:val="00FA1C36"/>
    <w:rsid w:val="00FA2618"/>
    <w:rsid w:val="00FA28C5"/>
    <w:rsid w:val="00FA2CC1"/>
    <w:rsid w:val="00FA2D40"/>
    <w:rsid w:val="00FA2E5A"/>
    <w:rsid w:val="00FA2EDD"/>
    <w:rsid w:val="00FA319B"/>
    <w:rsid w:val="00FA357B"/>
    <w:rsid w:val="00FA3792"/>
    <w:rsid w:val="00FA3FDE"/>
    <w:rsid w:val="00FA4585"/>
    <w:rsid w:val="00FA4ADB"/>
    <w:rsid w:val="00FA4B92"/>
    <w:rsid w:val="00FA4D2A"/>
    <w:rsid w:val="00FA578A"/>
    <w:rsid w:val="00FA5ACE"/>
    <w:rsid w:val="00FA5C91"/>
    <w:rsid w:val="00FA5CF6"/>
    <w:rsid w:val="00FA5D54"/>
    <w:rsid w:val="00FA5DA7"/>
    <w:rsid w:val="00FA5E12"/>
    <w:rsid w:val="00FA60FB"/>
    <w:rsid w:val="00FA62F8"/>
    <w:rsid w:val="00FA6518"/>
    <w:rsid w:val="00FA7442"/>
    <w:rsid w:val="00FA7860"/>
    <w:rsid w:val="00FA7948"/>
    <w:rsid w:val="00FA7ECD"/>
    <w:rsid w:val="00FB0A2F"/>
    <w:rsid w:val="00FB0A87"/>
    <w:rsid w:val="00FB0C54"/>
    <w:rsid w:val="00FB0CFA"/>
    <w:rsid w:val="00FB0E86"/>
    <w:rsid w:val="00FB1061"/>
    <w:rsid w:val="00FB138E"/>
    <w:rsid w:val="00FB140C"/>
    <w:rsid w:val="00FB141B"/>
    <w:rsid w:val="00FB172D"/>
    <w:rsid w:val="00FB17A5"/>
    <w:rsid w:val="00FB18FF"/>
    <w:rsid w:val="00FB1B1A"/>
    <w:rsid w:val="00FB1DE9"/>
    <w:rsid w:val="00FB20FC"/>
    <w:rsid w:val="00FB21A2"/>
    <w:rsid w:val="00FB2435"/>
    <w:rsid w:val="00FB2463"/>
    <w:rsid w:val="00FB2C5C"/>
    <w:rsid w:val="00FB2E06"/>
    <w:rsid w:val="00FB31EE"/>
    <w:rsid w:val="00FB394C"/>
    <w:rsid w:val="00FB3B57"/>
    <w:rsid w:val="00FB3C18"/>
    <w:rsid w:val="00FB3F4F"/>
    <w:rsid w:val="00FB479D"/>
    <w:rsid w:val="00FB47EA"/>
    <w:rsid w:val="00FB4800"/>
    <w:rsid w:val="00FB4A97"/>
    <w:rsid w:val="00FB4C07"/>
    <w:rsid w:val="00FB4C45"/>
    <w:rsid w:val="00FB4DA4"/>
    <w:rsid w:val="00FB4F1A"/>
    <w:rsid w:val="00FB5386"/>
    <w:rsid w:val="00FB5605"/>
    <w:rsid w:val="00FB5C72"/>
    <w:rsid w:val="00FB63D5"/>
    <w:rsid w:val="00FB641A"/>
    <w:rsid w:val="00FB653F"/>
    <w:rsid w:val="00FB660A"/>
    <w:rsid w:val="00FB6698"/>
    <w:rsid w:val="00FB6EA4"/>
    <w:rsid w:val="00FB71CD"/>
    <w:rsid w:val="00FB73C7"/>
    <w:rsid w:val="00FB789B"/>
    <w:rsid w:val="00FB79BF"/>
    <w:rsid w:val="00FB7BE6"/>
    <w:rsid w:val="00FB7DC7"/>
    <w:rsid w:val="00FC0057"/>
    <w:rsid w:val="00FC00CC"/>
    <w:rsid w:val="00FC091C"/>
    <w:rsid w:val="00FC14AD"/>
    <w:rsid w:val="00FC1E7E"/>
    <w:rsid w:val="00FC1FCE"/>
    <w:rsid w:val="00FC219E"/>
    <w:rsid w:val="00FC22CD"/>
    <w:rsid w:val="00FC23B6"/>
    <w:rsid w:val="00FC2652"/>
    <w:rsid w:val="00FC28B4"/>
    <w:rsid w:val="00FC2DF9"/>
    <w:rsid w:val="00FC3602"/>
    <w:rsid w:val="00FC3FDF"/>
    <w:rsid w:val="00FC4D89"/>
    <w:rsid w:val="00FC4D9F"/>
    <w:rsid w:val="00FC50C7"/>
    <w:rsid w:val="00FC53E0"/>
    <w:rsid w:val="00FC55CF"/>
    <w:rsid w:val="00FC5874"/>
    <w:rsid w:val="00FC5951"/>
    <w:rsid w:val="00FC596F"/>
    <w:rsid w:val="00FC5A5B"/>
    <w:rsid w:val="00FC5CC7"/>
    <w:rsid w:val="00FC64F0"/>
    <w:rsid w:val="00FC699C"/>
    <w:rsid w:val="00FC6B12"/>
    <w:rsid w:val="00FC6BC8"/>
    <w:rsid w:val="00FC6C6F"/>
    <w:rsid w:val="00FC6D6F"/>
    <w:rsid w:val="00FC6FCE"/>
    <w:rsid w:val="00FC713C"/>
    <w:rsid w:val="00FC7200"/>
    <w:rsid w:val="00FC764E"/>
    <w:rsid w:val="00FC7721"/>
    <w:rsid w:val="00FD0082"/>
    <w:rsid w:val="00FD0221"/>
    <w:rsid w:val="00FD08CC"/>
    <w:rsid w:val="00FD0AB1"/>
    <w:rsid w:val="00FD18B9"/>
    <w:rsid w:val="00FD19F4"/>
    <w:rsid w:val="00FD1B85"/>
    <w:rsid w:val="00FD1D1C"/>
    <w:rsid w:val="00FD2BAE"/>
    <w:rsid w:val="00FD3419"/>
    <w:rsid w:val="00FD376B"/>
    <w:rsid w:val="00FD3CA0"/>
    <w:rsid w:val="00FD3D1E"/>
    <w:rsid w:val="00FD3D62"/>
    <w:rsid w:val="00FD3EEB"/>
    <w:rsid w:val="00FD42A5"/>
    <w:rsid w:val="00FD44FB"/>
    <w:rsid w:val="00FD4694"/>
    <w:rsid w:val="00FD4ADB"/>
    <w:rsid w:val="00FD4D95"/>
    <w:rsid w:val="00FD6092"/>
    <w:rsid w:val="00FD6522"/>
    <w:rsid w:val="00FD67F6"/>
    <w:rsid w:val="00FD6DE1"/>
    <w:rsid w:val="00FD7442"/>
    <w:rsid w:val="00FD77C3"/>
    <w:rsid w:val="00FE0108"/>
    <w:rsid w:val="00FE06B4"/>
    <w:rsid w:val="00FE0CAC"/>
    <w:rsid w:val="00FE0EAD"/>
    <w:rsid w:val="00FE136F"/>
    <w:rsid w:val="00FE15F6"/>
    <w:rsid w:val="00FE1867"/>
    <w:rsid w:val="00FE18D7"/>
    <w:rsid w:val="00FE1BC2"/>
    <w:rsid w:val="00FE1E0B"/>
    <w:rsid w:val="00FE20F2"/>
    <w:rsid w:val="00FE211C"/>
    <w:rsid w:val="00FE2266"/>
    <w:rsid w:val="00FE2345"/>
    <w:rsid w:val="00FE23B6"/>
    <w:rsid w:val="00FE2686"/>
    <w:rsid w:val="00FE2805"/>
    <w:rsid w:val="00FE28FC"/>
    <w:rsid w:val="00FE2B76"/>
    <w:rsid w:val="00FE2DDB"/>
    <w:rsid w:val="00FE3007"/>
    <w:rsid w:val="00FE3571"/>
    <w:rsid w:val="00FE364F"/>
    <w:rsid w:val="00FE3840"/>
    <w:rsid w:val="00FE3A84"/>
    <w:rsid w:val="00FE4220"/>
    <w:rsid w:val="00FE435E"/>
    <w:rsid w:val="00FE4378"/>
    <w:rsid w:val="00FE45E7"/>
    <w:rsid w:val="00FE4BD6"/>
    <w:rsid w:val="00FE5397"/>
    <w:rsid w:val="00FE5404"/>
    <w:rsid w:val="00FE5742"/>
    <w:rsid w:val="00FE5A79"/>
    <w:rsid w:val="00FE5AFD"/>
    <w:rsid w:val="00FE5CD5"/>
    <w:rsid w:val="00FE61C2"/>
    <w:rsid w:val="00FE68E9"/>
    <w:rsid w:val="00FE6C3A"/>
    <w:rsid w:val="00FE7080"/>
    <w:rsid w:val="00FE70FE"/>
    <w:rsid w:val="00FE7BA3"/>
    <w:rsid w:val="00FF0584"/>
    <w:rsid w:val="00FF05EE"/>
    <w:rsid w:val="00FF0765"/>
    <w:rsid w:val="00FF0ADD"/>
    <w:rsid w:val="00FF0F3D"/>
    <w:rsid w:val="00FF12A3"/>
    <w:rsid w:val="00FF135F"/>
    <w:rsid w:val="00FF1602"/>
    <w:rsid w:val="00FF1B44"/>
    <w:rsid w:val="00FF1C6C"/>
    <w:rsid w:val="00FF237A"/>
    <w:rsid w:val="00FF2385"/>
    <w:rsid w:val="00FF246F"/>
    <w:rsid w:val="00FF252E"/>
    <w:rsid w:val="00FF256F"/>
    <w:rsid w:val="00FF2648"/>
    <w:rsid w:val="00FF277C"/>
    <w:rsid w:val="00FF2BD2"/>
    <w:rsid w:val="00FF31B5"/>
    <w:rsid w:val="00FF35CF"/>
    <w:rsid w:val="00FF44C9"/>
    <w:rsid w:val="00FF474A"/>
    <w:rsid w:val="00FF48E6"/>
    <w:rsid w:val="00FF4A7F"/>
    <w:rsid w:val="00FF4D61"/>
    <w:rsid w:val="00FF4F5C"/>
    <w:rsid w:val="00FF500B"/>
    <w:rsid w:val="00FF5169"/>
    <w:rsid w:val="00FF5316"/>
    <w:rsid w:val="00FF540A"/>
    <w:rsid w:val="00FF565C"/>
    <w:rsid w:val="00FF5C73"/>
    <w:rsid w:val="00FF5F1D"/>
    <w:rsid w:val="00FF60C0"/>
    <w:rsid w:val="00FF67E3"/>
    <w:rsid w:val="00FF7065"/>
    <w:rsid w:val="00FF722E"/>
    <w:rsid w:val="00FF7342"/>
    <w:rsid w:val="00FF7584"/>
    <w:rsid w:val="00FF7726"/>
    <w:rsid w:val="00FF7A11"/>
    <w:rsid w:val="00FF7CAD"/>
    <w:rsid w:val="00FF7D6B"/>
    <w:rsid w:val="01069948"/>
    <w:rsid w:val="01131F20"/>
    <w:rsid w:val="01191AC1"/>
    <w:rsid w:val="01195695"/>
    <w:rsid w:val="01285382"/>
    <w:rsid w:val="012B0C28"/>
    <w:rsid w:val="0134713B"/>
    <w:rsid w:val="01364942"/>
    <w:rsid w:val="0148CE19"/>
    <w:rsid w:val="014924E1"/>
    <w:rsid w:val="014CD47E"/>
    <w:rsid w:val="014E306D"/>
    <w:rsid w:val="0154CBC6"/>
    <w:rsid w:val="015570E3"/>
    <w:rsid w:val="01573374"/>
    <w:rsid w:val="015C1DBC"/>
    <w:rsid w:val="0160C4A0"/>
    <w:rsid w:val="0162FD39"/>
    <w:rsid w:val="01641064"/>
    <w:rsid w:val="017137D2"/>
    <w:rsid w:val="01776BFC"/>
    <w:rsid w:val="017BAF3D"/>
    <w:rsid w:val="017E3511"/>
    <w:rsid w:val="018770B6"/>
    <w:rsid w:val="018C6B8A"/>
    <w:rsid w:val="01966599"/>
    <w:rsid w:val="01A05837"/>
    <w:rsid w:val="01A26A0D"/>
    <w:rsid w:val="01AEC7A0"/>
    <w:rsid w:val="01B37E61"/>
    <w:rsid w:val="01B3FD29"/>
    <w:rsid w:val="01B5F062"/>
    <w:rsid w:val="01BC73B5"/>
    <w:rsid w:val="01BCBEB3"/>
    <w:rsid w:val="01BDED77"/>
    <w:rsid w:val="01BE51B4"/>
    <w:rsid w:val="01C12914"/>
    <w:rsid w:val="01C18079"/>
    <w:rsid w:val="01C60172"/>
    <w:rsid w:val="01D0C4D7"/>
    <w:rsid w:val="01D663EA"/>
    <w:rsid w:val="01DBDC72"/>
    <w:rsid w:val="01DDF031"/>
    <w:rsid w:val="01DEF4FC"/>
    <w:rsid w:val="01E13282"/>
    <w:rsid w:val="01E268B3"/>
    <w:rsid w:val="01E43FB4"/>
    <w:rsid w:val="01EBC68A"/>
    <w:rsid w:val="01EDF22D"/>
    <w:rsid w:val="01F0FD14"/>
    <w:rsid w:val="01F6CE32"/>
    <w:rsid w:val="020EC4C4"/>
    <w:rsid w:val="021114D1"/>
    <w:rsid w:val="0211EFF1"/>
    <w:rsid w:val="021204EE"/>
    <w:rsid w:val="0212BB41"/>
    <w:rsid w:val="02146951"/>
    <w:rsid w:val="0214F284"/>
    <w:rsid w:val="0217846E"/>
    <w:rsid w:val="0225D646"/>
    <w:rsid w:val="0225F8B0"/>
    <w:rsid w:val="022AB126"/>
    <w:rsid w:val="022C255A"/>
    <w:rsid w:val="022EBEC0"/>
    <w:rsid w:val="022F8E70"/>
    <w:rsid w:val="0235BA33"/>
    <w:rsid w:val="0240F759"/>
    <w:rsid w:val="02410EA8"/>
    <w:rsid w:val="024C9A0D"/>
    <w:rsid w:val="025255AE"/>
    <w:rsid w:val="0253A338"/>
    <w:rsid w:val="0254A397"/>
    <w:rsid w:val="0256061A"/>
    <w:rsid w:val="025614C5"/>
    <w:rsid w:val="025856A5"/>
    <w:rsid w:val="025A3F9D"/>
    <w:rsid w:val="02627D94"/>
    <w:rsid w:val="0265AC0F"/>
    <w:rsid w:val="027B6C77"/>
    <w:rsid w:val="027E8ECA"/>
    <w:rsid w:val="0280B576"/>
    <w:rsid w:val="02848868"/>
    <w:rsid w:val="028FE780"/>
    <w:rsid w:val="02927DB1"/>
    <w:rsid w:val="02A2A7AE"/>
    <w:rsid w:val="02ABD7FB"/>
    <w:rsid w:val="02C744A7"/>
    <w:rsid w:val="02CFD310"/>
    <w:rsid w:val="02D6A80D"/>
    <w:rsid w:val="02D6E5DB"/>
    <w:rsid w:val="02E340D4"/>
    <w:rsid w:val="02E3C421"/>
    <w:rsid w:val="02F7EE1D"/>
    <w:rsid w:val="02FC777F"/>
    <w:rsid w:val="02FC7A04"/>
    <w:rsid w:val="02FE24F9"/>
    <w:rsid w:val="030D103D"/>
    <w:rsid w:val="031D45C5"/>
    <w:rsid w:val="031E3561"/>
    <w:rsid w:val="03263183"/>
    <w:rsid w:val="0332A73D"/>
    <w:rsid w:val="0333360C"/>
    <w:rsid w:val="03364928"/>
    <w:rsid w:val="033DE94E"/>
    <w:rsid w:val="0340B34F"/>
    <w:rsid w:val="0342F762"/>
    <w:rsid w:val="0343B6D8"/>
    <w:rsid w:val="03481C2E"/>
    <w:rsid w:val="035357CD"/>
    <w:rsid w:val="03549EE5"/>
    <w:rsid w:val="0355925C"/>
    <w:rsid w:val="03595521"/>
    <w:rsid w:val="035C47F1"/>
    <w:rsid w:val="035D997B"/>
    <w:rsid w:val="035DB667"/>
    <w:rsid w:val="035E12EC"/>
    <w:rsid w:val="03685988"/>
    <w:rsid w:val="036B00C5"/>
    <w:rsid w:val="036B4228"/>
    <w:rsid w:val="036D34AA"/>
    <w:rsid w:val="036E7E4F"/>
    <w:rsid w:val="03742423"/>
    <w:rsid w:val="03746259"/>
    <w:rsid w:val="038523EC"/>
    <w:rsid w:val="038A64F9"/>
    <w:rsid w:val="039D4ADF"/>
    <w:rsid w:val="03A46034"/>
    <w:rsid w:val="03ACFE6C"/>
    <w:rsid w:val="03B30B55"/>
    <w:rsid w:val="03B4FEAF"/>
    <w:rsid w:val="03BEA811"/>
    <w:rsid w:val="03C212E0"/>
    <w:rsid w:val="03C82166"/>
    <w:rsid w:val="03CDD8B2"/>
    <w:rsid w:val="03E230EE"/>
    <w:rsid w:val="03E5CB27"/>
    <w:rsid w:val="03E616D3"/>
    <w:rsid w:val="03E89625"/>
    <w:rsid w:val="03E8EBC8"/>
    <w:rsid w:val="03E942C8"/>
    <w:rsid w:val="03FA6DED"/>
    <w:rsid w:val="03FB2988"/>
    <w:rsid w:val="03FDBCF4"/>
    <w:rsid w:val="03FFD87E"/>
    <w:rsid w:val="04012FCD"/>
    <w:rsid w:val="040338E4"/>
    <w:rsid w:val="0403581E"/>
    <w:rsid w:val="04115BB8"/>
    <w:rsid w:val="041CD0D6"/>
    <w:rsid w:val="04257BD4"/>
    <w:rsid w:val="04268973"/>
    <w:rsid w:val="042F49AA"/>
    <w:rsid w:val="043CC078"/>
    <w:rsid w:val="043CF933"/>
    <w:rsid w:val="043D3B4E"/>
    <w:rsid w:val="043E8CCA"/>
    <w:rsid w:val="04406C41"/>
    <w:rsid w:val="044158C5"/>
    <w:rsid w:val="04457C67"/>
    <w:rsid w:val="0450314F"/>
    <w:rsid w:val="04586AA5"/>
    <w:rsid w:val="046D77F2"/>
    <w:rsid w:val="04703F19"/>
    <w:rsid w:val="047C11F6"/>
    <w:rsid w:val="047D1A60"/>
    <w:rsid w:val="047D3BCC"/>
    <w:rsid w:val="048632B3"/>
    <w:rsid w:val="0486F673"/>
    <w:rsid w:val="048A803B"/>
    <w:rsid w:val="048AD9C7"/>
    <w:rsid w:val="048B4561"/>
    <w:rsid w:val="048E7073"/>
    <w:rsid w:val="04900A50"/>
    <w:rsid w:val="049A10CD"/>
    <w:rsid w:val="049AF9CB"/>
    <w:rsid w:val="04ACF27C"/>
    <w:rsid w:val="04AD306B"/>
    <w:rsid w:val="04B22E8C"/>
    <w:rsid w:val="04B59C13"/>
    <w:rsid w:val="04BEC7B5"/>
    <w:rsid w:val="04BF2C5C"/>
    <w:rsid w:val="04C0287B"/>
    <w:rsid w:val="04C39B8B"/>
    <w:rsid w:val="04C46533"/>
    <w:rsid w:val="04D1C22B"/>
    <w:rsid w:val="04D27665"/>
    <w:rsid w:val="04DA0ACF"/>
    <w:rsid w:val="04DCC682"/>
    <w:rsid w:val="04F58709"/>
    <w:rsid w:val="04F5CD7A"/>
    <w:rsid w:val="04F6661A"/>
    <w:rsid w:val="04FAD4FF"/>
    <w:rsid w:val="050CB4BB"/>
    <w:rsid w:val="05138945"/>
    <w:rsid w:val="05148B8A"/>
    <w:rsid w:val="0515B8F0"/>
    <w:rsid w:val="051A9846"/>
    <w:rsid w:val="05214D85"/>
    <w:rsid w:val="0529A731"/>
    <w:rsid w:val="0530090C"/>
    <w:rsid w:val="053B1A08"/>
    <w:rsid w:val="053BCC59"/>
    <w:rsid w:val="053DBFE8"/>
    <w:rsid w:val="0544D988"/>
    <w:rsid w:val="054C2348"/>
    <w:rsid w:val="054ECA67"/>
    <w:rsid w:val="05508850"/>
    <w:rsid w:val="0551FFBB"/>
    <w:rsid w:val="0567BC12"/>
    <w:rsid w:val="056E3506"/>
    <w:rsid w:val="0576D672"/>
    <w:rsid w:val="057E1CE0"/>
    <w:rsid w:val="058C3F6B"/>
    <w:rsid w:val="058D32BD"/>
    <w:rsid w:val="058F7278"/>
    <w:rsid w:val="0594F664"/>
    <w:rsid w:val="0596AD8F"/>
    <w:rsid w:val="0598C2D9"/>
    <w:rsid w:val="05A6A1B5"/>
    <w:rsid w:val="05C3708C"/>
    <w:rsid w:val="05C3951E"/>
    <w:rsid w:val="05CA64DF"/>
    <w:rsid w:val="05CF418C"/>
    <w:rsid w:val="05DB1BE1"/>
    <w:rsid w:val="05EF1E81"/>
    <w:rsid w:val="05F0F635"/>
    <w:rsid w:val="05F3103A"/>
    <w:rsid w:val="05F36C38"/>
    <w:rsid w:val="05FA1364"/>
    <w:rsid w:val="05FE2126"/>
    <w:rsid w:val="05FEB76F"/>
    <w:rsid w:val="0600B3A7"/>
    <w:rsid w:val="060FB636"/>
    <w:rsid w:val="0613F847"/>
    <w:rsid w:val="061948A9"/>
    <w:rsid w:val="061B1C62"/>
    <w:rsid w:val="062A1B00"/>
    <w:rsid w:val="062B0D50"/>
    <w:rsid w:val="062BB331"/>
    <w:rsid w:val="0631C854"/>
    <w:rsid w:val="063E3898"/>
    <w:rsid w:val="06423D76"/>
    <w:rsid w:val="065A6E74"/>
    <w:rsid w:val="066CD2EE"/>
    <w:rsid w:val="06722BE1"/>
    <w:rsid w:val="0675DB30"/>
    <w:rsid w:val="067854AE"/>
    <w:rsid w:val="068059D0"/>
    <w:rsid w:val="06878BEF"/>
    <w:rsid w:val="068B21F0"/>
    <w:rsid w:val="069680D9"/>
    <w:rsid w:val="06A3CA44"/>
    <w:rsid w:val="06A43CCF"/>
    <w:rsid w:val="06B2A953"/>
    <w:rsid w:val="06B6B308"/>
    <w:rsid w:val="06BA0524"/>
    <w:rsid w:val="06BE386B"/>
    <w:rsid w:val="06BE4EE3"/>
    <w:rsid w:val="06CB67C9"/>
    <w:rsid w:val="06CF1400"/>
    <w:rsid w:val="06D027B1"/>
    <w:rsid w:val="06DF3B36"/>
    <w:rsid w:val="06E0E697"/>
    <w:rsid w:val="06EC189C"/>
    <w:rsid w:val="06F21338"/>
    <w:rsid w:val="06F4D374"/>
    <w:rsid w:val="06F899E7"/>
    <w:rsid w:val="06F8CF29"/>
    <w:rsid w:val="06FE3866"/>
    <w:rsid w:val="0700FC87"/>
    <w:rsid w:val="07042306"/>
    <w:rsid w:val="070B9057"/>
    <w:rsid w:val="070BC773"/>
    <w:rsid w:val="071106A0"/>
    <w:rsid w:val="07157845"/>
    <w:rsid w:val="071EC2C1"/>
    <w:rsid w:val="071F4135"/>
    <w:rsid w:val="07287FC9"/>
    <w:rsid w:val="0728B378"/>
    <w:rsid w:val="0728B65D"/>
    <w:rsid w:val="0733591A"/>
    <w:rsid w:val="073991A0"/>
    <w:rsid w:val="07400E82"/>
    <w:rsid w:val="0740D345"/>
    <w:rsid w:val="07414E72"/>
    <w:rsid w:val="07444085"/>
    <w:rsid w:val="0745D8AF"/>
    <w:rsid w:val="07499D5D"/>
    <w:rsid w:val="074F6231"/>
    <w:rsid w:val="07542A95"/>
    <w:rsid w:val="0755E5FE"/>
    <w:rsid w:val="07560D97"/>
    <w:rsid w:val="0756F314"/>
    <w:rsid w:val="075C3CFA"/>
    <w:rsid w:val="075FB43C"/>
    <w:rsid w:val="0760E453"/>
    <w:rsid w:val="076933D4"/>
    <w:rsid w:val="076CCB21"/>
    <w:rsid w:val="076D64AC"/>
    <w:rsid w:val="07728790"/>
    <w:rsid w:val="07757DAC"/>
    <w:rsid w:val="0779AEC6"/>
    <w:rsid w:val="0781A43E"/>
    <w:rsid w:val="07882E58"/>
    <w:rsid w:val="0790F5EE"/>
    <w:rsid w:val="079C28AB"/>
    <w:rsid w:val="079E84BF"/>
    <w:rsid w:val="07A19777"/>
    <w:rsid w:val="07AB8697"/>
    <w:rsid w:val="07B03F3C"/>
    <w:rsid w:val="07B91612"/>
    <w:rsid w:val="07B9B838"/>
    <w:rsid w:val="07BAE96D"/>
    <w:rsid w:val="07BD0DCF"/>
    <w:rsid w:val="07C10E31"/>
    <w:rsid w:val="07C14006"/>
    <w:rsid w:val="07C247B8"/>
    <w:rsid w:val="07C55FBE"/>
    <w:rsid w:val="07D0CDE3"/>
    <w:rsid w:val="07D7541D"/>
    <w:rsid w:val="07DB322B"/>
    <w:rsid w:val="07E63AD2"/>
    <w:rsid w:val="07E9FBB6"/>
    <w:rsid w:val="07EBDDE7"/>
    <w:rsid w:val="07F43353"/>
    <w:rsid w:val="07FD92B2"/>
    <w:rsid w:val="080AC289"/>
    <w:rsid w:val="080DE00E"/>
    <w:rsid w:val="080F8541"/>
    <w:rsid w:val="08114CDE"/>
    <w:rsid w:val="082695D3"/>
    <w:rsid w:val="08312A99"/>
    <w:rsid w:val="0833400A"/>
    <w:rsid w:val="08369102"/>
    <w:rsid w:val="083D131D"/>
    <w:rsid w:val="083DEA5D"/>
    <w:rsid w:val="084C9A3D"/>
    <w:rsid w:val="084FDC6C"/>
    <w:rsid w:val="08550005"/>
    <w:rsid w:val="085A8871"/>
    <w:rsid w:val="085C4E04"/>
    <w:rsid w:val="085D3355"/>
    <w:rsid w:val="086356C0"/>
    <w:rsid w:val="086380A6"/>
    <w:rsid w:val="086FFF98"/>
    <w:rsid w:val="08714356"/>
    <w:rsid w:val="087256E2"/>
    <w:rsid w:val="087269EA"/>
    <w:rsid w:val="0879E592"/>
    <w:rsid w:val="087AF90C"/>
    <w:rsid w:val="0881DBBD"/>
    <w:rsid w:val="0888C1CC"/>
    <w:rsid w:val="08893226"/>
    <w:rsid w:val="08A251C0"/>
    <w:rsid w:val="08A353FF"/>
    <w:rsid w:val="08A42A59"/>
    <w:rsid w:val="08A78BE5"/>
    <w:rsid w:val="08AEAC60"/>
    <w:rsid w:val="08B2F155"/>
    <w:rsid w:val="08B4D6F7"/>
    <w:rsid w:val="08BB07E6"/>
    <w:rsid w:val="08C09DC5"/>
    <w:rsid w:val="08C280A8"/>
    <w:rsid w:val="08C3F4FE"/>
    <w:rsid w:val="08CFA82B"/>
    <w:rsid w:val="08D9DC92"/>
    <w:rsid w:val="08DEBC23"/>
    <w:rsid w:val="08E23147"/>
    <w:rsid w:val="08E39A5A"/>
    <w:rsid w:val="08EC5BFC"/>
    <w:rsid w:val="08F15AA4"/>
    <w:rsid w:val="08F729BE"/>
    <w:rsid w:val="08FCF4A4"/>
    <w:rsid w:val="0900FE43"/>
    <w:rsid w:val="0905DC3B"/>
    <w:rsid w:val="091890B6"/>
    <w:rsid w:val="091BAC79"/>
    <w:rsid w:val="091CC286"/>
    <w:rsid w:val="092BC6FB"/>
    <w:rsid w:val="092DA42A"/>
    <w:rsid w:val="09373E09"/>
    <w:rsid w:val="0937F69E"/>
    <w:rsid w:val="093E6737"/>
    <w:rsid w:val="0943FC73"/>
    <w:rsid w:val="094B2ADC"/>
    <w:rsid w:val="094C0B58"/>
    <w:rsid w:val="094D10C1"/>
    <w:rsid w:val="0952661B"/>
    <w:rsid w:val="09528975"/>
    <w:rsid w:val="09535A30"/>
    <w:rsid w:val="09561FFB"/>
    <w:rsid w:val="09576163"/>
    <w:rsid w:val="0958F202"/>
    <w:rsid w:val="095ED90A"/>
    <w:rsid w:val="09636A00"/>
    <w:rsid w:val="096BC80B"/>
    <w:rsid w:val="0973A577"/>
    <w:rsid w:val="097AD6E3"/>
    <w:rsid w:val="097C28B0"/>
    <w:rsid w:val="09854846"/>
    <w:rsid w:val="0986C991"/>
    <w:rsid w:val="098B159B"/>
    <w:rsid w:val="098D0441"/>
    <w:rsid w:val="098F5E16"/>
    <w:rsid w:val="099CAA81"/>
    <w:rsid w:val="09A20B78"/>
    <w:rsid w:val="09A29DCC"/>
    <w:rsid w:val="09B56978"/>
    <w:rsid w:val="09BBDFBB"/>
    <w:rsid w:val="09CE4622"/>
    <w:rsid w:val="09D2741B"/>
    <w:rsid w:val="09DAECE3"/>
    <w:rsid w:val="09DD121C"/>
    <w:rsid w:val="09DD3B2B"/>
    <w:rsid w:val="09DFC031"/>
    <w:rsid w:val="09E53EFF"/>
    <w:rsid w:val="09EBD108"/>
    <w:rsid w:val="09F26427"/>
    <w:rsid w:val="09F3AB30"/>
    <w:rsid w:val="09F3FFD2"/>
    <w:rsid w:val="09FA5A97"/>
    <w:rsid w:val="09FEAFB1"/>
    <w:rsid w:val="0A01E546"/>
    <w:rsid w:val="0A03C351"/>
    <w:rsid w:val="0A094A19"/>
    <w:rsid w:val="0A0966BF"/>
    <w:rsid w:val="0A0B69DB"/>
    <w:rsid w:val="0A0BC7F5"/>
    <w:rsid w:val="0A0C1B69"/>
    <w:rsid w:val="0A0DE565"/>
    <w:rsid w:val="0A116582"/>
    <w:rsid w:val="0A171C4F"/>
    <w:rsid w:val="0A1CCE75"/>
    <w:rsid w:val="0A1EDE81"/>
    <w:rsid w:val="0A247348"/>
    <w:rsid w:val="0A2F7EDF"/>
    <w:rsid w:val="0A34BBAD"/>
    <w:rsid w:val="0A35D51A"/>
    <w:rsid w:val="0A35D57A"/>
    <w:rsid w:val="0A46FDE2"/>
    <w:rsid w:val="0A4C618B"/>
    <w:rsid w:val="0A4DBE37"/>
    <w:rsid w:val="0A51603A"/>
    <w:rsid w:val="0A5B62A7"/>
    <w:rsid w:val="0A63C9FF"/>
    <w:rsid w:val="0A63DC41"/>
    <w:rsid w:val="0A6CF6B9"/>
    <w:rsid w:val="0A7A8C84"/>
    <w:rsid w:val="0A7AA9CD"/>
    <w:rsid w:val="0A7AD1E7"/>
    <w:rsid w:val="0A7DFDF5"/>
    <w:rsid w:val="0A7E34BC"/>
    <w:rsid w:val="0A834077"/>
    <w:rsid w:val="0A90764D"/>
    <w:rsid w:val="0A951A40"/>
    <w:rsid w:val="0A972873"/>
    <w:rsid w:val="0A973DA0"/>
    <w:rsid w:val="0A996053"/>
    <w:rsid w:val="0A99FC7A"/>
    <w:rsid w:val="0AABFD4E"/>
    <w:rsid w:val="0AB12D7C"/>
    <w:rsid w:val="0AB184FA"/>
    <w:rsid w:val="0AB25147"/>
    <w:rsid w:val="0AB635EF"/>
    <w:rsid w:val="0ABC1031"/>
    <w:rsid w:val="0ABFE62E"/>
    <w:rsid w:val="0AC0451B"/>
    <w:rsid w:val="0AC65B4C"/>
    <w:rsid w:val="0AC794E2"/>
    <w:rsid w:val="0ACFE153"/>
    <w:rsid w:val="0AD27121"/>
    <w:rsid w:val="0AE594EC"/>
    <w:rsid w:val="0AE86B7B"/>
    <w:rsid w:val="0AE87CAA"/>
    <w:rsid w:val="0AEA3BCB"/>
    <w:rsid w:val="0AF29C03"/>
    <w:rsid w:val="0AF3D645"/>
    <w:rsid w:val="0B05E521"/>
    <w:rsid w:val="0B16A2E8"/>
    <w:rsid w:val="0B16B8BA"/>
    <w:rsid w:val="0B1765E0"/>
    <w:rsid w:val="0B19D891"/>
    <w:rsid w:val="0B200791"/>
    <w:rsid w:val="0B2412F5"/>
    <w:rsid w:val="0B253942"/>
    <w:rsid w:val="0B258456"/>
    <w:rsid w:val="0B283DC8"/>
    <w:rsid w:val="0B3038AD"/>
    <w:rsid w:val="0B32D34F"/>
    <w:rsid w:val="0B33B32A"/>
    <w:rsid w:val="0B3482B9"/>
    <w:rsid w:val="0B4BA10A"/>
    <w:rsid w:val="0B4E10DE"/>
    <w:rsid w:val="0B548D98"/>
    <w:rsid w:val="0B57D3BB"/>
    <w:rsid w:val="0B593E64"/>
    <w:rsid w:val="0B5A9C27"/>
    <w:rsid w:val="0B5B4258"/>
    <w:rsid w:val="0B758B1F"/>
    <w:rsid w:val="0B75C64B"/>
    <w:rsid w:val="0B765D5C"/>
    <w:rsid w:val="0B792ED2"/>
    <w:rsid w:val="0B79642B"/>
    <w:rsid w:val="0B7A052C"/>
    <w:rsid w:val="0B7A553B"/>
    <w:rsid w:val="0B7BA548"/>
    <w:rsid w:val="0B811B54"/>
    <w:rsid w:val="0B8A02A2"/>
    <w:rsid w:val="0B95AC8D"/>
    <w:rsid w:val="0BB0ABB7"/>
    <w:rsid w:val="0BB7E681"/>
    <w:rsid w:val="0BBF29FD"/>
    <w:rsid w:val="0BD25551"/>
    <w:rsid w:val="0BD7DE58"/>
    <w:rsid w:val="0BDB999F"/>
    <w:rsid w:val="0BE2382F"/>
    <w:rsid w:val="0BE2CE43"/>
    <w:rsid w:val="0BE4D4F8"/>
    <w:rsid w:val="0BE4DF6A"/>
    <w:rsid w:val="0BEA1359"/>
    <w:rsid w:val="0BEC3150"/>
    <w:rsid w:val="0BF4B484"/>
    <w:rsid w:val="0BF65046"/>
    <w:rsid w:val="0C063B6D"/>
    <w:rsid w:val="0C123D16"/>
    <w:rsid w:val="0C236EAD"/>
    <w:rsid w:val="0C26C3EC"/>
    <w:rsid w:val="0C27AD72"/>
    <w:rsid w:val="0C28AE25"/>
    <w:rsid w:val="0C2EA5A4"/>
    <w:rsid w:val="0C3BD279"/>
    <w:rsid w:val="0C50CAC2"/>
    <w:rsid w:val="0C51C7E3"/>
    <w:rsid w:val="0C670633"/>
    <w:rsid w:val="0C691F46"/>
    <w:rsid w:val="0C76691E"/>
    <w:rsid w:val="0C7867FB"/>
    <w:rsid w:val="0C7B4B98"/>
    <w:rsid w:val="0C7BBA37"/>
    <w:rsid w:val="0C7E2D44"/>
    <w:rsid w:val="0C7F5177"/>
    <w:rsid w:val="0C866906"/>
    <w:rsid w:val="0C8B2798"/>
    <w:rsid w:val="0C918828"/>
    <w:rsid w:val="0C960C6A"/>
    <w:rsid w:val="0C9618F5"/>
    <w:rsid w:val="0C9E940E"/>
    <w:rsid w:val="0CAC45D6"/>
    <w:rsid w:val="0CB080F1"/>
    <w:rsid w:val="0CB50909"/>
    <w:rsid w:val="0CC629F2"/>
    <w:rsid w:val="0CC93192"/>
    <w:rsid w:val="0CD15B85"/>
    <w:rsid w:val="0CD2F515"/>
    <w:rsid w:val="0CD3E38A"/>
    <w:rsid w:val="0CD89A01"/>
    <w:rsid w:val="0CDDADE1"/>
    <w:rsid w:val="0CE5F094"/>
    <w:rsid w:val="0CEAF120"/>
    <w:rsid w:val="0CF29870"/>
    <w:rsid w:val="0CF4F8E0"/>
    <w:rsid w:val="0D0019D5"/>
    <w:rsid w:val="0D06BB89"/>
    <w:rsid w:val="0D08B095"/>
    <w:rsid w:val="0D0BDCDE"/>
    <w:rsid w:val="0D0FB683"/>
    <w:rsid w:val="0D1385DB"/>
    <w:rsid w:val="0D149205"/>
    <w:rsid w:val="0D14B2DE"/>
    <w:rsid w:val="0D17D8B3"/>
    <w:rsid w:val="0D1CEB90"/>
    <w:rsid w:val="0D296FA5"/>
    <w:rsid w:val="0D297E4E"/>
    <w:rsid w:val="0D2A5232"/>
    <w:rsid w:val="0D2E9373"/>
    <w:rsid w:val="0D311EF1"/>
    <w:rsid w:val="0D37D861"/>
    <w:rsid w:val="0D3842F7"/>
    <w:rsid w:val="0D3F922F"/>
    <w:rsid w:val="0D44FBEF"/>
    <w:rsid w:val="0D472BDB"/>
    <w:rsid w:val="0D4C9D10"/>
    <w:rsid w:val="0D50814A"/>
    <w:rsid w:val="0D58D5E4"/>
    <w:rsid w:val="0D694062"/>
    <w:rsid w:val="0D6D088F"/>
    <w:rsid w:val="0D6D77DD"/>
    <w:rsid w:val="0D730B60"/>
    <w:rsid w:val="0D7506EF"/>
    <w:rsid w:val="0D7F3798"/>
    <w:rsid w:val="0D82F009"/>
    <w:rsid w:val="0D852F84"/>
    <w:rsid w:val="0D8DF45A"/>
    <w:rsid w:val="0D96F7FF"/>
    <w:rsid w:val="0DA610F1"/>
    <w:rsid w:val="0DBC5F01"/>
    <w:rsid w:val="0DC16898"/>
    <w:rsid w:val="0DC4ADD2"/>
    <w:rsid w:val="0DCB626D"/>
    <w:rsid w:val="0DE1D27E"/>
    <w:rsid w:val="0DE69B1F"/>
    <w:rsid w:val="0DECED57"/>
    <w:rsid w:val="0E05D9F0"/>
    <w:rsid w:val="0E06CA70"/>
    <w:rsid w:val="0E1000A2"/>
    <w:rsid w:val="0E18F544"/>
    <w:rsid w:val="0E20383A"/>
    <w:rsid w:val="0E2246A3"/>
    <w:rsid w:val="0E38395C"/>
    <w:rsid w:val="0E4157BA"/>
    <w:rsid w:val="0E46ED15"/>
    <w:rsid w:val="0E48DCC6"/>
    <w:rsid w:val="0E4D04F5"/>
    <w:rsid w:val="0E4E4806"/>
    <w:rsid w:val="0E5206C2"/>
    <w:rsid w:val="0E583E42"/>
    <w:rsid w:val="0E58D8A6"/>
    <w:rsid w:val="0E5A347B"/>
    <w:rsid w:val="0E5C02C2"/>
    <w:rsid w:val="0E6672AD"/>
    <w:rsid w:val="0E69E444"/>
    <w:rsid w:val="0E69E74A"/>
    <w:rsid w:val="0E6D3AAF"/>
    <w:rsid w:val="0E7534E6"/>
    <w:rsid w:val="0E78D895"/>
    <w:rsid w:val="0E7A5CB7"/>
    <w:rsid w:val="0E7ABA6C"/>
    <w:rsid w:val="0E7B9F1A"/>
    <w:rsid w:val="0E7BAA2F"/>
    <w:rsid w:val="0E88971E"/>
    <w:rsid w:val="0E8AB9C2"/>
    <w:rsid w:val="0E8DDC98"/>
    <w:rsid w:val="0E91C68D"/>
    <w:rsid w:val="0E92F23C"/>
    <w:rsid w:val="0E9E7B20"/>
    <w:rsid w:val="0EA0A4FB"/>
    <w:rsid w:val="0EA3C439"/>
    <w:rsid w:val="0EAB4972"/>
    <w:rsid w:val="0EB89EAA"/>
    <w:rsid w:val="0EBB6437"/>
    <w:rsid w:val="0EBED6D6"/>
    <w:rsid w:val="0EC01A7C"/>
    <w:rsid w:val="0EC9EF6A"/>
    <w:rsid w:val="0ECA9686"/>
    <w:rsid w:val="0ED069E2"/>
    <w:rsid w:val="0EDA95D0"/>
    <w:rsid w:val="0EF0D0DF"/>
    <w:rsid w:val="0EF64237"/>
    <w:rsid w:val="0EF7B88B"/>
    <w:rsid w:val="0EF90A31"/>
    <w:rsid w:val="0EFA7EE5"/>
    <w:rsid w:val="0EFB7D7F"/>
    <w:rsid w:val="0F045C80"/>
    <w:rsid w:val="0F0987AC"/>
    <w:rsid w:val="0F11DB50"/>
    <w:rsid w:val="0F1320A6"/>
    <w:rsid w:val="0F16A10E"/>
    <w:rsid w:val="0F16ABBC"/>
    <w:rsid w:val="0F1A5ADC"/>
    <w:rsid w:val="0F22101E"/>
    <w:rsid w:val="0F237619"/>
    <w:rsid w:val="0F2449A6"/>
    <w:rsid w:val="0F246556"/>
    <w:rsid w:val="0F273E80"/>
    <w:rsid w:val="0F2D5E1D"/>
    <w:rsid w:val="0F31F997"/>
    <w:rsid w:val="0F350BB7"/>
    <w:rsid w:val="0F3D12CB"/>
    <w:rsid w:val="0F409E34"/>
    <w:rsid w:val="0F40B8FB"/>
    <w:rsid w:val="0F419D57"/>
    <w:rsid w:val="0F41DB4A"/>
    <w:rsid w:val="0F43EACD"/>
    <w:rsid w:val="0F49DCBB"/>
    <w:rsid w:val="0F51B239"/>
    <w:rsid w:val="0F52C88A"/>
    <w:rsid w:val="0F5A78D6"/>
    <w:rsid w:val="0F673CE5"/>
    <w:rsid w:val="0F67AB65"/>
    <w:rsid w:val="0F6E2248"/>
    <w:rsid w:val="0F6F70FF"/>
    <w:rsid w:val="0F6F7F2D"/>
    <w:rsid w:val="0F71BA13"/>
    <w:rsid w:val="0F721DCA"/>
    <w:rsid w:val="0F85B8F0"/>
    <w:rsid w:val="0F860E2F"/>
    <w:rsid w:val="0F867B83"/>
    <w:rsid w:val="0F8BEB48"/>
    <w:rsid w:val="0F9416E3"/>
    <w:rsid w:val="0F954531"/>
    <w:rsid w:val="0F9D6AFE"/>
    <w:rsid w:val="0FAAAB4D"/>
    <w:rsid w:val="0FB9060F"/>
    <w:rsid w:val="0FBA70B1"/>
    <w:rsid w:val="0FBDF7C7"/>
    <w:rsid w:val="0FCCC921"/>
    <w:rsid w:val="0FD8AD88"/>
    <w:rsid w:val="0FD9F8A4"/>
    <w:rsid w:val="0FDAA070"/>
    <w:rsid w:val="0FDFB473"/>
    <w:rsid w:val="0FE30DFD"/>
    <w:rsid w:val="0FE802B1"/>
    <w:rsid w:val="0FEB697D"/>
    <w:rsid w:val="1009E4C5"/>
    <w:rsid w:val="100AD056"/>
    <w:rsid w:val="100F6A74"/>
    <w:rsid w:val="1015CDEC"/>
    <w:rsid w:val="101639C1"/>
    <w:rsid w:val="1020F2A9"/>
    <w:rsid w:val="1021538A"/>
    <w:rsid w:val="1030CA2B"/>
    <w:rsid w:val="103DD11D"/>
    <w:rsid w:val="103E83C5"/>
    <w:rsid w:val="1048FC42"/>
    <w:rsid w:val="10517BEA"/>
    <w:rsid w:val="105E1DF8"/>
    <w:rsid w:val="105E3C60"/>
    <w:rsid w:val="106143C2"/>
    <w:rsid w:val="106B507D"/>
    <w:rsid w:val="106B9C0D"/>
    <w:rsid w:val="1071848B"/>
    <w:rsid w:val="1071DAFA"/>
    <w:rsid w:val="10776A09"/>
    <w:rsid w:val="1085146F"/>
    <w:rsid w:val="108F397C"/>
    <w:rsid w:val="10918A24"/>
    <w:rsid w:val="10A5189F"/>
    <w:rsid w:val="10A76B5B"/>
    <w:rsid w:val="10B64BAE"/>
    <w:rsid w:val="10B88D10"/>
    <w:rsid w:val="10B95B7F"/>
    <w:rsid w:val="10B98F24"/>
    <w:rsid w:val="10C41026"/>
    <w:rsid w:val="10C930B6"/>
    <w:rsid w:val="10CBC94B"/>
    <w:rsid w:val="10CFF68F"/>
    <w:rsid w:val="10D95E68"/>
    <w:rsid w:val="10E6C978"/>
    <w:rsid w:val="10FF2979"/>
    <w:rsid w:val="1109D327"/>
    <w:rsid w:val="1111B63A"/>
    <w:rsid w:val="1115594D"/>
    <w:rsid w:val="111B8D7D"/>
    <w:rsid w:val="111F5FD6"/>
    <w:rsid w:val="1125944F"/>
    <w:rsid w:val="1127BBA9"/>
    <w:rsid w:val="112CB728"/>
    <w:rsid w:val="112E50D5"/>
    <w:rsid w:val="11324711"/>
    <w:rsid w:val="11348AD6"/>
    <w:rsid w:val="113B11BF"/>
    <w:rsid w:val="113B584B"/>
    <w:rsid w:val="1145C0D6"/>
    <w:rsid w:val="11483092"/>
    <w:rsid w:val="114EDAED"/>
    <w:rsid w:val="1154ADF1"/>
    <w:rsid w:val="1156812F"/>
    <w:rsid w:val="1156AFA7"/>
    <w:rsid w:val="115A9F3B"/>
    <w:rsid w:val="115D03B5"/>
    <w:rsid w:val="116319B7"/>
    <w:rsid w:val="116758FE"/>
    <w:rsid w:val="116C562A"/>
    <w:rsid w:val="11786104"/>
    <w:rsid w:val="117F853B"/>
    <w:rsid w:val="1186EE42"/>
    <w:rsid w:val="118B17DA"/>
    <w:rsid w:val="118F19B4"/>
    <w:rsid w:val="119124BA"/>
    <w:rsid w:val="11916A8C"/>
    <w:rsid w:val="11929ED4"/>
    <w:rsid w:val="11966932"/>
    <w:rsid w:val="11976E5F"/>
    <w:rsid w:val="1197F0AD"/>
    <w:rsid w:val="119B4E8C"/>
    <w:rsid w:val="11A185FF"/>
    <w:rsid w:val="11A68672"/>
    <w:rsid w:val="11A6C42C"/>
    <w:rsid w:val="11AB56A1"/>
    <w:rsid w:val="11B16ADD"/>
    <w:rsid w:val="11B26447"/>
    <w:rsid w:val="11B2C7C4"/>
    <w:rsid w:val="11BB18CA"/>
    <w:rsid w:val="11BDC8A0"/>
    <w:rsid w:val="11C3BC7A"/>
    <w:rsid w:val="11C53F85"/>
    <w:rsid w:val="11CB2F2D"/>
    <w:rsid w:val="11D11AE8"/>
    <w:rsid w:val="11D45C9E"/>
    <w:rsid w:val="11DB0EF8"/>
    <w:rsid w:val="11E4A97D"/>
    <w:rsid w:val="11E6DFEF"/>
    <w:rsid w:val="11E9BDCA"/>
    <w:rsid w:val="11F824BF"/>
    <w:rsid w:val="11FC731B"/>
    <w:rsid w:val="11FF094C"/>
    <w:rsid w:val="1200BF6D"/>
    <w:rsid w:val="12083551"/>
    <w:rsid w:val="120B473B"/>
    <w:rsid w:val="120B8781"/>
    <w:rsid w:val="1210AE73"/>
    <w:rsid w:val="1213F66D"/>
    <w:rsid w:val="121EF5D8"/>
    <w:rsid w:val="1220BD64"/>
    <w:rsid w:val="1223017E"/>
    <w:rsid w:val="122B58D4"/>
    <w:rsid w:val="122E0AB2"/>
    <w:rsid w:val="12378251"/>
    <w:rsid w:val="1238D377"/>
    <w:rsid w:val="123C8094"/>
    <w:rsid w:val="123F8E93"/>
    <w:rsid w:val="1240E900"/>
    <w:rsid w:val="12465F76"/>
    <w:rsid w:val="1248721D"/>
    <w:rsid w:val="124CA2A6"/>
    <w:rsid w:val="124CD86D"/>
    <w:rsid w:val="125298E0"/>
    <w:rsid w:val="12550DE3"/>
    <w:rsid w:val="1259411E"/>
    <w:rsid w:val="12631310"/>
    <w:rsid w:val="1263786C"/>
    <w:rsid w:val="127105FA"/>
    <w:rsid w:val="1272887E"/>
    <w:rsid w:val="1279CEC3"/>
    <w:rsid w:val="127A3504"/>
    <w:rsid w:val="12848583"/>
    <w:rsid w:val="1286A8E0"/>
    <w:rsid w:val="128B7F08"/>
    <w:rsid w:val="128EBE56"/>
    <w:rsid w:val="1292A455"/>
    <w:rsid w:val="129F90AA"/>
    <w:rsid w:val="12B08F01"/>
    <w:rsid w:val="12B0C580"/>
    <w:rsid w:val="12B462ED"/>
    <w:rsid w:val="12B8115D"/>
    <w:rsid w:val="12B8F28C"/>
    <w:rsid w:val="12B9CA9A"/>
    <w:rsid w:val="12BE2E93"/>
    <w:rsid w:val="12C9B0AD"/>
    <w:rsid w:val="12CE65AB"/>
    <w:rsid w:val="12D0EC82"/>
    <w:rsid w:val="12D519B2"/>
    <w:rsid w:val="12D533EE"/>
    <w:rsid w:val="12D9AD17"/>
    <w:rsid w:val="12DA3FBA"/>
    <w:rsid w:val="12E6FE76"/>
    <w:rsid w:val="12EB98BE"/>
    <w:rsid w:val="12FE0476"/>
    <w:rsid w:val="13023B9C"/>
    <w:rsid w:val="130BABA3"/>
    <w:rsid w:val="13107326"/>
    <w:rsid w:val="13168C91"/>
    <w:rsid w:val="131A0BD3"/>
    <w:rsid w:val="131CF4A1"/>
    <w:rsid w:val="131F34D4"/>
    <w:rsid w:val="13349D3C"/>
    <w:rsid w:val="13415812"/>
    <w:rsid w:val="1344E7D6"/>
    <w:rsid w:val="1345F11F"/>
    <w:rsid w:val="1347DB85"/>
    <w:rsid w:val="134879FF"/>
    <w:rsid w:val="13494ADB"/>
    <w:rsid w:val="134EB8E4"/>
    <w:rsid w:val="134FAD5B"/>
    <w:rsid w:val="1362CFBE"/>
    <w:rsid w:val="136811BA"/>
    <w:rsid w:val="136CF50F"/>
    <w:rsid w:val="13837B37"/>
    <w:rsid w:val="1389D105"/>
    <w:rsid w:val="13A515BA"/>
    <w:rsid w:val="13A7CC6B"/>
    <w:rsid w:val="13AF08EA"/>
    <w:rsid w:val="13B936C1"/>
    <w:rsid w:val="13BBE082"/>
    <w:rsid w:val="13CB0937"/>
    <w:rsid w:val="13D98985"/>
    <w:rsid w:val="13E193C7"/>
    <w:rsid w:val="13E1E742"/>
    <w:rsid w:val="13EBAA0C"/>
    <w:rsid w:val="13EDE028"/>
    <w:rsid w:val="142A6431"/>
    <w:rsid w:val="14378FEE"/>
    <w:rsid w:val="1438A94D"/>
    <w:rsid w:val="144053E8"/>
    <w:rsid w:val="1442B509"/>
    <w:rsid w:val="14438612"/>
    <w:rsid w:val="144B9E3C"/>
    <w:rsid w:val="144CE5E0"/>
    <w:rsid w:val="145339B7"/>
    <w:rsid w:val="145E7796"/>
    <w:rsid w:val="145FA207"/>
    <w:rsid w:val="1460FB17"/>
    <w:rsid w:val="1461F4A5"/>
    <w:rsid w:val="1479D053"/>
    <w:rsid w:val="148EC6AC"/>
    <w:rsid w:val="1496B137"/>
    <w:rsid w:val="1496FB10"/>
    <w:rsid w:val="149E827A"/>
    <w:rsid w:val="14A456AB"/>
    <w:rsid w:val="14A6CDA9"/>
    <w:rsid w:val="14AA4F15"/>
    <w:rsid w:val="14AE4235"/>
    <w:rsid w:val="14B617F6"/>
    <w:rsid w:val="14B6924C"/>
    <w:rsid w:val="14C9984A"/>
    <w:rsid w:val="14CDCA51"/>
    <w:rsid w:val="14D03047"/>
    <w:rsid w:val="14D169BE"/>
    <w:rsid w:val="14D52EB0"/>
    <w:rsid w:val="14D5CB51"/>
    <w:rsid w:val="14DB070A"/>
    <w:rsid w:val="14EB4949"/>
    <w:rsid w:val="14EDC3E1"/>
    <w:rsid w:val="14F43AE5"/>
    <w:rsid w:val="14FAA697"/>
    <w:rsid w:val="15018471"/>
    <w:rsid w:val="1503FD26"/>
    <w:rsid w:val="1510BB60"/>
    <w:rsid w:val="151AC0C3"/>
    <w:rsid w:val="151DF757"/>
    <w:rsid w:val="15274E9F"/>
    <w:rsid w:val="152CFD4E"/>
    <w:rsid w:val="15318F1B"/>
    <w:rsid w:val="1533C936"/>
    <w:rsid w:val="15340FEA"/>
    <w:rsid w:val="153CB87A"/>
    <w:rsid w:val="153CECF8"/>
    <w:rsid w:val="15404102"/>
    <w:rsid w:val="15457D5E"/>
    <w:rsid w:val="1550980C"/>
    <w:rsid w:val="155680B5"/>
    <w:rsid w:val="15573D50"/>
    <w:rsid w:val="15588592"/>
    <w:rsid w:val="155F5F3F"/>
    <w:rsid w:val="156A5803"/>
    <w:rsid w:val="156E1BF6"/>
    <w:rsid w:val="156FFB65"/>
    <w:rsid w:val="1570ED34"/>
    <w:rsid w:val="1571B1E8"/>
    <w:rsid w:val="157F21B4"/>
    <w:rsid w:val="158A135E"/>
    <w:rsid w:val="158FF790"/>
    <w:rsid w:val="159005E5"/>
    <w:rsid w:val="159B8DFB"/>
    <w:rsid w:val="15A6F8F8"/>
    <w:rsid w:val="15A964CB"/>
    <w:rsid w:val="15C16C9B"/>
    <w:rsid w:val="15C21B4D"/>
    <w:rsid w:val="15C2D29E"/>
    <w:rsid w:val="15C577D4"/>
    <w:rsid w:val="15CFFCC9"/>
    <w:rsid w:val="15D27338"/>
    <w:rsid w:val="15D3FDCF"/>
    <w:rsid w:val="15DC2B20"/>
    <w:rsid w:val="15DF6D15"/>
    <w:rsid w:val="15E4CBAF"/>
    <w:rsid w:val="15E91F14"/>
    <w:rsid w:val="15EC0377"/>
    <w:rsid w:val="15EC9447"/>
    <w:rsid w:val="15F6ED0F"/>
    <w:rsid w:val="1602B04C"/>
    <w:rsid w:val="161422EF"/>
    <w:rsid w:val="16164C82"/>
    <w:rsid w:val="161895B1"/>
    <w:rsid w:val="16195C36"/>
    <w:rsid w:val="161C93E0"/>
    <w:rsid w:val="161D96E7"/>
    <w:rsid w:val="161DF45A"/>
    <w:rsid w:val="161E5546"/>
    <w:rsid w:val="1623271B"/>
    <w:rsid w:val="162A20CA"/>
    <w:rsid w:val="163D0FCB"/>
    <w:rsid w:val="1640A8D7"/>
    <w:rsid w:val="1641EC18"/>
    <w:rsid w:val="1642DEE5"/>
    <w:rsid w:val="164A0E91"/>
    <w:rsid w:val="164E84D2"/>
    <w:rsid w:val="16507684"/>
    <w:rsid w:val="1654DD79"/>
    <w:rsid w:val="16568069"/>
    <w:rsid w:val="16594E00"/>
    <w:rsid w:val="165A0CC1"/>
    <w:rsid w:val="165A560A"/>
    <w:rsid w:val="165BBBD8"/>
    <w:rsid w:val="165FDA8D"/>
    <w:rsid w:val="1661917A"/>
    <w:rsid w:val="16670422"/>
    <w:rsid w:val="16676892"/>
    <w:rsid w:val="167638E9"/>
    <w:rsid w:val="16783D1C"/>
    <w:rsid w:val="167F63BF"/>
    <w:rsid w:val="16848698"/>
    <w:rsid w:val="16871623"/>
    <w:rsid w:val="16872967"/>
    <w:rsid w:val="1688C01F"/>
    <w:rsid w:val="16934F48"/>
    <w:rsid w:val="169883CB"/>
    <w:rsid w:val="1699265E"/>
    <w:rsid w:val="16A01742"/>
    <w:rsid w:val="16A404CA"/>
    <w:rsid w:val="16A6252D"/>
    <w:rsid w:val="16B91DDE"/>
    <w:rsid w:val="16BA6532"/>
    <w:rsid w:val="16BD0492"/>
    <w:rsid w:val="16C1458A"/>
    <w:rsid w:val="16CA02FB"/>
    <w:rsid w:val="16CC6E19"/>
    <w:rsid w:val="16CD5F7C"/>
    <w:rsid w:val="16CE33A0"/>
    <w:rsid w:val="16D8C040"/>
    <w:rsid w:val="16DD9800"/>
    <w:rsid w:val="16DF3199"/>
    <w:rsid w:val="16E17D77"/>
    <w:rsid w:val="16E347C9"/>
    <w:rsid w:val="16E39D18"/>
    <w:rsid w:val="16EE2664"/>
    <w:rsid w:val="170E14AB"/>
    <w:rsid w:val="1717D370"/>
    <w:rsid w:val="171C5570"/>
    <w:rsid w:val="171E7608"/>
    <w:rsid w:val="17221D0F"/>
    <w:rsid w:val="17285041"/>
    <w:rsid w:val="1735FECD"/>
    <w:rsid w:val="173B5EB5"/>
    <w:rsid w:val="173C52AD"/>
    <w:rsid w:val="173E7B0D"/>
    <w:rsid w:val="1740DB23"/>
    <w:rsid w:val="1741BAB0"/>
    <w:rsid w:val="174B487C"/>
    <w:rsid w:val="17608BF3"/>
    <w:rsid w:val="17647340"/>
    <w:rsid w:val="176A4C9C"/>
    <w:rsid w:val="176E3D83"/>
    <w:rsid w:val="1770B929"/>
    <w:rsid w:val="17748A9E"/>
    <w:rsid w:val="1778DC5C"/>
    <w:rsid w:val="177ECA8D"/>
    <w:rsid w:val="1780BE4F"/>
    <w:rsid w:val="178D7ADE"/>
    <w:rsid w:val="178F7473"/>
    <w:rsid w:val="1792DBDF"/>
    <w:rsid w:val="179849B3"/>
    <w:rsid w:val="179968E0"/>
    <w:rsid w:val="179B04A6"/>
    <w:rsid w:val="17A279C3"/>
    <w:rsid w:val="17A5F51A"/>
    <w:rsid w:val="17A66B21"/>
    <w:rsid w:val="17A88465"/>
    <w:rsid w:val="17AB04B1"/>
    <w:rsid w:val="17ACAE03"/>
    <w:rsid w:val="17B65F20"/>
    <w:rsid w:val="17C72CB2"/>
    <w:rsid w:val="17DD8870"/>
    <w:rsid w:val="17E1630C"/>
    <w:rsid w:val="17E1ADE4"/>
    <w:rsid w:val="17E7CFE8"/>
    <w:rsid w:val="17EE191D"/>
    <w:rsid w:val="17F3FB5C"/>
    <w:rsid w:val="17F8E908"/>
    <w:rsid w:val="17FA8463"/>
    <w:rsid w:val="17FADFA0"/>
    <w:rsid w:val="17FAE9D9"/>
    <w:rsid w:val="17FAF35D"/>
    <w:rsid w:val="1804659E"/>
    <w:rsid w:val="1804BEE9"/>
    <w:rsid w:val="1804CD99"/>
    <w:rsid w:val="1810648D"/>
    <w:rsid w:val="181215BE"/>
    <w:rsid w:val="18176BD5"/>
    <w:rsid w:val="18231868"/>
    <w:rsid w:val="1825D773"/>
    <w:rsid w:val="1826B2BD"/>
    <w:rsid w:val="182ACEE6"/>
    <w:rsid w:val="182FF073"/>
    <w:rsid w:val="18301502"/>
    <w:rsid w:val="18342F65"/>
    <w:rsid w:val="1835FB8B"/>
    <w:rsid w:val="1836A1D8"/>
    <w:rsid w:val="18406632"/>
    <w:rsid w:val="18444C51"/>
    <w:rsid w:val="18458C8E"/>
    <w:rsid w:val="184EED41"/>
    <w:rsid w:val="1856740F"/>
    <w:rsid w:val="185B3446"/>
    <w:rsid w:val="18615E35"/>
    <w:rsid w:val="1869FA53"/>
    <w:rsid w:val="186EDE4C"/>
    <w:rsid w:val="186F8D90"/>
    <w:rsid w:val="18716A4E"/>
    <w:rsid w:val="1873D4AD"/>
    <w:rsid w:val="1876EEB9"/>
    <w:rsid w:val="18787F28"/>
    <w:rsid w:val="1880A09B"/>
    <w:rsid w:val="1883B1C6"/>
    <w:rsid w:val="188562A9"/>
    <w:rsid w:val="1887C1AC"/>
    <w:rsid w:val="1889C7B5"/>
    <w:rsid w:val="188F8831"/>
    <w:rsid w:val="1890EF7D"/>
    <w:rsid w:val="1896F5AC"/>
    <w:rsid w:val="18A07638"/>
    <w:rsid w:val="18A79C27"/>
    <w:rsid w:val="18AE4C8D"/>
    <w:rsid w:val="18B1F3CE"/>
    <w:rsid w:val="18B567B6"/>
    <w:rsid w:val="18B8057B"/>
    <w:rsid w:val="18B8839F"/>
    <w:rsid w:val="18C0C484"/>
    <w:rsid w:val="18CAC89D"/>
    <w:rsid w:val="18CCFBED"/>
    <w:rsid w:val="18D5FB88"/>
    <w:rsid w:val="18DD7604"/>
    <w:rsid w:val="18E14377"/>
    <w:rsid w:val="18E4FB82"/>
    <w:rsid w:val="18E715EE"/>
    <w:rsid w:val="18E9E727"/>
    <w:rsid w:val="18F48005"/>
    <w:rsid w:val="18FE55FB"/>
    <w:rsid w:val="1911D4F1"/>
    <w:rsid w:val="1914A090"/>
    <w:rsid w:val="192BA3D6"/>
    <w:rsid w:val="193AB890"/>
    <w:rsid w:val="193F00B8"/>
    <w:rsid w:val="1948AB0C"/>
    <w:rsid w:val="194CC8D7"/>
    <w:rsid w:val="194F5BD6"/>
    <w:rsid w:val="19525754"/>
    <w:rsid w:val="195D2FDD"/>
    <w:rsid w:val="19619F4B"/>
    <w:rsid w:val="1961B4C9"/>
    <w:rsid w:val="19647195"/>
    <w:rsid w:val="19679321"/>
    <w:rsid w:val="1968277C"/>
    <w:rsid w:val="196A92D7"/>
    <w:rsid w:val="1971DE03"/>
    <w:rsid w:val="1975FE58"/>
    <w:rsid w:val="1983CCD5"/>
    <w:rsid w:val="19875C66"/>
    <w:rsid w:val="19878D3F"/>
    <w:rsid w:val="198FFEAA"/>
    <w:rsid w:val="19932208"/>
    <w:rsid w:val="19956ED0"/>
    <w:rsid w:val="19978672"/>
    <w:rsid w:val="19989D04"/>
    <w:rsid w:val="199C643E"/>
    <w:rsid w:val="199CA93D"/>
    <w:rsid w:val="19A3DC9A"/>
    <w:rsid w:val="19AB403E"/>
    <w:rsid w:val="19ADB584"/>
    <w:rsid w:val="19B2FB89"/>
    <w:rsid w:val="19B70247"/>
    <w:rsid w:val="19B80ED1"/>
    <w:rsid w:val="19B8141E"/>
    <w:rsid w:val="19B879CB"/>
    <w:rsid w:val="19B8B1AF"/>
    <w:rsid w:val="19BE32B1"/>
    <w:rsid w:val="19C72548"/>
    <w:rsid w:val="19C928A4"/>
    <w:rsid w:val="19CAEEF0"/>
    <w:rsid w:val="19CCBFF6"/>
    <w:rsid w:val="19D4C3BB"/>
    <w:rsid w:val="19D7210F"/>
    <w:rsid w:val="19D97A5D"/>
    <w:rsid w:val="19DFD9FE"/>
    <w:rsid w:val="19E8A7B4"/>
    <w:rsid w:val="19EA26D4"/>
    <w:rsid w:val="19F0FBC1"/>
    <w:rsid w:val="19F3F2CA"/>
    <w:rsid w:val="19FB18C4"/>
    <w:rsid w:val="19FC463E"/>
    <w:rsid w:val="1A05329D"/>
    <w:rsid w:val="1A0A9043"/>
    <w:rsid w:val="1A106470"/>
    <w:rsid w:val="1A14D7E7"/>
    <w:rsid w:val="1A1B775F"/>
    <w:rsid w:val="1A1BC2DD"/>
    <w:rsid w:val="1A1ED4E7"/>
    <w:rsid w:val="1A27501F"/>
    <w:rsid w:val="1A2B6B51"/>
    <w:rsid w:val="1A2B909C"/>
    <w:rsid w:val="1A2D38F7"/>
    <w:rsid w:val="1A31EFC2"/>
    <w:rsid w:val="1A34C82A"/>
    <w:rsid w:val="1A34E75F"/>
    <w:rsid w:val="1A396138"/>
    <w:rsid w:val="1A3A01F2"/>
    <w:rsid w:val="1A406E70"/>
    <w:rsid w:val="1A4A08F7"/>
    <w:rsid w:val="1A4C57BD"/>
    <w:rsid w:val="1A4CFE47"/>
    <w:rsid w:val="1A4D5FA2"/>
    <w:rsid w:val="1A57D62F"/>
    <w:rsid w:val="1A588C46"/>
    <w:rsid w:val="1A5FFBBA"/>
    <w:rsid w:val="1A707F43"/>
    <w:rsid w:val="1A7E525C"/>
    <w:rsid w:val="1A80A430"/>
    <w:rsid w:val="1A86532F"/>
    <w:rsid w:val="1A8AB5ED"/>
    <w:rsid w:val="1A8B7B3B"/>
    <w:rsid w:val="1A8F2F03"/>
    <w:rsid w:val="1A95582B"/>
    <w:rsid w:val="1A99CCE0"/>
    <w:rsid w:val="1A9CA23E"/>
    <w:rsid w:val="1AAE0C50"/>
    <w:rsid w:val="1AAF1F5A"/>
    <w:rsid w:val="1AB070F1"/>
    <w:rsid w:val="1AB54B83"/>
    <w:rsid w:val="1AB8EBD1"/>
    <w:rsid w:val="1AB9EC9E"/>
    <w:rsid w:val="1ABB096E"/>
    <w:rsid w:val="1AC51670"/>
    <w:rsid w:val="1AD8ABF1"/>
    <w:rsid w:val="1ADCEFAB"/>
    <w:rsid w:val="1AE63C12"/>
    <w:rsid w:val="1AE7476F"/>
    <w:rsid w:val="1AF2903C"/>
    <w:rsid w:val="1AF792EF"/>
    <w:rsid w:val="1AFF241C"/>
    <w:rsid w:val="1B058CF8"/>
    <w:rsid w:val="1B0BD2DB"/>
    <w:rsid w:val="1B103F15"/>
    <w:rsid w:val="1B153D9E"/>
    <w:rsid w:val="1B1CF156"/>
    <w:rsid w:val="1B21C17D"/>
    <w:rsid w:val="1B273EDF"/>
    <w:rsid w:val="1B2D062F"/>
    <w:rsid w:val="1B42D7AA"/>
    <w:rsid w:val="1B459687"/>
    <w:rsid w:val="1B48C6E5"/>
    <w:rsid w:val="1B5060A1"/>
    <w:rsid w:val="1B55A6D7"/>
    <w:rsid w:val="1B584877"/>
    <w:rsid w:val="1B604DF0"/>
    <w:rsid w:val="1B7A97E1"/>
    <w:rsid w:val="1B7CDEAD"/>
    <w:rsid w:val="1B8264E0"/>
    <w:rsid w:val="1B83C9B2"/>
    <w:rsid w:val="1B8AE6C3"/>
    <w:rsid w:val="1B928893"/>
    <w:rsid w:val="1B9767BD"/>
    <w:rsid w:val="1B9AD1B5"/>
    <w:rsid w:val="1B9BEB2B"/>
    <w:rsid w:val="1BA0A59A"/>
    <w:rsid w:val="1BB4885D"/>
    <w:rsid w:val="1BB4F366"/>
    <w:rsid w:val="1BBA82CA"/>
    <w:rsid w:val="1BBACC95"/>
    <w:rsid w:val="1BBFC1D8"/>
    <w:rsid w:val="1BC7C716"/>
    <w:rsid w:val="1BD0DD29"/>
    <w:rsid w:val="1BD6F8F3"/>
    <w:rsid w:val="1BD881EF"/>
    <w:rsid w:val="1BDB3E0A"/>
    <w:rsid w:val="1BE76E3F"/>
    <w:rsid w:val="1BE7CB46"/>
    <w:rsid w:val="1BED50DB"/>
    <w:rsid w:val="1BED5773"/>
    <w:rsid w:val="1BF2DCCE"/>
    <w:rsid w:val="1BF5876F"/>
    <w:rsid w:val="1BFE28C2"/>
    <w:rsid w:val="1C05BCDD"/>
    <w:rsid w:val="1C0F02AB"/>
    <w:rsid w:val="1C13A5D3"/>
    <w:rsid w:val="1C1565EE"/>
    <w:rsid w:val="1C162449"/>
    <w:rsid w:val="1C1A9DE4"/>
    <w:rsid w:val="1C1B586A"/>
    <w:rsid w:val="1C1DB631"/>
    <w:rsid w:val="1C23CA7F"/>
    <w:rsid w:val="1C2462A0"/>
    <w:rsid w:val="1C2E063F"/>
    <w:rsid w:val="1C41FA54"/>
    <w:rsid w:val="1C4E576F"/>
    <w:rsid w:val="1C4FCF37"/>
    <w:rsid w:val="1C51378B"/>
    <w:rsid w:val="1C5930BF"/>
    <w:rsid w:val="1C5D6DA1"/>
    <w:rsid w:val="1C5FE511"/>
    <w:rsid w:val="1C62967B"/>
    <w:rsid w:val="1C6A0AF5"/>
    <w:rsid w:val="1C7A7211"/>
    <w:rsid w:val="1C7EB6FE"/>
    <w:rsid w:val="1C7F3932"/>
    <w:rsid w:val="1C818DDA"/>
    <w:rsid w:val="1C86E02E"/>
    <w:rsid w:val="1C8D96CA"/>
    <w:rsid w:val="1C922254"/>
    <w:rsid w:val="1C9A7426"/>
    <w:rsid w:val="1C9E7160"/>
    <w:rsid w:val="1CB0A4F5"/>
    <w:rsid w:val="1CB27BDB"/>
    <w:rsid w:val="1CB2C7A2"/>
    <w:rsid w:val="1CC7E981"/>
    <w:rsid w:val="1CD0ABFD"/>
    <w:rsid w:val="1CD4AC9A"/>
    <w:rsid w:val="1CD85E34"/>
    <w:rsid w:val="1CD897FF"/>
    <w:rsid w:val="1CDCF66D"/>
    <w:rsid w:val="1CDEC9C5"/>
    <w:rsid w:val="1CE308D2"/>
    <w:rsid w:val="1CF838CB"/>
    <w:rsid w:val="1D0A8E33"/>
    <w:rsid w:val="1D0ABA6F"/>
    <w:rsid w:val="1D1A77E5"/>
    <w:rsid w:val="1D266F11"/>
    <w:rsid w:val="1D2B24DA"/>
    <w:rsid w:val="1D306AE9"/>
    <w:rsid w:val="1D37A840"/>
    <w:rsid w:val="1D39E0A9"/>
    <w:rsid w:val="1D41E6A1"/>
    <w:rsid w:val="1D421073"/>
    <w:rsid w:val="1D48EA8B"/>
    <w:rsid w:val="1D4E6F88"/>
    <w:rsid w:val="1D6B8217"/>
    <w:rsid w:val="1D6F73A5"/>
    <w:rsid w:val="1D74FD63"/>
    <w:rsid w:val="1D756580"/>
    <w:rsid w:val="1D7C0644"/>
    <w:rsid w:val="1D86EDF0"/>
    <w:rsid w:val="1D8764AC"/>
    <w:rsid w:val="1D87C761"/>
    <w:rsid w:val="1D88731D"/>
    <w:rsid w:val="1D95E36C"/>
    <w:rsid w:val="1D99430D"/>
    <w:rsid w:val="1D9E177A"/>
    <w:rsid w:val="1DA1BB50"/>
    <w:rsid w:val="1DA5C79C"/>
    <w:rsid w:val="1DAA58D5"/>
    <w:rsid w:val="1DBE50A5"/>
    <w:rsid w:val="1DC547FD"/>
    <w:rsid w:val="1DCD3373"/>
    <w:rsid w:val="1DD3BE42"/>
    <w:rsid w:val="1DE5FEC0"/>
    <w:rsid w:val="1DE6F783"/>
    <w:rsid w:val="1DEA4003"/>
    <w:rsid w:val="1DEA8216"/>
    <w:rsid w:val="1DF2A62D"/>
    <w:rsid w:val="1DF84278"/>
    <w:rsid w:val="1DF92D3E"/>
    <w:rsid w:val="1DFCE201"/>
    <w:rsid w:val="1E004884"/>
    <w:rsid w:val="1E02F2C8"/>
    <w:rsid w:val="1E07BFFB"/>
    <w:rsid w:val="1E0EFFE9"/>
    <w:rsid w:val="1E1A637D"/>
    <w:rsid w:val="1E1CC492"/>
    <w:rsid w:val="1E1E2654"/>
    <w:rsid w:val="1E20CB0F"/>
    <w:rsid w:val="1E275A99"/>
    <w:rsid w:val="1E296B80"/>
    <w:rsid w:val="1E29B729"/>
    <w:rsid w:val="1E2A5C69"/>
    <w:rsid w:val="1E2E2002"/>
    <w:rsid w:val="1E36B000"/>
    <w:rsid w:val="1E46BBDC"/>
    <w:rsid w:val="1E549218"/>
    <w:rsid w:val="1E54C76A"/>
    <w:rsid w:val="1E570F22"/>
    <w:rsid w:val="1E59EDB7"/>
    <w:rsid w:val="1E6004DD"/>
    <w:rsid w:val="1E6565A7"/>
    <w:rsid w:val="1E7437CC"/>
    <w:rsid w:val="1E76AAE3"/>
    <w:rsid w:val="1E79D194"/>
    <w:rsid w:val="1E7B7EBC"/>
    <w:rsid w:val="1E7C7EF1"/>
    <w:rsid w:val="1E7DBB6B"/>
    <w:rsid w:val="1E7F195C"/>
    <w:rsid w:val="1E7F83D5"/>
    <w:rsid w:val="1E8084AD"/>
    <w:rsid w:val="1E829A72"/>
    <w:rsid w:val="1E8DC4AE"/>
    <w:rsid w:val="1E8E94D4"/>
    <w:rsid w:val="1E93B42E"/>
    <w:rsid w:val="1E93F97F"/>
    <w:rsid w:val="1E962F7A"/>
    <w:rsid w:val="1E9EFE65"/>
    <w:rsid w:val="1EA01EB3"/>
    <w:rsid w:val="1EABB5EE"/>
    <w:rsid w:val="1EABEEF1"/>
    <w:rsid w:val="1EAC22F2"/>
    <w:rsid w:val="1EB1A1E3"/>
    <w:rsid w:val="1EB2E711"/>
    <w:rsid w:val="1EB8E36C"/>
    <w:rsid w:val="1EBA81CF"/>
    <w:rsid w:val="1EBCBDE5"/>
    <w:rsid w:val="1EC0600D"/>
    <w:rsid w:val="1EC11EAF"/>
    <w:rsid w:val="1EC444C3"/>
    <w:rsid w:val="1EC7EBA4"/>
    <w:rsid w:val="1EC98AB9"/>
    <w:rsid w:val="1ECD87DE"/>
    <w:rsid w:val="1ED1AB62"/>
    <w:rsid w:val="1EDAD1CB"/>
    <w:rsid w:val="1EE45083"/>
    <w:rsid w:val="1EE6B6C8"/>
    <w:rsid w:val="1EE6DFEB"/>
    <w:rsid w:val="1EEC394D"/>
    <w:rsid w:val="1EEEE7B8"/>
    <w:rsid w:val="1EF3CF4C"/>
    <w:rsid w:val="1EF5C4AE"/>
    <w:rsid w:val="1EF8B28B"/>
    <w:rsid w:val="1EFB377A"/>
    <w:rsid w:val="1EFB7663"/>
    <w:rsid w:val="1F00C598"/>
    <w:rsid w:val="1F0DEA22"/>
    <w:rsid w:val="1F114200"/>
    <w:rsid w:val="1F13F68A"/>
    <w:rsid w:val="1F1C0D66"/>
    <w:rsid w:val="1F23561F"/>
    <w:rsid w:val="1F29AD0B"/>
    <w:rsid w:val="1F2E8A46"/>
    <w:rsid w:val="1F3317C3"/>
    <w:rsid w:val="1F343E8D"/>
    <w:rsid w:val="1F3815FA"/>
    <w:rsid w:val="1F391649"/>
    <w:rsid w:val="1F39D372"/>
    <w:rsid w:val="1F3E28BF"/>
    <w:rsid w:val="1F425AF6"/>
    <w:rsid w:val="1F4F791A"/>
    <w:rsid w:val="1F4F9DC5"/>
    <w:rsid w:val="1F50A6DF"/>
    <w:rsid w:val="1F6217C7"/>
    <w:rsid w:val="1F6601EA"/>
    <w:rsid w:val="1F67DCEC"/>
    <w:rsid w:val="1F68B178"/>
    <w:rsid w:val="1F709A5E"/>
    <w:rsid w:val="1F713DD7"/>
    <w:rsid w:val="1F768AEF"/>
    <w:rsid w:val="1F7DC41D"/>
    <w:rsid w:val="1F7E5D7B"/>
    <w:rsid w:val="1F7ED23C"/>
    <w:rsid w:val="1F7F0A50"/>
    <w:rsid w:val="1F8E335B"/>
    <w:rsid w:val="1F91A6E8"/>
    <w:rsid w:val="1FA03108"/>
    <w:rsid w:val="1FA0E677"/>
    <w:rsid w:val="1FA1B83E"/>
    <w:rsid w:val="1FA43969"/>
    <w:rsid w:val="1FA797C9"/>
    <w:rsid w:val="1FAD5F83"/>
    <w:rsid w:val="1FAD9902"/>
    <w:rsid w:val="1FB1C51D"/>
    <w:rsid w:val="1FB4B814"/>
    <w:rsid w:val="1FB73E0F"/>
    <w:rsid w:val="1FB7DAB3"/>
    <w:rsid w:val="1FBB7CA0"/>
    <w:rsid w:val="1FBB961A"/>
    <w:rsid w:val="1FC37EA0"/>
    <w:rsid w:val="1FC509BF"/>
    <w:rsid w:val="1FC55C4A"/>
    <w:rsid w:val="1FCDD0DC"/>
    <w:rsid w:val="1FDBAFD0"/>
    <w:rsid w:val="1FDFB410"/>
    <w:rsid w:val="1FE31988"/>
    <w:rsid w:val="1FE8C509"/>
    <w:rsid w:val="1FE9E2DD"/>
    <w:rsid w:val="1FF11D16"/>
    <w:rsid w:val="1FF7B792"/>
    <w:rsid w:val="1FF84E25"/>
    <w:rsid w:val="2002FAA2"/>
    <w:rsid w:val="200D33B9"/>
    <w:rsid w:val="2015A1F5"/>
    <w:rsid w:val="20191555"/>
    <w:rsid w:val="201C94A6"/>
    <w:rsid w:val="201FF361"/>
    <w:rsid w:val="2029116A"/>
    <w:rsid w:val="202E9F1E"/>
    <w:rsid w:val="202F19D1"/>
    <w:rsid w:val="202F588C"/>
    <w:rsid w:val="2033EC8A"/>
    <w:rsid w:val="20353A6E"/>
    <w:rsid w:val="2038EA36"/>
    <w:rsid w:val="203AC974"/>
    <w:rsid w:val="20461E00"/>
    <w:rsid w:val="2047BBE8"/>
    <w:rsid w:val="20603D8D"/>
    <w:rsid w:val="206105BC"/>
    <w:rsid w:val="20643DF1"/>
    <w:rsid w:val="206BC044"/>
    <w:rsid w:val="2074645D"/>
    <w:rsid w:val="207D0D95"/>
    <w:rsid w:val="20869547"/>
    <w:rsid w:val="2089FC6C"/>
    <w:rsid w:val="208E166B"/>
    <w:rsid w:val="2090786B"/>
    <w:rsid w:val="209B3839"/>
    <w:rsid w:val="209C0E48"/>
    <w:rsid w:val="20A0B38C"/>
    <w:rsid w:val="20A32EF4"/>
    <w:rsid w:val="20ACF18F"/>
    <w:rsid w:val="20B873F7"/>
    <w:rsid w:val="20BBAB82"/>
    <w:rsid w:val="20C62CC1"/>
    <w:rsid w:val="20C83302"/>
    <w:rsid w:val="20D04B2B"/>
    <w:rsid w:val="20D8E43E"/>
    <w:rsid w:val="20DACC45"/>
    <w:rsid w:val="20E26AD4"/>
    <w:rsid w:val="20EAC949"/>
    <w:rsid w:val="20EE0F07"/>
    <w:rsid w:val="20F667BB"/>
    <w:rsid w:val="21026FEB"/>
    <w:rsid w:val="21086FBA"/>
    <w:rsid w:val="2109057A"/>
    <w:rsid w:val="210CF048"/>
    <w:rsid w:val="210EEFD3"/>
    <w:rsid w:val="210FAB63"/>
    <w:rsid w:val="21171386"/>
    <w:rsid w:val="211BA319"/>
    <w:rsid w:val="212084E1"/>
    <w:rsid w:val="2124DB62"/>
    <w:rsid w:val="212A1DA5"/>
    <w:rsid w:val="212D38EA"/>
    <w:rsid w:val="212D633F"/>
    <w:rsid w:val="2137EA2B"/>
    <w:rsid w:val="213B69E8"/>
    <w:rsid w:val="21463080"/>
    <w:rsid w:val="214835E7"/>
    <w:rsid w:val="214858D6"/>
    <w:rsid w:val="2149E713"/>
    <w:rsid w:val="214FE5F2"/>
    <w:rsid w:val="215740B9"/>
    <w:rsid w:val="215C0EDD"/>
    <w:rsid w:val="2162C184"/>
    <w:rsid w:val="21643C58"/>
    <w:rsid w:val="2164918C"/>
    <w:rsid w:val="2168CCC0"/>
    <w:rsid w:val="216D00A7"/>
    <w:rsid w:val="216DB548"/>
    <w:rsid w:val="2172807B"/>
    <w:rsid w:val="217756D3"/>
    <w:rsid w:val="2185E010"/>
    <w:rsid w:val="2187BF17"/>
    <w:rsid w:val="2188266D"/>
    <w:rsid w:val="21884CF9"/>
    <w:rsid w:val="218C741A"/>
    <w:rsid w:val="218F6586"/>
    <w:rsid w:val="2191F8DF"/>
    <w:rsid w:val="219410D8"/>
    <w:rsid w:val="21967D6F"/>
    <w:rsid w:val="21A670FF"/>
    <w:rsid w:val="21A967E1"/>
    <w:rsid w:val="21AECB4B"/>
    <w:rsid w:val="21B466B6"/>
    <w:rsid w:val="21B90983"/>
    <w:rsid w:val="21BAE416"/>
    <w:rsid w:val="21BCEA1D"/>
    <w:rsid w:val="21BD25AA"/>
    <w:rsid w:val="21C8FF7C"/>
    <w:rsid w:val="21CE07D4"/>
    <w:rsid w:val="21D06022"/>
    <w:rsid w:val="21D13B7E"/>
    <w:rsid w:val="21D2BD8A"/>
    <w:rsid w:val="21DD22F1"/>
    <w:rsid w:val="21DD560B"/>
    <w:rsid w:val="21DFEC23"/>
    <w:rsid w:val="21E0C45A"/>
    <w:rsid w:val="21E259AF"/>
    <w:rsid w:val="21E379F6"/>
    <w:rsid w:val="21E4602D"/>
    <w:rsid w:val="21F708C0"/>
    <w:rsid w:val="2202DDF3"/>
    <w:rsid w:val="2208F981"/>
    <w:rsid w:val="220C19ED"/>
    <w:rsid w:val="221182C0"/>
    <w:rsid w:val="22131C92"/>
    <w:rsid w:val="2215364B"/>
    <w:rsid w:val="221CD39E"/>
    <w:rsid w:val="221D622D"/>
    <w:rsid w:val="221EE454"/>
    <w:rsid w:val="2225464F"/>
    <w:rsid w:val="2226B92A"/>
    <w:rsid w:val="2229C5D2"/>
    <w:rsid w:val="2231432B"/>
    <w:rsid w:val="2234A591"/>
    <w:rsid w:val="2237089A"/>
    <w:rsid w:val="223CFC8E"/>
    <w:rsid w:val="223EF0D0"/>
    <w:rsid w:val="2251BD22"/>
    <w:rsid w:val="2254445B"/>
    <w:rsid w:val="2259C151"/>
    <w:rsid w:val="225C1DC9"/>
    <w:rsid w:val="2260F1EF"/>
    <w:rsid w:val="2263EED2"/>
    <w:rsid w:val="2266E70A"/>
    <w:rsid w:val="227047B9"/>
    <w:rsid w:val="22783027"/>
    <w:rsid w:val="22894A7E"/>
    <w:rsid w:val="228AF724"/>
    <w:rsid w:val="2293EEA6"/>
    <w:rsid w:val="2294E01D"/>
    <w:rsid w:val="229A803F"/>
    <w:rsid w:val="22A34507"/>
    <w:rsid w:val="22A479A8"/>
    <w:rsid w:val="22A5E8DE"/>
    <w:rsid w:val="22AFE9C8"/>
    <w:rsid w:val="22B334AD"/>
    <w:rsid w:val="22B44B49"/>
    <w:rsid w:val="22C459E3"/>
    <w:rsid w:val="22CB210C"/>
    <w:rsid w:val="22CB51B3"/>
    <w:rsid w:val="22CC0FA0"/>
    <w:rsid w:val="22CE0F24"/>
    <w:rsid w:val="22DB0B6B"/>
    <w:rsid w:val="22EC98C1"/>
    <w:rsid w:val="22F91DFE"/>
    <w:rsid w:val="22FBD595"/>
    <w:rsid w:val="22FEA491"/>
    <w:rsid w:val="2308ADE1"/>
    <w:rsid w:val="230F2AF7"/>
    <w:rsid w:val="231205BC"/>
    <w:rsid w:val="231998CB"/>
    <w:rsid w:val="2319B0DD"/>
    <w:rsid w:val="232F5BFE"/>
    <w:rsid w:val="23374B06"/>
    <w:rsid w:val="235948B7"/>
    <w:rsid w:val="235CEDEA"/>
    <w:rsid w:val="236143A5"/>
    <w:rsid w:val="23712514"/>
    <w:rsid w:val="23727252"/>
    <w:rsid w:val="237EB1A8"/>
    <w:rsid w:val="2383EA2C"/>
    <w:rsid w:val="2385453D"/>
    <w:rsid w:val="238D26BB"/>
    <w:rsid w:val="2394C890"/>
    <w:rsid w:val="239992AC"/>
    <w:rsid w:val="239A7CEC"/>
    <w:rsid w:val="23A67364"/>
    <w:rsid w:val="23AB920F"/>
    <w:rsid w:val="23B3D2E9"/>
    <w:rsid w:val="23BD8D4D"/>
    <w:rsid w:val="23C35CF6"/>
    <w:rsid w:val="23C633D6"/>
    <w:rsid w:val="23C6EC3F"/>
    <w:rsid w:val="23CCE3B3"/>
    <w:rsid w:val="23DCB639"/>
    <w:rsid w:val="23E1EAB8"/>
    <w:rsid w:val="23E1FD22"/>
    <w:rsid w:val="23E2CCAC"/>
    <w:rsid w:val="23EE5A74"/>
    <w:rsid w:val="23F36EC4"/>
    <w:rsid w:val="23F57114"/>
    <w:rsid w:val="23F6A04A"/>
    <w:rsid w:val="2404CBA6"/>
    <w:rsid w:val="240901FE"/>
    <w:rsid w:val="240A287F"/>
    <w:rsid w:val="24160459"/>
    <w:rsid w:val="24214E7D"/>
    <w:rsid w:val="2424E6B5"/>
    <w:rsid w:val="242899C4"/>
    <w:rsid w:val="242D760B"/>
    <w:rsid w:val="242F3128"/>
    <w:rsid w:val="24393640"/>
    <w:rsid w:val="243A3F52"/>
    <w:rsid w:val="243D2423"/>
    <w:rsid w:val="243ED4F2"/>
    <w:rsid w:val="244182DE"/>
    <w:rsid w:val="244728F5"/>
    <w:rsid w:val="2449BF76"/>
    <w:rsid w:val="244D0E43"/>
    <w:rsid w:val="244E4E63"/>
    <w:rsid w:val="2453F8A9"/>
    <w:rsid w:val="247B64E8"/>
    <w:rsid w:val="247F8052"/>
    <w:rsid w:val="248CBE27"/>
    <w:rsid w:val="248ED539"/>
    <w:rsid w:val="249071FB"/>
    <w:rsid w:val="24917C28"/>
    <w:rsid w:val="24996373"/>
    <w:rsid w:val="249BFB51"/>
    <w:rsid w:val="249E2647"/>
    <w:rsid w:val="24A89DA5"/>
    <w:rsid w:val="24AAFFEE"/>
    <w:rsid w:val="24B5076F"/>
    <w:rsid w:val="24BAC018"/>
    <w:rsid w:val="24C98A27"/>
    <w:rsid w:val="24C9FD3A"/>
    <w:rsid w:val="24D07399"/>
    <w:rsid w:val="24D4A72B"/>
    <w:rsid w:val="24D4BD1D"/>
    <w:rsid w:val="24D5A792"/>
    <w:rsid w:val="24E1C0FD"/>
    <w:rsid w:val="24E3819C"/>
    <w:rsid w:val="24E78D88"/>
    <w:rsid w:val="24EAFC6F"/>
    <w:rsid w:val="24FF5630"/>
    <w:rsid w:val="2503080D"/>
    <w:rsid w:val="25032870"/>
    <w:rsid w:val="2509EA4F"/>
    <w:rsid w:val="250B5224"/>
    <w:rsid w:val="25119311"/>
    <w:rsid w:val="2524ADB6"/>
    <w:rsid w:val="2524B13C"/>
    <w:rsid w:val="2524E732"/>
    <w:rsid w:val="2528C63A"/>
    <w:rsid w:val="252926DC"/>
    <w:rsid w:val="2529BCFA"/>
    <w:rsid w:val="252DF1C1"/>
    <w:rsid w:val="25319D20"/>
    <w:rsid w:val="2535C5D6"/>
    <w:rsid w:val="253DA159"/>
    <w:rsid w:val="25409ADF"/>
    <w:rsid w:val="254305D2"/>
    <w:rsid w:val="254F7BFD"/>
    <w:rsid w:val="2551FB62"/>
    <w:rsid w:val="2553CB51"/>
    <w:rsid w:val="2554E87F"/>
    <w:rsid w:val="25554B22"/>
    <w:rsid w:val="255AD111"/>
    <w:rsid w:val="25613C34"/>
    <w:rsid w:val="2563760B"/>
    <w:rsid w:val="2567C3A6"/>
    <w:rsid w:val="256B2092"/>
    <w:rsid w:val="256F65DC"/>
    <w:rsid w:val="257E8B6E"/>
    <w:rsid w:val="25836D9A"/>
    <w:rsid w:val="2588F6EE"/>
    <w:rsid w:val="25914FC2"/>
    <w:rsid w:val="2593A577"/>
    <w:rsid w:val="259846E2"/>
    <w:rsid w:val="259FB897"/>
    <w:rsid w:val="25A2B95F"/>
    <w:rsid w:val="25ADA0D8"/>
    <w:rsid w:val="25B4CA09"/>
    <w:rsid w:val="25BA0709"/>
    <w:rsid w:val="25C1802A"/>
    <w:rsid w:val="25C755D2"/>
    <w:rsid w:val="25CF47DC"/>
    <w:rsid w:val="25D563E6"/>
    <w:rsid w:val="25D67C68"/>
    <w:rsid w:val="25DBDEF4"/>
    <w:rsid w:val="25DC4877"/>
    <w:rsid w:val="25DD0813"/>
    <w:rsid w:val="25E0FE1F"/>
    <w:rsid w:val="25E4F3DF"/>
    <w:rsid w:val="25F0DF0A"/>
    <w:rsid w:val="25F43AF8"/>
    <w:rsid w:val="25F6042B"/>
    <w:rsid w:val="25F8489C"/>
    <w:rsid w:val="25F983D0"/>
    <w:rsid w:val="260121E1"/>
    <w:rsid w:val="260196DB"/>
    <w:rsid w:val="260F5871"/>
    <w:rsid w:val="2610AB17"/>
    <w:rsid w:val="2611D857"/>
    <w:rsid w:val="2615741D"/>
    <w:rsid w:val="261B17E4"/>
    <w:rsid w:val="261B4E78"/>
    <w:rsid w:val="261D8646"/>
    <w:rsid w:val="261E7CD5"/>
    <w:rsid w:val="2631436B"/>
    <w:rsid w:val="2632DFE5"/>
    <w:rsid w:val="2633638D"/>
    <w:rsid w:val="263759E0"/>
    <w:rsid w:val="263E3C51"/>
    <w:rsid w:val="2642E100"/>
    <w:rsid w:val="2648C3F7"/>
    <w:rsid w:val="265AAE8A"/>
    <w:rsid w:val="265D3B2C"/>
    <w:rsid w:val="2664FEDB"/>
    <w:rsid w:val="2666C73F"/>
    <w:rsid w:val="2669D42D"/>
    <w:rsid w:val="266ACE82"/>
    <w:rsid w:val="26775206"/>
    <w:rsid w:val="2678FF0B"/>
    <w:rsid w:val="26794993"/>
    <w:rsid w:val="267CBC93"/>
    <w:rsid w:val="268C705C"/>
    <w:rsid w:val="269B5618"/>
    <w:rsid w:val="269B8CA7"/>
    <w:rsid w:val="26A2F46B"/>
    <w:rsid w:val="26CA6A40"/>
    <w:rsid w:val="26CA95BC"/>
    <w:rsid w:val="26CAC1ED"/>
    <w:rsid w:val="26CBA382"/>
    <w:rsid w:val="26CE9977"/>
    <w:rsid w:val="26D46CA7"/>
    <w:rsid w:val="26D65087"/>
    <w:rsid w:val="26D90AC9"/>
    <w:rsid w:val="26E45257"/>
    <w:rsid w:val="26E6AD8A"/>
    <w:rsid w:val="26E97682"/>
    <w:rsid w:val="26EDF54D"/>
    <w:rsid w:val="26EE6BBC"/>
    <w:rsid w:val="270109CC"/>
    <w:rsid w:val="27068ACE"/>
    <w:rsid w:val="2708D847"/>
    <w:rsid w:val="270B9C48"/>
    <w:rsid w:val="2712BB15"/>
    <w:rsid w:val="271A27F3"/>
    <w:rsid w:val="271A5C6A"/>
    <w:rsid w:val="27206699"/>
    <w:rsid w:val="272342F3"/>
    <w:rsid w:val="2723818E"/>
    <w:rsid w:val="272EB70C"/>
    <w:rsid w:val="273024B4"/>
    <w:rsid w:val="2739CCC7"/>
    <w:rsid w:val="274695FB"/>
    <w:rsid w:val="2748AA74"/>
    <w:rsid w:val="2748D12C"/>
    <w:rsid w:val="2748EDD8"/>
    <w:rsid w:val="274C91E0"/>
    <w:rsid w:val="274E16F8"/>
    <w:rsid w:val="274EE5CB"/>
    <w:rsid w:val="2754EC1D"/>
    <w:rsid w:val="275988D1"/>
    <w:rsid w:val="275BDC25"/>
    <w:rsid w:val="276D36B6"/>
    <w:rsid w:val="2774C4E5"/>
    <w:rsid w:val="27797D73"/>
    <w:rsid w:val="2779D854"/>
    <w:rsid w:val="277E16C3"/>
    <w:rsid w:val="277EA84B"/>
    <w:rsid w:val="27947705"/>
    <w:rsid w:val="27963FE3"/>
    <w:rsid w:val="279FE56A"/>
    <w:rsid w:val="279FF204"/>
    <w:rsid w:val="27A217CE"/>
    <w:rsid w:val="27B07D77"/>
    <w:rsid w:val="27BB28C7"/>
    <w:rsid w:val="27BB81A0"/>
    <w:rsid w:val="27BFEDBC"/>
    <w:rsid w:val="27C13C74"/>
    <w:rsid w:val="27C338CF"/>
    <w:rsid w:val="27CBBAF1"/>
    <w:rsid w:val="27D33DE7"/>
    <w:rsid w:val="27D599C0"/>
    <w:rsid w:val="27D8B63D"/>
    <w:rsid w:val="27DF2A7E"/>
    <w:rsid w:val="27E0931D"/>
    <w:rsid w:val="27E3DFE9"/>
    <w:rsid w:val="27EB2AB5"/>
    <w:rsid w:val="27EB681E"/>
    <w:rsid w:val="27F5D748"/>
    <w:rsid w:val="27F7CEA9"/>
    <w:rsid w:val="27F83E78"/>
    <w:rsid w:val="2800AD5D"/>
    <w:rsid w:val="2801DF07"/>
    <w:rsid w:val="28045A13"/>
    <w:rsid w:val="280802D9"/>
    <w:rsid w:val="28162548"/>
    <w:rsid w:val="281E7B3E"/>
    <w:rsid w:val="281F40DC"/>
    <w:rsid w:val="28215AAC"/>
    <w:rsid w:val="28228188"/>
    <w:rsid w:val="2825A37C"/>
    <w:rsid w:val="28355F22"/>
    <w:rsid w:val="283C174A"/>
    <w:rsid w:val="28409232"/>
    <w:rsid w:val="2841325B"/>
    <w:rsid w:val="2854A5BB"/>
    <w:rsid w:val="285C260F"/>
    <w:rsid w:val="285C4E78"/>
    <w:rsid w:val="285E4E16"/>
    <w:rsid w:val="286BE23F"/>
    <w:rsid w:val="286DBA86"/>
    <w:rsid w:val="28721F77"/>
    <w:rsid w:val="28751F77"/>
    <w:rsid w:val="2879657C"/>
    <w:rsid w:val="287C141A"/>
    <w:rsid w:val="287FCE79"/>
    <w:rsid w:val="28820FCD"/>
    <w:rsid w:val="28836A02"/>
    <w:rsid w:val="2891C3A7"/>
    <w:rsid w:val="289224B1"/>
    <w:rsid w:val="2894B4DC"/>
    <w:rsid w:val="289DEC07"/>
    <w:rsid w:val="289FFB6C"/>
    <w:rsid w:val="28A04EE3"/>
    <w:rsid w:val="28AEA42F"/>
    <w:rsid w:val="28B5D3FE"/>
    <w:rsid w:val="28B7D622"/>
    <w:rsid w:val="28BB7048"/>
    <w:rsid w:val="28BE4CB8"/>
    <w:rsid w:val="28C4C9F3"/>
    <w:rsid w:val="28C74B6F"/>
    <w:rsid w:val="28CE235F"/>
    <w:rsid w:val="28D75EDB"/>
    <w:rsid w:val="28DFFBEA"/>
    <w:rsid w:val="28E2FF76"/>
    <w:rsid w:val="28E68117"/>
    <w:rsid w:val="28EAFE20"/>
    <w:rsid w:val="28EE85CD"/>
    <w:rsid w:val="28F6C90D"/>
    <w:rsid w:val="28FDC156"/>
    <w:rsid w:val="2900A0F2"/>
    <w:rsid w:val="290AB533"/>
    <w:rsid w:val="290E3DC0"/>
    <w:rsid w:val="291D787C"/>
    <w:rsid w:val="291F2E03"/>
    <w:rsid w:val="292558A1"/>
    <w:rsid w:val="2927BFEB"/>
    <w:rsid w:val="292EB221"/>
    <w:rsid w:val="2931A3E0"/>
    <w:rsid w:val="29367FDF"/>
    <w:rsid w:val="29414061"/>
    <w:rsid w:val="29461150"/>
    <w:rsid w:val="294B5EEE"/>
    <w:rsid w:val="294D324E"/>
    <w:rsid w:val="29545230"/>
    <w:rsid w:val="29559A0C"/>
    <w:rsid w:val="2961A5B7"/>
    <w:rsid w:val="296C7276"/>
    <w:rsid w:val="2974AD84"/>
    <w:rsid w:val="2979C628"/>
    <w:rsid w:val="297F6604"/>
    <w:rsid w:val="2983E59B"/>
    <w:rsid w:val="299C84AA"/>
    <w:rsid w:val="29A70ED3"/>
    <w:rsid w:val="29AAE8C1"/>
    <w:rsid w:val="29AB9AD3"/>
    <w:rsid w:val="29AE7508"/>
    <w:rsid w:val="29B147F6"/>
    <w:rsid w:val="29B54B61"/>
    <w:rsid w:val="29BFD681"/>
    <w:rsid w:val="29C41C91"/>
    <w:rsid w:val="29C5A62B"/>
    <w:rsid w:val="29C85A9D"/>
    <w:rsid w:val="29CADCF5"/>
    <w:rsid w:val="29CFEA7D"/>
    <w:rsid w:val="29D02466"/>
    <w:rsid w:val="29D3D30A"/>
    <w:rsid w:val="29D52E59"/>
    <w:rsid w:val="29DAD66F"/>
    <w:rsid w:val="29DF1471"/>
    <w:rsid w:val="29DFB9EE"/>
    <w:rsid w:val="29E1B10C"/>
    <w:rsid w:val="29E59E4D"/>
    <w:rsid w:val="29E69DD4"/>
    <w:rsid w:val="29EC185B"/>
    <w:rsid w:val="29EDA810"/>
    <w:rsid w:val="29F2372D"/>
    <w:rsid w:val="29F4F3FB"/>
    <w:rsid w:val="29F5789B"/>
    <w:rsid w:val="29F599B8"/>
    <w:rsid w:val="29FB7F3D"/>
    <w:rsid w:val="29FD9F52"/>
    <w:rsid w:val="2A00E7A5"/>
    <w:rsid w:val="2A04CE88"/>
    <w:rsid w:val="2A05DCD7"/>
    <w:rsid w:val="2A0A1531"/>
    <w:rsid w:val="2A110D92"/>
    <w:rsid w:val="2A17E47B"/>
    <w:rsid w:val="2A2146AD"/>
    <w:rsid w:val="2A21B63D"/>
    <w:rsid w:val="2A2680EC"/>
    <w:rsid w:val="2A30C034"/>
    <w:rsid w:val="2A4D8246"/>
    <w:rsid w:val="2A50E56C"/>
    <w:rsid w:val="2A57F7DD"/>
    <w:rsid w:val="2A599052"/>
    <w:rsid w:val="2A75FF51"/>
    <w:rsid w:val="2A7C9895"/>
    <w:rsid w:val="2A7F0286"/>
    <w:rsid w:val="2A82FD2D"/>
    <w:rsid w:val="2A8577C9"/>
    <w:rsid w:val="2A8686AE"/>
    <w:rsid w:val="2A89A15F"/>
    <w:rsid w:val="2A8B07B2"/>
    <w:rsid w:val="2A936F36"/>
    <w:rsid w:val="2A9651FE"/>
    <w:rsid w:val="2A973CF7"/>
    <w:rsid w:val="2A9B721A"/>
    <w:rsid w:val="2A9E526E"/>
    <w:rsid w:val="2AC5E5DE"/>
    <w:rsid w:val="2AC82EA7"/>
    <w:rsid w:val="2ACCF4F3"/>
    <w:rsid w:val="2ADC3AEE"/>
    <w:rsid w:val="2AE06D94"/>
    <w:rsid w:val="2AE72352"/>
    <w:rsid w:val="2AEC2D9F"/>
    <w:rsid w:val="2AEC6F64"/>
    <w:rsid w:val="2AEF0F5F"/>
    <w:rsid w:val="2AF48E5C"/>
    <w:rsid w:val="2AF70D08"/>
    <w:rsid w:val="2AF73A5E"/>
    <w:rsid w:val="2AFD1076"/>
    <w:rsid w:val="2AFD2E9B"/>
    <w:rsid w:val="2AFE19AC"/>
    <w:rsid w:val="2B05159E"/>
    <w:rsid w:val="2B0A94A1"/>
    <w:rsid w:val="2B15130D"/>
    <w:rsid w:val="2B20A97A"/>
    <w:rsid w:val="2B21473A"/>
    <w:rsid w:val="2B24CC7D"/>
    <w:rsid w:val="2B3C27AC"/>
    <w:rsid w:val="2B4CA22C"/>
    <w:rsid w:val="2B58CB37"/>
    <w:rsid w:val="2B666680"/>
    <w:rsid w:val="2B666787"/>
    <w:rsid w:val="2B6C5191"/>
    <w:rsid w:val="2B753DDC"/>
    <w:rsid w:val="2B7D0BE0"/>
    <w:rsid w:val="2B7DDE89"/>
    <w:rsid w:val="2B821C6C"/>
    <w:rsid w:val="2B865230"/>
    <w:rsid w:val="2B893DA0"/>
    <w:rsid w:val="2B89BAF3"/>
    <w:rsid w:val="2B8FBE4D"/>
    <w:rsid w:val="2B945982"/>
    <w:rsid w:val="2B9B3227"/>
    <w:rsid w:val="2B9B53D8"/>
    <w:rsid w:val="2B9DD786"/>
    <w:rsid w:val="2BA3A51F"/>
    <w:rsid w:val="2BA3D97B"/>
    <w:rsid w:val="2BA8156B"/>
    <w:rsid w:val="2BAFFDFC"/>
    <w:rsid w:val="2BB0E5A9"/>
    <w:rsid w:val="2BB89535"/>
    <w:rsid w:val="2BB8C618"/>
    <w:rsid w:val="2BC4E683"/>
    <w:rsid w:val="2BCAA7EF"/>
    <w:rsid w:val="2BCC2E0B"/>
    <w:rsid w:val="2BD53513"/>
    <w:rsid w:val="2BDE0B1D"/>
    <w:rsid w:val="2BF12A62"/>
    <w:rsid w:val="2BF560B3"/>
    <w:rsid w:val="2BF976CA"/>
    <w:rsid w:val="2BFD4E39"/>
    <w:rsid w:val="2C00ADA7"/>
    <w:rsid w:val="2C0600E8"/>
    <w:rsid w:val="2C0C0060"/>
    <w:rsid w:val="2C0D6289"/>
    <w:rsid w:val="2C109520"/>
    <w:rsid w:val="2C10E18D"/>
    <w:rsid w:val="2C143ECA"/>
    <w:rsid w:val="2C194C9F"/>
    <w:rsid w:val="2C1CBDCA"/>
    <w:rsid w:val="2C20325A"/>
    <w:rsid w:val="2C223DA8"/>
    <w:rsid w:val="2C2BF981"/>
    <w:rsid w:val="2C3D4383"/>
    <w:rsid w:val="2C480C5E"/>
    <w:rsid w:val="2C49F9ED"/>
    <w:rsid w:val="2C570193"/>
    <w:rsid w:val="2C5FAA74"/>
    <w:rsid w:val="2C6DE32A"/>
    <w:rsid w:val="2C7030E6"/>
    <w:rsid w:val="2C74666C"/>
    <w:rsid w:val="2C88C4EA"/>
    <w:rsid w:val="2C8BBA7C"/>
    <w:rsid w:val="2C8EA260"/>
    <w:rsid w:val="2C928DAF"/>
    <w:rsid w:val="2C98E0D7"/>
    <w:rsid w:val="2C9B6A12"/>
    <w:rsid w:val="2C9C6BC7"/>
    <w:rsid w:val="2CA08426"/>
    <w:rsid w:val="2CA0997A"/>
    <w:rsid w:val="2CAB85C9"/>
    <w:rsid w:val="2CAC0318"/>
    <w:rsid w:val="2CAE7E79"/>
    <w:rsid w:val="2CB04411"/>
    <w:rsid w:val="2CB39A6B"/>
    <w:rsid w:val="2CB7E9E1"/>
    <w:rsid w:val="2CBAA224"/>
    <w:rsid w:val="2CBAFA5E"/>
    <w:rsid w:val="2CD1D780"/>
    <w:rsid w:val="2CD383FD"/>
    <w:rsid w:val="2CD8CAAB"/>
    <w:rsid w:val="2CE012C3"/>
    <w:rsid w:val="2CE9D009"/>
    <w:rsid w:val="2CF39A21"/>
    <w:rsid w:val="2CFA4A23"/>
    <w:rsid w:val="2D077055"/>
    <w:rsid w:val="2D124880"/>
    <w:rsid w:val="2D13F936"/>
    <w:rsid w:val="2D178EFD"/>
    <w:rsid w:val="2D1FEBC4"/>
    <w:rsid w:val="2D22700B"/>
    <w:rsid w:val="2D2A8FAA"/>
    <w:rsid w:val="2D30D854"/>
    <w:rsid w:val="2D326149"/>
    <w:rsid w:val="2D328467"/>
    <w:rsid w:val="2D3341D8"/>
    <w:rsid w:val="2D398E16"/>
    <w:rsid w:val="2D3A3F62"/>
    <w:rsid w:val="2D3B438E"/>
    <w:rsid w:val="2D3B55A9"/>
    <w:rsid w:val="2D3BF4E3"/>
    <w:rsid w:val="2D429126"/>
    <w:rsid w:val="2D555536"/>
    <w:rsid w:val="2D56EE97"/>
    <w:rsid w:val="2D57E972"/>
    <w:rsid w:val="2D5A1903"/>
    <w:rsid w:val="2D5D41F2"/>
    <w:rsid w:val="2D68C626"/>
    <w:rsid w:val="2D6FCC41"/>
    <w:rsid w:val="2D702E93"/>
    <w:rsid w:val="2D7D6FE6"/>
    <w:rsid w:val="2D828675"/>
    <w:rsid w:val="2D84D250"/>
    <w:rsid w:val="2D8FA910"/>
    <w:rsid w:val="2D9D5FAE"/>
    <w:rsid w:val="2D9E5D7A"/>
    <w:rsid w:val="2DA61C22"/>
    <w:rsid w:val="2DAC97E7"/>
    <w:rsid w:val="2DAE9540"/>
    <w:rsid w:val="2DB2D828"/>
    <w:rsid w:val="2DB369B2"/>
    <w:rsid w:val="2DB7CBE3"/>
    <w:rsid w:val="2DC25438"/>
    <w:rsid w:val="2DC2A874"/>
    <w:rsid w:val="2DC31BE3"/>
    <w:rsid w:val="2DD21E07"/>
    <w:rsid w:val="2DD4F913"/>
    <w:rsid w:val="2DD90DF1"/>
    <w:rsid w:val="2DE58480"/>
    <w:rsid w:val="2DED8D8E"/>
    <w:rsid w:val="2DFAEC77"/>
    <w:rsid w:val="2DFE12A1"/>
    <w:rsid w:val="2E03FD07"/>
    <w:rsid w:val="2E044946"/>
    <w:rsid w:val="2E0765CB"/>
    <w:rsid w:val="2E0789A1"/>
    <w:rsid w:val="2E08350C"/>
    <w:rsid w:val="2E0E3A33"/>
    <w:rsid w:val="2E0FAF0F"/>
    <w:rsid w:val="2E11D6BF"/>
    <w:rsid w:val="2E12296B"/>
    <w:rsid w:val="2E14852E"/>
    <w:rsid w:val="2E1A59A8"/>
    <w:rsid w:val="2E1FBAB9"/>
    <w:rsid w:val="2E2699AE"/>
    <w:rsid w:val="2E2A4851"/>
    <w:rsid w:val="2E2D3873"/>
    <w:rsid w:val="2E2D9012"/>
    <w:rsid w:val="2E2E8EA4"/>
    <w:rsid w:val="2E37AF94"/>
    <w:rsid w:val="2E389141"/>
    <w:rsid w:val="2E3A91E5"/>
    <w:rsid w:val="2E3F804D"/>
    <w:rsid w:val="2E41415B"/>
    <w:rsid w:val="2E4F8E92"/>
    <w:rsid w:val="2E533EC8"/>
    <w:rsid w:val="2E55032E"/>
    <w:rsid w:val="2E554675"/>
    <w:rsid w:val="2E555843"/>
    <w:rsid w:val="2E5E7794"/>
    <w:rsid w:val="2E5E9EF8"/>
    <w:rsid w:val="2E5F964D"/>
    <w:rsid w:val="2E61F4A0"/>
    <w:rsid w:val="2E636F2C"/>
    <w:rsid w:val="2E72794D"/>
    <w:rsid w:val="2E7646A5"/>
    <w:rsid w:val="2E7A7EDC"/>
    <w:rsid w:val="2E7BE324"/>
    <w:rsid w:val="2E8343C6"/>
    <w:rsid w:val="2E8A0AF6"/>
    <w:rsid w:val="2E8A819B"/>
    <w:rsid w:val="2E92583F"/>
    <w:rsid w:val="2E9289B1"/>
    <w:rsid w:val="2E935E6E"/>
    <w:rsid w:val="2E95E49A"/>
    <w:rsid w:val="2E997A20"/>
    <w:rsid w:val="2EA1A28F"/>
    <w:rsid w:val="2EABD5FE"/>
    <w:rsid w:val="2EC248B1"/>
    <w:rsid w:val="2EC2FFC6"/>
    <w:rsid w:val="2ECA3264"/>
    <w:rsid w:val="2ECAACBF"/>
    <w:rsid w:val="2ECB3B50"/>
    <w:rsid w:val="2ECE70EF"/>
    <w:rsid w:val="2ED24A5F"/>
    <w:rsid w:val="2ED48006"/>
    <w:rsid w:val="2ED92D42"/>
    <w:rsid w:val="2EDAD910"/>
    <w:rsid w:val="2EDAEDCD"/>
    <w:rsid w:val="2EDCDCCB"/>
    <w:rsid w:val="2EDFC1D1"/>
    <w:rsid w:val="2EE4D54C"/>
    <w:rsid w:val="2EEB614B"/>
    <w:rsid w:val="2EECB27B"/>
    <w:rsid w:val="2EF29F96"/>
    <w:rsid w:val="2EF8B404"/>
    <w:rsid w:val="2EFD5052"/>
    <w:rsid w:val="2EFF329F"/>
    <w:rsid w:val="2F10B11F"/>
    <w:rsid w:val="2F13BE2C"/>
    <w:rsid w:val="2F17BABA"/>
    <w:rsid w:val="2F18A203"/>
    <w:rsid w:val="2F23CF6C"/>
    <w:rsid w:val="2F2D5B6D"/>
    <w:rsid w:val="2F35E495"/>
    <w:rsid w:val="2F41CAF4"/>
    <w:rsid w:val="2F51A731"/>
    <w:rsid w:val="2F52E543"/>
    <w:rsid w:val="2F685DC4"/>
    <w:rsid w:val="2F686270"/>
    <w:rsid w:val="2F6B842E"/>
    <w:rsid w:val="2F6DD080"/>
    <w:rsid w:val="2F6E8D92"/>
    <w:rsid w:val="2F72018B"/>
    <w:rsid w:val="2F769468"/>
    <w:rsid w:val="2F769927"/>
    <w:rsid w:val="2F7A85AC"/>
    <w:rsid w:val="2F830722"/>
    <w:rsid w:val="2F8E4EBC"/>
    <w:rsid w:val="2F8E5362"/>
    <w:rsid w:val="2F8FFF70"/>
    <w:rsid w:val="2F9C180F"/>
    <w:rsid w:val="2F9FCD68"/>
    <w:rsid w:val="2FA2A905"/>
    <w:rsid w:val="2FA708BD"/>
    <w:rsid w:val="2FA82A30"/>
    <w:rsid w:val="2FAE2BA0"/>
    <w:rsid w:val="2FB00EE0"/>
    <w:rsid w:val="2FB14FEC"/>
    <w:rsid w:val="2FB9F879"/>
    <w:rsid w:val="2FBC278E"/>
    <w:rsid w:val="2FBD075D"/>
    <w:rsid w:val="2FBE534D"/>
    <w:rsid w:val="2FC0CC42"/>
    <w:rsid w:val="2FC6E449"/>
    <w:rsid w:val="2FCB69DC"/>
    <w:rsid w:val="2FCC0ED5"/>
    <w:rsid w:val="2FCD8B03"/>
    <w:rsid w:val="2FD18FB8"/>
    <w:rsid w:val="2FD66246"/>
    <w:rsid w:val="2FD983DB"/>
    <w:rsid w:val="2FDE3FEF"/>
    <w:rsid w:val="2FE33E4A"/>
    <w:rsid w:val="2FE6B338"/>
    <w:rsid w:val="2FE838B2"/>
    <w:rsid w:val="2FE9CA58"/>
    <w:rsid w:val="2FEE2601"/>
    <w:rsid w:val="2FEEDB88"/>
    <w:rsid w:val="2FF6200A"/>
    <w:rsid w:val="2FF8A15B"/>
    <w:rsid w:val="3002C0E9"/>
    <w:rsid w:val="3004B775"/>
    <w:rsid w:val="3005D095"/>
    <w:rsid w:val="30074C30"/>
    <w:rsid w:val="3008063D"/>
    <w:rsid w:val="3027D9F4"/>
    <w:rsid w:val="3027ED75"/>
    <w:rsid w:val="302FA462"/>
    <w:rsid w:val="3030F3B6"/>
    <w:rsid w:val="30320C01"/>
    <w:rsid w:val="30342BFD"/>
    <w:rsid w:val="3042C605"/>
    <w:rsid w:val="304C41B3"/>
    <w:rsid w:val="304CABDF"/>
    <w:rsid w:val="30513F50"/>
    <w:rsid w:val="3053AC95"/>
    <w:rsid w:val="305E84A9"/>
    <w:rsid w:val="306C05A1"/>
    <w:rsid w:val="307B6043"/>
    <w:rsid w:val="30814BB0"/>
    <w:rsid w:val="30816B54"/>
    <w:rsid w:val="30868E04"/>
    <w:rsid w:val="30918962"/>
    <w:rsid w:val="3092FC2D"/>
    <w:rsid w:val="309767B9"/>
    <w:rsid w:val="309CCFAE"/>
    <w:rsid w:val="309E4EDC"/>
    <w:rsid w:val="309FA83F"/>
    <w:rsid w:val="30A0005F"/>
    <w:rsid w:val="30A5856F"/>
    <w:rsid w:val="30A75BA1"/>
    <w:rsid w:val="30B0FCDC"/>
    <w:rsid w:val="30B88CB5"/>
    <w:rsid w:val="30B8A1C2"/>
    <w:rsid w:val="30C7B3A5"/>
    <w:rsid w:val="30D04C8B"/>
    <w:rsid w:val="30D3DA7F"/>
    <w:rsid w:val="30D93B47"/>
    <w:rsid w:val="30DBCEB4"/>
    <w:rsid w:val="30F095EA"/>
    <w:rsid w:val="30F35504"/>
    <w:rsid w:val="30F41727"/>
    <w:rsid w:val="30F6F21F"/>
    <w:rsid w:val="31006FFB"/>
    <w:rsid w:val="31097637"/>
    <w:rsid w:val="3109DC56"/>
    <w:rsid w:val="310AFC64"/>
    <w:rsid w:val="310BC4F7"/>
    <w:rsid w:val="310C1094"/>
    <w:rsid w:val="310F7DEF"/>
    <w:rsid w:val="311472ED"/>
    <w:rsid w:val="3120B002"/>
    <w:rsid w:val="3121F37B"/>
    <w:rsid w:val="312A72B6"/>
    <w:rsid w:val="312B8D26"/>
    <w:rsid w:val="312E2843"/>
    <w:rsid w:val="313B126A"/>
    <w:rsid w:val="313D6AEF"/>
    <w:rsid w:val="3144198F"/>
    <w:rsid w:val="3145905A"/>
    <w:rsid w:val="3146749B"/>
    <w:rsid w:val="314A2794"/>
    <w:rsid w:val="314BD7C5"/>
    <w:rsid w:val="314BFBD1"/>
    <w:rsid w:val="31520BBB"/>
    <w:rsid w:val="31538F3F"/>
    <w:rsid w:val="3154A6DF"/>
    <w:rsid w:val="31553056"/>
    <w:rsid w:val="315E4CE8"/>
    <w:rsid w:val="31650022"/>
    <w:rsid w:val="31657CF9"/>
    <w:rsid w:val="3168FD52"/>
    <w:rsid w:val="317232A7"/>
    <w:rsid w:val="3182F84C"/>
    <w:rsid w:val="3183A1E1"/>
    <w:rsid w:val="318F2564"/>
    <w:rsid w:val="31A2754A"/>
    <w:rsid w:val="31A78A30"/>
    <w:rsid w:val="31AA856A"/>
    <w:rsid w:val="31B4F518"/>
    <w:rsid w:val="31B88BDF"/>
    <w:rsid w:val="31B8BC21"/>
    <w:rsid w:val="31B9DCE2"/>
    <w:rsid w:val="31C1AD74"/>
    <w:rsid w:val="31C4C713"/>
    <w:rsid w:val="31C4CDFB"/>
    <w:rsid w:val="31C79A13"/>
    <w:rsid w:val="31E13D6C"/>
    <w:rsid w:val="31E97251"/>
    <w:rsid w:val="31EFB28F"/>
    <w:rsid w:val="320F375B"/>
    <w:rsid w:val="3210187A"/>
    <w:rsid w:val="32115810"/>
    <w:rsid w:val="32157576"/>
    <w:rsid w:val="321730A4"/>
    <w:rsid w:val="321BAE88"/>
    <w:rsid w:val="3226E6B4"/>
    <w:rsid w:val="322B37B8"/>
    <w:rsid w:val="322CDA9C"/>
    <w:rsid w:val="32355F0D"/>
    <w:rsid w:val="32460438"/>
    <w:rsid w:val="325387FD"/>
    <w:rsid w:val="32546635"/>
    <w:rsid w:val="32566578"/>
    <w:rsid w:val="32571AF0"/>
    <w:rsid w:val="3257E0E5"/>
    <w:rsid w:val="325911AC"/>
    <w:rsid w:val="325AF31F"/>
    <w:rsid w:val="325E0DB2"/>
    <w:rsid w:val="325EE81D"/>
    <w:rsid w:val="3264A5A1"/>
    <w:rsid w:val="32651627"/>
    <w:rsid w:val="3265F59A"/>
    <w:rsid w:val="326EDE6B"/>
    <w:rsid w:val="3277F9AE"/>
    <w:rsid w:val="327B777F"/>
    <w:rsid w:val="327CF13A"/>
    <w:rsid w:val="327DA7B3"/>
    <w:rsid w:val="327E2078"/>
    <w:rsid w:val="327ECB6F"/>
    <w:rsid w:val="328012DB"/>
    <w:rsid w:val="328BBBAA"/>
    <w:rsid w:val="328E5843"/>
    <w:rsid w:val="329061BF"/>
    <w:rsid w:val="32910A31"/>
    <w:rsid w:val="32916645"/>
    <w:rsid w:val="329AC6C7"/>
    <w:rsid w:val="329CA074"/>
    <w:rsid w:val="329F0BBE"/>
    <w:rsid w:val="32A551A0"/>
    <w:rsid w:val="32A74CCE"/>
    <w:rsid w:val="32B99377"/>
    <w:rsid w:val="32BA31FA"/>
    <w:rsid w:val="32BA3F26"/>
    <w:rsid w:val="32BD7C82"/>
    <w:rsid w:val="32C126CC"/>
    <w:rsid w:val="32C1807A"/>
    <w:rsid w:val="32C3D740"/>
    <w:rsid w:val="32CE7D33"/>
    <w:rsid w:val="32D6E2CB"/>
    <w:rsid w:val="32DA2616"/>
    <w:rsid w:val="32DEB113"/>
    <w:rsid w:val="32E2E0F1"/>
    <w:rsid w:val="32E434A6"/>
    <w:rsid w:val="32E78F6F"/>
    <w:rsid w:val="32EEFF7B"/>
    <w:rsid w:val="32F0A863"/>
    <w:rsid w:val="32F398A3"/>
    <w:rsid w:val="3304DFA7"/>
    <w:rsid w:val="330CC069"/>
    <w:rsid w:val="330E0308"/>
    <w:rsid w:val="3318A8D1"/>
    <w:rsid w:val="331930B2"/>
    <w:rsid w:val="331BF843"/>
    <w:rsid w:val="331CF101"/>
    <w:rsid w:val="331E361C"/>
    <w:rsid w:val="332EECCA"/>
    <w:rsid w:val="3331BFC4"/>
    <w:rsid w:val="33489509"/>
    <w:rsid w:val="334E1CB2"/>
    <w:rsid w:val="33577E43"/>
    <w:rsid w:val="335C7988"/>
    <w:rsid w:val="335D1439"/>
    <w:rsid w:val="335DC5C1"/>
    <w:rsid w:val="336006AC"/>
    <w:rsid w:val="3365EAD3"/>
    <w:rsid w:val="33677461"/>
    <w:rsid w:val="336D2B8D"/>
    <w:rsid w:val="3373AC25"/>
    <w:rsid w:val="337E54F0"/>
    <w:rsid w:val="33818A04"/>
    <w:rsid w:val="3382BF9F"/>
    <w:rsid w:val="338C6AE3"/>
    <w:rsid w:val="3396A89A"/>
    <w:rsid w:val="339F7FD6"/>
    <w:rsid w:val="33A9E076"/>
    <w:rsid w:val="33B77701"/>
    <w:rsid w:val="33BCF7DA"/>
    <w:rsid w:val="33C64F4E"/>
    <w:rsid w:val="33D0A0FF"/>
    <w:rsid w:val="33D15998"/>
    <w:rsid w:val="33D29F81"/>
    <w:rsid w:val="33D2D438"/>
    <w:rsid w:val="33DF3916"/>
    <w:rsid w:val="33DFDE2D"/>
    <w:rsid w:val="33E2DE16"/>
    <w:rsid w:val="33E3E9B9"/>
    <w:rsid w:val="33E75062"/>
    <w:rsid w:val="33EAC1C3"/>
    <w:rsid w:val="33F1070D"/>
    <w:rsid w:val="33FBCEB3"/>
    <w:rsid w:val="340604E2"/>
    <w:rsid w:val="3407A4D8"/>
    <w:rsid w:val="3407D275"/>
    <w:rsid w:val="3409F048"/>
    <w:rsid w:val="340C6BC4"/>
    <w:rsid w:val="3416CDF0"/>
    <w:rsid w:val="341D10E1"/>
    <w:rsid w:val="341F5524"/>
    <w:rsid w:val="341F5E54"/>
    <w:rsid w:val="34201D69"/>
    <w:rsid w:val="3422AB36"/>
    <w:rsid w:val="342803DB"/>
    <w:rsid w:val="343C98C7"/>
    <w:rsid w:val="3446132E"/>
    <w:rsid w:val="344C065C"/>
    <w:rsid w:val="34515898"/>
    <w:rsid w:val="345C96E7"/>
    <w:rsid w:val="34664506"/>
    <w:rsid w:val="346AA605"/>
    <w:rsid w:val="346AD8BC"/>
    <w:rsid w:val="346AF841"/>
    <w:rsid w:val="346CA6C7"/>
    <w:rsid w:val="346CB7BA"/>
    <w:rsid w:val="34747FFE"/>
    <w:rsid w:val="34750BB1"/>
    <w:rsid w:val="347C9C65"/>
    <w:rsid w:val="347EF093"/>
    <w:rsid w:val="3484C484"/>
    <w:rsid w:val="348A01CA"/>
    <w:rsid w:val="348C20F1"/>
    <w:rsid w:val="349B5E4E"/>
    <w:rsid w:val="349B719D"/>
    <w:rsid w:val="34A1085D"/>
    <w:rsid w:val="34A64652"/>
    <w:rsid w:val="34ABB57B"/>
    <w:rsid w:val="34AEB59F"/>
    <w:rsid w:val="34B627A5"/>
    <w:rsid w:val="34B62CC6"/>
    <w:rsid w:val="34BCB624"/>
    <w:rsid w:val="34BF75C8"/>
    <w:rsid w:val="34CAB464"/>
    <w:rsid w:val="34D830AD"/>
    <w:rsid w:val="34D92EF0"/>
    <w:rsid w:val="34E95575"/>
    <w:rsid w:val="34EDC006"/>
    <w:rsid w:val="34F6EE14"/>
    <w:rsid w:val="34FE22B5"/>
    <w:rsid w:val="3505C5B5"/>
    <w:rsid w:val="35074AD9"/>
    <w:rsid w:val="3507C1B5"/>
    <w:rsid w:val="350DF82E"/>
    <w:rsid w:val="350E2675"/>
    <w:rsid w:val="351470FC"/>
    <w:rsid w:val="3516D6B3"/>
    <w:rsid w:val="351A7EBB"/>
    <w:rsid w:val="351DB1D8"/>
    <w:rsid w:val="3521254F"/>
    <w:rsid w:val="35247DA2"/>
    <w:rsid w:val="3529FB2B"/>
    <w:rsid w:val="352B9998"/>
    <w:rsid w:val="352D2D16"/>
    <w:rsid w:val="352F6B6D"/>
    <w:rsid w:val="3531C632"/>
    <w:rsid w:val="353402F6"/>
    <w:rsid w:val="353D4F17"/>
    <w:rsid w:val="354313E4"/>
    <w:rsid w:val="35433D7F"/>
    <w:rsid w:val="3555CD9F"/>
    <w:rsid w:val="355A0F84"/>
    <w:rsid w:val="355A882F"/>
    <w:rsid w:val="355B7ACE"/>
    <w:rsid w:val="355DEACB"/>
    <w:rsid w:val="3561B88D"/>
    <w:rsid w:val="3568CEA4"/>
    <w:rsid w:val="356D4F3C"/>
    <w:rsid w:val="356EC8D0"/>
    <w:rsid w:val="3580122D"/>
    <w:rsid w:val="35846DFF"/>
    <w:rsid w:val="358AE0DD"/>
    <w:rsid w:val="358F3395"/>
    <w:rsid w:val="3590B848"/>
    <w:rsid w:val="3594EDA0"/>
    <w:rsid w:val="3596ECE8"/>
    <w:rsid w:val="35A37454"/>
    <w:rsid w:val="35A4DDD8"/>
    <w:rsid w:val="35A5E77D"/>
    <w:rsid w:val="35AEEF6F"/>
    <w:rsid w:val="35B46938"/>
    <w:rsid w:val="35B5C2E4"/>
    <w:rsid w:val="35B885A3"/>
    <w:rsid w:val="35BF2C8A"/>
    <w:rsid w:val="35C74018"/>
    <w:rsid w:val="35C8559A"/>
    <w:rsid w:val="35D3A706"/>
    <w:rsid w:val="35D7E554"/>
    <w:rsid w:val="35D9F172"/>
    <w:rsid w:val="35E00AF8"/>
    <w:rsid w:val="35ED35EA"/>
    <w:rsid w:val="35F16AD3"/>
    <w:rsid w:val="35FA5670"/>
    <w:rsid w:val="35FE185F"/>
    <w:rsid w:val="35FE5A4B"/>
    <w:rsid w:val="360987B7"/>
    <w:rsid w:val="360CC05A"/>
    <w:rsid w:val="362D5913"/>
    <w:rsid w:val="362FBD62"/>
    <w:rsid w:val="36330C38"/>
    <w:rsid w:val="363628FA"/>
    <w:rsid w:val="363D9DCC"/>
    <w:rsid w:val="3642BD4C"/>
    <w:rsid w:val="3646DA84"/>
    <w:rsid w:val="364947FE"/>
    <w:rsid w:val="364A625A"/>
    <w:rsid w:val="364D5DEB"/>
    <w:rsid w:val="3650C781"/>
    <w:rsid w:val="365B8412"/>
    <w:rsid w:val="365FE813"/>
    <w:rsid w:val="3672C02F"/>
    <w:rsid w:val="367D14BD"/>
    <w:rsid w:val="368273FE"/>
    <w:rsid w:val="368629E2"/>
    <w:rsid w:val="368AF9C0"/>
    <w:rsid w:val="3692CB28"/>
    <w:rsid w:val="36962807"/>
    <w:rsid w:val="369990DE"/>
    <w:rsid w:val="3699BF6A"/>
    <w:rsid w:val="36A027C2"/>
    <w:rsid w:val="36A0621A"/>
    <w:rsid w:val="36A0F60F"/>
    <w:rsid w:val="36AC98A8"/>
    <w:rsid w:val="36B49556"/>
    <w:rsid w:val="36B59959"/>
    <w:rsid w:val="36B6708B"/>
    <w:rsid w:val="36BD85D9"/>
    <w:rsid w:val="36C7DD92"/>
    <w:rsid w:val="36C86F65"/>
    <w:rsid w:val="36C8AA6B"/>
    <w:rsid w:val="36C8D05D"/>
    <w:rsid w:val="36CE25D1"/>
    <w:rsid w:val="36D066C5"/>
    <w:rsid w:val="36D1E7C9"/>
    <w:rsid w:val="36DC0A46"/>
    <w:rsid w:val="36E3979B"/>
    <w:rsid w:val="36E78112"/>
    <w:rsid w:val="36E8B253"/>
    <w:rsid w:val="36EF7426"/>
    <w:rsid w:val="36F623A5"/>
    <w:rsid w:val="36FA17AE"/>
    <w:rsid w:val="371B77F7"/>
    <w:rsid w:val="371CB9DC"/>
    <w:rsid w:val="37275386"/>
    <w:rsid w:val="3733D240"/>
    <w:rsid w:val="3734A101"/>
    <w:rsid w:val="37366325"/>
    <w:rsid w:val="373E921F"/>
    <w:rsid w:val="3741A1B3"/>
    <w:rsid w:val="3741A641"/>
    <w:rsid w:val="374A04F5"/>
    <w:rsid w:val="375098E9"/>
    <w:rsid w:val="375892F4"/>
    <w:rsid w:val="375AEB00"/>
    <w:rsid w:val="375AF3EC"/>
    <w:rsid w:val="37603C15"/>
    <w:rsid w:val="3763FAD1"/>
    <w:rsid w:val="37687C60"/>
    <w:rsid w:val="377948A6"/>
    <w:rsid w:val="377B4334"/>
    <w:rsid w:val="378E4BF7"/>
    <w:rsid w:val="378FD30E"/>
    <w:rsid w:val="37957BAE"/>
    <w:rsid w:val="3795F309"/>
    <w:rsid w:val="3798DDEA"/>
    <w:rsid w:val="3799D44B"/>
    <w:rsid w:val="379BA06C"/>
    <w:rsid w:val="379EE6D6"/>
    <w:rsid w:val="37A00900"/>
    <w:rsid w:val="37B49174"/>
    <w:rsid w:val="37B53E5E"/>
    <w:rsid w:val="37B5D7CE"/>
    <w:rsid w:val="37B7FBD6"/>
    <w:rsid w:val="37BB24C3"/>
    <w:rsid w:val="37C2A805"/>
    <w:rsid w:val="37C2D0C3"/>
    <w:rsid w:val="37C4DB93"/>
    <w:rsid w:val="37C99D56"/>
    <w:rsid w:val="37CC0296"/>
    <w:rsid w:val="37D13ADF"/>
    <w:rsid w:val="37D5E2A2"/>
    <w:rsid w:val="37DC081B"/>
    <w:rsid w:val="37EE164F"/>
    <w:rsid w:val="37F25819"/>
    <w:rsid w:val="37F5BFB6"/>
    <w:rsid w:val="37FC33EA"/>
    <w:rsid w:val="37FF60D9"/>
    <w:rsid w:val="37FFD589"/>
    <w:rsid w:val="380CC9DC"/>
    <w:rsid w:val="38138198"/>
    <w:rsid w:val="3815D109"/>
    <w:rsid w:val="38263D2F"/>
    <w:rsid w:val="38290270"/>
    <w:rsid w:val="382D3F52"/>
    <w:rsid w:val="3837A058"/>
    <w:rsid w:val="383FB4E2"/>
    <w:rsid w:val="384BE216"/>
    <w:rsid w:val="384C8FEC"/>
    <w:rsid w:val="384C9AC8"/>
    <w:rsid w:val="384DF095"/>
    <w:rsid w:val="3852CC3A"/>
    <w:rsid w:val="38535F4F"/>
    <w:rsid w:val="3860DA11"/>
    <w:rsid w:val="386EF088"/>
    <w:rsid w:val="387704BA"/>
    <w:rsid w:val="3877DAA7"/>
    <w:rsid w:val="38785F46"/>
    <w:rsid w:val="387F04B6"/>
    <w:rsid w:val="3882B40E"/>
    <w:rsid w:val="388F0A90"/>
    <w:rsid w:val="389018AE"/>
    <w:rsid w:val="38917329"/>
    <w:rsid w:val="38A3A371"/>
    <w:rsid w:val="38A88F69"/>
    <w:rsid w:val="38C81A0B"/>
    <w:rsid w:val="38CDA4EC"/>
    <w:rsid w:val="38CE6584"/>
    <w:rsid w:val="38CE8A72"/>
    <w:rsid w:val="38D13FB3"/>
    <w:rsid w:val="38D1852E"/>
    <w:rsid w:val="38D4D295"/>
    <w:rsid w:val="38DE5BF0"/>
    <w:rsid w:val="38DEC0B6"/>
    <w:rsid w:val="38E3CB08"/>
    <w:rsid w:val="38E51A01"/>
    <w:rsid w:val="38FCB67F"/>
    <w:rsid w:val="38FD62A4"/>
    <w:rsid w:val="38FE09DF"/>
    <w:rsid w:val="38FFB196"/>
    <w:rsid w:val="390A4D68"/>
    <w:rsid w:val="390E6B5F"/>
    <w:rsid w:val="39105B67"/>
    <w:rsid w:val="39114155"/>
    <w:rsid w:val="3914D02C"/>
    <w:rsid w:val="3916D0EF"/>
    <w:rsid w:val="3928B4FA"/>
    <w:rsid w:val="392942B5"/>
    <w:rsid w:val="392CB2E6"/>
    <w:rsid w:val="392E6D77"/>
    <w:rsid w:val="3930A90C"/>
    <w:rsid w:val="39319866"/>
    <w:rsid w:val="39327682"/>
    <w:rsid w:val="3933E93B"/>
    <w:rsid w:val="393478BB"/>
    <w:rsid w:val="39365058"/>
    <w:rsid w:val="3939A0D3"/>
    <w:rsid w:val="3942B6A1"/>
    <w:rsid w:val="3942F10B"/>
    <w:rsid w:val="3943FA24"/>
    <w:rsid w:val="394414F5"/>
    <w:rsid w:val="39474C6A"/>
    <w:rsid w:val="394F5B76"/>
    <w:rsid w:val="3957AA3D"/>
    <w:rsid w:val="396BD4D4"/>
    <w:rsid w:val="396C6D50"/>
    <w:rsid w:val="396E317A"/>
    <w:rsid w:val="3974C8AC"/>
    <w:rsid w:val="3978E282"/>
    <w:rsid w:val="397A5A84"/>
    <w:rsid w:val="39808043"/>
    <w:rsid w:val="398144F4"/>
    <w:rsid w:val="3982B828"/>
    <w:rsid w:val="3988E422"/>
    <w:rsid w:val="398C39DD"/>
    <w:rsid w:val="398F1CCB"/>
    <w:rsid w:val="3998959E"/>
    <w:rsid w:val="399C2D59"/>
    <w:rsid w:val="39A1DEEC"/>
    <w:rsid w:val="39A2DE6B"/>
    <w:rsid w:val="39AC6C11"/>
    <w:rsid w:val="39B1776A"/>
    <w:rsid w:val="39B1A8ED"/>
    <w:rsid w:val="39B5974F"/>
    <w:rsid w:val="39B6C2F4"/>
    <w:rsid w:val="39BB4624"/>
    <w:rsid w:val="39C1A5BC"/>
    <w:rsid w:val="39CD866A"/>
    <w:rsid w:val="39D92C2A"/>
    <w:rsid w:val="39DCEE35"/>
    <w:rsid w:val="39E57F8F"/>
    <w:rsid w:val="39E73072"/>
    <w:rsid w:val="39E85D93"/>
    <w:rsid w:val="39FA2010"/>
    <w:rsid w:val="39FB6427"/>
    <w:rsid w:val="3A03ACCF"/>
    <w:rsid w:val="3A0C4292"/>
    <w:rsid w:val="3A1E215D"/>
    <w:rsid w:val="3A1E37C5"/>
    <w:rsid w:val="3A1E57BD"/>
    <w:rsid w:val="3A1FCEB3"/>
    <w:rsid w:val="3A20E22D"/>
    <w:rsid w:val="3A25A151"/>
    <w:rsid w:val="3A27A436"/>
    <w:rsid w:val="3A2C02BA"/>
    <w:rsid w:val="3A39A125"/>
    <w:rsid w:val="3A3C8550"/>
    <w:rsid w:val="3A422E46"/>
    <w:rsid w:val="3A45084D"/>
    <w:rsid w:val="3A4A9389"/>
    <w:rsid w:val="3A4BA65E"/>
    <w:rsid w:val="3A4CF9A3"/>
    <w:rsid w:val="3A52500E"/>
    <w:rsid w:val="3A567E01"/>
    <w:rsid w:val="3A5988D8"/>
    <w:rsid w:val="3A5DB0EF"/>
    <w:rsid w:val="3A5FC0B9"/>
    <w:rsid w:val="3A716EEF"/>
    <w:rsid w:val="3A71A314"/>
    <w:rsid w:val="3A73EC3F"/>
    <w:rsid w:val="3A760B32"/>
    <w:rsid w:val="3A782CE2"/>
    <w:rsid w:val="3A78E916"/>
    <w:rsid w:val="3A8461C1"/>
    <w:rsid w:val="3A8A9A8D"/>
    <w:rsid w:val="3A90FB33"/>
    <w:rsid w:val="3A94C30E"/>
    <w:rsid w:val="3A9D96E9"/>
    <w:rsid w:val="3A9ED668"/>
    <w:rsid w:val="3AA48EBB"/>
    <w:rsid w:val="3AA9D3A5"/>
    <w:rsid w:val="3AAA879E"/>
    <w:rsid w:val="3AADD13D"/>
    <w:rsid w:val="3AB14744"/>
    <w:rsid w:val="3AB163C3"/>
    <w:rsid w:val="3AB1FF78"/>
    <w:rsid w:val="3ABC9668"/>
    <w:rsid w:val="3AC06FB0"/>
    <w:rsid w:val="3ACD2DE1"/>
    <w:rsid w:val="3ACEA1E8"/>
    <w:rsid w:val="3AD2D456"/>
    <w:rsid w:val="3AD6EC24"/>
    <w:rsid w:val="3AE9FC4C"/>
    <w:rsid w:val="3AEB468E"/>
    <w:rsid w:val="3AEC165F"/>
    <w:rsid w:val="3AEC21E0"/>
    <w:rsid w:val="3AF01570"/>
    <w:rsid w:val="3AF027B9"/>
    <w:rsid w:val="3AFA7185"/>
    <w:rsid w:val="3B001B61"/>
    <w:rsid w:val="3B005115"/>
    <w:rsid w:val="3B0BAD05"/>
    <w:rsid w:val="3B0E02CC"/>
    <w:rsid w:val="3B12B1FB"/>
    <w:rsid w:val="3B19B082"/>
    <w:rsid w:val="3B210273"/>
    <w:rsid w:val="3B21CAB5"/>
    <w:rsid w:val="3B29CE0B"/>
    <w:rsid w:val="3B29D0FC"/>
    <w:rsid w:val="3B333E05"/>
    <w:rsid w:val="3B3C4C5F"/>
    <w:rsid w:val="3B3DEAC0"/>
    <w:rsid w:val="3B460BF4"/>
    <w:rsid w:val="3B4F1E44"/>
    <w:rsid w:val="3B5341C2"/>
    <w:rsid w:val="3B546BAD"/>
    <w:rsid w:val="3B63D5B8"/>
    <w:rsid w:val="3B66AFC5"/>
    <w:rsid w:val="3B6C8750"/>
    <w:rsid w:val="3B7A4FAA"/>
    <w:rsid w:val="3B7A67AE"/>
    <w:rsid w:val="3B7B200F"/>
    <w:rsid w:val="3B846457"/>
    <w:rsid w:val="3B8C1C3B"/>
    <w:rsid w:val="3B9051A9"/>
    <w:rsid w:val="3BA034B2"/>
    <w:rsid w:val="3BA0D518"/>
    <w:rsid w:val="3BA1ABA2"/>
    <w:rsid w:val="3BA77DCF"/>
    <w:rsid w:val="3BA9A090"/>
    <w:rsid w:val="3BA9A8F4"/>
    <w:rsid w:val="3BB3DDA5"/>
    <w:rsid w:val="3BB79AE5"/>
    <w:rsid w:val="3BBA14E8"/>
    <w:rsid w:val="3BBA6278"/>
    <w:rsid w:val="3BBE12EA"/>
    <w:rsid w:val="3BBEC420"/>
    <w:rsid w:val="3BC09B72"/>
    <w:rsid w:val="3BC20428"/>
    <w:rsid w:val="3BC59C00"/>
    <w:rsid w:val="3BCC6C09"/>
    <w:rsid w:val="3BCD27D0"/>
    <w:rsid w:val="3BCE67C6"/>
    <w:rsid w:val="3BDFF940"/>
    <w:rsid w:val="3BE038F3"/>
    <w:rsid w:val="3BE25799"/>
    <w:rsid w:val="3BE64CF9"/>
    <w:rsid w:val="3BE72E65"/>
    <w:rsid w:val="3BE9D98E"/>
    <w:rsid w:val="3BEE9914"/>
    <w:rsid w:val="3BEEFB2B"/>
    <w:rsid w:val="3BFDD010"/>
    <w:rsid w:val="3BFE905A"/>
    <w:rsid w:val="3BFF32E0"/>
    <w:rsid w:val="3C03D207"/>
    <w:rsid w:val="3C07268E"/>
    <w:rsid w:val="3C0D5F10"/>
    <w:rsid w:val="3C116D58"/>
    <w:rsid w:val="3C12C0D4"/>
    <w:rsid w:val="3C177DA9"/>
    <w:rsid w:val="3C1E1A29"/>
    <w:rsid w:val="3C2326C8"/>
    <w:rsid w:val="3C30D792"/>
    <w:rsid w:val="3C46A002"/>
    <w:rsid w:val="3C4D10E9"/>
    <w:rsid w:val="3C4F9D7C"/>
    <w:rsid w:val="3C593B7D"/>
    <w:rsid w:val="3C5D0B94"/>
    <w:rsid w:val="3C61BD1A"/>
    <w:rsid w:val="3C633B6B"/>
    <w:rsid w:val="3C66A834"/>
    <w:rsid w:val="3C66FFBB"/>
    <w:rsid w:val="3C68E5FC"/>
    <w:rsid w:val="3C690AD4"/>
    <w:rsid w:val="3C69258C"/>
    <w:rsid w:val="3C71A923"/>
    <w:rsid w:val="3C791C78"/>
    <w:rsid w:val="3C853B6B"/>
    <w:rsid w:val="3C8DE4B1"/>
    <w:rsid w:val="3C99521D"/>
    <w:rsid w:val="3C9C6C35"/>
    <w:rsid w:val="3C9D70A7"/>
    <w:rsid w:val="3C9D99DE"/>
    <w:rsid w:val="3C9DD5F7"/>
    <w:rsid w:val="3CA148AD"/>
    <w:rsid w:val="3CA15A74"/>
    <w:rsid w:val="3CB34073"/>
    <w:rsid w:val="3CB44C0B"/>
    <w:rsid w:val="3CBEC982"/>
    <w:rsid w:val="3CBF4FF3"/>
    <w:rsid w:val="3CC65696"/>
    <w:rsid w:val="3CD84A85"/>
    <w:rsid w:val="3CDDE86A"/>
    <w:rsid w:val="3CDF179A"/>
    <w:rsid w:val="3CE1D820"/>
    <w:rsid w:val="3CE1E1C4"/>
    <w:rsid w:val="3CE3415F"/>
    <w:rsid w:val="3CEBE058"/>
    <w:rsid w:val="3CEF4C56"/>
    <w:rsid w:val="3CFDFF01"/>
    <w:rsid w:val="3D03025F"/>
    <w:rsid w:val="3D0EAF82"/>
    <w:rsid w:val="3D0FFB37"/>
    <w:rsid w:val="3D15407C"/>
    <w:rsid w:val="3D160EDF"/>
    <w:rsid w:val="3D19D913"/>
    <w:rsid w:val="3D1A4276"/>
    <w:rsid w:val="3D1AB75A"/>
    <w:rsid w:val="3D1B1F8D"/>
    <w:rsid w:val="3D1FA4D0"/>
    <w:rsid w:val="3D2B2EE7"/>
    <w:rsid w:val="3D2B7DEB"/>
    <w:rsid w:val="3D3E3AA8"/>
    <w:rsid w:val="3D3FF1DF"/>
    <w:rsid w:val="3D404FA2"/>
    <w:rsid w:val="3D45134D"/>
    <w:rsid w:val="3D4CA0EC"/>
    <w:rsid w:val="3D51BEA7"/>
    <w:rsid w:val="3D536319"/>
    <w:rsid w:val="3D55D984"/>
    <w:rsid w:val="3D5BE1A5"/>
    <w:rsid w:val="3D5C7DB2"/>
    <w:rsid w:val="3D6212A3"/>
    <w:rsid w:val="3D62BD56"/>
    <w:rsid w:val="3D649BBC"/>
    <w:rsid w:val="3D6D6046"/>
    <w:rsid w:val="3D772D74"/>
    <w:rsid w:val="3D776F1E"/>
    <w:rsid w:val="3D7E454B"/>
    <w:rsid w:val="3D7F9088"/>
    <w:rsid w:val="3D8358D5"/>
    <w:rsid w:val="3D8EFE16"/>
    <w:rsid w:val="3D96B681"/>
    <w:rsid w:val="3D9A25AD"/>
    <w:rsid w:val="3D9C9C1C"/>
    <w:rsid w:val="3D9F3581"/>
    <w:rsid w:val="3D9FD4DA"/>
    <w:rsid w:val="3D9FF547"/>
    <w:rsid w:val="3DA3101E"/>
    <w:rsid w:val="3DAD2C8D"/>
    <w:rsid w:val="3DAFF426"/>
    <w:rsid w:val="3DB423BB"/>
    <w:rsid w:val="3DC3AB94"/>
    <w:rsid w:val="3DCF9BAA"/>
    <w:rsid w:val="3DD6B643"/>
    <w:rsid w:val="3DE12F22"/>
    <w:rsid w:val="3DE13AA7"/>
    <w:rsid w:val="3DE2482A"/>
    <w:rsid w:val="3DEAEEDE"/>
    <w:rsid w:val="3DEEB971"/>
    <w:rsid w:val="3DFA37A4"/>
    <w:rsid w:val="3E068715"/>
    <w:rsid w:val="3E174315"/>
    <w:rsid w:val="3E1DBAC1"/>
    <w:rsid w:val="3E258459"/>
    <w:rsid w:val="3E2628DC"/>
    <w:rsid w:val="3E28D2A3"/>
    <w:rsid w:val="3E2C404C"/>
    <w:rsid w:val="3E2E8779"/>
    <w:rsid w:val="3E2ED467"/>
    <w:rsid w:val="3E387E30"/>
    <w:rsid w:val="3E4473E8"/>
    <w:rsid w:val="3E4A406E"/>
    <w:rsid w:val="3E532D38"/>
    <w:rsid w:val="3E5F8E1B"/>
    <w:rsid w:val="3E5F90A7"/>
    <w:rsid w:val="3E621B8A"/>
    <w:rsid w:val="3E639FED"/>
    <w:rsid w:val="3E6A79A1"/>
    <w:rsid w:val="3E6DD22A"/>
    <w:rsid w:val="3E7346F4"/>
    <w:rsid w:val="3E7CADC9"/>
    <w:rsid w:val="3E8525B8"/>
    <w:rsid w:val="3E85D95F"/>
    <w:rsid w:val="3E93A057"/>
    <w:rsid w:val="3E9CCECF"/>
    <w:rsid w:val="3E9F992F"/>
    <w:rsid w:val="3EA019B5"/>
    <w:rsid w:val="3EAA1C65"/>
    <w:rsid w:val="3EAE897D"/>
    <w:rsid w:val="3EAFDE15"/>
    <w:rsid w:val="3EB063F8"/>
    <w:rsid w:val="3EBBAFF5"/>
    <w:rsid w:val="3ECC09A9"/>
    <w:rsid w:val="3ECC2A31"/>
    <w:rsid w:val="3EDC2003"/>
    <w:rsid w:val="3EE190FE"/>
    <w:rsid w:val="3EF27173"/>
    <w:rsid w:val="3EF79132"/>
    <w:rsid w:val="3F0C933D"/>
    <w:rsid w:val="3F1720F8"/>
    <w:rsid w:val="3F1B62A0"/>
    <w:rsid w:val="3F1BFE9B"/>
    <w:rsid w:val="3F1F269A"/>
    <w:rsid w:val="3F27CF61"/>
    <w:rsid w:val="3F32B0A8"/>
    <w:rsid w:val="3F37787C"/>
    <w:rsid w:val="3F41CED6"/>
    <w:rsid w:val="3F4504F7"/>
    <w:rsid w:val="3F46A2A5"/>
    <w:rsid w:val="3F4D72AE"/>
    <w:rsid w:val="3F4F112B"/>
    <w:rsid w:val="3F5983A2"/>
    <w:rsid w:val="3F62FCC8"/>
    <w:rsid w:val="3F649B9D"/>
    <w:rsid w:val="3F6FCC38"/>
    <w:rsid w:val="3F727BE5"/>
    <w:rsid w:val="3F7645D0"/>
    <w:rsid w:val="3F799474"/>
    <w:rsid w:val="3F7E188B"/>
    <w:rsid w:val="3F8276D2"/>
    <w:rsid w:val="3F85942B"/>
    <w:rsid w:val="3F86B5C7"/>
    <w:rsid w:val="3F875C5D"/>
    <w:rsid w:val="3F8B960B"/>
    <w:rsid w:val="3F9758B1"/>
    <w:rsid w:val="3F98D809"/>
    <w:rsid w:val="3F995DDC"/>
    <w:rsid w:val="3F9C072A"/>
    <w:rsid w:val="3FA52935"/>
    <w:rsid w:val="3FA6C70E"/>
    <w:rsid w:val="3FB1453B"/>
    <w:rsid w:val="3FB5BCBB"/>
    <w:rsid w:val="3FBD7E4B"/>
    <w:rsid w:val="3FC07EF9"/>
    <w:rsid w:val="3FCB4F56"/>
    <w:rsid w:val="3FD53949"/>
    <w:rsid w:val="3FD55D02"/>
    <w:rsid w:val="3FD83FA5"/>
    <w:rsid w:val="3FE0FE33"/>
    <w:rsid w:val="3FE4CCED"/>
    <w:rsid w:val="3FE884CF"/>
    <w:rsid w:val="3FF6F0B5"/>
    <w:rsid w:val="3FFAF2EF"/>
    <w:rsid w:val="3FFC92A4"/>
    <w:rsid w:val="40042899"/>
    <w:rsid w:val="4005DF4D"/>
    <w:rsid w:val="4008AC56"/>
    <w:rsid w:val="4012B958"/>
    <w:rsid w:val="401C42C5"/>
    <w:rsid w:val="401D6A56"/>
    <w:rsid w:val="4023002E"/>
    <w:rsid w:val="4025790B"/>
    <w:rsid w:val="40282DA7"/>
    <w:rsid w:val="402F0B7B"/>
    <w:rsid w:val="40325937"/>
    <w:rsid w:val="4039991B"/>
    <w:rsid w:val="40493D20"/>
    <w:rsid w:val="4050BD3F"/>
    <w:rsid w:val="4051A7AE"/>
    <w:rsid w:val="4059A0FE"/>
    <w:rsid w:val="405B374E"/>
    <w:rsid w:val="406347AC"/>
    <w:rsid w:val="4068A751"/>
    <w:rsid w:val="40690942"/>
    <w:rsid w:val="406DC726"/>
    <w:rsid w:val="408807AF"/>
    <w:rsid w:val="408AD0C7"/>
    <w:rsid w:val="409463FC"/>
    <w:rsid w:val="409A5E18"/>
    <w:rsid w:val="409F532F"/>
    <w:rsid w:val="40A1CBE4"/>
    <w:rsid w:val="40A263CA"/>
    <w:rsid w:val="40A305E7"/>
    <w:rsid w:val="40A3965C"/>
    <w:rsid w:val="40A635E1"/>
    <w:rsid w:val="40A9196B"/>
    <w:rsid w:val="40AED5EF"/>
    <w:rsid w:val="40AFDA96"/>
    <w:rsid w:val="40B043D7"/>
    <w:rsid w:val="40B681EA"/>
    <w:rsid w:val="40B9EE21"/>
    <w:rsid w:val="40C1F334"/>
    <w:rsid w:val="40C2045E"/>
    <w:rsid w:val="40CB5454"/>
    <w:rsid w:val="40CBDF08"/>
    <w:rsid w:val="40D91EF6"/>
    <w:rsid w:val="40E84038"/>
    <w:rsid w:val="40E9E825"/>
    <w:rsid w:val="40EAF670"/>
    <w:rsid w:val="40EEECB0"/>
    <w:rsid w:val="40F3922A"/>
    <w:rsid w:val="40F80E93"/>
    <w:rsid w:val="40F9730B"/>
    <w:rsid w:val="40FAB8CF"/>
    <w:rsid w:val="40FC377D"/>
    <w:rsid w:val="4100E8C8"/>
    <w:rsid w:val="4100F838"/>
    <w:rsid w:val="4109A4CD"/>
    <w:rsid w:val="4109E3E0"/>
    <w:rsid w:val="410A0A65"/>
    <w:rsid w:val="410C63B5"/>
    <w:rsid w:val="41158E6E"/>
    <w:rsid w:val="4118516F"/>
    <w:rsid w:val="4118EB88"/>
    <w:rsid w:val="411E4733"/>
    <w:rsid w:val="4120094F"/>
    <w:rsid w:val="41203CB5"/>
    <w:rsid w:val="412CA4DE"/>
    <w:rsid w:val="412CFFF7"/>
    <w:rsid w:val="412F1C50"/>
    <w:rsid w:val="41352457"/>
    <w:rsid w:val="413C5689"/>
    <w:rsid w:val="415A79E3"/>
    <w:rsid w:val="415DEEA7"/>
    <w:rsid w:val="41629246"/>
    <w:rsid w:val="417012F1"/>
    <w:rsid w:val="41780291"/>
    <w:rsid w:val="417D836F"/>
    <w:rsid w:val="417E729F"/>
    <w:rsid w:val="4183C6ED"/>
    <w:rsid w:val="41854700"/>
    <w:rsid w:val="4188F206"/>
    <w:rsid w:val="418ADA83"/>
    <w:rsid w:val="4191BA06"/>
    <w:rsid w:val="4192C116"/>
    <w:rsid w:val="41989336"/>
    <w:rsid w:val="419920FD"/>
    <w:rsid w:val="419E100C"/>
    <w:rsid w:val="41A0BB37"/>
    <w:rsid w:val="41B198B9"/>
    <w:rsid w:val="41B40338"/>
    <w:rsid w:val="41BD0C00"/>
    <w:rsid w:val="41BEB5E2"/>
    <w:rsid w:val="41BFBACC"/>
    <w:rsid w:val="41C397A1"/>
    <w:rsid w:val="41CE2E87"/>
    <w:rsid w:val="41ECBE35"/>
    <w:rsid w:val="41EE9209"/>
    <w:rsid w:val="41F2F4C3"/>
    <w:rsid w:val="41F6C692"/>
    <w:rsid w:val="41F706E5"/>
    <w:rsid w:val="41F72031"/>
    <w:rsid w:val="41FC34E0"/>
    <w:rsid w:val="420609F0"/>
    <w:rsid w:val="42085998"/>
    <w:rsid w:val="421ABE18"/>
    <w:rsid w:val="42216519"/>
    <w:rsid w:val="422279E6"/>
    <w:rsid w:val="4226514C"/>
    <w:rsid w:val="422BD9AB"/>
    <w:rsid w:val="4237E5F1"/>
    <w:rsid w:val="423CE2D0"/>
    <w:rsid w:val="42493D63"/>
    <w:rsid w:val="424B71EF"/>
    <w:rsid w:val="424B7FCA"/>
    <w:rsid w:val="424D9BD2"/>
    <w:rsid w:val="4250107A"/>
    <w:rsid w:val="42503E33"/>
    <w:rsid w:val="4250DC7F"/>
    <w:rsid w:val="42515262"/>
    <w:rsid w:val="4263A716"/>
    <w:rsid w:val="42641C9D"/>
    <w:rsid w:val="4266AC4E"/>
    <w:rsid w:val="42698B2A"/>
    <w:rsid w:val="426DF90E"/>
    <w:rsid w:val="42799762"/>
    <w:rsid w:val="427C05DB"/>
    <w:rsid w:val="427CF67F"/>
    <w:rsid w:val="427E21D8"/>
    <w:rsid w:val="4282510C"/>
    <w:rsid w:val="4287E550"/>
    <w:rsid w:val="4289BD2C"/>
    <w:rsid w:val="428A2C01"/>
    <w:rsid w:val="428F93BF"/>
    <w:rsid w:val="4298C636"/>
    <w:rsid w:val="429AB683"/>
    <w:rsid w:val="42A012ED"/>
    <w:rsid w:val="42A52DC0"/>
    <w:rsid w:val="42A6D431"/>
    <w:rsid w:val="42A8117E"/>
    <w:rsid w:val="42A87E62"/>
    <w:rsid w:val="42AF1A4B"/>
    <w:rsid w:val="42BADC47"/>
    <w:rsid w:val="42BFA070"/>
    <w:rsid w:val="42C441E1"/>
    <w:rsid w:val="42C62933"/>
    <w:rsid w:val="42CA6105"/>
    <w:rsid w:val="42CA9D96"/>
    <w:rsid w:val="42CEF6CF"/>
    <w:rsid w:val="42D6DE79"/>
    <w:rsid w:val="42D96A80"/>
    <w:rsid w:val="42D9DC9E"/>
    <w:rsid w:val="42E3ACCD"/>
    <w:rsid w:val="42E8128E"/>
    <w:rsid w:val="42EBF95E"/>
    <w:rsid w:val="42EF95C8"/>
    <w:rsid w:val="42F46AD7"/>
    <w:rsid w:val="42F6B3EA"/>
    <w:rsid w:val="42F917EC"/>
    <w:rsid w:val="42FE0CE1"/>
    <w:rsid w:val="42FE4097"/>
    <w:rsid w:val="4300D0C4"/>
    <w:rsid w:val="4306B337"/>
    <w:rsid w:val="430C054D"/>
    <w:rsid w:val="430D0B4E"/>
    <w:rsid w:val="43125BE9"/>
    <w:rsid w:val="4313685F"/>
    <w:rsid w:val="431B37AD"/>
    <w:rsid w:val="431D1771"/>
    <w:rsid w:val="431E91A8"/>
    <w:rsid w:val="43252483"/>
    <w:rsid w:val="43309B3B"/>
    <w:rsid w:val="433281C9"/>
    <w:rsid w:val="4334E8F2"/>
    <w:rsid w:val="4335614E"/>
    <w:rsid w:val="433B9CFB"/>
    <w:rsid w:val="433E6943"/>
    <w:rsid w:val="433E9368"/>
    <w:rsid w:val="43435138"/>
    <w:rsid w:val="434C4B3F"/>
    <w:rsid w:val="435446ED"/>
    <w:rsid w:val="43551347"/>
    <w:rsid w:val="435E45FF"/>
    <w:rsid w:val="435EDC49"/>
    <w:rsid w:val="4360B447"/>
    <w:rsid w:val="43630EA3"/>
    <w:rsid w:val="4366ED9A"/>
    <w:rsid w:val="436A72E3"/>
    <w:rsid w:val="436D626D"/>
    <w:rsid w:val="436FDC57"/>
    <w:rsid w:val="43779935"/>
    <w:rsid w:val="4378CE52"/>
    <w:rsid w:val="437A0DEE"/>
    <w:rsid w:val="437D05AE"/>
    <w:rsid w:val="438098BD"/>
    <w:rsid w:val="4390CAF3"/>
    <w:rsid w:val="4393BAF8"/>
    <w:rsid w:val="43954556"/>
    <w:rsid w:val="439B4E13"/>
    <w:rsid w:val="439D0AA3"/>
    <w:rsid w:val="439F90AD"/>
    <w:rsid w:val="43A2F2B2"/>
    <w:rsid w:val="43A40807"/>
    <w:rsid w:val="43AA1CBE"/>
    <w:rsid w:val="43AC4C00"/>
    <w:rsid w:val="43B20A0C"/>
    <w:rsid w:val="43B9E0FD"/>
    <w:rsid w:val="43BC70D7"/>
    <w:rsid w:val="43BED86F"/>
    <w:rsid w:val="43C379D9"/>
    <w:rsid w:val="43C95460"/>
    <w:rsid w:val="43CA4A10"/>
    <w:rsid w:val="43D0F5C5"/>
    <w:rsid w:val="43D38AF5"/>
    <w:rsid w:val="43DBD369"/>
    <w:rsid w:val="43DDF0D1"/>
    <w:rsid w:val="43E8C4A1"/>
    <w:rsid w:val="43E919CD"/>
    <w:rsid w:val="43F3AF98"/>
    <w:rsid w:val="43F77EB6"/>
    <w:rsid w:val="43FB597D"/>
    <w:rsid w:val="43FECA3E"/>
    <w:rsid w:val="44022DAC"/>
    <w:rsid w:val="440727BF"/>
    <w:rsid w:val="4407AA01"/>
    <w:rsid w:val="440B5486"/>
    <w:rsid w:val="441154B7"/>
    <w:rsid w:val="44116EC8"/>
    <w:rsid w:val="4412EC5E"/>
    <w:rsid w:val="44144E2A"/>
    <w:rsid w:val="4417B90A"/>
    <w:rsid w:val="441C89BB"/>
    <w:rsid w:val="441CAD3B"/>
    <w:rsid w:val="44228D33"/>
    <w:rsid w:val="4427F8D8"/>
    <w:rsid w:val="4436C81D"/>
    <w:rsid w:val="4437DBC5"/>
    <w:rsid w:val="443BB577"/>
    <w:rsid w:val="44417184"/>
    <w:rsid w:val="444321EC"/>
    <w:rsid w:val="444502E1"/>
    <w:rsid w:val="4457BD17"/>
    <w:rsid w:val="446F784D"/>
    <w:rsid w:val="44797564"/>
    <w:rsid w:val="447D20C7"/>
    <w:rsid w:val="4480F385"/>
    <w:rsid w:val="4480F644"/>
    <w:rsid w:val="4484E57F"/>
    <w:rsid w:val="4487EC52"/>
    <w:rsid w:val="44893783"/>
    <w:rsid w:val="448BF6A1"/>
    <w:rsid w:val="449210AE"/>
    <w:rsid w:val="449A2ECE"/>
    <w:rsid w:val="449A9934"/>
    <w:rsid w:val="449E7C1A"/>
    <w:rsid w:val="44A1226C"/>
    <w:rsid w:val="44A2F9F4"/>
    <w:rsid w:val="44A7AC7C"/>
    <w:rsid w:val="44AC7350"/>
    <w:rsid w:val="44B535CC"/>
    <w:rsid w:val="44B9730E"/>
    <w:rsid w:val="44BF16AE"/>
    <w:rsid w:val="44C5A420"/>
    <w:rsid w:val="44D0CBF1"/>
    <w:rsid w:val="44D1C218"/>
    <w:rsid w:val="44D224E0"/>
    <w:rsid w:val="44D486DD"/>
    <w:rsid w:val="44D6568E"/>
    <w:rsid w:val="44D6F375"/>
    <w:rsid w:val="44D76F52"/>
    <w:rsid w:val="44DF7EA5"/>
    <w:rsid w:val="44E6033D"/>
    <w:rsid w:val="44E98D89"/>
    <w:rsid w:val="44FA04D4"/>
    <w:rsid w:val="44FD9C8D"/>
    <w:rsid w:val="44FDB991"/>
    <w:rsid w:val="44FE229C"/>
    <w:rsid w:val="451020F2"/>
    <w:rsid w:val="4513D705"/>
    <w:rsid w:val="4513F0C6"/>
    <w:rsid w:val="451515A0"/>
    <w:rsid w:val="45205FEC"/>
    <w:rsid w:val="452DFB5B"/>
    <w:rsid w:val="45317F49"/>
    <w:rsid w:val="45346F6F"/>
    <w:rsid w:val="453926F7"/>
    <w:rsid w:val="45394C08"/>
    <w:rsid w:val="4540E5F5"/>
    <w:rsid w:val="4543B24F"/>
    <w:rsid w:val="454A5D3A"/>
    <w:rsid w:val="454C5D0A"/>
    <w:rsid w:val="455209BB"/>
    <w:rsid w:val="45693308"/>
    <w:rsid w:val="45693EEA"/>
    <w:rsid w:val="45738F1D"/>
    <w:rsid w:val="4576878E"/>
    <w:rsid w:val="457D472E"/>
    <w:rsid w:val="45842067"/>
    <w:rsid w:val="458B9E7D"/>
    <w:rsid w:val="458CE8B6"/>
    <w:rsid w:val="45903122"/>
    <w:rsid w:val="459BAC37"/>
    <w:rsid w:val="459C5D23"/>
    <w:rsid w:val="45A23CFD"/>
    <w:rsid w:val="45A819DE"/>
    <w:rsid w:val="45AAB6AE"/>
    <w:rsid w:val="45ADBDEE"/>
    <w:rsid w:val="45B183B2"/>
    <w:rsid w:val="45B1FF0E"/>
    <w:rsid w:val="45B62861"/>
    <w:rsid w:val="45C66D5E"/>
    <w:rsid w:val="45C962B5"/>
    <w:rsid w:val="45C99226"/>
    <w:rsid w:val="45CDCD00"/>
    <w:rsid w:val="45DC1E88"/>
    <w:rsid w:val="45F01509"/>
    <w:rsid w:val="45F45CC7"/>
    <w:rsid w:val="45F67A10"/>
    <w:rsid w:val="45F96D34"/>
    <w:rsid w:val="45FF37DB"/>
    <w:rsid w:val="46023DC0"/>
    <w:rsid w:val="460819C7"/>
    <w:rsid w:val="461AC3AE"/>
    <w:rsid w:val="461F82C6"/>
    <w:rsid w:val="462A3B86"/>
    <w:rsid w:val="462E93ED"/>
    <w:rsid w:val="46333B17"/>
    <w:rsid w:val="463C503F"/>
    <w:rsid w:val="463D152F"/>
    <w:rsid w:val="463E9A65"/>
    <w:rsid w:val="4644AC10"/>
    <w:rsid w:val="4647FDBB"/>
    <w:rsid w:val="46536D41"/>
    <w:rsid w:val="46540694"/>
    <w:rsid w:val="4658B823"/>
    <w:rsid w:val="465BBBF0"/>
    <w:rsid w:val="465D8382"/>
    <w:rsid w:val="466261B7"/>
    <w:rsid w:val="4663A7BE"/>
    <w:rsid w:val="466B0399"/>
    <w:rsid w:val="466F4DD5"/>
    <w:rsid w:val="46758B86"/>
    <w:rsid w:val="46809D67"/>
    <w:rsid w:val="46957BA6"/>
    <w:rsid w:val="46993964"/>
    <w:rsid w:val="46A08D44"/>
    <w:rsid w:val="46A09F14"/>
    <w:rsid w:val="46A11E2B"/>
    <w:rsid w:val="46A12613"/>
    <w:rsid w:val="46A72860"/>
    <w:rsid w:val="46A928BD"/>
    <w:rsid w:val="46B15ABF"/>
    <w:rsid w:val="46B16D14"/>
    <w:rsid w:val="46B29264"/>
    <w:rsid w:val="46BE9952"/>
    <w:rsid w:val="46C2A456"/>
    <w:rsid w:val="46C57992"/>
    <w:rsid w:val="46C79C12"/>
    <w:rsid w:val="46CB1FA0"/>
    <w:rsid w:val="46CEDC97"/>
    <w:rsid w:val="46DC661A"/>
    <w:rsid w:val="46DC767A"/>
    <w:rsid w:val="46DFC610"/>
    <w:rsid w:val="46E4EFA8"/>
    <w:rsid w:val="46E65864"/>
    <w:rsid w:val="46E70EC7"/>
    <w:rsid w:val="46EF6B89"/>
    <w:rsid w:val="46EFBCA9"/>
    <w:rsid w:val="46F4A704"/>
    <w:rsid w:val="46F50A63"/>
    <w:rsid w:val="46F9BEFF"/>
    <w:rsid w:val="46FE0D32"/>
    <w:rsid w:val="471D41D8"/>
    <w:rsid w:val="47202284"/>
    <w:rsid w:val="4720D1ED"/>
    <w:rsid w:val="47222752"/>
    <w:rsid w:val="472974B4"/>
    <w:rsid w:val="472B9E37"/>
    <w:rsid w:val="4732CBA8"/>
    <w:rsid w:val="4738A72C"/>
    <w:rsid w:val="4738B98F"/>
    <w:rsid w:val="47393837"/>
    <w:rsid w:val="473E4834"/>
    <w:rsid w:val="4745DB25"/>
    <w:rsid w:val="4746E0D2"/>
    <w:rsid w:val="474CB0C4"/>
    <w:rsid w:val="474D47C4"/>
    <w:rsid w:val="474F24D4"/>
    <w:rsid w:val="4750A673"/>
    <w:rsid w:val="47556B80"/>
    <w:rsid w:val="475ADEC2"/>
    <w:rsid w:val="476C1574"/>
    <w:rsid w:val="476F3529"/>
    <w:rsid w:val="4778065E"/>
    <w:rsid w:val="477A9F99"/>
    <w:rsid w:val="47837AEE"/>
    <w:rsid w:val="4789E64B"/>
    <w:rsid w:val="4797CA17"/>
    <w:rsid w:val="479C2CF4"/>
    <w:rsid w:val="47A1AD7D"/>
    <w:rsid w:val="47A8D844"/>
    <w:rsid w:val="47A91AC4"/>
    <w:rsid w:val="47B31EF9"/>
    <w:rsid w:val="47BAC0F5"/>
    <w:rsid w:val="47C408E3"/>
    <w:rsid w:val="47CE0812"/>
    <w:rsid w:val="47D2E434"/>
    <w:rsid w:val="47D7670F"/>
    <w:rsid w:val="47D8BC50"/>
    <w:rsid w:val="47DA9AE5"/>
    <w:rsid w:val="47E07C71"/>
    <w:rsid w:val="47E22B73"/>
    <w:rsid w:val="47F67EE3"/>
    <w:rsid w:val="481BA02E"/>
    <w:rsid w:val="481FB597"/>
    <w:rsid w:val="48225948"/>
    <w:rsid w:val="4822695C"/>
    <w:rsid w:val="4825C35B"/>
    <w:rsid w:val="48314884"/>
    <w:rsid w:val="483354F7"/>
    <w:rsid w:val="48357247"/>
    <w:rsid w:val="48415EC0"/>
    <w:rsid w:val="48435ACD"/>
    <w:rsid w:val="48444249"/>
    <w:rsid w:val="4853933C"/>
    <w:rsid w:val="4856FB7A"/>
    <w:rsid w:val="48592CC5"/>
    <w:rsid w:val="485A6349"/>
    <w:rsid w:val="485E50CD"/>
    <w:rsid w:val="485F0881"/>
    <w:rsid w:val="48666039"/>
    <w:rsid w:val="486A1256"/>
    <w:rsid w:val="48707D31"/>
    <w:rsid w:val="487935DF"/>
    <w:rsid w:val="487C27D3"/>
    <w:rsid w:val="4884936A"/>
    <w:rsid w:val="4889B868"/>
    <w:rsid w:val="48923805"/>
    <w:rsid w:val="4896DE1F"/>
    <w:rsid w:val="489854AD"/>
    <w:rsid w:val="48BE3FDE"/>
    <w:rsid w:val="48C0E178"/>
    <w:rsid w:val="48C330FE"/>
    <w:rsid w:val="48C41DD6"/>
    <w:rsid w:val="48CB7D2D"/>
    <w:rsid w:val="48E09F93"/>
    <w:rsid w:val="48EFA8A2"/>
    <w:rsid w:val="48F0B3B2"/>
    <w:rsid w:val="48F44D08"/>
    <w:rsid w:val="48F4EB2E"/>
    <w:rsid w:val="48F51C30"/>
    <w:rsid w:val="48F984B9"/>
    <w:rsid w:val="491279A6"/>
    <w:rsid w:val="49128C06"/>
    <w:rsid w:val="49142084"/>
    <w:rsid w:val="491A3E20"/>
    <w:rsid w:val="49220C23"/>
    <w:rsid w:val="49223342"/>
    <w:rsid w:val="492E05C8"/>
    <w:rsid w:val="492E9ACD"/>
    <w:rsid w:val="4939F175"/>
    <w:rsid w:val="493D6EDB"/>
    <w:rsid w:val="493F617D"/>
    <w:rsid w:val="49456B15"/>
    <w:rsid w:val="494C314F"/>
    <w:rsid w:val="495048C6"/>
    <w:rsid w:val="49613F49"/>
    <w:rsid w:val="496AB686"/>
    <w:rsid w:val="496E27B5"/>
    <w:rsid w:val="497279B6"/>
    <w:rsid w:val="49808E82"/>
    <w:rsid w:val="498655E6"/>
    <w:rsid w:val="498791AE"/>
    <w:rsid w:val="498FB02D"/>
    <w:rsid w:val="4991ABD0"/>
    <w:rsid w:val="49983D6E"/>
    <w:rsid w:val="499B1C14"/>
    <w:rsid w:val="499B5C81"/>
    <w:rsid w:val="49A5A3F5"/>
    <w:rsid w:val="49B2CE2F"/>
    <w:rsid w:val="49B8A039"/>
    <w:rsid w:val="49BBAE6F"/>
    <w:rsid w:val="49C0F1AC"/>
    <w:rsid w:val="49C37EBE"/>
    <w:rsid w:val="49C88428"/>
    <w:rsid w:val="49CC8FA1"/>
    <w:rsid w:val="49D5971D"/>
    <w:rsid w:val="49D84C41"/>
    <w:rsid w:val="49DCA2B2"/>
    <w:rsid w:val="49E2B3D7"/>
    <w:rsid w:val="49E46F8F"/>
    <w:rsid w:val="49E96A31"/>
    <w:rsid w:val="49EB786A"/>
    <w:rsid w:val="49F0C719"/>
    <w:rsid w:val="49FA4518"/>
    <w:rsid w:val="4A02C9B9"/>
    <w:rsid w:val="4A055BBB"/>
    <w:rsid w:val="4A0F69B5"/>
    <w:rsid w:val="4A128C45"/>
    <w:rsid w:val="4A164071"/>
    <w:rsid w:val="4A1D260A"/>
    <w:rsid w:val="4A1D564D"/>
    <w:rsid w:val="4A26191D"/>
    <w:rsid w:val="4A26317C"/>
    <w:rsid w:val="4A26A8D7"/>
    <w:rsid w:val="4A321168"/>
    <w:rsid w:val="4A39FA46"/>
    <w:rsid w:val="4A3B1FAA"/>
    <w:rsid w:val="4A432016"/>
    <w:rsid w:val="4A4BC60D"/>
    <w:rsid w:val="4A4E06C1"/>
    <w:rsid w:val="4A531FD3"/>
    <w:rsid w:val="4A53D304"/>
    <w:rsid w:val="4A546AE4"/>
    <w:rsid w:val="4A55B835"/>
    <w:rsid w:val="4A5F8509"/>
    <w:rsid w:val="4A65F48F"/>
    <w:rsid w:val="4A66B7E8"/>
    <w:rsid w:val="4A717EE1"/>
    <w:rsid w:val="4A793096"/>
    <w:rsid w:val="4A83B37A"/>
    <w:rsid w:val="4A841BD8"/>
    <w:rsid w:val="4A84FA87"/>
    <w:rsid w:val="4A998034"/>
    <w:rsid w:val="4A9994F3"/>
    <w:rsid w:val="4AA57C9E"/>
    <w:rsid w:val="4AA6732C"/>
    <w:rsid w:val="4AA9B959"/>
    <w:rsid w:val="4ABFC7CE"/>
    <w:rsid w:val="4AC1D139"/>
    <w:rsid w:val="4AC5779C"/>
    <w:rsid w:val="4AC86184"/>
    <w:rsid w:val="4AC8791B"/>
    <w:rsid w:val="4ACCC18A"/>
    <w:rsid w:val="4ACF6AD9"/>
    <w:rsid w:val="4AD51AE6"/>
    <w:rsid w:val="4AD5320F"/>
    <w:rsid w:val="4AD90014"/>
    <w:rsid w:val="4ADCD5CD"/>
    <w:rsid w:val="4AE13CB9"/>
    <w:rsid w:val="4AE32851"/>
    <w:rsid w:val="4AE6CDC1"/>
    <w:rsid w:val="4AE74C7E"/>
    <w:rsid w:val="4AF7B7A1"/>
    <w:rsid w:val="4AF826FC"/>
    <w:rsid w:val="4AF8EBDD"/>
    <w:rsid w:val="4AF91EAE"/>
    <w:rsid w:val="4AFBA9A5"/>
    <w:rsid w:val="4AFDB89A"/>
    <w:rsid w:val="4AFFD23D"/>
    <w:rsid w:val="4B004F1C"/>
    <w:rsid w:val="4B025D39"/>
    <w:rsid w:val="4B027A97"/>
    <w:rsid w:val="4B0426EF"/>
    <w:rsid w:val="4B046D8B"/>
    <w:rsid w:val="4B08F178"/>
    <w:rsid w:val="4B10D6D5"/>
    <w:rsid w:val="4B15D0FD"/>
    <w:rsid w:val="4B16A2F7"/>
    <w:rsid w:val="4B1A15FC"/>
    <w:rsid w:val="4B2CACA1"/>
    <w:rsid w:val="4B3151FB"/>
    <w:rsid w:val="4B34DCF2"/>
    <w:rsid w:val="4B37263D"/>
    <w:rsid w:val="4B37C1D2"/>
    <w:rsid w:val="4B540E8A"/>
    <w:rsid w:val="4B596B12"/>
    <w:rsid w:val="4B5EA52C"/>
    <w:rsid w:val="4B5FE6CB"/>
    <w:rsid w:val="4B7A878E"/>
    <w:rsid w:val="4B81E51C"/>
    <w:rsid w:val="4B909858"/>
    <w:rsid w:val="4B95E60F"/>
    <w:rsid w:val="4B9EFD90"/>
    <w:rsid w:val="4BA2F11A"/>
    <w:rsid w:val="4BA521E2"/>
    <w:rsid w:val="4BA6EBA9"/>
    <w:rsid w:val="4BA77C59"/>
    <w:rsid w:val="4BA81F58"/>
    <w:rsid w:val="4BA95D9C"/>
    <w:rsid w:val="4BB936BF"/>
    <w:rsid w:val="4BBDDC53"/>
    <w:rsid w:val="4BC2DCAC"/>
    <w:rsid w:val="4BC72E9A"/>
    <w:rsid w:val="4BCD0FC8"/>
    <w:rsid w:val="4BD28B09"/>
    <w:rsid w:val="4BD4B2A0"/>
    <w:rsid w:val="4BD8B649"/>
    <w:rsid w:val="4BDBF4EE"/>
    <w:rsid w:val="4BE43BE0"/>
    <w:rsid w:val="4BED40C5"/>
    <w:rsid w:val="4BEFEC7F"/>
    <w:rsid w:val="4BF02A82"/>
    <w:rsid w:val="4BF59BDC"/>
    <w:rsid w:val="4BF6536E"/>
    <w:rsid w:val="4BFEEC80"/>
    <w:rsid w:val="4BFF6F68"/>
    <w:rsid w:val="4C040400"/>
    <w:rsid w:val="4C0547C8"/>
    <w:rsid w:val="4C0A80EF"/>
    <w:rsid w:val="4C22905E"/>
    <w:rsid w:val="4C295CB6"/>
    <w:rsid w:val="4C2DD625"/>
    <w:rsid w:val="4C2E8479"/>
    <w:rsid w:val="4C2F684D"/>
    <w:rsid w:val="4C323A27"/>
    <w:rsid w:val="4C401E0F"/>
    <w:rsid w:val="4C4B65CB"/>
    <w:rsid w:val="4C55E9AC"/>
    <w:rsid w:val="4C59CF16"/>
    <w:rsid w:val="4C5A7CFA"/>
    <w:rsid w:val="4C5F2CD0"/>
    <w:rsid w:val="4C612CD3"/>
    <w:rsid w:val="4C6BA3EE"/>
    <w:rsid w:val="4C6EBD9C"/>
    <w:rsid w:val="4C70DBCE"/>
    <w:rsid w:val="4C75C7CD"/>
    <w:rsid w:val="4C777D63"/>
    <w:rsid w:val="4C77D0A4"/>
    <w:rsid w:val="4C811435"/>
    <w:rsid w:val="4C812411"/>
    <w:rsid w:val="4C917B1D"/>
    <w:rsid w:val="4C9526A7"/>
    <w:rsid w:val="4C95790C"/>
    <w:rsid w:val="4C982D9A"/>
    <w:rsid w:val="4C991BAD"/>
    <w:rsid w:val="4C9AFC57"/>
    <w:rsid w:val="4CA08818"/>
    <w:rsid w:val="4CA1B9DC"/>
    <w:rsid w:val="4CAB4F20"/>
    <w:rsid w:val="4CB1225E"/>
    <w:rsid w:val="4CB1754A"/>
    <w:rsid w:val="4CB3FDB1"/>
    <w:rsid w:val="4CB78347"/>
    <w:rsid w:val="4CBDCAA2"/>
    <w:rsid w:val="4CC14661"/>
    <w:rsid w:val="4CC5A60B"/>
    <w:rsid w:val="4CC7D6F0"/>
    <w:rsid w:val="4CC7F3A4"/>
    <w:rsid w:val="4CCE65ED"/>
    <w:rsid w:val="4CD04349"/>
    <w:rsid w:val="4CDA9DF1"/>
    <w:rsid w:val="4CDD5E03"/>
    <w:rsid w:val="4CDD95B9"/>
    <w:rsid w:val="4CE23AEB"/>
    <w:rsid w:val="4CE2A26A"/>
    <w:rsid w:val="4CEEEC4A"/>
    <w:rsid w:val="4CF1E346"/>
    <w:rsid w:val="4CF60C27"/>
    <w:rsid w:val="4CF9ED81"/>
    <w:rsid w:val="4CFDFFF7"/>
    <w:rsid w:val="4CFF1D4F"/>
    <w:rsid w:val="4D06263C"/>
    <w:rsid w:val="4D06C6AE"/>
    <w:rsid w:val="4D09C475"/>
    <w:rsid w:val="4D0C8170"/>
    <w:rsid w:val="4D10BDB1"/>
    <w:rsid w:val="4D14B279"/>
    <w:rsid w:val="4D1DB230"/>
    <w:rsid w:val="4D282A54"/>
    <w:rsid w:val="4D29DF5C"/>
    <w:rsid w:val="4D2C7C26"/>
    <w:rsid w:val="4D2CF096"/>
    <w:rsid w:val="4D307A51"/>
    <w:rsid w:val="4D39957E"/>
    <w:rsid w:val="4D3B00F8"/>
    <w:rsid w:val="4D3DF4BD"/>
    <w:rsid w:val="4D449950"/>
    <w:rsid w:val="4D47FA29"/>
    <w:rsid w:val="4D4CDBA5"/>
    <w:rsid w:val="4D56C34C"/>
    <w:rsid w:val="4D62D703"/>
    <w:rsid w:val="4D658EB1"/>
    <w:rsid w:val="4D6B63D7"/>
    <w:rsid w:val="4D6E91D5"/>
    <w:rsid w:val="4D70C324"/>
    <w:rsid w:val="4D75FE22"/>
    <w:rsid w:val="4D880AE1"/>
    <w:rsid w:val="4D8ABD3F"/>
    <w:rsid w:val="4D913EC5"/>
    <w:rsid w:val="4D9B170A"/>
    <w:rsid w:val="4DA96DEB"/>
    <w:rsid w:val="4DAC2E76"/>
    <w:rsid w:val="4DAC3915"/>
    <w:rsid w:val="4DAD9134"/>
    <w:rsid w:val="4DB04077"/>
    <w:rsid w:val="4DB4F197"/>
    <w:rsid w:val="4DBEE7A2"/>
    <w:rsid w:val="4DC65D91"/>
    <w:rsid w:val="4DD52542"/>
    <w:rsid w:val="4DD7BCF4"/>
    <w:rsid w:val="4DD83E03"/>
    <w:rsid w:val="4DD8DB84"/>
    <w:rsid w:val="4DEAC425"/>
    <w:rsid w:val="4DF6780A"/>
    <w:rsid w:val="4DF7B28F"/>
    <w:rsid w:val="4DFAAD1D"/>
    <w:rsid w:val="4E0F5062"/>
    <w:rsid w:val="4E1868D6"/>
    <w:rsid w:val="4E1A0714"/>
    <w:rsid w:val="4E1CBA46"/>
    <w:rsid w:val="4E243FE1"/>
    <w:rsid w:val="4E28D041"/>
    <w:rsid w:val="4E308207"/>
    <w:rsid w:val="4E384754"/>
    <w:rsid w:val="4E397644"/>
    <w:rsid w:val="4E3E8F4B"/>
    <w:rsid w:val="4E4AA1AB"/>
    <w:rsid w:val="4E53E38A"/>
    <w:rsid w:val="4E5462D3"/>
    <w:rsid w:val="4E555836"/>
    <w:rsid w:val="4E5DE598"/>
    <w:rsid w:val="4E5EF7DF"/>
    <w:rsid w:val="4E5F55E2"/>
    <w:rsid w:val="4E67B5EF"/>
    <w:rsid w:val="4E6AA31A"/>
    <w:rsid w:val="4E6D739C"/>
    <w:rsid w:val="4E6EC6FF"/>
    <w:rsid w:val="4E70CBA6"/>
    <w:rsid w:val="4E729D09"/>
    <w:rsid w:val="4E828AF4"/>
    <w:rsid w:val="4E8CF722"/>
    <w:rsid w:val="4E8D0B5B"/>
    <w:rsid w:val="4E8F3C41"/>
    <w:rsid w:val="4E93F49D"/>
    <w:rsid w:val="4E9BCFB3"/>
    <w:rsid w:val="4EA0EC68"/>
    <w:rsid w:val="4EA190EE"/>
    <w:rsid w:val="4EAE3DE6"/>
    <w:rsid w:val="4EB2E932"/>
    <w:rsid w:val="4EBADEAE"/>
    <w:rsid w:val="4EBD7135"/>
    <w:rsid w:val="4EBD7B19"/>
    <w:rsid w:val="4EBD9F0F"/>
    <w:rsid w:val="4EBDD17C"/>
    <w:rsid w:val="4EC0E602"/>
    <w:rsid w:val="4EC28F58"/>
    <w:rsid w:val="4ECDB63B"/>
    <w:rsid w:val="4ED10E7F"/>
    <w:rsid w:val="4ED22778"/>
    <w:rsid w:val="4ED41C2D"/>
    <w:rsid w:val="4EDABDD5"/>
    <w:rsid w:val="4EE03F92"/>
    <w:rsid w:val="4EE98FAD"/>
    <w:rsid w:val="4EEBCC06"/>
    <w:rsid w:val="4EF97BF7"/>
    <w:rsid w:val="4F0086FA"/>
    <w:rsid w:val="4F02A4DD"/>
    <w:rsid w:val="4F0661D8"/>
    <w:rsid w:val="4F0BA9DE"/>
    <w:rsid w:val="4F0DD0E4"/>
    <w:rsid w:val="4F0F7A86"/>
    <w:rsid w:val="4F113C5B"/>
    <w:rsid w:val="4F1BAEC1"/>
    <w:rsid w:val="4F2C6EEE"/>
    <w:rsid w:val="4F30002A"/>
    <w:rsid w:val="4F34FB9D"/>
    <w:rsid w:val="4F3B1A0F"/>
    <w:rsid w:val="4F42FE68"/>
    <w:rsid w:val="4F46D0E3"/>
    <w:rsid w:val="4F4B090C"/>
    <w:rsid w:val="4F5B9A1D"/>
    <w:rsid w:val="4F69AB28"/>
    <w:rsid w:val="4F6B9492"/>
    <w:rsid w:val="4F6DC87D"/>
    <w:rsid w:val="4F70A4DF"/>
    <w:rsid w:val="4F7A9390"/>
    <w:rsid w:val="4F97A03C"/>
    <w:rsid w:val="4F992C47"/>
    <w:rsid w:val="4F9A631A"/>
    <w:rsid w:val="4FA2E1DD"/>
    <w:rsid w:val="4FA49497"/>
    <w:rsid w:val="4FA5D163"/>
    <w:rsid w:val="4FADDB0E"/>
    <w:rsid w:val="4FB32448"/>
    <w:rsid w:val="4FB8C3D7"/>
    <w:rsid w:val="4FBEEF0F"/>
    <w:rsid w:val="4FC2F20D"/>
    <w:rsid w:val="4FCB67DF"/>
    <w:rsid w:val="4FE6720C"/>
    <w:rsid w:val="4FE84992"/>
    <w:rsid w:val="4FE960A6"/>
    <w:rsid w:val="4FF580EE"/>
    <w:rsid w:val="4FF5CCF5"/>
    <w:rsid w:val="4FF6C24A"/>
    <w:rsid w:val="4FF94729"/>
    <w:rsid w:val="4FFC32BD"/>
    <w:rsid w:val="4FFE0968"/>
    <w:rsid w:val="4FFF9A69"/>
    <w:rsid w:val="5000FC70"/>
    <w:rsid w:val="5001FC26"/>
    <w:rsid w:val="500364CD"/>
    <w:rsid w:val="5008B7BC"/>
    <w:rsid w:val="500EFF66"/>
    <w:rsid w:val="50102A29"/>
    <w:rsid w:val="501608A0"/>
    <w:rsid w:val="501AB0CD"/>
    <w:rsid w:val="502123EB"/>
    <w:rsid w:val="5021553E"/>
    <w:rsid w:val="5024BB6E"/>
    <w:rsid w:val="5027224D"/>
    <w:rsid w:val="502DB510"/>
    <w:rsid w:val="50316D04"/>
    <w:rsid w:val="5031CF17"/>
    <w:rsid w:val="5033A4D3"/>
    <w:rsid w:val="5037EB41"/>
    <w:rsid w:val="503C2024"/>
    <w:rsid w:val="503C7768"/>
    <w:rsid w:val="503FDCCB"/>
    <w:rsid w:val="50421E2F"/>
    <w:rsid w:val="50435966"/>
    <w:rsid w:val="50463B3E"/>
    <w:rsid w:val="50471174"/>
    <w:rsid w:val="5054B52B"/>
    <w:rsid w:val="5057DEA2"/>
    <w:rsid w:val="505D1574"/>
    <w:rsid w:val="505D2AE2"/>
    <w:rsid w:val="505E6CC8"/>
    <w:rsid w:val="5067171F"/>
    <w:rsid w:val="506B81C4"/>
    <w:rsid w:val="50704C48"/>
    <w:rsid w:val="507B0A66"/>
    <w:rsid w:val="507C27DC"/>
    <w:rsid w:val="50817916"/>
    <w:rsid w:val="5081C91D"/>
    <w:rsid w:val="5084327E"/>
    <w:rsid w:val="50892AF1"/>
    <w:rsid w:val="50901B3A"/>
    <w:rsid w:val="5093F83E"/>
    <w:rsid w:val="50941B20"/>
    <w:rsid w:val="5096DD9A"/>
    <w:rsid w:val="50983EBF"/>
    <w:rsid w:val="50A0072A"/>
    <w:rsid w:val="50A38867"/>
    <w:rsid w:val="50A74E6A"/>
    <w:rsid w:val="50A9DE1D"/>
    <w:rsid w:val="50AB4308"/>
    <w:rsid w:val="50AC7421"/>
    <w:rsid w:val="50AE1754"/>
    <w:rsid w:val="50B293FF"/>
    <w:rsid w:val="50C14F43"/>
    <w:rsid w:val="50C155C7"/>
    <w:rsid w:val="50C59F09"/>
    <w:rsid w:val="50CEF8D7"/>
    <w:rsid w:val="50D1236C"/>
    <w:rsid w:val="50D230CB"/>
    <w:rsid w:val="50D52C1F"/>
    <w:rsid w:val="50DC0DCE"/>
    <w:rsid w:val="50DCD5CD"/>
    <w:rsid w:val="50DEBAAE"/>
    <w:rsid w:val="50DFA084"/>
    <w:rsid w:val="50E2C345"/>
    <w:rsid w:val="50E707C3"/>
    <w:rsid w:val="50EEAA4B"/>
    <w:rsid w:val="50EFD7BF"/>
    <w:rsid w:val="50F838CF"/>
    <w:rsid w:val="50FF27F4"/>
    <w:rsid w:val="5100877A"/>
    <w:rsid w:val="5103C7A1"/>
    <w:rsid w:val="5104B23B"/>
    <w:rsid w:val="5109A300"/>
    <w:rsid w:val="510F7E15"/>
    <w:rsid w:val="51108EC4"/>
    <w:rsid w:val="51129313"/>
    <w:rsid w:val="51149262"/>
    <w:rsid w:val="51199308"/>
    <w:rsid w:val="511F3710"/>
    <w:rsid w:val="51217060"/>
    <w:rsid w:val="5121B4DE"/>
    <w:rsid w:val="51252FAB"/>
    <w:rsid w:val="5128524D"/>
    <w:rsid w:val="5129101B"/>
    <w:rsid w:val="513ACF41"/>
    <w:rsid w:val="51406BF1"/>
    <w:rsid w:val="5141466D"/>
    <w:rsid w:val="5145B0F7"/>
    <w:rsid w:val="514854E8"/>
    <w:rsid w:val="514D2A2C"/>
    <w:rsid w:val="5154FECD"/>
    <w:rsid w:val="515703AB"/>
    <w:rsid w:val="515873C8"/>
    <w:rsid w:val="5159AA79"/>
    <w:rsid w:val="515AED4C"/>
    <w:rsid w:val="51675880"/>
    <w:rsid w:val="517363DE"/>
    <w:rsid w:val="5176300D"/>
    <w:rsid w:val="51782EB0"/>
    <w:rsid w:val="517BF89E"/>
    <w:rsid w:val="517CA82C"/>
    <w:rsid w:val="51805D32"/>
    <w:rsid w:val="518894CD"/>
    <w:rsid w:val="519E9740"/>
    <w:rsid w:val="51A65710"/>
    <w:rsid w:val="51AF1254"/>
    <w:rsid w:val="51B21C7E"/>
    <w:rsid w:val="51B30898"/>
    <w:rsid w:val="51B3BFF3"/>
    <w:rsid w:val="51C5B19E"/>
    <w:rsid w:val="51C7F4F0"/>
    <w:rsid w:val="51C98571"/>
    <w:rsid w:val="51CBA982"/>
    <w:rsid w:val="51D911E2"/>
    <w:rsid w:val="51DBD623"/>
    <w:rsid w:val="51E68EA8"/>
    <w:rsid w:val="51EA3392"/>
    <w:rsid w:val="51F5133D"/>
    <w:rsid w:val="51F81A4B"/>
    <w:rsid w:val="51FECAC6"/>
    <w:rsid w:val="51FEE677"/>
    <w:rsid w:val="5208241F"/>
    <w:rsid w:val="52123071"/>
    <w:rsid w:val="521E404D"/>
    <w:rsid w:val="5235316A"/>
    <w:rsid w:val="52363123"/>
    <w:rsid w:val="523A3D0B"/>
    <w:rsid w:val="523A847F"/>
    <w:rsid w:val="523D0788"/>
    <w:rsid w:val="523FC6E1"/>
    <w:rsid w:val="5244B59D"/>
    <w:rsid w:val="524671F2"/>
    <w:rsid w:val="52513301"/>
    <w:rsid w:val="52535696"/>
    <w:rsid w:val="52567B4F"/>
    <w:rsid w:val="5269BFD3"/>
    <w:rsid w:val="526EAC5A"/>
    <w:rsid w:val="526F2A08"/>
    <w:rsid w:val="527270A8"/>
    <w:rsid w:val="5279814B"/>
    <w:rsid w:val="52845C95"/>
    <w:rsid w:val="5290E0CE"/>
    <w:rsid w:val="52923C22"/>
    <w:rsid w:val="529C3D7C"/>
    <w:rsid w:val="52A5A6EE"/>
    <w:rsid w:val="52AB966B"/>
    <w:rsid w:val="52BB2396"/>
    <w:rsid w:val="52BFAA29"/>
    <w:rsid w:val="52C3A2AA"/>
    <w:rsid w:val="52C3BC72"/>
    <w:rsid w:val="52C6C7E9"/>
    <w:rsid w:val="52C6F409"/>
    <w:rsid w:val="52C7C4E6"/>
    <w:rsid w:val="52C7F042"/>
    <w:rsid w:val="52CCFCF9"/>
    <w:rsid w:val="52CD861E"/>
    <w:rsid w:val="52D42CCF"/>
    <w:rsid w:val="52DD624D"/>
    <w:rsid w:val="52E154F2"/>
    <w:rsid w:val="52E2F2DB"/>
    <w:rsid w:val="52ED9BD4"/>
    <w:rsid w:val="52EEF43E"/>
    <w:rsid w:val="52F0A5B4"/>
    <w:rsid w:val="52F21DD3"/>
    <w:rsid w:val="52FC46AB"/>
    <w:rsid w:val="5300A00E"/>
    <w:rsid w:val="53020975"/>
    <w:rsid w:val="53048786"/>
    <w:rsid w:val="53124BB4"/>
    <w:rsid w:val="5314564B"/>
    <w:rsid w:val="5319153F"/>
    <w:rsid w:val="531AB567"/>
    <w:rsid w:val="531E12CE"/>
    <w:rsid w:val="531E207F"/>
    <w:rsid w:val="532225E5"/>
    <w:rsid w:val="5327BC62"/>
    <w:rsid w:val="532AAE15"/>
    <w:rsid w:val="532E4466"/>
    <w:rsid w:val="532EC726"/>
    <w:rsid w:val="5346B867"/>
    <w:rsid w:val="535A498A"/>
    <w:rsid w:val="5368FEBA"/>
    <w:rsid w:val="53699E7B"/>
    <w:rsid w:val="536E17F0"/>
    <w:rsid w:val="536F2F29"/>
    <w:rsid w:val="53771FBB"/>
    <w:rsid w:val="5378DF13"/>
    <w:rsid w:val="537B815A"/>
    <w:rsid w:val="5381F82E"/>
    <w:rsid w:val="5385167F"/>
    <w:rsid w:val="538A0106"/>
    <w:rsid w:val="538AD135"/>
    <w:rsid w:val="538B51D5"/>
    <w:rsid w:val="5390C87C"/>
    <w:rsid w:val="5391696F"/>
    <w:rsid w:val="5395586A"/>
    <w:rsid w:val="539A6BB2"/>
    <w:rsid w:val="539FA7AD"/>
    <w:rsid w:val="53A30D7C"/>
    <w:rsid w:val="53A4519A"/>
    <w:rsid w:val="53A97B7A"/>
    <w:rsid w:val="53BCF645"/>
    <w:rsid w:val="53C19C25"/>
    <w:rsid w:val="53C591CF"/>
    <w:rsid w:val="53C7082A"/>
    <w:rsid w:val="53CB513D"/>
    <w:rsid w:val="53D473E1"/>
    <w:rsid w:val="53E5618F"/>
    <w:rsid w:val="53E6D3B2"/>
    <w:rsid w:val="53E9E834"/>
    <w:rsid w:val="53EC3211"/>
    <w:rsid w:val="53ECACFC"/>
    <w:rsid w:val="53F58F3E"/>
    <w:rsid w:val="53F9A283"/>
    <w:rsid w:val="5407B25E"/>
    <w:rsid w:val="54202B30"/>
    <w:rsid w:val="5420608E"/>
    <w:rsid w:val="543A5FE1"/>
    <w:rsid w:val="543CCEC6"/>
    <w:rsid w:val="5441B16F"/>
    <w:rsid w:val="5441BA24"/>
    <w:rsid w:val="5441C962"/>
    <w:rsid w:val="54463270"/>
    <w:rsid w:val="54500167"/>
    <w:rsid w:val="54556BC7"/>
    <w:rsid w:val="545CD93B"/>
    <w:rsid w:val="545E269B"/>
    <w:rsid w:val="545E763D"/>
    <w:rsid w:val="5460F0E4"/>
    <w:rsid w:val="547024C8"/>
    <w:rsid w:val="5474BC95"/>
    <w:rsid w:val="547594E6"/>
    <w:rsid w:val="5476B21B"/>
    <w:rsid w:val="5478CDC4"/>
    <w:rsid w:val="54801D72"/>
    <w:rsid w:val="5481427F"/>
    <w:rsid w:val="5482BA86"/>
    <w:rsid w:val="548350AA"/>
    <w:rsid w:val="5487D143"/>
    <w:rsid w:val="54A27D71"/>
    <w:rsid w:val="54A5BBBA"/>
    <w:rsid w:val="54AA416C"/>
    <w:rsid w:val="54B40A95"/>
    <w:rsid w:val="54B9508F"/>
    <w:rsid w:val="54BB5F60"/>
    <w:rsid w:val="54BC4F84"/>
    <w:rsid w:val="54BD4B0A"/>
    <w:rsid w:val="54C831B9"/>
    <w:rsid w:val="54D3E562"/>
    <w:rsid w:val="54D51A95"/>
    <w:rsid w:val="54D53FAF"/>
    <w:rsid w:val="54D73511"/>
    <w:rsid w:val="54DF7BF5"/>
    <w:rsid w:val="54E4BC4E"/>
    <w:rsid w:val="54E6C95A"/>
    <w:rsid w:val="54F084AC"/>
    <w:rsid w:val="54F0EF48"/>
    <w:rsid w:val="54F4B467"/>
    <w:rsid w:val="54F6EF3F"/>
    <w:rsid w:val="54FB0A25"/>
    <w:rsid w:val="54FB8F58"/>
    <w:rsid w:val="54FB9124"/>
    <w:rsid w:val="5507EEDA"/>
    <w:rsid w:val="550BDF1F"/>
    <w:rsid w:val="550D21D9"/>
    <w:rsid w:val="55132455"/>
    <w:rsid w:val="55166A6F"/>
    <w:rsid w:val="5517A528"/>
    <w:rsid w:val="551D8F0B"/>
    <w:rsid w:val="552038A7"/>
    <w:rsid w:val="55216870"/>
    <w:rsid w:val="55262405"/>
    <w:rsid w:val="55291615"/>
    <w:rsid w:val="552A61BB"/>
    <w:rsid w:val="552D67FA"/>
    <w:rsid w:val="55307754"/>
    <w:rsid w:val="553152C1"/>
    <w:rsid w:val="55315F1B"/>
    <w:rsid w:val="55366AA5"/>
    <w:rsid w:val="553A5C49"/>
    <w:rsid w:val="553FB19D"/>
    <w:rsid w:val="5540988C"/>
    <w:rsid w:val="55483F98"/>
    <w:rsid w:val="5559DC10"/>
    <w:rsid w:val="5571FD98"/>
    <w:rsid w:val="557A0223"/>
    <w:rsid w:val="557FF2FC"/>
    <w:rsid w:val="5599E89E"/>
    <w:rsid w:val="559C6B08"/>
    <w:rsid w:val="559F4091"/>
    <w:rsid w:val="55A5DCC5"/>
    <w:rsid w:val="55A7D21B"/>
    <w:rsid w:val="55AD7F8D"/>
    <w:rsid w:val="55B2331C"/>
    <w:rsid w:val="55B40037"/>
    <w:rsid w:val="55B46895"/>
    <w:rsid w:val="55B4F1DE"/>
    <w:rsid w:val="55BFF758"/>
    <w:rsid w:val="55C004D8"/>
    <w:rsid w:val="55CA36F3"/>
    <w:rsid w:val="55CA7985"/>
    <w:rsid w:val="55D46C48"/>
    <w:rsid w:val="55E21630"/>
    <w:rsid w:val="55E26B53"/>
    <w:rsid w:val="55E4A637"/>
    <w:rsid w:val="55E73326"/>
    <w:rsid w:val="55FD98FC"/>
    <w:rsid w:val="55FE951B"/>
    <w:rsid w:val="5600D545"/>
    <w:rsid w:val="5607A19C"/>
    <w:rsid w:val="56138751"/>
    <w:rsid w:val="5615F4E2"/>
    <w:rsid w:val="56175112"/>
    <w:rsid w:val="56185A24"/>
    <w:rsid w:val="561D5053"/>
    <w:rsid w:val="5629B50D"/>
    <w:rsid w:val="562B7DEB"/>
    <w:rsid w:val="563F79CD"/>
    <w:rsid w:val="5641076F"/>
    <w:rsid w:val="56419C24"/>
    <w:rsid w:val="56471C0F"/>
    <w:rsid w:val="5654E893"/>
    <w:rsid w:val="565FDA9A"/>
    <w:rsid w:val="5662ABE9"/>
    <w:rsid w:val="566A3E96"/>
    <w:rsid w:val="566E1190"/>
    <w:rsid w:val="5676F382"/>
    <w:rsid w:val="56788825"/>
    <w:rsid w:val="567DDA4B"/>
    <w:rsid w:val="567FFDFB"/>
    <w:rsid w:val="568317F5"/>
    <w:rsid w:val="56848354"/>
    <w:rsid w:val="5686931C"/>
    <w:rsid w:val="568F52A2"/>
    <w:rsid w:val="5691EA4C"/>
    <w:rsid w:val="56A02CFE"/>
    <w:rsid w:val="56A9EF4C"/>
    <w:rsid w:val="56AB1C04"/>
    <w:rsid w:val="56AD558C"/>
    <w:rsid w:val="56AE11A8"/>
    <w:rsid w:val="56AEB3E4"/>
    <w:rsid w:val="56B1901B"/>
    <w:rsid w:val="56B64F1F"/>
    <w:rsid w:val="56BD50A8"/>
    <w:rsid w:val="56C2A8E5"/>
    <w:rsid w:val="56C71AD0"/>
    <w:rsid w:val="56C99424"/>
    <w:rsid w:val="56D34382"/>
    <w:rsid w:val="56D6BC88"/>
    <w:rsid w:val="56D7F848"/>
    <w:rsid w:val="56DBBBE2"/>
    <w:rsid w:val="56DD444F"/>
    <w:rsid w:val="56E124E5"/>
    <w:rsid w:val="56EA45BF"/>
    <w:rsid w:val="56EC45CB"/>
    <w:rsid w:val="56F16D18"/>
    <w:rsid w:val="56F2C307"/>
    <w:rsid w:val="56F4A7B7"/>
    <w:rsid w:val="56F7C7AF"/>
    <w:rsid w:val="56FC66F4"/>
    <w:rsid w:val="56FF70A4"/>
    <w:rsid w:val="570838CD"/>
    <w:rsid w:val="57085470"/>
    <w:rsid w:val="570896F0"/>
    <w:rsid w:val="5709F85D"/>
    <w:rsid w:val="570DCDF9"/>
    <w:rsid w:val="5712BDA2"/>
    <w:rsid w:val="57192E72"/>
    <w:rsid w:val="571C0E9C"/>
    <w:rsid w:val="571FA84D"/>
    <w:rsid w:val="57346403"/>
    <w:rsid w:val="57402602"/>
    <w:rsid w:val="57403C34"/>
    <w:rsid w:val="5743D4BE"/>
    <w:rsid w:val="574E92CD"/>
    <w:rsid w:val="5752A473"/>
    <w:rsid w:val="5755409C"/>
    <w:rsid w:val="575F7302"/>
    <w:rsid w:val="576BE406"/>
    <w:rsid w:val="5770E1DA"/>
    <w:rsid w:val="5775C53D"/>
    <w:rsid w:val="5775DFCD"/>
    <w:rsid w:val="57783C5D"/>
    <w:rsid w:val="577AEF0B"/>
    <w:rsid w:val="577CF6D6"/>
    <w:rsid w:val="577D445F"/>
    <w:rsid w:val="578FEA9F"/>
    <w:rsid w:val="57958F74"/>
    <w:rsid w:val="5799214B"/>
    <w:rsid w:val="579A2EB8"/>
    <w:rsid w:val="57AF8E60"/>
    <w:rsid w:val="57B09804"/>
    <w:rsid w:val="57B6F1BD"/>
    <w:rsid w:val="57BFE964"/>
    <w:rsid w:val="57C0FEF2"/>
    <w:rsid w:val="57C20629"/>
    <w:rsid w:val="57C554D5"/>
    <w:rsid w:val="57C5BF03"/>
    <w:rsid w:val="57C9C2AA"/>
    <w:rsid w:val="57E44192"/>
    <w:rsid w:val="57E9696D"/>
    <w:rsid w:val="57FF269C"/>
    <w:rsid w:val="57FF340E"/>
    <w:rsid w:val="58224624"/>
    <w:rsid w:val="582AF23D"/>
    <w:rsid w:val="5831C3F8"/>
    <w:rsid w:val="583A3EB8"/>
    <w:rsid w:val="583E057B"/>
    <w:rsid w:val="5842C638"/>
    <w:rsid w:val="5845C5A2"/>
    <w:rsid w:val="58466C66"/>
    <w:rsid w:val="585519FA"/>
    <w:rsid w:val="5855A01B"/>
    <w:rsid w:val="5859E0DE"/>
    <w:rsid w:val="586371BD"/>
    <w:rsid w:val="58681816"/>
    <w:rsid w:val="586A5FA4"/>
    <w:rsid w:val="586BBD5B"/>
    <w:rsid w:val="5870951B"/>
    <w:rsid w:val="58722EDB"/>
    <w:rsid w:val="58756AAE"/>
    <w:rsid w:val="5877AD86"/>
    <w:rsid w:val="5878DEB6"/>
    <w:rsid w:val="587D35C4"/>
    <w:rsid w:val="587EAF12"/>
    <w:rsid w:val="5885522A"/>
    <w:rsid w:val="588A0C25"/>
    <w:rsid w:val="58907818"/>
    <w:rsid w:val="5890FA06"/>
    <w:rsid w:val="58927ACA"/>
    <w:rsid w:val="58A0BA75"/>
    <w:rsid w:val="58A0E7F7"/>
    <w:rsid w:val="58A397DD"/>
    <w:rsid w:val="58AA9114"/>
    <w:rsid w:val="58B094A6"/>
    <w:rsid w:val="58B15986"/>
    <w:rsid w:val="58B75346"/>
    <w:rsid w:val="58BE06F9"/>
    <w:rsid w:val="58C2C63A"/>
    <w:rsid w:val="58C5183D"/>
    <w:rsid w:val="58CA6302"/>
    <w:rsid w:val="58DA2C70"/>
    <w:rsid w:val="58DF5DF6"/>
    <w:rsid w:val="58E6E72B"/>
    <w:rsid w:val="58EFE1F3"/>
    <w:rsid w:val="58F9F053"/>
    <w:rsid w:val="58FC882C"/>
    <w:rsid w:val="5907D55E"/>
    <w:rsid w:val="5909F4B6"/>
    <w:rsid w:val="590D3376"/>
    <w:rsid w:val="590D56B4"/>
    <w:rsid w:val="5916FBF3"/>
    <w:rsid w:val="591D63F6"/>
    <w:rsid w:val="591DC40A"/>
    <w:rsid w:val="5926D654"/>
    <w:rsid w:val="5927E834"/>
    <w:rsid w:val="592B0DD1"/>
    <w:rsid w:val="592C81BF"/>
    <w:rsid w:val="5935A609"/>
    <w:rsid w:val="59391F2B"/>
    <w:rsid w:val="594C9A34"/>
    <w:rsid w:val="595A74EB"/>
    <w:rsid w:val="595ED3DC"/>
    <w:rsid w:val="595EDAF6"/>
    <w:rsid w:val="5960E0F1"/>
    <w:rsid w:val="5964AAC4"/>
    <w:rsid w:val="596D879E"/>
    <w:rsid w:val="5971E5F5"/>
    <w:rsid w:val="5974AA9C"/>
    <w:rsid w:val="59849300"/>
    <w:rsid w:val="59880820"/>
    <w:rsid w:val="59890723"/>
    <w:rsid w:val="598BF950"/>
    <w:rsid w:val="598C82BB"/>
    <w:rsid w:val="598CB302"/>
    <w:rsid w:val="598D5452"/>
    <w:rsid w:val="599042EC"/>
    <w:rsid w:val="599EE6B0"/>
    <w:rsid w:val="599EEC4E"/>
    <w:rsid w:val="59A7F7B5"/>
    <w:rsid w:val="59A842E8"/>
    <w:rsid w:val="59A9B724"/>
    <w:rsid w:val="59BF7007"/>
    <w:rsid w:val="59C1447C"/>
    <w:rsid w:val="59C83C28"/>
    <w:rsid w:val="59C8D21B"/>
    <w:rsid w:val="59CFB4FF"/>
    <w:rsid w:val="59D40AEB"/>
    <w:rsid w:val="59D471BA"/>
    <w:rsid w:val="59DAA85E"/>
    <w:rsid w:val="59DCA81D"/>
    <w:rsid w:val="59E05130"/>
    <w:rsid w:val="59E16AFC"/>
    <w:rsid w:val="59E537B1"/>
    <w:rsid w:val="59F1F8D2"/>
    <w:rsid w:val="59F5FCF9"/>
    <w:rsid w:val="5A007C72"/>
    <w:rsid w:val="5A013423"/>
    <w:rsid w:val="5A0537A4"/>
    <w:rsid w:val="5A149638"/>
    <w:rsid w:val="5A159AC7"/>
    <w:rsid w:val="5A2DBE49"/>
    <w:rsid w:val="5A3091EB"/>
    <w:rsid w:val="5A392FD6"/>
    <w:rsid w:val="5A3DEC7A"/>
    <w:rsid w:val="5A437904"/>
    <w:rsid w:val="5A51F8B5"/>
    <w:rsid w:val="5A5F8589"/>
    <w:rsid w:val="5A6092A8"/>
    <w:rsid w:val="5A652B07"/>
    <w:rsid w:val="5A6CF9DE"/>
    <w:rsid w:val="5A745A14"/>
    <w:rsid w:val="5A754344"/>
    <w:rsid w:val="5A7854A0"/>
    <w:rsid w:val="5A7DB175"/>
    <w:rsid w:val="5A86B697"/>
    <w:rsid w:val="5A87B2DC"/>
    <w:rsid w:val="5A89D3CC"/>
    <w:rsid w:val="5A8C8C43"/>
    <w:rsid w:val="5A94174C"/>
    <w:rsid w:val="5A94E8D6"/>
    <w:rsid w:val="5A969165"/>
    <w:rsid w:val="5A96BA05"/>
    <w:rsid w:val="5A98B660"/>
    <w:rsid w:val="5A98D22F"/>
    <w:rsid w:val="5A9A3FA2"/>
    <w:rsid w:val="5AA5671B"/>
    <w:rsid w:val="5AA6E31C"/>
    <w:rsid w:val="5AA8433E"/>
    <w:rsid w:val="5AB172A3"/>
    <w:rsid w:val="5AB1D392"/>
    <w:rsid w:val="5AB39A7A"/>
    <w:rsid w:val="5ABD6C69"/>
    <w:rsid w:val="5AC6C9C8"/>
    <w:rsid w:val="5AD71362"/>
    <w:rsid w:val="5ADBBD05"/>
    <w:rsid w:val="5AE16939"/>
    <w:rsid w:val="5AE7B62F"/>
    <w:rsid w:val="5AE8A088"/>
    <w:rsid w:val="5AF90C1D"/>
    <w:rsid w:val="5AFF03C0"/>
    <w:rsid w:val="5AFF95B0"/>
    <w:rsid w:val="5B03BF84"/>
    <w:rsid w:val="5B14E005"/>
    <w:rsid w:val="5B1A912E"/>
    <w:rsid w:val="5B1B83AE"/>
    <w:rsid w:val="5B1EE96B"/>
    <w:rsid w:val="5B274C0E"/>
    <w:rsid w:val="5B30DCFB"/>
    <w:rsid w:val="5B33FFDB"/>
    <w:rsid w:val="5B343C93"/>
    <w:rsid w:val="5B34E6F4"/>
    <w:rsid w:val="5B4B01B0"/>
    <w:rsid w:val="5B54AD5F"/>
    <w:rsid w:val="5B57610C"/>
    <w:rsid w:val="5B664887"/>
    <w:rsid w:val="5B6F2B8F"/>
    <w:rsid w:val="5B72F478"/>
    <w:rsid w:val="5B7EA69D"/>
    <w:rsid w:val="5B8136E9"/>
    <w:rsid w:val="5B841E39"/>
    <w:rsid w:val="5B89E71A"/>
    <w:rsid w:val="5B8AA5FC"/>
    <w:rsid w:val="5B8F180B"/>
    <w:rsid w:val="5B92AA18"/>
    <w:rsid w:val="5B9E181E"/>
    <w:rsid w:val="5BA2B0FB"/>
    <w:rsid w:val="5BA5529F"/>
    <w:rsid w:val="5BAE3671"/>
    <w:rsid w:val="5BAEDBB5"/>
    <w:rsid w:val="5BAEEC60"/>
    <w:rsid w:val="5BB637C5"/>
    <w:rsid w:val="5BBC0C10"/>
    <w:rsid w:val="5BBD0A82"/>
    <w:rsid w:val="5BBD7704"/>
    <w:rsid w:val="5BC089B3"/>
    <w:rsid w:val="5BC15107"/>
    <w:rsid w:val="5BC5B14D"/>
    <w:rsid w:val="5BC68621"/>
    <w:rsid w:val="5BCA4E89"/>
    <w:rsid w:val="5BD59672"/>
    <w:rsid w:val="5BD77199"/>
    <w:rsid w:val="5BDA6AC2"/>
    <w:rsid w:val="5BDC4BB6"/>
    <w:rsid w:val="5BDD87F9"/>
    <w:rsid w:val="5BE2D07E"/>
    <w:rsid w:val="5BE6841C"/>
    <w:rsid w:val="5BE86ABD"/>
    <w:rsid w:val="5BEA388B"/>
    <w:rsid w:val="5BEB1023"/>
    <w:rsid w:val="5BEE8403"/>
    <w:rsid w:val="5BFA8CF3"/>
    <w:rsid w:val="5BFB7B6F"/>
    <w:rsid w:val="5C046297"/>
    <w:rsid w:val="5C059062"/>
    <w:rsid w:val="5C05F17A"/>
    <w:rsid w:val="5C06C0B4"/>
    <w:rsid w:val="5C1315E8"/>
    <w:rsid w:val="5C169DD7"/>
    <w:rsid w:val="5C177AE6"/>
    <w:rsid w:val="5C1A02CD"/>
    <w:rsid w:val="5C1D55E7"/>
    <w:rsid w:val="5C1F299F"/>
    <w:rsid w:val="5C1F38BA"/>
    <w:rsid w:val="5C2153E0"/>
    <w:rsid w:val="5C2203F0"/>
    <w:rsid w:val="5C306B77"/>
    <w:rsid w:val="5C33F776"/>
    <w:rsid w:val="5C3434C1"/>
    <w:rsid w:val="5C3486C1"/>
    <w:rsid w:val="5C35CCB9"/>
    <w:rsid w:val="5C35E10F"/>
    <w:rsid w:val="5C3C595D"/>
    <w:rsid w:val="5C4146EE"/>
    <w:rsid w:val="5C472064"/>
    <w:rsid w:val="5C5653E7"/>
    <w:rsid w:val="5C56FF7A"/>
    <w:rsid w:val="5C6C0B19"/>
    <w:rsid w:val="5C6CA7AF"/>
    <w:rsid w:val="5C80941A"/>
    <w:rsid w:val="5C85708E"/>
    <w:rsid w:val="5C87799C"/>
    <w:rsid w:val="5C8A0BF1"/>
    <w:rsid w:val="5C8F8118"/>
    <w:rsid w:val="5C96CD79"/>
    <w:rsid w:val="5C99973B"/>
    <w:rsid w:val="5C9AA212"/>
    <w:rsid w:val="5CA2AF20"/>
    <w:rsid w:val="5CA71FFB"/>
    <w:rsid w:val="5CA84BF0"/>
    <w:rsid w:val="5CA93AF2"/>
    <w:rsid w:val="5CAD597F"/>
    <w:rsid w:val="5CADA1EE"/>
    <w:rsid w:val="5CAF5C21"/>
    <w:rsid w:val="5CAFB3FB"/>
    <w:rsid w:val="5CB3B53D"/>
    <w:rsid w:val="5CB4771E"/>
    <w:rsid w:val="5CC48DA2"/>
    <w:rsid w:val="5CC6CBFD"/>
    <w:rsid w:val="5CC8C3B2"/>
    <w:rsid w:val="5CCBA618"/>
    <w:rsid w:val="5CCC3FCA"/>
    <w:rsid w:val="5CCFC083"/>
    <w:rsid w:val="5CD18046"/>
    <w:rsid w:val="5CD4076C"/>
    <w:rsid w:val="5CDD4E72"/>
    <w:rsid w:val="5CE54F93"/>
    <w:rsid w:val="5CEA8A68"/>
    <w:rsid w:val="5CF0D8AF"/>
    <w:rsid w:val="5CF95CC5"/>
    <w:rsid w:val="5D066EF2"/>
    <w:rsid w:val="5D14130D"/>
    <w:rsid w:val="5D1DD101"/>
    <w:rsid w:val="5D1E0CED"/>
    <w:rsid w:val="5D1FB31D"/>
    <w:rsid w:val="5D241559"/>
    <w:rsid w:val="5D291ECE"/>
    <w:rsid w:val="5D361847"/>
    <w:rsid w:val="5D361A85"/>
    <w:rsid w:val="5D3B99BA"/>
    <w:rsid w:val="5D3F7FFD"/>
    <w:rsid w:val="5D3F9C24"/>
    <w:rsid w:val="5D434CA6"/>
    <w:rsid w:val="5D4B7545"/>
    <w:rsid w:val="5D4FE550"/>
    <w:rsid w:val="5D537A56"/>
    <w:rsid w:val="5D56DBD5"/>
    <w:rsid w:val="5D582DAA"/>
    <w:rsid w:val="5D5D7E79"/>
    <w:rsid w:val="5D5F9179"/>
    <w:rsid w:val="5D63A6D7"/>
    <w:rsid w:val="5D74003C"/>
    <w:rsid w:val="5D7B46CC"/>
    <w:rsid w:val="5D8065E0"/>
    <w:rsid w:val="5D834927"/>
    <w:rsid w:val="5D84B014"/>
    <w:rsid w:val="5D868DD5"/>
    <w:rsid w:val="5D8B8FC4"/>
    <w:rsid w:val="5D8DB8CE"/>
    <w:rsid w:val="5D8E22FD"/>
    <w:rsid w:val="5D9DB102"/>
    <w:rsid w:val="5DA78CA0"/>
    <w:rsid w:val="5DA7B917"/>
    <w:rsid w:val="5DAE3FA3"/>
    <w:rsid w:val="5DB76BD5"/>
    <w:rsid w:val="5DB99497"/>
    <w:rsid w:val="5DBCEE89"/>
    <w:rsid w:val="5DBD28BC"/>
    <w:rsid w:val="5DC3EF40"/>
    <w:rsid w:val="5DCB1BE9"/>
    <w:rsid w:val="5DD31B4A"/>
    <w:rsid w:val="5DE19A9E"/>
    <w:rsid w:val="5DE8AD97"/>
    <w:rsid w:val="5DE91971"/>
    <w:rsid w:val="5DF407DC"/>
    <w:rsid w:val="5DF8FA69"/>
    <w:rsid w:val="5DFAAF49"/>
    <w:rsid w:val="5E09B1C6"/>
    <w:rsid w:val="5E0B8332"/>
    <w:rsid w:val="5E1381A1"/>
    <w:rsid w:val="5E152A45"/>
    <w:rsid w:val="5E1624C4"/>
    <w:rsid w:val="5E16C05E"/>
    <w:rsid w:val="5E16F699"/>
    <w:rsid w:val="5E1787D8"/>
    <w:rsid w:val="5E1FDA05"/>
    <w:rsid w:val="5E2342AC"/>
    <w:rsid w:val="5E268F0A"/>
    <w:rsid w:val="5E2CF6FC"/>
    <w:rsid w:val="5E38E564"/>
    <w:rsid w:val="5E3A100A"/>
    <w:rsid w:val="5E3F6785"/>
    <w:rsid w:val="5E411F38"/>
    <w:rsid w:val="5E49205B"/>
    <w:rsid w:val="5E4CA4B6"/>
    <w:rsid w:val="5E541D22"/>
    <w:rsid w:val="5E5540CB"/>
    <w:rsid w:val="5E5550EF"/>
    <w:rsid w:val="5E565C09"/>
    <w:rsid w:val="5E5F1B72"/>
    <w:rsid w:val="5E650ED1"/>
    <w:rsid w:val="5E665D17"/>
    <w:rsid w:val="5E68D97C"/>
    <w:rsid w:val="5E69B648"/>
    <w:rsid w:val="5E6A92A1"/>
    <w:rsid w:val="5E6B81FD"/>
    <w:rsid w:val="5E6EF49C"/>
    <w:rsid w:val="5E7BFBA1"/>
    <w:rsid w:val="5E7EF120"/>
    <w:rsid w:val="5E82D190"/>
    <w:rsid w:val="5E8AECD2"/>
    <w:rsid w:val="5E93DD0B"/>
    <w:rsid w:val="5E967819"/>
    <w:rsid w:val="5E9CBAEC"/>
    <w:rsid w:val="5EA0AF75"/>
    <w:rsid w:val="5EA8B423"/>
    <w:rsid w:val="5EAB58BF"/>
    <w:rsid w:val="5EBF34CF"/>
    <w:rsid w:val="5EC49E1C"/>
    <w:rsid w:val="5EC64562"/>
    <w:rsid w:val="5ED0444E"/>
    <w:rsid w:val="5ED1BBA1"/>
    <w:rsid w:val="5ED38B84"/>
    <w:rsid w:val="5ED8993D"/>
    <w:rsid w:val="5EDA59E3"/>
    <w:rsid w:val="5EDAB340"/>
    <w:rsid w:val="5EDCD07D"/>
    <w:rsid w:val="5EE6913F"/>
    <w:rsid w:val="5EE8463B"/>
    <w:rsid w:val="5EFC3B03"/>
    <w:rsid w:val="5EFEEC47"/>
    <w:rsid w:val="5F043037"/>
    <w:rsid w:val="5F10653F"/>
    <w:rsid w:val="5F107867"/>
    <w:rsid w:val="5F12A064"/>
    <w:rsid w:val="5F143218"/>
    <w:rsid w:val="5F1EECCE"/>
    <w:rsid w:val="5F260000"/>
    <w:rsid w:val="5F26CCF9"/>
    <w:rsid w:val="5F2CF387"/>
    <w:rsid w:val="5F2DFBDF"/>
    <w:rsid w:val="5F300343"/>
    <w:rsid w:val="5F314871"/>
    <w:rsid w:val="5F363BD0"/>
    <w:rsid w:val="5F3D576B"/>
    <w:rsid w:val="5F3F0C79"/>
    <w:rsid w:val="5F48C630"/>
    <w:rsid w:val="5F519D39"/>
    <w:rsid w:val="5F567F86"/>
    <w:rsid w:val="5F5858E0"/>
    <w:rsid w:val="5F5BD3BB"/>
    <w:rsid w:val="5F5E0D96"/>
    <w:rsid w:val="5F6511E1"/>
    <w:rsid w:val="5F66B1C4"/>
    <w:rsid w:val="5F6BA676"/>
    <w:rsid w:val="5F6C2783"/>
    <w:rsid w:val="5F6C4B3A"/>
    <w:rsid w:val="5F6DB0C5"/>
    <w:rsid w:val="5F729E6C"/>
    <w:rsid w:val="5F77AFAC"/>
    <w:rsid w:val="5F7D3F78"/>
    <w:rsid w:val="5F7FEF0B"/>
    <w:rsid w:val="5F85294A"/>
    <w:rsid w:val="5F859169"/>
    <w:rsid w:val="5F86197B"/>
    <w:rsid w:val="5F867B3E"/>
    <w:rsid w:val="5F893375"/>
    <w:rsid w:val="5F8980E4"/>
    <w:rsid w:val="5F8BF823"/>
    <w:rsid w:val="5F8EA825"/>
    <w:rsid w:val="5F94A1F2"/>
    <w:rsid w:val="5F9DA4E6"/>
    <w:rsid w:val="5FA6026A"/>
    <w:rsid w:val="5FA6A651"/>
    <w:rsid w:val="5FA6E82E"/>
    <w:rsid w:val="5FA90021"/>
    <w:rsid w:val="5FB6D5FC"/>
    <w:rsid w:val="5FBA41F5"/>
    <w:rsid w:val="5FBC4470"/>
    <w:rsid w:val="5FBD38BE"/>
    <w:rsid w:val="5FC34112"/>
    <w:rsid w:val="5FC45CBB"/>
    <w:rsid w:val="5FC82EBB"/>
    <w:rsid w:val="5FC849BF"/>
    <w:rsid w:val="5FD62B1A"/>
    <w:rsid w:val="5FDE02EA"/>
    <w:rsid w:val="5FDFD315"/>
    <w:rsid w:val="5FE791C1"/>
    <w:rsid w:val="5FEC6503"/>
    <w:rsid w:val="5FED5204"/>
    <w:rsid w:val="5FF5DF5D"/>
    <w:rsid w:val="60042D46"/>
    <w:rsid w:val="60075F7B"/>
    <w:rsid w:val="6013EEC2"/>
    <w:rsid w:val="60166FB3"/>
    <w:rsid w:val="601C7B3A"/>
    <w:rsid w:val="6021CAE9"/>
    <w:rsid w:val="602279E4"/>
    <w:rsid w:val="60250B64"/>
    <w:rsid w:val="6026F343"/>
    <w:rsid w:val="602DF105"/>
    <w:rsid w:val="6038A5C2"/>
    <w:rsid w:val="603A97EE"/>
    <w:rsid w:val="6046D7A1"/>
    <w:rsid w:val="6047D3F2"/>
    <w:rsid w:val="604882D1"/>
    <w:rsid w:val="605074E1"/>
    <w:rsid w:val="60679084"/>
    <w:rsid w:val="60756DB8"/>
    <w:rsid w:val="6086FFF8"/>
    <w:rsid w:val="60874BA1"/>
    <w:rsid w:val="60884F1E"/>
    <w:rsid w:val="6089008F"/>
    <w:rsid w:val="608D7352"/>
    <w:rsid w:val="60A3FA32"/>
    <w:rsid w:val="60AE303A"/>
    <w:rsid w:val="60B37C1A"/>
    <w:rsid w:val="60B755A9"/>
    <w:rsid w:val="60BA1FDD"/>
    <w:rsid w:val="60BAA013"/>
    <w:rsid w:val="60BD7205"/>
    <w:rsid w:val="60C18D57"/>
    <w:rsid w:val="60DA1F06"/>
    <w:rsid w:val="60DAF078"/>
    <w:rsid w:val="60DB2ABB"/>
    <w:rsid w:val="60DE31F0"/>
    <w:rsid w:val="60E4D4C5"/>
    <w:rsid w:val="60EB9B1A"/>
    <w:rsid w:val="60ECA366"/>
    <w:rsid w:val="60F5CAA1"/>
    <w:rsid w:val="60F8A22D"/>
    <w:rsid w:val="60FD4138"/>
    <w:rsid w:val="61048DAF"/>
    <w:rsid w:val="61088783"/>
    <w:rsid w:val="6108AA18"/>
    <w:rsid w:val="6109CF56"/>
    <w:rsid w:val="610B87D9"/>
    <w:rsid w:val="610D5FA8"/>
    <w:rsid w:val="61121EDA"/>
    <w:rsid w:val="611686A2"/>
    <w:rsid w:val="611A56E6"/>
    <w:rsid w:val="611C1A69"/>
    <w:rsid w:val="611CF218"/>
    <w:rsid w:val="6121E275"/>
    <w:rsid w:val="612317B2"/>
    <w:rsid w:val="612E2F0F"/>
    <w:rsid w:val="61306C0A"/>
    <w:rsid w:val="6137EE68"/>
    <w:rsid w:val="61417807"/>
    <w:rsid w:val="615A44FC"/>
    <w:rsid w:val="615E1570"/>
    <w:rsid w:val="6178E98B"/>
    <w:rsid w:val="6179244A"/>
    <w:rsid w:val="617BCA1E"/>
    <w:rsid w:val="617FAE13"/>
    <w:rsid w:val="618E3519"/>
    <w:rsid w:val="618FD854"/>
    <w:rsid w:val="6195F60D"/>
    <w:rsid w:val="61990D1C"/>
    <w:rsid w:val="61A8892E"/>
    <w:rsid w:val="61AC3DB7"/>
    <w:rsid w:val="61B89908"/>
    <w:rsid w:val="61C80466"/>
    <w:rsid w:val="61CDDF95"/>
    <w:rsid w:val="61CF5EEE"/>
    <w:rsid w:val="61D3DA25"/>
    <w:rsid w:val="61D49CF3"/>
    <w:rsid w:val="61D8A899"/>
    <w:rsid w:val="61D9307A"/>
    <w:rsid w:val="61D9D4E8"/>
    <w:rsid w:val="61DB8D67"/>
    <w:rsid w:val="61E02A45"/>
    <w:rsid w:val="61E7A0D6"/>
    <w:rsid w:val="61E97B62"/>
    <w:rsid w:val="61EAEA6F"/>
    <w:rsid w:val="61EBEFF6"/>
    <w:rsid w:val="61EC46CE"/>
    <w:rsid w:val="61EE1BBA"/>
    <w:rsid w:val="61EEA59A"/>
    <w:rsid w:val="61F134AC"/>
    <w:rsid w:val="61F46176"/>
    <w:rsid w:val="61F539FB"/>
    <w:rsid w:val="61F71CCC"/>
    <w:rsid w:val="61F8801A"/>
    <w:rsid w:val="61FA8036"/>
    <w:rsid w:val="62001A3E"/>
    <w:rsid w:val="6200F39C"/>
    <w:rsid w:val="62028847"/>
    <w:rsid w:val="620602E8"/>
    <w:rsid w:val="620B53FF"/>
    <w:rsid w:val="6213C10F"/>
    <w:rsid w:val="6214AAB5"/>
    <w:rsid w:val="621DC0A7"/>
    <w:rsid w:val="6223684D"/>
    <w:rsid w:val="6223B981"/>
    <w:rsid w:val="623015D8"/>
    <w:rsid w:val="6233ACA9"/>
    <w:rsid w:val="62340995"/>
    <w:rsid w:val="623A69CF"/>
    <w:rsid w:val="623DB5F6"/>
    <w:rsid w:val="623FB681"/>
    <w:rsid w:val="623FF301"/>
    <w:rsid w:val="6242B683"/>
    <w:rsid w:val="624B9CD9"/>
    <w:rsid w:val="6250625D"/>
    <w:rsid w:val="6251CD28"/>
    <w:rsid w:val="625529CA"/>
    <w:rsid w:val="62571FDE"/>
    <w:rsid w:val="625879E6"/>
    <w:rsid w:val="625C76C2"/>
    <w:rsid w:val="625EBC10"/>
    <w:rsid w:val="626570EF"/>
    <w:rsid w:val="6265B30D"/>
    <w:rsid w:val="6266EE6D"/>
    <w:rsid w:val="627A8B81"/>
    <w:rsid w:val="627D91A9"/>
    <w:rsid w:val="6282CE73"/>
    <w:rsid w:val="6285EB4A"/>
    <w:rsid w:val="628C6416"/>
    <w:rsid w:val="62A5081B"/>
    <w:rsid w:val="62AF6EA5"/>
    <w:rsid w:val="62B0AE21"/>
    <w:rsid w:val="62B4ECA9"/>
    <w:rsid w:val="62B5E7BC"/>
    <w:rsid w:val="62B868AE"/>
    <w:rsid w:val="62B9542C"/>
    <w:rsid w:val="62C43F3D"/>
    <w:rsid w:val="62C8ECAD"/>
    <w:rsid w:val="62D46004"/>
    <w:rsid w:val="62DB1283"/>
    <w:rsid w:val="62DB6C5A"/>
    <w:rsid w:val="62DB89B5"/>
    <w:rsid w:val="62E0F28C"/>
    <w:rsid w:val="62E7C3C7"/>
    <w:rsid w:val="62E92C65"/>
    <w:rsid w:val="62E9B730"/>
    <w:rsid w:val="62F0D39C"/>
    <w:rsid w:val="62F15A1D"/>
    <w:rsid w:val="62FA09BE"/>
    <w:rsid w:val="62FD7C39"/>
    <w:rsid w:val="6300D5F5"/>
    <w:rsid w:val="6309EBF7"/>
    <w:rsid w:val="63103C17"/>
    <w:rsid w:val="6323CC18"/>
    <w:rsid w:val="632407D3"/>
    <w:rsid w:val="63247FE7"/>
    <w:rsid w:val="63303629"/>
    <w:rsid w:val="6335644F"/>
    <w:rsid w:val="6335E451"/>
    <w:rsid w:val="63379CFE"/>
    <w:rsid w:val="633819D1"/>
    <w:rsid w:val="6343D359"/>
    <w:rsid w:val="635089FD"/>
    <w:rsid w:val="6360B3F4"/>
    <w:rsid w:val="63669B8F"/>
    <w:rsid w:val="6369C996"/>
    <w:rsid w:val="636B016D"/>
    <w:rsid w:val="636DA69E"/>
    <w:rsid w:val="63753A77"/>
    <w:rsid w:val="63830301"/>
    <w:rsid w:val="63836ECE"/>
    <w:rsid w:val="6384135D"/>
    <w:rsid w:val="6384177A"/>
    <w:rsid w:val="63896C33"/>
    <w:rsid w:val="6392D4CA"/>
    <w:rsid w:val="63961FC3"/>
    <w:rsid w:val="63ABCE4F"/>
    <w:rsid w:val="63B4A7D1"/>
    <w:rsid w:val="63BCC4F1"/>
    <w:rsid w:val="63C36FF5"/>
    <w:rsid w:val="63C940DE"/>
    <w:rsid w:val="63CB50FA"/>
    <w:rsid w:val="63D018D0"/>
    <w:rsid w:val="63D13FBD"/>
    <w:rsid w:val="63E3811F"/>
    <w:rsid w:val="63F3300F"/>
    <w:rsid w:val="63F87A26"/>
    <w:rsid w:val="63FB3B4A"/>
    <w:rsid w:val="640273CD"/>
    <w:rsid w:val="64073033"/>
    <w:rsid w:val="6407D46B"/>
    <w:rsid w:val="641AFC09"/>
    <w:rsid w:val="641D0F26"/>
    <w:rsid w:val="641D7673"/>
    <w:rsid w:val="641DC145"/>
    <w:rsid w:val="64297521"/>
    <w:rsid w:val="64306DE0"/>
    <w:rsid w:val="64370FA4"/>
    <w:rsid w:val="64398BE9"/>
    <w:rsid w:val="643AC1BA"/>
    <w:rsid w:val="64464295"/>
    <w:rsid w:val="6448F7BF"/>
    <w:rsid w:val="644A0546"/>
    <w:rsid w:val="644B2E43"/>
    <w:rsid w:val="644C3D01"/>
    <w:rsid w:val="644C9A98"/>
    <w:rsid w:val="644E12C9"/>
    <w:rsid w:val="644F81B3"/>
    <w:rsid w:val="6450B340"/>
    <w:rsid w:val="645261E4"/>
    <w:rsid w:val="645FC571"/>
    <w:rsid w:val="645FED89"/>
    <w:rsid w:val="646AA373"/>
    <w:rsid w:val="64717D2A"/>
    <w:rsid w:val="647C1035"/>
    <w:rsid w:val="64843438"/>
    <w:rsid w:val="64881C81"/>
    <w:rsid w:val="6488EAE7"/>
    <w:rsid w:val="648CBD16"/>
    <w:rsid w:val="64A7D75F"/>
    <w:rsid w:val="64B2FD90"/>
    <w:rsid w:val="64B613C0"/>
    <w:rsid w:val="64C56757"/>
    <w:rsid w:val="64C57BE1"/>
    <w:rsid w:val="64C77628"/>
    <w:rsid w:val="64CB4780"/>
    <w:rsid w:val="64CD52DF"/>
    <w:rsid w:val="64D07843"/>
    <w:rsid w:val="64D1A2F9"/>
    <w:rsid w:val="64D1AAB0"/>
    <w:rsid w:val="64D8BAE2"/>
    <w:rsid w:val="64DA4593"/>
    <w:rsid w:val="64DDC720"/>
    <w:rsid w:val="64E1FF39"/>
    <w:rsid w:val="64E28336"/>
    <w:rsid w:val="64ECC1E7"/>
    <w:rsid w:val="64EDFE2B"/>
    <w:rsid w:val="64EE5679"/>
    <w:rsid w:val="64F0C904"/>
    <w:rsid w:val="64FB16EE"/>
    <w:rsid w:val="64FCB09F"/>
    <w:rsid w:val="64FFE10A"/>
    <w:rsid w:val="6503A43C"/>
    <w:rsid w:val="6503E181"/>
    <w:rsid w:val="65054168"/>
    <w:rsid w:val="651807C0"/>
    <w:rsid w:val="6518A012"/>
    <w:rsid w:val="651E663C"/>
    <w:rsid w:val="652442B5"/>
    <w:rsid w:val="652F0456"/>
    <w:rsid w:val="652F5D73"/>
    <w:rsid w:val="653EB577"/>
    <w:rsid w:val="654071D8"/>
    <w:rsid w:val="654770E4"/>
    <w:rsid w:val="65495B84"/>
    <w:rsid w:val="654B820C"/>
    <w:rsid w:val="654DB428"/>
    <w:rsid w:val="65508EF7"/>
    <w:rsid w:val="6550C377"/>
    <w:rsid w:val="6555E0FA"/>
    <w:rsid w:val="655CD166"/>
    <w:rsid w:val="656CAB77"/>
    <w:rsid w:val="656F24AC"/>
    <w:rsid w:val="65720A91"/>
    <w:rsid w:val="6594A25E"/>
    <w:rsid w:val="659AB403"/>
    <w:rsid w:val="65A0BC9B"/>
    <w:rsid w:val="65A39D85"/>
    <w:rsid w:val="65A72DFE"/>
    <w:rsid w:val="65A91B16"/>
    <w:rsid w:val="65AA17AB"/>
    <w:rsid w:val="65B1093F"/>
    <w:rsid w:val="65B4602E"/>
    <w:rsid w:val="65B72767"/>
    <w:rsid w:val="65B934D2"/>
    <w:rsid w:val="65BB101C"/>
    <w:rsid w:val="65BDBCD6"/>
    <w:rsid w:val="65BF6629"/>
    <w:rsid w:val="65C1C6BD"/>
    <w:rsid w:val="65C7E8D3"/>
    <w:rsid w:val="65CD460D"/>
    <w:rsid w:val="65D294A3"/>
    <w:rsid w:val="65D77118"/>
    <w:rsid w:val="65DA1916"/>
    <w:rsid w:val="65E28C3D"/>
    <w:rsid w:val="65E409B9"/>
    <w:rsid w:val="65E62B75"/>
    <w:rsid w:val="65E9A202"/>
    <w:rsid w:val="65EBE948"/>
    <w:rsid w:val="65EC1C19"/>
    <w:rsid w:val="65EF66A8"/>
    <w:rsid w:val="65F83FB8"/>
    <w:rsid w:val="65F86A47"/>
    <w:rsid w:val="6600736D"/>
    <w:rsid w:val="660D689A"/>
    <w:rsid w:val="661F9ED1"/>
    <w:rsid w:val="66220585"/>
    <w:rsid w:val="662757DE"/>
    <w:rsid w:val="662DA20B"/>
    <w:rsid w:val="663FDA22"/>
    <w:rsid w:val="66438F44"/>
    <w:rsid w:val="664BC015"/>
    <w:rsid w:val="664EA174"/>
    <w:rsid w:val="66524046"/>
    <w:rsid w:val="66529E86"/>
    <w:rsid w:val="6653DDB7"/>
    <w:rsid w:val="665DDDB9"/>
    <w:rsid w:val="666539E3"/>
    <w:rsid w:val="66701D5B"/>
    <w:rsid w:val="66780296"/>
    <w:rsid w:val="6687DC46"/>
    <w:rsid w:val="668C53AC"/>
    <w:rsid w:val="669ABFC1"/>
    <w:rsid w:val="66A3394F"/>
    <w:rsid w:val="66B28489"/>
    <w:rsid w:val="66B703BF"/>
    <w:rsid w:val="66BFD66A"/>
    <w:rsid w:val="66C02D68"/>
    <w:rsid w:val="66C92EE7"/>
    <w:rsid w:val="66CC5A53"/>
    <w:rsid w:val="66D0A70C"/>
    <w:rsid w:val="66D1A253"/>
    <w:rsid w:val="66D5677F"/>
    <w:rsid w:val="66D59854"/>
    <w:rsid w:val="66E211F2"/>
    <w:rsid w:val="66E36F11"/>
    <w:rsid w:val="66EB931C"/>
    <w:rsid w:val="66F00F32"/>
    <w:rsid w:val="66F613BD"/>
    <w:rsid w:val="66F9027B"/>
    <w:rsid w:val="66F95BBE"/>
    <w:rsid w:val="66FCCD9B"/>
    <w:rsid w:val="67029421"/>
    <w:rsid w:val="670824CC"/>
    <w:rsid w:val="6710610E"/>
    <w:rsid w:val="6711A8D0"/>
    <w:rsid w:val="67176F10"/>
    <w:rsid w:val="6718FFA8"/>
    <w:rsid w:val="671AB0F7"/>
    <w:rsid w:val="67233E9E"/>
    <w:rsid w:val="672F1D2A"/>
    <w:rsid w:val="6732D4DB"/>
    <w:rsid w:val="6734EE8E"/>
    <w:rsid w:val="6739342D"/>
    <w:rsid w:val="673A7E20"/>
    <w:rsid w:val="6741E9F4"/>
    <w:rsid w:val="674282B7"/>
    <w:rsid w:val="674AF769"/>
    <w:rsid w:val="674BF3DC"/>
    <w:rsid w:val="674F7D2B"/>
    <w:rsid w:val="6758E922"/>
    <w:rsid w:val="67630E54"/>
    <w:rsid w:val="6764C690"/>
    <w:rsid w:val="676B2AF6"/>
    <w:rsid w:val="676BC75B"/>
    <w:rsid w:val="676D7452"/>
    <w:rsid w:val="677501E9"/>
    <w:rsid w:val="67781269"/>
    <w:rsid w:val="67801283"/>
    <w:rsid w:val="678EA4A2"/>
    <w:rsid w:val="6795ECF5"/>
    <w:rsid w:val="67971C39"/>
    <w:rsid w:val="6797A89B"/>
    <w:rsid w:val="679E84CC"/>
    <w:rsid w:val="67A78622"/>
    <w:rsid w:val="67ABE74A"/>
    <w:rsid w:val="67AC531F"/>
    <w:rsid w:val="67AFD277"/>
    <w:rsid w:val="67B4BE31"/>
    <w:rsid w:val="67B94454"/>
    <w:rsid w:val="67C114A1"/>
    <w:rsid w:val="67C3B5EE"/>
    <w:rsid w:val="67C74E54"/>
    <w:rsid w:val="67D1674A"/>
    <w:rsid w:val="67D5676C"/>
    <w:rsid w:val="67D6F06B"/>
    <w:rsid w:val="67D907AA"/>
    <w:rsid w:val="67DBBA2B"/>
    <w:rsid w:val="67E9BBD9"/>
    <w:rsid w:val="67EB0D53"/>
    <w:rsid w:val="67ED99ED"/>
    <w:rsid w:val="67F220B3"/>
    <w:rsid w:val="67F678F5"/>
    <w:rsid w:val="67F92B9E"/>
    <w:rsid w:val="680DB6E7"/>
    <w:rsid w:val="681CB8A4"/>
    <w:rsid w:val="681CE379"/>
    <w:rsid w:val="682B5DCB"/>
    <w:rsid w:val="682E6651"/>
    <w:rsid w:val="68301D49"/>
    <w:rsid w:val="68345B66"/>
    <w:rsid w:val="68353B06"/>
    <w:rsid w:val="683A9307"/>
    <w:rsid w:val="683F512D"/>
    <w:rsid w:val="6846B007"/>
    <w:rsid w:val="684A9145"/>
    <w:rsid w:val="684E35B2"/>
    <w:rsid w:val="684E6784"/>
    <w:rsid w:val="6850A321"/>
    <w:rsid w:val="6857E21B"/>
    <w:rsid w:val="686A1856"/>
    <w:rsid w:val="6870AF22"/>
    <w:rsid w:val="6873DAE6"/>
    <w:rsid w:val="6874595F"/>
    <w:rsid w:val="687B0B44"/>
    <w:rsid w:val="6883F770"/>
    <w:rsid w:val="688EDD75"/>
    <w:rsid w:val="6892FFD5"/>
    <w:rsid w:val="68974B59"/>
    <w:rsid w:val="6899D510"/>
    <w:rsid w:val="689DEBE5"/>
    <w:rsid w:val="68A057D8"/>
    <w:rsid w:val="68A50057"/>
    <w:rsid w:val="68B77336"/>
    <w:rsid w:val="68BD6B35"/>
    <w:rsid w:val="68C78C58"/>
    <w:rsid w:val="68CFD61B"/>
    <w:rsid w:val="68D279D9"/>
    <w:rsid w:val="68D3F614"/>
    <w:rsid w:val="68D60E68"/>
    <w:rsid w:val="68D6D0C8"/>
    <w:rsid w:val="68D9F45E"/>
    <w:rsid w:val="68DE7352"/>
    <w:rsid w:val="68DFE5FF"/>
    <w:rsid w:val="68E0183D"/>
    <w:rsid w:val="68E0F0FB"/>
    <w:rsid w:val="68E6805C"/>
    <w:rsid w:val="68E7EF64"/>
    <w:rsid w:val="68EDDADD"/>
    <w:rsid w:val="68F01FE5"/>
    <w:rsid w:val="68F5B7A7"/>
    <w:rsid w:val="68F9ACA3"/>
    <w:rsid w:val="68FAA893"/>
    <w:rsid w:val="68FF7533"/>
    <w:rsid w:val="69022CBB"/>
    <w:rsid w:val="690335D9"/>
    <w:rsid w:val="6909F0AF"/>
    <w:rsid w:val="690C283E"/>
    <w:rsid w:val="6910D24A"/>
    <w:rsid w:val="6922266F"/>
    <w:rsid w:val="69246A84"/>
    <w:rsid w:val="69278BEC"/>
    <w:rsid w:val="69278CC4"/>
    <w:rsid w:val="6927F233"/>
    <w:rsid w:val="692BEE9D"/>
    <w:rsid w:val="692FE718"/>
    <w:rsid w:val="6935E7FA"/>
    <w:rsid w:val="69406577"/>
    <w:rsid w:val="69411557"/>
    <w:rsid w:val="694E9B11"/>
    <w:rsid w:val="696E438A"/>
    <w:rsid w:val="696F7DC1"/>
    <w:rsid w:val="6982233E"/>
    <w:rsid w:val="69878376"/>
    <w:rsid w:val="6989C152"/>
    <w:rsid w:val="698DFE8A"/>
    <w:rsid w:val="69995DEE"/>
    <w:rsid w:val="699F7A7F"/>
    <w:rsid w:val="69A01F18"/>
    <w:rsid w:val="69A2A583"/>
    <w:rsid w:val="69A37709"/>
    <w:rsid w:val="69A4AEFE"/>
    <w:rsid w:val="69A6E6B4"/>
    <w:rsid w:val="69A97B43"/>
    <w:rsid w:val="69A9CB57"/>
    <w:rsid w:val="69AB9634"/>
    <w:rsid w:val="69B132FC"/>
    <w:rsid w:val="69BA4F6D"/>
    <w:rsid w:val="69C295AE"/>
    <w:rsid w:val="69E30B7B"/>
    <w:rsid w:val="69EC14FC"/>
    <w:rsid w:val="69EF08A8"/>
    <w:rsid w:val="69F470F4"/>
    <w:rsid w:val="69FBDB3C"/>
    <w:rsid w:val="69FBE452"/>
    <w:rsid w:val="69FD0148"/>
    <w:rsid w:val="6A08DB78"/>
    <w:rsid w:val="6A0BB2B8"/>
    <w:rsid w:val="6A134656"/>
    <w:rsid w:val="6A19E1DD"/>
    <w:rsid w:val="6A1CF84C"/>
    <w:rsid w:val="6A1DE710"/>
    <w:rsid w:val="6A22B334"/>
    <w:rsid w:val="6A25B55A"/>
    <w:rsid w:val="6A29BFEC"/>
    <w:rsid w:val="6A2AA2F6"/>
    <w:rsid w:val="6A2DF105"/>
    <w:rsid w:val="6A2EA024"/>
    <w:rsid w:val="6A33CA11"/>
    <w:rsid w:val="6A35788A"/>
    <w:rsid w:val="6A3C17A2"/>
    <w:rsid w:val="6A434D8C"/>
    <w:rsid w:val="6A442A23"/>
    <w:rsid w:val="6A49A565"/>
    <w:rsid w:val="6A4A4D31"/>
    <w:rsid w:val="6A4A7C4B"/>
    <w:rsid w:val="6A4AFF54"/>
    <w:rsid w:val="6A4B633A"/>
    <w:rsid w:val="6A4F7389"/>
    <w:rsid w:val="6A528478"/>
    <w:rsid w:val="6A5F7D60"/>
    <w:rsid w:val="6A625063"/>
    <w:rsid w:val="6A65D35F"/>
    <w:rsid w:val="6A69D146"/>
    <w:rsid w:val="6A78C563"/>
    <w:rsid w:val="6A7957B6"/>
    <w:rsid w:val="6A7C4208"/>
    <w:rsid w:val="6A85DBA8"/>
    <w:rsid w:val="6A8EA0AA"/>
    <w:rsid w:val="6A8F8C90"/>
    <w:rsid w:val="6A90F535"/>
    <w:rsid w:val="6A97E022"/>
    <w:rsid w:val="6A9D846C"/>
    <w:rsid w:val="6AA09F8B"/>
    <w:rsid w:val="6AA58AA1"/>
    <w:rsid w:val="6AA8B6B3"/>
    <w:rsid w:val="6AA8CD6D"/>
    <w:rsid w:val="6AA8F08F"/>
    <w:rsid w:val="6AAB281E"/>
    <w:rsid w:val="6AB39DE1"/>
    <w:rsid w:val="6AB3D6FB"/>
    <w:rsid w:val="6AC240AC"/>
    <w:rsid w:val="6AC3C294"/>
    <w:rsid w:val="6AC3EB15"/>
    <w:rsid w:val="6AC956C4"/>
    <w:rsid w:val="6ACAF4E5"/>
    <w:rsid w:val="6AD13E7B"/>
    <w:rsid w:val="6ADB2A6F"/>
    <w:rsid w:val="6ADD543B"/>
    <w:rsid w:val="6AE1F7FD"/>
    <w:rsid w:val="6AEA1F38"/>
    <w:rsid w:val="6AEEE234"/>
    <w:rsid w:val="6AF4E8C7"/>
    <w:rsid w:val="6AF6FC67"/>
    <w:rsid w:val="6B098407"/>
    <w:rsid w:val="6B0D689F"/>
    <w:rsid w:val="6B1343DE"/>
    <w:rsid w:val="6B13771F"/>
    <w:rsid w:val="6B14CE66"/>
    <w:rsid w:val="6B18AC5F"/>
    <w:rsid w:val="6B2591B3"/>
    <w:rsid w:val="6B2C89E5"/>
    <w:rsid w:val="6B2E3F95"/>
    <w:rsid w:val="6B3451E3"/>
    <w:rsid w:val="6B374F8E"/>
    <w:rsid w:val="6B3B290D"/>
    <w:rsid w:val="6B4280DE"/>
    <w:rsid w:val="6B45FEF5"/>
    <w:rsid w:val="6B4726F5"/>
    <w:rsid w:val="6B473603"/>
    <w:rsid w:val="6B49241F"/>
    <w:rsid w:val="6B4B1747"/>
    <w:rsid w:val="6B4E5AD2"/>
    <w:rsid w:val="6B612BC5"/>
    <w:rsid w:val="6B63AEB0"/>
    <w:rsid w:val="6B6FA017"/>
    <w:rsid w:val="6B715D45"/>
    <w:rsid w:val="6B76990B"/>
    <w:rsid w:val="6B7E3256"/>
    <w:rsid w:val="6B84F00B"/>
    <w:rsid w:val="6B8ACFF0"/>
    <w:rsid w:val="6B93C318"/>
    <w:rsid w:val="6B95518C"/>
    <w:rsid w:val="6B98B33C"/>
    <w:rsid w:val="6B9BE2A7"/>
    <w:rsid w:val="6B9D4468"/>
    <w:rsid w:val="6BA13718"/>
    <w:rsid w:val="6BA19B3F"/>
    <w:rsid w:val="6BA48D0F"/>
    <w:rsid w:val="6BA60137"/>
    <w:rsid w:val="6BAC6E47"/>
    <w:rsid w:val="6BB247EA"/>
    <w:rsid w:val="6BB8BAA8"/>
    <w:rsid w:val="6BBA3DB1"/>
    <w:rsid w:val="6BBDCFC1"/>
    <w:rsid w:val="6BC81B05"/>
    <w:rsid w:val="6BCA2009"/>
    <w:rsid w:val="6BCA37A8"/>
    <w:rsid w:val="6BD681F7"/>
    <w:rsid w:val="6BE1D925"/>
    <w:rsid w:val="6BE59CC3"/>
    <w:rsid w:val="6BEB04FD"/>
    <w:rsid w:val="6BED6052"/>
    <w:rsid w:val="6BF0B926"/>
    <w:rsid w:val="6BF255DF"/>
    <w:rsid w:val="6BF5378F"/>
    <w:rsid w:val="6BFE3A78"/>
    <w:rsid w:val="6BFE8629"/>
    <w:rsid w:val="6BFEBC49"/>
    <w:rsid w:val="6C04B3F9"/>
    <w:rsid w:val="6C0536F2"/>
    <w:rsid w:val="6C0B4B92"/>
    <w:rsid w:val="6C0EC82A"/>
    <w:rsid w:val="6C0EDECA"/>
    <w:rsid w:val="6C164A7C"/>
    <w:rsid w:val="6C18D098"/>
    <w:rsid w:val="6C21BF43"/>
    <w:rsid w:val="6C220288"/>
    <w:rsid w:val="6C2AB059"/>
    <w:rsid w:val="6C3673E4"/>
    <w:rsid w:val="6C39F13E"/>
    <w:rsid w:val="6C43FABB"/>
    <w:rsid w:val="6C48730C"/>
    <w:rsid w:val="6C5E4113"/>
    <w:rsid w:val="6C69975D"/>
    <w:rsid w:val="6C71018C"/>
    <w:rsid w:val="6C710E38"/>
    <w:rsid w:val="6C738C9C"/>
    <w:rsid w:val="6C7B5574"/>
    <w:rsid w:val="6C7FC442"/>
    <w:rsid w:val="6C86BDE4"/>
    <w:rsid w:val="6C8B62F6"/>
    <w:rsid w:val="6C8DE217"/>
    <w:rsid w:val="6C98F9EA"/>
    <w:rsid w:val="6CA1B4CE"/>
    <w:rsid w:val="6CA5E6BC"/>
    <w:rsid w:val="6CA5E9D6"/>
    <w:rsid w:val="6CA6DF50"/>
    <w:rsid w:val="6CA9E6E6"/>
    <w:rsid w:val="6CAB3164"/>
    <w:rsid w:val="6CAD1045"/>
    <w:rsid w:val="6CB175BF"/>
    <w:rsid w:val="6CBCD72D"/>
    <w:rsid w:val="6CC11F2A"/>
    <w:rsid w:val="6CC21781"/>
    <w:rsid w:val="6CC4D6B6"/>
    <w:rsid w:val="6CC51E85"/>
    <w:rsid w:val="6CCEDD52"/>
    <w:rsid w:val="6CD3A22C"/>
    <w:rsid w:val="6CD7A877"/>
    <w:rsid w:val="6CD8CFC6"/>
    <w:rsid w:val="6CDDC87E"/>
    <w:rsid w:val="6CE210ED"/>
    <w:rsid w:val="6CE9DE07"/>
    <w:rsid w:val="6CF21077"/>
    <w:rsid w:val="6CF9E0C2"/>
    <w:rsid w:val="6CFC5A5F"/>
    <w:rsid w:val="6D0B943F"/>
    <w:rsid w:val="6D1A8A36"/>
    <w:rsid w:val="6D1BE84D"/>
    <w:rsid w:val="6D1E90CF"/>
    <w:rsid w:val="6D1F6B43"/>
    <w:rsid w:val="6D221B52"/>
    <w:rsid w:val="6D2C6C50"/>
    <w:rsid w:val="6D32BADA"/>
    <w:rsid w:val="6D34839D"/>
    <w:rsid w:val="6D371D0E"/>
    <w:rsid w:val="6D38FD39"/>
    <w:rsid w:val="6D3CAD91"/>
    <w:rsid w:val="6D441A97"/>
    <w:rsid w:val="6D4780E9"/>
    <w:rsid w:val="6D49083A"/>
    <w:rsid w:val="6D4BC573"/>
    <w:rsid w:val="6D578DBB"/>
    <w:rsid w:val="6D59F43C"/>
    <w:rsid w:val="6D5CE14C"/>
    <w:rsid w:val="6D5FE191"/>
    <w:rsid w:val="6D6DD798"/>
    <w:rsid w:val="6D6ECF98"/>
    <w:rsid w:val="6D720675"/>
    <w:rsid w:val="6D7DD9BD"/>
    <w:rsid w:val="6D7EA46D"/>
    <w:rsid w:val="6D830C33"/>
    <w:rsid w:val="6D90CE84"/>
    <w:rsid w:val="6D9F79B1"/>
    <w:rsid w:val="6DA0075A"/>
    <w:rsid w:val="6DAD98F6"/>
    <w:rsid w:val="6DAE1A3A"/>
    <w:rsid w:val="6DB306B3"/>
    <w:rsid w:val="6DB365FF"/>
    <w:rsid w:val="6DB4066F"/>
    <w:rsid w:val="6DB523CC"/>
    <w:rsid w:val="6DB8FB54"/>
    <w:rsid w:val="6DBA3793"/>
    <w:rsid w:val="6DBB40AB"/>
    <w:rsid w:val="6DBEBC58"/>
    <w:rsid w:val="6DBF7E80"/>
    <w:rsid w:val="6DC217C6"/>
    <w:rsid w:val="6DCD8099"/>
    <w:rsid w:val="6DCDA178"/>
    <w:rsid w:val="6DCEC68F"/>
    <w:rsid w:val="6DCFAC0E"/>
    <w:rsid w:val="6DD91C24"/>
    <w:rsid w:val="6DE5C2E2"/>
    <w:rsid w:val="6DE86E27"/>
    <w:rsid w:val="6DEDA772"/>
    <w:rsid w:val="6DEE20F7"/>
    <w:rsid w:val="6DF04E3B"/>
    <w:rsid w:val="6DF0B8CE"/>
    <w:rsid w:val="6DF349B7"/>
    <w:rsid w:val="6E0390E5"/>
    <w:rsid w:val="6E053A1D"/>
    <w:rsid w:val="6E07C2B1"/>
    <w:rsid w:val="6E0AE7F5"/>
    <w:rsid w:val="6E0C0CFA"/>
    <w:rsid w:val="6E1A9094"/>
    <w:rsid w:val="6E1C6174"/>
    <w:rsid w:val="6E20180B"/>
    <w:rsid w:val="6E21B9E9"/>
    <w:rsid w:val="6E27818C"/>
    <w:rsid w:val="6E31F21A"/>
    <w:rsid w:val="6E41E669"/>
    <w:rsid w:val="6E4BCEB0"/>
    <w:rsid w:val="6E51D45C"/>
    <w:rsid w:val="6E588C19"/>
    <w:rsid w:val="6E595094"/>
    <w:rsid w:val="6E5CC99B"/>
    <w:rsid w:val="6E62BDE8"/>
    <w:rsid w:val="6E6DB5D6"/>
    <w:rsid w:val="6E6E202F"/>
    <w:rsid w:val="6E72041A"/>
    <w:rsid w:val="6E7C5876"/>
    <w:rsid w:val="6E7E772E"/>
    <w:rsid w:val="6E8470BC"/>
    <w:rsid w:val="6E8BCF1E"/>
    <w:rsid w:val="6E8FB559"/>
    <w:rsid w:val="6E90DE71"/>
    <w:rsid w:val="6E96D1AD"/>
    <w:rsid w:val="6E9BD355"/>
    <w:rsid w:val="6EA0B3C2"/>
    <w:rsid w:val="6EAD4B22"/>
    <w:rsid w:val="6EAE5737"/>
    <w:rsid w:val="6EB82EFF"/>
    <w:rsid w:val="6EB8C123"/>
    <w:rsid w:val="6EBB345B"/>
    <w:rsid w:val="6EBD1423"/>
    <w:rsid w:val="6EBD4548"/>
    <w:rsid w:val="6EC0655C"/>
    <w:rsid w:val="6EC4888D"/>
    <w:rsid w:val="6EC52569"/>
    <w:rsid w:val="6ED00BA6"/>
    <w:rsid w:val="6ED549D1"/>
    <w:rsid w:val="6EDA6CCE"/>
    <w:rsid w:val="6EDF0772"/>
    <w:rsid w:val="6EE8AE17"/>
    <w:rsid w:val="6EEC8C39"/>
    <w:rsid w:val="6EF55F73"/>
    <w:rsid w:val="6EF8302A"/>
    <w:rsid w:val="6EFB7B81"/>
    <w:rsid w:val="6F04C511"/>
    <w:rsid w:val="6F102F30"/>
    <w:rsid w:val="6F16EA72"/>
    <w:rsid w:val="6F16FF14"/>
    <w:rsid w:val="6F1BAD19"/>
    <w:rsid w:val="6F1E099A"/>
    <w:rsid w:val="6F20DA5D"/>
    <w:rsid w:val="6F22ACA7"/>
    <w:rsid w:val="6F27FB42"/>
    <w:rsid w:val="6F3416DF"/>
    <w:rsid w:val="6F3466AD"/>
    <w:rsid w:val="6F36BB1D"/>
    <w:rsid w:val="6F37D33F"/>
    <w:rsid w:val="6F3A3861"/>
    <w:rsid w:val="6F3A7E4A"/>
    <w:rsid w:val="6F3D6127"/>
    <w:rsid w:val="6F404FC6"/>
    <w:rsid w:val="6F408E4D"/>
    <w:rsid w:val="6F411D2F"/>
    <w:rsid w:val="6F4120F5"/>
    <w:rsid w:val="6F435647"/>
    <w:rsid w:val="6F4ADDE7"/>
    <w:rsid w:val="6F56BB22"/>
    <w:rsid w:val="6F610DBC"/>
    <w:rsid w:val="6F61B56D"/>
    <w:rsid w:val="6F62D4F8"/>
    <w:rsid w:val="6F62E2C5"/>
    <w:rsid w:val="6F62FE54"/>
    <w:rsid w:val="6F6442B1"/>
    <w:rsid w:val="6F6A7F3C"/>
    <w:rsid w:val="6F6C1C68"/>
    <w:rsid w:val="6F78D05B"/>
    <w:rsid w:val="6F79ECE0"/>
    <w:rsid w:val="6F7E7B66"/>
    <w:rsid w:val="6F7F69D0"/>
    <w:rsid w:val="6F7FA6F0"/>
    <w:rsid w:val="6F82C3BF"/>
    <w:rsid w:val="6F88E0A9"/>
    <w:rsid w:val="6F8C501A"/>
    <w:rsid w:val="6F8FE778"/>
    <w:rsid w:val="6F9742F2"/>
    <w:rsid w:val="6F996A2B"/>
    <w:rsid w:val="6F9DB19B"/>
    <w:rsid w:val="6FAB15A8"/>
    <w:rsid w:val="6FBD5384"/>
    <w:rsid w:val="6FBEF578"/>
    <w:rsid w:val="6FC077A2"/>
    <w:rsid w:val="6FC13B3F"/>
    <w:rsid w:val="6FC8A316"/>
    <w:rsid w:val="6FC91B8C"/>
    <w:rsid w:val="6FD2CA65"/>
    <w:rsid w:val="6FE4BC72"/>
    <w:rsid w:val="6FF67CBA"/>
    <w:rsid w:val="6FFDCE57"/>
    <w:rsid w:val="6FFE844E"/>
    <w:rsid w:val="70026531"/>
    <w:rsid w:val="70064B30"/>
    <w:rsid w:val="7007A600"/>
    <w:rsid w:val="70092E04"/>
    <w:rsid w:val="700A3A5C"/>
    <w:rsid w:val="70109802"/>
    <w:rsid w:val="70128069"/>
    <w:rsid w:val="7013E225"/>
    <w:rsid w:val="702061FD"/>
    <w:rsid w:val="702B0629"/>
    <w:rsid w:val="702CB24F"/>
    <w:rsid w:val="70377DE7"/>
    <w:rsid w:val="703A1C2C"/>
    <w:rsid w:val="703B988B"/>
    <w:rsid w:val="704B2777"/>
    <w:rsid w:val="704BE27B"/>
    <w:rsid w:val="704C9284"/>
    <w:rsid w:val="704F314B"/>
    <w:rsid w:val="70505406"/>
    <w:rsid w:val="70563CF7"/>
    <w:rsid w:val="705C6BF6"/>
    <w:rsid w:val="707128FA"/>
    <w:rsid w:val="70724E4B"/>
    <w:rsid w:val="70760E2E"/>
    <w:rsid w:val="7077C320"/>
    <w:rsid w:val="7079E060"/>
    <w:rsid w:val="7085892A"/>
    <w:rsid w:val="708784B3"/>
    <w:rsid w:val="70892D00"/>
    <w:rsid w:val="708CB368"/>
    <w:rsid w:val="708CC179"/>
    <w:rsid w:val="70913F53"/>
    <w:rsid w:val="709BB01E"/>
    <w:rsid w:val="709EC08F"/>
    <w:rsid w:val="70A275CE"/>
    <w:rsid w:val="70A32606"/>
    <w:rsid w:val="70A4547C"/>
    <w:rsid w:val="70AAC654"/>
    <w:rsid w:val="70AD24AF"/>
    <w:rsid w:val="70AE8370"/>
    <w:rsid w:val="70B0517D"/>
    <w:rsid w:val="70B51F9A"/>
    <w:rsid w:val="70BEE181"/>
    <w:rsid w:val="70C233BB"/>
    <w:rsid w:val="70C45054"/>
    <w:rsid w:val="70D562FA"/>
    <w:rsid w:val="70D648B9"/>
    <w:rsid w:val="70D6FC48"/>
    <w:rsid w:val="70D92376"/>
    <w:rsid w:val="70E2FB65"/>
    <w:rsid w:val="70E57F26"/>
    <w:rsid w:val="70F09F8B"/>
    <w:rsid w:val="70F37C39"/>
    <w:rsid w:val="70F4E3DB"/>
    <w:rsid w:val="70F8B5C3"/>
    <w:rsid w:val="70F98915"/>
    <w:rsid w:val="70FF80CA"/>
    <w:rsid w:val="71066942"/>
    <w:rsid w:val="7111E88D"/>
    <w:rsid w:val="7112A76E"/>
    <w:rsid w:val="7118E773"/>
    <w:rsid w:val="711BE42F"/>
    <w:rsid w:val="71254834"/>
    <w:rsid w:val="71268A3C"/>
    <w:rsid w:val="712ADE55"/>
    <w:rsid w:val="7131997A"/>
    <w:rsid w:val="71340520"/>
    <w:rsid w:val="7135FE8D"/>
    <w:rsid w:val="71387AF9"/>
    <w:rsid w:val="714185A5"/>
    <w:rsid w:val="7146BEF5"/>
    <w:rsid w:val="71493240"/>
    <w:rsid w:val="714FCA03"/>
    <w:rsid w:val="7158A453"/>
    <w:rsid w:val="715C63BA"/>
    <w:rsid w:val="715DBEAC"/>
    <w:rsid w:val="716ADC0A"/>
    <w:rsid w:val="716C33BE"/>
    <w:rsid w:val="716EF4A6"/>
    <w:rsid w:val="7170EC6A"/>
    <w:rsid w:val="7172D0D2"/>
    <w:rsid w:val="7178583B"/>
    <w:rsid w:val="71798BDB"/>
    <w:rsid w:val="717F925C"/>
    <w:rsid w:val="7184D661"/>
    <w:rsid w:val="71899E2B"/>
    <w:rsid w:val="718A6869"/>
    <w:rsid w:val="718B5604"/>
    <w:rsid w:val="718FE4DE"/>
    <w:rsid w:val="71998688"/>
    <w:rsid w:val="719DDAB3"/>
    <w:rsid w:val="71A56E9F"/>
    <w:rsid w:val="71A80510"/>
    <w:rsid w:val="71AE517D"/>
    <w:rsid w:val="71B82BB3"/>
    <w:rsid w:val="71C9FB59"/>
    <w:rsid w:val="71D7EE13"/>
    <w:rsid w:val="71D85484"/>
    <w:rsid w:val="71D9EA95"/>
    <w:rsid w:val="71DE9E94"/>
    <w:rsid w:val="71DEE19B"/>
    <w:rsid w:val="71E3683D"/>
    <w:rsid w:val="71E5447C"/>
    <w:rsid w:val="71F41DE4"/>
    <w:rsid w:val="71F44F16"/>
    <w:rsid w:val="71F84EBC"/>
    <w:rsid w:val="71FBCAA1"/>
    <w:rsid w:val="7204798E"/>
    <w:rsid w:val="7217792B"/>
    <w:rsid w:val="721D2E3F"/>
    <w:rsid w:val="722461AA"/>
    <w:rsid w:val="7227B4DF"/>
    <w:rsid w:val="722A40D5"/>
    <w:rsid w:val="72310D1D"/>
    <w:rsid w:val="7239592D"/>
    <w:rsid w:val="724061C2"/>
    <w:rsid w:val="7241014D"/>
    <w:rsid w:val="724432FC"/>
    <w:rsid w:val="7246F858"/>
    <w:rsid w:val="7247ED49"/>
    <w:rsid w:val="7256B163"/>
    <w:rsid w:val="72587B1F"/>
    <w:rsid w:val="725B69A0"/>
    <w:rsid w:val="725F338E"/>
    <w:rsid w:val="72612EC9"/>
    <w:rsid w:val="7264ED56"/>
    <w:rsid w:val="726E136C"/>
    <w:rsid w:val="726EDFED"/>
    <w:rsid w:val="727B7080"/>
    <w:rsid w:val="727CBA06"/>
    <w:rsid w:val="727FD703"/>
    <w:rsid w:val="72823B05"/>
    <w:rsid w:val="72856A7E"/>
    <w:rsid w:val="72858C2F"/>
    <w:rsid w:val="72880B3B"/>
    <w:rsid w:val="72894D9C"/>
    <w:rsid w:val="7290E0E0"/>
    <w:rsid w:val="72914EA4"/>
    <w:rsid w:val="72962969"/>
    <w:rsid w:val="729C85C7"/>
    <w:rsid w:val="729DA470"/>
    <w:rsid w:val="729F9455"/>
    <w:rsid w:val="72A679B6"/>
    <w:rsid w:val="72A7DF3E"/>
    <w:rsid w:val="72B3C1BD"/>
    <w:rsid w:val="72C5B42A"/>
    <w:rsid w:val="72C5F2FB"/>
    <w:rsid w:val="72C8E1D3"/>
    <w:rsid w:val="72CB9808"/>
    <w:rsid w:val="72D225F3"/>
    <w:rsid w:val="72D697A9"/>
    <w:rsid w:val="72DC3552"/>
    <w:rsid w:val="72DD6053"/>
    <w:rsid w:val="72DF4104"/>
    <w:rsid w:val="72E121A5"/>
    <w:rsid w:val="72E169C7"/>
    <w:rsid w:val="72E31CA3"/>
    <w:rsid w:val="72E4DEA0"/>
    <w:rsid w:val="72E64B8C"/>
    <w:rsid w:val="72E74EBF"/>
    <w:rsid w:val="72E78A0C"/>
    <w:rsid w:val="72EF0F80"/>
    <w:rsid w:val="72EF395D"/>
    <w:rsid w:val="72F53862"/>
    <w:rsid w:val="72F570FA"/>
    <w:rsid w:val="7312EE8E"/>
    <w:rsid w:val="7313E4CE"/>
    <w:rsid w:val="731E5483"/>
    <w:rsid w:val="7328F3C8"/>
    <w:rsid w:val="7337573A"/>
    <w:rsid w:val="733D330B"/>
    <w:rsid w:val="733DCED4"/>
    <w:rsid w:val="7346295B"/>
    <w:rsid w:val="7347A7AA"/>
    <w:rsid w:val="73484F97"/>
    <w:rsid w:val="734A82CF"/>
    <w:rsid w:val="734FE4C1"/>
    <w:rsid w:val="73504F7B"/>
    <w:rsid w:val="7350744B"/>
    <w:rsid w:val="73531CC9"/>
    <w:rsid w:val="735483AD"/>
    <w:rsid w:val="735AB853"/>
    <w:rsid w:val="73630D3B"/>
    <w:rsid w:val="7373B4D6"/>
    <w:rsid w:val="7387E481"/>
    <w:rsid w:val="7390F216"/>
    <w:rsid w:val="7396C725"/>
    <w:rsid w:val="7399779E"/>
    <w:rsid w:val="739E3504"/>
    <w:rsid w:val="73A7A55F"/>
    <w:rsid w:val="73B16ACB"/>
    <w:rsid w:val="73B4A2BD"/>
    <w:rsid w:val="73B76791"/>
    <w:rsid w:val="73BFA4F1"/>
    <w:rsid w:val="73C06B62"/>
    <w:rsid w:val="73C93296"/>
    <w:rsid w:val="73D08381"/>
    <w:rsid w:val="73E15CBD"/>
    <w:rsid w:val="73E4E9BC"/>
    <w:rsid w:val="73E7BD96"/>
    <w:rsid w:val="73E94C6E"/>
    <w:rsid w:val="73E9B8DE"/>
    <w:rsid w:val="73F06D43"/>
    <w:rsid w:val="73F1C30E"/>
    <w:rsid w:val="73F39A45"/>
    <w:rsid w:val="73F48EB5"/>
    <w:rsid w:val="73FAD2BD"/>
    <w:rsid w:val="74006F13"/>
    <w:rsid w:val="7406620C"/>
    <w:rsid w:val="740778EF"/>
    <w:rsid w:val="7409AFAA"/>
    <w:rsid w:val="740A9E95"/>
    <w:rsid w:val="740D92E2"/>
    <w:rsid w:val="741628B8"/>
    <w:rsid w:val="74184B41"/>
    <w:rsid w:val="741BF33C"/>
    <w:rsid w:val="741CE915"/>
    <w:rsid w:val="741D36D1"/>
    <w:rsid w:val="7420B83F"/>
    <w:rsid w:val="74293871"/>
    <w:rsid w:val="7439A0B5"/>
    <w:rsid w:val="74448142"/>
    <w:rsid w:val="74451E80"/>
    <w:rsid w:val="74506E6A"/>
    <w:rsid w:val="74527F3B"/>
    <w:rsid w:val="7456FFAB"/>
    <w:rsid w:val="745FB9D5"/>
    <w:rsid w:val="74622DBC"/>
    <w:rsid w:val="746E8B9E"/>
    <w:rsid w:val="7474A4F2"/>
    <w:rsid w:val="747745B2"/>
    <w:rsid w:val="747A7FC8"/>
    <w:rsid w:val="74817F4D"/>
    <w:rsid w:val="74835C45"/>
    <w:rsid w:val="749B680E"/>
    <w:rsid w:val="749DD843"/>
    <w:rsid w:val="74A1D382"/>
    <w:rsid w:val="74A2AF9D"/>
    <w:rsid w:val="74A2EABE"/>
    <w:rsid w:val="74AB69E9"/>
    <w:rsid w:val="74B067E9"/>
    <w:rsid w:val="74B1B81E"/>
    <w:rsid w:val="74B58D1F"/>
    <w:rsid w:val="74BF0A7F"/>
    <w:rsid w:val="74CDB1E9"/>
    <w:rsid w:val="74D8BAC6"/>
    <w:rsid w:val="74E0DFEB"/>
    <w:rsid w:val="74E90BE3"/>
    <w:rsid w:val="75000F25"/>
    <w:rsid w:val="750093A9"/>
    <w:rsid w:val="750AB00F"/>
    <w:rsid w:val="750C955C"/>
    <w:rsid w:val="750F9614"/>
    <w:rsid w:val="751071DC"/>
    <w:rsid w:val="7515521B"/>
    <w:rsid w:val="7515DC42"/>
    <w:rsid w:val="751A5477"/>
    <w:rsid w:val="75266921"/>
    <w:rsid w:val="752B5A83"/>
    <w:rsid w:val="752C02CA"/>
    <w:rsid w:val="752D90DD"/>
    <w:rsid w:val="75323852"/>
    <w:rsid w:val="7532FE15"/>
    <w:rsid w:val="7535B0E8"/>
    <w:rsid w:val="7541D67D"/>
    <w:rsid w:val="754508CF"/>
    <w:rsid w:val="754E6030"/>
    <w:rsid w:val="755E6A6E"/>
    <w:rsid w:val="755E8974"/>
    <w:rsid w:val="7567378D"/>
    <w:rsid w:val="7577DCCE"/>
    <w:rsid w:val="75785205"/>
    <w:rsid w:val="757E7385"/>
    <w:rsid w:val="7586C0B6"/>
    <w:rsid w:val="75901BE1"/>
    <w:rsid w:val="75945021"/>
    <w:rsid w:val="75949092"/>
    <w:rsid w:val="7598D0C2"/>
    <w:rsid w:val="759E8266"/>
    <w:rsid w:val="75A04CC1"/>
    <w:rsid w:val="75A572E8"/>
    <w:rsid w:val="75AAE6E2"/>
    <w:rsid w:val="75AF75DB"/>
    <w:rsid w:val="75B6CF0A"/>
    <w:rsid w:val="75BD1623"/>
    <w:rsid w:val="75BE2BF0"/>
    <w:rsid w:val="75C22DB6"/>
    <w:rsid w:val="75C3A1E8"/>
    <w:rsid w:val="75C4A87E"/>
    <w:rsid w:val="75C564F8"/>
    <w:rsid w:val="75C959D5"/>
    <w:rsid w:val="75D1C132"/>
    <w:rsid w:val="75D43D71"/>
    <w:rsid w:val="75EAAB1D"/>
    <w:rsid w:val="75EE5F12"/>
    <w:rsid w:val="75F64667"/>
    <w:rsid w:val="75F70FEE"/>
    <w:rsid w:val="75FC64A0"/>
    <w:rsid w:val="75FC70A2"/>
    <w:rsid w:val="75FC8BC0"/>
    <w:rsid w:val="760578D2"/>
    <w:rsid w:val="760682B5"/>
    <w:rsid w:val="76150115"/>
    <w:rsid w:val="761B6DFF"/>
    <w:rsid w:val="7622731C"/>
    <w:rsid w:val="7629CD8C"/>
    <w:rsid w:val="762BE34C"/>
    <w:rsid w:val="7630AEC9"/>
    <w:rsid w:val="76378017"/>
    <w:rsid w:val="763A59C7"/>
    <w:rsid w:val="76479BD2"/>
    <w:rsid w:val="764831B5"/>
    <w:rsid w:val="76522D61"/>
    <w:rsid w:val="76548032"/>
    <w:rsid w:val="76669BA7"/>
    <w:rsid w:val="766D0FDB"/>
    <w:rsid w:val="766E6907"/>
    <w:rsid w:val="766FB0E0"/>
    <w:rsid w:val="7672806C"/>
    <w:rsid w:val="7674C78D"/>
    <w:rsid w:val="76755DBC"/>
    <w:rsid w:val="7679B3F4"/>
    <w:rsid w:val="767C2019"/>
    <w:rsid w:val="7683953B"/>
    <w:rsid w:val="7686C17E"/>
    <w:rsid w:val="768A40B9"/>
    <w:rsid w:val="768EB1E4"/>
    <w:rsid w:val="768FF8BA"/>
    <w:rsid w:val="76925EB7"/>
    <w:rsid w:val="769334DB"/>
    <w:rsid w:val="7694A26D"/>
    <w:rsid w:val="769804B2"/>
    <w:rsid w:val="769C99D4"/>
    <w:rsid w:val="769D3108"/>
    <w:rsid w:val="769D7B55"/>
    <w:rsid w:val="76AEAE27"/>
    <w:rsid w:val="76B09171"/>
    <w:rsid w:val="76B11822"/>
    <w:rsid w:val="76B61C9A"/>
    <w:rsid w:val="76B63E76"/>
    <w:rsid w:val="76B9A496"/>
    <w:rsid w:val="76BA10D6"/>
    <w:rsid w:val="76BCD35B"/>
    <w:rsid w:val="76C2E631"/>
    <w:rsid w:val="76C92307"/>
    <w:rsid w:val="76CF118B"/>
    <w:rsid w:val="76D6B124"/>
    <w:rsid w:val="76E628C5"/>
    <w:rsid w:val="76E8BACB"/>
    <w:rsid w:val="76F9D7F9"/>
    <w:rsid w:val="76FDD779"/>
    <w:rsid w:val="7700F582"/>
    <w:rsid w:val="7701A49E"/>
    <w:rsid w:val="770E3A47"/>
    <w:rsid w:val="77146A7D"/>
    <w:rsid w:val="7714F8C1"/>
    <w:rsid w:val="77170732"/>
    <w:rsid w:val="7719FB72"/>
    <w:rsid w:val="7720ED30"/>
    <w:rsid w:val="7721C753"/>
    <w:rsid w:val="7726F45D"/>
    <w:rsid w:val="7726F705"/>
    <w:rsid w:val="772DDCB3"/>
    <w:rsid w:val="7730C95C"/>
    <w:rsid w:val="7733A3B7"/>
    <w:rsid w:val="77395DEC"/>
    <w:rsid w:val="774160B1"/>
    <w:rsid w:val="7748FA94"/>
    <w:rsid w:val="77532508"/>
    <w:rsid w:val="775407D7"/>
    <w:rsid w:val="775A4B29"/>
    <w:rsid w:val="775BC6A8"/>
    <w:rsid w:val="7762C812"/>
    <w:rsid w:val="77632657"/>
    <w:rsid w:val="7768AE9D"/>
    <w:rsid w:val="77711AA6"/>
    <w:rsid w:val="77726C78"/>
    <w:rsid w:val="777F48F3"/>
    <w:rsid w:val="77829979"/>
    <w:rsid w:val="77875531"/>
    <w:rsid w:val="778B55C3"/>
    <w:rsid w:val="778B60D7"/>
    <w:rsid w:val="778B6288"/>
    <w:rsid w:val="778BB960"/>
    <w:rsid w:val="778F7A67"/>
    <w:rsid w:val="779451BE"/>
    <w:rsid w:val="779DC3EE"/>
    <w:rsid w:val="77A07824"/>
    <w:rsid w:val="77AE4718"/>
    <w:rsid w:val="77B0B431"/>
    <w:rsid w:val="77BB77E8"/>
    <w:rsid w:val="77C4574C"/>
    <w:rsid w:val="77C714A3"/>
    <w:rsid w:val="77CA92F4"/>
    <w:rsid w:val="77CC88DB"/>
    <w:rsid w:val="77CCC2A9"/>
    <w:rsid w:val="77D1F195"/>
    <w:rsid w:val="77E9AA71"/>
    <w:rsid w:val="77EAF3BE"/>
    <w:rsid w:val="77F13281"/>
    <w:rsid w:val="77F93A38"/>
    <w:rsid w:val="77FB87C6"/>
    <w:rsid w:val="7808E03C"/>
    <w:rsid w:val="780BB625"/>
    <w:rsid w:val="780D6B99"/>
    <w:rsid w:val="780F7F48"/>
    <w:rsid w:val="78100567"/>
    <w:rsid w:val="78119DD3"/>
    <w:rsid w:val="782B5F68"/>
    <w:rsid w:val="782CD978"/>
    <w:rsid w:val="78357395"/>
    <w:rsid w:val="783C7E80"/>
    <w:rsid w:val="783F1C06"/>
    <w:rsid w:val="784197D0"/>
    <w:rsid w:val="784871A7"/>
    <w:rsid w:val="784D9D95"/>
    <w:rsid w:val="7852A9C1"/>
    <w:rsid w:val="7859430B"/>
    <w:rsid w:val="7866238C"/>
    <w:rsid w:val="7867AEE5"/>
    <w:rsid w:val="786D7D19"/>
    <w:rsid w:val="7871352E"/>
    <w:rsid w:val="7875CF29"/>
    <w:rsid w:val="7879CFB5"/>
    <w:rsid w:val="7881946C"/>
    <w:rsid w:val="78886847"/>
    <w:rsid w:val="7888E2C0"/>
    <w:rsid w:val="788ADCCD"/>
    <w:rsid w:val="789467D7"/>
    <w:rsid w:val="78965B1A"/>
    <w:rsid w:val="789790C0"/>
    <w:rsid w:val="78A61476"/>
    <w:rsid w:val="78B2162F"/>
    <w:rsid w:val="78B2E827"/>
    <w:rsid w:val="78BED511"/>
    <w:rsid w:val="78C7BCA3"/>
    <w:rsid w:val="78CA6095"/>
    <w:rsid w:val="78CC7858"/>
    <w:rsid w:val="78D36F28"/>
    <w:rsid w:val="78D6E8E8"/>
    <w:rsid w:val="78D86693"/>
    <w:rsid w:val="78DE2FC9"/>
    <w:rsid w:val="78EE1F78"/>
    <w:rsid w:val="78EF6F56"/>
    <w:rsid w:val="78F54E5D"/>
    <w:rsid w:val="78FA9186"/>
    <w:rsid w:val="78FB640A"/>
    <w:rsid w:val="79028855"/>
    <w:rsid w:val="7906EB3E"/>
    <w:rsid w:val="79138A45"/>
    <w:rsid w:val="7914C8ED"/>
    <w:rsid w:val="79190D56"/>
    <w:rsid w:val="79191CAD"/>
    <w:rsid w:val="791E039A"/>
    <w:rsid w:val="792B2527"/>
    <w:rsid w:val="7930D269"/>
    <w:rsid w:val="793211ED"/>
    <w:rsid w:val="793B0402"/>
    <w:rsid w:val="79404AE4"/>
    <w:rsid w:val="79409603"/>
    <w:rsid w:val="79416889"/>
    <w:rsid w:val="79462BB7"/>
    <w:rsid w:val="794B97B3"/>
    <w:rsid w:val="794E51FB"/>
    <w:rsid w:val="795311FA"/>
    <w:rsid w:val="7955F2F5"/>
    <w:rsid w:val="79562F35"/>
    <w:rsid w:val="796392E5"/>
    <w:rsid w:val="7968EA0F"/>
    <w:rsid w:val="796FFDD2"/>
    <w:rsid w:val="79810DCD"/>
    <w:rsid w:val="7981F8F1"/>
    <w:rsid w:val="7982DB51"/>
    <w:rsid w:val="79852941"/>
    <w:rsid w:val="7989A80B"/>
    <w:rsid w:val="7989AF3E"/>
    <w:rsid w:val="799843AF"/>
    <w:rsid w:val="799ABA55"/>
    <w:rsid w:val="79A3C96F"/>
    <w:rsid w:val="79A4B09D"/>
    <w:rsid w:val="79AFAD48"/>
    <w:rsid w:val="79B9496B"/>
    <w:rsid w:val="79C1896C"/>
    <w:rsid w:val="79C2CE3E"/>
    <w:rsid w:val="79C5A5FB"/>
    <w:rsid w:val="79C98927"/>
    <w:rsid w:val="79CA9E2C"/>
    <w:rsid w:val="79D027C1"/>
    <w:rsid w:val="79D26CE1"/>
    <w:rsid w:val="79D3A69A"/>
    <w:rsid w:val="79DA9A67"/>
    <w:rsid w:val="79E158F7"/>
    <w:rsid w:val="79E9F380"/>
    <w:rsid w:val="79F2F641"/>
    <w:rsid w:val="79F71599"/>
    <w:rsid w:val="79FAD907"/>
    <w:rsid w:val="7A04B691"/>
    <w:rsid w:val="7A0C107B"/>
    <w:rsid w:val="7A0CEB6A"/>
    <w:rsid w:val="7A136BE1"/>
    <w:rsid w:val="7A153856"/>
    <w:rsid w:val="7A2814EB"/>
    <w:rsid w:val="7A28EC91"/>
    <w:rsid w:val="7A2B3A3B"/>
    <w:rsid w:val="7A2CA998"/>
    <w:rsid w:val="7A2D0794"/>
    <w:rsid w:val="7A2EAF78"/>
    <w:rsid w:val="7A30EE27"/>
    <w:rsid w:val="7A31D834"/>
    <w:rsid w:val="7A331146"/>
    <w:rsid w:val="7A34F8AB"/>
    <w:rsid w:val="7A38A953"/>
    <w:rsid w:val="7A48E82E"/>
    <w:rsid w:val="7A4D4FC6"/>
    <w:rsid w:val="7A588DF2"/>
    <w:rsid w:val="7A600B3E"/>
    <w:rsid w:val="7A61C257"/>
    <w:rsid w:val="7A63C7AE"/>
    <w:rsid w:val="7A6A9A64"/>
    <w:rsid w:val="7A6B4479"/>
    <w:rsid w:val="7A6E65AF"/>
    <w:rsid w:val="7A71CCA2"/>
    <w:rsid w:val="7A7B77EF"/>
    <w:rsid w:val="7A7DDFE4"/>
    <w:rsid w:val="7A85535A"/>
    <w:rsid w:val="7A87CDB4"/>
    <w:rsid w:val="7A8BD119"/>
    <w:rsid w:val="7A9946C6"/>
    <w:rsid w:val="7A99F51E"/>
    <w:rsid w:val="7A9C4279"/>
    <w:rsid w:val="7A9DCBA9"/>
    <w:rsid w:val="7AA54FE0"/>
    <w:rsid w:val="7AA5645D"/>
    <w:rsid w:val="7AA92271"/>
    <w:rsid w:val="7AAAD49C"/>
    <w:rsid w:val="7AAD0A85"/>
    <w:rsid w:val="7AADA407"/>
    <w:rsid w:val="7AB1A6A2"/>
    <w:rsid w:val="7AB58171"/>
    <w:rsid w:val="7AB8C729"/>
    <w:rsid w:val="7AB8F765"/>
    <w:rsid w:val="7ABBB930"/>
    <w:rsid w:val="7AC503E1"/>
    <w:rsid w:val="7AC5B97D"/>
    <w:rsid w:val="7AC85F9C"/>
    <w:rsid w:val="7AC95CD2"/>
    <w:rsid w:val="7AD7D103"/>
    <w:rsid w:val="7ADC09FA"/>
    <w:rsid w:val="7ADD1BF1"/>
    <w:rsid w:val="7ADD4A3F"/>
    <w:rsid w:val="7AE70B43"/>
    <w:rsid w:val="7AE7BE59"/>
    <w:rsid w:val="7AE84D26"/>
    <w:rsid w:val="7AF1831B"/>
    <w:rsid w:val="7AF259A2"/>
    <w:rsid w:val="7AF5E614"/>
    <w:rsid w:val="7AF9E664"/>
    <w:rsid w:val="7AFC22C3"/>
    <w:rsid w:val="7AFC6BA5"/>
    <w:rsid w:val="7B0050A8"/>
    <w:rsid w:val="7B071A1F"/>
    <w:rsid w:val="7B0889A9"/>
    <w:rsid w:val="7B0C239F"/>
    <w:rsid w:val="7B0DCAEA"/>
    <w:rsid w:val="7B0E670C"/>
    <w:rsid w:val="7B111FF4"/>
    <w:rsid w:val="7B14C436"/>
    <w:rsid w:val="7B190A92"/>
    <w:rsid w:val="7B1EF6B3"/>
    <w:rsid w:val="7B2143FA"/>
    <w:rsid w:val="7B285728"/>
    <w:rsid w:val="7B2940C2"/>
    <w:rsid w:val="7B2CC624"/>
    <w:rsid w:val="7B4080FE"/>
    <w:rsid w:val="7B4430F9"/>
    <w:rsid w:val="7B4569AE"/>
    <w:rsid w:val="7B4E45B9"/>
    <w:rsid w:val="7B53A625"/>
    <w:rsid w:val="7B59B54A"/>
    <w:rsid w:val="7B60C241"/>
    <w:rsid w:val="7B67D44F"/>
    <w:rsid w:val="7B6A0C6F"/>
    <w:rsid w:val="7B6DB28D"/>
    <w:rsid w:val="7B6FF23B"/>
    <w:rsid w:val="7B734D4E"/>
    <w:rsid w:val="7B7AABAF"/>
    <w:rsid w:val="7B811CAC"/>
    <w:rsid w:val="7B897ED7"/>
    <w:rsid w:val="7B8EFE74"/>
    <w:rsid w:val="7B97C274"/>
    <w:rsid w:val="7B9C3813"/>
    <w:rsid w:val="7B9E67A0"/>
    <w:rsid w:val="7B9F988A"/>
    <w:rsid w:val="7BB24FA7"/>
    <w:rsid w:val="7BB51B63"/>
    <w:rsid w:val="7BBD391A"/>
    <w:rsid w:val="7BD49568"/>
    <w:rsid w:val="7BD5A732"/>
    <w:rsid w:val="7BDC8460"/>
    <w:rsid w:val="7BDFCE3C"/>
    <w:rsid w:val="7BE0B3CB"/>
    <w:rsid w:val="7BE10DDA"/>
    <w:rsid w:val="7BE2E69C"/>
    <w:rsid w:val="7BEB06E8"/>
    <w:rsid w:val="7BEC2842"/>
    <w:rsid w:val="7BEDBA05"/>
    <w:rsid w:val="7BEEEDDA"/>
    <w:rsid w:val="7BEF477E"/>
    <w:rsid w:val="7BEFE8B9"/>
    <w:rsid w:val="7BF18C6F"/>
    <w:rsid w:val="7BFF5D65"/>
    <w:rsid w:val="7C00272F"/>
    <w:rsid w:val="7C04EE73"/>
    <w:rsid w:val="7C09E3B8"/>
    <w:rsid w:val="7C13E015"/>
    <w:rsid w:val="7C1F08BF"/>
    <w:rsid w:val="7C20A616"/>
    <w:rsid w:val="7C304B14"/>
    <w:rsid w:val="7C345861"/>
    <w:rsid w:val="7C3A700D"/>
    <w:rsid w:val="7C42D899"/>
    <w:rsid w:val="7C44493A"/>
    <w:rsid w:val="7C44D140"/>
    <w:rsid w:val="7C49377B"/>
    <w:rsid w:val="7C4AB8F8"/>
    <w:rsid w:val="7C4D708D"/>
    <w:rsid w:val="7C5917C0"/>
    <w:rsid w:val="7C62FD84"/>
    <w:rsid w:val="7C6B1A3C"/>
    <w:rsid w:val="7C6C769B"/>
    <w:rsid w:val="7C6EC80F"/>
    <w:rsid w:val="7C722BAA"/>
    <w:rsid w:val="7C75AB3B"/>
    <w:rsid w:val="7C862BB0"/>
    <w:rsid w:val="7C8D8E32"/>
    <w:rsid w:val="7C90E591"/>
    <w:rsid w:val="7C96B2F1"/>
    <w:rsid w:val="7C9C2109"/>
    <w:rsid w:val="7CAC1348"/>
    <w:rsid w:val="7CACDB40"/>
    <w:rsid w:val="7CB2808B"/>
    <w:rsid w:val="7CBDE6A0"/>
    <w:rsid w:val="7CD3D457"/>
    <w:rsid w:val="7CDC515F"/>
    <w:rsid w:val="7CE2F06B"/>
    <w:rsid w:val="7CE359B8"/>
    <w:rsid w:val="7D0E9BC5"/>
    <w:rsid w:val="7D0F193F"/>
    <w:rsid w:val="7D10235F"/>
    <w:rsid w:val="7D10E15D"/>
    <w:rsid w:val="7D12FC06"/>
    <w:rsid w:val="7D135D1F"/>
    <w:rsid w:val="7D1C25C9"/>
    <w:rsid w:val="7D20520D"/>
    <w:rsid w:val="7D21DCD6"/>
    <w:rsid w:val="7D23A33E"/>
    <w:rsid w:val="7D26C8BF"/>
    <w:rsid w:val="7D306672"/>
    <w:rsid w:val="7D373DFE"/>
    <w:rsid w:val="7D3A1539"/>
    <w:rsid w:val="7D3B68EB"/>
    <w:rsid w:val="7D3EF0F2"/>
    <w:rsid w:val="7D4B1EA0"/>
    <w:rsid w:val="7D4CF41E"/>
    <w:rsid w:val="7D4EA9E5"/>
    <w:rsid w:val="7D5163A2"/>
    <w:rsid w:val="7D5A3365"/>
    <w:rsid w:val="7D5ABEE1"/>
    <w:rsid w:val="7D5DC4C6"/>
    <w:rsid w:val="7D6266C9"/>
    <w:rsid w:val="7D62DAFD"/>
    <w:rsid w:val="7D6796A7"/>
    <w:rsid w:val="7D69CC2E"/>
    <w:rsid w:val="7D6D3196"/>
    <w:rsid w:val="7D754AA9"/>
    <w:rsid w:val="7D7D6711"/>
    <w:rsid w:val="7D822187"/>
    <w:rsid w:val="7D82BEFA"/>
    <w:rsid w:val="7D85EAA6"/>
    <w:rsid w:val="7D89AAFF"/>
    <w:rsid w:val="7D931951"/>
    <w:rsid w:val="7D9340D5"/>
    <w:rsid w:val="7D93F384"/>
    <w:rsid w:val="7D944811"/>
    <w:rsid w:val="7D967D64"/>
    <w:rsid w:val="7D981E0D"/>
    <w:rsid w:val="7D998255"/>
    <w:rsid w:val="7D9A5AC8"/>
    <w:rsid w:val="7DA04E14"/>
    <w:rsid w:val="7DAA7A9D"/>
    <w:rsid w:val="7DB22074"/>
    <w:rsid w:val="7DB432F2"/>
    <w:rsid w:val="7DB44358"/>
    <w:rsid w:val="7DB5DD16"/>
    <w:rsid w:val="7DBC26A7"/>
    <w:rsid w:val="7DBFF30E"/>
    <w:rsid w:val="7DC193CA"/>
    <w:rsid w:val="7DC46C02"/>
    <w:rsid w:val="7DCAC390"/>
    <w:rsid w:val="7DCB48D1"/>
    <w:rsid w:val="7DD20996"/>
    <w:rsid w:val="7DD3F6FE"/>
    <w:rsid w:val="7DDEF3B0"/>
    <w:rsid w:val="7DDFA052"/>
    <w:rsid w:val="7DF08923"/>
    <w:rsid w:val="7DFCF621"/>
    <w:rsid w:val="7E00FD94"/>
    <w:rsid w:val="7E01D4B3"/>
    <w:rsid w:val="7E09615D"/>
    <w:rsid w:val="7E0C97AC"/>
    <w:rsid w:val="7E0D51C8"/>
    <w:rsid w:val="7E13A82A"/>
    <w:rsid w:val="7E13C742"/>
    <w:rsid w:val="7E24EFE9"/>
    <w:rsid w:val="7E26F916"/>
    <w:rsid w:val="7E2CAB09"/>
    <w:rsid w:val="7E31574E"/>
    <w:rsid w:val="7E3DB0F7"/>
    <w:rsid w:val="7E433FF7"/>
    <w:rsid w:val="7E442530"/>
    <w:rsid w:val="7E453C55"/>
    <w:rsid w:val="7E460080"/>
    <w:rsid w:val="7E4BB241"/>
    <w:rsid w:val="7E4EC0EB"/>
    <w:rsid w:val="7E621B68"/>
    <w:rsid w:val="7E6ACDF0"/>
    <w:rsid w:val="7E708070"/>
    <w:rsid w:val="7E7F6D77"/>
    <w:rsid w:val="7E7FC0AE"/>
    <w:rsid w:val="7E8519E2"/>
    <w:rsid w:val="7E864C88"/>
    <w:rsid w:val="7E865DE3"/>
    <w:rsid w:val="7E880819"/>
    <w:rsid w:val="7E8FAC81"/>
    <w:rsid w:val="7E9A5F74"/>
    <w:rsid w:val="7EA43C46"/>
    <w:rsid w:val="7EA7464F"/>
    <w:rsid w:val="7EAD500B"/>
    <w:rsid w:val="7EB1F5E0"/>
    <w:rsid w:val="7EB9A5AB"/>
    <w:rsid w:val="7EC9E4F8"/>
    <w:rsid w:val="7ED5C4D2"/>
    <w:rsid w:val="7ED9B630"/>
    <w:rsid w:val="7EDFC931"/>
    <w:rsid w:val="7EE15EFF"/>
    <w:rsid w:val="7EF36487"/>
    <w:rsid w:val="7EF95A06"/>
    <w:rsid w:val="7EFCA89F"/>
    <w:rsid w:val="7F02F6CD"/>
    <w:rsid w:val="7F097806"/>
    <w:rsid w:val="7F0CD195"/>
    <w:rsid w:val="7F0F8D0B"/>
    <w:rsid w:val="7F108220"/>
    <w:rsid w:val="7F1AFD58"/>
    <w:rsid w:val="7F1E0C32"/>
    <w:rsid w:val="7F280174"/>
    <w:rsid w:val="7F2A5078"/>
    <w:rsid w:val="7F433F0C"/>
    <w:rsid w:val="7F436900"/>
    <w:rsid w:val="7F49335B"/>
    <w:rsid w:val="7F4BD05D"/>
    <w:rsid w:val="7F518450"/>
    <w:rsid w:val="7F5271FA"/>
    <w:rsid w:val="7F556D3A"/>
    <w:rsid w:val="7F5A59DF"/>
    <w:rsid w:val="7F5DA60C"/>
    <w:rsid w:val="7F64532A"/>
    <w:rsid w:val="7F6ADE53"/>
    <w:rsid w:val="7F72BB6B"/>
    <w:rsid w:val="7F81EB3B"/>
    <w:rsid w:val="7F8EEBA7"/>
    <w:rsid w:val="7F906F96"/>
    <w:rsid w:val="7F969255"/>
    <w:rsid w:val="7F9BBF07"/>
    <w:rsid w:val="7F9BF089"/>
    <w:rsid w:val="7F9E8BA1"/>
    <w:rsid w:val="7FA23452"/>
    <w:rsid w:val="7FAC6F12"/>
    <w:rsid w:val="7FACE028"/>
    <w:rsid w:val="7FAFE8F3"/>
    <w:rsid w:val="7FB0DBED"/>
    <w:rsid w:val="7FBAFEF6"/>
    <w:rsid w:val="7FC3ABCF"/>
    <w:rsid w:val="7FC666CA"/>
    <w:rsid w:val="7FD98FA3"/>
    <w:rsid w:val="7FDC65C1"/>
    <w:rsid w:val="7FE7BC05"/>
    <w:rsid w:val="7FEA5788"/>
    <w:rsid w:val="7FF01F4C"/>
    <w:rsid w:val="7FF97BAA"/>
    <w:rsid w:val="7FFBC8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2279F"/>
  <w15:chartTrackingRefBased/>
  <w15:docId w15:val="{664CB440-B5CA-46BF-A32A-D65FD0ED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43"/>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20316"/>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420316"/>
    <w:pPr>
      <w:keepNext/>
      <w:keepLines/>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A5AAE"/>
    <w:pPr>
      <w:keepNext/>
      <w:keepLines/>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787C55"/>
    <w:pPr>
      <w:keepNext/>
      <w:keepLines/>
      <w:spacing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FC50C7"/>
    <w:pPr>
      <w:keepNext/>
      <w:keepLines/>
      <w:spacing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385A5A"/>
    <w:pPr>
      <w:keepNext/>
      <w:keepLines/>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16"/>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420316"/>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DA5AAE"/>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420316"/>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D84FE1"/>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512F6B"/>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list,Indented Paragraph,List1"/>
    <w:basedOn w:val="Normal"/>
    <w:link w:val="ListParagraphChar"/>
    <w:uiPriority w:val="34"/>
    <w:qFormat/>
    <w:rsid w:val="00C17514"/>
    <w:pPr>
      <w:ind w:left="720"/>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Indented Paragraph Char,List1 Char"/>
    <w:basedOn w:val="DefaultParagraphFont"/>
    <w:link w:val="ListParagraph"/>
    <w:uiPriority w:val="34"/>
    <w:locked/>
    <w:rsid w:val="00C17514"/>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5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2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4780F"/>
    <w:rPr>
      <w:color w:val="954F72" w:themeColor="followedHyperlink"/>
      <w:u w:val="single"/>
    </w:rPr>
  </w:style>
  <w:style w:type="character" w:styleId="CommentReference">
    <w:name w:val="annotation reference"/>
    <w:basedOn w:val="DefaultParagraphFont"/>
    <w:uiPriority w:val="99"/>
    <w:semiHidden/>
    <w:unhideWhenUsed/>
    <w:rsid w:val="00A037DB"/>
    <w:rPr>
      <w:sz w:val="16"/>
      <w:szCs w:val="16"/>
    </w:rPr>
  </w:style>
  <w:style w:type="paragraph" w:styleId="CommentText">
    <w:name w:val="annotation text"/>
    <w:basedOn w:val="Normal"/>
    <w:link w:val="CommentTextChar"/>
    <w:uiPriority w:val="99"/>
    <w:unhideWhenUsed/>
    <w:rsid w:val="00A037DB"/>
    <w:rPr>
      <w:sz w:val="20"/>
      <w:szCs w:val="20"/>
    </w:rPr>
  </w:style>
  <w:style w:type="character" w:customStyle="1" w:styleId="CommentTextChar">
    <w:name w:val="Comment Text Char"/>
    <w:basedOn w:val="DefaultParagraphFont"/>
    <w:link w:val="CommentText"/>
    <w:uiPriority w:val="99"/>
    <w:rsid w:val="00A037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37DB"/>
    <w:rPr>
      <w:b/>
      <w:bCs/>
    </w:rPr>
  </w:style>
  <w:style w:type="character" w:customStyle="1" w:styleId="CommentSubjectChar">
    <w:name w:val="Comment Subject Char"/>
    <w:basedOn w:val="CommentTextChar"/>
    <w:link w:val="CommentSubject"/>
    <w:uiPriority w:val="99"/>
    <w:semiHidden/>
    <w:rsid w:val="00A037DB"/>
    <w:rPr>
      <w:rFonts w:ascii="Arial" w:eastAsia="Times New Roman" w:hAnsi="Arial" w:cs="Times New Roman"/>
      <w:b/>
      <w:bCs/>
      <w:sz w:val="20"/>
      <w:szCs w:val="20"/>
    </w:rPr>
  </w:style>
  <w:style w:type="paragraph" w:customStyle="1" w:styleId="Field1">
    <w:name w:val="Field 1"/>
    <w:basedOn w:val="ListParagraph"/>
    <w:link w:val="Field1Char"/>
    <w:qFormat/>
    <w:rsid w:val="00451967"/>
    <w:pPr>
      <w:pBdr>
        <w:top w:val="single" w:sz="4" w:space="8" w:color="95B3D7"/>
        <w:left w:val="single" w:sz="4" w:space="4" w:color="95B3D7"/>
        <w:bottom w:val="single" w:sz="4" w:space="8" w:color="95B3D7"/>
        <w:right w:val="single" w:sz="4" w:space="4" w:color="95B3D7"/>
      </w:pBdr>
      <w:shd w:val="clear" w:color="auto" w:fill="D9E2F3"/>
      <w:spacing w:before="120"/>
      <w:ind w:left="360"/>
    </w:pPr>
    <w:rPr>
      <w:color w:val="000000"/>
      <w:szCs w:val="21"/>
      <w:lang w:val="en"/>
    </w:rPr>
  </w:style>
  <w:style w:type="character" w:customStyle="1" w:styleId="Field1Char">
    <w:name w:val="Field 1 Char"/>
    <w:basedOn w:val="ListParagraphChar"/>
    <w:link w:val="Field1"/>
    <w:rsid w:val="00451967"/>
    <w:rPr>
      <w:rFonts w:ascii="Arial" w:eastAsia="Times New Roman" w:hAnsi="Arial" w:cs="Times New Roman"/>
      <w:color w:val="000000"/>
      <w:sz w:val="24"/>
      <w:szCs w:val="21"/>
      <w:shd w:val="clear" w:color="auto" w:fill="D9E2F3"/>
      <w:lang w:val="en"/>
    </w:rPr>
  </w:style>
  <w:style w:type="character" w:customStyle="1" w:styleId="normaltextrun">
    <w:name w:val="normaltextrun"/>
    <w:basedOn w:val="DefaultParagraphFont"/>
    <w:rsid w:val="002F6B97"/>
  </w:style>
  <w:style w:type="character" w:customStyle="1" w:styleId="eop">
    <w:name w:val="eop"/>
    <w:basedOn w:val="DefaultParagraphFont"/>
    <w:rsid w:val="002F6B97"/>
  </w:style>
  <w:style w:type="paragraph" w:customStyle="1" w:styleId="paragraph">
    <w:name w:val="paragraph"/>
    <w:basedOn w:val="Normal"/>
    <w:rsid w:val="002F6B97"/>
    <w:pPr>
      <w:spacing w:before="100" w:beforeAutospacing="1" w:after="100" w:afterAutospacing="1"/>
    </w:pPr>
    <w:rPr>
      <w:rFonts w:ascii="Times New Roman" w:hAnsi="Times New Roman"/>
      <w:lang w:bidi="he-IL"/>
    </w:rPr>
  </w:style>
  <w:style w:type="character" w:customStyle="1" w:styleId="scxw96359127">
    <w:name w:val="scxw96359127"/>
    <w:basedOn w:val="DefaultParagraphFont"/>
    <w:rsid w:val="002F6B97"/>
  </w:style>
  <w:style w:type="character" w:styleId="UnresolvedMention">
    <w:name w:val="Unresolved Mention"/>
    <w:basedOn w:val="DefaultParagraphFont"/>
    <w:uiPriority w:val="99"/>
    <w:unhideWhenUsed/>
    <w:rsid w:val="004C14AF"/>
    <w:rPr>
      <w:color w:val="605E5C"/>
      <w:shd w:val="clear" w:color="auto" w:fill="E1DFDD"/>
    </w:rPr>
  </w:style>
  <w:style w:type="table" w:customStyle="1" w:styleId="TableGrid1">
    <w:name w:val="Table Grid1"/>
    <w:basedOn w:val="TableNormal"/>
    <w:next w:val="TableGrid"/>
    <w:uiPriority w:val="39"/>
    <w:rsid w:val="007B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06B9"/>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1"/>
    <w:qFormat/>
    <w:rsid w:val="00B63A4C"/>
    <w:pPr>
      <w:widowControl w:val="0"/>
      <w:ind w:left="119"/>
    </w:pPr>
    <w:rPr>
      <w:rFonts w:ascii="Times New Roman" w:hAnsi="Times New Roman" w:cstheme="minorBidi"/>
    </w:rPr>
  </w:style>
  <w:style w:type="character" w:customStyle="1" w:styleId="BodyTextChar">
    <w:name w:val="Body Text Char"/>
    <w:basedOn w:val="DefaultParagraphFont"/>
    <w:link w:val="BodyText"/>
    <w:uiPriority w:val="1"/>
    <w:rsid w:val="00B63A4C"/>
    <w:rPr>
      <w:rFonts w:ascii="Times New Roman" w:eastAsia="Times New Roman" w:hAnsi="Times New Roman"/>
      <w:sz w:val="24"/>
      <w:szCs w:val="24"/>
    </w:rPr>
  </w:style>
  <w:style w:type="character" w:styleId="Emphasis">
    <w:name w:val="Emphasis"/>
    <w:basedOn w:val="DefaultParagraphFont"/>
    <w:uiPriority w:val="20"/>
    <w:qFormat/>
    <w:rsid w:val="00F46785"/>
    <w:rPr>
      <w:i/>
      <w:iCs/>
    </w:rPr>
  </w:style>
  <w:style w:type="character" w:customStyle="1" w:styleId="issue-underline">
    <w:name w:val="issue-underline"/>
    <w:basedOn w:val="DefaultParagraphFont"/>
    <w:rsid w:val="00E47C93"/>
  </w:style>
  <w:style w:type="character" w:styleId="Mention">
    <w:name w:val="Mention"/>
    <w:basedOn w:val="DefaultParagraphFont"/>
    <w:uiPriority w:val="99"/>
    <w:unhideWhenUsed/>
    <w:rsid w:val="007412E5"/>
    <w:rPr>
      <w:color w:val="2B579A"/>
      <w:shd w:val="clear" w:color="auto" w:fill="E1DFDD"/>
    </w:rPr>
  </w:style>
  <w:style w:type="character" w:styleId="Strong">
    <w:name w:val="Strong"/>
    <w:basedOn w:val="DefaultParagraphFont"/>
    <w:uiPriority w:val="22"/>
    <w:qFormat/>
    <w:rsid w:val="007A77AC"/>
    <w:rPr>
      <w:b/>
      <w:bCs/>
    </w:rPr>
  </w:style>
  <w:style w:type="table" w:styleId="TableWeb3">
    <w:name w:val="Table Web 3"/>
    <w:basedOn w:val="TableNormal"/>
    <w:uiPriority w:val="99"/>
    <w:rsid w:val="005F1FB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8F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65FF9"/>
  </w:style>
  <w:style w:type="table" w:styleId="PlainTable3">
    <w:name w:val="Plain Table 3"/>
    <w:basedOn w:val="TableNormal"/>
    <w:uiPriority w:val="43"/>
    <w:rsid w:val="005F78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F78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C92FB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3738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3738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738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3738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37384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
    <w:name w:val="Grid Table 6 Colorful"/>
    <w:basedOn w:val="TableNormal"/>
    <w:uiPriority w:val="51"/>
    <w:rsid w:val="00D20BF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BF293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7613">
      <w:bodyDiv w:val="1"/>
      <w:marLeft w:val="0"/>
      <w:marRight w:val="0"/>
      <w:marTop w:val="0"/>
      <w:marBottom w:val="0"/>
      <w:divBdr>
        <w:top w:val="none" w:sz="0" w:space="0" w:color="auto"/>
        <w:left w:val="none" w:sz="0" w:space="0" w:color="auto"/>
        <w:bottom w:val="none" w:sz="0" w:space="0" w:color="auto"/>
        <w:right w:val="none" w:sz="0" w:space="0" w:color="auto"/>
      </w:divBdr>
    </w:div>
    <w:div w:id="41951780">
      <w:bodyDiv w:val="1"/>
      <w:marLeft w:val="0"/>
      <w:marRight w:val="0"/>
      <w:marTop w:val="0"/>
      <w:marBottom w:val="0"/>
      <w:divBdr>
        <w:top w:val="none" w:sz="0" w:space="0" w:color="auto"/>
        <w:left w:val="none" w:sz="0" w:space="0" w:color="auto"/>
        <w:bottom w:val="none" w:sz="0" w:space="0" w:color="auto"/>
        <w:right w:val="none" w:sz="0" w:space="0" w:color="auto"/>
      </w:divBdr>
    </w:div>
    <w:div w:id="49774243">
      <w:bodyDiv w:val="1"/>
      <w:marLeft w:val="0"/>
      <w:marRight w:val="0"/>
      <w:marTop w:val="0"/>
      <w:marBottom w:val="0"/>
      <w:divBdr>
        <w:top w:val="none" w:sz="0" w:space="0" w:color="auto"/>
        <w:left w:val="none" w:sz="0" w:space="0" w:color="auto"/>
        <w:bottom w:val="none" w:sz="0" w:space="0" w:color="auto"/>
        <w:right w:val="none" w:sz="0" w:space="0" w:color="auto"/>
      </w:divBdr>
      <w:divsChild>
        <w:div w:id="212163028">
          <w:marLeft w:val="1627"/>
          <w:marRight w:val="0"/>
          <w:marTop w:val="100"/>
          <w:marBottom w:val="0"/>
          <w:divBdr>
            <w:top w:val="none" w:sz="0" w:space="0" w:color="auto"/>
            <w:left w:val="none" w:sz="0" w:space="0" w:color="auto"/>
            <w:bottom w:val="none" w:sz="0" w:space="0" w:color="auto"/>
            <w:right w:val="none" w:sz="0" w:space="0" w:color="auto"/>
          </w:divBdr>
        </w:div>
        <w:div w:id="691960020">
          <w:marLeft w:val="1080"/>
          <w:marRight w:val="0"/>
          <w:marTop w:val="100"/>
          <w:marBottom w:val="0"/>
          <w:divBdr>
            <w:top w:val="none" w:sz="0" w:space="0" w:color="auto"/>
            <w:left w:val="none" w:sz="0" w:space="0" w:color="auto"/>
            <w:bottom w:val="none" w:sz="0" w:space="0" w:color="auto"/>
            <w:right w:val="none" w:sz="0" w:space="0" w:color="auto"/>
          </w:divBdr>
        </w:div>
        <w:div w:id="1380788802">
          <w:marLeft w:val="1080"/>
          <w:marRight w:val="0"/>
          <w:marTop w:val="100"/>
          <w:marBottom w:val="0"/>
          <w:divBdr>
            <w:top w:val="none" w:sz="0" w:space="0" w:color="auto"/>
            <w:left w:val="none" w:sz="0" w:space="0" w:color="auto"/>
            <w:bottom w:val="none" w:sz="0" w:space="0" w:color="auto"/>
            <w:right w:val="none" w:sz="0" w:space="0" w:color="auto"/>
          </w:divBdr>
        </w:div>
        <w:div w:id="1680234553">
          <w:marLeft w:val="1080"/>
          <w:marRight w:val="0"/>
          <w:marTop w:val="100"/>
          <w:marBottom w:val="0"/>
          <w:divBdr>
            <w:top w:val="none" w:sz="0" w:space="0" w:color="auto"/>
            <w:left w:val="none" w:sz="0" w:space="0" w:color="auto"/>
            <w:bottom w:val="none" w:sz="0" w:space="0" w:color="auto"/>
            <w:right w:val="none" w:sz="0" w:space="0" w:color="auto"/>
          </w:divBdr>
        </w:div>
      </w:divsChild>
    </w:div>
    <w:div w:id="62068094">
      <w:bodyDiv w:val="1"/>
      <w:marLeft w:val="0"/>
      <w:marRight w:val="0"/>
      <w:marTop w:val="0"/>
      <w:marBottom w:val="0"/>
      <w:divBdr>
        <w:top w:val="none" w:sz="0" w:space="0" w:color="auto"/>
        <w:left w:val="none" w:sz="0" w:space="0" w:color="auto"/>
        <w:bottom w:val="none" w:sz="0" w:space="0" w:color="auto"/>
        <w:right w:val="none" w:sz="0" w:space="0" w:color="auto"/>
      </w:divBdr>
    </w:div>
    <w:div w:id="78991752">
      <w:bodyDiv w:val="1"/>
      <w:marLeft w:val="0"/>
      <w:marRight w:val="0"/>
      <w:marTop w:val="0"/>
      <w:marBottom w:val="0"/>
      <w:divBdr>
        <w:top w:val="none" w:sz="0" w:space="0" w:color="auto"/>
        <w:left w:val="none" w:sz="0" w:space="0" w:color="auto"/>
        <w:bottom w:val="none" w:sz="0" w:space="0" w:color="auto"/>
        <w:right w:val="none" w:sz="0" w:space="0" w:color="auto"/>
      </w:divBdr>
    </w:div>
    <w:div w:id="98331168">
      <w:bodyDiv w:val="1"/>
      <w:marLeft w:val="0"/>
      <w:marRight w:val="0"/>
      <w:marTop w:val="0"/>
      <w:marBottom w:val="0"/>
      <w:divBdr>
        <w:top w:val="none" w:sz="0" w:space="0" w:color="auto"/>
        <w:left w:val="none" w:sz="0" w:space="0" w:color="auto"/>
        <w:bottom w:val="none" w:sz="0" w:space="0" w:color="auto"/>
        <w:right w:val="none" w:sz="0" w:space="0" w:color="auto"/>
      </w:divBdr>
    </w:div>
    <w:div w:id="128673196">
      <w:bodyDiv w:val="1"/>
      <w:marLeft w:val="0"/>
      <w:marRight w:val="0"/>
      <w:marTop w:val="0"/>
      <w:marBottom w:val="0"/>
      <w:divBdr>
        <w:top w:val="none" w:sz="0" w:space="0" w:color="auto"/>
        <w:left w:val="none" w:sz="0" w:space="0" w:color="auto"/>
        <w:bottom w:val="none" w:sz="0" w:space="0" w:color="auto"/>
        <w:right w:val="none" w:sz="0" w:space="0" w:color="auto"/>
      </w:divBdr>
      <w:divsChild>
        <w:div w:id="421336105">
          <w:marLeft w:val="1080"/>
          <w:marRight w:val="0"/>
          <w:marTop w:val="100"/>
          <w:marBottom w:val="0"/>
          <w:divBdr>
            <w:top w:val="none" w:sz="0" w:space="0" w:color="auto"/>
            <w:left w:val="none" w:sz="0" w:space="0" w:color="auto"/>
            <w:bottom w:val="none" w:sz="0" w:space="0" w:color="auto"/>
            <w:right w:val="none" w:sz="0" w:space="0" w:color="auto"/>
          </w:divBdr>
        </w:div>
        <w:div w:id="1203862211">
          <w:marLeft w:val="1080"/>
          <w:marRight w:val="0"/>
          <w:marTop w:val="100"/>
          <w:marBottom w:val="0"/>
          <w:divBdr>
            <w:top w:val="none" w:sz="0" w:space="0" w:color="auto"/>
            <w:left w:val="none" w:sz="0" w:space="0" w:color="auto"/>
            <w:bottom w:val="none" w:sz="0" w:space="0" w:color="auto"/>
            <w:right w:val="none" w:sz="0" w:space="0" w:color="auto"/>
          </w:divBdr>
        </w:div>
        <w:div w:id="1738555202">
          <w:marLeft w:val="360"/>
          <w:marRight w:val="0"/>
          <w:marTop w:val="200"/>
          <w:marBottom w:val="0"/>
          <w:divBdr>
            <w:top w:val="none" w:sz="0" w:space="0" w:color="auto"/>
            <w:left w:val="none" w:sz="0" w:space="0" w:color="auto"/>
            <w:bottom w:val="none" w:sz="0" w:space="0" w:color="auto"/>
            <w:right w:val="none" w:sz="0" w:space="0" w:color="auto"/>
          </w:divBdr>
        </w:div>
        <w:div w:id="2056615855">
          <w:marLeft w:val="1080"/>
          <w:marRight w:val="0"/>
          <w:marTop w:val="100"/>
          <w:marBottom w:val="0"/>
          <w:divBdr>
            <w:top w:val="none" w:sz="0" w:space="0" w:color="auto"/>
            <w:left w:val="none" w:sz="0" w:space="0" w:color="auto"/>
            <w:bottom w:val="none" w:sz="0" w:space="0" w:color="auto"/>
            <w:right w:val="none" w:sz="0" w:space="0" w:color="auto"/>
          </w:divBdr>
        </w:div>
      </w:divsChild>
    </w:div>
    <w:div w:id="143667291">
      <w:bodyDiv w:val="1"/>
      <w:marLeft w:val="0"/>
      <w:marRight w:val="0"/>
      <w:marTop w:val="0"/>
      <w:marBottom w:val="0"/>
      <w:divBdr>
        <w:top w:val="none" w:sz="0" w:space="0" w:color="auto"/>
        <w:left w:val="none" w:sz="0" w:space="0" w:color="auto"/>
        <w:bottom w:val="none" w:sz="0" w:space="0" w:color="auto"/>
        <w:right w:val="none" w:sz="0" w:space="0" w:color="auto"/>
      </w:divBdr>
      <w:divsChild>
        <w:div w:id="1795100628">
          <w:marLeft w:val="806"/>
          <w:marRight w:val="0"/>
          <w:marTop w:val="240"/>
          <w:marBottom w:val="240"/>
          <w:divBdr>
            <w:top w:val="none" w:sz="0" w:space="0" w:color="auto"/>
            <w:left w:val="none" w:sz="0" w:space="0" w:color="auto"/>
            <w:bottom w:val="none" w:sz="0" w:space="0" w:color="auto"/>
            <w:right w:val="none" w:sz="0" w:space="0" w:color="auto"/>
          </w:divBdr>
        </w:div>
        <w:div w:id="2049135085">
          <w:marLeft w:val="806"/>
          <w:marRight w:val="0"/>
          <w:marTop w:val="240"/>
          <w:marBottom w:val="240"/>
          <w:divBdr>
            <w:top w:val="none" w:sz="0" w:space="0" w:color="auto"/>
            <w:left w:val="none" w:sz="0" w:space="0" w:color="auto"/>
            <w:bottom w:val="none" w:sz="0" w:space="0" w:color="auto"/>
            <w:right w:val="none" w:sz="0" w:space="0" w:color="auto"/>
          </w:divBdr>
        </w:div>
        <w:div w:id="2131970066">
          <w:marLeft w:val="806"/>
          <w:marRight w:val="0"/>
          <w:marTop w:val="240"/>
          <w:marBottom w:val="240"/>
          <w:divBdr>
            <w:top w:val="none" w:sz="0" w:space="0" w:color="auto"/>
            <w:left w:val="none" w:sz="0" w:space="0" w:color="auto"/>
            <w:bottom w:val="none" w:sz="0" w:space="0" w:color="auto"/>
            <w:right w:val="none" w:sz="0" w:space="0" w:color="auto"/>
          </w:divBdr>
        </w:div>
      </w:divsChild>
    </w:div>
    <w:div w:id="226645885">
      <w:bodyDiv w:val="1"/>
      <w:marLeft w:val="0"/>
      <w:marRight w:val="0"/>
      <w:marTop w:val="0"/>
      <w:marBottom w:val="0"/>
      <w:divBdr>
        <w:top w:val="none" w:sz="0" w:space="0" w:color="auto"/>
        <w:left w:val="none" w:sz="0" w:space="0" w:color="auto"/>
        <w:bottom w:val="none" w:sz="0" w:space="0" w:color="auto"/>
        <w:right w:val="none" w:sz="0" w:space="0" w:color="auto"/>
      </w:divBdr>
      <w:divsChild>
        <w:div w:id="21051653">
          <w:marLeft w:val="1080"/>
          <w:marRight w:val="0"/>
          <w:marTop w:val="120"/>
          <w:marBottom w:val="120"/>
          <w:divBdr>
            <w:top w:val="none" w:sz="0" w:space="0" w:color="auto"/>
            <w:left w:val="none" w:sz="0" w:space="0" w:color="auto"/>
            <w:bottom w:val="none" w:sz="0" w:space="0" w:color="auto"/>
            <w:right w:val="none" w:sz="0" w:space="0" w:color="auto"/>
          </w:divBdr>
        </w:div>
        <w:div w:id="1600675198">
          <w:marLeft w:val="1080"/>
          <w:marRight w:val="0"/>
          <w:marTop w:val="120"/>
          <w:marBottom w:val="120"/>
          <w:divBdr>
            <w:top w:val="none" w:sz="0" w:space="0" w:color="auto"/>
            <w:left w:val="none" w:sz="0" w:space="0" w:color="auto"/>
            <w:bottom w:val="none" w:sz="0" w:space="0" w:color="auto"/>
            <w:right w:val="none" w:sz="0" w:space="0" w:color="auto"/>
          </w:divBdr>
        </w:div>
        <w:div w:id="2118139208">
          <w:marLeft w:val="576"/>
          <w:marRight w:val="0"/>
          <w:marTop w:val="120"/>
          <w:marBottom w:val="120"/>
          <w:divBdr>
            <w:top w:val="none" w:sz="0" w:space="0" w:color="auto"/>
            <w:left w:val="none" w:sz="0" w:space="0" w:color="auto"/>
            <w:bottom w:val="none" w:sz="0" w:space="0" w:color="auto"/>
            <w:right w:val="none" w:sz="0" w:space="0" w:color="auto"/>
          </w:divBdr>
        </w:div>
      </w:divsChild>
    </w:div>
    <w:div w:id="249899021">
      <w:bodyDiv w:val="1"/>
      <w:marLeft w:val="0"/>
      <w:marRight w:val="0"/>
      <w:marTop w:val="0"/>
      <w:marBottom w:val="0"/>
      <w:divBdr>
        <w:top w:val="none" w:sz="0" w:space="0" w:color="auto"/>
        <w:left w:val="none" w:sz="0" w:space="0" w:color="auto"/>
        <w:bottom w:val="none" w:sz="0" w:space="0" w:color="auto"/>
        <w:right w:val="none" w:sz="0" w:space="0" w:color="auto"/>
      </w:divBdr>
    </w:div>
    <w:div w:id="292563456">
      <w:bodyDiv w:val="1"/>
      <w:marLeft w:val="0"/>
      <w:marRight w:val="0"/>
      <w:marTop w:val="0"/>
      <w:marBottom w:val="0"/>
      <w:divBdr>
        <w:top w:val="none" w:sz="0" w:space="0" w:color="auto"/>
        <w:left w:val="none" w:sz="0" w:space="0" w:color="auto"/>
        <w:bottom w:val="none" w:sz="0" w:space="0" w:color="auto"/>
        <w:right w:val="none" w:sz="0" w:space="0" w:color="auto"/>
      </w:divBdr>
    </w:div>
    <w:div w:id="292709056">
      <w:bodyDiv w:val="1"/>
      <w:marLeft w:val="0"/>
      <w:marRight w:val="0"/>
      <w:marTop w:val="0"/>
      <w:marBottom w:val="0"/>
      <w:divBdr>
        <w:top w:val="none" w:sz="0" w:space="0" w:color="auto"/>
        <w:left w:val="none" w:sz="0" w:space="0" w:color="auto"/>
        <w:bottom w:val="none" w:sz="0" w:space="0" w:color="auto"/>
        <w:right w:val="none" w:sz="0" w:space="0" w:color="auto"/>
      </w:divBdr>
      <w:divsChild>
        <w:div w:id="112794596">
          <w:marLeft w:val="600"/>
          <w:marRight w:val="0"/>
          <w:marTop w:val="0"/>
          <w:marBottom w:val="240"/>
          <w:divBdr>
            <w:top w:val="none" w:sz="0" w:space="0" w:color="auto"/>
            <w:left w:val="none" w:sz="0" w:space="0" w:color="auto"/>
            <w:bottom w:val="none" w:sz="0" w:space="0" w:color="auto"/>
            <w:right w:val="none" w:sz="0" w:space="0" w:color="auto"/>
          </w:divBdr>
        </w:div>
        <w:div w:id="332606558">
          <w:marLeft w:val="600"/>
          <w:marRight w:val="0"/>
          <w:marTop w:val="0"/>
          <w:marBottom w:val="240"/>
          <w:divBdr>
            <w:top w:val="none" w:sz="0" w:space="0" w:color="auto"/>
            <w:left w:val="none" w:sz="0" w:space="0" w:color="auto"/>
            <w:bottom w:val="none" w:sz="0" w:space="0" w:color="auto"/>
            <w:right w:val="none" w:sz="0" w:space="0" w:color="auto"/>
          </w:divBdr>
        </w:div>
        <w:div w:id="666203557">
          <w:marLeft w:val="600"/>
          <w:marRight w:val="0"/>
          <w:marTop w:val="0"/>
          <w:marBottom w:val="240"/>
          <w:divBdr>
            <w:top w:val="none" w:sz="0" w:space="0" w:color="auto"/>
            <w:left w:val="none" w:sz="0" w:space="0" w:color="auto"/>
            <w:bottom w:val="none" w:sz="0" w:space="0" w:color="auto"/>
            <w:right w:val="none" w:sz="0" w:space="0" w:color="auto"/>
          </w:divBdr>
        </w:div>
        <w:div w:id="831532709">
          <w:marLeft w:val="600"/>
          <w:marRight w:val="0"/>
          <w:marTop w:val="0"/>
          <w:marBottom w:val="240"/>
          <w:divBdr>
            <w:top w:val="none" w:sz="0" w:space="0" w:color="auto"/>
            <w:left w:val="none" w:sz="0" w:space="0" w:color="auto"/>
            <w:bottom w:val="none" w:sz="0" w:space="0" w:color="auto"/>
            <w:right w:val="none" w:sz="0" w:space="0" w:color="auto"/>
          </w:divBdr>
        </w:div>
        <w:div w:id="1296831343">
          <w:marLeft w:val="600"/>
          <w:marRight w:val="0"/>
          <w:marTop w:val="0"/>
          <w:marBottom w:val="240"/>
          <w:divBdr>
            <w:top w:val="none" w:sz="0" w:space="0" w:color="auto"/>
            <w:left w:val="none" w:sz="0" w:space="0" w:color="auto"/>
            <w:bottom w:val="none" w:sz="0" w:space="0" w:color="auto"/>
            <w:right w:val="none" w:sz="0" w:space="0" w:color="auto"/>
          </w:divBdr>
        </w:div>
        <w:div w:id="1538934220">
          <w:marLeft w:val="600"/>
          <w:marRight w:val="0"/>
          <w:marTop w:val="0"/>
          <w:marBottom w:val="240"/>
          <w:divBdr>
            <w:top w:val="none" w:sz="0" w:space="0" w:color="auto"/>
            <w:left w:val="none" w:sz="0" w:space="0" w:color="auto"/>
            <w:bottom w:val="none" w:sz="0" w:space="0" w:color="auto"/>
            <w:right w:val="none" w:sz="0" w:space="0" w:color="auto"/>
          </w:divBdr>
        </w:div>
        <w:div w:id="1633947230">
          <w:marLeft w:val="240"/>
          <w:marRight w:val="0"/>
          <w:marTop w:val="0"/>
          <w:marBottom w:val="240"/>
          <w:divBdr>
            <w:top w:val="none" w:sz="0" w:space="0" w:color="auto"/>
            <w:left w:val="none" w:sz="0" w:space="0" w:color="auto"/>
            <w:bottom w:val="none" w:sz="0" w:space="0" w:color="auto"/>
            <w:right w:val="none" w:sz="0" w:space="0" w:color="auto"/>
          </w:divBdr>
        </w:div>
      </w:divsChild>
    </w:div>
    <w:div w:id="292977854">
      <w:bodyDiv w:val="1"/>
      <w:marLeft w:val="0"/>
      <w:marRight w:val="0"/>
      <w:marTop w:val="0"/>
      <w:marBottom w:val="0"/>
      <w:divBdr>
        <w:top w:val="none" w:sz="0" w:space="0" w:color="auto"/>
        <w:left w:val="none" w:sz="0" w:space="0" w:color="auto"/>
        <w:bottom w:val="none" w:sz="0" w:space="0" w:color="auto"/>
        <w:right w:val="none" w:sz="0" w:space="0" w:color="auto"/>
      </w:divBdr>
    </w:div>
    <w:div w:id="329598302">
      <w:bodyDiv w:val="1"/>
      <w:marLeft w:val="0"/>
      <w:marRight w:val="0"/>
      <w:marTop w:val="0"/>
      <w:marBottom w:val="0"/>
      <w:divBdr>
        <w:top w:val="none" w:sz="0" w:space="0" w:color="auto"/>
        <w:left w:val="none" w:sz="0" w:space="0" w:color="auto"/>
        <w:bottom w:val="none" w:sz="0" w:space="0" w:color="auto"/>
        <w:right w:val="none" w:sz="0" w:space="0" w:color="auto"/>
      </w:divBdr>
    </w:div>
    <w:div w:id="357051624">
      <w:bodyDiv w:val="1"/>
      <w:marLeft w:val="0"/>
      <w:marRight w:val="0"/>
      <w:marTop w:val="0"/>
      <w:marBottom w:val="0"/>
      <w:divBdr>
        <w:top w:val="none" w:sz="0" w:space="0" w:color="auto"/>
        <w:left w:val="none" w:sz="0" w:space="0" w:color="auto"/>
        <w:bottom w:val="none" w:sz="0" w:space="0" w:color="auto"/>
        <w:right w:val="none" w:sz="0" w:space="0" w:color="auto"/>
      </w:divBdr>
      <w:divsChild>
        <w:div w:id="446318250">
          <w:marLeft w:val="0"/>
          <w:marRight w:val="0"/>
          <w:marTop w:val="0"/>
          <w:marBottom w:val="0"/>
          <w:divBdr>
            <w:top w:val="none" w:sz="0" w:space="0" w:color="auto"/>
            <w:left w:val="none" w:sz="0" w:space="0" w:color="auto"/>
            <w:bottom w:val="none" w:sz="0" w:space="0" w:color="auto"/>
            <w:right w:val="none" w:sz="0" w:space="0" w:color="auto"/>
          </w:divBdr>
          <w:divsChild>
            <w:div w:id="188221642">
              <w:marLeft w:val="0"/>
              <w:marRight w:val="0"/>
              <w:marTop w:val="0"/>
              <w:marBottom w:val="0"/>
              <w:divBdr>
                <w:top w:val="none" w:sz="0" w:space="0" w:color="auto"/>
                <w:left w:val="none" w:sz="0" w:space="0" w:color="auto"/>
                <w:bottom w:val="none" w:sz="0" w:space="0" w:color="auto"/>
                <w:right w:val="none" w:sz="0" w:space="0" w:color="auto"/>
              </w:divBdr>
              <w:divsChild>
                <w:div w:id="182476370">
                  <w:marLeft w:val="0"/>
                  <w:marRight w:val="0"/>
                  <w:marTop w:val="0"/>
                  <w:marBottom w:val="0"/>
                  <w:divBdr>
                    <w:top w:val="none" w:sz="0" w:space="0" w:color="auto"/>
                    <w:left w:val="none" w:sz="0" w:space="0" w:color="auto"/>
                    <w:bottom w:val="none" w:sz="0" w:space="0" w:color="auto"/>
                    <w:right w:val="none" w:sz="0" w:space="0" w:color="auto"/>
                  </w:divBdr>
                </w:div>
              </w:divsChild>
            </w:div>
            <w:div w:id="193813493">
              <w:marLeft w:val="0"/>
              <w:marRight w:val="0"/>
              <w:marTop w:val="0"/>
              <w:marBottom w:val="0"/>
              <w:divBdr>
                <w:top w:val="none" w:sz="0" w:space="0" w:color="auto"/>
                <w:left w:val="none" w:sz="0" w:space="0" w:color="auto"/>
                <w:bottom w:val="none" w:sz="0" w:space="0" w:color="auto"/>
                <w:right w:val="none" w:sz="0" w:space="0" w:color="auto"/>
              </w:divBdr>
              <w:divsChild>
                <w:div w:id="556550436">
                  <w:marLeft w:val="0"/>
                  <w:marRight w:val="0"/>
                  <w:marTop w:val="0"/>
                  <w:marBottom w:val="0"/>
                  <w:divBdr>
                    <w:top w:val="none" w:sz="0" w:space="0" w:color="auto"/>
                    <w:left w:val="none" w:sz="0" w:space="0" w:color="auto"/>
                    <w:bottom w:val="none" w:sz="0" w:space="0" w:color="auto"/>
                    <w:right w:val="none" w:sz="0" w:space="0" w:color="auto"/>
                  </w:divBdr>
                </w:div>
              </w:divsChild>
            </w:div>
            <w:div w:id="219051353">
              <w:marLeft w:val="0"/>
              <w:marRight w:val="0"/>
              <w:marTop w:val="0"/>
              <w:marBottom w:val="0"/>
              <w:divBdr>
                <w:top w:val="none" w:sz="0" w:space="0" w:color="auto"/>
                <w:left w:val="none" w:sz="0" w:space="0" w:color="auto"/>
                <w:bottom w:val="none" w:sz="0" w:space="0" w:color="auto"/>
                <w:right w:val="none" w:sz="0" w:space="0" w:color="auto"/>
              </w:divBdr>
              <w:divsChild>
                <w:div w:id="948244788">
                  <w:marLeft w:val="0"/>
                  <w:marRight w:val="0"/>
                  <w:marTop w:val="0"/>
                  <w:marBottom w:val="0"/>
                  <w:divBdr>
                    <w:top w:val="none" w:sz="0" w:space="0" w:color="auto"/>
                    <w:left w:val="none" w:sz="0" w:space="0" w:color="auto"/>
                    <w:bottom w:val="none" w:sz="0" w:space="0" w:color="auto"/>
                    <w:right w:val="none" w:sz="0" w:space="0" w:color="auto"/>
                  </w:divBdr>
                </w:div>
              </w:divsChild>
            </w:div>
            <w:div w:id="222106475">
              <w:marLeft w:val="0"/>
              <w:marRight w:val="0"/>
              <w:marTop w:val="0"/>
              <w:marBottom w:val="0"/>
              <w:divBdr>
                <w:top w:val="none" w:sz="0" w:space="0" w:color="auto"/>
                <w:left w:val="none" w:sz="0" w:space="0" w:color="auto"/>
                <w:bottom w:val="none" w:sz="0" w:space="0" w:color="auto"/>
                <w:right w:val="none" w:sz="0" w:space="0" w:color="auto"/>
              </w:divBdr>
              <w:divsChild>
                <w:div w:id="1750271724">
                  <w:marLeft w:val="0"/>
                  <w:marRight w:val="0"/>
                  <w:marTop w:val="0"/>
                  <w:marBottom w:val="0"/>
                  <w:divBdr>
                    <w:top w:val="none" w:sz="0" w:space="0" w:color="auto"/>
                    <w:left w:val="none" w:sz="0" w:space="0" w:color="auto"/>
                    <w:bottom w:val="none" w:sz="0" w:space="0" w:color="auto"/>
                    <w:right w:val="none" w:sz="0" w:space="0" w:color="auto"/>
                  </w:divBdr>
                </w:div>
              </w:divsChild>
            </w:div>
            <w:div w:id="242111184">
              <w:marLeft w:val="0"/>
              <w:marRight w:val="0"/>
              <w:marTop w:val="0"/>
              <w:marBottom w:val="0"/>
              <w:divBdr>
                <w:top w:val="none" w:sz="0" w:space="0" w:color="auto"/>
                <w:left w:val="none" w:sz="0" w:space="0" w:color="auto"/>
                <w:bottom w:val="none" w:sz="0" w:space="0" w:color="auto"/>
                <w:right w:val="none" w:sz="0" w:space="0" w:color="auto"/>
              </w:divBdr>
              <w:divsChild>
                <w:div w:id="2104258118">
                  <w:marLeft w:val="0"/>
                  <w:marRight w:val="0"/>
                  <w:marTop w:val="0"/>
                  <w:marBottom w:val="0"/>
                  <w:divBdr>
                    <w:top w:val="none" w:sz="0" w:space="0" w:color="auto"/>
                    <w:left w:val="none" w:sz="0" w:space="0" w:color="auto"/>
                    <w:bottom w:val="none" w:sz="0" w:space="0" w:color="auto"/>
                    <w:right w:val="none" w:sz="0" w:space="0" w:color="auto"/>
                  </w:divBdr>
                </w:div>
              </w:divsChild>
            </w:div>
            <w:div w:id="311258159">
              <w:marLeft w:val="0"/>
              <w:marRight w:val="0"/>
              <w:marTop w:val="0"/>
              <w:marBottom w:val="0"/>
              <w:divBdr>
                <w:top w:val="none" w:sz="0" w:space="0" w:color="auto"/>
                <w:left w:val="none" w:sz="0" w:space="0" w:color="auto"/>
                <w:bottom w:val="none" w:sz="0" w:space="0" w:color="auto"/>
                <w:right w:val="none" w:sz="0" w:space="0" w:color="auto"/>
              </w:divBdr>
              <w:divsChild>
                <w:div w:id="2113087354">
                  <w:marLeft w:val="0"/>
                  <w:marRight w:val="0"/>
                  <w:marTop w:val="0"/>
                  <w:marBottom w:val="0"/>
                  <w:divBdr>
                    <w:top w:val="none" w:sz="0" w:space="0" w:color="auto"/>
                    <w:left w:val="none" w:sz="0" w:space="0" w:color="auto"/>
                    <w:bottom w:val="none" w:sz="0" w:space="0" w:color="auto"/>
                    <w:right w:val="none" w:sz="0" w:space="0" w:color="auto"/>
                  </w:divBdr>
                </w:div>
              </w:divsChild>
            </w:div>
            <w:div w:id="333844666">
              <w:marLeft w:val="0"/>
              <w:marRight w:val="0"/>
              <w:marTop w:val="0"/>
              <w:marBottom w:val="0"/>
              <w:divBdr>
                <w:top w:val="none" w:sz="0" w:space="0" w:color="auto"/>
                <w:left w:val="none" w:sz="0" w:space="0" w:color="auto"/>
                <w:bottom w:val="none" w:sz="0" w:space="0" w:color="auto"/>
                <w:right w:val="none" w:sz="0" w:space="0" w:color="auto"/>
              </w:divBdr>
              <w:divsChild>
                <w:div w:id="2057703649">
                  <w:marLeft w:val="0"/>
                  <w:marRight w:val="0"/>
                  <w:marTop w:val="0"/>
                  <w:marBottom w:val="0"/>
                  <w:divBdr>
                    <w:top w:val="none" w:sz="0" w:space="0" w:color="auto"/>
                    <w:left w:val="none" w:sz="0" w:space="0" w:color="auto"/>
                    <w:bottom w:val="none" w:sz="0" w:space="0" w:color="auto"/>
                    <w:right w:val="none" w:sz="0" w:space="0" w:color="auto"/>
                  </w:divBdr>
                </w:div>
              </w:divsChild>
            </w:div>
            <w:div w:id="363555123">
              <w:marLeft w:val="0"/>
              <w:marRight w:val="0"/>
              <w:marTop w:val="0"/>
              <w:marBottom w:val="0"/>
              <w:divBdr>
                <w:top w:val="none" w:sz="0" w:space="0" w:color="auto"/>
                <w:left w:val="none" w:sz="0" w:space="0" w:color="auto"/>
                <w:bottom w:val="none" w:sz="0" w:space="0" w:color="auto"/>
                <w:right w:val="none" w:sz="0" w:space="0" w:color="auto"/>
              </w:divBdr>
              <w:divsChild>
                <w:div w:id="2123841808">
                  <w:marLeft w:val="0"/>
                  <w:marRight w:val="0"/>
                  <w:marTop w:val="0"/>
                  <w:marBottom w:val="0"/>
                  <w:divBdr>
                    <w:top w:val="none" w:sz="0" w:space="0" w:color="auto"/>
                    <w:left w:val="none" w:sz="0" w:space="0" w:color="auto"/>
                    <w:bottom w:val="none" w:sz="0" w:space="0" w:color="auto"/>
                    <w:right w:val="none" w:sz="0" w:space="0" w:color="auto"/>
                  </w:divBdr>
                </w:div>
              </w:divsChild>
            </w:div>
            <w:div w:id="485173659">
              <w:marLeft w:val="0"/>
              <w:marRight w:val="0"/>
              <w:marTop w:val="0"/>
              <w:marBottom w:val="0"/>
              <w:divBdr>
                <w:top w:val="none" w:sz="0" w:space="0" w:color="auto"/>
                <w:left w:val="none" w:sz="0" w:space="0" w:color="auto"/>
                <w:bottom w:val="none" w:sz="0" w:space="0" w:color="auto"/>
                <w:right w:val="none" w:sz="0" w:space="0" w:color="auto"/>
              </w:divBdr>
              <w:divsChild>
                <w:div w:id="1039166652">
                  <w:marLeft w:val="0"/>
                  <w:marRight w:val="0"/>
                  <w:marTop w:val="0"/>
                  <w:marBottom w:val="0"/>
                  <w:divBdr>
                    <w:top w:val="none" w:sz="0" w:space="0" w:color="auto"/>
                    <w:left w:val="none" w:sz="0" w:space="0" w:color="auto"/>
                    <w:bottom w:val="none" w:sz="0" w:space="0" w:color="auto"/>
                    <w:right w:val="none" w:sz="0" w:space="0" w:color="auto"/>
                  </w:divBdr>
                </w:div>
              </w:divsChild>
            </w:div>
            <w:div w:id="642195018">
              <w:marLeft w:val="0"/>
              <w:marRight w:val="0"/>
              <w:marTop w:val="0"/>
              <w:marBottom w:val="0"/>
              <w:divBdr>
                <w:top w:val="none" w:sz="0" w:space="0" w:color="auto"/>
                <w:left w:val="none" w:sz="0" w:space="0" w:color="auto"/>
                <w:bottom w:val="none" w:sz="0" w:space="0" w:color="auto"/>
                <w:right w:val="none" w:sz="0" w:space="0" w:color="auto"/>
              </w:divBdr>
              <w:divsChild>
                <w:div w:id="1482306204">
                  <w:marLeft w:val="0"/>
                  <w:marRight w:val="0"/>
                  <w:marTop w:val="0"/>
                  <w:marBottom w:val="0"/>
                  <w:divBdr>
                    <w:top w:val="none" w:sz="0" w:space="0" w:color="auto"/>
                    <w:left w:val="none" w:sz="0" w:space="0" w:color="auto"/>
                    <w:bottom w:val="none" w:sz="0" w:space="0" w:color="auto"/>
                    <w:right w:val="none" w:sz="0" w:space="0" w:color="auto"/>
                  </w:divBdr>
                </w:div>
              </w:divsChild>
            </w:div>
            <w:div w:id="665520878">
              <w:marLeft w:val="0"/>
              <w:marRight w:val="0"/>
              <w:marTop w:val="0"/>
              <w:marBottom w:val="0"/>
              <w:divBdr>
                <w:top w:val="none" w:sz="0" w:space="0" w:color="auto"/>
                <w:left w:val="none" w:sz="0" w:space="0" w:color="auto"/>
                <w:bottom w:val="none" w:sz="0" w:space="0" w:color="auto"/>
                <w:right w:val="none" w:sz="0" w:space="0" w:color="auto"/>
              </w:divBdr>
              <w:divsChild>
                <w:div w:id="4213863">
                  <w:marLeft w:val="0"/>
                  <w:marRight w:val="0"/>
                  <w:marTop w:val="0"/>
                  <w:marBottom w:val="0"/>
                  <w:divBdr>
                    <w:top w:val="none" w:sz="0" w:space="0" w:color="auto"/>
                    <w:left w:val="none" w:sz="0" w:space="0" w:color="auto"/>
                    <w:bottom w:val="none" w:sz="0" w:space="0" w:color="auto"/>
                    <w:right w:val="none" w:sz="0" w:space="0" w:color="auto"/>
                  </w:divBdr>
                </w:div>
              </w:divsChild>
            </w:div>
            <w:div w:id="699554587">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
              </w:divsChild>
            </w:div>
            <w:div w:id="717440896">
              <w:marLeft w:val="0"/>
              <w:marRight w:val="0"/>
              <w:marTop w:val="0"/>
              <w:marBottom w:val="0"/>
              <w:divBdr>
                <w:top w:val="none" w:sz="0" w:space="0" w:color="auto"/>
                <w:left w:val="none" w:sz="0" w:space="0" w:color="auto"/>
                <w:bottom w:val="none" w:sz="0" w:space="0" w:color="auto"/>
                <w:right w:val="none" w:sz="0" w:space="0" w:color="auto"/>
              </w:divBdr>
              <w:divsChild>
                <w:div w:id="565190536">
                  <w:marLeft w:val="0"/>
                  <w:marRight w:val="0"/>
                  <w:marTop w:val="0"/>
                  <w:marBottom w:val="0"/>
                  <w:divBdr>
                    <w:top w:val="none" w:sz="0" w:space="0" w:color="auto"/>
                    <w:left w:val="none" w:sz="0" w:space="0" w:color="auto"/>
                    <w:bottom w:val="none" w:sz="0" w:space="0" w:color="auto"/>
                    <w:right w:val="none" w:sz="0" w:space="0" w:color="auto"/>
                  </w:divBdr>
                </w:div>
              </w:divsChild>
            </w:div>
            <w:div w:id="726688754">
              <w:marLeft w:val="0"/>
              <w:marRight w:val="0"/>
              <w:marTop w:val="0"/>
              <w:marBottom w:val="0"/>
              <w:divBdr>
                <w:top w:val="none" w:sz="0" w:space="0" w:color="auto"/>
                <w:left w:val="none" w:sz="0" w:space="0" w:color="auto"/>
                <w:bottom w:val="none" w:sz="0" w:space="0" w:color="auto"/>
                <w:right w:val="none" w:sz="0" w:space="0" w:color="auto"/>
              </w:divBdr>
              <w:divsChild>
                <w:div w:id="1632663855">
                  <w:marLeft w:val="0"/>
                  <w:marRight w:val="0"/>
                  <w:marTop w:val="0"/>
                  <w:marBottom w:val="0"/>
                  <w:divBdr>
                    <w:top w:val="none" w:sz="0" w:space="0" w:color="auto"/>
                    <w:left w:val="none" w:sz="0" w:space="0" w:color="auto"/>
                    <w:bottom w:val="none" w:sz="0" w:space="0" w:color="auto"/>
                    <w:right w:val="none" w:sz="0" w:space="0" w:color="auto"/>
                  </w:divBdr>
                </w:div>
              </w:divsChild>
            </w:div>
            <w:div w:id="737939148">
              <w:marLeft w:val="0"/>
              <w:marRight w:val="0"/>
              <w:marTop w:val="0"/>
              <w:marBottom w:val="0"/>
              <w:divBdr>
                <w:top w:val="none" w:sz="0" w:space="0" w:color="auto"/>
                <w:left w:val="none" w:sz="0" w:space="0" w:color="auto"/>
                <w:bottom w:val="none" w:sz="0" w:space="0" w:color="auto"/>
                <w:right w:val="none" w:sz="0" w:space="0" w:color="auto"/>
              </w:divBdr>
              <w:divsChild>
                <w:div w:id="1207720861">
                  <w:marLeft w:val="0"/>
                  <w:marRight w:val="0"/>
                  <w:marTop w:val="0"/>
                  <w:marBottom w:val="0"/>
                  <w:divBdr>
                    <w:top w:val="none" w:sz="0" w:space="0" w:color="auto"/>
                    <w:left w:val="none" w:sz="0" w:space="0" w:color="auto"/>
                    <w:bottom w:val="none" w:sz="0" w:space="0" w:color="auto"/>
                    <w:right w:val="none" w:sz="0" w:space="0" w:color="auto"/>
                  </w:divBdr>
                </w:div>
              </w:divsChild>
            </w:div>
            <w:div w:id="939027225">
              <w:marLeft w:val="0"/>
              <w:marRight w:val="0"/>
              <w:marTop w:val="0"/>
              <w:marBottom w:val="0"/>
              <w:divBdr>
                <w:top w:val="none" w:sz="0" w:space="0" w:color="auto"/>
                <w:left w:val="none" w:sz="0" w:space="0" w:color="auto"/>
                <w:bottom w:val="none" w:sz="0" w:space="0" w:color="auto"/>
                <w:right w:val="none" w:sz="0" w:space="0" w:color="auto"/>
              </w:divBdr>
              <w:divsChild>
                <w:div w:id="772940237">
                  <w:marLeft w:val="0"/>
                  <w:marRight w:val="0"/>
                  <w:marTop w:val="0"/>
                  <w:marBottom w:val="0"/>
                  <w:divBdr>
                    <w:top w:val="none" w:sz="0" w:space="0" w:color="auto"/>
                    <w:left w:val="none" w:sz="0" w:space="0" w:color="auto"/>
                    <w:bottom w:val="none" w:sz="0" w:space="0" w:color="auto"/>
                    <w:right w:val="none" w:sz="0" w:space="0" w:color="auto"/>
                  </w:divBdr>
                </w:div>
              </w:divsChild>
            </w:div>
            <w:div w:id="976300937">
              <w:marLeft w:val="0"/>
              <w:marRight w:val="0"/>
              <w:marTop w:val="0"/>
              <w:marBottom w:val="0"/>
              <w:divBdr>
                <w:top w:val="none" w:sz="0" w:space="0" w:color="auto"/>
                <w:left w:val="none" w:sz="0" w:space="0" w:color="auto"/>
                <w:bottom w:val="none" w:sz="0" w:space="0" w:color="auto"/>
                <w:right w:val="none" w:sz="0" w:space="0" w:color="auto"/>
              </w:divBdr>
              <w:divsChild>
                <w:div w:id="1260219664">
                  <w:marLeft w:val="0"/>
                  <w:marRight w:val="0"/>
                  <w:marTop w:val="0"/>
                  <w:marBottom w:val="0"/>
                  <w:divBdr>
                    <w:top w:val="none" w:sz="0" w:space="0" w:color="auto"/>
                    <w:left w:val="none" w:sz="0" w:space="0" w:color="auto"/>
                    <w:bottom w:val="none" w:sz="0" w:space="0" w:color="auto"/>
                    <w:right w:val="none" w:sz="0" w:space="0" w:color="auto"/>
                  </w:divBdr>
                </w:div>
              </w:divsChild>
            </w:div>
            <w:div w:id="1159612455">
              <w:marLeft w:val="0"/>
              <w:marRight w:val="0"/>
              <w:marTop w:val="0"/>
              <w:marBottom w:val="0"/>
              <w:divBdr>
                <w:top w:val="none" w:sz="0" w:space="0" w:color="auto"/>
                <w:left w:val="none" w:sz="0" w:space="0" w:color="auto"/>
                <w:bottom w:val="none" w:sz="0" w:space="0" w:color="auto"/>
                <w:right w:val="none" w:sz="0" w:space="0" w:color="auto"/>
              </w:divBdr>
              <w:divsChild>
                <w:div w:id="1062680858">
                  <w:marLeft w:val="0"/>
                  <w:marRight w:val="0"/>
                  <w:marTop w:val="0"/>
                  <w:marBottom w:val="0"/>
                  <w:divBdr>
                    <w:top w:val="none" w:sz="0" w:space="0" w:color="auto"/>
                    <w:left w:val="none" w:sz="0" w:space="0" w:color="auto"/>
                    <w:bottom w:val="none" w:sz="0" w:space="0" w:color="auto"/>
                    <w:right w:val="none" w:sz="0" w:space="0" w:color="auto"/>
                  </w:divBdr>
                </w:div>
              </w:divsChild>
            </w:div>
            <w:div w:id="1226644949">
              <w:marLeft w:val="0"/>
              <w:marRight w:val="0"/>
              <w:marTop w:val="0"/>
              <w:marBottom w:val="0"/>
              <w:divBdr>
                <w:top w:val="none" w:sz="0" w:space="0" w:color="auto"/>
                <w:left w:val="none" w:sz="0" w:space="0" w:color="auto"/>
                <w:bottom w:val="none" w:sz="0" w:space="0" w:color="auto"/>
                <w:right w:val="none" w:sz="0" w:space="0" w:color="auto"/>
              </w:divBdr>
              <w:divsChild>
                <w:div w:id="1531264410">
                  <w:marLeft w:val="0"/>
                  <w:marRight w:val="0"/>
                  <w:marTop w:val="0"/>
                  <w:marBottom w:val="0"/>
                  <w:divBdr>
                    <w:top w:val="none" w:sz="0" w:space="0" w:color="auto"/>
                    <w:left w:val="none" w:sz="0" w:space="0" w:color="auto"/>
                    <w:bottom w:val="none" w:sz="0" w:space="0" w:color="auto"/>
                    <w:right w:val="none" w:sz="0" w:space="0" w:color="auto"/>
                  </w:divBdr>
                </w:div>
              </w:divsChild>
            </w:div>
            <w:div w:id="1392189145">
              <w:marLeft w:val="0"/>
              <w:marRight w:val="0"/>
              <w:marTop w:val="0"/>
              <w:marBottom w:val="0"/>
              <w:divBdr>
                <w:top w:val="none" w:sz="0" w:space="0" w:color="auto"/>
                <w:left w:val="none" w:sz="0" w:space="0" w:color="auto"/>
                <w:bottom w:val="none" w:sz="0" w:space="0" w:color="auto"/>
                <w:right w:val="none" w:sz="0" w:space="0" w:color="auto"/>
              </w:divBdr>
              <w:divsChild>
                <w:div w:id="1324167467">
                  <w:marLeft w:val="0"/>
                  <w:marRight w:val="0"/>
                  <w:marTop w:val="0"/>
                  <w:marBottom w:val="0"/>
                  <w:divBdr>
                    <w:top w:val="none" w:sz="0" w:space="0" w:color="auto"/>
                    <w:left w:val="none" w:sz="0" w:space="0" w:color="auto"/>
                    <w:bottom w:val="none" w:sz="0" w:space="0" w:color="auto"/>
                    <w:right w:val="none" w:sz="0" w:space="0" w:color="auto"/>
                  </w:divBdr>
                </w:div>
              </w:divsChild>
            </w:div>
            <w:div w:id="1726948568">
              <w:marLeft w:val="0"/>
              <w:marRight w:val="0"/>
              <w:marTop w:val="0"/>
              <w:marBottom w:val="0"/>
              <w:divBdr>
                <w:top w:val="none" w:sz="0" w:space="0" w:color="auto"/>
                <w:left w:val="none" w:sz="0" w:space="0" w:color="auto"/>
                <w:bottom w:val="none" w:sz="0" w:space="0" w:color="auto"/>
                <w:right w:val="none" w:sz="0" w:space="0" w:color="auto"/>
              </w:divBdr>
              <w:divsChild>
                <w:div w:id="1294867827">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649094178">
                  <w:marLeft w:val="0"/>
                  <w:marRight w:val="0"/>
                  <w:marTop w:val="0"/>
                  <w:marBottom w:val="0"/>
                  <w:divBdr>
                    <w:top w:val="none" w:sz="0" w:space="0" w:color="auto"/>
                    <w:left w:val="none" w:sz="0" w:space="0" w:color="auto"/>
                    <w:bottom w:val="none" w:sz="0" w:space="0" w:color="auto"/>
                    <w:right w:val="none" w:sz="0" w:space="0" w:color="auto"/>
                  </w:divBdr>
                </w:div>
              </w:divsChild>
            </w:div>
            <w:div w:id="1946647800">
              <w:marLeft w:val="0"/>
              <w:marRight w:val="0"/>
              <w:marTop w:val="0"/>
              <w:marBottom w:val="0"/>
              <w:divBdr>
                <w:top w:val="none" w:sz="0" w:space="0" w:color="auto"/>
                <w:left w:val="none" w:sz="0" w:space="0" w:color="auto"/>
                <w:bottom w:val="none" w:sz="0" w:space="0" w:color="auto"/>
                <w:right w:val="none" w:sz="0" w:space="0" w:color="auto"/>
              </w:divBdr>
              <w:divsChild>
                <w:div w:id="104232501">
                  <w:marLeft w:val="0"/>
                  <w:marRight w:val="0"/>
                  <w:marTop w:val="0"/>
                  <w:marBottom w:val="0"/>
                  <w:divBdr>
                    <w:top w:val="none" w:sz="0" w:space="0" w:color="auto"/>
                    <w:left w:val="none" w:sz="0" w:space="0" w:color="auto"/>
                    <w:bottom w:val="none" w:sz="0" w:space="0" w:color="auto"/>
                    <w:right w:val="none" w:sz="0" w:space="0" w:color="auto"/>
                  </w:divBdr>
                </w:div>
              </w:divsChild>
            </w:div>
            <w:div w:id="2087072866">
              <w:marLeft w:val="0"/>
              <w:marRight w:val="0"/>
              <w:marTop w:val="0"/>
              <w:marBottom w:val="0"/>
              <w:divBdr>
                <w:top w:val="none" w:sz="0" w:space="0" w:color="auto"/>
                <w:left w:val="none" w:sz="0" w:space="0" w:color="auto"/>
                <w:bottom w:val="none" w:sz="0" w:space="0" w:color="auto"/>
                <w:right w:val="none" w:sz="0" w:space="0" w:color="auto"/>
              </w:divBdr>
              <w:divsChild>
                <w:div w:id="1455247145">
                  <w:marLeft w:val="0"/>
                  <w:marRight w:val="0"/>
                  <w:marTop w:val="0"/>
                  <w:marBottom w:val="0"/>
                  <w:divBdr>
                    <w:top w:val="none" w:sz="0" w:space="0" w:color="auto"/>
                    <w:left w:val="none" w:sz="0" w:space="0" w:color="auto"/>
                    <w:bottom w:val="none" w:sz="0" w:space="0" w:color="auto"/>
                    <w:right w:val="none" w:sz="0" w:space="0" w:color="auto"/>
                  </w:divBdr>
                </w:div>
              </w:divsChild>
            </w:div>
            <w:div w:id="2120441275">
              <w:marLeft w:val="0"/>
              <w:marRight w:val="0"/>
              <w:marTop w:val="0"/>
              <w:marBottom w:val="0"/>
              <w:divBdr>
                <w:top w:val="none" w:sz="0" w:space="0" w:color="auto"/>
                <w:left w:val="none" w:sz="0" w:space="0" w:color="auto"/>
                <w:bottom w:val="none" w:sz="0" w:space="0" w:color="auto"/>
                <w:right w:val="none" w:sz="0" w:space="0" w:color="auto"/>
              </w:divBdr>
              <w:divsChild>
                <w:div w:id="17055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260">
      <w:bodyDiv w:val="1"/>
      <w:marLeft w:val="0"/>
      <w:marRight w:val="0"/>
      <w:marTop w:val="0"/>
      <w:marBottom w:val="0"/>
      <w:divBdr>
        <w:top w:val="none" w:sz="0" w:space="0" w:color="auto"/>
        <w:left w:val="none" w:sz="0" w:space="0" w:color="auto"/>
        <w:bottom w:val="none" w:sz="0" w:space="0" w:color="auto"/>
        <w:right w:val="none" w:sz="0" w:space="0" w:color="auto"/>
      </w:divBdr>
    </w:div>
    <w:div w:id="420101595">
      <w:bodyDiv w:val="1"/>
      <w:marLeft w:val="0"/>
      <w:marRight w:val="0"/>
      <w:marTop w:val="0"/>
      <w:marBottom w:val="0"/>
      <w:divBdr>
        <w:top w:val="none" w:sz="0" w:space="0" w:color="auto"/>
        <w:left w:val="none" w:sz="0" w:space="0" w:color="auto"/>
        <w:bottom w:val="none" w:sz="0" w:space="0" w:color="auto"/>
        <w:right w:val="none" w:sz="0" w:space="0" w:color="auto"/>
      </w:divBdr>
    </w:div>
    <w:div w:id="432356778">
      <w:bodyDiv w:val="1"/>
      <w:marLeft w:val="0"/>
      <w:marRight w:val="0"/>
      <w:marTop w:val="0"/>
      <w:marBottom w:val="0"/>
      <w:divBdr>
        <w:top w:val="none" w:sz="0" w:space="0" w:color="auto"/>
        <w:left w:val="none" w:sz="0" w:space="0" w:color="auto"/>
        <w:bottom w:val="none" w:sz="0" w:space="0" w:color="auto"/>
        <w:right w:val="none" w:sz="0" w:space="0" w:color="auto"/>
      </w:divBdr>
    </w:div>
    <w:div w:id="453135537">
      <w:bodyDiv w:val="1"/>
      <w:marLeft w:val="0"/>
      <w:marRight w:val="0"/>
      <w:marTop w:val="0"/>
      <w:marBottom w:val="0"/>
      <w:divBdr>
        <w:top w:val="none" w:sz="0" w:space="0" w:color="auto"/>
        <w:left w:val="none" w:sz="0" w:space="0" w:color="auto"/>
        <w:bottom w:val="none" w:sz="0" w:space="0" w:color="auto"/>
        <w:right w:val="none" w:sz="0" w:space="0" w:color="auto"/>
      </w:divBdr>
    </w:div>
    <w:div w:id="461731832">
      <w:bodyDiv w:val="1"/>
      <w:marLeft w:val="0"/>
      <w:marRight w:val="0"/>
      <w:marTop w:val="0"/>
      <w:marBottom w:val="0"/>
      <w:divBdr>
        <w:top w:val="none" w:sz="0" w:space="0" w:color="auto"/>
        <w:left w:val="none" w:sz="0" w:space="0" w:color="auto"/>
        <w:bottom w:val="none" w:sz="0" w:space="0" w:color="auto"/>
        <w:right w:val="none" w:sz="0" w:space="0" w:color="auto"/>
      </w:divBdr>
      <w:divsChild>
        <w:div w:id="24260145">
          <w:marLeft w:val="1080"/>
          <w:marRight w:val="0"/>
          <w:marTop w:val="100"/>
          <w:marBottom w:val="0"/>
          <w:divBdr>
            <w:top w:val="none" w:sz="0" w:space="0" w:color="auto"/>
            <w:left w:val="none" w:sz="0" w:space="0" w:color="auto"/>
            <w:bottom w:val="none" w:sz="0" w:space="0" w:color="auto"/>
            <w:right w:val="none" w:sz="0" w:space="0" w:color="auto"/>
          </w:divBdr>
        </w:div>
        <w:div w:id="58333961">
          <w:marLeft w:val="1080"/>
          <w:marRight w:val="0"/>
          <w:marTop w:val="100"/>
          <w:marBottom w:val="0"/>
          <w:divBdr>
            <w:top w:val="none" w:sz="0" w:space="0" w:color="auto"/>
            <w:left w:val="none" w:sz="0" w:space="0" w:color="auto"/>
            <w:bottom w:val="none" w:sz="0" w:space="0" w:color="auto"/>
            <w:right w:val="none" w:sz="0" w:space="0" w:color="auto"/>
          </w:divBdr>
        </w:div>
        <w:div w:id="452751399">
          <w:marLeft w:val="1080"/>
          <w:marRight w:val="0"/>
          <w:marTop w:val="100"/>
          <w:marBottom w:val="0"/>
          <w:divBdr>
            <w:top w:val="none" w:sz="0" w:space="0" w:color="auto"/>
            <w:left w:val="none" w:sz="0" w:space="0" w:color="auto"/>
            <w:bottom w:val="none" w:sz="0" w:space="0" w:color="auto"/>
            <w:right w:val="none" w:sz="0" w:space="0" w:color="auto"/>
          </w:divBdr>
        </w:div>
        <w:div w:id="990790074">
          <w:marLeft w:val="360"/>
          <w:marRight w:val="0"/>
          <w:marTop w:val="200"/>
          <w:marBottom w:val="0"/>
          <w:divBdr>
            <w:top w:val="none" w:sz="0" w:space="0" w:color="auto"/>
            <w:left w:val="none" w:sz="0" w:space="0" w:color="auto"/>
            <w:bottom w:val="none" w:sz="0" w:space="0" w:color="auto"/>
            <w:right w:val="none" w:sz="0" w:space="0" w:color="auto"/>
          </w:divBdr>
        </w:div>
      </w:divsChild>
    </w:div>
    <w:div w:id="549462945">
      <w:bodyDiv w:val="1"/>
      <w:marLeft w:val="0"/>
      <w:marRight w:val="0"/>
      <w:marTop w:val="0"/>
      <w:marBottom w:val="0"/>
      <w:divBdr>
        <w:top w:val="none" w:sz="0" w:space="0" w:color="auto"/>
        <w:left w:val="none" w:sz="0" w:space="0" w:color="auto"/>
        <w:bottom w:val="none" w:sz="0" w:space="0" w:color="auto"/>
        <w:right w:val="none" w:sz="0" w:space="0" w:color="auto"/>
      </w:divBdr>
      <w:divsChild>
        <w:div w:id="1468090857">
          <w:marLeft w:val="360"/>
          <w:marRight w:val="0"/>
          <w:marTop w:val="200"/>
          <w:marBottom w:val="0"/>
          <w:divBdr>
            <w:top w:val="none" w:sz="0" w:space="0" w:color="auto"/>
            <w:left w:val="none" w:sz="0" w:space="0" w:color="auto"/>
            <w:bottom w:val="none" w:sz="0" w:space="0" w:color="auto"/>
            <w:right w:val="none" w:sz="0" w:space="0" w:color="auto"/>
          </w:divBdr>
        </w:div>
        <w:div w:id="1870794800">
          <w:marLeft w:val="1080"/>
          <w:marRight w:val="0"/>
          <w:marTop w:val="100"/>
          <w:marBottom w:val="0"/>
          <w:divBdr>
            <w:top w:val="none" w:sz="0" w:space="0" w:color="auto"/>
            <w:left w:val="none" w:sz="0" w:space="0" w:color="auto"/>
            <w:bottom w:val="none" w:sz="0" w:space="0" w:color="auto"/>
            <w:right w:val="none" w:sz="0" w:space="0" w:color="auto"/>
          </w:divBdr>
        </w:div>
        <w:div w:id="2033258723">
          <w:marLeft w:val="360"/>
          <w:marRight w:val="0"/>
          <w:marTop w:val="200"/>
          <w:marBottom w:val="0"/>
          <w:divBdr>
            <w:top w:val="none" w:sz="0" w:space="0" w:color="auto"/>
            <w:left w:val="none" w:sz="0" w:space="0" w:color="auto"/>
            <w:bottom w:val="none" w:sz="0" w:space="0" w:color="auto"/>
            <w:right w:val="none" w:sz="0" w:space="0" w:color="auto"/>
          </w:divBdr>
        </w:div>
        <w:div w:id="2097707047">
          <w:marLeft w:val="360"/>
          <w:marRight w:val="0"/>
          <w:marTop w:val="200"/>
          <w:marBottom w:val="0"/>
          <w:divBdr>
            <w:top w:val="none" w:sz="0" w:space="0" w:color="auto"/>
            <w:left w:val="none" w:sz="0" w:space="0" w:color="auto"/>
            <w:bottom w:val="none" w:sz="0" w:space="0" w:color="auto"/>
            <w:right w:val="none" w:sz="0" w:space="0" w:color="auto"/>
          </w:divBdr>
        </w:div>
      </w:divsChild>
    </w:div>
    <w:div w:id="584535501">
      <w:bodyDiv w:val="1"/>
      <w:marLeft w:val="0"/>
      <w:marRight w:val="0"/>
      <w:marTop w:val="0"/>
      <w:marBottom w:val="0"/>
      <w:divBdr>
        <w:top w:val="none" w:sz="0" w:space="0" w:color="auto"/>
        <w:left w:val="none" w:sz="0" w:space="0" w:color="auto"/>
        <w:bottom w:val="none" w:sz="0" w:space="0" w:color="auto"/>
        <w:right w:val="none" w:sz="0" w:space="0" w:color="auto"/>
      </w:divBdr>
      <w:divsChild>
        <w:div w:id="451443628">
          <w:marLeft w:val="1080"/>
          <w:marRight w:val="0"/>
          <w:marTop w:val="100"/>
          <w:marBottom w:val="0"/>
          <w:divBdr>
            <w:top w:val="none" w:sz="0" w:space="0" w:color="auto"/>
            <w:left w:val="none" w:sz="0" w:space="0" w:color="auto"/>
            <w:bottom w:val="none" w:sz="0" w:space="0" w:color="auto"/>
            <w:right w:val="none" w:sz="0" w:space="0" w:color="auto"/>
          </w:divBdr>
        </w:div>
        <w:div w:id="1437402735">
          <w:marLeft w:val="360"/>
          <w:marRight w:val="0"/>
          <w:marTop w:val="200"/>
          <w:marBottom w:val="0"/>
          <w:divBdr>
            <w:top w:val="none" w:sz="0" w:space="0" w:color="auto"/>
            <w:left w:val="none" w:sz="0" w:space="0" w:color="auto"/>
            <w:bottom w:val="none" w:sz="0" w:space="0" w:color="auto"/>
            <w:right w:val="none" w:sz="0" w:space="0" w:color="auto"/>
          </w:divBdr>
        </w:div>
        <w:div w:id="1795439222">
          <w:marLeft w:val="1080"/>
          <w:marRight w:val="0"/>
          <w:marTop w:val="100"/>
          <w:marBottom w:val="0"/>
          <w:divBdr>
            <w:top w:val="none" w:sz="0" w:space="0" w:color="auto"/>
            <w:left w:val="none" w:sz="0" w:space="0" w:color="auto"/>
            <w:bottom w:val="none" w:sz="0" w:space="0" w:color="auto"/>
            <w:right w:val="none" w:sz="0" w:space="0" w:color="auto"/>
          </w:divBdr>
        </w:div>
      </w:divsChild>
    </w:div>
    <w:div w:id="614944855">
      <w:bodyDiv w:val="1"/>
      <w:marLeft w:val="0"/>
      <w:marRight w:val="0"/>
      <w:marTop w:val="0"/>
      <w:marBottom w:val="0"/>
      <w:divBdr>
        <w:top w:val="none" w:sz="0" w:space="0" w:color="auto"/>
        <w:left w:val="none" w:sz="0" w:space="0" w:color="auto"/>
        <w:bottom w:val="none" w:sz="0" w:space="0" w:color="auto"/>
        <w:right w:val="none" w:sz="0" w:space="0" w:color="auto"/>
      </w:divBdr>
      <w:divsChild>
        <w:div w:id="76558544">
          <w:marLeft w:val="360"/>
          <w:marRight w:val="0"/>
          <w:marTop w:val="200"/>
          <w:marBottom w:val="0"/>
          <w:divBdr>
            <w:top w:val="none" w:sz="0" w:space="0" w:color="auto"/>
            <w:left w:val="none" w:sz="0" w:space="0" w:color="auto"/>
            <w:bottom w:val="none" w:sz="0" w:space="0" w:color="auto"/>
            <w:right w:val="none" w:sz="0" w:space="0" w:color="auto"/>
          </w:divBdr>
        </w:div>
      </w:divsChild>
    </w:div>
    <w:div w:id="618996784">
      <w:bodyDiv w:val="1"/>
      <w:marLeft w:val="0"/>
      <w:marRight w:val="0"/>
      <w:marTop w:val="0"/>
      <w:marBottom w:val="0"/>
      <w:divBdr>
        <w:top w:val="none" w:sz="0" w:space="0" w:color="auto"/>
        <w:left w:val="none" w:sz="0" w:space="0" w:color="auto"/>
        <w:bottom w:val="none" w:sz="0" w:space="0" w:color="auto"/>
        <w:right w:val="none" w:sz="0" w:space="0" w:color="auto"/>
      </w:divBdr>
    </w:div>
    <w:div w:id="630592485">
      <w:bodyDiv w:val="1"/>
      <w:marLeft w:val="0"/>
      <w:marRight w:val="0"/>
      <w:marTop w:val="0"/>
      <w:marBottom w:val="0"/>
      <w:divBdr>
        <w:top w:val="none" w:sz="0" w:space="0" w:color="auto"/>
        <w:left w:val="none" w:sz="0" w:space="0" w:color="auto"/>
        <w:bottom w:val="none" w:sz="0" w:space="0" w:color="auto"/>
        <w:right w:val="none" w:sz="0" w:space="0" w:color="auto"/>
      </w:divBdr>
    </w:div>
    <w:div w:id="663122604">
      <w:bodyDiv w:val="1"/>
      <w:marLeft w:val="0"/>
      <w:marRight w:val="0"/>
      <w:marTop w:val="0"/>
      <w:marBottom w:val="0"/>
      <w:divBdr>
        <w:top w:val="none" w:sz="0" w:space="0" w:color="auto"/>
        <w:left w:val="none" w:sz="0" w:space="0" w:color="auto"/>
        <w:bottom w:val="none" w:sz="0" w:space="0" w:color="auto"/>
        <w:right w:val="none" w:sz="0" w:space="0" w:color="auto"/>
      </w:divBdr>
    </w:div>
    <w:div w:id="682899956">
      <w:bodyDiv w:val="1"/>
      <w:marLeft w:val="0"/>
      <w:marRight w:val="0"/>
      <w:marTop w:val="0"/>
      <w:marBottom w:val="0"/>
      <w:divBdr>
        <w:top w:val="none" w:sz="0" w:space="0" w:color="auto"/>
        <w:left w:val="none" w:sz="0" w:space="0" w:color="auto"/>
        <w:bottom w:val="none" w:sz="0" w:space="0" w:color="auto"/>
        <w:right w:val="none" w:sz="0" w:space="0" w:color="auto"/>
      </w:divBdr>
      <w:divsChild>
        <w:div w:id="1403681314">
          <w:marLeft w:val="360"/>
          <w:marRight w:val="0"/>
          <w:marTop w:val="200"/>
          <w:marBottom w:val="0"/>
          <w:divBdr>
            <w:top w:val="none" w:sz="0" w:space="0" w:color="auto"/>
            <w:left w:val="none" w:sz="0" w:space="0" w:color="auto"/>
            <w:bottom w:val="none" w:sz="0" w:space="0" w:color="auto"/>
            <w:right w:val="none" w:sz="0" w:space="0" w:color="auto"/>
          </w:divBdr>
        </w:div>
      </w:divsChild>
    </w:div>
    <w:div w:id="737824004">
      <w:bodyDiv w:val="1"/>
      <w:marLeft w:val="0"/>
      <w:marRight w:val="0"/>
      <w:marTop w:val="0"/>
      <w:marBottom w:val="0"/>
      <w:divBdr>
        <w:top w:val="none" w:sz="0" w:space="0" w:color="auto"/>
        <w:left w:val="none" w:sz="0" w:space="0" w:color="auto"/>
        <w:bottom w:val="none" w:sz="0" w:space="0" w:color="auto"/>
        <w:right w:val="none" w:sz="0" w:space="0" w:color="auto"/>
      </w:divBdr>
      <w:divsChild>
        <w:div w:id="41906678">
          <w:marLeft w:val="1080"/>
          <w:marRight w:val="0"/>
          <w:marTop w:val="120"/>
          <w:marBottom w:val="120"/>
          <w:divBdr>
            <w:top w:val="none" w:sz="0" w:space="0" w:color="auto"/>
            <w:left w:val="none" w:sz="0" w:space="0" w:color="auto"/>
            <w:bottom w:val="none" w:sz="0" w:space="0" w:color="auto"/>
            <w:right w:val="none" w:sz="0" w:space="0" w:color="auto"/>
          </w:divBdr>
        </w:div>
        <w:div w:id="284584289">
          <w:marLeft w:val="576"/>
          <w:marRight w:val="0"/>
          <w:marTop w:val="120"/>
          <w:marBottom w:val="120"/>
          <w:divBdr>
            <w:top w:val="none" w:sz="0" w:space="0" w:color="auto"/>
            <w:left w:val="none" w:sz="0" w:space="0" w:color="auto"/>
            <w:bottom w:val="none" w:sz="0" w:space="0" w:color="auto"/>
            <w:right w:val="none" w:sz="0" w:space="0" w:color="auto"/>
          </w:divBdr>
        </w:div>
        <w:div w:id="488449635">
          <w:marLeft w:val="576"/>
          <w:marRight w:val="0"/>
          <w:marTop w:val="120"/>
          <w:marBottom w:val="120"/>
          <w:divBdr>
            <w:top w:val="none" w:sz="0" w:space="0" w:color="auto"/>
            <w:left w:val="none" w:sz="0" w:space="0" w:color="auto"/>
            <w:bottom w:val="none" w:sz="0" w:space="0" w:color="auto"/>
            <w:right w:val="none" w:sz="0" w:space="0" w:color="auto"/>
          </w:divBdr>
        </w:div>
        <w:div w:id="1123813795">
          <w:marLeft w:val="1080"/>
          <w:marRight w:val="0"/>
          <w:marTop w:val="120"/>
          <w:marBottom w:val="120"/>
          <w:divBdr>
            <w:top w:val="none" w:sz="0" w:space="0" w:color="auto"/>
            <w:left w:val="none" w:sz="0" w:space="0" w:color="auto"/>
            <w:bottom w:val="none" w:sz="0" w:space="0" w:color="auto"/>
            <w:right w:val="none" w:sz="0" w:space="0" w:color="auto"/>
          </w:divBdr>
        </w:div>
        <w:div w:id="2026901492">
          <w:marLeft w:val="1080"/>
          <w:marRight w:val="0"/>
          <w:marTop w:val="120"/>
          <w:marBottom w:val="120"/>
          <w:divBdr>
            <w:top w:val="none" w:sz="0" w:space="0" w:color="auto"/>
            <w:left w:val="none" w:sz="0" w:space="0" w:color="auto"/>
            <w:bottom w:val="none" w:sz="0" w:space="0" w:color="auto"/>
            <w:right w:val="none" w:sz="0" w:space="0" w:color="auto"/>
          </w:divBdr>
        </w:div>
        <w:div w:id="2033919080">
          <w:marLeft w:val="1080"/>
          <w:marRight w:val="0"/>
          <w:marTop w:val="120"/>
          <w:marBottom w:val="120"/>
          <w:divBdr>
            <w:top w:val="none" w:sz="0" w:space="0" w:color="auto"/>
            <w:left w:val="none" w:sz="0" w:space="0" w:color="auto"/>
            <w:bottom w:val="none" w:sz="0" w:space="0" w:color="auto"/>
            <w:right w:val="none" w:sz="0" w:space="0" w:color="auto"/>
          </w:divBdr>
        </w:div>
      </w:divsChild>
    </w:div>
    <w:div w:id="740643840">
      <w:bodyDiv w:val="1"/>
      <w:marLeft w:val="0"/>
      <w:marRight w:val="0"/>
      <w:marTop w:val="0"/>
      <w:marBottom w:val="0"/>
      <w:divBdr>
        <w:top w:val="none" w:sz="0" w:space="0" w:color="auto"/>
        <w:left w:val="none" w:sz="0" w:space="0" w:color="auto"/>
        <w:bottom w:val="none" w:sz="0" w:space="0" w:color="auto"/>
        <w:right w:val="none" w:sz="0" w:space="0" w:color="auto"/>
      </w:divBdr>
      <w:divsChild>
        <w:div w:id="908543487">
          <w:marLeft w:val="1080"/>
          <w:marRight w:val="0"/>
          <w:marTop w:val="120"/>
          <w:marBottom w:val="120"/>
          <w:divBdr>
            <w:top w:val="none" w:sz="0" w:space="0" w:color="auto"/>
            <w:left w:val="none" w:sz="0" w:space="0" w:color="auto"/>
            <w:bottom w:val="none" w:sz="0" w:space="0" w:color="auto"/>
            <w:right w:val="none" w:sz="0" w:space="0" w:color="auto"/>
          </w:divBdr>
        </w:div>
        <w:div w:id="1147748678">
          <w:marLeft w:val="576"/>
          <w:marRight w:val="0"/>
          <w:marTop w:val="120"/>
          <w:marBottom w:val="120"/>
          <w:divBdr>
            <w:top w:val="none" w:sz="0" w:space="0" w:color="auto"/>
            <w:left w:val="none" w:sz="0" w:space="0" w:color="auto"/>
            <w:bottom w:val="none" w:sz="0" w:space="0" w:color="auto"/>
            <w:right w:val="none" w:sz="0" w:space="0" w:color="auto"/>
          </w:divBdr>
        </w:div>
        <w:div w:id="1277520167">
          <w:marLeft w:val="576"/>
          <w:marRight w:val="0"/>
          <w:marTop w:val="120"/>
          <w:marBottom w:val="120"/>
          <w:divBdr>
            <w:top w:val="none" w:sz="0" w:space="0" w:color="auto"/>
            <w:left w:val="none" w:sz="0" w:space="0" w:color="auto"/>
            <w:bottom w:val="none" w:sz="0" w:space="0" w:color="auto"/>
            <w:right w:val="none" w:sz="0" w:space="0" w:color="auto"/>
          </w:divBdr>
        </w:div>
        <w:div w:id="1850754717">
          <w:marLeft w:val="576"/>
          <w:marRight w:val="0"/>
          <w:marTop w:val="120"/>
          <w:marBottom w:val="120"/>
          <w:divBdr>
            <w:top w:val="none" w:sz="0" w:space="0" w:color="auto"/>
            <w:left w:val="none" w:sz="0" w:space="0" w:color="auto"/>
            <w:bottom w:val="none" w:sz="0" w:space="0" w:color="auto"/>
            <w:right w:val="none" w:sz="0" w:space="0" w:color="auto"/>
          </w:divBdr>
        </w:div>
      </w:divsChild>
    </w:div>
    <w:div w:id="749734317">
      <w:bodyDiv w:val="1"/>
      <w:marLeft w:val="0"/>
      <w:marRight w:val="0"/>
      <w:marTop w:val="0"/>
      <w:marBottom w:val="0"/>
      <w:divBdr>
        <w:top w:val="none" w:sz="0" w:space="0" w:color="auto"/>
        <w:left w:val="none" w:sz="0" w:space="0" w:color="auto"/>
        <w:bottom w:val="none" w:sz="0" w:space="0" w:color="auto"/>
        <w:right w:val="none" w:sz="0" w:space="0" w:color="auto"/>
      </w:divBdr>
      <w:divsChild>
        <w:div w:id="512230371">
          <w:marLeft w:val="576"/>
          <w:marRight w:val="0"/>
          <w:marTop w:val="120"/>
          <w:marBottom w:val="120"/>
          <w:divBdr>
            <w:top w:val="none" w:sz="0" w:space="0" w:color="auto"/>
            <w:left w:val="none" w:sz="0" w:space="0" w:color="auto"/>
            <w:bottom w:val="none" w:sz="0" w:space="0" w:color="auto"/>
            <w:right w:val="none" w:sz="0" w:space="0" w:color="auto"/>
          </w:divBdr>
        </w:div>
        <w:div w:id="1909918489">
          <w:marLeft w:val="576"/>
          <w:marRight w:val="0"/>
          <w:marTop w:val="120"/>
          <w:marBottom w:val="120"/>
          <w:divBdr>
            <w:top w:val="none" w:sz="0" w:space="0" w:color="auto"/>
            <w:left w:val="none" w:sz="0" w:space="0" w:color="auto"/>
            <w:bottom w:val="none" w:sz="0" w:space="0" w:color="auto"/>
            <w:right w:val="none" w:sz="0" w:space="0" w:color="auto"/>
          </w:divBdr>
        </w:div>
      </w:divsChild>
    </w:div>
    <w:div w:id="797146537">
      <w:bodyDiv w:val="1"/>
      <w:marLeft w:val="0"/>
      <w:marRight w:val="0"/>
      <w:marTop w:val="0"/>
      <w:marBottom w:val="0"/>
      <w:divBdr>
        <w:top w:val="none" w:sz="0" w:space="0" w:color="auto"/>
        <w:left w:val="none" w:sz="0" w:space="0" w:color="auto"/>
        <w:bottom w:val="none" w:sz="0" w:space="0" w:color="auto"/>
        <w:right w:val="none" w:sz="0" w:space="0" w:color="auto"/>
      </w:divBdr>
    </w:div>
    <w:div w:id="799423104">
      <w:bodyDiv w:val="1"/>
      <w:marLeft w:val="0"/>
      <w:marRight w:val="0"/>
      <w:marTop w:val="0"/>
      <w:marBottom w:val="0"/>
      <w:divBdr>
        <w:top w:val="none" w:sz="0" w:space="0" w:color="auto"/>
        <w:left w:val="none" w:sz="0" w:space="0" w:color="auto"/>
        <w:bottom w:val="none" w:sz="0" w:space="0" w:color="auto"/>
        <w:right w:val="none" w:sz="0" w:space="0" w:color="auto"/>
      </w:divBdr>
      <w:divsChild>
        <w:div w:id="1016155920">
          <w:marLeft w:val="360"/>
          <w:marRight w:val="0"/>
          <w:marTop w:val="200"/>
          <w:marBottom w:val="0"/>
          <w:divBdr>
            <w:top w:val="none" w:sz="0" w:space="0" w:color="auto"/>
            <w:left w:val="none" w:sz="0" w:space="0" w:color="auto"/>
            <w:bottom w:val="none" w:sz="0" w:space="0" w:color="auto"/>
            <w:right w:val="none" w:sz="0" w:space="0" w:color="auto"/>
          </w:divBdr>
        </w:div>
      </w:divsChild>
    </w:div>
    <w:div w:id="938103775">
      <w:bodyDiv w:val="1"/>
      <w:marLeft w:val="0"/>
      <w:marRight w:val="0"/>
      <w:marTop w:val="0"/>
      <w:marBottom w:val="0"/>
      <w:divBdr>
        <w:top w:val="none" w:sz="0" w:space="0" w:color="auto"/>
        <w:left w:val="none" w:sz="0" w:space="0" w:color="auto"/>
        <w:bottom w:val="none" w:sz="0" w:space="0" w:color="auto"/>
        <w:right w:val="none" w:sz="0" w:space="0" w:color="auto"/>
      </w:divBdr>
      <w:divsChild>
        <w:div w:id="742064268">
          <w:marLeft w:val="576"/>
          <w:marRight w:val="0"/>
          <w:marTop w:val="120"/>
          <w:marBottom w:val="120"/>
          <w:divBdr>
            <w:top w:val="none" w:sz="0" w:space="0" w:color="auto"/>
            <w:left w:val="none" w:sz="0" w:space="0" w:color="auto"/>
            <w:bottom w:val="none" w:sz="0" w:space="0" w:color="auto"/>
            <w:right w:val="none" w:sz="0" w:space="0" w:color="auto"/>
          </w:divBdr>
        </w:div>
        <w:div w:id="1290478326">
          <w:marLeft w:val="576"/>
          <w:marRight w:val="0"/>
          <w:marTop w:val="120"/>
          <w:marBottom w:val="120"/>
          <w:divBdr>
            <w:top w:val="none" w:sz="0" w:space="0" w:color="auto"/>
            <w:left w:val="none" w:sz="0" w:space="0" w:color="auto"/>
            <w:bottom w:val="none" w:sz="0" w:space="0" w:color="auto"/>
            <w:right w:val="none" w:sz="0" w:space="0" w:color="auto"/>
          </w:divBdr>
        </w:div>
      </w:divsChild>
    </w:div>
    <w:div w:id="946231294">
      <w:bodyDiv w:val="1"/>
      <w:marLeft w:val="0"/>
      <w:marRight w:val="0"/>
      <w:marTop w:val="0"/>
      <w:marBottom w:val="0"/>
      <w:divBdr>
        <w:top w:val="none" w:sz="0" w:space="0" w:color="auto"/>
        <w:left w:val="none" w:sz="0" w:space="0" w:color="auto"/>
        <w:bottom w:val="none" w:sz="0" w:space="0" w:color="auto"/>
        <w:right w:val="none" w:sz="0" w:space="0" w:color="auto"/>
      </w:divBdr>
    </w:div>
    <w:div w:id="1009212068">
      <w:bodyDiv w:val="1"/>
      <w:marLeft w:val="0"/>
      <w:marRight w:val="0"/>
      <w:marTop w:val="0"/>
      <w:marBottom w:val="0"/>
      <w:divBdr>
        <w:top w:val="none" w:sz="0" w:space="0" w:color="auto"/>
        <w:left w:val="none" w:sz="0" w:space="0" w:color="auto"/>
        <w:bottom w:val="none" w:sz="0" w:space="0" w:color="auto"/>
        <w:right w:val="none" w:sz="0" w:space="0" w:color="auto"/>
      </w:divBdr>
    </w:div>
    <w:div w:id="1018627904">
      <w:bodyDiv w:val="1"/>
      <w:marLeft w:val="0"/>
      <w:marRight w:val="0"/>
      <w:marTop w:val="0"/>
      <w:marBottom w:val="0"/>
      <w:divBdr>
        <w:top w:val="none" w:sz="0" w:space="0" w:color="auto"/>
        <w:left w:val="none" w:sz="0" w:space="0" w:color="auto"/>
        <w:bottom w:val="none" w:sz="0" w:space="0" w:color="auto"/>
        <w:right w:val="none" w:sz="0" w:space="0" w:color="auto"/>
      </w:divBdr>
    </w:div>
    <w:div w:id="1032657069">
      <w:bodyDiv w:val="1"/>
      <w:marLeft w:val="0"/>
      <w:marRight w:val="0"/>
      <w:marTop w:val="0"/>
      <w:marBottom w:val="0"/>
      <w:divBdr>
        <w:top w:val="none" w:sz="0" w:space="0" w:color="auto"/>
        <w:left w:val="none" w:sz="0" w:space="0" w:color="auto"/>
        <w:bottom w:val="none" w:sz="0" w:space="0" w:color="auto"/>
        <w:right w:val="none" w:sz="0" w:space="0" w:color="auto"/>
      </w:divBdr>
    </w:div>
    <w:div w:id="1035039062">
      <w:bodyDiv w:val="1"/>
      <w:marLeft w:val="0"/>
      <w:marRight w:val="0"/>
      <w:marTop w:val="0"/>
      <w:marBottom w:val="0"/>
      <w:divBdr>
        <w:top w:val="none" w:sz="0" w:space="0" w:color="auto"/>
        <w:left w:val="none" w:sz="0" w:space="0" w:color="auto"/>
        <w:bottom w:val="none" w:sz="0" w:space="0" w:color="auto"/>
        <w:right w:val="none" w:sz="0" w:space="0" w:color="auto"/>
      </w:divBdr>
    </w:div>
    <w:div w:id="1068696890">
      <w:bodyDiv w:val="1"/>
      <w:marLeft w:val="0"/>
      <w:marRight w:val="0"/>
      <w:marTop w:val="0"/>
      <w:marBottom w:val="0"/>
      <w:divBdr>
        <w:top w:val="none" w:sz="0" w:space="0" w:color="auto"/>
        <w:left w:val="none" w:sz="0" w:space="0" w:color="auto"/>
        <w:bottom w:val="none" w:sz="0" w:space="0" w:color="auto"/>
        <w:right w:val="none" w:sz="0" w:space="0" w:color="auto"/>
      </w:divBdr>
      <w:divsChild>
        <w:div w:id="1027759210">
          <w:marLeft w:val="1080"/>
          <w:marRight w:val="0"/>
          <w:marTop w:val="120"/>
          <w:marBottom w:val="120"/>
          <w:divBdr>
            <w:top w:val="none" w:sz="0" w:space="0" w:color="auto"/>
            <w:left w:val="none" w:sz="0" w:space="0" w:color="auto"/>
            <w:bottom w:val="none" w:sz="0" w:space="0" w:color="auto"/>
            <w:right w:val="none" w:sz="0" w:space="0" w:color="auto"/>
          </w:divBdr>
        </w:div>
        <w:div w:id="1061946576">
          <w:marLeft w:val="1080"/>
          <w:marRight w:val="0"/>
          <w:marTop w:val="120"/>
          <w:marBottom w:val="120"/>
          <w:divBdr>
            <w:top w:val="none" w:sz="0" w:space="0" w:color="auto"/>
            <w:left w:val="none" w:sz="0" w:space="0" w:color="auto"/>
            <w:bottom w:val="none" w:sz="0" w:space="0" w:color="auto"/>
            <w:right w:val="none" w:sz="0" w:space="0" w:color="auto"/>
          </w:divBdr>
        </w:div>
        <w:div w:id="1063408523">
          <w:marLeft w:val="1080"/>
          <w:marRight w:val="0"/>
          <w:marTop w:val="120"/>
          <w:marBottom w:val="120"/>
          <w:divBdr>
            <w:top w:val="none" w:sz="0" w:space="0" w:color="auto"/>
            <w:left w:val="none" w:sz="0" w:space="0" w:color="auto"/>
            <w:bottom w:val="none" w:sz="0" w:space="0" w:color="auto"/>
            <w:right w:val="none" w:sz="0" w:space="0" w:color="auto"/>
          </w:divBdr>
        </w:div>
        <w:div w:id="1438062057">
          <w:marLeft w:val="576"/>
          <w:marRight w:val="0"/>
          <w:marTop w:val="120"/>
          <w:marBottom w:val="120"/>
          <w:divBdr>
            <w:top w:val="none" w:sz="0" w:space="0" w:color="auto"/>
            <w:left w:val="none" w:sz="0" w:space="0" w:color="auto"/>
            <w:bottom w:val="none" w:sz="0" w:space="0" w:color="auto"/>
            <w:right w:val="none" w:sz="0" w:space="0" w:color="auto"/>
          </w:divBdr>
        </w:div>
        <w:div w:id="1531647022">
          <w:marLeft w:val="1080"/>
          <w:marRight w:val="0"/>
          <w:marTop w:val="120"/>
          <w:marBottom w:val="120"/>
          <w:divBdr>
            <w:top w:val="none" w:sz="0" w:space="0" w:color="auto"/>
            <w:left w:val="none" w:sz="0" w:space="0" w:color="auto"/>
            <w:bottom w:val="none" w:sz="0" w:space="0" w:color="auto"/>
            <w:right w:val="none" w:sz="0" w:space="0" w:color="auto"/>
          </w:divBdr>
        </w:div>
      </w:divsChild>
    </w:div>
    <w:div w:id="1083141446">
      <w:bodyDiv w:val="1"/>
      <w:marLeft w:val="0"/>
      <w:marRight w:val="0"/>
      <w:marTop w:val="0"/>
      <w:marBottom w:val="0"/>
      <w:divBdr>
        <w:top w:val="none" w:sz="0" w:space="0" w:color="auto"/>
        <w:left w:val="none" w:sz="0" w:space="0" w:color="auto"/>
        <w:bottom w:val="none" w:sz="0" w:space="0" w:color="auto"/>
        <w:right w:val="none" w:sz="0" w:space="0" w:color="auto"/>
      </w:divBdr>
      <w:divsChild>
        <w:div w:id="814487992">
          <w:marLeft w:val="576"/>
          <w:marRight w:val="0"/>
          <w:marTop w:val="120"/>
          <w:marBottom w:val="120"/>
          <w:divBdr>
            <w:top w:val="none" w:sz="0" w:space="0" w:color="auto"/>
            <w:left w:val="none" w:sz="0" w:space="0" w:color="auto"/>
            <w:bottom w:val="none" w:sz="0" w:space="0" w:color="auto"/>
            <w:right w:val="none" w:sz="0" w:space="0" w:color="auto"/>
          </w:divBdr>
        </w:div>
      </w:divsChild>
    </w:div>
    <w:div w:id="1143695151">
      <w:bodyDiv w:val="1"/>
      <w:marLeft w:val="0"/>
      <w:marRight w:val="0"/>
      <w:marTop w:val="0"/>
      <w:marBottom w:val="0"/>
      <w:divBdr>
        <w:top w:val="none" w:sz="0" w:space="0" w:color="auto"/>
        <w:left w:val="none" w:sz="0" w:space="0" w:color="auto"/>
        <w:bottom w:val="none" w:sz="0" w:space="0" w:color="auto"/>
        <w:right w:val="none" w:sz="0" w:space="0" w:color="auto"/>
      </w:divBdr>
    </w:div>
    <w:div w:id="1161387829">
      <w:bodyDiv w:val="1"/>
      <w:marLeft w:val="0"/>
      <w:marRight w:val="0"/>
      <w:marTop w:val="0"/>
      <w:marBottom w:val="0"/>
      <w:divBdr>
        <w:top w:val="none" w:sz="0" w:space="0" w:color="auto"/>
        <w:left w:val="none" w:sz="0" w:space="0" w:color="auto"/>
        <w:bottom w:val="none" w:sz="0" w:space="0" w:color="auto"/>
        <w:right w:val="none" w:sz="0" w:space="0" w:color="auto"/>
      </w:divBdr>
    </w:div>
    <w:div w:id="1175539843">
      <w:bodyDiv w:val="1"/>
      <w:marLeft w:val="0"/>
      <w:marRight w:val="0"/>
      <w:marTop w:val="0"/>
      <w:marBottom w:val="0"/>
      <w:divBdr>
        <w:top w:val="none" w:sz="0" w:space="0" w:color="auto"/>
        <w:left w:val="none" w:sz="0" w:space="0" w:color="auto"/>
        <w:bottom w:val="none" w:sz="0" w:space="0" w:color="auto"/>
        <w:right w:val="none" w:sz="0" w:space="0" w:color="auto"/>
      </w:divBdr>
    </w:div>
    <w:div w:id="1207257837">
      <w:bodyDiv w:val="1"/>
      <w:marLeft w:val="0"/>
      <w:marRight w:val="0"/>
      <w:marTop w:val="0"/>
      <w:marBottom w:val="0"/>
      <w:divBdr>
        <w:top w:val="none" w:sz="0" w:space="0" w:color="auto"/>
        <w:left w:val="none" w:sz="0" w:space="0" w:color="auto"/>
        <w:bottom w:val="none" w:sz="0" w:space="0" w:color="auto"/>
        <w:right w:val="none" w:sz="0" w:space="0" w:color="auto"/>
      </w:divBdr>
      <w:divsChild>
        <w:div w:id="888759098">
          <w:marLeft w:val="0"/>
          <w:marRight w:val="0"/>
          <w:marTop w:val="0"/>
          <w:marBottom w:val="0"/>
          <w:divBdr>
            <w:top w:val="none" w:sz="0" w:space="0" w:color="auto"/>
            <w:left w:val="none" w:sz="0" w:space="0" w:color="auto"/>
            <w:bottom w:val="none" w:sz="0" w:space="0" w:color="auto"/>
            <w:right w:val="none" w:sz="0" w:space="0" w:color="auto"/>
          </w:divBdr>
          <w:divsChild>
            <w:div w:id="46102919">
              <w:marLeft w:val="0"/>
              <w:marRight w:val="0"/>
              <w:marTop w:val="0"/>
              <w:marBottom w:val="0"/>
              <w:divBdr>
                <w:top w:val="none" w:sz="0" w:space="0" w:color="auto"/>
                <w:left w:val="none" w:sz="0" w:space="0" w:color="auto"/>
                <w:bottom w:val="none" w:sz="0" w:space="0" w:color="auto"/>
                <w:right w:val="none" w:sz="0" w:space="0" w:color="auto"/>
              </w:divBdr>
              <w:divsChild>
                <w:div w:id="1355766226">
                  <w:marLeft w:val="0"/>
                  <w:marRight w:val="0"/>
                  <w:marTop w:val="0"/>
                  <w:marBottom w:val="0"/>
                  <w:divBdr>
                    <w:top w:val="none" w:sz="0" w:space="0" w:color="auto"/>
                    <w:left w:val="none" w:sz="0" w:space="0" w:color="auto"/>
                    <w:bottom w:val="none" w:sz="0" w:space="0" w:color="auto"/>
                    <w:right w:val="none" w:sz="0" w:space="0" w:color="auto"/>
                  </w:divBdr>
                </w:div>
              </w:divsChild>
            </w:div>
            <w:div w:id="61028452">
              <w:marLeft w:val="0"/>
              <w:marRight w:val="0"/>
              <w:marTop w:val="0"/>
              <w:marBottom w:val="0"/>
              <w:divBdr>
                <w:top w:val="none" w:sz="0" w:space="0" w:color="auto"/>
                <w:left w:val="none" w:sz="0" w:space="0" w:color="auto"/>
                <w:bottom w:val="none" w:sz="0" w:space="0" w:color="auto"/>
                <w:right w:val="none" w:sz="0" w:space="0" w:color="auto"/>
              </w:divBdr>
              <w:divsChild>
                <w:div w:id="1719545476">
                  <w:marLeft w:val="0"/>
                  <w:marRight w:val="0"/>
                  <w:marTop w:val="0"/>
                  <w:marBottom w:val="0"/>
                  <w:divBdr>
                    <w:top w:val="none" w:sz="0" w:space="0" w:color="auto"/>
                    <w:left w:val="none" w:sz="0" w:space="0" w:color="auto"/>
                    <w:bottom w:val="none" w:sz="0" w:space="0" w:color="auto"/>
                    <w:right w:val="none" w:sz="0" w:space="0" w:color="auto"/>
                  </w:divBdr>
                </w:div>
              </w:divsChild>
            </w:div>
            <w:div w:id="155196785">
              <w:marLeft w:val="0"/>
              <w:marRight w:val="0"/>
              <w:marTop w:val="0"/>
              <w:marBottom w:val="0"/>
              <w:divBdr>
                <w:top w:val="none" w:sz="0" w:space="0" w:color="auto"/>
                <w:left w:val="none" w:sz="0" w:space="0" w:color="auto"/>
                <w:bottom w:val="none" w:sz="0" w:space="0" w:color="auto"/>
                <w:right w:val="none" w:sz="0" w:space="0" w:color="auto"/>
              </w:divBdr>
              <w:divsChild>
                <w:div w:id="1408575494">
                  <w:marLeft w:val="0"/>
                  <w:marRight w:val="0"/>
                  <w:marTop w:val="0"/>
                  <w:marBottom w:val="0"/>
                  <w:divBdr>
                    <w:top w:val="none" w:sz="0" w:space="0" w:color="auto"/>
                    <w:left w:val="none" w:sz="0" w:space="0" w:color="auto"/>
                    <w:bottom w:val="none" w:sz="0" w:space="0" w:color="auto"/>
                    <w:right w:val="none" w:sz="0" w:space="0" w:color="auto"/>
                  </w:divBdr>
                </w:div>
              </w:divsChild>
            </w:div>
            <w:div w:id="222640828">
              <w:marLeft w:val="0"/>
              <w:marRight w:val="0"/>
              <w:marTop w:val="0"/>
              <w:marBottom w:val="0"/>
              <w:divBdr>
                <w:top w:val="none" w:sz="0" w:space="0" w:color="auto"/>
                <w:left w:val="none" w:sz="0" w:space="0" w:color="auto"/>
                <w:bottom w:val="none" w:sz="0" w:space="0" w:color="auto"/>
                <w:right w:val="none" w:sz="0" w:space="0" w:color="auto"/>
              </w:divBdr>
              <w:divsChild>
                <w:div w:id="400562438">
                  <w:marLeft w:val="0"/>
                  <w:marRight w:val="0"/>
                  <w:marTop w:val="0"/>
                  <w:marBottom w:val="0"/>
                  <w:divBdr>
                    <w:top w:val="none" w:sz="0" w:space="0" w:color="auto"/>
                    <w:left w:val="none" w:sz="0" w:space="0" w:color="auto"/>
                    <w:bottom w:val="none" w:sz="0" w:space="0" w:color="auto"/>
                    <w:right w:val="none" w:sz="0" w:space="0" w:color="auto"/>
                  </w:divBdr>
                </w:div>
              </w:divsChild>
            </w:div>
            <w:div w:id="224881734">
              <w:marLeft w:val="0"/>
              <w:marRight w:val="0"/>
              <w:marTop w:val="0"/>
              <w:marBottom w:val="0"/>
              <w:divBdr>
                <w:top w:val="none" w:sz="0" w:space="0" w:color="auto"/>
                <w:left w:val="none" w:sz="0" w:space="0" w:color="auto"/>
                <w:bottom w:val="none" w:sz="0" w:space="0" w:color="auto"/>
                <w:right w:val="none" w:sz="0" w:space="0" w:color="auto"/>
              </w:divBdr>
              <w:divsChild>
                <w:div w:id="1914318965">
                  <w:marLeft w:val="0"/>
                  <w:marRight w:val="0"/>
                  <w:marTop w:val="0"/>
                  <w:marBottom w:val="0"/>
                  <w:divBdr>
                    <w:top w:val="none" w:sz="0" w:space="0" w:color="auto"/>
                    <w:left w:val="none" w:sz="0" w:space="0" w:color="auto"/>
                    <w:bottom w:val="none" w:sz="0" w:space="0" w:color="auto"/>
                    <w:right w:val="none" w:sz="0" w:space="0" w:color="auto"/>
                  </w:divBdr>
                </w:div>
              </w:divsChild>
            </w:div>
            <w:div w:id="225577271">
              <w:marLeft w:val="0"/>
              <w:marRight w:val="0"/>
              <w:marTop w:val="0"/>
              <w:marBottom w:val="0"/>
              <w:divBdr>
                <w:top w:val="none" w:sz="0" w:space="0" w:color="auto"/>
                <w:left w:val="none" w:sz="0" w:space="0" w:color="auto"/>
                <w:bottom w:val="none" w:sz="0" w:space="0" w:color="auto"/>
                <w:right w:val="none" w:sz="0" w:space="0" w:color="auto"/>
              </w:divBdr>
              <w:divsChild>
                <w:div w:id="2135559943">
                  <w:marLeft w:val="0"/>
                  <w:marRight w:val="0"/>
                  <w:marTop w:val="0"/>
                  <w:marBottom w:val="0"/>
                  <w:divBdr>
                    <w:top w:val="none" w:sz="0" w:space="0" w:color="auto"/>
                    <w:left w:val="none" w:sz="0" w:space="0" w:color="auto"/>
                    <w:bottom w:val="none" w:sz="0" w:space="0" w:color="auto"/>
                    <w:right w:val="none" w:sz="0" w:space="0" w:color="auto"/>
                  </w:divBdr>
                </w:div>
              </w:divsChild>
            </w:div>
            <w:div w:id="289750326">
              <w:marLeft w:val="0"/>
              <w:marRight w:val="0"/>
              <w:marTop w:val="0"/>
              <w:marBottom w:val="0"/>
              <w:divBdr>
                <w:top w:val="none" w:sz="0" w:space="0" w:color="auto"/>
                <w:left w:val="none" w:sz="0" w:space="0" w:color="auto"/>
                <w:bottom w:val="none" w:sz="0" w:space="0" w:color="auto"/>
                <w:right w:val="none" w:sz="0" w:space="0" w:color="auto"/>
              </w:divBdr>
              <w:divsChild>
                <w:div w:id="188878823">
                  <w:marLeft w:val="0"/>
                  <w:marRight w:val="0"/>
                  <w:marTop w:val="0"/>
                  <w:marBottom w:val="0"/>
                  <w:divBdr>
                    <w:top w:val="none" w:sz="0" w:space="0" w:color="auto"/>
                    <w:left w:val="none" w:sz="0" w:space="0" w:color="auto"/>
                    <w:bottom w:val="none" w:sz="0" w:space="0" w:color="auto"/>
                    <w:right w:val="none" w:sz="0" w:space="0" w:color="auto"/>
                  </w:divBdr>
                </w:div>
              </w:divsChild>
            </w:div>
            <w:div w:id="377434159">
              <w:marLeft w:val="0"/>
              <w:marRight w:val="0"/>
              <w:marTop w:val="0"/>
              <w:marBottom w:val="0"/>
              <w:divBdr>
                <w:top w:val="none" w:sz="0" w:space="0" w:color="auto"/>
                <w:left w:val="none" w:sz="0" w:space="0" w:color="auto"/>
                <w:bottom w:val="none" w:sz="0" w:space="0" w:color="auto"/>
                <w:right w:val="none" w:sz="0" w:space="0" w:color="auto"/>
              </w:divBdr>
              <w:divsChild>
                <w:div w:id="90048133">
                  <w:marLeft w:val="0"/>
                  <w:marRight w:val="0"/>
                  <w:marTop w:val="0"/>
                  <w:marBottom w:val="0"/>
                  <w:divBdr>
                    <w:top w:val="none" w:sz="0" w:space="0" w:color="auto"/>
                    <w:left w:val="none" w:sz="0" w:space="0" w:color="auto"/>
                    <w:bottom w:val="none" w:sz="0" w:space="0" w:color="auto"/>
                    <w:right w:val="none" w:sz="0" w:space="0" w:color="auto"/>
                  </w:divBdr>
                </w:div>
              </w:divsChild>
            </w:div>
            <w:div w:id="419255197">
              <w:marLeft w:val="0"/>
              <w:marRight w:val="0"/>
              <w:marTop w:val="0"/>
              <w:marBottom w:val="0"/>
              <w:divBdr>
                <w:top w:val="none" w:sz="0" w:space="0" w:color="auto"/>
                <w:left w:val="none" w:sz="0" w:space="0" w:color="auto"/>
                <w:bottom w:val="none" w:sz="0" w:space="0" w:color="auto"/>
                <w:right w:val="none" w:sz="0" w:space="0" w:color="auto"/>
              </w:divBdr>
              <w:divsChild>
                <w:div w:id="1741057913">
                  <w:marLeft w:val="0"/>
                  <w:marRight w:val="0"/>
                  <w:marTop w:val="0"/>
                  <w:marBottom w:val="0"/>
                  <w:divBdr>
                    <w:top w:val="none" w:sz="0" w:space="0" w:color="auto"/>
                    <w:left w:val="none" w:sz="0" w:space="0" w:color="auto"/>
                    <w:bottom w:val="none" w:sz="0" w:space="0" w:color="auto"/>
                    <w:right w:val="none" w:sz="0" w:space="0" w:color="auto"/>
                  </w:divBdr>
                </w:div>
              </w:divsChild>
            </w:div>
            <w:div w:id="549147432">
              <w:marLeft w:val="0"/>
              <w:marRight w:val="0"/>
              <w:marTop w:val="0"/>
              <w:marBottom w:val="0"/>
              <w:divBdr>
                <w:top w:val="none" w:sz="0" w:space="0" w:color="auto"/>
                <w:left w:val="none" w:sz="0" w:space="0" w:color="auto"/>
                <w:bottom w:val="none" w:sz="0" w:space="0" w:color="auto"/>
                <w:right w:val="none" w:sz="0" w:space="0" w:color="auto"/>
              </w:divBdr>
              <w:divsChild>
                <w:div w:id="956914375">
                  <w:marLeft w:val="0"/>
                  <w:marRight w:val="0"/>
                  <w:marTop w:val="0"/>
                  <w:marBottom w:val="0"/>
                  <w:divBdr>
                    <w:top w:val="none" w:sz="0" w:space="0" w:color="auto"/>
                    <w:left w:val="none" w:sz="0" w:space="0" w:color="auto"/>
                    <w:bottom w:val="none" w:sz="0" w:space="0" w:color="auto"/>
                    <w:right w:val="none" w:sz="0" w:space="0" w:color="auto"/>
                  </w:divBdr>
                </w:div>
              </w:divsChild>
            </w:div>
            <w:div w:id="555628955">
              <w:marLeft w:val="0"/>
              <w:marRight w:val="0"/>
              <w:marTop w:val="0"/>
              <w:marBottom w:val="0"/>
              <w:divBdr>
                <w:top w:val="none" w:sz="0" w:space="0" w:color="auto"/>
                <w:left w:val="none" w:sz="0" w:space="0" w:color="auto"/>
                <w:bottom w:val="none" w:sz="0" w:space="0" w:color="auto"/>
                <w:right w:val="none" w:sz="0" w:space="0" w:color="auto"/>
              </w:divBdr>
              <w:divsChild>
                <w:div w:id="412238770">
                  <w:marLeft w:val="0"/>
                  <w:marRight w:val="0"/>
                  <w:marTop w:val="0"/>
                  <w:marBottom w:val="0"/>
                  <w:divBdr>
                    <w:top w:val="none" w:sz="0" w:space="0" w:color="auto"/>
                    <w:left w:val="none" w:sz="0" w:space="0" w:color="auto"/>
                    <w:bottom w:val="none" w:sz="0" w:space="0" w:color="auto"/>
                    <w:right w:val="none" w:sz="0" w:space="0" w:color="auto"/>
                  </w:divBdr>
                </w:div>
              </w:divsChild>
            </w:div>
            <w:div w:id="583880442">
              <w:marLeft w:val="0"/>
              <w:marRight w:val="0"/>
              <w:marTop w:val="0"/>
              <w:marBottom w:val="0"/>
              <w:divBdr>
                <w:top w:val="none" w:sz="0" w:space="0" w:color="auto"/>
                <w:left w:val="none" w:sz="0" w:space="0" w:color="auto"/>
                <w:bottom w:val="none" w:sz="0" w:space="0" w:color="auto"/>
                <w:right w:val="none" w:sz="0" w:space="0" w:color="auto"/>
              </w:divBdr>
              <w:divsChild>
                <w:div w:id="1822698990">
                  <w:marLeft w:val="0"/>
                  <w:marRight w:val="0"/>
                  <w:marTop w:val="0"/>
                  <w:marBottom w:val="0"/>
                  <w:divBdr>
                    <w:top w:val="none" w:sz="0" w:space="0" w:color="auto"/>
                    <w:left w:val="none" w:sz="0" w:space="0" w:color="auto"/>
                    <w:bottom w:val="none" w:sz="0" w:space="0" w:color="auto"/>
                    <w:right w:val="none" w:sz="0" w:space="0" w:color="auto"/>
                  </w:divBdr>
                </w:div>
              </w:divsChild>
            </w:div>
            <w:div w:id="591202421">
              <w:marLeft w:val="0"/>
              <w:marRight w:val="0"/>
              <w:marTop w:val="0"/>
              <w:marBottom w:val="0"/>
              <w:divBdr>
                <w:top w:val="none" w:sz="0" w:space="0" w:color="auto"/>
                <w:left w:val="none" w:sz="0" w:space="0" w:color="auto"/>
                <w:bottom w:val="none" w:sz="0" w:space="0" w:color="auto"/>
                <w:right w:val="none" w:sz="0" w:space="0" w:color="auto"/>
              </w:divBdr>
              <w:divsChild>
                <w:div w:id="2011444001">
                  <w:marLeft w:val="0"/>
                  <w:marRight w:val="0"/>
                  <w:marTop w:val="0"/>
                  <w:marBottom w:val="0"/>
                  <w:divBdr>
                    <w:top w:val="none" w:sz="0" w:space="0" w:color="auto"/>
                    <w:left w:val="none" w:sz="0" w:space="0" w:color="auto"/>
                    <w:bottom w:val="none" w:sz="0" w:space="0" w:color="auto"/>
                    <w:right w:val="none" w:sz="0" w:space="0" w:color="auto"/>
                  </w:divBdr>
                </w:div>
              </w:divsChild>
            </w:div>
            <w:div w:id="611128583">
              <w:marLeft w:val="0"/>
              <w:marRight w:val="0"/>
              <w:marTop w:val="0"/>
              <w:marBottom w:val="0"/>
              <w:divBdr>
                <w:top w:val="none" w:sz="0" w:space="0" w:color="auto"/>
                <w:left w:val="none" w:sz="0" w:space="0" w:color="auto"/>
                <w:bottom w:val="none" w:sz="0" w:space="0" w:color="auto"/>
                <w:right w:val="none" w:sz="0" w:space="0" w:color="auto"/>
              </w:divBdr>
              <w:divsChild>
                <w:div w:id="1336418284">
                  <w:marLeft w:val="0"/>
                  <w:marRight w:val="0"/>
                  <w:marTop w:val="0"/>
                  <w:marBottom w:val="0"/>
                  <w:divBdr>
                    <w:top w:val="none" w:sz="0" w:space="0" w:color="auto"/>
                    <w:left w:val="none" w:sz="0" w:space="0" w:color="auto"/>
                    <w:bottom w:val="none" w:sz="0" w:space="0" w:color="auto"/>
                    <w:right w:val="none" w:sz="0" w:space="0" w:color="auto"/>
                  </w:divBdr>
                </w:div>
              </w:divsChild>
            </w:div>
            <w:div w:id="632713679">
              <w:marLeft w:val="0"/>
              <w:marRight w:val="0"/>
              <w:marTop w:val="0"/>
              <w:marBottom w:val="0"/>
              <w:divBdr>
                <w:top w:val="none" w:sz="0" w:space="0" w:color="auto"/>
                <w:left w:val="none" w:sz="0" w:space="0" w:color="auto"/>
                <w:bottom w:val="none" w:sz="0" w:space="0" w:color="auto"/>
                <w:right w:val="none" w:sz="0" w:space="0" w:color="auto"/>
              </w:divBdr>
              <w:divsChild>
                <w:div w:id="136186108">
                  <w:marLeft w:val="0"/>
                  <w:marRight w:val="0"/>
                  <w:marTop w:val="0"/>
                  <w:marBottom w:val="0"/>
                  <w:divBdr>
                    <w:top w:val="none" w:sz="0" w:space="0" w:color="auto"/>
                    <w:left w:val="none" w:sz="0" w:space="0" w:color="auto"/>
                    <w:bottom w:val="none" w:sz="0" w:space="0" w:color="auto"/>
                    <w:right w:val="none" w:sz="0" w:space="0" w:color="auto"/>
                  </w:divBdr>
                </w:div>
              </w:divsChild>
            </w:div>
            <w:div w:id="775175385">
              <w:marLeft w:val="0"/>
              <w:marRight w:val="0"/>
              <w:marTop w:val="0"/>
              <w:marBottom w:val="0"/>
              <w:divBdr>
                <w:top w:val="none" w:sz="0" w:space="0" w:color="auto"/>
                <w:left w:val="none" w:sz="0" w:space="0" w:color="auto"/>
                <w:bottom w:val="none" w:sz="0" w:space="0" w:color="auto"/>
                <w:right w:val="none" w:sz="0" w:space="0" w:color="auto"/>
              </w:divBdr>
              <w:divsChild>
                <w:div w:id="562910468">
                  <w:marLeft w:val="0"/>
                  <w:marRight w:val="0"/>
                  <w:marTop w:val="0"/>
                  <w:marBottom w:val="0"/>
                  <w:divBdr>
                    <w:top w:val="none" w:sz="0" w:space="0" w:color="auto"/>
                    <w:left w:val="none" w:sz="0" w:space="0" w:color="auto"/>
                    <w:bottom w:val="none" w:sz="0" w:space="0" w:color="auto"/>
                    <w:right w:val="none" w:sz="0" w:space="0" w:color="auto"/>
                  </w:divBdr>
                </w:div>
              </w:divsChild>
            </w:div>
            <w:div w:id="854273182">
              <w:marLeft w:val="0"/>
              <w:marRight w:val="0"/>
              <w:marTop w:val="0"/>
              <w:marBottom w:val="0"/>
              <w:divBdr>
                <w:top w:val="none" w:sz="0" w:space="0" w:color="auto"/>
                <w:left w:val="none" w:sz="0" w:space="0" w:color="auto"/>
                <w:bottom w:val="none" w:sz="0" w:space="0" w:color="auto"/>
                <w:right w:val="none" w:sz="0" w:space="0" w:color="auto"/>
              </w:divBdr>
              <w:divsChild>
                <w:div w:id="1883711065">
                  <w:marLeft w:val="0"/>
                  <w:marRight w:val="0"/>
                  <w:marTop w:val="0"/>
                  <w:marBottom w:val="0"/>
                  <w:divBdr>
                    <w:top w:val="none" w:sz="0" w:space="0" w:color="auto"/>
                    <w:left w:val="none" w:sz="0" w:space="0" w:color="auto"/>
                    <w:bottom w:val="none" w:sz="0" w:space="0" w:color="auto"/>
                    <w:right w:val="none" w:sz="0" w:space="0" w:color="auto"/>
                  </w:divBdr>
                </w:div>
              </w:divsChild>
            </w:div>
            <w:div w:id="986125395">
              <w:marLeft w:val="0"/>
              <w:marRight w:val="0"/>
              <w:marTop w:val="0"/>
              <w:marBottom w:val="0"/>
              <w:divBdr>
                <w:top w:val="none" w:sz="0" w:space="0" w:color="auto"/>
                <w:left w:val="none" w:sz="0" w:space="0" w:color="auto"/>
                <w:bottom w:val="none" w:sz="0" w:space="0" w:color="auto"/>
                <w:right w:val="none" w:sz="0" w:space="0" w:color="auto"/>
              </w:divBdr>
              <w:divsChild>
                <w:div w:id="1478718420">
                  <w:marLeft w:val="0"/>
                  <w:marRight w:val="0"/>
                  <w:marTop w:val="0"/>
                  <w:marBottom w:val="0"/>
                  <w:divBdr>
                    <w:top w:val="none" w:sz="0" w:space="0" w:color="auto"/>
                    <w:left w:val="none" w:sz="0" w:space="0" w:color="auto"/>
                    <w:bottom w:val="none" w:sz="0" w:space="0" w:color="auto"/>
                    <w:right w:val="none" w:sz="0" w:space="0" w:color="auto"/>
                  </w:divBdr>
                </w:div>
              </w:divsChild>
            </w:div>
            <w:div w:id="998390891">
              <w:marLeft w:val="0"/>
              <w:marRight w:val="0"/>
              <w:marTop w:val="0"/>
              <w:marBottom w:val="0"/>
              <w:divBdr>
                <w:top w:val="none" w:sz="0" w:space="0" w:color="auto"/>
                <w:left w:val="none" w:sz="0" w:space="0" w:color="auto"/>
                <w:bottom w:val="none" w:sz="0" w:space="0" w:color="auto"/>
                <w:right w:val="none" w:sz="0" w:space="0" w:color="auto"/>
              </w:divBdr>
              <w:divsChild>
                <w:div w:id="1326587687">
                  <w:marLeft w:val="0"/>
                  <w:marRight w:val="0"/>
                  <w:marTop w:val="0"/>
                  <w:marBottom w:val="0"/>
                  <w:divBdr>
                    <w:top w:val="none" w:sz="0" w:space="0" w:color="auto"/>
                    <w:left w:val="none" w:sz="0" w:space="0" w:color="auto"/>
                    <w:bottom w:val="none" w:sz="0" w:space="0" w:color="auto"/>
                    <w:right w:val="none" w:sz="0" w:space="0" w:color="auto"/>
                  </w:divBdr>
                </w:div>
              </w:divsChild>
            </w:div>
            <w:div w:id="1144660430">
              <w:marLeft w:val="0"/>
              <w:marRight w:val="0"/>
              <w:marTop w:val="0"/>
              <w:marBottom w:val="0"/>
              <w:divBdr>
                <w:top w:val="none" w:sz="0" w:space="0" w:color="auto"/>
                <w:left w:val="none" w:sz="0" w:space="0" w:color="auto"/>
                <w:bottom w:val="none" w:sz="0" w:space="0" w:color="auto"/>
                <w:right w:val="none" w:sz="0" w:space="0" w:color="auto"/>
              </w:divBdr>
              <w:divsChild>
                <w:div w:id="1779400671">
                  <w:marLeft w:val="0"/>
                  <w:marRight w:val="0"/>
                  <w:marTop w:val="0"/>
                  <w:marBottom w:val="0"/>
                  <w:divBdr>
                    <w:top w:val="none" w:sz="0" w:space="0" w:color="auto"/>
                    <w:left w:val="none" w:sz="0" w:space="0" w:color="auto"/>
                    <w:bottom w:val="none" w:sz="0" w:space="0" w:color="auto"/>
                    <w:right w:val="none" w:sz="0" w:space="0" w:color="auto"/>
                  </w:divBdr>
                </w:div>
              </w:divsChild>
            </w:div>
            <w:div w:id="1211188903">
              <w:marLeft w:val="0"/>
              <w:marRight w:val="0"/>
              <w:marTop w:val="0"/>
              <w:marBottom w:val="0"/>
              <w:divBdr>
                <w:top w:val="none" w:sz="0" w:space="0" w:color="auto"/>
                <w:left w:val="none" w:sz="0" w:space="0" w:color="auto"/>
                <w:bottom w:val="none" w:sz="0" w:space="0" w:color="auto"/>
                <w:right w:val="none" w:sz="0" w:space="0" w:color="auto"/>
              </w:divBdr>
              <w:divsChild>
                <w:div w:id="783303863">
                  <w:marLeft w:val="0"/>
                  <w:marRight w:val="0"/>
                  <w:marTop w:val="0"/>
                  <w:marBottom w:val="0"/>
                  <w:divBdr>
                    <w:top w:val="none" w:sz="0" w:space="0" w:color="auto"/>
                    <w:left w:val="none" w:sz="0" w:space="0" w:color="auto"/>
                    <w:bottom w:val="none" w:sz="0" w:space="0" w:color="auto"/>
                    <w:right w:val="none" w:sz="0" w:space="0" w:color="auto"/>
                  </w:divBdr>
                </w:div>
              </w:divsChild>
            </w:div>
            <w:div w:id="1227188103">
              <w:marLeft w:val="0"/>
              <w:marRight w:val="0"/>
              <w:marTop w:val="0"/>
              <w:marBottom w:val="0"/>
              <w:divBdr>
                <w:top w:val="none" w:sz="0" w:space="0" w:color="auto"/>
                <w:left w:val="none" w:sz="0" w:space="0" w:color="auto"/>
                <w:bottom w:val="none" w:sz="0" w:space="0" w:color="auto"/>
                <w:right w:val="none" w:sz="0" w:space="0" w:color="auto"/>
              </w:divBdr>
              <w:divsChild>
                <w:div w:id="683899557">
                  <w:marLeft w:val="0"/>
                  <w:marRight w:val="0"/>
                  <w:marTop w:val="0"/>
                  <w:marBottom w:val="0"/>
                  <w:divBdr>
                    <w:top w:val="none" w:sz="0" w:space="0" w:color="auto"/>
                    <w:left w:val="none" w:sz="0" w:space="0" w:color="auto"/>
                    <w:bottom w:val="none" w:sz="0" w:space="0" w:color="auto"/>
                    <w:right w:val="none" w:sz="0" w:space="0" w:color="auto"/>
                  </w:divBdr>
                </w:div>
              </w:divsChild>
            </w:div>
            <w:div w:id="1316445997">
              <w:marLeft w:val="0"/>
              <w:marRight w:val="0"/>
              <w:marTop w:val="0"/>
              <w:marBottom w:val="0"/>
              <w:divBdr>
                <w:top w:val="none" w:sz="0" w:space="0" w:color="auto"/>
                <w:left w:val="none" w:sz="0" w:space="0" w:color="auto"/>
                <w:bottom w:val="none" w:sz="0" w:space="0" w:color="auto"/>
                <w:right w:val="none" w:sz="0" w:space="0" w:color="auto"/>
              </w:divBdr>
              <w:divsChild>
                <w:div w:id="1376346087">
                  <w:marLeft w:val="0"/>
                  <w:marRight w:val="0"/>
                  <w:marTop w:val="0"/>
                  <w:marBottom w:val="0"/>
                  <w:divBdr>
                    <w:top w:val="none" w:sz="0" w:space="0" w:color="auto"/>
                    <w:left w:val="none" w:sz="0" w:space="0" w:color="auto"/>
                    <w:bottom w:val="none" w:sz="0" w:space="0" w:color="auto"/>
                    <w:right w:val="none" w:sz="0" w:space="0" w:color="auto"/>
                  </w:divBdr>
                </w:div>
              </w:divsChild>
            </w:div>
            <w:div w:id="1317538516">
              <w:marLeft w:val="0"/>
              <w:marRight w:val="0"/>
              <w:marTop w:val="0"/>
              <w:marBottom w:val="0"/>
              <w:divBdr>
                <w:top w:val="none" w:sz="0" w:space="0" w:color="auto"/>
                <w:left w:val="none" w:sz="0" w:space="0" w:color="auto"/>
                <w:bottom w:val="none" w:sz="0" w:space="0" w:color="auto"/>
                <w:right w:val="none" w:sz="0" w:space="0" w:color="auto"/>
              </w:divBdr>
              <w:divsChild>
                <w:div w:id="2120100485">
                  <w:marLeft w:val="0"/>
                  <w:marRight w:val="0"/>
                  <w:marTop w:val="0"/>
                  <w:marBottom w:val="0"/>
                  <w:divBdr>
                    <w:top w:val="none" w:sz="0" w:space="0" w:color="auto"/>
                    <w:left w:val="none" w:sz="0" w:space="0" w:color="auto"/>
                    <w:bottom w:val="none" w:sz="0" w:space="0" w:color="auto"/>
                    <w:right w:val="none" w:sz="0" w:space="0" w:color="auto"/>
                  </w:divBdr>
                </w:div>
              </w:divsChild>
            </w:div>
            <w:div w:id="1331173475">
              <w:marLeft w:val="0"/>
              <w:marRight w:val="0"/>
              <w:marTop w:val="0"/>
              <w:marBottom w:val="0"/>
              <w:divBdr>
                <w:top w:val="none" w:sz="0" w:space="0" w:color="auto"/>
                <w:left w:val="none" w:sz="0" w:space="0" w:color="auto"/>
                <w:bottom w:val="none" w:sz="0" w:space="0" w:color="auto"/>
                <w:right w:val="none" w:sz="0" w:space="0" w:color="auto"/>
              </w:divBdr>
              <w:divsChild>
                <w:div w:id="2041781522">
                  <w:marLeft w:val="0"/>
                  <w:marRight w:val="0"/>
                  <w:marTop w:val="0"/>
                  <w:marBottom w:val="0"/>
                  <w:divBdr>
                    <w:top w:val="none" w:sz="0" w:space="0" w:color="auto"/>
                    <w:left w:val="none" w:sz="0" w:space="0" w:color="auto"/>
                    <w:bottom w:val="none" w:sz="0" w:space="0" w:color="auto"/>
                    <w:right w:val="none" w:sz="0" w:space="0" w:color="auto"/>
                  </w:divBdr>
                </w:div>
              </w:divsChild>
            </w:div>
            <w:div w:id="1331567845">
              <w:marLeft w:val="0"/>
              <w:marRight w:val="0"/>
              <w:marTop w:val="0"/>
              <w:marBottom w:val="0"/>
              <w:divBdr>
                <w:top w:val="none" w:sz="0" w:space="0" w:color="auto"/>
                <w:left w:val="none" w:sz="0" w:space="0" w:color="auto"/>
                <w:bottom w:val="none" w:sz="0" w:space="0" w:color="auto"/>
                <w:right w:val="none" w:sz="0" w:space="0" w:color="auto"/>
              </w:divBdr>
              <w:divsChild>
                <w:div w:id="1268075300">
                  <w:marLeft w:val="0"/>
                  <w:marRight w:val="0"/>
                  <w:marTop w:val="0"/>
                  <w:marBottom w:val="0"/>
                  <w:divBdr>
                    <w:top w:val="none" w:sz="0" w:space="0" w:color="auto"/>
                    <w:left w:val="none" w:sz="0" w:space="0" w:color="auto"/>
                    <w:bottom w:val="none" w:sz="0" w:space="0" w:color="auto"/>
                    <w:right w:val="none" w:sz="0" w:space="0" w:color="auto"/>
                  </w:divBdr>
                </w:div>
              </w:divsChild>
            </w:div>
            <w:div w:id="1416781471">
              <w:marLeft w:val="0"/>
              <w:marRight w:val="0"/>
              <w:marTop w:val="0"/>
              <w:marBottom w:val="0"/>
              <w:divBdr>
                <w:top w:val="none" w:sz="0" w:space="0" w:color="auto"/>
                <w:left w:val="none" w:sz="0" w:space="0" w:color="auto"/>
                <w:bottom w:val="none" w:sz="0" w:space="0" w:color="auto"/>
                <w:right w:val="none" w:sz="0" w:space="0" w:color="auto"/>
              </w:divBdr>
              <w:divsChild>
                <w:div w:id="2102486966">
                  <w:marLeft w:val="0"/>
                  <w:marRight w:val="0"/>
                  <w:marTop w:val="0"/>
                  <w:marBottom w:val="0"/>
                  <w:divBdr>
                    <w:top w:val="none" w:sz="0" w:space="0" w:color="auto"/>
                    <w:left w:val="none" w:sz="0" w:space="0" w:color="auto"/>
                    <w:bottom w:val="none" w:sz="0" w:space="0" w:color="auto"/>
                    <w:right w:val="none" w:sz="0" w:space="0" w:color="auto"/>
                  </w:divBdr>
                </w:div>
              </w:divsChild>
            </w:div>
            <w:div w:id="1447313606">
              <w:marLeft w:val="0"/>
              <w:marRight w:val="0"/>
              <w:marTop w:val="0"/>
              <w:marBottom w:val="0"/>
              <w:divBdr>
                <w:top w:val="none" w:sz="0" w:space="0" w:color="auto"/>
                <w:left w:val="none" w:sz="0" w:space="0" w:color="auto"/>
                <w:bottom w:val="none" w:sz="0" w:space="0" w:color="auto"/>
                <w:right w:val="none" w:sz="0" w:space="0" w:color="auto"/>
              </w:divBdr>
              <w:divsChild>
                <w:div w:id="900018128">
                  <w:marLeft w:val="0"/>
                  <w:marRight w:val="0"/>
                  <w:marTop w:val="0"/>
                  <w:marBottom w:val="0"/>
                  <w:divBdr>
                    <w:top w:val="none" w:sz="0" w:space="0" w:color="auto"/>
                    <w:left w:val="none" w:sz="0" w:space="0" w:color="auto"/>
                    <w:bottom w:val="none" w:sz="0" w:space="0" w:color="auto"/>
                    <w:right w:val="none" w:sz="0" w:space="0" w:color="auto"/>
                  </w:divBdr>
                </w:div>
              </w:divsChild>
            </w:div>
            <w:div w:id="1516844241">
              <w:marLeft w:val="0"/>
              <w:marRight w:val="0"/>
              <w:marTop w:val="0"/>
              <w:marBottom w:val="0"/>
              <w:divBdr>
                <w:top w:val="none" w:sz="0" w:space="0" w:color="auto"/>
                <w:left w:val="none" w:sz="0" w:space="0" w:color="auto"/>
                <w:bottom w:val="none" w:sz="0" w:space="0" w:color="auto"/>
                <w:right w:val="none" w:sz="0" w:space="0" w:color="auto"/>
              </w:divBdr>
              <w:divsChild>
                <w:div w:id="1279486756">
                  <w:marLeft w:val="0"/>
                  <w:marRight w:val="0"/>
                  <w:marTop w:val="0"/>
                  <w:marBottom w:val="0"/>
                  <w:divBdr>
                    <w:top w:val="none" w:sz="0" w:space="0" w:color="auto"/>
                    <w:left w:val="none" w:sz="0" w:space="0" w:color="auto"/>
                    <w:bottom w:val="none" w:sz="0" w:space="0" w:color="auto"/>
                    <w:right w:val="none" w:sz="0" w:space="0" w:color="auto"/>
                  </w:divBdr>
                </w:div>
              </w:divsChild>
            </w:div>
            <w:div w:id="1620066286">
              <w:marLeft w:val="0"/>
              <w:marRight w:val="0"/>
              <w:marTop w:val="0"/>
              <w:marBottom w:val="0"/>
              <w:divBdr>
                <w:top w:val="none" w:sz="0" w:space="0" w:color="auto"/>
                <w:left w:val="none" w:sz="0" w:space="0" w:color="auto"/>
                <w:bottom w:val="none" w:sz="0" w:space="0" w:color="auto"/>
                <w:right w:val="none" w:sz="0" w:space="0" w:color="auto"/>
              </w:divBdr>
              <w:divsChild>
                <w:div w:id="347877845">
                  <w:marLeft w:val="0"/>
                  <w:marRight w:val="0"/>
                  <w:marTop w:val="0"/>
                  <w:marBottom w:val="0"/>
                  <w:divBdr>
                    <w:top w:val="none" w:sz="0" w:space="0" w:color="auto"/>
                    <w:left w:val="none" w:sz="0" w:space="0" w:color="auto"/>
                    <w:bottom w:val="none" w:sz="0" w:space="0" w:color="auto"/>
                    <w:right w:val="none" w:sz="0" w:space="0" w:color="auto"/>
                  </w:divBdr>
                </w:div>
              </w:divsChild>
            </w:div>
            <w:div w:id="1623726727">
              <w:marLeft w:val="0"/>
              <w:marRight w:val="0"/>
              <w:marTop w:val="0"/>
              <w:marBottom w:val="0"/>
              <w:divBdr>
                <w:top w:val="none" w:sz="0" w:space="0" w:color="auto"/>
                <w:left w:val="none" w:sz="0" w:space="0" w:color="auto"/>
                <w:bottom w:val="none" w:sz="0" w:space="0" w:color="auto"/>
                <w:right w:val="none" w:sz="0" w:space="0" w:color="auto"/>
              </w:divBdr>
              <w:divsChild>
                <w:div w:id="386880777">
                  <w:marLeft w:val="0"/>
                  <w:marRight w:val="0"/>
                  <w:marTop w:val="0"/>
                  <w:marBottom w:val="0"/>
                  <w:divBdr>
                    <w:top w:val="none" w:sz="0" w:space="0" w:color="auto"/>
                    <w:left w:val="none" w:sz="0" w:space="0" w:color="auto"/>
                    <w:bottom w:val="none" w:sz="0" w:space="0" w:color="auto"/>
                    <w:right w:val="none" w:sz="0" w:space="0" w:color="auto"/>
                  </w:divBdr>
                </w:div>
              </w:divsChild>
            </w:div>
            <w:div w:id="1628773161">
              <w:marLeft w:val="0"/>
              <w:marRight w:val="0"/>
              <w:marTop w:val="0"/>
              <w:marBottom w:val="0"/>
              <w:divBdr>
                <w:top w:val="none" w:sz="0" w:space="0" w:color="auto"/>
                <w:left w:val="none" w:sz="0" w:space="0" w:color="auto"/>
                <w:bottom w:val="none" w:sz="0" w:space="0" w:color="auto"/>
                <w:right w:val="none" w:sz="0" w:space="0" w:color="auto"/>
              </w:divBdr>
              <w:divsChild>
                <w:div w:id="1367871638">
                  <w:marLeft w:val="0"/>
                  <w:marRight w:val="0"/>
                  <w:marTop w:val="0"/>
                  <w:marBottom w:val="0"/>
                  <w:divBdr>
                    <w:top w:val="none" w:sz="0" w:space="0" w:color="auto"/>
                    <w:left w:val="none" w:sz="0" w:space="0" w:color="auto"/>
                    <w:bottom w:val="none" w:sz="0" w:space="0" w:color="auto"/>
                    <w:right w:val="none" w:sz="0" w:space="0" w:color="auto"/>
                  </w:divBdr>
                </w:div>
              </w:divsChild>
            </w:div>
            <w:div w:id="1740054257">
              <w:marLeft w:val="0"/>
              <w:marRight w:val="0"/>
              <w:marTop w:val="0"/>
              <w:marBottom w:val="0"/>
              <w:divBdr>
                <w:top w:val="none" w:sz="0" w:space="0" w:color="auto"/>
                <w:left w:val="none" w:sz="0" w:space="0" w:color="auto"/>
                <w:bottom w:val="none" w:sz="0" w:space="0" w:color="auto"/>
                <w:right w:val="none" w:sz="0" w:space="0" w:color="auto"/>
              </w:divBdr>
              <w:divsChild>
                <w:div w:id="47844919">
                  <w:marLeft w:val="0"/>
                  <w:marRight w:val="0"/>
                  <w:marTop w:val="0"/>
                  <w:marBottom w:val="0"/>
                  <w:divBdr>
                    <w:top w:val="none" w:sz="0" w:space="0" w:color="auto"/>
                    <w:left w:val="none" w:sz="0" w:space="0" w:color="auto"/>
                    <w:bottom w:val="none" w:sz="0" w:space="0" w:color="auto"/>
                    <w:right w:val="none" w:sz="0" w:space="0" w:color="auto"/>
                  </w:divBdr>
                </w:div>
              </w:divsChild>
            </w:div>
            <w:div w:id="1756121753">
              <w:marLeft w:val="0"/>
              <w:marRight w:val="0"/>
              <w:marTop w:val="0"/>
              <w:marBottom w:val="0"/>
              <w:divBdr>
                <w:top w:val="none" w:sz="0" w:space="0" w:color="auto"/>
                <w:left w:val="none" w:sz="0" w:space="0" w:color="auto"/>
                <w:bottom w:val="none" w:sz="0" w:space="0" w:color="auto"/>
                <w:right w:val="none" w:sz="0" w:space="0" w:color="auto"/>
              </w:divBdr>
              <w:divsChild>
                <w:div w:id="1116606037">
                  <w:marLeft w:val="0"/>
                  <w:marRight w:val="0"/>
                  <w:marTop w:val="0"/>
                  <w:marBottom w:val="0"/>
                  <w:divBdr>
                    <w:top w:val="none" w:sz="0" w:space="0" w:color="auto"/>
                    <w:left w:val="none" w:sz="0" w:space="0" w:color="auto"/>
                    <w:bottom w:val="none" w:sz="0" w:space="0" w:color="auto"/>
                    <w:right w:val="none" w:sz="0" w:space="0" w:color="auto"/>
                  </w:divBdr>
                </w:div>
              </w:divsChild>
            </w:div>
            <w:div w:id="1767724417">
              <w:marLeft w:val="0"/>
              <w:marRight w:val="0"/>
              <w:marTop w:val="0"/>
              <w:marBottom w:val="0"/>
              <w:divBdr>
                <w:top w:val="none" w:sz="0" w:space="0" w:color="auto"/>
                <w:left w:val="none" w:sz="0" w:space="0" w:color="auto"/>
                <w:bottom w:val="none" w:sz="0" w:space="0" w:color="auto"/>
                <w:right w:val="none" w:sz="0" w:space="0" w:color="auto"/>
              </w:divBdr>
              <w:divsChild>
                <w:div w:id="278490376">
                  <w:marLeft w:val="0"/>
                  <w:marRight w:val="0"/>
                  <w:marTop w:val="0"/>
                  <w:marBottom w:val="0"/>
                  <w:divBdr>
                    <w:top w:val="none" w:sz="0" w:space="0" w:color="auto"/>
                    <w:left w:val="none" w:sz="0" w:space="0" w:color="auto"/>
                    <w:bottom w:val="none" w:sz="0" w:space="0" w:color="auto"/>
                    <w:right w:val="none" w:sz="0" w:space="0" w:color="auto"/>
                  </w:divBdr>
                </w:div>
              </w:divsChild>
            </w:div>
            <w:div w:id="1808081322">
              <w:marLeft w:val="0"/>
              <w:marRight w:val="0"/>
              <w:marTop w:val="0"/>
              <w:marBottom w:val="0"/>
              <w:divBdr>
                <w:top w:val="none" w:sz="0" w:space="0" w:color="auto"/>
                <w:left w:val="none" w:sz="0" w:space="0" w:color="auto"/>
                <w:bottom w:val="none" w:sz="0" w:space="0" w:color="auto"/>
                <w:right w:val="none" w:sz="0" w:space="0" w:color="auto"/>
              </w:divBdr>
              <w:divsChild>
                <w:div w:id="107823501">
                  <w:marLeft w:val="0"/>
                  <w:marRight w:val="0"/>
                  <w:marTop w:val="0"/>
                  <w:marBottom w:val="0"/>
                  <w:divBdr>
                    <w:top w:val="none" w:sz="0" w:space="0" w:color="auto"/>
                    <w:left w:val="none" w:sz="0" w:space="0" w:color="auto"/>
                    <w:bottom w:val="none" w:sz="0" w:space="0" w:color="auto"/>
                    <w:right w:val="none" w:sz="0" w:space="0" w:color="auto"/>
                  </w:divBdr>
                </w:div>
              </w:divsChild>
            </w:div>
            <w:div w:id="1923367369">
              <w:marLeft w:val="0"/>
              <w:marRight w:val="0"/>
              <w:marTop w:val="0"/>
              <w:marBottom w:val="0"/>
              <w:divBdr>
                <w:top w:val="none" w:sz="0" w:space="0" w:color="auto"/>
                <w:left w:val="none" w:sz="0" w:space="0" w:color="auto"/>
                <w:bottom w:val="none" w:sz="0" w:space="0" w:color="auto"/>
                <w:right w:val="none" w:sz="0" w:space="0" w:color="auto"/>
              </w:divBdr>
              <w:divsChild>
                <w:div w:id="509488034">
                  <w:marLeft w:val="0"/>
                  <w:marRight w:val="0"/>
                  <w:marTop w:val="0"/>
                  <w:marBottom w:val="0"/>
                  <w:divBdr>
                    <w:top w:val="none" w:sz="0" w:space="0" w:color="auto"/>
                    <w:left w:val="none" w:sz="0" w:space="0" w:color="auto"/>
                    <w:bottom w:val="none" w:sz="0" w:space="0" w:color="auto"/>
                    <w:right w:val="none" w:sz="0" w:space="0" w:color="auto"/>
                  </w:divBdr>
                </w:div>
              </w:divsChild>
            </w:div>
            <w:div w:id="1990203407">
              <w:marLeft w:val="0"/>
              <w:marRight w:val="0"/>
              <w:marTop w:val="0"/>
              <w:marBottom w:val="0"/>
              <w:divBdr>
                <w:top w:val="none" w:sz="0" w:space="0" w:color="auto"/>
                <w:left w:val="none" w:sz="0" w:space="0" w:color="auto"/>
                <w:bottom w:val="none" w:sz="0" w:space="0" w:color="auto"/>
                <w:right w:val="none" w:sz="0" w:space="0" w:color="auto"/>
              </w:divBdr>
              <w:divsChild>
                <w:div w:id="1370691322">
                  <w:marLeft w:val="0"/>
                  <w:marRight w:val="0"/>
                  <w:marTop w:val="0"/>
                  <w:marBottom w:val="0"/>
                  <w:divBdr>
                    <w:top w:val="none" w:sz="0" w:space="0" w:color="auto"/>
                    <w:left w:val="none" w:sz="0" w:space="0" w:color="auto"/>
                    <w:bottom w:val="none" w:sz="0" w:space="0" w:color="auto"/>
                    <w:right w:val="none" w:sz="0" w:space="0" w:color="auto"/>
                  </w:divBdr>
                </w:div>
              </w:divsChild>
            </w:div>
            <w:div w:id="1992757977">
              <w:marLeft w:val="0"/>
              <w:marRight w:val="0"/>
              <w:marTop w:val="0"/>
              <w:marBottom w:val="0"/>
              <w:divBdr>
                <w:top w:val="none" w:sz="0" w:space="0" w:color="auto"/>
                <w:left w:val="none" w:sz="0" w:space="0" w:color="auto"/>
                <w:bottom w:val="none" w:sz="0" w:space="0" w:color="auto"/>
                <w:right w:val="none" w:sz="0" w:space="0" w:color="auto"/>
              </w:divBdr>
              <w:divsChild>
                <w:div w:id="1078283005">
                  <w:marLeft w:val="0"/>
                  <w:marRight w:val="0"/>
                  <w:marTop w:val="0"/>
                  <w:marBottom w:val="0"/>
                  <w:divBdr>
                    <w:top w:val="none" w:sz="0" w:space="0" w:color="auto"/>
                    <w:left w:val="none" w:sz="0" w:space="0" w:color="auto"/>
                    <w:bottom w:val="none" w:sz="0" w:space="0" w:color="auto"/>
                    <w:right w:val="none" w:sz="0" w:space="0" w:color="auto"/>
                  </w:divBdr>
                </w:div>
              </w:divsChild>
            </w:div>
            <w:div w:id="2032994423">
              <w:marLeft w:val="0"/>
              <w:marRight w:val="0"/>
              <w:marTop w:val="0"/>
              <w:marBottom w:val="0"/>
              <w:divBdr>
                <w:top w:val="none" w:sz="0" w:space="0" w:color="auto"/>
                <w:left w:val="none" w:sz="0" w:space="0" w:color="auto"/>
                <w:bottom w:val="none" w:sz="0" w:space="0" w:color="auto"/>
                <w:right w:val="none" w:sz="0" w:space="0" w:color="auto"/>
              </w:divBdr>
              <w:divsChild>
                <w:div w:id="1915434688">
                  <w:marLeft w:val="0"/>
                  <w:marRight w:val="0"/>
                  <w:marTop w:val="0"/>
                  <w:marBottom w:val="0"/>
                  <w:divBdr>
                    <w:top w:val="none" w:sz="0" w:space="0" w:color="auto"/>
                    <w:left w:val="none" w:sz="0" w:space="0" w:color="auto"/>
                    <w:bottom w:val="none" w:sz="0" w:space="0" w:color="auto"/>
                    <w:right w:val="none" w:sz="0" w:space="0" w:color="auto"/>
                  </w:divBdr>
                </w:div>
              </w:divsChild>
            </w:div>
            <w:div w:id="2128349656">
              <w:marLeft w:val="0"/>
              <w:marRight w:val="0"/>
              <w:marTop w:val="0"/>
              <w:marBottom w:val="0"/>
              <w:divBdr>
                <w:top w:val="none" w:sz="0" w:space="0" w:color="auto"/>
                <w:left w:val="none" w:sz="0" w:space="0" w:color="auto"/>
                <w:bottom w:val="none" w:sz="0" w:space="0" w:color="auto"/>
                <w:right w:val="none" w:sz="0" w:space="0" w:color="auto"/>
              </w:divBdr>
              <w:divsChild>
                <w:div w:id="1650477558">
                  <w:marLeft w:val="0"/>
                  <w:marRight w:val="0"/>
                  <w:marTop w:val="0"/>
                  <w:marBottom w:val="0"/>
                  <w:divBdr>
                    <w:top w:val="none" w:sz="0" w:space="0" w:color="auto"/>
                    <w:left w:val="none" w:sz="0" w:space="0" w:color="auto"/>
                    <w:bottom w:val="none" w:sz="0" w:space="0" w:color="auto"/>
                    <w:right w:val="none" w:sz="0" w:space="0" w:color="auto"/>
                  </w:divBdr>
                </w:div>
              </w:divsChild>
            </w:div>
            <w:div w:id="2143961359">
              <w:marLeft w:val="0"/>
              <w:marRight w:val="0"/>
              <w:marTop w:val="0"/>
              <w:marBottom w:val="0"/>
              <w:divBdr>
                <w:top w:val="none" w:sz="0" w:space="0" w:color="auto"/>
                <w:left w:val="none" w:sz="0" w:space="0" w:color="auto"/>
                <w:bottom w:val="none" w:sz="0" w:space="0" w:color="auto"/>
                <w:right w:val="none" w:sz="0" w:space="0" w:color="auto"/>
              </w:divBdr>
              <w:divsChild>
                <w:div w:id="4998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6405607">
      <w:bodyDiv w:val="1"/>
      <w:marLeft w:val="0"/>
      <w:marRight w:val="0"/>
      <w:marTop w:val="0"/>
      <w:marBottom w:val="0"/>
      <w:divBdr>
        <w:top w:val="none" w:sz="0" w:space="0" w:color="auto"/>
        <w:left w:val="none" w:sz="0" w:space="0" w:color="auto"/>
        <w:bottom w:val="none" w:sz="0" w:space="0" w:color="auto"/>
        <w:right w:val="none" w:sz="0" w:space="0" w:color="auto"/>
      </w:divBdr>
    </w:div>
    <w:div w:id="1294864896">
      <w:bodyDiv w:val="1"/>
      <w:marLeft w:val="0"/>
      <w:marRight w:val="0"/>
      <w:marTop w:val="0"/>
      <w:marBottom w:val="0"/>
      <w:divBdr>
        <w:top w:val="none" w:sz="0" w:space="0" w:color="auto"/>
        <w:left w:val="none" w:sz="0" w:space="0" w:color="auto"/>
        <w:bottom w:val="none" w:sz="0" w:space="0" w:color="auto"/>
        <w:right w:val="none" w:sz="0" w:space="0" w:color="auto"/>
      </w:divBdr>
    </w:div>
    <w:div w:id="1298100528">
      <w:bodyDiv w:val="1"/>
      <w:marLeft w:val="0"/>
      <w:marRight w:val="0"/>
      <w:marTop w:val="0"/>
      <w:marBottom w:val="0"/>
      <w:divBdr>
        <w:top w:val="none" w:sz="0" w:space="0" w:color="auto"/>
        <w:left w:val="none" w:sz="0" w:space="0" w:color="auto"/>
        <w:bottom w:val="none" w:sz="0" w:space="0" w:color="auto"/>
        <w:right w:val="none" w:sz="0" w:space="0" w:color="auto"/>
      </w:divBdr>
      <w:divsChild>
        <w:div w:id="1216508063">
          <w:marLeft w:val="576"/>
          <w:marRight w:val="0"/>
          <w:marTop w:val="120"/>
          <w:marBottom w:val="120"/>
          <w:divBdr>
            <w:top w:val="none" w:sz="0" w:space="0" w:color="auto"/>
            <w:left w:val="none" w:sz="0" w:space="0" w:color="auto"/>
            <w:bottom w:val="none" w:sz="0" w:space="0" w:color="auto"/>
            <w:right w:val="none" w:sz="0" w:space="0" w:color="auto"/>
          </w:divBdr>
        </w:div>
        <w:div w:id="1253928092">
          <w:marLeft w:val="1080"/>
          <w:marRight w:val="0"/>
          <w:marTop w:val="120"/>
          <w:marBottom w:val="120"/>
          <w:divBdr>
            <w:top w:val="none" w:sz="0" w:space="0" w:color="auto"/>
            <w:left w:val="none" w:sz="0" w:space="0" w:color="auto"/>
            <w:bottom w:val="none" w:sz="0" w:space="0" w:color="auto"/>
            <w:right w:val="none" w:sz="0" w:space="0" w:color="auto"/>
          </w:divBdr>
        </w:div>
      </w:divsChild>
    </w:div>
    <w:div w:id="1304002289">
      <w:bodyDiv w:val="1"/>
      <w:marLeft w:val="0"/>
      <w:marRight w:val="0"/>
      <w:marTop w:val="0"/>
      <w:marBottom w:val="0"/>
      <w:divBdr>
        <w:top w:val="none" w:sz="0" w:space="0" w:color="auto"/>
        <w:left w:val="none" w:sz="0" w:space="0" w:color="auto"/>
        <w:bottom w:val="none" w:sz="0" w:space="0" w:color="auto"/>
        <w:right w:val="none" w:sz="0" w:space="0" w:color="auto"/>
      </w:divBdr>
    </w:div>
    <w:div w:id="1332487580">
      <w:bodyDiv w:val="1"/>
      <w:marLeft w:val="0"/>
      <w:marRight w:val="0"/>
      <w:marTop w:val="0"/>
      <w:marBottom w:val="0"/>
      <w:divBdr>
        <w:top w:val="none" w:sz="0" w:space="0" w:color="auto"/>
        <w:left w:val="none" w:sz="0" w:space="0" w:color="auto"/>
        <w:bottom w:val="none" w:sz="0" w:space="0" w:color="auto"/>
        <w:right w:val="none" w:sz="0" w:space="0" w:color="auto"/>
      </w:divBdr>
      <w:divsChild>
        <w:div w:id="26569424">
          <w:marLeft w:val="0"/>
          <w:marRight w:val="0"/>
          <w:marTop w:val="0"/>
          <w:marBottom w:val="0"/>
          <w:divBdr>
            <w:top w:val="none" w:sz="0" w:space="0" w:color="auto"/>
            <w:left w:val="none" w:sz="0" w:space="0" w:color="auto"/>
            <w:bottom w:val="none" w:sz="0" w:space="0" w:color="auto"/>
            <w:right w:val="none" w:sz="0" w:space="0" w:color="auto"/>
          </w:divBdr>
          <w:divsChild>
            <w:div w:id="34241146">
              <w:marLeft w:val="0"/>
              <w:marRight w:val="0"/>
              <w:marTop w:val="0"/>
              <w:marBottom w:val="0"/>
              <w:divBdr>
                <w:top w:val="none" w:sz="0" w:space="0" w:color="auto"/>
                <w:left w:val="none" w:sz="0" w:space="0" w:color="auto"/>
                <w:bottom w:val="none" w:sz="0" w:space="0" w:color="auto"/>
                <w:right w:val="none" w:sz="0" w:space="0" w:color="auto"/>
              </w:divBdr>
              <w:divsChild>
                <w:div w:id="518815503">
                  <w:marLeft w:val="0"/>
                  <w:marRight w:val="0"/>
                  <w:marTop w:val="0"/>
                  <w:marBottom w:val="0"/>
                  <w:divBdr>
                    <w:top w:val="none" w:sz="0" w:space="0" w:color="auto"/>
                    <w:left w:val="none" w:sz="0" w:space="0" w:color="auto"/>
                    <w:bottom w:val="none" w:sz="0" w:space="0" w:color="auto"/>
                    <w:right w:val="none" w:sz="0" w:space="0" w:color="auto"/>
                  </w:divBdr>
                </w:div>
              </w:divsChild>
            </w:div>
            <w:div w:id="130289439">
              <w:marLeft w:val="0"/>
              <w:marRight w:val="0"/>
              <w:marTop w:val="0"/>
              <w:marBottom w:val="0"/>
              <w:divBdr>
                <w:top w:val="none" w:sz="0" w:space="0" w:color="auto"/>
                <w:left w:val="none" w:sz="0" w:space="0" w:color="auto"/>
                <w:bottom w:val="none" w:sz="0" w:space="0" w:color="auto"/>
                <w:right w:val="none" w:sz="0" w:space="0" w:color="auto"/>
              </w:divBdr>
              <w:divsChild>
                <w:div w:id="1384210179">
                  <w:marLeft w:val="0"/>
                  <w:marRight w:val="0"/>
                  <w:marTop w:val="0"/>
                  <w:marBottom w:val="0"/>
                  <w:divBdr>
                    <w:top w:val="none" w:sz="0" w:space="0" w:color="auto"/>
                    <w:left w:val="none" w:sz="0" w:space="0" w:color="auto"/>
                    <w:bottom w:val="none" w:sz="0" w:space="0" w:color="auto"/>
                    <w:right w:val="none" w:sz="0" w:space="0" w:color="auto"/>
                  </w:divBdr>
                </w:div>
              </w:divsChild>
            </w:div>
            <w:div w:id="264702204">
              <w:marLeft w:val="0"/>
              <w:marRight w:val="0"/>
              <w:marTop w:val="0"/>
              <w:marBottom w:val="0"/>
              <w:divBdr>
                <w:top w:val="none" w:sz="0" w:space="0" w:color="auto"/>
                <w:left w:val="none" w:sz="0" w:space="0" w:color="auto"/>
                <w:bottom w:val="none" w:sz="0" w:space="0" w:color="auto"/>
                <w:right w:val="none" w:sz="0" w:space="0" w:color="auto"/>
              </w:divBdr>
              <w:divsChild>
                <w:div w:id="90392815">
                  <w:marLeft w:val="0"/>
                  <w:marRight w:val="0"/>
                  <w:marTop w:val="0"/>
                  <w:marBottom w:val="0"/>
                  <w:divBdr>
                    <w:top w:val="none" w:sz="0" w:space="0" w:color="auto"/>
                    <w:left w:val="none" w:sz="0" w:space="0" w:color="auto"/>
                    <w:bottom w:val="none" w:sz="0" w:space="0" w:color="auto"/>
                    <w:right w:val="none" w:sz="0" w:space="0" w:color="auto"/>
                  </w:divBdr>
                </w:div>
              </w:divsChild>
            </w:div>
            <w:div w:id="272370286">
              <w:marLeft w:val="0"/>
              <w:marRight w:val="0"/>
              <w:marTop w:val="0"/>
              <w:marBottom w:val="0"/>
              <w:divBdr>
                <w:top w:val="none" w:sz="0" w:space="0" w:color="auto"/>
                <w:left w:val="none" w:sz="0" w:space="0" w:color="auto"/>
                <w:bottom w:val="none" w:sz="0" w:space="0" w:color="auto"/>
                <w:right w:val="none" w:sz="0" w:space="0" w:color="auto"/>
              </w:divBdr>
              <w:divsChild>
                <w:div w:id="613754746">
                  <w:marLeft w:val="0"/>
                  <w:marRight w:val="0"/>
                  <w:marTop w:val="0"/>
                  <w:marBottom w:val="0"/>
                  <w:divBdr>
                    <w:top w:val="none" w:sz="0" w:space="0" w:color="auto"/>
                    <w:left w:val="none" w:sz="0" w:space="0" w:color="auto"/>
                    <w:bottom w:val="none" w:sz="0" w:space="0" w:color="auto"/>
                    <w:right w:val="none" w:sz="0" w:space="0" w:color="auto"/>
                  </w:divBdr>
                </w:div>
              </w:divsChild>
            </w:div>
            <w:div w:id="319238010">
              <w:marLeft w:val="0"/>
              <w:marRight w:val="0"/>
              <w:marTop w:val="0"/>
              <w:marBottom w:val="0"/>
              <w:divBdr>
                <w:top w:val="none" w:sz="0" w:space="0" w:color="auto"/>
                <w:left w:val="none" w:sz="0" w:space="0" w:color="auto"/>
                <w:bottom w:val="none" w:sz="0" w:space="0" w:color="auto"/>
                <w:right w:val="none" w:sz="0" w:space="0" w:color="auto"/>
              </w:divBdr>
              <w:divsChild>
                <w:div w:id="1641686269">
                  <w:marLeft w:val="0"/>
                  <w:marRight w:val="0"/>
                  <w:marTop w:val="0"/>
                  <w:marBottom w:val="0"/>
                  <w:divBdr>
                    <w:top w:val="none" w:sz="0" w:space="0" w:color="auto"/>
                    <w:left w:val="none" w:sz="0" w:space="0" w:color="auto"/>
                    <w:bottom w:val="none" w:sz="0" w:space="0" w:color="auto"/>
                    <w:right w:val="none" w:sz="0" w:space="0" w:color="auto"/>
                  </w:divBdr>
                </w:div>
              </w:divsChild>
            </w:div>
            <w:div w:id="422651337">
              <w:marLeft w:val="0"/>
              <w:marRight w:val="0"/>
              <w:marTop w:val="0"/>
              <w:marBottom w:val="0"/>
              <w:divBdr>
                <w:top w:val="none" w:sz="0" w:space="0" w:color="auto"/>
                <w:left w:val="none" w:sz="0" w:space="0" w:color="auto"/>
                <w:bottom w:val="none" w:sz="0" w:space="0" w:color="auto"/>
                <w:right w:val="none" w:sz="0" w:space="0" w:color="auto"/>
              </w:divBdr>
              <w:divsChild>
                <w:div w:id="907229392">
                  <w:marLeft w:val="0"/>
                  <w:marRight w:val="0"/>
                  <w:marTop w:val="0"/>
                  <w:marBottom w:val="0"/>
                  <w:divBdr>
                    <w:top w:val="none" w:sz="0" w:space="0" w:color="auto"/>
                    <w:left w:val="none" w:sz="0" w:space="0" w:color="auto"/>
                    <w:bottom w:val="none" w:sz="0" w:space="0" w:color="auto"/>
                    <w:right w:val="none" w:sz="0" w:space="0" w:color="auto"/>
                  </w:divBdr>
                </w:div>
              </w:divsChild>
            </w:div>
            <w:div w:id="455490552">
              <w:marLeft w:val="0"/>
              <w:marRight w:val="0"/>
              <w:marTop w:val="0"/>
              <w:marBottom w:val="0"/>
              <w:divBdr>
                <w:top w:val="none" w:sz="0" w:space="0" w:color="auto"/>
                <w:left w:val="none" w:sz="0" w:space="0" w:color="auto"/>
                <w:bottom w:val="none" w:sz="0" w:space="0" w:color="auto"/>
                <w:right w:val="none" w:sz="0" w:space="0" w:color="auto"/>
              </w:divBdr>
              <w:divsChild>
                <w:div w:id="1011956317">
                  <w:marLeft w:val="0"/>
                  <w:marRight w:val="0"/>
                  <w:marTop w:val="0"/>
                  <w:marBottom w:val="0"/>
                  <w:divBdr>
                    <w:top w:val="none" w:sz="0" w:space="0" w:color="auto"/>
                    <w:left w:val="none" w:sz="0" w:space="0" w:color="auto"/>
                    <w:bottom w:val="none" w:sz="0" w:space="0" w:color="auto"/>
                    <w:right w:val="none" w:sz="0" w:space="0" w:color="auto"/>
                  </w:divBdr>
                </w:div>
              </w:divsChild>
            </w:div>
            <w:div w:id="472453542">
              <w:marLeft w:val="0"/>
              <w:marRight w:val="0"/>
              <w:marTop w:val="0"/>
              <w:marBottom w:val="0"/>
              <w:divBdr>
                <w:top w:val="none" w:sz="0" w:space="0" w:color="auto"/>
                <w:left w:val="none" w:sz="0" w:space="0" w:color="auto"/>
                <w:bottom w:val="none" w:sz="0" w:space="0" w:color="auto"/>
                <w:right w:val="none" w:sz="0" w:space="0" w:color="auto"/>
              </w:divBdr>
              <w:divsChild>
                <w:div w:id="334889548">
                  <w:marLeft w:val="0"/>
                  <w:marRight w:val="0"/>
                  <w:marTop w:val="0"/>
                  <w:marBottom w:val="0"/>
                  <w:divBdr>
                    <w:top w:val="none" w:sz="0" w:space="0" w:color="auto"/>
                    <w:left w:val="none" w:sz="0" w:space="0" w:color="auto"/>
                    <w:bottom w:val="none" w:sz="0" w:space="0" w:color="auto"/>
                    <w:right w:val="none" w:sz="0" w:space="0" w:color="auto"/>
                  </w:divBdr>
                </w:div>
              </w:divsChild>
            </w:div>
            <w:div w:id="473641749">
              <w:marLeft w:val="0"/>
              <w:marRight w:val="0"/>
              <w:marTop w:val="0"/>
              <w:marBottom w:val="0"/>
              <w:divBdr>
                <w:top w:val="none" w:sz="0" w:space="0" w:color="auto"/>
                <w:left w:val="none" w:sz="0" w:space="0" w:color="auto"/>
                <w:bottom w:val="none" w:sz="0" w:space="0" w:color="auto"/>
                <w:right w:val="none" w:sz="0" w:space="0" w:color="auto"/>
              </w:divBdr>
              <w:divsChild>
                <w:div w:id="1866943077">
                  <w:marLeft w:val="0"/>
                  <w:marRight w:val="0"/>
                  <w:marTop w:val="0"/>
                  <w:marBottom w:val="0"/>
                  <w:divBdr>
                    <w:top w:val="none" w:sz="0" w:space="0" w:color="auto"/>
                    <w:left w:val="none" w:sz="0" w:space="0" w:color="auto"/>
                    <w:bottom w:val="none" w:sz="0" w:space="0" w:color="auto"/>
                    <w:right w:val="none" w:sz="0" w:space="0" w:color="auto"/>
                  </w:divBdr>
                </w:div>
              </w:divsChild>
            </w:div>
            <w:div w:id="586235757">
              <w:marLeft w:val="0"/>
              <w:marRight w:val="0"/>
              <w:marTop w:val="0"/>
              <w:marBottom w:val="0"/>
              <w:divBdr>
                <w:top w:val="none" w:sz="0" w:space="0" w:color="auto"/>
                <w:left w:val="none" w:sz="0" w:space="0" w:color="auto"/>
                <w:bottom w:val="none" w:sz="0" w:space="0" w:color="auto"/>
                <w:right w:val="none" w:sz="0" w:space="0" w:color="auto"/>
              </w:divBdr>
              <w:divsChild>
                <w:div w:id="1656453780">
                  <w:marLeft w:val="0"/>
                  <w:marRight w:val="0"/>
                  <w:marTop w:val="0"/>
                  <w:marBottom w:val="0"/>
                  <w:divBdr>
                    <w:top w:val="none" w:sz="0" w:space="0" w:color="auto"/>
                    <w:left w:val="none" w:sz="0" w:space="0" w:color="auto"/>
                    <w:bottom w:val="none" w:sz="0" w:space="0" w:color="auto"/>
                    <w:right w:val="none" w:sz="0" w:space="0" w:color="auto"/>
                  </w:divBdr>
                </w:div>
              </w:divsChild>
            </w:div>
            <w:div w:id="592124720">
              <w:marLeft w:val="0"/>
              <w:marRight w:val="0"/>
              <w:marTop w:val="0"/>
              <w:marBottom w:val="0"/>
              <w:divBdr>
                <w:top w:val="none" w:sz="0" w:space="0" w:color="auto"/>
                <w:left w:val="none" w:sz="0" w:space="0" w:color="auto"/>
                <w:bottom w:val="none" w:sz="0" w:space="0" w:color="auto"/>
                <w:right w:val="none" w:sz="0" w:space="0" w:color="auto"/>
              </w:divBdr>
              <w:divsChild>
                <w:div w:id="90856499">
                  <w:marLeft w:val="0"/>
                  <w:marRight w:val="0"/>
                  <w:marTop w:val="0"/>
                  <w:marBottom w:val="0"/>
                  <w:divBdr>
                    <w:top w:val="none" w:sz="0" w:space="0" w:color="auto"/>
                    <w:left w:val="none" w:sz="0" w:space="0" w:color="auto"/>
                    <w:bottom w:val="none" w:sz="0" w:space="0" w:color="auto"/>
                    <w:right w:val="none" w:sz="0" w:space="0" w:color="auto"/>
                  </w:divBdr>
                </w:div>
              </w:divsChild>
            </w:div>
            <w:div w:id="613053461">
              <w:marLeft w:val="0"/>
              <w:marRight w:val="0"/>
              <w:marTop w:val="0"/>
              <w:marBottom w:val="0"/>
              <w:divBdr>
                <w:top w:val="none" w:sz="0" w:space="0" w:color="auto"/>
                <w:left w:val="none" w:sz="0" w:space="0" w:color="auto"/>
                <w:bottom w:val="none" w:sz="0" w:space="0" w:color="auto"/>
                <w:right w:val="none" w:sz="0" w:space="0" w:color="auto"/>
              </w:divBdr>
              <w:divsChild>
                <w:div w:id="677737508">
                  <w:marLeft w:val="0"/>
                  <w:marRight w:val="0"/>
                  <w:marTop w:val="0"/>
                  <w:marBottom w:val="0"/>
                  <w:divBdr>
                    <w:top w:val="none" w:sz="0" w:space="0" w:color="auto"/>
                    <w:left w:val="none" w:sz="0" w:space="0" w:color="auto"/>
                    <w:bottom w:val="none" w:sz="0" w:space="0" w:color="auto"/>
                    <w:right w:val="none" w:sz="0" w:space="0" w:color="auto"/>
                  </w:divBdr>
                </w:div>
              </w:divsChild>
            </w:div>
            <w:div w:id="640429074">
              <w:marLeft w:val="0"/>
              <w:marRight w:val="0"/>
              <w:marTop w:val="0"/>
              <w:marBottom w:val="0"/>
              <w:divBdr>
                <w:top w:val="none" w:sz="0" w:space="0" w:color="auto"/>
                <w:left w:val="none" w:sz="0" w:space="0" w:color="auto"/>
                <w:bottom w:val="none" w:sz="0" w:space="0" w:color="auto"/>
                <w:right w:val="none" w:sz="0" w:space="0" w:color="auto"/>
              </w:divBdr>
              <w:divsChild>
                <w:div w:id="614870664">
                  <w:marLeft w:val="0"/>
                  <w:marRight w:val="0"/>
                  <w:marTop w:val="0"/>
                  <w:marBottom w:val="0"/>
                  <w:divBdr>
                    <w:top w:val="none" w:sz="0" w:space="0" w:color="auto"/>
                    <w:left w:val="none" w:sz="0" w:space="0" w:color="auto"/>
                    <w:bottom w:val="none" w:sz="0" w:space="0" w:color="auto"/>
                    <w:right w:val="none" w:sz="0" w:space="0" w:color="auto"/>
                  </w:divBdr>
                </w:div>
              </w:divsChild>
            </w:div>
            <w:div w:id="864756007">
              <w:marLeft w:val="0"/>
              <w:marRight w:val="0"/>
              <w:marTop w:val="0"/>
              <w:marBottom w:val="0"/>
              <w:divBdr>
                <w:top w:val="none" w:sz="0" w:space="0" w:color="auto"/>
                <w:left w:val="none" w:sz="0" w:space="0" w:color="auto"/>
                <w:bottom w:val="none" w:sz="0" w:space="0" w:color="auto"/>
                <w:right w:val="none" w:sz="0" w:space="0" w:color="auto"/>
              </w:divBdr>
              <w:divsChild>
                <w:div w:id="949824613">
                  <w:marLeft w:val="0"/>
                  <w:marRight w:val="0"/>
                  <w:marTop w:val="0"/>
                  <w:marBottom w:val="0"/>
                  <w:divBdr>
                    <w:top w:val="none" w:sz="0" w:space="0" w:color="auto"/>
                    <w:left w:val="none" w:sz="0" w:space="0" w:color="auto"/>
                    <w:bottom w:val="none" w:sz="0" w:space="0" w:color="auto"/>
                    <w:right w:val="none" w:sz="0" w:space="0" w:color="auto"/>
                  </w:divBdr>
                </w:div>
              </w:divsChild>
            </w:div>
            <w:div w:id="875196888">
              <w:marLeft w:val="0"/>
              <w:marRight w:val="0"/>
              <w:marTop w:val="0"/>
              <w:marBottom w:val="0"/>
              <w:divBdr>
                <w:top w:val="none" w:sz="0" w:space="0" w:color="auto"/>
                <w:left w:val="none" w:sz="0" w:space="0" w:color="auto"/>
                <w:bottom w:val="none" w:sz="0" w:space="0" w:color="auto"/>
                <w:right w:val="none" w:sz="0" w:space="0" w:color="auto"/>
              </w:divBdr>
              <w:divsChild>
                <w:div w:id="1982224485">
                  <w:marLeft w:val="0"/>
                  <w:marRight w:val="0"/>
                  <w:marTop w:val="0"/>
                  <w:marBottom w:val="0"/>
                  <w:divBdr>
                    <w:top w:val="none" w:sz="0" w:space="0" w:color="auto"/>
                    <w:left w:val="none" w:sz="0" w:space="0" w:color="auto"/>
                    <w:bottom w:val="none" w:sz="0" w:space="0" w:color="auto"/>
                    <w:right w:val="none" w:sz="0" w:space="0" w:color="auto"/>
                  </w:divBdr>
                </w:div>
              </w:divsChild>
            </w:div>
            <w:div w:id="935088913">
              <w:marLeft w:val="0"/>
              <w:marRight w:val="0"/>
              <w:marTop w:val="0"/>
              <w:marBottom w:val="0"/>
              <w:divBdr>
                <w:top w:val="none" w:sz="0" w:space="0" w:color="auto"/>
                <w:left w:val="none" w:sz="0" w:space="0" w:color="auto"/>
                <w:bottom w:val="none" w:sz="0" w:space="0" w:color="auto"/>
                <w:right w:val="none" w:sz="0" w:space="0" w:color="auto"/>
              </w:divBdr>
              <w:divsChild>
                <w:div w:id="2115785638">
                  <w:marLeft w:val="0"/>
                  <w:marRight w:val="0"/>
                  <w:marTop w:val="0"/>
                  <w:marBottom w:val="0"/>
                  <w:divBdr>
                    <w:top w:val="none" w:sz="0" w:space="0" w:color="auto"/>
                    <w:left w:val="none" w:sz="0" w:space="0" w:color="auto"/>
                    <w:bottom w:val="none" w:sz="0" w:space="0" w:color="auto"/>
                    <w:right w:val="none" w:sz="0" w:space="0" w:color="auto"/>
                  </w:divBdr>
                </w:div>
              </w:divsChild>
            </w:div>
            <w:div w:id="945697541">
              <w:marLeft w:val="0"/>
              <w:marRight w:val="0"/>
              <w:marTop w:val="0"/>
              <w:marBottom w:val="0"/>
              <w:divBdr>
                <w:top w:val="none" w:sz="0" w:space="0" w:color="auto"/>
                <w:left w:val="none" w:sz="0" w:space="0" w:color="auto"/>
                <w:bottom w:val="none" w:sz="0" w:space="0" w:color="auto"/>
                <w:right w:val="none" w:sz="0" w:space="0" w:color="auto"/>
              </w:divBdr>
              <w:divsChild>
                <w:div w:id="46028504">
                  <w:marLeft w:val="0"/>
                  <w:marRight w:val="0"/>
                  <w:marTop w:val="0"/>
                  <w:marBottom w:val="0"/>
                  <w:divBdr>
                    <w:top w:val="none" w:sz="0" w:space="0" w:color="auto"/>
                    <w:left w:val="none" w:sz="0" w:space="0" w:color="auto"/>
                    <w:bottom w:val="none" w:sz="0" w:space="0" w:color="auto"/>
                    <w:right w:val="none" w:sz="0" w:space="0" w:color="auto"/>
                  </w:divBdr>
                </w:div>
              </w:divsChild>
            </w:div>
            <w:div w:id="970282571">
              <w:marLeft w:val="0"/>
              <w:marRight w:val="0"/>
              <w:marTop w:val="0"/>
              <w:marBottom w:val="0"/>
              <w:divBdr>
                <w:top w:val="none" w:sz="0" w:space="0" w:color="auto"/>
                <w:left w:val="none" w:sz="0" w:space="0" w:color="auto"/>
                <w:bottom w:val="none" w:sz="0" w:space="0" w:color="auto"/>
                <w:right w:val="none" w:sz="0" w:space="0" w:color="auto"/>
              </w:divBdr>
              <w:divsChild>
                <w:div w:id="1333603649">
                  <w:marLeft w:val="0"/>
                  <w:marRight w:val="0"/>
                  <w:marTop w:val="0"/>
                  <w:marBottom w:val="0"/>
                  <w:divBdr>
                    <w:top w:val="none" w:sz="0" w:space="0" w:color="auto"/>
                    <w:left w:val="none" w:sz="0" w:space="0" w:color="auto"/>
                    <w:bottom w:val="none" w:sz="0" w:space="0" w:color="auto"/>
                    <w:right w:val="none" w:sz="0" w:space="0" w:color="auto"/>
                  </w:divBdr>
                </w:div>
              </w:divsChild>
            </w:div>
            <w:div w:id="975765695">
              <w:marLeft w:val="0"/>
              <w:marRight w:val="0"/>
              <w:marTop w:val="0"/>
              <w:marBottom w:val="0"/>
              <w:divBdr>
                <w:top w:val="none" w:sz="0" w:space="0" w:color="auto"/>
                <w:left w:val="none" w:sz="0" w:space="0" w:color="auto"/>
                <w:bottom w:val="none" w:sz="0" w:space="0" w:color="auto"/>
                <w:right w:val="none" w:sz="0" w:space="0" w:color="auto"/>
              </w:divBdr>
              <w:divsChild>
                <w:div w:id="60518739">
                  <w:marLeft w:val="0"/>
                  <w:marRight w:val="0"/>
                  <w:marTop w:val="0"/>
                  <w:marBottom w:val="0"/>
                  <w:divBdr>
                    <w:top w:val="none" w:sz="0" w:space="0" w:color="auto"/>
                    <w:left w:val="none" w:sz="0" w:space="0" w:color="auto"/>
                    <w:bottom w:val="none" w:sz="0" w:space="0" w:color="auto"/>
                    <w:right w:val="none" w:sz="0" w:space="0" w:color="auto"/>
                  </w:divBdr>
                </w:div>
              </w:divsChild>
            </w:div>
            <w:div w:id="1061636147">
              <w:marLeft w:val="0"/>
              <w:marRight w:val="0"/>
              <w:marTop w:val="0"/>
              <w:marBottom w:val="0"/>
              <w:divBdr>
                <w:top w:val="none" w:sz="0" w:space="0" w:color="auto"/>
                <w:left w:val="none" w:sz="0" w:space="0" w:color="auto"/>
                <w:bottom w:val="none" w:sz="0" w:space="0" w:color="auto"/>
                <w:right w:val="none" w:sz="0" w:space="0" w:color="auto"/>
              </w:divBdr>
              <w:divsChild>
                <w:div w:id="1831939777">
                  <w:marLeft w:val="0"/>
                  <w:marRight w:val="0"/>
                  <w:marTop w:val="0"/>
                  <w:marBottom w:val="0"/>
                  <w:divBdr>
                    <w:top w:val="none" w:sz="0" w:space="0" w:color="auto"/>
                    <w:left w:val="none" w:sz="0" w:space="0" w:color="auto"/>
                    <w:bottom w:val="none" w:sz="0" w:space="0" w:color="auto"/>
                    <w:right w:val="none" w:sz="0" w:space="0" w:color="auto"/>
                  </w:divBdr>
                </w:div>
              </w:divsChild>
            </w:div>
            <w:div w:id="1094982600">
              <w:marLeft w:val="0"/>
              <w:marRight w:val="0"/>
              <w:marTop w:val="0"/>
              <w:marBottom w:val="0"/>
              <w:divBdr>
                <w:top w:val="none" w:sz="0" w:space="0" w:color="auto"/>
                <w:left w:val="none" w:sz="0" w:space="0" w:color="auto"/>
                <w:bottom w:val="none" w:sz="0" w:space="0" w:color="auto"/>
                <w:right w:val="none" w:sz="0" w:space="0" w:color="auto"/>
              </w:divBdr>
              <w:divsChild>
                <w:div w:id="486212980">
                  <w:marLeft w:val="0"/>
                  <w:marRight w:val="0"/>
                  <w:marTop w:val="0"/>
                  <w:marBottom w:val="0"/>
                  <w:divBdr>
                    <w:top w:val="none" w:sz="0" w:space="0" w:color="auto"/>
                    <w:left w:val="none" w:sz="0" w:space="0" w:color="auto"/>
                    <w:bottom w:val="none" w:sz="0" w:space="0" w:color="auto"/>
                    <w:right w:val="none" w:sz="0" w:space="0" w:color="auto"/>
                  </w:divBdr>
                </w:div>
              </w:divsChild>
            </w:div>
            <w:div w:id="1115826056">
              <w:marLeft w:val="0"/>
              <w:marRight w:val="0"/>
              <w:marTop w:val="0"/>
              <w:marBottom w:val="0"/>
              <w:divBdr>
                <w:top w:val="none" w:sz="0" w:space="0" w:color="auto"/>
                <w:left w:val="none" w:sz="0" w:space="0" w:color="auto"/>
                <w:bottom w:val="none" w:sz="0" w:space="0" w:color="auto"/>
                <w:right w:val="none" w:sz="0" w:space="0" w:color="auto"/>
              </w:divBdr>
              <w:divsChild>
                <w:div w:id="1170562440">
                  <w:marLeft w:val="0"/>
                  <w:marRight w:val="0"/>
                  <w:marTop w:val="0"/>
                  <w:marBottom w:val="0"/>
                  <w:divBdr>
                    <w:top w:val="none" w:sz="0" w:space="0" w:color="auto"/>
                    <w:left w:val="none" w:sz="0" w:space="0" w:color="auto"/>
                    <w:bottom w:val="none" w:sz="0" w:space="0" w:color="auto"/>
                    <w:right w:val="none" w:sz="0" w:space="0" w:color="auto"/>
                  </w:divBdr>
                </w:div>
              </w:divsChild>
            </w:div>
            <w:div w:id="1213275953">
              <w:marLeft w:val="0"/>
              <w:marRight w:val="0"/>
              <w:marTop w:val="0"/>
              <w:marBottom w:val="0"/>
              <w:divBdr>
                <w:top w:val="none" w:sz="0" w:space="0" w:color="auto"/>
                <w:left w:val="none" w:sz="0" w:space="0" w:color="auto"/>
                <w:bottom w:val="none" w:sz="0" w:space="0" w:color="auto"/>
                <w:right w:val="none" w:sz="0" w:space="0" w:color="auto"/>
              </w:divBdr>
              <w:divsChild>
                <w:div w:id="905725405">
                  <w:marLeft w:val="0"/>
                  <w:marRight w:val="0"/>
                  <w:marTop w:val="0"/>
                  <w:marBottom w:val="0"/>
                  <w:divBdr>
                    <w:top w:val="none" w:sz="0" w:space="0" w:color="auto"/>
                    <w:left w:val="none" w:sz="0" w:space="0" w:color="auto"/>
                    <w:bottom w:val="none" w:sz="0" w:space="0" w:color="auto"/>
                    <w:right w:val="none" w:sz="0" w:space="0" w:color="auto"/>
                  </w:divBdr>
                </w:div>
              </w:divsChild>
            </w:div>
            <w:div w:id="1219169288">
              <w:marLeft w:val="0"/>
              <w:marRight w:val="0"/>
              <w:marTop w:val="0"/>
              <w:marBottom w:val="0"/>
              <w:divBdr>
                <w:top w:val="none" w:sz="0" w:space="0" w:color="auto"/>
                <w:left w:val="none" w:sz="0" w:space="0" w:color="auto"/>
                <w:bottom w:val="none" w:sz="0" w:space="0" w:color="auto"/>
                <w:right w:val="none" w:sz="0" w:space="0" w:color="auto"/>
              </w:divBdr>
              <w:divsChild>
                <w:div w:id="314335838">
                  <w:marLeft w:val="0"/>
                  <w:marRight w:val="0"/>
                  <w:marTop w:val="0"/>
                  <w:marBottom w:val="0"/>
                  <w:divBdr>
                    <w:top w:val="none" w:sz="0" w:space="0" w:color="auto"/>
                    <w:left w:val="none" w:sz="0" w:space="0" w:color="auto"/>
                    <w:bottom w:val="none" w:sz="0" w:space="0" w:color="auto"/>
                    <w:right w:val="none" w:sz="0" w:space="0" w:color="auto"/>
                  </w:divBdr>
                </w:div>
              </w:divsChild>
            </w:div>
            <w:div w:id="1336957302">
              <w:marLeft w:val="0"/>
              <w:marRight w:val="0"/>
              <w:marTop w:val="0"/>
              <w:marBottom w:val="0"/>
              <w:divBdr>
                <w:top w:val="none" w:sz="0" w:space="0" w:color="auto"/>
                <w:left w:val="none" w:sz="0" w:space="0" w:color="auto"/>
                <w:bottom w:val="none" w:sz="0" w:space="0" w:color="auto"/>
                <w:right w:val="none" w:sz="0" w:space="0" w:color="auto"/>
              </w:divBdr>
              <w:divsChild>
                <w:div w:id="1109855338">
                  <w:marLeft w:val="0"/>
                  <w:marRight w:val="0"/>
                  <w:marTop w:val="0"/>
                  <w:marBottom w:val="0"/>
                  <w:divBdr>
                    <w:top w:val="none" w:sz="0" w:space="0" w:color="auto"/>
                    <w:left w:val="none" w:sz="0" w:space="0" w:color="auto"/>
                    <w:bottom w:val="none" w:sz="0" w:space="0" w:color="auto"/>
                    <w:right w:val="none" w:sz="0" w:space="0" w:color="auto"/>
                  </w:divBdr>
                </w:div>
              </w:divsChild>
            </w:div>
            <w:div w:id="1354116802">
              <w:marLeft w:val="0"/>
              <w:marRight w:val="0"/>
              <w:marTop w:val="0"/>
              <w:marBottom w:val="0"/>
              <w:divBdr>
                <w:top w:val="none" w:sz="0" w:space="0" w:color="auto"/>
                <w:left w:val="none" w:sz="0" w:space="0" w:color="auto"/>
                <w:bottom w:val="none" w:sz="0" w:space="0" w:color="auto"/>
                <w:right w:val="none" w:sz="0" w:space="0" w:color="auto"/>
              </w:divBdr>
              <w:divsChild>
                <w:div w:id="1677225857">
                  <w:marLeft w:val="0"/>
                  <w:marRight w:val="0"/>
                  <w:marTop w:val="0"/>
                  <w:marBottom w:val="0"/>
                  <w:divBdr>
                    <w:top w:val="none" w:sz="0" w:space="0" w:color="auto"/>
                    <w:left w:val="none" w:sz="0" w:space="0" w:color="auto"/>
                    <w:bottom w:val="none" w:sz="0" w:space="0" w:color="auto"/>
                    <w:right w:val="none" w:sz="0" w:space="0" w:color="auto"/>
                  </w:divBdr>
                </w:div>
              </w:divsChild>
            </w:div>
            <w:div w:id="1420517169">
              <w:marLeft w:val="0"/>
              <w:marRight w:val="0"/>
              <w:marTop w:val="0"/>
              <w:marBottom w:val="0"/>
              <w:divBdr>
                <w:top w:val="none" w:sz="0" w:space="0" w:color="auto"/>
                <w:left w:val="none" w:sz="0" w:space="0" w:color="auto"/>
                <w:bottom w:val="none" w:sz="0" w:space="0" w:color="auto"/>
                <w:right w:val="none" w:sz="0" w:space="0" w:color="auto"/>
              </w:divBdr>
              <w:divsChild>
                <w:div w:id="1259365482">
                  <w:marLeft w:val="0"/>
                  <w:marRight w:val="0"/>
                  <w:marTop w:val="0"/>
                  <w:marBottom w:val="0"/>
                  <w:divBdr>
                    <w:top w:val="none" w:sz="0" w:space="0" w:color="auto"/>
                    <w:left w:val="none" w:sz="0" w:space="0" w:color="auto"/>
                    <w:bottom w:val="none" w:sz="0" w:space="0" w:color="auto"/>
                    <w:right w:val="none" w:sz="0" w:space="0" w:color="auto"/>
                  </w:divBdr>
                </w:div>
              </w:divsChild>
            </w:div>
            <w:div w:id="1485705241">
              <w:marLeft w:val="0"/>
              <w:marRight w:val="0"/>
              <w:marTop w:val="0"/>
              <w:marBottom w:val="0"/>
              <w:divBdr>
                <w:top w:val="none" w:sz="0" w:space="0" w:color="auto"/>
                <w:left w:val="none" w:sz="0" w:space="0" w:color="auto"/>
                <w:bottom w:val="none" w:sz="0" w:space="0" w:color="auto"/>
                <w:right w:val="none" w:sz="0" w:space="0" w:color="auto"/>
              </w:divBdr>
              <w:divsChild>
                <w:div w:id="544945732">
                  <w:marLeft w:val="0"/>
                  <w:marRight w:val="0"/>
                  <w:marTop w:val="0"/>
                  <w:marBottom w:val="0"/>
                  <w:divBdr>
                    <w:top w:val="none" w:sz="0" w:space="0" w:color="auto"/>
                    <w:left w:val="none" w:sz="0" w:space="0" w:color="auto"/>
                    <w:bottom w:val="none" w:sz="0" w:space="0" w:color="auto"/>
                    <w:right w:val="none" w:sz="0" w:space="0" w:color="auto"/>
                  </w:divBdr>
                </w:div>
              </w:divsChild>
            </w:div>
            <w:div w:id="1515026407">
              <w:marLeft w:val="0"/>
              <w:marRight w:val="0"/>
              <w:marTop w:val="0"/>
              <w:marBottom w:val="0"/>
              <w:divBdr>
                <w:top w:val="none" w:sz="0" w:space="0" w:color="auto"/>
                <w:left w:val="none" w:sz="0" w:space="0" w:color="auto"/>
                <w:bottom w:val="none" w:sz="0" w:space="0" w:color="auto"/>
                <w:right w:val="none" w:sz="0" w:space="0" w:color="auto"/>
              </w:divBdr>
              <w:divsChild>
                <w:div w:id="849757635">
                  <w:marLeft w:val="0"/>
                  <w:marRight w:val="0"/>
                  <w:marTop w:val="0"/>
                  <w:marBottom w:val="0"/>
                  <w:divBdr>
                    <w:top w:val="none" w:sz="0" w:space="0" w:color="auto"/>
                    <w:left w:val="none" w:sz="0" w:space="0" w:color="auto"/>
                    <w:bottom w:val="none" w:sz="0" w:space="0" w:color="auto"/>
                    <w:right w:val="none" w:sz="0" w:space="0" w:color="auto"/>
                  </w:divBdr>
                </w:div>
              </w:divsChild>
            </w:div>
            <w:div w:id="1543052744">
              <w:marLeft w:val="0"/>
              <w:marRight w:val="0"/>
              <w:marTop w:val="0"/>
              <w:marBottom w:val="0"/>
              <w:divBdr>
                <w:top w:val="none" w:sz="0" w:space="0" w:color="auto"/>
                <w:left w:val="none" w:sz="0" w:space="0" w:color="auto"/>
                <w:bottom w:val="none" w:sz="0" w:space="0" w:color="auto"/>
                <w:right w:val="none" w:sz="0" w:space="0" w:color="auto"/>
              </w:divBdr>
              <w:divsChild>
                <w:div w:id="2095473236">
                  <w:marLeft w:val="0"/>
                  <w:marRight w:val="0"/>
                  <w:marTop w:val="0"/>
                  <w:marBottom w:val="0"/>
                  <w:divBdr>
                    <w:top w:val="none" w:sz="0" w:space="0" w:color="auto"/>
                    <w:left w:val="none" w:sz="0" w:space="0" w:color="auto"/>
                    <w:bottom w:val="none" w:sz="0" w:space="0" w:color="auto"/>
                    <w:right w:val="none" w:sz="0" w:space="0" w:color="auto"/>
                  </w:divBdr>
                </w:div>
              </w:divsChild>
            </w:div>
            <w:div w:id="1547839092">
              <w:marLeft w:val="0"/>
              <w:marRight w:val="0"/>
              <w:marTop w:val="0"/>
              <w:marBottom w:val="0"/>
              <w:divBdr>
                <w:top w:val="none" w:sz="0" w:space="0" w:color="auto"/>
                <w:left w:val="none" w:sz="0" w:space="0" w:color="auto"/>
                <w:bottom w:val="none" w:sz="0" w:space="0" w:color="auto"/>
                <w:right w:val="none" w:sz="0" w:space="0" w:color="auto"/>
              </w:divBdr>
              <w:divsChild>
                <w:div w:id="920796343">
                  <w:marLeft w:val="0"/>
                  <w:marRight w:val="0"/>
                  <w:marTop w:val="0"/>
                  <w:marBottom w:val="0"/>
                  <w:divBdr>
                    <w:top w:val="none" w:sz="0" w:space="0" w:color="auto"/>
                    <w:left w:val="none" w:sz="0" w:space="0" w:color="auto"/>
                    <w:bottom w:val="none" w:sz="0" w:space="0" w:color="auto"/>
                    <w:right w:val="none" w:sz="0" w:space="0" w:color="auto"/>
                  </w:divBdr>
                </w:div>
              </w:divsChild>
            </w:div>
            <w:div w:id="1585996723">
              <w:marLeft w:val="0"/>
              <w:marRight w:val="0"/>
              <w:marTop w:val="0"/>
              <w:marBottom w:val="0"/>
              <w:divBdr>
                <w:top w:val="none" w:sz="0" w:space="0" w:color="auto"/>
                <w:left w:val="none" w:sz="0" w:space="0" w:color="auto"/>
                <w:bottom w:val="none" w:sz="0" w:space="0" w:color="auto"/>
                <w:right w:val="none" w:sz="0" w:space="0" w:color="auto"/>
              </w:divBdr>
              <w:divsChild>
                <w:div w:id="1421562211">
                  <w:marLeft w:val="0"/>
                  <w:marRight w:val="0"/>
                  <w:marTop w:val="0"/>
                  <w:marBottom w:val="0"/>
                  <w:divBdr>
                    <w:top w:val="none" w:sz="0" w:space="0" w:color="auto"/>
                    <w:left w:val="none" w:sz="0" w:space="0" w:color="auto"/>
                    <w:bottom w:val="none" w:sz="0" w:space="0" w:color="auto"/>
                    <w:right w:val="none" w:sz="0" w:space="0" w:color="auto"/>
                  </w:divBdr>
                </w:div>
              </w:divsChild>
            </w:div>
            <w:div w:id="1589264153">
              <w:marLeft w:val="0"/>
              <w:marRight w:val="0"/>
              <w:marTop w:val="0"/>
              <w:marBottom w:val="0"/>
              <w:divBdr>
                <w:top w:val="none" w:sz="0" w:space="0" w:color="auto"/>
                <w:left w:val="none" w:sz="0" w:space="0" w:color="auto"/>
                <w:bottom w:val="none" w:sz="0" w:space="0" w:color="auto"/>
                <w:right w:val="none" w:sz="0" w:space="0" w:color="auto"/>
              </w:divBdr>
              <w:divsChild>
                <w:div w:id="1304852851">
                  <w:marLeft w:val="0"/>
                  <w:marRight w:val="0"/>
                  <w:marTop w:val="0"/>
                  <w:marBottom w:val="0"/>
                  <w:divBdr>
                    <w:top w:val="none" w:sz="0" w:space="0" w:color="auto"/>
                    <w:left w:val="none" w:sz="0" w:space="0" w:color="auto"/>
                    <w:bottom w:val="none" w:sz="0" w:space="0" w:color="auto"/>
                    <w:right w:val="none" w:sz="0" w:space="0" w:color="auto"/>
                  </w:divBdr>
                </w:div>
              </w:divsChild>
            </w:div>
            <w:div w:id="1605306651">
              <w:marLeft w:val="0"/>
              <w:marRight w:val="0"/>
              <w:marTop w:val="0"/>
              <w:marBottom w:val="0"/>
              <w:divBdr>
                <w:top w:val="none" w:sz="0" w:space="0" w:color="auto"/>
                <w:left w:val="none" w:sz="0" w:space="0" w:color="auto"/>
                <w:bottom w:val="none" w:sz="0" w:space="0" w:color="auto"/>
                <w:right w:val="none" w:sz="0" w:space="0" w:color="auto"/>
              </w:divBdr>
              <w:divsChild>
                <w:div w:id="1180196333">
                  <w:marLeft w:val="0"/>
                  <w:marRight w:val="0"/>
                  <w:marTop w:val="0"/>
                  <w:marBottom w:val="0"/>
                  <w:divBdr>
                    <w:top w:val="none" w:sz="0" w:space="0" w:color="auto"/>
                    <w:left w:val="none" w:sz="0" w:space="0" w:color="auto"/>
                    <w:bottom w:val="none" w:sz="0" w:space="0" w:color="auto"/>
                    <w:right w:val="none" w:sz="0" w:space="0" w:color="auto"/>
                  </w:divBdr>
                </w:div>
              </w:divsChild>
            </w:div>
            <w:div w:id="1643848665">
              <w:marLeft w:val="0"/>
              <w:marRight w:val="0"/>
              <w:marTop w:val="0"/>
              <w:marBottom w:val="0"/>
              <w:divBdr>
                <w:top w:val="none" w:sz="0" w:space="0" w:color="auto"/>
                <w:left w:val="none" w:sz="0" w:space="0" w:color="auto"/>
                <w:bottom w:val="none" w:sz="0" w:space="0" w:color="auto"/>
                <w:right w:val="none" w:sz="0" w:space="0" w:color="auto"/>
              </w:divBdr>
              <w:divsChild>
                <w:div w:id="1644503025">
                  <w:marLeft w:val="0"/>
                  <w:marRight w:val="0"/>
                  <w:marTop w:val="0"/>
                  <w:marBottom w:val="0"/>
                  <w:divBdr>
                    <w:top w:val="none" w:sz="0" w:space="0" w:color="auto"/>
                    <w:left w:val="none" w:sz="0" w:space="0" w:color="auto"/>
                    <w:bottom w:val="none" w:sz="0" w:space="0" w:color="auto"/>
                    <w:right w:val="none" w:sz="0" w:space="0" w:color="auto"/>
                  </w:divBdr>
                </w:div>
              </w:divsChild>
            </w:div>
            <w:div w:id="1696274785">
              <w:marLeft w:val="0"/>
              <w:marRight w:val="0"/>
              <w:marTop w:val="0"/>
              <w:marBottom w:val="0"/>
              <w:divBdr>
                <w:top w:val="none" w:sz="0" w:space="0" w:color="auto"/>
                <w:left w:val="none" w:sz="0" w:space="0" w:color="auto"/>
                <w:bottom w:val="none" w:sz="0" w:space="0" w:color="auto"/>
                <w:right w:val="none" w:sz="0" w:space="0" w:color="auto"/>
              </w:divBdr>
              <w:divsChild>
                <w:div w:id="1351681951">
                  <w:marLeft w:val="0"/>
                  <w:marRight w:val="0"/>
                  <w:marTop w:val="0"/>
                  <w:marBottom w:val="0"/>
                  <w:divBdr>
                    <w:top w:val="none" w:sz="0" w:space="0" w:color="auto"/>
                    <w:left w:val="none" w:sz="0" w:space="0" w:color="auto"/>
                    <w:bottom w:val="none" w:sz="0" w:space="0" w:color="auto"/>
                    <w:right w:val="none" w:sz="0" w:space="0" w:color="auto"/>
                  </w:divBdr>
                </w:div>
              </w:divsChild>
            </w:div>
            <w:div w:id="1764106954">
              <w:marLeft w:val="0"/>
              <w:marRight w:val="0"/>
              <w:marTop w:val="0"/>
              <w:marBottom w:val="0"/>
              <w:divBdr>
                <w:top w:val="none" w:sz="0" w:space="0" w:color="auto"/>
                <w:left w:val="none" w:sz="0" w:space="0" w:color="auto"/>
                <w:bottom w:val="none" w:sz="0" w:space="0" w:color="auto"/>
                <w:right w:val="none" w:sz="0" w:space="0" w:color="auto"/>
              </w:divBdr>
              <w:divsChild>
                <w:div w:id="1000503123">
                  <w:marLeft w:val="0"/>
                  <w:marRight w:val="0"/>
                  <w:marTop w:val="0"/>
                  <w:marBottom w:val="0"/>
                  <w:divBdr>
                    <w:top w:val="none" w:sz="0" w:space="0" w:color="auto"/>
                    <w:left w:val="none" w:sz="0" w:space="0" w:color="auto"/>
                    <w:bottom w:val="none" w:sz="0" w:space="0" w:color="auto"/>
                    <w:right w:val="none" w:sz="0" w:space="0" w:color="auto"/>
                  </w:divBdr>
                </w:div>
              </w:divsChild>
            </w:div>
            <w:div w:id="1898395948">
              <w:marLeft w:val="0"/>
              <w:marRight w:val="0"/>
              <w:marTop w:val="0"/>
              <w:marBottom w:val="0"/>
              <w:divBdr>
                <w:top w:val="none" w:sz="0" w:space="0" w:color="auto"/>
                <w:left w:val="none" w:sz="0" w:space="0" w:color="auto"/>
                <w:bottom w:val="none" w:sz="0" w:space="0" w:color="auto"/>
                <w:right w:val="none" w:sz="0" w:space="0" w:color="auto"/>
              </w:divBdr>
              <w:divsChild>
                <w:div w:id="195822558">
                  <w:marLeft w:val="0"/>
                  <w:marRight w:val="0"/>
                  <w:marTop w:val="0"/>
                  <w:marBottom w:val="0"/>
                  <w:divBdr>
                    <w:top w:val="none" w:sz="0" w:space="0" w:color="auto"/>
                    <w:left w:val="none" w:sz="0" w:space="0" w:color="auto"/>
                    <w:bottom w:val="none" w:sz="0" w:space="0" w:color="auto"/>
                    <w:right w:val="none" w:sz="0" w:space="0" w:color="auto"/>
                  </w:divBdr>
                </w:div>
              </w:divsChild>
            </w:div>
            <w:div w:id="1906523822">
              <w:marLeft w:val="0"/>
              <w:marRight w:val="0"/>
              <w:marTop w:val="0"/>
              <w:marBottom w:val="0"/>
              <w:divBdr>
                <w:top w:val="none" w:sz="0" w:space="0" w:color="auto"/>
                <w:left w:val="none" w:sz="0" w:space="0" w:color="auto"/>
                <w:bottom w:val="none" w:sz="0" w:space="0" w:color="auto"/>
                <w:right w:val="none" w:sz="0" w:space="0" w:color="auto"/>
              </w:divBdr>
              <w:divsChild>
                <w:div w:id="946235058">
                  <w:marLeft w:val="0"/>
                  <w:marRight w:val="0"/>
                  <w:marTop w:val="0"/>
                  <w:marBottom w:val="0"/>
                  <w:divBdr>
                    <w:top w:val="none" w:sz="0" w:space="0" w:color="auto"/>
                    <w:left w:val="none" w:sz="0" w:space="0" w:color="auto"/>
                    <w:bottom w:val="none" w:sz="0" w:space="0" w:color="auto"/>
                    <w:right w:val="none" w:sz="0" w:space="0" w:color="auto"/>
                  </w:divBdr>
                </w:div>
              </w:divsChild>
            </w:div>
            <w:div w:id="2024550717">
              <w:marLeft w:val="0"/>
              <w:marRight w:val="0"/>
              <w:marTop w:val="0"/>
              <w:marBottom w:val="0"/>
              <w:divBdr>
                <w:top w:val="none" w:sz="0" w:space="0" w:color="auto"/>
                <w:left w:val="none" w:sz="0" w:space="0" w:color="auto"/>
                <w:bottom w:val="none" w:sz="0" w:space="0" w:color="auto"/>
                <w:right w:val="none" w:sz="0" w:space="0" w:color="auto"/>
              </w:divBdr>
              <w:divsChild>
                <w:div w:id="1059864704">
                  <w:marLeft w:val="0"/>
                  <w:marRight w:val="0"/>
                  <w:marTop w:val="0"/>
                  <w:marBottom w:val="0"/>
                  <w:divBdr>
                    <w:top w:val="none" w:sz="0" w:space="0" w:color="auto"/>
                    <w:left w:val="none" w:sz="0" w:space="0" w:color="auto"/>
                    <w:bottom w:val="none" w:sz="0" w:space="0" w:color="auto"/>
                    <w:right w:val="none" w:sz="0" w:space="0" w:color="auto"/>
                  </w:divBdr>
                </w:div>
              </w:divsChild>
            </w:div>
            <w:div w:id="2050296769">
              <w:marLeft w:val="0"/>
              <w:marRight w:val="0"/>
              <w:marTop w:val="0"/>
              <w:marBottom w:val="0"/>
              <w:divBdr>
                <w:top w:val="none" w:sz="0" w:space="0" w:color="auto"/>
                <w:left w:val="none" w:sz="0" w:space="0" w:color="auto"/>
                <w:bottom w:val="none" w:sz="0" w:space="0" w:color="auto"/>
                <w:right w:val="none" w:sz="0" w:space="0" w:color="auto"/>
              </w:divBdr>
              <w:divsChild>
                <w:div w:id="282083369">
                  <w:marLeft w:val="0"/>
                  <w:marRight w:val="0"/>
                  <w:marTop w:val="0"/>
                  <w:marBottom w:val="0"/>
                  <w:divBdr>
                    <w:top w:val="none" w:sz="0" w:space="0" w:color="auto"/>
                    <w:left w:val="none" w:sz="0" w:space="0" w:color="auto"/>
                    <w:bottom w:val="none" w:sz="0" w:space="0" w:color="auto"/>
                    <w:right w:val="none" w:sz="0" w:space="0" w:color="auto"/>
                  </w:divBdr>
                </w:div>
              </w:divsChild>
            </w:div>
            <w:div w:id="2066679787">
              <w:marLeft w:val="0"/>
              <w:marRight w:val="0"/>
              <w:marTop w:val="0"/>
              <w:marBottom w:val="0"/>
              <w:divBdr>
                <w:top w:val="none" w:sz="0" w:space="0" w:color="auto"/>
                <w:left w:val="none" w:sz="0" w:space="0" w:color="auto"/>
                <w:bottom w:val="none" w:sz="0" w:space="0" w:color="auto"/>
                <w:right w:val="none" w:sz="0" w:space="0" w:color="auto"/>
              </w:divBdr>
              <w:divsChild>
                <w:div w:id="15004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6326">
      <w:bodyDiv w:val="1"/>
      <w:marLeft w:val="0"/>
      <w:marRight w:val="0"/>
      <w:marTop w:val="0"/>
      <w:marBottom w:val="0"/>
      <w:divBdr>
        <w:top w:val="none" w:sz="0" w:space="0" w:color="auto"/>
        <w:left w:val="none" w:sz="0" w:space="0" w:color="auto"/>
        <w:bottom w:val="none" w:sz="0" w:space="0" w:color="auto"/>
        <w:right w:val="none" w:sz="0" w:space="0" w:color="auto"/>
      </w:divBdr>
      <w:divsChild>
        <w:div w:id="1471706653">
          <w:marLeft w:val="576"/>
          <w:marRight w:val="0"/>
          <w:marTop w:val="120"/>
          <w:marBottom w:val="120"/>
          <w:divBdr>
            <w:top w:val="none" w:sz="0" w:space="0" w:color="auto"/>
            <w:left w:val="none" w:sz="0" w:space="0" w:color="auto"/>
            <w:bottom w:val="none" w:sz="0" w:space="0" w:color="auto"/>
            <w:right w:val="none" w:sz="0" w:space="0" w:color="auto"/>
          </w:divBdr>
        </w:div>
      </w:divsChild>
    </w:div>
    <w:div w:id="1389264508">
      <w:bodyDiv w:val="1"/>
      <w:marLeft w:val="0"/>
      <w:marRight w:val="0"/>
      <w:marTop w:val="0"/>
      <w:marBottom w:val="0"/>
      <w:divBdr>
        <w:top w:val="none" w:sz="0" w:space="0" w:color="auto"/>
        <w:left w:val="none" w:sz="0" w:space="0" w:color="auto"/>
        <w:bottom w:val="none" w:sz="0" w:space="0" w:color="auto"/>
        <w:right w:val="none" w:sz="0" w:space="0" w:color="auto"/>
      </w:divBdr>
      <w:divsChild>
        <w:div w:id="771048008">
          <w:marLeft w:val="0"/>
          <w:marRight w:val="0"/>
          <w:marTop w:val="0"/>
          <w:marBottom w:val="0"/>
          <w:divBdr>
            <w:top w:val="none" w:sz="0" w:space="0" w:color="auto"/>
            <w:left w:val="none" w:sz="0" w:space="0" w:color="auto"/>
            <w:bottom w:val="none" w:sz="0" w:space="0" w:color="auto"/>
            <w:right w:val="none" w:sz="0" w:space="0" w:color="auto"/>
          </w:divBdr>
          <w:divsChild>
            <w:div w:id="451481405">
              <w:marLeft w:val="0"/>
              <w:marRight w:val="0"/>
              <w:marTop w:val="0"/>
              <w:marBottom w:val="0"/>
              <w:divBdr>
                <w:top w:val="none" w:sz="0" w:space="0" w:color="auto"/>
                <w:left w:val="none" w:sz="0" w:space="0" w:color="auto"/>
                <w:bottom w:val="none" w:sz="0" w:space="0" w:color="auto"/>
                <w:right w:val="none" w:sz="0" w:space="0" w:color="auto"/>
              </w:divBdr>
              <w:divsChild>
                <w:div w:id="1476683107">
                  <w:marLeft w:val="-225"/>
                  <w:marRight w:val="-225"/>
                  <w:marTop w:val="0"/>
                  <w:marBottom w:val="0"/>
                  <w:divBdr>
                    <w:top w:val="none" w:sz="0" w:space="0" w:color="auto"/>
                    <w:left w:val="none" w:sz="0" w:space="0" w:color="auto"/>
                    <w:bottom w:val="none" w:sz="0" w:space="0" w:color="auto"/>
                    <w:right w:val="none" w:sz="0" w:space="0" w:color="auto"/>
                  </w:divBdr>
                  <w:divsChild>
                    <w:div w:id="581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731">
      <w:bodyDiv w:val="1"/>
      <w:marLeft w:val="0"/>
      <w:marRight w:val="0"/>
      <w:marTop w:val="0"/>
      <w:marBottom w:val="0"/>
      <w:divBdr>
        <w:top w:val="none" w:sz="0" w:space="0" w:color="auto"/>
        <w:left w:val="none" w:sz="0" w:space="0" w:color="auto"/>
        <w:bottom w:val="none" w:sz="0" w:space="0" w:color="auto"/>
        <w:right w:val="none" w:sz="0" w:space="0" w:color="auto"/>
      </w:divBdr>
      <w:divsChild>
        <w:div w:id="20403802">
          <w:marLeft w:val="576"/>
          <w:marRight w:val="0"/>
          <w:marTop w:val="120"/>
          <w:marBottom w:val="120"/>
          <w:divBdr>
            <w:top w:val="none" w:sz="0" w:space="0" w:color="auto"/>
            <w:left w:val="none" w:sz="0" w:space="0" w:color="auto"/>
            <w:bottom w:val="none" w:sz="0" w:space="0" w:color="auto"/>
            <w:right w:val="none" w:sz="0" w:space="0" w:color="auto"/>
          </w:divBdr>
        </w:div>
        <w:div w:id="270088265">
          <w:marLeft w:val="576"/>
          <w:marRight w:val="0"/>
          <w:marTop w:val="120"/>
          <w:marBottom w:val="120"/>
          <w:divBdr>
            <w:top w:val="none" w:sz="0" w:space="0" w:color="auto"/>
            <w:left w:val="none" w:sz="0" w:space="0" w:color="auto"/>
            <w:bottom w:val="none" w:sz="0" w:space="0" w:color="auto"/>
            <w:right w:val="none" w:sz="0" w:space="0" w:color="auto"/>
          </w:divBdr>
        </w:div>
      </w:divsChild>
    </w:div>
    <w:div w:id="1440444056">
      <w:bodyDiv w:val="1"/>
      <w:marLeft w:val="0"/>
      <w:marRight w:val="0"/>
      <w:marTop w:val="0"/>
      <w:marBottom w:val="0"/>
      <w:divBdr>
        <w:top w:val="none" w:sz="0" w:space="0" w:color="auto"/>
        <w:left w:val="none" w:sz="0" w:space="0" w:color="auto"/>
        <w:bottom w:val="none" w:sz="0" w:space="0" w:color="auto"/>
        <w:right w:val="none" w:sz="0" w:space="0" w:color="auto"/>
      </w:divBdr>
      <w:divsChild>
        <w:div w:id="1396657817">
          <w:marLeft w:val="0"/>
          <w:marRight w:val="0"/>
          <w:marTop w:val="0"/>
          <w:marBottom w:val="0"/>
          <w:divBdr>
            <w:top w:val="none" w:sz="0" w:space="0" w:color="auto"/>
            <w:left w:val="none" w:sz="0" w:space="0" w:color="auto"/>
            <w:bottom w:val="none" w:sz="0" w:space="0" w:color="auto"/>
            <w:right w:val="none" w:sz="0" w:space="0" w:color="auto"/>
          </w:divBdr>
          <w:divsChild>
            <w:div w:id="121072265">
              <w:marLeft w:val="0"/>
              <w:marRight w:val="0"/>
              <w:marTop w:val="0"/>
              <w:marBottom w:val="0"/>
              <w:divBdr>
                <w:top w:val="none" w:sz="0" w:space="0" w:color="auto"/>
                <w:left w:val="none" w:sz="0" w:space="0" w:color="auto"/>
                <w:bottom w:val="none" w:sz="0" w:space="0" w:color="auto"/>
                <w:right w:val="none" w:sz="0" w:space="0" w:color="auto"/>
              </w:divBdr>
              <w:divsChild>
                <w:div w:id="303200475">
                  <w:marLeft w:val="0"/>
                  <w:marRight w:val="0"/>
                  <w:marTop w:val="0"/>
                  <w:marBottom w:val="0"/>
                  <w:divBdr>
                    <w:top w:val="none" w:sz="0" w:space="0" w:color="auto"/>
                    <w:left w:val="none" w:sz="0" w:space="0" w:color="auto"/>
                    <w:bottom w:val="none" w:sz="0" w:space="0" w:color="auto"/>
                    <w:right w:val="none" w:sz="0" w:space="0" w:color="auto"/>
                  </w:divBdr>
                </w:div>
              </w:divsChild>
            </w:div>
            <w:div w:id="191655883">
              <w:marLeft w:val="0"/>
              <w:marRight w:val="0"/>
              <w:marTop w:val="0"/>
              <w:marBottom w:val="0"/>
              <w:divBdr>
                <w:top w:val="none" w:sz="0" w:space="0" w:color="auto"/>
                <w:left w:val="none" w:sz="0" w:space="0" w:color="auto"/>
                <w:bottom w:val="none" w:sz="0" w:space="0" w:color="auto"/>
                <w:right w:val="none" w:sz="0" w:space="0" w:color="auto"/>
              </w:divBdr>
              <w:divsChild>
                <w:div w:id="44109782">
                  <w:marLeft w:val="0"/>
                  <w:marRight w:val="0"/>
                  <w:marTop w:val="0"/>
                  <w:marBottom w:val="0"/>
                  <w:divBdr>
                    <w:top w:val="none" w:sz="0" w:space="0" w:color="auto"/>
                    <w:left w:val="none" w:sz="0" w:space="0" w:color="auto"/>
                    <w:bottom w:val="none" w:sz="0" w:space="0" w:color="auto"/>
                    <w:right w:val="none" w:sz="0" w:space="0" w:color="auto"/>
                  </w:divBdr>
                </w:div>
              </w:divsChild>
            </w:div>
            <w:div w:id="194119113">
              <w:marLeft w:val="0"/>
              <w:marRight w:val="0"/>
              <w:marTop w:val="0"/>
              <w:marBottom w:val="0"/>
              <w:divBdr>
                <w:top w:val="none" w:sz="0" w:space="0" w:color="auto"/>
                <w:left w:val="none" w:sz="0" w:space="0" w:color="auto"/>
                <w:bottom w:val="none" w:sz="0" w:space="0" w:color="auto"/>
                <w:right w:val="none" w:sz="0" w:space="0" w:color="auto"/>
              </w:divBdr>
              <w:divsChild>
                <w:div w:id="716977343">
                  <w:marLeft w:val="0"/>
                  <w:marRight w:val="0"/>
                  <w:marTop w:val="0"/>
                  <w:marBottom w:val="0"/>
                  <w:divBdr>
                    <w:top w:val="none" w:sz="0" w:space="0" w:color="auto"/>
                    <w:left w:val="none" w:sz="0" w:space="0" w:color="auto"/>
                    <w:bottom w:val="none" w:sz="0" w:space="0" w:color="auto"/>
                    <w:right w:val="none" w:sz="0" w:space="0" w:color="auto"/>
                  </w:divBdr>
                </w:div>
              </w:divsChild>
            </w:div>
            <w:div w:id="260573542">
              <w:marLeft w:val="0"/>
              <w:marRight w:val="0"/>
              <w:marTop w:val="0"/>
              <w:marBottom w:val="0"/>
              <w:divBdr>
                <w:top w:val="none" w:sz="0" w:space="0" w:color="auto"/>
                <w:left w:val="none" w:sz="0" w:space="0" w:color="auto"/>
                <w:bottom w:val="none" w:sz="0" w:space="0" w:color="auto"/>
                <w:right w:val="none" w:sz="0" w:space="0" w:color="auto"/>
              </w:divBdr>
              <w:divsChild>
                <w:div w:id="1892692102">
                  <w:marLeft w:val="0"/>
                  <w:marRight w:val="0"/>
                  <w:marTop w:val="0"/>
                  <w:marBottom w:val="0"/>
                  <w:divBdr>
                    <w:top w:val="none" w:sz="0" w:space="0" w:color="auto"/>
                    <w:left w:val="none" w:sz="0" w:space="0" w:color="auto"/>
                    <w:bottom w:val="none" w:sz="0" w:space="0" w:color="auto"/>
                    <w:right w:val="none" w:sz="0" w:space="0" w:color="auto"/>
                  </w:divBdr>
                </w:div>
              </w:divsChild>
            </w:div>
            <w:div w:id="280116215">
              <w:marLeft w:val="0"/>
              <w:marRight w:val="0"/>
              <w:marTop w:val="0"/>
              <w:marBottom w:val="0"/>
              <w:divBdr>
                <w:top w:val="none" w:sz="0" w:space="0" w:color="auto"/>
                <w:left w:val="none" w:sz="0" w:space="0" w:color="auto"/>
                <w:bottom w:val="none" w:sz="0" w:space="0" w:color="auto"/>
                <w:right w:val="none" w:sz="0" w:space="0" w:color="auto"/>
              </w:divBdr>
              <w:divsChild>
                <w:div w:id="604265866">
                  <w:marLeft w:val="0"/>
                  <w:marRight w:val="0"/>
                  <w:marTop w:val="0"/>
                  <w:marBottom w:val="0"/>
                  <w:divBdr>
                    <w:top w:val="none" w:sz="0" w:space="0" w:color="auto"/>
                    <w:left w:val="none" w:sz="0" w:space="0" w:color="auto"/>
                    <w:bottom w:val="none" w:sz="0" w:space="0" w:color="auto"/>
                    <w:right w:val="none" w:sz="0" w:space="0" w:color="auto"/>
                  </w:divBdr>
                </w:div>
              </w:divsChild>
            </w:div>
            <w:div w:id="281502298">
              <w:marLeft w:val="0"/>
              <w:marRight w:val="0"/>
              <w:marTop w:val="0"/>
              <w:marBottom w:val="0"/>
              <w:divBdr>
                <w:top w:val="none" w:sz="0" w:space="0" w:color="auto"/>
                <w:left w:val="none" w:sz="0" w:space="0" w:color="auto"/>
                <w:bottom w:val="none" w:sz="0" w:space="0" w:color="auto"/>
                <w:right w:val="none" w:sz="0" w:space="0" w:color="auto"/>
              </w:divBdr>
              <w:divsChild>
                <w:div w:id="589627456">
                  <w:marLeft w:val="0"/>
                  <w:marRight w:val="0"/>
                  <w:marTop w:val="0"/>
                  <w:marBottom w:val="0"/>
                  <w:divBdr>
                    <w:top w:val="none" w:sz="0" w:space="0" w:color="auto"/>
                    <w:left w:val="none" w:sz="0" w:space="0" w:color="auto"/>
                    <w:bottom w:val="none" w:sz="0" w:space="0" w:color="auto"/>
                    <w:right w:val="none" w:sz="0" w:space="0" w:color="auto"/>
                  </w:divBdr>
                </w:div>
              </w:divsChild>
            </w:div>
            <w:div w:id="424376151">
              <w:marLeft w:val="0"/>
              <w:marRight w:val="0"/>
              <w:marTop w:val="0"/>
              <w:marBottom w:val="0"/>
              <w:divBdr>
                <w:top w:val="none" w:sz="0" w:space="0" w:color="auto"/>
                <w:left w:val="none" w:sz="0" w:space="0" w:color="auto"/>
                <w:bottom w:val="none" w:sz="0" w:space="0" w:color="auto"/>
                <w:right w:val="none" w:sz="0" w:space="0" w:color="auto"/>
              </w:divBdr>
              <w:divsChild>
                <w:div w:id="999037734">
                  <w:marLeft w:val="0"/>
                  <w:marRight w:val="0"/>
                  <w:marTop w:val="0"/>
                  <w:marBottom w:val="0"/>
                  <w:divBdr>
                    <w:top w:val="none" w:sz="0" w:space="0" w:color="auto"/>
                    <w:left w:val="none" w:sz="0" w:space="0" w:color="auto"/>
                    <w:bottom w:val="none" w:sz="0" w:space="0" w:color="auto"/>
                    <w:right w:val="none" w:sz="0" w:space="0" w:color="auto"/>
                  </w:divBdr>
                </w:div>
              </w:divsChild>
            </w:div>
            <w:div w:id="547181943">
              <w:marLeft w:val="0"/>
              <w:marRight w:val="0"/>
              <w:marTop w:val="0"/>
              <w:marBottom w:val="0"/>
              <w:divBdr>
                <w:top w:val="none" w:sz="0" w:space="0" w:color="auto"/>
                <w:left w:val="none" w:sz="0" w:space="0" w:color="auto"/>
                <w:bottom w:val="none" w:sz="0" w:space="0" w:color="auto"/>
                <w:right w:val="none" w:sz="0" w:space="0" w:color="auto"/>
              </w:divBdr>
              <w:divsChild>
                <w:div w:id="1218542294">
                  <w:marLeft w:val="0"/>
                  <w:marRight w:val="0"/>
                  <w:marTop w:val="0"/>
                  <w:marBottom w:val="0"/>
                  <w:divBdr>
                    <w:top w:val="none" w:sz="0" w:space="0" w:color="auto"/>
                    <w:left w:val="none" w:sz="0" w:space="0" w:color="auto"/>
                    <w:bottom w:val="none" w:sz="0" w:space="0" w:color="auto"/>
                    <w:right w:val="none" w:sz="0" w:space="0" w:color="auto"/>
                  </w:divBdr>
                </w:div>
              </w:divsChild>
            </w:div>
            <w:div w:id="565336994">
              <w:marLeft w:val="0"/>
              <w:marRight w:val="0"/>
              <w:marTop w:val="0"/>
              <w:marBottom w:val="0"/>
              <w:divBdr>
                <w:top w:val="none" w:sz="0" w:space="0" w:color="auto"/>
                <w:left w:val="none" w:sz="0" w:space="0" w:color="auto"/>
                <w:bottom w:val="none" w:sz="0" w:space="0" w:color="auto"/>
                <w:right w:val="none" w:sz="0" w:space="0" w:color="auto"/>
              </w:divBdr>
              <w:divsChild>
                <w:div w:id="1881168122">
                  <w:marLeft w:val="0"/>
                  <w:marRight w:val="0"/>
                  <w:marTop w:val="0"/>
                  <w:marBottom w:val="0"/>
                  <w:divBdr>
                    <w:top w:val="none" w:sz="0" w:space="0" w:color="auto"/>
                    <w:left w:val="none" w:sz="0" w:space="0" w:color="auto"/>
                    <w:bottom w:val="none" w:sz="0" w:space="0" w:color="auto"/>
                    <w:right w:val="none" w:sz="0" w:space="0" w:color="auto"/>
                  </w:divBdr>
                </w:div>
              </w:divsChild>
            </w:div>
            <w:div w:id="735510722">
              <w:marLeft w:val="0"/>
              <w:marRight w:val="0"/>
              <w:marTop w:val="0"/>
              <w:marBottom w:val="0"/>
              <w:divBdr>
                <w:top w:val="none" w:sz="0" w:space="0" w:color="auto"/>
                <w:left w:val="none" w:sz="0" w:space="0" w:color="auto"/>
                <w:bottom w:val="none" w:sz="0" w:space="0" w:color="auto"/>
                <w:right w:val="none" w:sz="0" w:space="0" w:color="auto"/>
              </w:divBdr>
              <w:divsChild>
                <w:div w:id="1330521662">
                  <w:marLeft w:val="0"/>
                  <w:marRight w:val="0"/>
                  <w:marTop w:val="0"/>
                  <w:marBottom w:val="0"/>
                  <w:divBdr>
                    <w:top w:val="none" w:sz="0" w:space="0" w:color="auto"/>
                    <w:left w:val="none" w:sz="0" w:space="0" w:color="auto"/>
                    <w:bottom w:val="none" w:sz="0" w:space="0" w:color="auto"/>
                    <w:right w:val="none" w:sz="0" w:space="0" w:color="auto"/>
                  </w:divBdr>
                </w:div>
              </w:divsChild>
            </w:div>
            <w:div w:id="745107212">
              <w:marLeft w:val="0"/>
              <w:marRight w:val="0"/>
              <w:marTop w:val="0"/>
              <w:marBottom w:val="0"/>
              <w:divBdr>
                <w:top w:val="none" w:sz="0" w:space="0" w:color="auto"/>
                <w:left w:val="none" w:sz="0" w:space="0" w:color="auto"/>
                <w:bottom w:val="none" w:sz="0" w:space="0" w:color="auto"/>
                <w:right w:val="none" w:sz="0" w:space="0" w:color="auto"/>
              </w:divBdr>
              <w:divsChild>
                <w:div w:id="1710298758">
                  <w:marLeft w:val="0"/>
                  <w:marRight w:val="0"/>
                  <w:marTop w:val="0"/>
                  <w:marBottom w:val="0"/>
                  <w:divBdr>
                    <w:top w:val="none" w:sz="0" w:space="0" w:color="auto"/>
                    <w:left w:val="none" w:sz="0" w:space="0" w:color="auto"/>
                    <w:bottom w:val="none" w:sz="0" w:space="0" w:color="auto"/>
                    <w:right w:val="none" w:sz="0" w:space="0" w:color="auto"/>
                  </w:divBdr>
                </w:div>
              </w:divsChild>
            </w:div>
            <w:div w:id="782531732">
              <w:marLeft w:val="0"/>
              <w:marRight w:val="0"/>
              <w:marTop w:val="0"/>
              <w:marBottom w:val="0"/>
              <w:divBdr>
                <w:top w:val="none" w:sz="0" w:space="0" w:color="auto"/>
                <w:left w:val="none" w:sz="0" w:space="0" w:color="auto"/>
                <w:bottom w:val="none" w:sz="0" w:space="0" w:color="auto"/>
                <w:right w:val="none" w:sz="0" w:space="0" w:color="auto"/>
              </w:divBdr>
              <w:divsChild>
                <w:div w:id="1116606026">
                  <w:marLeft w:val="0"/>
                  <w:marRight w:val="0"/>
                  <w:marTop w:val="0"/>
                  <w:marBottom w:val="0"/>
                  <w:divBdr>
                    <w:top w:val="none" w:sz="0" w:space="0" w:color="auto"/>
                    <w:left w:val="none" w:sz="0" w:space="0" w:color="auto"/>
                    <w:bottom w:val="none" w:sz="0" w:space="0" w:color="auto"/>
                    <w:right w:val="none" w:sz="0" w:space="0" w:color="auto"/>
                  </w:divBdr>
                </w:div>
              </w:divsChild>
            </w:div>
            <w:div w:id="812452788">
              <w:marLeft w:val="0"/>
              <w:marRight w:val="0"/>
              <w:marTop w:val="0"/>
              <w:marBottom w:val="0"/>
              <w:divBdr>
                <w:top w:val="none" w:sz="0" w:space="0" w:color="auto"/>
                <w:left w:val="none" w:sz="0" w:space="0" w:color="auto"/>
                <w:bottom w:val="none" w:sz="0" w:space="0" w:color="auto"/>
                <w:right w:val="none" w:sz="0" w:space="0" w:color="auto"/>
              </w:divBdr>
              <w:divsChild>
                <w:div w:id="624195257">
                  <w:marLeft w:val="0"/>
                  <w:marRight w:val="0"/>
                  <w:marTop w:val="0"/>
                  <w:marBottom w:val="0"/>
                  <w:divBdr>
                    <w:top w:val="none" w:sz="0" w:space="0" w:color="auto"/>
                    <w:left w:val="none" w:sz="0" w:space="0" w:color="auto"/>
                    <w:bottom w:val="none" w:sz="0" w:space="0" w:color="auto"/>
                    <w:right w:val="none" w:sz="0" w:space="0" w:color="auto"/>
                  </w:divBdr>
                </w:div>
              </w:divsChild>
            </w:div>
            <w:div w:id="863446885">
              <w:marLeft w:val="0"/>
              <w:marRight w:val="0"/>
              <w:marTop w:val="0"/>
              <w:marBottom w:val="0"/>
              <w:divBdr>
                <w:top w:val="none" w:sz="0" w:space="0" w:color="auto"/>
                <w:left w:val="none" w:sz="0" w:space="0" w:color="auto"/>
                <w:bottom w:val="none" w:sz="0" w:space="0" w:color="auto"/>
                <w:right w:val="none" w:sz="0" w:space="0" w:color="auto"/>
              </w:divBdr>
              <w:divsChild>
                <w:div w:id="348216064">
                  <w:marLeft w:val="0"/>
                  <w:marRight w:val="0"/>
                  <w:marTop w:val="0"/>
                  <w:marBottom w:val="0"/>
                  <w:divBdr>
                    <w:top w:val="none" w:sz="0" w:space="0" w:color="auto"/>
                    <w:left w:val="none" w:sz="0" w:space="0" w:color="auto"/>
                    <w:bottom w:val="none" w:sz="0" w:space="0" w:color="auto"/>
                    <w:right w:val="none" w:sz="0" w:space="0" w:color="auto"/>
                  </w:divBdr>
                </w:div>
              </w:divsChild>
            </w:div>
            <w:div w:id="1005789836">
              <w:marLeft w:val="0"/>
              <w:marRight w:val="0"/>
              <w:marTop w:val="0"/>
              <w:marBottom w:val="0"/>
              <w:divBdr>
                <w:top w:val="none" w:sz="0" w:space="0" w:color="auto"/>
                <w:left w:val="none" w:sz="0" w:space="0" w:color="auto"/>
                <w:bottom w:val="none" w:sz="0" w:space="0" w:color="auto"/>
                <w:right w:val="none" w:sz="0" w:space="0" w:color="auto"/>
              </w:divBdr>
              <w:divsChild>
                <w:div w:id="1637296105">
                  <w:marLeft w:val="0"/>
                  <w:marRight w:val="0"/>
                  <w:marTop w:val="0"/>
                  <w:marBottom w:val="0"/>
                  <w:divBdr>
                    <w:top w:val="none" w:sz="0" w:space="0" w:color="auto"/>
                    <w:left w:val="none" w:sz="0" w:space="0" w:color="auto"/>
                    <w:bottom w:val="none" w:sz="0" w:space="0" w:color="auto"/>
                    <w:right w:val="none" w:sz="0" w:space="0" w:color="auto"/>
                  </w:divBdr>
                </w:div>
              </w:divsChild>
            </w:div>
            <w:div w:id="1008749655">
              <w:marLeft w:val="0"/>
              <w:marRight w:val="0"/>
              <w:marTop w:val="0"/>
              <w:marBottom w:val="0"/>
              <w:divBdr>
                <w:top w:val="none" w:sz="0" w:space="0" w:color="auto"/>
                <w:left w:val="none" w:sz="0" w:space="0" w:color="auto"/>
                <w:bottom w:val="none" w:sz="0" w:space="0" w:color="auto"/>
                <w:right w:val="none" w:sz="0" w:space="0" w:color="auto"/>
              </w:divBdr>
              <w:divsChild>
                <w:div w:id="636181936">
                  <w:marLeft w:val="0"/>
                  <w:marRight w:val="0"/>
                  <w:marTop w:val="0"/>
                  <w:marBottom w:val="0"/>
                  <w:divBdr>
                    <w:top w:val="none" w:sz="0" w:space="0" w:color="auto"/>
                    <w:left w:val="none" w:sz="0" w:space="0" w:color="auto"/>
                    <w:bottom w:val="none" w:sz="0" w:space="0" w:color="auto"/>
                    <w:right w:val="none" w:sz="0" w:space="0" w:color="auto"/>
                  </w:divBdr>
                </w:div>
              </w:divsChild>
            </w:div>
            <w:div w:id="1043095648">
              <w:marLeft w:val="0"/>
              <w:marRight w:val="0"/>
              <w:marTop w:val="0"/>
              <w:marBottom w:val="0"/>
              <w:divBdr>
                <w:top w:val="none" w:sz="0" w:space="0" w:color="auto"/>
                <w:left w:val="none" w:sz="0" w:space="0" w:color="auto"/>
                <w:bottom w:val="none" w:sz="0" w:space="0" w:color="auto"/>
                <w:right w:val="none" w:sz="0" w:space="0" w:color="auto"/>
              </w:divBdr>
              <w:divsChild>
                <w:div w:id="993988197">
                  <w:marLeft w:val="0"/>
                  <w:marRight w:val="0"/>
                  <w:marTop w:val="0"/>
                  <w:marBottom w:val="0"/>
                  <w:divBdr>
                    <w:top w:val="none" w:sz="0" w:space="0" w:color="auto"/>
                    <w:left w:val="none" w:sz="0" w:space="0" w:color="auto"/>
                    <w:bottom w:val="none" w:sz="0" w:space="0" w:color="auto"/>
                    <w:right w:val="none" w:sz="0" w:space="0" w:color="auto"/>
                  </w:divBdr>
                </w:div>
              </w:divsChild>
            </w:div>
            <w:div w:id="1176386569">
              <w:marLeft w:val="0"/>
              <w:marRight w:val="0"/>
              <w:marTop w:val="0"/>
              <w:marBottom w:val="0"/>
              <w:divBdr>
                <w:top w:val="none" w:sz="0" w:space="0" w:color="auto"/>
                <w:left w:val="none" w:sz="0" w:space="0" w:color="auto"/>
                <w:bottom w:val="none" w:sz="0" w:space="0" w:color="auto"/>
                <w:right w:val="none" w:sz="0" w:space="0" w:color="auto"/>
              </w:divBdr>
              <w:divsChild>
                <w:div w:id="1598172565">
                  <w:marLeft w:val="0"/>
                  <w:marRight w:val="0"/>
                  <w:marTop w:val="0"/>
                  <w:marBottom w:val="0"/>
                  <w:divBdr>
                    <w:top w:val="none" w:sz="0" w:space="0" w:color="auto"/>
                    <w:left w:val="none" w:sz="0" w:space="0" w:color="auto"/>
                    <w:bottom w:val="none" w:sz="0" w:space="0" w:color="auto"/>
                    <w:right w:val="none" w:sz="0" w:space="0" w:color="auto"/>
                  </w:divBdr>
                </w:div>
              </w:divsChild>
            </w:div>
            <w:div w:id="1208222550">
              <w:marLeft w:val="0"/>
              <w:marRight w:val="0"/>
              <w:marTop w:val="0"/>
              <w:marBottom w:val="0"/>
              <w:divBdr>
                <w:top w:val="none" w:sz="0" w:space="0" w:color="auto"/>
                <w:left w:val="none" w:sz="0" w:space="0" w:color="auto"/>
                <w:bottom w:val="none" w:sz="0" w:space="0" w:color="auto"/>
                <w:right w:val="none" w:sz="0" w:space="0" w:color="auto"/>
              </w:divBdr>
              <w:divsChild>
                <w:div w:id="335499428">
                  <w:marLeft w:val="0"/>
                  <w:marRight w:val="0"/>
                  <w:marTop w:val="0"/>
                  <w:marBottom w:val="0"/>
                  <w:divBdr>
                    <w:top w:val="none" w:sz="0" w:space="0" w:color="auto"/>
                    <w:left w:val="none" w:sz="0" w:space="0" w:color="auto"/>
                    <w:bottom w:val="none" w:sz="0" w:space="0" w:color="auto"/>
                    <w:right w:val="none" w:sz="0" w:space="0" w:color="auto"/>
                  </w:divBdr>
                </w:div>
              </w:divsChild>
            </w:div>
            <w:div w:id="1241062658">
              <w:marLeft w:val="0"/>
              <w:marRight w:val="0"/>
              <w:marTop w:val="0"/>
              <w:marBottom w:val="0"/>
              <w:divBdr>
                <w:top w:val="none" w:sz="0" w:space="0" w:color="auto"/>
                <w:left w:val="none" w:sz="0" w:space="0" w:color="auto"/>
                <w:bottom w:val="none" w:sz="0" w:space="0" w:color="auto"/>
                <w:right w:val="none" w:sz="0" w:space="0" w:color="auto"/>
              </w:divBdr>
              <w:divsChild>
                <w:div w:id="1942688744">
                  <w:marLeft w:val="0"/>
                  <w:marRight w:val="0"/>
                  <w:marTop w:val="0"/>
                  <w:marBottom w:val="0"/>
                  <w:divBdr>
                    <w:top w:val="none" w:sz="0" w:space="0" w:color="auto"/>
                    <w:left w:val="none" w:sz="0" w:space="0" w:color="auto"/>
                    <w:bottom w:val="none" w:sz="0" w:space="0" w:color="auto"/>
                    <w:right w:val="none" w:sz="0" w:space="0" w:color="auto"/>
                  </w:divBdr>
                </w:div>
              </w:divsChild>
            </w:div>
            <w:div w:id="1251156446">
              <w:marLeft w:val="0"/>
              <w:marRight w:val="0"/>
              <w:marTop w:val="0"/>
              <w:marBottom w:val="0"/>
              <w:divBdr>
                <w:top w:val="none" w:sz="0" w:space="0" w:color="auto"/>
                <w:left w:val="none" w:sz="0" w:space="0" w:color="auto"/>
                <w:bottom w:val="none" w:sz="0" w:space="0" w:color="auto"/>
                <w:right w:val="none" w:sz="0" w:space="0" w:color="auto"/>
              </w:divBdr>
              <w:divsChild>
                <w:div w:id="1218785732">
                  <w:marLeft w:val="0"/>
                  <w:marRight w:val="0"/>
                  <w:marTop w:val="0"/>
                  <w:marBottom w:val="0"/>
                  <w:divBdr>
                    <w:top w:val="none" w:sz="0" w:space="0" w:color="auto"/>
                    <w:left w:val="none" w:sz="0" w:space="0" w:color="auto"/>
                    <w:bottom w:val="none" w:sz="0" w:space="0" w:color="auto"/>
                    <w:right w:val="none" w:sz="0" w:space="0" w:color="auto"/>
                  </w:divBdr>
                </w:div>
              </w:divsChild>
            </w:div>
            <w:div w:id="1287807574">
              <w:marLeft w:val="0"/>
              <w:marRight w:val="0"/>
              <w:marTop w:val="0"/>
              <w:marBottom w:val="0"/>
              <w:divBdr>
                <w:top w:val="none" w:sz="0" w:space="0" w:color="auto"/>
                <w:left w:val="none" w:sz="0" w:space="0" w:color="auto"/>
                <w:bottom w:val="none" w:sz="0" w:space="0" w:color="auto"/>
                <w:right w:val="none" w:sz="0" w:space="0" w:color="auto"/>
              </w:divBdr>
              <w:divsChild>
                <w:div w:id="898903369">
                  <w:marLeft w:val="0"/>
                  <w:marRight w:val="0"/>
                  <w:marTop w:val="0"/>
                  <w:marBottom w:val="0"/>
                  <w:divBdr>
                    <w:top w:val="none" w:sz="0" w:space="0" w:color="auto"/>
                    <w:left w:val="none" w:sz="0" w:space="0" w:color="auto"/>
                    <w:bottom w:val="none" w:sz="0" w:space="0" w:color="auto"/>
                    <w:right w:val="none" w:sz="0" w:space="0" w:color="auto"/>
                  </w:divBdr>
                </w:div>
              </w:divsChild>
            </w:div>
            <w:div w:id="1294678263">
              <w:marLeft w:val="0"/>
              <w:marRight w:val="0"/>
              <w:marTop w:val="0"/>
              <w:marBottom w:val="0"/>
              <w:divBdr>
                <w:top w:val="none" w:sz="0" w:space="0" w:color="auto"/>
                <w:left w:val="none" w:sz="0" w:space="0" w:color="auto"/>
                <w:bottom w:val="none" w:sz="0" w:space="0" w:color="auto"/>
                <w:right w:val="none" w:sz="0" w:space="0" w:color="auto"/>
              </w:divBdr>
              <w:divsChild>
                <w:div w:id="1132408026">
                  <w:marLeft w:val="0"/>
                  <w:marRight w:val="0"/>
                  <w:marTop w:val="0"/>
                  <w:marBottom w:val="0"/>
                  <w:divBdr>
                    <w:top w:val="none" w:sz="0" w:space="0" w:color="auto"/>
                    <w:left w:val="none" w:sz="0" w:space="0" w:color="auto"/>
                    <w:bottom w:val="none" w:sz="0" w:space="0" w:color="auto"/>
                    <w:right w:val="none" w:sz="0" w:space="0" w:color="auto"/>
                  </w:divBdr>
                </w:div>
              </w:divsChild>
            </w:div>
            <w:div w:id="1442068290">
              <w:marLeft w:val="0"/>
              <w:marRight w:val="0"/>
              <w:marTop w:val="0"/>
              <w:marBottom w:val="0"/>
              <w:divBdr>
                <w:top w:val="none" w:sz="0" w:space="0" w:color="auto"/>
                <w:left w:val="none" w:sz="0" w:space="0" w:color="auto"/>
                <w:bottom w:val="none" w:sz="0" w:space="0" w:color="auto"/>
                <w:right w:val="none" w:sz="0" w:space="0" w:color="auto"/>
              </w:divBdr>
              <w:divsChild>
                <w:div w:id="2046179047">
                  <w:marLeft w:val="0"/>
                  <w:marRight w:val="0"/>
                  <w:marTop w:val="0"/>
                  <w:marBottom w:val="0"/>
                  <w:divBdr>
                    <w:top w:val="none" w:sz="0" w:space="0" w:color="auto"/>
                    <w:left w:val="none" w:sz="0" w:space="0" w:color="auto"/>
                    <w:bottom w:val="none" w:sz="0" w:space="0" w:color="auto"/>
                    <w:right w:val="none" w:sz="0" w:space="0" w:color="auto"/>
                  </w:divBdr>
                </w:div>
              </w:divsChild>
            </w:div>
            <w:div w:id="1512063798">
              <w:marLeft w:val="0"/>
              <w:marRight w:val="0"/>
              <w:marTop w:val="0"/>
              <w:marBottom w:val="0"/>
              <w:divBdr>
                <w:top w:val="none" w:sz="0" w:space="0" w:color="auto"/>
                <w:left w:val="none" w:sz="0" w:space="0" w:color="auto"/>
                <w:bottom w:val="none" w:sz="0" w:space="0" w:color="auto"/>
                <w:right w:val="none" w:sz="0" w:space="0" w:color="auto"/>
              </w:divBdr>
              <w:divsChild>
                <w:div w:id="271866275">
                  <w:marLeft w:val="0"/>
                  <w:marRight w:val="0"/>
                  <w:marTop w:val="0"/>
                  <w:marBottom w:val="0"/>
                  <w:divBdr>
                    <w:top w:val="none" w:sz="0" w:space="0" w:color="auto"/>
                    <w:left w:val="none" w:sz="0" w:space="0" w:color="auto"/>
                    <w:bottom w:val="none" w:sz="0" w:space="0" w:color="auto"/>
                    <w:right w:val="none" w:sz="0" w:space="0" w:color="auto"/>
                  </w:divBdr>
                </w:div>
              </w:divsChild>
            </w:div>
            <w:div w:id="1516461241">
              <w:marLeft w:val="0"/>
              <w:marRight w:val="0"/>
              <w:marTop w:val="0"/>
              <w:marBottom w:val="0"/>
              <w:divBdr>
                <w:top w:val="none" w:sz="0" w:space="0" w:color="auto"/>
                <w:left w:val="none" w:sz="0" w:space="0" w:color="auto"/>
                <w:bottom w:val="none" w:sz="0" w:space="0" w:color="auto"/>
                <w:right w:val="none" w:sz="0" w:space="0" w:color="auto"/>
              </w:divBdr>
              <w:divsChild>
                <w:div w:id="1547791997">
                  <w:marLeft w:val="0"/>
                  <w:marRight w:val="0"/>
                  <w:marTop w:val="0"/>
                  <w:marBottom w:val="0"/>
                  <w:divBdr>
                    <w:top w:val="none" w:sz="0" w:space="0" w:color="auto"/>
                    <w:left w:val="none" w:sz="0" w:space="0" w:color="auto"/>
                    <w:bottom w:val="none" w:sz="0" w:space="0" w:color="auto"/>
                    <w:right w:val="none" w:sz="0" w:space="0" w:color="auto"/>
                  </w:divBdr>
                </w:div>
              </w:divsChild>
            </w:div>
            <w:div w:id="1584994648">
              <w:marLeft w:val="0"/>
              <w:marRight w:val="0"/>
              <w:marTop w:val="0"/>
              <w:marBottom w:val="0"/>
              <w:divBdr>
                <w:top w:val="none" w:sz="0" w:space="0" w:color="auto"/>
                <w:left w:val="none" w:sz="0" w:space="0" w:color="auto"/>
                <w:bottom w:val="none" w:sz="0" w:space="0" w:color="auto"/>
                <w:right w:val="none" w:sz="0" w:space="0" w:color="auto"/>
              </w:divBdr>
              <w:divsChild>
                <w:div w:id="1922641519">
                  <w:marLeft w:val="0"/>
                  <w:marRight w:val="0"/>
                  <w:marTop w:val="0"/>
                  <w:marBottom w:val="0"/>
                  <w:divBdr>
                    <w:top w:val="none" w:sz="0" w:space="0" w:color="auto"/>
                    <w:left w:val="none" w:sz="0" w:space="0" w:color="auto"/>
                    <w:bottom w:val="none" w:sz="0" w:space="0" w:color="auto"/>
                    <w:right w:val="none" w:sz="0" w:space="0" w:color="auto"/>
                  </w:divBdr>
                </w:div>
              </w:divsChild>
            </w:div>
            <w:div w:id="1588928840">
              <w:marLeft w:val="0"/>
              <w:marRight w:val="0"/>
              <w:marTop w:val="0"/>
              <w:marBottom w:val="0"/>
              <w:divBdr>
                <w:top w:val="none" w:sz="0" w:space="0" w:color="auto"/>
                <w:left w:val="none" w:sz="0" w:space="0" w:color="auto"/>
                <w:bottom w:val="none" w:sz="0" w:space="0" w:color="auto"/>
                <w:right w:val="none" w:sz="0" w:space="0" w:color="auto"/>
              </w:divBdr>
              <w:divsChild>
                <w:div w:id="2027100925">
                  <w:marLeft w:val="0"/>
                  <w:marRight w:val="0"/>
                  <w:marTop w:val="0"/>
                  <w:marBottom w:val="0"/>
                  <w:divBdr>
                    <w:top w:val="none" w:sz="0" w:space="0" w:color="auto"/>
                    <w:left w:val="none" w:sz="0" w:space="0" w:color="auto"/>
                    <w:bottom w:val="none" w:sz="0" w:space="0" w:color="auto"/>
                    <w:right w:val="none" w:sz="0" w:space="0" w:color="auto"/>
                  </w:divBdr>
                </w:div>
              </w:divsChild>
            </w:div>
            <w:div w:id="1591542741">
              <w:marLeft w:val="0"/>
              <w:marRight w:val="0"/>
              <w:marTop w:val="0"/>
              <w:marBottom w:val="0"/>
              <w:divBdr>
                <w:top w:val="none" w:sz="0" w:space="0" w:color="auto"/>
                <w:left w:val="none" w:sz="0" w:space="0" w:color="auto"/>
                <w:bottom w:val="none" w:sz="0" w:space="0" w:color="auto"/>
                <w:right w:val="none" w:sz="0" w:space="0" w:color="auto"/>
              </w:divBdr>
              <w:divsChild>
                <w:div w:id="446312627">
                  <w:marLeft w:val="0"/>
                  <w:marRight w:val="0"/>
                  <w:marTop w:val="0"/>
                  <w:marBottom w:val="0"/>
                  <w:divBdr>
                    <w:top w:val="none" w:sz="0" w:space="0" w:color="auto"/>
                    <w:left w:val="none" w:sz="0" w:space="0" w:color="auto"/>
                    <w:bottom w:val="none" w:sz="0" w:space="0" w:color="auto"/>
                    <w:right w:val="none" w:sz="0" w:space="0" w:color="auto"/>
                  </w:divBdr>
                </w:div>
              </w:divsChild>
            </w:div>
            <w:div w:id="1619988161">
              <w:marLeft w:val="0"/>
              <w:marRight w:val="0"/>
              <w:marTop w:val="0"/>
              <w:marBottom w:val="0"/>
              <w:divBdr>
                <w:top w:val="none" w:sz="0" w:space="0" w:color="auto"/>
                <w:left w:val="none" w:sz="0" w:space="0" w:color="auto"/>
                <w:bottom w:val="none" w:sz="0" w:space="0" w:color="auto"/>
                <w:right w:val="none" w:sz="0" w:space="0" w:color="auto"/>
              </w:divBdr>
              <w:divsChild>
                <w:div w:id="2099015100">
                  <w:marLeft w:val="0"/>
                  <w:marRight w:val="0"/>
                  <w:marTop w:val="0"/>
                  <w:marBottom w:val="0"/>
                  <w:divBdr>
                    <w:top w:val="none" w:sz="0" w:space="0" w:color="auto"/>
                    <w:left w:val="none" w:sz="0" w:space="0" w:color="auto"/>
                    <w:bottom w:val="none" w:sz="0" w:space="0" w:color="auto"/>
                    <w:right w:val="none" w:sz="0" w:space="0" w:color="auto"/>
                  </w:divBdr>
                </w:div>
              </w:divsChild>
            </w:div>
            <w:div w:id="1659070694">
              <w:marLeft w:val="0"/>
              <w:marRight w:val="0"/>
              <w:marTop w:val="0"/>
              <w:marBottom w:val="0"/>
              <w:divBdr>
                <w:top w:val="none" w:sz="0" w:space="0" w:color="auto"/>
                <w:left w:val="none" w:sz="0" w:space="0" w:color="auto"/>
                <w:bottom w:val="none" w:sz="0" w:space="0" w:color="auto"/>
                <w:right w:val="none" w:sz="0" w:space="0" w:color="auto"/>
              </w:divBdr>
              <w:divsChild>
                <w:div w:id="1635285754">
                  <w:marLeft w:val="0"/>
                  <w:marRight w:val="0"/>
                  <w:marTop w:val="0"/>
                  <w:marBottom w:val="0"/>
                  <w:divBdr>
                    <w:top w:val="none" w:sz="0" w:space="0" w:color="auto"/>
                    <w:left w:val="none" w:sz="0" w:space="0" w:color="auto"/>
                    <w:bottom w:val="none" w:sz="0" w:space="0" w:color="auto"/>
                    <w:right w:val="none" w:sz="0" w:space="0" w:color="auto"/>
                  </w:divBdr>
                </w:div>
              </w:divsChild>
            </w:div>
            <w:div w:id="1698699206">
              <w:marLeft w:val="0"/>
              <w:marRight w:val="0"/>
              <w:marTop w:val="0"/>
              <w:marBottom w:val="0"/>
              <w:divBdr>
                <w:top w:val="none" w:sz="0" w:space="0" w:color="auto"/>
                <w:left w:val="none" w:sz="0" w:space="0" w:color="auto"/>
                <w:bottom w:val="none" w:sz="0" w:space="0" w:color="auto"/>
                <w:right w:val="none" w:sz="0" w:space="0" w:color="auto"/>
              </w:divBdr>
              <w:divsChild>
                <w:div w:id="1594127611">
                  <w:marLeft w:val="0"/>
                  <w:marRight w:val="0"/>
                  <w:marTop w:val="0"/>
                  <w:marBottom w:val="0"/>
                  <w:divBdr>
                    <w:top w:val="none" w:sz="0" w:space="0" w:color="auto"/>
                    <w:left w:val="none" w:sz="0" w:space="0" w:color="auto"/>
                    <w:bottom w:val="none" w:sz="0" w:space="0" w:color="auto"/>
                    <w:right w:val="none" w:sz="0" w:space="0" w:color="auto"/>
                  </w:divBdr>
                </w:div>
              </w:divsChild>
            </w:div>
            <w:div w:id="1700667392">
              <w:marLeft w:val="0"/>
              <w:marRight w:val="0"/>
              <w:marTop w:val="0"/>
              <w:marBottom w:val="0"/>
              <w:divBdr>
                <w:top w:val="none" w:sz="0" w:space="0" w:color="auto"/>
                <w:left w:val="none" w:sz="0" w:space="0" w:color="auto"/>
                <w:bottom w:val="none" w:sz="0" w:space="0" w:color="auto"/>
                <w:right w:val="none" w:sz="0" w:space="0" w:color="auto"/>
              </w:divBdr>
              <w:divsChild>
                <w:div w:id="715348470">
                  <w:marLeft w:val="0"/>
                  <w:marRight w:val="0"/>
                  <w:marTop w:val="0"/>
                  <w:marBottom w:val="0"/>
                  <w:divBdr>
                    <w:top w:val="none" w:sz="0" w:space="0" w:color="auto"/>
                    <w:left w:val="none" w:sz="0" w:space="0" w:color="auto"/>
                    <w:bottom w:val="none" w:sz="0" w:space="0" w:color="auto"/>
                    <w:right w:val="none" w:sz="0" w:space="0" w:color="auto"/>
                  </w:divBdr>
                </w:div>
              </w:divsChild>
            </w:div>
            <w:div w:id="1742095042">
              <w:marLeft w:val="0"/>
              <w:marRight w:val="0"/>
              <w:marTop w:val="0"/>
              <w:marBottom w:val="0"/>
              <w:divBdr>
                <w:top w:val="none" w:sz="0" w:space="0" w:color="auto"/>
                <w:left w:val="none" w:sz="0" w:space="0" w:color="auto"/>
                <w:bottom w:val="none" w:sz="0" w:space="0" w:color="auto"/>
                <w:right w:val="none" w:sz="0" w:space="0" w:color="auto"/>
              </w:divBdr>
              <w:divsChild>
                <w:div w:id="1591045504">
                  <w:marLeft w:val="0"/>
                  <w:marRight w:val="0"/>
                  <w:marTop w:val="0"/>
                  <w:marBottom w:val="0"/>
                  <w:divBdr>
                    <w:top w:val="none" w:sz="0" w:space="0" w:color="auto"/>
                    <w:left w:val="none" w:sz="0" w:space="0" w:color="auto"/>
                    <w:bottom w:val="none" w:sz="0" w:space="0" w:color="auto"/>
                    <w:right w:val="none" w:sz="0" w:space="0" w:color="auto"/>
                  </w:divBdr>
                </w:div>
              </w:divsChild>
            </w:div>
            <w:div w:id="1760563719">
              <w:marLeft w:val="0"/>
              <w:marRight w:val="0"/>
              <w:marTop w:val="0"/>
              <w:marBottom w:val="0"/>
              <w:divBdr>
                <w:top w:val="none" w:sz="0" w:space="0" w:color="auto"/>
                <w:left w:val="none" w:sz="0" w:space="0" w:color="auto"/>
                <w:bottom w:val="none" w:sz="0" w:space="0" w:color="auto"/>
                <w:right w:val="none" w:sz="0" w:space="0" w:color="auto"/>
              </w:divBdr>
              <w:divsChild>
                <w:div w:id="1478037434">
                  <w:marLeft w:val="0"/>
                  <w:marRight w:val="0"/>
                  <w:marTop w:val="0"/>
                  <w:marBottom w:val="0"/>
                  <w:divBdr>
                    <w:top w:val="none" w:sz="0" w:space="0" w:color="auto"/>
                    <w:left w:val="none" w:sz="0" w:space="0" w:color="auto"/>
                    <w:bottom w:val="none" w:sz="0" w:space="0" w:color="auto"/>
                    <w:right w:val="none" w:sz="0" w:space="0" w:color="auto"/>
                  </w:divBdr>
                </w:div>
              </w:divsChild>
            </w:div>
            <w:div w:id="1762071059">
              <w:marLeft w:val="0"/>
              <w:marRight w:val="0"/>
              <w:marTop w:val="0"/>
              <w:marBottom w:val="0"/>
              <w:divBdr>
                <w:top w:val="none" w:sz="0" w:space="0" w:color="auto"/>
                <w:left w:val="none" w:sz="0" w:space="0" w:color="auto"/>
                <w:bottom w:val="none" w:sz="0" w:space="0" w:color="auto"/>
                <w:right w:val="none" w:sz="0" w:space="0" w:color="auto"/>
              </w:divBdr>
              <w:divsChild>
                <w:div w:id="499659655">
                  <w:marLeft w:val="0"/>
                  <w:marRight w:val="0"/>
                  <w:marTop w:val="0"/>
                  <w:marBottom w:val="0"/>
                  <w:divBdr>
                    <w:top w:val="none" w:sz="0" w:space="0" w:color="auto"/>
                    <w:left w:val="none" w:sz="0" w:space="0" w:color="auto"/>
                    <w:bottom w:val="none" w:sz="0" w:space="0" w:color="auto"/>
                    <w:right w:val="none" w:sz="0" w:space="0" w:color="auto"/>
                  </w:divBdr>
                </w:div>
              </w:divsChild>
            </w:div>
            <w:div w:id="1768892020">
              <w:marLeft w:val="0"/>
              <w:marRight w:val="0"/>
              <w:marTop w:val="0"/>
              <w:marBottom w:val="0"/>
              <w:divBdr>
                <w:top w:val="none" w:sz="0" w:space="0" w:color="auto"/>
                <w:left w:val="none" w:sz="0" w:space="0" w:color="auto"/>
                <w:bottom w:val="none" w:sz="0" w:space="0" w:color="auto"/>
                <w:right w:val="none" w:sz="0" w:space="0" w:color="auto"/>
              </w:divBdr>
              <w:divsChild>
                <w:div w:id="1410080269">
                  <w:marLeft w:val="0"/>
                  <w:marRight w:val="0"/>
                  <w:marTop w:val="0"/>
                  <w:marBottom w:val="0"/>
                  <w:divBdr>
                    <w:top w:val="none" w:sz="0" w:space="0" w:color="auto"/>
                    <w:left w:val="none" w:sz="0" w:space="0" w:color="auto"/>
                    <w:bottom w:val="none" w:sz="0" w:space="0" w:color="auto"/>
                    <w:right w:val="none" w:sz="0" w:space="0" w:color="auto"/>
                  </w:divBdr>
                </w:div>
              </w:divsChild>
            </w:div>
            <w:div w:id="1847095153">
              <w:marLeft w:val="0"/>
              <w:marRight w:val="0"/>
              <w:marTop w:val="0"/>
              <w:marBottom w:val="0"/>
              <w:divBdr>
                <w:top w:val="none" w:sz="0" w:space="0" w:color="auto"/>
                <w:left w:val="none" w:sz="0" w:space="0" w:color="auto"/>
                <w:bottom w:val="none" w:sz="0" w:space="0" w:color="auto"/>
                <w:right w:val="none" w:sz="0" w:space="0" w:color="auto"/>
              </w:divBdr>
              <w:divsChild>
                <w:div w:id="1972202129">
                  <w:marLeft w:val="0"/>
                  <w:marRight w:val="0"/>
                  <w:marTop w:val="0"/>
                  <w:marBottom w:val="0"/>
                  <w:divBdr>
                    <w:top w:val="none" w:sz="0" w:space="0" w:color="auto"/>
                    <w:left w:val="none" w:sz="0" w:space="0" w:color="auto"/>
                    <w:bottom w:val="none" w:sz="0" w:space="0" w:color="auto"/>
                    <w:right w:val="none" w:sz="0" w:space="0" w:color="auto"/>
                  </w:divBdr>
                </w:div>
              </w:divsChild>
            </w:div>
            <w:div w:id="1888756812">
              <w:marLeft w:val="0"/>
              <w:marRight w:val="0"/>
              <w:marTop w:val="0"/>
              <w:marBottom w:val="0"/>
              <w:divBdr>
                <w:top w:val="none" w:sz="0" w:space="0" w:color="auto"/>
                <w:left w:val="none" w:sz="0" w:space="0" w:color="auto"/>
                <w:bottom w:val="none" w:sz="0" w:space="0" w:color="auto"/>
                <w:right w:val="none" w:sz="0" w:space="0" w:color="auto"/>
              </w:divBdr>
              <w:divsChild>
                <w:div w:id="1697535822">
                  <w:marLeft w:val="0"/>
                  <w:marRight w:val="0"/>
                  <w:marTop w:val="0"/>
                  <w:marBottom w:val="0"/>
                  <w:divBdr>
                    <w:top w:val="none" w:sz="0" w:space="0" w:color="auto"/>
                    <w:left w:val="none" w:sz="0" w:space="0" w:color="auto"/>
                    <w:bottom w:val="none" w:sz="0" w:space="0" w:color="auto"/>
                    <w:right w:val="none" w:sz="0" w:space="0" w:color="auto"/>
                  </w:divBdr>
                </w:div>
              </w:divsChild>
            </w:div>
            <w:div w:id="1954441376">
              <w:marLeft w:val="0"/>
              <w:marRight w:val="0"/>
              <w:marTop w:val="0"/>
              <w:marBottom w:val="0"/>
              <w:divBdr>
                <w:top w:val="none" w:sz="0" w:space="0" w:color="auto"/>
                <w:left w:val="none" w:sz="0" w:space="0" w:color="auto"/>
                <w:bottom w:val="none" w:sz="0" w:space="0" w:color="auto"/>
                <w:right w:val="none" w:sz="0" w:space="0" w:color="auto"/>
              </w:divBdr>
              <w:divsChild>
                <w:div w:id="1838037699">
                  <w:marLeft w:val="0"/>
                  <w:marRight w:val="0"/>
                  <w:marTop w:val="0"/>
                  <w:marBottom w:val="0"/>
                  <w:divBdr>
                    <w:top w:val="none" w:sz="0" w:space="0" w:color="auto"/>
                    <w:left w:val="none" w:sz="0" w:space="0" w:color="auto"/>
                    <w:bottom w:val="none" w:sz="0" w:space="0" w:color="auto"/>
                    <w:right w:val="none" w:sz="0" w:space="0" w:color="auto"/>
                  </w:divBdr>
                </w:div>
              </w:divsChild>
            </w:div>
            <w:div w:id="2031173891">
              <w:marLeft w:val="0"/>
              <w:marRight w:val="0"/>
              <w:marTop w:val="0"/>
              <w:marBottom w:val="0"/>
              <w:divBdr>
                <w:top w:val="none" w:sz="0" w:space="0" w:color="auto"/>
                <w:left w:val="none" w:sz="0" w:space="0" w:color="auto"/>
                <w:bottom w:val="none" w:sz="0" w:space="0" w:color="auto"/>
                <w:right w:val="none" w:sz="0" w:space="0" w:color="auto"/>
              </w:divBdr>
              <w:divsChild>
                <w:div w:id="1529561012">
                  <w:marLeft w:val="0"/>
                  <w:marRight w:val="0"/>
                  <w:marTop w:val="0"/>
                  <w:marBottom w:val="0"/>
                  <w:divBdr>
                    <w:top w:val="none" w:sz="0" w:space="0" w:color="auto"/>
                    <w:left w:val="none" w:sz="0" w:space="0" w:color="auto"/>
                    <w:bottom w:val="none" w:sz="0" w:space="0" w:color="auto"/>
                    <w:right w:val="none" w:sz="0" w:space="0" w:color="auto"/>
                  </w:divBdr>
                </w:div>
              </w:divsChild>
            </w:div>
            <w:div w:id="2066681349">
              <w:marLeft w:val="0"/>
              <w:marRight w:val="0"/>
              <w:marTop w:val="0"/>
              <w:marBottom w:val="0"/>
              <w:divBdr>
                <w:top w:val="none" w:sz="0" w:space="0" w:color="auto"/>
                <w:left w:val="none" w:sz="0" w:space="0" w:color="auto"/>
                <w:bottom w:val="none" w:sz="0" w:space="0" w:color="auto"/>
                <w:right w:val="none" w:sz="0" w:space="0" w:color="auto"/>
              </w:divBdr>
              <w:divsChild>
                <w:div w:id="206189088">
                  <w:marLeft w:val="0"/>
                  <w:marRight w:val="0"/>
                  <w:marTop w:val="0"/>
                  <w:marBottom w:val="0"/>
                  <w:divBdr>
                    <w:top w:val="none" w:sz="0" w:space="0" w:color="auto"/>
                    <w:left w:val="none" w:sz="0" w:space="0" w:color="auto"/>
                    <w:bottom w:val="none" w:sz="0" w:space="0" w:color="auto"/>
                    <w:right w:val="none" w:sz="0" w:space="0" w:color="auto"/>
                  </w:divBdr>
                </w:div>
              </w:divsChild>
            </w:div>
            <w:div w:id="2067684957">
              <w:marLeft w:val="0"/>
              <w:marRight w:val="0"/>
              <w:marTop w:val="0"/>
              <w:marBottom w:val="0"/>
              <w:divBdr>
                <w:top w:val="none" w:sz="0" w:space="0" w:color="auto"/>
                <w:left w:val="none" w:sz="0" w:space="0" w:color="auto"/>
                <w:bottom w:val="none" w:sz="0" w:space="0" w:color="auto"/>
                <w:right w:val="none" w:sz="0" w:space="0" w:color="auto"/>
              </w:divBdr>
              <w:divsChild>
                <w:div w:id="1842965244">
                  <w:marLeft w:val="0"/>
                  <w:marRight w:val="0"/>
                  <w:marTop w:val="0"/>
                  <w:marBottom w:val="0"/>
                  <w:divBdr>
                    <w:top w:val="none" w:sz="0" w:space="0" w:color="auto"/>
                    <w:left w:val="none" w:sz="0" w:space="0" w:color="auto"/>
                    <w:bottom w:val="none" w:sz="0" w:space="0" w:color="auto"/>
                    <w:right w:val="none" w:sz="0" w:space="0" w:color="auto"/>
                  </w:divBdr>
                </w:div>
              </w:divsChild>
            </w:div>
            <w:div w:id="2125152631">
              <w:marLeft w:val="0"/>
              <w:marRight w:val="0"/>
              <w:marTop w:val="0"/>
              <w:marBottom w:val="0"/>
              <w:divBdr>
                <w:top w:val="none" w:sz="0" w:space="0" w:color="auto"/>
                <w:left w:val="none" w:sz="0" w:space="0" w:color="auto"/>
                <w:bottom w:val="none" w:sz="0" w:space="0" w:color="auto"/>
                <w:right w:val="none" w:sz="0" w:space="0" w:color="auto"/>
              </w:divBdr>
              <w:divsChild>
                <w:div w:id="8654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2616">
      <w:bodyDiv w:val="1"/>
      <w:marLeft w:val="0"/>
      <w:marRight w:val="0"/>
      <w:marTop w:val="0"/>
      <w:marBottom w:val="0"/>
      <w:divBdr>
        <w:top w:val="none" w:sz="0" w:space="0" w:color="auto"/>
        <w:left w:val="none" w:sz="0" w:space="0" w:color="auto"/>
        <w:bottom w:val="none" w:sz="0" w:space="0" w:color="auto"/>
        <w:right w:val="none" w:sz="0" w:space="0" w:color="auto"/>
      </w:divBdr>
    </w:div>
    <w:div w:id="1510942877">
      <w:bodyDiv w:val="1"/>
      <w:marLeft w:val="0"/>
      <w:marRight w:val="0"/>
      <w:marTop w:val="0"/>
      <w:marBottom w:val="0"/>
      <w:divBdr>
        <w:top w:val="none" w:sz="0" w:space="0" w:color="auto"/>
        <w:left w:val="none" w:sz="0" w:space="0" w:color="auto"/>
        <w:bottom w:val="none" w:sz="0" w:space="0" w:color="auto"/>
        <w:right w:val="none" w:sz="0" w:space="0" w:color="auto"/>
      </w:divBdr>
    </w:div>
    <w:div w:id="1577780318">
      <w:bodyDiv w:val="1"/>
      <w:marLeft w:val="0"/>
      <w:marRight w:val="0"/>
      <w:marTop w:val="0"/>
      <w:marBottom w:val="0"/>
      <w:divBdr>
        <w:top w:val="none" w:sz="0" w:space="0" w:color="auto"/>
        <w:left w:val="none" w:sz="0" w:space="0" w:color="auto"/>
        <w:bottom w:val="none" w:sz="0" w:space="0" w:color="auto"/>
        <w:right w:val="none" w:sz="0" w:space="0" w:color="auto"/>
      </w:divBdr>
    </w:div>
    <w:div w:id="1625039680">
      <w:bodyDiv w:val="1"/>
      <w:marLeft w:val="0"/>
      <w:marRight w:val="0"/>
      <w:marTop w:val="0"/>
      <w:marBottom w:val="0"/>
      <w:divBdr>
        <w:top w:val="none" w:sz="0" w:space="0" w:color="auto"/>
        <w:left w:val="none" w:sz="0" w:space="0" w:color="auto"/>
        <w:bottom w:val="none" w:sz="0" w:space="0" w:color="auto"/>
        <w:right w:val="none" w:sz="0" w:space="0" w:color="auto"/>
      </w:divBdr>
    </w:div>
    <w:div w:id="1628732611">
      <w:bodyDiv w:val="1"/>
      <w:marLeft w:val="0"/>
      <w:marRight w:val="0"/>
      <w:marTop w:val="0"/>
      <w:marBottom w:val="0"/>
      <w:divBdr>
        <w:top w:val="none" w:sz="0" w:space="0" w:color="auto"/>
        <w:left w:val="none" w:sz="0" w:space="0" w:color="auto"/>
        <w:bottom w:val="none" w:sz="0" w:space="0" w:color="auto"/>
        <w:right w:val="none" w:sz="0" w:space="0" w:color="auto"/>
      </w:divBdr>
      <w:divsChild>
        <w:div w:id="196704703">
          <w:marLeft w:val="360"/>
          <w:marRight w:val="0"/>
          <w:marTop w:val="240"/>
          <w:marBottom w:val="240"/>
          <w:divBdr>
            <w:top w:val="none" w:sz="0" w:space="0" w:color="auto"/>
            <w:left w:val="none" w:sz="0" w:space="0" w:color="auto"/>
            <w:bottom w:val="none" w:sz="0" w:space="0" w:color="auto"/>
            <w:right w:val="none" w:sz="0" w:space="0" w:color="auto"/>
          </w:divBdr>
        </w:div>
        <w:div w:id="1309822919">
          <w:marLeft w:val="360"/>
          <w:marRight w:val="0"/>
          <w:marTop w:val="240"/>
          <w:marBottom w:val="240"/>
          <w:divBdr>
            <w:top w:val="none" w:sz="0" w:space="0" w:color="auto"/>
            <w:left w:val="none" w:sz="0" w:space="0" w:color="auto"/>
            <w:bottom w:val="none" w:sz="0" w:space="0" w:color="auto"/>
            <w:right w:val="none" w:sz="0" w:space="0" w:color="auto"/>
          </w:divBdr>
        </w:div>
        <w:div w:id="1712419692">
          <w:marLeft w:val="360"/>
          <w:marRight w:val="0"/>
          <w:marTop w:val="240"/>
          <w:marBottom w:val="240"/>
          <w:divBdr>
            <w:top w:val="none" w:sz="0" w:space="0" w:color="auto"/>
            <w:left w:val="none" w:sz="0" w:space="0" w:color="auto"/>
            <w:bottom w:val="none" w:sz="0" w:space="0" w:color="auto"/>
            <w:right w:val="none" w:sz="0" w:space="0" w:color="auto"/>
          </w:divBdr>
        </w:div>
        <w:div w:id="2117366187">
          <w:marLeft w:val="360"/>
          <w:marRight w:val="0"/>
          <w:marTop w:val="240"/>
          <w:marBottom w:val="240"/>
          <w:divBdr>
            <w:top w:val="none" w:sz="0" w:space="0" w:color="auto"/>
            <w:left w:val="none" w:sz="0" w:space="0" w:color="auto"/>
            <w:bottom w:val="none" w:sz="0" w:space="0" w:color="auto"/>
            <w:right w:val="none" w:sz="0" w:space="0" w:color="auto"/>
          </w:divBdr>
        </w:div>
      </w:divsChild>
    </w:div>
    <w:div w:id="1654530928">
      <w:bodyDiv w:val="1"/>
      <w:marLeft w:val="0"/>
      <w:marRight w:val="0"/>
      <w:marTop w:val="0"/>
      <w:marBottom w:val="0"/>
      <w:divBdr>
        <w:top w:val="none" w:sz="0" w:space="0" w:color="auto"/>
        <w:left w:val="none" w:sz="0" w:space="0" w:color="auto"/>
        <w:bottom w:val="none" w:sz="0" w:space="0" w:color="auto"/>
        <w:right w:val="none" w:sz="0" w:space="0" w:color="auto"/>
      </w:divBdr>
    </w:div>
    <w:div w:id="1687637296">
      <w:bodyDiv w:val="1"/>
      <w:marLeft w:val="0"/>
      <w:marRight w:val="0"/>
      <w:marTop w:val="0"/>
      <w:marBottom w:val="0"/>
      <w:divBdr>
        <w:top w:val="none" w:sz="0" w:space="0" w:color="auto"/>
        <w:left w:val="none" w:sz="0" w:space="0" w:color="auto"/>
        <w:bottom w:val="none" w:sz="0" w:space="0" w:color="auto"/>
        <w:right w:val="none" w:sz="0" w:space="0" w:color="auto"/>
      </w:divBdr>
    </w:div>
    <w:div w:id="1698463331">
      <w:bodyDiv w:val="1"/>
      <w:marLeft w:val="0"/>
      <w:marRight w:val="0"/>
      <w:marTop w:val="0"/>
      <w:marBottom w:val="0"/>
      <w:divBdr>
        <w:top w:val="none" w:sz="0" w:space="0" w:color="auto"/>
        <w:left w:val="none" w:sz="0" w:space="0" w:color="auto"/>
        <w:bottom w:val="none" w:sz="0" w:space="0" w:color="auto"/>
        <w:right w:val="none" w:sz="0" w:space="0" w:color="auto"/>
      </w:divBdr>
      <w:divsChild>
        <w:div w:id="603071725">
          <w:marLeft w:val="1080"/>
          <w:marRight w:val="0"/>
          <w:marTop w:val="120"/>
          <w:marBottom w:val="120"/>
          <w:divBdr>
            <w:top w:val="none" w:sz="0" w:space="0" w:color="auto"/>
            <w:left w:val="none" w:sz="0" w:space="0" w:color="auto"/>
            <w:bottom w:val="none" w:sz="0" w:space="0" w:color="auto"/>
            <w:right w:val="none" w:sz="0" w:space="0" w:color="auto"/>
          </w:divBdr>
        </w:div>
        <w:div w:id="990065106">
          <w:marLeft w:val="1080"/>
          <w:marRight w:val="0"/>
          <w:marTop w:val="120"/>
          <w:marBottom w:val="120"/>
          <w:divBdr>
            <w:top w:val="none" w:sz="0" w:space="0" w:color="auto"/>
            <w:left w:val="none" w:sz="0" w:space="0" w:color="auto"/>
            <w:bottom w:val="none" w:sz="0" w:space="0" w:color="auto"/>
            <w:right w:val="none" w:sz="0" w:space="0" w:color="auto"/>
          </w:divBdr>
        </w:div>
        <w:div w:id="1036850958">
          <w:marLeft w:val="576"/>
          <w:marRight w:val="0"/>
          <w:marTop w:val="120"/>
          <w:marBottom w:val="120"/>
          <w:divBdr>
            <w:top w:val="none" w:sz="0" w:space="0" w:color="auto"/>
            <w:left w:val="none" w:sz="0" w:space="0" w:color="auto"/>
            <w:bottom w:val="none" w:sz="0" w:space="0" w:color="auto"/>
            <w:right w:val="none" w:sz="0" w:space="0" w:color="auto"/>
          </w:divBdr>
        </w:div>
        <w:div w:id="1048649309">
          <w:marLeft w:val="1080"/>
          <w:marRight w:val="0"/>
          <w:marTop w:val="120"/>
          <w:marBottom w:val="120"/>
          <w:divBdr>
            <w:top w:val="none" w:sz="0" w:space="0" w:color="auto"/>
            <w:left w:val="none" w:sz="0" w:space="0" w:color="auto"/>
            <w:bottom w:val="none" w:sz="0" w:space="0" w:color="auto"/>
            <w:right w:val="none" w:sz="0" w:space="0" w:color="auto"/>
          </w:divBdr>
        </w:div>
        <w:div w:id="1146624533">
          <w:marLeft w:val="576"/>
          <w:marRight w:val="0"/>
          <w:marTop w:val="120"/>
          <w:marBottom w:val="120"/>
          <w:divBdr>
            <w:top w:val="none" w:sz="0" w:space="0" w:color="auto"/>
            <w:left w:val="none" w:sz="0" w:space="0" w:color="auto"/>
            <w:bottom w:val="none" w:sz="0" w:space="0" w:color="auto"/>
            <w:right w:val="none" w:sz="0" w:space="0" w:color="auto"/>
          </w:divBdr>
        </w:div>
        <w:div w:id="1303191437">
          <w:marLeft w:val="576"/>
          <w:marRight w:val="0"/>
          <w:marTop w:val="120"/>
          <w:marBottom w:val="120"/>
          <w:divBdr>
            <w:top w:val="none" w:sz="0" w:space="0" w:color="auto"/>
            <w:left w:val="none" w:sz="0" w:space="0" w:color="auto"/>
            <w:bottom w:val="none" w:sz="0" w:space="0" w:color="auto"/>
            <w:right w:val="none" w:sz="0" w:space="0" w:color="auto"/>
          </w:divBdr>
        </w:div>
        <w:div w:id="1309240435">
          <w:marLeft w:val="1080"/>
          <w:marRight w:val="0"/>
          <w:marTop w:val="120"/>
          <w:marBottom w:val="120"/>
          <w:divBdr>
            <w:top w:val="none" w:sz="0" w:space="0" w:color="auto"/>
            <w:left w:val="none" w:sz="0" w:space="0" w:color="auto"/>
            <w:bottom w:val="none" w:sz="0" w:space="0" w:color="auto"/>
            <w:right w:val="none" w:sz="0" w:space="0" w:color="auto"/>
          </w:divBdr>
        </w:div>
      </w:divsChild>
    </w:div>
    <w:div w:id="1722902713">
      <w:bodyDiv w:val="1"/>
      <w:marLeft w:val="0"/>
      <w:marRight w:val="0"/>
      <w:marTop w:val="0"/>
      <w:marBottom w:val="0"/>
      <w:divBdr>
        <w:top w:val="none" w:sz="0" w:space="0" w:color="auto"/>
        <w:left w:val="none" w:sz="0" w:space="0" w:color="auto"/>
        <w:bottom w:val="none" w:sz="0" w:space="0" w:color="auto"/>
        <w:right w:val="none" w:sz="0" w:space="0" w:color="auto"/>
      </w:divBdr>
    </w:div>
    <w:div w:id="1733187342">
      <w:bodyDiv w:val="1"/>
      <w:marLeft w:val="0"/>
      <w:marRight w:val="0"/>
      <w:marTop w:val="0"/>
      <w:marBottom w:val="0"/>
      <w:divBdr>
        <w:top w:val="none" w:sz="0" w:space="0" w:color="auto"/>
        <w:left w:val="none" w:sz="0" w:space="0" w:color="auto"/>
        <w:bottom w:val="none" w:sz="0" w:space="0" w:color="auto"/>
        <w:right w:val="none" w:sz="0" w:space="0" w:color="auto"/>
      </w:divBdr>
      <w:divsChild>
        <w:div w:id="53236184">
          <w:marLeft w:val="1008"/>
          <w:marRight w:val="0"/>
          <w:marTop w:val="120"/>
          <w:marBottom w:val="120"/>
          <w:divBdr>
            <w:top w:val="none" w:sz="0" w:space="0" w:color="auto"/>
            <w:left w:val="none" w:sz="0" w:space="0" w:color="auto"/>
            <w:bottom w:val="none" w:sz="0" w:space="0" w:color="auto"/>
            <w:right w:val="none" w:sz="0" w:space="0" w:color="auto"/>
          </w:divBdr>
        </w:div>
        <w:div w:id="677971235">
          <w:marLeft w:val="576"/>
          <w:marRight w:val="0"/>
          <w:marTop w:val="120"/>
          <w:marBottom w:val="120"/>
          <w:divBdr>
            <w:top w:val="none" w:sz="0" w:space="0" w:color="auto"/>
            <w:left w:val="none" w:sz="0" w:space="0" w:color="auto"/>
            <w:bottom w:val="none" w:sz="0" w:space="0" w:color="auto"/>
            <w:right w:val="none" w:sz="0" w:space="0" w:color="auto"/>
          </w:divBdr>
        </w:div>
        <w:div w:id="806170950">
          <w:marLeft w:val="576"/>
          <w:marRight w:val="0"/>
          <w:marTop w:val="120"/>
          <w:marBottom w:val="120"/>
          <w:divBdr>
            <w:top w:val="none" w:sz="0" w:space="0" w:color="auto"/>
            <w:left w:val="none" w:sz="0" w:space="0" w:color="auto"/>
            <w:bottom w:val="none" w:sz="0" w:space="0" w:color="auto"/>
            <w:right w:val="none" w:sz="0" w:space="0" w:color="auto"/>
          </w:divBdr>
        </w:div>
        <w:div w:id="963345573">
          <w:marLeft w:val="1008"/>
          <w:marRight w:val="0"/>
          <w:marTop w:val="120"/>
          <w:marBottom w:val="120"/>
          <w:divBdr>
            <w:top w:val="none" w:sz="0" w:space="0" w:color="auto"/>
            <w:left w:val="none" w:sz="0" w:space="0" w:color="auto"/>
            <w:bottom w:val="none" w:sz="0" w:space="0" w:color="auto"/>
            <w:right w:val="none" w:sz="0" w:space="0" w:color="auto"/>
          </w:divBdr>
        </w:div>
        <w:div w:id="1584872372">
          <w:marLeft w:val="576"/>
          <w:marRight w:val="0"/>
          <w:marTop w:val="120"/>
          <w:marBottom w:val="120"/>
          <w:divBdr>
            <w:top w:val="none" w:sz="0" w:space="0" w:color="auto"/>
            <w:left w:val="none" w:sz="0" w:space="0" w:color="auto"/>
            <w:bottom w:val="none" w:sz="0" w:space="0" w:color="auto"/>
            <w:right w:val="none" w:sz="0" w:space="0" w:color="auto"/>
          </w:divBdr>
        </w:div>
        <w:div w:id="1608124795">
          <w:marLeft w:val="1008"/>
          <w:marRight w:val="0"/>
          <w:marTop w:val="120"/>
          <w:marBottom w:val="120"/>
          <w:divBdr>
            <w:top w:val="none" w:sz="0" w:space="0" w:color="auto"/>
            <w:left w:val="none" w:sz="0" w:space="0" w:color="auto"/>
            <w:bottom w:val="none" w:sz="0" w:space="0" w:color="auto"/>
            <w:right w:val="none" w:sz="0" w:space="0" w:color="auto"/>
          </w:divBdr>
        </w:div>
        <w:div w:id="1688410169">
          <w:marLeft w:val="576"/>
          <w:marRight w:val="0"/>
          <w:marTop w:val="120"/>
          <w:marBottom w:val="120"/>
          <w:divBdr>
            <w:top w:val="none" w:sz="0" w:space="0" w:color="auto"/>
            <w:left w:val="none" w:sz="0" w:space="0" w:color="auto"/>
            <w:bottom w:val="none" w:sz="0" w:space="0" w:color="auto"/>
            <w:right w:val="none" w:sz="0" w:space="0" w:color="auto"/>
          </w:divBdr>
        </w:div>
      </w:divsChild>
    </w:div>
    <w:div w:id="1733307771">
      <w:bodyDiv w:val="1"/>
      <w:marLeft w:val="0"/>
      <w:marRight w:val="0"/>
      <w:marTop w:val="0"/>
      <w:marBottom w:val="0"/>
      <w:divBdr>
        <w:top w:val="none" w:sz="0" w:space="0" w:color="auto"/>
        <w:left w:val="none" w:sz="0" w:space="0" w:color="auto"/>
        <w:bottom w:val="none" w:sz="0" w:space="0" w:color="auto"/>
        <w:right w:val="none" w:sz="0" w:space="0" w:color="auto"/>
      </w:divBdr>
    </w:div>
    <w:div w:id="1744638602">
      <w:bodyDiv w:val="1"/>
      <w:marLeft w:val="0"/>
      <w:marRight w:val="0"/>
      <w:marTop w:val="0"/>
      <w:marBottom w:val="0"/>
      <w:divBdr>
        <w:top w:val="none" w:sz="0" w:space="0" w:color="auto"/>
        <w:left w:val="none" w:sz="0" w:space="0" w:color="auto"/>
        <w:bottom w:val="none" w:sz="0" w:space="0" w:color="auto"/>
        <w:right w:val="none" w:sz="0" w:space="0" w:color="auto"/>
      </w:divBdr>
      <w:divsChild>
        <w:div w:id="22637645">
          <w:marLeft w:val="432"/>
          <w:marRight w:val="0"/>
          <w:marTop w:val="0"/>
          <w:marBottom w:val="120"/>
          <w:divBdr>
            <w:top w:val="none" w:sz="0" w:space="0" w:color="auto"/>
            <w:left w:val="none" w:sz="0" w:space="0" w:color="auto"/>
            <w:bottom w:val="none" w:sz="0" w:space="0" w:color="auto"/>
            <w:right w:val="none" w:sz="0" w:space="0" w:color="auto"/>
          </w:divBdr>
        </w:div>
        <w:div w:id="114257414">
          <w:marLeft w:val="432"/>
          <w:marRight w:val="0"/>
          <w:marTop w:val="0"/>
          <w:marBottom w:val="120"/>
          <w:divBdr>
            <w:top w:val="none" w:sz="0" w:space="0" w:color="auto"/>
            <w:left w:val="none" w:sz="0" w:space="0" w:color="auto"/>
            <w:bottom w:val="none" w:sz="0" w:space="0" w:color="auto"/>
            <w:right w:val="none" w:sz="0" w:space="0" w:color="auto"/>
          </w:divBdr>
        </w:div>
        <w:div w:id="255748179">
          <w:marLeft w:val="432"/>
          <w:marRight w:val="0"/>
          <w:marTop w:val="0"/>
          <w:marBottom w:val="120"/>
          <w:divBdr>
            <w:top w:val="none" w:sz="0" w:space="0" w:color="auto"/>
            <w:left w:val="none" w:sz="0" w:space="0" w:color="auto"/>
            <w:bottom w:val="none" w:sz="0" w:space="0" w:color="auto"/>
            <w:right w:val="none" w:sz="0" w:space="0" w:color="auto"/>
          </w:divBdr>
        </w:div>
        <w:div w:id="740951432">
          <w:marLeft w:val="432"/>
          <w:marRight w:val="0"/>
          <w:marTop w:val="0"/>
          <w:marBottom w:val="120"/>
          <w:divBdr>
            <w:top w:val="none" w:sz="0" w:space="0" w:color="auto"/>
            <w:left w:val="none" w:sz="0" w:space="0" w:color="auto"/>
            <w:bottom w:val="none" w:sz="0" w:space="0" w:color="auto"/>
            <w:right w:val="none" w:sz="0" w:space="0" w:color="auto"/>
          </w:divBdr>
        </w:div>
      </w:divsChild>
    </w:div>
    <w:div w:id="1751390118">
      <w:bodyDiv w:val="1"/>
      <w:marLeft w:val="0"/>
      <w:marRight w:val="0"/>
      <w:marTop w:val="0"/>
      <w:marBottom w:val="0"/>
      <w:divBdr>
        <w:top w:val="none" w:sz="0" w:space="0" w:color="auto"/>
        <w:left w:val="none" w:sz="0" w:space="0" w:color="auto"/>
        <w:bottom w:val="none" w:sz="0" w:space="0" w:color="auto"/>
        <w:right w:val="none" w:sz="0" w:space="0" w:color="auto"/>
      </w:divBdr>
      <w:divsChild>
        <w:div w:id="274102290">
          <w:marLeft w:val="360"/>
          <w:marRight w:val="0"/>
          <w:marTop w:val="200"/>
          <w:marBottom w:val="0"/>
          <w:divBdr>
            <w:top w:val="none" w:sz="0" w:space="0" w:color="auto"/>
            <w:left w:val="none" w:sz="0" w:space="0" w:color="auto"/>
            <w:bottom w:val="none" w:sz="0" w:space="0" w:color="auto"/>
            <w:right w:val="none" w:sz="0" w:space="0" w:color="auto"/>
          </w:divBdr>
        </w:div>
      </w:divsChild>
    </w:div>
    <w:div w:id="1831142334">
      <w:bodyDiv w:val="1"/>
      <w:marLeft w:val="0"/>
      <w:marRight w:val="0"/>
      <w:marTop w:val="0"/>
      <w:marBottom w:val="0"/>
      <w:divBdr>
        <w:top w:val="none" w:sz="0" w:space="0" w:color="auto"/>
        <w:left w:val="none" w:sz="0" w:space="0" w:color="auto"/>
        <w:bottom w:val="none" w:sz="0" w:space="0" w:color="auto"/>
        <w:right w:val="none" w:sz="0" w:space="0" w:color="auto"/>
      </w:divBdr>
      <w:divsChild>
        <w:div w:id="370308106">
          <w:marLeft w:val="1382"/>
          <w:marRight w:val="0"/>
          <w:marTop w:val="0"/>
          <w:marBottom w:val="0"/>
          <w:divBdr>
            <w:top w:val="none" w:sz="0" w:space="0" w:color="auto"/>
            <w:left w:val="none" w:sz="0" w:space="0" w:color="auto"/>
            <w:bottom w:val="none" w:sz="0" w:space="0" w:color="auto"/>
            <w:right w:val="none" w:sz="0" w:space="0" w:color="auto"/>
          </w:divBdr>
        </w:div>
        <w:div w:id="612444450">
          <w:marLeft w:val="1382"/>
          <w:marRight w:val="0"/>
          <w:marTop w:val="0"/>
          <w:marBottom w:val="0"/>
          <w:divBdr>
            <w:top w:val="none" w:sz="0" w:space="0" w:color="auto"/>
            <w:left w:val="none" w:sz="0" w:space="0" w:color="auto"/>
            <w:bottom w:val="none" w:sz="0" w:space="0" w:color="auto"/>
            <w:right w:val="none" w:sz="0" w:space="0" w:color="auto"/>
          </w:divBdr>
        </w:div>
        <w:div w:id="805049008">
          <w:marLeft w:val="1382"/>
          <w:marRight w:val="0"/>
          <w:marTop w:val="0"/>
          <w:marBottom w:val="0"/>
          <w:divBdr>
            <w:top w:val="none" w:sz="0" w:space="0" w:color="auto"/>
            <w:left w:val="none" w:sz="0" w:space="0" w:color="auto"/>
            <w:bottom w:val="none" w:sz="0" w:space="0" w:color="auto"/>
            <w:right w:val="none" w:sz="0" w:space="0" w:color="auto"/>
          </w:divBdr>
        </w:div>
        <w:div w:id="2019035284">
          <w:marLeft w:val="1382"/>
          <w:marRight w:val="0"/>
          <w:marTop w:val="0"/>
          <w:marBottom w:val="0"/>
          <w:divBdr>
            <w:top w:val="none" w:sz="0" w:space="0" w:color="auto"/>
            <w:left w:val="none" w:sz="0" w:space="0" w:color="auto"/>
            <w:bottom w:val="none" w:sz="0" w:space="0" w:color="auto"/>
            <w:right w:val="none" w:sz="0" w:space="0" w:color="auto"/>
          </w:divBdr>
        </w:div>
      </w:divsChild>
    </w:div>
    <w:div w:id="1866478380">
      <w:bodyDiv w:val="1"/>
      <w:marLeft w:val="0"/>
      <w:marRight w:val="0"/>
      <w:marTop w:val="0"/>
      <w:marBottom w:val="0"/>
      <w:divBdr>
        <w:top w:val="none" w:sz="0" w:space="0" w:color="auto"/>
        <w:left w:val="none" w:sz="0" w:space="0" w:color="auto"/>
        <w:bottom w:val="none" w:sz="0" w:space="0" w:color="auto"/>
        <w:right w:val="none" w:sz="0" w:space="0" w:color="auto"/>
      </w:divBdr>
      <w:divsChild>
        <w:div w:id="802848403">
          <w:marLeft w:val="360"/>
          <w:marRight w:val="0"/>
          <w:marTop w:val="200"/>
          <w:marBottom w:val="0"/>
          <w:divBdr>
            <w:top w:val="none" w:sz="0" w:space="0" w:color="auto"/>
            <w:left w:val="none" w:sz="0" w:space="0" w:color="auto"/>
            <w:bottom w:val="none" w:sz="0" w:space="0" w:color="auto"/>
            <w:right w:val="none" w:sz="0" w:space="0" w:color="auto"/>
          </w:divBdr>
        </w:div>
      </w:divsChild>
    </w:div>
    <w:div w:id="1868325640">
      <w:bodyDiv w:val="1"/>
      <w:marLeft w:val="0"/>
      <w:marRight w:val="0"/>
      <w:marTop w:val="0"/>
      <w:marBottom w:val="0"/>
      <w:divBdr>
        <w:top w:val="none" w:sz="0" w:space="0" w:color="auto"/>
        <w:left w:val="none" w:sz="0" w:space="0" w:color="auto"/>
        <w:bottom w:val="none" w:sz="0" w:space="0" w:color="auto"/>
        <w:right w:val="none" w:sz="0" w:space="0" w:color="auto"/>
      </w:divBdr>
      <w:divsChild>
        <w:div w:id="1166627885">
          <w:marLeft w:val="360"/>
          <w:marRight w:val="0"/>
          <w:marTop w:val="200"/>
          <w:marBottom w:val="0"/>
          <w:divBdr>
            <w:top w:val="none" w:sz="0" w:space="0" w:color="auto"/>
            <w:left w:val="none" w:sz="0" w:space="0" w:color="auto"/>
            <w:bottom w:val="none" w:sz="0" w:space="0" w:color="auto"/>
            <w:right w:val="none" w:sz="0" w:space="0" w:color="auto"/>
          </w:divBdr>
        </w:div>
      </w:divsChild>
    </w:div>
    <w:div w:id="1873837877">
      <w:bodyDiv w:val="1"/>
      <w:marLeft w:val="0"/>
      <w:marRight w:val="0"/>
      <w:marTop w:val="0"/>
      <w:marBottom w:val="0"/>
      <w:divBdr>
        <w:top w:val="none" w:sz="0" w:space="0" w:color="auto"/>
        <w:left w:val="none" w:sz="0" w:space="0" w:color="auto"/>
        <w:bottom w:val="none" w:sz="0" w:space="0" w:color="auto"/>
        <w:right w:val="none" w:sz="0" w:space="0" w:color="auto"/>
      </w:divBdr>
      <w:divsChild>
        <w:div w:id="1982347724">
          <w:marLeft w:val="0"/>
          <w:marRight w:val="0"/>
          <w:marTop w:val="0"/>
          <w:marBottom w:val="0"/>
          <w:divBdr>
            <w:top w:val="none" w:sz="0" w:space="0" w:color="auto"/>
            <w:left w:val="none" w:sz="0" w:space="0" w:color="auto"/>
            <w:bottom w:val="none" w:sz="0" w:space="0" w:color="auto"/>
            <w:right w:val="none" w:sz="0" w:space="0" w:color="auto"/>
          </w:divBdr>
          <w:divsChild>
            <w:div w:id="190650915">
              <w:marLeft w:val="0"/>
              <w:marRight w:val="0"/>
              <w:marTop w:val="0"/>
              <w:marBottom w:val="0"/>
              <w:divBdr>
                <w:top w:val="none" w:sz="0" w:space="0" w:color="auto"/>
                <w:left w:val="none" w:sz="0" w:space="0" w:color="auto"/>
                <w:bottom w:val="none" w:sz="0" w:space="0" w:color="auto"/>
                <w:right w:val="none" w:sz="0" w:space="0" w:color="auto"/>
              </w:divBdr>
              <w:divsChild>
                <w:div w:id="329330365">
                  <w:marLeft w:val="0"/>
                  <w:marRight w:val="0"/>
                  <w:marTop w:val="0"/>
                  <w:marBottom w:val="0"/>
                  <w:divBdr>
                    <w:top w:val="none" w:sz="0" w:space="0" w:color="auto"/>
                    <w:left w:val="none" w:sz="0" w:space="0" w:color="auto"/>
                    <w:bottom w:val="none" w:sz="0" w:space="0" w:color="auto"/>
                    <w:right w:val="none" w:sz="0" w:space="0" w:color="auto"/>
                  </w:divBdr>
                </w:div>
              </w:divsChild>
            </w:div>
            <w:div w:id="205027779">
              <w:marLeft w:val="0"/>
              <w:marRight w:val="0"/>
              <w:marTop w:val="0"/>
              <w:marBottom w:val="0"/>
              <w:divBdr>
                <w:top w:val="none" w:sz="0" w:space="0" w:color="auto"/>
                <w:left w:val="none" w:sz="0" w:space="0" w:color="auto"/>
                <w:bottom w:val="none" w:sz="0" w:space="0" w:color="auto"/>
                <w:right w:val="none" w:sz="0" w:space="0" w:color="auto"/>
              </w:divBdr>
              <w:divsChild>
                <w:div w:id="1689404561">
                  <w:marLeft w:val="0"/>
                  <w:marRight w:val="0"/>
                  <w:marTop w:val="0"/>
                  <w:marBottom w:val="0"/>
                  <w:divBdr>
                    <w:top w:val="none" w:sz="0" w:space="0" w:color="auto"/>
                    <w:left w:val="none" w:sz="0" w:space="0" w:color="auto"/>
                    <w:bottom w:val="none" w:sz="0" w:space="0" w:color="auto"/>
                    <w:right w:val="none" w:sz="0" w:space="0" w:color="auto"/>
                  </w:divBdr>
                </w:div>
              </w:divsChild>
            </w:div>
            <w:div w:id="284433801">
              <w:marLeft w:val="0"/>
              <w:marRight w:val="0"/>
              <w:marTop w:val="0"/>
              <w:marBottom w:val="0"/>
              <w:divBdr>
                <w:top w:val="none" w:sz="0" w:space="0" w:color="auto"/>
                <w:left w:val="none" w:sz="0" w:space="0" w:color="auto"/>
                <w:bottom w:val="none" w:sz="0" w:space="0" w:color="auto"/>
                <w:right w:val="none" w:sz="0" w:space="0" w:color="auto"/>
              </w:divBdr>
              <w:divsChild>
                <w:div w:id="1134909350">
                  <w:marLeft w:val="0"/>
                  <w:marRight w:val="0"/>
                  <w:marTop w:val="0"/>
                  <w:marBottom w:val="0"/>
                  <w:divBdr>
                    <w:top w:val="none" w:sz="0" w:space="0" w:color="auto"/>
                    <w:left w:val="none" w:sz="0" w:space="0" w:color="auto"/>
                    <w:bottom w:val="none" w:sz="0" w:space="0" w:color="auto"/>
                    <w:right w:val="none" w:sz="0" w:space="0" w:color="auto"/>
                  </w:divBdr>
                </w:div>
              </w:divsChild>
            </w:div>
            <w:div w:id="385570248">
              <w:marLeft w:val="0"/>
              <w:marRight w:val="0"/>
              <w:marTop w:val="0"/>
              <w:marBottom w:val="0"/>
              <w:divBdr>
                <w:top w:val="none" w:sz="0" w:space="0" w:color="auto"/>
                <w:left w:val="none" w:sz="0" w:space="0" w:color="auto"/>
                <w:bottom w:val="none" w:sz="0" w:space="0" w:color="auto"/>
                <w:right w:val="none" w:sz="0" w:space="0" w:color="auto"/>
              </w:divBdr>
              <w:divsChild>
                <w:div w:id="183249573">
                  <w:marLeft w:val="0"/>
                  <w:marRight w:val="0"/>
                  <w:marTop w:val="0"/>
                  <w:marBottom w:val="0"/>
                  <w:divBdr>
                    <w:top w:val="none" w:sz="0" w:space="0" w:color="auto"/>
                    <w:left w:val="none" w:sz="0" w:space="0" w:color="auto"/>
                    <w:bottom w:val="none" w:sz="0" w:space="0" w:color="auto"/>
                    <w:right w:val="none" w:sz="0" w:space="0" w:color="auto"/>
                  </w:divBdr>
                </w:div>
              </w:divsChild>
            </w:div>
            <w:div w:id="805856869">
              <w:marLeft w:val="0"/>
              <w:marRight w:val="0"/>
              <w:marTop w:val="0"/>
              <w:marBottom w:val="0"/>
              <w:divBdr>
                <w:top w:val="none" w:sz="0" w:space="0" w:color="auto"/>
                <w:left w:val="none" w:sz="0" w:space="0" w:color="auto"/>
                <w:bottom w:val="none" w:sz="0" w:space="0" w:color="auto"/>
                <w:right w:val="none" w:sz="0" w:space="0" w:color="auto"/>
              </w:divBdr>
              <w:divsChild>
                <w:div w:id="429667666">
                  <w:marLeft w:val="0"/>
                  <w:marRight w:val="0"/>
                  <w:marTop w:val="0"/>
                  <w:marBottom w:val="0"/>
                  <w:divBdr>
                    <w:top w:val="none" w:sz="0" w:space="0" w:color="auto"/>
                    <w:left w:val="none" w:sz="0" w:space="0" w:color="auto"/>
                    <w:bottom w:val="none" w:sz="0" w:space="0" w:color="auto"/>
                    <w:right w:val="none" w:sz="0" w:space="0" w:color="auto"/>
                  </w:divBdr>
                </w:div>
              </w:divsChild>
            </w:div>
            <w:div w:id="1105147850">
              <w:marLeft w:val="0"/>
              <w:marRight w:val="0"/>
              <w:marTop w:val="0"/>
              <w:marBottom w:val="0"/>
              <w:divBdr>
                <w:top w:val="none" w:sz="0" w:space="0" w:color="auto"/>
                <w:left w:val="none" w:sz="0" w:space="0" w:color="auto"/>
                <w:bottom w:val="none" w:sz="0" w:space="0" w:color="auto"/>
                <w:right w:val="none" w:sz="0" w:space="0" w:color="auto"/>
              </w:divBdr>
              <w:divsChild>
                <w:div w:id="964194454">
                  <w:marLeft w:val="0"/>
                  <w:marRight w:val="0"/>
                  <w:marTop w:val="0"/>
                  <w:marBottom w:val="0"/>
                  <w:divBdr>
                    <w:top w:val="none" w:sz="0" w:space="0" w:color="auto"/>
                    <w:left w:val="none" w:sz="0" w:space="0" w:color="auto"/>
                    <w:bottom w:val="none" w:sz="0" w:space="0" w:color="auto"/>
                    <w:right w:val="none" w:sz="0" w:space="0" w:color="auto"/>
                  </w:divBdr>
                </w:div>
              </w:divsChild>
            </w:div>
            <w:div w:id="1191720205">
              <w:marLeft w:val="0"/>
              <w:marRight w:val="0"/>
              <w:marTop w:val="0"/>
              <w:marBottom w:val="0"/>
              <w:divBdr>
                <w:top w:val="none" w:sz="0" w:space="0" w:color="auto"/>
                <w:left w:val="none" w:sz="0" w:space="0" w:color="auto"/>
                <w:bottom w:val="none" w:sz="0" w:space="0" w:color="auto"/>
                <w:right w:val="none" w:sz="0" w:space="0" w:color="auto"/>
              </w:divBdr>
              <w:divsChild>
                <w:div w:id="1204364713">
                  <w:marLeft w:val="0"/>
                  <w:marRight w:val="0"/>
                  <w:marTop w:val="0"/>
                  <w:marBottom w:val="0"/>
                  <w:divBdr>
                    <w:top w:val="none" w:sz="0" w:space="0" w:color="auto"/>
                    <w:left w:val="none" w:sz="0" w:space="0" w:color="auto"/>
                    <w:bottom w:val="none" w:sz="0" w:space="0" w:color="auto"/>
                    <w:right w:val="none" w:sz="0" w:space="0" w:color="auto"/>
                  </w:divBdr>
                </w:div>
              </w:divsChild>
            </w:div>
            <w:div w:id="1208494585">
              <w:marLeft w:val="0"/>
              <w:marRight w:val="0"/>
              <w:marTop w:val="0"/>
              <w:marBottom w:val="0"/>
              <w:divBdr>
                <w:top w:val="none" w:sz="0" w:space="0" w:color="auto"/>
                <w:left w:val="none" w:sz="0" w:space="0" w:color="auto"/>
                <w:bottom w:val="none" w:sz="0" w:space="0" w:color="auto"/>
                <w:right w:val="none" w:sz="0" w:space="0" w:color="auto"/>
              </w:divBdr>
              <w:divsChild>
                <w:div w:id="1693915550">
                  <w:marLeft w:val="0"/>
                  <w:marRight w:val="0"/>
                  <w:marTop w:val="0"/>
                  <w:marBottom w:val="0"/>
                  <w:divBdr>
                    <w:top w:val="none" w:sz="0" w:space="0" w:color="auto"/>
                    <w:left w:val="none" w:sz="0" w:space="0" w:color="auto"/>
                    <w:bottom w:val="none" w:sz="0" w:space="0" w:color="auto"/>
                    <w:right w:val="none" w:sz="0" w:space="0" w:color="auto"/>
                  </w:divBdr>
                </w:div>
              </w:divsChild>
            </w:div>
            <w:div w:id="1243685133">
              <w:marLeft w:val="0"/>
              <w:marRight w:val="0"/>
              <w:marTop w:val="0"/>
              <w:marBottom w:val="0"/>
              <w:divBdr>
                <w:top w:val="none" w:sz="0" w:space="0" w:color="auto"/>
                <w:left w:val="none" w:sz="0" w:space="0" w:color="auto"/>
                <w:bottom w:val="none" w:sz="0" w:space="0" w:color="auto"/>
                <w:right w:val="none" w:sz="0" w:space="0" w:color="auto"/>
              </w:divBdr>
              <w:divsChild>
                <w:div w:id="171452991">
                  <w:marLeft w:val="0"/>
                  <w:marRight w:val="0"/>
                  <w:marTop w:val="0"/>
                  <w:marBottom w:val="0"/>
                  <w:divBdr>
                    <w:top w:val="none" w:sz="0" w:space="0" w:color="auto"/>
                    <w:left w:val="none" w:sz="0" w:space="0" w:color="auto"/>
                    <w:bottom w:val="none" w:sz="0" w:space="0" w:color="auto"/>
                    <w:right w:val="none" w:sz="0" w:space="0" w:color="auto"/>
                  </w:divBdr>
                </w:div>
              </w:divsChild>
            </w:div>
            <w:div w:id="1490513794">
              <w:marLeft w:val="0"/>
              <w:marRight w:val="0"/>
              <w:marTop w:val="0"/>
              <w:marBottom w:val="0"/>
              <w:divBdr>
                <w:top w:val="none" w:sz="0" w:space="0" w:color="auto"/>
                <w:left w:val="none" w:sz="0" w:space="0" w:color="auto"/>
                <w:bottom w:val="none" w:sz="0" w:space="0" w:color="auto"/>
                <w:right w:val="none" w:sz="0" w:space="0" w:color="auto"/>
              </w:divBdr>
              <w:divsChild>
                <w:div w:id="1128626250">
                  <w:marLeft w:val="0"/>
                  <w:marRight w:val="0"/>
                  <w:marTop w:val="0"/>
                  <w:marBottom w:val="0"/>
                  <w:divBdr>
                    <w:top w:val="none" w:sz="0" w:space="0" w:color="auto"/>
                    <w:left w:val="none" w:sz="0" w:space="0" w:color="auto"/>
                    <w:bottom w:val="none" w:sz="0" w:space="0" w:color="auto"/>
                    <w:right w:val="none" w:sz="0" w:space="0" w:color="auto"/>
                  </w:divBdr>
                </w:div>
              </w:divsChild>
            </w:div>
            <w:div w:id="1501769151">
              <w:marLeft w:val="0"/>
              <w:marRight w:val="0"/>
              <w:marTop w:val="0"/>
              <w:marBottom w:val="0"/>
              <w:divBdr>
                <w:top w:val="none" w:sz="0" w:space="0" w:color="auto"/>
                <w:left w:val="none" w:sz="0" w:space="0" w:color="auto"/>
                <w:bottom w:val="none" w:sz="0" w:space="0" w:color="auto"/>
                <w:right w:val="none" w:sz="0" w:space="0" w:color="auto"/>
              </w:divBdr>
              <w:divsChild>
                <w:div w:id="1111054651">
                  <w:marLeft w:val="0"/>
                  <w:marRight w:val="0"/>
                  <w:marTop w:val="0"/>
                  <w:marBottom w:val="0"/>
                  <w:divBdr>
                    <w:top w:val="none" w:sz="0" w:space="0" w:color="auto"/>
                    <w:left w:val="none" w:sz="0" w:space="0" w:color="auto"/>
                    <w:bottom w:val="none" w:sz="0" w:space="0" w:color="auto"/>
                    <w:right w:val="none" w:sz="0" w:space="0" w:color="auto"/>
                  </w:divBdr>
                </w:div>
              </w:divsChild>
            </w:div>
            <w:div w:id="1611859395">
              <w:marLeft w:val="0"/>
              <w:marRight w:val="0"/>
              <w:marTop w:val="0"/>
              <w:marBottom w:val="0"/>
              <w:divBdr>
                <w:top w:val="none" w:sz="0" w:space="0" w:color="auto"/>
                <w:left w:val="none" w:sz="0" w:space="0" w:color="auto"/>
                <w:bottom w:val="none" w:sz="0" w:space="0" w:color="auto"/>
                <w:right w:val="none" w:sz="0" w:space="0" w:color="auto"/>
              </w:divBdr>
              <w:divsChild>
                <w:div w:id="424156578">
                  <w:marLeft w:val="0"/>
                  <w:marRight w:val="0"/>
                  <w:marTop w:val="0"/>
                  <w:marBottom w:val="0"/>
                  <w:divBdr>
                    <w:top w:val="none" w:sz="0" w:space="0" w:color="auto"/>
                    <w:left w:val="none" w:sz="0" w:space="0" w:color="auto"/>
                    <w:bottom w:val="none" w:sz="0" w:space="0" w:color="auto"/>
                    <w:right w:val="none" w:sz="0" w:space="0" w:color="auto"/>
                  </w:divBdr>
                </w:div>
              </w:divsChild>
            </w:div>
            <w:div w:id="1619800106">
              <w:marLeft w:val="0"/>
              <w:marRight w:val="0"/>
              <w:marTop w:val="0"/>
              <w:marBottom w:val="0"/>
              <w:divBdr>
                <w:top w:val="none" w:sz="0" w:space="0" w:color="auto"/>
                <w:left w:val="none" w:sz="0" w:space="0" w:color="auto"/>
                <w:bottom w:val="none" w:sz="0" w:space="0" w:color="auto"/>
                <w:right w:val="none" w:sz="0" w:space="0" w:color="auto"/>
              </w:divBdr>
              <w:divsChild>
                <w:div w:id="153910650">
                  <w:marLeft w:val="0"/>
                  <w:marRight w:val="0"/>
                  <w:marTop w:val="0"/>
                  <w:marBottom w:val="0"/>
                  <w:divBdr>
                    <w:top w:val="none" w:sz="0" w:space="0" w:color="auto"/>
                    <w:left w:val="none" w:sz="0" w:space="0" w:color="auto"/>
                    <w:bottom w:val="none" w:sz="0" w:space="0" w:color="auto"/>
                    <w:right w:val="none" w:sz="0" w:space="0" w:color="auto"/>
                  </w:divBdr>
                </w:div>
              </w:divsChild>
            </w:div>
            <w:div w:id="1625769696">
              <w:marLeft w:val="0"/>
              <w:marRight w:val="0"/>
              <w:marTop w:val="0"/>
              <w:marBottom w:val="0"/>
              <w:divBdr>
                <w:top w:val="none" w:sz="0" w:space="0" w:color="auto"/>
                <w:left w:val="none" w:sz="0" w:space="0" w:color="auto"/>
                <w:bottom w:val="none" w:sz="0" w:space="0" w:color="auto"/>
                <w:right w:val="none" w:sz="0" w:space="0" w:color="auto"/>
              </w:divBdr>
              <w:divsChild>
                <w:div w:id="1300770842">
                  <w:marLeft w:val="0"/>
                  <w:marRight w:val="0"/>
                  <w:marTop w:val="0"/>
                  <w:marBottom w:val="0"/>
                  <w:divBdr>
                    <w:top w:val="none" w:sz="0" w:space="0" w:color="auto"/>
                    <w:left w:val="none" w:sz="0" w:space="0" w:color="auto"/>
                    <w:bottom w:val="none" w:sz="0" w:space="0" w:color="auto"/>
                    <w:right w:val="none" w:sz="0" w:space="0" w:color="auto"/>
                  </w:divBdr>
                </w:div>
              </w:divsChild>
            </w:div>
            <w:div w:id="1643122904">
              <w:marLeft w:val="0"/>
              <w:marRight w:val="0"/>
              <w:marTop w:val="0"/>
              <w:marBottom w:val="0"/>
              <w:divBdr>
                <w:top w:val="none" w:sz="0" w:space="0" w:color="auto"/>
                <w:left w:val="none" w:sz="0" w:space="0" w:color="auto"/>
                <w:bottom w:val="none" w:sz="0" w:space="0" w:color="auto"/>
                <w:right w:val="none" w:sz="0" w:space="0" w:color="auto"/>
              </w:divBdr>
              <w:divsChild>
                <w:div w:id="1794863208">
                  <w:marLeft w:val="0"/>
                  <w:marRight w:val="0"/>
                  <w:marTop w:val="0"/>
                  <w:marBottom w:val="0"/>
                  <w:divBdr>
                    <w:top w:val="none" w:sz="0" w:space="0" w:color="auto"/>
                    <w:left w:val="none" w:sz="0" w:space="0" w:color="auto"/>
                    <w:bottom w:val="none" w:sz="0" w:space="0" w:color="auto"/>
                    <w:right w:val="none" w:sz="0" w:space="0" w:color="auto"/>
                  </w:divBdr>
                </w:div>
              </w:divsChild>
            </w:div>
            <w:div w:id="1731687394">
              <w:marLeft w:val="0"/>
              <w:marRight w:val="0"/>
              <w:marTop w:val="0"/>
              <w:marBottom w:val="0"/>
              <w:divBdr>
                <w:top w:val="none" w:sz="0" w:space="0" w:color="auto"/>
                <w:left w:val="none" w:sz="0" w:space="0" w:color="auto"/>
                <w:bottom w:val="none" w:sz="0" w:space="0" w:color="auto"/>
                <w:right w:val="none" w:sz="0" w:space="0" w:color="auto"/>
              </w:divBdr>
              <w:divsChild>
                <w:div w:id="1630668963">
                  <w:marLeft w:val="0"/>
                  <w:marRight w:val="0"/>
                  <w:marTop w:val="0"/>
                  <w:marBottom w:val="0"/>
                  <w:divBdr>
                    <w:top w:val="none" w:sz="0" w:space="0" w:color="auto"/>
                    <w:left w:val="none" w:sz="0" w:space="0" w:color="auto"/>
                    <w:bottom w:val="none" w:sz="0" w:space="0" w:color="auto"/>
                    <w:right w:val="none" w:sz="0" w:space="0" w:color="auto"/>
                  </w:divBdr>
                </w:div>
              </w:divsChild>
            </w:div>
            <w:div w:id="1799639985">
              <w:marLeft w:val="0"/>
              <w:marRight w:val="0"/>
              <w:marTop w:val="0"/>
              <w:marBottom w:val="0"/>
              <w:divBdr>
                <w:top w:val="none" w:sz="0" w:space="0" w:color="auto"/>
                <w:left w:val="none" w:sz="0" w:space="0" w:color="auto"/>
                <w:bottom w:val="none" w:sz="0" w:space="0" w:color="auto"/>
                <w:right w:val="none" w:sz="0" w:space="0" w:color="auto"/>
              </w:divBdr>
              <w:divsChild>
                <w:div w:id="152574000">
                  <w:marLeft w:val="0"/>
                  <w:marRight w:val="0"/>
                  <w:marTop w:val="0"/>
                  <w:marBottom w:val="0"/>
                  <w:divBdr>
                    <w:top w:val="none" w:sz="0" w:space="0" w:color="auto"/>
                    <w:left w:val="none" w:sz="0" w:space="0" w:color="auto"/>
                    <w:bottom w:val="none" w:sz="0" w:space="0" w:color="auto"/>
                    <w:right w:val="none" w:sz="0" w:space="0" w:color="auto"/>
                  </w:divBdr>
                </w:div>
              </w:divsChild>
            </w:div>
            <w:div w:id="1844926903">
              <w:marLeft w:val="0"/>
              <w:marRight w:val="0"/>
              <w:marTop w:val="0"/>
              <w:marBottom w:val="0"/>
              <w:divBdr>
                <w:top w:val="none" w:sz="0" w:space="0" w:color="auto"/>
                <w:left w:val="none" w:sz="0" w:space="0" w:color="auto"/>
                <w:bottom w:val="none" w:sz="0" w:space="0" w:color="auto"/>
                <w:right w:val="none" w:sz="0" w:space="0" w:color="auto"/>
              </w:divBdr>
              <w:divsChild>
                <w:div w:id="1122455127">
                  <w:marLeft w:val="0"/>
                  <w:marRight w:val="0"/>
                  <w:marTop w:val="0"/>
                  <w:marBottom w:val="0"/>
                  <w:divBdr>
                    <w:top w:val="none" w:sz="0" w:space="0" w:color="auto"/>
                    <w:left w:val="none" w:sz="0" w:space="0" w:color="auto"/>
                    <w:bottom w:val="none" w:sz="0" w:space="0" w:color="auto"/>
                    <w:right w:val="none" w:sz="0" w:space="0" w:color="auto"/>
                  </w:divBdr>
                </w:div>
              </w:divsChild>
            </w:div>
            <w:div w:id="1893299643">
              <w:marLeft w:val="0"/>
              <w:marRight w:val="0"/>
              <w:marTop w:val="0"/>
              <w:marBottom w:val="0"/>
              <w:divBdr>
                <w:top w:val="none" w:sz="0" w:space="0" w:color="auto"/>
                <w:left w:val="none" w:sz="0" w:space="0" w:color="auto"/>
                <w:bottom w:val="none" w:sz="0" w:space="0" w:color="auto"/>
                <w:right w:val="none" w:sz="0" w:space="0" w:color="auto"/>
              </w:divBdr>
              <w:divsChild>
                <w:div w:id="1590656185">
                  <w:marLeft w:val="0"/>
                  <w:marRight w:val="0"/>
                  <w:marTop w:val="0"/>
                  <w:marBottom w:val="0"/>
                  <w:divBdr>
                    <w:top w:val="none" w:sz="0" w:space="0" w:color="auto"/>
                    <w:left w:val="none" w:sz="0" w:space="0" w:color="auto"/>
                    <w:bottom w:val="none" w:sz="0" w:space="0" w:color="auto"/>
                    <w:right w:val="none" w:sz="0" w:space="0" w:color="auto"/>
                  </w:divBdr>
                </w:div>
              </w:divsChild>
            </w:div>
            <w:div w:id="1948998089">
              <w:marLeft w:val="0"/>
              <w:marRight w:val="0"/>
              <w:marTop w:val="0"/>
              <w:marBottom w:val="0"/>
              <w:divBdr>
                <w:top w:val="none" w:sz="0" w:space="0" w:color="auto"/>
                <w:left w:val="none" w:sz="0" w:space="0" w:color="auto"/>
                <w:bottom w:val="none" w:sz="0" w:space="0" w:color="auto"/>
                <w:right w:val="none" w:sz="0" w:space="0" w:color="auto"/>
              </w:divBdr>
              <w:divsChild>
                <w:div w:id="15038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0074">
      <w:bodyDiv w:val="1"/>
      <w:marLeft w:val="0"/>
      <w:marRight w:val="0"/>
      <w:marTop w:val="0"/>
      <w:marBottom w:val="0"/>
      <w:divBdr>
        <w:top w:val="none" w:sz="0" w:space="0" w:color="auto"/>
        <w:left w:val="none" w:sz="0" w:space="0" w:color="auto"/>
        <w:bottom w:val="none" w:sz="0" w:space="0" w:color="auto"/>
        <w:right w:val="none" w:sz="0" w:space="0" w:color="auto"/>
      </w:divBdr>
      <w:divsChild>
        <w:div w:id="481193327">
          <w:marLeft w:val="1080"/>
          <w:marRight w:val="0"/>
          <w:marTop w:val="100"/>
          <w:marBottom w:val="0"/>
          <w:divBdr>
            <w:top w:val="none" w:sz="0" w:space="0" w:color="auto"/>
            <w:left w:val="none" w:sz="0" w:space="0" w:color="auto"/>
            <w:bottom w:val="none" w:sz="0" w:space="0" w:color="auto"/>
            <w:right w:val="none" w:sz="0" w:space="0" w:color="auto"/>
          </w:divBdr>
        </w:div>
        <w:div w:id="1368022161">
          <w:marLeft w:val="360"/>
          <w:marRight w:val="0"/>
          <w:marTop w:val="200"/>
          <w:marBottom w:val="0"/>
          <w:divBdr>
            <w:top w:val="none" w:sz="0" w:space="0" w:color="auto"/>
            <w:left w:val="none" w:sz="0" w:space="0" w:color="auto"/>
            <w:bottom w:val="none" w:sz="0" w:space="0" w:color="auto"/>
            <w:right w:val="none" w:sz="0" w:space="0" w:color="auto"/>
          </w:divBdr>
        </w:div>
        <w:div w:id="1977373725">
          <w:marLeft w:val="1080"/>
          <w:marRight w:val="0"/>
          <w:marTop w:val="100"/>
          <w:marBottom w:val="0"/>
          <w:divBdr>
            <w:top w:val="none" w:sz="0" w:space="0" w:color="auto"/>
            <w:left w:val="none" w:sz="0" w:space="0" w:color="auto"/>
            <w:bottom w:val="none" w:sz="0" w:space="0" w:color="auto"/>
            <w:right w:val="none" w:sz="0" w:space="0" w:color="auto"/>
          </w:divBdr>
        </w:div>
      </w:divsChild>
    </w:div>
    <w:div w:id="1929659143">
      <w:bodyDiv w:val="1"/>
      <w:marLeft w:val="0"/>
      <w:marRight w:val="0"/>
      <w:marTop w:val="0"/>
      <w:marBottom w:val="0"/>
      <w:divBdr>
        <w:top w:val="none" w:sz="0" w:space="0" w:color="auto"/>
        <w:left w:val="none" w:sz="0" w:space="0" w:color="auto"/>
        <w:bottom w:val="none" w:sz="0" w:space="0" w:color="auto"/>
        <w:right w:val="none" w:sz="0" w:space="0" w:color="auto"/>
      </w:divBdr>
      <w:divsChild>
        <w:div w:id="282688286">
          <w:marLeft w:val="576"/>
          <w:marRight w:val="0"/>
          <w:marTop w:val="120"/>
          <w:marBottom w:val="120"/>
          <w:divBdr>
            <w:top w:val="none" w:sz="0" w:space="0" w:color="auto"/>
            <w:left w:val="none" w:sz="0" w:space="0" w:color="auto"/>
            <w:bottom w:val="none" w:sz="0" w:space="0" w:color="auto"/>
            <w:right w:val="none" w:sz="0" w:space="0" w:color="auto"/>
          </w:divBdr>
        </w:div>
        <w:div w:id="706494002">
          <w:marLeft w:val="1080"/>
          <w:marRight w:val="0"/>
          <w:marTop w:val="120"/>
          <w:marBottom w:val="120"/>
          <w:divBdr>
            <w:top w:val="none" w:sz="0" w:space="0" w:color="auto"/>
            <w:left w:val="none" w:sz="0" w:space="0" w:color="auto"/>
            <w:bottom w:val="none" w:sz="0" w:space="0" w:color="auto"/>
            <w:right w:val="none" w:sz="0" w:space="0" w:color="auto"/>
          </w:divBdr>
        </w:div>
        <w:div w:id="738862111">
          <w:marLeft w:val="576"/>
          <w:marRight w:val="0"/>
          <w:marTop w:val="120"/>
          <w:marBottom w:val="120"/>
          <w:divBdr>
            <w:top w:val="none" w:sz="0" w:space="0" w:color="auto"/>
            <w:left w:val="none" w:sz="0" w:space="0" w:color="auto"/>
            <w:bottom w:val="none" w:sz="0" w:space="0" w:color="auto"/>
            <w:right w:val="none" w:sz="0" w:space="0" w:color="auto"/>
          </w:divBdr>
        </w:div>
        <w:div w:id="914319060">
          <w:marLeft w:val="1080"/>
          <w:marRight w:val="0"/>
          <w:marTop w:val="120"/>
          <w:marBottom w:val="120"/>
          <w:divBdr>
            <w:top w:val="none" w:sz="0" w:space="0" w:color="auto"/>
            <w:left w:val="none" w:sz="0" w:space="0" w:color="auto"/>
            <w:bottom w:val="none" w:sz="0" w:space="0" w:color="auto"/>
            <w:right w:val="none" w:sz="0" w:space="0" w:color="auto"/>
          </w:divBdr>
        </w:div>
        <w:div w:id="1653866926">
          <w:marLeft w:val="1080"/>
          <w:marRight w:val="0"/>
          <w:marTop w:val="120"/>
          <w:marBottom w:val="120"/>
          <w:divBdr>
            <w:top w:val="none" w:sz="0" w:space="0" w:color="auto"/>
            <w:left w:val="none" w:sz="0" w:space="0" w:color="auto"/>
            <w:bottom w:val="none" w:sz="0" w:space="0" w:color="auto"/>
            <w:right w:val="none" w:sz="0" w:space="0" w:color="auto"/>
          </w:divBdr>
        </w:div>
        <w:div w:id="1949653476">
          <w:marLeft w:val="576"/>
          <w:marRight w:val="0"/>
          <w:marTop w:val="120"/>
          <w:marBottom w:val="120"/>
          <w:divBdr>
            <w:top w:val="none" w:sz="0" w:space="0" w:color="auto"/>
            <w:left w:val="none" w:sz="0" w:space="0" w:color="auto"/>
            <w:bottom w:val="none" w:sz="0" w:space="0" w:color="auto"/>
            <w:right w:val="none" w:sz="0" w:space="0" w:color="auto"/>
          </w:divBdr>
        </w:div>
      </w:divsChild>
    </w:div>
    <w:div w:id="1956709318">
      <w:bodyDiv w:val="1"/>
      <w:marLeft w:val="0"/>
      <w:marRight w:val="0"/>
      <w:marTop w:val="0"/>
      <w:marBottom w:val="0"/>
      <w:divBdr>
        <w:top w:val="none" w:sz="0" w:space="0" w:color="auto"/>
        <w:left w:val="none" w:sz="0" w:space="0" w:color="auto"/>
        <w:bottom w:val="none" w:sz="0" w:space="0" w:color="auto"/>
        <w:right w:val="none" w:sz="0" w:space="0" w:color="auto"/>
      </w:divBdr>
    </w:div>
    <w:div w:id="1960915898">
      <w:bodyDiv w:val="1"/>
      <w:marLeft w:val="0"/>
      <w:marRight w:val="0"/>
      <w:marTop w:val="0"/>
      <w:marBottom w:val="0"/>
      <w:divBdr>
        <w:top w:val="none" w:sz="0" w:space="0" w:color="auto"/>
        <w:left w:val="none" w:sz="0" w:space="0" w:color="auto"/>
        <w:bottom w:val="none" w:sz="0" w:space="0" w:color="auto"/>
        <w:right w:val="none" w:sz="0" w:space="0" w:color="auto"/>
      </w:divBdr>
    </w:div>
    <w:div w:id="2002611115">
      <w:bodyDiv w:val="1"/>
      <w:marLeft w:val="0"/>
      <w:marRight w:val="0"/>
      <w:marTop w:val="0"/>
      <w:marBottom w:val="0"/>
      <w:divBdr>
        <w:top w:val="none" w:sz="0" w:space="0" w:color="auto"/>
        <w:left w:val="none" w:sz="0" w:space="0" w:color="auto"/>
        <w:bottom w:val="none" w:sz="0" w:space="0" w:color="auto"/>
        <w:right w:val="none" w:sz="0" w:space="0" w:color="auto"/>
      </w:divBdr>
    </w:div>
    <w:div w:id="2010786411">
      <w:bodyDiv w:val="1"/>
      <w:marLeft w:val="0"/>
      <w:marRight w:val="0"/>
      <w:marTop w:val="0"/>
      <w:marBottom w:val="0"/>
      <w:divBdr>
        <w:top w:val="none" w:sz="0" w:space="0" w:color="auto"/>
        <w:left w:val="none" w:sz="0" w:space="0" w:color="auto"/>
        <w:bottom w:val="none" w:sz="0" w:space="0" w:color="auto"/>
        <w:right w:val="none" w:sz="0" w:space="0" w:color="auto"/>
      </w:divBdr>
      <w:divsChild>
        <w:div w:id="294994256">
          <w:marLeft w:val="360"/>
          <w:marRight w:val="0"/>
          <w:marTop w:val="240"/>
          <w:marBottom w:val="0"/>
          <w:divBdr>
            <w:top w:val="none" w:sz="0" w:space="0" w:color="auto"/>
            <w:left w:val="none" w:sz="0" w:space="0" w:color="auto"/>
            <w:bottom w:val="none" w:sz="0" w:space="0" w:color="auto"/>
            <w:right w:val="none" w:sz="0" w:space="0" w:color="auto"/>
          </w:divBdr>
        </w:div>
        <w:div w:id="1660420331">
          <w:marLeft w:val="360"/>
          <w:marRight w:val="0"/>
          <w:marTop w:val="240"/>
          <w:marBottom w:val="0"/>
          <w:divBdr>
            <w:top w:val="none" w:sz="0" w:space="0" w:color="auto"/>
            <w:left w:val="none" w:sz="0" w:space="0" w:color="auto"/>
            <w:bottom w:val="none" w:sz="0" w:space="0" w:color="auto"/>
            <w:right w:val="none" w:sz="0" w:space="0" w:color="auto"/>
          </w:divBdr>
        </w:div>
        <w:div w:id="1836610057">
          <w:marLeft w:val="360"/>
          <w:marRight w:val="0"/>
          <w:marTop w:val="240"/>
          <w:marBottom w:val="0"/>
          <w:divBdr>
            <w:top w:val="none" w:sz="0" w:space="0" w:color="auto"/>
            <w:left w:val="none" w:sz="0" w:space="0" w:color="auto"/>
            <w:bottom w:val="none" w:sz="0" w:space="0" w:color="auto"/>
            <w:right w:val="none" w:sz="0" w:space="0" w:color="auto"/>
          </w:divBdr>
        </w:div>
      </w:divsChild>
    </w:div>
    <w:div w:id="2014987981">
      <w:bodyDiv w:val="1"/>
      <w:marLeft w:val="0"/>
      <w:marRight w:val="0"/>
      <w:marTop w:val="0"/>
      <w:marBottom w:val="0"/>
      <w:divBdr>
        <w:top w:val="none" w:sz="0" w:space="0" w:color="auto"/>
        <w:left w:val="none" w:sz="0" w:space="0" w:color="auto"/>
        <w:bottom w:val="none" w:sz="0" w:space="0" w:color="auto"/>
        <w:right w:val="none" w:sz="0" w:space="0" w:color="auto"/>
      </w:divBdr>
    </w:div>
    <w:div w:id="2030375731">
      <w:bodyDiv w:val="1"/>
      <w:marLeft w:val="0"/>
      <w:marRight w:val="0"/>
      <w:marTop w:val="0"/>
      <w:marBottom w:val="0"/>
      <w:divBdr>
        <w:top w:val="none" w:sz="0" w:space="0" w:color="auto"/>
        <w:left w:val="none" w:sz="0" w:space="0" w:color="auto"/>
        <w:bottom w:val="none" w:sz="0" w:space="0" w:color="auto"/>
        <w:right w:val="none" w:sz="0" w:space="0" w:color="auto"/>
      </w:divBdr>
      <w:divsChild>
        <w:div w:id="215706364">
          <w:marLeft w:val="576"/>
          <w:marRight w:val="0"/>
          <w:marTop w:val="120"/>
          <w:marBottom w:val="120"/>
          <w:divBdr>
            <w:top w:val="none" w:sz="0" w:space="0" w:color="auto"/>
            <w:left w:val="none" w:sz="0" w:space="0" w:color="auto"/>
            <w:bottom w:val="none" w:sz="0" w:space="0" w:color="auto"/>
            <w:right w:val="none" w:sz="0" w:space="0" w:color="auto"/>
          </w:divBdr>
        </w:div>
        <w:div w:id="301152538">
          <w:marLeft w:val="576"/>
          <w:marRight w:val="0"/>
          <w:marTop w:val="120"/>
          <w:marBottom w:val="120"/>
          <w:divBdr>
            <w:top w:val="none" w:sz="0" w:space="0" w:color="auto"/>
            <w:left w:val="none" w:sz="0" w:space="0" w:color="auto"/>
            <w:bottom w:val="none" w:sz="0" w:space="0" w:color="auto"/>
            <w:right w:val="none" w:sz="0" w:space="0" w:color="auto"/>
          </w:divBdr>
        </w:div>
      </w:divsChild>
    </w:div>
    <w:div w:id="2036073404">
      <w:bodyDiv w:val="1"/>
      <w:marLeft w:val="0"/>
      <w:marRight w:val="0"/>
      <w:marTop w:val="0"/>
      <w:marBottom w:val="0"/>
      <w:divBdr>
        <w:top w:val="none" w:sz="0" w:space="0" w:color="auto"/>
        <w:left w:val="none" w:sz="0" w:space="0" w:color="auto"/>
        <w:bottom w:val="none" w:sz="0" w:space="0" w:color="auto"/>
        <w:right w:val="none" w:sz="0" w:space="0" w:color="auto"/>
      </w:divBdr>
    </w:div>
    <w:div w:id="2047244825">
      <w:bodyDiv w:val="1"/>
      <w:marLeft w:val="0"/>
      <w:marRight w:val="0"/>
      <w:marTop w:val="0"/>
      <w:marBottom w:val="0"/>
      <w:divBdr>
        <w:top w:val="none" w:sz="0" w:space="0" w:color="auto"/>
        <w:left w:val="none" w:sz="0" w:space="0" w:color="auto"/>
        <w:bottom w:val="none" w:sz="0" w:space="0" w:color="auto"/>
        <w:right w:val="none" w:sz="0" w:space="0" w:color="auto"/>
      </w:divBdr>
      <w:divsChild>
        <w:div w:id="5911309">
          <w:marLeft w:val="806"/>
          <w:marRight w:val="0"/>
          <w:marTop w:val="120"/>
          <w:marBottom w:val="120"/>
          <w:divBdr>
            <w:top w:val="none" w:sz="0" w:space="0" w:color="auto"/>
            <w:left w:val="none" w:sz="0" w:space="0" w:color="auto"/>
            <w:bottom w:val="none" w:sz="0" w:space="0" w:color="auto"/>
            <w:right w:val="none" w:sz="0" w:space="0" w:color="auto"/>
          </w:divBdr>
        </w:div>
        <w:div w:id="592783252">
          <w:marLeft w:val="1080"/>
          <w:marRight w:val="0"/>
          <w:marTop w:val="120"/>
          <w:marBottom w:val="120"/>
          <w:divBdr>
            <w:top w:val="none" w:sz="0" w:space="0" w:color="auto"/>
            <w:left w:val="none" w:sz="0" w:space="0" w:color="auto"/>
            <w:bottom w:val="none" w:sz="0" w:space="0" w:color="auto"/>
            <w:right w:val="none" w:sz="0" w:space="0" w:color="auto"/>
          </w:divBdr>
        </w:div>
        <w:div w:id="983043656">
          <w:marLeft w:val="806"/>
          <w:marRight w:val="0"/>
          <w:marTop w:val="120"/>
          <w:marBottom w:val="120"/>
          <w:divBdr>
            <w:top w:val="none" w:sz="0" w:space="0" w:color="auto"/>
            <w:left w:val="none" w:sz="0" w:space="0" w:color="auto"/>
            <w:bottom w:val="none" w:sz="0" w:space="0" w:color="auto"/>
            <w:right w:val="none" w:sz="0" w:space="0" w:color="auto"/>
          </w:divBdr>
        </w:div>
        <w:div w:id="1087384114">
          <w:marLeft w:val="806"/>
          <w:marRight w:val="0"/>
          <w:marTop w:val="120"/>
          <w:marBottom w:val="120"/>
          <w:divBdr>
            <w:top w:val="none" w:sz="0" w:space="0" w:color="auto"/>
            <w:left w:val="none" w:sz="0" w:space="0" w:color="auto"/>
            <w:bottom w:val="none" w:sz="0" w:space="0" w:color="auto"/>
            <w:right w:val="none" w:sz="0" w:space="0" w:color="auto"/>
          </w:divBdr>
        </w:div>
        <w:div w:id="1121723707">
          <w:marLeft w:val="806"/>
          <w:marRight w:val="0"/>
          <w:marTop w:val="120"/>
          <w:marBottom w:val="120"/>
          <w:divBdr>
            <w:top w:val="none" w:sz="0" w:space="0" w:color="auto"/>
            <w:left w:val="none" w:sz="0" w:space="0" w:color="auto"/>
            <w:bottom w:val="none" w:sz="0" w:space="0" w:color="auto"/>
            <w:right w:val="none" w:sz="0" w:space="0" w:color="auto"/>
          </w:divBdr>
        </w:div>
        <w:div w:id="1333487600">
          <w:marLeft w:val="806"/>
          <w:marRight w:val="0"/>
          <w:marTop w:val="120"/>
          <w:marBottom w:val="120"/>
          <w:divBdr>
            <w:top w:val="none" w:sz="0" w:space="0" w:color="auto"/>
            <w:left w:val="none" w:sz="0" w:space="0" w:color="auto"/>
            <w:bottom w:val="none" w:sz="0" w:space="0" w:color="auto"/>
            <w:right w:val="none" w:sz="0" w:space="0" w:color="auto"/>
          </w:divBdr>
        </w:div>
        <w:div w:id="1355502141">
          <w:marLeft w:val="1080"/>
          <w:marRight w:val="0"/>
          <w:marTop w:val="120"/>
          <w:marBottom w:val="120"/>
          <w:divBdr>
            <w:top w:val="none" w:sz="0" w:space="0" w:color="auto"/>
            <w:left w:val="none" w:sz="0" w:space="0" w:color="auto"/>
            <w:bottom w:val="none" w:sz="0" w:space="0" w:color="auto"/>
            <w:right w:val="none" w:sz="0" w:space="0" w:color="auto"/>
          </w:divBdr>
        </w:div>
        <w:div w:id="1455060077">
          <w:marLeft w:val="806"/>
          <w:marRight w:val="0"/>
          <w:marTop w:val="120"/>
          <w:marBottom w:val="120"/>
          <w:divBdr>
            <w:top w:val="none" w:sz="0" w:space="0" w:color="auto"/>
            <w:left w:val="none" w:sz="0" w:space="0" w:color="auto"/>
            <w:bottom w:val="none" w:sz="0" w:space="0" w:color="auto"/>
            <w:right w:val="none" w:sz="0" w:space="0" w:color="auto"/>
          </w:divBdr>
        </w:div>
        <w:div w:id="1897737797">
          <w:marLeft w:val="1080"/>
          <w:marRight w:val="0"/>
          <w:marTop w:val="120"/>
          <w:marBottom w:val="120"/>
          <w:divBdr>
            <w:top w:val="none" w:sz="0" w:space="0" w:color="auto"/>
            <w:left w:val="none" w:sz="0" w:space="0" w:color="auto"/>
            <w:bottom w:val="none" w:sz="0" w:space="0" w:color="auto"/>
            <w:right w:val="none" w:sz="0" w:space="0" w:color="auto"/>
          </w:divBdr>
        </w:div>
      </w:divsChild>
    </w:div>
    <w:div w:id="2047876331">
      <w:bodyDiv w:val="1"/>
      <w:marLeft w:val="0"/>
      <w:marRight w:val="0"/>
      <w:marTop w:val="0"/>
      <w:marBottom w:val="0"/>
      <w:divBdr>
        <w:top w:val="none" w:sz="0" w:space="0" w:color="auto"/>
        <w:left w:val="none" w:sz="0" w:space="0" w:color="auto"/>
        <w:bottom w:val="none" w:sz="0" w:space="0" w:color="auto"/>
        <w:right w:val="none" w:sz="0" w:space="0" w:color="auto"/>
      </w:divBdr>
      <w:divsChild>
        <w:div w:id="5600301">
          <w:marLeft w:val="1080"/>
          <w:marRight w:val="0"/>
          <w:marTop w:val="120"/>
          <w:marBottom w:val="120"/>
          <w:divBdr>
            <w:top w:val="none" w:sz="0" w:space="0" w:color="auto"/>
            <w:left w:val="none" w:sz="0" w:space="0" w:color="auto"/>
            <w:bottom w:val="none" w:sz="0" w:space="0" w:color="auto"/>
            <w:right w:val="none" w:sz="0" w:space="0" w:color="auto"/>
          </w:divBdr>
        </w:div>
        <w:div w:id="1676615783">
          <w:marLeft w:val="57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be/ag/ag/yr18/documents/sep18item01.docx" TargetMode="External"/><Relationship Id="rId117" Type="http://schemas.openxmlformats.org/officeDocument/2006/relationships/hyperlink" Target="https://www.cde.ca.gov/be/ag/ag/yr18/documents/may18item02.docx" TargetMode="External"/><Relationship Id="rId21" Type="http://schemas.openxmlformats.org/officeDocument/2006/relationships/hyperlink" Target="https://www.cde.ca.gov/be/pn/im/documents/memo-pptb-amard-feb18item02.docx" TargetMode="External"/><Relationship Id="rId42" Type="http://schemas.openxmlformats.org/officeDocument/2006/relationships/hyperlink" Target="https://www.cde.ca.gov/be/ag/ag/yr25/documents/jan25item03.docx" TargetMode="External"/><Relationship Id="rId47" Type="http://schemas.openxmlformats.org/officeDocument/2006/relationships/hyperlink" Target="https://www.cde.ca.gov/be/pn/im/documents/memo-asb-adad-jun17item03.doc" TargetMode="External"/><Relationship Id="rId63" Type="http://schemas.openxmlformats.org/officeDocument/2006/relationships/hyperlink" Target="https://www.cde.ca.gov/be/pn/im/documents/dec21memoamard01.docx" TargetMode="External"/><Relationship Id="rId68" Type="http://schemas.openxmlformats.org/officeDocument/2006/relationships/hyperlink" Target="https://www.cde.ca.gov/be/ag/ag/yr23/documents/mar23item03.docx" TargetMode="External"/><Relationship Id="rId84" Type="http://schemas.openxmlformats.org/officeDocument/2006/relationships/hyperlink" Target="https://www.cde.ca.gov/be/ag/ag/yr19/documents/jul19item01.docx" TargetMode="External"/><Relationship Id="rId89" Type="http://schemas.openxmlformats.org/officeDocument/2006/relationships/hyperlink" Target="about:blank" TargetMode="External"/><Relationship Id="rId112" Type="http://schemas.openxmlformats.org/officeDocument/2006/relationships/hyperlink" Target="https://www.cde.ca.gov/be/ag/ag/yr17/documents/jul17item01.doc" TargetMode="External"/><Relationship Id="rId133" Type="http://schemas.openxmlformats.org/officeDocument/2006/relationships/hyperlink" Target="https://www.cde.ca.gov/be/ag/ag/yr22/documents/sep22item02rev.docx" TargetMode="External"/><Relationship Id="rId138" Type="http://schemas.openxmlformats.org/officeDocument/2006/relationships/header" Target="header4.xml"/><Relationship Id="rId16" Type="http://schemas.openxmlformats.org/officeDocument/2006/relationships/footer" Target="footer3.xml"/><Relationship Id="rId107" Type="http://schemas.openxmlformats.org/officeDocument/2006/relationships/hyperlink" Target="https://www.cde.ca.gov/be/ag/ag/yr24/documents/jul24item02.docx" TargetMode="External"/><Relationship Id="rId11" Type="http://schemas.openxmlformats.org/officeDocument/2006/relationships/image" Target="media/image1.png"/><Relationship Id="rId32" Type="http://schemas.openxmlformats.org/officeDocument/2006/relationships/hyperlink" Target="https://www.cde.ca.gov/be/ag/ag/yr20/documents/sep20item02.docx" TargetMode="External"/><Relationship Id="rId37" Type="http://schemas.openxmlformats.org/officeDocument/2006/relationships/hyperlink" Target="https://www.cde.ca.gov/be/ag/ag/yr21/documents/may21item04.docx" TargetMode="External"/><Relationship Id="rId53" Type="http://schemas.openxmlformats.org/officeDocument/2006/relationships/hyperlink" Target="https://www.cde.ca.gov/be/pn/im/documents/memo-pptb-amard-apr19item02.docx" TargetMode="External"/><Relationship Id="rId58" Type="http://schemas.openxmlformats.org/officeDocument/2006/relationships/hyperlink" Target="https://www.cde.ca.gov/be/ag/ag/yr20/documents/sep20item02.docx" TargetMode="External"/><Relationship Id="rId74" Type="http://schemas.openxmlformats.org/officeDocument/2006/relationships/hyperlink" Target="https://www.cde.ca.gov/be/pn/im/documents/memo-sbe-jun16item01.doc" TargetMode="External"/><Relationship Id="rId79" Type="http://schemas.openxmlformats.org/officeDocument/2006/relationships/hyperlink" Target="https://www.cde.ca.gov/be/ag/ag/yr17/documents/mar17item02.doc" TargetMode="External"/><Relationship Id="rId102" Type="http://schemas.openxmlformats.org/officeDocument/2006/relationships/hyperlink" Target="https://www.cde.ca.gov/be/ag/ag/yr16/documents/may16item02.doc" TargetMode="External"/><Relationship Id="rId123" Type="http://schemas.openxmlformats.org/officeDocument/2006/relationships/hyperlink" Target="https://www.cde.ca.gov/be/pn/im/documents/feb22memogad01.docx" TargetMode="External"/><Relationship Id="rId128" Type="http://schemas.openxmlformats.org/officeDocument/2006/relationships/hyperlink" Target="https://www.cde.ca.gov/be/pn/im/documents/aug20amard01.docx" TargetMode="External"/><Relationship Id="rId144" Type="http://schemas.openxmlformats.org/officeDocument/2006/relationships/image" Target="media/image2.png"/><Relationship Id="rId149" Type="http://schemas.openxmlformats.org/officeDocument/2006/relationships/header" Target="header11.xml"/><Relationship Id="rId5" Type="http://schemas.openxmlformats.org/officeDocument/2006/relationships/numbering" Target="numbering.xml"/><Relationship Id="rId90" Type="http://schemas.openxmlformats.org/officeDocument/2006/relationships/hyperlink" Target="about:blank" TargetMode="External"/><Relationship Id="rId95" Type="http://schemas.openxmlformats.org/officeDocument/2006/relationships/hyperlink" Target="about:blank" TargetMode="External"/><Relationship Id="rId22" Type="http://schemas.openxmlformats.org/officeDocument/2006/relationships/hyperlink" Target="https://www.cde.ca.gov/be/ag/ag/yr18/documents/mar18item01.docx" TargetMode="External"/><Relationship Id="rId27" Type="http://schemas.openxmlformats.org/officeDocument/2006/relationships/hyperlink" Target="https://www.cde.ca.gov/be/ag/ag/yr18/documents/nov18item04.docx" TargetMode="External"/><Relationship Id="rId43" Type="http://schemas.openxmlformats.org/officeDocument/2006/relationships/hyperlink" Target="https://www.cde.ca.gov/be/pn/im/documents/memo-dsib-amard-feb16item01.doc" TargetMode="External"/><Relationship Id="rId48" Type="http://schemas.openxmlformats.org/officeDocument/2006/relationships/hyperlink" Target="https://www.cde.ca.gov/be/pn/im/documents/memo-pptb-amard-feb18item01.docx" TargetMode="External"/><Relationship Id="rId64" Type="http://schemas.openxmlformats.org/officeDocument/2006/relationships/hyperlink" Target="https://www.cde.ca.gov/be/pn/im/infomemofeb2022.asp" TargetMode="External"/><Relationship Id="rId69" Type="http://schemas.openxmlformats.org/officeDocument/2006/relationships/hyperlink" Target="https://www.cde.ca.gov/be/ag/ag/yr24/documents/mar24item02.docx" TargetMode="External"/><Relationship Id="rId113" Type="http://schemas.openxmlformats.org/officeDocument/2006/relationships/hyperlink" Target="https://www.cde.ca.gov/be/pn/im/documents/memo-pptb-amard-aug18item02.docx" TargetMode="External"/><Relationship Id="rId118" Type="http://schemas.openxmlformats.org/officeDocument/2006/relationships/hyperlink" Target="https://www.cde.ca.gov/be/ag/ag/yr19/documents/sep19item01.docx" TargetMode="External"/><Relationship Id="rId134" Type="http://schemas.openxmlformats.org/officeDocument/2006/relationships/hyperlink" Target="https://www.cde.ca.gov/be/ag/ag/yr23/documents/nov23item08.docx" TargetMode="External"/><Relationship Id="rId139" Type="http://schemas.openxmlformats.org/officeDocument/2006/relationships/footer" Target="footer5.xml"/><Relationship Id="rId80" Type="http://schemas.openxmlformats.org/officeDocument/2006/relationships/hyperlink" Target="https://www.cde.ca.gov/be/ag/ag/yr17/documents/sep17item02.doc" TargetMode="External"/><Relationship Id="rId85" Type="http://schemas.openxmlformats.org/officeDocument/2006/relationships/hyperlink" Target="https://www.cde.ca.gov/be/ag/ag/yr23/documents/sep23item02.docx" TargetMode="External"/><Relationship Id="rId150" Type="http://schemas.openxmlformats.org/officeDocument/2006/relationships/header" Target="header12.xml"/><Relationship Id="rId12" Type="http://schemas.openxmlformats.org/officeDocument/2006/relationships/header" Target="header1.xml"/><Relationship Id="rId17" Type="http://schemas.openxmlformats.org/officeDocument/2006/relationships/hyperlink" Target="https://www.cde.ca.gov/ta/ac/cm/dbprinciples.asp" TargetMode="External"/><Relationship Id="rId25" Type="http://schemas.openxmlformats.org/officeDocument/2006/relationships/hyperlink" Target="https://www.cde.ca.gov/be/pn/im/documents/memo-pptb-amard-aug18item02.docx" TargetMode="External"/><Relationship Id="rId33" Type="http://schemas.openxmlformats.org/officeDocument/2006/relationships/hyperlink" Target="https://www.cde.ca.gov/be/ag/ag/yr20/documents/mar20item05.docx" TargetMode="External"/><Relationship Id="rId38" Type="http://schemas.openxmlformats.org/officeDocument/2006/relationships/hyperlink" Target="https://www.cde.ca.gov/be/ag/ag/yr22/documents/mar22item04.docx" TargetMode="External"/><Relationship Id="rId46" Type="http://schemas.openxmlformats.org/officeDocument/2006/relationships/hyperlink" Target="http://www.cde.ca.gov/be/ag/ag/yr17/documents/mar17item02.doc" TargetMode="External"/><Relationship Id="rId59" Type="http://schemas.openxmlformats.org/officeDocument/2006/relationships/hyperlink" Target="https://www.cde.ca.gov/be/ag/ag/yr20/documents/nov20item05rev.docx" TargetMode="External"/><Relationship Id="rId67" Type="http://schemas.openxmlformats.org/officeDocument/2006/relationships/hyperlink" Target="https://www.cde.ca.gov/be/ag/ag/yr23/documents/sep23item08.docx" TargetMode="External"/><Relationship Id="rId103" Type="http://schemas.openxmlformats.org/officeDocument/2006/relationships/hyperlink" Target="https://www.cde.ca.gov/be/ag/ag/yr20/documents/mar20item05.docx" TargetMode="External"/><Relationship Id="rId108" Type="http://schemas.openxmlformats.org/officeDocument/2006/relationships/hyperlink" Target="https://www.cde.ca.gov/be/ag/ag/yr25/documents/jan25item03.docx" TargetMode="External"/><Relationship Id="rId116" Type="http://schemas.openxmlformats.org/officeDocument/2006/relationships/hyperlink" Target="https://www.cde.ca.gov/be/ag/ag/yr18/documents/mar18item01.docx" TargetMode="External"/><Relationship Id="rId124" Type="http://schemas.openxmlformats.org/officeDocument/2006/relationships/hyperlink" Target="https://www.cde.ca.gov/be/ag/ag/yr22/documents/mar22item04.docx" TargetMode="External"/><Relationship Id="rId129" Type="http://schemas.openxmlformats.org/officeDocument/2006/relationships/hyperlink" Target="https://www.cde.ca.gov/be/ag/ag/yr20/documents/sep20item02.docx" TargetMode="External"/><Relationship Id="rId137" Type="http://schemas.openxmlformats.org/officeDocument/2006/relationships/footer" Target="footer4.xml"/><Relationship Id="rId20" Type="http://schemas.openxmlformats.org/officeDocument/2006/relationships/hyperlink" Target="https://www.cde.ca.gov/be/ag/ag/yr17/documents/sep17item02.doc" TargetMode="External"/><Relationship Id="rId41" Type="http://schemas.openxmlformats.org/officeDocument/2006/relationships/hyperlink" Target="https://www.cde.ca.gov/be/ag/ag/yr24/documents/mar24item02.docx" TargetMode="External"/><Relationship Id="rId54" Type="http://schemas.openxmlformats.org/officeDocument/2006/relationships/hyperlink" Target="https://www.cde.ca.gov/be/pn/im/documents/nov19memoamard01.docx" TargetMode="External"/><Relationship Id="rId62" Type="http://schemas.openxmlformats.org/officeDocument/2006/relationships/hyperlink" Target="https://www.cde.ca.gov/be/pn/im/documents/oct21memoamard01.docx" TargetMode="External"/><Relationship Id="rId70" Type="http://schemas.openxmlformats.org/officeDocument/2006/relationships/hyperlink" Target="https://www.cde.ca.gov/be/ag/ag/yr25/documents/jan25item03.docx" TargetMode="External"/><Relationship Id="rId75" Type="http://schemas.openxmlformats.org/officeDocument/2006/relationships/hyperlink" Target="http://www.cde.ca.gov/be/ag/ag/yr16/documents/jul16item02.doc" TargetMode="External"/><Relationship Id="rId83" Type="http://schemas.openxmlformats.org/officeDocument/2006/relationships/hyperlink" Target="https://www.cde.ca.gov/be/pn/im/documents/memo-gad-lao-apr19item02.docx"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11" Type="http://schemas.openxmlformats.org/officeDocument/2006/relationships/hyperlink" Target="https://www.cde.ca.gov/be/ag/ag/yr17/documents/may17item01.doc" TargetMode="External"/><Relationship Id="rId132" Type="http://schemas.openxmlformats.org/officeDocument/2006/relationships/hyperlink" Target="https://www.cde.ca.gov/be/pn/im/documents/jun22memoamard01.docx" TargetMode="External"/><Relationship Id="rId140" Type="http://schemas.openxmlformats.org/officeDocument/2006/relationships/header" Target="header5.xml"/><Relationship Id="rId145" Type="http://schemas.openxmlformats.org/officeDocument/2006/relationships/header" Target="header7.xml"/><Relationship Id="rId15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de.ca.gov/be/pn/im/documents/memo-pptb-amard-apr18item02.docx" TargetMode="External"/><Relationship Id="rId28" Type="http://schemas.openxmlformats.org/officeDocument/2006/relationships/hyperlink" Target="https://www.cde.ca.gov/be/pn/im/documents/memo-pptb-amard-apr19item01.docx" TargetMode="External"/><Relationship Id="rId36" Type="http://schemas.openxmlformats.org/officeDocument/2006/relationships/hyperlink" Target="https://www.cde.ca.gov/be/ag/ag/yr21/documents/jan21item04.docx" TargetMode="External"/><Relationship Id="rId49" Type="http://schemas.openxmlformats.org/officeDocument/2006/relationships/hyperlink" Target="https://www.cde.ca.gov/be/ag/ag/yr18/documents/may18item02.docx" TargetMode="External"/><Relationship Id="rId57" Type="http://schemas.openxmlformats.org/officeDocument/2006/relationships/hyperlink" Target="https://www.cde.ca.gov/be/ag/ag/yr20/documents/jul20item02.docx" TargetMode="External"/><Relationship Id="rId106" Type="http://schemas.openxmlformats.org/officeDocument/2006/relationships/hyperlink" Target="https://www.cde.ca.gov/be/ag/ag/yr24/documents/mar24item02.docx" TargetMode="External"/><Relationship Id="rId114" Type="http://schemas.openxmlformats.org/officeDocument/2006/relationships/hyperlink" Target="https://www.cde.ca.gov/be/ag/ag/yr18/documents/sep18item01.docx" TargetMode="External"/><Relationship Id="rId119" Type="http://schemas.openxmlformats.org/officeDocument/2006/relationships/hyperlink" Target="https://www.cde.ca.gov/be/ag/ag/yr19/documents/nov19item05rev.docx" TargetMode="External"/><Relationship Id="rId127" Type="http://schemas.openxmlformats.org/officeDocument/2006/relationships/hyperlink" Target="https://www.cde.ca.gov/be/ag/ag/yr19/documents/nov19item05rev.docx" TargetMode="External"/><Relationship Id="rId10" Type="http://schemas.openxmlformats.org/officeDocument/2006/relationships/endnotes" Target="endnotes.xml"/><Relationship Id="rId31" Type="http://schemas.openxmlformats.org/officeDocument/2006/relationships/hyperlink" Target="https://www.cde.ca.gov/be/pn/im/documents/memo-branch-eeed-aug19item02.docx" TargetMode="External"/><Relationship Id="rId44" Type="http://schemas.openxmlformats.org/officeDocument/2006/relationships/hyperlink" Target="https://www.cde.ca.gov/be/pn/im/documents/memo-dsib-amard-jun16item01.doc" TargetMode="External"/><Relationship Id="rId52" Type="http://schemas.openxmlformats.org/officeDocument/2006/relationships/hyperlink" Target="https://www.cde.ca.gov/be/pn/im/documents/memo-pptb-amard-feb19item03.docx" TargetMode="External"/><Relationship Id="rId60" Type="http://schemas.openxmlformats.org/officeDocument/2006/relationships/hyperlink" Target="https://www.cde.ca.gov/be/pn/im/documents/feb21memoamard02.docx" TargetMode="External"/><Relationship Id="rId65" Type="http://schemas.openxmlformats.org/officeDocument/2006/relationships/hyperlink" Target="https://www.cde.ca.gov/be/ag/ag/yr22/documents/mar22item04.docx" TargetMode="External"/><Relationship Id="rId73" Type="http://schemas.openxmlformats.org/officeDocument/2006/relationships/hyperlink" Target="https://www.cde.ca.gov/be/ag/ag/yr16/documents/may16item02.doc" TargetMode="External"/><Relationship Id="rId78" Type="http://schemas.openxmlformats.org/officeDocument/2006/relationships/hyperlink" Target="https://www.cde.ca.gov/be/ag/ag/yr17/documents/jan17item02.doc" TargetMode="External"/><Relationship Id="rId81" Type="http://schemas.openxmlformats.org/officeDocument/2006/relationships/hyperlink" Target="https://www.cde.ca.gov/be/pn/im/documents/memo-dsib-amard-apr17item01.doc" TargetMode="External"/><Relationship Id="rId86" Type="http://schemas.openxmlformats.org/officeDocument/2006/relationships/hyperlink" Target="https://www.cde.ca.gov/be/pn/im/documents/dec23memoamard01.docx" TargetMode="External"/><Relationship Id="rId94" Type="http://schemas.openxmlformats.org/officeDocument/2006/relationships/hyperlink" Target="about:blank" TargetMode="External"/><Relationship Id="rId99" Type="http://schemas.openxmlformats.org/officeDocument/2006/relationships/hyperlink" Target="https://www.cde.ca.gov/be/ag/ag/yr23/documents/sep23item08.docx" TargetMode="External"/><Relationship Id="rId101" Type="http://schemas.openxmlformats.org/officeDocument/2006/relationships/hyperlink" Target="https://www.cde.ca.gov/be/pn/im/documents/nov24memoamard01.docx" TargetMode="External"/><Relationship Id="rId122" Type="http://schemas.openxmlformats.org/officeDocument/2006/relationships/hyperlink" Target="https://www.cde.ca.gov/be/pn/im/documents/apr21memoamard01.docx" TargetMode="External"/><Relationship Id="rId130" Type="http://schemas.openxmlformats.org/officeDocument/2006/relationships/hyperlink" Target="https://www.cde.ca.gov/be/ag/ag/yr21/documents/nov21item06.docx" TargetMode="External"/><Relationship Id="rId135" Type="http://schemas.openxmlformats.org/officeDocument/2006/relationships/hyperlink" Target="https://www.cde.ca.gov/be/ag/ag/yr25/documents/jan25item03.docx" TargetMode="External"/><Relationship Id="rId143" Type="http://schemas.openxmlformats.org/officeDocument/2006/relationships/hyperlink" Target="https://www.cde.ca.gov/be/pn/im/documents/apr25memoamard01.docx" TargetMode="External"/><Relationship Id="rId148" Type="http://schemas.openxmlformats.org/officeDocument/2006/relationships/header" Target="header10.xml"/><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cde.ca.gov/be/mt/ms/documents/finalminutes1314jul2016.doc" TargetMode="External"/><Relationship Id="rId39" Type="http://schemas.openxmlformats.org/officeDocument/2006/relationships/hyperlink" Target="https://www.cde.ca.gov/be/ag/ag/yr23/documents/sep23item08.docx" TargetMode="External"/><Relationship Id="rId109" Type="http://schemas.openxmlformats.org/officeDocument/2006/relationships/hyperlink" Target="https://www.cde.ca.gov/be/ag/ag/yr25/documents/mar25item02.docx" TargetMode="External"/><Relationship Id="rId34" Type="http://schemas.openxmlformats.org/officeDocument/2006/relationships/hyperlink" Target="https://www.cde.ca.gov/be/ag/ag/yr20/documents/may20item02.docx" TargetMode="External"/><Relationship Id="rId50" Type="http://schemas.openxmlformats.org/officeDocument/2006/relationships/hyperlink" Target="https://www.cde.ca.gov/be/pn/im/documents/memo-pptb-amard-jun18item01.docx" TargetMode="External"/><Relationship Id="rId55" Type="http://schemas.openxmlformats.org/officeDocument/2006/relationships/hyperlink" Target="https://www.cde.ca.gov/be/ag/ag/yr20/documents/mar20item05.docx" TargetMode="External"/><Relationship Id="rId76" Type="http://schemas.openxmlformats.org/officeDocument/2006/relationships/hyperlink" Target="https://www.cde.ca.gov/be/pn/im/documents/memo-dsib-amard-oct16item02.doc" TargetMode="External"/><Relationship Id="rId97" Type="http://schemas.openxmlformats.org/officeDocument/2006/relationships/hyperlink" Target="about:blank" TargetMode="External"/><Relationship Id="rId104" Type="http://schemas.openxmlformats.org/officeDocument/2006/relationships/hyperlink" Target="https://www.cde.ca.gov/be/ag/ag/yr22/documents/mar22item04.docx" TargetMode="External"/><Relationship Id="rId120" Type="http://schemas.openxmlformats.org/officeDocument/2006/relationships/hyperlink" Target="https://www.cde.ca.gov/be/ag/ag/yr19/documents/jul19item01.docx" TargetMode="External"/><Relationship Id="rId125" Type="http://schemas.openxmlformats.org/officeDocument/2006/relationships/hyperlink" Target="https://www.cde.ca.gov/be/pn/im/documents/apr22memoamard01.docx" TargetMode="External"/><Relationship Id="rId141" Type="http://schemas.openxmlformats.org/officeDocument/2006/relationships/header" Target="header6.xml"/><Relationship Id="rId146"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hyperlink" Target="https://www.cde.ca.gov/be/ag/ag/yr25/documents/mar25item02rev.docx" TargetMode="External"/><Relationship Id="rId92" Type="http://schemas.openxmlformats.org/officeDocument/2006/relationships/hyperlink" Target="https://www.cde.ca.gov/be/ag/ag/yr18/documents/nov18item04.docx" TargetMode="External"/><Relationship Id="rId2" Type="http://schemas.openxmlformats.org/officeDocument/2006/relationships/customXml" Target="../customXml/item2.xml"/><Relationship Id="rId29" Type="http://schemas.openxmlformats.org/officeDocument/2006/relationships/hyperlink" Target="https://www.cde.ca.gov/be/ag/ag/yr19/documents/may19item01studysession.docx" TargetMode="External"/><Relationship Id="rId24" Type="http://schemas.openxmlformats.org/officeDocument/2006/relationships/hyperlink" Target="https://www.cde.ca.gov/be/ag/ag/yr18/documents/may18item02slides.pdf" TargetMode="External"/><Relationship Id="rId40" Type="http://schemas.openxmlformats.org/officeDocument/2006/relationships/hyperlink" Target="https://www.cde.ca.gov/be/ag/ag/yr23/documents/mar23item03.docx" TargetMode="External"/><Relationship Id="rId45" Type="http://schemas.openxmlformats.org/officeDocument/2006/relationships/hyperlink" Target="https://www.cde.ca.gov/be/ag/ag/yr17/documents/jan17item02.doc" TargetMode="External"/><Relationship Id="rId66" Type="http://schemas.openxmlformats.org/officeDocument/2006/relationships/hyperlink" Target="https://www.cde.ca.gov/be/ag/ag/yr22/documents/jul22item02.docx" TargetMode="External"/><Relationship Id="rId87" Type="http://schemas.openxmlformats.org/officeDocument/2006/relationships/hyperlink" Target="about:blank" TargetMode="External"/><Relationship Id="rId110" Type="http://schemas.openxmlformats.org/officeDocument/2006/relationships/hyperlink" Target="http://www.cde.ca.gov/be/pn/im/documents/memo-exec-ocd-jun17item01.doc" TargetMode="External"/><Relationship Id="rId115" Type="http://schemas.openxmlformats.org/officeDocument/2006/relationships/hyperlink" Target="https://www.cde.ca.gov/be/ag/ag/yr18/documents/nov18item04.docx" TargetMode="External"/><Relationship Id="rId131" Type="http://schemas.openxmlformats.org/officeDocument/2006/relationships/hyperlink" Target="https://www.cde.ca.gov/be/pn/im/documents/jun22memoamard01.docx" TargetMode="External"/><Relationship Id="rId136" Type="http://schemas.openxmlformats.org/officeDocument/2006/relationships/header" Target="header3.xml"/><Relationship Id="rId61" Type="http://schemas.openxmlformats.org/officeDocument/2006/relationships/hyperlink" Target="https://www.cde.ca.gov/be/ag/ag/yr21/documents/may21item03.docx" TargetMode="External"/><Relationship Id="rId82" Type="http://schemas.openxmlformats.org/officeDocument/2006/relationships/hyperlink" Target="https://www.cde.ca.gov/be/ag/ag/yr18/documents/apr18item01.docx" TargetMode="External"/><Relationship Id="rId152" Type="http://schemas.openxmlformats.org/officeDocument/2006/relationships/theme" Target="theme/theme1.xml"/><Relationship Id="rId19" Type="http://schemas.openxmlformats.org/officeDocument/2006/relationships/hyperlink" Target="https://www.cde.ca.gov/be/ag/ag/yr16/documents/sep16item01.doc" TargetMode="External"/><Relationship Id="rId14" Type="http://schemas.openxmlformats.org/officeDocument/2006/relationships/footer" Target="footer2.xml"/><Relationship Id="rId30" Type="http://schemas.openxmlformats.org/officeDocument/2006/relationships/hyperlink" Target="https://www.cde.ca.gov/be/pn/im/documents/memo-pptb-amard-jun19item02.docx" TargetMode="External"/><Relationship Id="rId35" Type="http://schemas.openxmlformats.org/officeDocument/2006/relationships/hyperlink" Target="https://www.cde.ca.gov/be/ag/ag/yr20/documents/sep20item05rev.docx" TargetMode="External"/><Relationship Id="rId56" Type="http://schemas.openxmlformats.org/officeDocument/2006/relationships/hyperlink" Target="https://www.cde.ca.gov/be/pn/im/documents/memo-imb-amard-june20item01.docx" TargetMode="External"/><Relationship Id="rId77" Type="http://schemas.openxmlformats.org/officeDocument/2006/relationships/hyperlink" Target="https://www.cde.ca.gov/be/ag/ag/yr16/documents/nov16item03.doc" TargetMode="External"/><Relationship Id="rId100" Type="http://schemas.openxmlformats.org/officeDocument/2006/relationships/hyperlink" Target="https://www.cde.ca.gov/be/pn/im/documents/dec23memoamard02.docx" TargetMode="External"/><Relationship Id="rId105" Type="http://schemas.openxmlformats.org/officeDocument/2006/relationships/hyperlink" Target="https://www.cde.ca.gov/be/ag/ag/yr23/documents/mar23item03.docx" TargetMode="External"/><Relationship Id="rId126" Type="http://schemas.openxmlformats.org/officeDocument/2006/relationships/hyperlink" Target="https://www.cde.ca.gov/be/ag/ag/yr25/documents/jan25item03.docx" TargetMode="External"/><Relationship Id="rId147"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cde.ca.gov/be/ag/ag/yr18/documents/jul18item01.docx" TargetMode="External"/><Relationship Id="rId72" Type="http://schemas.openxmlformats.org/officeDocument/2006/relationships/hyperlink" Target="https://www.cde.ca.gov/be/pn/im/documents/apr25memoamard01.docx" TargetMode="External"/><Relationship Id="rId93" Type="http://schemas.openxmlformats.org/officeDocument/2006/relationships/hyperlink" Target="about:blank" TargetMode="External"/><Relationship Id="rId98" Type="http://schemas.openxmlformats.org/officeDocument/2006/relationships/hyperlink" Target="https://www.cde.ca.gov/be/pn/im/documents/feb23memoamard01revb.docx" TargetMode="External"/><Relationship Id="rId121" Type="http://schemas.openxmlformats.org/officeDocument/2006/relationships/hyperlink" Target="https://www.cde.ca.gov/be/pn/im/documents/memo-pptb-amard-aug19item01.docx" TargetMode="External"/><Relationship Id="rId142" Type="http://schemas.openxmlformats.org/officeDocument/2006/relationships/footer" Target="footer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Sara Pietrowski</DisplayName>
        <AccountId>54</AccountId>
        <AccountType/>
      </UserInfo>
      <UserInfo>
        <DisplayName>Cindy Kazanis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8" ma:contentTypeDescription="Create a new document." ma:contentTypeScope="" ma:versionID="1e3c5d7525aa971930f6badcfb18773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7aad772148af37a31026e1a08ab74d9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98D0908-4DA1-41E7-9482-81FC5422800C}">
  <ds:schemaRefs>
    <ds:schemaRef ds:uri="http://schemas.microsoft.com/office/2006/metadata/properties"/>
    <ds:schemaRef ds:uri="http://schemas.microsoft.com/office/infopath/2007/PartnerControls"/>
    <ds:schemaRef ds:uri="1aae30ff-d7bc-47e3-882e-cd3423d00d62"/>
  </ds:schemaRefs>
</ds:datastoreItem>
</file>

<file path=customXml/itemProps2.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3.xml><?xml version="1.0" encoding="utf-8"?>
<ds:datastoreItem xmlns:ds="http://schemas.openxmlformats.org/officeDocument/2006/customXml" ds:itemID="{52386840-6F3C-4A4E-A3D4-6E2A4F38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EB1BB-FC5D-430F-8A08-A8F117CC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17217</Words>
  <Characters>98141</Characters>
  <DocSecurity>0</DocSecurity>
  <Lines>817</Lines>
  <Paragraphs>230</Paragraphs>
  <ScaleCrop>false</ScaleCrop>
  <HeadingPairs>
    <vt:vector size="2" baseType="variant">
      <vt:variant>
        <vt:lpstr>Title</vt:lpstr>
      </vt:variant>
      <vt:variant>
        <vt:i4>1</vt:i4>
      </vt:variant>
    </vt:vector>
  </HeadingPairs>
  <TitlesOfParts>
    <vt:vector size="1" baseType="lpstr">
      <vt:lpstr>May 2025 Agenda Item 02 - Meeting Agendas (CA State Board of Education)</vt:lpstr>
    </vt:vector>
  </TitlesOfParts>
  <Company>California State Board of Education</Company>
  <LinksUpToDate>false</LinksUpToDate>
  <CharactersWithSpaces>115128</CharactersWithSpaces>
  <SharedDoc>false</SharedDoc>
  <HLinks>
    <vt:vector size="720" baseType="variant">
      <vt:variant>
        <vt:i4>2293801</vt:i4>
      </vt:variant>
      <vt:variant>
        <vt:i4>357</vt:i4>
      </vt:variant>
      <vt:variant>
        <vt:i4>0</vt:i4>
      </vt:variant>
      <vt:variant>
        <vt:i4>5</vt:i4>
      </vt:variant>
      <vt:variant>
        <vt:lpwstr>https://www.cde.ca.gov/be/pn/im/documents/apr25memoamard01.docx</vt:lpwstr>
      </vt:variant>
      <vt:variant>
        <vt:lpwstr/>
      </vt:variant>
      <vt:variant>
        <vt:i4>3801193</vt:i4>
      </vt:variant>
      <vt:variant>
        <vt:i4>354</vt:i4>
      </vt:variant>
      <vt:variant>
        <vt:i4>0</vt:i4>
      </vt:variant>
      <vt:variant>
        <vt:i4>5</vt:i4>
      </vt:variant>
      <vt:variant>
        <vt:lpwstr>https://www.cde.ca.gov/be/ag/ag/yr25/documents/jan25item03.docx</vt:lpwstr>
      </vt:variant>
      <vt:variant>
        <vt:lpwstr/>
      </vt:variant>
      <vt:variant>
        <vt:i4>2949223</vt:i4>
      </vt:variant>
      <vt:variant>
        <vt:i4>351</vt:i4>
      </vt:variant>
      <vt:variant>
        <vt:i4>0</vt:i4>
      </vt:variant>
      <vt:variant>
        <vt:i4>5</vt:i4>
      </vt:variant>
      <vt:variant>
        <vt:lpwstr>https://www.cde.ca.gov/be/ag/ag/yr23/documents/nov23item08.docx</vt:lpwstr>
      </vt:variant>
      <vt:variant>
        <vt:lpwstr/>
      </vt:variant>
      <vt:variant>
        <vt:i4>6750255</vt:i4>
      </vt:variant>
      <vt:variant>
        <vt:i4>348</vt:i4>
      </vt:variant>
      <vt:variant>
        <vt:i4>0</vt:i4>
      </vt:variant>
      <vt:variant>
        <vt:i4>5</vt:i4>
      </vt:variant>
      <vt:variant>
        <vt:lpwstr>https://www.cde.ca.gov/be/ag/ag/yr22/documents/sep22item02rev.docx</vt:lpwstr>
      </vt:variant>
      <vt:variant>
        <vt:lpwstr/>
      </vt:variant>
      <vt:variant>
        <vt:i4>2490425</vt:i4>
      </vt:variant>
      <vt:variant>
        <vt:i4>345</vt:i4>
      </vt:variant>
      <vt:variant>
        <vt:i4>0</vt:i4>
      </vt:variant>
      <vt:variant>
        <vt:i4>5</vt:i4>
      </vt:variant>
      <vt:variant>
        <vt:lpwstr>https://www.cde.ca.gov/be/pn/im/documents/jun22memoamard01.docx</vt:lpwstr>
      </vt:variant>
      <vt:variant>
        <vt:lpwstr/>
      </vt:variant>
      <vt:variant>
        <vt:i4>2490425</vt:i4>
      </vt:variant>
      <vt:variant>
        <vt:i4>342</vt:i4>
      </vt:variant>
      <vt:variant>
        <vt:i4>0</vt:i4>
      </vt:variant>
      <vt:variant>
        <vt:i4>5</vt:i4>
      </vt:variant>
      <vt:variant>
        <vt:lpwstr>https://www.cde.ca.gov/be/pn/im/documents/jun22memoamard01.docx</vt:lpwstr>
      </vt:variant>
      <vt:variant>
        <vt:lpwstr/>
      </vt:variant>
      <vt:variant>
        <vt:i4>2293863</vt:i4>
      </vt:variant>
      <vt:variant>
        <vt:i4>339</vt:i4>
      </vt:variant>
      <vt:variant>
        <vt:i4>0</vt:i4>
      </vt:variant>
      <vt:variant>
        <vt:i4>5</vt:i4>
      </vt:variant>
      <vt:variant>
        <vt:lpwstr>https://www.cde.ca.gov/be/ag/ag/yr21/documents/nov21item06.docx</vt:lpwstr>
      </vt:variant>
      <vt:variant>
        <vt:lpwstr/>
      </vt:variant>
      <vt:variant>
        <vt:i4>3932269</vt:i4>
      </vt:variant>
      <vt:variant>
        <vt:i4>336</vt:i4>
      </vt:variant>
      <vt:variant>
        <vt:i4>0</vt:i4>
      </vt:variant>
      <vt:variant>
        <vt:i4>5</vt:i4>
      </vt:variant>
      <vt:variant>
        <vt:lpwstr>https://www.cde.ca.gov/be/ag/ag/yr20/documents/sep20item02.docx</vt:lpwstr>
      </vt:variant>
      <vt:variant>
        <vt:lpwstr/>
      </vt:variant>
      <vt:variant>
        <vt:i4>2490419</vt:i4>
      </vt:variant>
      <vt:variant>
        <vt:i4>333</vt:i4>
      </vt:variant>
      <vt:variant>
        <vt:i4>0</vt:i4>
      </vt:variant>
      <vt:variant>
        <vt:i4>5</vt:i4>
      </vt:variant>
      <vt:variant>
        <vt:lpwstr>https://www.cde.ca.gov/be/pn/im/documents/aug20amard01.docx</vt:lpwstr>
      </vt:variant>
      <vt:variant>
        <vt:lpwstr/>
      </vt:variant>
      <vt:variant>
        <vt:i4>8060965</vt:i4>
      </vt:variant>
      <vt:variant>
        <vt:i4>330</vt:i4>
      </vt:variant>
      <vt:variant>
        <vt:i4>0</vt:i4>
      </vt:variant>
      <vt:variant>
        <vt:i4>5</vt:i4>
      </vt:variant>
      <vt:variant>
        <vt:lpwstr>https://www.cde.ca.gov/be/ag/ag/yr19/documents/nov19item05rev.docx</vt:lpwstr>
      </vt:variant>
      <vt:variant>
        <vt:lpwstr/>
      </vt:variant>
      <vt:variant>
        <vt:i4>3801193</vt:i4>
      </vt:variant>
      <vt:variant>
        <vt:i4>327</vt:i4>
      </vt:variant>
      <vt:variant>
        <vt:i4>0</vt:i4>
      </vt:variant>
      <vt:variant>
        <vt:i4>5</vt:i4>
      </vt:variant>
      <vt:variant>
        <vt:lpwstr>https://www.cde.ca.gov/be/ag/ag/yr25/documents/jan25item03.docx</vt:lpwstr>
      </vt:variant>
      <vt:variant>
        <vt:lpwstr/>
      </vt:variant>
      <vt:variant>
        <vt:i4>2293806</vt:i4>
      </vt:variant>
      <vt:variant>
        <vt:i4>324</vt:i4>
      </vt:variant>
      <vt:variant>
        <vt:i4>0</vt:i4>
      </vt:variant>
      <vt:variant>
        <vt:i4>5</vt:i4>
      </vt:variant>
      <vt:variant>
        <vt:lpwstr>https://www.cde.ca.gov/be/pn/im/documents/apr22memoamard01.docx</vt:lpwstr>
      </vt:variant>
      <vt:variant>
        <vt:lpwstr/>
      </vt:variant>
      <vt:variant>
        <vt:i4>2490473</vt:i4>
      </vt:variant>
      <vt:variant>
        <vt:i4>321</vt:i4>
      </vt:variant>
      <vt:variant>
        <vt:i4>0</vt:i4>
      </vt:variant>
      <vt:variant>
        <vt:i4>5</vt:i4>
      </vt:variant>
      <vt:variant>
        <vt:lpwstr>https://www.cde.ca.gov/be/ag/ag/yr22/documents/mar22item04.docx</vt:lpwstr>
      </vt:variant>
      <vt:variant>
        <vt:lpwstr/>
      </vt:variant>
      <vt:variant>
        <vt:i4>5308487</vt:i4>
      </vt:variant>
      <vt:variant>
        <vt:i4>318</vt:i4>
      </vt:variant>
      <vt:variant>
        <vt:i4>0</vt:i4>
      </vt:variant>
      <vt:variant>
        <vt:i4>5</vt:i4>
      </vt:variant>
      <vt:variant>
        <vt:lpwstr>https://www.cde.ca.gov/be/pn/im/documents/feb22memogad01.docx</vt:lpwstr>
      </vt:variant>
      <vt:variant>
        <vt:lpwstr/>
      </vt:variant>
      <vt:variant>
        <vt:i4>2293805</vt:i4>
      </vt:variant>
      <vt:variant>
        <vt:i4>315</vt:i4>
      </vt:variant>
      <vt:variant>
        <vt:i4>0</vt:i4>
      </vt:variant>
      <vt:variant>
        <vt:i4>5</vt:i4>
      </vt:variant>
      <vt:variant>
        <vt:lpwstr>https://www.cde.ca.gov/be/pn/im/documents/apr21memoamard01.docx</vt:lpwstr>
      </vt:variant>
      <vt:variant>
        <vt:lpwstr/>
      </vt:variant>
      <vt:variant>
        <vt:i4>6488096</vt:i4>
      </vt:variant>
      <vt:variant>
        <vt:i4>312</vt:i4>
      </vt:variant>
      <vt:variant>
        <vt:i4>0</vt:i4>
      </vt:variant>
      <vt:variant>
        <vt:i4>5</vt:i4>
      </vt:variant>
      <vt:variant>
        <vt:lpwstr>https://www.cde.ca.gov/be/pn/im/documents/memo-pptb-amard-aug19item01.docx</vt:lpwstr>
      </vt:variant>
      <vt:variant>
        <vt:lpwstr/>
      </vt:variant>
      <vt:variant>
        <vt:i4>3801213</vt:i4>
      </vt:variant>
      <vt:variant>
        <vt:i4>309</vt:i4>
      </vt:variant>
      <vt:variant>
        <vt:i4>0</vt:i4>
      </vt:variant>
      <vt:variant>
        <vt:i4>5</vt:i4>
      </vt:variant>
      <vt:variant>
        <vt:lpwstr>https://www.cde.ca.gov/be/ag/ag/yr19/documents/jul19item01.docx</vt:lpwstr>
      </vt:variant>
      <vt:variant>
        <vt:lpwstr/>
      </vt:variant>
      <vt:variant>
        <vt:i4>8060965</vt:i4>
      </vt:variant>
      <vt:variant>
        <vt:i4>306</vt:i4>
      </vt:variant>
      <vt:variant>
        <vt:i4>0</vt:i4>
      </vt:variant>
      <vt:variant>
        <vt:i4>5</vt:i4>
      </vt:variant>
      <vt:variant>
        <vt:lpwstr>https://www.cde.ca.gov/be/ag/ag/yr19/documents/nov19item05rev.docx</vt:lpwstr>
      </vt:variant>
      <vt:variant>
        <vt:lpwstr/>
      </vt:variant>
      <vt:variant>
        <vt:i4>4128877</vt:i4>
      </vt:variant>
      <vt:variant>
        <vt:i4>303</vt:i4>
      </vt:variant>
      <vt:variant>
        <vt:i4>0</vt:i4>
      </vt:variant>
      <vt:variant>
        <vt:i4>5</vt:i4>
      </vt:variant>
      <vt:variant>
        <vt:lpwstr>https://www.cde.ca.gov/be/ag/ag/yr19/documents/sep19item01.docx</vt:lpwstr>
      </vt:variant>
      <vt:variant>
        <vt:lpwstr/>
      </vt:variant>
      <vt:variant>
        <vt:i4>2818153</vt:i4>
      </vt:variant>
      <vt:variant>
        <vt:i4>300</vt:i4>
      </vt:variant>
      <vt:variant>
        <vt:i4>0</vt:i4>
      </vt:variant>
      <vt:variant>
        <vt:i4>5</vt:i4>
      </vt:variant>
      <vt:variant>
        <vt:lpwstr>https://www.cde.ca.gov/be/ag/ag/yr18/documents/may18item02.docx</vt:lpwstr>
      </vt:variant>
      <vt:variant>
        <vt:lpwstr/>
      </vt:variant>
      <vt:variant>
        <vt:i4>2293865</vt:i4>
      </vt:variant>
      <vt:variant>
        <vt:i4>297</vt:i4>
      </vt:variant>
      <vt:variant>
        <vt:i4>0</vt:i4>
      </vt:variant>
      <vt:variant>
        <vt:i4>5</vt:i4>
      </vt:variant>
      <vt:variant>
        <vt:lpwstr>https://www.cde.ca.gov/be/ag/ag/yr18/documents/mar18item01.docx</vt:lpwstr>
      </vt:variant>
      <vt:variant>
        <vt:lpwstr/>
      </vt:variant>
      <vt:variant>
        <vt:i4>2162791</vt:i4>
      </vt:variant>
      <vt:variant>
        <vt:i4>294</vt:i4>
      </vt:variant>
      <vt:variant>
        <vt:i4>0</vt:i4>
      </vt:variant>
      <vt:variant>
        <vt:i4>5</vt:i4>
      </vt:variant>
      <vt:variant>
        <vt:lpwstr>https://www.cde.ca.gov/be/ag/ag/yr18/documents/nov18item04.docx</vt:lpwstr>
      </vt:variant>
      <vt:variant>
        <vt:lpwstr/>
      </vt:variant>
      <vt:variant>
        <vt:i4>4128877</vt:i4>
      </vt:variant>
      <vt:variant>
        <vt:i4>291</vt:i4>
      </vt:variant>
      <vt:variant>
        <vt:i4>0</vt:i4>
      </vt:variant>
      <vt:variant>
        <vt:i4>5</vt:i4>
      </vt:variant>
      <vt:variant>
        <vt:lpwstr>https://www.cde.ca.gov/be/ag/ag/yr18/documents/sep18item01.docx</vt:lpwstr>
      </vt:variant>
      <vt:variant>
        <vt:lpwstr/>
      </vt:variant>
      <vt:variant>
        <vt:i4>6488098</vt:i4>
      </vt:variant>
      <vt:variant>
        <vt:i4>288</vt:i4>
      </vt:variant>
      <vt:variant>
        <vt:i4>0</vt:i4>
      </vt:variant>
      <vt:variant>
        <vt:i4>5</vt:i4>
      </vt:variant>
      <vt:variant>
        <vt:lpwstr>https://www.cde.ca.gov/be/pn/im/documents/memo-pptb-amard-aug18item02.docx</vt:lpwstr>
      </vt:variant>
      <vt:variant>
        <vt:lpwstr/>
      </vt:variant>
      <vt:variant>
        <vt:i4>3801213</vt:i4>
      </vt:variant>
      <vt:variant>
        <vt:i4>285</vt:i4>
      </vt:variant>
      <vt:variant>
        <vt:i4>0</vt:i4>
      </vt:variant>
      <vt:variant>
        <vt:i4>5</vt:i4>
      </vt:variant>
      <vt:variant>
        <vt:lpwstr>https://www.cde.ca.gov/be/ag/ag/yr17/documents/jul17item01.doc</vt:lpwstr>
      </vt:variant>
      <vt:variant>
        <vt:lpwstr/>
      </vt:variant>
      <vt:variant>
        <vt:i4>2621545</vt:i4>
      </vt:variant>
      <vt:variant>
        <vt:i4>282</vt:i4>
      </vt:variant>
      <vt:variant>
        <vt:i4>0</vt:i4>
      </vt:variant>
      <vt:variant>
        <vt:i4>5</vt:i4>
      </vt:variant>
      <vt:variant>
        <vt:lpwstr>https://www.cde.ca.gov/be/ag/ag/yr17/documents/may17item01.doc</vt:lpwstr>
      </vt:variant>
      <vt:variant>
        <vt:lpwstr/>
      </vt:variant>
      <vt:variant>
        <vt:i4>2162811</vt:i4>
      </vt:variant>
      <vt:variant>
        <vt:i4>279</vt:i4>
      </vt:variant>
      <vt:variant>
        <vt:i4>0</vt:i4>
      </vt:variant>
      <vt:variant>
        <vt:i4>5</vt:i4>
      </vt:variant>
      <vt:variant>
        <vt:lpwstr>http://www.cde.ca.gov/be/pn/im/documents/memo-exec-ocd-jun17item01.doc</vt:lpwstr>
      </vt:variant>
      <vt:variant>
        <vt:lpwstr/>
      </vt:variant>
      <vt:variant>
        <vt:i4>2097257</vt:i4>
      </vt:variant>
      <vt:variant>
        <vt:i4>276</vt:i4>
      </vt:variant>
      <vt:variant>
        <vt:i4>0</vt:i4>
      </vt:variant>
      <vt:variant>
        <vt:i4>5</vt:i4>
      </vt:variant>
      <vt:variant>
        <vt:lpwstr>https://www.cde.ca.gov/be/ag/ag/yr25/documents/mar25item02.docx</vt:lpwstr>
      </vt:variant>
      <vt:variant>
        <vt:lpwstr/>
      </vt:variant>
      <vt:variant>
        <vt:i4>3801193</vt:i4>
      </vt:variant>
      <vt:variant>
        <vt:i4>273</vt:i4>
      </vt:variant>
      <vt:variant>
        <vt:i4>0</vt:i4>
      </vt:variant>
      <vt:variant>
        <vt:i4>5</vt:i4>
      </vt:variant>
      <vt:variant>
        <vt:lpwstr>https://www.cde.ca.gov/be/ag/ag/yr25/documents/jan25item03.docx</vt:lpwstr>
      </vt:variant>
      <vt:variant>
        <vt:lpwstr/>
      </vt:variant>
      <vt:variant>
        <vt:i4>3735677</vt:i4>
      </vt:variant>
      <vt:variant>
        <vt:i4>270</vt:i4>
      </vt:variant>
      <vt:variant>
        <vt:i4>0</vt:i4>
      </vt:variant>
      <vt:variant>
        <vt:i4>5</vt:i4>
      </vt:variant>
      <vt:variant>
        <vt:lpwstr>https://www.cde.ca.gov/be/ag/ag/yr24/documents/jul24item02.docx</vt:lpwstr>
      </vt:variant>
      <vt:variant>
        <vt:lpwstr/>
      </vt:variant>
      <vt:variant>
        <vt:i4>2097257</vt:i4>
      </vt:variant>
      <vt:variant>
        <vt:i4>267</vt:i4>
      </vt:variant>
      <vt:variant>
        <vt:i4>0</vt:i4>
      </vt:variant>
      <vt:variant>
        <vt:i4>5</vt:i4>
      </vt:variant>
      <vt:variant>
        <vt:lpwstr>https://www.cde.ca.gov/be/ag/ag/yr24/documents/mar24item02.docx</vt:lpwstr>
      </vt:variant>
      <vt:variant>
        <vt:lpwstr/>
      </vt:variant>
      <vt:variant>
        <vt:i4>2162793</vt:i4>
      </vt:variant>
      <vt:variant>
        <vt:i4>264</vt:i4>
      </vt:variant>
      <vt:variant>
        <vt:i4>0</vt:i4>
      </vt:variant>
      <vt:variant>
        <vt:i4>5</vt:i4>
      </vt:variant>
      <vt:variant>
        <vt:lpwstr>https://www.cde.ca.gov/be/ag/ag/yr23/documents/mar23item03.docx</vt:lpwstr>
      </vt:variant>
      <vt:variant>
        <vt:lpwstr/>
      </vt:variant>
      <vt:variant>
        <vt:i4>2490473</vt:i4>
      </vt:variant>
      <vt:variant>
        <vt:i4>261</vt:i4>
      </vt:variant>
      <vt:variant>
        <vt:i4>0</vt:i4>
      </vt:variant>
      <vt:variant>
        <vt:i4>5</vt:i4>
      </vt:variant>
      <vt:variant>
        <vt:lpwstr>https://www.cde.ca.gov/be/ag/ag/yr22/documents/mar22item04.docx</vt:lpwstr>
      </vt:variant>
      <vt:variant>
        <vt:lpwstr/>
      </vt:variant>
      <vt:variant>
        <vt:i4>2556009</vt:i4>
      </vt:variant>
      <vt:variant>
        <vt:i4>258</vt:i4>
      </vt:variant>
      <vt:variant>
        <vt:i4>0</vt:i4>
      </vt:variant>
      <vt:variant>
        <vt:i4>5</vt:i4>
      </vt:variant>
      <vt:variant>
        <vt:lpwstr>https://www.cde.ca.gov/be/ag/ag/yr20/documents/mar20item05.docx</vt:lpwstr>
      </vt:variant>
      <vt:variant>
        <vt:lpwstr/>
      </vt:variant>
      <vt:variant>
        <vt:i4>2818153</vt:i4>
      </vt:variant>
      <vt:variant>
        <vt:i4>255</vt:i4>
      </vt:variant>
      <vt:variant>
        <vt:i4>0</vt:i4>
      </vt:variant>
      <vt:variant>
        <vt:i4>5</vt:i4>
      </vt:variant>
      <vt:variant>
        <vt:lpwstr>https://www.cde.ca.gov/be/ag/ag/yr16/documents/may16item02.doc</vt:lpwstr>
      </vt:variant>
      <vt:variant>
        <vt:lpwstr/>
      </vt:variant>
      <vt:variant>
        <vt:i4>3932195</vt:i4>
      </vt:variant>
      <vt:variant>
        <vt:i4>252</vt:i4>
      </vt:variant>
      <vt:variant>
        <vt:i4>0</vt:i4>
      </vt:variant>
      <vt:variant>
        <vt:i4>5</vt:i4>
      </vt:variant>
      <vt:variant>
        <vt:lpwstr>https://www.cde.ca.gov/be/pn/im/documents/nov24memoamard01.docx</vt:lpwstr>
      </vt:variant>
      <vt:variant>
        <vt:lpwstr/>
      </vt:variant>
      <vt:variant>
        <vt:i4>3473467</vt:i4>
      </vt:variant>
      <vt:variant>
        <vt:i4>249</vt:i4>
      </vt:variant>
      <vt:variant>
        <vt:i4>0</vt:i4>
      </vt:variant>
      <vt:variant>
        <vt:i4>5</vt:i4>
      </vt:variant>
      <vt:variant>
        <vt:lpwstr>https://www.cde.ca.gov/be/pn/im/documents/dec23memoamard02.docx</vt:lpwstr>
      </vt:variant>
      <vt:variant>
        <vt:lpwstr/>
      </vt:variant>
      <vt:variant>
        <vt:i4>3539053</vt:i4>
      </vt:variant>
      <vt:variant>
        <vt:i4>246</vt:i4>
      </vt:variant>
      <vt:variant>
        <vt:i4>0</vt:i4>
      </vt:variant>
      <vt:variant>
        <vt:i4>5</vt:i4>
      </vt:variant>
      <vt:variant>
        <vt:lpwstr>https://www.cde.ca.gov/be/ag/ag/yr23/documents/sep23item08.docx</vt:lpwstr>
      </vt:variant>
      <vt:variant>
        <vt:lpwstr/>
      </vt:variant>
      <vt:variant>
        <vt:i4>3211324</vt:i4>
      </vt:variant>
      <vt:variant>
        <vt:i4>243</vt:i4>
      </vt:variant>
      <vt:variant>
        <vt:i4>0</vt:i4>
      </vt:variant>
      <vt:variant>
        <vt:i4>5</vt:i4>
      </vt:variant>
      <vt:variant>
        <vt:lpwstr>https://www.cde.ca.gov/be/pn/im/documents/feb23memoamard01revb.docx</vt:lpwstr>
      </vt:variant>
      <vt:variant>
        <vt:lpwstr/>
      </vt:variant>
      <vt:variant>
        <vt:i4>3080313</vt:i4>
      </vt:variant>
      <vt:variant>
        <vt:i4>240</vt:i4>
      </vt:variant>
      <vt:variant>
        <vt:i4>0</vt:i4>
      </vt:variant>
      <vt:variant>
        <vt:i4>5</vt:i4>
      </vt:variant>
      <vt:variant>
        <vt:lpwstr>about:blank</vt:lpwstr>
      </vt:variant>
      <vt:variant>
        <vt:lpwstr/>
      </vt:variant>
      <vt:variant>
        <vt:i4>3080313</vt:i4>
      </vt:variant>
      <vt:variant>
        <vt:i4>237</vt:i4>
      </vt:variant>
      <vt:variant>
        <vt:i4>0</vt:i4>
      </vt:variant>
      <vt:variant>
        <vt:i4>5</vt:i4>
      </vt:variant>
      <vt:variant>
        <vt:lpwstr>about:blank</vt:lpwstr>
      </vt:variant>
      <vt:variant>
        <vt:lpwstr/>
      </vt:variant>
      <vt:variant>
        <vt:i4>3080313</vt:i4>
      </vt:variant>
      <vt:variant>
        <vt:i4>234</vt:i4>
      </vt:variant>
      <vt:variant>
        <vt:i4>0</vt:i4>
      </vt:variant>
      <vt:variant>
        <vt:i4>5</vt:i4>
      </vt:variant>
      <vt:variant>
        <vt:lpwstr>about:blank</vt:lpwstr>
      </vt:variant>
      <vt:variant>
        <vt:lpwstr/>
      </vt:variant>
      <vt:variant>
        <vt:i4>3080313</vt:i4>
      </vt:variant>
      <vt:variant>
        <vt:i4>231</vt:i4>
      </vt:variant>
      <vt:variant>
        <vt:i4>0</vt:i4>
      </vt:variant>
      <vt:variant>
        <vt:i4>5</vt:i4>
      </vt:variant>
      <vt:variant>
        <vt:lpwstr>about:blank</vt:lpwstr>
      </vt:variant>
      <vt:variant>
        <vt:lpwstr/>
      </vt:variant>
      <vt:variant>
        <vt:i4>3080313</vt:i4>
      </vt:variant>
      <vt:variant>
        <vt:i4>228</vt:i4>
      </vt:variant>
      <vt:variant>
        <vt:i4>0</vt:i4>
      </vt:variant>
      <vt:variant>
        <vt:i4>5</vt:i4>
      </vt:variant>
      <vt:variant>
        <vt:lpwstr>about:blank</vt:lpwstr>
      </vt:variant>
      <vt:variant>
        <vt:lpwstr/>
      </vt:variant>
      <vt:variant>
        <vt:i4>2162791</vt:i4>
      </vt:variant>
      <vt:variant>
        <vt:i4>225</vt:i4>
      </vt:variant>
      <vt:variant>
        <vt:i4>0</vt:i4>
      </vt:variant>
      <vt:variant>
        <vt:i4>5</vt:i4>
      </vt:variant>
      <vt:variant>
        <vt:lpwstr>https://www.cde.ca.gov/be/ag/ag/yr18/documents/nov18item04.docx</vt:lpwstr>
      </vt:variant>
      <vt:variant>
        <vt:lpwstr/>
      </vt:variant>
      <vt:variant>
        <vt:i4>3080313</vt:i4>
      </vt:variant>
      <vt:variant>
        <vt:i4>222</vt:i4>
      </vt:variant>
      <vt:variant>
        <vt:i4>0</vt:i4>
      </vt:variant>
      <vt:variant>
        <vt:i4>5</vt:i4>
      </vt:variant>
      <vt:variant>
        <vt:lpwstr>about:blank</vt:lpwstr>
      </vt:variant>
      <vt:variant>
        <vt:lpwstr/>
      </vt:variant>
      <vt:variant>
        <vt:i4>3080313</vt:i4>
      </vt:variant>
      <vt:variant>
        <vt:i4>219</vt:i4>
      </vt:variant>
      <vt:variant>
        <vt:i4>0</vt:i4>
      </vt:variant>
      <vt:variant>
        <vt:i4>5</vt:i4>
      </vt:variant>
      <vt:variant>
        <vt:lpwstr>about:blank</vt:lpwstr>
      </vt:variant>
      <vt:variant>
        <vt:lpwstr/>
      </vt:variant>
      <vt:variant>
        <vt:i4>3080313</vt:i4>
      </vt:variant>
      <vt:variant>
        <vt:i4>216</vt:i4>
      </vt:variant>
      <vt:variant>
        <vt:i4>0</vt:i4>
      </vt:variant>
      <vt:variant>
        <vt:i4>5</vt:i4>
      </vt:variant>
      <vt:variant>
        <vt:lpwstr>about:blank</vt:lpwstr>
      </vt:variant>
      <vt:variant>
        <vt:lpwstr/>
      </vt:variant>
      <vt:variant>
        <vt:i4>3080313</vt:i4>
      </vt:variant>
      <vt:variant>
        <vt:i4>213</vt:i4>
      </vt:variant>
      <vt:variant>
        <vt:i4>0</vt:i4>
      </vt:variant>
      <vt:variant>
        <vt:i4>5</vt:i4>
      </vt:variant>
      <vt:variant>
        <vt:lpwstr>about:blank</vt:lpwstr>
      </vt:variant>
      <vt:variant>
        <vt:lpwstr/>
      </vt:variant>
      <vt:variant>
        <vt:i4>3080313</vt:i4>
      </vt:variant>
      <vt:variant>
        <vt:i4>210</vt:i4>
      </vt:variant>
      <vt:variant>
        <vt:i4>0</vt:i4>
      </vt:variant>
      <vt:variant>
        <vt:i4>5</vt:i4>
      </vt:variant>
      <vt:variant>
        <vt:lpwstr>about:blank</vt:lpwstr>
      </vt:variant>
      <vt:variant>
        <vt:lpwstr/>
      </vt:variant>
      <vt:variant>
        <vt:i4>3539003</vt:i4>
      </vt:variant>
      <vt:variant>
        <vt:i4>207</vt:i4>
      </vt:variant>
      <vt:variant>
        <vt:i4>0</vt:i4>
      </vt:variant>
      <vt:variant>
        <vt:i4>5</vt:i4>
      </vt:variant>
      <vt:variant>
        <vt:lpwstr>https://www.cde.ca.gov/be/pn/im/documents/dec23memoamard01.docx</vt:lpwstr>
      </vt:variant>
      <vt:variant>
        <vt:lpwstr/>
      </vt:variant>
      <vt:variant>
        <vt:i4>3932269</vt:i4>
      </vt:variant>
      <vt:variant>
        <vt:i4>204</vt:i4>
      </vt:variant>
      <vt:variant>
        <vt:i4>0</vt:i4>
      </vt:variant>
      <vt:variant>
        <vt:i4>5</vt:i4>
      </vt:variant>
      <vt:variant>
        <vt:lpwstr>https://www.cde.ca.gov/be/ag/ag/yr23/documents/sep23item02.docx</vt:lpwstr>
      </vt:variant>
      <vt:variant>
        <vt:lpwstr/>
      </vt:variant>
      <vt:variant>
        <vt:i4>3801213</vt:i4>
      </vt:variant>
      <vt:variant>
        <vt:i4>201</vt:i4>
      </vt:variant>
      <vt:variant>
        <vt:i4>0</vt:i4>
      </vt:variant>
      <vt:variant>
        <vt:i4>5</vt:i4>
      </vt:variant>
      <vt:variant>
        <vt:lpwstr>https://www.cde.ca.gov/be/ag/ag/yr19/documents/jul19item01.docx</vt:lpwstr>
      </vt:variant>
      <vt:variant>
        <vt:lpwstr/>
      </vt:variant>
      <vt:variant>
        <vt:i4>4128890</vt:i4>
      </vt:variant>
      <vt:variant>
        <vt:i4>198</vt:i4>
      </vt:variant>
      <vt:variant>
        <vt:i4>0</vt:i4>
      </vt:variant>
      <vt:variant>
        <vt:i4>5</vt:i4>
      </vt:variant>
      <vt:variant>
        <vt:lpwstr>https://www.cde.ca.gov/be/pn/im/documents/memo-gad-lao-apr19item02.docx</vt:lpwstr>
      </vt:variant>
      <vt:variant>
        <vt:lpwstr/>
      </vt:variant>
      <vt:variant>
        <vt:i4>3080312</vt:i4>
      </vt:variant>
      <vt:variant>
        <vt:i4>195</vt:i4>
      </vt:variant>
      <vt:variant>
        <vt:i4>0</vt:i4>
      </vt:variant>
      <vt:variant>
        <vt:i4>5</vt:i4>
      </vt:variant>
      <vt:variant>
        <vt:lpwstr>https://www.cde.ca.gov/be/ag/ag/yr18/documents/apr18item01.docx</vt:lpwstr>
      </vt:variant>
      <vt:variant>
        <vt:lpwstr/>
      </vt:variant>
      <vt:variant>
        <vt:i4>1507419</vt:i4>
      </vt:variant>
      <vt:variant>
        <vt:i4>192</vt:i4>
      </vt:variant>
      <vt:variant>
        <vt:i4>0</vt:i4>
      </vt:variant>
      <vt:variant>
        <vt:i4>5</vt:i4>
      </vt:variant>
      <vt:variant>
        <vt:lpwstr>https://www.cde.ca.gov/be/pn/im/documents/memo-dsib-amard-apr17item01.doc</vt:lpwstr>
      </vt:variant>
      <vt:variant>
        <vt:lpwstr/>
      </vt:variant>
      <vt:variant>
        <vt:i4>3932269</vt:i4>
      </vt:variant>
      <vt:variant>
        <vt:i4>189</vt:i4>
      </vt:variant>
      <vt:variant>
        <vt:i4>0</vt:i4>
      </vt:variant>
      <vt:variant>
        <vt:i4>5</vt:i4>
      </vt:variant>
      <vt:variant>
        <vt:lpwstr>https://www.cde.ca.gov/be/ag/ag/yr17/documents/sep17item02.doc</vt:lpwstr>
      </vt:variant>
      <vt:variant>
        <vt:lpwstr/>
      </vt:variant>
      <vt:variant>
        <vt:i4>2097257</vt:i4>
      </vt:variant>
      <vt:variant>
        <vt:i4>186</vt:i4>
      </vt:variant>
      <vt:variant>
        <vt:i4>0</vt:i4>
      </vt:variant>
      <vt:variant>
        <vt:i4>5</vt:i4>
      </vt:variant>
      <vt:variant>
        <vt:lpwstr>https://www.cde.ca.gov/be/ag/ag/yr17/documents/mar17item02.doc</vt:lpwstr>
      </vt:variant>
      <vt:variant>
        <vt:lpwstr/>
      </vt:variant>
      <vt:variant>
        <vt:i4>3866729</vt:i4>
      </vt:variant>
      <vt:variant>
        <vt:i4>183</vt:i4>
      </vt:variant>
      <vt:variant>
        <vt:i4>0</vt:i4>
      </vt:variant>
      <vt:variant>
        <vt:i4>5</vt:i4>
      </vt:variant>
      <vt:variant>
        <vt:lpwstr>https://www.cde.ca.gov/be/ag/ag/yr17/documents/jan17item02.doc</vt:lpwstr>
      </vt:variant>
      <vt:variant>
        <vt:lpwstr/>
      </vt:variant>
      <vt:variant>
        <vt:i4>2490471</vt:i4>
      </vt:variant>
      <vt:variant>
        <vt:i4>180</vt:i4>
      </vt:variant>
      <vt:variant>
        <vt:i4>0</vt:i4>
      </vt:variant>
      <vt:variant>
        <vt:i4>5</vt:i4>
      </vt:variant>
      <vt:variant>
        <vt:lpwstr>https://www.cde.ca.gov/be/ag/ag/yr16/documents/nov16item03.doc</vt:lpwstr>
      </vt:variant>
      <vt:variant>
        <vt:lpwstr/>
      </vt:variant>
      <vt:variant>
        <vt:i4>262225</vt:i4>
      </vt:variant>
      <vt:variant>
        <vt:i4>177</vt:i4>
      </vt:variant>
      <vt:variant>
        <vt:i4>0</vt:i4>
      </vt:variant>
      <vt:variant>
        <vt:i4>5</vt:i4>
      </vt:variant>
      <vt:variant>
        <vt:lpwstr>https://www.cde.ca.gov/be/pn/im/documents/memo-dsib-amard-oct16item02.doc</vt:lpwstr>
      </vt:variant>
      <vt:variant>
        <vt:lpwstr/>
      </vt:variant>
      <vt:variant>
        <vt:i4>1441858</vt:i4>
      </vt:variant>
      <vt:variant>
        <vt:i4>174</vt:i4>
      </vt:variant>
      <vt:variant>
        <vt:i4>0</vt:i4>
      </vt:variant>
      <vt:variant>
        <vt:i4>5</vt:i4>
      </vt:variant>
      <vt:variant>
        <vt:lpwstr>http://www.cde.ca.gov/be/ag/ag/yr16/documents/jul16item02.doc</vt:lpwstr>
      </vt:variant>
      <vt:variant>
        <vt:lpwstr/>
      </vt:variant>
      <vt:variant>
        <vt:i4>3276848</vt:i4>
      </vt:variant>
      <vt:variant>
        <vt:i4>171</vt:i4>
      </vt:variant>
      <vt:variant>
        <vt:i4>0</vt:i4>
      </vt:variant>
      <vt:variant>
        <vt:i4>5</vt:i4>
      </vt:variant>
      <vt:variant>
        <vt:lpwstr>https://www.cde.ca.gov/be/pn/im/documents/memo-sbe-jun16item01.doc</vt:lpwstr>
      </vt:variant>
      <vt:variant>
        <vt:lpwstr/>
      </vt:variant>
      <vt:variant>
        <vt:i4>2818153</vt:i4>
      </vt:variant>
      <vt:variant>
        <vt:i4>168</vt:i4>
      </vt:variant>
      <vt:variant>
        <vt:i4>0</vt:i4>
      </vt:variant>
      <vt:variant>
        <vt:i4>5</vt:i4>
      </vt:variant>
      <vt:variant>
        <vt:lpwstr>https://www.cde.ca.gov/be/ag/ag/yr16/documents/may16item02.doc</vt:lpwstr>
      </vt:variant>
      <vt:variant>
        <vt:lpwstr/>
      </vt:variant>
      <vt:variant>
        <vt:i4>2293801</vt:i4>
      </vt:variant>
      <vt:variant>
        <vt:i4>165</vt:i4>
      </vt:variant>
      <vt:variant>
        <vt:i4>0</vt:i4>
      </vt:variant>
      <vt:variant>
        <vt:i4>5</vt:i4>
      </vt:variant>
      <vt:variant>
        <vt:lpwstr>https://www.cde.ca.gov/be/pn/im/documents/apr25memoamard01.docx</vt:lpwstr>
      </vt:variant>
      <vt:variant>
        <vt:lpwstr/>
      </vt:variant>
      <vt:variant>
        <vt:i4>8060971</vt:i4>
      </vt:variant>
      <vt:variant>
        <vt:i4>162</vt:i4>
      </vt:variant>
      <vt:variant>
        <vt:i4>0</vt:i4>
      </vt:variant>
      <vt:variant>
        <vt:i4>5</vt:i4>
      </vt:variant>
      <vt:variant>
        <vt:lpwstr>https://www.cde.ca.gov/be/ag/ag/yr25/documents/mar25item02rev.docx</vt:lpwstr>
      </vt:variant>
      <vt:variant>
        <vt:lpwstr/>
      </vt:variant>
      <vt:variant>
        <vt:i4>3801193</vt:i4>
      </vt:variant>
      <vt:variant>
        <vt:i4>159</vt:i4>
      </vt:variant>
      <vt:variant>
        <vt:i4>0</vt:i4>
      </vt:variant>
      <vt:variant>
        <vt:i4>5</vt:i4>
      </vt:variant>
      <vt:variant>
        <vt:lpwstr>https://www.cde.ca.gov/be/ag/ag/yr25/documents/jan25item03.docx</vt:lpwstr>
      </vt:variant>
      <vt:variant>
        <vt:lpwstr/>
      </vt:variant>
      <vt:variant>
        <vt:i4>2097257</vt:i4>
      </vt:variant>
      <vt:variant>
        <vt:i4>156</vt:i4>
      </vt:variant>
      <vt:variant>
        <vt:i4>0</vt:i4>
      </vt:variant>
      <vt:variant>
        <vt:i4>5</vt:i4>
      </vt:variant>
      <vt:variant>
        <vt:lpwstr>https://www.cde.ca.gov/be/ag/ag/yr24/documents/mar24item02.docx</vt:lpwstr>
      </vt:variant>
      <vt:variant>
        <vt:lpwstr/>
      </vt:variant>
      <vt:variant>
        <vt:i4>2162793</vt:i4>
      </vt:variant>
      <vt:variant>
        <vt:i4>153</vt:i4>
      </vt:variant>
      <vt:variant>
        <vt:i4>0</vt:i4>
      </vt:variant>
      <vt:variant>
        <vt:i4>5</vt:i4>
      </vt:variant>
      <vt:variant>
        <vt:lpwstr>https://www.cde.ca.gov/be/ag/ag/yr23/documents/mar23item03.docx</vt:lpwstr>
      </vt:variant>
      <vt:variant>
        <vt:lpwstr/>
      </vt:variant>
      <vt:variant>
        <vt:i4>3539053</vt:i4>
      </vt:variant>
      <vt:variant>
        <vt:i4>150</vt:i4>
      </vt:variant>
      <vt:variant>
        <vt:i4>0</vt:i4>
      </vt:variant>
      <vt:variant>
        <vt:i4>5</vt:i4>
      </vt:variant>
      <vt:variant>
        <vt:lpwstr>https://www.cde.ca.gov/be/ag/ag/yr23/documents/sep23item08.docx</vt:lpwstr>
      </vt:variant>
      <vt:variant>
        <vt:lpwstr/>
      </vt:variant>
      <vt:variant>
        <vt:i4>3735677</vt:i4>
      </vt:variant>
      <vt:variant>
        <vt:i4>147</vt:i4>
      </vt:variant>
      <vt:variant>
        <vt:i4>0</vt:i4>
      </vt:variant>
      <vt:variant>
        <vt:i4>5</vt:i4>
      </vt:variant>
      <vt:variant>
        <vt:lpwstr>https://www.cde.ca.gov/be/ag/ag/yr22/documents/jul22item02.docx</vt:lpwstr>
      </vt:variant>
      <vt:variant>
        <vt:lpwstr/>
      </vt:variant>
      <vt:variant>
        <vt:i4>2490473</vt:i4>
      </vt:variant>
      <vt:variant>
        <vt:i4>144</vt:i4>
      </vt:variant>
      <vt:variant>
        <vt:i4>0</vt:i4>
      </vt:variant>
      <vt:variant>
        <vt:i4>5</vt:i4>
      </vt:variant>
      <vt:variant>
        <vt:lpwstr>https://www.cde.ca.gov/be/ag/ag/yr22/documents/mar22item04.docx</vt:lpwstr>
      </vt:variant>
      <vt:variant>
        <vt:lpwstr/>
      </vt:variant>
      <vt:variant>
        <vt:i4>2359412</vt:i4>
      </vt:variant>
      <vt:variant>
        <vt:i4>141</vt:i4>
      </vt:variant>
      <vt:variant>
        <vt:i4>0</vt:i4>
      </vt:variant>
      <vt:variant>
        <vt:i4>5</vt:i4>
      </vt:variant>
      <vt:variant>
        <vt:lpwstr>https://www.cde.ca.gov/be/pn/im/infomemofeb2022.asp</vt:lpwstr>
      </vt:variant>
      <vt:variant>
        <vt:lpwstr/>
      </vt:variant>
      <vt:variant>
        <vt:i4>3539001</vt:i4>
      </vt:variant>
      <vt:variant>
        <vt:i4>138</vt:i4>
      </vt:variant>
      <vt:variant>
        <vt:i4>0</vt:i4>
      </vt:variant>
      <vt:variant>
        <vt:i4>5</vt:i4>
      </vt:variant>
      <vt:variant>
        <vt:lpwstr>https://www.cde.ca.gov/be/pn/im/documents/dec21memoamard01.docx</vt:lpwstr>
      </vt:variant>
      <vt:variant>
        <vt:lpwstr/>
      </vt:variant>
      <vt:variant>
        <vt:i4>3145765</vt:i4>
      </vt:variant>
      <vt:variant>
        <vt:i4>135</vt:i4>
      </vt:variant>
      <vt:variant>
        <vt:i4>0</vt:i4>
      </vt:variant>
      <vt:variant>
        <vt:i4>5</vt:i4>
      </vt:variant>
      <vt:variant>
        <vt:lpwstr>https://www.cde.ca.gov/be/pn/im/documents/oct21memoamard01.docx</vt:lpwstr>
      </vt:variant>
      <vt:variant>
        <vt:lpwstr/>
      </vt:variant>
      <vt:variant>
        <vt:i4>2752617</vt:i4>
      </vt:variant>
      <vt:variant>
        <vt:i4>132</vt:i4>
      </vt:variant>
      <vt:variant>
        <vt:i4>0</vt:i4>
      </vt:variant>
      <vt:variant>
        <vt:i4>5</vt:i4>
      </vt:variant>
      <vt:variant>
        <vt:lpwstr>https://www.cde.ca.gov/be/ag/ag/yr21/documents/may21item03.docx</vt:lpwstr>
      </vt:variant>
      <vt:variant>
        <vt:lpwstr/>
      </vt:variant>
      <vt:variant>
        <vt:i4>3473466</vt:i4>
      </vt:variant>
      <vt:variant>
        <vt:i4>129</vt:i4>
      </vt:variant>
      <vt:variant>
        <vt:i4>0</vt:i4>
      </vt:variant>
      <vt:variant>
        <vt:i4>5</vt:i4>
      </vt:variant>
      <vt:variant>
        <vt:lpwstr>https://www.cde.ca.gov/be/pn/im/documents/feb21memoamard02.docx</vt:lpwstr>
      </vt:variant>
      <vt:variant>
        <vt:lpwstr/>
      </vt:variant>
      <vt:variant>
        <vt:i4>8060965</vt:i4>
      </vt:variant>
      <vt:variant>
        <vt:i4>126</vt:i4>
      </vt:variant>
      <vt:variant>
        <vt:i4>0</vt:i4>
      </vt:variant>
      <vt:variant>
        <vt:i4>5</vt:i4>
      </vt:variant>
      <vt:variant>
        <vt:lpwstr>https://www.cde.ca.gov/be/ag/ag/yr20/documents/nov20item05rev.docx</vt:lpwstr>
      </vt:variant>
      <vt:variant>
        <vt:lpwstr/>
      </vt:variant>
      <vt:variant>
        <vt:i4>3932269</vt:i4>
      </vt:variant>
      <vt:variant>
        <vt:i4>123</vt:i4>
      </vt:variant>
      <vt:variant>
        <vt:i4>0</vt:i4>
      </vt:variant>
      <vt:variant>
        <vt:i4>5</vt:i4>
      </vt:variant>
      <vt:variant>
        <vt:lpwstr>https://www.cde.ca.gov/be/ag/ag/yr20/documents/sep20item02.docx</vt:lpwstr>
      </vt:variant>
      <vt:variant>
        <vt:lpwstr/>
      </vt:variant>
      <vt:variant>
        <vt:i4>3735677</vt:i4>
      </vt:variant>
      <vt:variant>
        <vt:i4>120</vt:i4>
      </vt:variant>
      <vt:variant>
        <vt:i4>0</vt:i4>
      </vt:variant>
      <vt:variant>
        <vt:i4>5</vt:i4>
      </vt:variant>
      <vt:variant>
        <vt:lpwstr>https://www.cde.ca.gov/be/ag/ag/yr20/documents/jul20item02.docx</vt:lpwstr>
      </vt:variant>
      <vt:variant>
        <vt:lpwstr/>
      </vt:variant>
      <vt:variant>
        <vt:i4>6619195</vt:i4>
      </vt:variant>
      <vt:variant>
        <vt:i4>117</vt:i4>
      </vt:variant>
      <vt:variant>
        <vt:i4>0</vt:i4>
      </vt:variant>
      <vt:variant>
        <vt:i4>5</vt:i4>
      </vt:variant>
      <vt:variant>
        <vt:lpwstr>https://www.cde.ca.gov/be/pn/im/documents/memo-imb-amard-june20item01.docx</vt:lpwstr>
      </vt:variant>
      <vt:variant>
        <vt:lpwstr/>
      </vt:variant>
      <vt:variant>
        <vt:i4>2556009</vt:i4>
      </vt:variant>
      <vt:variant>
        <vt:i4>114</vt:i4>
      </vt:variant>
      <vt:variant>
        <vt:i4>0</vt:i4>
      </vt:variant>
      <vt:variant>
        <vt:i4>5</vt:i4>
      </vt:variant>
      <vt:variant>
        <vt:lpwstr>https://www.cde.ca.gov/be/ag/ag/yr20/documents/mar20item05.docx</vt:lpwstr>
      </vt:variant>
      <vt:variant>
        <vt:lpwstr/>
      </vt:variant>
      <vt:variant>
        <vt:i4>4128814</vt:i4>
      </vt:variant>
      <vt:variant>
        <vt:i4>111</vt:i4>
      </vt:variant>
      <vt:variant>
        <vt:i4>0</vt:i4>
      </vt:variant>
      <vt:variant>
        <vt:i4>5</vt:i4>
      </vt:variant>
      <vt:variant>
        <vt:lpwstr>https://www.cde.ca.gov/be/pn/im/documents/nov19memoamard01.docx</vt:lpwstr>
      </vt:variant>
      <vt:variant>
        <vt:lpwstr/>
      </vt:variant>
      <vt:variant>
        <vt:i4>6684726</vt:i4>
      </vt:variant>
      <vt:variant>
        <vt:i4>108</vt:i4>
      </vt:variant>
      <vt:variant>
        <vt:i4>0</vt:i4>
      </vt:variant>
      <vt:variant>
        <vt:i4>5</vt:i4>
      </vt:variant>
      <vt:variant>
        <vt:lpwstr>https://www.cde.ca.gov/be/pn/im/documents/memo-pptb-amard-apr19item02.docx</vt:lpwstr>
      </vt:variant>
      <vt:variant>
        <vt:lpwstr/>
      </vt:variant>
      <vt:variant>
        <vt:i4>7536672</vt:i4>
      </vt:variant>
      <vt:variant>
        <vt:i4>105</vt:i4>
      </vt:variant>
      <vt:variant>
        <vt:i4>0</vt:i4>
      </vt:variant>
      <vt:variant>
        <vt:i4>5</vt:i4>
      </vt:variant>
      <vt:variant>
        <vt:lpwstr>https://www.cde.ca.gov/be/pn/im/documents/memo-pptb-amard-feb19item03.docx</vt:lpwstr>
      </vt:variant>
      <vt:variant>
        <vt:lpwstr/>
      </vt:variant>
      <vt:variant>
        <vt:i4>3801213</vt:i4>
      </vt:variant>
      <vt:variant>
        <vt:i4>102</vt:i4>
      </vt:variant>
      <vt:variant>
        <vt:i4>0</vt:i4>
      </vt:variant>
      <vt:variant>
        <vt:i4>5</vt:i4>
      </vt:variant>
      <vt:variant>
        <vt:lpwstr>https://www.cde.ca.gov/be/ag/ag/yr18/documents/jul18item01.docx</vt:lpwstr>
      </vt:variant>
      <vt:variant>
        <vt:lpwstr/>
      </vt:variant>
      <vt:variant>
        <vt:i4>6488099</vt:i4>
      </vt:variant>
      <vt:variant>
        <vt:i4>99</vt:i4>
      </vt:variant>
      <vt:variant>
        <vt:i4>0</vt:i4>
      </vt:variant>
      <vt:variant>
        <vt:i4>5</vt:i4>
      </vt:variant>
      <vt:variant>
        <vt:lpwstr>https://www.cde.ca.gov/be/pn/im/documents/memo-pptb-amard-jun18item01.docx</vt:lpwstr>
      </vt:variant>
      <vt:variant>
        <vt:lpwstr/>
      </vt:variant>
      <vt:variant>
        <vt:i4>2818153</vt:i4>
      </vt:variant>
      <vt:variant>
        <vt:i4>96</vt:i4>
      </vt:variant>
      <vt:variant>
        <vt:i4>0</vt:i4>
      </vt:variant>
      <vt:variant>
        <vt:i4>5</vt:i4>
      </vt:variant>
      <vt:variant>
        <vt:lpwstr>https://www.cde.ca.gov/be/ag/ag/yr18/documents/may18item02.docx</vt:lpwstr>
      </vt:variant>
      <vt:variant>
        <vt:lpwstr/>
      </vt:variant>
      <vt:variant>
        <vt:i4>7536675</vt:i4>
      </vt:variant>
      <vt:variant>
        <vt:i4>93</vt:i4>
      </vt:variant>
      <vt:variant>
        <vt:i4>0</vt:i4>
      </vt:variant>
      <vt:variant>
        <vt:i4>5</vt:i4>
      </vt:variant>
      <vt:variant>
        <vt:lpwstr>https://www.cde.ca.gov/be/pn/im/documents/memo-pptb-amard-feb18item01.docx</vt:lpwstr>
      </vt:variant>
      <vt:variant>
        <vt:lpwstr/>
      </vt:variant>
      <vt:variant>
        <vt:i4>3014757</vt:i4>
      </vt:variant>
      <vt:variant>
        <vt:i4>90</vt:i4>
      </vt:variant>
      <vt:variant>
        <vt:i4>0</vt:i4>
      </vt:variant>
      <vt:variant>
        <vt:i4>5</vt:i4>
      </vt:variant>
      <vt:variant>
        <vt:lpwstr>https://www.cde.ca.gov/be/pn/im/documents/memo-asb-adad-jun17item03.doc</vt:lpwstr>
      </vt:variant>
      <vt:variant>
        <vt:lpwstr/>
      </vt:variant>
      <vt:variant>
        <vt:i4>131163</vt:i4>
      </vt:variant>
      <vt:variant>
        <vt:i4>87</vt:i4>
      </vt:variant>
      <vt:variant>
        <vt:i4>0</vt:i4>
      </vt:variant>
      <vt:variant>
        <vt:i4>5</vt:i4>
      </vt:variant>
      <vt:variant>
        <vt:lpwstr>http://www.cde.ca.gov/be/ag/ag/yr17/documents/mar17item02.doc</vt:lpwstr>
      </vt:variant>
      <vt:variant>
        <vt:lpwstr/>
      </vt:variant>
      <vt:variant>
        <vt:i4>3866729</vt:i4>
      </vt:variant>
      <vt:variant>
        <vt:i4>84</vt:i4>
      </vt:variant>
      <vt:variant>
        <vt:i4>0</vt:i4>
      </vt:variant>
      <vt:variant>
        <vt:i4>5</vt:i4>
      </vt:variant>
      <vt:variant>
        <vt:lpwstr>https://www.cde.ca.gov/be/ag/ag/yr17/documents/jan17item02.doc</vt:lpwstr>
      </vt:variant>
      <vt:variant>
        <vt:lpwstr/>
      </vt:variant>
      <vt:variant>
        <vt:i4>1179725</vt:i4>
      </vt:variant>
      <vt:variant>
        <vt:i4>81</vt:i4>
      </vt:variant>
      <vt:variant>
        <vt:i4>0</vt:i4>
      </vt:variant>
      <vt:variant>
        <vt:i4>5</vt:i4>
      </vt:variant>
      <vt:variant>
        <vt:lpwstr>https://www.cde.ca.gov/be/pn/im/documents/memo-dsib-amard-jun16item01.doc</vt:lpwstr>
      </vt:variant>
      <vt:variant>
        <vt:lpwstr/>
      </vt:variant>
      <vt:variant>
        <vt:i4>131149</vt:i4>
      </vt:variant>
      <vt:variant>
        <vt:i4>78</vt:i4>
      </vt:variant>
      <vt:variant>
        <vt:i4>0</vt:i4>
      </vt:variant>
      <vt:variant>
        <vt:i4>5</vt:i4>
      </vt:variant>
      <vt:variant>
        <vt:lpwstr>https://www.cde.ca.gov/be/pn/im/documents/memo-dsib-amard-feb16item01.doc</vt:lpwstr>
      </vt:variant>
      <vt:variant>
        <vt:lpwstr/>
      </vt:variant>
      <vt:variant>
        <vt:i4>3801193</vt:i4>
      </vt:variant>
      <vt:variant>
        <vt:i4>75</vt:i4>
      </vt:variant>
      <vt:variant>
        <vt:i4>0</vt:i4>
      </vt:variant>
      <vt:variant>
        <vt:i4>5</vt:i4>
      </vt:variant>
      <vt:variant>
        <vt:lpwstr>https://www.cde.ca.gov/be/ag/ag/yr25/documents/jan25item03.docx</vt:lpwstr>
      </vt:variant>
      <vt:variant>
        <vt:lpwstr/>
      </vt:variant>
      <vt:variant>
        <vt:i4>2097257</vt:i4>
      </vt:variant>
      <vt:variant>
        <vt:i4>72</vt:i4>
      </vt:variant>
      <vt:variant>
        <vt:i4>0</vt:i4>
      </vt:variant>
      <vt:variant>
        <vt:i4>5</vt:i4>
      </vt:variant>
      <vt:variant>
        <vt:lpwstr>https://www.cde.ca.gov/be/ag/ag/yr24/documents/mar24item02.docx</vt:lpwstr>
      </vt:variant>
      <vt:variant>
        <vt:lpwstr/>
      </vt:variant>
      <vt:variant>
        <vt:i4>2162793</vt:i4>
      </vt:variant>
      <vt:variant>
        <vt:i4>69</vt:i4>
      </vt:variant>
      <vt:variant>
        <vt:i4>0</vt:i4>
      </vt:variant>
      <vt:variant>
        <vt:i4>5</vt:i4>
      </vt:variant>
      <vt:variant>
        <vt:lpwstr>https://www.cde.ca.gov/be/ag/ag/yr23/documents/mar23item03.docx</vt:lpwstr>
      </vt:variant>
      <vt:variant>
        <vt:lpwstr/>
      </vt:variant>
      <vt:variant>
        <vt:i4>3539053</vt:i4>
      </vt:variant>
      <vt:variant>
        <vt:i4>66</vt:i4>
      </vt:variant>
      <vt:variant>
        <vt:i4>0</vt:i4>
      </vt:variant>
      <vt:variant>
        <vt:i4>5</vt:i4>
      </vt:variant>
      <vt:variant>
        <vt:lpwstr>https://www.cde.ca.gov/be/ag/ag/yr23/documents/sep23item08.docx</vt:lpwstr>
      </vt:variant>
      <vt:variant>
        <vt:lpwstr/>
      </vt:variant>
      <vt:variant>
        <vt:i4>2490473</vt:i4>
      </vt:variant>
      <vt:variant>
        <vt:i4>63</vt:i4>
      </vt:variant>
      <vt:variant>
        <vt:i4>0</vt:i4>
      </vt:variant>
      <vt:variant>
        <vt:i4>5</vt:i4>
      </vt:variant>
      <vt:variant>
        <vt:lpwstr>https://www.cde.ca.gov/be/ag/ag/yr22/documents/mar22item04.docx</vt:lpwstr>
      </vt:variant>
      <vt:variant>
        <vt:lpwstr/>
      </vt:variant>
      <vt:variant>
        <vt:i4>2949225</vt:i4>
      </vt:variant>
      <vt:variant>
        <vt:i4>60</vt:i4>
      </vt:variant>
      <vt:variant>
        <vt:i4>0</vt:i4>
      </vt:variant>
      <vt:variant>
        <vt:i4>5</vt:i4>
      </vt:variant>
      <vt:variant>
        <vt:lpwstr>https://www.cde.ca.gov/be/ag/ag/yr21/documents/may21item04.docx</vt:lpwstr>
      </vt:variant>
      <vt:variant>
        <vt:lpwstr/>
      </vt:variant>
      <vt:variant>
        <vt:i4>3997801</vt:i4>
      </vt:variant>
      <vt:variant>
        <vt:i4>57</vt:i4>
      </vt:variant>
      <vt:variant>
        <vt:i4>0</vt:i4>
      </vt:variant>
      <vt:variant>
        <vt:i4>5</vt:i4>
      </vt:variant>
      <vt:variant>
        <vt:lpwstr>https://www.cde.ca.gov/be/ag/ag/yr21/documents/jan21item04.docx</vt:lpwstr>
      </vt:variant>
      <vt:variant>
        <vt:lpwstr/>
      </vt:variant>
      <vt:variant>
        <vt:i4>6291503</vt:i4>
      </vt:variant>
      <vt:variant>
        <vt:i4>54</vt:i4>
      </vt:variant>
      <vt:variant>
        <vt:i4>0</vt:i4>
      </vt:variant>
      <vt:variant>
        <vt:i4>5</vt:i4>
      </vt:variant>
      <vt:variant>
        <vt:lpwstr>https://www.cde.ca.gov/be/ag/ag/yr20/documents/sep20item05rev.docx</vt:lpwstr>
      </vt:variant>
      <vt:variant>
        <vt:lpwstr/>
      </vt:variant>
      <vt:variant>
        <vt:i4>2818153</vt:i4>
      </vt:variant>
      <vt:variant>
        <vt:i4>51</vt:i4>
      </vt:variant>
      <vt:variant>
        <vt:i4>0</vt:i4>
      </vt:variant>
      <vt:variant>
        <vt:i4>5</vt:i4>
      </vt:variant>
      <vt:variant>
        <vt:lpwstr>https://www.cde.ca.gov/be/ag/ag/yr20/documents/may20item02.docx</vt:lpwstr>
      </vt:variant>
      <vt:variant>
        <vt:lpwstr/>
      </vt:variant>
      <vt:variant>
        <vt:i4>2556009</vt:i4>
      </vt:variant>
      <vt:variant>
        <vt:i4>48</vt:i4>
      </vt:variant>
      <vt:variant>
        <vt:i4>0</vt:i4>
      </vt:variant>
      <vt:variant>
        <vt:i4>5</vt:i4>
      </vt:variant>
      <vt:variant>
        <vt:lpwstr>https://www.cde.ca.gov/be/ag/ag/yr20/documents/mar20item05.docx</vt:lpwstr>
      </vt:variant>
      <vt:variant>
        <vt:lpwstr/>
      </vt:variant>
      <vt:variant>
        <vt:i4>3932269</vt:i4>
      </vt:variant>
      <vt:variant>
        <vt:i4>45</vt:i4>
      </vt:variant>
      <vt:variant>
        <vt:i4>0</vt:i4>
      </vt:variant>
      <vt:variant>
        <vt:i4>5</vt:i4>
      </vt:variant>
      <vt:variant>
        <vt:lpwstr>https://www.cde.ca.gov/be/ag/ag/yr20/documents/sep20item02.docx</vt:lpwstr>
      </vt:variant>
      <vt:variant>
        <vt:lpwstr/>
      </vt:variant>
      <vt:variant>
        <vt:i4>6684710</vt:i4>
      </vt:variant>
      <vt:variant>
        <vt:i4>42</vt:i4>
      </vt:variant>
      <vt:variant>
        <vt:i4>0</vt:i4>
      </vt:variant>
      <vt:variant>
        <vt:i4>5</vt:i4>
      </vt:variant>
      <vt:variant>
        <vt:lpwstr>https://www.cde.ca.gov/be/pn/im/documents/memo-branch-eeed-aug19item02.docx</vt:lpwstr>
      </vt:variant>
      <vt:variant>
        <vt:lpwstr/>
      </vt:variant>
      <vt:variant>
        <vt:i4>6488097</vt:i4>
      </vt:variant>
      <vt:variant>
        <vt:i4>39</vt:i4>
      </vt:variant>
      <vt:variant>
        <vt:i4>0</vt:i4>
      </vt:variant>
      <vt:variant>
        <vt:i4>5</vt:i4>
      </vt:variant>
      <vt:variant>
        <vt:lpwstr>https://www.cde.ca.gov/be/pn/im/documents/memo-pptb-amard-jun19item02.docx</vt:lpwstr>
      </vt:variant>
      <vt:variant>
        <vt:lpwstr/>
      </vt:variant>
      <vt:variant>
        <vt:i4>4128879</vt:i4>
      </vt:variant>
      <vt:variant>
        <vt:i4>36</vt:i4>
      </vt:variant>
      <vt:variant>
        <vt:i4>0</vt:i4>
      </vt:variant>
      <vt:variant>
        <vt:i4>5</vt:i4>
      </vt:variant>
      <vt:variant>
        <vt:lpwstr>https://www.cde.ca.gov/be/ag/ag/yr19/documents/may19item01studysession.docx</vt:lpwstr>
      </vt:variant>
      <vt:variant>
        <vt:lpwstr/>
      </vt:variant>
      <vt:variant>
        <vt:i4>6684725</vt:i4>
      </vt:variant>
      <vt:variant>
        <vt:i4>33</vt:i4>
      </vt:variant>
      <vt:variant>
        <vt:i4>0</vt:i4>
      </vt:variant>
      <vt:variant>
        <vt:i4>5</vt:i4>
      </vt:variant>
      <vt:variant>
        <vt:lpwstr>https://www.cde.ca.gov/be/pn/im/documents/memo-pptb-amard-apr19item01.docx</vt:lpwstr>
      </vt:variant>
      <vt:variant>
        <vt:lpwstr/>
      </vt:variant>
      <vt:variant>
        <vt:i4>2162791</vt:i4>
      </vt:variant>
      <vt:variant>
        <vt:i4>30</vt:i4>
      </vt:variant>
      <vt:variant>
        <vt:i4>0</vt:i4>
      </vt:variant>
      <vt:variant>
        <vt:i4>5</vt:i4>
      </vt:variant>
      <vt:variant>
        <vt:lpwstr>https://www.cde.ca.gov/be/ag/ag/yr18/documents/nov18item04.docx</vt:lpwstr>
      </vt:variant>
      <vt:variant>
        <vt:lpwstr/>
      </vt:variant>
      <vt:variant>
        <vt:i4>4128877</vt:i4>
      </vt:variant>
      <vt:variant>
        <vt:i4>27</vt:i4>
      </vt:variant>
      <vt:variant>
        <vt:i4>0</vt:i4>
      </vt:variant>
      <vt:variant>
        <vt:i4>5</vt:i4>
      </vt:variant>
      <vt:variant>
        <vt:lpwstr>https://www.cde.ca.gov/be/ag/ag/yr18/documents/sep18item01.docx</vt:lpwstr>
      </vt:variant>
      <vt:variant>
        <vt:lpwstr/>
      </vt:variant>
      <vt:variant>
        <vt:i4>6488098</vt:i4>
      </vt:variant>
      <vt:variant>
        <vt:i4>24</vt:i4>
      </vt:variant>
      <vt:variant>
        <vt:i4>0</vt:i4>
      </vt:variant>
      <vt:variant>
        <vt:i4>5</vt:i4>
      </vt:variant>
      <vt:variant>
        <vt:lpwstr>https://www.cde.ca.gov/be/pn/im/documents/memo-pptb-amard-aug18item02.docx</vt:lpwstr>
      </vt:variant>
      <vt:variant>
        <vt:lpwstr/>
      </vt:variant>
      <vt:variant>
        <vt:i4>4259869</vt:i4>
      </vt:variant>
      <vt:variant>
        <vt:i4>21</vt:i4>
      </vt:variant>
      <vt:variant>
        <vt:i4>0</vt:i4>
      </vt:variant>
      <vt:variant>
        <vt:i4>5</vt:i4>
      </vt:variant>
      <vt:variant>
        <vt:lpwstr>https://www.cde.ca.gov/be/ag/ag/yr18/documents/may18item02slides.pdf</vt:lpwstr>
      </vt:variant>
      <vt:variant>
        <vt:lpwstr/>
      </vt:variant>
      <vt:variant>
        <vt:i4>6684727</vt:i4>
      </vt:variant>
      <vt:variant>
        <vt:i4>18</vt:i4>
      </vt:variant>
      <vt:variant>
        <vt:i4>0</vt:i4>
      </vt:variant>
      <vt:variant>
        <vt:i4>5</vt:i4>
      </vt:variant>
      <vt:variant>
        <vt:lpwstr>https://www.cde.ca.gov/be/pn/im/documents/memo-pptb-amard-apr18item02.docx</vt:lpwstr>
      </vt:variant>
      <vt:variant>
        <vt:lpwstr/>
      </vt:variant>
      <vt:variant>
        <vt:i4>2293865</vt:i4>
      </vt:variant>
      <vt:variant>
        <vt:i4>15</vt:i4>
      </vt:variant>
      <vt:variant>
        <vt:i4>0</vt:i4>
      </vt:variant>
      <vt:variant>
        <vt:i4>5</vt:i4>
      </vt:variant>
      <vt:variant>
        <vt:lpwstr>https://www.cde.ca.gov/be/ag/ag/yr18/documents/mar18item01.docx</vt:lpwstr>
      </vt:variant>
      <vt:variant>
        <vt:lpwstr/>
      </vt:variant>
      <vt:variant>
        <vt:i4>7536672</vt:i4>
      </vt:variant>
      <vt:variant>
        <vt:i4>12</vt:i4>
      </vt:variant>
      <vt:variant>
        <vt:i4>0</vt:i4>
      </vt:variant>
      <vt:variant>
        <vt:i4>5</vt:i4>
      </vt:variant>
      <vt:variant>
        <vt:lpwstr>https://www.cde.ca.gov/be/pn/im/documents/memo-pptb-amard-feb18item02.docx</vt:lpwstr>
      </vt:variant>
      <vt:variant>
        <vt:lpwstr/>
      </vt:variant>
      <vt:variant>
        <vt:i4>3932269</vt:i4>
      </vt:variant>
      <vt:variant>
        <vt:i4>9</vt:i4>
      </vt:variant>
      <vt:variant>
        <vt:i4>0</vt:i4>
      </vt:variant>
      <vt:variant>
        <vt:i4>5</vt:i4>
      </vt:variant>
      <vt:variant>
        <vt:lpwstr>https://www.cde.ca.gov/be/ag/ag/yr17/documents/sep17item02.doc</vt:lpwstr>
      </vt:variant>
      <vt:variant>
        <vt:lpwstr/>
      </vt:variant>
      <vt:variant>
        <vt:i4>4128877</vt:i4>
      </vt:variant>
      <vt:variant>
        <vt:i4>6</vt:i4>
      </vt:variant>
      <vt:variant>
        <vt:i4>0</vt:i4>
      </vt:variant>
      <vt:variant>
        <vt:i4>5</vt:i4>
      </vt:variant>
      <vt:variant>
        <vt:lpwstr>https://www.cde.ca.gov/be/ag/ag/yr16/documents/sep16item01.doc</vt:lpwstr>
      </vt:variant>
      <vt:variant>
        <vt:lpwstr/>
      </vt:variant>
      <vt:variant>
        <vt:i4>1114129</vt:i4>
      </vt:variant>
      <vt:variant>
        <vt:i4>3</vt:i4>
      </vt:variant>
      <vt:variant>
        <vt:i4>0</vt:i4>
      </vt:variant>
      <vt:variant>
        <vt:i4>5</vt:i4>
      </vt:variant>
      <vt:variant>
        <vt:lpwstr>https://www.cde.ca.gov/be/mt/ms/documents/finalminutes1314jul2016.doc</vt:lpwstr>
      </vt:variant>
      <vt:variant>
        <vt:lpwstr/>
      </vt:variant>
      <vt:variant>
        <vt:i4>2031711</vt:i4>
      </vt:variant>
      <vt:variant>
        <vt:i4>0</vt:i4>
      </vt:variant>
      <vt:variant>
        <vt:i4>0</vt:i4>
      </vt:variant>
      <vt:variant>
        <vt:i4>5</vt:i4>
      </vt:variant>
      <vt:variant>
        <vt:lpwstr>https://www.cde.ca.gov/ta/ac/cm/dbprinciples.asp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2025 Agenda Item 02 - Meeting Agendas (CA State Board of Education)</dc:title>
  <dc:subject>Update on the Implementation of the Integrated Local, State, and Federal Accountability and Continuous Improvement System: A Review of New and Existing College/Career Indicator Measures.</dc:subject>
  <cp:keywords/>
  <dc:description/>
  <cp:lastPrinted>2019-02-28T22:21:00Z</cp:lastPrinted>
  <dcterms:created xsi:type="dcterms:W3CDTF">2025-04-24T17:08:00Z</dcterms:created>
  <dcterms:modified xsi:type="dcterms:W3CDTF">2025-04-25T04:33:00Z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