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DF6CC" w14:textId="0BF15D6D" w:rsidR="00F25CB0" w:rsidRPr="0056753F" w:rsidRDefault="00F25CB0" w:rsidP="0020409D">
      <w:pPr>
        <w:rPr>
          <w:rFonts w:cs="Arial"/>
        </w:rPr>
      </w:pPr>
      <w:r w:rsidRPr="0056753F">
        <w:rPr>
          <w:rFonts w:cs="Arial"/>
        </w:rPr>
        <w:t>California Department of Education</w:t>
      </w:r>
      <w:r w:rsidR="00A34E76" w:rsidRPr="0056753F">
        <w:rPr>
          <w:rFonts w:cs="Arial"/>
        </w:rPr>
        <w:br/>
      </w:r>
      <w:r w:rsidRPr="0056753F">
        <w:rPr>
          <w:rFonts w:cs="Arial"/>
        </w:rPr>
        <w:t>Charter Schools Division</w:t>
      </w:r>
      <w:r w:rsidR="00A34E76" w:rsidRPr="0056753F">
        <w:rPr>
          <w:rFonts w:cs="Arial"/>
        </w:rPr>
        <w:br/>
      </w:r>
      <w:r w:rsidRPr="0056753F">
        <w:rPr>
          <w:rFonts w:cs="Arial"/>
        </w:rPr>
        <w:t>Revised 5/2018</w:t>
      </w:r>
      <w:r w:rsidR="00A34E76" w:rsidRPr="0056753F">
        <w:rPr>
          <w:rFonts w:cs="Arial"/>
        </w:rPr>
        <w:br/>
      </w:r>
      <w:r w:rsidRPr="0056753F">
        <w:rPr>
          <w:rFonts w:cs="Arial"/>
        </w:rPr>
        <w:t>accs-</w:t>
      </w:r>
      <w:r w:rsidR="00A625F2" w:rsidRPr="0056753F">
        <w:rPr>
          <w:rFonts w:cs="Arial"/>
        </w:rPr>
        <w:t>apr25</w:t>
      </w:r>
      <w:r w:rsidR="00B068F2" w:rsidRPr="0056753F">
        <w:rPr>
          <w:rFonts w:cs="Arial"/>
        </w:rPr>
        <w:t>item</w:t>
      </w:r>
      <w:r w:rsidR="00810A48">
        <w:rPr>
          <w:rFonts w:cs="Arial"/>
        </w:rPr>
        <w:t>03</w:t>
      </w:r>
    </w:p>
    <w:p w14:paraId="5B11AEAC" w14:textId="77777777" w:rsidR="00F25CB0" w:rsidRPr="0056753F" w:rsidRDefault="00F25CB0" w:rsidP="0020409D">
      <w:pPr>
        <w:jc w:val="center"/>
        <w:rPr>
          <w:b/>
          <w:sz w:val="32"/>
          <w:szCs w:val="32"/>
        </w:rPr>
      </w:pPr>
      <w:r w:rsidRPr="0056753F">
        <w:rPr>
          <w:b/>
          <w:sz w:val="32"/>
          <w:szCs w:val="32"/>
        </w:rPr>
        <w:t>ADVISORY COMMISSION ON CHARTER SCHOOLS</w:t>
      </w:r>
      <w:r w:rsidR="00A34E76" w:rsidRPr="0056753F">
        <w:rPr>
          <w:b/>
          <w:sz w:val="32"/>
          <w:szCs w:val="32"/>
        </w:rPr>
        <w:br/>
      </w:r>
      <w:r w:rsidRPr="0056753F">
        <w:t>AN ADVISORY BODY TO THE STATE BOARD</w:t>
      </w:r>
      <w:r w:rsidR="00B07B1C" w:rsidRPr="0056753F">
        <w:t xml:space="preserve"> </w:t>
      </w:r>
      <w:r w:rsidRPr="0056753F">
        <w:t>OF EDUCATION</w:t>
      </w:r>
    </w:p>
    <w:p w14:paraId="5066F006" w14:textId="675DDA61" w:rsidR="00F25CB0" w:rsidRPr="0056753F" w:rsidRDefault="00A625F2" w:rsidP="0020409D">
      <w:pPr>
        <w:pStyle w:val="Heading1"/>
        <w:jc w:val="center"/>
        <w:rPr>
          <w:rFonts w:cs="Arial"/>
          <w:szCs w:val="40"/>
        </w:rPr>
      </w:pPr>
      <w:r w:rsidRPr="0056753F">
        <w:rPr>
          <w:rFonts w:cs="Arial"/>
          <w:szCs w:val="40"/>
        </w:rPr>
        <w:t>April</w:t>
      </w:r>
      <w:r w:rsidR="00F25CB0" w:rsidRPr="0056753F">
        <w:rPr>
          <w:rFonts w:cs="Arial"/>
          <w:szCs w:val="40"/>
        </w:rPr>
        <w:t xml:space="preserve"> 20</w:t>
      </w:r>
      <w:r w:rsidRPr="0056753F">
        <w:rPr>
          <w:rFonts w:cs="Arial"/>
          <w:szCs w:val="40"/>
        </w:rPr>
        <w:t>25</w:t>
      </w:r>
      <w:r w:rsidR="00F25CB0" w:rsidRPr="0056753F">
        <w:rPr>
          <w:rFonts w:cs="Arial"/>
          <w:szCs w:val="40"/>
        </w:rPr>
        <w:t xml:space="preserve"> Agenda</w:t>
      </w:r>
      <w:r w:rsidR="00F25CB0" w:rsidRPr="0056753F">
        <w:rPr>
          <w:rFonts w:cs="Arial"/>
          <w:szCs w:val="40"/>
        </w:rPr>
        <w:br/>
        <w:t>Item #</w:t>
      </w:r>
      <w:r w:rsidR="00810A48">
        <w:rPr>
          <w:rFonts w:cs="Arial"/>
          <w:szCs w:val="40"/>
        </w:rPr>
        <w:t>03</w:t>
      </w:r>
    </w:p>
    <w:p w14:paraId="1812F378" w14:textId="77777777" w:rsidR="00F25CB0" w:rsidRPr="0056753F" w:rsidRDefault="00F25CB0" w:rsidP="0020409D">
      <w:pPr>
        <w:pStyle w:val="Heading2"/>
        <w:rPr>
          <w:rFonts w:cs="Arial"/>
          <w:i/>
          <w:szCs w:val="36"/>
        </w:rPr>
      </w:pPr>
      <w:bookmarkStart w:id="0" w:name="_Hlk70067050"/>
      <w:r w:rsidRPr="0056753F">
        <w:rPr>
          <w:rFonts w:cs="Arial"/>
          <w:szCs w:val="36"/>
        </w:rPr>
        <w:t>Subject</w:t>
      </w:r>
    </w:p>
    <w:bookmarkEnd w:id="0"/>
    <w:p w14:paraId="7ACE7FF0" w14:textId="64D0E33D" w:rsidR="00A625F2" w:rsidRPr="0056753F" w:rsidRDefault="00A625F2" w:rsidP="004C6CE4">
      <w:pPr>
        <w:rPr>
          <w:rFonts w:eastAsia="TimesNewRoman"/>
          <w:b/>
          <w:bCs/>
          <w:iCs/>
        </w:rPr>
      </w:pPr>
      <w:r w:rsidRPr="0056753F">
        <w:rPr>
          <w:rFonts w:eastAsia="TimesNewRoman"/>
        </w:rPr>
        <w:t xml:space="preserve">Academia Avance Charter: Consider Evidence Regarding a Notice of Violation Issued by the California State Board of Education, pursuant to California Education Code Section 47607(g), and </w:t>
      </w:r>
      <w:proofErr w:type="gramStart"/>
      <w:r w:rsidRPr="0056753F">
        <w:rPr>
          <w:rFonts w:eastAsia="TimesNewRoman"/>
        </w:rPr>
        <w:t>Propose</w:t>
      </w:r>
      <w:proofErr w:type="gramEnd"/>
      <w:r w:rsidRPr="0056753F">
        <w:rPr>
          <w:rFonts w:eastAsia="TimesNewRoman"/>
        </w:rPr>
        <w:t xml:space="preserve"> that the California State Board of Education Issue a Notice of Intent to Revoke with Notice of Facts, pursuant to California Education Code Section 47607(h).</w:t>
      </w:r>
    </w:p>
    <w:p w14:paraId="3548B8C5" w14:textId="5797EF91" w:rsidR="00F25CB0" w:rsidRPr="0056753F" w:rsidRDefault="00F25CB0" w:rsidP="0020409D">
      <w:pPr>
        <w:pStyle w:val="Heading2"/>
      </w:pPr>
      <w:r w:rsidRPr="0056753F">
        <w:t>Type of Action</w:t>
      </w:r>
    </w:p>
    <w:p w14:paraId="41E53D06" w14:textId="3CAA8615" w:rsidR="00F25CB0" w:rsidRPr="0056753F" w:rsidRDefault="00F25CB0" w:rsidP="0020409D">
      <w:pPr>
        <w:spacing w:before="240"/>
      </w:pPr>
      <w:r w:rsidRPr="0056753F">
        <w:t>Action, Information</w:t>
      </w:r>
    </w:p>
    <w:p w14:paraId="1262F8C2" w14:textId="77777777" w:rsidR="00C5541C" w:rsidRPr="0056753F" w:rsidRDefault="00C5541C" w:rsidP="00C5541C">
      <w:pPr>
        <w:pStyle w:val="Heading2"/>
      </w:pPr>
      <w:r w:rsidRPr="0056753F">
        <w:t>Summary of the Issue</w:t>
      </w:r>
    </w:p>
    <w:p w14:paraId="3B64C416" w14:textId="77777777" w:rsidR="00A625F2" w:rsidRPr="0056753F" w:rsidRDefault="00A625F2" w:rsidP="004C6CE4">
      <w:pPr>
        <w:rPr>
          <w:b/>
          <w:bCs/>
          <w:iCs/>
        </w:rPr>
      </w:pPr>
      <w:r w:rsidRPr="0056753F">
        <w:t>California Education Code (</w:t>
      </w:r>
      <w:r w:rsidRPr="0056753F">
        <w:rPr>
          <w:i/>
        </w:rPr>
        <w:t>EC</w:t>
      </w:r>
      <w:r w:rsidRPr="0056753F">
        <w:t>) Section 47607(f) states that a charter may be revoked by the authority that granted the charter if the authority finds, through a showing of substantial evidence, that the charter school did any of the following:</w:t>
      </w:r>
    </w:p>
    <w:p w14:paraId="23C36286" w14:textId="4FD71BEE" w:rsidR="00A625F2" w:rsidRPr="0056753F" w:rsidRDefault="00A625F2" w:rsidP="004C6CE4">
      <w:pPr>
        <w:rPr>
          <w:b/>
          <w:bCs/>
          <w:iCs/>
        </w:rPr>
      </w:pPr>
      <w:r w:rsidRPr="0056753F">
        <w:t>(1) Committed a material violation of any of the conditions, standards, or procedures set forth in the charter.</w:t>
      </w:r>
    </w:p>
    <w:p w14:paraId="19A7830D" w14:textId="29884BBB" w:rsidR="00A625F2" w:rsidRPr="0056753F" w:rsidRDefault="00A625F2" w:rsidP="004C6CE4">
      <w:pPr>
        <w:rPr>
          <w:b/>
          <w:bCs/>
          <w:iCs/>
        </w:rPr>
      </w:pPr>
      <w:r w:rsidRPr="0056753F">
        <w:t>(2) Failed to meet or pursue any of the pupil outcomes identified in the charter.</w:t>
      </w:r>
    </w:p>
    <w:p w14:paraId="4A5B516E" w14:textId="15072C3A" w:rsidR="00A625F2" w:rsidRPr="0056753F" w:rsidRDefault="00A625F2" w:rsidP="004C6CE4">
      <w:pPr>
        <w:rPr>
          <w:b/>
          <w:bCs/>
          <w:iCs/>
        </w:rPr>
      </w:pPr>
      <w:r w:rsidRPr="0056753F">
        <w:t>(3) Failed to meet generally accepted accounting principles or engaged in fiscal mismanagement.</w:t>
      </w:r>
    </w:p>
    <w:p w14:paraId="2C4FBC48" w14:textId="5EB72B81" w:rsidR="00A625F2" w:rsidRPr="0056753F" w:rsidRDefault="00A625F2" w:rsidP="004C6CE4">
      <w:pPr>
        <w:rPr>
          <w:b/>
          <w:bCs/>
          <w:iCs/>
        </w:rPr>
      </w:pPr>
      <w:r w:rsidRPr="0056753F">
        <w:t>(4) Violated any provision of the law.</w:t>
      </w:r>
    </w:p>
    <w:p w14:paraId="09F6EF66" w14:textId="734EC9A1" w:rsidR="00A625F2" w:rsidRPr="0056753F" w:rsidRDefault="00A625F2" w:rsidP="004C6CE4">
      <w:pPr>
        <w:rPr>
          <w:b/>
          <w:bCs/>
          <w:iCs/>
        </w:rPr>
      </w:pPr>
      <w:r w:rsidRPr="0056753F">
        <w:t xml:space="preserve">The California Department of Education (CDE) </w:t>
      </w:r>
      <w:r w:rsidR="00D97D4C" w:rsidRPr="0056753F">
        <w:t xml:space="preserve">proposes </w:t>
      </w:r>
      <w:r w:rsidRPr="0056753F">
        <w:t>there is substantial evidence that Academia Avance Charter (</w:t>
      </w:r>
      <w:r w:rsidR="00D84713" w:rsidRPr="0056753F">
        <w:t>Academia Avance</w:t>
      </w:r>
      <w:r w:rsidRPr="0056753F">
        <w:t xml:space="preserve">), a California State Board of Education (SBE)-authorized charter school, engaged in fiscal mismanagement, pursuant to </w:t>
      </w:r>
      <w:r w:rsidRPr="0056753F">
        <w:rPr>
          <w:i/>
        </w:rPr>
        <w:t>EC</w:t>
      </w:r>
      <w:r w:rsidRPr="0056753F">
        <w:t xml:space="preserve"> Section 47607(f)(3).</w:t>
      </w:r>
    </w:p>
    <w:p w14:paraId="614ADC57" w14:textId="362E45F9" w:rsidR="00A625F2" w:rsidRPr="0056753F" w:rsidRDefault="00A625F2" w:rsidP="004C6CE4">
      <w:pPr>
        <w:rPr>
          <w:b/>
          <w:bCs/>
          <w:iCs/>
        </w:rPr>
      </w:pPr>
      <w:r w:rsidRPr="0056753F">
        <w:t xml:space="preserve">Pursuant to </w:t>
      </w:r>
      <w:r w:rsidRPr="0056753F">
        <w:rPr>
          <w:i/>
        </w:rPr>
        <w:t>EC</w:t>
      </w:r>
      <w:r w:rsidRPr="0056753F">
        <w:t xml:space="preserve"> Section 47607(g), the authority that granted the charter petition shall notify the charter school of any violation and provide the </w:t>
      </w:r>
      <w:proofErr w:type="gramStart"/>
      <w:r w:rsidRPr="0056753F">
        <w:t>school</w:t>
      </w:r>
      <w:proofErr w:type="gramEnd"/>
      <w:r w:rsidRPr="0056753F">
        <w:t xml:space="preserve"> a reasonable opportunity to remedy the violation. On March 5, 2025, the SBE issued a Notice of Violation (Attachment </w:t>
      </w:r>
      <w:r w:rsidR="00F01E78" w:rsidRPr="0056753F">
        <w:t>1</w:t>
      </w:r>
      <w:r w:rsidRPr="0056753F">
        <w:t xml:space="preserve">) to </w:t>
      </w:r>
      <w:r w:rsidR="002141E4" w:rsidRPr="0056753F">
        <w:t xml:space="preserve">Academia Avance </w:t>
      </w:r>
      <w:r w:rsidRPr="0056753F">
        <w:t xml:space="preserve">and provided </w:t>
      </w:r>
      <w:r w:rsidR="002141E4" w:rsidRPr="0056753F">
        <w:t xml:space="preserve">Academia Avance with a </w:t>
      </w:r>
      <w:r w:rsidRPr="0056753F">
        <w:lastRenderedPageBreak/>
        <w:t xml:space="preserve">reasonable opportunity to remedy the violation, pursuant to </w:t>
      </w:r>
      <w:r w:rsidRPr="0056753F">
        <w:rPr>
          <w:i/>
        </w:rPr>
        <w:t>EC</w:t>
      </w:r>
      <w:r w:rsidRPr="0056753F">
        <w:t xml:space="preserve"> Section 47607(g). </w:t>
      </w:r>
      <w:r w:rsidR="002141E4" w:rsidRPr="0056753F">
        <w:t xml:space="preserve">Academia Avance </w:t>
      </w:r>
      <w:r w:rsidRPr="0056753F">
        <w:t>was required to provide a written response and supporting evidence that addressed all violations outlined in the notice by March 13, 2025.</w:t>
      </w:r>
    </w:p>
    <w:p w14:paraId="4D386809" w14:textId="79FC2987" w:rsidR="00A625F2" w:rsidRPr="0056753F" w:rsidRDefault="00A625F2" w:rsidP="004C6CE4">
      <w:pPr>
        <w:rPr>
          <w:b/>
          <w:bCs/>
          <w:iCs/>
        </w:rPr>
      </w:pPr>
      <w:r w:rsidRPr="0056753F">
        <w:t>On March 13, 2025</w:t>
      </w:r>
      <w:r w:rsidR="00F01E78" w:rsidRPr="0056753F">
        <w:t xml:space="preserve">, </w:t>
      </w:r>
      <w:r w:rsidR="00BA7ABB" w:rsidRPr="0056753F">
        <w:t>Academia Avanc</w:t>
      </w:r>
      <w:r w:rsidR="00F01E78" w:rsidRPr="0056753F">
        <w:t>e submitted its Response to the Notice of Violation (Attachment 2)</w:t>
      </w:r>
      <w:r w:rsidR="00940EBB">
        <w:t>.</w:t>
      </w:r>
    </w:p>
    <w:p w14:paraId="35040FD7" w14:textId="41FE20AD" w:rsidR="005A7708" w:rsidRPr="0056753F" w:rsidRDefault="00C5541C" w:rsidP="00A625F2">
      <w:pPr>
        <w:pStyle w:val="Heading2"/>
        <w:rPr>
          <w:i/>
          <w:iCs w:val="0"/>
        </w:rPr>
      </w:pPr>
      <w:r w:rsidRPr="0056753F">
        <w:rPr>
          <w:iCs w:val="0"/>
        </w:rPr>
        <w:t xml:space="preserve">Proposed </w:t>
      </w:r>
      <w:r w:rsidR="005A7708" w:rsidRPr="0056753F">
        <w:rPr>
          <w:iCs w:val="0"/>
        </w:rPr>
        <w:t>Recommendation</w:t>
      </w:r>
    </w:p>
    <w:p w14:paraId="182076EF" w14:textId="45560E61" w:rsidR="00344504" w:rsidRPr="0056753F" w:rsidRDefault="00A625F2" w:rsidP="00344504">
      <w:pPr>
        <w:rPr>
          <w:rFonts w:cs="Arial"/>
          <w:b/>
          <w:bCs/>
          <w:iCs/>
        </w:rPr>
      </w:pPr>
      <w:bookmarkStart w:id="1" w:name="Text31"/>
      <w:r w:rsidRPr="0056753F">
        <w:rPr>
          <w:rFonts w:cs="Arial"/>
        </w:rPr>
        <w:t xml:space="preserve">As </w:t>
      </w:r>
      <w:r w:rsidR="00B45410" w:rsidRPr="0056753F">
        <w:rPr>
          <w:rFonts w:cs="Arial"/>
        </w:rPr>
        <w:t xml:space="preserve">Academia Avance </w:t>
      </w:r>
      <w:r w:rsidRPr="0056753F">
        <w:rPr>
          <w:rFonts w:cs="Arial"/>
        </w:rPr>
        <w:t>has failed to adequately refute, remedy, or propose to remedy the violations described in the Notice of Violation</w:t>
      </w:r>
      <w:r w:rsidR="00976296" w:rsidRPr="0056753F">
        <w:rPr>
          <w:rFonts w:cs="Arial"/>
        </w:rPr>
        <w:t xml:space="preserve"> issued by the SBE on March 5, 2025</w:t>
      </w:r>
      <w:r w:rsidRPr="0056753F">
        <w:rPr>
          <w:rFonts w:cs="Arial"/>
        </w:rPr>
        <w:t xml:space="preserve">, the CDE proposes to recommend the SBE issue a Notice of Intent to Revoke with Notice of Facts to </w:t>
      </w:r>
      <w:r w:rsidR="00B45410" w:rsidRPr="0056753F">
        <w:rPr>
          <w:rFonts w:cs="Arial"/>
        </w:rPr>
        <w:t>Academia Avance</w:t>
      </w:r>
      <w:r w:rsidRPr="0056753F">
        <w:rPr>
          <w:rFonts w:cs="Arial"/>
        </w:rPr>
        <w:t xml:space="preserve">, pursuant to </w:t>
      </w:r>
      <w:r w:rsidRPr="0056753F">
        <w:rPr>
          <w:rFonts w:cs="Arial"/>
          <w:i/>
        </w:rPr>
        <w:t xml:space="preserve">EC </w:t>
      </w:r>
      <w:r w:rsidRPr="0056753F">
        <w:rPr>
          <w:rFonts w:cs="Arial"/>
        </w:rPr>
        <w:t>Section 47607(h), at its May 7</w:t>
      </w:r>
      <w:r w:rsidR="005848B0" w:rsidRPr="0056753F">
        <w:rPr>
          <w:rFonts w:eastAsia="Arial" w:cs="Arial"/>
          <w:lang w:bidi="en-US"/>
        </w:rPr>
        <w:t>–</w:t>
      </w:r>
      <w:r w:rsidRPr="0056753F">
        <w:rPr>
          <w:rFonts w:cs="Arial"/>
        </w:rPr>
        <w:t xml:space="preserve">8, 2025, meeting. The CDE provides substantial evidence that </w:t>
      </w:r>
      <w:r w:rsidR="005848B0" w:rsidRPr="0056753F">
        <w:rPr>
          <w:rFonts w:cs="Arial"/>
        </w:rPr>
        <w:t xml:space="preserve">Academia Avance </w:t>
      </w:r>
      <w:r w:rsidRPr="0056753F">
        <w:rPr>
          <w:rFonts w:cs="Arial"/>
        </w:rPr>
        <w:t xml:space="preserve">has committed </w:t>
      </w:r>
      <w:r w:rsidR="005848B0" w:rsidRPr="0056753F">
        <w:rPr>
          <w:rFonts w:cs="Arial"/>
        </w:rPr>
        <w:t>f</w:t>
      </w:r>
      <w:r w:rsidRPr="0056753F">
        <w:rPr>
          <w:rFonts w:cs="Arial"/>
        </w:rPr>
        <w:t>iscal mismanagement</w:t>
      </w:r>
      <w:r w:rsidR="00987331" w:rsidRPr="0056753F">
        <w:rPr>
          <w:rFonts w:cs="Arial"/>
        </w:rPr>
        <w:t xml:space="preserve"> pursuant to </w:t>
      </w:r>
      <w:r w:rsidRPr="0056753F">
        <w:rPr>
          <w:rFonts w:cs="Arial"/>
          <w:i/>
        </w:rPr>
        <w:t>EC</w:t>
      </w:r>
      <w:r w:rsidRPr="0056753F">
        <w:rPr>
          <w:rFonts w:cs="Arial"/>
        </w:rPr>
        <w:t xml:space="preserve"> Section 47607</w:t>
      </w:r>
      <w:r w:rsidR="00987331" w:rsidRPr="0056753F">
        <w:rPr>
          <w:rFonts w:cs="Arial"/>
        </w:rPr>
        <w:t>(f)(3).</w:t>
      </w:r>
    </w:p>
    <w:p w14:paraId="307F6A3E" w14:textId="692E444C" w:rsidR="00344504" w:rsidRPr="00863DE7" w:rsidRDefault="00344504" w:rsidP="00344504">
      <w:pPr>
        <w:pStyle w:val="Heading2"/>
        <w:rPr>
          <w:i/>
          <w:iCs w:val="0"/>
        </w:rPr>
      </w:pPr>
      <w:r w:rsidRPr="00863DE7">
        <w:rPr>
          <w:iCs w:val="0"/>
        </w:rPr>
        <w:t>Background</w:t>
      </w:r>
    </w:p>
    <w:p w14:paraId="3DDF8ACB" w14:textId="43DC54C7" w:rsidR="00863DE7" w:rsidRDefault="00976CAC" w:rsidP="00863DE7">
      <w:r w:rsidRPr="006F37EA">
        <w:t xml:space="preserve">Academia Avance </w:t>
      </w:r>
      <w:r w:rsidR="00A625F2" w:rsidRPr="006F37EA">
        <w:t xml:space="preserve">currently operates under the authorization of the SBE, with oversight duties delegated to the CDE. </w:t>
      </w:r>
      <w:r w:rsidR="000766D9" w:rsidRPr="006F37EA">
        <w:t>Academia Avance’s</w:t>
      </w:r>
      <w:r w:rsidR="00A625F2" w:rsidRPr="006F37EA">
        <w:t xml:space="preserve"> current charter term ends June 30, 2028. </w:t>
      </w:r>
      <w:r w:rsidR="00863DE7">
        <w:t xml:space="preserve">   </w:t>
      </w:r>
    </w:p>
    <w:p w14:paraId="20CF9BBD" w14:textId="579658F5" w:rsidR="00863DE7" w:rsidRDefault="000766D9" w:rsidP="00863DE7">
      <w:r w:rsidRPr="006F37EA">
        <w:t xml:space="preserve">Academia Avance </w:t>
      </w:r>
      <w:r w:rsidR="00A625F2" w:rsidRPr="006F37EA">
        <w:t xml:space="preserve">offers a classroom-based program serving approximately 200 students in grades six through twelve. </w:t>
      </w:r>
      <w:r w:rsidRPr="006F37EA">
        <w:t xml:space="preserve">Academia Avance </w:t>
      </w:r>
      <w:r w:rsidR="00A625F2" w:rsidRPr="006F37EA">
        <w:t xml:space="preserve">opened during the 2005–06 school year and </w:t>
      </w:r>
      <w:proofErr w:type="gramStart"/>
      <w:r w:rsidR="00A625F2" w:rsidRPr="006F37EA">
        <w:t xml:space="preserve">is </w:t>
      </w:r>
      <w:r w:rsidR="003930DC">
        <w:t>l</w:t>
      </w:r>
      <w:r w:rsidR="00A625F2" w:rsidRPr="006F37EA">
        <w:t>ocated in</w:t>
      </w:r>
      <w:proofErr w:type="gramEnd"/>
      <w:r w:rsidR="00A625F2" w:rsidRPr="006F37EA">
        <w:t xml:space="preserve"> Los Angeles. </w:t>
      </w:r>
      <w:r w:rsidRPr="006F37EA">
        <w:t xml:space="preserve">Academia Avance </w:t>
      </w:r>
      <w:r w:rsidR="00A625F2" w:rsidRPr="006F37EA">
        <w:t xml:space="preserve">previously operated </w:t>
      </w:r>
      <w:r w:rsidR="00357EE3" w:rsidRPr="006F37EA">
        <w:t>multiple</w:t>
      </w:r>
      <w:r w:rsidR="00A625F2" w:rsidRPr="006F37EA">
        <w:t xml:space="preserve"> sites but consolidated into a single site as part of addressing declining </w:t>
      </w:r>
      <w:r w:rsidR="00357EE3" w:rsidRPr="006F37EA">
        <w:t xml:space="preserve">enrollment and </w:t>
      </w:r>
      <w:r w:rsidR="00A625F2" w:rsidRPr="006F37EA">
        <w:t xml:space="preserve">revenue. </w:t>
      </w:r>
      <w:r w:rsidR="00863DE7">
        <w:t xml:space="preserve">     </w:t>
      </w:r>
    </w:p>
    <w:p w14:paraId="546EBCC2" w14:textId="4841D686" w:rsidR="00A625F2" w:rsidRPr="006F37EA" w:rsidRDefault="00A625F2" w:rsidP="00863DE7">
      <w:r w:rsidRPr="006F37EA">
        <w:t xml:space="preserve">The following table summarizes </w:t>
      </w:r>
      <w:r w:rsidR="00357EE3" w:rsidRPr="006F37EA">
        <w:t>Academia Avance</w:t>
      </w:r>
      <w:r w:rsidRPr="006F37EA">
        <w:t>’s history with the Los Angeles Unified School District (</w:t>
      </w:r>
      <w:r w:rsidR="00512049" w:rsidRPr="006F37EA">
        <w:t>LAUSD</w:t>
      </w:r>
      <w:r w:rsidRPr="006F37EA">
        <w:t>), the Los Angeles County Office of Education (</w:t>
      </w:r>
      <w:r w:rsidR="00512049" w:rsidRPr="006F37EA">
        <w:t>LACOE</w:t>
      </w:r>
      <w:r w:rsidRPr="006F37EA">
        <w:t xml:space="preserve">), and the SBE, including the establishment of </w:t>
      </w:r>
      <w:r w:rsidR="00357EE3" w:rsidRPr="006F37EA">
        <w:t>Academia Avance</w:t>
      </w:r>
      <w:r w:rsidRPr="006F37EA">
        <w:t>, renewal petitions granted and denied, and recent letters of concern.</w:t>
      </w:r>
    </w:p>
    <w:p w14:paraId="081FB0E2" w14:textId="77777777" w:rsidR="00B93FE9" w:rsidRPr="00F418F9" w:rsidRDefault="00B93FE9">
      <w:pPr>
        <w:spacing w:after="0"/>
        <w:rPr>
          <w:rFonts w:cs="Arial"/>
          <w:i/>
          <w:iCs/>
        </w:rPr>
      </w:pPr>
      <w:r w:rsidRPr="00F418F9">
        <w:br w:type="page"/>
      </w:r>
    </w:p>
    <w:p w14:paraId="7F89D431" w14:textId="18296BF7" w:rsidR="00A625F2" w:rsidRPr="00863DE7" w:rsidRDefault="00A625F2" w:rsidP="00863DE7">
      <w:pPr>
        <w:pStyle w:val="Heading3"/>
      </w:pPr>
      <w:r w:rsidRPr="00863DE7">
        <w:lastRenderedPageBreak/>
        <w:t xml:space="preserve">Table. History of </w:t>
      </w:r>
      <w:r w:rsidR="00357EE3" w:rsidRPr="00863DE7">
        <w:t>Academia Avance</w:t>
      </w:r>
    </w:p>
    <w:tbl>
      <w:tblPr>
        <w:tblStyle w:val="TableGrid1"/>
        <w:tblW w:w="0" w:type="auto"/>
        <w:tblLook w:val="04A0" w:firstRow="1" w:lastRow="0" w:firstColumn="1" w:lastColumn="0" w:noHBand="0" w:noVBand="1"/>
        <w:tblDescription w:val="Academia Avance Establishment and Renewal History"/>
      </w:tblPr>
      <w:tblGrid>
        <w:gridCol w:w="1635"/>
        <w:gridCol w:w="7715"/>
      </w:tblGrid>
      <w:tr w:rsidR="0056753F" w:rsidRPr="0056753F" w14:paraId="3507DABB" w14:textId="77777777" w:rsidTr="00A625F2">
        <w:trPr>
          <w:cantSplit/>
          <w:trHeight w:val="576"/>
          <w:tblHeader/>
        </w:trPr>
        <w:tc>
          <w:tcPr>
            <w:tcW w:w="1635" w:type="dxa"/>
            <w:shd w:val="clear" w:color="auto" w:fill="D9D9D9"/>
            <w:vAlign w:val="center"/>
          </w:tcPr>
          <w:p w14:paraId="465FD7C6" w14:textId="77777777" w:rsidR="00A625F2" w:rsidRPr="0056753F" w:rsidRDefault="00A625F2" w:rsidP="00A625F2">
            <w:pPr>
              <w:spacing w:after="0"/>
              <w:jc w:val="center"/>
              <w:rPr>
                <w:rFonts w:cs="Arial"/>
                <w:b/>
                <w:bCs/>
              </w:rPr>
            </w:pPr>
            <w:r w:rsidRPr="0056753F">
              <w:rPr>
                <w:rFonts w:cs="Arial"/>
                <w:b/>
                <w:bCs/>
              </w:rPr>
              <w:t>Date</w:t>
            </w:r>
          </w:p>
        </w:tc>
        <w:tc>
          <w:tcPr>
            <w:tcW w:w="7715" w:type="dxa"/>
            <w:shd w:val="clear" w:color="auto" w:fill="D9D9D9"/>
            <w:vAlign w:val="center"/>
          </w:tcPr>
          <w:p w14:paraId="65E59EBE" w14:textId="77777777" w:rsidR="00A625F2" w:rsidRPr="0056753F" w:rsidRDefault="00A625F2" w:rsidP="00A625F2">
            <w:pPr>
              <w:spacing w:after="0"/>
              <w:jc w:val="center"/>
              <w:rPr>
                <w:rFonts w:cs="Arial"/>
                <w:b/>
                <w:bCs/>
              </w:rPr>
            </w:pPr>
            <w:r w:rsidRPr="0056753F">
              <w:rPr>
                <w:rFonts w:cs="Arial"/>
                <w:b/>
                <w:bCs/>
              </w:rPr>
              <w:t>Action</w:t>
            </w:r>
          </w:p>
        </w:tc>
      </w:tr>
      <w:tr w:rsidR="0056753F" w:rsidRPr="0056753F" w14:paraId="7D1F68E8" w14:textId="77777777" w:rsidTr="008736E3">
        <w:trPr>
          <w:cantSplit/>
          <w:trHeight w:val="330"/>
        </w:trPr>
        <w:tc>
          <w:tcPr>
            <w:tcW w:w="1635" w:type="dxa"/>
            <w:vAlign w:val="center"/>
            <w:hideMark/>
          </w:tcPr>
          <w:p w14:paraId="095F0D81" w14:textId="77777777" w:rsidR="00A625F2" w:rsidRPr="0056753F" w:rsidRDefault="00A625F2" w:rsidP="00A625F2">
            <w:pPr>
              <w:spacing w:after="0"/>
              <w:rPr>
                <w:rFonts w:cs="Arial"/>
              </w:rPr>
            </w:pPr>
            <w:r w:rsidRPr="0056753F">
              <w:rPr>
                <w:rFonts w:cs="Arial"/>
              </w:rPr>
              <w:t>2005/05/24</w:t>
            </w:r>
          </w:p>
        </w:tc>
        <w:tc>
          <w:tcPr>
            <w:tcW w:w="7715" w:type="dxa"/>
            <w:vAlign w:val="center"/>
            <w:hideMark/>
          </w:tcPr>
          <w:p w14:paraId="1E95D1FA" w14:textId="4D9B35DE" w:rsidR="00A625F2" w:rsidRPr="0056753F" w:rsidRDefault="00512049" w:rsidP="00A625F2">
            <w:pPr>
              <w:spacing w:after="0"/>
              <w:rPr>
                <w:rFonts w:cs="Arial"/>
              </w:rPr>
            </w:pPr>
            <w:r w:rsidRPr="0056753F">
              <w:rPr>
                <w:rFonts w:cs="Arial"/>
              </w:rPr>
              <w:t>LAUSD</w:t>
            </w:r>
            <w:r w:rsidR="00A625F2" w:rsidRPr="0056753F">
              <w:rPr>
                <w:rFonts w:cs="Arial"/>
              </w:rPr>
              <w:t xml:space="preserve"> granted the petition to establish </w:t>
            </w:r>
            <w:r w:rsidRPr="0056753F">
              <w:t>Academia Avance</w:t>
            </w:r>
            <w:r w:rsidR="00FD3EE2">
              <w:t>.</w:t>
            </w:r>
          </w:p>
          <w:p w14:paraId="74A51B90" w14:textId="77777777" w:rsidR="00A625F2" w:rsidRPr="0056753F" w:rsidRDefault="00A625F2" w:rsidP="00A625F2">
            <w:pPr>
              <w:spacing w:after="0"/>
              <w:rPr>
                <w:rFonts w:cs="Arial"/>
              </w:rPr>
            </w:pPr>
          </w:p>
        </w:tc>
      </w:tr>
      <w:tr w:rsidR="0056753F" w:rsidRPr="0056753F" w14:paraId="494DF620" w14:textId="77777777" w:rsidTr="008736E3">
        <w:trPr>
          <w:cantSplit/>
          <w:trHeight w:val="330"/>
        </w:trPr>
        <w:tc>
          <w:tcPr>
            <w:tcW w:w="1635" w:type="dxa"/>
            <w:vAlign w:val="center"/>
            <w:hideMark/>
          </w:tcPr>
          <w:p w14:paraId="39088764" w14:textId="77777777" w:rsidR="00A625F2" w:rsidRPr="0056753F" w:rsidRDefault="00A625F2" w:rsidP="00A625F2">
            <w:pPr>
              <w:spacing w:after="0"/>
              <w:rPr>
                <w:rFonts w:cs="Arial"/>
              </w:rPr>
            </w:pPr>
            <w:r w:rsidRPr="0056753F">
              <w:rPr>
                <w:rFonts w:cs="Arial"/>
              </w:rPr>
              <w:t>2005/09/30</w:t>
            </w:r>
          </w:p>
        </w:tc>
        <w:tc>
          <w:tcPr>
            <w:tcW w:w="7715" w:type="dxa"/>
            <w:vAlign w:val="center"/>
            <w:hideMark/>
          </w:tcPr>
          <w:p w14:paraId="173ECB97" w14:textId="35A2C199" w:rsidR="00A625F2" w:rsidRPr="0056753F" w:rsidRDefault="00512049" w:rsidP="00A625F2">
            <w:pPr>
              <w:spacing w:after="0"/>
              <w:rPr>
                <w:rFonts w:cs="Arial"/>
              </w:rPr>
            </w:pPr>
            <w:r w:rsidRPr="0056753F">
              <w:t>Academia Avance</w:t>
            </w:r>
            <w:r w:rsidRPr="0056753F">
              <w:rPr>
                <w:rFonts w:cs="Arial"/>
              </w:rPr>
              <w:t xml:space="preserve"> </w:t>
            </w:r>
            <w:r w:rsidR="00A625F2" w:rsidRPr="0056753F">
              <w:rPr>
                <w:rFonts w:cs="Arial"/>
              </w:rPr>
              <w:t>opened.</w:t>
            </w:r>
          </w:p>
          <w:p w14:paraId="5F15258A" w14:textId="77777777" w:rsidR="00A625F2" w:rsidRPr="0056753F" w:rsidRDefault="00A625F2" w:rsidP="00A625F2">
            <w:pPr>
              <w:spacing w:after="0"/>
              <w:rPr>
                <w:rFonts w:cs="Arial"/>
              </w:rPr>
            </w:pPr>
          </w:p>
        </w:tc>
      </w:tr>
      <w:tr w:rsidR="0056753F" w:rsidRPr="0056753F" w14:paraId="4FE8C8F6" w14:textId="77777777" w:rsidTr="008736E3">
        <w:trPr>
          <w:cantSplit/>
          <w:trHeight w:val="330"/>
        </w:trPr>
        <w:tc>
          <w:tcPr>
            <w:tcW w:w="1635" w:type="dxa"/>
            <w:vAlign w:val="center"/>
            <w:hideMark/>
          </w:tcPr>
          <w:p w14:paraId="4EE7FF0B" w14:textId="77777777" w:rsidR="00A625F2" w:rsidRPr="0056753F" w:rsidRDefault="00A625F2" w:rsidP="00A625F2">
            <w:pPr>
              <w:spacing w:after="0"/>
              <w:rPr>
                <w:rFonts w:cs="Arial"/>
              </w:rPr>
            </w:pPr>
            <w:r w:rsidRPr="0056753F">
              <w:rPr>
                <w:rFonts w:cs="Arial"/>
              </w:rPr>
              <w:t>2010/05/18</w:t>
            </w:r>
          </w:p>
        </w:tc>
        <w:tc>
          <w:tcPr>
            <w:tcW w:w="7715" w:type="dxa"/>
            <w:vAlign w:val="center"/>
            <w:hideMark/>
          </w:tcPr>
          <w:p w14:paraId="35302589" w14:textId="0F54DA6B" w:rsidR="00A625F2" w:rsidRPr="0056753F" w:rsidRDefault="00512049" w:rsidP="00A625F2">
            <w:pPr>
              <w:spacing w:after="0"/>
              <w:rPr>
                <w:rFonts w:cs="Arial"/>
              </w:rPr>
            </w:pPr>
            <w:r w:rsidRPr="0056753F">
              <w:rPr>
                <w:rFonts w:cs="Arial"/>
              </w:rPr>
              <w:t>LAUSD</w:t>
            </w:r>
            <w:r w:rsidR="00A625F2" w:rsidRPr="0056753F">
              <w:rPr>
                <w:rFonts w:cs="Arial"/>
              </w:rPr>
              <w:t xml:space="preserve"> denied the renewal petition, and </w:t>
            </w:r>
            <w:r w:rsidR="00566383" w:rsidRPr="0056753F">
              <w:t>Academia Avance</w:t>
            </w:r>
            <w:r w:rsidR="00566383" w:rsidRPr="0056753F">
              <w:rPr>
                <w:rFonts w:cs="Arial"/>
              </w:rPr>
              <w:t xml:space="preserve"> </w:t>
            </w:r>
            <w:r w:rsidR="00A625F2" w:rsidRPr="0056753F">
              <w:rPr>
                <w:rFonts w:cs="Arial"/>
              </w:rPr>
              <w:t xml:space="preserve">appealed to </w:t>
            </w:r>
            <w:r w:rsidR="00566383" w:rsidRPr="0056753F">
              <w:rPr>
                <w:rFonts w:cs="Arial"/>
              </w:rPr>
              <w:t>LACOE</w:t>
            </w:r>
            <w:r w:rsidR="00A625F2" w:rsidRPr="0056753F">
              <w:rPr>
                <w:rFonts w:cs="Arial"/>
              </w:rPr>
              <w:t>.</w:t>
            </w:r>
          </w:p>
          <w:p w14:paraId="131CB8C3" w14:textId="77777777" w:rsidR="00A625F2" w:rsidRPr="0056753F" w:rsidRDefault="00A625F2" w:rsidP="00A625F2">
            <w:pPr>
              <w:spacing w:after="0"/>
              <w:rPr>
                <w:rFonts w:cs="Arial"/>
              </w:rPr>
            </w:pPr>
          </w:p>
        </w:tc>
      </w:tr>
      <w:tr w:rsidR="0056753F" w:rsidRPr="0056753F" w14:paraId="69ED54B4" w14:textId="77777777" w:rsidTr="008736E3">
        <w:trPr>
          <w:cantSplit/>
          <w:trHeight w:val="330"/>
        </w:trPr>
        <w:tc>
          <w:tcPr>
            <w:tcW w:w="1635" w:type="dxa"/>
            <w:vAlign w:val="center"/>
            <w:hideMark/>
          </w:tcPr>
          <w:p w14:paraId="30726115" w14:textId="77777777" w:rsidR="00A625F2" w:rsidRPr="0056753F" w:rsidRDefault="00A625F2" w:rsidP="00A625F2">
            <w:pPr>
              <w:spacing w:after="0"/>
              <w:rPr>
                <w:rFonts w:cs="Arial"/>
              </w:rPr>
            </w:pPr>
            <w:r w:rsidRPr="0056753F">
              <w:rPr>
                <w:rFonts w:cs="Arial"/>
              </w:rPr>
              <w:t>2010/08/17</w:t>
            </w:r>
          </w:p>
        </w:tc>
        <w:tc>
          <w:tcPr>
            <w:tcW w:w="7715" w:type="dxa"/>
            <w:vAlign w:val="center"/>
            <w:hideMark/>
          </w:tcPr>
          <w:p w14:paraId="2F0322B2" w14:textId="3CB15525" w:rsidR="00A625F2" w:rsidRPr="0056753F" w:rsidRDefault="00566383" w:rsidP="00A625F2">
            <w:pPr>
              <w:spacing w:after="0"/>
              <w:rPr>
                <w:rFonts w:cs="Arial"/>
              </w:rPr>
            </w:pPr>
            <w:r w:rsidRPr="0056753F">
              <w:rPr>
                <w:rFonts w:cs="Arial"/>
              </w:rPr>
              <w:t>LACOE</w:t>
            </w:r>
            <w:r w:rsidR="00A625F2" w:rsidRPr="0056753F">
              <w:rPr>
                <w:rFonts w:cs="Arial"/>
              </w:rPr>
              <w:t xml:space="preserve"> granted the renewal petition and became the chartering authority of </w:t>
            </w:r>
            <w:r w:rsidRPr="0056753F">
              <w:t>Academia Avance</w:t>
            </w:r>
            <w:r w:rsidR="00A625F2" w:rsidRPr="0056753F">
              <w:rPr>
                <w:rFonts w:cs="Arial"/>
              </w:rPr>
              <w:t>.</w:t>
            </w:r>
          </w:p>
          <w:p w14:paraId="2656C5C1" w14:textId="77777777" w:rsidR="00A625F2" w:rsidRPr="0056753F" w:rsidRDefault="00A625F2" w:rsidP="00A625F2">
            <w:pPr>
              <w:spacing w:after="0"/>
              <w:rPr>
                <w:rFonts w:cs="Arial"/>
              </w:rPr>
            </w:pPr>
          </w:p>
        </w:tc>
      </w:tr>
      <w:tr w:rsidR="0056753F" w:rsidRPr="0056753F" w14:paraId="0ABB3AFC" w14:textId="77777777" w:rsidTr="008736E3">
        <w:trPr>
          <w:cantSplit/>
          <w:trHeight w:val="330"/>
        </w:trPr>
        <w:tc>
          <w:tcPr>
            <w:tcW w:w="1635" w:type="dxa"/>
            <w:vAlign w:val="center"/>
            <w:hideMark/>
          </w:tcPr>
          <w:p w14:paraId="50D76431" w14:textId="55690AF1" w:rsidR="00A625F2" w:rsidRPr="0056753F" w:rsidRDefault="00A625F2" w:rsidP="00A625F2">
            <w:pPr>
              <w:spacing w:after="0"/>
              <w:rPr>
                <w:rFonts w:cs="Arial"/>
              </w:rPr>
            </w:pPr>
            <w:r w:rsidRPr="0056753F">
              <w:rPr>
                <w:rFonts w:cs="Arial"/>
              </w:rPr>
              <w:t>2015/</w:t>
            </w:r>
            <w:r w:rsidR="006F3351">
              <w:rPr>
                <w:rFonts w:cs="Arial"/>
              </w:rPr>
              <w:t>01/30</w:t>
            </w:r>
          </w:p>
        </w:tc>
        <w:tc>
          <w:tcPr>
            <w:tcW w:w="7715" w:type="dxa"/>
            <w:vAlign w:val="center"/>
            <w:hideMark/>
          </w:tcPr>
          <w:p w14:paraId="722B8DBB" w14:textId="6B8ADFCD" w:rsidR="00A625F2" w:rsidRPr="0056753F" w:rsidRDefault="00566383" w:rsidP="00A625F2">
            <w:pPr>
              <w:spacing w:after="0"/>
              <w:rPr>
                <w:rFonts w:cs="Arial"/>
              </w:rPr>
            </w:pPr>
            <w:r w:rsidRPr="0056753F">
              <w:rPr>
                <w:rFonts w:cs="Arial"/>
              </w:rPr>
              <w:t>LACOE</w:t>
            </w:r>
            <w:r w:rsidR="00A625F2" w:rsidRPr="0056753F">
              <w:rPr>
                <w:rFonts w:cs="Arial"/>
              </w:rPr>
              <w:t xml:space="preserve"> </w:t>
            </w:r>
            <w:r w:rsidR="006F3351">
              <w:rPr>
                <w:rFonts w:cs="Arial"/>
              </w:rPr>
              <w:t xml:space="preserve">did not grant or deny </w:t>
            </w:r>
            <w:r w:rsidR="00A625F2" w:rsidRPr="0056753F">
              <w:rPr>
                <w:rFonts w:cs="Arial"/>
              </w:rPr>
              <w:t xml:space="preserve">the renewal petition, and </w:t>
            </w:r>
            <w:r w:rsidRPr="0056753F">
              <w:t>Academia Avance</w:t>
            </w:r>
            <w:r w:rsidR="00A625F2" w:rsidRPr="0056753F">
              <w:rPr>
                <w:rFonts w:cs="Arial"/>
              </w:rPr>
              <w:t xml:space="preserve"> appealed to the SBE.</w:t>
            </w:r>
          </w:p>
          <w:p w14:paraId="0BE92849" w14:textId="77777777" w:rsidR="00A625F2" w:rsidRPr="0056753F" w:rsidRDefault="00A625F2" w:rsidP="00A625F2">
            <w:pPr>
              <w:spacing w:after="0"/>
              <w:rPr>
                <w:rFonts w:cs="Arial"/>
              </w:rPr>
            </w:pPr>
          </w:p>
        </w:tc>
      </w:tr>
      <w:tr w:rsidR="0056753F" w:rsidRPr="0056753F" w14:paraId="46DF14AE" w14:textId="77777777" w:rsidTr="008736E3">
        <w:trPr>
          <w:cantSplit/>
          <w:trHeight w:val="330"/>
        </w:trPr>
        <w:tc>
          <w:tcPr>
            <w:tcW w:w="1635" w:type="dxa"/>
            <w:vAlign w:val="center"/>
            <w:hideMark/>
          </w:tcPr>
          <w:p w14:paraId="4BD28D71" w14:textId="77777777" w:rsidR="00A625F2" w:rsidRPr="0056753F" w:rsidRDefault="00A625F2" w:rsidP="00A625F2">
            <w:pPr>
              <w:spacing w:after="0"/>
              <w:rPr>
                <w:rFonts w:cs="Arial"/>
              </w:rPr>
            </w:pPr>
            <w:r w:rsidRPr="0056753F">
              <w:rPr>
                <w:rFonts w:cs="Arial"/>
              </w:rPr>
              <w:t>2015/09/02</w:t>
            </w:r>
          </w:p>
        </w:tc>
        <w:tc>
          <w:tcPr>
            <w:tcW w:w="7715" w:type="dxa"/>
            <w:vAlign w:val="center"/>
            <w:hideMark/>
          </w:tcPr>
          <w:p w14:paraId="67891538" w14:textId="0BF31AD3" w:rsidR="00A625F2" w:rsidRPr="0056753F" w:rsidRDefault="00A625F2" w:rsidP="00A625F2">
            <w:pPr>
              <w:spacing w:after="0"/>
              <w:rPr>
                <w:rFonts w:cs="Arial"/>
              </w:rPr>
            </w:pPr>
            <w:r w:rsidRPr="0056753F">
              <w:rPr>
                <w:rFonts w:cs="Arial"/>
              </w:rPr>
              <w:t xml:space="preserve">The SBE granted the renewal petition and became the chartering authority of </w:t>
            </w:r>
            <w:r w:rsidR="00876812" w:rsidRPr="0056753F">
              <w:t>Academia Avance</w:t>
            </w:r>
            <w:r w:rsidRPr="0056753F">
              <w:rPr>
                <w:rFonts w:cs="Arial"/>
              </w:rPr>
              <w:t xml:space="preserve">. The SBE delegated oversight of </w:t>
            </w:r>
            <w:r w:rsidR="00876812" w:rsidRPr="0056753F">
              <w:t>Academia Avance</w:t>
            </w:r>
            <w:r w:rsidR="00876812" w:rsidRPr="0056753F">
              <w:rPr>
                <w:rFonts w:cs="Arial"/>
              </w:rPr>
              <w:t xml:space="preserve"> </w:t>
            </w:r>
            <w:r w:rsidRPr="0056753F">
              <w:rPr>
                <w:rFonts w:cs="Arial"/>
              </w:rPr>
              <w:t>to the CDE.</w:t>
            </w:r>
          </w:p>
          <w:p w14:paraId="10FFF823" w14:textId="77777777" w:rsidR="00A625F2" w:rsidRPr="0056753F" w:rsidRDefault="00A625F2" w:rsidP="00A625F2">
            <w:pPr>
              <w:spacing w:after="0"/>
              <w:rPr>
                <w:rFonts w:cs="Arial"/>
              </w:rPr>
            </w:pPr>
          </w:p>
        </w:tc>
      </w:tr>
      <w:tr w:rsidR="0056753F" w:rsidRPr="0056753F" w14:paraId="501DFF3B" w14:textId="77777777" w:rsidTr="008736E3">
        <w:trPr>
          <w:cantSplit/>
          <w:trHeight w:val="330"/>
        </w:trPr>
        <w:tc>
          <w:tcPr>
            <w:tcW w:w="1635" w:type="dxa"/>
            <w:vAlign w:val="center"/>
            <w:hideMark/>
          </w:tcPr>
          <w:p w14:paraId="7729395D" w14:textId="77777777" w:rsidR="00A625F2" w:rsidRPr="0056753F" w:rsidRDefault="00A625F2" w:rsidP="00A625F2">
            <w:pPr>
              <w:spacing w:after="0"/>
              <w:rPr>
                <w:rFonts w:cs="Arial"/>
              </w:rPr>
            </w:pPr>
            <w:r w:rsidRPr="0056753F">
              <w:rPr>
                <w:rFonts w:cs="Arial"/>
              </w:rPr>
              <w:t>2020/03/12</w:t>
            </w:r>
          </w:p>
        </w:tc>
        <w:tc>
          <w:tcPr>
            <w:tcW w:w="7715" w:type="dxa"/>
            <w:vAlign w:val="center"/>
            <w:hideMark/>
          </w:tcPr>
          <w:p w14:paraId="038AA30B" w14:textId="27B6BB64" w:rsidR="00A625F2" w:rsidRPr="0056753F" w:rsidRDefault="00A625F2" w:rsidP="00A625F2">
            <w:pPr>
              <w:spacing w:after="0"/>
              <w:rPr>
                <w:rFonts w:cs="Arial"/>
              </w:rPr>
            </w:pPr>
            <w:r w:rsidRPr="0056753F">
              <w:rPr>
                <w:rFonts w:cs="Arial"/>
              </w:rPr>
              <w:t xml:space="preserve">The SBE granted the renewal petition of </w:t>
            </w:r>
            <w:r w:rsidR="005D1978" w:rsidRPr="0056753F">
              <w:t>Academia Avance</w:t>
            </w:r>
            <w:r w:rsidRPr="0056753F">
              <w:rPr>
                <w:rFonts w:cs="Arial"/>
              </w:rPr>
              <w:t>.</w:t>
            </w:r>
          </w:p>
          <w:p w14:paraId="789D9304" w14:textId="77777777" w:rsidR="00A625F2" w:rsidRPr="0056753F" w:rsidRDefault="00A625F2" w:rsidP="00A625F2">
            <w:pPr>
              <w:spacing w:after="0"/>
              <w:rPr>
                <w:rFonts w:cs="Arial"/>
              </w:rPr>
            </w:pPr>
          </w:p>
        </w:tc>
      </w:tr>
      <w:tr w:rsidR="0056753F" w:rsidRPr="0056753F" w14:paraId="03148B08" w14:textId="77777777" w:rsidTr="008736E3">
        <w:trPr>
          <w:cantSplit/>
          <w:trHeight w:val="330"/>
        </w:trPr>
        <w:tc>
          <w:tcPr>
            <w:tcW w:w="1635" w:type="dxa"/>
            <w:vAlign w:val="center"/>
            <w:hideMark/>
          </w:tcPr>
          <w:p w14:paraId="29D56129" w14:textId="77777777" w:rsidR="00A625F2" w:rsidRPr="0056753F" w:rsidRDefault="00A625F2" w:rsidP="00A625F2">
            <w:pPr>
              <w:spacing w:after="0"/>
              <w:rPr>
                <w:rFonts w:cs="Arial"/>
              </w:rPr>
            </w:pPr>
            <w:r w:rsidRPr="0056753F">
              <w:rPr>
                <w:rFonts w:cs="Arial"/>
              </w:rPr>
              <w:t>2024/05/06</w:t>
            </w:r>
          </w:p>
        </w:tc>
        <w:tc>
          <w:tcPr>
            <w:tcW w:w="7715" w:type="dxa"/>
            <w:vAlign w:val="center"/>
            <w:hideMark/>
          </w:tcPr>
          <w:p w14:paraId="79FD3CDB" w14:textId="3148169F" w:rsidR="00A625F2" w:rsidRPr="0056753F" w:rsidRDefault="00A625F2" w:rsidP="00A625F2">
            <w:pPr>
              <w:spacing w:after="0"/>
              <w:rPr>
                <w:rFonts w:cs="Arial"/>
              </w:rPr>
            </w:pPr>
            <w:r w:rsidRPr="0056753F">
              <w:rPr>
                <w:rFonts w:cs="Arial"/>
              </w:rPr>
              <w:t xml:space="preserve">The CDE issued a letter of concern to </w:t>
            </w:r>
            <w:r w:rsidR="005D1978" w:rsidRPr="0056753F">
              <w:t>Academia Avance</w:t>
            </w:r>
            <w:r w:rsidRPr="0056753F">
              <w:rPr>
                <w:rFonts w:cs="Arial"/>
              </w:rPr>
              <w:t>.</w:t>
            </w:r>
          </w:p>
        </w:tc>
      </w:tr>
      <w:tr w:rsidR="0056753F" w:rsidRPr="0056753F" w14:paraId="624DD69C" w14:textId="77777777" w:rsidTr="008736E3">
        <w:trPr>
          <w:cantSplit/>
          <w:trHeight w:val="330"/>
        </w:trPr>
        <w:tc>
          <w:tcPr>
            <w:tcW w:w="1635" w:type="dxa"/>
            <w:vAlign w:val="center"/>
            <w:hideMark/>
          </w:tcPr>
          <w:p w14:paraId="462673EB" w14:textId="77777777" w:rsidR="00A625F2" w:rsidRPr="0056753F" w:rsidRDefault="00A625F2" w:rsidP="00A625F2">
            <w:pPr>
              <w:spacing w:after="0"/>
              <w:rPr>
                <w:rFonts w:cs="Arial"/>
              </w:rPr>
            </w:pPr>
            <w:r w:rsidRPr="0056753F">
              <w:rPr>
                <w:rFonts w:cs="Arial"/>
              </w:rPr>
              <w:t>2024/11/06</w:t>
            </w:r>
          </w:p>
        </w:tc>
        <w:tc>
          <w:tcPr>
            <w:tcW w:w="7715" w:type="dxa"/>
            <w:vAlign w:val="center"/>
            <w:hideMark/>
          </w:tcPr>
          <w:p w14:paraId="4C39D930" w14:textId="16ECE442" w:rsidR="00A625F2" w:rsidRPr="0056753F" w:rsidRDefault="00A625F2" w:rsidP="00A625F2">
            <w:pPr>
              <w:spacing w:after="0"/>
              <w:rPr>
                <w:rFonts w:cs="Arial"/>
              </w:rPr>
            </w:pPr>
            <w:r w:rsidRPr="0056753F">
              <w:rPr>
                <w:rFonts w:cs="Arial"/>
              </w:rPr>
              <w:t xml:space="preserve">The CDE issued a second letter of concern to </w:t>
            </w:r>
            <w:r w:rsidR="005D1978" w:rsidRPr="0056753F">
              <w:t>Academia Avance.</w:t>
            </w:r>
          </w:p>
        </w:tc>
      </w:tr>
      <w:tr w:rsidR="005D1978" w:rsidRPr="0056753F" w14:paraId="43D03FBB" w14:textId="77777777" w:rsidTr="008736E3">
        <w:trPr>
          <w:cantSplit/>
          <w:trHeight w:val="330"/>
        </w:trPr>
        <w:tc>
          <w:tcPr>
            <w:tcW w:w="1635" w:type="dxa"/>
            <w:vAlign w:val="center"/>
          </w:tcPr>
          <w:p w14:paraId="48EC3C43" w14:textId="371351A2" w:rsidR="005D1978" w:rsidRPr="0056753F" w:rsidRDefault="005D1978" w:rsidP="00A625F2">
            <w:pPr>
              <w:spacing w:after="0"/>
              <w:rPr>
                <w:rFonts w:cs="Arial"/>
              </w:rPr>
            </w:pPr>
            <w:r w:rsidRPr="0056753F">
              <w:rPr>
                <w:rFonts w:cs="Arial"/>
              </w:rPr>
              <w:t>2025/03/05</w:t>
            </w:r>
          </w:p>
        </w:tc>
        <w:tc>
          <w:tcPr>
            <w:tcW w:w="7715" w:type="dxa"/>
            <w:vAlign w:val="center"/>
          </w:tcPr>
          <w:p w14:paraId="29D0A17F" w14:textId="7CFCDE8F" w:rsidR="005D1978" w:rsidRPr="0056753F" w:rsidRDefault="005D1978" w:rsidP="00A625F2">
            <w:pPr>
              <w:spacing w:after="0"/>
              <w:rPr>
                <w:rFonts w:cs="Arial"/>
              </w:rPr>
            </w:pPr>
            <w:r w:rsidRPr="0056753F">
              <w:rPr>
                <w:rFonts w:cs="Arial"/>
              </w:rPr>
              <w:t>The SBE issue</w:t>
            </w:r>
            <w:r w:rsidR="00B93FE9">
              <w:rPr>
                <w:rFonts w:cs="Arial"/>
              </w:rPr>
              <w:t>d</w:t>
            </w:r>
            <w:r w:rsidRPr="0056753F">
              <w:rPr>
                <w:rFonts w:cs="Arial"/>
              </w:rPr>
              <w:t xml:space="preserve"> a Notice of Violation to Academia Avance.</w:t>
            </w:r>
          </w:p>
        </w:tc>
      </w:tr>
      <w:tr w:rsidR="0056753F" w:rsidRPr="0056753F" w14:paraId="45750F92" w14:textId="77777777" w:rsidTr="008736E3">
        <w:trPr>
          <w:cantSplit/>
          <w:trHeight w:val="330"/>
        </w:trPr>
        <w:tc>
          <w:tcPr>
            <w:tcW w:w="1635" w:type="dxa"/>
            <w:vAlign w:val="center"/>
          </w:tcPr>
          <w:p w14:paraId="593506BE" w14:textId="416F9207" w:rsidR="005D1978" w:rsidRPr="0056753F" w:rsidRDefault="005D1978" w:rsidP="00A625F2">
            <w:pPr>
              <w:spacing w:after="0"/>
              <w:rPr>
                <w:rFonts w:cs="Arial"/>
              </w:rPr>
            </w:pPr>
            <w:r w:rsidRPr="0056753F">
              <w:rPr>
                <w:rFonts w:cs="Arial"/>
              </w:rPr>
              <w:t>2025/03/13</w:t>
            </w:r>
          </w:p>
        </w:tc>
        <w:tc>
          <w:tcPr>
            <w:tcW w:w="7715" w:type="dxa"/>
            <w:vAlign w:val="center"/>
          </w:tcPr>
          <w:p w14:paraId="62508116" w14:textId="44BF7E2A" w:rsidR="005D1978" w:rsidRPr="0056753F" w:rsidRDefault="005D1978" w:rsidP="00A625F2">
            <w:pPr>
              <w:spacing w:after="0"/>
              <w:rPr>
                <w:rFonts w:cs="Arial"/>
              </w:rPr>
            </w:pPr>
            <w:r w:rsidRPr="0056753F">
              <w:t>Academia Avance submitted its Response to the Notice of Violation.</w:t>
            </w:r>
          </w:p>
        </w:tc>
      </w:tr>
    </w:tbl>
    <w:p w14:paraId="5CF6BF72" w14:textId="08137C1B" w:rsidR="005B01C3" w:rsidRPr="0056753F" w:rsidRDefault="00781BD5" w:rsidP="005B01C3">
      <w:bookmarkStart w:id="2" w:name="_Hlk91149395"/>
      <w:bookmarkStart w:id="3" w:name="_Hlk90454948"/>
      <w:r>
        <w:br/>
      </w:r>
      <w:r w:rsidR="005B01C3" w:rsidRPr="0056753F">
        <w:t xml:space="preserve">The CDE </w:t>
      </w:r>
      <w:r w:rsidR="00895F32">
        <w:t xml:space="preserve">has </w:t>
      </w:r>
      <w:r w:rsidR="005B01C3" w:rsidRPr="0056753F">
        <w:t>provided regular technical assistance to Academia Avance throughout its charter term. Specifically, CDE staff meet monthly with Academia Avance leadership to review the fiscal condition as well as other oversight areas. In addition, CDE staff conduct an annual in-person site visit at Academia Avance that includes interviews with leadership, other employees, and board representatives. Discussion topics at monthly oversight meetings and annual site visits have included the CDE's concerns about Academia Avance's budget development, assumptions including enrollment projections, decreasing revenue, increasing debts and liabilities, and the lack of internal controls. The CDE issued two letters of concern to Academia Avance within the past 1</w:t>
      </w:r>
      <w:r w:rsidR="00830F5E" w:rsidRPr="0056753F">
        <w:t>1</w:t>
      </w:r>
      <w:r w:rsidR="005B01C3" w:rsidRPr="0056753F">
        <w:t xml:space="preserve"> months. </w:t>
      </w:r>
      <w:r w:rsidR="00830F5E" w:rsidRPr="0056753F">
        <w:t xml:space="preserve">Academia Avance </w:t>
      </w:r>
      <w:r w:rsidR="005B01C3" w:rsidRPr="0056753F">
        <w:t xml:space="preserve">failed to remedy the </w:t>
      </w:r>
      <w:r w:rsidR="00830F5E" w:rsidRPr="0056753F">
        <w:t xml:space="preserve">CDE’s </w:t>
      </w:r>
      <w:r w:rsidR="005B01C3" w:rsidRPr="0056753F">
        <w:t>concerns.</w:t>
      </w:r>
    </w:p>
    <w:p w14:paraId="011B7373" w14:textId="63C27296" w:rsidR="005B01C3" w:rsidRPr="0056753F" w:rsidRDefault="005B01C3" w:rsidP="005B01C3">
      <w:pPr>
        <w:spacing w:before="240"/>
      </w:pPr>
      <w:bookmarkStart w:id="4" w:name="_Hlk190442424"/>
      <w:r w:rsidRPr="0056753F">
        <w:t>For purposes of determining whether an agency has engaged in fiscal mismanagement, the CDE considers the Fiscal Crisis and Management Assistance Team Indicators of Risk or Potential Insolvency for Charter Schools</w:t>
      </w:r>
      <w:r w:rsidRPr="0056753F">
        <w:rPr>
          <w:rStyle w:val="FootnoteReference"/>
        </w:rPr>
        <w:footnoteReference w:id="2"/>
      </w:r>
      <w:r w:rsidRPr="0056753F">
        <w:t xml:space="preserve"> (FCMAT Indicators), which identifies practices that indicate a lack of function, commitment, or attention to critical elements of a charter school’s operations. FCMAT Indicators identif</w:t>
      </w:r>
      <w:r w:rsidR="00895F32">
        <w:t>y</w:t>
      </w:r>
      <w:r w:rsidRPr="0056753F">
        <w:t xml:space="preserve"> the following:</w:t>
      </w:r>
    </w:p>
    <w:p w14:paraId="1528BFFF" w14:textId="77777777" w:rsidR="005B01C3" w:rsidRPr="0056753F" w:rsidRDefault="005B01C3" w:rsidP="005B01C3">
      <w:pPr>
        <w:pStyle w:val="ListParagraph"/>
        <w:numPr>
          <w:ilvl w:val="0"/>
          <w:numId w:val="31"/>
        </w:numPr>
        <w:spacing w:before="240"/>
        <w:contextualSpacing/>
      </w:pPr>
      <w:r w:rsidRPr="0056753F">
        <w:t>Unreliable Budget Development</w:t>
      </w:r>
    </w:p>
    <w:p w14:paraId="575A5C79" w14:textId="77777777" w:rsidR="005B01C3" w:rsidRPr="0056753F" w:rsidRDefault="005B01C3" w:rsidP="005B01C3">
      <w:pPr>
        <w:pStyle w:val="ListParagraph"/>
        <w:numPr>
          <w:ilvl w:val="0"/>
          <w:numId w:val="31"/>
        </w:numPr>
        <w:spacing w:before="240"/>
        <w:contextualSpacing/>
      </w:pPr>
      <w:r w:rsidRPr="0056753F">
        <w:t>Insufficient Budget Monitoring or Updates</w:t>
      </w:r>
    </w:p>
    <w:p w14:paraId="409A7432" w14:textId="77777777" w:rsidR="005B01C3" w:rsidRPr="0056753F" w:rsidRDefault="005B01C3" w:rsidP="005B01C3">
      <w:pPr>
        <w:pStyle w:val="ListParagraph"/>
        <w:numPr>
          <w:ilvl w:val="0"/>
          <w:numId w:val="31"/>
        </w:numPr>
        <w:spacing w:before="240"/>
        <w:contextualSpacing/>
      </w:pPr>
      <w:r w:rsidRPr="0056753F">
        <w:t>Inadequate Cash Management</w:t>
      </w:r>
    </w:p>
    <w:p w14:paraId="0068896B" w14:textId="77777777" w:rsidR="005B01C3" w:rsidRPr="0056753F" w:rsidRDefault="005B01C3" w:rsidP="005B01C3">
      <w:pPr>
        <w:pStyle w:val="ListParagraph"/>
        <w:numPr>
          <w:ilvl w:val="0"/>
          <w:numId w:val="31"/>
        </w:numPr>
        <w:spacing w:before="240"/>
        <w:contextualSpacing/>
      </w:pPr>
      <w:r w:rsidRPr="0056753F">
        <w:lastRenderedPageBreak/>
        <w:t>Mismanaged Salary and Benefit Decisions</w:t>
      </w:r>
    </w:p>
    <w:p w14:paraId="456C8CE3" w14:textId="77777777" w:rsidR="005B01C3" w:rsidRPr="0056753F" w:rsidRDefault="005B01C3" w:rsidP="005B01C3">
      <w:pPr>
        <w:pStyle w:val="ListParagraph"/>
        <w:numPr>
          <w:ilvl w:val="0"/>
          <w:numId w:val="31"/>
        </w:numPr>
        <w:spacing w:before="240"/>
        <w:contextualSpacing/>
      </w:pPr>
      <w:r w:rsidRPr="0056753F">
        <w:t>Increasing and/or Unplanned Contributions</w:t>
      </w:r>
    </w:p>
    <w:p w14:paraId="7065B116" w14:textId="77777777" w:rsidR="005B01C3" w:rsidRPr="0056753F" w:rsidRDefault="005B01C3" w:rsidP="005B01C3">
      <w:pPr>
        <w:pStyle w:val="ListParagraph"/>
        <w:numPr>
          <w:ilvl w:val="0"/>
          <w:numId w:val="31"/>
        </w:numPr>
        <w:spacing w:before="240"/>
        <w:contextualSpacing/>
      </w:pPr>
      <w:r w:rsidRPr="0056753F">
        <w:t>Continuing Deficit Spending</w:t>
      </w:r>
    </w:p>
    <w:p w14:paraId="0847924E" w14:textId="77777777" w:rsidR="005B01C3" w:rsidRPr="0056753F" w:rsidRDefault="005B01C3" w:rsidP="005B01C3">
      <w:pPr>
        <w:pStyle w:val="ListParagraph"/>
        <w:numPr>
          <w:ilvl w:val="0"/>
          <w:numId w:val="31"/>
        </w:numPr>
        <w:spacing w:before="240"/>
        <w:contextualSpacing/>
      </w:pPr>
      <w:r w:rsidRPr="0056753F">
        <w:t>Mismanaged Employee Benefits</w:t>
      </w:r>
    </w:p>
    <w:p w14:paraId="3CC470CF" w14:textId="77777777" w:rsidR="005B01C3" w:rsidRPr="0056753F" w:rsidRDefault="005B01C3" w:rsidP="005B01C3">
      <w:pPr>
        <w:pStyle w:val="ListParagraph"/>
        <w:numPr>
          <w:ilvl w:val="0"/>
          <w:numId w:val="31"/>
        </w:numPr>
        <w:spacing w:before="240"/>
        <w:contextualSpacing/>
      </w:pPr>
      <w:r w:rsidRPr="0056753F">
        <w:t>Inattention to Enrollment and Attendance Reporting</w:t>
      </w:r>
    </w:p>
    <w:p w14:paraId="5728910F" w14:textId="77777777" w:rsidR="005B01C3" w:rsidRPr="0056753F" w:rsidRDefault="005B01C3" w:rsidP="005B01C3">
      <w:pPr>
        <w:pStyle w:val="ListParagraph"/>
        <w:numPr>
          <w:ilvl w:val="0"/>
          <w:numId w:val="31"/>
        </w:numPr>
        <w:spacing w:before="240"/>
        <w:contextualSpacing/>
      </w:pPr>
      <w:r w:rsidRPr="0056753F">
        <w:t>Decreasing Fund Balance and Reserve for Economic Uncertainty</w:t>
      </w:r>
    </w:p>
    <w:p w14:paraId="4A51E0D0" w14:textId="77777777" w:rsidR="005B01C3" w:rsidRPr="0056753F" w:rsidRDefault="005B01C3" w:rsidP="005B01C3">
      <w:pPr>
        <w:pStyle w:val="ListParagraph"/>
        <w:numPr>
          <w:ilvl w:val="0"/>
          <w:numId w:val="31"/>
        </w:numPr>
        <w:spacing w:before="240"/>
        <w:contextualSpacing/>
      </w:pPr>
      <w:r w:rsidRPr="0056753F">
        <w:t>Ineffective Internal Controls and Fraud Prevention</w:t>
      </w:r>
    </w:p>
    <w:p w14:paraId="422A68C6" w14:textId="77777777" w:rsidR="005B01C3" w:rsidRPr="0056753F" w:rsidRDefault="005B01C3" w:rsidP="005B01C3">
      <w:pPr>
        <w:pStyle w:val="ListParagraph"/>
        <w:numPr>
          <w:ilvl w:val="0"/>
          <w:numId w:val="31"/>
        </w:numPr>
        <w:spacing w:before="240"/>
        <w:contextualSpacing/>
      </w:pPr>
      <w:r w:rsidRPr="0056753F">
        <w:t>Breakdown in Leadership and Communication</w:t>
      </w:r>
    </w:p>
    <w:p w14:paraId="70024C44" w14:textId="77777777" w:rsidR="005B01C3" w:rsidRPr="0056753F" w:rsidRDefault="005B01C3" w:rsidP="005B01C3">
      <w:pPr>
        <w:pStyle w:val="ListParagraph"/>
        <w:numPr>
          <w:ilvl w:val="0"/>
          <w:numId w:val="31"/>
        </w:numPr>
        <w:spacing w:before="240"/>
        <w:contextualSpacing/>
      </w:pPr>
      <w:r w:rsidRPr="0056753F">
        <w:t>Lack of Multiyear Planning</w:t>
      </w:r>
    </w:p>
    <w:p w14:paraId="2334D2D4" w14:textId="77777777" w:rsidR="005B01C3" w:rsidRPr="0056753F" w:rsidRDefault="005B01C3" w:rsidP="005B01C3">
      <w:pPr>
        <w:pStyle w:val="ListParagraph"/>
        <w:numPr>
          <w:ilvl w:val="0"/>
          <w:numId w:val="31"/>
        </w:numPr>
        <w:spacing w:before="240"/>
        <w:contextualSpacing/>
      </w:pPr>
      <w:r w:rsidRPr="0056753F">
        <w:t>Inattention to Debt and Risk Management</w:t>
      </w:r>
    </w:p>
    <w:p w14:paraId="3C88C7E3" w14:textId="77777777" w:rsidR="005B01C3" w:rsidRPr="0056753F" w:rsidRDefault="005B01C3" w:rsidP="005B01C3">
      <w:pPr>
        <w:pStyle w:val="ListParagraph"/>
        <w:numPr>
          <w:ilvl w:val="0"/>
          <w:numId w:val="31"/>
        </w:numPr>
        <w:spacing w:before="240"/>
        <w:contextualSpacing/>
      </w:pPr>
      <w:r w:rsidRPr="0056753F">
        <w:t>Lack of Position Control</w:t>
      </w:r>
    </w:p>
    <w:p w14:paraId="66692422" w14:textId="77777777" w:rsidR="005B01C3" w:rsidRPr="0056753F" w:rsidRDefault="005B01C3" w:rsidP="005B01C3">
      <w:pPr>
        <w:pStyle w:val="ListParagraph"/>
        <w:numPr>
          <w:ilvl w:val="0"/>
          <w:numId w:val="31"/>
        </w:numPr>
        <w:spacing w:before="240"/>
      </w:pPr>
      <w:r w:rsidRPr="0056753F">
        <w:t>Related Issues of Concern</w:t>
      </w:r>
    </w:p>
    <w:p w14:paraId="6A9C0FEE" w14:textId="4A1E4CDE" w:rsidR="005B01C3" w:rsidRPr="0056753F" w:rsidRDefault="005B01C3" w:rsidP="005B01C3">
      <w:pPr>
        <w:spacing w:before="240"/>
      </w:pPr>
      <w:r w:rsidRPr="0056753F">
        <w:t xml:space="preserve">The CDE considered the following documents provided by </w:t>
      </w:r>
      <w:r w:rsidR="00960A47" w:rsidRPr="0056753F">
        <w:t>Academia Avance</w:t>
      </w:r>
      <w:r w:rsidRPr="0056753F">
        <w:t xml:space="preserve">, in its review of </w:t>
      </w:r>
      <w:r w:rsidR="00960A47" w:rsidRPr="0056753F">
        <w:t xml:space="preserve">whether Academia Avance </w:t>
      </w:r>
      <w:r w:rsidR="00B61608" w:rsidRPr="0056753F">
        <w:rPr>
          <w:rFonts w:cs="Arial"/>
        </w:rPr>
        <w:t>adequately refute, remedy, or propose to remedy the violations described in the Notice of Violation issued by the SBE on March 5, 2025</w:t>
      </w:r>
      <w:r w:rsidRPr="0056753F">
        <w:t>:</w:t>
      </w:r>
      <w:r w:rsidR="00A00519" w:rsidRPr="00A00519">
        <w:rPr>
          <w:rStyle w:val="FootnoteReference"/>
          <w:rFonts w:cs="Arial"/>
        </w:rPr>
        <w:t xml:space="preserve"> </w:t>
      </w:r>
      <w:r w:rsidR="00A00519">
        <w:rPr>
          <w:rStyle w:val="FootnoteReference"/>
          <w:rFonts w:cs="Arial"/>
        </w:rPr>
        <w:footnoteReference w:id="3"/>
      </w:r>
    </w:p>
    <w:p w14:paraId="001C06AA" w14:textId="77777777" w:rsidR="005B01C3" w:rsidRPr="0056753F" w:rsidRDefault="005B01C3" w:rsidP="005B01C3">
      <w:pPr>
        <w:numPr>
          <w:ilvl w:val="0"/>
          <w:numId w:val="32"/>
        </w:numPr>
        <w:spacing w:before="240"/>
        <w:contextualSpacing/>
        <w:rPr>
          <w:rFonts w:cs="Arial"/>
        </w:rPr>
      </w:pPr>
      <w:bookmarkStart w:id="5" w:name="_Hlk189837921"/>
      <w:r w:rsidRPr="0056753F">
        <w:rPr>
          <w:rFonts w:cs="Arial"/>
        </w:rPr>
        <w:t>2023–24 Second Interim Report</w:t>
      </w:r>
    </w:p>
    <w:p w14:paraId="4E385C22" w14:textId="77777777" w:rsidR="005B01C3" w:rsidRPr="0056753F" w:rsidRDefault="005B01C3" w:rsidP="005B01C3">
      <w:pPr>
        <w:numPr>
          <w:ilvl w:val="0"/>
          <w:numId w:val="32"/>
        </w:numPr>
        <w:spacing w:before="240"/>
        <w:contextualSpacing/>
        <w:rPr>
          <w:rFonts w:cs="Arial"/>
        </w:rPr>
      </w:pPr>
      <w:r w:rsidRPr="0056753F">
        <w:rPr>
          <w:rFonts w:cs="Arial"/>
        </w:rPr>
        <w:t>2023–24 Unaudited Actuals Report</w:t>
      </w:r>
    </w:p>
    <w:p w14:paraId="63335CEB" w14:textId="77777777" w:rsidR="005B01C3" w:rsidRPr="0056753F" w:rsidRDefault="005B01C3" w:rsidP="005B01C3">
      <w:pPr>
        <w:numPr>
          <w:ilvl w:val="0"/>
          <w:numId w:val="32"/>
        </w:numPr>
        <w:spacing w:before="240"/>
        <w:contextualSpacing/>
        <w:rPr>
          <w:rFonts w:cs="Arial"/>
        </w:rPr>
      </w:pPr>
      <w:r w:rsidRPr="0056753F">
        <w:rPr>
          <w:rFonts w:cs="Arial"/>
        </w:rPr>
        <w:t>2024–25 Budget, provided on July 1, 2024</w:t>
      </w:r>
    </w:p>
    <w:p w14:paraId="4480800F" w14:textId="4F0CA785" w:rsidR="005B01C3" w:rsidRPr="0056753F" w:rsidRDefault="005B01C3" w:rsidP="005B01C3">
      <w:pPr>
        <w:numPr>
          <w:ilvl w:val="0"/>
          <w:numId w:val="32"/>
        </w:numPr>
        <w:spacing w:before="240"/>
        <w:contextualSpacing/>
        <w:rPr>
          <w:rFonts w:cs="Arial"/>
        </w:rPr>
      </w:pPr>
      <w:r w:rsidRPr="0056753F">
        <w:rPr>
          <w:rFonts w:cs="Arial"/>
        </w:rPr>
        <w:t>2024–25 Budget</w:t>
      </w:r>
      <w:r w:rsidR="00473F27" w:rsidRPr="0056753F">
        <w:rPr>
          <w:rFonts w:cs="Arial"/>
        </w:rPr>
        <w:t xml:space="preserve"> Revised</w:t>
      </w:r>
      <w:r w:rsidRPr="0056753F">
        <w:rPr>
          <w:rFonts w:cs="Arial"/>
        </w:rPr>
        <w:t>, provided on July 22, 2024</w:t>
      </w:r>
    </w:p>
    <w:p w14:paraId="10BD8D61" w14:textId="7FDCFB37" w:rsidR="005B01C3" w:rsidRPr="0056753F" w:rsidRDefault="00473F27" w:rsidP="005B01C3">
      <w:pPr>
        <w:numPr>
          <w:ilvl w:val="0"/>
          <w:numId w:val="32"/>
        </w:numPr>
        <w:spacing w:before="240"/>
        <w:contextualSpacing/>
        <w:rPr>
          <w:rFonts w:cs="Arial"/>
        </w:rPr>
      </w:pPr>
      <w:r w:rsidRPr="0056753F">
        <w:rPr>
          <w:rFonts w:cs="Arial"/>
        </w:rPr>
        <w:t xml:space="preserve">September 30, 2024, </w:t>
      </w:r>
      <w:r w:rsidR="005B01C3" w:rsidRPr="0056753F">
        <w:rPr>
          <w:rFonts w:eastAsia="Calibri" w:cs="Arial"/>
        </w:rPr>
        <w:t>Statement of Financial Position</w:t>
      </w:r>
    </w:p>
    <w:p w14:paraId="3709A8D7" w14:textId="0E6286BA" w:rsidR="00D04A05" w:rsidRPr="0056753F" w:rsidRDefault="00D04A05" w:rsidP="00D04A05">
      <w:pPr>
        <w:numPr>
          <w:ilvl w:val="0"/>
          <w:numId w:val="32"/>
        </w:numPr>
        <w:spacing w:before="240"/>
        <w:contextualSpacing/>
        <w:rPr>
          <w:rFonts w:cs="Arial"/>
        </w:rPr>
      </w:pPr>
      <w:r w:rsidRPr="0056753F">
        <w:rPr>
          <w:rFonts w:cs="Arial"/>
        </w:rPr>
        <w:t xml:space="preserve">February 28, 2025, </w:t>
      </w:r>
      <w:r w:rsidRPr="0056753F">
        <w:rPr>
          <w:rFonts w:eastAsia="Calibri" w:cs="Arial"/>
        </w:rPr>
        <w:t>Statement of Financial Position</w:t>
      </w:r>
    </w:p>
    <w:p w14:paraId="52E5721E" w14:textId="1185469D" w:rsidR="005B01C3" w:rsidRPr="0056753F" w:rsidRDefault="005B01C3" w:rsidP="005B01C3">
      <w:pPr>
        <w:numPr>
          <w:ilvl w:val="0"/>
          <w:numId w:val="32"/>
        </w:numPr>
        <w:spacing w:before="240"/>
        <w:contextualSpacing/>
        <w:rPr>
          <w:rFonts w:cs="Arial"/>
        </w:rPr>
      </w:pPr>
      <w:r w:rsidRPr="0056753F">
        <w:rPr>
          <w:rFonts w:cs="Arial"/>
        </w:rPr>
        <w:t>October 23, 2024, Aging Report</w:t>
      </w:r>
    </w:p>
    <w:p w14:paraId="2D50BEE5" w14:textId="73FC5A82" w:rsidR="00C37A09" w:rsidRPr="0056753F" w:rsidRDefault="00C37A09" w:rsidP="005B01C3">
      <w:pPr>
        <w:numPr>
          <w:ilvl w:val="0"/>
          <w:numId w:val="32"/>
        </w:numPr>
        <w:spacing w:before="240"/>
        <w:contextualSpacing/>
        <w:rPr>
          <w:rFonts w:cs="Arial"/>
        </w:rPr>
      </w:pPr>
      <w:r w:rsidRPr="0056753F">
        <w:rPr>
          <w:rFonts w:cs="Arial"/>
        </w:rPr>
        <w:t>February 26, 2025</w:t>
      </w:r>
      <w:r w:rsidR="008C2281" w:rsidRPr="0056753F">
        <w:rPr>
          <w:rFonts w:cs="Arial"/>
        </w:rPr>
        <w:t>,</w:t>
      </w:r>
      <w:r w:rsidRPr="0056753F">
        <w:rPr>
          <w:rFonts w:cs="Arial"/>
        </w:rPr>
        <w:t xml:space="preserve"> Aging Report </w:t>
      </w:r>
    </w:p>
    <w:p w14:paraId="4757C55C" w14:textId="77777777" w:rsidR="005B01C3" w:rsidRPr="0056753F" w:rsidRDefault="005B01C3" w:rsidP="005B01C3">
      <w:pPr>
        <w:numPr>
          <w:ilvl w:val="0"/>
          <w:numId w:val="32"/>
        </w:numPr>
        <w:spacing w:before="240"/>
        <w:contextualSpacing/>
        <w:rPr>
          <w:rFonts w:cs="Arial"/>
        </w:rPr>
      </w:pPr>
      <w:r w:rsidRPr="0056753F">
        <w:rPr>
          <w:rFonts w:cs="Arial"/>
        </w:rPr>
        <w:t>2024–25 First Interim Report</w:t>
      </w:r>
      <w:bookmarkEnd w:id="5"/>
    </w:p>
    <w:p w14:paraId="42662F63" w14:textId="7AB0E0FD" w:rsidR="0006395B" w:rsidRPr="0056753F" w:rsidRDefault="0006395B" w:rsidP="0006395B">
      <w:pPr>
        <w:numPr>
          <w:ilvl w:val="0"/>
          <w:numId w:val="32"/>
        </w:numPr>
        <w:spacing w:before="240"/>
        <w:contextualSpacing/>
        <w:rPr>
          <w:rFonts w:cs="Arial"/>
        </w:rPr>
      </w:pPr>
      <w:r w:rsidRPr="0056753F">
        <w:rPr>
          <w:rFonts w:cs="Arial"/>
        </w:rPr>
        <w:t>2024–25 Second Interim Report</w:t>
      </w:r>
    </w:p>
    <w:bookmarkEnd w:id="4"/>
    <w:p w14:paraId="5040968D" w14:textId="77777777" w:rsidR="002A0DD7" w:rsidRPr="0056753F" w:rsidRDefault="002A0DD7" w:rsidP="002A0DD7">
      <w:pPr>
        <w:pStyle w:val="Heading2"/>
      </w:pPr>
      <w:r w:rsidRPr="0056753F">
        <w:t>Instances of Violation</w:t>
      </w:r>
    </w:p>
    <w:p w14:paraId="58DC6C66" w14:textId="77777777" w:rsidR="002A0DD7" w:rsidRPr="00863DE7" w:rsidRDefault="002A0DD7" w:rsidP="00863DE7">
      <w:pPr>
        <w:pStyle w:val="Heading3"/>
      </w:pPr>
      <w:r w:rsidRPr="00863DE7">
        <w:t>Ineffective Internal Controls</w:t>
      </w:r>
    </w:p>
    <w:p w14:paraId="1B33A918" w14:textId="77777777" w:rsidR="00EA0815" w:rsidRPr="0056753F" w:rsidRDefault="00EA0815" w:rsidP="00EA0815">
      <w:pPr>
        <w:rPr>
          <w:rFonts w:eastAsia="Arial" w:cs="Arial"/>
          <w:lang w:bidi="en-US"/>
        </w:rPr>
      </w:pPr>
      <w:r w:rsidRPr="0056753F">
        <w:rPr>
          <w:rFonts w:eastAsia="Arial" w:cs="Arial"/>
          <w:lang w:bidi="en-US"/>
        </w:rPr>
        <w:t>FCMAT identifies the following as a demonstration of ineffective internal controls: “Beginning balances for the new fiscal year not posted and reconciled with the ending balances from the prior fiscal year” (FCMAT Indicators, p. 3).</w:t>
      </w:r>
    </w:p>
    <w:p w14:paraId="27EAB877" w14:textId="6E9DEABB" w:rsidR="00EA0815" w:rsidRPr="0056753F" w:rsidRDefault="00EA0815" w:rsidP="00EA0815">
      <w:pPr>
        <w:rPr>
          <w:rFonts w:eastAsia="Arial" w:cs="Arial"/>
          <w:lang w:bidi="en-US"/>
        </w:rPr>
      </w:pPr>
      <w:r w:rsidRPr="0056753F">
        <w:rPr>
          <w:rFonts w:eastAsia="Arial" w:cs="Arial"/>
          <w:lang w:bidi="en-US"/>
        </w:rPr>
        <w:t xml:space="preserve">On March 5, 2025, the SBE issued Academia Avance </w:t>
      </w:r>
      <w:proofErr w:type="gramStart"/>
      <w:r w:rsidR="00570E31">
        <w:rPr>
          <w:rFonts w:eastAsia="Arial" w:cs="Arial"/>
          <w:lang w:bidi="en-US"/>
        </w:rPr>
        <w:t>a</w:t>
      </w:r>
      <w:r w:rsidRPr="0056753F">
        <w:rPr>
          <w:rFonts w:eastAsia="Arial" w:cs="Arial"/>
          <w:lang w:bidi="en-US"/>
        </w:rPr>
        <w:t xml:space="preserve"> Notice</w:t>
      </w:r>
      <w:proofErr w:type="gramEnd"/>
      <w:r w:rsidRPr="0056753F">
        <w:rPr>
          <w:rFonts w:eastAsia="Arial" w:cs="Arial"/>
          <w:lang w:bidi="en-US"/>
        </w:rPr>
        <w:t xml:space="preserve"> of Violation</w:t>
      </w:r>
      <w:r w:rsidR="00947B29">
        <w:rPr>
          <w:rFonts w:eastAsia="Arial" w:cs="Arial"/>
          <w:lang w:bidi="en-US"/>
        </w:rPr>
        <w:t xml:space="preserve"> </w:t>
      </w:r>
      <w:r w:rsidRPr="0056753F">
        <w:rPr>
          <w:rFonts w:eastAsia="Arial" w:cs="Arial"/>
          <w:lang w:bidi="en-US"/>
        </w:rPr>
        <w:t xml:space="preserve">based on findings of fiscal mismanagement. The </w:t>
      </w:r>
      <w:r w:rsidR="00281B5F" w:rsidRPr="0056753F">
        <w:t>Notice of Violation</w:t>
      </w:r>
      <w:r w:rsidR="00281B5F" w:rsidRPr="0056753F">
        <w:rPr>
          <w:rFonts w:eastAsia="Arial" w:cs="Arial"/>
          <w:lang w:bidi="en-US"/>
        </w:rPr>
        <w:t xml:space="preserve"> </w:t>
      </w:r>
      <w:r w:rsidRPr="0056753F">
        <w:rPr>
          <w:rFonts w:eastAsia="Arial" w:cs="Arial"/>
          <w:lang w:bidi="en-US"/>
        </w:rPr>
        <w:t xml:space="preserve">states Academia Avance’s beginning fund balance for the current fiscal year does not align with its ending fund balance of the prior fiscal year. Academia Avance’s 2024–25 First Interim Report </w:t>
      </w:r>
      <w:r w:rsidRPr="0056753F">
        <w:rPr>
          <w:rFonts w:eastAsia="Arial" w:cs="Arial"/>
          <w:lang w:bidi="en-US"/>
        </w:rPr>
        <w:lastRenderedPageBreak/>
        <w:t xml:space="preserve">indicates a beginning fund balance of negative $2,258,911, while the Charter School’s 2023–24 Unaudited Actuals Report reflects an ending fund balance of negative $1,900,807. The $358,104 difference between Academia Avance’s ending and beginning fund balances demonstrates ineffective internal controls </w:t>
      </w:r>
      <w:r w:rsidR="00947B29">
        <w:rPr>
          <w:rFonts w:eastAsia="Arial" w:cs="Arial"/>
          <w:lang w:bidi="en-US"/>
        </w:rPr>
        <w:t>and consequently</w:t>
      </w:r>
      <w:r w:rsidRPr="0056753F">
        <w:rPr>
          <w:rFonts w:eastAsia="Arial" w:cs="Arial"/>
          <w:lang w:bidi="en-US"/>
        </w:rPr>
        <w:t xml:space="preserve"> fiscal mismanagement</w:t>
      </w:r>
      <w:r w:rsidR="001A4186">
        <w:rPr>
          <w:rFonts w:eastAsia="Arial" w:cs="Arial"/>
          <w:lang w:bidi="en-US"/>
        </w:rPr>
        <w:t xml:space="preserve"> </w:t>
      </w:r>
      <w:r w:rsidRPr="0056753F">
        <w:rPr>
          <w:rFonts w:eastAsia="Arial" w:cs="Arial"/>
          <w:lang w:bidi="en-US"/>
        </w:rPr>
        <w:t>(Attachment 1)</w:t>
      </w:r>
      <w:r w:rsidR="001A4186">
        <w:rPr>
          <w:rFonts w:eastAsia="Arial" w:cs="Arial"/>
          <w:lang w:bidi="en-US"/>
        </w:rPr>
        <w:t>.</w:t>
      </w:r>
    </w:p>
    <w:p w14:paraId="72B3704A" w14:textId="1D057F77" w:rsidR="00EA0815" w:rsidRPr="00DF758A" w:rsidRDefault="00EA0815" w:rsidP="00DF758A">
      <w:pPr>
        <w:jc w:val="both"/>
        <w:rPr>
          <w:rFonts w:eastAsia="Arial" w:cs="Arial"/>
          <w:lang w:bidi="en-US"/>
        </w:rPr>
      </w:pPr>
      <w:r w:rsidRPr="00DF758A">
        <w:rPr>
          <w:rFonts w:eastAsia="Arial" w:cs="Arial"/>
          <w:lang w:bidi="en-US"/>
        </w:rPr>
        <w:t xml:space="preserve">On March 13, 2025, Academia Avance submitted its Response to the </w:t>
      </w:r>
      <w:r w:rsidR="00281B5F" w:rsidRPr="00DF758A">
        <w:t>Notice of Violation</w:t>
      </w:r>
      <w:r w:rsidR="00281B5F" w:rsidRPr="00DF758A">
        <w:rPr>
          <w:rFonts w:eastAsia="Arial" w:cs="Arial"/>
          <w:lang w:bidi="en-US"/>
        </w:rPr>
        <w:t xml:space="preserve"> </w:t>
      </w:r>
      <w:r w:rsidRPr="00DF758A">
        <w:rPr>
          <w:rFonts w:eastAsia="Arial" w:cs="Arial"/>
          <w:lang w:bidi="en-US"/>
        </w:rPr>
        <w:t>which states:</w:t>
      </w:r>
    </w:p>
    <w:p w14:paraId="68E7B686" w14:textId="276C980D" w:rsidR="00EA0815" w:rsidRPr="00DF758A" w:rsidRDefault="00EA0815" w:rsidP="00A95122">
      <w:pPr>
        <w:ind w:left="720"/>
        <w:jc w:val="both"/>
        <w:rPr>
          <w:rFonts w:eastAsia="Arial" w:cs="Arial"/>
          <w:lang w:bidi="en-US"/>
        </w:rPr>
      </w:pPr>
      <w:r w:rsidRPr="00DF758A">
        <w:rPr>
          <w:rFonts w:eastAsia="Arial" w:cs="Arial"/>
          <w:lang w:bidi="en-US"/>
        </w:rPr>
        <w:t xml:space="preserve">We acknowledge this discrepancy and attribute it to inaccuracies within the </w:t>
      </w:r>
      <w:r w:rsidR="00A95122">
        <w:rPr>
          <w:rFonts w:eastAsia="Arial" w:cs="Arial"/>
          <w:lang w:bidi="en-US"/>
        </w:rPr>
        <w:br/>
      </w:r>
      <w:r w:rsidRPr="00DF758A">
        <w:rPr>
          <w:rFonts w:eastAsia="Arial" w:cs="Arial"/>
          <w:lang w:bidi="en-US"/>
        </w:rPr>
        <w:t xml:space="preserve">2024–25 First Interim Report, specifically the reported beginning fund balance of </w:t>
      </w:r>
      <w:r w:rsidR="000F6B38" w:rsidRPr="00DF758A">
        <w:rPr>
          <w:rFonts w:eastAsia="Arial" w:cs="Arial"/>
          <w:lang w:bidi="en-US"/>
        </w:rPr>
        <w:t xml:space="preserve">negative </w:t>
      </w:r>
      <w:r w:rsidRPr="00DF758A">
        <w:rPr>
          <w:rFonts w:eastAsia="Arial" w:cs="Arial"/>
          <w:lang w:bidi="en-US"/>
        </w:rPr>
        <w:t xml:space="preserve">$2,258,911. This figure was submitted during a period of significant leadership transition and did not undergo the necessary level of due diligence. Since then, the </w:t>
      </w:r>
      <w:r w:rsidRPr="00CD6397">
        <w:rPr>
          <w:rFonts w:eastAsia="Arial" w:cs="Arial"/>
          <w:b/>
          <w:bCs/>
          <w:lang w:bidi="en-US"/>
        </w:rPr>
        <w:t>new leadership team has prioritized a comprehensive review and reconciliation of the school</w:t>
      </w:r>
      <w:r w:rsidR="00F8781F" w:rsidRPr="00CD6397">
        <w:rPr>
          <w:rFonts w:eastAsia="Arial" w:cs="Arial"/>
          <w:b/>
          <w:bCs/>
          <w:lang w:bidi="en-US"/>
        </w:rPr>
        <w:t>’</w:t>
      </w:r>
      <w:r w:rsidRPr="00CD6397">
        <w:rPr>
          <w:rFonts w:eastAsia="Arial" w:cs="Arial"/>
          <w:b/>
          <w:bCs/>
          <w:lang w:bidi="en-US"/>
        </w:rPr>
        <w:t>s financial records. This process has resulted in a more accurate financial report and forecast, which is now included for your review</w:t>
      </w:r>
      <w:r w:rsidRPr="00CD6397">
        <w:rPr>
          <w:rFonts w:eastAsia="Arial" w:cs="Arial"/>
          <w:lang w:bidi="en-US"/>
        </w:rPr>
        <w:t>.</w:t>
      </w:r>
      <w:r w:rsidRPr="00DF758A">
        <w:rPr>
          <w:rFonts w:eastAsia="Arial" w:cs="Arial"/>
          <w:lang w:bidi="en-US"/>
        </w:rPr>
        <w:t xml:space="preserve"> We are committed to ensuring the accuracy and transparency of all future financial submissions and are implementing enhanced internal controls to prevent similar discrepancies. The enclosed “Reserve Restoration Plan” link is what has guided our current actions and once adopted by the board, we will revisit and mitigate as needed. (Attachment 2, emphasis added.)</w:t>
      </w:r>
    </w:p>
    <w:p w14:paraId="1C522566" w14:textId="77777777" w:rsidR="00EA0815" w:rsidRPr="00DF758A" w:rsidRDefault="00EA0815" w:rsidP="00EA0815">
      <w:pPr>
        <w:jc w:val="both"/>
        <w:rPr>
          <w:rFonts w:eastAsia="Arial" w:cs="Arial"/>
          <w:lang w:bidi="en-US"/>
        </w:rPr>
      </w:pPr>
      <w:r w:rsidRPr="00DF758A">
        <w:rPr>
          <w:rFonts w:eastAsia="Arial" w:cs="Arial"/>
          <w:lang w:bidi="en-US"/>
        </w:rPr>
        <w:t>Academia Avance describes the following corrective actions taken:</w:t>
      </w:r>
    </w:p>
    <w:p w14:paraId="1671710E" w14:textId="77777777" w:rsidR="00EA0815" w:rsidRPr="0056753F" w:rsidRDefault="00EA0815" w:rsidP="006D67CB">
      <w:pPr>
        <w:pStyle w:val="ListParagraph"/>
        <w:numPr>
          <w:ilvl w:val="0"/>
          <w:numId w:val="8"/>
        </w:numPr>
        <w:contextualSpacing/>
        <w:rPr>
          <w:rFonts w:eastAsia="Arial" w:cs="Arial"/>
          <w:lang w:bidi="en-US"/>
        </w:rPr>
      </w:pPr>
      <w:r w:rsidRPr="0056753F">
        <w:rPr>
          <w:rFonts w:eastAsia="Arial" w:cs="Arial"/>
          <w:lang w:bidi="en-US"/>
        </w:rPr>
        <w:t xml:space="preserve">Leadership Change &amp; Oversight: Since September 2024, the previous leadership team was fully </w:t>
      </w:r>
      <w:proofErr w:type="gramStart"/>
      <w:r w:rsidRPr="0056753F">
        <w:rPr>
          <w:rFonts w:eastAsia="Arial" w:cs="Arial"/>
          <w:lang w:bidi="en-US"/>
        </w:rPr>
        <w:t>replaced</w:t>
      </w:r>
      <w:proofErr w:type="gramEnd"/>
      <w:r w:rsidRPr="0056753F">
        <w:rPr>
          <w:rFonts w:eastAsia="Arial" w:cs="Arial"/>
          <w:lang w:bidi="en-US"/>
        </w:rPr>
        <w:t xml:space="preserve"> and </w:t>
      </w:r>
      <w:proofErr w:type="gramStart"/>
      <w:r w:rsidRPr="0056753F">
        <w:rPr>
          <w:rFonts w:eastAsia="Arial" w:cs="Arial"/>
          <w:lang w:bidi="en-US"/>
        </w:rPr>
        <w:t>new</w:t>
      </w:r>
      <w:proofErr w:type="gramEnd"/>
      <w:r w:rsidRPr="0056753F">
        <w:rPr>
          <w:rFonts w:eastAsia="Arial" w:cs="Arial"/>
          <w:lang w:bidi="en-US"/>
        </w:rPr>
        <w:t xml:space="preserve"> administration team has been established.</w:t>
      </w:r>
    </w:p>
    <w:p w14:paraId="190AE601" w14:textId="77777777" w:rsidR="00EA0815" w:rsidRPr="0056753F" w:rsidRDefault="00EA0815" w:rsidP="006D67CB">
      <w:pPr>
        <w:pStyle w:val="ListParagraph"/>
        <w:numPr>
          <w:ilvl w:val="0"/>
          <w:numId w:val="8"/>
        </w:numPr>
        <w:contextualSpacing/>
        <w:rPr>
          <w:rFonts w:eastAsia="Arial" w:cs="Arial"/>
          <w:lang w:bidi="en-US"/>
        </w:rPr>
      </w:pPr>
      <w:r w:rsidRPr="0056753F">
        <w:rPr>
          <w:rFonts w:eastAsia="Arial" w:cs="Arial"/>
          <w:lang w:bidi="en-US"/>
        </w:rPr>
        <w:t>We have established debt reduction payment plans, reducing expenses, freezing non-essential spending, etc.</w:t>
      </w:r>
    </w:p>
    <w:p w14:paraId="52266584" w14:textId="77777777" w:rsidR="00EA0815" w:rsidRPr="0056753F" w:rsidRDefault="00EA0815" w:rsidP="006D67CB">
      <w:pPr>
        <w:pStyle w:val="ListParagraph"/>
        <w:numPr>
          <w:ilvl w:val="0"/>
          <w:numId w:val="8"/>
        </w:numPr>
        <w:contextualSpacing/>
        <w:rPr>
          <w:rFonts w:eastAsia="Arial" w:cs="Arial"/>
          <w:lang w:bidi="en-US"/>
        </w:rPr>
      </w:pPr>
      <w:r w:rsidRPr="0056753F">
        <w:rPr>
          <w:rFonts w:eastAsia="Arial" w:cs="Arial"/>
          <w:lang w:bidi="en-US"/>
        </w:rPr>
        <w:t>Interim CFO Engagement: A third-party interim CFO is now overseeing all financials, providing expert guidance, and ensuring compliance with financial best practices at no cost to the school.</w:t>
      </w:r>
    </w:p>
    <w:p w14:paraId="261158CA" w14:textId="77777777" w:rsidR="00EA0815" w:rsidRPr="0056753F" w:rsidRDefault="00EA0815" w:rsidP="006D67CB">
      <w:pPr>
        <w:pStyle w:val="ListParagraph"/>
        <w:numPr>
          <w:ilvl w:val="0"/>
          <w:numId w:val="8"/>
        </w:numPr>
        <w:contextualSpacing/>
        <w:rPr>
          <w:rFonts w:eastAsia="Arial" w:cs="Arial"/>
          <w:lang w:bidi="en-US"/>
        </w:rPr>
      </w:pPr>
      <w:r w:rsidRPr="0056753F">
        <w:rPr>
          <w:rFonts w:eastAsia="Arial" w:cs="Arial"/>
          <w:lang w:bidi="en-US"/>
        </w:rPr>
        <w:t>Revised Fiscal Control Policy (December 2024):</w:t>
      </w:r>
    </w:p>
    <w:p w14:paraId="0287FD13" w14:textId="77777777" w:rsidR="00EA0815" w:rsidRPr="0056753F" w:rsidRDefault="00EA0815" w:rsidP="006D67CB">
      <w:pPr>
        <w:pStyle w:val="ListParagraph"/>
        <w:numPr>
          <w:ilvl w:val="1"/>
          <w:numId w:val="8"/>
        </w:numPr>
        <w:contextualSpacing/>
        <w:rPr>
          <w:rFonts w:eastAsia="Arial" w:cs="Arial"/>
          <w:lang w:bidi="en-US"/>
        </w:rPr>
      </w:pPr>
      <w:r w:rsidRPr="0056753F">
        <w:rPr>
          <w:rFonts w:eastAsia="Arial" w:cs="Arial"/>
          <w:lang w:bidi="en-US"/>
        </w:rPr>
        <w:t>Monthly financial reconciliations are conducted and reviewed by the Board Finance Committee.</w:t>
      </w:r>
    </w:p>
    <w:p w14:paraId="36048484" w14:textId="77777777" w:rsidR="00EA0815" w:rsidRPr="0056753F" w:rsidRDefault="00EA0815" w:rsidP="006D67CB">
      <w:pPr>
        <w:pStyle w:val="ListParagraph"/>
        <w:numPr>
          <w:ilvl w:val="1"/>
          <w:numId w:val="8"/>
        </w:numPr>
        <w:contextualSpacing/>
        <w:rPr>
          <w:rFonts w:eastAsia="Arial" w:cs="Arial"/>
          <w:lang w:bidi="en-US"/>
        </w:rPr>
      </w:pPr>
      <w:r w:rsidRPr="0056753F">
        <w:rPr>
          <w:rFonts w:eastAsia="Arial" w:cs="Arial"/>
          <w:lang w:bidi="en-US"/>
        </w:rPr>
        <w:t xml:space="preserve">Monthly Bank statements and fund balances are now </w:t>
      </w:r>
      <w:proofErr w:type="gramStart"/>
      <w:r w:rsidRPr="0056753F">
        <w:rPr>
          <w:rFonts w:eastAsia="Arial" w:cs="Arial"/>
          <w:lang w:bidi="en-US"/>
        </w:rPr>
        <w:t>cross-verified</w:t>
      </w:r>
      <w:proofErr w:type="gramEnd"/>
      <w:r w:rsidRPr="0056753F">
        <w:rPr>
          <w:rFonts w:eastAsia="Arial" w:cs="Arial"/>
          <w:lang w:bidi="en-US"/>
        </w:rPr>
        <w:t xml:space="preserve"> with the general ledger.</w:t>
      </w:r>
    </w:p>
    <w:p w14:paraId="665C81C9" w14:textId="77777777" w:rsidR="00EA0815" w:rsidRPr="0056753F" w:rsidRDefault="00EA0815" w:rsidP="006D67CB">
      <w:pPr>
        <w:pStyle w:val="ListParagraph"/>
        <w:numPr>
          <w:ilvl w:val="1"/>
          <w:numId w:val="8"/>
        </w:numPr>
        <w:contextualSpacing/>
        <w:rPr>
          <w:rFonts w:eastAsia="Arial" w:cs="Arial"/>
          <w:lang w:bidi="en-US"/>
        </w:rPr>
      </w:pPr>
      <w:r w:rsidRPr="0056753F">
        <w:rPr>
          <w:rFonts w:eastAsia="Arial" w:cs="Arial"/>
          <w:lang w:bidi="en-US"/>
        </w:rPr>
        <w:t>New internal control measures ensure that no single employee controls multiple financial functions (receipts, disbursements, reconciliation).</w:t>
      </w:r>
    </w:p>
    <w:p w14:paraId="05EBF7F4" w14:textId="77777777" w:rsidR="00EA0815" w:rsidRPr="0056753F" w:rsidRDefault="00EA0815" w:rsidP="006D67CB">
      <w:pPr>
        <w:pStyle w:val="ListParagraph"/>
        <w:numPr>
          <w:ilvl w:val="0"/>
          <w:numId w:val="8"/>
        </w:numPr>
        <w:contextualSpacing/>
        <w:rPr>
          <w:rFonts w:eastAsia="Arial" w:cs="Arial"/>
          <w:lang w:bidi="en-US"/>
        </w:rPr>
      </w:pPr>
      <w:r w:rsidRPr="0056753F">
        <w:rPr>
          <w:rFonts w:eastAsia="Arial" w:cs="Arial"/>
          <w:lang w:bidi="en-US"/>
        </w:rPr>
        <w:t>Audit Process Strengthening:</w:t>
      </w:r>
    </w:p>
    <w:p w14:paraId="48940FC0" w14:textId="77777777" w:rsidR="00EA0815" w:rsidRPr="0056753F" w:rsidRDefault="00EA0815" w:rsidP="006D67CB">
      <w:pPr>
        <w:pStyle w:val="ListParagraph"/>
        <w:numPr>
          <w:ilvl w:val="1"/>
          <w:numId w:val="8"/>
        </w:numPr>
        <w:contextualSpacing/>
        <w:rPr>
          <w:rFonts w:eastAsia="Arial" w:cs="Arial"/>
          <w:lang w:bidi="en-US"/>
        </w:rPr>
      </w:pPr>
      <w:r w:rsidRPr="0056753F">
        <w:rPr>
          <w:rFonts w:eastAsia="Arial" w:cs="Arial"/>
          <w:lang w:bidi="en-US"/>
        </w:rPr>
        <w:t>Annual Independent audits will continue, with any identified discrepancies reviewed and addressed immediately.</w:t>
      </w:r>
    </w:p>
    <w:p w14:paraId="732D16DB" w14:textId="5DF3151A" w:rsidR="00EA0815" w:rsidRPr="0056753F" w:rsidRDefault="00EA0815" w:rsidP="00EA0815">
      <w:pPr>
        <w:rPr>
          <w:rFonts w:eastAsia="Arial" w:cs="Arial"/>
          <w:lang w:bidi="en-US"/>
        </w:rPr>
      </w:pPr>
      <w:r w:rsidRPr="0056753F">
        <w:rPr>
          <w:rFonts w:eastAsia="Arial" w:cs="Arial"/>
          <w:lang w:bidi="en-US"/>
        </w:rPr>
        <w:t xml:space="preserve">Following Academia Avance’s leadership transition in September 2024, it prepared a January 2025 budget update (Attachment </w:t>
      </w:r>
      <w:r w:rsidR="001A4186">
        <w:rPr>
          <w:rFonts w:eastAsia="Arial" w:cs="Arial"/>
          <w:lang w:bidi="en-US"/>
        </w:rPr>
        <w:t>9</w:t>
      </w:r>
      <w:r w:rsidRPr="0056753F">
        <w:rPr>
          <w:rFonts w:eastAsia="Arial" w:cs="Arial"/>
          <w:lang w:bidi="en-US"/>
        </w:rPr>
        <w:t xml:space="preserve">). In </w:t>
      </w:r>
      <w:r w:rsidR="006D67CB" w:rsidRPr="0056753F">
        <w:rPr>
          <w:rFonts w:eastAsia="Arial" w:cs="Arial"/>
          <w:lang w:bidi="en-US"/>
        </w:rPr>
        <w:t>the R</w:t>
      </w:r>
      <w:r w:rsidRPr="0056753F">
        <w:rPr>
          <w:rFonts w:eastAsia="Arial" w:cs="Arial"/>
          <w:lang w:bidi="en-US"/>
        </w:rPr>
        <w:t xml:space="preserve">esponse to the </w:t>
      </w:r>
      <w:r w:rsidR="006D67CB" w:rsidRPr="0056753F">
        <w:t>Notice of Violation</w:t>
      </w:r>
      <w:r w:rsidRPr="0056753F">
        <w:rPr>
          <w:rFonts w:eastAsia="Arial" w:cs="Arial"/>
          <w:lang w:bidi="en-US"/>
        </w:rPr>
        <w:t xml:space="preserve">, Academia Avance submitted a March 2025 budget update (Attachment </w:t>
      </w:r>
      <w:r w:rsidR="001A4186">
        <w:rPr>
          <w:rFonts w:eastAsia="Arial" w:cs="Arial"/>
          <w:lang w:bidi="en-US"/>
        </w:rPr>
        <w:t>4</w:t>
      </w:r>
      <w:r w:rsidRPr="0056753F">
        <w:rPr>
          <w:rFonts w:eastAsia="Arial" w:cs="Arial"/>
          <w:lang w:bidi="en-US"/>
        </w:rPr>
        <w:t>).</w:t>
      </w:r>
    </w:p>
    <w:p w14:paraId="23D2D528" w14:textId="56904FF5" w:rsidR="00EA0815" w:rsidRPr="0056753F" w:rsidRDefault="00EA0815" w:rsidP="00EA0815">
      <w:pPr>
        <w:rPr>
          <w:rFonts w:eastAsia="Arial" w:cs="Arial"/>
          <w:lang w:bidi="en-US"/>
        </w:rPr>
      </w:pPr>
      <w:r w:rsidRPr="0056753F">
        <w:rPr>
          <w:rFonts w:eastAsia="Arial" w:cs="Arial"/>
          <w:lang w:bidi="en-US"/>
        </w:rPr>
        <w:lastRenderedPageBreak/>
        <w:t xml:space="preserve">The January 2025 budget update includes a multi-year projection of annual oversight fees ranging from $28,847 to $34,022 between 2024–25 to 2028–29 which is reasonable based on Academia Avance’s enrollment of </w:t>
      </w:r>
      <w:r w:rsidR="008933F5">
        <w:rPr>
          <w:rFonts w:eastAsia="Arial" w:cs="Arial"/>
          <w:lang w:bidi="en-US"/>
        </w:rPr>
        <w:t>199.10</w:t>
      </w:r>
      <w:r w:rsidRPr="0056753F">
        <w:rPr>
          <w:rFonts w:eastAsia="Arial" w:cs="Arial"/>
          <w:lang w:bidi="en-US"/>
        </w:rPr>
        <w:t xml:space="preserve"> students (Attachment </w:t>
      </w:r>
      <w:r w:rsidR="001A4186">
        <w:rPr>
          <w:rFonts w:eastAsia="Arial" w:cs="Arial"/>
          <w:lang w:bidi="en-US"/>
        </w:rPr>
        <w:t>9</w:t>
      </w:r>
      <w:r w:rsidRPr="0056753F">
        <w:rPr>
          <w:rFonts w:eastAsia="Arial" w:cs="Arial"/>
          <w:lang w:bidi="en-US"/>
        </w:rPr>
        <w:t xml:space="preserve">, </w:t>
      </w:r>
      <w:r w:rsidRPr="00985BB9">
        <w:rPr>
          <w:rFonts w:eastAsia="Arial" w:cs="Arial"/>
          <w:lang w:bidi="en-US"/>
        </w:rPr>
        <w:t>p. 12</w:t>
      </w:r>
      <w:r w:rsidRPr="0056753F">
        <w:rPr>
          <w:rFonts w:eastAsia="Arial" w:cs="Arial"/>
          <w:lang w:bidi="en-US"/>
        </w:rPr>
        <w:t>).</w:t>
      </w:r>
      <w:r w:rsidRPr="0056753F">
        <w:rPr>
          <w:rStyle w:val="FootnoteReference"/>
          <w:rFonts w:eastAsia="Arial" w:cs="Arial"/>
          <w:lang w:bidi="en-US"/>
        </w:rPr>
        <w:footnoteReference w:id="4"/>
      </w:r>
      <w:r w:rsidRPr="0056753F">
        <w:rPr>
          <w:rFonts w:eastAsia="Arial" w:cs="Arial"/>
          <w:lang w:bidi="en-US"/>
        </w:rPr>
        <w:t xml:space="preserve"> However, the March 2025 budget update projects $529 for 2024–25, which is unrealistic and does not align with the subsequent projections ranging from $30,089 to $33,406 between 2025–26 to 2028–29 (Attachment </w:t>
      </w:r>
      <w:r w:rsidR="001A4186">
        <w:rPr>
          <w:rFonts w:eastAsia="Arial" w:cs="Arial"/>
          <w:lang w:bidi="en-US"/>
        </w:rPr>
        <w:t>4</w:t>
      </w:r>
      <w:r w:rsidRPr="0056753F">
        <w:rPr>
          <w:rFonts w:eastAsia="Arial" w:cs="Arial"/>
          <w:lang w:bidi="en-US"/>
        </w:rPr>
        <w:t xml:space="preserve">, p. </w:t>
      </w:r>
      <w:r w:rsidRPr="00225EE6">
        <w:rPr>
          <w:rFonts w:eastAsia="Arial" w:cs="Arial"/>
          <w:lang w:bidi="en-US"/>
        </w:rPr>
        <w:t>12).</w:t>
      </w:r>
    </w:p>
    <w:p w14:paraId="6A483446" w14:textId="77777777" w:rsidR="00EA0815" w:rsidRPr="0056753F" w:rsidRDefault="00EA0815" w:rsidP="00EA0815">
      <w:pPr>
        <w:spacing w:before="240"/>
        <w:rPr>
          <w:rFonts w:cs="Arial"/>
          <w:i/>
          <w:iCs/>
        </w:rPr>
      </w:pPr>
      <w:r w:rsidRPr="0056753F">
        <w:rPr>
          <w:rFonts w:cs="Arial"/>
          <w:i/>
          <w:iCs/>
        </w:rPr>
        <w:t>Table. Academia Avance’s Oversight Fee Projections as of January 2025</w:t>
      </w:r>
    </w:p>
    <w:tbl>
      <w:tblPr>
        <w:tblStyle w:val="TableGrid"/>
        <w:tblW w:w="3361" w:type="dxa"/>
        <w:tblLook w:val="04A0" w:firstRow="1" w:lastRow="0" w:firstColumn="1" w:lastColumn="0" w:noHBand="0" w:noVBand="1"/>
        <w:tblDescription w:val="Academia Avance’s Oversight Fee Projections as of January 2025"/>
      </w:tblPr>
      <w:tblGrid>
        <w:gridCol w:w="1795"/>
        <w:gridCol w:w="1566"/>
      </w:tblGrid>
      <w:tr w:rsidR="00CD6397" w:rsidRPr="0056753F" w14:paraId="5BD46C00" w14:textId="77777777" w:rsidTr="00C62811">
        <w:trPr>
          <w:cantSplit/>
          <w:trHeight w:val="576"/>
          <w:tblHeader/>
        </w:trPr>
        <w:tc>
          <w:tcPr>
            <w:tcW w:w="1795" w:type="dxa"/>
            <w:shd w:val="clear" w:color="auto" w:fill="D9D9D9" w:themeFill="background1" w:themeFillShade="D9"/>
            <w:vAlign w:val="center"/>
          </w:tcPr>
          <w:p w14:paraId="6F0A4BFA" w14:textId="71FAC257" w:rsidR="00CD6397" w:rsidRPr="0056753F" w:rsidRDefault="00CD6397" w:rsidP="0027098B">
            <w:pPr>
              <w:jc w:val="center"/>
              <w:rPr>
                <w:rFonts w:cs="Arial"/>
                <w:b/>
                <w:bCs/>
              </w:rPr>
            </w:pPr>
            <w:r>
              <w:rPr>
                <w:rFonts w:cs="Arial"/>
                <w:b/>
                <w:bCs/>
              </w:rPr>
              <w:t>Fiscal Year</w:t>
            </w:r>
          </w:p>
        </w:tc>
        <w:tc>
          <w:tcPr>
            <w:tcW w:w="1566" w:type="dxa"/>
            <w:shd w:val="clear" w:color="auto" w:fill="D9D9D9" w:themeFill="background1" w:themeFillShade="D9"/>
            <w:vAlign w:val="center"/>
          </w:tcPr>
          <w:p w14:paraId="79119AE5" w14:textId="2CA5D33A" w:rsidR="00CD6397" w:rsidRPr="0056753F" w:rsidRDefault="00CD6397" w:rsidP="0027098B">
            <w:pPr>
              <w:jc w:val="center"/>
              <w:rPr>
                <w:rFonts w:cs="Arial"/>
                <w:b/>
                <w:bCs/>
              </w:rPr>
            </w:pPr>
            <w:r>
              <w:rPr>
                <w:rFonts w:cs="Arial"/>
                <w:b/>
                <w:bCs/>
              </w:rPr>
              <w:t>Oversight Fee</w:t>
            </w:r>
          </w:p>
        </w:tc>
      </w:tr>
      <w:tr w:rsidR="00CD6397" w:rsidRPr="0056753F" w14:paraId="0BEB7FB7" w14:textId="77777777" w:rsidTr="00C62811">
        <w:trPr>
          <w:cantSplit/>
        </w:trPr>
        <w:tc>
          <w:tcPr>
            <w:tcW w:w="1795" w:type="dxa"/>
          </w:tcPr>
          <w:p w14:paraId="7F401157" w14:textId="4DF98B04" w:rsidR="00CD6397" w:rsidRPr="0056753F" w:rsidRDefault="00CD6397" w:rsidP="0027098B">
            <w:pPr>
              <w:jc w:val="center"/>
              <w:rPr>
                <w:rFonts w:cs="Arial"/>
              </w:rPr>
            </w:pPr>
            <w:r>
              <w:rPr>
                <w:rFonts w:cs="Arial"/>
              </w:rPr>
              <w:t>2024-25</w:t>
            </w:r>
          </w:p>
        </w:tc>
        <w:tc>
          <w:tcPr>
            <w:tcW w:w="1566" w:type="dxa"/>
          </w:tcPr>
          <w:p w14:paraId="57E63289" w14:textId="47A8D17F" w:rsidR="00CD6397" w:rsidRPr="0056753F" w:rsidRDefault="00CD6397" w:rsidP="0027098B">
            <w:pPr>
              <w:jc w:val="center"/>
              <w:rPr>
                <w:rFonts w:cs="Arial"/>
              </w:rPr>
            </w:pPr>
            <w:r>
              <w:rPr>
                <w:rFonts w:cs="Arial"/>
              </w:rPr>
              <w:t>$28,847</w:t>
            </w:r>
          </w:p>
        </w:tc>
      </w:tr>
      <w:tr w:rsidR="00CD6397" w:rsidRPr="0056753F" w14:paraId="3981C730" w14:textId="77777777" w:rsidTr="00C62811">
        <w:trPr>
          <w:cantSplit/>
        </w:trPr>
        <w:tc>
          <w:tcPr>
            <w:tcW w:w="1795" w:type="dxa"/>
          </w:tcPr>
          <w:p w14:paraId="727BD7CF" w14:textId="3E97D190" w:rsidR="00CD6397" w:rsidRDefault="00CD6397" w:rsidP="0027098B">
            <w:pPr>
              <w:jc w:val="center"/>
              <w:rPr>
                <w:rFonts w:cs="Arial"/>
              </w:rPr>
            </w:pPr>
            <w:r>
              <w:rPr>
                <w:rFonts w:cs="Arial"/>
              </w:rPr>
              <w:t>2025-26</w:t>
            </w:r>
          </w:p>
        </w:tc>
        <w:tc>
          <w:tcPr>
            <w:tcW w:w="1566" w:type="dxa"/>
          </w:tcPr>
          <w:p w14:paraId="14130A60" w14:textId="0B82D151" w:rsidR="00CD6397" w:rsidRDefault="00CD6397" w:rsidP="0027098B">
            <w:pPr>
              <w:jc w:val="center"/>
              <w:rPr>
                <w:rFonts w:cs="Arial"/>
              </w:rPr>
            </w:pPr>
            <w:r>
              <w:rPr>
                <w:rFonts w:cs="Arial"/>
              </w:rPr>
              <w:t>$30,035</w:t>
            </w:r>
          </w:p>
        </w:tc>
      </w:tr>
      <w:tr w:rsidR="00CD6397" w:rsidRPr="0056753F" w14:paraId="2B8E7C12" w14:textId="77777777" w:rsidTr="00C62811">
        <w:trPr>
          <w:cantSplit/>
        </w:trPr>
        <w:tc>
          <w:tcPr>
            <w:tcW w:w="1795" w:type="dxa"/>
          </w:tcPr>
          <w:p w14:paraId="0831D22B" w14:textId="393A0588" w:rsidR="00CD6397" w:rsidRDefault="00CD6397" w:rsidP="0027098B">
            <w:pPr>
              <w:jc w:val="center"/>
              <w:rPr>
                <w:rFonts w:cs="Arial"/>
              </w:rPr>
            </w:pPr>
            <w:r>
              <w:rPr>
                <w:rFonts w:cs="Arial"/>
              </w:rPr>
              <w:t>2026-27</w:t>
            </w:r>
          </w:p>
        </w:tc>
        <w:tc>
          <w:tcPr>
            <w:tcW w:w="1566" w:type="dxa"/>
          </w:tcPr>
          <w:p w14:paraId="7A586102" w14:textId="019018DE" w:rsidR="00CD6397" w:rsidRDefault="00CD6397" w:rsidP="0027098B">
            <w:pPr>
              <w:jc w:val="center"/>
              <w:rPr>
                <w:rFonts w:cs="Arial"/>
              </w:rPr>
            </w:pPr>
            <w:r>
              <w:rPr>
                <w:rFonts w:cs="Arial"/>
              </w:rPr>
              <w:t>$31,724</w:t>
            </w:r>
          </w:p>
        </w:tc>
      </w:tr>
      <w:tr w:rsidR="00CD6397" w:rsidRPr="0056753F" w14:paraId="3462FF60" w14:textId="77777777" w:rsidTr="00C62811">
        <w:trPr>
          <w:cantSplit/>
        </w:trPr>
        <w:tc>
          <w:tcPr>
            <w:tcW w:w="1795" w:type="dxa"/>
          </w:tcPr>
          <w:p w14:paraId="41544875" w14:textId="2499A52C" w:rsidR="00CD6397" w:rsidRDefault="00CD6397" w:rsidP="0027098B">
            <w:pPr>
              <w:jc w:val="center"/>
              <w:rPr>
                <w:rFonts w:cs="Arial"/>
              </w:rPr>
            </w:pPr>
            <w:r>
              <w:rPr>
                <w:rFonts w:cs="Arial"/>
              </w:rPr>
              <w:t>2027-28</w:t>
            </w:r>
          </w:p>
        </w:tc>
        <w:tc>
          <w:tcPr>
            <w:tcW w:w="1566" w:type="dxa"/>
          </w:tcPr>
          <w:p w14:paraId="596C8CD0" w14:textId="501177A8" w:rsidR="00CD6397" w:rsidRDefault="00CD6397" w:rsidP="0027098B">
            <w:pPr>
              <w:jc w:val="center"/>
              <w:rPr>
                <w:rFonts w:cs="Arial"/>
              </w:rPr>
            </w:pPr>
            <w:r>
              <w:rPr>
                <w:rFonts w:cs="Arial"/>
              </w:rPr>
              <w:t>$32,874</w:t>
            </w:r>
          </w:p>
        </w:tc>
      </w:tr>
      <w:tr w:rsidR="00CD6397" w:rsidRPr="0056753F" w14:paraId="0B4EB1D9" w14:textId="77777777" w:rsidTr="00C62811">
        <w:trPr>
          <w:cantSplit/>
        </w:trPr>
        <w:tc>
          <w:tcPr>
            <w:tcW w:w="1795" w:type="dxa"/>
          </w:tcPr>
          <w:p w14:paraId="3CB7AEFA" w14:textId="072448B3" w:rsidR="00CD6397" w:rsidRDefault="00CD6397" w:rsidP="0027098B">
            <w:pPr>
              <w:jc w:val="center"/>
              <w:rPr>
                <w:rFonts w:cs="Arial"/>
              </w:rPr>
            </w:pPr>
            <w:r>
              <w:rPr>
                <w:rFonts w:cs="Arial"/>
              </w:rPr>
              <w:t>2028-29</w:t>
            </w:r>
          </w:p>
        </w:tc>
        <w:tc>
          <w:tcPr>
            <w:tcW w:w="1566" w:type="dxa"/>
          </w:tcPr>
          <w:p w14:paraId="6DC074D3" w14:textId="732DD2DD" w:rsidR="00CD6397" w:rsidRDefault="00CD6397" w:rsidP="0027098B">
            <w:pPr>
              <w:jc w:val="center"/>
              <w:rPr>
                <w:rFonts w:cs="Arial"/>
              </w:rPr>
            </w:pPr>
            <w:r>
              <w:rPr>
                <w:rFonts w:cs="Arial"/>
              </w:rPr>
              <w:t>$34,022</w:t>
            </w:r>
          </w:p>
        </w:tc>
      </w:tr>
    </w:tbl>
    <w:p w14:paraId="648F4F78" w14:textId="77777777" w:rsidR="00EA0815" w:rsidRPr="0056753F" w:rsidRDefault="00EA0815" w:rsidP="00EA0815">
      <w:pPr>
        <w:spacing w:before="240"/>
        <w:rPr>
          <w:rFonts w:cs="Arial"/>
          <w:i/>
          <w:iCs/>
        </w:rPr>
      </w:pPr>
      <w:r w:rsidRPr="0056753F">
        <w:rPr>
          <w:rFonts w:cs="Arial"/>
          <w:i/>
          <w:iCs/>
        </w:rPr>
        <w:t>Table. Academia Avance’s Oversight Fee Projections as of March 2025</w:t>
      </w:r>
    </w:p>
    <w:tbl>
      <w:tblPr>
        <w:tblStyle w:val="TableGrid"/>
        <w:tblW w:w="3361" w:type="dxa"/>
        <w:tblLook w:val="04A0" w:firstRow="1" w:lastRow="0" w:firstColumn="1" w:lastColumn="0" w:noHBand="0" w:noVBand="1"/>
        <w:tblDescription w:val="Academia Avance’s Oversight Fee Projections as of March 2025"/>
      </w:tblPr>
      <w:tblGrid>
        <w:gridCol w:w="1795"/>
        <w:gridCol w:w="1566"/>
      </w:tblGrid>
      <w:tr w:rsidR="00E06CCD" w:rsidRPr="0056753F" w14:paraId="7E142029" w14:textId="77777777" w:rsidTr="00C62811">
        <w:trPr>
          <w:cantSplit/>
          <w:trHeight w:val="576"/>
          <w:tblHeader/>
        </w:trPr>
        <w:tc>
          <w:tcPr>
            <w:tcW w:w="1795" w:type="dxa"/>
            <w:shd w:val="clear" w:color="auto" w:fill="D9D9D9" w:themeFill="background1" w:themeFillShade="D9"/>
            <w:vAlign w:val="center"/>
          </w:tcPr>
          <w:p w14:paraId="68E88D13" w14:textId="43F94134" w:rsidR="00E06CCD" w:rsidRPr="0056753F" w:rsidRDefault="00E06CCD" w:rsidP="0027098B">
            <w:pPr>
              <w:jc w:val="center"/>
              <w:rPr>
                <w:rFonts w:cs="Arial"/>
                <w:b/>
                <w:bCs/>
              </w:rPr>
            </w:pPr>
            <w:r>
              <w:rPr>
                <w:rFonts w:cs="Arial"/>
                <w:b/>
                <w:bCs/>
              </w:rPr>
              <w:t>Fiscal Year</w:t>
            </w:r>
          </w:p>
        </w:tc>
        <w:tc>
          <w:tcPr>
            <w:tcW w:w="1566" w:type="dxa"/>
            <w:shd w:val="clear" w:color="auto" w:fill="D9D9D9" w:themeFill="background1" w:themeFillShade="D9"/>
            <w:vAlign w:val="center"/>
          </w:tcPr>
          <w:p w14:paraId="3C7913FA" w14:textId="0EA851D9" w:rsidR="00E06CCD" w:rsidRPr="0056753F" w:rsidRDefault="00E06CCD" w:rsidP="0027098B">
            <w:pPr>
              <w:jc w:val="center"/>
              <w:rPr>
                <w:rFonts w:cs="Arial"/>
                <w:b/>
                <w:bCs/>
              </w:rPr>
            </w:pPr>
            <w:r>
              <w:rPr>
                <w:rFonts w:cs="Arial"/>
                <w:b/>
                <w:bCs/>
              </w:rPr>
              <w:t>Oversight Fee</w:t>
            </w:r>
          </w:p>
        </w:tc>
      </w:tr>
      <w:tr w:rsidR="00E06CCD" w:rsidRPr="0056753F" w14:paraId="0541D181" w14:textId="77777777" w:rsidTr="00C62811">
        <w:trPr>
          <w:cantSplit/>
        </w:trPr>
        <w:tc>
          <w:tcPr>
            <w:tcW w:w="1795" w:type="dxa"/>
          </w:tcPr>
          <w:p w14:paraId="6522BCE4" w14:textId="7BEBA93A" w:rsidR="00E06CCD" w:rsidRPr="0056753F" w:rsidRDefault="00E06CCD" w:rsidP="0027098B">
            <w:pPr>
              <w:jc w:val="center"/>
              <w:rPr>
                <w:rFonts w:cs="Arial"/>
              </w:rPr>
            </w:pPr>
            <w:r>
              <w:rPr>
                <w:rFonts w:cs="Arial"/>
              </w:rPr>
              <w:t>2024-25</w:t>
            </w:r>
          </w:p>
        </w:tc>
        <w:tc>
          <w:tcPr>
            <w:tcW w:w="1566" w:type="dxa"/>
          </w:tcPr>
          <w:p w14:paraId="00B55FF5" w14:textId="77777777" w:rsidR="00E06CCD" w:rsidRPr="0056753F" w:rsidRDefault="00E06CCD" w:rsidP="0027098B">
            <w:pPr>
              <w:jc w:val="center"/>
              <w:rPr>
                <w:rFonts w:cs="Arial"/>
              </w:rPr>
            </w:pPr>
            <w:r w:rsidRPr="0056753F">
              <w:rPr>
                <w:rFonts w:cs="Arial"/>
              </w:rPr>
              <w:t>$529</w:t>
            </w:r>
          </w:p>
        </w:tc>
      </w:tr>
      <w:tr w:rsidR="00E06CCD" w:rsidRPr="0056753F" w14:paraId="3A0B32FD" w14:textId="77777777" w:rsidTr="00C62811">
        <w:trPr>
          <w:cantSplit/>
        </w:trPr>
        <w:tc>
          <w:tcPr>
            <w:tcW w:w="1795" w:type="dxa"/>
          </w:tcPr>
          <w:p w14:paraId="6AC30DAB" w14:textId="27ADC327" w:rsidR="00E06CCD" w:rsidRDefault="00E06CCD" w:rsidP="0027098B">
            <w:pPr>
              <w:jc w:val="center"/>
              <w:rPr>
                <w:rFonts w:cs="Arial"/>
              </w:rPr>
            </w:pPr>
            <w:r>
              <w:rPr>
                <w:rFonts w:cs="Arial"/>
              </w:rPr>
              <w:t>2025-26</w:t>
            </w:r>
          </w:p>
        </w:tc>
        <w:tc>
          <w:tcPr>
            <w:tcW w:w="1566" w:type="dxa"/>
          </w:tcPr>
          <w:p w14:paraId="57F042D8" w14:textId="6A99DD92" w:rsidR="00E06CCD" w:rsidRPr="0056753F" w:rsidRDefault="00E06CCD" w:rsidP="0027098B">
            <w:pPr>
              <w:jc w:val="center"/>
              <w:rPr>
                <w:rFonts w:cs="Arial"/>
              </w:rPr>
            </w:pPr>
            <w:r w:rsidRPr="0056753F">
              <w:rPr>
                <w:rFonts w:cs="Arial"/>
              </w:rPr>
              <w:t>$30,089</w:t>
            </w:r>
          </w:p>
        </w:tc>
      </w:tr>
      <w:tr w:rsidR="00E06CCD" w:rsidRPr="0056753F" w14:paraId="49A22C75" w14:textId="77777777" w:rsidTr="00C62811">
        <w:trPr>
          <w:cantSplit/>
        </w:trPr>
        <w:tc>
          <w:tcPr>
            <w:tcW w:w="1795" w:type="dxa"/>
          </w:tcPr>
          <w:p w14:paraId="6091CD34" w14:textId="0AA30969" w:rsidR="00E06CCD" w:rsidRPr="0056753F" w:rsidRDefault="00E06CCD" w:rsidP="0027098B">
            <w:pPr>
              <w:jc w:val="center"/>
              <w:rPr>
                <w:rFonts w:cs="Arial"/>
              </w:rPr>
            </w:pPr>
            <w:r>
              <w:rPr>
                <w:rFonts w:cs="Arial"/>
              </w:rPr>
              <w:t>2026-27</w:t>
            </w:r>
          </w:p>
        </w:tc>
        <w:tc>
          <w:tcPr>
            <w:tcW w:w="1566" w:type="dxa"/>
          </w:tcPr>
          <w:p w14:paraId="547A37CE" w14:textId="79448DE3" w:rsidR="00E06CCD" w:rsidRPr="0056753F" w:rsidRDefault="00E06CCD" w:rsidP="0027098B">
            <w:pPr>
              <w:jc w:val="center"/>
              <w:rPr>
                <w:rFonts w:cs="Arial"/>
              </w:rPr>
            </w:pPr>
            <w:r w:rsidRPr="0056753F">
              <w:rPr>
                <w:rFonts w:cs="Arial"/>
              </w:rPr>
              <w:t>$31,150</w:t>
            </w:r>
          </w:p>
        </w:tc>
      </w:tr>
      <w:tr w:rsidR="00E06CCD" w:rsidRPr="0056753F" w14:paraId="2FC14DBF" w14:textId="77777777" w:rsidTr="00C62811">
        <w:trPr>
          <w:cantSplit/>
        </w:trPr>
        <w:tc>
          <w:tcPr>
            <w:tcW w:w="1795" w:type="dxa"/>
          </w:tcPr>
          <w:p w14:paraId="029FE4E3" w14:textId="4D285FCA" w:rsidR="00E06CCD" w:rsidRPr="0056753F" w:rsidRDefault="00E06CCD" w:rsidP="0027098B">
            <w:pPr>
              <w:jc w:val="center"/>
              <w:rPr>
                <w:rFonts w:cs="Arial"/>
              </w:rPr>
            </w:pPr>
            <w:r>
              <w:rPr>
                <w:rFonts w:cs="Arial"/>
              </w:rPr>
              <w:t>2027-28</w:t>
            </w:r>
          </w:p>
        </w:tc>
        <w:tc>
          <w:tcPr>
            <w:tcW w:w="1566" w:type="dxa"/>
          </w:tcPr>
          <w:p w14:paraId="4B1C813A" w14:textId="1383BB8D" w:rsidR="00E06CCD" w:rsidRPr="0056753F" w:rsidRDefault="00E06CCD" w:rsidP="0027098B">
            <w:pPr>
              <w:jc w:val="center"/>
              <w:rPr>
                <w:rFonts w:cs="Arial"/>
              </w:rPr>
            </w:pPr>
            <w:r w:rsidRPr="0056753F">
              <w:rPr>
                <w:rFonts w:cs="Arial"/>
              </w:rPr>
              <w:t>$32,279</w:t>
            </w:r>
          </w:p>
        </w:tc>
      </w:tr>
      <w:tr w:rsidR="00E06CCD" w:rsidRPr="0056753F" w14:paraId="4FCCFA73" w14:textId="77777777" w:rsidTr="00C62811">
        <w:trPr>
          <w:cantSplit/>
        </w:trPr>
        <w:tc>
          <w:tcPr>
            <w:tcW w:w="1795" w:type="dxa"/>
          </w:tcPr>
          <w:p w14:paraId="18F1B167" w14:textId="1D03ABC2" w:rsidR="00E06CCD" w:rsidRPr="0056753F" w:rsidRDefault="00E06CCD" w:rsidP="0027098B">
            <w:pPr>
              <w:jc w:val="center"/>
              <w:rPr>
                <w:rFonts w:cs="Arial"/>
              </w:rPr>
            </w:pPr>
            <w:r>
              <w:rPr>
                <w:rFonts w:cs="Arial"/>
              </w:rPr>
              <w:t>2028-29</w:t>
            </w:r>
          </w:p>
        </w:tc>
        <w:tc>
          <w:tcPr>
            <w:tcW w:w="1566" w:type="dxa"/>
          </w:tcPr>
          <w:p w14:paraId="0B2F7D29" w14:textId="1B3D318B" w:rsidR="00E06CCD" w:rsidRPr="0056753F" w:rsidRDefault="00E06CCD" w:rsidP="0027098B">
            <w:pPr>
              <w:jc w:val="center"/>
              <w:rPr>
                <w:rFonts w:cs="Arial"/>
              </w:rPr>
            </w:pPr>
            <w:r w:rsidRPr="0056753F">
              <w:rPr>
                <w:rFonts w:cs="Arial"/>
              </w:rPr>
              <w:t>$33,406</w:t>
            </w:r>
          </w:p>
        </w:tc>
      </w:tr>
    </w:tbl>
    <w:p w14:paraId="490EE77A" w14:textId="6765A48C" w:rsidR="00EA0815" w:rsidRPr="0056753F" w:rsidRDefault="00EA0815" w:rsidP="00EA0815">
      <w:pPr>
        <w:rPr>
          <w:rFonts w:eastAsia="Arial" w:cs="Arial"/>
          <w:lang w:bidi="en-US"/>
        </w:rPr>
      </w:pPr>
      <w:r w:rsidRPr="0056753F">
        <w:rPr>
          <w:rFonts w:eastAsia="Arial" w:cs="Arial"/>
          <w:lang w:bidi="en-US"/>
        </w:rPr>
        <w:br/>
        <w:t xml:space="preserve">Academia Avance’s oversight fee projections submitted as part of its Response to the </w:t>
      </w:r>
      <w:r w:rsidR="006D67CB" w:rsidRPr="0056753F">
        <w:t>Notice of Violation</w:t>
      </w:r>
      <w:r w:rsidR="006D67CB" w:rsidRPr="0056753F">
        <w:rPr>
          <w:rFonts w:eastAsia="Arial" w:cs="Arial"/>
          <w:lang w:bidi="en-US"/>
        </w:rPr>
        <w:t xml:space="preserve"> </w:t>
      </w:r>
      <w:r w:rsidRPr="0056753F">
        <w:rPr>
          <w:rFonts w:eastAsia="Arial" w:cs="Arial"/>
          <w:lang w:bidi="en-US"/>
        </w:rPr>
        <w:t xml:space="preserve">on March 13, 2025, demonstrates ineffective internal controls because the calculation is </w:t>
      </w:r>
      <w:proofErr w:type="gramStart"/>
      <w:r w:rsidRPr="0056753F">
        <w:rPr>
          <w:rFonts w:eastAsia="Arial" w:cs="Arial"/>
          <w:lang w:bidi="en-US"/>
        </w:rPr>
        <w:t>unrealistic</w:t>
      </w:r>
      <w:proofErr w:type="gramEnd"/>
      <w:r w:rsidRPr="0056753F">
        <w:rPr>
          <w:rFonts w:eastAsia="Arial" w:cs="Arial"/>
          <w:lang w:bidi="en-US"/>
        </w:rPr>
        <w:t xml:space="preserve"> and the anomaly was not identified by the new leadership as part of its expanded review process. </w:t>
      </w:r>
      <w:r w:rsidR="001247C0">
        <w:rPr>
          <w:rFonts w:eastAsia="Arial" w:cs="Arial"/>
          <w:lang w:bidi="en-US"/>
        </w:rPr>
        <w:t xml:space="preserve">Additionally, </w:t>
      </w:r>
      <w:r w:rsidR="00C87B4D">
        <w:rPr>
          <w:rFonts w:eastAsia="Arial" w:cs="Arial"/>
          <w:lang w:bidi="en-US"/>
        </w:rPr>
        <w:t>Academia Avance developed</w:t>
      </w:r>
      <w:r w:rsidR="001247C0">
        <w:rPr>
          <w:rFonts w:eastAsia="Arial" w:cs="Arial"/>
          <w:lang w:bidi="en-US"/>
        </w:rPr>
        <w:t xml:space="preserve"> the January 2025 and March 2025 </w:t>
      </w:r>
      <w:r w:rsidR="009507E2">
        <w:rPr>
          <w:rFonts w:eastAsia="Arial" w:cs="Arial"/>
          <w:lang w:bidi="en-US"/>
        </w:rPr>
        <w:t xml:space="preserve">budget updates without a completed </w:t>
      </w:r>
      <w:r w:rsidR="009507E2">
        <w:rPr>
          <w:rFonts w:eastAsia="Arial" w:cs="Arial"/>
          <w:lang w:bidi="en-US"/>
        </w:rPr>
        <w:lastRenderedPageBreak/>
        <w:t>independent financial audit report</w:t>
      </w:r>
      <w:r w:rsidR="0052714A">
        <w:rPr>
          <w:rFonts w:eastAsia="Arial" w:cs="Arial"/>
          <w:lang w:bidi="en-US"/>
        </w:rPr>
        <w:t xml:space="preserve"> for fiscal year 2023</w:t>
      </w:r>
      <w:r w:rsidR="0052714A" w:rsidRPr="0052714A">
        <w:rPr>
          <w:rFonts w:cs="Arial"/>
        </w:rPr>
        <w:t>–</w:t>
      </w:r>
      <w:r w:rsidR="0052714A">
        <w:rPr>
          <w:rFonts w:eastAsia="Arial" w:cs="Arial"/>
          <w:lang w:bidi="en-US"/>
        </w:rPr>
        <w:t>24.</w:t>
      </w:r>
      <w:r w:rsidR="00E02B86">
        <w:rPr>
          <w:rFonts w:eastAsia="Arial" w:cs="Arial"/>
          <w:lang w:bidi="en-US"/>
        </w:rPr>
        <w:t xml:space="preserve"> </w:t>
      </w:r>
      <w:r w:rsidRPr="0056753F">
        <w:rPr>
          <w:rFonts w:eastAsia="Arial" w:cs="Arial"/>
          <w:lang w:bidi="en-US"/>
        </w:rPr>
        <w:t xml:space="preserve">Consequently, Academia Avance’s Response to the </w:t>
      </w:r>
      <w:r w:rsidR="00D05DEE" w:rsidRPr="0056753F">
        <w:t>Notice of Violation</w:t>
      </w:r>
      <w:r w:rsidR="00D05DEE" w:rsidRPr="0056753F">
        <w:rPr>
          <w:rFonts w:eastAsia="Arial" w:cs="Arial"/>
          <w:lang w:bidi="en-US"/>
        </w:rPr>
        <w:t xml:space="preserve"> </w:t>
      </w:r>
      <w:r w:rsidRPr="0056753F">
        <w:rPr>
          <w:rFonts w:cs="Arial"/>
        </w:rPr>
        <w:t xml:space="preserve">demonstrates a failure to remedy the violation of the finding of fiscal mismanagement </w:t>
      </w:r>
      <w:proofErr w:type="gramStart"/>
      <w:r w:rsidRPr="0056753F">
        <w:rPr>
          <w:rFonts w:cs="Arial"/>
        </w:rPr>
        <w:t>with regard to</w:t>
      </w:r>
      <w:proofErr w:type="gramEnd"/>
      <w:r w:rsidRPr="0056753F">
        <w:rPr>
          <w:rFonts w:cs="Arial"/>
        </w:rPr>
        <w:t xml:space="preserve"> ineffective internal controls.</w:t>
      </w:r>
    </w:p>
    <w:p w14:paraId="5BD31434" w14:textId="77777777" w:rsidR="00EA0815" w:rsidRPr="0056753F" w:rsidRDefault="00EA0815" w:rsidP="00863DE7">
      <w:pPr>
        <w:pStyle w:val="Heading3"/>
      </w:pPr>
      <w:r w:rsidRPr="0056753F">
        <w:t>Decreasing Fund Balance and Reserve for Economic Uncertainty</w:t>
      </w:r>
    </w:p>
    <w:p w14:paraId="4BBAE369" w14:textId="77777777" w:rsidR="00EA0815" w:rsidRPr="0056753F" w:rsidRDefault="00EA0815" w:rsidP="00EA0815">
      <w:r w:rsidRPr="0056753F">
        <w:t xml:space="preserve">FCMAT lists unstable unrestricted fund balances, failure to maintain a minimum reserve for economic uncertainty, and absence of a plan to restore the minimum reserve as examples of indicators of risk or potential insolvency </w:t>
      </w:r>
      <w:r w:rsidRPr="0056753F">
        <w:rPr>
          <w:rFonts w:eastAsia="Arial" w:cs="Arial"/>
          <w:lang w:bidi="en-US"/>
        </w:rPr>
        <w:t>(FCMAT Indicators, p. 2).</w:t>
      </w:r>
    </w:p>
    <w:p w14:paraId="5BB308C9" w14:textId="566E6B06" w:rsidR="00EA0815" w:rsidRPr="0056753F" w:rsidRDefault="00EA0815" w:rsidP="00EA0815">
      <w:pPr>
        <w:rPr>
          <w:rFonts w:eastAsia="Arial" w:cs="Arial"/>
          <w:lang w:bidi="en-US"/>
        </w:rPr>
      </w:pPr>
      <w:r w:rsidRPr="0056753F">
        <w:rPr>
          <w:rFonts w:eastAsia="Arial" w:cs="Arial"/>
          <w:lang w:bidi="en-US"/>
        </w:rPr>
        <w:t>On October 26</w:t>
      </w:r>
      <w:r w:rsidR="00FD3EE2">
        <w:rPr>
          <w:rFonts w:eastAsia="Arial" w:cs="Arial"/>
          <w:lang w:bidi="en-US"/>
        </w:rPr>
        <w:t>,</w:t>
      </w:r>
      <w:r w:rsidRPr="0056753F">
        <w:rPr>
          <w:rFonts w:eastAsia="Arial" w:cs="Arial"/>
          <w:lang w:bidi="en-US"/>
        </w:rPr>
        <w:t xml:space="preserve"> 2024, Academia Avance reported a projected </w:t>
      </w:r>
      <w:r w:rsidR="0089130C" w:rsidRPr="0056753F">
        <w:rPr>
          <w:rFonts w:eastAsia="Arial" w:cs="Arial"/>
          <w:lang w:bidi="en-US"/>
        </w:rPr>
        <w:t xml:space="preserve">negative </w:t>
      </w:r>
      <w:r w:rsidRPr="0056753F">
        <w:rPr>
          <w:rFonts w:eastAsia="Arial" w:cs="Arial"/>
          <w:lang w:bidi="en-US"/>
        </w:rPr>
        <w:t xml:space="preserve">ending fund balance of $1,939,086 in its 2024–25 First Interim Report. Additionally, Academia Avance has failed to maintain a reserve for economic uncertainty. Pursuant to the Memorandum of Understanding (MOU) between Academia Avance and the SBE, Academia Avance is required to maintain a minimum of 5 percent financial reserve for economic uncertainty. Academia Avance’s 2023–24 Second Interim Report indicated </w:t>
      </w:r>
      <w:r w:rsidR="00B72A1F" w:rsidRPr="0056753F">
        <w:rPr>
          <w:rFonts w:eastAsia="Arial" w:cs="Arial"/>
          <w:lang w:bidi="en-US"/>
        </w:rPr>
        <w:t>Academia Avance</w:t>
      </w:r>
      <w:r w:rsidRPr="0056753F">
        <w:rPr>
          <w:rFonts w:eastAsia="Arial" w:cs="Arial"/>
          <w:lang w:bidi="en-US"/>
        </w:rPr>
        <w:t xml:space="preserve"> maintained reserves of 4.86 percent, below the required </w:t>
      </w:r>
      <w:r w:rsidR="002A6E31">
        <w:rPr>
          <w:rFonts w:eastAsia="Arial" w:cs="Arial"/>
          <w:lang w:bidi="en-US"/>
        </w:rPr>
        <w:t xml:space="preserve">5.00 percent </w:t>
      </w:r>
      <w:r w:rsidRPr="0056753F">
        <w:rPr>
          <w:rFonts w:eastAsia="Arial" w:cs="Arial"/>
          <w:lang w:bidi="en-US"/>
        </w:rPr>
        <w:t>minimum. In a letter of concern dated May 6, 2024, the CDE notified Academia Avance of the MOU requirement not being met. Approximately, six months later Academia Avance reported having no reserves as of its 2024–25 First Interim Report (Attachment 1).</w:t>
      </w:r>
    </w:p>
    <w:p w14:paraId="7E64F875" w14:textId="220249A9" w:rsidR="00EA0815" w:rsidRPr="0056753F" w:rsidRDefault="00EA0815" w:rsidP="00EA0815">
      <w:pPr>
        <w:rPr>
          <w:rFonts w:eastAsia="Arial" w:cs="Arial"/>
          <w:lang w:bidi="en-US"/>
        </w:rPr>
      </w:pPr>
      <w:r w:rsidRPr="0056753F">
        <w:rPr>
          <w:rFonts w:eastAsia="Arial" w:cs="Arial"/>
          <w:lang w:bidi="en-US"/>
        </w:rPr>
        <w:t xml:space="preserve">Academia Avance’s Response to the </w:t>
      </w:r>
      <w:r w:rsidR="002A6E31" w:rsidRPr="0056753F">
        <w:t>Notice of Violation</w:t>
      </w:r>
      <w:r w:rsidR="002A6E31" w:rsidRPr="0056753F">
        <w:rPr>
          <w:rFonts w:eastAsia="Arial" w:cs="Arial"/>
          <w:lang w:bidi="en-US"/>
        </w:rPr>
        <w:t xml:space="preserve"> </w:t>
      </w:r>
      <w:r w:rsidRPr="0056753F">
        <w:rPr>
          <w:rFonts w:eastAsia="Arial" w:cs="Arial"/>
          <w:lang w:bidi="en-US"/>
        </w:rPr>
        <w:t>on March 13, 2025, describes the following corrective actions:</w:t>
      </w:r>
    </w:p>
    <w:p w14:paraId="029CA0DC" w14:textId="77777777" w:rsidR="00EA0815" w:rsidRPr="0056753F" w:rsidRDefault="00EA0815" w:rsidP="00D97D4C">
      <w:pPr>
        <w:pStyle w:val="ListParagraph"/>
        <w:numPr>
          <w:ilvl w:val="0"/>
          <w:numId w:val="3"/>
        </w:numPr>
        <w:contextualSpacing/>
        <w:rPr>
          <w:rFonts w:eastAsia="Arial" w:cs="Arial"/>
          <w:lang w:bidi="en-US"/>
        </w:rPr>
      </w:pPr>
      <w:r w:rsidRPr="0056753F">
        <w:rPr>
          <w:rFonts w:eastAsia="Arial" w:cs="Arial"/>
          <w:lang w:bidi="en-US"/>
        </w:rPr>
        <w:t>Vendor payment plans have been established to systematically reduce liabilities</w:t>
      </w:r>
    </w:p>
    <w:p w14:paraId="4DD3D13E" w14:textId="77777777" w:rsidR="00EA0815" w:rsidRPr="0056753F" w:rsidRDefault="00EA0815" w:rsidP="00D97D4C">
      <w:pPr>
        <w:pStyle w:val="ListParagraph"/>
        <w:numPr>
          <w:ilvl w:val="0"/>
          <w:numId w:val="3"/>
        </w:numPr>
        <w:contextualSpacing/>
        <w:rPr>
          <w:rFonts w:eastAsia="Arial" w:cs="Arial"/>
          <w:lang w:bidi="en-US"/>
        </w:rPr>
      </w:pPr>
      <w:r w:rsidRPr="0056753F">
        <w:rPr>
          <w:rFonts w:eastAsia="Arial" w:cs="Arial"/>
          <w:lang w:bidi="en-US"/>
        </w:rPr>
        <w:t>Reserve Restoration Plan:</w:t>
      </w:r>
    </w:p>
    <w:p w14:paraId="520F0FA4" w14:textId="77777777" w:rsidR="00EA0815" w:rsidRPr="0056753F" w:rsidRDefault="00EA0815" w:rsidP="00D97D4C">
      <w:pPr>
        <w:pStyle w:val="ListParagraph"/>
        <w:numPr>
          <w:ilvl w:val="1"/>
          <w:numId w:val="3"/>
        </w:numPr>
        <w:contextualSpacing/>
        <w:rPr>
          <w:rFonts w:eastAsia="Arial" w:cs="Arial"/>
          <w:lang w:bidi="en-US"/>
        </w:rPr>
      </w:pPr>
      <w:r w:rsidRPr="0056753F">
        <w:rPr>
          <w:rFonts w:eastAsia="Arial" w:cs="Arial"/>
          <w:lang w:bidi="en-US"/>
        </w:rPr>
        <w:t>The Board has implemented a formal policy requiring a 5% reserve threshold.</w:t>
      </w:r>
    </w:p>
    <w:p w14:paraId="26D7E870" w14:textId="77777777" w:rsidR="00EA0815" w:rsidRPr="0056753F" w:rsidRDefault="00EA0815" w:rsidP="00D97D4C">
      <w:pPr>
        <w:pStyle w:val="ListParagraph"/>
        <w:numPr>
          <w:ilvl w:val="1"/>
          <w:numId w:val="3"/>
        </w:numPr>
        <w:contextualSpacing/>
        <w:rPr>
          <w:rFonts w:eastAsia="Arial" w:cs="Arial"/>
          <w:lang w:bidi="en-US"/>
        </w:rPr>
      </w:pPr>
      <w:r w:rsidRPr="0056753F">
        <w:rPr>
          <w:rFonts w:eastAsia="Arial" w:cs="Arial"/>
          <w:lang w:bidi="en-US"/>
        </w:rPr>
        <w:t>Monthly financial monitoring ensures the reserve is maintained.</w:t>
      </w:r>
    </w:p>
    <w:p w14:paraId="43FCCCB5" w14:textId="650CBC2A" w:rsidR="00EA0815" w:rsidRPr="0056753F" w:rsidRDefault="00EA0815" w:rsidP="00D97D4C">
      <w:pPr>
        <w:pStyle w:val="ListParagraph"/>
        <w:numPr>
          <w:ilvl w:val="1"/>
          <w:numId w:val="3"/>
        </w:numPr>
        <w:contextualSpacing/>
        <w:rPr>
          <w:rFonts w:eastAsia="Arial" w:cs="Arial"/>
          <w:lang w:bidi="en-US"/>
        </w:rPr>
      </w:pPr>
      <w:r w:rsidRPr="0056753F">
        <w:rPr>
          <w:rFonts w:eastAsia="Arial" w:cs="Arial"/>
          <w:lang w:bidi="en-US"/>
        </w:rPr>
        <w:t xml:space="preserve">If reserves fall below the threshold, a Board-approved recovery plan will be </w:t>
      </w:r>
      <w:proofErr w:type="gramStart"/>
      <w:r w:rsidRPr="0056753F">
        <w:rPr>
          <w:rFonts w:eastAsia="Arial" w:cs="Arial"/>
          <w:lang w:bidi="en-US"/>
        </w:rPr>
        <w:t>activated</w:t>
      </w:r>
      <w:proofErr w:type="gramEnd"/>
      <w:r w:rsidRPr="0056753F">
        <w:rPr>
          <w:rFonts w:eastAsia="Arial" w:cs="Arial"/>
          <w:lang w:bidi="en-US"/>
        </w:rPr>
        <w:t xml:space="preserve"> (Attachment 2, </w:t>
      </w:r>
      <w:r w:rsidRPr="00810A48">
        <w:rPr>
          <w:rFonts w:eastAsia="Arial" w:cs="Arial"/>
          <w:lang w:bidi="en-US"/>
        </w:rPr>
        <w:t>p. 2).</w:t>
      </w:r>
    </w:p>
    <w:p w14:paraId="54460230" w14:textId="77777777" w:rsidR="00EA0815" w:rsidRPr="0056753F" w:rsidRDefault="00EA0815" w:rsidP="00EA0815">
      <w:pPr>
        <w:rPr>
          <w:rFonts w:eastAsia="Arial" w:cs="Arial"/>
          <w:lang w:bidi="en-US"/>
        </w:rPr>
      </w:pPr>
      <w:r w:rsidRPr="0056753F">
        <w:rPr>
          <w:rFonts w:eastAsia="Arial" w:cs="Arial"/>
          <w:lang w:bidi="en-US"/>
        </w:rPr>
        <w:t xml:space="preserve">Additionally, Academia Avance submitted a Multi-Year Forecast projecting fund balances and reserve amounts that are summarized in the </w:t>
      </w:r>
      <w:proofErr w:type="gramStart"/>
      <w:r w:rsidRPr="0056753F">
        <w:rPr>
          <w:rFonts w:eastAsia="Arial" w:cs="Arial"/>
          <w:lang w:bidi="en-US"/>
        </w:rPr>
        <w:t>below table</w:t>
      </w:r>
      <w:proofErr w:type="gramEnd"/>
      <w:r w:rsidRPr="0056753F">
        <w:rPr>
          <w:rFonts w:eastAsia="Arial" w:cs="Arial"/>
          <w:lang w:bidi="en-US"/>
        </w:rPr>
        <w:t xml:space="preserve"> (Attachment 4, </w:t>
      </w:r>
      <w:r w:rsidRPr="00225EE6">
        <w:rPr>
          <w:rFonts w:eastAsia="Arial" w:cs="Arial"/>
          <w:lang w:bidi="en-US"/>
        </w:rPr>
        <w:t>p. 12).</w:t>
      </w:r>
      <w:r w:rsidRPr="0056753F">
        <w:rPr>
          <w:rFonts w:eastAsia="Arial" w:cs="Arial"/>
          <w:lang w:bidi="en-US"/>
        </w:rPr>
        <w:t xml:space="preserve"> </w:t>
      </w:r>
    </w:p>
    <w:p w14:paraId="1CCEBB63" w14:textId="77777777" w:rsidR="00EA0815" w:rsidRPr="0056753F" w:rsidRDefault="00EA0815" w:rsidP="00EA0815">
      <w:pPr>
        <w:spacing w:before="240"/>
        <w:rPr>
          <w:rFonts w:cs="Arial"/>
          <w:i/>
          <w:iCs/>
        </w:rPr>
      </w:pPr>
      <w:r w:rsidRPr="0056753F">
        <w:rPr>
          <w:rFonts w:cs="Arial"/>
          <w:i/>
          <w:iCs/>
        </w:rPr>
        <w:t>Table. Academia Avance’s Fund Balance and Reserve for Economic Uncertainty</w:t>
      </w:r>
    </w:p>
    <w:tbl>
      <w:tblPr>
        <w:tblStyle w:val="TableGrid"/>
        <w:tblW w:w="9625" w:type="dxa"/>
        <w:tblLook w:val="04A0" w:firstRow="1" w:lastRow="0" w:firstColumn="1" w:lastColumn="0" w:noHBand="0" w:noVBand="1"/>
        <w:tblDescription w:val="Academia Avance’s Fund Balance and Reserve for Economic Uncertainty."/>
      </w:tblPr>
      <w:tblGrid>
        <w:gridCol w:w="1742"/>
        <w:gridCol w:w="1578"/>
        <w:gridCol w:w="1580"/>
        <w:gridCol w:w="1580"/>
        <w:gridCol w:w="1580"/>
        <w:gridCol w:w="1565"/>
      </w:tblGrid>
      <w:tr w:rsidR="0056753F" w:rsidRPr="0056753F" w14:paraId="54321B61" w14:textId="77777777" w:rsidTr="00C62811">
        <w:trPr>
          <w:cantSplit/>
          <w:trHeight w:val="576"/>
          <w:tblHeader/>
        </w:trPr>
        <w:tc>
          <w:tcPr>
            <w:tcW w:w="1795" w:type="dxa"/>
            <w:shd w:val="clear" w:color="auto" w:fill="D9D9D9" w:themeFill="background1" w:themeFillShade="D9"/>
            <w:vAlign w:val="center"/>
          </w:tcPr>
          <w:p w14:paraId="41F79789" w14:textId="4C35E7EF" w:rsidR="00EA0815" w:rsidRPr="0056753F" w:rsidRDefault="00530B95" w:rsidP="0027098B">
            <w:pPr>
              <w:jc w:val="center"/>
              <w:rPr>
                <w:rFonts w:cs="Arial"/>
                <w:b/>
                <w:bCs/>
              </w:rPr>
            </w:pPr>
            <w:r>
              <w:rPr>
                <w:rFonts w:cs="Arial"/>
                <w:b/>
                <w:bCs/>
              </w:rPr>
              <w:t>Forecast</w:t>
            </w:r>
          </w:p>
        </w:tc>
        <w:tc>
          <w:tcPr>
            <w:tcW w:w="1413" w:type="dxa"/>
            <w:shd w:val="clear" w:color="auto" w:fill="D9D9D9" w:themeFill="background1" w:themeFillShade="D9"/>
            <w:vAlign w:val="center"/>
          </w:tcPr>
          <w:p w14:paraId="527D430D" w14:textId="77777777" w:rsidR="00EA0815" w:rsidRPr="0056753F" w:rsidRDefault="00EA0815" w:rsidP="0027098B">
            <w:pPr>
              <w:jc w:val="center"/>
              <w:rPr>
                <w:rFonts w:cs="Arial"/>
                <w:b/>
                <w:bCs/>
              </w:rPr>
            </w:pPr>
            <w:r w:rsidRPr="0056753F">
              <w:rPr>
                <w:rFonts w:cs="Arial"/>
                <w:b/>
                <w:bCs/>
              </w:rPr>
              <w:t>2024–25</w:t>
            </w:r>
          </w:p>
        </w:tc>
        <w:tc>
          <w:tcPr>
            <w:tcW w:w="1604" w:type="dxa"/>
            <w:shd w:val="clear" w:color="auto" w:fill="D9D9D9" w:themeFill="background1" w:themeFillShade="D9"/>
            <w:vAlign w:val="center"/>
          </w:tcPr>
          <w:p w14:paraId="2A823339" w14:textId="77777777" w:rsidR="00EA0815" w:rsidRPr="0056753F" w:rsidRDefault="00EA0815" w:rsidP="0027098B">
            <w:pPr>
              <w:jc w:val="center"/>
              <w:rPr>
                <w:rFonts w:cs="Arial"/>
                <w:b/>
                <w:bCs/>
              </w:rPr>
            </w:pPr>
            <w:r w:rsidRPr="0056753F">
              <w:rPr>
                <w:rFonts w:cs="Arial"/>
                <w:b/>
                <w:bCs/>
              </w:rPr>
              <w:t>2025–26</w:t>
            </w:r>
          </w:p>
        </w:tc>
        <w:tc>
          <w:tcPr>
            <w:tcW w:w="1604" w:type="dxa"/>
            <w:shd w:val="clear" w:color="auto" w:fill="D9D9D9" w:themeFill="background1" w:themeFillShade="D9"/>
            <w:vAlign w:val="center"/>
          </w:tcPr>
          <w:p w14:paraId="5FF3E1F4" w14:textId="77777777" w:rsidR="00EA0815" w:rsidRPr="0056753F" w:rsidRDefault="00EA0815" w:rsidP="0027098B">
            <w:pPr>
              <w:jc w:val="center"/>
              <w:rPr>
                <w:rFonts w:cs="Arial"/>
                <w:b/>
                <w:bCs/>
              </w:rPr>
            </w:pPr>
            <w:r w:rsidRPr="0056753F">
              <w:rPr>
                <w:rFonts w:cs="Arial"/>
                <w:b/>
                <w:bCs/>
              </w:rPr>
              <w:t>2026–27</w:t>
            </w:r>
          </w:p>
        </w:tc>
        <w:tc>
          <w:tcPr>
            <w:tcW w:w="1604" w:type="dxa"/>
            <w:shd w:val="clear" w:color="auto" w:fill="D9D9D9" w:themeFill="background1" w:themeFillShade="D9"/>
            <w:vAlign w:val="center"/>
          </w:tcPr>
          <w:p w14:paraId="2A303C16" w14:textId="77777777" w:rsidR="00EA0815" w:rsidRPr="0056753F" w:rsidRDefault="00EA0815" w:rsidP="0027098B">
            <w:pPr>
              <w:jc w:val="center"/>
              <w:rPr>
                <w:rFonts w:cs="Arial"/>
                <w:b/>
                <w:bCs/>
              </w:rPr>
            </w:pPr>
            <w:r w:rsidRPr="0056753F">
              <w:rPr>
                <w:rFonts w:cs="Arial"/>
                <w:b/>
                <w:bCs/>
              </w:rPr>
              <w:t>2027–28</w:t>
            </w:r>
          </w:p>
        </w:tc>
        <w:tc>
          <w:tcPr>
            <w:tcW w:w="1605" w:type="dxa"/>
            <w:shd w:val="clear" w:color="auto" w:fill="D9D9D9" w:themeFill="background1" w:themeFillShade="D9"/>
            <w:vAlign w:val="center"/>
          </w:tcPr>
          <w:p w14:paraId="177DE7CB" w14:textId="77777777" w:rsidR="00EA0815" w:rsidRPr="0056753F" w:rsidRDefault="00EA0815" w:rsidP="0027098B">
            <w:pPr>
              <w:jc w:val="center"/>
              <w:rPr>
                <w:rFonts w:cs="Arial"/>
                <w:b/>
                <w:bCs/>
              </w:rPr>
            </w:pPr>
            <w:r w:rsidRPr="0056753F">
              <w:rPr>
                <w:rFonts w:cs="Arial"/>
                <w:b/>
                <w:bCs/>
              </w:rPr>
              <w:t>2028–29</w:t>
            </w:r>
          </w:p>
        </w:tc>
      </w:tr>
      <w:tr w:rsidR="0056753F" w:rsidRPr="0056753F" w14:paraId="15B84A7A" w14:textId="77777777" w:rsidTr="00C62811">
        <w:trPr>
          <w:cantSplit/>
        </w:trPr>
        <w:tc>
          <w:tcPr>
            <w:tcW w:w="1795" w:type="dxa"/>
          </w:tcPr>
          <w:p w14:paraId="215140C4" w14:textId="77777777" w:rsidR="00EA0815" w:rsidRPr="0056753F" w:rsidRDefault="00EA0815" w:rsidP="0027098B">
            <w:pPr>
              <w:jc w:val="center"/>
              <w:rPr>
                <w:rFonts w:cs="Arial"/>
              </w:rPr>
            </w:pPr>
            <w:r w:rsidRPr="0056753F">
              <w:rPr>
                <w:rFonts w:cs="Arial"/>
              </w:rPr>
              <w:t>Beginning Fund Balance</w:t>
            </w:r>
          </w:p>
        </w:tc>
        <w:tc>
          <w:tcPr>
            <w:tcW w:w="1413" w:type="dxa"/>
          </w:tcPr>
          <w:p w14:paraId="452E6197" w14:textId="77777777" w:rsidR="00EA0815" w:rsidRPr="0056753F" w:rsidRDefault="00EA0815" w:rsidP="0027098B">
            <w:pPr>
              <w:jc w:val="center"/>
              <w:rPr>
                <w:rFonts w:cs="Arial"/>
              </w:rPr>
            </w:pPr>
            <w:r w:rsidRPr="0056753F">
              <w:rPr>
                <w:rFonts w:cs="Arial"/>
              </w:rPr>
              <w:t>($1,900,808)</w:t>
            </w:r>
          </w:p>
        </w:tc>
        <w:tc>
          <w:tcPr>
            <w:tcW w:w="1604" w:type="dxa"/>
          </w:tcPr>
          <w:p w14:paraId="1F62B526" w14:textId="77777777" w:rsidR="00EA0815" w:rsidRPr="0056753F" w:rsidRDefault="00EA0815" w:rsidP="0027098B">
            <w:pPr>
              <w:jc w:val="center"/>
              <w:rPr>
                <w:rFonts w:cs="Arial"/>
              </w:rPr>
            </w:pPr>
            <w:r w:rsidRPr="0056753F">
              <w:rPr>
                <w:rFonts w:cs="Arial"/>
              </w:rPr>
              <w:t>($870,619)</w:t>
            </w:r>
          </w:p>
        </w:tc>
        <w:tc>
          <w:tcPr>
            <w:tcW w:w="1604" w:type="dxa"/>
          </w:tcPr>
          <w:p w14:paraId="28CC3DBC" w14:textId="6A59F8FA" w:rsidR="00EA0815" w:rsidRPr="0056753F" w:rsidRDefault="00EA0815" w:rsidP="0027098B">
            <w:pPr>
              <w:jc w:val="center"/>
              <w:rPr>
                <w:rFonts w:cs="Arial"/>
              </w:rPr>
            </w:pPr>
            <w:r w:rsidRPr="0056753F">
              <w:rPr>
                <w:rFonts w:cs="Arial"/>
              </w:rPr>
              <w:t>($48</w:t>
            </w:r>
            <w:r w:rsidR="0089130C">
              <w:rPr>
                <w:rFonts w:cs="Arial"/>
              </w:rPr>
              <w:t>5</w:t>
            </w:r>
            <w:r w:rsidRPr="0056753F">
              <w:rPr>
                <w:rFonts w:cs="Arial"/>
              </w:rPr>
              <w:t>,122)</w:t>
            </w:r>
          </w:p>
        </w:tc>
        <w:tc>
          <w:tcPr>
            <w:tcW w:w="1604" w:type="dxa"/>
          </w:tcPr>
          <w:p w14:paraId="3E692159" w14:textId="77777777" w:rsidR="00EA0815" w:rsidRPr="0056753F" w:rsidRDefault="00EA0815" w:rsidP="0027098B">
            <w:pPr>
              <w:jc w:val="center"/>
              <w:rPr>
                <w:rFonts w:cs="Arial"/>
              </w:rPr>
            </w:pPr>
            <w:r w:rsidRPr="0056753F">
              <w:rPr>
                <w:rFonts w:cs="Arial"/>
              </w:rPr>
              <w:t>($111,230)</w:t>
            </w:r>
          </w:p>
        </w:tc>
        <w:tc>
          <w:tcPr>
            <w:tcW w:w="1605" w:type="dxa"/>
          </w:tcPr>
          <w:p w14:paraId="62313B2E" w14:textId="77777777" w:rsidR="00EA0815" w:rsidRPr="0056753F" w:rsidRDefault="00EA0815" w:rsidP="0027098B">
            <w:pPr>
              <w:jc w:val="center"/>
              <w:rPr>
                <w:rFonts w:cs="Arial"/>
              </w:rPr>
            </w:pPr>
            <w:r w:rsidRPr="0056753F">
              <w:rPr>
                <w:rFonts w:cs="Arial"/>
              </w:rPr>
              <w:t>$253,387</w:t>
            </w:r>
          </w:p>
        </w:tc>
      </w:tr>
      <w:tr w:rsidR="0056753F" w:rsidRPr="0056753F" w14:paraId="013D294B" w14:textId="77777777" w:rsidTr="00C62811">
        <w:trPr>
          <w:cantSplit/>
        </w:trPr>
        <w:tc>
          <w:tcPr>
            <w:tcW w:w="1795" w:type="dxa"/>
          </w:tcPr>
          <w:p w14:paraId="5A0DD9F9" w14:textId="62232142" w:rsidR="00EA0815" w:rsidRPr="0056753F" w:rsidRDefault="00EA0815" w:rsidP="0027098B">
            <w:pPr>
              <w:jc w:val="center"/>
              <w:rPr>
                <w:rFonts w:cs="Arial"/>
              </w:rPr>
            </w:pPr>
            <w:r w:rsidRPr="0056753F">
              <w:rPr>
                <w:rFonts w:cs="Arial"/>
              </w:rPr>
              <w:lastRenderedPageBreak/>
              <w:t>Ending</w:t>
            </w:r>
            <w:r w:rsidR="00BE39F4">
              <w:rPr>
                <w:rFonts w:cs="Arial"/>
              </w:rPr>
              <w:br/>
            </w:r>
            <w:r w:rsidRPr="0056753F">
              <w:rPr>
                <w:rFonts w:cs="Arial"/>
              </w:rPr>
              <w:t>Fund Balance</w:t>
            </w:r>
          </w:p>
        </w:tc>
        <w:tc>
          <w:tcPr>
            <w:tcW w:w="1413" w:type="dxa"/>
          </w:tcPr>
          <w:p w14:paraId="60701360" w14:textId="77777777" w:rsidR="00EA0815" w:rsidRPr="0056753F" w:rsidRDefault="00EA0815" w:rsidP="0027098B">
            <w:pPr>
              <w:jc w:val="center"/>
              <w:rPr>
                <w:rFonts w:cs="Arial"/>
              </w:rPr>
            </w:pPr>
            <w:r w:rsidRPr="0056753F">
              <w:rPr>
                <w:rFonts w:cs="Arial"/>
              </w:rPr>
              <w:t>($870,619)</w:t>
            </w:r>
          </w:p>
        </w:tc>
        <w:tc>
          <w:tcPr>
            <w:tcW w:w="1604" w:type="dxa"/>
          </w:tcPr>
          <w:p w14:paraId="46A4359F" w14:textId="2EC7EE34" w:rsidR="00EA0815" w:rsidRPr="0056753F" w:rsidRDefault="00EA0815" w:rsidP="0027098B">
            <w:pPr>
              <w:jc w:val="center"/>
              <w:rPr>
                <w:rFonts w:cs="Arial"/>
              </w:rPr>
            </w:pPr>
            <w:r w:rsidRPr="0056753F">
              <w:rPr>
                <w:rFonts w:cs="Arial"/>
              </w:rPr>
              <w:t>($48</w:t>
            </w:r>
            <w:r w:rsidR="0089130C">
              <w:rPr>
                <w:rFonts w:cs="Arial"/>
              </w:rPr>
              <w:t>5</w:t>
            </w:r>
            <w:r w:rsidRPr="0056753F">
              <w:rPr>
                <w:rFonts w:cs="Arial"/>
              </w:rPr>
              <w:t>,122)</w:t>
            </w:r>
          </w:p>
        </w:tc>
        <w:tc>
          <w:tcPr>
            <w:tcW w:w="1604" w:type="dxa"/>
          </w:tcPr>
          <w:p w14:paraId="24A9F63F" w14:textId="77777777" w:rsidR="00EA0815" w:rsidRPr="0056753F" w:rsidRDefault="00EA0815" w:rsidP="0027098B">
            <w:pPr>
              <w:jc w:val="center"/>
              <w:rPr>
                <w:rFonts w:cs="Arial"/>
              </w:rPr>
            </w:pPr>
            <w:r w:rsidRPr="0056753F">
              <w:rPr>
                <w:rFonts w:cs="Arial"/>
              </w:rPr>
              <w:t>($111,230)</w:t>
            </w:r>
          </w:p>
        </w:tc>
        <w:tc>
          <w:tcPr>
            <w:tcW w:w="1604" w:type="dxa"/>
          </w:tcPr>
          <w:p w14:paraId="27588E6E" w14:textId="77777777" w:rsidR="00EA0815" w:rsidRPr="0056753F" w:rsidRDefault="00EA0815" w:rsidP="0027098B">
            <w:pPr>
              <w:jc w:val="center"/>
              <w:rPr>
                <w:rFonts w:cs="Arial"/>
              </w:rPr>
            </w:pPr>
            <w:r w:rsidRPr="0056753F">
              <w:rPr>
                <w:rFonts w:cs="Arial"/>
              </w:rPr>
              <w:t>$253,387</w:t>
            </w:r>
          </w:p>
        </w:tc>
        <w:tc>
          <w:tcPr>
            <w:tcW w:w="1605" w:type="dxa"/>
          </w:tcPr>
          <w:p w14:paraId="0B5CC6A4" w14:textId="77777777" w:rsidR="00EA0815" w:rsidRPr="0056753F" w:rsidRDefault="00EA0815" w:rsidP="0027098B">
            <w:pPr>
              <w:jc w:val="center"/>
              <w:rPr>
                <w:rFonts w:cs="Arial"/>
              </w:rPr>
            </w:pPr>
            <w:r w:rsidRPr="0056753F">
              <w:rPr>
                <w:rFonts w:cs="Arial"/>
              </w:rPr>
              <w:t>$12,545</w:t>
            </w:r>
          </w:p>
        </w:tc>
      </w:tr>
      <w:tr w:rsidR="0056753F" w:rsidRPr="0056753F" w14:paraId="4ECF17DE" w14:textId="77777777" w:rsidTr="00C62811">
        <w:trPr>
          <w:cantSplit/>
        </w:trPr>
        <w:tc>
          <w:tcPr>
            <w:tcW w:w="1795" w:type="dxa"/>
          </w:tcPr>
          <w:p w14:paraId="2265E010" w14:textId="77777777" w:rsidR="00EA0815" w:rsidRPr="0056753F" w:rsidRDefault="00EA0815" w:rsidP="0027098B">
            <w:pPr>
              <w:jc w:val="center"/>
              <w:rPr>
                <w:rFonts w:cs="Arial"/>
              </w:rPr>
            </w:pPr>
            <w:r w:rsidRPr="0056753F">
              <w:rPr>
                <w:rFonts w:cs="Arial"/>
              </w:rPr>
              <w:t>Reserve</w:t>
            </w:r>
          </w:p>
        </w:tc>
        <w:tc>
          <w:tcPr>
            <w:tcW w:w="1413" w:type="dxa"/>
          </w:tcPr>
          <w:p w14:paraId="39519A09" w14:textId="77777777" w:rsidR="00EA0815" w:rsidRPr="0056753F" w:rsidRDefault="00EA0815" w:rsidP="0027098B">
            <w:pPr>
              <w:jc w:val="center"/>
              <w:rPr>
                <w:rFonts w:cs="Arial"/>
              </w:rPr>
            </w:pPr>
            <w:r w:rsidRPr="0056753F">
              <w:rPr>
                <w:rFonts w:cs="Arial"/>
              </w:rPr>
              <w:t>-18.7%</w:t>
            </w:r>
          </w:p>
        </w:tc>
        <w:tc>
          <w:tcPr>
            <w:tcW w:w="1604" w:type="dxa"/>
          </w:tcPr>
          <w:p w14:paraId="0A8F108B" w14:textId="77777777" w:rsidR="00EA0815" w:rsidRPr="0056753F" w:rsidRDefault="00EA0815" w:rsidP="0027098B">
            <w:pPr>
              <w:jc w:val="center"/>
              <w:rPr>
                <w:rFonts w:cs="Arial"/>
              </w:rPr>
            </w:pPr>
            <w:r w:rsidRPr="0056753F">
              <w:rPr>
                <w:rFonts w:cs="Arial"/>
              </w:rPr>
              <w:t>-10.1%</w:t>
            </w:r>
          </w:p>
        </w:tc>
        <w:tc>
          <w:tcPr>
            <w:tcW w:w="1604" w:type="dxa"/>
          </w:tcPr>
          <w:p w14:paraId="2D7A6862" w14:textId="77777777" w:rsidR="00EA0815" w:rsidRPr="0056753F" w:rsidRDefault="00EA0815" w:rsidP="0027098B">
            <w:pPr>
              <w:jc w:val="center"/>
              <w:rPr>
                <w:rFonts w:cs="Arial"/>
              </w:rPr>
            </w:pPr>
            <w:r w:rsidRPr="0056753F">
              <w:rPr>
                <w:rFonts w:cs="Arial"/>
              </w:rPr>
              <w:t>-2.3%</w:t>
            </w:r>
          </w:p>
        </w:tc>
        <w:tc>
          <w:tcPr>
            <w:tcW w:w="1604" w:type="dxa"/>
          </w:tcPr>
          <w:p w14:paraId="4C0340CE" w14:textId="77777777" w:rsidR="00EA0815" w:rsidRPr="0056753F" w:rsidRDefault="00EA0815" w:rsidP="0027098B">
            <w:pPr>
              <w:jc w:val="center"/>
              <w:rPr>
                <w:rFonts w:cs="Arial"/>
              </w:rPr>
            </w:pPr>
            <w:r w:rsidRPr="0056753F">
              <w:rPr>
                <w:rFonts w:cs="Arial"/>
              </w:rPr>
              <w:t>5.0%</w:t>
            </w:r>
          </w:p>
        </w:tc>
        <w:tc>
          <w:tcPr>
            <w:tcW w:w="1605" w:type="dxa"/>
          </w:tcPr>
          <w:p w14:paraId="33DA0A6F" w14:textId="77777777" w:rsidR="00EA0815" w:rsidRPr="0056753F" w:rsidRDefault="00EA0815" w:rsidP="0027098B">
            <w:pPr>
              <w:jc w:val="center"/>
              <w:rPr>
                <w:rFonts w:cs="Arial"/>
              </w:rPr>
            </w:pPr>
            <w:r w:rsidRPr="0056753F">
              <w:rPr>
                <w:rFonts w:cs="Arial"/>
              </w:rPr>
              <w:t>0.2%</w:t>
            </w:r>
          </w:p>
        </w:tc>
      </w:tr>
    </w:tbl>
    <w:p w14:paraId="79D38DCA" w14:textId="51251341" w:rsidR="00EA0815" w:rsidRPr="0056753F" w:rsidRDefault="00EA0815" w:rsidP="00EA0815">
      <w:pPr>
        <w:spacing w:before="240"/>
        <w:rPr>
          <w:rFonts w:cs="Arial"/>
        </w:rPr>
      </w:pPr>
      <w:r w:rsidRPr="0056753F">
        <w:rPr>
          <w:rFonts w:eastAsia="Arial" w:cs="Arial"/>
          <w:lang w:bidi="en-US"/>
        </w:rPr>
        <w:t xml:space="preserve">The Multi-Year Forecast in Academia Avance’s Response to the </w:t>
      </w:r>
      <w:r w:rsidR="00BE39F4" w:rsidRPr="0056753F">
        <w:t>Notice of Violation</w:t>
      </w:r>
      <w:r w:rsidR="00BE39F4" w:rsidRPr="0056753F">
        <w:rPr>
          <w:rFonts w:eastAsia="Arial" w:cs="Arial"/>
          <w:lang w:bidi="en-US"/>
        </w:rPr>
        <w:t xml:space="preserve"> </w:t>
      </w:r>
      <w:r w:rsidRPr="0056753F">
        <w:rPr>
          <w:rFonts w:eastAsia="Arial" w:cs="Arial"/>
          <w:lang w:bidi="en-US"/>
        </w:rPr>
        <w:t xml:space="preserve">shows a negative ending fund balance for the current fiscal year </w:t>
      </w:r>
      <w:r w:rsidRPr="0056753F">
        <w:rPr>
          <w:rFonts w:cs="Arial"/>
        </w:rPr>
        <w:t>2024–25 of ($870,619) as well as the following two fiscal years, 2025–26 and 2026–27, of ($48</w:t>
      </w:r>
      <w:r w:rsidR="00A83ED7">
        <w:rPr>
          <w:rFonts w:cs="Arial"/>
        </w:rPr>
        <w:t>5</w:t>
      </w:r>
      <w:r w:rsidRPr="0056753F">
        <w:rPr>
          <w:rFonts w:cs="Arial"/>
        </w:rPr>
        <w:t xml:space="preserve">,122) and ($111,230). Additionally, </w:t>
      </w:r>
      <w:r w:rsidRPr="0056753F">
        <w:rPr>
          <w:rFonts w:eastAsia="Arial" w:cs="Arial"/>
          <w:lang w:bidi="en-US"/>
        </w:rPr>
        <w:t>Academia Avance’s</w:t>
      </w:r>
      <w:r w:rsidRPr="0056753F">
        <w:rPr>
          <w:rFonts w:cs="Arial"/>
        </w:rPr>
        <w:t xml:space="preserve"> Multi-Year Forecast shows meeting the 5.0% reserve minimum for only one out of the five years, including a not meeting 5% reserve requirement in the final projected year 2028–29. </w:t>
      </w:r>
      <w:r w:rsidR="00D753EB">
        <w:rPr>
          <w:rFonts w:cs="Arial"/>
        </w:rPr>
        <w:t xml:space="preserve">Academia Avance failed to provide an adequate plan to restore the 5.00 percent minimum reserve. </w:t>
      </w:r>
      <w:r w:rsidRPr="0056753F">
        <w:rPr>
          <w:rFonts w:cs="Arial"/>
        </w:rPr>
        <w:t xml:space="preserve">Accordingly, the Response to the </w:t>
      </w:r>
      <w:r w:rsidR="00BE39F4" w:rsidRPr="0056753F">
        <w:t>Notice of Violation</w:t>
      </w:r>
      <w:r w:rsidR="00BE39F4" w:rsidRPr="0056753F">
        <w:rPr>
          <w:rFonts w:eastAsia="Arial" w:cs="Arial"/>
          <w:lang w:bidi="en-US"/>
        </w:rPr>
        <w:t xml:space="preserve"> </w:t>
      </w:r>
      <w:r w:rsidRPr="0056753F">
        <w:rPr>
          <w:rFonts w:cs="Arial"/>
        </w:rPr>
        <w:t xml:space="preserve">submitted by Academia Avance demonstrates a failure to remedy the violation of the findings of fiscal mismanagement </w:t>
      </w:r>
      <w:proofErr w:type="gramStart"/>
      <w:r w:rsidRPr="0056753F">
        <w:rPr>
          <w:rFonts w:cs="Arial"/>
        </w:rPr>
        <w:t>with regard to</w:t>
      </w:r>
      <w:proofErr w:type="gramEnd"/>
      <w:r w:rsidRPr="0056753F">
        <w:rPr>
          <w:rFonts w:cs="Arial"/>
        </w:rPr>
        <w:t xml:space="preserve"> fund balances and reserve for economic uncertainty.</w:t>
      </w:r>
    </w:p>
    <w:p w14:paraId="43F37F09" w14:textId="77777777" w:rsidR="00EA0815" w:rsidRPr="0056753F" w:rsidRDefault="00EA0815" w:rsidP="00863DE7">
      <w:pPr>
        <w:pStyle w:val="Heading3"/>
      </w:pPr>
      <w:r w:rsidRPr="0056753F">
        <w:t>Inattention to Enrollment</w:t>
      </w:r>
    </w:p>
    <w:p w14:paraId="6F5D5176" w14:textId="77777777" w:rsidR="00EA0815" w:rsidRPr="0056753F" w:rsidRDefault="00EA0815" w:rsidP="00EA0815">
      <w:r w:rsidRPr="0056753F">
        <w:t xml:space="preserve">FCMAT provides enrollment decreasing and/or unstable, and enrollment projections and assumptions not based on reasonable considerations as examples of a charter school’s inattention to enrollment </w:t>
      </w:r>
      <w:r w:rsidRPr="0056753F">
        <w:rPr>
          <w:rFonts w:eastAsia="Arial" w:cs="Arial"/>
          <w:lang w:bidi="en-US"/>
        </w:rPr>
        <w:t>(FCMAT Indicators, p. 2).</w:t>
      </w:r>
    </w:p>
    <w:p w14:paraId="6A0B09DC" w14:textId="2C32FB97" w:rsidR="00EA0815" w:rsidRPr="0056753F" w:rsidRDefault="00EA0815" w:rsidP="00EA0815">
      <w:pPr>
        <w:spacing w:before="240"/>
        <w:rPr>
          <w:rFonts w:cs="Arial"/>
        </w:rPr>
      </w:pPr>
      <w:r w:rsidRPr="0056753F">
        <w:rPr>
          <w:rFonts w:cs="Arial"/>
        </w:rPr>
        <w:t xml:space="preserve">Academia Avance has experienced declining enrollment for seven consecutive years, as summarized in the </w:t>
      </w:r>
      <w:proofErr w:type="gramStart"/>
      <w:r w:rsidRPr="0056753F">
        <w:rPr>
          <w:rFonts w:cs="Arial"/>
        </w:rPr>
        <w:t>below table</w:t>
      </w:r>
      <w:proofErr w:type="gramEnd"/>
      <w:r w:rsidR="009E29AA">
        <w:rPr>
          <w:rFonts w:cs="Arial"/>
        </w:rPr>
        <w:t>, including a loss of 41 students</w:t>
      </w:r>
      <w:r w:rsidR="00FD1DF3">
        <w:rPr>
          <w:rFonts w:cs="Arial"/>
        </w:rPr>
        <w:t xml:space="preserve"> (</w:t>
      </w:r>
      <w:r w:rsidR="006A5C99">
        <w:rPr>
          <w:rFonts w:cs="Arial"/>
        </w:rPr>
        <w:t>17</w:t>
      </w:r>
      <w:r w:rsidR="000215BA">
        <w:rPr>
          <w:rFonts w:cs="Arial"/>
        </w:rPr>
        <w:t>%</w:t>
      </w:r>
      <w:r w:rsidR="00FD1DF3">
        <w:rPr>
          <w:rFonts w:cs="Arial"/>
        </w:rPr>
        <w:t>)</w:t>
      </w:r>
      <w:r w:rsidR="006A5C99">
        <w:rPr>
          <w:rFonts w:cs="Arial"/>
        </w:rPr>
        <w:t xml:space="preserve"> of its schoolwide enrollment in the prior year</w:t>
      </w:r>
      <w:r w:rsidRPr="0056753F">
        <w:rPr>
          <w:rFonts w:cs="Arial"/>
        </w:rPr>
        <w:t xml:space="preserve"> (Attachment 1)</w:t>
      </w:r>
      <w:r w:rsidR="001A4186">
        <w:rPr>
          <w:rFonts w:cs="Arial"/>
        </w:rPr>
        <w:t>.</w:t>
      </w:r>
    </w:p>
    <w:p w14:paraId="44862FA3" w14:textId="77777777" w:rsidR="00EA0815" w:rsidRPr="0056753F" w:rsidRDefault="00EA0815" w:rsidP="00EA0815">
      <w:pPr>
        <w:spacing w:before="240"/>
        <w:rPr>
          <w:rFonts w:cs="Arial"/>
          <w:i/>
          <w:iCs/>
        </w:rPr>
      </w:pPr>
      <w:r w:rsidRPr="0056753F">
        <w:rPr>
          <w:rFonts w:cs="Arial"/>
          <w:i/>
          <w:iCs/>
        </w:rPr>
        <w:t>Table. Historical Enrollment of the Academia Avance</w:t>
      </w:r>
    </w:p>
    <w:tbl>
      <w:tblPr>
        <w:tblStyle w:val="TableGrid"/>
        <w:tblW w:w="9805" w:type="dxa"/>
        <w:tblLook w:val="04A0" w:firstRow="1" w:lastRow="0" w:firstColumn="1" w:lastColumn="0" w:noHBand="0" w:noVBand="1"/>
        <w:tblDescription w:val="Historical Enrollment of the Academia Avance"/>
      </w:tblPr>
      <w:tblGrid>
        <w:gridCol w:w="1058"/>
        <w:gridCol w:w="1325"/>
        <w:gridCol w:w="1237"/>
        <w:gridCol w:w="1237"/>
        <w:gridCol w:w="1237"/>
        <w:gridCol w:w="1237"/>
        <w:gridCol w:w="1237"/>
        <w:gridCol w:w="1237"/>
      </w:tblGrid>
      <w:tr w:rsidR="0007381B" w:rsidRPr="0056753F" w14:paraId="17DFBC38" w14:textId="77777777" w:rsidTr="00C62811">
        <w:trPr>
          <w:cantSplit/>
          <w:trHeight w:val="576"/>
          <w:tblHeader/>
        </w:trPr>
        <w:tc>
          <w:tcPr>
            <w:tcW w:w="895" w:type="dxa"/>
            <w:shd w:val="clear" w:color="auto" w:fill="D9D9D9" w:themeFill="background1" w:themeFillShade="D9"/>
          </w:tcPr>
          <w:p w14:paraId="30C2348E" w14:textId="1BCD6923" w:rsidR="0007381B" w:rsidRPr="0056753F" w:rsidRDefault="00530B95" w:rsidP="0027098B">
            <w:pPr>
              <w:jc w:val="center"/>
              <w:rPr>
                <w:rFonts w:cs="Arial"/>
                <w:b/>
                <w:bCs/>
              </w:rPr>
            </w:pPr>
            <w:r>
              <w:rPr>
                <w:rFonts w:cs="Arial"/>
                <w:b/>
                <w:bCs/>
              </w:rPr>
              <w:t>Criteria</w:t>
            </w:r>
          </w:p>
        </w:tc>
        <w:tc>
          <w:tcPr>
            <w:tcW w:w="1272" w:type="dxa"/>
            <w:shd w:val="clear" w:color="auto" w:fill="D9D9D9" w:themeFill="background1" w:themeFillShade="D9"/>
            <w:vAlign w:val="center"/>
          </w:tcPr>
          <w:p w14:paraId="6ADE5D93" w14:textId="225EFAA4" w:rsidR="0007381B" w:rsidRPr="0056753F" w:rsidRDefault="0007381B" w:rsidP="0027098B">
            <w:pPr>
              <w:jc w:val="center"/>
              <w:rPr>
                <w:rFonts w:cs="Arial"/>
                <w:b/>
                <w:bCs/>
              </w:rPr>
            </w:pPr>
            <w:r w:rsidRPr="0056753F">
              <w:rPr>
                <w:rFonts w:cs="Arial"/>
                <w:b/>
                <w:bCs/>
              </w:rPr>
              <w:t>2018–19</w:t>
            </w:r>
          </w:p>
        </w:tc>
        <w:tc>
          <w:tcPr>
            <w:tcW w:w="1273" w:type="dxa"/>
            <w:shd w:val="clear" w:color="auto" w:fill="D9D9D9" w:themeFill="background1" w:themeFillShade="D9"/>
            <w:vAlign w:val="center"/>
          </w:tcPr>
          <w:p w14:paraId="6FB8B6AD" w14:textId="77777777" w:rsidR="0007381B" w:rsidRPr="0056753F" w:rsidRDefault="0007381B" w:rsidP="0027098B">
            <w:pPr>
              <w:jc w:val="center"/>
              <w:rPr>
                <w:rFonts w:cs="Arial"/>
                <w:b/>
                <w:bCs/>
              </w:rPr>
            </w:pPr>
            <w:r w:rsidRPr="0056753F">
              <w:rPr>
                <w:rFonts w:cs="Arial"/>
                <w:b/>
                <w:bCs/>
              </w:rPr>
              <w:t>2019–20</w:t>
            </w:r>
          </w:p>
        </w:tc>
        <w:tc>
          <w:tcPr>
            <w:tcW w:w="1273" w:type="dxa"/>
            <w:shd w:val="clear" w:color="auto" w:fill="D9D9D9" w:themeFill="background1" w:themeFillShade="D9"/>
            <w:vAlign w:val="center"/>
          </w:tcPr>
          <w:p w14:paraId="1C4508CE" w14:textId="77777777" w:rsidR="0007381B" w:rsidRPr="0056753F" w:rsidRDefault="0007381B" w:rsidP="0027098B">
            <w:pPr>
              <w:jc w:val="center"/>
              <w:rPr>
                <w:rFonts w:cs="Arial"/>
                <w:b/>
                <w:bCs/>
              </w:rPr>
            </w:pPr>
            <w:r w:rsidRPr="0056753F">
              <w:rPr>
                <w:rFonts w:cs="Arial"/>
                <w:b/>
                <w:bCs/>
              </w:rPr>
              <w:t>2020–21</w:t>
            </w:r>
          </w:p>
        </w:tc>
        <w:tc>
          <w:tcPr>
            <w:tcW w:w="1273" w:type="dxa"/>
            <w:shd w:val="clear" w:color="auto" w:fill="D9D9D9" w:themeFill="background1" w:themeFillShade="D9"/>
            <w:vAlign w:val="center"/>
          </w:tcPr>
          <w:p w14:paraId="1F6F875A" w14:textId="77777777" w:rsidR="0007381B" w:rsidRPr="0056753F" w:rsidRDefault="0007381B" w:rsidP="0027098B">
            <w:pPr>
              <w:jc w:val="center"/>
              <w:rPr>
                <w:rFonts w:cs="Arial"/>
                <w:b/>
                <w:bCs/>
              </w:rPr>
            </w:pPr>
            <w:r w:rsidRPr="0056753F">
              <w:rPr>
                <w:rFonts w:cs="Arial"/>
                <w:b/>
                <w:bCs/>
              </w:rPr>
              <w:t>2021–22</w:t>
            </w:r>
          </w:p>
        </w:tc>
        <w:tc>
          <w:tcPr>
            <w:tcW w:w="1273" w:type="dxa"/>
            <w:shd w:val="clear" w:color="auto" w:fill="D9D9D9" w:themeFill="background1" w:themeFillShade="D9"/>
            <w:vAlign w:val="center"/>
          </w:tcPr>
          <w:p w14:paraId="14A84A3C" w14:textId="77777777" w:rsidR="0007381B" w:rsidRPr="0056753F" w:rsidRDefault="0007381B" w:rsidP="0027098B">
            <w:pPr>
              <w:jc w:val="center"/>
              <w:rPr>
                <w:rFonts w:cs="Arial"/>
                <w:b/>
                <w:bCs/>
              </w:rPr>
            </w:pPr>
            <w:r w:rsidRPr="0056753F">
              <w:rPr>
                <w:rFonts w:cs="Arial"/>
                <w:b/>
                <w:bCs/>
              </w:rPr>
              <w:t>2022–23</w:t>
            </w:r>
          </w:p>
        </w:tc>
        <w:tc>
          <w:tcPr>
            <w:tcW w:w="1273" w:type="dxa"/>
            <w:shd w:val="clear" w:color="auto" w:fill="D9D9D9" w:themeFill="background1" w:themeFillShade="D9"/>
            <w:vAlign w:val="center"/>
          </w:tcPr>
          <w:p w14:paraId="17349EAA" w14:textId="77777777" w:rsidR="0007381B" w:rsidRPr="0056753F" w:rsidRDefault="0007381B" w:rsidP="0027098B">
            <w:pPr>
              <w:jc w:val="center"/>
              <w:rPr>
                <w:rFonts w:cs="Arial"/>
                <w:b/>
                <w:bCs/>
              </w:rPr>
            </w:pPr>
            <w:r w:rsidRPr="0056753F">
              <w:rPr>
                <w:rFonts w:cs="Arial"/>
                <w:b/>
                <w:bCs/>
              </w:rPr>
              <w:t>2023–24</w:t>
            </w:r>
          </w:p>
        </w:tc>
        <w:tc>
          <w:tcPr>
            <w:tcW w:w="1273" w:type="dxa"/>
            <w:shd w:val="clear" w:color="auto" w:fill="D9D9D9" w:themeFill="background1" w:themeFillShade="D9"/>
            <w:vAlign w:val="center"/>
          </w:tcPr>
          <w:p w14:paraId="58B7A271" w14:textId="77777777" w:rsidR="0007381B" w:rsidRPr="0056753F" w:rsidRDefault="0007381B" w:rsidP="0027098B">
            <w:pPr>
              <w:jc w:val="center"/>
              <w:rPr>
                <w:rFonts w:cs="Arial"/>
                <w:b/>
                <w:bCs/>
              </w:rPr>
            </w:pPr>
            <w:r w:rsidRPr="0056753F">
              <w:rPr>
                <w:rFonts w:cs="Arial"/>
                <w:b/>
                <w:bCs/>
              </w:rPr>
              <w:t>2024–25</w:t>
            </w:r>
          </w:p>
        </w:tc>
      </w:tr>
      <w:tr w:rsidR="0007381B" w:rsidRPr="0056753F" w14:paraId="53724063" w14:textId="77777777" w:rsidTr="00C62811">
        <w:trPr>
          <w:cantSplit/>
        </w:trPr>
        <w:tc>
          <w:tcPr>
            <w:tcW w:w="895" w:type="dxa"/>
          </w:tcPr>
          <w:p w14:paraId="5FE6361A" w14:textId="28495EC1" w:rsidR="0007381B" w:rsidRPr="0056753F" w:rsidRDefault="0007381B" w:rsidP="0027098B">
            <w:pPr>
              <w:jc w:val="center"/>
              <w:rPr>
                <w:rFonts w:cs="Arial"/>
              </w:rPr>
            </w:pPr>
            <w:r>
              <w:rPr>
                <w:rFonts w:cs="Arial"/>
              </w:rPr>
              <w:t>Total</w:t>
            </w:r>
          </w:p>
        </w:tc>
        <w:tc>
          <w:tcPr>
            <w:tcW w:w="1272" w:type="dxa"/>
          </w:tcPr>
          <w:p w14:paraId="7D446AC9" w14:textId="7A2E5E57" w:rsidR="0007381B" w:rsidRPr="0056753F" w:rsidRDefault="0007381B" w:rsidP="0027098B">
            <w:pPr>
              <w:jc w:val="center"/>
              <w:rPr>
                <w:rFonts w:cs="Arial"/>
              </w:rPr>
            </w:pPr>
            <w:r w:rsidRPr="0056753F">
              <w:rPr>
                <w:rFonts w:cs="Arial"/>
              </w:rPr>
              <w:t>391</w:t>
            </w:r>
          </w:p>
        </w:tc>
        <w:tc>
          <w:tcPr>
            <w:tcW w:w="1273" w:type="dxa"/>
          </w:tcPr>
          <w:p w14:paraId="44C194EF" w14:textId="77777777" w:rsidR="0007381B" w:rsidRPr="0056753F" w:rsidRDefault="0007381B" w:rsidP="0027098B">
            <w:pPr>
              <w:jc w:val="center"/>
              <w:rPr>
                <w:rFonts w:cs="Arial"/>
              </w:rPr>
            </w:pPr>
            <w:r w:rsidRPr="0056753F">
              <w:rPr>
                <w:rFonts w:cs="Arial"/>
              </w:rPr>
              <w:t>328</w:t>
            </w:r>
          </w:p>
        </w:tc>
        <w:tc>
          <w:tcPr>
            <w:tcW w:w="1273" w:type="dxa"/>
          </w:tcPr>
          <w:p w14:paraId="517B6EAA" w14:textId="77777777" w:rsidR="0007381B" w:rsidRPr="0056753F" w:rsidRDefault="0007381B" w:rsidP="0027098B">
            <w:pPr>
              <w:jc w:val="center"/>
              <w:rPr>
                <w:rFonts w:cs="Arial"/>
              </w:rPr>
            </w:pPr>
            <w:r w:rsidRPr="0056753F">
              <w:rPr>
                <w:rFonts w:cs="Arial"/>
              </w:rPr>
              <w:t>293</w:t>
            </w:r>
          </w:p>
        </w:tc>
        <w:tc>
          <w:tcPr>
            <w:tcW w:w="1273" w:type="dxa"/>
          </w:tcPr>
          <w:p w14:paraId="0751416F" w14:textId="77777777" w:rsidR="0007381B" w:rsidRPr="0056753F" w:rsidRDefault="0007381B" w:rsidP="0027098B">
            <w:pPr>
              <w:jc w:val="center"/>
              <w:rPr>
                <w:rFonts w:cs="Arial"/>
              </w:rPr>
            </w:pPr>
            <w:r w:rsidRPr="0056753F">
              <w:rPr>
                <w:rFonts w:cs="Arial"/>
              </w:rPr>
              <w:t>263</w:t>
            </w:r>
          </w:p>
        </w:tc>
        <w:tc>
          <w:tcPr>
            <w:tcW w:w="1273" w:type="dxa"/>
          </w:tcPr>
          <w:p w14:paraId="5347F259" w14:textId="77777777" w:rsidR="0007381B" w:rsidRPr="0056753F" w:rsidRDefault="0007381B" w:rsidP="0027098B">
            <w:pPr>
              <w:jc w:val="center"/>
              <w:rPr>
                <w:rFonts w:cs="Arial"/>
              </w:rPr>
            </w:pPr>
            <w:r w:rsidRPr="0056753F">
              <w:rPr>
                <w:rFonts w:cs="Arial"/>
              </w:rPr>
              <w:t>256</w:t>
            </w:r>
          </w:p>
        </w:tc>
        <w:tc>
          <w:tcPr>
            <w:tcW w:w="1273" w:type="dxa"/>
          </w:tcPr>
          <w:p w14:paraId="0A2934ED" w14:textId="77777777" w:rsidR="0007381B" w:rsidRPr="0056753F" w:rsidRDefault="0007381B" w:rsidP="0027098B">
            <w:pPr>
              <w:jc w:val="center"/>
              <w:rPr>
                <w:rFonts w:cs="Arial"/>
              </w:rPr>
            </w:pPr>
            <w:r w:rsidRPr="0056753F">
              <w:rPr>
                <w:rFonts w:cs="Arial"/>
              </w:rPr>
              <w:t>241</w:t>
            </w:r>
          </w:p>
        </w:tc>
        <w:tc>
          <w:tcPr>
            <w:tcW w:w="1273" w:type="dxa"/>
          </w:tcPr>
          <w:p w14:paraId="69E00D7C" w14:textId="77777777" w:rsidR="0007381B" w:rsidRPr="0056753F" w:rsidRDefault="0007381B" w:rsidP="0027098B">
            <w:pPr>
              <w:jc w:val="center"/>
              <w:rPr>
                <w:rFonts w:cs="Arial"/>
              </w:rPr>
            </w:pPr>
            <w:r w:rsidRPr="0056753F">
              <w:rPr>
                <w:rFonts w:cs="Arial"/>
              </w:rPr>
              <w:t>200*</w:t>
            </w:r>
          </w:p>
        </w:tc>
      </w:tr>
      <w:tr w:rsidR="0007381B" w:rsidRPr="0056753F" w14:paraId="36F96BE3" w14:textId="77777777" w:rsidTr="00C62811">
        <w:trPr>
          <w:cantSplit/>
        </w:trPr>
        <w:tc>
          <w:tcPr>
            <w:tcW w:w="895" w:type="dxa"/>
          </w:tcPr>
          <w:p w14:paraId="01F09AF9" w14:textId="7FAD6BF8" w:rsidR="0007381B" w:rsidRPr="0056753F" w:rsidRDefault="0007381B" w:rsidP="0027098B">
            <w:pPr>
              <w:jc w:val="center"/>
              <w:rPr>
                <w:rFonts w:cs="Arial"/>
              </w:rPr>
            </w:pPr>
            <w:r>
              <w:rPr>
                <w:rFonts w:cs="Arial"/>
              </w:rPr>
              <w:t>Loss</w:t>
            </w:r>
          </w:p>
        </w:tc>
        <w:tc>
          <w:tcPr>
            <w:tcW w:w="1272" w:type="dxa"/>
          </w:tcPr>
          <w:p w14:paraId="684B0380" w14:textId="59832ABD" w:rsidR="0007381B" w:rsidRPr="0056753F" w:rsidRDefault="004C6CE4" w:rsidP="0027098B">
            <w:pPr>
              <w:jc w:val="center"/>
              <w:rPr>
                <w:rFonts w:cs="Arial"/>
              </w:rPr>
            </w:pPr>
            <w:r>
              <w:rPr>
                <w:rFonts w:cs="Arial"/>
              </w:rPr>
              <w:t>Not Applicable</w:t>
            </w:r>
          </w:p>
        </w:tc>
        <w:tc>
          <w:tcPr>
            <w:tcW w:w="1273" w:type="dxa"/>
          </w:tcPr>
          <w:p w14:paraId="20D230E0" w14:textId="37575A25" w:rsidR="0007381B" w:rsidRPr="0056753F" w:rsidRDefault="0007381B" w:rsidP="0027098B">
            <w:pPr>
              <w:jc w:val="center"/>
              <w:rPr>
                <w:rFonts w:cs="Arial"/>
              </w:rPr>
            </w:pPr>
            <w:r>
              <w:rPr>
                <w:rFonts w:cs="Arial"/>
              </w:rPr>
              <w:t>(63)</w:t>
            </w:r>
          </w:p>
        </w:tc>
        <w:tc>
          <w:tcPr>
            <w:tcW w:w="1273" w:type="dxa"/>
          </w:tcPr>
          <w:p w14:paraId="3AA9C004" w14:textId="6ABE2B00" w:rsidR="0007381B" w:rsidRPr="0056753F" w:rsidRDefault="00EB4BDA" w:rsidP="0027098B">
            <w:pPr>
              <w:jc w:val="center"/>
              <w:rPr>
                <w:rFonts w:cs="Arial"/>
              </w:rPr>
            </w:pPr>
            <w:r>
              <w:rPr>
                <w:rFonts w:cs="Arial"/>
              </w:rPr>
              <w:t>(35)</w:t>
            </w:r>
          </w:p>
        </w:tc>
        <w:tc>
          <w:tcPr>
            <w:tcW w:w="1273" w:type="dxa"/>
          </w:tcPr>
          <w:p w14:paraId="1D382D9A" w14:textId="3DAB0892" w:rsidR="0007381B" w:rsidRPr="0056753F" w:rsidRDefault="00EB4BDA" w:rsidP="0027098B">
            <w:pPr>
              <w:jc w:val="center"/>
              <w:rPr>
                <w:rFonts w:cs="Arial"/>
              </w:rPr>
            </w:pPr>
            <w:r>
              <w:rPr>
                <w:rFonts w:cs="Arial"/>
              </w:rPr>
              <w:t>(30)</w:t>
            </w:r>
          </w:p>
        </w:tc>
        <w:tc>
          <w:tcPr>
            <w:tcW w:w="1273" w:type="dxa"/>
          </w:tcPr>
          <w:p w14:paraId="0F3A1FC0" w14:textId="36F35143" w:rsidR="0007381B" w:rsidRPr="0056753F" w:rsidRDefault="00EB4BDA" w:rsidP="0027098B">
            <w:pPr>
              <w:jc w:val="center"/>
              <w:rPr>
                <w:rFonts w:cs="Arial"/>
              </w:rPr>
            </w:pPr>
            <w:r>
              <w:rPr>
                <w:rFonts w:cs="Arial"/>
              </w:rPr>
              <w:t>(7)</w:t>
            </w:r>
          </w:p>
        </w:tc>
        <w:tc>
          <w:tcPr>
            <w:tcW w:w="1273" w:type="dxa"/>
          </w:tcPr>
          <w:p w14:paraId="43E0C212" w14:textId="75746ADE" w:rsidR="0007381B" w:rsidRPr="0056753F" w:rsidRDefault="00EB4BDA" w:rsidP="0027098B">
            <w:pPr>
              <w:jc w:val="center"/>
              <w:rPr>
                <w:rFonts w:cs="Arial"/>
              </w:rPr>
            </w:pPr>
            <w:r>
              <w:rPr>
                <w:rFonts w:cs="Arial"/>
              </w:rPr>
              <w:t>(15)</w:t>
            </w:r>
          </w:p>
        </w:tc>
        <w:tc>
          <w:tcPr>
            <w:tcW w:w="1273" w:type="dxa"/>
          </w:tcPr>
          <w:p w14:paraId="208204A8" w14:textId="54D1B74E" w:rsidR="0007381B" w:rsidRPr="0056753F" w:rsidRDefault="00EB4BDA" w:rsidP="0027098B">
            <w:pPr>
              <w:jc w:val="center"/>
              <w:rPr>
                <w:rFonts w:cs="Arial"/>
              </w:rPr>
            </w:pPr>
            <w:r>
              <w:rPr>
                <w:rFonts w:cs="Arial"/>
              </w:rPr>
              <w:t>(41)</w:t>
            </w:r>
          </w:p>
        </w:tc>
      </w:tr>
    </w:tbl>
    <w:p w14:paraId="611CF6D8" w14:textId="77777777" w:rsidR="00EA0815" w:rsidRPr="0056753F" w:rsidRDefault="00EA0815" w:rsidP="00EA0815">
      <w:pPr>
        <w:spacing w:before="240"/>
        <w:rPr>
          <w:rFonts w:cs="Arial"/>
        </w:rPr>
      </w:pPr>
      <w:r w:rsidRPr="0056753F">
        <w:rPr>
          <w:rFonts w:cs="Arial"/>
        </w:rPr>
        <w:t>* As of January 23, 2025</w:t>
      </w:r>
    </w:p>
    <w:p w14:paraId="2F36B75A" w14:textId="4F7F4994" w:rsidR="00EA0815" w:rsidRPr="0056753F" w:rsidRDefault="00EA0815" w:rsidP="00EA0815">
      <w:pPr>
        <w:spacing w:before="240"/>
        <w:rPr>
          <w:rFonts w:cs="Arial"/>
        </w:rPr>
      </w:pPr>
      <w:r w:rsidRPr="0056753F">
        <w:rPr>
          <w:rFonts w:cs="Arial"/>
        </w:rPr>
        <w:t>On May 6, 2024, the CDE notified Academia Avance of the CDE’s concern regarding the declining enrollment (Attachment 1). </w:t>
      </w:r>
    </w:p>
    <w:p w14:paraId="6124CD56" w14:textId="77777777" w:rsidR="00EA0815" w:rsidRPr="0056753F" w:rsidRDefault="00EA0815" w:rsidP="00EA0815">
      <w:pPr>
        <w:spacing w:before="240"/>
        <w:rPr>
          <w:rFonts w:cs="Arial"/>
        </w:rPr>
      </w:pPr>
      <w:r w:rsidRPr="0056753F">
        <w:rPr>
          <w:rFonts w:cs="Arial"/>
        </w:rPr>
        <w:t>On June 1, 2024, Academia Avance submitted a corrective action plan that stated its 2024–25 budget would be based on a projected enrollment of 200 students (Attachment 1).</w:t>
      </w:r>
    </w:p>
    <w:p w14:paraId="5BE64DAF" w14:textId="70CC90F6" w:rsidR="00EA0815" w:rsidRPr="0056753F" w:rsidRDefault="00EA0815" w:rsidP="00EA0815">
      <w:pPr>
        <w:spacing w:before="240"/>
        <w:rPr>
          <w:rFonts w:cs="Arial"/>
        </w:rPr>
      </w:pPr>
      <w:r w:rsidRPr="0056753F">
        <w:rPr>
          <w:rFonts w:cs="Arial"/>
        </w:rPr>
        <w:lastRenderedPageBreak/>
        <w:t>On July 1 and 22, 2024, Academic Avance submitted budgets based on a projected enrollment of 220 students, an enrollment figure 10 percent greater than the enrollment target of 200 students that</w:t>
      </w:r>
      <w:r w:rsidR="008034FC">
        <w:rPr>
          <w:rFonts w:cs="Arial"/>
        </w:rPr>
        <w:t xml:space="preserve"> </w:t>
      </w:r>
      <w:r w:rsidR="008034FC" w:rsidRPr="0056753F">
        <w:rPr>
          <w:rFonts w:eastAsia="Arial" w:cs="Arial"/>
          <w:lang w:bidi="en-US"/>
        </w:rPr>
        <w:t>Academia Avance</w:t>
      </w:r>
      <w:r w:rsidRPr="0056753F">
        <w:rPr>
          <w:rFonts w:cs="Arial"/>
        </w:rPr>
        <w:t xml:space="preserve"> identified in </w:t>
      </w:r>
      <w:r w:rsidR="005C0B9B">
        <w:rPr>
          <w:rFonts w:cs="Arial"/>
        </w:rPr>
        <w:t>its governing</w:t>
      </w:r>
      <w:r w:rsidR="00037312">
        <w:rPr>
          <w:rFonts w:cs="Arial"/>
        </w:rPr>
        <w:t xml:space="preserve"> board-approved</w:t>
      </w:r>
      <w:r w:rsidRPr="0056753F">
        <w:rPr>
          <w:rFonts w:cs="Arial"/>
        </w:rPr>
        <w:t xml:space="preserve"> fiscal corrective action plan submitted the previous month</w:t>
      </w:r>
      <w:r w:rsidR="00122F04">
        <w:rPr>
          <w:rFonts w:cs="Arial"/>
        </w:rPr>
        <w:t xml:space="preserve"> </w:t>
      </w:r>
      <w:r w:rsidRPr="0056753F">
        <w:rPr>
          <w:rFonts w:cs="Arial"/>
        </w:rPr>
        <w:t>(Attachment 1).</w:t>
      </w:r>
    </w:p>
    <w:p w14:paraId="2D3F0C91" w14:textId="6ED5905E" w:rsidR="00EA0815" w:rsidRPr="0056753F" w:rsidRDefault="00EA0815" w:rsidP="00EA0815">
      <w:pPr>
        <w:rPr>
          <w:rFonts w:eastAsia="Arial" w:cs="Arial"/>
          <w:lang w:bidi="en-US"/>
        </w:rPr>
      </w:pPr>
      <w:r w:rsidRPr="0056753F">
        <w:rPr>
          <w:rFonts w:eastAsia="Arial" w:cs="Arial"/>
          <w:lang w:bidi="en-US"/>
        </w:rPr>
        <w:t xml:space="preserve">On March 5, 2025, the SBE issued a Notice of Violation based on Academia Avance’s </w:t>
      </w:r>
      <w:r w:rsidR="0076525A">
        <w:rPr>
          <w:rFonts w:eastAsia="Arial" w:cs="Arial"/>
          <w:lang w:bidi="en-US"/>
        </w:rPr>
        <w:t>inattention to enrollment</w:t>
      </w:r>
      <w:r w:rsidR="00122F04">
        <w:rPr>
          <w:rFonts w:eastAsia="Arial" w:cs="Arial"/>
          <w:lang w:bidi="en-US"/>
        </w:rPr>
        <w:t xml:space="preserve"> </w:t>
      </w:r>
      <w:r w:rsidRPr="0056753F">
        <w:rPr>
          <w:rFonts w:cs="Arial"/>
        </w:rPr>
        <w:t>(Attachment 1).</w:t>
      </w:r>
    </w:p>
    <w:p w14:paraId="66D1CFEB" w14:textId="679C0338" w:rsidR="00EA0815" w:rsidRPr="0056753F" w:rsidRDefault="00EA0815" w:rsidP="00EA0815">
      <w:pPr>
        <w:rPr>
          <w:rFonts w:eastAsia="Arial" w:cs="Arial"/>
          <w:lang w:bidi="en-US"/>
        </w:rPr>
      </w:pPr>
      <w:r w:rsidRPr="0056753F">
        <w:rPr>
          <w:rFonts w:eastAsia="Arial" w:cs="Arial"/>
          <w:lang w:bidi="en-US"/>
        </w:rPr>
        <w:t xml:space="preserve">On March 13, 2025, </w:t>
      </w:r>
      <w:r w:rsidRPr="0056753F">
        <w:rPr>
          <w:rFonts w:cs="Arial"/>
        </w:rPr>
        <w:t>Academia Avance’s Response to the N</w:t>
      </w:r>
      <w:r w:rsidR="007B288A">
        <w:rPr>
          <w:rFonts w:cs="Arial"/>
        </w:rPr>
        <w:t>otice of Violation</w:t>
      </w:r>
      <w:r w:rsidRPr="0056753F">
        <w:rPr>
          <w:rFonts w:cs="Arial"/>
        </w:rPr>
        <w:t xml:space="preserve"> </w:t>
      </w:r>
      <w:r w:rsidRPr="0056753F">
        <w:rPr>
          <w:rFonts w:eastAsia="Arial" w:cs="Arial"/>
          <w:lang w:bidi="en-US"/>
        </w:rPr>
        <w:t xml:space="preserve">describes the following corrective actions (Attachment 2, </w:t>
      </w:r>
      <w:r w:rsidRPr="00F34364">
        <w:rPr>
          <w:rFonts w:eastAsia="Arial" w:cs="Arial"/>
          <w:lang w:bidi="en-US"/>
        </w:rPr>
        <w:t xml:space="preserve">pp. </w:t>
      </w:r>
      <w:r w:rsidR="00F34364" w:rsidRPr="00F34364">
        <w:rPr>
          <w:rFonts w:eastAsia="Arial" w:cs="Arial"/>
          <w:lang w:bidi="en-US"/>
        </w:rPr>
        <w:t>2</w:t>
      </w:r>
      <w:r w:rsidR="00225EE6">
        <w:rPr>
          <w:rFonts w:eastAsia="Arial" w:cs="Arial"/>
          <w:lang w:bidi="en-US"/>
        </w:rPr>
        <w:t>-</w:t>
      </w:r>
      <w:r w:rsidR="00F34364" w:rsidRPr="00F34364">
        <w:rPr>
          <w:rFonts w:eastAsia="Arial" w:cs="Arial"/>
          <w:lang w:bidi="en-US"/>
        </w:rPr>
        <w:t>3</w:t>
      </w:r>
      <w:r w:rsidRPr="00F34364">
        <w:rPr>
          <w:rFonts w:eastAsia="Arial" w:cs="Arial"/>
          <w:lang w:bidi="en-US"/>
        </w:rPr>
        <w:t>):</w:t>
      </w:r>
    </w:p>
    <w:p w14:paraId="1A2261E2" w14:textId="77777777" w:rsidR="00EA0815" w:rsidRPr="0056753F" w:rsidRDefault="00EA0815" w:rsidP="00D97D4C">
      <w:pPr>
        <w:pStyle w:val="ListParagraph"/>
        <w:numPr>
          <w:ilvl w:val="0"/>
          <w:numId w:val="4"/>
        </w:numPr>
        <w:contextualSpacing/>
        <w:rPr>
          <w:rFonts w:eastAsia="Arial" w:cs="Arial"/>
          <w:lang w:bidi="en-US"/>
        </w:rPr>
      </w:pPr>
      <w:r w:rsidRPr="0056753F">
        <w:rPr>
          <w:rFonts w:eastAsia="Arial" w:cs="Arial"/>
          <w:lang w:bidi="en-US"/>
        </w:rPr>
        <w:t>New Enrollment &amp; Marketing Strategy:</w:t>
      </w:r>
    </w:p>
    <w:p w14:paraId="3411EA14" w14:textId="77777777" w:rsidR="00EA0815" w:rsidRPr="0056753F" w:rsidRDefault="00EA0815" w:rsidP="00D97D4C">
      <w:pPr>
        <w:pStyle w:val="ListParagraph"/>
        <w:numPr>
          <w:ilvl w:val="1"/>
          <w:numId w:val="4"/>
        </w:numPr>
        <w:contextualSpacing/>
        <w:rPr>
          <w:rFonts w:eastAsia="Arial" w:cs="Arial"/>
          <w:lang w:bidi="en-US"/>
        </w:rPr>
      </w:pPr>
      <w:r w:rsidRPr="0056753F">
        <w:rPr>
          <w:rFonts w:eastAsia="Arial" w:cs="Arial"/>
          <w:lang w:bidi="en-US"/>
        </w:rPr>
        <w:t xml:space="preserve">The school is </w:t>
      </w:r>
      <w:proofErr w:type="gramStart"/>
      <w:r w:rsidRPr="0056753F">
        <w:rPr>
          <w:rFonts w:eastAsia="Arial" w:cs="Arial"/>
          <w:lang w:bidi="en-US"/>
        </w:rPr>
        <w:t>partnering</w:t>
      </w:r>
      <w:proofErr w:type="gramEnd"/>
      <w:r w:rsidRPr="0056753F">
        <w:rPr>
          <w:rFonts w:eastAsia="Arial" w:cs="Arial"/>
          <w:lang w:bidi="en-US"/>
        </w:rPr>
        <w:t xml:space="preserve"> with a local recruitment agency that specializes in underserved communities.</w:t>
      </w:r>
    </w:p>
    <w:p w14:paraId="2E4DC5FA" w14:textId="77777777" w:rsidR="00EA0815" w:rsidRPr="0056753F" w:rsidRDefault="00EA0815" w:rsidP="00D97D4C">
      <w:pPr>
        <w:pStyle w:val="ListParagraph"/>
        <w:numPr>
          <w:ilvl w:val="1"/>
          <w:numId w:val="4"/>
        </w:numPr>
        <w:contextualSpacing/>
        <w:rPr>
          <w:rFonts w:eastAsia="Arial" w:cs="Arial"/>
          <w:lang w:bidi="en-US"/>
        </w:rPr>
      </w:pPr>
      <w:r w:rsidRPr="0056753F">
        <w:rPr>
          <w:rFonts w:eastAsia="Arial" w:cs="Arial"/>
          <w:lang w:bidi="en-US"/>
        </w:rPr>
        <w:t>Recruitment efforts now focus on:</w:t>
      </w:r>
    </w:p>
    <w:p w14:paraId="78B0D0F2" w14:textId="77777777" w:rsidR="00EA0815" w:rsidRPr="0056753F" w:rsidRDefault="00EA0815" w:rsidP="00D97D4C">
      <w:pPr>
        <w:pStyle w:val="ListParagraph"/>
        <w:numPr>
          <w:ilvl w:val="2"/>
          <w:numId w:val="4"/>
        </w:numPr>
        <w:contextualSpacing/>
        <w:rPr>
          <w:rFonts w:eastAsia="Arial" w:cs="Arial"/>
          <w:lang w:bidi="en-US"/>
        </w:rPr>
      </w:pPr>
      <w:r w:rsidRPr="0056753F">
        <w:rPr>
          <w:rFonts w:eastAsia="Arial" w:cs="Arial"/>
          <w:lang w:bidi="en-US"/>
        </w:rPr>
        <w:t>CTE programs</w:t>
      </w:r>
    </w:p>
    <w:p w14:paraId="324CDEE8" w14:textId="77777777" w:rsidR="00EA0815" w:rsidRPr="0056753F" w:rsidRDefault="00EA0815" w:rsidP="00D97D4C">
      <w:pPr>
        <w:pStyle w:val="ListParagraph"/>
        <w:numPr>
          <w:ilvl w:val="2"/>
          <w:numId w:val="4"/>
        </w:numPr>
        <w:contextualSpacing/>
        <w:rPr>
          <w:rFonts w:eastAsia="Arial" w:cs="Arial"/>
          <w:lang w:bidi="en-US"/>
        </w:rPr>
      </w:pPr>
      <w:r w:rsidRPr="0056753F">
        <w:rPr>
          <w:rFonts w:eastAsia="Arial" w:cs="Arial"/>
          <w:lang w:bidi="en-US"/>
        </w:rPr>
        <w:t>Internships for seniors</w:t>
      </w:r>
    </w:p>
    <w:p w14:paraId="4A104206" w14:textId="77777777" w:rsidR="00EA0815" w:rsidRPr="0056753F" w:rsidRDefault="00EA0815" w:rsidP="00D97D4C">
      <w:pPr>
        <w:pStyle w:val="ListParagraph"/>
        <w:numPr>
          <w:ilvl w:val="2"/>
          <w:numId w:val="4"/>
        </w:numPr>
        <w:contextualSpacing/>
        <w:rPr>
          <w:rFonts w:eastAsia="Arial" w:cs="Arial"/>
          <w:lang w:bidi="en-US"/>
        </w:rPr>
      </w:pPr>
      <w:r w:rsidRPr="0056753F">
        <w:rPr>
          <w:rFonts w:eastAsia="Arial" w:cs="Arial"/>
          <w:lang w:bidi="en-US"/>
        </w:rPr>
        <w:t>College readiness pathways</w:t>
      </w:r>
    </w:p>
    <w:p w14:paraId="6CC1AE8D" w14:textId="77777777" w:rsidR="00EA0815" w:rsidRPr="0056753F" w:rsidRDefault="00EA0815" w:rsidP="00D97D4C">
      <w:pPr>
        <w:pStyle w:val="ListParagraph"/>
        <w:numPr>
          <w:ilvl w:val="2"/>
          <w:numId w:val="4"/>
        </w:numPr>
        <w:contextualSpacing/>
        <w:rPr>
          <w:rFonts w:eastAsia="Arial" w:cs="Arial"/>
          <w:lang w:bidi="en-US"/>
        </w:rPr>
      </w:pPr>
      <w:r w:rsidRPr="0056753F">
        <w:rPr>
          <w:rFonts w:eastAsia="Arial" w:cs="Arial"/>
          <w:lang w:bidi="en-US"/>
        </w:rPr>
        <w:t>Increase student enrollment from South Central</w:t>
      </w:r>
    </w:p>
    <w:p w14:paraId="5D525746" w14:textId="77777777" w:rsidR="00EA0815" w:rsidRPr="0056753F" w:rsidRDefault="00EA0815" w:rsidP="00D97D4C">
      <w:pPr>
        <w:pStyle w:val="ListParagraph"/>
        <w:numPr>
          <w:ilvl w:val="0"/>
          <w:numId w:val="4"/>
        </w:numPr>
        <w:contextualSpacing/>
        <w:rPr>
          <w:rFonts w:eastAsia="Arial" w:cs="Arial"/>
          <w:lang w:bidi="en-US"/>
        </w:rPr>
      </w:pPr>
      <w:r w:rsidRPr="0056753F">
        <w:rPr>
          <w:rFonts w:eastAsia="Arial" w:cs="Arial"/>
          <w:lang w:bidi="en-US"/>
        </w:rPr>
        <w:t>Realistic Enrollment Projections:</w:t>
      </w:r>
    </w:p>
    <w:p w14:paraId="3AEB029B" w14:textId="77777777" w:rsidR="00EA0815" w:rsidRPr="0056753F" w:rsidRDefault="00EA0815" w:rsidP="00D97D4C">
      <w:pPr>
        <w:pStyle w:val="ListParagraph"/>
        <w:numPr>
          <w:ilvl w:val="1"/>
          <w:numId w:val="4"/>
        </w:numPr>
        <w:contextualSpacing/>
        <w:rPr>
          <w:rFonts w:eastAsia="Arial" w:cs="Arial"/>
          <w:lang w:bidi="en-US"/>
        </w:rPr>
      </w:pPr>
      <w:r w:rsidRPr="0056753F">
        <w:rPr>
          <w:rFonts w:eastAsia="Arial" w:cs="Arial"/>
          <w:lang w:bidi="en-US"/>
        </w:rPr>
        <w:t>Enrollment forecasts are now adjusted based on historical data and verified third-party recruitment estimates</w:t>
      </w:r>
    </w:p>
    <w:p w14:paraId="64CFB68B" w14:textId="268D36AB" w:rsidR="00EA0815" w:rsidRPr="0056753F" w:rsidRDefault="00EA0815" w:rsidP="00EA0815">
      <w:pPr>
        <w:spacing w:before="240"/>
        <w:rPr>
          <w:rFonts w:cs="Arial"/>
          <w:b/>
          <w:bCs/>
        </w:rPr>
      </w:pPr>
      <w:r w:rsidRPr="0056753F">
        <w:rPr>
          <w:rFonts w:cs="Arial"/>
        </w:rPr>
        <w:t>Historical data in the above table show</w:t>
      </w:r>
      <w:r w:rsidR="007B288A">
        <w:rPr>
          <w:rFonts w:cs="Arial"/>
        </w:rPr>
        <w:t xml:space="preserve">s </w:t>
      </w:r>
      <w:r w:rsidRPr="0056753F">
        <w:rPr>
          <w:rFonts w:cs="Arial"/>
        </w:rPr>
        <w:t xml:space="preserve">Academia Avance has decreased in enrollment for seven consecutive years, from 391 to 200 students, </w:t>
      </w:r>
      <w:r w:rsidR="00013F92">
        <w:rPr>
          <w:rFonts w:cs="Arial"/>
        </w:rPr>
        <w:t>including</w:t>
      </w:r>
      <w:r w:rsidRPr="0056753F">
        <w:rPr>
          <w:rFonts w:cs="Arial"/>
        </w:rPr>
        <w:t xml:space="preserve"> </w:t>
      </w:r>
      <w:r w:rsidR="00066B9D">
        <w:rPr>
          <w:rFonts w:cs="Arial"/>
        </w:rPr>
        <w:t xml:space="preserve">a </w:t>
      </w:r>
      <w:r w:rsidR="00013F92">
        <w:rPr>
          <w:rFonts w:cs="Arial"/>
        </w:rPr>
        <w:t xml:space="preserve">prior year </w:t>
      </w:r>
      <w:r w:rsidRPr="0056753F">
        <w:rPr>
          <w:rFonts w:cs="Arial"/>
        </w:rPr>
        <w:t>loss of 41 students</w:t>
      </w:r>
      <w:r w:rsidR="000215BA">
        <w:rPr>
          <w:rFonts w:cs="Arial"/>
        </w:rPr>
        <w:t xml:space="preserve"> (17%)</w:t>
      </w:r>
      <w:r w:rsidRPr="0056753F">
        <w:rPr>
          <w:rFonts w:cs="Arial"/>
        </w:rPr>
        <w:t xml:space="preserve">. </w:t>
      </w:r>
      <w:r w:rsidR="005562E0">
        <w:rPr>
          <w:rFonts w:cs="Arial"/>
        </w:rPr>
        <w:t xml:space="preserve">Contrary to historical trends, </w:t>
      </w:r>
      <w:r w:rsidRPr="0056753F">
        <w:rPr>
          <w:rFonts w:cs="Arial"/>
        </w:rPr>
        <w:t xml:space="preserve">Academia Avance’s forecasts </w:t>
      </w:r>
      <w:r w:rsidR="00320A42">
        <w:rPr>
          <w:rFonts w:cs="Arial"/>
        </w:rPr>
        <w:t>as of March 1</w:t>
      </w:r>
      <w:r w:rsidR="00DA5ADD">
        <w:rPr>
          <w:rFonts w:cs="Arial"/>
        </w:rPr>
        <w:t xml:space="preserve">2, 2025, </w:t>
      </w:r>
      <w:r w:rsidRPr="0056753F">
        <w:rPr>
          <w:rFonts w:cs="Arial"/>
        </w:rPr>
        <w:t xml:space="preserve">show </w:t>
      </w:r>
      <w:r w:rsidR="0049563A">
        <w:rPr>
          <w:rFonts w:cs="Arial"/>
        </w:rPr>
        <w:t xml:space="preserve">an increase </w:t>
      </w:r>
      <w:r w:rsidR="00E42012">
        <w:rPr>
          <w:rFonts w:cs="Arial"/>
        </w:rPr>
        <w:t>of 205 students</w:t>
      </w:r>
      <w:r w:rsidR="00FF3CA9">
        <w:rPr>
          <w:rFonts w:cs="Arial"/>
        </w:rPr>
        <w:t xml:space="preserve"> for 2024</w:t>
      </w:r>
      <w:r w:rsidR="00FF3CA9" w:rsidRPr="0056753F">
        <w:rPr>
          <w:rFonts w:cs="Arial"/>
        </w:rPr>
        <w:t>–</w:t>
      </w:r>
      <w:r w:rsidR="00FF3CA9">
        <w:rPr>
          <w:rFonts w:cs="Arial"/>
        </w:rPr>
        <w:t>25</w:t>
      </w:r>
      <w:r w:rsidR="00E42012">
        <w:rPr>
          <w:rFonts w:cs="Arial"/>
        </w:rPr>
        <w:t>, followed by four</w:t>
      </w:r>
      <w:r w:rsidRPr="0056753F">
        <w:rPr>
          <w:rFonts w:cs="Arial"/>
        </w:rPr>
        <w:t xml:space="preserve"> consecutive years of enrollment being maintained from 202</w:t>
      </w:r>
      <w:r w:rsidR="00E42012">
        <w:rPr>
          <w:rFonts w:cs="Arial"/>
        </w:rPr>
        <w:t>5</w:t>
      </w:r>
      <w:r w:rsidRPr="0056753F">
        <w:rPr>
          <w:rFonts w:cs="Arial"/>
        </w:rPr>
        <w:t>–2</w:t>
      </w:r>
      <w:r w:rsidR="00E42012">
        <w:rPr>
          <w:rFonts w:cs="Arial"/>
        </w:rPr>
        <w:t>6</w:t>
      </w:r>
      <w:r w:rsidRPr="0056753F">
        <w:rPr>
          <w:rFonts w:cs="Arial"/>
        </w:rPr>
        <w:t xml:space="preserve"> to 2028–29.</w:t>
      </w:r>
    </w:p>
    <w:p w14:paraId="0F9AE238" w14:textId="77777777" w:rsidR="00EA0815" w:rsidRPr="0056753F" w:rsidRDefault="00EA0815" w:rsidP="00EA0815">
      <w:pPr>
        <w:spacing w:before="240"/>
        <w:rPr>
          <w:rFonts w:cs="Arial"/>
        </w:rPr>
      </w:pPr>
      <w:r w:rsidRPr="0056753F">
        <w:rPr>
          <w:rFonts w:cs="Arial"/>
        </w:rPr>
        <w:t>Academia Avance’s declining enrollment and use of unreasonable enrollment projections demonstrate its inattention to enrollment and consequently unreliable budget assumptions, which supports a failure to remedy the violation of the finding of fiscal mismanagement.</w:t>
      </w:r>
    </w:p>
    <w:p w14:paraId="43E52B27" w14:textId="77777777" w:rsidR="00EA0815" w:rsidRPr="0056753F" w:rsidRDefault="00EA0815" w:rsidP="00863DE7">
      <w:pPr>
        <w:pStyle w:val="Heading3"/>
      </w:pPr>
      <w:r w:rsidRPr="0056753F">
        <w:t>Unreliable Budget Development</w:t>
      </w:r>
    </w:p>
    <w:p w14:paraId="49B54278" w14:textId="77777777" w:rsidR="00EA0815" w:rsidRPr="0056753F" w:rsidRDefault="00EA0815" w:rsidP="00EA0815">
      <w:r w:rsidRPr="0056753F">
        <w:t xml:space="preserve">FCMAT includes unreasonable and unclear budget assumptions as an indication of a charter school’s unreliable budget development </w:t>
      </w:r>
      <w:r w:rsidRPr="0056753F">
        <w:rPr>
          <w:rFonts w:eastAsia="Arial" w:cs="Arial"/>
          <w:lang w:bidi="en-US"/>
        </w:rPr>
        <w:t>(FCMAT Indicators, p. 1).</w:t>
      </w:r>
    </w:p>
    <w:p w14:paraId="7B2162A7" w14:textId="78A1F6E1" w:rsidR="00EA0815" w:rsidRPr="0056753F" w:rsidRDefault="00EA0815" w:rsidP="00EA0815">
      <w:r w:rsidRPr="0056753F">
        <w:t xml:space="preserve">Pursuant to </w:t>
      </w:r>
      <w:r w:rsidRPr="0056753F">
        <w:rPr>
          <w:i/>
          <w:iCs/>
        </w:rPr>
        <w:t>EC</w:t>
      </w:r>
      <w:r w:rsidRPr="0056753F">
        <w:t xml:space="preserve"> sections 47604.33(a) and 47605(m), Academia Avance is required to submit its prior year Unaudited Actuals Report to the CDE by September 15 of each year and its First Interim and Independent Financial Audit Reports to the CDE by December 15 of each year. The table below summarizes these timelines as well as </w:t>
      </w:r>
      <w:r w:rsidR="005C40E4">
        <w:t>Academia Avance</w:t>
      </w:r>
      <w:r w:rsidRPr="0056753F">
        <w:t>’s submission dates for each report:</w:t>
      </w:r>
    </w:p>
    <w:p w14:paraId="4AD2994D" w14:textId="2C3240BA" w:rsidR="00EA0815" w:rsidRPr="0056753F" w:rsidRDefault="00EA0815" w:rsidP="00EA0815">
      <w:r w:rsidRPr="0056753F">
        <w:rPr>
          <w:i/>
          <w:iCs/>
        </w:rPr>
        <w:t>Table. Financial Reports</w:t>
      </w:r>
      <w:r w:rsidR="009741B3">
        <w:rPr>
          <w:i/>
          <w:iCs/>
        </w:rPr>
        <w:t xml:space="preserve"> from Academia Avance </w:t>
      </w:r>
    </w:p>
    <w:tbl>
      <w:tblPr>
        <w:tblW w:w="9445" w:type="dxa"/>
        <w:tblCellMar>
          <w:left w:w="0" w:type="dxa"/>
          <w:right w:w="0" w:type="dxa"/>
        </w:tblCellMar>
        <w:tblLook w:val="04A0" w:firstRow="1" w:lastRow="0" w:firstColumn="1" w:lastColumn="0" w:noHBand="0" w:noVBand="1"/>
        <w:tblDescription w:val="Financial Reports from Academia Avance "/>
      </w:tblPr>
      <w:tblGrid>
        <w:gridCol w:w="4315"/>
        <w:gridCol w:w="2700"/>
        <w:gridCol w:w="2430"/>
      </w:tblGrid>
      <w:tr w:rsidR="0056753F" w:rsidRPr="0056753F" w14:paraId="518705F8" w14:textId="77777777" w:rsidTr="00C62811">
        <w:trPr>
          <w:cantSplit/>
          <w:trHeight w:val="576"/>
          <w:tblHeader/>
        </w:trPr>
        <w:tc>
          <w:tcPr>
            <w:tcW w:w="431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C5009E6" w14:textId="77777777" w:rsidR="00EA0815" w:rsidRPr="0056753F" w:rsidRDefault="00EA0815" w:rsidP="0027098B">
            <w:pPr>
              <w:jc w:val="center"/>
              <w:rPr>
                <w:b/>
                <w:bCs/>
              </w:rPr>
            </w:pPr>
            <w:r w:rsidRPr="0056753F">
              <w:rPr>
                <w:b/>
                <w:bCs/>
              </w:rPr>
              <w:lastRenderedPageBreak/>
              <w:t>Report</w:t>
            </w:r>
          </w:p>
        </w:tc>
        <w:tc>
          <w:tcPr>
            <w:tcW w:w="270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59877BF" w14:textId="77777777" w:rsidR="00EA0815" w:rsidRPr="0056753F" w:rsidRDefault="00EA0815" w:rsidP="0027098B">
            <w:pPr>
              <w:jc w:val="center"/>
              <w:rPr>
                <w:b/>
                <w:bCs/>
              </w:rPr>
            </w:pPr>
            <w:r w:rsidRPr="0056753F">
              <w:rPr>
                <w:b/>
                <w:bCs/>
              </w:rPr>
              <w:t>Statutory Due Date</w:t>
            </w:r>
          </w:p>
        </w:tc>
        <w:tc>
          <w:tcPr>
            <w:tcW w:w="243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536C741" w14:textId="77777777" w:rsidR="00EA0815" w:rsidRPr="0056753F" w:rsidRDefault="00EA0815" w:rsidP="0027098B">
            <w:pPr>
              <w:jc w:val="center"/>
              <w:rPr>
                <w:b/>
                <w:bCs/>
              </w:rPr>
            </w:pPr>
            <w:r w:rsidRPr="0056753F">
              <w:rPr>
                <w:b/>
                <w:bCs/>
              </w:rPr>
              <w:t>Date Submitted</w:t>
            </w:r>
          </w:p>
        </w:tc>
      </w:tr>
      <w:tr w:rsidR="0056753F" w:rsidRPr="0056753F" w14:paraId="58598391" w14:textId="77777777" w:rsidTr="00C62811">
        <w:trPr>
          <w:cantSplit/>
          <w:trHeight w:val="60"/>
        </w:trPr>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AEDFF" w14:textId="13A1FAFE" w:rsidR="00EA0815" w:rsidRPr="0056753F" w:rsidRDefault="00EA0815" w:rsidP="005C7F35">
            <w:r w:rsidRPr="0056753F">
              <w:rPr>
                <w:b/>
                <w:bCs/>
              </w:rPr>
              <w:t>Unaudited Actuals</w:t>
            </w:r>
            <w:r w:rsidR="005C7F35" w:rsidRPr="0056753F">
              <w:rPr>
                <w:b/>
                <w:bCs/>
              </w:rPr>
              <w:br/>
            </w:r>
            <w:r w:rsidRPr="0056753F">
              <w:t>for the full prior year ending June 30</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6DE931DD" w14:textId="77777777" w:rsidR="00EA0815" w:rsidRPr="0056753F" w:rsidRDefault="00EA0815" w:rsidP="0027098B">
            <w:r w:rsidRPr="0056753F">
              <w:t>September 15, 2024</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262AF082" w14:textId="77777777" w:rsidR="00EA0815" w:rsidRPr="0056753F" w:rsidRDefault="00EA0815" w:rsidP="0027098B">
            <w:r w:rsidRPr="0056753F">
              <w:t>January 31, 2025</w:t>
            </w:r>
          </w:p>
        </w:tc>
      </w:tr>
      <w:tr w:rsidR="00451AFD" w:rsidRPr="0056753F" w14:paraId="518C3D48" w14:textId="77777777" w:rsidTr="00C62811">
        <w:trPr>
          <w:cantSplit/>
          <w:trHeight w:val="60"/>
        </w:trPr>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892E7A" w14:textId="430BDA96" w:rsidR="00451AFD" w:rsidRPr="0056753F" w:rsidRDefault="00451AFD" w:rsidP="00451AFD">
            <w:pPr>
              <w:rPr>
                <w:b/>
                <w:bCs/>
              </w:rPr>
            </w:pPr>
            <w:r w:rsidRPr="0056753F">
              <w:rPr>
                <w:b/>
                <w:bCs/>
              </w:rPr>
              <w:t>First Interim</w:t>
            </w:r>
            <w:r w:rsidRPr="0056753F">
              <w:rPr>
                <w:b/>
                <w:bCs/>
              </w:rPr>
              <w:br/>
            </w:r>
            <w:r w:rsidRPr="0056753F">
              <w:t>reflecting changes through October 31</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69C8D336" w14:textId="38CD7C4B" w:rsidR="00451AFD" w:rsidRPr="0056753F" w:rsidRDefault="00451AFD" w:rsidP="00451AFD">
            <w:r w:rsidRPr="0056753F">
              <w:t>December 15, 2024</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85BB71A" w14:textId="3E260DE1" w:rsidR="00451AFD" w:rsidRPr="0056753F" w:rsidRDefault="00451AFD" w:rsidP="00451AFD">
            <w:r w:rsidRPr="0056753F">
              <w:t>November 26, 2024</w:t>
            </w:r>
          </w:p>
        </w:tc>
      </w:tr>
      <w:tr w:rsidR="00451AFD" w:rsidRPr="0056753F" w14:paraId="3E9B64A1" w14:textId="77777777" w:rsidTr="00C62811">
        <w:trPr>
          <w:cantSplit/>
          <w:trHeight w:val="88"/>
        </w:trPr>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913B31" w14:textId="52CDEA15" w:rsidR="00451AFD" w:rsidRPr="0056753F" w:rsidRDefault="00451AFD" w:rsidP="00451AFD">
            <w:pPr>
              <w:rPr>
                <w:b/>
                <w:bCs/>
              </w:rPr>
            </w:pPr>
            <w:r w:rsidRPr="0056753F">
              <w:rPr>
                <w:b/>
                <w:bCs/>
              </w:rPr>
              <w:t>Independent Audit</w:t>
            </w:r>
            <w:r w:rsidRPr="0056753F">
              <w:rPr>
                <w:b/>
                <w:bCs/>
              </w:rPr>
              <w:br/>
            </w:r>
            <w:r w:rsidRPr="0056753F">
              <w:t>for the full prior year ending June 30</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2C9888AA" w14:textId="409A1194" w:rsidR="00451AFD" w:rsidRPr="0056753F" w:rsidRDefault="00451AFD" w:rsidP="00451AFD">
            <w:r w:rsidRPr="0056753F">
              <w:t>December 15, 2024</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2BFAEA2" w14:textId="71A12E75" w:rsidR="00451AFD" w:rsidRPr="0056753F" w:rsidRDefault="00451AFD" w:rsidP="00451AFD">
            <w:r w:rsidRPr="0056753F">
              <w:t>Not Submitted *</w:t>
            </w:r>
          </w:p>
        </w:tc>
      </w:tr>
      <w:tr w:rsidR="00451AFD" w:rsidRPr="0056753F" w14:paraId="26C4C570" w14:textId="77777777" w:rsidTr="00C62811">
        <w:trPr>
          <w:cantSplit/>
          <w:trHeight w:val="88"/>
        </w:trPr>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543645" w14:textId="196C09A9" w:rsidR="00451AFD" w:rsidRPr="00D626AC" w:rsidRDefault="00451AFD" w:rsidP="00451AFD">
            <w:r>
              <w:rPr>
                <w:b/>
                <w:bCs/>
              </w:rPr>
              <w:t>Secon</w:t>
            </w:r>
            <w:r w:rsidR="00632D36">
              <w:rPr>
                <w:b/>
                <w:bCs/>
              </w:rPr>
              <w:t>d</w:t>
            </w:r>
            <w:r>
              <w:rPr>
                <w:b/>
                <w:bCs/>
              </w:rPr>
              <w:t xml:space="preserve"> Interim</w:t>
            </w:r>
            <w:r w:rsidR="00D626AC">
              <w:br/>
              <w:t>reflecting changes through January 31</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6AB2EE26" w14:textId="5A472D00" w:rsidR="00451AFD" w:rsidRPr="0056753F" w:rsidRDefault="00D626AC" w:rsidP="00451AFD">
            <w:r>
              <w:t>March 15, 2025</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6D671606" w14:textId="59013651" w:rsidR="00451AFD" w:rsidRPr="0056753F" w:rsidRDefault="00056104" w:rsidP="00451AFD">
            <w:r>
              <w:t xml:space="preserve">February </w:t>
            </w:r>
            <w:r w:rsidR="005A6CC1">
              <w:t>21</w:t>
            </w:r>
            <w:r>
              <w:t>, 2025</w:t>
            </w:r>
          </w:p>
        </w:tc>
      </w:tr>
    </w:tbl>
    <w:p w14:paraId="011B7C01" w14:textId="0A750851" w:rsidR="00EA0815" w:rsidRPr="0056753F" w:rsidRDefault="00EA0815" w:rsidP="00EA0815">
      <w:pPr>
        <w:spacing w:before="240"/>
      </w:pPr>
      <w:r w:rsidRPr="0056753F">
        <w:t>* As of March 1</w:t>
      </w:r>
      <w:r w:rsidR="005C7F35" w:rsidRPr="0056753F">
        <w:t>7</w:t>
      </w:r>
      <w:r w:rsidRPr="0056753F">
        <w:t>, 2025</w:t>
      </w:r>
      <w:r w:rsidRPr="0056753F">
        <w:br/>
      </w:r>
      <w:r w:rsidRPr="0056753F">
        <w:br/>
        <w:t>Based on the above-summarized dates, Academia Avance submitted its fiscal year 2024–25 First Interim Report before completing its fiscal year 2023–24 Unaudited Actuals Report. As they were developed without prior year financial data, Academia Avance’s 2024–25 budgets include unreasonable and unclear budget assumptions.</w:t>
      </w:r>
    </w:p>
    <w:p w14:paraId="1670D3DC" w14:textId="12104B9B" w:rsidR="00EA0815" w:rsidRPr="0056753F" w:rsidRDefault="00EA0815" w:rsidP="00EA0815">
      <w:pPr>
        <w:rPr>
          <w:rFonts w:eastAsia="Arial" w:cs="Arial"/>
          <w:lang w:bidi="en-US"/>
        </w:rPr>
      </w:pPr>
      <w:r w:rsidRPr="0056753F">
        <w:rPr>
          <w:rFonts w:eastAsia="Arial" w:cs="Arial"/>
          <w:lang w:bidi="en-US"/>
        </w:rPr>
        <w:t xml:space="preserve">On March 5, 2025, the SBE issued a </w:t>
      </w:r>
      <w:r w:rsidR="009B22F9">
        <w:rPr>
          <w:rFonts w:eastAsia="Arial" w:cs="Arial"/>
          <w:lang w:bidi="en-US"/>
        </w:rPr>
        <w:t>Notice of Violation</w:t>
      </w:r>
      <w:r w:rsidRPr="0056753F">
        <w:rPr>
          <w:rFonts w:eastAsia="Arial" w:cs="Arial"/>
          <w:lang w:bidi="en-US"/>
        </w:rPr>
        <w:t xml:space="preserve"> based on Academia Avance’s unreliable budget development </w:t>
      </w:r>
      <w:r w:rsidRPr="0056753F">
        <w:rPr>
          <w:rFonts w:cs="Arial"/>
        </w:rPr>
        <w:t>(Attachment 1).</w:t>
      </w:r>
    </w:p>
    <w:p w14:paraId="017C59D2" w14:textId="558349FE" w:rsidR="00EA0815" w:rsidRPr="0056753F" w:rsidRDefault="00EA0815" w:rsidP="00EA0815">
      <w:pPr>
        <w:rPr>
          <w:rFonts w:eastAsia="Arial" w:cs="Arial"/>
          <w:lang w:bidi="en-US"/>
        </w:rPr>
      </w:pPr>
      <w:r w:rsidRPr="0056753F">
        <w:rPr>
          <w:rFonts w:eastAsia="Arial" w:cs="Arial"/>
          <w:lang w:bidi="en-US"/>
        </w:rPr>
        <w:t xml:space="preserve">On March 13, 2025, </w:t>
      </w:r>
      <w:r w:rsidRPr="0056753F">
        <w:rPr>
          <w:rFonts w:cs="Arial"/>
        </w:rPr>
        <w:t xml:space="preserve">Academia Avance’s submitted its Response to the </w:t>
      </w:r>
      <w:r w:rsidR="009B22F9">
        <w:rPr>
          <w:rFonts w:eastAsia="Arial" w:cs="Arial"/>
          <w:lang w:bidi="en-US"/>
        </w:rPr>
        <w:t>Notice of Violation</w:t>
      </w:r>
      <w:r w:rsidRPr="0056753F">
        <w:rPr>
          <w:rFonts w:cs="Arial"/>
        </w:rPr>
        <w:t xml:space="preserve"> which </w:t>
      </w:r>
      <w:r w:rsidRPr="0056753F">
        <w:rPr>
          <w:rFonts w:eastAsia="Arial" w:cs="Arial"/>
          <w:lang w:bidi="en-US"/>
        </w:rPr>
        <w:t xml:space="preserve">describes the following corrective actions taken </w:t>
      </w:r>
      <w:r w:rsidRPr="00F34364">
        <w:rPr>
          <w:rFonts w:eastAsia="Arial" w:cs="Arial"/>
          <w:lang w:bidi="en-US"/>
        </w:rPr>
        <w:t>(Attachment 2, p. 3):</w:t>
      </w:r>
    </w:p>
    <w:p w14:paraId="1A8E836D" w14:textId="77777777" w:rsidR="00EA0815" w:rsidRPr="0056753F" w:rsidRDefault="00EA0815" w:rsidP="00D97D4C">
      <w:pPr>
        <w:pStyle w:val="ListParagraph"/>
        <w:numPr>
          <w:ilvl w:val="0"/>
          <w:numId w:val="5"/>
        </w:numPr>
        <w:contextualSpacing/>
        <w:rPr>
          <w:rFonts w:eastAsia="Arial" w:cs="Arial"/>
          <w:lang w:bidi="en-US"/>
        </w:rPr>
      </w:pPr>
      <w:r w:rsidRPr="0056753F">
        <w:rPr>
          <w:rFonts w:eastAsia="Arial" w:cs="Arial"/>
          <w:lang w:bidi="en-US"/>
        </w:rPr>
        <w:t>Improved Budget Assumptions</w:t>
      </w:r>
    </w:p>
    <w:p w14:paraId="6854BC48" w14:textId="77777777" w:rsidR="00EA0815" w:rsidRPr="0056753F" w:rsidRDefault="00EA0815" w:rsidP="00D97D4C">
      <w:pPr>
        <w:pStyle w:val="ListParagraph"/>
        <w:numPr>
          <w:ilvl w:val="1"/>
          <w:numId w:val="5"/>
        </w:numPr>
        <w:contextualSpacing/>
        <w:rPr>
          <w:rFonts w:eastAsia="Arial" w:cs="Arial"/>
          <w:lang w:bidi="en-US"/>
        </w:rPr>
      </w:pPr>
      <w:r w:rsidRPr="0056753F">
        <w:rPr>
          <w:rFonts w:eastAsia="Arial" w:cs="Arial"/>
          <w:lang w:bidi="en-US"/>
        </w:rPr>
        <w:t>Budgets are now aligned with the actual enrollment trends and realistic revenue and expenditure projections.</w:t>
      </w:r>
    </w:p>
    <w:p w14:paraId="15C81563" w14:textId="77777777" w:rsidR="00EA0815" w:rsidRPr="0056753F" w:rsidRDefault="00EA0815" w:rsidP="00D97D4C">
      <w:pPr>
        <w:pStyle w:val="ListParagraph"/>
        <w:numPr>
          <w:ilvl w:val="1"/>
          <w:numId w:val="5"/>
        </w:numPr>
        <w:contextualSpacing/>
        <w:rPr>
          <w:rFonts w:eastAsia="Arial" w:cs="Arial"/>
          <w:lang w:bidi="en-US"/>
        </w:rPr>
      </w:pPr>
      <w:r w:rsidRPr="0056753F">
        <w:rPr>
          <w:rFonts w:eastAsia="Arial" w:cs="Arial"/>
          <w:lang w:bidi="en-US"/>
        </w:rPr>
        <w:t>The Board must now approve budget assumptions exceeding a 5% variance from prior-year variance from prior-year actuals.</w:t>
      </w:r>
    </w:p>
    <w:p w14:paraId="37E93AC7" w14:textId="77777777" w:rsidR="00EA0815" w:rsidRPr="0056753F" w:rsidRDefault="00EA0815" w:rsidP="00D97D4C">
      <w:pPr>
        <w:pStyle w:val="ListParagraph"/>
        <w:numPr>
          <w:ilvl w:val="0"/>
          <w:numId w:val="5"/>
        </w:numPr>
        <w:contextualSpacing/>
        <w:rPr>
          <w:rFonts w:eastAsia="Arial" w:cs="Arial"/>
          <w:lang w:bidi="en-US"/>
        </w:rPr>
      </w:pPr>
      <w:r w:rsidRPr="0056753F">
        <w:rPr>
          <w:rFonts w:eastAsia="Arial" w:cs="Arial"/>
          <w:lang w:bidi="en-US"/>
        </w:rPr>
        <w:t>Stronger Financial Oversight</w:t>
      </w:r>
    </w:p>
    <w:p w14:paraId="0980A689" w14:textId="77777777" w:rsidR="00EA0815" w:rsidRPr="0056753F" w:rsidRDefault="00EA0815" w:rsidP="00D97D4C">
      <w:pPr>
        <w:pStyle w:val="ListParagraph"/>
        <w:numPr>
          <w:ilvl w:val="1"/>
          <w:numId w:val="5"/>
        </w:numPr>
        <w:contextualSpacing/>
        <w:rPr>
          <w:rFonts w:eastAsia="Arial" w:cs="Arial"/>
          <w:lang w:bidi="en-US"/>
        </w:rPr>
      </w:pPr>
      <w:r w:rsidRPr="0056753F">
        <w:rPr>
          <w:rFonts w:eastAsia="Arial" w:cs="Arial"/>
          <w:lang w:bidi="en-US"/>
        </w:rPr>
        <w:t>Budget forecasts are reviewed quarterly and adjusted based on updated financial reports.</w:t>
      </w:r>
    </w:p>
    <w:p w14:paraId="278178C3" w14:textId="77777777" w:rsidR="00EA0815" w:rsidRPr="0056753F" w:rsidRDefault="00EA0815" w:rsidP="00D97D4C">
      <w:pPr>
        <w:pStyle w:val="ListParagraph"/>
        <w:numPr>
          <w:ilvl w:val="1"/>
          <w:numId w:val="5"/>
        </w:numPr>
        <w:contextualSpacing/>
        <w:rPr>
          <w:rFonts w:eastAsia="Arial" w:cs="Arial"/>
          <w:lang w:bidi="en-US"/>
        </w:rPr>
      </w:pPr>
      <w:r w:rsidRPr="0056753F">
        <w:rPr>
          <w:rFonts w:eastAsia="Arial" w:cs="Arial"/>
          <w:lang w:bidi="en-US"/>
        </w:rPr>
        <w:t xml:space="preserve">Unaudited </w:t>
      </w:r>
      <w:proofErr w:type="gramStart"/>
      <w:r w:rsidRPr="0056753F">
        <w:rPr>
          <w:rFonts w:eastAsia="Arial" w:cs="Arial"/>
          <w:lang w:bidi="en-US"/>
        </w:rPr>
        <w:t>actuals</w:t>
      </w:r>
      <w:proofErr w:type="gramEnd"/>
      <w:r w:rsidRPr="0056753F">
        <w:rPr>
          <w:rFonts w:eastAsia="Arial" w:cs="Arial"/>
          <w:lang w:bidi="en-US"/>
        </w:rPr>
        <w:t xml:space="preserve"> are now a required precondition before submitting new budgets.</w:t>
      </w:r>
    </w:p>
    <w:p w14:paraId="2D02A403" w14:textId="0BF26D92" w:rsidR="00EA0815" w:rsidRPr="00151F03" w:rsidRDefault="00EA0815" w:rsidP="00EA0815">
      <w:pPr>
        <w:tabs>
          <w:tab w:val="num" w:pos="720"/>
        </w:tabs>
        <w:spacing w:before="240"/>
      </w:pPr>
      <w:r w:rsidRPr="0056753F">
        <w:t xml:space="preserve">Academia Avance </w:t>
      </w:r>
      <w:r w:rsidR="00D8182B" w:rsidRPr="0056753F">
        <w:t xml:space="preserve">continues to </w:t>
      </w:r>
      <w:r w:rsidRPr="0056753F">
        <w:t xml:space="preserve">use unreliable and inaccurate budget assumptions because its multi-year budget projections submitted as part of its Response to </w:t>
      </w:r>
      <w:r w:rsidR="00D8182B" w:rsidRPr="0056753F">
        <w:t>the Notice of Violation</w:t>
      </w:r>
      <w:r w:rsidRPr="0056753F">
        <w:t xml:space="preserve"> </w:t>
      </w:r>
      <w:r w:rsidR="00FD6C62">
        <w:t>on</w:t>
      </w:r>
      <w:r w:rsidRPr="0056753F">
        <w:t xml:space="preserve"> March 13, 2025, do not include adjustments for inflation for the following expenses:</w:t>
      </w:r>
    </w:p>
    <w:p w14:paraId="595AD264" w14:textId="77777777" w:rsidR="00EA0815" w:rsidRPr="0056753F" w:rsidRDefault="00EA0815" w:rsidP="00D97D4C">
      <w:pPr>
        <w:numPr>
          <w:ilvl w:val="0"/>
          <w:numId w:val="9"/>
        </w:numPr>
        <w:spacing w:after="0"/>
      </w:pPr>
      <w:r w:rsidRPr="0056753F">
        <w:t>OASDI</w:t>
      </w:r>
    </w:p>
    <w:p w14:paraId="0C46353A" w14:textId="77777777" w:rsidR="00EA0815" w:rsidRPr="00151F03" w:rsidRDefault="00EA0815" w:rsidP="00D97D4C">
      <w:pPr>
        <w:numPr>
          <w:ilvl w:val="0"/>
          <w:numId w:val="9"/>
        </w:numPr>
        <w:spacing w:after="0"/>
      </w:pPr>
      <w:r w:rsidRPr="00151F03">
        <w:t>Medicare</w:t>
      </w:r>
    </w:p>
    <w:p w14:paraId="2102C8EA" w14:textId="77777777" w:rsidR="00EA0815" w:rsidRPr="00151F03" w:rsidRDefault="00EA0815" w:rsidP="00D97D4C">
      <w:pPr>
        <w:numPr>
          <w:ilvl w:val="0"/>
          <w:numId w:val="11"/>
        </w:numPr>
        <w:spacing w:after="0"/>
      </w:pPr>
      <w:r w:rsidRPr="00151F03">
        <w:t>State Unemployment</w:t>
      </w:r>
    </w:p>
    <w:p w14:paraId="02E27D92" w14:textId="77777777" w:rsidR="00EA0815" w:rsidRPr="00151F03" w:rsidRDefault="00EA0815" w:rsidP="00D97D4C">
      <w:pPr>
        <w:numPr>
          <w:ilvl w:val="0"/>
          <w:numId w:val="12"/>
        </w:numPr>
        <w:spacing w:after="0"/>
      </w:pPr>
      <w:r w:rsidRPr="00151F03">
        <w:lastRenderedPageBreak/>
        <w:t>Workers' Compensation</w:t>
      </w:r>
    </w:p>
    <w:p w14:paraId="45F8053B" w14:textId="77777777" w:rsidR="00EA0815" w:rsidRPr="00151F03" w:rsidRDefault="00EA0815" w:rsidP="00D97D4C">
      <w:pPr>
        <w:numPr>
          <w:ilvl w:val="0"/>
          <w:numId w:val="13"/>
        </w:numPr>
        <w:spacing w:after="0"/>
      </w:pPr>
      <w:r w:rsidRPr="00151F03">
        <w:t>School Supplies</w:t>
      </w:r>
    </w:p>
    <w:p w14:paraId="56ED954E" w14:textId="77777777" w:rsidR="00EA0815" w:rsidRPr="00151F03" w:rsidRDefault="00EA0815" w:rsidP="00D97D4C">
      <w:pPr>
        <w:numPr>
          <w:ilvl w:val="0"/>
          <w:numId w:val="14"/>
        </w:numPr>
        <w:spacing w:after="0"/>
      </w:pPr>
      <w:r w:rsidRPr="00151F03">
        <w:t>Software</w:t>
      </w:r>
    </w:p>
    <w:p w14:paraId="7385BF41" w14:textId="77777777" w:rsidR="00EA0815" w:rsidRPr="00151F03" w:rsidRDefault="00EA0815" w:rsidP="00D97D4C">
      <w:pPr>
        <w:numPr>
          <w:ilvl w:val="0"/>
          <w:numId w:val="15"/>
        </w:numPr>
        <w:spacing w:after="0"/>
      </w:pPr>
      <w:r w:rsidRPr="00151F03">
        <w:t>Office Expenses</w:t>
      </w:r>
    </w:p>
    <w:p w14:paraId="6D070C5C" w14:textId="77777777" w:rsidR="00EA0815" w:rsidRPr="00151F03" w:rsidRDefault="00EA0815" w:rsidP="00D97D4C">
      <w:pPr>
        <w:numPr>
          <w:ilvl w:val="0"/>
          <w:numId w:val="16"/>
        </w:numPr>
        <w:spacing w:after="0"/>
      </w:pPr>
      <w:r w:rsidRPr="00151F03">
        <w:t>Business Meals</w:t>
      </w:r>
    </w:p>
    <w:p w14:paraId="4272070E" w14:textId="77777777" w:rsidR="00EA0815" w:rsidRPr="00151F03" w:rsidRDefault="00EA0815" w:rsidP="00D97D4C">
      <w:pPr>
        <w:numPr>
          <w:ilvl w:val="0"/>
          <w:numId w:val="17"/>
        </w:numPr>
        <w:spacing w:after="0"/>
      </w:pPr>
      <w:r w:rsidRPr="00151F03">
        <w:t>Noncapitalized Equipment</w:t>
      </w:r>
    </w:p>
    <w:p w14:paraId="038B6EA0" w14:textId="77777777" w:rsidR="00CD71C7" w:rsidRPr="0056753F" w:rsidRDefault="00CD71C7" w:rsidP="00D97D4C">
      <w:pPr>
        <w:numPr>
          <w:ilvl w:val="0"/>
          <w:numId w:val="19"/>
        </w:numPr>
        <w:spacing w:after="0"/>
      </w:pPr>
      <w:r w:rsidRPr="0056753F">
        <w:t>Food Services</w:t>
      </w:r>
    </w:p>
    <w:p w14:paraId="396553FB" w14:textId="0D369F56" w:rsidR="00EA0815" w:rsidRPr="00151F03" w:rsidRDefault="00EA0815" w:rsidP="00D97D4C">
      <w:pPr>
        <w:numPr>
          <w:ilvl w:val="0"/>
          <w:numId w:val="19"/>
        </w:numPr>
        <w:spacing w:after="0"/>
      </w:pPr>
      <w:r w:rsidRPr="00151F03">
        <w:t>Special Education</w:t>
      </w:r>
    </w:p>
    <w:p w14:paraId="7F538EE2" w14:textId="77777777" w:rsidR="00EA0815" w:rsidRPr="00151F03" w:rsidRDefault="00EA0815" w:rsidP="00D97D4C">
      <w:pPr>
        <w:numPr>
          <w:ilvl w:val="0"/>
          <w:numId w:val="20"/>
        </w:numPr>
        <w:spacing w:after="0"/>
      </w:pPr>
      <w:r w:rsidRPr="00151F03">
        <w:t>Substitute Teacher</w:t>
      </w:r>
    </w:p>
    <w:p w14:paraId="439D77FA" w14:textId="77777777" w:rsidR="00EA0815" w:rsidRPr="00151F03" w:rsidRDefault="00EA0815" w:rsidP="00D97D4C">
      <w:pPr>
        <w:numPr>
          <w:ilvl w:val="0"/>
          <w:numId w:val="21"/>
        </w:numPr>
        <w:spacing w:after="0"/>
      </w:pPr>
      <w:r w:rsidRPr="00151F03">
        <w:t>Transportation</w:t>
      </w:r>
    </w:p>
    <w:p w14:paraId="0B107FAD" w14:textId="77777777" w:rsidR="00EA0815" w:rsidRPr="00151F03" w:rsidRDefault="00EA0815" w:rsidP="00D97D4C">
      <w:pPr>
        <w:numPr>
          <w:ilvl w:val="0"/>
          <w:numId w:val="22"/>
        </w:numPr>
        <w:spacing w:after="0"/>
      </w:pPr>
      <w:r w:rsidRPr="00151F03">
        <w:t>Security</w:t>
      </w:r>
    </w:p>
    <w:p w14:paraId="12FEB8C3" w14:textId="77777777" w:rsidR="00EA0815" w:rsidRPr="00151F03" w:rsidRDefault="00EA0815" w:rsidP="00D97D4C">
      <w:pPr>
        <w:numPr>
          <w:ilvl w:val="0"/>
          <w:numId w:val="23"/>
        </w:numPr>
        <w:spacing w:after="0"/>
      </w:pPr>
      <w:r w:rsidRPr="00151F03">
        <w:t>Other Educational Consultants</w:t>
      </w:r>
    </w:p>
    <w:p w14:paraId="5102CB0F" w14:textId="77777777" w:rsidR="00EA0815" w:rsidRPr="00151F03" w:rsidRDefault="00EA0815" w:rsidP="00D97D4C">
      <w:pPr>
        <w:numPr>
          <w:ilvl w:val="0"/>
          <w:numId w:val="24"/>
        </w:numPr>
        <w:spacing w:after="0"/>
      </w:pPr>
      <w:r w:rsidRPr="00151F03">
        <w:t>Auto and Travel</w:t>
      </w:r>
    </w:p>
    <w:p w14:paraId="7334DD75" w14:textId="77777777" w:rsidR="00EA0815" w:rsidRPr="00151F03" w:rsidRDefault="00EA0815" w:rsidP="00D97D4C">
      <w:pPr>
        <w:numPr>
          <w:ilvl w:val="0"/>
          <w:numId w:val="25"/>
        </w:numPr>
        <w:spacing w:after="0"/>
      </w:pPr>
      <w:r w:rsidRPr="00151F03">
        <w:t>Dues &amp; Memberships</w:t>
      </w:r>
    </w:p>
    <w:p w14:paraId="4E20B7A1" w14:textId="77777777" w:rsidR="00EA0815" w:rsidRDefault="00EA0815" w:rsidP="00D97D4C">
      <w:pPr>
        <w:numPr>
          <w:ilvl w:val="0"/>
          <w:numId w:val="26"/>
        </w:numPr>
        <w:spacing w:after="0"/>
      </w:pPr>
      <w:r w:rsidRPr="00151F03">
        <w:t>Insurance</w:t>
      </w:r>
    </w:p>
    <w:p w14:paraId="0A4279BF" w14:textId="67CC2333" w:rsidR="000E7124" w:rsidRPr="00151F03" w:rsidRDefault="000E7124" w:rsidP="00D97D4C">
      <w:pPr>
        <w:numPr>
          <w:ilvl w:val="0"/>
          <w:numId w:val="26"/>
        </w:numPr>
        <w:spacing w:after="0"/>
      </w:pPr>
      <w:r>
        <w:t>Utilities</w:t>
      </w:r>
    </w:p>
    <w:p w14:paraId="58318B81" w14:textId="77777777" w:rsidR="00EA0815" w:rsidRPr="00151F03" w:rsidRDefault="00EA0815" w:rsidP="00D97D4C">
      <w:pPr>
        <w:numPr>
          <w:ilvl w:val="0"/>
          <w:numId w:val="27"/>
        </w:numPr>
        <w:spacing w:after="0"/>
      </w:pPr>
      <w:r w:rsidRPr="00151F03">
        <w:t>Janitorial Services</w:t>
      </w:r>
    </w:p>
    <w:p w14:paraId="7FC1C2E7" w14:textId="77777777" w:rsidR="00EA0815" w:rsidRPr="00151F03" w:rsidRDefault="00EA0815" w:rsidP="00D97D4C">
      <w:pPr>
        <w:numPr>
          <w:ilvl w:val="0"/>
          <w:numId w:val="28"/>
        </w:numPr>
        <w:spacing w:after="0"/>
      </w:pPr>
      <w:r w:rsidRPr="00151F03">
        <w:t>Communications</w:t>
      </w:r>
    </w:p>
    <w:p w14:paraId="475F1F77" w14:textId="77777777" w:rsidR="00EA0815" w:rsidRPr="00151F03" w:rsidRDefault="00EA0815" w:rsidP="00D97D4C">
      <w:pPr>
        <w:numPr>
          <w:ilvl w:val="0"/>
          <w:numId w:val="29"/>
        </w:numPr>
        <w:spacing w:after="0"/>
      </w:pPr>
      <w:r w:rsidRPr="00151F03">
        <w:t>Postage and Shipping</w:t>
      </w:r>
    </w:p>
    <w:p w14:paraId="2746E256" w14:textId="77777777" w:rsidR="00EA0815" w:rsidRPr="00151F03" w:rsidRDefault="00EA0815" w:rsidP="00D97D4C">
      <w:pPr>
        <w:numPr>
          <w:ilvl w:val="0"/>
          <w:numId w:val="30"/>
        </w:numPr>
        <w:spacing w:after="0"/>
      </w:pPr>
      <w:r w:rsidRPr="00151F03">
        <w:t>Repairs and Maintenance </w:t>
      </w:r>
      <w:r w:rsidRPr="0056753F">
        <w:t>(Attachment 4, p.12).</w:t>
      </w:r>
    </w:p>
    <w:p w14:paraId="6565C95E" w14:textId="1F51D740" w:rsidR="00EA0815" w:rsidRPr="0056753F" w:rsidRDefault="00EA0815" w:rsidP="00EA0815">
      <w:pPr>
        <w:spacing w:before="240"/>
      </w:pPr>
      <w:r w:rsidRPr="0056753F">
        <w:t xml:space="preserve">The above-listed annual expenses in Academia Avance’s Response to </w:t>
      </w:r>
      <w:r w:rsidR="00D8182B" w:rsidRPr="0056753F">
        <w:t>the Notice of Violation</w:t>
      </w:r>
      <w:r w:rsidRPr="0056753F">
        <w:t xml:space="preserve">, contain unchanged projections for </w:t>
      </w:r>
      <w:r w:rsidRPr="003A3D1A">
        <w:rPr>
          <w:u w:val="single"/>
        </w:rPr>
        <w:t>five</w:t>
      </w:r>
      <w:r w:rsidRPr="0056753F">
        <w:t xml:space="preserve"> consecutive years, which is unrealistic.</w:t>
      </w:r>
      <w:r w:rsidR="002B6687" w:rsidRPr="0056753F">
        <w:rPr>
          <w:rStyle w:val="FootnoteReference"/>
        </w:rPr>
        <w:footnoteReference w:id="5"/>
      </w:r>
      <w:r w:rsidRPr="0056753F">
        <w:t xml:space="preserve"> Additionally, Academia Avance’s Response to </w:t>
      </w:r>
      <w:r w:rsidR="00281B5F" w:rsidRPr="0056753F">
        <w:t>the Notice of Violation</w:t>
      </w:r>
      <w:r w:rsidRPr="0056753F">
        <w:t xml:space="preserve"> was developed without an independent financial audit report</w:t>
      </w:r>
      <w:r w:rsidR="00397BCD">
        <w:t xml:space="preserve"> for fiscal year 2023</w:t>
      </w:r>
      <w:r w:rsidR="00397BCD" w:rsidRPr="0056753F">
        <w:rPr>
          <w:rFonts w:cs="Arial"/>
        </w:rPr>
        <w:t>–</w:t>
      </w:r>
      <w:r w:rsidR="00397BCD">
        <w:t>24</w:t>
      </w:r>
      <w:r w:rsidRPr="0056753F">
        <w:t xml:space="preserve">. Consequently, Academia Avance’s use of unrealistic and inaccurate budget assumptions demonstrates a lack of reliability that </w:t>
      </w:r>
      <w:r w:rsidR="00397BCD">
        <w:rPr>
          <w:rFonts w:cs="Arial"/>
        </w:rPr>
        <w:t>demonstrates</w:t>
      </w:r>
      <w:r w:rsidRPr="0056753F">
        <w:rPr>
          <w:rFonts w:cs="Arial"/>
        </w:rPr>
        <w:t xml:space="preserve"> a failure to remedy the violation of the finding of fiscal mismanagement.</w:t>
      </w:r>
    </w:p>
    <w:p w14:paraId="0CEB09F9" w14:textId="77777777" w:rsidR="00EA0815" w:rsidRPr="000454A3" w:rsidRDefault="00EA0815" w:rsidP="00863DE7">
      <w:pPr>
        <w:pStyle w:val="Heading3"/>
        <w:rPr>
          <w:rFonts w:eastAsia="Calibri"/>
        </w:rPr>
      </w:pPr>
      <w:r w:rsidRPr="000454A3">
        <w:t>Inattention to Debt</w:t>
      </w:r>
    </w:p>
    <w:p w14:paraId="2FEA3B5F" w14:textId="77777777" w:rsidR="00EA0815" w:rsidRPr="0056753F" w:rsidRDefault="00EA0815" w:rsidP="00EA0815">
      <w:pPr>
        <w:rPr>
          <w:rFonts w:eastAsia="Calibri"/>
        </w:rPr>
      </w:pPr>
      <w:r w:rsidRPr="0056753F">
        <w:rPr>
          <w:rFonts w:eastAsia="Calibri"/>
        </w:rPr>
        <w:t xml:space="preserve">FCMAT includes high levels of debt with total debt services payments greater than 2 percent of a charter school’s general revenues as an indicator of financial risk or potential insolvency </w:t>
      </w:r>
      <w:r w:rsidRPr="0056753F">
        <w:rPr>
          <w:rFonts w:eastAsia="Arial" w:cs="Arial"/>
          <w:lang w:bidi="en-US"/>
        </w:rPr>
        <w:t>(FCMAT Indicators, p. 3).</w:t>
      </w:r>
    </w:p>
    <w:p w14:paraId="47F481E7" w14:textId="77777777" w:rsidR="00EA0815" w:rsidRPr="0056753F" w:rsidRDefault="00EA0815" w:rsidP="00EA0815">
      <w:pPr>
        <w:spacing w:before="240"/>
        <w:rPr>
          <w:rFonts w:eastAsia="Calibri" w:cs="Arial"/>
        </w:rPr>
      </w:pPr>
      <w:r w:rsidRPr="0056753F">
        <w:rPr>
          <w:rFonts w:eastAsia="Calibri" w:cs="Arial"/>
        </w:rPr>
        <w:t xml:space="preserve">A current ratio of &lt;1 indicates a may be unable to meet short-term financial obligations. </w:t>
      </w:r>
    </w:p>
    <w:p w14:paraId="0A286552" w14:textId="4F3A2FFC" w:rsidR="00EA0815" w:rsidRPr="0056753F" w:rsidRDefault="00EA0815" w:rsidP="00D97D4C">
      <w:pPr>
        <w:pStyle w:val="ListParagraph"/>
        <w:numPr>
          <w:ilvl w:val="0"/>
          <w:numId w:val="6"/>
        </w:numPr>
        <w:spacing w:before="240"/>
        <w:contextualSpacing/>
        <w:rPr>
          <w:rFonts w:eastAsia="Calibri" w:cs="Arial"/>
        </w:rPr>
      </w:pPr>
      <w:r w:rsidRPr="0056753F">
        <w:rPr>
          <w:rFonts w:eastAsia="Calibri" w:cs="Arial"/>
        </w:rPr>
        <w:t>Per the Statement of Financial Position dated September 30, 2024 (Attachment 1</w:t>
      </w:r>
      <w:r w:rsidR="00E06B6C">
        <w:rPr>
          <w:rFonts w:eastAsia="Calibri" w:cs="Arial"/>
        </w:rPr>
        <w:t>, pp. 4-5</w:t>
      </w:r>
      <w:r w:rsidRPr="0056753F">
        <w:rPr>
          <w:rFonts w:eastAsia="Calibri" w:cs="Arial"/>
        </w:rPr>
        <w:t xml:space="preserve">), Academia Avance had a current ratio of 0.11. The current ratio is calculated by dividing current assets ($580,258) by current liabilities ($5,122,794). </w:t>
      </w:r>
    </w:p>
    <w:p w14:paraId="4AC3AB91" w14:textId="77777777" w:rsidR="00EA0815" w:rsidRPr="0056753F" w:rsidRDefault="00EA0815" w:rsidP="00D97D4C">
      <w:pPr>
        <w:pStyle w:val="ListParagraph"/>
        <w:numPr>
          <w:ilvl w:val="0"/>
          <w:numId w:val="6"/>
        </w:numPr>
        <w:spacing w:before="240"/>
        <w:contextualSpacing/>
        <w:rPr>
          <w:rFonts w:eastAsia="Calibri" w:cs="Arial"/>
        </w:rPr>
      </w:pPr>
      <w:r w:rsidRPr="0056753F">
        <w:rPr>
          <w:rFonts w:eastAsia="Calibri" w:cs="Arial"/>
        </w:rPr>
        <w:t xml:space="preserve">Per the Statement of Financial Position dated February 28, 2025 (Attachment 4, p.16) submitted as part of Academia Avance’s response to the SBE’s Notice of </w:t>
      </w:r>
      <w:r w:rsidRPr="0056753F">
        <w:rPr>
          <w:rFonts w:eastAsia="Calibri" w:cs="Arial"/>
        </w:rPr>
        <w:lastRenderedPageBreak/>
        <w:t>Violation, Academia Avance had a current ratio of 0.15. The current ratio is calculated by dividing current assets ($638,834) by current liabilities ($4,237,020).</w:t>
      </w:r>
    </w:p>
    <w:p w14:paraId="4F99BD08" w14:textId="77777777" w:rsidR="00EA0815" w:rsidRPr="0056753F" w:rsidRDefault="00EA0815" w:rsidP="00EA0815">
      <w:pPr>
        <w:spacing w:before="240"/>
        <w:rPr>
          <w:rFonts w:eastAsia="Calibri" w:cs="Arial"/>
        </w:rPr>
      </w:pPr>
      <w:r w:rsidRPr="0056753F">
        <w:rPr>
          <w:rFonts w:eastAsia="Calibri" w:cs="Arial"/>
        </w:rPr>
        <w:t>A debt ratio of &gt;1 indicates that a school has more debts than assets, limiting its options for financing, which may result in being unable to meet long-term financial obligations.</w:t>
      </w:r>
      <w:bookmarkStart w:id="6" w:name="_Hlk191475930"/>
      <w:r w:rsidRPr="0056753F">
        <w:rPr>
          <w:rFonts w:eastAsia="Calibri" w:cs="Arial"/>
        </w:rPr>
        <w:t xml:space="preserve"> </w:t>
      </w:r>
    </w:p>
    <w:p w14:paraId="57F5B033" w14:textId="4AF569FF" w:rsidR="00EA0815" w:rsidRPr="0056753F" w:rsidRDefault="00EA0815" w:rsidP="00D97D4C">
      <w:pPr>
        <w:pStyle w:val="ListParagraph"/>
        <w:numPr>
          <w:ilvl w:val="0"/>
          <w:numId w:val="7"/>
        </w:numPr>
        <w:spacing w:before="240"/>
        <w:contextualSpacing/>
        <w:rPr>
          <w:rFonts w:eastAsia="Calibri" w:cs="Arial"/>
        </w:rPr>
      </w:pPr>
      <w:r w:rsidRPr="0056753F">
        <w:rPr>
          <w:rFonts w:eastAsia="Calibri" w:cs="Arial"/>
        </w:rPr>
        <w:t>Per the Statement of Financial Position dated September 30, 2024 (</w:t>
      </w:r>
      <w:r w:rsidR="00E06B6C" w:rsidRPr="0056753F">
        <w:rPr>
          <w:rFonts w:eastAsia="Calibri" w:cs="Arial"/>
        </w:rPr>
        <w:t>Attachment 1</w:t>
      </w:r>
      <w:r w:rsidR="00E06B6C">
        <w:rPr>
          <w:rFonts w:eastAsia="Calibri" w:cs="Arial"/>
        </w:rPr>
        <w:t xml:space="preserve">, pp. 4-5) </w:t>
      </w:r>
      <w:r w:rsidRPr="0056753F">
        <w:rPr>
          <w:rFonts w:eastAsia="Calibri" w:cs="Arial"/>
        </w:rPr>
        <w:t xml:space="preserve">the debt ratio for Academia Avance was 2.62. The debt ratio is calculated by dividing total liabilities ($5,600,382) by total assets ($2,139,432). </w:t>
      </w:r>
    </w:p>
    <w:p w14:paraId="07757BA2" w14:textId="77777777" w:rsidR="00EA0815" w:rsidRPr="0056753F" w:rsidRDefault="00EA0815" w:rsidP="00D97D4C">
      <w:pPr>
        <w:pStyle w:val="ListParagraph"/>
        <w:numPr>
          <w:ilvl w:val="0"/>
          <w:numId w:val="7"/>
        </w:numPr>
        <w:spacing w:before="240"/>
        <w:contextualSpacing/>
      </w:pPr>
      <w:r w:rsidRPr="0056753F">
        <w:rPr>
          <w:rFonts w:eastAsia="Calibri" w:cs="Arial"/>
        </w:rPr>
        <w:t>Per the Statement of Financial Position dated February 28, 2025 (Attachment 4, p. 16), submitted as part of Academia Avance’s response to the SBE’s Notice of Violation, the debt ratio for Academia Avance was 2.35. The debt ratio is calculated by dividing total liabilities ($4,358,335) by total assets ($1,851,531).</w:t>
      </w:r>
    </w:p>
    <w:p w14:paraId="4114A6EE" w14:textId="208DD315" w:rsidR="00EA0815" w:rsidRPr="0056753F" w:rsidRDefault="00EA0815" w:rsidP="00EA0815">
      <w:pPr>
        <w:spacing w:before="240"/>
      </w:pPr>
      <w:r w:rsidRPr="0056753F">
        <w:t xml:space="preserve">Based on the information submitted by Academia Avance as part of its Response to the </w:t>
      </w:r>
      <w:r w:rsidR="002143BC" w:rsidRPr="0056753F">
        <w:t>Notice of Violation</w:t>
      </w:r>
      <w:r w:rsidRPr="0056753F">
        <w:t>, the current ratio and debt ratio have improved marginally</w:t>
      </w:r>
      <w:r w:rsidR="00281CE5">
        <w:t>;</w:t>
      </w:r>
      <w:r w:rsidRPr="0056753F">
        <w:t xml:space="preserve"> however, they remain outside the indicated ratio metrics.  </w:t>
      </w:r>
    </w:p>
    <w:bookmarkEnd w:id="6"/>
    <w:p w14:paraId="5054D153" w14:textId="57C486C0" w:rsidR="00EA0815" w:rsidRPr="0056753F" w:rsidRDefault="00EA0815" w:rsidP="00EA0815">
      <w:pPr>
        <w:rPr>
          <w:rFonts w:eastAsia="Calibri"/>
        </w:rPr>
      </w:pPr>
      <w:r w:rsidRPr="0056753F">
        <w:rPr>
          <w:rFonts w:eastAsia="Calibri"/>
        </w:rPr>
        <w:t xml:space="preserve">Per the Aging Report, as of February 26, 2025, </w:t>
      </w:r>
      <w:r w:rsidRPr="0056753F">
        <w:rPr>
          <w:rFonts w:eastAsia="Calibri" w:cs="Arial"/>
        </w:rPr>
        <w:t xml:space="preserve">Academia Avance </w:t>
      </w:r>
      <w:r w:rsidRPr="0056753F">
        <w:rPr>
          <w:rFonts w:eastAsia="Calibri"/>
        </w:rPr>
        <w:t xml:space="preserve">has </w:t>
      </w:r>
      <w:r w:rsidRPr="0056753F">
        <w:rPr>
          <w:rFonts w:eastAsia="Calibri"/>
          <w:b/>
          <w:bCs/>
        </w:rPr>
        <w:t>outstanding invoices totaling $1,084,678.90</w:t>
      </w:r>
      <w:r w:rsidRPr="0056753F">
        <w:rPr>
          <w:rFonts w:eastAsia="Calibri"/>
        </w:rPr>
        <w:t xml:space="preserve"> of which </w:t>
      </w:r>
      <w:r w:rsidRPr="0056753F">
        <w:rPr>
          <w:rFonts w:eastAsia="Calibri"/>
          <w:b/>
          <w:bCs/>
        </w:rPr>
        <w:t>$867,983.39 is 120 days past due</w:t>
      </w:r>
      <w:r w:rsidRPr="0056753F">
        <w:rPr>
          <w:rFonts w:eastAsia="Calibri"/>
        </w:rPr>
        <w:t xml:space="preserve"> (Attachment </w:t>
      </w:r>
      <w:r w:rsidR="00122F04">
        <w:rPr>
          <w:rFonts w:eastAsia="Calibri"/>
        </w:rPr>
        <w:t>10</w:t>
      </w:r>
      <w:r w:rsidRPr="0056753F">
        <w:rPr>
          <w:rFonts w:eastAsia="Calibri"/>
        </w:rPr>
        <w:t>).</w:t>
      </w:r>
    </w:p>
    <w:p w14:paraId="569023C0" w14:textId="55DB10C6" w:rsidR="00EA0815" w:rsidRPr="0056753F" w:rsidRDefault="00EA0815" w:rsidP="00EA0815">
      <w:pPr>
        <w:spacing w:after="0"/>
        <w:rPr>
          <w:rFonts w:eastAsia="Calibri"/>
        </w:rPr>
      </w:pPr>
      <w:r w:rsidRPr="0056753F">
        <w:t xml:space="preserve">Academia Avance’s past due outstanding invoices indicates significant risk of potential insolvency, </w:t>
      </w:r>
      <w:r w:rsidRPr="0056753F">
        <w:rPr>
          <w:rFonts w:cs="Arial"/>
        </w:rPr>
        <w:t xml:space="preserve">which </w:t>
      </w:r>
      <w:r w:rsidR="00FE68E6">
        <w:rPr>
          <w:rFonts w:cs="Arial"/>
        </w:rPr>
        <w:t>dem</w:t>
      </w:r>
      <w:r w:rsidR="005601E2">
        <w:rPr>
          <w:rFonts w:cs="Arial"/>
        </w:rPr>
        <w:t>onstrates</w:t>
      </w:r>
      <w:r w:rsidRPr="0056753F">
        <w:rPr>
          <w:rFonts w:cs="Arial"/>
        </w:rPr>
        <w:t xml:space="preserve"> failure to remedy the violation of the finding of fiscal mismanagement.</w:t>
      </w:r>
    </w:p>
    <w:bookmarkEnd w:id="2"/>
    <w:bookmarkEnd w:id="3"/>
    <w:p w14:paraId="3F490EE5" w14:textId="71691373" w:rsidR="00C5541C" w:rsidRPr="0056753F" w:rsidRDefault="00CC04C8" w:rsidP="00C5541C">
      <w:pPr>
        <w:pStyle w:val="Heading2"/>
      </w:pPr>
      <w:r w:rsidRPr="0056753F">
        <w:t>Conclusion</w:t>
      </w:r>
    </w:p>
    <w:p w14:paraId="53ABF0D0" w14:textId="14E6DB5C" w:rsidR="0083265E" w:rsidRPr="0056753F" w:rsidRDefault="0083265E" w:rsidP="004C6CE4">
      <w:pPr>
        <w:rPr>
          <w:b/>
          <w:bCs/>
          <w:iCs/>
        </w:rPr>
      </w:pPr>
      <w:r w:rsidRPr="0056753F">
        <w:t xml:space="preserve">There is substantial evidence that </w:t>
      </w:r>
      <w:r w:rsidR="002143BC" w:rsidRPr="0056753F">
        <w:t>Academia Avance</w:t>
      </w:r>
      <w:r w:rsidRPr="0056753F">
        <w:t xml:space="preserve"> has committed</w:t>
      </w:r>
      <w:r w:rsidR="008733B5" w:rsidRPr="0056753F">
        <w:t xml:space="preserve"> f</w:t>
      </w:r>
      <w:r w:rsidRPr="0056753F">
        <w:t xml:space="preserve">iscal mismanagement </w:t>
      </w:r>
      <w:r w:rsidR="008733B5" w:rsidRPr="0056753F">
        <w:t xml:space="preserve">pursuant to </w:t>
      </w:r>
      <w:r w:rsidR="008733B5" w:rsidRPr="0056753F">
        <w:rPr>
          <w:i/>
        </w:rPr>
        <w:t>EC</w:t>
      </w:r>
      <w:r w:rsidRPr="0056753F">
        <w:t xml:space="preserve"> Section 47607</w:t>
      </w:r>
      <w:r w:rsidR="008733B5" w:rsidRPr="0056753F">
        <w:t>(</w:t>
      </w:r>
      <w:r w:rsidRPr="0056753F">
        <w:t>f</w:t>
      </w:r>
      <w:r w:rsidR="008733B5" w:rsidRPr="0056753F">
        <w:t xml:space="preserve">)(3) </w:t>
      </w:r>
      <w:r w:rsidR="00D45352" w:rsidRPr="0056753F">
        <w:t xml:space="preserve">described in the Notice of Violation issued on March </w:t>
      </w:r>
      <w:r w:rsidR="006958C6" w:rsidRPr="0056753F">
        <w:t xml:space="preserve">5, 2025, </w:t>
      </w:r>
      <w:r w:rsidR="008733B5" w:rsidRPr="0056753F">
        <w:t xml:space="preserve">and </w:t>
      </w:r>
      <w:r w:rsidR="006958C6" w:rsidRPr="0056753F">
        <w:t xml:space="preserve">Academia Avance </w:t>
      </w:r>
      <w:r w:rsidRPr="0056753F">
        <w:t>has not adequately refuted, remedied, or proposed a plan to remedy the violations identified in the Notice of Violation. Therefore, the CDE proposes to recommend that the SBE issue a Notice of Intent to Revoke with Notice of Facts to the Charter School pursuant to EC Section 47607(h), at its May 7-8, 2025, meeting.</w:t>
      </w:r>
    </w:p>
    <w:p w14:paraId="2A0B07DF" w14:textId="77777777" w:rsidR="00E3507D" w:rsidRPr="0056753F" w:rsidRDefault="00E3507D" w:rsidP="00E3507D">
      <w:pPr>
        <w:pStyle w:val="Heading2"/>
      </w:pPr>
      <w:r w:rsidRPr="0056753F">
        <w:t>Previous Board Action</w:t>
      </w:r>
    </w:p>
    <w:p w14:paraId="2359B2D2" w14:textId="2F687A91" w:rsidR="00E3507D" w:rsidRPr="0056753F" w:rsidRDefault="00E3507D" w:rsidP="00E3507D">
      <w:pPr>
        <w:rPr>
          <w:rFonts w:cs="Arial"/>
        </w:rPr>
      </w:pPr>
      <w:r w:rsidRPr="0056753F">
        <w:rPr>
          <w:rFonts w:cs="Arial"/>
        </w:rPr>
        <w:t xml:space="preserve">Pursuant to </w:t>
      </w:r>
      <w:r w:rsidRPr="0056753F">
        <w:rPr>
          <w:rFonts w:cs="Arial"/>
          <w:i/>
        </w:rPr>
        <w:t>EC</w:t>
      </w:r>
      <w:r w:rsidRPr="0056753F">
        <w:rPr>
          <w:rFonts w:cs="Arial"/>
        </w:rPr>
        <w:t xml:space="preserve"> Section 47607(g) and 5 </w:t>
      </w:r>
      <w:r w:rsidRPr="0056753F">
        <w:rPr>
          <w:rFonts w:cs="Arial"/>
          <w:i/>
        </w:rPr>
        <w:t>CCR</w:t>
      </w:r>
      <w:r w:rsidRPr="0056753F">
        <w:rPr>
          <w:rFonts w:cs="Arial"/>
        </w:rPr>
        <w:t xml:space="preserve"> Section 11968.5.2, </w:t>
      </w:r>
      <w:r w:rsidRPr="0056753F">
        <w:t xml:space="preserve">the SBE voted at its March 5, 2025, meeting, to issue a Notice of Violation to </w:t>
      </w:r>
      <w:r w:rsidR="00236347" w:rsidRPr="0056753F">
        <w:t>Academia Avance</w:t>
      </w:r>
      <w:r w:rsidRPr="0056753F">
        <w:t xml:space="preserve">. </w:t>
      </w:r>
      <w:r w:rsidRPr="0056753F">
        <w:rPr>
          <w:rFonts w:cs="Arial"/>
        </w:rPr>
        <w:t>The meeting agenda for this item</w:t>
      </w:r>
      <w:r w:rsidR="0056753F" w:rsidRPr="0056753F">
        <w:rPr>
          <w:rFonts w:cs="Arial"/>
        </w:rPr>
        <w:t xml:space="preserve"> (Item </w:t>
      </w:r>
      <w:r w:rsidR="009041B6">
        <w:rPr>
          <w:rFonts w:cs="Arial"/>
        </w:rPr>
        <w:t>10</w:t>
      </w:r>
      <w:r w:rsidR="0056753F" w:rsidRPr="0056753F">
        <w:rPr>
          <w:rFonts w:cs="Arial"/>
        </w:rPr>
        <w:t>)</w:t>
      </w:r>
      <w:r w:rsidRPr="0056753F">
        <w:rPr>
          <w:rFonts w:cs="Arial"/>
        </w:rPr>
        <w:t xml:space="preserve"> can be found on the SBE Meeting for March 5, 2025, web page at</w:t>
      </w:r>
      <w:r w:rsidR="0056753F" w:rsidRPr="0056753F">
        <w:rPr>
          <w:rFonts w:cs="Arial"/>
        </w:rPr>
        <w:t xml:space="preserve"> </w:t>
      </w:r>
      <w:hyperlink r:id="rId8" w:tooltip="SBE Agenda for March 2025" w:history="1">
        <w:r w:rsidR="00225EE6" w:rsidRPr="004C6CE4">
          <w:rPr>
            <w:rStyle w:val="Hyperlink"/>
          </w:rPr>
          <w:t>https://www.cde.ca.gov/be/ag/ag/yr25/agenda202503.asp</w:t>
        </w:r>
      </w:hyperlink>
      <w:r w:rsidRPr="00225EE6">
        <w:rPr>
          <w:rFonts w:cs="Arial"/>
        </w:rPr>
        <w:t>.</w:t>
      </w:r>
    </w:p>
    <w:p w14:paraId="0D1C6364" w14:textId="616A125C" w:rsidR="00480F2C" w:rsidRPr="0056753F" w:rsidRDefault="00A34E76" w:rsidP="0083265E">
      <w:pPr>
        <w:pStyle w:val="Heading2"/>
        <w:rPr>
          <w:rFonts w:cs="Arial"/>
          <w:i/>
          <w:iCs w:val="0"/>
        </w:rPr>
      </w:pPr>
      <w:r w:rsidRPr="0056753F">
        <w:rPr>
          <w:rFonts w:cs="Arial"/>
          <w:iCs w:val="0"/>
        </w:rPr>
        <w:lastRenderedPageBreak/>
        <w:t>Attachments</w:t>
      </w:r>
    </w:p>
    <w:bookmarkEnd w:id="1"/>
    <w:p w14:paraId="388472CE" w14:textId="60BCFDBE" w:rsidR="00777817" w:rsidRPr="0056753F" w:rsidRDefault="00777817" w:rsidP="00777817">
      <w:pPr>
        <w:numPr>
          <w:ilvl w:val="0"/>
          <w:numId w:val="1"/>
        </w:numPr>
        <w:rPr>
          <w:rFonts w:cs="Arial"/>
          <w:b/>
        </w:rPr>
      </w:pPr>
      <w:r w:rsidRPr="0056753F">
        <w:rPr>
          <w:rFonts w:cs="Arial"/>
          <w:b/>
        </w:rPr>
        <w:t xml:space="preserve">Attachment 1: </w:t>
      </w:r>
      <w:r w:rsidRPr="0056753F">
        <w:rPr>
          <w:rFonts w:cs="Arial"/>
          <w:bCs/>
        </w:rPr>
        <w:t>Notice of Violation Issued to Academia Avance Charter by the California State Board of Education on March 5, 2025</w:t>
      </w:r>
      <w:r w:rsidR="00D8781C" w:rsidRPr="0056753F">
        <w:rPr>
          <w:rFonts w:cs="Arial"/>
          <w:bCs/>
        </w:rPr>
        <w:t xml:space="preserve"> (</w:t>
      </w:r>
      <w:r w:rsidR="004518B9">
        <w:rPr>
          <w:rFonts w:cs="Arial"/>
          <w:bCs/>
        </w:rPr>
        <w:t>6</w:t>
      </w:r>
      <w:r w:rsidR="00D8781C" w:rsidRPr="0056753F">
        <w:rPr>
          <w:rFonts w:cs="Arial"/>
          <w:bCs/>
        </w:rPr>
        <w:t xml:space="preserve"> Pages)</w:t>
      </w:r>
    </w:p>
    <w:p w14:paraId="4C350EF8" w14:textId="4D5F4993" w:rsidR="00777817" w:rsidRPr="0056753F" w:rsidRDefault="00777817" w:rsidP="00777817">
      <w:pPr>
        <w:numPr>
          <w:ilvl w:val="0"/>
          <w:numId w:val="1"/>
        </w:numPr>
        <w:rPr>
          <w:rFonts w:cs="Arial"/>
          <w:b/>
        </w:rPr>
      </w:pPr>
      <w:r w:rsidRPr="0056753F">
        <w:rPr>
          <w:rFonts w:cs="Arial"/>
          <w:b/>
        </w:rPr>
        <w:t>Attachment 2:</w:t>
      </w:r>
      <w:r w:rsidRPr="0056753F">
        <w:rPr>
          <w:rFonts w:cs="Arial"/>
        </w:rPr>
        <w:t xml:space="preserve"> Academia Avance Charter Response to Notice of Violation: Letter</w:t>
      </w:r>
      <w:r w:rsidR="00D8781C" w:rsidRPr="0056753F">
        <w:rPr>
          <w:rFonts w:cs="Arial"/>
        </w:rPr>
        <w:t xml:space="preserve"> </w:t>
      </w:r>
      <w:r w:rsidR="00D8781C" w:rsidRPr="0056753F">
        <w:rPr>
          <w:rFonts w:cs="Arial"/>
          <w:bCs/>
        </w:rPr>
        <w:t>(</w:t>
      </w:r>
      <w:r w:rsidR="00F34364">
        <w:rPr>
          <w:rFonts w:cs="Arial"/>
          <w:bCs/>
        </w:rPr>
        <w:t xml:space="preserve">4 </w:t>
      </w:r>
      <w:r w:rsidR="00D8781C" w:rsidRPr="0056753F">
        <w:rPr>
          <w:rFonts w:cs="Arial"/>
          <w:bCs/>
        </w:rPr>
        <w:t>Pages)</w:t>
      </w:r>
    </w:p>
    <w:p w14:paraId="2A8C1A89" w14:textId="3C63685B" w:rsidR="00777817" w:rsidRPr="0056753F" w:rsidRDefault="00777817" w:rsidP="00777817">
      <w:pPr>
        <w:numPr>
          <w:ilvl w:val="0"/>
          <w:numId w:val="1"/>
        </w:numPr>
        <w:rPr>
          <w:rFonts w:cs="Arial"/>
          <w:b/>
        </w:rPr>
      </w:pPr>
      <w:r w:rsidRPr="0056753F">
        <w:rPr>
          <w:rFonts w:cs="Arial"/>
          <w:b/>
        </w:rPr>
        <w:t>Attachment 3:</w:t>
      </w:r>
      <w:r w:rsidRPr="0056753F">
        <w:rPr>
          <w:rFonts w:cs="Arial"/>
        </w:rPr>
        <w:t xml:space="preserve"> </w:t>
      </w:r>
      <w:r w:rsidRPr="0056753F">
        <w:rPr>
          <w:rFonts w:cs="Arial"/>
          <w:bCs/>
        </w:rPr>
        <w:t>Academia Avance Charter Response to Notice of Violation: “Fiscal Control Policy”</w:t>
      </w:r>
      <w:r w:rsidR="00D8781C" w:rsidRPr="0056753F">
        <w:rPr>
          <w:rFonts w:cs="Arial"/>
          <w:bCs/>
        </w:rPr>
        <w:t xml:space="preserve"> (</w:t>
      </w:r>
      <w:r w:rsidR="004518B9">
        <w:rPr>
          <w:rFonts w:cs="Arial"/>
          <w:bCs/>
        </w:rPr>
        <w:t xml:space="preserve">12 </w:t>
      </w:r>
      <w:r w:rsidR="00D8781C" w:rsidRPr="0056753F">
        <w:rPr>
          <w:rFonts w:cs="Arial"/>
          <w:bCs/>
        </w:rPr>
        <w:t>Pages)</w:t>
      </w:r>
    </w:p>
    <w:p w14:paraId="5BE2B676" w14:textId="2BD920E1" w:rsidR="00777817" w:rsidRPr="0056753F" w:rsidRDefault="00777817" w:rsidP="00777817">
      <w:pPr>
        <w:numPr>
          <w:ilvl w:val="0"/>
          <w:numId w:val="1"/>
        </w:numPr>
        <w:rPr>
          <w:rFonts w:cs="Arial"/>
          <w:b/>
        </w:rPr>
      </w:pPr>
      <w:r w:rsidRPr="0056753F">
        <w:rPr>
          <w:rFonts w:cs="Arial"/>
          <w:b/>
        </w:rPr>
        <w:t>Attachment 4:</w:t>
      </w:r>
      <w:r w:rsidRPr="0056753F">
        <w:rPr>
          <w:rFonts w:cs="Arial"/>
        </w:rPr>
        <w:t xml:space="preserve"> </w:t>
      </w:r>
      <w:r w:rsidRPr="0056753F">
        <w:rPr>
          <w:rFonts w:cs="Arial"/>
          <w:bCs/>
        </w:rPr>
        <w:t>Academia Avance Charter Response to Notice of Violation: “FY25-Avance Combined Feb Board Summary”</w:t>
      </w:r>
      <w:r w:rsidR="00D8781C" w:rsidRPr="0056753F">
        <w:rPr>
          <w:rFonts w:cs="Arial"/>
          <w:bCs/>
        </w:rPr>
        <w:t xml:space="preserve"> (</w:t>
      </w:r>
      <w:r w:rsidR="004518B9">
        <w:rPr>
          <w:rFonts w:cs="Arial"/>
          <w:bCs/>
        </w:rPr>
        <w:t>19</w:t>
      </w:r>
      <w:r w:rsidR="00D8781C" w:rsidRPr="0056753F">
        <w:rPr>
          <w:rFonts w:cs="Arial"/>
          <w:bCs/>
        </w:rPr>
        <w:t xml:space="preserve"> Pages)</w:t>
      </w:r>
    </w:p>
    <w:p w14:paraId="237EABA7" w14:textId="5B96674A" w:rsidR="00777817" w:rsidRPr="0056753F" w:rsidRDefault="00777817" w:rsidP="00777817">
      <w:pPr>
        <w:numPr>
          <w:ilvl w:val="0"/>
          <w:numId w:val="1"/>
        </w:numPr>
        <w:rPr>
          <w:rFonts w:cs="Arial"/>
          <w:b/>
        </w:rPr>
      </w:pPr>
      <w:r w:rsidRPr="0056753F">
        <w:rPr>
          <w:rFonts w:cs="Arial"/>
          <w:b/>
        </w:rPr>
        <w:t>Attachment 5:</w:t>
      </w:r>
      <w:r w:rsidRPr="0056753F">
        <w:rPr>
          <w:rFonts w:cs="Arial"/>
          <w:bCs/>
        </w:rPr>
        <w:t xml:space="preserve"> Academia Avance Charter Response to Notice of Violation: “Reserve Restoration Plan”</w:t>
      </w:r>
      <w:r w:rsidR="00D8781C" w:rsidRPr="0056753F">
        <w:rPr>
          <w:rFonts w:cs="Arial"/>
          <w:bCs/>
        </w:rPr>
        <w:t xml:space="preserve"> (</w:t>
      </w:r>
      <w:r w:rsidR="004518B9">
        <w:rPr>
          <w:rFonts w:cs="Arial"/>
          <w:bCs/>
        </w:rPr>
        <w:t>3</w:t>
      </w:r>
      <w:r w:rsidR="00D8781C" w:rsidRPr="0056753F">
        <w:rPr>
          <w:rFonts w:cs="Arial"/>
          <w:bCs/>
        </w:rPr>
        <w:t xml:space="preserve"> Pages)</w:t>
      </w:r>
    </w:p>
    <w:p w14:paraId="4D8BF6E4" w14:textId="4E826406" w:rsidR="00777817" w:rsidRPr="0056753F" w:rsidRDefault="00777817" w:rsidP="00777817">
      <w:pPr>
        <w:numPr>
          <w:ilvl w:val="0"/>
          <w:numId w:val="1"/>
        </w:numPr>
        <w:rPr>
          <w:rFonts w:cs="Arial"/>
          <w:b/>
        </w:rPr>
      </w:pPr>
      <w:r w:rsidRPr="0056753F">
        <w:rPr>
          <w:rFonts w:cs="Arial"/>
          <w:b/>
        </w:rPr>
        <w:t>Attachment 6:</w:t>
      </w:r>
      <w:r w:rsidRPr="0056753F">
        <w:rPr>
          <w:rFonts w:cs="Arial"/>
          <w:bCs/>
        </w:rPr>
        <w:t xml:space="preserve"> Academia Avance Charter Response to Notice of Violation: “BoC February Balance”</w:t>
      </w:r>
      <w:r w:rsidR="00D8781C" w:rsidRPr="0056753F">
        <w:rPr>
          <w:rFonts w:cs="Arial"/>
          <w:bCs/>
        </w:rPr>
        <w:t xml:space="preserve"> (</w:t>
      </w:r>
      <w:r w:rsidR="004518B9">
        <w:rPr>
          <w:rFonts w:cs="Arial"/>
          <w:bCs/>
        </w:rPr>
        <w:t>1</w:t>
      </w:r>
      <w:r w:rsidR="00D8781C" w:rsidRPr="0056753F">
        <w:rPr>
          <w:rFonts w:cs="Arial"/>
          <w:bCs/>
        </w:rPr>
        <w:t xml:space="preserve"> Page)</w:t>
      </w:r>
    </w:p>
    <w:p w14:paraId="0D8B5EC6" w14:textId="7CCC807A" w:rsidR="00777817" w:rsidRPr="0056753F" w:rsidRDefault="00777817" w:rsidP="00777817">
      <w:pPr>
        <w:numPr>
          <w:ilvl w:val="0"/>
          <w:numId w:val="1"/>
        </w:numPr>
        <w:rPr>
          <w:rFonts w:cs="Arial"/>
          <w:b/>
        </w:rPr>
      </w:pPr>
      <w:r w:rsidRPr="0056753F">
        <w:rPr>
          <w:rFonts w:cs="Arial"/>
          <w:b/>
        </w:rPr>
        <w:t xml:space="preserve">Attachment 7: </w:t>
      </w:r>
      <w:r w:rsidRPr="0056753F">
        <w:rPr>
          <w:rFonts w:cs="Arial"/>
          <w:bCs/>
        </w:rPr>
        <w:t>Academia Avance Charter Response to Notice of Violation: “BoC March Balance”</w:t>
      </w:r>
      <w:r w:rsidR="00D8781C" w:rsidRPr="0056753F">
        <w:rPr>
          <w:rFonts w:cs="Arial"/>
          <w:bCs/>
        </w:rPr>
        <w:t xml:space="preserve"> (</w:t>
      </w:r>
      <w:r w:rsidR="004518B9">
        <w:rPr>
          <w:rFonts w:cs="Arial"/>
          <w:bCs/>
        </w:rPr>
        <w:t>1</w:t>
      </w:r>
      <w:r w:rsidR="00D8781C" w:rsidRPr="0056753F">
        <w:rPr>
          <w:rFonts w:cs="Arial"/>
          <w:bCs/>
        </w:rPr>
        <w:t xml:space="preserve"> Page)</w:t>
      </w:r>
    </w:p>
    <w:p w14:paraId="36BF9285" w14:textId="4C69CD2B" w:rsidR="00777817" w:rsidRPr="0056753F" w:rsidRDefault="00777817" w:rsidP="00777817">
      <w:pPr>
        <w:numPr>
          <w:ilvl w:val="0"/>
          <w:numId w:val="1"/>
        </w:numPr>
        <w:rPr>
          <w:rFonts w:cs="Arial"/>
          <w:b/>
        </w:rPr>
      </w:pPr>
      <w:r w:rsidRPr="0056753F">
        <w:rPr>
          <w:rFonts w:cs="Arial"/>
          <w:b/>
        </w:rPr>
        <w:t xml:space="preserve">Attachment 8: </w:t>
      </w:r>
      <w:r w:rsidRPr="0056753F">
        <w:rPr>
          <w:rFonts w:cs="Arial"/>
          <w:bCs/>
        </w:rPr>
        <w:t>Academia Avance Charter Response to Notice of Violation: “MOU Jose Vega MBA”</w:t>
      </w:r>
      <w:r w:rsidR="00D8781C" w:rsidRPr="0056753F">
        <w:rPr>
          <w:rFonts w:cs="Arial"/>
          <w:bCs/>
        </w:rPr>
        <w:t xml:space="preserve"> (</w:t>
      </w:r>
      <w:r w:rsidR="004518B9">
        <w:rPr>
          <w:rFonts w:cs="Arial"/>
          <w:bCs/>
        </w:rPr>
        <w:t>2</w:t>
      </w:r>
      <w:r w:rsidR="00D8781C" w:rsidRPr="0056753F">
        <w:rPr>
          <w:rFonts w:cs="Arial"/>
          <w:bCs/>
        </w:rPr>
        <w:t xml:space="preserve"> Pages)</w:t>
      </w:r>
    </w:p>
    <w:p w14:paraId="001A0F24" w14:textId="6EB160A8" w:rsidR="00BA0829" w:rsidRPr="0056753F" w:rsidRDefault="00BA0829" w:rsidP="00BA0829">
      <w:pPr>
        <w:numPr>
          <w:ilvl w:val="0"/>
          <w:numId w:val="1"/>
        </w:numPr>
        <w:rPr>
          <w:rFonts w:cs="Arial"/>
          <w:b/>
        </w:rPr>
      </w:pPr>
      <w:r w:rsidRPr="0056753F">
        <w:rPr>
          <w:rFonts w:cs="Arial"/>
          <w:b/>
        </w:rPr>
        <w:t xml:space="preserve">Attachment 9: </w:t>
      </w:r>
      <w:r w:rsidRPr="0056753F">
        <w:rPr>
          <w:rFonts w:cs="Arial"/>
          <w:bCs/>
        </w:rPr>
        <w:t xml:space="preserve">Academia Avance Charter </w:t>
      </w:r>
      <w:r w:rsidR="009A114F" w:rsidRPr="0056753F">
        <w:rPr>
          <w:rFonts w:cs="Arial"/>
          <w:bCs/>
        </w:rPr>
        <w:t>January 2025, 2nd Interim</w:t>
      </w:r>
      <w:r w:rsidR="00DD7168" w:rsidRPr="0056753F">
        <w:rPr>
          <w:rFonts w:cs="Arial"/>
          <w:bCs/>
        </w:rPr>
        <w:t xml:space="preserve"> Budget, Financial Updates</w:t>
      </w:r>
      <w:r w:rsidR="009A114F" w:rsidRPr="0056753F">
        <w:rPr>
          <w:rFonts w:cs="Arial"/>
          <w:bCs/>
        </w:rPr>
        <w:t xml:space="preserve"> </w:t>
      </w:r>
      <w:r w:rsidRPr="0056753F">
        <w:rPr>
          <w:rFonts w:cs="Arial"/>
          <w:bCs/>
        </w:rPr>
        <w:t>(</w:t>
      </w:r>
      <w:r w:rsidR="00DD7168" w:rsidRPr="0056753F">
        <w:rPr>
          <w:rFonts w:cs="Arial"/>
          <w:bCs/>
        </w:rPr>
        <w:t>21</w:t>
      </w:r>
      <w:r w:rsidRPr="0056753F">
        <w:rPr>
          <w:rFonts w:cs="Arial"/>
          <w:bCs/>
        </w:rPr>
        <w:t xml:space="preserve"> Pages)</w:t>
      </w:r>
    </w:p>
    <w:p w14:paraId="5FDB3C97" w14:textId="0062DCAB" w:rsidR="004668D9" w:rsidRPr="0056753F" w:rsidRDefault="004668D9" w:rsidP="000706A8">
      <w:pPr>
        <w:numPr>
          <w:ilvl w:val="0"/>
          <w:numId w:val="1"/>
        </w:numPr>
        <w:rPr>
          <w:rFonts w:cs="Arial"/>
          <w:b/>
        </w:rPr>
      </w:pPr>
      <w:r w:rsidRPr="0056753F">
        <w:rPr>
          <w:rFonts w:cs="Arial"/>
          <w:b/>
        </w:rPr>
        <w:t xml:space="preserve">Attachment </w:t>
      </w:r>
      <w:r w:rsidR="004A6925" w:rsidRPr="0056753F">
        <w:rPr>
          <w:rFonts w:cs="Arial"/>
          <w:b/>
        </w:rPr>
        <w:t>10</w:t>
      </w:r>
      <w:r w:rsidRPr="0056753F">
        <w:rPr>
          <w:rFonts w:cs="Arial"/>
          <w:b/>
        </w:rPr>
        <w:t xml:space="preserve">: </w:t>
      </w:r>
      <w:r w:rsidRPr="0056753F">
        <w:rPr>
          <w:rFonts w:cs="Arial"/>
          <w:bCs/>
        </w:rPr>
        <w:t>Academia Avance Charter Aging Report, February 26, 2025, (</w:t>
      </w:r>
      <w:r w:rsidR="00A40733">
        <w:rPr>
          <w:rFonts w:cs="Arial"/>
          <w:bCs/>
        </w:rPr>
        <w:t>29</w:t>
      </w:r>
      <w:r w:rsidRPr="0056753F">
        <w:rPr>
          <w:rFonts w:cs="Arial"/>
          <w:bCs/>
        </w:rPr>
        <w:t xml:space="preserve"> Pages)</w:t>
      </w:r>
    </w:p>
    <w:p w14:paraId="63661FB5" w14:textId="77777777" w:rsidR="004668D9" w:rsidRPr="0056753F" w:rsidRDefault="004668D9" w:rsidP="004668D9">
      <w:pPr>
        <w:ind w:left="720"/>
        <w:rPr>
          <w:rFonts w:cs="Arial"/>
          <w:b/>
        </w:rPr>
      </w:pPr>
    </w:p>
    <w:sectPr w:rsidR="004668D9" w:rsidRPr="0056753F" w:rsidSect="006E371A">
      <w:headerReference w:type="default" r:id="rId9"/>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CE03D" w14:textId="77777777" w:rsidR="00D64B94" w:rsidRDefault="00D64B94">
      <w:r>
        <w:separator/>
      </w:r>
    </w:p>
  </w:endnote>
  <w:endnote w:type="continuationSeparator" w:id="0">
    <w:p w14:paraId="5CA70B7F" w14:textId="77777777" w:rsidR="00D64B94" w:rsidRDefault="00D64B94">
      <w:r>
        <w:continuationSeparator/>
      </w:r>
    </w:p>
  </w:endnote>
  <w:endnote w:type="continuationNotice" w:id="1">
    <w:p w14:paraId="7C929907" w14:textId="77777777" w:rsidR="00D64B94" w:rsidRDefault="00D64B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21C5B" w14:textId="77777777" w:rsidR="00D64B94" w:rsidRDefault="00D64B94">
      <w:r>
        <w:separator/>
      </w:r>
    </w:p>
  </w:footnote>
  <w:footnote w:type="continuationSeparator" w:id="0">
    <w:p w14:paraId="78D68926" w14:textId="77777777" w:rsidR="00D64B94" w:rsidRDefault="00D64B94">
      <w:r>
        <w:continuationSeparator/>
      </w:r>
    </w:p>
  </w:footnote>
  <w:footnote w:type="continuationNotice" w:id="1">
    <w:p w14:paraId="310E4295" w14:textId="77777777" w:rsidR="00D64B94" w:rsidRDefault="00D64B94">
      <w:pPr>
        <w:spacing w:after="0"/>
      </w:pPr>
    </w:p>
  </w:footnote>
  <w:footnote w:id="2">
    <w:p w14:paraId="0D3B39CF" w14:textId="77777777" w:rsidR="005B01C3" w:rsidRPr="008E609B" w:rsidRDefault="005B01C3" w:rsidP="005B01C3">
      <w:pPr>
        <w:pStyle w:val="FootnoteText"/>
        <w:rPr>
          <w:sz w:val="24"/>
          <w:szCs w:val="24"/>
        </w:rPr>
      </w:pPr>
      <w:r w:rsidRPr="008E609B">
        <w:rPr>
          <w:rStyle w:val="FootnoteReference"/>
          <w:sz w:val="24"/>
          <w:szCs w:val="24"/>
        </w:rPr>
        <w:footnoteRef/>
      </w:r>
      <w:r w:rsidRPr="008E609B">
        <w:rPr>
          <w:sz w:val="24"/>
          <w:szCs w:val="24"/>
        </w:rPr>
        <w:t xml:space="preserve"> </w:t>
      </w:r>
      <w:hyperlink r:id="rId1" w:tooltip="FCMAT Indicators of Risk or Potential Insolvency for Charter Schools" w:history="1">
        <w:r w:rsidRPr="008E609B">
          <w:rPr>
            <w:rStyle w:val="Hyperlink"/>
            <w:sz w:val="24"/>
            <w:szCs w:val="24"/>
          </w:rPr>
          <w:t>https://www.fcmat.org/PublicationsReports/Charter-School-Indicators-2020.pdf</w:t>
        </w:r>
      </w:hyperlink>
      <w:r w:rsidRPr="008E609B">
        <w:rPr>
          <w:sz w:val="24"/>
          <w:szCs w:val="24"/>
        </w:rPr>
        <w:t xml:space="preserve"> </w:t>
      </w:r>
    </w:p>
  </w:footnote>
  <w:footnote w:id="3">
    <w:p w14:paraId="14BA4CBB" w14:textId="57407A3B" w:rsidR="00A00519" w:rsidRPr="008E609B" w:rsidRDefault="00A00519" w:rsidP="00A00519">
      <w:pPr>
        <w:pStyle w:val="FootnoteText"/>
        <w:rPr>
          <w:sz w:val="24"/>
          <w:szCs w:val="24"/>
        </w:rPr>
      </w:pPr>
      <w:r w:rsidRPr="008E609B">
        <w:rPr>
          <w:rStyle w:val="FootnoteReference"/>
          <w:sz w:val="24"/>
          <w:szCs w:val="24"/>
        </w:rPr>
        <w:footnoteRef/>
      </w:r>
      <w:r w:rsidRPr="008E609B">
        <w:rPr>
          <w:sz w:val="24"/>
          <w:szCs w:val="24"/>
        </w:rPr>
        <w:t xml:space="preserve"> Academia Avance’s projections for 2024</w:t>
      </w:r>
      <w:r w:rsidRPr="008E609B">
        <w:rPr>
          <w:rFonts w:eastAsia="Arial" w:cs="Arial"/>
          <w:sz w:val="24"/>
          <w:szCs w:val="24"/>
          <w:lang w:bidi="en-US"/>
        </w:rPr>
        <w:t xml:space="preserve">–25 </w:t>
      </w:r>
      <w:r w:rsidRPr="008E609B">
        <w:rPr>
          <w:sz w:val="24"/>
          <w:szCs w:val="24"/>
        </w:rPr>
        <w:t xml:space="preserve">include an increase of $852,286 in one-time revenue in the form of grant </w:t>
      </w:r>
      <w:r w:rsidR="00AD6FDE" w:rsidRPr="008E609B">
        <w:rPr>
          <w:sz w:val="24"/>
          <w:szCs w:val="24"/>
        </w:rPr>
        <w:t>monies</w:t>
      </w:r>
      <w:r w:rsidRPr="008E609B">
        <w:rPr>
          <w:sz w:val="24"/>
          <w:szCs w:val="24"/>
        </w:rPr>
        <w:t>. The CDE considered the grant projections as submitted and did not independently analyze the expenditure requirements of the grant programs.</w:t>
      </w:r>
    </w:p>
  </w:footnote>
  <w:footnote w:id="4">
    <w:p w14:paraId="72B86C77" w14:textId="77777777" w:rsidR="00EA0815" w:rsidRPr="008E609B" w:rsidRDefault="00EA0815" w:rsidP="00EA0815">
      <w:pPr>
        <w:pStyle w:val="FootnoteText"/>
        <w:rPr>
          <w:sz w:val="24"/>
          <w:szCs w:val="24"/>
        </w:rPr>
      </w:pPr>
      <w:r w:rsidRPr="008E609B">
        <w:rPr>
          <w:rStyle w:val="FootnoteReference"/>
          <w:sz w:val="24"/>
          <w:szCs w:val="24"/>
        </w:rPr>
        <w:footnoteRef/>
      </w:r>
      <w:r w:rsidRPr="008E609B">
        <w:rPr>
          <w:sz w:val="24"/>
          <w:szCs w:val="24"/>
        </w:rPr>
        <w:t xml:space="preserve"> Oversight fees are calculated as one percent of a charter school’s annual local control funding formula revenue based on schoolwide enrollment.</w:t>
      </w:r>
    </w:p>
  </w:footnote>
  <w:footnote w:id="5">
    <w:p w14:paraId="477F5781" w14:textId="305C29AB" w:rsidR="002B6687" w:rsidRPr="008E609B" w:rsidRDefault="002B6687">
      <w:pPr>
        <w:pStyle w:val="FootnoteText"/>
        <w:rPr>
          <w:sz w:val="24"/>
          <w:szCs w:val="24"/>
        </w:rPr>
      </w:pPr>
      <w:r w:rsidRPr="008E609B">
        <w:rPr>
          <w:rStyle w:val="FootnoteReference"/>
          <w:sz w:val="24"/>
          <w:szCs w:val="24"/>
        </w:rPr>
        <w:footnoteRef/>
      </w:r>
      <w:r w:rsidRPr="008E609B">
        <w:rPr>
          <w:sz w:val="24"/>
          <w:szCs w:val="24"/>
        </w:rPr>
        <w:t xml:space="preserve"> </w:t>
      </w:r>
      <w:r w:rsidR="00AF30EF" w:rsidRPr="008E609B">
        <w:rPr>
          <w:sz w:val="24"/>
          <w:szCs w:val="24"/>
        </w:rPr>
        <w:t xml:space="preserve">The annual expenses for </w:t>
      </w:r>
      <w:r w:rsidRPr="008E609B">
        <w:rPr>
          <w:sz w:val="24"/>
          <w:szCs w:val="24"/>
        </w:rPr>
        <w:t xml:space="preserve">Food Services </w:t>
      </w:r>
      <w:r w:rsidR="00AF30EF" w:rsidRPr="008E609B">
        <w:rPr>
          <w:sz w:val="24"/>
          <w:szCs w:val="24"/>
        </w:rPr>
        <w:t>show unchanged projections for four consecutive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3069B" w14:textId="760D946B" w:rsidR="00D60516" w:rsidRPr="00DF3DE6" w:rsidRDefault="00D60516" w:rsidP="00DF3DE6">
    <w:pPr>
      <w:tabs>
        <w:tab w:val="center" w:pos="4320"/>
        <w:tab w:val="right" w:pos="8640"/>
      </w:tabs>
      <w:jc w:val="right"/>
      <w:rPr>
        <w:rFonts w:cs="Arial"/>
        <w:szCs w:val="18"/>
      </w:rPr>
    </w:pPr>
    <w:r w:rsidRPr="00A34E76">
      <w:rPr>
        <w:rFonts w:cs="Arial"/>
        <w:szCs w:val="18"/>
      </w:rPr>
      <w:t>accs-</w:t>
    </w:r>
    <w:r w:rsidR="00A625F2">
      <w:rPr>
        <w:rFonts w:cs="Arial"/>
        <w:szCs w:val="18"/>
      </w:rPr>
      <w:t>apr25</w:t>
    </w:r>
    <w:r w:rsidR="00B068F2">
      <w:rPr>
        <w:rFonts w:cs="Arial"/>
        <w:szCs w:val="18"/>
      </w:rPr>
      <w:t>item</w:t>
    </w:r>
    <w:r w:rsidR="00810A48">
      <w:rPr>
        <w:rFonts w:cs="Arial"/>
        <w:szCs w:val="18"/>
      </w:rPr>
      <w:t>03</w:t>
    </w:r>
    <w:r w:rsidR="00B068F2">
      <w:rPr>
        <w:rFonts w:cs="Arial"/>
        <w:szCs w:val="18"/>
      </w:rPr>
      <w:br/>
    </w:r>
    <w:r w:rsidRPr="00A34E76">
      <w:rPr>
        <w:rFonts w:cs="Arial"/>
        <w:szCs w:val="18"/>
      </w:rPr>
      <w:t xml:space="preserve">Page </w:t>
    </w:r>
    <w:r w:rsidRPr="00A34E76">
      <w:rPr>
        <w:rFonts w:cs="Arial"/>
        <w:bCs/>
        <w:szCs w:val="18"/>
      </w:rPr>
      <w:fldChar w:fldCharType="begin"/>
    </w:r>
    <w:r w:rsidRPr="00A34E76">
      <w:rPr>
        <w:rFonts w:cs="Arial"/>
        <w:bCs/>
        <w:szCs w:val="18"/>
      </w:rPr>
      <w:instrText xml:space="preserve"> PAGE  \* Arabic  \* MERGEFORMAT </w:instrText>
    </w:r>
    <w:r w:rsidRPr="00A34E76">
      <w:rPr>
        <w:rFonts w:cs="Arial"/>
        <w:bCs/>
        <w:szCs w:val="18"/>
      </w:rPr>
      <w:fldChar w:fldCharType="separate"/>
    </w:r>
    <w:r w:rsidRPr="00A34E76">
      <w:rPr>
        <w:rFonts w:cs="Arial"/>
        <w:bCs/>
        <w:noProof/>
        <w:szCs w:val="18"/>
      </w:rPr>
      <w:t>26</w:t>
    </w:r>
    <w:r w:rsidRPr="00A34E76">
      <w:rPr>
        <w:rFonts w:cs="Arial"/>
        <w:bCs/>
        <w:szCs w:val="18"/>
      </w:rPr>
      <w:fldChar w:fldCharType="end"/>
    </w:r>
    <w:r w:rsidRPr="00A34E76">
      <w:rPr>
        <w:rFonts w:cs="Arial"/>
        <w:szCs w:val="18"/>
      </w:rPr>
      <w:t xml:space="preserve"> of </w:t>
    </w:r>
    <w:r w:rsidRPr="00A34E76">
      <w:rPr>
        <w:rFonts w:cs="Arial"/>
        <w:bCs/>
        <w:szCs w:val="18"/>
      </w:rPr>
      <w:fldChar w:fldCharType="begin"/>
    </w:r>
    <w:r w:rsidRPr="00A34E76">
      <w:rPr>
        <w:rFonts w:cs="Arial"/>
        <w:bCs/>
        <w:szCs w:val="18"/>
      </w:rPr>
      <w:instrText xml:space="preserve"> NUMPAGES  \* Arabic  \* MERGEFORMAT </w:instrText>
    </w:r>
    <w:r w:rsidRPr="00A34E76">
      <w:rPr>
        <w:rFonts w:cs="Arial"/>
        <w:bCs/>
        <w:szCs w:val="18"/>
      </w:rPr>
      <w:fldChar w:fldCharType="separate"/>
    </w:r>
    <w:r w:rsidRPr="00A34E76">
      <w:rPr>
        <w:rFonts w:cs="Arial"/>
        <w:bCs/>
        <w:noProof/>
        <w:szCs w:val="18"/>
      </w:rPr>
      <w:t>27</w:t>
    </w:r>
    <w:r w:rsidRPr="00A34E76">
      <w:rPr>
        <w:rFonts w:cs="Arial"/>
        <w:bCs/>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4E0D"/>
    <w:multiLevelType w:val="multilevel"/>
    <w:tmpl w:val="1B32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85AC6"/>
    <w:multiLevelType w:val="hybridMultilevel"/>
    <w:tmpl w:val="AB0C7B1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7442D"/>
    <w:multiLevelType w:val="multilevel"/>
    <w:tmpl w:val="6E02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6E619A"/>
    <w:multiLevelType w:val="multilevel"/>
    <w:tmpl w:val="48FA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936971"/>
    <w:multiLevelType w:val="multilevel"/>
    <w:tmpl w:val="A794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CE00F6"/>
    <w:multiLevelType w:val="hybridMultilevel"/>
    <w:tmpl w:val="63DA230E"/>
    <w:lvl w:ilvl="0" w:tplc="04090001">
      <w:start w:val="20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8283A"/>
    <w:multiLevelType w:val="multilevel"/>
    <w:tmpl w:val="F2B2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0B7783"/>
    <w:multiLevelType w:val="hybridMultilevel"/>
    <w:tmpl w:val="64FA5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3222C"/>
    <w:multiLevelType w:val="multilevel"/>
    <w:tmpl w:val="4A1A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881F05"/>
    <w:multiLevelType w:val="multilevel"/>
    <w:tmpl w:val="6C68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CF6D20"/>
    <w:multiLevelType w:val="hybridMultilevel"/>
    <w:tmpl w:val="949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1790E"/>
    <w:multiLevelType w:val="multilevel"/>
    <w:tmpl w:val="DEE0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AC7517"/>
    <w:multiLevelType w:val="multilevel"/>
    <w:tmpl w:val="8418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0243D9"/>
    <w:multiLevelType w:val="multilevel"/>
    <w:tmpl w:val="194A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E35008"/>
    <w:multiLevelType w:val="multilevel"/>
    <w:tmpl w:val="1E56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6C1F12"/>
    <w:multiLevelType w:val="hybridMultilevel"/>
    <w:tmpl w:val="4F526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342565"/>
    <w:multiLevelType w:val="multilevel"/>
    <w:tmpl w:val="7BBA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242D1B"/>
    <w:multiLevelType w:val="hybridMultilevel"/>
    <w:tmpl w:val="20A6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D4072"/>
    <w:multiLevelType w:val="multilevel"/>
    <w:tmpl w:val="181C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7C65FA"/>
    <w:multiLevelType w:val="multilevel"/>
    <w:tmpl w:val="C390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C81540"/>
    <w:multiLevelType w:val="multilevel"/>
    <w:tmpl w:val="BA42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A810A6"/>
    <w:multiLevelType w:val="multilevel"/>
    <w:tmpl w:val="A708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DA61FA"/>
    <w:multiLevelType w:val="hybridMultilevel"/>
    <w:tmpl w:val="64685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392CA3"/>
    <w:multiLevelType w:val="hybridMultilevel"/>
    <w:tmpl w:val="28709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35632"/>
    <w:multiLevelType w:val="multilevel"/>
    <w:tmpl w:val="E35E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963314"/>
    <w:multiLevelType w:val="hybridMultilevel"/>
    <w:tmpl w:val="8088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C91DD4"/>
    <w:multiLevelType w:val="multilevel"/>
    <w:tmpl w:val="2560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FD3573"/>
    <w:multiLevelType w:val="multilevel"/>
    <w:tmpl w:val="5464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0633FF"/>
    <w:multiLevelType w:val="multilevel"/>
    <w:tmpl w:val="E4CA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E16493"/>
    <w:multiLevelType w:val="multilevel"/>
    <w:tmpl w:val="4170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A61465"/>
    <w:multiLevelType w:val="hybridMultilevel"/>
    <w:tmpl w:val="345C0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8B24F8"/>
    <w:multiLevelType w:val="multilevel"/>
    <w:tmpl w:val="D994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B51724"/>
    <w:multiLevelType w:val="hybridMultilevel"/>
    <w:tmpl w:val="C5B41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1716008">
    <w:abstractNumId w:val="17"/>
  </w:num>
  <w:num w:numId="2" w16cid:durableId="1897163999">
    <w:abstractNumId w:val="10"/>
  </w:num>
  <w:num w:numId="3" w16cid:durableId="727727290">
    <w:abstractNumId w:val="32"/>
  </w:num>
  <w:num w:numId="4" w16cid:durableId="430005985">
    <w:abstractNumId w:val="7"/>
  </w:num>
  <w:num w:numId="5" w16cid:durableId="1591042516">
    <w:abstractNumId w:val="23"/>
  </w:num>
  <w:num w:numId="6" w16cid:durableId="927812297">
    <w:abstractNumId w:val="15"/>
  </w:num>
  <w:num w:numId="7" w16cid:durableId="784811962">
    <w:abstractNumId w:val="25"/>
  </w:num>
  <w:num w:numId="8" w16cid:durableId="2101683378">
    <w:abstractNumId w:val="30"/>
  </w:num>
  <w:num w:numId="9" w16cid:durableId="1424498164">
    <w:abstractNumId w:val="2"/>
  </w:num>
  <w:num w:numId="10" w16cid:durableId="1171875319">
    <w:abstractNumId w:val="13"/>
  </w:num>
  <w:num w:numId="11" w16cid:durableId="1101534847">
    <w:abstractNumId w:val="18"/>
  </w:num>
  <w:num w:numId="12" w16cid:durableId="1570799033">
    <w:abstractNumId w:val="4"/>
  </w:num>
  <w:num w:numId="13" w16cid:durableId="646864343">
    <w:abstractNumId w:val="26"/>
  </w:num>
  <w:num w:numId="14" w16cid:durableId="1126587329">
    <w:abstractNumId w:val="20"/>
  </w:num>
  <w:num w:numId="15" w16cid:durableId="1479611070">
    <w:abstractNumId w:val="27"/>
  </w:num>
  <w:num w:numId="16" w16cid:durableId="219681562">
    <w:abstractNumId w:val="28"/>
  </w:num>
  <w:num w:numId="17" w16cid:durableId="1158036414">
    <w:abstractNumId w:val="24"/>
  </w:num>
  <w:num w:numId="18" w16cid:durableId="2011172332">
    <w:abstractNumId w:val="9"/>
  </w:num>
  <w:num w:numId="19" w16cid:durableId="285745252">
    <w:abstractNumId w:val="8"/>
  </w:num>
  <w:num w:numId="20" w16cid:durableId="105739486">
    <w:abstractNumId w:val="0"/>
  </w:num>
  <w:num w:numId="21" w16cid:durableId="1856382163">
    <w:abstractNumId w:val="11"/>
  </w:num>
  <w:num w:numId="22" w16cid:durableId="1398477145">
    <w:abstractNumId w:val="16"/>
  </w:num>
  <w:num w:numId="23" w16cid:durableId="664863321">
    <w:abstractNumId w:val="12"/>
  </w:num>
  <w:num w:numId="24" w16cid:durableId="830147511">
    <w:abstractNumId w:val="29"/>
  </w:num>
  <w:num w:numId="25" w16cid:durableId="477307342">
    <w:abstractNumId w:val="31"/>
  </w:num>
  <w:num w:numId="26" w16cid:durableId="467019932">
    <w:abstractNumId w:val="19"/>
  </w:num>
  <w:num w:numId="27" w16cid:durableId="63377789">
    <w:abstractNumId w:val="3"/>
  </w:num>
  <w:num w:numId="28" w16cid:durableId="1265848957">
    <w:abstractNumId w:val="6"/>
  </w:num>
  <w:num w:numId="29" w16cid:durableId="215745646">
    <w:abstractNumId w:val="14"/>
  </w:num>
  <w:num w:numId="30" w16cid:durableId="1357459325">
    <w:abstractNumId w:val="21"/>
  </w:num>
  <w:num w:numId="31" w16cid:durableId="401368522">
    <w:abstractNumId w:val="22"/>
  </w:num>
  <w:num w:numId="32" w16cid:durableId="308092276">
    <w:abstractNumId w:val="5"/>
  </w:num>
  <w:num w:numId="33" w16cid:durableId="395707785">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96D"/>
    <w:rsid w:val="00000876"/>
    <w:rsid w:val="000013D7"/>
    <w:rsid w:val="00002057"/>
    <w:rsid w:val="0000235B"/>
    <w:rsid w:val="000032ED"/>
    <w:rsid w:val="0000357B"/>
    <w:rsid w:val="00003A0C"/>
    <w:rsid w:val="00004027"/>
    <w:rsid w:val="00004E42"/>
    <w:rsid w:val="00005322"/>
    <w:rsid w:val="00005B7A"/>
    <w:rsid w:val="00005BAA"/>
    <w:rsid w:val="00006A02"/>
    <w:rsid w:val="00007A0F"/>
    <w:rsid w:val="00011AFB"/>
    <w:rsid w:val="000120A9"/>
    <w:rsid w:val="00012BA8"/>
    <w:rsid w:val="00012BD0"/>
    <w:rsid w:val="00013778"/>
    <w:rsid w:val="00013F92"/>
    <w:rsid w:val="000152DB"/>
    <w:rsid w:val="00016575"/>
    <w:rsid w:val="00016982"/>
    <w:rsid w:val="00017038"/>
    <w:rsid w:val="0001726F"/>
    <w:rsid w:val="00017E15"/>
    <w:rsid w:val="00020438"/>
    <w:rsid w:val="000215BA"/>
    <w:rsid w:val="000220E3"/>
    <w:rsid w:val="00023198"/>
    <w:rsid w:val="00023730"/>
    <w:rsid w:val="0002387F"/>
    <w:rsid w:val="00023F8A"/>
    <w:rsid w:val="0002567F"/>
    <w:rsid w:val="00025964"/>
    <w:rsid w:val="0002610B"/>
    <w:rsid w:val="000262FB"/>
    <w:rsid w:val="00026512"/>
    <w:rsid w:val="00026DEE"/>
    <w:rsid w:val="00027129"/>
    <w:rsid w:val="0003072E"/>
    <w:rsid w:val="00030DF0"/>
    <w:rsid w:val="000326B8"/>
    <w:rsid w:val="000331AE"/>
    <w:rsid w:val="00034268"/>
    <w:rsid w:val="000357B2"/>
    <w:rsid w:val="00037312"/>
    <w:rsid w:val="0003781B"/>
    <w:rsid w:val="00037F2F"/>
    <w:rsid w:val="00042802"/>
    <w:rsid w:val="000430C6"/>
    <w:rsid w:val="00043682"/>
    <w:rsid w:val="00044E3E"/>
    <w:rsid w:val="00044E7C"/>
    <w:rsid w:val="00044E9D"/>
    <w:rsid w:val="0004518E"/>
    <w:rsid w:val="000454A3"/>
    <w:rsid w:val="00045787"/>
    <w:rsid w:val="000468A8"/>
    <w:rsid w:val="00047288"/>
    <w:rsid w:val="00050121"/>
    <w:rsid w:val="00052D11"/>
    <w:rsid w:val="00054086"/>
    <w:rsid w:val="00054921"/>
    <w:rsid w:val="00055113"/>
    <w:rsid w:val="000556D4"/>
    <w:rsid w:val="0005587F"/>
    <w:rsid w:val="00055A3E"/>
    <w:rsid w:val="00056104"/>
    <w:rsid w:val="00060628"/>
    <w:rsid w:val="00060766"/>
    <w:rsid w:val="0006082A"/>
    <w:rsid w:val="000610C3"/>
    <w:rsid w:val="00061381"/>
    <w:rsid w:val="00061C53"/>
    <w:rsid w:val="00061C92"/>
    <w:rsid w:val="0006211A"/>
    <w:rsid w:val="000626B0"/>
    <w:rsid w:val="00062799"/>
    <w:rsid w:val="00063116"/>
    <w:rsid w:val="0006395B"/>
    <w:rsid w:val="00063E0E"/>
    <w:rsid w:val="00064BFB"/>
    <w:rsid w:val="00065566"/>
    <w:rsid w:val="000655FE"/>
    <w:rsid w:val="00066B9D"/>
    <w:rsid w:val="00070380"/>
    <w:rsid w:val="00071997"/>
    <w:rsid w:val="00072810"/>
    <w:rsid w:val="00072CAB"/>
    <w:rsid w:val="0007381B"/>
    <w:rsid w:val="00073FAC"/>
    <w:rsid w:val="0007435E"/>
    <w:rsid w:val="000743B0"/>
    <w:rsid w:val="000747D2"/>
    <w:rsid w:val="00075063"/>
    <w:rsid w:val="0007561D"/>
    <w:rsid w:val="00076436"/>
    <w:rsid w:val="000766D9"/>
    <w:rsid w:val="00077946"/>
    <w:rsid w:val="000801BA"/>
    <w:rsid w:val="000808CD"/>
    <w:rsid w:val="000834D5"/>
    <w:rsid w:val="00083A8B"/>
    <w:rsid w:val="00083BEC"/>
    <w:rsid w:val="000845D6"/>
    <w:rsid w:val="0008625A"/>
    <w:rsid w:val="000864BC"/>
    <w:rsid w:val="0008707F"/>
    <w:rsid w:val="00087CA7"/>
    <w:rsid w:val="00087FAF"/>
    <w:rsid w:val="00090398"/>
    <w:rsid w:val="000903C1"/>
    <w:rsid w:val="00091421"/>
    <w:rsid w:val="0009146D"/>
    <w:rsid w:val="00094937"/>
    <w:rsid w:val="00095621"/>
    <w:rsid w:val="00095B64"/>
    <w:rsid w:val="00096EDF"/>
    <w:rsid w:val="0009778A"/>
    <w:rsid w:val="000A0B16"/>
    <w:rsid w:val="000A0F5B"/>
    <w:rsid w:val="000A2B8C"/>
    <w:rsid w:val="000A31EB"/>
    <w:rsid w:val="000A33B9"/>
    <w:rsid w:val="000A57D8"/>
    <w:rsid w:val="000A5A29"/>
    <w:rsid w:val="000A6033"/>
    <w:rsid w:val="000A6A4B"/>
    <w:rsid w:val="000A6B53"/>
    <w:rsid w:val="000B0446"/>
    <w:rsid w:val="000B169A"/>
    <w:rsid w:val="000B1BEF"/>
    <w:rsid w:val="000B30E5"/>
    <w:rsid w:val="000B3F8C"/>
    <w:rsid w:val="000B6830"/>
    <w:rsid w:val="000B6B79"/>
    <w:rsid w:val="000B7361"/>
    <w:rsid w:val="000C2C20"/>
    <w:rsid w:val="000C38AF"/>
    <w:rsid w:val="000C38F4"/>
    <w:rsid w:val="000C565B"/>
    <w:rsid w:val="000C6543"/>
    <w:rsid w:val="000C6A19"/>
    <w:rsid w:val="000C743E"/>
    <w:rsid w:val="000C7F3D"/>
    <w:rsid w:val="000D1354"/>
    <w:rsid w:val="000D1A64"/>
    <w:rsid w:val="000D1BE7"/>
    <w:rsid w:val="000D1FCC"/>
    <w:rsid w:val="000D1FF3"/>
    <w:rsid w:val="000D20A5"/>
    <w:rsid w:val="000D26FF"/>
    <w:rsid w:val="000D282C"/>
    <w:rsid w:val="000D321F"/>
    <w:rsid w:val="000D3FAB"/>
    <w:rsid w:val="000D5404"/>
    <w:rsid w:val="000D55A6"/>
    <w:rsid w:val="000D63A8"/>
    <w:rsid w:val="000D688C"/>
    <w:rsid w:val="000D7217"/>
    <w:rsid w:val="000D745F"/>
    <w:rsid w:val="000E0B3C"/>
    <w:rsid w:val="000E134B"/>
    <w:rsid w:val="000E15E9"/>
    <w:rsid w:val="000E1B12"/>
    <w:rsid w:val="000E3A0D"/>
    <w:rsid w:val="000E442E"/>
    <w:rsid w:val="000E4CAC"/>
    <w:rsid w:val="000E53A9"/>
    <w:rsid w:val="000E5775"/>
    <w:rsid w:val="000E5CAD"/>
    <w:rsid w:val="000E68B9"/>
    <w:rsid w:val="000E7021"/>
    <w:rsid w:val="000E7124"/>
    <w:rsid w:val="000F1559"/>
    <w:rsid w:val="000F2407"/>
    <w:rsid w:val="000F2839"/>
    <w:rsid w:val="000F3161"/>
    <w:rsid w:val="000F3B19"/>
    <w:rsid w:val="000F5263"/>
    <w:rsid w:val="000F527B"/>
    <w:rsid w:val="000F5E6F"/>
    <w:rsid w:val="000F6428"/>
    <w:rsid w:val="000F6AB4"/>
    <w:rsid w:val="000F6B38"/>
    <w:rsid w:val="000F6B40"/>
    <w:rsid w:val="000F7303"/>
    <w:rsid w:val="000F7F32"/>
    <w:rsid w:val="00100776"/>
    <w:rsid w:val="00103F4A"/>
    <w:rsid w:val="0010536F"/>
    <w:rsid w:val="001058D3"/>
    <w:rsid w:val="00107BC8"/>
    <w:rsid w:val="0011111F"/>
    <w:rsid w:val="00111410"/>
    <w:rsid w:val="00111597"/>
    <w:rsid w:val="001122F3"/>
    <w:rsid w:val="00112553"/>
    <w:rsid w:val="00112803"/>
    <w:rsid w:val="00112B7E"/>
    <w:rsid w:val="0011526D"/>
    <w:rsid w:val="0011588F"/>
    <w:rsid w:val="00115891"/>
    <w:rsid w:val="00116B07"/>
    <w:rsid w:val="00116F4D"/>
    <w:rsid w:val="00117C82"/>
    <w:rsid w:val="00117FB1"/>
    <w:rsid w:val="00120340"/>
    <w:rsid w:val="001206D2"/>
    <w:rsid w:val="00120DFD"/>
    <w:rsid w:val="00121206"/>
    <w:rsid w:val="00121328"/>
    <w:rsid w:val="0012137C"/>
    <w:rsid w:val="00121D23"/>
    <w:rsid w:val="00122012"/>
    <w:rsid w:val="00122D69"/>
    <w:rsid w:val="00122F04"/>
    <w:rsid w:val="0012389B"/>
    <w:rsid w:val="001247C0"/>
    <w:rsid w:val="00124BF2"/>
    <w:rsid w:val="001250EA"/>
    <w:rsid w:val="001263DA"/>
    <w:rsid w:val="00127BA7"/>
    <w:rsid w:val="0013051E"/>
    <w:rsid w:val="0013117A"/>
    <w:rsid w:val="001313F0"/>
    <w:rsid w:val="00131CD7"/>
    <w:rsid w:val="00132CEA"/>
    <w:rsid w:val="00132FEF"/>
    <w:rsid w:val="00134101"/>
    <w:rsid w:val="00135169"/>
    <w:rsid w:val="00137645"/>
    <w:rsid w:val="00137ABF"/>
    <w:rsid w:val="00137E4D"/>
    <w:rsid w:val="0014029D"/>
    <w:rsid w:val="001405CD"/>
    <w:rsid w:val="00141C17"/>
    <w:rsid w:val="001425FE"/>
    <w:rsid w:val="00142BE7"/>
    <w:rsid w:val="00143D78"/>
    <w:rsid w:val="001440C7"/>
    <w:rsid w:val="00144190"/>
    <w:rsid w:val="00145223"/>
    <w:rsid w:val="0014524C"/>
    <w:rsid w:val="00146161"/>
    <w:rsid w:val="00146694"/>
    <w:rsid w:val="001474B6"/>
    <w:rsid w:val="00147C59"/>
    <w:rsid w:val="00150032"/>
    <w:rsid w:val="001502BF"/>
    <w:rsid w:val="00150AFF"/>
    <w:rsid w:val="001512F0"/>
    <w:rsid w:val="00152543"/>
    <w:rsid w:val="00153217"/>
    <w:rsid w:val="00154D6B"/>
    <w:rsid w:val="00154F17"/>
    <w:rsid w:val="001552AE"/>
    <w:rsid w:val="00155A65"/>
    <w:rsid w:val="00155D53"/>
    <w:rsid w:val="0015627D"/>
    <w:rsid w:val="0015708E"/>
    <w:rsid w:val="00157880"/>
    <w:rsid w:val="0016274F"/>
    <w:rsid w:val="00162D50"/>
    <w:rsid w:val="00162F7E"/>
    <w:rsid w:val="00163875"/>
    <w:rsid w:val="00163B4A"/>
    <w:rsid w:val="00164454"/>
    <w:rsid w:val="001645A0"/>
    <w:rsid w:val="00164AD1"/>
    <w:rsid w:val="0016609B"/>
    <w:rsid w:val="001664EA"/>
    <w:rsid w:val="00166B67"/>
    <w:rsid w:val="00166F86"/>
    <w:rsid w:val="00170EA1"/>
    <w:rsid w:val="00171C55"/>
    <w:rsid w:val="00171D83"/>
    <w:rsid w:val="00173476"/>
    <w:rsid w:val="0017352C"/>
    <w:rsid w:val="00173F4A"/>
    <w:rsid w:val="0017427E"/>
    <w:rsid w:val="001744A8"/>
    <w:rsid w:val="00174BD2"/>
    <w:rsid w:val="00175B29"/>
    <w:rsid w:val="0017660E"/>
    <w:rsid w:val="00176883"/>
    <w:rsid w:val="00177321"/>
    <w:rsid w:val="0018195F"/>
    <w:rsid w:val="0018277A"/>
    <w:rsid w:val="0018496B"/>
    <w:rsid w:val="00185250"/>
    <w:rsid w:val="00185B1F"/>
    <w:rsid w:val="00186107"/>
    <w:rsid w:val="00186377"/>
    <w:rsid w:val="00186FF2"/>
    <w:rsid w:val="001877A7"/>
    <w:rsid w:val="0019005E"/>
    <w:rsid w:val="00190296"/>
    <w:rsid w:val="00190BEA"/>
    <w:rsid w:val="00191D93"/>
    <w:rsid w:val="00191D95"/>
    <w:rsid w:val="00191F72"/>
    <w:rsid w:val="001922A3"/>
    <w:rsid w:val="001930D7"/>
    <w:rsid w:val="001932B2"/>
    <w:rsid w:val="0019674C"/>
    <w:rsid w:val="00197E1F"/>
    <w:rsid w:val="001A1B5C"/>
    <w:rsid w:val="001A29D6"/>
    <w:rsid w:val="001A2D1B"/>
    <w:rsid w:val="001A2FF8"/>
    <w:rsid w:val="001A34C8"/>
    <w:rsid w:val="001A4186"/>
    <w:rsid w:val="001A428F"/>
    <w:rsid w:val="001A4959"/>
    <w:rsid w:val="001A4B2E"/>
    <w:rsid w:val="001A4BF4"/>
    <w:rsid w:val="001A5422"/>
    <w:rsid w:val="001A7137"/>
    <w:rsid w:val="001B022C"/>
    <w:rsid w:val="001B0586"/>
    <w:rsid w:val="001B20C8"/>
    <w:rsid w:val="001B260C"/>
    <w:rsid w:val="001B3E31"/>
    <w:rsid w:val="001B6EF7"/>
    <w:rsid w:val="001C1987"/>
    <w:rsid w:val="001C1AD3"/>
    <w:rsid w:val="001C20ED"/>
    <w:rsid w:val="001C2216"/>
    <w:rsid w:val="001C24A0"/>
    <w:rsid w:val="001C2F80"/>
    <w:rsid w:val="001C32E5"/>
    <w:rsid w:val="001C5036"/>
    <w:rsid w:val="001C51AD"/>
    <w:rsid w:val="001C6A7C"/>
    <w:rsid w:val="001D0FC8"/>
    <w:rsid w:val="001D36D9"/>
    <w:rsid w:val="001D391C"/>
    <w:rsid w:val="001D49DE"/>
    <w:rsid w:val="001D5C83"/>
    <w:rsid w:val="001D5DDB"/>
    <w:rsid w:val="001D609F"/>
    <w:rsid w:val="001D62B9"/>
    <w:rsid w:val="001D68E1"/>
    <w:rsid w:val="001D73BE"/>
    <w:rsid w:val="001D7498"/>
    <w:rsid w:val="001D7739"/>
    <w:rsid w:val="001E0401"/>
    <w:rsid w:val="001E07DE"/>
    <w:rsid w:val="001E0E56"/>
    <w:rsid w:val="001E13D6"/>
    <w:rsid w:val="001E1A8B"/>
    <w:rsid w:val="001E2673"/>
    <w:rsid w:val="001E28E3"/>
    <w:rsid w:val="001E35DC"/>
    <w:rsid w:val="001E3619"/>
    <w:rsid w:val="001E3A0D"/>
    <w:rsid w:val="001E3CF1"/>
    <w:rsid w:val="001E3F74"/>
    <w:rsid w:val="001E46C2"/>
    <w:rsid w:val="001E4920"/>
    <w:rsid w:val="001E540C"/>
    <w:rsid w:val="001E5921"/>
    <w:rsid w:val="001E6556"/>
    <w:rsid w:val="001E655F"/>
    <w:rsid w:val="001E7067"/>
    <w:rsid w:val="001E718A"/>
    <w:rsid w:val="001E7524"/>
    <w:rsid w:val="001F136B"/>
    <w:rsid w:val="001F1D70"/>
    <w:rsid w:val="001F28C7"/>
    <w:rsid w:val="001F36E0"/>
    <w:rsid w:val="001F3F30"/>
    <w:rsid w:val="001F43F2"/>
    <w:rsid w:val="001F4FFA"/>
    <w:rsid w:val="001F505D"/>
    <w:rsid w:val="001F5FA9"/>
    <w:rsid w:val="001F7151"/>
    <w:rsid w:val="001F7B07"/>
    <w:rsid w:val="001F7E52"/>
    <w:rsid w:val="00200D59"/>
    <w:rsid w:val="00201C2F"/>
    <w:rsid w:val="00202749"/>
    <w:rsid w:val="0020336D"/>
    <w:rsid w:val="00204033"/>
    <w:rsid w:val="0020409D"/>
    <w:rsid w:val="002046D2"/>
    <w:rsid w:val="0020556C"/>
    <w:rsid w:val="00206838"/>
    <w:rsid w:val="00207990"/>
    <w:rsid w:val="00210523"/>
    <w:rsid w:val="002135E4"/>
    <w:rsid w:val="002137BA"/>
    <w:rsid w:val="002141E4"/>
    <w:rsid w:val="00214364"/>
    <w:rsid w:val="002143BC"/>
    <w:rsid w:val="00214424"/>
    <w:rsid w:val="002148B8"/>
    <w:rsid w:val="00215307"/>
    <w:rsid w:val="00216ED9"/>
    <w:rsid w:val="00223563"/>
    <w:rsid w:val="0022414B"/>
    <w:rsid w:val="00225EE6"/>
    <w:rsid w:val="00226093"/>
    <w:rsid w:val="00227A00"/>
    <w:rsid w:val="00227C2C"/>
    <w:rsid w:val="0023021B"/>
    <w:rsid w:val="002304F1"/>
    <w:rsid w:val="00230AA7"/>
    <w:rsid w:val="00230B41"/>
    <w:rsid w:val="00230E51"/>
    <w:rsid w:val="00236186"/>
    <w:rsid w:val="00236347"/>
    <w:rsid w:val="00236435"/>
    <w:rsid w:val="00236498"/>
    <w:rsid w:val="00236790"/>
    <w:rsid w:val="002373DC"/>
    <w:rsid w:val="0023759F"/>
    <w:rsid w:val="00237D45"/>
    <w:rsid w:val="002401CA"/>
    <w:rsid w:val="002410F7"/>
    <w:rsid w:val="00241725"/>
    <w:rsid w:val="00241887"/>
    <w:rsid w:val="00243231"/>
    <w:rsid w:val="00244E1B"/>
    <w:rsid w:val="0024571E"/>
    <w:rsid w:val="00245E8C"/>
    <w:rsid w:val="00246E0C"/>
    <w:rsid w:val="002478C7"/>
    <w:rsid w:val="002514B7"/>
    <w:rsid w:val="0025160B"/>
    <w:rsid w:val="00251BCF"/>
    <w:rsid w:val="00252CE2"/>
    <w:rsid w:val="00252FA9"/>
    <w:rsid w:val="002530EE"/>
    <w:rsid w:val="0025369E"/>
    <w:rsid w:val="0025444F"/>
    <w:rsid w:val="002547C2"/>
    <w:rsid w:val="0025534B"/>
    <w:rsid w:val="00255414"/>
    <w:rsid w:val="00255476"/>
    <w:rsid w:val="00255AE7"/>
    <w:rsid w:val="00256049"/>
    <w:rsid w:val="00256CE5"/>
    <w:rsid w:val="002572B6"/>
    <w:rsid w:val="002600E8"/>
    <w:rsid w:val="002613DD"/>
    <w:rsid w:val="002616EA"/>
    <w:rsid w:val="00262298"/>
    <w:rsid w:val="0026251C"/>
    <w:rsid w:val="00263B5B"/>
    <w:rsid w:val="00263D83"/>
    <w:rsid w:val="002645AD"/>
    <w:rsid w:val="0026488A"/>
    <w:rsid w:val="00264C6A"/>
    <w:rsid w:val="00264F92"/>
    <w:rsid w:val="002653D1"/>
    <w:rsid w:val="0026551F"/>
    <w:rsid w:val="00265CC4"/>
    <w:rsid w:val="00265FDD"/>
    <w:rsid w:val="00266122"/>
    <w:rsid w:val="00266E81"/>
    <w:rsid w:val="00267EF0"/>
    <w:rsid w:val="002704A1"/>
    <w:rsid w:val="00271894"/>
    <w:rsid w:val="002719D7"/>
    <w:rsid w:val="00272B1E"/>
    <w:rsid w:val="00274EF5"/>
    <w:rsid w:val="002757AD"/>
    <w:rsid w:val="0027715E"/>
    <w:rsid w:val="0027788F"/>
    <w:rsid w:val="002810B0"/>
    <w:rsid w:val="00281B5F"/>
    <w:rsid w:val="00281CE5"/>
    <w:rsid w:val="00282374"/>
    <w:rsid w:val="00283D72"/>
    <w:rsid w:val="00285217"/>
    <w:rsid w:val="0028551A"/>
    <w:rsid w:val="00285DC8"/>
    <w:rsid w:val="00286B69"/>
    <w:rsid w:val="00286FCD"/>
    <w:rsid w:val="0029097F"/>
    <w:rsid w:val="002917E4"/>
    <w:rsid w:val="00291E15"/>
    <w:rsid w:val="0029210F"/>
    <w:rsid w:val="00292A10"/>
    <w:rsid w:val="002931D3"/>
    <w:rsid w:val="00294811"/>
    <w:rsid w:val="00295E66"/>
    <w:rsid w:val="00295F1B"/>
    <w:rsid w:val="00297616"/>
    <w:rsid w:val="00297A1F"/>
    <w:rsid w:val="002A0147"/>
    <w:rsid w:val="002A0B3B"/>
    <w:rsid w:val="002A0DD7"/>
    <w:rsid w:val="002A265F"/>
    <w:rsid w:val="002A299F"/>
    <w:rsid w:val="002A29C2"/>
    <w:rsid w:val="002A36D7"/>
    <w:rsid w:val="002A44DF"/>
    <w:rsid w:val="002A49C5"/>
    <w:rsid w:val="002A4B98"/>
    <w:rsid w:val="002A53D6"/>
    <w:rsid w:val="002A5C8C"/>
    <w:rsid w:val="002A5DFA"/>
    <w:rsid w:val="002A635C"/>
    <w:rsid w:val="002A6BCE"/>
    <w:rsid w:val="002A6E31"/>
    <w:rsid w:val="002A7079"/>
    <w:rsid w:val="002B04D3"/>
    <w:rsid w:val="002B0514"/>
    <w:rsid w:val="002B1F62"/>
    <w:rsid w:val="002B2A31"/>
    <w:rsid w:val="002B2F68"/>
    <w:rsid w:val="002B4366"/>
    <w:rsid w:val="002B583B"/>
    <w:rsid w:val="002B5B73"/>
    <w:rsid w:val="002B6003"/>
    <w:rsid w:val="002B6687"/>
    <w:rsid w:val="002B6E62"/>
    <w:rsid w:val="002C01A3"/>
    <w:rsid w:val="002C098E"/>
    <w:rsid w:val="002C1A34"/>
    <w:rsid w:val="002C282E"/>
    <w:rsid w:val="002C4268"/>
    <w:rsid w:val="002C4610"/>
    <w:rsid w:val="002C78A0"/>
    <w:rsid w:val="002D1386"/>
    <w:rsid w:val="002D13A9"/>
    <w:rsid w:val="002D1710"/>
    <w:rsid w:val="002D33ED"/>
    <w:rsid w:val="002D3CE6"/>
    <w:rsid w:val="002D707A"/>
    <w:rsid w:val="002D7113"/>
    <w:rsid w:val="002D7206"/>
    <w:rsid w:val="002D7EF7"/>
    <w:rsid w:val="002E026E"/>
    <w:rsid w:val="002E07FA"/>
    <w:rsid w:val="002E0D92"/>
    <w:rsid w:val="002E16DD"/>
    <w:rsid w:val="002E2183"/>
    <w:rsid w:val="002E236E"/>
    <w:rsid w:val="002E42C1"/>
    <w:rsid w:val="002E52F8"/>
    <w:rsid w:val="002E5BE0"/>
    <w:rsid w:val="002E68E0"/>
    <w:rsid w:val="002E68E6"/>
    <w:rsid w:val="002E6DE9"/>
    <w:rsid w:val="002E7227"/>
    <w:rsid w:val="002E7491"/>
    <w:rsid w:val="002F0375"/>
    <w:rsid w:val="002F076B"/>
    <w:rsid w:val="002F17A4"/>
    <w:rsid w:val="002F231B"/>
    <w:rsid w:val="002F2362"/>
    <w:rsid w:val="002F2433"/>
    <w:rsid w:val="002F2BF5"/>
    <w:rsid w:val="002F43E9"/>
    <w:rsid w:val="002F4DA9"/>
    <w:rsid w:val="002F5C96"/>
    <w:rsid w:val="002F6923"/>
    <w:rsid w:val="002F6E00"/>
    <w:rsid w:val="002F7220"/>
    <w:rsid w:val="002F7314"/>
    <w:rsid w:val="002F7730"/>
    <w:rsid w:val="002F7EA0"/>
    <w:rsid w:val="0030014E"/>
    <w:rsid w:val="00300D39"/>
    <w:rsid w:val="00301EE3"/>
    <w:rsid w:val="003024CF"/>
    <w:rsid w:val="00302543"/>
    <w:rsid w:val="00302ABF"/>
    <w:rsid w:val="00302C56"/>
    <w:rsid w:val="003033D0"/>
    <w:rsid w:val="0030359C"/>
    <w:rsid w:val="00304A30"/>
    <w:rsid w:val="00305649"/>
    <w:rsid w:val="00306005"/>
    <w:rsid w:val="0030697F"/>
    <w:rsid w:val="00306BA6"/>
    <w:rsid w:val="003073EB"/>
    <w:rsid w:val="0030773C"/>
    <w:rsid w:val="0030780A"/>
    <w:rsid w:val="00307FCF"/>
    <w:rsid w:val="0031042F"/>
    <w:rsid w:val="003107D8"/>
    <w:rsid w:val="00312517"/>
    <w:rsid w:val="003126FF"/>
    <w:rsid w:val="00312AA8"/>
    <w:rsid w:val="00314936"/>
    <w:rsid w:val="00314E54"/>
    <w:rsid w:val="003152C8"/>
    <w:rsid w:val="003168DB"/>
    <w:rsid w:val="00317153"/>
    <w:rsid w:val="0031728B"/>
    <w:rsid w:val="0031766E"/>
    <w:rsid w:val="003177D6"/>
    <w:rsid w:val="00317C83"/>
    <w:rsid w:val="00320A42"/>
    <w:rsid w:val="00321D0D"/>
    <w:rsid w:val="00322535"/>
    <w:rsid w:val="00322F93"/>
    <w:rsid w:val="00323B05"/>
    <w:rsid w:val="003245EA"/>
    <w:rsid w:val="00325C3D"/>
    <w:rsid w:val="003273F6"/>
    <w:rsid w:val="0032767B"/>
    <w:rsid w:val="00330AE6"/>
    <w:rsid w:val="00331ED4"/>
    <w:rsid w:val="00331F6B"/>
    <w:rsid w:val="00332EEC"/>
    <w:rsid w:val="00333228"/>
    <w:rsid w:val="003333F3"/>
    <w:rsid w:val="00334261"/>
    <w:rsid w:val="0033449F"/>
    <w:rsid w:val="00335192"/>
    <w:rsid w:val="00335A51"/>
    <w:rsid w:val="00336326"/>
    <w:rsid w:val="0033644F"/>
    <w:rsid w:val="00337213"/>
    <w:rsid w:val="00337ECD"/>
    <w:rsid w:val="00340A87"/>
    <w:rsid w:val="00340A89"/>
    <w:rsid w:val="00341272"/>
    <w:rsid w:val="00343D09"/>
    <w:rsid w:val="0034430F"/>
    <w:rsid w:val="00344504"/>
    <w:rsid w:val="00345059"/>
    <w:rsid w:val="003459AA"/>
    <w:rsid w:val="00345A64"/>
    <w:rsid w:val="0034669D"/>
    <w:rsid w:val="003467FB"/>
    <w:rsid w:val="003471A1"/>
    <w:rsid w:val="00347D7E"/>
    <w:rsid w:val="00351B92"/>
    <w:rsid w:val="00352B53"/>
    <w:rsid w:val="003547A6"/>
    <w:rsid w:val="00354C84"/>
    <w:rsid w:val="003551C0"/>
    <w:rsid w:val="00355727"/>
    <w:rsid w:val="00356849"/>
    <w:rsid w:val="00357EE3"/>
    <w:rsid w:val="00357F3A"/>
    <w:rsid w:val="00360156"/>
    <w:rsid w:val="00361C08"/>
    <w:rsid w:val="00362F7B"/>
    <w:rsid w:val="003640C2"/>
    <w:rsid w:val="003641D4"/>
    <w:rsid w:val="00364C54"/>
    <w:rsid w:val="0036668D"/>
    <w:rsid w:val="00370075"/>
    <w:rsid w:val="00371771"/>
    <w:rsid w:val="0037252B"/>
    <w:rsid w:val="00372551"/>
    <w:rsid w:val="00372C04"/>
    <w:rsid w:val="0037309E"/>
    <w:rsid w:val="00373F04"/>
    <w:rsid w:val="003745F3"/>
    <w:rsid w:val="00375A84"/>
    <w:rsid w:val="003763F1"/>
    <w:rsid w:val="00377232"/>
    <w:rsid w:val="00380DF0"/>
    <w:rsid w:val="00381156"/>
    <w:rsid w:val="0038280B"/>
    <w:rsid w:val="003828BF"/>
    <w:rsid w:val="00383170"/>
    <w:rsid w:val="00383717"/>
    <w:rsid w:val="0038397B"/>
    <w:rsid w:val="00385050"/>
    <w:rsid w:val="00385B56"/>
    <w:rsid w:val="00386D16"/>
    <w:rsid w:val="00386F11"/>
    <w:rsid w:val="00386F4E"/>
    <w:rsid w:val="00390B75"/>
    <w:rsid w:val="0039123B"/>
    <w:rsid w:val="003915DE"/>
    <w:rsid w:val="0039230D"/>
    <w:rsid w:val="00392A9A"/>
    <w:rsid w:val="00392DF5"/>
    <w:rsid w:val="00392EA4"/>
    <w:rsid w:val="003930DC"/>
    <w:rsid w:val="00393133"/>
    <w:rsid w:val="00393A77"/>
    <w:rsid w:val="00393F22"/>
    <w:rsid w:val="00394FD0"/>
    <w:rsid w:val="003954DA"/>
    <w:rsid w:val="00395FBF"/>
    <w:rsid w:val="00396CB6"/>
    <w:rsid w:val="0039712E"/>
    <w:rsid w:val="0039752F"/>
    <w:rsid w:val="00397BCD"/>
    <w:rsid w:val="003A033C"/>
    <w:rsid w:val="003A0CD3"/>
    <w:rsid w:val="003A20D5"/>
    <w:rsid w:val="003A2341"/>
    <w:rsid w:val="003A31D0"/>
    <w:rsid w:val="003A38FA"/>
    <w:rsid w:val="003A3D1A"/>
    <w:rsid w:val="003A4084"/>
    <w:rsid w:val="003A4593"/>
    <w:rsid w:val="003A4BA9"/>
    <w:rsid w:val="003A51E9"/>
    <w:rsid w:val="003A524C"/>
    <w:rsid w:val="003A6E78"/>
    <w:rsid w:val="003A75D7"/>
    <w:rsid w:val="003A7CFD"/>
    <w:rsid w:val="003A7F18"/>
    <w:rsid w:val="003B1054"/>
    <w:rsid w:val="003B1057"/>
    <w:rsid w:val="003B4660"/>
    <w:rsid w:val="003B5CCB"/>
    <w:rsid w:val="003B5F88"/>
    <w:rsid w:val="003C0499"/>
    <w:rsid w:val="003C0AD7"/>
    <w:rsid w:val="003C13C6"/>
    <w:rsid w:val="003C2F9E"/>
    <w:rsid w:val="003C3054"/>
    <w:rsid w:val="003C31F2"/>
    <w:rsid w:val="003C41DD"/>
    <w:rsid w:val="003C4953"/>
    <w:rsid w:val="003C5140"/>
    <w:rsid w:val="003C5897"/>
    <w:rsid w:val="003C5BB5"/>
    <w:rsid w:val="003C666E"/>
    <w:rsid w:val="003C6878"/>
    <w:rsid w:val="003C79E7"/>
    <w:rsid w:val="003D1ED1"/>
    <w:rsid w:val="003D3C50"/>
    <w:rsid w:val="003D419F"/>
    <w:rsid w:val="003D41CC"/>
    <w:rsid w:val="003D465A"/>
    <w:rsid w:val="003D46F7"/>
    <w:rsid w:val="003D5F30"/>
    <w:rsid w:val="003D603B"/>
    <w:rsid w:val="003D7375"/>
    <w:rsid w:val="003D78FF"/>
    <w:rsid w:val="003E0155"/>
    <w:rsid w:val="003E2F5E"/>
    <w:rsid w:val="003E3774"/>
    <w:rsid w:val="003E5089"/>
    <w:rsid w:val="003E572E"/>
    <w:rsid w:val="003E5C52"/>
    <w:rsid w:val="003E6CFB"/>
    <w:rsid w:val="003E7D0C"/>
    <w:rsid w:val="003E7EC3"/>
    <w:rsid w:val="003F091B"/>
    <w:rsid w:val="003F32CD"/>
    <w:rsid w:val="003F38F9"/>
    <w:rsid w:val="003F4371"/>
    <w:rsid w:val="003F50A2"/>
    <w:rsid w:val="003F51DE"/>
    <w:rsid w:val="003F5C24"/>
    <w:rsid w:val="003F6701"/>
    <w:rsid w:val="003F680D"/>
    <w:rsid w:val="003F7765"/>
    <w:rsid w:val="004016A0"/>
    <w:rsid w:val="004024C1"/>
    <w:rsid w:val="0040250D"/>
    <w:rsid w:val="0040491F"/>
    <w:rsid w:val="00404FC8"/>
    <w:rsid w:val="004051B2"/>
    <w:rsid w:val="004055BD"/>
    <w:rsid w:val="004059FB"/>
    <w:rsid w:val="004061D4"/>
    <w:rsid w:val="00406F04"/>
    <w:rsid w:val="00407DE2"/>
    <w:rsid w:val="00410281"/>
    <w:rsid w:val="00412818"/>
    <w:rsid w:val="00412B8D"/>
    <w:rsid w:val="00414715"/>
    <w:rsid w:val="004150CE"/>
    <w:rsid w:val="00415575"/>
    <w:rsid w:val="00415891"/>
    <w:rsid w:val="00415969"/>
    <w:rsid w:val="004159E1"/>
    <w:rsid w:val="00416150"/>
    <w:rsid w:val="00416886"/>
    <w:rsid w:val="00421257"/>
    <w:rsid w:val="004214EB"/>
    <w:rsid w:val="004216F8"/>
    <w:rsid w:val="00422127"/>
    <w:rsid w:val="00422486"/>
    <w:rsid w:val="0042316C"/>
    <w:rsid w:val="00423667"/>
    <w:rsid w:val="00425D4D"/>
    <w:rsid w:val="00426171"/>
    <w:rsid w:val="00426CA2"/>
    <w:rsid w:val="00427DDB"/>
    <w:rsid w:val="00430071"/>
    <w:rsid w:val="00430FBB"/>
    <w:rsid w:val="00432D94"/>
    <w:rsid w:val="004331F4"/>
    <w:rsid w:val="00434AFE"/>
    <w:rsid w:val="00437F35"/>
    <w:rsid w:val="0044059B"/>
    <w:rsid w:val="00441AEB"/>
    <w:rsid w:val="0044360E"/>
    <w:rsid w:val="00443F1C"/>
    <w:rsid w:val="00447CB3"/>
    <w:rsid w:val="00450EAC"/>
    <w:rsid w:val="00451488"/>
    <w:rsid w:val="004518B9"/>
    <w:rsid w:val="00451AFD"/>
    <w:rsid w:val="0045296D"/>
    <w:rsid w:val="00452FD5"/>
    <w:rsid w:val="00453772"/>
    <w:rsid w:val="00455333"/>
    <w:rsid w:val="004571CA"/>
    <w:rsid w:val="004574CA"/>
    <w:rsid w:val="0046045C"/>
    <w:rsid w:val="00461664"/>
    <w:rsid w:val="00461670"/>
    <w:rsid w:val="004618E0"/>
    <w:rsid w:val="00461AA2"/>
    <w:rsid w:val="00461DE7"/>
    <w:rsid w:val="0046294A"/>
    <w:rsid w:val="00462F8D"/>
    <w:rsid w:val="004636C3"/>
    <w:rsid w:val="00463D21"/>
    <w:rsid w:val="0046463F"/>
    <w:rsid w:val="00464847"/>
    <w:rsid w:val="00464F26"/>
    <w:rsid w:val="00465A3B"/>
    <w:rsid w:val="00465C87"/>
    <w:rsid w:val="00466333"/>
    <w:rsid w:val="004668D9"/>
    <w:rsid w:val="004668E4"/>
    <w:rsid w:val="00467E9B"/>
    <w:rsid w:val="00470685"/>
    <w:rsid w:val="00470FCF"/>
    <w:rsid w:val="00470FE8"/>
    <w:rsid w:val="00471978"/>
    <w:rsid w:val="00472141"/>
    <w:rsid w:val="004730D2"/>
    <w:rsid w:val="00473F27"/>
    <w:rsid w:val="00473FD6"/>
    <w:rsid w:val="0047495B"/>
    <w:rsid w:val="00474AB1"/>
    <w:rsid w:val="00474AC6"/>
    <w:rsid w:val="00476753"/>
    <w:rsid w:val="004770D5"/>
    <w:rsid w:val="00480F2C"/>
    <w:rsid w:val="00480F57"/>
    <w:rsid w:val="00481832"/>
    <w:rsid w:val="00481835"/>
    <w:rsid w:val="004820C3"/>
    <w:rsid w:val="00484132"/>
    <w:rsid w:val="004847CD"/>
    <w:rsid w:val="00484DC2"/>
    <w:rsid w:val="00484F02"/>
    <w:rsid w:val="00484FF6"/>
    <w:rsid w:val="00486BD9"/>
    <w:rsid w:val="004927B0"/>
    <w:rsid w:val="004931AB"/>
    <w:rsid w:val="0049563A"/>
    <w:rsid w:val="00496D95"/>
    <w:rsid w:val="004A04EC"/>
    <w:rsid w:val="004A15AA"/>
    <w:rsid w:val="004A24A4"/>
    <w:rsid w:val="004A4D45"/>
    <w:rsid w:val="004A5A2F"/>
    <w:rsid w:val="004A5D87"/>
    <w:rsid w:val="004A6925"/>
    <w:rsid w:val="004A7724"/>
    <w:rsid w:val="004A78E1"/>
    <w:rsid w:val="004B0483"/>
    <w:rsid w:val="004B0574"/>
    <w:rsid w:val="004B2718"/>
    <w:rsid w:val="004B2ADD"/>
    <w:rsid w:val="004B2DCF"/>
    <w:rsid w:val="004B30F9"/>
    <w:rsid w:val="004B42F3"/>
    <w:rsid w:val="004B5FD3"/>
    <w:rsid w:val="004B6233"/>
    <w:rsid w:val="004B6A69"/>
    <w:rsid w:val="004B6F93"/>
    <w:rsid w:val="004C02EA"/>
    <w:rsid w:val="004C15FE"/>
    <w:rsid w:val="004C244B"/>
    <w:rsid w:val="004C249A"/>
    <w:rsid w:val="004C3201"/>
    <w:rsid w:val="004C3610"/>
    <w:rsid w:val="004C3C61"/>
    <w:rsid w:val="004C6542"/>
    <w:rsid w:val="004C6CE4"/>
    <w:rsid w:val="004C733E"/>
    <w:rsid w:val="004D02E2"/>
    <w:rsid w:val="004D1B7F"/>
    <w:rsid w:val="004D1CA6"/>
    <w:rsid w:val="004D1E0B"/>
    <w:rsid w:val="004D36BC"/>
    <w:rsid w:val="004D4115"/>
    <w:rsid w:val="004D448F"/>
    <w:rsid w:val="004D458D"/>
    <w:rsid w:val="004D548D"/>
    <w:rsid w:val="004D6655"/>
    <w:rsid w:val="004D6E04"/>
    <w:rsid w:val="004D6F93"/>
    <w:rsid w:val="004D7E4B"/>
    <w:rsid w:val="004E2854"/>
    <w:rsid w:val="004E28C6"/>
    <w:rsid w:val="004E2B68"/>
    <w:rsid w:val="004E4B8E"/>
    <w:rsid w:val="004E5B45"/>
    <w:rsid w:val="004E5BE7"/>
    <w:rsid w:val="004E603B"/>
    <w:rsid w:val="004E714E"/>
    <w:rsid w:val="004E7503"/>
    <w:rsid w:val="004E76BD"/>
    <w:rsid w:val="004E7708"/>
    <w:rsid w:val="004E7F3D"/>
    <w:rsid w:val="004F4C9A"/>
    <w:rsid w:val="004F50F8"/>
    <w:rsid w:val="004F5C0A"/>
    <w:rsid w:val="004F5CBC"/>
    <w:rsid w:val="004F5E6D"/>
    <w:rsid w:val="004F6455"/>
    <w:rsid w:val="004F6CDF"/>
    <w:rsid w:val="004F7B8B"/>
    <w:rsid w:val="00503CC5"/>
    <w:rsid w:val="00503D58"/>
    <w:rsid w:val="005041B4"/>
    <w:rsid w:val="005051DA"/>
    <w:rsid w:val="00505396"/>
    <w:rsid w:val="0050540B"/>
    <w:rsid w:val="00507A52"/>
    <w:rsid w:val="00510782"/>
    <w:rsid w:val="00510B84"/>
    <w:rsid w:val="00511854"/>
    <w:rsid w:val="00512049"/>
    <w:rsid w:val="005151D7"/>
    <w:rsid w:val="005208F9"/>
    <w:rsid w:val="00522A06"/>
    <w:rsid w:val="00522A76"/>
    <w:rsid w:val="00523E5B"/>
    <w:rsid w:val="005240F9"/>
    <w:rsid w:val="005243CA"/>
    <w:rsid w:val="005261C2"/>
    <w:rsid w:val="00526B55"/>
    <w:rsid w:val="00526D25"/>
    <w:rsid w:val="00526EE8"/>
    <w:rsid w:val="00526F5D"/>
    <w:rsid w:val="0052714A"/>
    <w:rsid w:val="00527234"/>
    <w:rsid w:val="005303B3"/>
    <w:rsid w:val="00530B95"/>
    <w:rsid w:val="00532BE5"/>
    <w:rsid w:val="00532FA4"/>
    <w:rsid w:val="0053347A"/>
    <w:rsid w:val="00533C8E"/>
    <w:rsid w:val="005347A4"/>
    <w:rsid w:val="00534DE1"/>
    <w:rsid w:val="00534F80"/>
    <w:rsid w:val="00535392"/>
    <w:rsid w:val="00536379"/>
    <w:rsid w:val="00537C17"/>
    <w:rsid w:val="00537D95"/>
    <w:rsid w:val="00540567"/>
    <w:rsid w:val="00541A51"/>
    <w:rsid w:val="00541BB5"/>
    <w:rsid w:val="00542DB6"/>
    <w:rsid w:val="005434E0"/>
    <w:rsid w:val="005440B9"/>
    <w:rsid w:val="005448E9"/>
    <w:rsid w:val="00545582"/>
    <w:rsid w:val="00546306"/>
    <w:rsid w:val="00546413"/>
    <w:rsid w:val="00546592"/>
    <w:rsid w:val="00546644"/>
    <w:rsid w:val="00547373"/>
    <w:rsid w:val="00550183"/>
    <w:rsid w:val="005513E6"/>
    <w:rsid w:val="00551515"/>
    <w:rsid w:val="00552EC2"/>
    <w:rsid w:val="0055363F"/>
    <w:rsid w:val="00553756"/>
    <w:rsid w:val="005539B4"/>
    <w:rsid w:val="00554284"/>
    <w:rsid w:val="00554333"/>
    <w:rsid w:val="0055442B"/>
    <w:rsid w:val="00554AD6"/>
    <w:rsid w:val="00555F1E"/>
    <w:rsid w:val="005562E0"/>
    <w:rsid w:val="00556CFF"/>
    <w:rsid w:val="005601E2"/>
    <w:rsid w:val="00561173"/>
    <w:rsid w:val="00562E50"/>
    <w:rsid w:val="0056350E"/>
    <w:rsid w:val="005635FE"/>
    <w:rsid w:val="005656EF"/>
    <w:rsid w:val="00565876"/>
    <w:rsid w:val="00565EE6"/>
    <w:rsid w:val="00566383"/>
    <w:rsid w:val="0056662E"/>
    <w:rsid w:val="00566A95"/>
    <w:rsid w:val="00566FC6"/>
    <w:rsid w:val="00567095"/>
    <w:rsid w:val="0056753F"/>
    <w:rsid w:val="00567BAE"/>
    <w:rsid w:val="00567C44"/>
    <w:rsid w:val="00570D4E"/>
    <w:rsid w:val="00570E31"/>
    <w:rsid w:val="005727D5"/>
    <w:rsid w:val="00572960"/>
    <w:rsid w:val="00573C7F"/>
    <w:rsid w:val="00574536"/>
    <w:rsid w:val="0057578A"/>
    <w:rsid w:val="00576EA1"/>
    <w:rsid w:val="00577A04"/>
    <w:rsid w:val="00581588"/>
    <w:rsid w:val="00581DD4"/>
    <w:rsid w:val="00582272"/>
    <w:rsid w:val="005822B9"/>
    <w:rsid w:val="00582833"/>
    <w:rsid w:val="00582F38"/>
    <w:rsid w:val="00583F7F"/>
    <w:rsid w:val="00584314"/>
    <w:rsid w:val="005848B0"/>
    <w:rsid w:val="00584D97"/>
    <w:rsid w:val="005914D0"/>
    <w:rsid w:val="00594E1A"/>
    <w:rsid w:val="00595118"/>
    <w:rsid w:val="00595C2D"/>
    <w:rsid w:val="005963F8"/>
    <w:rsid w:val="00597758"/>
    <w:rsid w:val="00597E5F"/>
    <w:rsid w:val="005A005E"/>
    <w:rsid w:val="005A03DE"/>
    <w:rsid w:val="005A085D"/>
    <w:rsid w:val="005A1224"/>
    <w:rsid w:val="005A1593"/>
    <w:rsid w:val="005A1802"/>
    <w:rsid w:val="005A2513"/>
    <w:rsid w:val="005A274C"/>
    <w:rsid w:val="005A331D"/>
    <w:rsid w:val="005A3C45"/>
    <w:rsid w:val="005A425C"/>
    <w:rsid w:val="005A6CC1"/>
    <w:rsid w:val="005A7708"/>
    <w:rsid w:val="005A7B26"/>
    <w:rsid w:val="005A7C30"/>
    <w:rsid w:val="005B01C3"/>
    <w:rsid w:val="005B09E9"/>
    <w:rsid w:val="005B0A2D"/>
    <w:rsid w:val="005B11F6"/>
    <w:rsid w:val="005B1B1E"/>
    <w:rsid w:val="005B249E"/>
    <w:rsid w:val="005B26DC"/>
    <w:rsid w:val="005B2B8F"/>
    <w:rsid w:val="005B2CF8"/>
    <w:rsid w:val="005B3FB6"/>
    <w:rsid w:val="005B44E9"/>
    <w:rsid w:val="005B50DD"/>
    <w:rsid w:val="005B537D"/>
    <w:rsid w:val="005B7304"/>
    <w:rsid w:val="005B7348"/>
    <w:rsid w:val="005C09F0"/>
    <w:rsid w:val="005C0B9B"/>
    <w:rsid w:val="005C1700"/>
    <w:rsid w:val="005C1C4A"/>
    <w:rsid w:val="005C24AD"/>
    <w:rsid w:val="005C32DA"/>
    <w:rsid w:val="005C3FB5"/>
    <w:rsid w:val="005C40E4"/>
    <w:rsid w:val="005C4DDB"/>
    <w:rsid w:val="005C5A9E"/>
    <w:rsid w:val="005C5B8B"/>
    <w:rsid w:val="005C7AFD"/>
    <w:rsid w:val="005C7C8A"/>
    <w:rsid w:val="005C7F35"/>
    <w:rsid w:val="005D1978"/>
    <w:rsid w:val="005D2696"/>
    <w:rsid w:val="005D2DAA"/>
    <w:rsid w:val="005D2E52"/>
    <w:rsid w:val="005D335C"/>
    <w:rsid w:val="005D3B4E"/>
    <w:rsid w:val="005D6CAD"/>
    <w:rsid w:val="005D7230"/>
    <w:rsid w:val="005E09EF"/>
    <w:rsid w:val="005E141A"/>
    <w:rsid w:val="005E1AE9"/>
    <w:rsid w:val="005E1EC1"/>
    <w:rsid w:val="005E279D"/>
    <w:rsid w:val="005E3FA3"/>
    <w:rsid w:val="005E6C27"/>
    <w:rsid w:val="005E6CFB"/>
    <w:rsid w:val="005E6FCE"/>
    <w:rsid w:val="005E7294"/>
    <w:rsid w:val="005E7F45"/>
    <w:rsid w:val="005EBDD4"/>
    <w:rsid w:val="005F1140"/>
    <w:rsid w:val="005F193F"/>
    <w:rsid w:val="005F1968"/>
    <w:rsid w:val="005F36AE"/>
    <w:rsid w:val="005F3E93"/>
    <w:rsid w:val="005F4B00"/>
    <w:rsid w:val="005F543C"/>
    <w:rsid w:val="005F731D"/>
    <w:rsid w:val="005F7C90"/>
    <w:rsid w:val="00600858"/>
    <w:rsid w:val="0060106B"/>
    <w:rsid w:val="00601236"/>
    <w:rsid w:val="00601ADE"/>
    <w:rsid w:val="0060383C"/>
    <w:rsid w:val="006040E2"/>
    <w:rsid w:val="00604D75"/>
    <w:rsid w:val="0060592E"/>
    <w:rsid w:val="0060652A"/>
    <w:rsid w:val="00606A26"/>
    <w:rsid w:val="00606B3F"/>
    <w:rsid w:val="00610446"/>
    <w:rsid w:val="00610EC7"/>
    <w:rsid w:val="0061117D"/>
    <w:rsid w:val="006113F0"/>
    <w:rsid w:val="0061168E"/>
    <w:rsid w:val="00612183"/>
    <w:rsid w:val="0061277B"/>
    <w:rsid w:val="00612EBC"/>
    <w:rsid w:val="00613720"/>
    <w:rsid w:val="00613F04"/>
    <w:rsid w:val="006147C6"/>
    <w:rsid w:val="006147D8"/>
    <w:rsid w:val="0061480A"/>
    <w:rsid w:val="00615355"/>
    <w:rsid w:val="00615401"/>
    <w:rsid w:val="00615EB1"/>
    <w:rsid w:val="006203CD"/>
    <w:rsid w:val="00621991"/>
    <w:rsid w:val="00621F35"/>
    <w:rsid w:val="00622443"/>
    <w:rsid w:val="00622681"/>
    <w:rsid w:val="00622756"/>
    <w:rsid w:val="006228E5"/>
    <w:rsid w:val="00622D16"/>
    <w:rsid w:val="0062332B"/>
    <w:rsid w:val="0062334E"/>
    <w:rsid w:val="00623626"/>
    <w:rsid w:val="006246EE"/>
    <w:rsid w:val="00625C01"/>
    <w:rsid w:val="006277F6"/>
    <w:rsid w:val="0063174D"/>
    <w:rsid w:val="00632051"/>
    <w:rsid w:val="00632182"/>
    <w:rsid w:val="006321E5"/>
    <w:rsid w:val="00632D36"/>
    <w:rsid w:val="00633BA5"/>
    <w:rsid w:val="00633C32"/>
    <w:rsid w:val="00634374"/>
    <w:rsid w:val="0063443C"/>
    <w:rsid w:val="00634461"/>
    <w:rsid w:val="00635BA0"/>
    <w:rsid w:val="00636B7A"/>
    <w:rsid w:val="00636D20"/>
    <w:rsid w:val="006401B4"/>
    <w:rsid w:val="006405C7"/>
    <w:rsid w:val="00640A83"/>
    <w:rsid w:val="006413BA"/>
    <w:rsid w:val="00642685"/>
    <w:rsid w:val="00643D6B"/>
    <w:rsid w:val="0064463D"/>
    <w:rsid w:val="00644A45"/>
    <w:rsid w:val="00644F50"/>
    <w:rsid w:val="00644F5C"/>
    <w:rsid w:val="0064599E"/>
    <w:rsid w:val="00646AEA"/>
    <w:rsid w:val="00646C80"/>
    <w:rsid w:val="0065044C"/>
    <w:rsid w:val="00650586"/>
    <w:rsid w:val="00652D50"/>
    <w:rsid w:val="00654218"/>
    <w:rsid w:val="006543B4"/>
    <w:rsid w:val="006554DC"/>
    <w:rsid w:val="00655532"/>
    <w:rsid w:val="006556EC"/>
    <w:rsid w:val="0066141B"/>
    <w:rsid w:val="0066249F"/>
    <w:rsid w:val="00662FE1"/>
    <w:rsid w:val="0066345A"/>
    <w:rsid w:val="006651B8"/>
    <w:rsid w:val="00665E76"/>
    <w:rsid w:val="00666157"/>
    <w:rsid w:val="0066640B"/>
    <w:rsid w:val="00666A63"/>
    <w:rsid w:val="00666C51"/>
    <w:rsid w:val="00670214"/>
    <w:rsid w:val="00670C6C"/>
    <w:rsid w:val="006713FB"/>
    <w:rsid w:val="0067288D"/>
    <w:rsid w:val="0067325F"/>
    <w:rsid w:val="00674DBA"/>
    <w:rsid w:val="00674F6B"/>
    <w:rsid w:val="00675151"/>
    <w:rsid w:val="006757BE"/>
    <w:rsid w:val="00675ECB"/>
    <w:rsid w:val="006762B1"/>
    <w:rsid w:val="006774BC"/>
    <w:rsid w:val="006826E7"/>
    <w:rsid w:val="006829D4"/>
    <w:rsid w:val="006835FD"/>
    <w:rsid w:val="00685429"/>
    <w:rsid w:val="00685D5D"/>
    <w:rsid w:val="00686138"/>
    <w:rsid w:val="00687131"/>
    <w:rsid w:val="0069066E"/>
    <w:rsid w:val="00690CB8"/>
    <w:rsid w:val="0069200B"/>
    <w:rsid w:val="00692080"/>
    <w:rsid w:val="0069218B"/>
    <w:rsid w:val="00693129"/>
    <w:rsid w:val="00693F87"/>
    <w:rsid w:val="006949A1"/>
    <w:rsid w:val="006951A0"/>
    <w:rsid w:val="006958C6"/>
    <w:rsid w:val="00696CDE"/>
    <w:rsid w:val="00696E7B"/>
    <w:rsid w:val="006A12BE"/>
    <w:rsid w:val="006A15B6"/>
    <w:rsid w:val="006A1893"/>
    <w:rsid w:val="006A1965"/>
    <w:rsid w:val="006A235A"/>
    <w:rsid w:val="006A2D53"/>
    <w:rsid w:val="006A3F32"/>
    <w:rsid w:val="006A4099"/>
    <w:rsid w:val="006A5C99"/>
    <w:rsid w:val="006A5DFC"/>
    <w:rsid w:val="006A5ED5"/>
    <w:rsid w:val="006A6860"/>
    <w:rsid w:val="006A6951"/>
    <w:rsid w:val="006A75B8"/>
    <w:rsid w:val="006A7CD9"/>
    <w:rsid w:val="006B1673"/>
    <w:rsid w:val="006B2CF5"/>
    <w:rsid w:val="006B30DE"/>
    <w:rsid w:val="006B32E1"/>
    <w:rsid w:val="006B38DC"/>
    <w:rsid w:val="006B436A"/>
    <w:rsid w:val="006B4439"/>
    <w:rsid w:val="006B4C5A"/>
    <w:rsid w:val="006B57D8"/>
    <w:rsid w:val="006B5A50"/>
    <w:rsid w:val="006B5E21"/>
    <w:rsid w:val="006B7269"/>
    <w:rsid w:val="006B76EA"/>
    <w:rsid w:val="006C10CD"/>
    <w:rsid w:val="006C1F2B"/>
    <w:rsid w:val="006C292D"/>
    <w:rsid w:val="006C3A06"/>
    <w:rsid w:val="006C3FA8"/>
    <w:rsid w:val="006C43E1"/>
    <w:rsid w:val="006C44AC"/>
    <w:rsid w:val="006C4F90"/>
    <w:rsid w:val="006C5284"/>
    <w:rsid w:val="006C5AEA"/>
    <w:rsid w:val="006C60B2"/>
    <w:rsid w:val="006C731B"/>
    <w:rsid w:val="006C75F5"/>
    <w:rsid w:val="006C7CB2"/>
    <w:rsid w:val="006D13E3"/>
    <w:rsid w:val="006D2436"/>
    <w:rsid w:val="006D3311"/>
    <w:rsid w:val="006D4B66"/>
    <w:rsid w:val="006D5613"/>
    <w:rsid w:val="006D59FD"/>
    <w:rsid w:val="006D67CB"/>
    <w:rsid w:val="006D714E"/>
    <w:rsid w:val="006D734C"/>
    <w:rsid w:val="006D7447"/>
    <w:rsid w:val="006E0853"/>
    <w:rsid w:val="006E16B3"/>
    <w:rsid w:val="006E190A"/>
    <w:rsid w:val="006E1F09"/>
    <w:rsid w:val="006E209B"/>
    <w:rsid w:val="006E2A07"/>
    <w:rsid w:val="006E2BEE"/>
    <w:rsid w:val="006E34E5"/>
    <w:rsid w:val="006E3693"/>
    <w:rsid w:val="006E371A"/>
    <w:rsid w:val="006E37D0"/>
    <w:rsid w:val="006E41F7"/>
    <w:rsid w:val="006E4C4B"/>
    <w:rsid w:val="006E4DD2"/>
    <w:rsid w:val="006E4E35"/>
    <w:rsid w:val="006E50D6"/>
    <w:rsid w:val="006E646B"/>
    <w:rsid w:val="006E670E"/>
    <w:rsid w:val="006E7650"/>
    <w:rsid w:val="006F0AD6"/>
    <w:rsid w:val="006F2BFF"/>
    <w:rsid w:val="006F3351"/>
    <w:rsid w:val="006F37EA"/>
    <w:rsid w:val="006F3CE8"/>
    <w:rsid w:val="006F467F"/>
    <w:rsid w:val="006F4B43"/>
    <w:rsid w:val="006F5089"/>
    <w:rsid w:val="006F62BB"/>
    <w:rsid w:val="006F7275"/>
    <w:rsid w:val="006F7B2B"/>
    <w:rsid w:val="007007F4"/>
    <w:rsid w:val="007012E8"/>
    <w:rsid w:val="00702644"/>
    <w:rsid w:val="0070341E"/>
    <w:rsid w:val="00704466"/>
    <w:rsid w:val="007044C3"/>
    <w:rsid w:val="007058A9"/>
    <w:rsid w:val="0070746A"/>
    <w:rsid w:val="00707851"/>
    <w:rsid w:val="00710255"/>
    <w:rsid w:val="007109A6"/>
    <w:rsid w:val="00710B0E"/>
    <w:rsid w:val="00711492"/>
    <w:rsid w:val="00712B2F"/>
    <w:rsid w:val="007135B7"/>
    <w:rsid w:val="00713D2A"/>
    <w:rsid w:val="00714014"/>
    <w:rsid w:val="00714A9F"/>
    <w:rsid w:val="00714B41"/>
    <w:rsid w:val="00714FCF"/>
    <w:rsid w:val="00715042"/>
    <w:rsid w:val="00715243"/>
    <w:rsid w:val="00715415"/>
    <w:rsid w:val="00717392"/>
    <w:rsid w:val="0071754D"/>
    <w:rsid w:val="00717A4B"/>
    <w:rsid w:val="00720076"/>
    <w:rsid w:val="00720F8D"/>
    <w:rsid w:val="00721B84"/>
    <w:rsid w:val="00721C2C"/>
    <w:rsid w:val="00721CB4"/>
    <w:rsid w:val="00722FAA"/>
    <w:rsid w:val="00724625"/>
    <w:rsid w:val="00725114"/>
    <w:rsid w:val="007253F4"/>
    <w:rsid w:val="00725D8A"/>
    <w:rsid w:val="00727E21"/>
    <w:rsid w:val="0073048E"/>
    <w:rsid w:val="007306B0"/>
    <w:rsid w:val="0073072D"/>
    <w:rsid w:val="00731478"/>
    <w:rsid w:val="007337A4"/>
    <w:rsid w:val="00733F9F"/>
    <w:rsid w:val="00734494"/>
    <w:rsid w:val="007362CE"/>
    <w:rsid w:val="00737FA9"/>
    <w:rsid w:val="00740CA0"/>
    <w:rsid w:val="00741672"/>
    <w:rsid w:val="00742281"/>
    <w:rsid w:val="0074266D"/>
    <w:rsid w:val="00742882"/>
    <w:rsid w:val="00743291"/>
    <w:rsid w:val="007439EC"/>
    <w:rsid w:val="00744139"/>
    <w:rsid w:val="00744535"/>
    <w:rsid w:val="00744C08"/>
    <w:rsid w:val="00744E6F"/>
    <w:rsid w:val="007451A5"/>
    <w:rsid w:val="0074529E"/>
    <w:rsid w:val="00745873"/>
    <w:rsid w:val="00745CAE"/>
    <w:rsid w:val="00745F97"/>
    <w:rsid w:val="0074783F"/>
    <w:rsid w:val="00747BC8"/>
    <w:rsid w:val="00750F86"/>
    <w:rsid w:val="00751CD0"/>
    <w:rsid w:val="00752483"/>
    <w:rsid w:val="0075320F"/>
    <w:rsid w:val="0075549E"/>
    <w:rsid w:val="00756943"/>
    <w:rsid w:val="00756C79"/>
    <w:rsid w:val="00760801"/>
    <w:rsid w:val="00761AE4"/>
    <w:rsid w:val="00761BFA"/>
    <w:rsid w:val="00762C96"/>
    <w:rsid w:val="007634E4"/>
    <w:rsid w:val="00764C1A"/>
    <w:rsid w:val="0076525A"/>
    <w:rsid w:val="00766A2A"/>
    <w:rsid w:val="00767C2A"/>
    <w:rsid w:val="00772667"/>
    <w:rsid w:val="00772D17"/>
    <w:rsid w:val="00773644"/>
    <w:rsid w:val="00774901"/>
    <w:rsid w:val="00775978"/>
    <w:rsid w:val="007767E7"/>
    <w:rsid w:val="00776C80"/>
    <w:rsid w:val="00777158"/>
    <w:rsid w:val="0077757F"/>
    <w:rsid w:val="00777817"/>
    <w:rsid w:val="007804AA"/>
    <w:rsid w:val="0078050E"/>
    <w:rsid w:val="00780D37"/>
    <w:rsid w:val="007816FD"/>
    <w:rsid w:val="00781BD5"/>
    <w:rsid w:val="007851E3"/>
    <w:rsid w:val="007856D7"/>
    <w:rsid w:val="007875EF"/>
    <w:rsid w:val="00790CC4"/>
    <w:rsid w:val="007923AE"/>
    <w:rsid w:val="0079289B"/>
    <w:rsid w:val="00792C5B"/>
    <w:rsid w:val="00796368"/>
    <w:rsid w:val="00796473"/>
    <w:rsid w:val="00796C56"/>
    <w:rsid w:val="00797FD0"/>
    <w:rsid w:val="007A0385"/>
    <w:rsid w:val="007A0A6A"/>
    <w:rsid w:val="007A0B84"/>
    <w:rsid w:val="007A0D19"/>
    <w:rsid w:val="007A0E29"/>
    <w:rsid w:val="007A20CA"/>
    <w:rsid w:val="007A22F0"/>
    <w:rsid w:val="007A2C70"/>
    <w:rsid w:val="007A3F44"/>
    <w:rsid w:val="007A42D7"/>
    <w:rsid w:val="007A6B93"/>
    <w:rsid w:val="007A791D"/>
    <w:rsid w:val="007A7EBC"/>
    <w:rsid w:val="007B0358"/>
    <w:rsid w:val="007B091C"/>
    <w:rsid w:val="007B0E88"/>
    <w:rsid w:val="007B1519"/>
    <w:rsid w:val="007B17FD"/>
    <w:rsid w:val="007B288A"/>
    <w:rsid w:val="007B3DAA"/>
    <w:rsid w:val="007B418E"/>
    <w:rsid w:val="007B466C"/>
    <w:rsid w:val="007B5877"/>
    <w:rsid w:val="007B58D2"/>
    <w:rsid w:val="007B5F22"/>
    <w:rsid w:val="007B600B"/>
    <w:rsid w:val="007B63D4"/>
    <w:rsid w:val="007B6FB8"/>
    <w:rsid w:val="007B77C7"/>
    <w:rsid w:val="007B7954"/>
    <w:rsid w:val="007B7977"/>
    <w:rsid w:val="007C056A"/>
    <w:rsid w:val="007C0AC0"/>
    <w:rsid w:val="007C1A12"/>
    <w:rsid w:val="007C2320"/>
    <w:rsid w:val="007C37C6"/>
    <w:rsid w:val="007C3EAD"/>
    <w:rsid w:val="007C5B13"/>
    <w:rsid w:val="007C62A7"/>
    <w:rsid w:val="007C68B7"/>
    <w:rsid w:val="007C6C2E"/>
    <w:rsid w:val="007C786C"/>
    <w:rsid w:val="007C7FF3"/>
    <w:rsid w:val="007D0969"/>
    <w:rsid w:val="007D38D5"/>
    <w:rsid w:val="007D4688"/>
    <w:rsid w:val="007D78B5"/>
    <w:rsid w:val="007E0679"/>
    <w:rsid w:val="007E169F"/>
    <w:rsid w:val="007E235F"/>
    <w:rsid w:val="007E519A"/>
    <w:rsid w:val="007E5FD8"/>
    <w:rsid w:val="007E63CF"/>
    <w:rsid w:val="007E6752"/>
    <w:rsid w:val="007E6855"/>
    <w:rsid w:val="007E7403"/>
    <w:rsid w:val="007E77E2"/>
    <w:rsid w:val="007E7C49"/>
    <w:rsid w:val="007F15A2"/>
    <w:rsid w:val="007F1D25"/>
    <w:rsid w:val="007F22AE"/>
    <w:rsid w:val="007F2F91"/>
    <w:rsid w:val="007F30BC"/>
    <w:rsid w:val="007F3618"/>
    <w:rsid w:val="007F37D2"/>
    <w:rsid w:val="007F39B0"/>
    <w:rsid w:val="007F3B74"/>
    <w:rsid w:val="007F4309"/>
    <w:rsid w:val="007F5315"/>
    <w:rsid w:val="007F5E6D"/>
    <w:rsid w:val="007F5E91"/>
    <w:rsid w:val="007F744E"/>
    <w:rsid w:val="007F7ABC"/>
    <w:rsid w:val="00803399"/>
    <w:rsid w:val="008034FC"/>
    <w:rsid w:val="0080401A"/>
    <w:rsid w:val="00804066"/>
    <w:rsid w:val="00804189"/>
    <w:rsid w:val="00804BFD"/>
    <w:rsid w:val="0080551A"/>
    <w:rsid w:val="0080652B"/>
    <w:rsid w:val="008069CF"/>
    <w:rsid w:val="00806DE5"/>
    <w:rsid w:val="008072DF"/>
    <w:rsid w:val="008075EA"/>
    <w:rsid w:val="00807953"/>
    <w:rsid w:val="00810A48"/>
    <w:rsid w:val="00810EED"/>
    <w:rsid w:val="00810FCD"/>
    <w:rsid w:val="00811DBD"/>
    <w:rsid w:val="00812750"/>
    <w:rsid w:val="00812A4D"/>
    <w:rsid w:val="008131D6"/>
    <w:rsid w:val="0081343A"/>
    <w:rsid w:val="00813C95"/>
    <w:rsid w:val="00814C02"/>
    <w:rsid w:val="0081584F"/>
    <w:rsid w:val="00815A29"/>
    <w:rsid w:val="008163A4"/>
    <w:rsid w:val="008169C2"/>
    <w:rsid w:val="00816C12"/>
    <w:rsid w:val="008170AB"/>
    <w:rsid w:val="00817885"/>
    <w:rsid w:val="00817950"/>
    <w:rsid w:val="00817C31"/>
    <w:rsid w:val="00820499"/>
    <w:rsid w:val="00821965"/>
    <w:rsid w:val="00822B45"/>
    <w:rsid w:val="00823B6F"/>
    <w:rsid w:val="00823C24"/>
    <w:rsid w:val="008245F7"/>
    <w:rsid w:val="0082580F"/>
    <w:rsid w:val="0082650C"/>
    <w:rsid w:val="008267E5"/>
    <w:rsid w:val="008278B2"/>
    <w:rsid w:val="008278EA"/>
    <w:rsid w:val="00827C75"/>
    <w:rsid w:val="00827F36"/>
    <w:rsid w:val="00830D7D"/>
    <w:rsid w:val="00830F5E"/>
    <w:rsid w:val="0083265E"/>
    <w:rsid w:val="008330FC"/>
    <w:rsid w:val="00833547"/>
    <w:rsid w:val="00833788"/>
    <w:rsid w:val="00833974"/>
    <w:rsid w:val="008353C9"/>
    <w:rsid w:val="00836F35"/>
    <w:rsid w:val="008371DB"/>
    <w:rsid w:val="00840C26"/>
    <w:rsid w:val="00841E15"/>
    <w:rsid w:val="00842307"/>
    <w:rsid w:val="008425D5"/>
    <w:rsid w:val="00842E9D"/>
    <w:rsid w:val="0084352A"/>
    <w:rsid w:val="00843B89"/>
    <w:rsid w:val="00843D34"/>
    <w:rsid w:val="008441FB"/>
    <w:rsid w:val="00844BEC"/>
    <w:rsid w:val="0084541E"/>
    <w:rsid w:val="0084581F"/>
    <w:rsid w:val="00846FA2"/>
    <w:rsid w:val="00847CC1"/>
    <w:rsid w:val="0085028D"/>
    <w:rsid w:val="00850A11"/>
    <w:rsid w:val="00851B04"/>
    <w:rsid w:val="008524DD"/>
    <w:rsid w:val="00852596"/>
    <w:rsid w:val="00855496"/>
    <w:rsid w:val="00856332"/>
    <w:rsid w:val="00856BD6"/>
    <w:rsid w:val="008604B9"/>
    <w:rsid w:val="00862598"/>
    <w:rsid w:val="008626A8"/>
    <w:rsid w:val="00862A2E"/>
    <w:rsid w:val="00862CE1"/>
    <w:rsid w:val="008633FD"/>
    <w:rsid w:val="00863DE7"/>
    <w:rsid w:val="008640D9"/>
    <w:rsid w:val="008641DD"/>
    <w:rsid w:val="00864705"/>
    <w:rsid w:val="00864D68"/>
    <w:rsid w:val="00865871"/>
    <w:rsid w:val="00865A62"/>
    <w:rsid w:val="00870E32"/>
    <w:rsid w:val="00871021"/>
    <w:rsid w:val="00871AEF"/>
    <w:rsid w:val="00872287"/>
    <w:rsid w:val="008731CF"/>
    <w:rsid w:val="008733B5"/>
    <w:rsid w:val="008737F2"/>
    <w:rsid w:val="0087415E"/>
    <w:rsid w:val="00874504"/>
    <w:rsid w:val="00874682"/>
    <w:rsid w:val="008748FB"/>
    <w:rsid w:val="00874C1C"/>
    <w:rsid w:val="00874F7D"/>
    <w:rsid w:val="00876812"/>
    <w:rsid w:val="0087717E"/>
    <w:rsid w:val="008779BA"/>
    <w:rsid w:val="00877CC0"/>
    <w:rsid w:val="00877FA5"/>
    <w:rsid w:val="0088014C"/>
    <w:rsid w:val="008810FC"/>
    <w:rsid w:val="00882B91"/>
    <w:rsid w:val="0088329D"/>
    <w:rsid w:val="00883361"/>
    <w:rsid w:val="0088413B"/>
    <w:rsid w:val="0088431E"/>
    <w:rsid w:val="00884B4B"/>
    <w:rsid w:val="008853A4"/>
    <w:rsid w:val="0088736A"/>
    <w:rsid w:val="00887CFB"/>
    <w:rsid w:val="00890319"/>
    <w:rsid w:val="00890699"/>
    <w:rsid w:val="0089130C"/>
    <w:rsid w:val="008916AE"/>
    <w:rsid w:val="008916F4"/>
    <w:rsid w:val="00891B9B"/>
    <w:rsid w:val="00893054"/>
    <w:rsid w:val="008933F5"/>
    <w:rsid w:val="008938CC"/>
    <w:rsid w:val="00893955"/>
    <w:rsid w:val="00894403"/>
    <w:rsid w:val="00894476"/>
    <w:rsid w:val="0089496D"/>
    <w:rsid w:val="008955C7"/>
    <w:rsid w:val="00895F32"/>
    <w:rsid w:val="0089601D"/>
    <w:rsid w:val="00896074"/>
    <w:rsid w:val="0089678D"/>
    <w:rsid w:val="00896A42"/>
    <w:rsid w:val="008973EA"/>
    <w:rsid w:val="008A0C0F"/>
    <w:rsid w:val="008A1697"/>
    <w:rsid w:val="008A1C5F"/>
    <w:rsid w:val="008A1D2E"/>
    <w:rsid w:val="008A38AE"/>
    <w:rsid w:val="008A3EAC"/>
    <w:rsid w:val="008A42FB"/>
    <w:rsid w:val="008A48A4"/>
    <w:rsid w:val="008A48C6"/>
    <w:rsid w:val="008A4E74"/>
    <w:rsid w:val="008A51E8"/>
    <w:rsid w:val="008A70DF"/>
    <w:rsid w:val="008B0D09"/>
    <w:rsid w:val="008B16DF"/>
    <w:rsid w:val="008B19E3"/>
    <w:rsid w:val="008B24F3"/>
    <w:rsid w:val="008B26DB"/>
    <w:rsid w:val="008B286D"/>
    <w:rsid w:val="008B439F"/>
    <w:rsid w:val="008B4E34"/>
    <w:rsid w:val="008B4FF3"/>
    <w:rsid w:val="008B572C"/>
    <w:rsid w:val="008B5AB4"/>
    <w:rsid w:val="008B5E3F"/>
    <w:rsid w:val="008C1D00"/>
    <w:rsid w:val="008C2281"/>
    <w:rsid w:val="008C2690"/>
    <w:rsid w:val="008C319A"/>
    <w:rsid w:val="008C330A"/>
    <w:rsid w:val="008C45B3"/>
    <w:rsid w:val="008C47B5"/>
    <w:rsid w:val="008C49ED"/>
    <w:rsid w:val="008C4AF9"/>
    <w:rsid w:val="008C52D8"/>
    <w:rsid w:val="008C573F"/>
    <w:rsid w:val="008C5A72"/>
    <w:rsid w:val="008C5B21"/>
    <w:rsid w:val="008D0105"/>
    <w:rsid w:val="008D01A7"/>
    <w:rsid w:val="008D04AF"/>
    <w:rsid w:val="008D120F"/>
    <w:rsid w:val="008D1909"/>
    <w:rsid w:val="008D2906"/>
    <w:rsid w:val="008D33B6"/>
    <w:rsid w:val="008D36EB"/>
    <w:rsid w:val="008D3AE0"/>
    <w:rsid w:val="008D4424"/>
    <w:rsid w:val="008D5CF0"/>
    <w:rsid w:val="008D600E"/>
    <w:rsid w:val="008D650E"/>
    <w:rsid w:val="008D6BF7"/>
    <w:rsid w:val="008D74DD"/>
    <w:rsid w:val="008E068A"/>
    <w:rsid w:val="008E37C2"/>
    <w:rsid w:val="008E399C"/>
    <w:rsid w:val="008E3FFA"/>
    <w:rsid w:val="008E5667"/>
    <w:rsid w:val="008E56E4"/>
    <w:rsid w:val="008E609B"/>
    <w:rsid w:val="008E630B"/>
    <w:rsid w:val="008E6B05"/>
    <w:rsid w:val="008F0EE2"/>
    <w:rsid w:val="008F0F1F"/>
    <w:rsid w:val="008F1003"/>
    <w:rsid w:val="008F16C7"/>
    <w:rsid w:val="008F1B62"/>
    <w:rsid w:val="008F1F21"/>
    <w:rsid w:val="008F3920"/>
    <w:rsid w:val="008F4998"/>
    <w:rsid w:val="008F5566"/>
    <w:rsid w:val="008F5794"/>
    <w:rsid w:val="008F5955"/>
    <w:rsid w:val="00900455"/>
    <w:rsid w:val="00900B49"/>
    <w:rsid w:val="00900BBC"/>
    <w:rsid w:val="00901328"/>
    <w:rsid w:val="00901882"/>
    <w:rsid w:val="00902EE4"/>
    <w:rsid w:val="00903DE8"/>
    <w:rsid w:val="00904114"/>
    <w:rsid w:val="009041B6"/>
    <w:rsid w:val="00904785"/>
    <w:rsid w:val="009105FC"/>
    <w:rsid w:val="00910676"/>
    <w:rsid w:val="009106B0"/>
    <w:rsid w:val="00911CD7"/>
    <w:rsid w:val="00911D3D"/>
    <w:rsid w:val="009120C0"/>
    <w:rsid w:val="00912A83"/>
    <w:rsid w:val="00912F10"/>
    <w:rsid w:val="009133DD"/>
    <w:rsid w:val="00913B2E"/>
    <w:rsid w:val="00913F87"/>
    <w:rsid w:val="0091442C"/>
    <w:rsid w:val="00914603"/>
    <w:rsid w:val="00915783"/>
    <w:rsid w:val="00915787"/>
    <w:rsid w:val="009164B3"/>
    <w:rsid w:val="009168EC"/>
    <w:rsid w:val="009201B2"/>
    <w:rsid w:val="009201F3"/>
    <w:rsid w:val="00921864"/>
    <w:rsid w:val="009226CB"/>
    <w:rsid w:val="00922814"/>
    <w:rsid w:val="009232D8"/>
    <w:rsid w:val="00923A38"/>
    <w:rsid w:val="0092448C"/>
    <w:rsid w:val="00924C25"/>
    <w:rsid w:val="00925396"/>
    <w:rsid w:val="00926A5E"/>
    <w:rsid w:val="00926DBF"/>
    <w:rsid w:val="00927295"/>
    <w:rsid w:val="00927E17"/>
    <w:rsid w:val="00930639"/>
    <w:rsid w:val="00931484"/>
    <w:rsid w:val="0093306C"/>
    <w:rsid w:val="00933136"/>
    <w:rsid w:val="00934291"/>
    <w:rsid w:val="0093441C"/>
    <w:rsid w:val="009349E5"/>
    <w:rsid w:val="00935B08"/>
    <w:rsid w:val="00936062"/>
    <w:rsid w:val="0093618A"/>
    <w:rsid w:val="0094081E"/>
    <w:rsid w:val="00940A14"/>
    <w:rsid w:val="00940EBB"/>
    <w:rsid w:val="00941A60"/>
    <w:rsid w:val="00941F34"/>
    <w:rsid w:val="0094246A"/>
    <w:rsid w:val="0094266B"/>
    <w:rsid w:val="009444E3"/>
    <w:rsid w:val="009477A4"/>
    <w:rsid w:val="00947B29"/>
    <w:rsid w:val="00947D86"/>
    <w:rsid w:val="00947F57"/>
    <w:rsid w:val="009507E2"/>
    <w:rsid w:val="00952258"/>
    <w:rsid w:val="00952D1D"/>
    <w:rsid w:val="00954468"/>
    <w:rsid w:val="009545D6"/>
    <w:rsid w:val="00955359"/>
    <w:rsid w:val="00955E4E"/>
    <w:rsid w:val="00955F21"/>
    <w:rsid w:val="00956708"/>
    <w:rsid w:val="00956751"/>
    <w:rsid w:val="00956C45"/>
    <w:rsid w:val="0095710F"/>
    <w:rsid w:val="00957EC6"/>
    <w:rsid w:val="0096074E"/>
    <w:rsid w:val="00960A47"/>
    <w:rsid w:val="00960EA9"/>
    <w:rsid w:val="0096117A"/>
    <w:rsid w:val="009628D1"/>
    <w:rsid w:val="00962A27"/>
    <w:rsid w:val="00963856"/>
    <w:rsid w:val="00965136"/>
    <w:rsid w:val="00967087"/>
    <w:rsid w:val="00971551"/>
    <w:rsid w:val="0097188F"/>
    <w:rsid w:val="00972B2C"/>
    <w:rsid w:val="009741B3"/>
    <w:rsid w:val="00974BF0"/>
    <w:rsid w:val="00974F83"/>
    <w:rsid w:val="009755F6"/>
    <w:rsid w:val="00976296"/>
    <w:rsid w:val="00976CAC"/>
    <w:rsid w:val="00977F7B"/>
    <w:rsid w:val="00981198"/>
    <w:rsid w:val="00981B12"/>
    <w:rsid w:val="00981D47"/>
    <w:rsid w:val="009826E0"/>
    <w:rsid w:val="00982D88"/>
    <w:rsid w:val="00982EA2"/>
    <w:rsid w:val="00983FDE"/>
    <w:rsid w:val="0098427B"/>
    <w:rsid w:val="0098429E"/>
    <w:rsid w:val="009847CB"/>
    <w:rsid w:val="00985904"/>
    <w:rsid w:val="00985BB9"/>
    <w:rsid w:val="00987331"/>
    <w:rsid w:val="00987DBD"/>
    <w:rsid w:val="009907EA"/>
    <w:rsid w:val="009914FA"/>
    <w:rsid w:val="00992683"/>
    <w:rsid w:val="0099322C"/>
    <w:rsid w:val="00994472"/>
    <w:rsid w:val="009944CF"/>
    <w:rsid w:val="00994764"/>
    <w:rsid w:val="00994E7C"/>
    <w:rsid w:val="0099529C"/>
    <w:rsid w:val="0099543D"/>
    <w:rsid w:val="009960C4"/>
    <w:rsid w:val="0099736B"/>
    <w:rsid w:val="009976EA"/>
    <w:rsid w:val="0099773B"/>
    <w:rsid w:val="00997E97"/>
    <w:rsid w:val="009A114F"/>
    <w:rsid w:val="009A1480"/>
    <w:rsid w:val="009A18C3"/>
    <w:rsid w:val="009A19FE"/>
    <w:rsid w:val="009A2902"/>
    <w:rsid w:val="009A2BA9"/>
    <w:rsid w:val="009A32DB"/>
    <w:rsid w:val="009A5702"/>
    <w:rsid w:val="009A6033"/>
    <w:rsid w:val="009A6657"/>
    <w:rsid w:val="009A67F2"/>
    <w:rsid w:val="009A69B0"/>
    <w:rsid w:val="009A6BC2"/>
    <w:rsid w:val="009A76D6"/>
    <w:rsid w:val="009B22F9"/>
    <w:rsid w:val="009B27DF"/>
    <w:rsid w:val="009B31DF"/>
    <w:rsid w:val="009B3E84"/>
    <w:rsid w:val="009B4C0B"/>
    <w:rsid w:val="009B4E6C"/>
    <w:rsid w:val="009B6555"/>
    <w:rsid w:val="009B6C48"/>
    <w:rsid w:val="009C01C4"/>
    <w:rsid w:val="009C0BB3"/>
    <w:rsid w:val="009C13B1"/>
    <w:rsid w:val="009C307B"/>
    <w:rsid w:val="009C3356"/>
    <w:rsid w:val="009C4301"/>
    <w:rsid w:val="009C444D"/>
    <w:rsid w:val="009C4668"/>
    <w:rsid w:val="009C47D1"/>
    <w:rsid w:val="009C49F9"/>
    <w:rsid w:val="009C5253"/>
    <w:rsid w:val="009C56FB"/>
    <w:rsid w:val="009C68E3"/>
    <w:rsid w:val="009C79A3"/>
    <w:rsid w:val="009C7ECA"/>
    <w:rsid w:val="009D12F9"/>
    <w:rsid w:val="009D356C"/>
    <w:rsid w:val="009D3642"/>
    <w:rsid w:val="009D3DC8"/>
    <w:rsid w:val="009D4E1A"/>
    <w:rsid w:val="009D5CC8"/>
    <w:rsid w:val="009D69F4"/>
    <w:rsid w:val="009D743A"/>
    <w:rsid w:val="009D7948"/>
    <w:rsid w:val="009D7E37"/>
    <w:rsid w:val="009E1553"/>
    <w:rsid w:val="009E212E"/>
    <w:rsid w:val="009E29AA"/>
    <w:rsid w:val="009E2C46"/>
    <w:rsid w:val="009E3301"/>
    <w:rsid w:val="009E3343"/>
    <w:rsid w:val="009E343F"/>
    <w:rsid w:val="009E471E"/>
    <w:rsid w:val="009E4C38"/>
    <w:rsid w:val="009E54A2"/>
    <w:rsid w:val="009E55C3"/>
    <w:rsid w:val="009E5C8F"/>
    <w:rsid w:val="009E6497"/>
    <w:rsid w:val="009E7655"/>
    <w:rsid w:val="009E778F"/>
    <w:rsid w:val="009E782A"/>
    <w:rsid w:val="009E7AD7"/>
    <w:rsid w:val="009E7F42"/>
    <w:rsid w:val="009F0768"/>
    <w:rsid w:val="009F096D"/>
    <w:rsid w:val="009F2F48"/>
    <w:rsid w:val="009F326B"/>
    <w:rsid w:val="009F3432"/>
    <w:rsid w:val="009F4E54"/>
    <w:rsid w:val="009F5C89"/>
    <w:rsid w:val="009F5E48"/>
    <w:rsid w:val="009F610F"/>
    <w:rsid w:val="009F70BC"/>
    <w:rsid w:val="009F7F6D"/>
    <w:rsid w:val="00A00519"/>
    <w:rsid w:val="00A00B88"/>
    <w:rsid w:val="00A02A9F"/>
    <w:rsid w:val="00A03551"/>
    <w:rsid w:val="00A03793"/>
    <w:rsid w:val="00A039C4"/>
    <w:rsid w:val="00A04295"/>
    <w:rsid w:val="00A04DA5"/>
    <w:rsid w:val="00A051AD"/>
    <w:rsid w:val="00A05B61"/>
    <w:rsid w:val="00A06B1A"/>
    <w:rsid w:val="00A06C02"/>
    <w:rsid w:val="00A0780C"/>
    <w:rsid w:val="00A1087C"/>
    <w:rsid w:val="00A10B51"/>
    <w:rsid w:val="00A11742"/>
    <w:rsid w:val="00A11861"/>
    <w:rsid w:val="00A1201A"/>
    <w:rsid w:val="00A125E4"/>
    <w:rsid w:val="00A12CE3"/>
    <w:rsid w:val="00A1427E"/>
    <w:rsid w:val="00A1495A"/>
    <w:rsid w:val="00A15672"/>
    <w:rsid w:val="00A16339"/>
    <w:rsid w:val="00A16B9A"/>
    <w:rsid w:val="00A16CA6"/>
    <w:rsid w:val="00A170A1"/>
    <w:rsid w:val="00A17B8B"/>
    <w:rsid w:val="00A220B8"/>
    <w:rsid w:val="00A22645"/>
    <w:rsid w:val="00A23129"/>
    <w:rsid w:val="00A231A2"/>
    <w:rsid w:val="00A23570"/>
    <w:rsid w:val="00A24023"/>
    <w:rsid w:val="00A240C6"/>
    <w:rsid w:val="00A24F41"/>
    <w:rsid w:val="00A25145"/>
    <w:rsid w:val="00A25323"/>
    <w:rsid w:val="00A25805"/>
    <w:rsid w:val="00A25F88"/>
    <w:rsid w:val="00A26795"/>
    <w:rsid w:val="00A2683A"/>
    <w:rsid w:val="00A27554"/>
    <w:rsid w:val="00A3023B"/>
    <w:rsid w:val="00A30424"/>
    <w:rsid w:val="00A30F3E"/>
    <w:rsid w:val="00A317B4"/>
    <w:rsid w:val="00A31F19"/>
    <w:rsid w:val="00A32080"/>
    <w:rsid w:val="00A322A8"/>
    <w:rsid w:val="00A3367E"/>
    <w:rsid w:val="00A34E76"/>
    <w:rsid w:val="00A35228"/>
    <w:rsid w:val="00A354D8"/>
    <w:rsid w:val="00A3561F"/>
    <w:rsid w:val="00A37562"/>
    <w:rsid w:val="00A3783D"/>
    <w:rsid w:val="00A37EAB"/>
    <w:rsid w:val="00A40733"/>
    <w:rsid w:val="00A40771"/>
    <w:rsid w:val="00A40B7B"/>
    <w:rsid w:val="00A414A3"/>
    <w:rsid w:val="00A420C1"/>
    <w:rsid w:val="00A42360"/>
    <w:rsid w:val="00A4264C"/>
    <w:rsid w:val="00A43F51"/>
    <w:rsid w:val="00A45037"/>
    <w:rsid w:val="00A45982"/>
    <w:rsid w:val="00A460C9"/>
    <w:rsid w:val="00A4680B"/>
    <w:rsid w:val="00A468F5"/>
    <w:rsid w:val="00A46B65"/>
    <w:rsid w:val="00A470A6"/>
    <w:rsid w:val="00A47105"/>
    <w:rsid w:val="00A47263"/>
    <w:rsid w:val="00A50AF4"/>
    <w:rsid w:val="00A50E93"/>
    <w:rsid w:val="00A5196C"/>
    <w:rsid w:val="00A52615"/>
    <w:rsid w:val="00A52CC2"/>
    <w:rsid w:val="00A53E72"/>
    <w:rsid w:val="00A53EA2"/>
    <w:rsid w:val="00A5580C"/>
    <w:rsid w:val="00A55EF2"/>
    <w:rsid w:val="00A563C1"/>
    <w:rsid w:val="00A576DC"/>
    <w:rsid w:val="00A60C84"/>
    <w:rsid w:val="00A61521"/>
    <w:rsid w:val="00A61F88"/>
    <w:rsid w:val="00A625F2"/>
    <w:rsid w:val="00A62A80"/>
    <w:rsid w:val="00A639B1"/>
    <w:rsid w:val="00A63B31"/>
    <w:rsid w:val="00A63EBD"/>
    <w:rsid w:val="00A649FD"/>
    <w:rsid w:val="00A66524"/>
    <w:rsid w:val="00A66841"/>
    <w:rsid w:val="00A67428"/>
    <w:rsid w:val="00A6764C"/>
    <w:rsid w:val="00A677EA"/>
    <w:rsid w:val="00A6789D"/>
    <w:rsid w:val="00A70ED0"/>
    <w:rsid w:val="00A7200C"/>
    <w:rsid w:val="00A721B7"/>
    <w:rsid w:val="00A724AB"/>
    <w:rsid w:val="00A739F5"/>
    <w:rsid w:val="00A73D51"/>
    <w:rsid w:val="00A74185"/>
    <w:rsid w:val="00A74CAF"/>
    <w:rsid w:val="00A74DF2"/>
    <w:rsid w:val="00A76A1A"/>
    <w:rsid w:val="00A77161"/>
    <w:rsid w:val="00A77518"/>
    <w:rsid w:val="00A778F3"/>
    <w:rsid w:val="00A80394"/>
    <w:rsid w:val="00A80E33"/>
    <w:rsid w:val="00A8147E"/>
    <w:rsid w:val="00A81618"/>
    <w:rsid w:val="00A816AF"/>
    <w:rsid w:val="00A81B2B"/>
    <w:rsid w:val="00A82BDC"/>
    <w:rsid w:val="00A83496"/>
    <w:rsid w:val="00A8396E"/>
    <w:rsid w:val="00A83ED7"/>
    <w:rsid w:val="00A8415D"/>
    <w:rsid w:val="00A84ACC"/>
    <w:rsid w:val="00A8521B"/>
    <w:rsid w:val="00A85C70"/>
    <w:rsid w:val="00A86413"/>
    <w:rsid w:val="00A86D4B"/>
    <w:rsid w:val="00A908A1"/>
    <w:rsid w:val="00A90944"/>
    <w:rsid w:val="00A90DCC"/>
    <w:rsid w:val="00A90F30"/>
    <w:rsid w:val="00A9179F"/>
    <w:rsid w:val="00A917A8"/>
    <w:rsid w:val="00A91940"/>
    <w:rsid w:val="00A91C16"/>
    <w:rsid w:val="00A92B36"/>
    <w:rsid w:val="00A93085"/>
    <w:rsid w:val="00A934C7"/>
    <w:rsid w:val="00A95122"/>
    <w:rsid w:val="00A9550E"/>
    <w:rsid w:val="00A95D8F"/>
    <w:rsid w:val="00AA009F"/>
    <w:rsid w:val="00AA02D6"/>
    <w:rsid w:val="00AA054A"/>
    <w:rsid w:val="00AA0E01"/>
    <w:rsid w:val="00AA120E"/>
    <w:rsid w:val="00AA1E76"/>
    <w:rsid w:val="00AA1EB6"/>
    <w:rsid w:val="00AA22B0"/>
    <w:rsid w:val="00AA23E3"/>
    <w:rsid w:val="00AA37D9"/>
    <w:rsid w:val="00AA5971"/>
    <w:rsid w:val="00AA5AEB"/>
    <w:rsid w:val="00AA5DDA"/>
    <w:rsid w:val="00AA7095"/>
    <w:rsid w:val="00AA7528"/>
    <w:rsid w:val="00AA7914"/>
    <w:rsid w:val="00AB0316"/>
    <w:rsid w:val="00AB095D"/>
    <w:rsid w:val="00AB22D9"/>
    <w:rsid w:val="00AB27AA"/>
    <w:rsid w:val="00AB31DE"/>
    <w:rsid w:val="00AB3347"/>
    <w:rsid w:val="00AB3B25"/>
    <w:rsid w:val="00AB3E1F"/>
    <w:rsid w:val="00AB471F"/>
    <w:rsid w:val="00AB5308"/>
    <w:rsid w:val="00AB57D8"/>
    <w:rsid w:val="00AB5B39"/>
    <w:rsid w:val="00AB5B7F"/>
    <w:rsid w:val="00AB5C19"/>
    <w:rsid w:val="00AB5C4C"/>
    <w:rsid w:val="00AB6E24"/>
    <w:rsid w:val="00AB7B77"/>
    <w:rsid w:val="00AC0134"/>
    <w:rsid w:val="00AC02F0"/>
    <w:rsid w:val="00AC1150"/>
    <w:rsid w:val="00AC1A98"/>
    <w:rsid w:val="00AC1CF1"/>
    <w:rsid w:val="00AC29CE"/>
    <w:rsid w:val="00AC3372"/>
    <w:rsid w:val="00AC3FFC"/>
    <w:rsid w:val="00AC4844"/>
    <w:rsid w:val="00AC493E"/>
    <w:rsid w:val="00AC5F64"/>
    <w:rsid w:val="00AC6927"/>
    <w:rsid w:val="00AC7BEF"/>
    <w:rsid w:val="00AD03DE"/>
    <w:rsid w:val="00AD0F63"/>
    <w:rsid w:val="00AD1D0D"/>
    <w:rsid w:val="00AD43BA"/>
    <w:rsid w:val="00AD45EF"/>
    <w:rsid w:val="00AD47D3"/>
    <w:rsid w:val="00AD5104"/>
    <w:rsid w:val="00AD58E9"/>
    <w:rsid w:val="00AD5C4A"/>
    <w:rsid w:val="00AD6A36"/>
    <w:rsid w:val="00AD6BA9"/>
    <w:rsid w:val="00AD6D2E"/>
    <w:rsid w:val="00AD6FDE"/>
    <w:rsid w:val="00AE00FC"/>
    <w:rsid w:val="00AE06A3"/>
    <w:rsid w:val="00AE0E3C"/>
    <w:rsid w:val="00AE0EC7"/>
    <w:rsid w:val="00AE1266"/>
    <w:rsid w:val="00AE14F1"/>
    <w:rsid w:val="00AE1CEC"/>
    <w:rsid w:val="00AE1E78"/>
    <w:rsid w:val="00AE2772"/>
    <w:rsid w:val="00AE2AAC"/>
    <w:rsid w:val="00AE2B2F"/>
    <w:rsid w:val="00AE2B4D"/>
    <w:rsid w:val="00AE2D9F"/>
    <w:rsid w:val="00AE4D6E"/>
    <w:rsid w:val="00AE54FD"/>
    <w:rsid w:val="00AE5A99"/>
    <w:rsid w:val="00AE66B5"/>
    <w:rsid w:val="00AF0412"/>
    <w:rsid w:val="00AF04C7"/>
    <w:rsid w:val="00AF0EAB"/>
    <w:rsid w:val="00AF1803"/>
    <w:rsid w:val="00AF1FFB"/>
    <w:rsid w:val="00AF2DC8"/>
    <w:rsid w:val="00AF30EF"/>
    <w:rsid w:val="00AF314C"/>
    <w:rsid w:val="00AF33A6"/>
    <w:rsid w:val="00AF3DC8"/>
    <w:rsid w:val="00AF489E"/>
    <w:rsid w:val="00AF4DBB"/>
    <w:rsid w:val="00AF54ED"/>
    <w:rsid w:val="00AF65A1"/>
    <w:rsid w:val="00AF77F0"/>
    <w:rsid w:val="00B00CB4"/>
    <w:rsid w:val="00B00EC0"/>
    <w:rsid w:val="00B01BE0"/>
    <w:rsid w:val="00B022ED"/>
    <w:rsid w:val="00B02512"/>
    <w:rsid w:val="00B029A2"/>
    <w:rsid w:val="00B02E77"/>
    <w:rsid w:val="00B02FF0"/>
    <w:rsid w:val="00B0351D"/>
    <w:rsid w:val="00B036DA"/>
    <w:rsid w:val="00B03ADD"/>
    <w:rsid w:val="00B04B64"/>
    <w:rsid w:val="00B05525"/>
    <w:rsid w:val="00B05E44"/>
    <w:rsid w:val="00B05E50"/>
    <w:rsid w:val="00B06358"/>
    <w:rsid w:val="00B068F2"/>
    <w:rsid w:val="00B06B14"/>
    <w:rsid w:val="00B06D32"/>
    <w:rsid w:val="00B06EE4"/>
    <w:rsid w:val="00B07B1C"/>
    <w:rsid w:val="00B07BE0"/>
    <w:rsid w:val="00B10C2C"/>
    <w:rsid w:val="00B10D50"/>
    <w:rsid w:val="00B127A4"/>
    <w:rsid w:val="00B133F2"/>
    <w:rsid w:val="00B13C56"/>
    <w:rsid w:val="00B13D66"/>
    <w:rsid w:val="00B13D8C"/>
    <w:rsid w:val="00B1480A"/>
    <w:rsid w:val="00B14CE7"/>
    <w:rsid w:val="00B154E2"/>
    <w:rsid w:val="00B15710"/>
    <w:rsid w:val="00B16CAA"/>
    <w:rsid w:val="00B16E25"/>
    <w:rsid w:val="00B1771C"/>
    <w:rsid w:val="00B17DD8"/>
    <w:rsid w:val="00B17ECD"/>
    <w:rsid w:val="00B2130F"/>
    <w:rsid w:val="00B219A6"/>
    <w:rsid w:val="00B221C6"/>
    <w:rsid w:val="00B2275A"/>
    <w:rsid w:val="00B242A2"/>
    <w:rsid w:val="00B247AF"/>
    <w:rsid w:val="00B25216"/>
    <w:rsid w:val="00B254BE"/>
    <w:rsid w:val="00B264F0"/>
    <w:rsid w:val="00B26AF6"/>
    <w:rsid w:val="00B275CD"/>
    <w:rsid w:val="00B2760A"/>
    <w:rsid w:val="00B27982"/>
    <w:rsid w:val="00B3272F"/>
    <w:rsid w:val="00B3289E"/>
    <w:rsid w:val="00B32E46"/>
    <w:rsid w:val="00B32E52"/>
    <w:rsid w:val="00B331FD"/>
    <w:rsid w:val="00B332B4"/>
    <w:rsid w:val="00B36ABC"/>
    <w:rsid w:val="00B40378"/>
    <w:rsid w:val="00B40C01"/>
    <w:rsid w:val="00B40C43"/>
    <w:rsid w:val="00B41D8E"/>
    <w:rsid w:val="00B41DE3"/>
    <w:rsid w:val="00B432DF"/>
    <w:rsid w:val="00B434ED"/>
    <w:rsid w:val="00B4364D"/>
    <w:rsid w:val="00B448EE"/>
    <w:rsid w:val="00B45410"/>
    <w:rsid w:val="00B458C1"/>
    <w:rsid w:val="00B46AAB"/>
    <w:rsid w:val="00B50E95"/>
    <w:rsid w:val="00B510ED"/>
    <w:rsid w:val="00B519F0"/>
    <w:rsid w:val="00B51ACC"/>
    <w:rsid w:val="00B523F8"/>
    <w:rsid w:val="00B525F1"/>
    <w:rsid w:val="00B53046"/>
    <w:rsid w:val="00B535EC"/>
    <w:rsid w:val="00B5466B"/>
    <w:rsid w:val="00B54A51"/>
    <w:rsid w:val="00B54BC9"/>
    <w:rsid w:val="00B54FFA"/>
    <w:rsid w:val="00B57071"/>
    <w:rsid w:val="00B57EE5"/>
    <w:rsid w:val="00B605D2"/>
    <w:rsid w:val="00B61608"/>
    <w:rsid w:val="00B6291C"/>
    <w:rsid w:val="00B62EAB"/>
    <w:rsid w:val="00B63EC0"/>
    <w:rsid w:val="00B640B0"/>
    <w:rsid w:val="00B64640"/>
    <w:rsid w:val="00B64861"/>
    <w:rsid w:val="00B65E6E"/>
    <w:rsid w:val="00B66677"/>
    <w:rsid w:val="00B66943"/>
    <w:rsid w:val="00B67342"/>
    <w:rsid w:val="00B67513"/>
    <w:rsid w:val="00B725EA"/>
    <w:rsid w:val="00B7275C"/>
    <w:rsid w:val="00B72A1F"/>
    <w:rsid w:val="00B73373"/>
    <w:rsid w:val="00B73963"/>
    <w:rsid w:val="00B73D7F"/>
    <w:rsid w:val="00B75704"/>
    <w:rsid w:val="00B75730"/>
    <w:rsid w:val="00B75A48"/>
    <w:rsid w:val="00B767CD"/>
    <w:rsid w:val="00B7706B"/>
    <w:rsid w:val="00B80DBD"/>
    <w:rsid w:val="00B810BE"/>
    <w:rsid w:val="00B81666"/>
    <w:rsid w:val="00B819A2"/>
    <w:rsid w:val="00B82175"/>
    <w:rsid w:val="00B821FF"/>
    <w:rsid w:val="00B82650"/>
    <w:rsid w:val="00B82FD9"/>
    <w:rsid w:val="00B83659"/>
    <w:rsid w:val="00B84453"/>
    <w:rsid w:val="00B8517D"/>
    <w:rsid w:val="00B85F3E"/>
    <w:rsid w:val="00B863F5"/>
    <w:rsid w:val="00B864FC"/>
    <w:rsid w:val="00B869DB"/>
    <w:rsid w:val="00B87621"/>
    <w:rsid w:val="00B90375"/>
    <w:rsid w:val="00B90DDB"/>
    <w:rsid w:val="00B916D7"/>
    <w:rsid w:val="00B91900"/>
    <w:rsid w:val="00B9220A"/>
    <w:rsid w:val="00B9236B"/>
    <w:rsid w:val="00B92B33"/>
    <w:rsid w:val="00B92FD0"/>
    <w:rsid w:val="00B93FE9"/>
    <w:rsid w:val="00B9469C"/>
    <w:rsid w:val="00B948F8"/>
    <w:rsid w:val="00B95C2C"/>
    <w:rsid w:val="00B95FA3"/>
    <w:rsid w:val="00B96854"/>
    <w:rsid w:val="00B96C8E"/>
    <w:rsid w:val="00B97413"/>
    <w:rsid w:val="00BA0829"/>
    <w:rsid w:val="00BA1C1F"/>
    <w:rsid w:val="00BA1F7E"/>
    <w:rsid w:val="00BA369E"/>
    <w:rsid w:val="00BA3E56"/>
    <w:rsid w:val="00BA4350"/>
    <w:rsid w:val="00BA4AE1"/>
    <w:rsid w:val="00BA5AA7"/>
    <w:rsid w:val="00BA6275"/>
    <w:rsid w:val="00BA6CE5"/>
    <w:rsid w:val="00BA7ABB"/>
    <w:rsid w:val="00BA7C0E"/>
    <w:rsid w:val="00BB072C"/>
    <w:rsid w:val="00BB2D83"/>
    <w:rsid w:val="00BB3471"/>
    <w:rsid w:val="00BB5390"/>
    <w:rsid w:val="00BB66C8"/>
    <w:rsid w:val="00BB739F"/>
    <w:rsid w:val="00BB78C7"/>
    <w:rsid w:val="00BB78CC"/>
    <w:rsid w:val="00BC0733"/>
    <w:rsid w:val="00BC0753"/>
    <w:rsid w:val="00BC101F"/>
    <w:rsid w:val="00BC16E8"/>
    <w:rsid w:val="00BC1EAE"/>
    <w:rsid w:val="00BC2616"/>
    <w:rsid w:val="00BC2D05"/>
    <w:rsid w:val="00BC3A7C"/>
    <w:rsid w:val="00BC4868"/>
    <w:rsid w:val="00BC4E10"/>
    <w:rsid w:val="00BC546B"/>
    <w:rsid w:val="00BC5492"/>
    <w:rsid w:val="00BC5A95"/>
    <w:rsid w:val="00BC6A16"/>
    <w:rsid w:val="00BC6AAE"/>
    <w:rsid w:val="00BC7CD3"/>
    <w:rsid w:val="00BD0412"/>
    <w:rsid w:val="00BD0722"/>
    <w:rsid w:val="00BD0813"/>
    <w:rsid w:val="00BD0833"/>
    <w:rsid w:val="00BD2868"/>
    <w:rsid w:val="00BD2A12"/>
    <w:rsid w:val="00BD4143"/>
    <w:rsid w:val="00BD42FA"/>
    <w:rsid w:val="00BD4FDF"/>
    <w:rsid w:val="00BD5AF1"/>
    <w:rsid w:val="00BD5CEB"/>
    <w:rsid w:val="00BD6523"/>
    <w:rsid w:val="00BD71C1"/>
    <w:rsid w:val="00BD7534"/>
    <w:rsid w:val="00BD7A67"/>
    <w:rsid w:val="00BE0CBF"/>
    <w:rsid w:val="00BE18AB"/>
    <w:rsid w:val="00BE272C"/>
    <w:rsid w:val="00BE3258"/>
    <w:rsid w:val="00BE39F4"/>
    <w:rsid w:val="00BE3E6D"/>
    <w:rsid w:val="00BE5348"/>
    <w:rsid w:val="00BE5B4F"/>
    <w:rsid w:val="00BE5FA6"/>
    <w:rsid w:val="00BE640E"/>
    <w:rsid w:val="00BE7413"/>
    <w:rsid w:val="00BE7999"/>
    <w:rsid w:val="00BE7C7F"/>
    <w:rsid w:val="00BF02D2"/>
    <w:rsid w:val="00BF04B6"/>
    <w:rsid w:val="00BF0C54"/>
    <w:rsid w:val="00BF21FC"/>
    <w:rsid w:val="00BF2368"/>
    <w:rsid w:val="00BF2BA2"/>
    <w:rsid w:val="00BF31BF"/>
    <w:rsid w:val="00BF337E"/>
    <w:rsid w:val="00BF33A3"/>
    <w:rsid w:val="00BF3B67"/>
    <w:rsid w:val="00BF46F2"/>
    <w:rsid w:val="00BF499B"/>
    <w:rsid w:val="00BF5DA9"/>
    <w:rsid w:val="00BF678F"/>
    <w:rsid w:val="00BF7BB5"/>
    <w:rsid w:val="00C00B3A"/>
    <w:rsid w:val="00C0233C"/>
    <w:rsid w:val="00C0267B"/>
    <w:rsid w:val="00C02984"/>
    <w:rsid w:val="00C02BBB"/>
    <w:rsid w:val="00C02F76"/>
    <w:rsid w:val="00C04AC8"/>
    <w:rsid w:val="00C05025"/>
    <w:rsid w:val="00C06EB2"/>
    <w:rsid w:val="00C1018E"/>
    <w:rsid w:val="00C115AB"/>
    <w:rsid w:val="00C12524"/>
    <w:rsid w:val="00C13230"/>
    <w:rsid w:val="00C132EE"/>
    <w:rsid w:val="00C13F27"/>
    <w:rsid w:val="00C14603"/>
    <w:rsid w:val="00C152ED"/>
    <w:rsid w:val="00C15303"/>
    <w:rsid w:val="00C15B06"/>
    <w:rsid w:val="00C16B72"/>
    <w:rsid w:val="00C16F28"/>
    <w:rsid w:val="00C2040F"/>
    <w:rsid w:val="00C2101D"/>
    <w:rsid w:val="00C211D0"/>
    <w:rsid w:val="00C214AA"/>
    <w:rsid w:val="00C217F4"/>
    <w:rsid w:val="00C21BFB"/>
    <w:rsid w:val="00C22B1B"/>
    <w:rsid w:val="00C22CBE"/>
    <w:rsid w:val="00C22D2F"/>
    <w:rsid w:val="00C23FC7"/>
    <w:rsid w:val="00C241D9"/>
    <w:rsid w:val="00C2440C"/>
    <w:rsid w:val="00C246C4"/>
    <w:rsid w:val="00C24C7E"/>
    <w:rsid w:val="00C2628A"/>
    <w:rsid w:val="00C2634B"/>
    <w:rsid w:val="00C30F1A"/>
    <w:rsid w:val="00C32031"/>
    <w:rsid w:val="00C3304C"/>
    <w:rsid w:val="00C33416"/>
    <w:rsid w:val="00C3402D"/>
    <w:rsid w:val="00C348E4"/>
    <w:rsid w:val="00C34F68"/>
    <w:rsid w:val="00C35605"/>
    <w:rsid w:val="00C3567E"/>
    <w:rsid w:val="00C35B4F"/>
    <w:rsid w:val="00C35CE7"/>
    <w:rsid w:val="00C3649F"/>
    <w:rsid w:val="00C36591"/>
    <w:rsid w:val="00C36F63"/>
    <w:rsid w:val="00C377EE"/>
    <w:rsid w:val="00C37A09"/>
    <w:rsid w:val="00C4089E"/>
    <w:rsid w:val="00C40D00"/>
    <w:rsid w:val="00C41597"/>
    <w:rsid w:val="00C41FF0"/>
    <w:rsid w:val="00C4202C"/>
    <w:rsid w:val="00C42BCE"/>
    <w:rsid w:val="00C42EC3"/>
    <w:rsid w:val="00C43069"/>
    <w:rsid w:val="00C43330"/>
    <w:rsid w:val="00C4340C"/>
    <w:rsid w:val="00C443E5"/>
    <w:rsid w:val="00C444E1"/>
    <w:rsid w:val="00C445CB"/>
    <w:rsid w:val="00C449BE"/>
    <w:rsid w:val="00C45596"/>
    <w:rsid w:val="00C4678C"/>
    <w:rsid w:val="00C4712B"/>
    <w:rsid w:val="00C4746C"/>
    <w:rsid w:val="00C51E5C"/>
    <w:rsid w:val="00C52383"/>
    <w:rsid w:val="00C5248B"/>
    <w:rsid w:val="00C526FB"/>
    <w:rsid w:val="00C52B63"/>
    <w:rsid w:val="00C52F3B"/>
    <w:rsid w:val="00C52F3C"/>
    <w:rsid w:val="00C538CB"/>
    <w:rsid w:val="00C53C00"/>
    <w:rsid w:val="00C542AA"/>
    <w:rsid w:val="00C5541C"/>
    <w:rsid w:val="00C56291"/>
    <w:rsid w:val="00C5663A"/>
    <w:rsid w:val="00C56BCE"/>
    <w:rsid w:val="00C603DE"/>
    <w:rsid w:val="00C60597"/>
    <w:rsid w:val="00C60CCE"/>
    <w:rsid w:val="00C6101F"/>
    <w:rsid w:val="00C61478"/>
    <w:rsid w:val="00C62811"/>
    <w:rsid w:val="00C63CFB"/>
    <w:rsid w:val="00C648D2"/>
    <w:rsid w:val="00C64BF7"/>
    <w:rsid w:val="00C64CF0"/>
    <w:rsid w:val="00C64D15"/>
    <w:rsid w:val="00C662AE"/>
    <w:rsid w:val="00C67CA0"/>
    <w:rsid w:val="00C72835"/>
    <w:rsid w:val="00C73A36"/>
    <w:rsid w:val="00C744B7"/>
    <w:rsid w:val="00C74CE3"/>
    <w:rsid w:val="00C75E21"/>
    <w:rsid w:val="00C76FE7"/>
    <w:rsid w:val="00C77D87"/>
    <w:rsid w:val="00C77E67"/>
    <w:rsid w:val="00C80A2B"/>
    <w:rsid w:val="00C80AB1"/>
    <w:rsid w:val="00C8156D"/>
    <w:rsid w:val="00C81F4C"/>
    <w:rsid w:val="00C823B5"/>
    <w:rsid w:val="00C82F7E"/>
    <w:rsid w:val="00C83077"/>
    <w:rsid w:val="00C84790"/>
    <w:rsid w:val="00C85610"/>
    <w:rsid w:val="00C85761"/>
    <w:rsid w:val="00C85B86"/>
    <w:rsid w:val="00C85D38"/>
    <w:rsid w:val="00C86237"/>
    <w:rsid w:val="00C86E88"/>
    <w:rsid w:val="00C87B4D"/>
    <w:rsid w:val="00C9086B"/>
    <w:rsid w:val="00C90E75"/>
    <w:rsid w:val="00C9159B"/>
    <w:rsid w:val="00C9166A"/>
    <w:rsid w:val="00C92C5F"/>
    <w:rsid w:val="00C93E6D"/>
    <w:rsid w:val="00C95E8A"/>
    <w:rsid w:val="00C95EE5"/>
    <w:rsid w:val="00C968AC"/>
    <w:rsid w:val="00C9709A"/>
    <w:rsid w:val="00C9733C"/>
    <w:rsid w:val="00C97398"/>
    <w:rsid w:val="00C97BB6"/>
    <w:rsid w:val="00C97C91"/>
    <w:rsid w:val="00CA0004"/>
    <w:rsid w:val="00CA1234"/>
    <w:rsid w:val="00CA19D4"/>
    <w:rsid w:val="00CA1CF6"/>
    <w:rsid w:val="00CA1D07"/>
    <w:rsid w:val="00CA23F0"/>
    <w:rsid w:val="00CA2899"/>
    <w:rsid w:val="00CA4F82"/>
    <w:rsid w:val="00CA58B8"/>
    <w:rsid w:val="00CA5F8A"/>
    <w:rsid w:val="00CA61FA"/>
    <w:rsid w:val="00CA6370"/>
    <w:rsid w:val="00CA663E"/>
    <w:rsid w:val="00CA7331"/>
    <w:rsid w:val="00CA7839"/>
    <w:rsid w:val="00CA793D"/>
    <w:rsid w:val="00CA7FED"/>
    <w:rsid w:val="00CB089B"/>
    <w:rsid w:val="00CB1C3D"/>
    <w:rsid w:val="00CB1C78"/>
    <w:rsid w:val="00CB20A2"/>
    <w:rsid w:val="00CB25C4"/>
    <w:rsid w:val="00CB3600"/>
    <w:rsid w:val="00CB39BA"/>
    <w:rsid w:val="00CB410C"/>
    <w:rsid w:val="00CB42C3"/>
    <w:rsid w:val="00CB4809"/>
    <w:rsid w:val="00CB4E8D"/>
    <w:rsid w:val="00CB5650"/>
    <w:rsid w:val="00CB5EAF"/>
    <w:rsid w:val="00CB6494"/>
    <w:rsid w:val="00CB661F"/>
    <w:rsid w:val="00CB6789"/>
    <w:rsid w:val="00CB6E5E"/>
    <w:rsid w:val="00CB756C"/>
    <w:rsid w:val="00CB7FE8"/>
    <w:rsid w:val="00CB7FE9"/>
    <w:rsid w:val="00CC04C8"/>
    <w:rsid w:val="00CC0D2C"/>
    <w:rsid w:val="00CC0DA2"/>
    <w:rsid w:val="00CC1513"/>
    <w:rsid w:val="00CC1B60"/>
    <w:rsid w:val="00CC1C1A"/>
    <w:rsid w:val="00CC21F9"/>
    <w:rsid w:val="00CC22D8"/>
    <w:rsid w:val="00CC30B8"/>
    <w:rsid w:val="00CC35E9"/>
    <w:rsid w:val="00CC3986"/>
    <w:rsid w:val="00CC3B01"/>
    <w:rsid w:val="00CC46CC"/>
    <w:rsid w:val="00CC568E"/>
    <w:rsid w:val="00CC5932"/>
    <w:rsid w:val="00CC70B9"/>
    <w:rsid w:val="00CC788F"/>
    <w:rsid w:val="00CC7D89"/>
    <w:rsid w:val="00CC7ED1"/>
    <w:rsid w:val="00CD0367"/>
    <w:rsid w:val="00CD096E"/>
    <w:rsid w:val="00CD1142"/>
    <w:rsid w:val="00CD2379"/>
    <w:rsid w:val="00CD3A2B"/>
    <w:rsid w:val="00CD477E"/>
    <w:rsid w:val="00CD4B56"/>
    <w:rsid w:val="00CD4C47"/>
    <w:rsid w:val="00CD5307"/>
    <w:rsid w:val="00CD6397"/>
    <w:rsid w:val="00CD71C7"/>
    <w:rsid w:val="00CD7902"/>
    <w:rsid w:val="00CE067A"/>
    <w:rsid w:val="00CE1A54"/>
    <w:rsid w:val="00CE2B20"/>
    <w:rsid w:val="00CE33FF"/>
    <w:rsid w:val="00CE37AF"/>
    <w:rsid w:val="00CE5E4A"/>
    <w:rsid w:val="00CF0F31"/>
    <w:rsid w:val="00CF20E2"/>
    <w:rsid w:val="00CF2A8A"/>
    <w:rsid w:val="00CF2CB6"/>
    <w:rsid w:val="00CF2CEF"/>
    <w:rsid w:val="00CF3660"/>
    <w:rsid w:val="00CF42BC"/>
    <w:rsid w:val="00CF5FC4"/>
    <w:rsid w:val="00CF61A0"/>
    <w:rsid w:val="00CF73BB"/>
    <w:rsid w:val="00CF75A3"/>
    <w:rsid w:val="00CF77DB"/>
    <w:rsid w:val="00CF7EA4"/>
    <w:rsid w:val="00D007CE"/>
    <w:rsid w:val="00D00B6C"/>
    <w:rsid w:val="00D00DE7"/>
    <w:rsid w:val="00D01C50"/>
    <w:rsid w:val="00D0230F"/>
    <w:rsid w:val="00D023D0"/>
    <w:rsid w:val="00D02701"/>
    <w:rsid w:val="00D0275B"/>
    <w:rsid w:val="00D033F1"/>
    <w:rsid w:val="00D03843"/>
    <w:rsid w:val="00D03926"/>
    <w:rsid w:val="00D03F83"/>
    <w:rsid w:val="00D04A05"/>
    <w:rsid w:val="00D059A0"/>
    <w:rsid w:val="00D05DEE"/>
    <w:rsid w:val="00D06924"/>
    <w:rsid w:val="00D0725D"/>
    <w:rsid w:val="00D073A7"/>
    <w:rsid w:val="00D0749F"/>
    <w:rsid w:val="00D1051C"/>
    <w:rsid w:val="00D10ACD"/>
    <w:rsid w:val="00D10DE0"/>
    <w:rsid w:val="00D11BC1"/>
    <w:rsid w:val="00D12016"/>
    <w:rsid w:val="00D1234D"/>
    <w:rsid w:val="00D125C7"/>
    <w:rsid w:val="00D12B92"/>
    <w:rsid w:val="00D12C3C"/>
    <w:rsid w:val="00D1466F"/>
    <w:rsid w:val="00D14A64"/>
    <w:rsid w:val="00D160E1"/>
    <w:rsid w:val="00D16127"/>
    <w:rsid w:val="00D16C77"/>
    <w:rsid w:val="00D17E86"/>
    <w:rsid w:val="00D20A19"/>
    <w:rsid w:val="00D20BB2"/>
    <w:rsid w:val="00D20DA0"/>
    <w:rsid w:val="00D217EF"/>
    <w:rsid w:val="00D227E5"/>
    <w:rsid w:val="00D22C09"/>
    <w:rsid w:val="00D233F8"/>
    <w:rsid w:val="00D23DE9"/>
    <w:rsid w:val="00D26826"/>
    <w:rsid w:val="00D27F9D"/>
    <w:rsid w:val="00D30D8B"/>
    <w:rsid w:val="00D313D9"/>
    <w:rsid w:val="00D31A24"/>
    <w:rsid w:val="00D334B3"/>
    <w:rsid w:val="00D33CA2"/>
    <w:rsid w:val="00D33FCE"/>
    <w:rsid w:val="00D35E14"/>
    <w:rsid w:val="00D35FD9"/>
    <w:rsid w:val="00D366F0"/>
    <w:rsid w:val="00D36F18"/>
    <w:rsid w:val="00D40C8B"/>
    <w:rsid w:val="00D41946"/>
    <w:rsid w:val="00D4334A"/>
    <w:rsid w:val="00D435DF"/>
    <w:rsid w:val="00D436BA"/>
    <w:rsid w:val="00D43985"/>
    <w:rsid w:val="00D43BB9"/>
    <w:rsid w:val="00D43CB5"/>
    <w:rsid w:val="00D43DD2"/>
    <w:rsid w:val="00D45352"/>
    <w:rsid w:val="00D46EC9"/>
    <w:rsid w:val="00D47ABB"/>
    <w:rsid w:val="00D5052F"/>
    <w:rsid w:val="00D5163C"/>
    <w:rsid w:val="00D5489E"/>
    <w:rsid w:val="00D54AAE"/>
    <w:rsid w:val="00D54E43"/>
    <w:rsid w:val="00D55C98"/>
    <w:rsid w:val="00D567DA"/>
    <w:rsid w:val="00D57BD8"/>
    <w:rsid w:val="00D60516"/>
    <w:rsid w:val="00D61015"/>
    <w:rsid w:val="00D617CD"/>
    <w:rsid w:val="00D61FFC"/>
    <w:rsid w:val="00D626AC"/>
    <w:rsid w:val="00D63747"/>
    <w:rsid w:val="00D64B94"/>
    <w:rsid w:val="00D64C50"/>
    <w:rsid w:val="00D64E51"/>
    <w:rsid w:val="00D66CB0"/>
    <w:rsid w:val="00D67CCC"/>
    <w:rsid w:val="00D70169"/>
    <w:rsid w:val="00D70367"/>
    <w:rsid w:val="00D7060F"/>
    <w:rsid w:val="00D70A46"/>
    <w:rsid w:val="00D724EC"/>
    <w:rsid w:val="00D732A5"/>
    <w:rsid w:val="00D73733"/>
    <w:rsid w:val="00D73BAC"/>
    <w:rsid w:val="00D73FDE"/>
    <w:rsid w:val="00D74C48"/>
    <w:rsid w:val="00D74E98"/>
    <w:rsid w:val="00D753EB"/>
    <w:rsid w:val="00D768F0"/>
    <w:rsid w:val="00D76EA2"/>
    <w:rsid w:val="00D773EB"/>
    <w:rsid w:val="00D77DB5"/>
    <w:rsid w:val="00D77E0D"/>
    <w:rsid w:val="00D8182B"/>
    <w:rsid w:val="00D81B4C"/>
    <w:rsid w:val="00D82120"/>
    <w:rsid w:val="00D834F5"/>
    <w:rsid w:val="00D839C0"/>
    <w:rsid w:val="00D839D0"/>
    <w:rsid w:val="00D84713"/>
    <w:rsid w:val="00D84CBB"/>
    <w:rsid w:val="00D853E8"/>
    <w:rsid w:val="00D8761E"/>
    <w:rsid w:val="00D8781C"/>
    <w:rsid w:val="00D87C71"/>
    <w:rsid w:val="00D902A9"/>
    <w:rsid w:val="00D91483"/>
    <w:rsid w:val="00D916D0"/>
    <w:rsid w:val="00D92147"/>
    <w:rsid w:val="00D938EA"/>
    <w:rsid w:val="00D93F1D"/>
    <w:rsid w:val="00D948BD"/>
    <w:rsid w:val="00D959C8"/>
    <w:rsid w:val="00D97D4C"/>
    <w:rsid w:val="00DA0042"/>
    <w:rsid w:val="00DA0A7D"/>
    <w:rsid w:val="00DA0B1C"/>
    <w:rsid w:val="00DA1543"/>
    <w:rsid w:val="00DA17FB"/>
    <w:rsid w:val="00DA2000"/>
    <w:rsid w:val="00DA22B1"/>
    <w:rsid w:val="00DA2515"/>
    <w:rsid w:val="00DA40AB"/>
    <w:rsid w:val="00DA492A"/>
    <w:rsid w:val="00DA4E81"/>
    <w:rsid w:val="00DA5ADD"/>
    <w:rsid w:val="00DB03D8"/>
    <w:rsid w:val="00DB0964"/>
    <w:rsid w:val="00DB11B9"/>
    <w:rsid w:val="00DB195B"/>
    <w:rsid w:val="00DB271D"/>
    <w:rsid w:val="00DB2F94"/>
    <w:rsid w:val="00DB422E"/>
    <w:rsid w:val="00DB43FA"/>
    <w:rsid w:val="00DB4C7B"/>
    <w:rsid w:val="00DB58D5"/>
    <w:rsid w:val="00DB5C7C"/>
    <w:rsid w:val="00DC038A"/>
    <w:rsid w:val="00DC0B72"/>
    <w:rsid w:val="00DC0E25"/>
    <w:rsid w:val="00DC1370"/>
    <w:rsid w:val="00DC1825"/>
    <w:rsid w:val="00DC2DF6"/>
    <w:rsid w:val="00DC3476"/>
    <w:rsid w:val="00DC350E"/>
    <w:rsid w:val="00DC3BE5"/>
    <w:rsid w:val="00DC3C0F"/>
    <w:rsid w:val="00DC4246"/>
    <w:rsid w:val="00DC44DB"/>
    <w:rsid w:val="00DC520E"/>
    <w:rsid w:val="00DC592E"/>
    <w:rsid w:val="00DC6CF1"/>
    <w:rsid w:val="00DC78B6"/>
    <w:rsid w:val="00DD2E10"/>
    <w:rsid w:val="00DD2FE7"/>
    <w:rsid w:val="00DD4711"/>
    <w:rsid w:val="00DD6585"/>
    <w:rsid w:val="00DD69B5"/>
    <w:rsid w:val="00DD6CA8"/>
    <w:rsid w:val="00DD70DC"/>
    <w:rsid w:val="00DD7168"/>
    <w:rsid w:val="00DD7859"/>
    <w:rsid w:val="00DD7D6E"/>
    <w:rsid w:val="00DE0A31"/>
    <w:rsid w:val="00DE1640"/>
    <w:rsid w:val="00DE231E"/>
    <w:rsid w:val="00DE2FC5"/>
    <w:rsid w:val="00DE3595"/>
    <w:rsid w:val="00DE3A7D"/>
    <w:rsid w:val="00DE4624"/>
    <w:rsid w:val="00DE4F12"/>
    <w:rsid w:val="00DE5A5D"/>
    <w:rsid w:val="00DE5AEB"/>
    <w:rsid w:val="00DE63EE"/>
    <w:rsid w:val="00DE677E"/>
    <w:rsid w:val="00DE7AEA"/>
    <w:rsid w:val="00DF0FF7"/>
    <w:rsid w:val="00DF10A6"/>
    <w:rsid w:val="00DF1428"/>
    <w:rsid w:val="00DF2F11"/>
    <w:rsid w:val="00DF394A"/>
    <w:rsid w:val="00DF3DE6"/>
    <w:rsid w:val="00DF3E3E"/>
    <w:rsid w:val="00DF5080"/>
    <w:rsid w:val="00DF5213"/>
    <w:rsid w:val="00DF5769"/>
    <w:rsid w:val="00DF597C"/>
    <w:rsid w:val="00DF5A40"/>
    <w:rsid w:val="00DF5CD8"/>
    <w:rsid w:val="00DF6A41"/>
    <w:rsid w:val="00DF6DC6"/>
    <w:rsid w:val="00DF758A"/>
    <w:rsid w:val="00E00AC8"/>
    <w:rsid w:val="00E01C02"/>
    <w:rsid w:val="00E01C58"/>
    <w:rsid w:val="00E01D73"/>
    <w:rsid w:val="00E0276C"/>
    <w:rsid w:val="00E02B86"/>
    <w:rsid w:val="00E05332"/>
    <w:rsid w:val="00E05D3F"/>
    <w:rsid w:val="00E0655D"/>
    <w:rsid w:val="00E06B6C"/>
    <w:rsid w:val="00E06CCD"/>
    <w:rsid w:val="00E07872"/>
    <w:rsid w:val="00E106B5"/>
    <w:rsid w:val="00E10879"/>
    <w:rsid w:val="00E116E4"/>
    <w:rsid w:val="00E13DCD"/>
    <w:rsid w:val="00E14D1D"/>
    <w:rsid w:val="00E151B7"/>
    <w:rsid w:val="00E1526F"/>
    <w:rsid w:val="00E156A5"/>
    <w:rsid w:val="00E16BFD"/>
    <w:rsid w:val="00E178AC"/>
    <w:rsid w:val="00E202C3"/>
    <w:rsid w:val="00E21049"/>
    <w:rsid w:val="00E21566"/>
    <w:rsid w:val="00E22D80"/>
    <w:rsid w:val="00E233E0"/>
    <w:rsid w:val="00E23559"/>
    <w:rsid w:val="00E23C73"/>
    <w:rsid w:val="00E24D85"/>
    <w:rsid w:val="00E26680"/>
    <w:rsid w:val="00E268F4"/>
    <w:rsid w:val="00E27350"/>
    <w:rsid w:val="00E27500"/>
    <w:rsid w:val="00E2790E"/>
    <w:rsid w:val="00E27FD3"/>
    <w:rsid w:val="00E30246"/>
    <w:rsid w:val="00E3132A"/>
    <w:rsid w:val="00E31720"/>
    <w:rsid w:val="00E3322B"/>
    <w:rsid w:val="00E3507D"/>
    <w:rsid w:val="00E36D14"/>
    <w:rsid w:val="00E4014A"/>
    <w:rsid w:val="00E408A5"/>
    <w:rsid w:val="00E40A24"/>
    <w:rsid w:val="00E412FB"/>
    <w:rsid w:val="00E41E48"/>
    <w:rsid w:val="00E42012"/>
    <w:rsid w:val="00E44A7B"/>
    <w:rsid w:val="00E44F2B"/>
    <w:rsid w:val="00E46168"/>
    <w:rsid w:val="00E46A6E"/>
    <w:rsid w:val="00E46DF2"/>
    <w:rsid w:val="00E471D9"/>
    <w:rsid w:val="00E4721A"/>
    <w:rsid w:val="00E502DF"/>
    <w:rsid w:val="00E507C2"/>
    <w:rsid w:val="00E51AF9"/>
    <w:rsid w:val="00E521BC"/>
    <w:rsid w:val="00E52311"/>
    <w:rsid w:val="00E53A18"/>
    <w:rsid w:val="00E542FE"/>
    <w:rsid w:val="00E54452"/>
    <w:rsid w:val="00E54857"/>
    <w:rsid w:val="00E54B1D"/>
    <w:rsid w:val="00E553EA"/>
    <w:rsid w:val="00E56741"/>
    <w:rsid w:val="00E56DE9"/>
    <w:rsid w:val="00E60496"/>
    <w:rsid w:val="00E60BB8"/>
    <w:rsid w:val="00E63308"/>
    <w:rsid w:val="00E6342F"/>
    <w:rsid w:val="00E6358F"/>
    <w:rsid w:val="00E63C7C"/>
    <w:rsid w:val="00E649F0"/>
    <w:rsid w:val="00E64F6D"/>
    <w:rsid w:val="00E65AEB"/>
    <w:rsid w:val="00E661B9"/>
    <w:rsid w:val="00E66613"/>
    <w:rsid w:val="00E66EC6"/>
    <w:rsid w:val="00E70C46"/>
    <w:rsid w:val="00E73D71"/>
    <w:rsid w:val="00E76A77"/>
    <w:rsid w:val="00E77337"/>
    <w:rsid w:val="00E77B88"/>
    <w:rsid w:val="00E80948"/>
    <w:rsid w:val="00E8140B"/>
    <w:rsid w:val="00E817E0"/>
    <w:rsid w:val="00E82292"/>
    <w:rsid w:val="00E82C45"/>
    <w:rsid w:val="00E82E50"/>
    <w:rsid w:val="00E85FBF"/>
    <w:rsid w:val="00E869B9"/>
    <w:rsid w:val="00E86B76"/>
    <w:rsid w:val="00E86D69"/>
    <w:rsid w:val="00E86F39"/>
    <w:rsid w:val="00E87E6A"/>
    <w:rsid w:val="00E906EF"/>
    <w:rsid w:val="00E90710"/>
    <w:rsid w:val="00E90DC6"/>
    <w:rsid w:val="00E91E35"/>
    <w:rsid w:val="00E9412E"/>
    <w:rsid w:val="00E94C13"/>
    <w:rsid w:val="00E95666"/>
    <w:rsid w:val="00E95A7E"/>
    <w:rsid w:val="00EA07D8"/>
    <w:rsid w:val="00EA0815"/>
    <w:rsid w:val="00EA0D09"/>
    <w:rsid w:val="00EA1E5A"/>
    <w:rsid w:val="00EA2920"/>
    <w:rsid w:val="00EA2F0C"/>
    <w:rsid w:val="00EA37D6"/>
    <w:rsid w:val="00EA3AFD"/>
    <w:rsid w:val="00EA4911"/>
    <w:rsid w:val="00EA4AE9"/>
    <w:rsid w:val="00EA63D4"/>
    <w:rsid w:val="00EA6AC5"/>
    <w:rsid w:val="00EB0254"/>
    <w:rsid w:val="00EB053F"/>
    <w:rsid w:val="00EB0F63"/>
    <w:rsid w:val="00EB1493"/>
    <w:rsid w:val="00EB1E98"/>
    <w:rsid w:val="00EB2E2B"/>
    <w:rsid w:val="00EB3C18"/>
    <w:rsid w:val="00EB4086"/>
    <w:rsid w:val="00EB43B0"/>
    <w:rsid w:val="00EB4BDA"/>
    <w:rsid w:val="00EB50F4"/>
    <w:rsid w:val="00EB55D5"/>
    <w:rsid w:val="00EB5CD8"/>
    <w:rsid w:val="00EB60CB"/>
    <w:rsid w:val="00EB62FE"/>
    <w:rsid w:val="00EC0598"/>
    <w:rsid w:val="00EC0C03"/>
    <w:rsid w:val="00EC0D1B"/>
    <w:rsid w:val="00EC0F05"/>
    <w:rsid w:val="00EC15B7"/>
    <w:rsid w:val="00EC171D"/>
    <w:rsid w:val="00EC30B9"/>
    <w:rsid w:val="00EC3375"/>
    <w:rsid w:val="00EC59F4"/>
    <w:rsid w:val="00EC5D42"/>
    <w:rsid w:val="00EC6241"/>
    <w:rsid w:val="00EC7CED"/>
    <w:rsid w:val="00ED0976"/>
    <w:rsid w:val="00ED0A09"/>
    <w:rsid w:val="00ED1A3A"/>
    <w:rsid w:val="00ED2CBF"/>
    <w:rsid w:val="00ED36E1"/>
    <w:rsid w:val="00ED4F58"/>
    <w:rsid w:val="00ED5836"/>
    <w:rsid w:val="00ED5858"/>
    <w:rsid w:val="00ED5E6E"/>
    <w:rsid w:val="00EE0F5F"/>
    <w:rsid w:val="00EE2247"/>
    <w:rsid w:val="00EE2921"/>
    <w:rsid w:val="00EE4483"/>
    <w:rsid w:val="00EE4E2E"/>
    <w:rsid w:val="00EE5F41"/>
    <w:rsid w:val="00EE5FCB"/>
    <w:rsid w:val="00EE6075"/>
    <w:rsid w:val="00EE6500"/>
    <w:rsid w:val="00EF026F"/>
    <w:rsid w:val="00EF03AA"/>
    <w:rsid w:val="00EF03F2"/>
    <w:rsid w:val="00EF1135"/>
    <w:rsid w:val="00EF176E"/>
    <w:rsid w:val="00EF1E90"/>
    <w:rsid w:val="00EF27C4"/>
    <w:rsid w:val="00EF3529"/>
    <w:rsid w:val="00EF3978"/>
    <w:rsid w:val="00EF45DA"/>
    <w:rsid w:val="00EF4A1C"/>
    <w:rsid w:val="00EF4E37"/>
    <w:rsid w:val="00EF5F46"/>
    <w:rsid w:val="00EF614A"/>
    <w:rsid w:val="00EF63EC"/>
    <w:rsid w:val="00EF70BD"/>
    <w:rsid w:val="00EF7CEB"/>
    <w:rsid w:val="00F00D87"/>
    <w:rsid w:val="00F00EB1"/>
    <w:rsid w:val="00F00EDA"/>
    <w:rsid w:val="00F0141D"/>
    <w:rsid w:val="00F01595"/>
    <w:rsid w:val="00F018CC"/>
    <w:rsid w:val="00F01CAD"/>
    <w:rsid w:val="00F01E78"/>
    <w:rsid w:val="00F0227C"/>
    <w:rsid w:val="00F026BB"/>
    <w:rsid w:val="00F02E35"/>
    <w:rsid w:val="00F0333E"/>
    <w:rsid w:val="00F03ECD"/>
    <w:rsid w:val="00F04BC0"/>
    <w:rsid w:val="00F04EDA"/>
    <w:rsid w:val="00F05503"/>
    <w:rsid w:val="00F05A25"/>
    <w:rsid w:val="00F06120"/>
    <w:rsid w:val="00F06985"/>
    <w:rsid w:val="00F07530"/>
    <w:rsid w:val="00F07628"/>
    <w:rsid w:val="00F07E6F"/>
    <w:rsid w:val="00F108A4"/>
    <w:rsid w:val="00F10CBE"/>
    <w:rsid w:val="00F10F65"/>
    <w:rsid w:val="00F10F78"/>
    <w:rsid w:val="00F1116E"/>
    <w:rsid w:val="00F1216B"/>
    <w:rsid w:val="00F126A2"/>
    <w:rsid w:val="00F12932"/>
    <w:rsid w:val="00F135C9"/>
    <w:rsid w:val="00F1415D"/>
    <w:rsid w:val="00F15141"/>
    <w:rsid w:val="00F16AAD"/>
    <w:rsid w:val="00F17A01"/>
    <w:rsid w:val="00F17D8E"/>
    <w:rsid w:val="00F21613"/>
    <w:rsid w:val="00F21770"/>
    <w:rsid w:val="00F2465F"/>
    <w:rsid w:val="00F24A09"/>
    <w:rsid w:val="00F25CB0"/>
    <w:rsid w:val="00F2771A"/>
    <w:rsid w:val="00F27A04"/>
    <w:rsid w:val="00F303E3"/>
    <w:rsid w:val="00F306B1"/>
    <w:rsid w:val="00F30C2B"/>
    <w:rsid w:val="00F31530"/>
    <w:rsid w:val="00F3173E"/>
    <w:rsid w:val="00F31A41"/>
    <w:rsid w:val="00F34364"/>
    <w:rsid w:val="00F34955"/>
    <w:rsid w:val="00F34E72"/>
    <w:rsid w:val="00F36273"/>
    <w:rsid w:val="00F401BA"/>
    <w:rsid w:val="00F418F9"/>
    <w:rsid w:val="00F41C09"/>
    <w:rsid w:val="00F41E9B"/>
    <w:rsid w:val="00F432B8"/>
    <w:rsid w:val="00F4344B"/>
    <w:rsid w:val="00F445B1"/>
    <w:rsid w:val="00F4472B"/>
    <w:rsid w:val="00F4493F"/>
    <w:rsid w:val="00F44A34"/>
    <w:rsid w:val="00F44CE4"/>
    <w:rsid w:val="00F44E18"/>
    <w:rsid w:val="00F44FF9"/>
    <w:rsid w:val="00F454B5"/>
    <w:rsid w:val="00F4555E"/>
    <w:rsid w:val="00F505B4"/>
    <w:rsid w:val="00F50653"/>
    <w:rsid w:val="00F50B4E"/>
    <w:rsid w:val="00F511B9"/>
    <w:rsid w:val="00F526DC"/>
    <w:rsid w:val="00F52756"/>
    <w:rsid w:val="00F53231"/>
    <w:rsid w:val="00F538AC"/>
    <w:rsid w:val="00F557CF"/>
    <w:rsid w:val="00F55800"/>
    <w:rsid w:val="00F56235"/>
    <w:rsid w:val="00F564C8"/>
    <w:rsid w:val="00F56557"/>
    <w:rsid w:val="00F56CFC"/>
    <w:rsid w:val="00F57698"/>
    <w:rsid w:val="00F579A9"/>
    <w:rsid w:val="00F60039"/>
    <w:rsid w:val="00F60187"/>
    <w:rsid w:val="00F603AD"/>
    <w:rsid w:val="00F605FC"/>
    <w:rsid w:val="00F60E21"/>
    <w:rsid w:val="00F61B55"/>
    <w:rsid w:val="00F61FE2"/>
    <w:rsid w:val="00F64804"/>
    <w:rsid w:val="00F65AC2"/>
    <w:rsid w:val="00F67548"/>
    <w:rsid w:val="00F679C2"/>
    <w:rsid w:val="00F707E4"/>
    <w:rsid w:val="00F709C9"/>
    <w:rsid w:val="00F745F7"/>
    <w:rsid w:val="00F7498F"/>
    <w:rsid w:val="00F75061"/>
    <w:rsid w:val="00F757EA"/>
    <w:rsid w:val="00F75BF0"/>
    <w:rsid w:val="00F76B72"/>
    <w:rsid w:val="00F77268"/>
    <w:rsid w:val="00F7792F"/>
    <w:rsid w:val="00F77DA7"/>
    <w:rsid w:val="00F77EE5"/>
    <w:rsid w:val="00F8046F"/>
    <w:rsid w:val="00F81AA1"/>
    <w:rsid w:val="00F81B26"/>
    <w:rsid w:val="00F821C3"/>
    <w:rsid w:val="00F823E7"/>
    <w:rsid w:val="00F8282C"/>
    <w:rsid w:val="00F83AD4"/>
    <w:rsid w:val="00F83E41"/>
    <w:rsid w:val="00F8496D"/>
    <w:rsid w:val="00F84E4B"/>
    <w:rsid w:val="00F8561D"/>
    <w:rsid w:val="00F85D0A"/>
    <w:rsid w:val="00F86BC3"/>
    <w:rsid w:val="00F86C08"/>
    <w:rsid w:val="00F8751D"/>
    <w:rsid w:val="00F876AD"/>
    <w:rsid w:val="00F8781F"/>
    <w:rsid w:val="00F91750"/>
    <w:rsid w:val="00F931CB"/>
    <w:rsid w:val="00F9353B"/>
    <w:rsid w:val="00F93718"/>
    <w:rsid w:val="00F93735"/>
    <w:rsid w:val="00F9463B"/>
    <w:rsid w:val="00F94948"/>
    <w:rsid w:val="00F953AC"/>
    <w:rsid w:val="00F95BE6"/>
    <w:rsid w:val="00F95F1F"/>
    <w:rsid w:val="00F9610F"/>
    <w:rsid w:val="00F962F4"/>
    <w:rsid w:val="00F97DDE"/>
    <w:rsid w:val="00FA1165"/>
    <w:rsid w:val="00FA1FBD"/>
    <w:rsid w:val="00FA32D2"/>
    <w:rsid w:val="00FA339D"/>
    <w:rsid w:val="00FA55E5"/>
    <w:rsid w:val="00FA6192"/>
    <w:rsid w:val="00FA761D"/>
    <w:rsid w:val="00FA7F0B"/>
    <w:rsid w:val="00FB0F8A"/>
    <w:rsid w:val="00FB168E"/>
    <w:rsid w:val="00FB19BA"/>
    <w:rsid w:val="00FB1C0A"/>
    <w:rsid w:val="00FB2357"/>
    <w:rsid w:val="00FB293A"/>
    <w:rsid w:val="00FB379B"/>
    <w:rsid w:val="00FB4172"/>
    <w:rsid w:val="00FB4606"/>
    <w:rsid w:val="00FB4700"/>
    <w:rsid w:val="00FB4E56"/>
    <w:rsid w:val="00FB5A38"/>
    <w:rsid w:val="00FB5D5C"/>
    <w:rsid w:val="00FC03BB"/>
    <w:rsid w:val="00FC2F1B"/>
    <w:rsid w:val="00FC32C7"/>
    <w:rsid w:val="00FC39AC"/>
    <w:rsid w:val="00FC4174"/>
    <w:rsid w:val="00FC4E93"/>
    <w:rsid w:val="00FC56A9"/>
    <w:rsid w:val="00FC5A11"/>
    <w:rsid w:val="00FC64C5"/>
    <w:rsid w:val="00FC6953"/>
    <w:rsid w:val="00FC709E"/>
    <w:rsid w:val="00FC73D3"/>
    <w:rsid w:val="00FD08FE"/>
    <w:rsid w:val="00FD1DF3"/>
    <w:rsid w:val="00FD2612"/>
    <w:rsid w:val="00FD34CE"/>
    <w:rsid w:val="00FD3872"/>
    <w:rsid w:val="00FD3EE2"/>
    <w:rsid w:val="00FD5257"/>
    <w:rsid w:val="00FD5DFC"/>
    <w:rsid w:val="00FD63E8"/>
    <w:rsid w:val="00FD6BAD"/>
    <w:rsid w:val="00FD6C62"/>
    <w:rsid w:val="00FD7533"/>
    <w:rsid w:val="00FD7BAC"/>
    <w:rsid w:val="00FE1292"/>
    <w:rsid w:val="00FE22E4"/>
    <w:rsid w:val="00FE403A"/>
    <w:rsid w:val="00FE45BD"/>
    <w:rsid w:val="00FE596B"/>
    <w:rsid w:val="00FE68E6"/>
    <w:rsid w:val="00FE6E14"/>
    <w:rsid w:val="00FE7A57"/>
    <w:rsid w:val="00FF1044"/>
    <w:rsid w:val="00FF1BC8"/>
    <w:rsid w:val="00FF20EE"/>
    <w:rsid w:val="00FF2C22"/>
    <w:rsid w:val="00FF3CA9"/>
    <w:rsid w:val="00FF4A05"/>
    <w:rsid w:val="00FF5F0F"/>
    <w:rsid w:val="00FF65F0"/>
    <w:rsid w:val="00FF67CC"/>
    <w:rsid w:val="028A0E6E"/>
    <w:rsid w:val="028CA405"/>
    <w:rsid w:val="05B9277D"/>
    <w:rsid w:val="10EDCF11"/>
    <w:rsid w:val="1CFBD4CF"/>
    <w:rsid w:val="2100C317"/>
    <w:rsid w:val="21F7B5CE"/>
    <w:rsid w:val="24438123"/>
    <w:rsid w:val="35424A96"/>
    <w:rsid w:val="3E2B26D5"/>
    <w:rsid w:val="401BC350"/>
    <w:rsid w:val="4273A915"/>
    <w:rsid w:val="46E633AE"/>
    <w:rsid w:val="5225B691"/>
    <w:rsid w:val="55BE42C3"/>
    <w:rsid w:val="5E5C2C2B"/>
    <w:rsid w:val="63B0774C"/>
    <w:rsid w:val="65C71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01D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uiPriority="99" w:qFormat="1"/>
    <w:lsdException w:name="Default Paragraph Font" w:uiPriority="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E76"/>
    <w:pPr>
      <w:spacing w:after="240"/>
    </w:pPr>
    <w:rPr>
      <w:rFonts w:ascii="Arial" w:hAnsi="Arial"/>
      <w:sz w:val="24"/>
      <w:szCs w:val="24"/>
    </w:rPr>
  </w:style>
  <w:style w:type="paragraph" w:styleId="Heading1">
    <w:name w:val="heading 1"/>
    <w:basedOn w:val="Normal"/>
    <w:next w:val="Normal"/>
    <w:link w:val="Heading1Char"/>
    <w:qFormat/>
    <w:rsid w:val="006246EE"/>
    <w:pPr>
      <w:keepNext/>
      <w:spacing w:before="240" w:after="60"/>
      <w:outlineLvl w:val="0"/>
    </w:pPr>
    <w:rPr>
      <w:b/>
      <w:bCs/>
      <w:kern w:val="32"/>
      <w:sz w:val="40"/>
      <w:szCs w:val="32"/>
    </w:rPr>
  </w:style>
  <w:style w:type="paragraph" w:styleId="Heading2">
    <w:name w:val="heading 2"/>
    <w:basedOn w:val="Normal"/>
    <w:next w:val="Normal"/>
    <w:link w:val="Heading2Char"/>
    <w:unhideWhenUsed/>
    <w:qFormat/>
    <w:rsid w:val="006246EE"/>
    <w:pPr>
      <w:keepNext/>
      <w:spacing w:before="240"/>
      <w:outlineLvl w:val="1"/>
    </w:pPr>
    <w:rPr>
      <w:b/>
      <w:bCs/>
      <w:iCs/>
      <w:sz w:val="36"/>
      <w:szCs w:val="28"/>
    </w:rPr>
  </w:style>
  <w:style w:type="paragraph" w:styleId="Heading3">
    <w:name w:val="heading 3"/>
    <w:basedOn w:val="Normal"/>
    <w:next w:val="Normal"/>
    <w:autoRedefine/>
    <w:qFormat/>
    <w:rsid w:val="00863DE7"/>
    <w:pPr>
      <w:keepNext/>
      <w:outlineLvl w:val="2"/>
    </w:pPr>
    <w:rPr>
      <w:rFonts w:cs="Arial"/>
      <w:b/>
      <w:bCs/>
      <w:sz w:val="32"/>
      <w:szCs w:val="32"/>
    </w:rPr>
  </w:style>
  <w:style w:type="paragraph" w:styleId="Heading4">
    <w:name w:val="heading 4"/>
    <w:basedOn w:val="Normal"/>
    <w:next w:val="Normal"/>
    <w:link w:val="Heading4Char"/>
    <w:autoRedefine/>
    <w:unhideWhenUsed/>
    <w:qFormat/>
    <w:rsid w:val="00A34E76"/>
    <w:pPr>
      <w:keepNext/>
      <w:keepLines/>
      <w:spacing w:before="240"/>
      <w:outlineLvl w:val="3"/>
    </w:pPr>
    <w:rPr>
      <w:rFonts w:eastAsiaTheme="majorEastAsia" w:cstheme="majorBidi"/>
      <w:b/>
      <w:iCs/>
      <w:sz w:val="28"/>
    </w:rPr>
  </w:style>
  <w:style w:type="paragraph" w:styleId="Heading6">
    <w:name w:val="heading 6"/>
    <w:basedOn w:val="Normal"/>
    <w:next w:val="Normal"/>
    <w:link w:val="Heading6Char"/>
    <w:unhideWhenUsed/>
    <w:qFormat/>
    <w:rsid w:val="00B32E5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Times New Roman" w:hAnsi="Times New Roman"/>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rsid w:val="00E869B9"/>
    <w:pPr>
      <w:tabs>
        <w:tab w:val="center" w:pos="4320"/>
        <w:tab w:val="right" w:pos="8640"/>
      </w:tabs>
    </w:pPr>
  </w:style>
  <w:style w:type="table" w:styleId="TableGrid">
    <w:name w:val="Table Grid"/>
    <w:basedOn w:val="TableNormal"/>
    <w:uiPriority w:val="39"/>
    <w:rsid w:val="00DA2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5348"/>
    <w:pPr>
      <w:ind w:left="720"/>
    </w:pPr>
  </w:style>
  <w:style w:type="character" w:customStyle="1" w:styleId="HeaderChar">
    <w:name w:val="Header Char"/>
    <w:link w:val="Header"/>
    <w:uiPriority w:val="99"/>
    <w:rsid w:val="00335A51"/>
    <w:rPr>
      <w:sz w:val="24"/>
    </w:rPr>
  </w:style>
  <w:style w:type="character" w:styleId="Hyperlink">
    <w:name w:val="Hyperlink"/>
    <w:rsid w:val="00F97DDE"/>
    <w:rPr>
      <w:color w:val="0563C1"/>
      <w:u w:val="single"/>
    </w:rPr>
  </w:style>
  <w:style w:type="character" w:styleId="FollowedHyperlink">
    <w:name w:val="FollowedHyperlink"/>
    <w:rsid w:val="00777158"/>
    <w:rPr>
      <w:color w:val="954F72"/>
      <w:u w:val="single"/>
    </w:rPr>
  </w:style>
  <w:style w:type="paragraph" w:customStyle="1" w:styleId="Default">
    <w:name w:val="Default"/>
    <w:basedOn w:val="Normal"/>
    <w:rsid w:val="00154F17"/>
    <w:pPr>
      <w:autoSpaceDE w:val="0"/>
      <w:autoSpaceDN w:val="0"/>
    </w:pPr>
    <w:rPr>
      <w:rFonts w:eastAsia="Calibri" w:cs="Arial"/>
      <w:color w:val="000000"/>
    </w:rPr>
  </w:style>
  <w:style w:type="character" w:customStyle="1" w:styleId="Heading1Char">
    <w:name w:val="Heading 1 Char"/>
    <w:link w:val="Heading1"/>
    <w:rsid w:val="006246EE"/>
    <w:rPr>
      <w:rFonts w:ascii="Arial" w:hAnsi="Arial"/>
      <w:b/>
      <w:bCs/>
      <w:kern w:val="32"/>
      <w:sz w:val="40"/>
      <w:szCs w:val="32"/>
    </w:rPr>
  </w:style>
  <w:style w:type="character" w:customStyle="1" w:styleId="Heading2Char">
    <w:name w:val="Heading 2 Char"/>
    <w:link w:val="Heading2"/>
    <w:rsid w:val="006246EE"/>
    <w:rPr>
      <w:rFonts w:ascii="Arial" w:hAnsi="Arial"/>
      <w:b/>
      <w:bCs/>
      <w:iCs/>
      <w:sz w:val="36"/>
      <w:szCs w:val="28"/>
    </w:rPr>
  </w:style>
  <w:style w:type="character" w:styleId="CommentReference">
    <w:name w:val="annotation reference"/>
    <w:basedOn w:val="DefaultParagraphFont"/>
    <w:uiPriority w:val="99"/>
    <w:rsid w:val="00206838"/>
    <w:rPr>
      <w:sz w:val="16"/>
      <w:szCs w:val="16"/>
    </w:rPr>
  </w:style>
  <w:style w:type="paragraph" w:styleId="CommentText">
    <w:name w:val="annotation text"/>
    <w:basedOn w:val="Normal"/>
    <w:link w:val="CommentTextChar"/>
    <w:uiPriority w:val="99"/>
    <w:rsid w:val="00206838"/>
    <w:rPr>
      <w:sz w:val="20"/>
      <w:szCs w:val="20"/>
    </w:rPr>
  </w:style>
  <w:style w:type="character" w:customStyle="1" w:styleId="CommentTextChar">
    <w:name w:val="Comment Text Char"/>
    <w:basedOn w:val="DefaultParagraphFont"/>
    <w:link w:val="CommentText"/>
    <w:uiPriority w:val="99"/>
    <w:rsid w:val="00206838"/>
    <w:rPr>
      <w:rFonts w:ascii="Arial" w:hAnsi="Arial"/>
    </w:rPr>
  </w:style>
  <w:style w:type="paragraph" w:styleId="CommentSubject">
    <w:name w:val="annotation subject"/>
    <w:basedOn w:val="CommentText"/>
    <w:next w:val="CommentText"/>
    <w:link w:val="CommentSubjectChar"/>
    <w:rsid w:val="00206838"/>
    <w:rPr>
      <w:b/>
      <w:bCs/>
    </w:rPr>
  </w:style>
  <w:style w:type="character" w:customStyle="1" w:styleId="CommentSubjectChar">
    <w:name w:val="Comment Subject Char"/>
    <w:basedOn w:val="CommentTextChar"/>
    <w:link w:val="CommentSubject"/>
    <w:rsid w:val="00206838"/>
    <w:rPr>
      <w:rFonts w:ascii="Arial" w:hAnsi="Arial"/>
      <w:b/>
      <w:bCs/>
    </w:rPr>
  </w:style>
  <w:style w:type="character" w:customStyle="1" w:styleId="Heading6Char">
    <w:name w:val="Heading 6 Char"/>
    <w:basedOn w:val="DefaultParagraphFont"/>
    <w:link w:val="Heading6"/>
    <w:rsid w:val="00B32E5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B275CD"/>
    <w:pPr>
      <w:spacing w:before="100" w:beforeAutospacing="1" w:after="150"/>
    </w:pPr>
    <w:rPr>
      <w:rFonts w:ascii="Times New Roman" w:hAnsi="Times New Roman"/>
    </w:rPr>
  </w:style>
  <w:style w:type="character" w:styleId="Emphasis">
    <w:name w:val="Emphasis"/>
    <w:basedOn w:val="DefaultParagraphFont"/>
    <w:uiPriority w:val="20"/>
    <w:qFormat/>
    <w:rsid w:val="00BC0733"/>
    <w:rPr>
      <w:i/>
      <w:iCs/>
    </w:rPr>
  </w:style>
  <w:style w:type="paragraph" w:customStyle="1" w:styleId="StyleHeading2Arial18ptNotItalic">
    <w:name w:val="Style Heading 2 + Arial 18 pt Not Italic"/>
    <w:basedOn w:val="Heading2"/>
    <w:autoRedefine/>
    <w:rsid w:val="006246EE"/>
    <w:rPr>
      <w:i/>
      <w:iCs w:val="0"/>
    </w:rPr>
  </w:style>
  <w:style w:type="character" w:customStyle="1" w:styleId="Heading4Char">
    <w:name w:val="Heading 4 Char"/>
    <w:basedOn w:val="DefaultParagraphFont"/>
    <w:link w:val="Heading4"/>
    <w:rsid w:val="00A34E76"/>
    <w:rPr>
      <w:rFonts w:ascii="Arial" w:eastAsiaTheme="majorEastAsia" w:hAnsi="Arial" w:cstheme="majorBidi"/>
      <w:b/>
      <w:iCs/>
      <w:sz w:val="28"/>
      <w:szCs w:val="24"/>
    </w:rPr>
  </w:style>
  <w:style w:type="paragraph" w:customStyle="1" w:styleId="StyleHeading2ArialNotItalic">
    <w:name w:val="Style Heading 2 + Arial Not Italic"/>
    <w:basedOn w:val="Heading2"/>
    <w:autoRedefine/>
    <w:rsid w:val="00A34E76"/>
    <w:rPr>
      <w:i/>
      <w:iCs w:val="0"/>
    </w:rPr>
  </w:style>
  <w:style w:type="paragraph" w:styleId="Revision">
    <w:name w:val="Revision"/>
    <w:hidden/>
    <w:uiPriority w:val="99"/>
    <w:semiHidden/>
    <w:rsid w:val="007D4688"/>
    <w:rPr>
      <w:rFonts w:ascii="Arial" w:hAnsi="Arial"/>
      <w:sz w:val="24"/>
      <w:szCs w:val="24"/>
    </w:rPr>
  </w:style>
  <w:style w:type="character" w:styleId="UnresolvedMention">
    <w:name w:val="Unresolved Mention"/>
    <w:basedOn w:val="DefaultParagraphFont"/>
    <w:uiPriority w:val="99"/>
    <w:semiHidden/>
    <w:unhideWhenUsed/>
    <w:rsid w:val="00C5541C"/>
    <w:rPr>
      <w:color w:val="605E5C"/>
      <w:shd w:val="clear" w:color="auto" w:fill="E1DFDD"/>
    </w:rPr>
  </w:style>
  <w:style w:type="paragraph" w:styleId="Title">
    <w:name w:val="Title"/>
    <w:basedOn w:val="Normal"/>
    <w:link w:val="TitleChar"/>
    <w:uiPriority w:val="99"/>
    <w:qFormat/>
    <w:rsid w:val="00C5541C"/>
    <w:pPr>
      <w:autoSpaceDE w:val="0"/>
      <w:autoSpaceDN w:val="0"/>
      <w:adjustRightInd w:val="0"/>
      <w:spacing w:after="0"/>
      <w:jc w:val="center"/>
    </w:pPr>
    <w:rPr>
      <w:rFonts w:cs="Arial"/>
      <w:b/>
      <w:bCs/>
      <w:sz w:val="32"/>
      <w:szCs w:val="29"/>
    </w:rPr>
  </w:style>
  <w:style w:type="character" w:customStyle="1" w:styleId="TitleChar">
    <w:name w:val="Title Char"/>
    <w:basedOn w:val="DefaultParagraphFont"/>
    <w:link w:val="Title"/>
    <w:uiPriority w:val="99"/>
    <w:rsid w:val="00C5541C"/>
    <w:rPr>
      <w:rFonts w:ascii="Arial" w:hAnsi="Arial" w:cs="Arial"/>
      <w:b/>
      <w:bCs/>
      <w:sz w:val="32"/>
      <w:szCs w:val="29"/>
    </w:rPr>
  </w:style>
  <w:style w:type="table" w:customStyle="1" w:styleId="TableGrid1">
    <w:name w:val="Table Grid1"/>
    <w:basedOn w:val="TableNormal"/>
    <w:next w:val="TableGrid"/>
    <w:uiPriority w:val="39"/>
    <w:rsid w:val="00A625F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A0815"/>
    <w:pPr>
      <w:spacing w:after="0"/>
    </w:pPr>
    <w:rPr>
      <w:sz w:val="20"/>
      <w:szCs w:val="20"/>
    </w:rPr>
  </w:style>
  <w:style w:type="character" w:customStyle="1" w:styleId="FootnoteTextChar">
    <w:name w:val="Footnote Text Char"/>
    <w:basedOn w:val="DefaultParagraphFont"/>
    <w:link w:val="FootnoteText"/>
    <w:uiPriority w:val="99"/>
    <w:rsid w:val="00EA0815"/>
    <w:rPr>
      <w:rFonts w:ascii="Arial" w:hAnsi="Arial"/>
    </w:rPr>
  </w:style>
  <w:style w:type="character" w:styleId="FootnoteReference">
    <w:name w:val="footnote reference"/>
    <w:basedOn w:val="DefaultParagraphFont"/>
    <w:uiPriority w:val="99"/>
    <w:unhideWhenUsed/>
    <w:rsid w:val="00EA08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4117">
      <w:bodyDiv w:val="1"/>
      <w:marLeft w:val="0"/>
      <w:marRight w:val="0"/>
      <w:marTop w:val="0"/>
      <w:marBottom w:val="0"/>
      <w:divBdr>
        <w:top w:val="single" w:sz="12" w:space="0" w:color="767575"/>
        <w:left w:val="none" w:sz="0" w:space="0" w:color="auto"/>
        <w:bottom w:val="none" w:sz="0" w:space="0" w:color="auto"/>
        <w:right w:val="none" w:sz="0" w:space="0" w:color="auto"/>
      </w:divBdr>
      <w:divsChild>
        <w:div w:id="1022903244">
          <w:marLeft w:val="0"/>
          <w:marRight w:val="0"/>
          <w:marTop w:val="0"/>
          <w:marBottom w:val="0"/>
          <w:divBdr>
            <w:top w:val="none" w:sz="0" w:space="0" w:color="auto"/>
            <w:left w:val="none" w:sz="0" w:space="0" w:color="auto"/>
            <w:bottom w:val="none" w:sz="0" w:space="0" w:color="auto"/>
            <w:right w:val="none" w:sz="0" w:space="0" w:color="auto"/>
          </w:divBdr>
          <w:divsChild>
            <w:div w:id="1935090702">
              <w:marLeft w:val="0"/>
              <w:marRight w:val="0"/>
              <w:marTop w:val="0"/>
              <w:marBottom w:val="0"/>
              <w:divBdr>
                <w:top w:val="none" w:sz="0" w:space="0" w:color="auto"/>
                <w:left w:val="none" w:sz="0" w:space="0" w:color="auto"/>
                <w:bottom w:val="none" w:sz="0" w:space="0" w:color="auto"/>
                <w:right w:val="none" w:sz="0" w:space="0" w:color="auto"/>
              </w:divBdr>
              <w:divsChild>
                <w:div w:id="1912537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970747007">
                      <w:marLeft w:val="300"/>
                      <w:marRight w:val="0"/>
                      <w:marTop w:val="0"/>
                      <w:marBottom w:val="0"/>
                      <w:divBdr>
                        <w:top w:val="none" w:sz="0" w:space="0" w:color="auto"/>
                        <w:left w:val="none" w:sz="0" w:space="0" w:color="auto"/>
                        <w:bottom w:val="none" w:sz="0" w:space="0" w:color="auto"/>
                        <w:right w:val="none" w:sz="0" w:space="0" w:color="auto"/>
                      </w:divBdr>
                      <w:divsChild>
                        <w:div w:id="1285577082">
                          <w:marLeft w:val="0"/>
                          <w:marRight w:val="0"/>
                          <w:marTop w:val="0"/>
                          <w:marBottom w:val="0"/>
                          <w:divBdr>
                            <w:top w:val="none" w:sz="0" w:space="0" w:color="auto"/>
                            <w:left w:val="none" w:sz="0" w:space="0" w:color="auto"/>
                            <w:bottom w:val="none" w:sz="0" w:space="0" w:color="auto"/>
                            <w:right w:val="none" w:sz="0" w:space="0" w:color="auto"/>
                          </w:divBdr>
                          <w:divsChild>
                            <w:div w:id="1843885039">
                              <w:marLeft w:val="0"/>
                              <w:marRight w:val="0"/>
                              <w:marTop w:val="0"/>
                              <w:marBottom w:val="0"/>
                              <w:divBdr>
                                <w:top w:val="none" w:sz="0" w:space="0" w:color="auto"/>
                                <w:left w:val="none" w:sz="0" w:space="0" w:color="auto"/>
                                <w:bottom w:val="none" w:sz="0" w:space="0" w:color="auto"/>
                                <w:right w:val="none" w:sz="0" w:space="0" w:color="auto"/>
                              </w:divBdr>
                              <w:divsChild>
                                <w:div w:id="1613441713">
                                  <w:marLeft w:val="0"/>
                                  <w:marRight w:val="0"/>
                                  <w:marTop w:val="0"/>
                                  <w:marBottom w:val="0"/>
                                  <w:divBdr>
                                    <w:top w:val="none" w:sz="0" w:space="0" w:color="auto"/>
                                    <w:left w:val="none" w:sz="0" w:space="0" w:color="auto"/>
                                    <w:bottom w:val="none" w:sz="0" w:space="0" w:color="auto"/>
                                    <w:right w:val="none" w:sz="0" w:space="0" w:color="auto"/>
                                  </w:divBdr>
                                  <w:divsChild>
                                    <w:div w:id="1542936141">
                                      <w:marLeft w:val="0"/>
                                      <w:marRight w:val="0"/>
                                      <w:marTop w:val="0"/>
                                      <w:marBottom w:val="0"/>
                                      <w:divBdr>
                                        <w:top w:val="none" w:sz="0" w:space="0" w:color="auto"/>
                                        <w:left w:val="none" w:sz="0" w:space="0" w:color="auto"/>
                                        <w:bottom w:val="none" w:sz="0" w:space="0" w:color="auto"/>
                                        <w:right w:val="none" w:sz="0" w:space="0" w:color="auto"/>
                                      </w:divBdr>
                                      <w:divsChild>
                                        <w:div w:id="1875775501">
                                          <w:marLeft w:val="0"/>
                                          <w:marRight w:val="0"/>
                                          <w:marTop w:val="0"/>
                                          <w:marBottom w:val="0"/>
                                          <w:divBdr>
                                            <w:top w:val="none" w:sz="0" w:space="0" w:color="auto"/>
                                            <w:left w:val="none" w:sz="0" w:space="0" w:color="auto"/>
                                            <w:bottom w:val="none" w:sz="0" w:space="0" w:color="auto"/>
                                            <w:right w:val="none" w:sz="0" w:space="0" w:color="auto"/>
                                          </w:divBdr>
                                          <w:divsChild>
                                            <w:div w:id="1083719020">
                                              <w:marLeft w:val="0"/>
                                              <w:marRight w:val="0"/>
                                              <w:marTop w:val="0"/>
                                              <w:marBottom w:val="0"/>
                                              <w:divBdr>
                                                <w:top w:val="none" w:sz="0" w:space="0" w:color="auto"/>
                                                <w:left w:val="none" w:sz="0" w:space="0" w:color="auto"/>
                                                <w:bottom w:val="none" w:sz="0" w:space="0" w:color="auto"/>
                                                <w:right w:val="none" w:sz="0" w:space="0" w:color="auto"/>
                                              </w:divBdr>
                                              <w:divsChild>
                                                <w:div w:id="6113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959335">
      <w:bodyDiv w:val="1"/>
      <w:marLeft w:val="0"/>
      <w:marRight w:val="0"/>
      <w:marTop w:val="0"/>
      <w:marBottom w:val="0"/>
      <w:divBdr>
        <w:top w:val="none" w:sz="0" w:space="0" w:color="auto"/>
        <w:left w:val="none" w:sz="0" w:space="0" w:color="auto"/>
        <w:bottom w:val="none" w:sz="0" w:space="0" w:color="auto"/>
        <w:right w:val="none" w:sz="0" w:space="0" w:color="auto"/>
      </w:divBdr>
    </w:div>
    <w:div w:id="139616473">
      <w:bodyDiv w:val="1"/>
      <w:marLeft w:val="0"/>
      <w:marRight w:val="0"/>
      <w:marTop w:val="0"/>
      <w:marBottom w:val="0"/>
      <w:divBdr>
        <w:top w:val="none" w:sz="0" w:space="0" w:color="auto"/>
        <w:left w:val="none" w:sz="0" w:space="0" w:color="auto"/>
        <w:bottom w:val="none" w:sz="0" w:space="0" w:color="auto"/>
        <w:right w:val="none" w:sz="0" w:space="0" w:color="auto"/>
      </w:divBdr>
    </w:div>
    <w:div w:id="203520809">
      <w:bodyDiv w:val="1"/>
      <w:marLeft w:val="0"/>
      <w:marRight w:val="0"/>
      <w:marTop w:val="0"/>
      <w:marBottom w:val="0"/>
      <w:divBdr>
        <w:top w:val="single" w:sz="12" w:space="0" w:color="767575"/>
        <w:left w:val="none" w:sz="0" w:space="0" w:color="auto"/>
        <w:bottom w:val="none" w:sz="0" w:space="0" w:color="auto"/>
        <w:right w:val="none" w:sz="0" w:space="0" w:color="auto"/>
      </w:divBdr>
      <w:divsChild>
        <w:div w:id="1028723890">
          <w:marLeft w:val="0"/>
          <w:marRight w:val="0"/>
          <w:marTop w:val="0"/>
          <w:marBottom w:val="0"/>
          <w:divBdr>
            <w:top w:val="none" w:sz="0" w:space="0" w:color="auto"/>
            <w:left w:val="none" w:sz="0" w:space="0" w:color="auto"/>
            <w:bottom w:val="none" w:sz="0" w:space="0" w:color="auto"/>
            <w:right w:val="none" w:sz="0" w:space="0" w:color="auto"/>
          </w:divBdr>
          <w:divsChild>
            <w:div w:id="1788352438">
              <w:marLeft w:val="0"/>
              <w:marRight w:val="0"/>
              <w:marTop w:val="0"/>
              <w:marBottom w:val="0"/>
              <w:divBdr>
                <w:top w:val="none" w:sz="0" w:space="0" w:color="auto"/>
                <w:left w:val="none" w:sz="0" w:space="0" w:color="auto"/>
                <w:bottom w:val="none" w:sz="0" w:space="0" w:color="auto"/>
                <w:right w:val="none" w:sz="0" w:space="0" w:color="auto"/>
              </w:divBdr>
              <w:divsChild>
                <w:div w:id="39350451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35640108">
                      <w:marLeft w:val="300"/>
                      <w:marRight w:val="0"/>
                      <w:marTop w:val="0"/>
                      <w:marBottom w:val="0"/>
                      <w:divBdr>
                        <w:top w:val="none" w:sz="0" w:space="0" w:color="auto"/>
                        <w:left w:val="none" w:sz="0" w:space="0" w:color="auto"/>
                        <w:bottom w:val="none" w:sz="0" w:space="0" w:color="auto"/>
                        <w:right w:val="none" w:sz="0" w:space="0" w:color="auto"/>
                      </w:divBdr>
                      <w:divsChild>
                        <w:div w:id="1817069188">
                          <w:marLeft w:val="0"/>
                          <w:marRight w:val="0"/>
                          <w:marTop w:val="0"/>
                          <w:marBottom w:val="0"/>
                          <w:divBdr>
                            <w:top w:val="none" w:sz="0" w:space="0" w:color="auto"/>
                            <w:left w:val="none" w:sz="0" w:space="0" w:color="auto"/>
                            <w:bottom w:val="none" w:sz="0" w:space="0" w:color="auto"/>
                            <w:right w:val="none" w:sz="0" w:space="0" w:color="auto"/>
                          </w:divBdr>
                          <w:divsChild>
                            <w:div w:id="1260871352">
                              <w:marLeft w:val="0"/>
                              <w:marRight w:val="0"/>
                              <w:marTop w:val="0"/>
                              <w:marBottom w:val="0"/>
                              <w:divBdr>
                                <w:top w:val="none" w:sz="0" w:space="0" w:color="auto"/>
                                <w:left w:val="none" w:sz="0" w:space="0" w:color="auto"/>
                                <w:bottom w:val="none" w:sz="0" w:space="0" w:color="auto"/>
                                <w:right w:val="none" w:sz="0" w:space="0" w:color="auto"/>
                              </w:divBdr>
                              <w:divsChild>
                                <w:div w:id="1800994971">
                                  <w:marLeft w:val="0"/>
                                  <w:marRight w:val="0"/>
                                  <w:marTop w:val="0"/>
                                  <w:marBottom w:val="0"/>
                                  <w:divBdr>
                                    <w:top w:val="none" w:sz="0" w:space="0" w:color="auto"/>
                                    <w:left w:val="none" w:sz="0" w:space="0" w:color="auto"/>
                                    <w:bottom w:val="none" w:sz="0" w:space="0" w:color="auto"/>
                                    <w:right w:val="none" w:sz="0" w:space="0" w:color="auto"/>
                                  </w:divBdr>
                                  <w:divsChild>
                                    <w:div w:id="1722710084">
                                      <w:marLeft w:val="0"/>
                                      <w:marRight w:val="0"/>
                                      <w:marTop w:val="0"/>
                                      <w:marBottom w:val="0"/>
                                      <w:divBdr>
                                        <w:top w:val="none" w:sz="0" w:space="0" w:color="auto"/>
                                        <w:left w:val="none" w:sz="0" w:space="0" w:color="auto"/>
                                        <w:bottom w:val="none" w:sz="0" w:space="0" w:color="auto"/>
                                        <w:right w:val="none" w:sz="0" w:space="0" w:color="auto"/>
                                      </w:divBdr>
                                      <w:divsChild>
                                        <w:div w:id="204293958">
                                          <w:marLeft w:val="0"/>
                                          <w:marRight w:val="0"/>
                                          <w:marTop w:val="0"/>
                                          <w:marBottom w:val="0"/>
                                          <w:divBdr>
                                            <w:top w:val="none" w:sz="0" w:space="0" w:color="auto"/>
                                            <w:left w:val="none" w:sz="0" w:space="0" w:color="auto"/>
                                            <w:bottom w:val="none" w:sz="0" w:space="0" w:color="auto"/>
                                            <w:right w:val="none" w:sz="0" w:space="0" w:color="auto"/>
                                          </w:divBdr>
                                          <w:divsChild>
                                            <w:div w:id="102813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9361727">
      <w:bodyDiv w:val="1"/>
      <w:marLeft w:val="0"/>
      <w:marRight w:val="0"/>
      <w:marTop w:val="0"/>
      <w:marBottom w:val="0"/>
      <w:divBdr>
        <w:top w:val="none" w:sz="0" w:space="0" w:color="auto"/>
        <w:left w:val="none" w:sz="0" w:space="0" w:color="auto"/>
        <w:bottom w:val="none" w:sz="0" w:space="0" w:color="auto"/>
        <w:right w:val="none" w:sz="0" w:space="0" w:color="auto"/>
      </w:divBdr>
      <w:divsChild>
        <w:div w:id="1346401733">
          <w:marLeft w:val="0"/>
          <w:marRight w:val="0"/>
          <w:marTop w:val="0"/>
          <w:marBottom w:val="240"/>
          <w:divBdr>
            <w:top w:val="none" w:sz="0" w:space="0" w:color="auto"/>
            <w:left w:val="none" w:sz="0" w:space="0" w:color="auto"/>
            <w:bottom w:val="none" w:sz="0" w:space="0" w:color="auto"/>
            <w:right w:val="none" w:sz="0" w:space="0" w:color="auto"/>
          </w:divBdr>
        </w:div>
        <w:div w:id="529222198">
          <w:marLeft w:val="0"/>
          <w:marRight w:val="0"/>
          <w:marTop w:val="0"/>
          <w:marBottom w:val="240"/>
          <w:divBdr>
            <w:top w:val="none" w:sz="0" w:space="0" w:color="auto"/>
            <w:left w:val="none" w:sz="0" w:space="0" w:color="auto"/>
            <w:bottom w:val="none" w:sz="0" w:space="0" w:color="auto"/>
            <w:right w:val="none" w:sz="0" w:space="0" w:color="auto"/>
          </w:divBdr>
        </w:div>
      </w:divsChild>
    </w:div>
    <w:div w:id="290982933">
      <w:bodyDiv w:val="1"/>
      <w:marLeft w:val="0"/>
      <w:marRight w:val="0"/>
      <w:marTop w:val="0"/>
      <w:marBottom w:val="0"/>
      <w:divBdr>
        <w:top w:val="none" w:sz="0" w:space="0" w:color="auto"/>
        <w:left w:val="none" w:sz="0" w:space="0" w:color="auto"/>
        <w:bottom w:val="none" w:sz="0" w:space="0" w:color="auto"/>
        <w:right w:val="none" w:sz="0" w:space="0" w:color="auto"/>
      </w:divBdr>
      <w:divsChild>
        <w:div w:id="87505301">
          <w:marLeft w:val="0"/>
          <w:marRight w:val="0"/>
          <w:marTop w:val="0"/>
          <w:marBottom w:val="0"/>
          <w:divBdr>
            <w:top w:val="none" w:sz="0" w:space="0" w:color="auto"/>
            <w:left w:val="none" w:sz="0" w:space="0" w:color="auto"/>
            <w:bottom w:val="none" w:sz="0" w:space="0" w:color="auto"/>
            <w:right w:val="none" w:sz="0" w:space="0" w:color="auto"/>
          </w:divBdr>
          <w:divsChild>
            <w:div w:id="1267691908">
              <w:marLeft w:val="0"/>
              <w:marRight w:val="0"/>
              <w:marTop w:val="0"/>
              <w:marBottom w:val="0"/>
              <w:divBdr>
                <w:top w:val="none" w:sz="0" w:space="0" w:color="auto"/>
                <w:left w:val="none" w:sz="0" w:space="0" w:color="auto"/>
                <w:bottom w:val="none" w:sz="0" w:space="0" w:color="auto"/>
                <w:right w:val="none" w:sz="0" w:space="0" w:color="auto"/>
              </w:divBdr>
              <w:divsChild>
                <w:div w:id="1225876475">
                  <w:marLeft w:val="-225"/>
                  <w:marRight w:val="-225"/>
                  <w:marTop w:val="0"/>
                  <w:marBottom w:val="0"/>
                  <w:divBdr>
                    <w:top w:val="none" w:sz="0" w:space="0" w:color="auto"/>
                    <w:left w:val="none" w:sz="0" w:space="0" w:color="auto"/>
                    <w:bottom w:val="none" w:sz="0" w:space="0" w:color="auto"/>
                    <w:right w:val="none" w:sz="0" w:space="0" w:color="auto"/>
                  </w:divBdr>
                  <w:divsChild>
                    <w:div w:id="10132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91461">
      <w:bodyDiv w:val="1"/>
      <w:marLeft w:val="0"/>
      <w:marRight w:val="0"/>
      <w:marTop w:val="0"/>
      <w:marBottom w:val="0"/>
      <w:divBdr>
        <w:top w:val="none" w:sz="0" w:space="0" w:color="auto"/>
        <w:left w:val="none" w:sz="0" w:space="0" w:color="auto"/>
        <w:bottom w:val="none" w:sz="0" w:space="0" w:color="auto"/>
        <w:right w:val="none" w:sz="0" w:space="0" w:color="auto"/>
      </w:divBdr>
      <w:divsChild>
        <w:div w:id="2094618757">
          <w:marLeft w:val="0"/>
          <w:marRight w:val="0"/>
          <w:marTop w:val="0"/>
          <w:marBottom w:val="240"/>
          <w:divBdr>
            <w:top w:val="none" w:sz="0" w:space="0" w:color="auto"/>
            <w:left w:val="none" w:sz="0" w:space="0" w:color="auto"/>
            <w:bottom w:val="none" w:sz="0" w:space="0" w:color="auto"/>
            <w:right w:val="none" w:sz="0" w:space="0" w:color="auto"/>
          </w:divBdr>
        </w:div>
        <w:div w:id="299381236">
          <w:marLeft w:val="0"/>
          <w:marRight w:val="0"/>
          <w:marTop w:val="0"/>
          <w:marBottom w:val="240"/>
          <w:divBdr>
            <w:top w:val="none" w:sz="0" w:space="0" w:color="auto"/>
            <w:left w:val="none" w:sz="0" w:space="0" w:color="auto"/>
            <w:bottom w:val="none" w:sz="0" w:space="0" w:color="auto"/>
            <w:right w:val="none" w:sz="0" w:space="0" w:color="auto"/>
          </w:divBdr>
        </w:div>
        <w:div w:id="102767167">
          <w:marLeft w:val="0"/>
          <w:marRight w:val="0"/>
          <w:marTop w:val="0"/>
          <w:marBottom w:val="240"/>
          <w:divBdr>
            <w:top w:val="none" w:sz="0" w:space="0" w:color="auto"/>
            <w:left w:val="none" w:sz="0" w:space="0" w:color="auto"/>
            <w:bottom w:val="none" w:sz="0" w:space="0" w:color="auto"/>
            <w:right w:val="none" w:sz="0" w:space="0" w:color="auto"/>
          </w:divBdr>
        </w:div>
        <w:div w:id="2057699782">
          <w:marLeft w:val="0"/>
          <w:marRight w:val="0"/>
          <w:marTop w:val="0"/>
          <w:marBottom w:val="240"/>
          <w:divBdr>
            <w:top w:val="none" w:sz="0" w:space="0" w:color="auto"/>
            <w:left w:val="none" w:sz="0" w:space="0" w:color="auto"/>
            <w:bottom w:val="none" w:sz="0" w:space="0" w:color="auto"/>
            <w:right w:val="none" w:sz="0" w:space="0" w:color="auto"/>
          </w:divBdr>
        </w:div>
      </w:divsChild>
    </w:div>
    <w:div w:id="399714205">
      <w:bodyDiv w:val="1"/>
      <w:marLeft w:val="0"/>
      <w:marRight w:val="0"/>
      <w:marTop w:val="0"/>
      <w:marBottom w:val="0"/>
      <w:divBdr>
        <w:top w:val="none" w:sz="0" w:space="0" w:color="auto"/>
        <w:left w:val="none" w:sz="0" w:space="0" w:color="auto"/>
        <w:bottom w:val="none" w:sz="0" w:space="0" w:color="auto"/>
        <w:right w:val="none" w:sz="0" w:space="0" w:color="auto"/>
      </w:divBdr>
    </w:div>
    <w:div w:id="482425983">
      <w:bodyDiv w:val="1"/>
      <w:marLeft w:val="0"/>
      <w:marRight w:val="0"/>
      <w:marTop w:val="0"/>
      <w:marBottom w:val="0"/>
      <w:divBdr>
        <w:top w:val="none" w:sz="0" w:space="0" w:color="auto"/>
        <w:left w:val="none" w:sz="0" w:space="0" w:color="auto"/>
        <w:bottom w:val="none" w:sz="0" w:space="0" w:color="auto"/>
        <w:right w:val="none" w:sz="0" w:space="0" w:color="auto"/>
      </w:divBdr>
      <w:divsChild>
        <w:div w:id="794715888">
          <w:marLeft w:val="0"/>
          <w:marRight w:val="0"/>
          <w:marTop w:val="0"/>
          <w:marBottom w:val="0"/>
          <w:divBdr>
            <w:top w:val="none" w:sz="0" w:space="0" w:color="auto"/>
            <w:left w:val="none" w:sz="0" w:space="0" w:color="auto"/>
            <w:bottom w:val="none" w:sz="0" w:space="0" w:color="auto"/>
            <w:right w:val="none" w:sz="0" w:space="0" w:color="auto"/>
          </w:divBdr>
          <w:divsChild>
            <w:div w:id="926302614">
              <w:marLeft w:val="0"/>
              <w:marRight w:val="0"/>
              <w:marTop w:val="0"/>
              <w:marBottom w:val="0"/>
              <w:divBdr>
                <w:top w:val="none" w:sz="0" w:space="0" w:color="auto"/>
                <w:left w:val="none" w:sz="0" w:space="0" w:color="auto"/>
                <w:bottom w:val="none" w:sz="0" w:space="0" w:color="auto"/>
                <w:right w:val="none" w:sz="0" w:space="0" w:color="auto"/>
              </w:divBdr>
              <w:divsChild>
                <w:div w:id="1366910037">
                  <w:marLeft w:val="-225"/>
                  <w:marRight w:val="-225"/>
                  <w:marTop w:val="0"/>
                  <w:marBottom w:val="0"/>
                  <w:divBdr>
                    <w:top w:val="none" w:sz="0" w:space="0" w:color="auto"/>
                    <w:left w:val="none" w:sz="0" w:space="0" w:color="auto"/>
                    <w:bottom w:val="none" w:sz="0" w:space="0" w:color="auto"/>
                    <w:right w:val="none" w:sz="0" w:space="0" w:color="auto"/>
                  </w:divBdr>
                  <w:divsChild>
                    <w:div w:id="122117525">
                      <w:marLeft w:val="0"/>
                      <w:marRight w:val="0"/>
                      <w:marTop w:val="0"/>
                      <w:marBottom w:val="0"/>
                      <w:divBdr>
                        <w:top w:val="none" w:sz="0" w:space="0" w:color="auto"/>
                        <w:left w:val="none" w:sz="0" w:space="0" w:color="auto"/>
                        <w:bottom w:val="none" w:sz="0" w:space="0" w:color="auto"/>
                        <w:right w:val="none" w:sz="0" w:space="0" w:color="auto"/>
                      </w:divBdr>
                      <w:divsChild>
                        <w:div w:id="305279103">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663747">
      <w:bodyDiv w:val="1"/>
      <w:marLeft w:val="0"/>
      <w:marRight w:val="0"/>
      <w:marTop w:val="0"/>
      <w:marBottom w:val="0"/>
      <w:divBdr>
        <w:top w:val="none" w:sz="0" w:space="0" w:color="auto"/>
        <w:left w:val="none" w:sz="0" w:space="0" w:color="auto"/>
        <w:bottom w:val="none" w:sz="0" w:space="0" w:color="auto"/>
        <w:right w:val="none" w:sz="0" w:space="0" w:color="auto"/>
      </w:divBdr>
      <w:divsChild>
        <w:div w:id="1230728080">
          <w:marLeft w:val="0"/>
          <w:marRight w:val="0"/>
          <w:marTop w:val="0"/>
          <w:marBottom w:val="0"/>
          <w:divBdr>
            <w:top w:val="none" w:sz="0" w:space="0" w:color="auto"/>
            <w:left w:val="none" w:sz="0" w:space="0" w:color="auto"/>
            <w:bottom w:val="none" w:sz="0" w:space="0" w:color="auto"/>
            <w:right w:val="none" w:sz="0" w:space="0" w:color="auto"/>
          </w:divBdr>
          <w:divsChild>
            <w:div w:id="810974869">
              <w:marLeft w:val="0"/>
              <w:marRight w:val="0"/>
              <w:marTop w:val="0"/>
              <w:marBottom w:val="0"/>
              <w:divBdr>
                <w:top w:val="none" w:sz="0" w:space="0" w:color="auto"/>
                <w:left w:val="none" w:sz="0" w:space="0" w:color="auto"/>
                <w:bottom w:val="none" w:sz="0" w:space="0" w:color="auto"/>
                <w:right w:val="none" w:sz="0" w:space="0" w:color="auto"/>
              </w:divBdr>
              <w:divsChild>
                <w:div w:id="694618738">
                  <w:marLeft w:val="-225"/>
                  <w:marRight w:val="-225"/>
                  <w:marTop w:val="0"/>
                  <w:marBottom w:val="0"/>
                  <w:divBdr>
                    <w:top w:val="none" w:sz="0" w:space="0" w:color="auto"/>
                    <w:left w:val="none" w:sz="0" w:space="0" w:color="auto"/>
                    <w:bottom w:val="none" w:sz="0" w:space="0" w:color="auto"/>
                    <w:right w:val="none" w:sz="0" w:space="0" w:color="auto"/>
                  </w:divBdr>
                  <w:divsChild>
                    <w:div w:id="401417159">
                      <w:marLeft w:val="0"/>
                      <w:marRight w:val="0"/>
                      <w:marTop w:val="0"/>
                      <w:marBottom w:val="0"/>
                      <w:divBdr>
                        <w:top w:val="none" w:sz="0" w:space="0" w:color="auto"/>
                        <w:left w:val="none" w:sz="0" w:space="0" w:color="auto"/>
                        <w:bottom w:val="none" w:sz="0" w:space="0" w:color="auto"/>
                        <w:right w:val="none" w:sz="0" w:space="0" w:color="auto"/>
                      </w:divBdr>
                      <w:divsChild>
                        <w:div w:id="1688485389">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557293">
      <w:bodyDiv w:val="1"/>
      <w:marLeft w:val="0"/>
      <w:marRight w:val="0"/>
      <w:marTop w:val="0"/>
      <w:marBottom w:val="0"/>
      <w:divBdr>
        <w:top w:val="single" w:sz="12" w:space="0" w:color="767575"/>
        <w:left w:val="none" w:sz="0" w:space="0" w:color="auto"/>
        <w:bottom w:val="none" w:sz="0" w:space="0" w:color="auto"/>
        <w:right w:val="none" w:sz="0" w:space="0" w:color="auto"/>
      </w:divBdr>
      <w:divsChild>
        <w:div w:id="693075004">
          <w:marLeft w:val="0"/>
          <w:marRight w:val="0"/>
          <w:marTop w:val="0"/>
          <w:marBottom w:val="0"/>
          <w:divBdr>
            <w:top w:val="none" w:sz="0" w:space="0" w:color="auto"/>
            <w:left w:val="none" w:sz="0" w:space="0" w:color="auto"/>
            <w:bottom w:val="none" w:sz="0" w:space="0" w:color="auto"/>
            <w:right w:val="none" w:sz="0" w:space="0" w:color="auto"/>
          </w:divBdr>
          <w:divsChild>
            <w:div w:id="536429957">
              <w:marLeft w:val="0"/>
              <w:marRight w:val="0"/>
              <w:marTop w:val="0"/>
              <w:marBottom w:val="0"/>
              <w:divBdr>
                <w:top w:val="none" w:sz="0" w:space="0" w:color="auto"/>
                <w:left w:val="none" w:sz="0" w:space="0" w:color="auto"/>
                <w:bottom w:val="none" w:sz="0" w:space="0" w:color="auto"/>
                <w:right w:val="none" w:sz="0" w:space="0" w:color="auto"/>
              </w:divBdr>
              <w:divsChild>
                <w:div w:id="158742008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53907697">
                      <w:marLeft w:val="300"/>
                      <w:marRight w:val="0"/>
                      <w:marTop w:val="0"/>
                      <w:marBottom w:val="0"/>
                      <w:divBdr>
                        <w:top w:val="none" w:sz="0" w:space="0" w:color="auto"/>
                        <w:left w:val="none" w:sz="0" w:space="0" w:color="auto"/>
                        <w:bottom w:val="none" w:sz="0" w:space="0" w:color="auto"/>
                        <w:right w:val="none" w:sz="0" w:space="0" w:color="auto"/>
                      </w:divBdr>
                      <w:divsChild>
                        <w:div w:id="1372537516">
                          <w:marLeft w:val="0"/>
                          <w:marRight w:val="0"/>
                          <w:marTop w:val="0"/>
                          <w:marBottom w:val="0"/>
                          <w:divBdr>
                            <w:top w:val="none" w:sz="0" w:space="0" w:color="auto"/>
                            <w:left w:val="none" w:sz="0" w:space="0" w:color="auto"/>
                            <w:bottom w:val="none" w:sz="0" w:space="0" w:color="auto"/>
                            <w:right w:val="none" w:sz="0" w:space="0" w:color="auto"/>
                          </w:divBdr>
                          <w:divsChild>
                            <w:div w:id="14940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738558">
      <w:bodyDiv w:val="1"/>
      <w:marLeft w:val="0"/>
      <w:marRight w:val="0"/>
      <w:marTop w:val="0"/>
      <w:marBottom w:val="0"/>
      <w:divBdr>
        <w:top w:val="single" w:sz="12" w:space="0" w:color="767575"/>
        <w:left w:val="none" w:sz="0" w:space="0" w:color="auto"/>
        <w:bottom w:val="none" w:sz="0" w:space="0" w:color="auto"/>
        <w:right w:val="none" w:sz="0" w:space="0" w:color="auto"/>
      </w:divBdr>
      <w:divsChild>
        <w:div w:id="1007748915">
          <w:marLeft w:val="0"/>
          <w:marRight w:val="0"/>
          <w:marTop w:val="0"/>
          <w:marBottom w:val="0"/>
          <w:divBdr>
            <w:top w:val="none" w:sz="0" w:space="0" w:color="auto"/>
            <w:left w:val="none" w:sz="0" w:space="0" w:color="auto"/>
            <w:bottom w:val="none" w:sz="0" w:space="0" w:color="auto"/>
            <w:right w:val="none" w:sz="0" w:space="0" w:color="auto"/>
          </w:divBdr>
          <w:divsChild>
            <w:div w:id="1676105255">
              <w:marLeft w:val="0"/>
              <w:marRight w:val="0"/>
              <w:marTop w:val="0"/>
              <w:marBottom w:val="0"/>
              <w:divBdr>
                <w:top w:val="none" w:sz="0" w:space="0" w:color="auto"/>
                <w:left w:val="none" w:sz="0" w:space="0" w:color="auto"/>
                <w:bottom w:val="none" w:sz="0" w:space="0" w:color="auto"/>
                <w:right w:val="none" w:sz="0" w:space="0" w:color="auto"/>
              </w:divBdr>
              <w:divsChild>
                <w:div w:id="31761859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604142199">
                      <w:marLeft w:val="300"/>
                      <w:marRight w:val="0"/>
                      <w:marTop w:val="0"/>
                      <w:marBottom w:val="0"/>
                      <w:divBdr>
                        <w:top w:val="none" w:sz="0" w:space="0" w:color="auto"/>
                        <w:left w:val="none" w:sz="0" w:space="0" w:color="auto"/>
                        <w:bottom w:val="none" w:sz="0" w:space="0" w:color="auto"/>
                        <w:right w:val="none" w:sz="0" w:space="0" w:color="auto"/>
                      </w:divBdr>
                      <w:divsChild>
                        <w:div w:id="736974883">
                          <w:marLeft w:val="0"/>
                          <w:marRight w:val="0"/>
                          <w:marTop w:val="0"/>
                          <w:marBottom w:val="0"/>
                          <w:divBdr>
                            <w:top w:val="none" w:sz="0" w:space="0" w:color="auto"/>
                            <w:left w:val="none" w:sz="0" w:space="0" w:color="auto"/>
                            <w:bottom w:val="none" w:sz="0" w:space="0" w:color="auto"/>
                            <w:right w:val="none" w:sz="0" w:space="0" w:color="auto"/>
                          </w:divBdr>
                          <w:divsChild>
                            <w:div w:id="1432898093">
                              <w:marLeft w:val="0"/>
                              <w:marRight w:val="0"/>
                              <w:marTop w:val="0"/>
                              <w:marBottom w:val="0"/>
                              <w:divBdr>
                                <w:top w:val="none" w:sz="0" w:space="0" w:color="auto"/>
                                <w:left w:val="none" w:sz="0" w:space="0" w:color="auto"/>
                                <w:bottom w:val="none" w:sz="0" w:space="0" w:color="auto"/>
                                <w:right w:val="none" w:sz="0" w:space="0" w:color="auto"/>
                              </w:divBdr>
                              <w:divsChild>
                                <w:div w:id="488056690">
                                  <w:marLeft w:val="0"/>
                                  <w:marRight w:val="0"/>
                                  <w:marTop w:val="0"/>
                                  <w:marBottom w:val="0"/>
                                  <w:divBdr>
                                    <w:top w:val="none" w:sz="0" w:space="0" w:color="auto"/>
                                    <w:left w:val="none" w:sz="0" w:space="0" w:color="auto"/>
                                    <w:bottom w:val="none" w:sz="0" w:space="0" w:color="auto"/>
                                    <w:right w:val="none" w:sz="0" w:space="0" w:color="auto"/>
                                  </w:divBdr>
                                  <w:divsChild>
                                    <w:div w:id="849831550">
                                      <w:marLeft w:val="0"/>
                                      <w:marRight w:val="0"/>
                                      <w:marTop w:val="0"/>
                                      <w:marBottom w:val="0"/>
                                      <w:divBdr>
                                        <w:top w:val="none" w:sz="0" w:space="0" w:color="auto"/>
                                        <w:left w:val="none" w:sz="0" w:space="0" w:color="auto"/>
                                        <w:bottom w:val="none" w:sz="0" w:space="0" w:color="auto"/>
                                        <w:right w:val="none" w:sz="0" w:space="0" w:color="auto"/>
                                      </w:divBdr>
                                      <w:divsChild>
                                        <w:div w:id="1849563259">
                                          <w:marLeft w:val="0"/>
                                          <w:marRight w:val="0"/>
                                          <w:marTop w:val="0"/>
                                          <w:marBottom w:val="0"/>
                                          <w:divBdr>
                                            <w:top w:val="none" w:sz="0" w:space="0" w:color="auto"/>
                                            <w:left w:val="none" w:sz="0" w:space="0" w:color="auto"/>
                                            <w:bottom w:val="none" w:sz="0" w:space="0" w:color="auto"/>
                                            <w:right w:val="none" w:sz="0" w:space="0" w:color="auto"/>
                                          </w:divBdr>
                                          <w:divsChild>
                                            <w:div w:id="4239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549104">
      <w:bodyDiv w:val="1"/>
      <w:marLeft w:val="0"/>
      <w:marRight w:val="0"/>
      <w:marTop w:val="0"/>
      <w:marBottom w:val="0"/>
      <w:divBdr>
        <w:top w:val="single" w:sz="12" w:space="0" w:color="767575"/>
        <w:left w:val="none" w:sz="0" w:space="0" w:color="auto"/>
        <w:bottom w:val="none" w:sz="0" w:space="0" w:color="auto"/>
        <w:right w:val="none" w:sz="0" w:space="0" w:color="auto"/>
      </w:divBdr>
      <w:divsChild>
        <w:div w:id="826828521">
          <w:marLeft w:val="0"/>
          <w:marRight w:val="0"/>
          <w:marTop w:val="0"/>
          <w:marBottom w:val="0"/>
          <w:divBdr>
            <w:top w:val="none" w:sz="0" w:space="0" w:color="auto"/>
            <w:left w:val="none" w:sz="0" w:space="0" w:color="auto"/>
            <w:bottom w:val="none" w:sz="0" w:space="0" w:color="auto"/>
            <w:right w:val="none" w:sz="0" w:space="0" w:color="auto"/>
          </w:divBdr>
          <w:divsChild>
            <w:div w:id="1580363895">
              <w:marLeft w:val="0"/>
              <w:marRight w:val="0"/>
              <w:marTop w:val="0"/>
              <w:marBottom w:val="0"/>
              <w:divBdr>
                <w:top w:val="none" w:sz="0" w:space="0" w:color="auto"/>
                <w:left w:val="none" w:sz="0" w:space="0" w:color="auto"/>
                <w:bottom w:val="none" w:sz="0" w:space="0" w:color="auto"/>
                <w:right w:val="none" w:sz="0" w:space="0" w:color="auto"/>
              </w:divBdr>
              <w:divsChild>
                <w:div w:id="124460637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59547190">
                      <w:marLeft w:val="300"/>
                      <w:marRight w:val="0"/>
                      <w:marTop w:val="0"/>
                      <w:marBottom w:val="0"/>
                      <w:divBdr>
                        <w:top w:val="none" w:sz="0" w:space="0" w:color="auto"/>
                        <w:left w:val="none" w:sz="0" w:space="0" w:color="auto"/>
                        <w:bottom w:val="none" w:sz="0" w:space="0" w:color="auto"/>
                        <w:right w:val="none" w:sz="0" w:space="0" w:color="auto"/>
                      </w:divBdr>
                      <w:divsChild>
                        <w:div w:id="1952008227">
                          <w:marLeft w:val="0"/>
                          <w:marRight w:val="0"/>
                          <w:marTop w:val="0"/>
                          <w:marBottom w:val="0"/>
                          <w:divBdr>
                            <w:top w:val="none" w:sz="0" w:space="0" w:color="auto"/>
                            <w:left w:val="none" w:sz="0" w:space="0" w:color="auto"/>
                            <w:bottom w:val="none" w:sz="0" w:space="0" w:color="auto"/>
                            <w:right w:val="none" w:sz="0" w:space="0" w:color="auto"/>
                          </w:divBdr>
                          <w:divsChild>
                            <w:div w:id="23218831">
                              <w:marLeft w:val="0"/>
                              <w:marRight w:val="0"/>
                              <w:marTop w:val="0"/>
                              <w:marBottom w:val="0"/>
                              <w:divBdr>
                                <w:top w:val="none" w:sz="0" w:space="0" w:color="auto"/>
                                <w:left w:val="none" w:sz="0" w:space="0" w:color="auto"/>
                                <w:bottom w:val="none" w:sz="0" w:space="0" w:color="auto"/>
                                <w:right w:val="none" w:sz="0" w:space="0" w:color="auto"/>
                              </w:divBdr>
                              <w:divsChild>
                                <w:div w:id="1796873979">
                                  <w:marLeft w:val="0"/>
                                  <w:marRight w:val="0"/>
                                  <w:marTop w:val="0"/>
                                  <w:marBottom w:val="0"/>
                                  <w:divBdr>
                                    <w:top w:val="none" w:sz="0" w:space="0" w:color="auto"/>
                                    <w:left w:val="none" w:sz="0" w:space="0" w:color="auto"/>
                                    <w:bottom w:val="none" w:sz="0" w:space="0" w:color="auto"/>
                                    <w:right w:val="none" w:sz="0" w:space="0" w:color="auto"/>
                                  </w:divBdr>
                                  <w:divsChild>
                                    <w:div w:id="631836562">
                                      <w:marLeft w:val="0"/>
                                      <w:marRight w:val="0"/>
                                      <w:marTop w:val="0"/>
                                      <w:marBottom w:val="0"/>
                                      <w:divBdr>
                                        <w:top w:val="none" w:sz="0" w:space="0" w:color="auto"/>
                                        <w:left w:val="none" w:sz="0" w:space="0" w:color="auto"/>
                                        <w:bottom w:val="none" w:sz="0" w:space="0" w:color="auto"/>
                                        <w:right w:val="none" w:sz="0" w:space="0" w:color="auto"/>
                                      </w:divBdr>
                                      <w:divsChild>
                                        <w:div w:id="1187133225">
                                          <w:marLeft w:val="0"/>
                                          <w:marRight w:val="0"/>
                                          <w:marTop w:val="0"/>
                                          <w:marBottom w:val="0"/>
                                          <w:divBdr>
                                            <w:top w:val="none" w:sz="0" w:space="0" w:color="auto"/>
                                            <w:left w:val="none" w:sz="0" w:space="0" w:color="auto"/>
                                            <w:bottom w:val="none" w:sz="0" w:space="0" w:color="auto"/>
                                            <w:right w:val="none" w:sz="0" w:space="0" w:color="auto"/>
                                          </w:divBdr>
                                          <w:divsChild>
                                            <w:div w:id="10082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926487">
      <w:bodyDiv w:val="1"/>
      <w:marLeft w:val="0"/>
      <w:marRight w:val="0"/>
      <w:marTop w:val="0"/>
      <w:marBottom w:val="0"/>
      <w:divBdr>
        <w:top w:val="none" w:sz="0" w:space="0" w:color="auto"/>
        <w:left w:val="none" w:sz="0" w:space="0" w:color="auto"/>
        <w:bottom w:val="none" w:sz="0" w:space="0" w:color="auto"/>
        <w:right w:val="none" w:sz="0" w:space="0" w:color="auto"/>
      </w:divBdr>
      <w:divsChild>
        <w:div w:id="1377008540">
          <w:marLeft w:val="0"/>
          <w:marRight w:val="0"/>
          <w:marTop w:val="0"/>
          <w:marBottom w:val="0"/>
          <w:divBdr>
            <w:top w:val="none" w:sz="0" w:space="0" w:color="auto"/>
            <w:left w:val="none" w:sz="0" w:space="0" w:color="auto"/>
            <w:bottom w:val="none" w:sz="0" w:space="0" w:color="auto"/>
            <w:right w:val="none" w:sz="0" w:space="0" w:color="auto"/>
          </w:divBdr>
          <w:divsChild>
            <w:div w:id="2038893437">
              <w:marLeft w:val="0"/>
              <w:marRight w:val="0"/>
              <w:marTop w:val="0"/>
              <w:marBottom w:val="0"/>
              <w:divBdr>
                <w:top w:val="none" w:sz="0" w:space="0" w:color="auto"/>
                <w:left w:val="none" w:sz="0" w:space="0" w:color="auto"/>
                <w:bottom w:val="none" w:sz="0" w:space="0" w:color="auto"/>
                <w:right w:val="none" w:sz="0" w:space="0" w:color="auto"/>
              </w:divBdr>
              <w:divsChild>
                <w:div w:id="703291482">
                  <w:marLeft w:val="-225"/>
                  <w:marRight w:val="-225"/>
                  <w:marTop w:val="0"/>
                  <w:marBottom w:val="0"/>
                  <w:divBdr>
                    <w:top w:val="none" w:sz="0" w:space="0" w:color="auto"/>
                    <w:left w:val="none" w:sz="0" w:space="0" w:color="auto"/>
                    <w:bottom w:val="none" w:sz="0" w:space="0" w:color="auto"/>
                    <w:right w:val="none" w:sz="0" w:space="0" w:color="auto"/>
                  </w:divBdr>
                  <w:divsChild>
                    <w:div w:id="19138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452656">
      <w:bodyDiv w:val="1"/>
      <w:marLeft w:val="0"/>
      <w:marRight w:val="0"/>
      <w:marTop w:val="0"/>
      <w:marBottom w:val="0"/>
      <w:divBdr>
        <w:top w:val="none" w:sz="0" w:space="0" w:color="auto"/>
        <w:left w:val="none" w:sz="0" w:space="0" w:color="auto"/>
        <w:bottom w:val="none" w:sz="0" w:space="0" w:color="auto"/>
        <w:right w:val="none" w:sz="0" w:space="0" w:color="auto"/>
      </w:divBdr>
    </w:div>
    <w:div w:id="1088231955">
      <w:bodyDiv w:val="1"/>
      <w:marLeft w:val="0"/>
      <w:marRight w:val="0"/>
      <w:marTop w:val="0"/>
      <w:marBottom w:val="0"/>
      <w:divBdr>
        <w:top w:val="single" w:sz="12" w:space="0" w:color="767575"/>
        <w:left w:val="none" w:sz="0" w:space="0" w:color="auto"/>
        <w:bottom w:val="none" w:sz="0" w:space="0" w:color="auto"/>
        <w:right w:val="none" w:sz="0" w:space="0" w:color="auto"/>
      </w:divBdr>
      <w:divsChild>
        <w:div w:id="187958701">
          <w:marLeft w:val="0"/>
          <w:marRight w:val="0"/>
          <w:marTop w:val="0"/>
          <w:marBottom w:val="0"/>
          <w:divBdr>
            <w:top w:val="none" w:sz="0" w:space="0" w:color="auto"/>
            <w:left w:val="none" w:sz="0" w:space="0" w:color="auto"/>
            <w:bottom w:val="none" w:sz="0" w:space="0" w:color="auto"/>
            <w:right w:val="none" w:sz="0" w:space="0" w:color="auto"/>
          </w:divBdr>
          <w:divsChild>
            <w:div w:id="1199467321">
              <w:marLeft w:val="0"/>
              <w:marRight w:val="0"/>
              <w:marTop w:val="0"/>
              <w:marBottom w:val="0"/>
              <w:divBdr>
                <w:top w:val="none" w:sz="0" w:space="0" w:color="auto"/>
                <w:left w:val="none" w:sz="0" w:space="0" w:color="auto"/>
                <w:bottom w:val="none" w:sz="0" w:space="0" w:color="auto"/>
                <w:right w:val="none" w:sz="0" w:space="0" w:color="auto"/>
              </w:divBdr>
              <w:divsChild>
                <w:div w:id="4695492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56854156">
                      <w:marLeft w:val="300"/>
                      <w:marRight w:val="0"/>
                      <w:marTop w:val="0"/>
                      <w:marBottom w:val="0"/>
                      <w:divBdr>
                        <w:top w:val="none" w:sz="0" w:space="0" w:color="auto"/>
                        <w:left w:val="none" w:sz="0" w:space="0" w:color="auto"/>
                        <w:bottom w:val="none" w:sz="0" w:space="0" w:color="auto"/>
                        <w:right w:val="none" w:sz="0" w:space="0" w:color="auto"/>
                      </w:divBdr>
                      <w:divsChild>
                        <w:div w:id="150561282">
                          <w:marLeft w:val="0"/>
                          <w:marRight w:val="0"/>
                          <w:marTop w:val="0"/>
                          <w:marBottom w:val="0"/>
                          <w:divBdr>
                            <w:top w:val="none" w:sz="0" w:space="0" w:color="auto"/>
                            <w:left w:val="none" w:sz="0" w:space="0" w:color="auto"/>
                            <w:bottom w:val="none" w:sz="0" w:space="0" w:color="auto"/>
                            <w:right w:val="none" w:sz="0" w:space="0" w:color="auto"/>
                          </w:divBdr>
                          <w:divsChild>
                            <w:div w:id="192591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950875">
      <w:bodyDiv w:val="1"/>
      <w:marLeft w:val="0"/>
      <w:marRight w:val="0"/>
      <w:marTop w:val="0"/>
      <w:marBottom w:val="0"/>
      <w:divBdr>
        <w:top w:val="none" w:sz="0" w:space="0" w:color="auto"/>
        <w:left w:val="none" w:sz="0" w:space="0" w:color="auto"/>
        <w:bottom w:val="none" w:sz="0" w:space="0" w:color="auto"/>
        <w:right w:val="none" w:sz="0" w:space="0" w:color="auto"/>
      </w:divBdr>
    </w:div>
    <w:div w:id="1190989039">
      <w:bodyDiv w:val="1"/>
      <w:marLeft w:val="0"/>
      <w:marRight w:val="0"/>
      <w:marTop w:val="0"/>
      <w:marBottom w:val="0"/>
      <w:divBdr>
        <w:top w:val="none" w:sz="0" w:space="0" w:color="auto"/>
        <w:left w:val="none" w:sz="0" w:space="0" w:color="auto"/>
        <w:bottom w:val="none" w:sz="0" w:space="0" w:color="auto"/>
        <w:right w:val="none" w:sz="0" w:space="0" w:color="auto"/>
      </w:divBdr>
      <w:divsChild>
        <w:div w:id="1482964578">
          <w:marLeft w:val="0"/>
          <w:marRight w:val="0"/>
          <w:marTop w:val="0"/>
          <w:marBottom w:val="0"/>
          <w:divBdr>
            <w:top w:val="none" w:sz="0" w:space="0" w:color="auto"/>
            <w:left w:val="none" w:sz="0" w:space="0" w:color="auto"/>
            <w:bottom w:val="none" w:sz="0" w:space="0" w:color="auto"/>
            <w:right w:val="none" w:sz="0" w:space="0" w:color="auto"/>
          </w:divBdr>
        </w:div>
        <w:div w:id="1107576391">
          <w:marLeft w:val="0"/>
          <w:marRight w:val="0"/>
          <w:marTop w:val="0"/>
          <w:marBottom w:val="0"/>
          <w:divBdr>
            <w:top w:val="none" w:sz="0" w:space="0" w:color="auto"/>
            <w:left w:val="none" w:sz="0" w:space="0" w:color="auto"/>
            <w:bottom w:val="none" w:sz="0" w:space="0" w:color="auto"/>
            <w:right w:val="none" w:sz="0" w:space="0" w:color="auto"/>
          </w:divBdr>
        </w:div>
        <w:div w:id="573898890">
          <w:marLeft w:val="0"/>
          <w:marRight w:val="0"/>
          <w:marTop w:val="0"/>
          <w:marBottom w:val="0"/>
          <w:divBdr>
            <w:top w:val="none" w:sz="0" w:space="0" w:color="auto"/>
            <w:left w:val="none" w:sz="0" w:space="0" w:color="auto"/>
            <w:bottom w:val="none" w:sz="0" w:space="0" w:color="auto"/>
            <w:right w:val="none" w:sz="0" w:space="0" w:color="auto"/>
          </w:divBdr>
        </w:div>
      </w:divsChild>
    </w:div>
    <w:div w:id="1334147086">
      <w:bodyDiv w:val="1"/>
      <w:marLeft w:val="0"/>
      <w:marRight w:val="0"/>
      <w:marTop w:val="0"/>
      <w:marBottom w:val="0"/>
      <w:divBdr>
        <w:top w:val="none" w:sz="0" w:space="0" w:color="auto"/>
        <w:left w:val="none" w:sz="0" w:space="0" w:color="auto"/>
        <w:bottom w:val="none" w:sz="0" w:space="0" w:color="auto"/>
        <w:right w:val="none" w:sz="0" w:space="0" w:color="auto"/>
      </w:divBdr>
    </w:div>
    <w:div w:id="1574580183">
      <w:bodyDiv w:val="1"/>
      <w:marLeft w:val="0"/>
      <w:marRight w:val="0"/>
      <w:marTop w:val="0"/>
      <w:marBottom w:val="0"/>
      <w:divBdr>
        <w:top w:val="none" w:sz="0" w:space="0" w:color="auto"/>
        <w:left w:val="none" w:sz="0" w:space="0" w:color="auto"/>
        <w:bottom w:val="none" w:sz="0" w:space="0" w:color="auto"/>
        <w:right w:val="none" w:sz="0" w:space="0" w:color="auto"/>
      </w:divBdr>
    </w:div>
    <w:div w:id="1645506144">
      <w:bodyDiv w:val="1"/>
      <w:marLeft w:val="0"/>
      <w:marRight w:val="0"/>
      <w:marTop w:val="0"/>
      <w:marBottom w:val="0"/>
      <w:divBdr>
        <w:top w:val="none" w:sz="0" w:space="0" w:color="auto"/>
        <w:left w:val="none" w:sz="0" w:space="0" w:color="auto"/>
        <w:bottom w:val="none" w:sz="0" w:space="0" w:color="auto"/>
        <w:right w:val="none" w:sz="0" w:space="0" w:color="auto"/>
      </w:divBdr>
      <w:divsChild>
        <w:div w:id="1313605141">
          <w:marLeft w:val="0"/>
          <w:marRight w:val="0"/>
          <w:marTop w:val="0"/>
          <w:marBottom w:val="240"/>
          <w:divBdr>
            <w:top w:val="none" w:sz="0" w:space="0" w:color="auto"/>
            <w:left w:val="none" w:sz="0" w:space="0" w:color="auto"/>
            <w:bottom w:val="none" w:sz="0" w:space="0" w:color="auto"/>
            <w:right w:val="none" w:sz="0" w:space="0" w:color="auto"/>
          </w:divBdr>
        </w:div>
        <w:div w:id="1839691959">
          <w:marLeft w:val="0"/>
          <w:marRight w:val="0"/>
          <w:marTop w:val="0"/>
          <w:marBottom w:val="240"/>
          <w:divBdr>
            <w:top w:val="none" w:sz="0" w:space="0" w:color="auto"/>
            <w:left w:val="none" w:sz="0" w:space="0" w:color="auto"/>
            <w:bottom w:val="none" w:sz="0" w:space="0" w:color="auto"/>
            <w:right w:val="none" w:sz="0" w:space="0" w:color="auto"/>
          </w:divBdr>
        </w:div>
        <w:div w:id="937835870">
          <w:marLeft w:val="0"/>
          <w:marRight w:val="0"/>
          <w:marTop w:val="0"/>
          <w:marBottom w:val="240"/>
          <w:divBdr>
            <w:top w:val="none" w:sz="0" w:space="0" w:color="auto"/>
            <w:left w:val="none" w:sz="0" w:space="0" w:color="auto"/>
            <w:bottom w:val="none" w:sz="0" w:space="0" w:color="auto"/>
            <w:right w:val="none" w:sz="0" w:space="0" w:color="auto"/>
          </w:divBdr>
        </w:div>
      </w:divsChild>
    </w:div>
    <w:div w:id="1646424703">
      <w:bodyDiv w:val="1"/>
      <w:marLeft w:val="0"/>
      <w:marRight w:val="0"/>
      <w:marTop w:val="0"/>
      <w:marBottom w:val="0"/>
      <w:divBdr>
        <w:top w:val="single" w:sz="12" w:space="0" w:color="767575"/>
        <w:left w:val="none" w:sz="0" w:space="0" w:color="auto"/>
        <w:bottom w:val="none" w:sz="0" w:space="0" w:color="auto"/>
        <w:right w:val="none" w:sz="0" w:space="0" w:color="auto"/>
      </w:divBdr>
      <w:divsChild>
        <w:div w:id="844057918">
          <w:marLeft w:val="0"/>
          <w:marRight w:val="0"/>
          <w:marTop w:val="0"/>
          <w:marBottom w:val="0"/>
          <w:divBdr>
            <w:top w:val="none" w:sz="0" w:space="0" w:color="auto"/>
            <w:left w:val="none" w:sz="0" w:space="0" w:color="auto"/>
            <w:bottom w:val="none" w:sz="0" w:space="0" w:color="auto"/>
            <w:right w:val="none" w:sz="0" w:space="0" w:color="auto"/>
          </w:divBdr>
          <w:divsChild>
            <w:div w:id="1385716937">
              <w:marLeft w:val="0"/>
              <w:marRight w:val="0"/>
              <w:marTop w:val="0"/>
              <w:marBottom w:val="0"/>
              <w:divBdr>
                <w:top w:val="none" w:sz="0" w:space="0" w:color="auto"/>
                <w:left w:val="none" w:sz="0" w:space="0" w:color="auto"/>
                <w:bottom w:val="none" w:sz="0" w:space="0" w:color="auto"/>
                <w:right w:val="none" w:sz="0" w:space="0" w:color="auto"/>
              </w:divBdr>
              <w:divsChild>
                <w:div w:id="56144734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673724514">
                      <w:marLeft w:val="300"/>
                      <w:marRight w:val="0"/>
                      <w:marTop w:val="0"/>
                      <w:marBottom w:val="0"/>
                      <w:divBdr>
                        <w:top w:val="none" w:sz="0" w:space="0" w:color="auto"/>
                        <w:left w:val="none" w:sz="0" w:space="0" w:color="auto"/>
                        <w:bottom w:val="none" w:sz="0" w:space="0" w:color="auto"/>
                        <w:right w:val="none" w:sz="0" w:space="0" w:color="auto"/>
                      </w:divBdr>
                      <w:divsChild>
                        <w:div w:id="1740013264">
                          <w:marLeft w:val="0"/>
                          <w:marRight w:val="0"/>
                          <w:marTop w:val="0"/>
                          <w:marBottom w:val="0"/>
                          <w:divBdr>
                            <w:top w:val="none" w:sz="0" w:space="0" w:color="auto"/>
                            <w:left w:val="none" w:sz="0" w:space="0" w:color="auto"/>
                            <w:bottom w:val="none" w:sz="0" w:space="0" w:color="auto"/>
                            <w:right w:val="none" w:sz="0" w:space="0" w:color="auto"/>
                          </w:divBdr>
                          <w:divsChild>
                            <w:div w:id="309869234">
                              <w:marLeft w:val="0"/>
                              <w:marRight w:val="0"/>
                              <w:marTop w:val="0"/>
                              <w:marBottom w:val="0"/>
                              <w:divBdr>
                                <w:top w:val="none" w:sz="0" w:space="0" w:color="auto"/>
                                <w:left w:val="none" w:sz="0" w:space="0" w:color="auto"/>
                                <w:bottom w:val="none" w:sz="0" w:space="0" w:color="auto"/>
                                <w:right w:val="none" w:sz="0" w:space="0" w:color="auto"/>
                              </w:divBdr>
                              <w:divsChild>
                                <w:div w:id="679939944">
                                  <w:marLeft w:val="0"/>
                                  <w:marRight w:val="0"/>
                                  <w:marTop w:val="0"/>
                                  <w:marBottom w:val="0"/>
                                  <w:divBdr>
                                    <w:top w:val="none" w:sz="0" w:space="0" w:color="auto"/>
                                    <w:left w:val="none" w:sz="0" w:space="0" w:color="auto"/>
                                    <w:bottom w:val="none" w:sz="0" w:space="0" w:color="auto"/>
                                    <w:right w:val="none" w:sz="0" w:space="0" w:color="auto"/>
                                  </w:divBdr>
                                  <w:divsChild>
                                    <w:div w:id="201094760">
                                      <w:marLeft w:val="0"/>
                                      <w:marRight w:val="0"/>
                                      <w:marTop w:val="0"/>
                                      <w:marBottom w:val="0"/>
                                      <w:divBdr>
                                        <w:top w:val="none" w:sz="0" w:space="0" w:color="auto"/>
                                        <w:left w:val="none" w:sz="0" w:space="0" w:color="auto"/>
                                        <w:bottom w:val="none" w:sz="0" w:space="0" w:color="auto"/>
                                        <w:right w:val="none" w:sz="0" w:space="0" w:color="auto"/>
                                      </w:divBdr>
                                      <w:divsChild>
                                        <w:div w:id="1942688196">
                                          <w:marLeft w:val="0"/>
                                          <w:marRight w:val="0"/>
                                          <w:marTop w:val="0"/>
                                          <w:marBottom w:val="0"/>
                                          <w:divBdr>
                                            <w:top w:val="none" w:sz="0" w:space="0" w:color="auto"/>
                                            <w:left w:val="none" w:sz="0" w:space="0" w:color="auto"/>
                                            <w:bottom w:val="none" w:sz="0" w:space="0" w:color="auto"/>
                                            <w:right w:val="none" w:sz="0" w:space="0" w:color="auto"/>
                                          </w:divBdr>
                                          <w:divsChild>
                                            <w:div w:id="2820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7782569">
      <w:bodyDiv w:val="1"/>
      <w:marLeft w:val="0"/>
      <w:marRight w:val="0"/>
      <w:marTop w:val="0"/>
      <w:marBottom w:val="0"/>
      <w:divBdr>
        <w:top w:val="none" w:sz="0" w:space="0" w:color="auto"/>
        <w:left w:val="none" w:sz="0" w:space="0" w:color="auto"/>
        <w:bottom w:val="none" w:sz="0" w:space="0" w:color="auto"/>
        <w:right w:val="none" w:sz="0" w:space="0" w:color="auto"/>
      </w:divBdr>
      <w:divsChild>
        <w:div w:id="473764054">
          <w:marLeft w:val="0"/>
          <w:marRight w:val="0"/>
          <w:marTop w:val="0"/>
          <w:marBottom w:val="0"/>
          <w:divBdr>
            <w:top w:val="none" w:sz="0" w:space="0" w:color="auto"/>
            <w:left w:val="none" w:sz="0" w:space="0" w:color="auto"/>
            <w:bottom w:val="none" w:sz="0" w:space="0" w:color="auto"/>
            <w:right w:val="none" w:sz="0" w:space="0" w:color="auto"/>
          </w:divBdr>
        </w:div>
        <w:div w:id="2139568746">
          <w:marLeft w:val="0"/>
          <w:marRight w:val="0"/>
          <w:marTop w:val="0"/>
          <w:marBottom w:val="0"/>
          <w:divBdr>
            <w:top w:val="none" w:sz="0" w:space="0" w:color="auto"/>
            <w:left w:val="none" w:sz="0" w:space="0" w:color="auto"/>
            <w:bottom w:val="none" w:sz="0" w:space="0" w:color="auto"/>
            <w:right w:val="none" w:sz="0" w:space="0" w:color="auto"/>
          </w:divBdr>
        </w:div>
        <w:div w:id="326834857">
          <w:marLeft w:val="0"/>
          <w:marRight w:val="0"/>
          <w:marTop w:val="0"/>
          <w:marBottom w:val="0"/>
          <w:divBdr>
            <w:top w:val="none" w:sz="0" w:space="0" w:color="auto"/>
            <w:left w:val="none" w:sz="0" w:space="0" w:color="auto"/>
            <w:bottom w:val="none" w:sz="0" w:space="0" w:color="auto"/>
            <w:right w:val="none" w:sz="0" w:space="0" w:color="auto"/>
          </w:divBdr>
        </w:div>
      </w:divsChild>
    </w:div>
    <w:div w:id="1675182406">
      <w:bodyDiv w:val="1"/>
      <w:marLeft w:val="0"/>
      <w:marRight w:val="0"/>
      <w:marTop w:val="0"/>
      <w:marBottom w:val="0"/>
      <w:divBdr>
        <w:top w:val="none" w:sz="0" w:space="0" w:color="auto"/>
        <w:left w:val="none" w:sz="0" w:space="0" w:color="auto"/>
        <w:bottom w:val="none" w:sz="0" w:space="0" w:color="auto"/>
        <w:right w:val="none" w:sz="0" w:space="0" w:color="auto"/>
      </w:divBdr>
    </w:div>
    <w:div w:id="1787457755">
      <w:bodyDiv w:val="1"/>
      <w:marLeft w:val="0"/>
      <w:marRight w:val="0"/>
      <w:marTop w:val="0"/>
      <w:marBottom w:val="0"/>
      <w:divBdr>
        <w:top w:val="none" w:sz="0" w:space="0" w:color="auto"/>
        <w:left w:val="none" w:sz="0" w:space="0" w:color="auto"/>
        <w:bottom w:val="none" w:sz="0" w:space="0" w:color="auto"/>
        <w:right w:val="none" w:sz="0" w:space="0" w:color="auto"/>
      </w:divBdr>
      <w:divsChild>
        <w:div w:id="128326107">
          <w:marLeft w:val="0"/>
          <w:marRight w:val="0"/>
          <w:marTop w:val="0"/>
          <w:marBottom w:val="0"/>
          <w:divBdr>
            <w:top w:val="none" w:sz="0" w:space="0" w:color="auto"/>
            <w:left w:val="none" w:sz="0" w:space="0" w:color="auto"/>
            <w:bottom w:val="none" w:sz="0" w:space="0" w:color="auto"/>
            <w:right w:val="none" w:sz="0" w:space="0" w:color="auto"/>
          </w:divBdr>
          <w:divsChild>
            <w:div w:id="414939335">
              <w:marLeft w:val="0"/>
              <w:marRight w:val="0"/>
              <w:marTop w:val="0"/>
              <w:marBottom w:val="0"/>
              <w:divBdr>
                <w:top w:val="none" w:sz="0" w:space="0" w:color="auto"/>
                <w:left w:val="none" w:sz="0" w:space="0" w:color="auto"/>
                <w:bottom w:val="none" w:sz="0" w:space="0" w:color="auto"/>
                <w:right w:val="none" w:sz="0" w:space="0" w:color="auto"/>
              </w:divBdr>
              <w:divsChild>
                <w:div w:id="795876908">
                  <w:marLeft w:val="0"/>
                  <w:marRight w:val="0"/>
                  <w:marTop w:val="0"/>
                  <w:marBottom w:val="0"/>
                  <w:divBdr>
                    <w:top w:val="none" w:sz="0" w:space="0" w:color="auto"/>
                    <w:left w:val="none" w:sz="0" w:space="0" w:color="auto"/>
                    <w:bottom w:val="none" w:sz="0" w:space="0" w:color="auto"/>
                    <w:right w:val="none" w:sz="0" w:space="0" w:color="auto"/>
                  </w:divBdr>
                  <w:divsChild>
                    <w:div w:id="1562326625">
                      <w:marLeft w:val="0"/>
                      <w:marRight w:val="0"/>
                      <w:marTop w:val="0"/>
                      <w:marBottom w:val="0"/>
                      <w:divBdr>
                        <w:top w:val="none" w:sz="0" w:space="0" w:color="auto"/>
                        <w:left w:val="single" w:sz="6" w:space="8" w:color="CCCCCC"/>
                        <w:bottom w:val="single" w:sz="6" w:space="0" w:color="CCCCCC"/>
                        <w:right w:val="single" w:sz="6" w:space="8" w:color="CCCCCC"/>
                      </w:divBdr>
                    </w:div>
                  </w:divsChild>
                </w:div>
              </w:divsChild>
            </w:div>
          </w:divsChild>
        </w:div>
      </w:divsChild>
    </w:div>
    <w:div w:id="1804301310">
      <w:bodyDiv w:val="1"/>
      <w:marLeft w:val="0"/>
      <w:marRight w:val="0"/>
      <w:marTop w:val="0"/>
      <w:marBottom w:val="0"/>
      <w:divBdr>
        <w:top w:val="none" w:sz="0" w:space="0" w:color="auto"/>
        <w:left w:val="none" w:sz="0" w:space="0" w:color="auto"/>
        <w:bottom w:val="none" w:sz="0" w:space="0" w:color="auto"/>
        <w:right w:val="none" w:sz="0" w:space="0" w:color="auto"/>
      </w:divBdr>
    </w:div>
    <w:div w:id="1898737887">
      <w:bodyDiv w:val="1"/>
      <w:marLeft w:val="0"/>
      <w:marRight w:val="0"/>
      <w:marTop w:val="0"/>
      <w:marBottom w:val="0"/>
      <w:divBdr>
        <w:top w:val="none" w:sz="0" w:space="0" w:color="auto"/>
        <w:left w:val="none" w:sz="0" w:space="0" w:color="auto"/>
        <w:bottom w:val="none" w:sz="0" w:space="0" w:color="auto"/>
        <w:right w:val="none" w:sz="0" w:space="0" w:color="auto"/>
      </w:divBdr>
      <w:divsChild>
        <w:div w:id="1094323604">
          <w:marLeft w:val="0"/>
          <w:marRight w:val="0"/>
          <w:marTop w:val="0"/>
          <w:marBottom w:val="240"/>
          <w:divBdr>
            <w:top w:val="none" w:sz="0" w:space="0" w:color="auto"/>
            <w:left w:val="none" w:sz="0" w:space="0" w:color="auto"/>
            <w:bottom w:val="none" w:sz="0" w:space="0" w:color="auto"/>
            <w:right w:val="none" w:sz="0" w:space="0" w:color="auto"/>
          </w:divBdr>
        </w:div>
        <w:div w:id="1615289964">
          <w:marLeft w:val="0"/>
          <w:marRight w:val="0"/>
          <w:marTop w:val="0"/>
          <w:marBottom w:val="240"/>
          <w:divBdr>
            <w:top w:val="none" w:sz="0" w:space="0" w:color="auto"/>
            <w:left w:val="none" w:sz="0" w:space="0" w:color="auto"/>
            <w:bottom w:val="none" w:sz="0" w:space="0" w:color="auto"/>
            <w:right w:val="none" w:sz="0" w:space="0" w:color="auto"/>
          </w:divBdr>
        </w:div>
      </w:divsChild>
    </w:div>
    <w:div w:id="1986154535">
      <w:bodyDiv w:val="1"/>
      <w:marLeft w:val="0"/>
      <w:marRight w:val="0"/>
      <w:marTop w:val="0"/>
      <w:marBottom w:val="0"/>
      <w:divBdr>
        <w:top w:val="none" w:sz="0" w:space="0" w:color="auto"/>
        <w:left w:val="none" w:sz="0" w:space="0" w:color="auto"/>
        <w:bottom w:val="none" w:sz="0" w:space="0" w:color="auto"/>
        <w:right w:val="none" w:sz="0" w:space="0" w:color="auto"/>
      </w:divBdr>
    </w:div>
    <w:div w:id="2014457311">
      <w:bodyDiv w:val="1"/>
      <w:marLeft w:val="0"/>
      <w:marRight w:val="0"/>
      <w:marTop w:val="0"/>
      <w:marBottom w:val="0"/>
      <w:divBdr>
        <w:top w:val="none" w:sz="0" w:space="0" w:color="auto"/>
        <w:left w:val="none" w:sz="0" w:space="0" w:color="auto"/>
        <w:bottom w:val="none" w:sz="0" w:space="0" w:color="auto"/>
        <w:right w:val="none" w:sz="0" w:space="0" w:color="auto"/>
      </w:divBdr>
      <w:divsChild>
        <w:div w:id="175116649">
          <w:marLeft w:val="0"/>
          <w:marRight w:val="0"/>
          <w:marTop w:val="0"/>
          <w:marBottom w:val="0"/>
          <w:divBdr>
            <w:top w:val="none" w:sz="0" w:space="0" w:color="auto"/>
            <w:left w:val="none" w:sz="0" w:space="0" w:color="auto"/>
            <w:bottom w:val="none" w:sz="0" w:space="0" w:color="auto"/>
            <w:right w:val="none" w:sz="0" w:space="0" w:color="auto"/>
          </w:divBdr>
          <w:divsChild>
            <w:div w:id="380711156">
              <w:marLeft w:val="0"/>
              <w:marRight w:val="0"/>
              <w:marTop w:val="0"/>
              <w:marBottom w:val="0"/>
              <w:divBdr>
                <w:top w:val="none" w:sz="0" w:space="0" w:color="auto"/>
                <w:left w:val="none" w:sz="0" w:space="0" w:color="auto"/>
                <w:bottom w:val="none" w:sz="0" w:space="0" w:color="auto"/>
                <w:right w:val="none" w:sz="0" w:space="0" w:color="auto"/>
              </w:divBdr>
              <w:divsChild>
                <w:div w:id="16277625">
                  <w:marLeft w:val="-225"/>
                  <w:marRight w:val="-225"/>
                  <w:marTop w:val="0"/>
                  <w:marBottom w:val="0"/>
                  <w:divBdr>
                    <w:top w:val="none" w:sz="0" w:space="0" w:color="auto"/>
                    <w:left w:val="none" w:sz="0" w:space="0" w:color="auto"/>
                    <w:bottom w:val="none" w:sz="0" w:space="0" w:color="auto"/>
                    <w:right w:val="none" w:sz="0" w:space="0" w:color="auto"/>
                  </w:divBdr>
                  <w:divsChild>
                    <w:div w:id="12774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64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be/ag/ag/yr25/agenda202503.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cmat.org/PublicationsReports/Charter-School-Indicators-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23A04-426C-49DB-8A78-2AC815EB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3694</Words>
  <Characters>21060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April 2025 ACCS Agenda Item 03 - Advisory Commission on Charter Schools (CA State Board of Education)</vt:lpstr>
    </vt:vector>
  </TitlesOfParts>
  <Company/>
  <LinksUpToDate>false</LinksUpToDate>
  <CharactersWithSpaces>24705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03 - Advisory Commission on Charter Schools (CA State Board of Education)</dc:title>
  <dc:subject>Academia Avance Charter: Consider Evidence Regarding a Notice of Violation Issued by the California State Board of Education, pursuant to California Education Code Section 47607(g), and Propose that the California State Board of Education Issue a Notice of Intent to Revoke with Notice of Facts, pursuant to California Education Code Section 47607(h).</dc:subject>
  <dc:creator/>
  <cp:keywords/>
  <cp:lastModifiedBy/>
  <cp:revision>1</cp:revision>
  <dcterms:created xsi:type="dcterms:W3CDTF">2025-03-26T21:55:00Z</dcterms:created>
  <dcterms:modified xsi:type="dcterms:W3CDTF">2025-03-28T17:53:00Z</dcterms:modified>
</cp:coreProperties>
</file>